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87D8C" w:rsidRPr="002E1230" w14:paraId="5CC374CE" w14:textId="77777777" w:rsidTr="00087D8C">
        <w:trPr>
          <w:cantSplit/>
          <w:trHeight w:val="57"/>
          <w:jc w:val="right"/>
        </w:trPr>
        <w:tc>
          <w:tcPr>
            <w:tcW w:w="1518" w:type="dxa"/>
          </w:tcPr>
          <w:p w14:paraId="3539D43F" w14:textId="77777777" w:rsidR="00087D8C" w:rsidRPr="00637FDF" w:rsidRDefault="00087D8C" w:rsidP="00247982">
            <w:pPr>
              <w:rPr>
                <w:rFonts w:ascii="Arial" w:hAnsi="Arial" w:cs="Arial"/>
                <w:b/>
                <w:sz w:val="27"/>
                <w:szCs w:val="27"/>
              </w:rPr>
            </w:pPr>
            <w:r w:rsidRPr="00637FDF">
              <w:rPr>
                <w:rFonts w:ascii="Arial" w:hAnsi="Arial" w:cs="Arial"/>
                <w:b/>
                <w:bCs/>
                <w:sz w:val="27"/>
                <w:szCs w:val="27"/>
                <w:lang w:val="fr-FR"/>
              </w:rPr>
              <w:t>NATIONS UNIES</w:t>
            </w:r>
          </w:p>
        </w:tc>
        <w:tc>
          <w:tcPr>
            <w:tcW w:w="4643" w:type="dxa"/>
          </w:tcPr>
          <w:p w14:paraId="06903780" w14:textId="77777777" w:rsidR="00087D8C" w:rsidRPr="002E1230" w:rsidRDefault="00087D8C" w:rsidP="00247982">
            <w:pPr>
              <w:rPr>
                <w:rFonts w:ascii="Univers" w:hAnsi="Univers"/>
                <w:b/>
                <w:sz w:val="27"/>
                <w:szCs w:val="27"/>
              </w:rPr>
            </w:pPr>
          </w:p>
        </w:tc>
        <w:tc>
          <w:tcPr>
            <w:tcW w:w="3335" w:type="dxa"/>
          </w:tcPr>
          <w:p w14:paraId="65ADEF55" w14:textId="77777777" w:rsidR="00087D8C" w:rsidRPr="00637FDF" w:rsidRDefault="00087D8C" w:rsidP="00247982">
            <w:pPr>
              <w:jc w:val="right"/>
              <w:rPr>
                <w:rFonts w:ascii="Arial" w:hAnsi="Arial" w:cs="Arial"/>
                <w:b/>
                <w:sz w:val="64"/>
                <w:szCs w:val="64"/>
              </w:rPr>
            </w:pPr>
            <w:r w:rsidRPr="00637FDF">
              <w:rPr>
                <w:rFonts w:ascii="Arial" w:hAnsi="Arial" w:cs="Arial"/>
                <w:b/>
                <w:bCs/>
                <w:sz w:val="64"/>
                <w:szCs w:val="64"/>
                <w:lang w:val="fr-FR"/>
              </w:rPr>
              <w:t>MC</w:t>
            </w:r>
          </w:p>
        </w:tc>
      </w:tr>
      <w:tr w:rsidR="00087D8C" w:rsidRPr="002E1230" w14:paraId="23632888" w14:textId="77777777" w:rsidTr="00087D8C">
        <w:trPr>
          <w:cantSplit/>
          <w:trHeight w:val="57"/>
          <w:jc w:val="right"/>
        </w:trPr>
        <w:tc>
          <w:tcPr>
            <w:tcW w:w="1518" w:type="dxa"/>
            <w:tcBorders>
              <w:bottom w:val="single" w:sz="4" w:space="0" w:color="auto"/>
            </w:tcBorders>
          </w:tcPr>
          <w:p w14:paraId="5164F660" w14:textId="77777777" w:rsidR="00087D8C" w:rsidRPr="002E1230" w:rsidRDefault="00087D8C" w:rsidP="00247982">
            <w:pPr>
              <w:pStyle w:val="Normal-pool"/>
            </w:pPr>
          </w:p>
        </w:tc>
        <w:tc>
          <w:tcPr>
            <w:tcW w:w="4643" w:type="dxa"/>
            <w:tcBorders>
              <w:bottom w:val="single" w:sz="4" w:space="0" w:color="auto"/>
            </w:tcBorders>
          </w:tcPr>
          <w:p w14:paraId="294C9E2A" w14:textId="77777777" w:rsidR="00087D8C" w:rsidRPr="002E1230" w:rsidRDefault="00087D8C" w:rsidP="00247982">
            <w:pPr>
              <w:pStyle w:val="Normal-pool"/>
            </w:pPr>
          </w:p>
        </w:tc>
        <w:tc>
          <w:tcPr>
            <w:tcW w:w="3335" w:type="dxa"/>
            <w:tcBorders>
              <w:bottom w:val="single" w:sz="4" w:space="0" w:color="auto"/>
            </w:tcBorders>
          </w:tcPr>
          <w:p w14:paraId="7B5C6A33" w14:textId="51BB21ED" w:rsidR="00087D8C" w:rsidRPr="002E1230" w:rsidRDefault="00087D8C" w:rsidP="00247982">
            <w:pPr>
              <w:rPr>
                <w:sz w:val="18"/>
                <w:szCs w:val="18"/>
              </w:rPr>
            </w:pPr>
            <w:r w:rsidRPr="00637FDF">
              <w:rPr>
                <w:b/>
                <w:bCs/>
                <w:sz w:val="28"/>
                <w:szCs w:val="28"/>
                <w:lang w:val="fr-FR"/>
              </w:rPr>
              <w:t>UNEP</w:t>
            </w:r>
            <w:r>
              <w:rPr>
                <w:lang w:val="fr-FR"/>
              </w:rPr>
              <w:t>/MC/COP.3/1/Add.1</w:t>
            </w:r>
          </w:p>
        </w:tc>
      </w:tr>
      <w:bookmarkStart w:id="0" w:name="_MON_1021710510"/>
      <w:bookmarkEnd w:id="0"/>
      <w:bookmarkStart w:id="1" w:name="_MON_1021710482"/>
      <w:bookmarkEnd w:id="1"/>
      <w:tr w:rsidR="00087D8C" w:rsidRPr="00D671B9" w14:paraId="07DC201B" w14:textId="77777777" w:rsidTr="00087D8C">
        <w:trPr>
          <w:cantSplit/>
          <w:trHeight w:val="57"/>
          <w:jc w:val="right"/>
        </w:trPr>
        <w:tc>
          <w:tcPr>
            <w:tcW w:w="1518" w:type="dxa"/>
            <w:tcBorders>
              <w:top w:val="single" w:sz="4" w:space="0" w:color="auto"/>
              <w:bottom w:val="single" w:sz="24" w:space="0" w:color="auto"/>
            </w:tcBorders>
          </w:tcPr>
          <w:p w14:paraId="2E16A294" w14:textId="77777777" w:rsidR="00087D8C" w:rsidRPr="002E1230" w:rsidRDefault="00087D8C" w:rsidP="00247982">
            <w:r w:rsidRPr="002E1230">
              <w:rPr>
                <w:noProof/>
              </w:rPr>
              <w:object w:dxaOrig="1831" w:dyaOrig="1726" w14:anchorId="6F8750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25pt;height:57.75pt;mso-width-percent:0;mso-height-percent:0;mso-width-percent:0;mso-height-percent:0" o:ole="" fillcolor="window">
                  <v:imagedata r:id="rId8" o:title=""/>
                </v:shape>
                <o:OLEObject Type="Embed" ProgID="Word.Picture.8" ShapeID="_x0000_i1025" DrawAspect="Content" ObjectID="_1632733714" r:id="rId9"/>
              </w:object>
            </w:r>
            <w:r w:rsidRPr="002E1230">
              <w:rPr>
                <w:noProof/>
                <w:lang w:val="fr-FR" w:eastAsia="fr-FR"/>
              </w:rPr>
              <w:drawing>
                <wp:inline distT="0" distB="0" distL="0" distR="0" wp14:anchorId="1F814A34" wp14:editId="3E087C51">
                  <wp:extent cx="723900" cy="769620"/>
                  <wp:effectExtent l="0" t="0" r="0" b="0"/>
                  <wp:docPr id="1"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14:paraId="3567D1F2" w14:textId="57966759" w:rsidR="00087D8C" w:rsidRPr="00637FDF" w:rsidRDefault="00087D8C" w:rsidP="00247982">
            <w:pPr>
              <w:spacing w:before="1200"/>
              <w:rPr>
                <w:rFonts w:ascii="Arial" w:hAnsi="Arial" w:cs="Arial"/>
                <w:b/>
                <w:sz w:val="32"/>
                <w:szCs w:val="32"/>
                <w:lang w:val="fr-FR"/>
              </w:rPr>
            </w:pPr>
            <w:r w:rsidRPr="008D77D5">
              <w:rPr>
                <w:rFonts w:ascii="Arial" w:hAnsi="Arial" w:cs="Arial"/>
                <w:b/>
                <w:sz w:val="32"/>
                <w:szCs w:val="32"/>
                <w:lang w:val="fr-FR"/>
              </w:rPr>
              <w:t xml:space="preserve">Programme </w:t>
            </w:r>
            <w:r w:rsidRPr="008D77D5">
              <w:rPr>
                <w:rFonts w:ascii="Arial" w:hAnsi="Arial" w:cs="Arial"/>
                <w:b/>
                <w:sz w:val="32"/>
                <w:szCs w:val="32"/>
                <w:lang w:val="fr-FR"/>
              </w:rPr>
              <w:br w:type="textWrapping" w:clear="all"/>
              <w:t xml:space="preserve">des Nations Unies </w:t>
            </w:r>
            <w:r w:rsidRPr="008D77D5">
              <w:rPr>
                <w:rFonts w:ascii="Arial" w:hAnsi="Arial" w:cs="Arial"/>
                <w:b/>
                <w:sz w:val="32"/>
                <w:szCs w:val="32"/>
                <w:lang w:val="fr-FR"/>
              </w:rPr>
              <w:br w:type="textWrapping" w:clear="all"/>
              <w:t>pour l</w:t>
            </w:r>
            <w:r>
              <w:rPr>
                <w:rFonts w:ascii="Arial" w:hAnsi="Arial" w:cs="Arial"/>
                <w:b/>
                <w:sz w:val="32"/>
                <w:szCs w:val="32"/>
                <w:lang w:val="fr-FR"/>
              </w:rPr>
              <w:t>’</w:t>
            </w:r>
            <w:r w:rsidRPr="008D77D5">
              <w:rPr>
                <w:rFonts w:ascii="Arial" w:hAnsi="Arial" w:cs="Arial"/>
                <w:b/>
                <w:sz w:val="32"/>
                <w:szCs w:val="32"/>
                <w:lang w:val="fr-FR"/>
              </w:rPr>
              <w:t>environnement</w:t>
            </w:r>
          </w:p>
        </w:tc>
        <w:tc>
          <w:tcPr>
            <w:tcW w:w="3335" w:type="dxa"/>
            <w:tcBorders>
              <w:top w:val="single" w:sz="4" w:space="0" w:color="auto"/>
              <w:bottom w:val="single" w:sz="24" w:space="0" w:color="auto"/>
            </w:tcBorders>
          </w:tcPr>
          <w:p w14:paraId="6AEE0402" w14:textId="77777777" w:rsidR="00087D8C" w:rsidRDefault="00087D8C" w:rsidP="00247982">
            <w:pPr>
              <w:spacing w:before="120"/>
              <w:rPr>
                <w:lang w:val="fr-FR"/>
              </w:rPr>
            </w:pPr>
            <w:r>
              <w:rPr>
                <w:lang w:val="fr-FR"/>
              </w:rPr>
              <w:t>Distr. générale</w:t>
            </w:r>
          </w:p>
          <w:p w14:paraId="481CAB6D" w14:textId="700ABB23" w:rsidR="00087D8C" w:rsidRDefault="00D671B9" w:rsidP="00247982">
            <w:pPr>
              <w:rPr>
                <w:lang w:val="fr-FR"/>
              </w:rPr>
            </w:pPr>
            <w:r>
              <w:rPr>
                <w:lang w:val="fr-FR"/>
              </w:rPr>
              <w:t>9 octobre</w:t>
            </w:r>
            <w:r w:rsidR="00087D8C">
              <w:rPr>
                <w:lang w:val="fr-FR"/>
              </w:rPr>
              <w:t> 2019</w:t>
            </w:r>
          </w:p>
          <w:p w14:paraId="0EE94141" w14:textId="77777777" w:rsidR="00087D8C" w:rsidRPr="001C442B" w:rsidRDefault="00087D8C" w:rsidP="00247982">
            <w:pPr>
              <w:rPr>
                <w:lang w:val="fr-FR"/>
              </w:rPr>
            </w:pPr>
          </w:p>
          <w:p w14:paraId="2579071F" w14:textId="77777777" w:rsidR="00087D8C" w:rsidRDefault="00087D8C" w:rsidP="00247982">
            <w:pPr>
              <w:rPr>
                <w:lang w:val="fr-FR"/>
              </w:rPr>
            </w:pPr>
            <w:r>
              <w:rPr>
                <w:lang w:val="fr-FR"/>
              </w:rPr>
              <w:t>Français</w:t>
            </w:r>
          </w:p>
          <w:p w14:paraId="2F13060E" w14:textId="77777777" w:rsidR="00087D8C" w:rsidRPr="001C442B" w:rsidRDefault="00087D8C" w:rsidP="00247982">
            <w:pPr>
              <w:rPr>
                <w:lang w:val="fr-FR"/>
              </w:rPr>
            </w:pPr>
            <w:r>
              <w:rPr>
                <w:lang w:val="fr-FR"/>
              </w:rPr>
              <w:t>Original : anglais</w:t>
            </w:r>
          </w:p>
        </w:tc>
      </w:tr>
    </w:tbl>
    <w:p w14:paraId="6964E318" w14:textId="4F6BA71F" w:rsidR="00E976AB" w:rsidRPr="00383908" w:rsidRDefault="00CB007D" w:rsidP="00E976AB">
      <w:pPr>
        <w:pStyle w:val="AATitle"/>
        <w:keepNext w:val="0"/>
        <w:keepLines w:val="0"/>
        <w:rPr>
          <w:lang w:val="fr-FR"/>
        </w:rPr>
      </w:pPr>
      <w:r w:rsidRPr="00383908">
        <w:rPr>
          <w:bCs/>
          <w:lang w:val="fr-FR"/>
        </w:rPr>
        <w:t>Conférence des Parties à la Convention de Minamata sur le mercure</w:t>
      </w:r>
    </w:p>
    <w:p w14:paraId="5E68EF1A" w14:textId="77777777" w:rsidR="00E976AB" w:rsidRPr="00383908" w:rsidRDefault="00F96F7E" w:rsidP="00E976AB">
      <w:pPr>
        <w:pStyle w:val="AATitle"/>
        <w:keepNext w:val="0"/>
        <w:keepLines w:val="0"/>
        <w:rPr>
          <w:lang w:val="fr-FR"/>
        </w:rPr>
      </w:pPr>
      <w:r w:rsidRPr="00383908">
        <w:rPr>
          <w:bCs/>
          <w:lang w:val="fr-FR"/>
        </w:rPr>
        <w:t>Troisième réunion</w:t>
      </w:r>
    </w:p>
    <w:p w14:paraId="7AA99B0C" w14:textId="6FB6BD9C" w:rsidR="00787688" w:rsidRPr="00383908" w:rsidRDefault="00087D8C" w:rsidP="00434321">
      <w:pPr>
        <w:pStyle w:val="AATitle"/>
        <w:rPr>
          <w:b w:val="0"/>
          <w:lang w:val="fr-FR"/>
        </w:rPr>
      </w:pPr>
      <w:r>
        <w:rPr>
          <w:b w:val="0"/>
          <w:lang w:val="fr-FR"/>
        </w:rPr>
        <w:t>Genève, 25 – 29 </w:t>
      </w:r>
      <w:r w:rsidR="00787688" w:rsidRPr="00383908">
        <w:rPr>
          <w:b w:val="0"/>
          <w:lang w:val="fr-FR"/>
        </w:rPr>
        <w:t>novembre 2019</w:t>
      </w:r>
    </w:p>
    <w:p w14:paraId="57AE1D0F" w14:textId="7E3A9FC4" w:rsidR="005278CE" w:rsidRPr="00383908" w:rsidRDefault="00087D8C" w:rsidP="005278CE">
      <w:pPr>
        <w:pStyle w:val="AATitle"/>
        <w:rPr>
          <w:b w:val="0"/>
          <w:color w:val="000000" w:themeColor="text1"/>
          <w:lang w:val="fr-FR"/>
        </w:rPr>
      </w:pPr>
      <w:r>
        <w:rPr>
          <w:b w:val="0"/>
          <w:lang w:val="fr-FR"/>
        </w:rPr>
        <w:t>Point 2 </w:t>
      </w:r>
      <w:r w:rsidR="005278CE" w:rsidRPr="00383908">
        <w:rPr>
          <w:b w:val="0"/>
          <w:lang w:val="fr-FR"/>
        </w:rPr>
        <w:t>c) de l</w:t>
      </w:r>
      <w:r>
        <w:rPr>
          <w:b w:val="0"/>
          <w:lang w:val="fr-FR"/>
        </w:rPr>
        <w:t>’</w:t>
      </w:r>
      <w:r w:rsidR="005278CE" w:rsidRPr="00383908">
        <w:rPr>
          <w:b w:val="0"/>
          <w:lang w:val="fr-FR"/>
        </w:rPr>
        <w:t>ordre du jour provisoire</w:t>
      </w:r>
      <w:r w:rsidR="005278CE" w:rsidRPr="00383908">
        <w:rPr>
          <w:b w:val="0"/>
          <w:lang w:val="fr-FR"/>
        </w:rPr>
        <w:footnoteReference w:customMarkFollows="1" w:id="1"/>
        <w:t>*</w:t>
      </w:r>
    </w:p>
    <w:p w14:paraId="4D9DB279" w14:textId="476C6875" w:rsidR="005278CE" w:rsidRPr="00383908" w:rsidRDefault="00087D8C" w:rsidP="00924FE9">
      <w:pPr>
        <w:pStyle w:val="AATitle2"/>
        <w:keepNext w:val="0"/>
        <w:keepLines w:val="0"/>
        <w:spacing w:before="60" w:after="100"/>
        <w:rPr>
          <w:lang w:val="fr-FR"/>
        </w:rPr>
      </w:pPr>
      <w:r>
        <w:rPr>
          <w:bCs/>
          <w:lang w:val="fr-FR"/>
        </w:rPr>
        <w:t>Questions d’organisation </w:t>
      </w:r>
      <w:r w:rsidR="005278CE" w:rsidRPr="00383908">
        <w:rPr>
          <w:bCs/>
          <w:lang w:val="fr-FR"/>
        </w:rPr>
        <w:t>: organisation des travaux</w:t>
      </w:r>
    </w:p>
    <w:p w14:paraId="35D4A69F" w14:textId="12B8F172" w:rsidR="005278CE" w:rsidRPr="00383908" w:rsidRDefault="005278CE" w:rsidP="00924FE9">
      <w:pPr>
        <w:pStyle w:val="BBTitle"/>
        <w:spacing w:before="280"/>
        <w:rPr>
          <w:lang w:val="fr-FR"/>
        </w:rPr>
      </w:pPr>
      <w:r w:rsidRPr="00383908">
        <w:rPr>
          <w:bCs/>
          <w:lang w:val="fr-FR"/>
        </w:rPr>
        <w:t>Ordre du jour provisoire annoté</w:t>
      </w:r>
    </w:p>
    <w:p w14:paraId="3A08F35C" w14:textId="46CFB167" w:rsidR="005278CE" w:rsidRPr="00383908" w:rsidRDefault="00087D8C" w:rsidP="00924FE9">
      <w:pPr>
        <w:pStyle w:val="CH2"/>
        <w:keepNext w:val="0"/>
        <w:keepLines w:val="0"/>
        <w:spacing w:before="200" w:after="100"/>
        <w:ind w:left="624" w:firstLine="0"/>
        <w:rPr>
          <w:lang w:val="fr-FR"/>
        </w:rPr>
      </w:pPr>
      <w:r>
        <w:rPr>
          <w:bCs/>
          <w:lang w:val="fr-FR"/>
        </w:rPr>
        <w:t>Point </w:t>
      </w:r>
      <w:r w:rsidR="005278CE" w:rsidRPr="00383908">
        <w:rPr>
          <w:bCs/>
          <w:lang w:val="fr-FR"/>
        </w:rPr>
        <w:t>1</w:t>
      </w:r>
    </w:p>
    <w:p w14:paraId="046CE2D9" w14:textId="77777777" w:rsidR="005278CE" w:rsidRPr="00383908" w:rsidRDefault="005278CE" w:rsidP="005278CE">
      <w:pPr>
        <w:pStyle w:val="CH2"/>
        <w:keepNext w:val="0"/>
        <w:keepLines w:val="0"/>
        <w:spacing w:after="100"/>
        <w:ind w:left="624" w:firstLine="0"/>
        <w:rPr>
          <w:lang w:val="fr-FR"/>
        </w:rPr>
      </w:pPr>
      <w:r w:rsidRPr="00383908">
        <w:rPr>
          <w:bCs/>
          <w:lang w:val="fr-FR"/>
        </w:rPr>
        <w:t>Ouverture de la réunion</w:t>
      </w:r>
    </w:p>
    <w:p w14:paraId="60474AD0" w14:textId="6EE201D6" w:rsidR="005278CE" w:rsidRPr="00383908" w:rsidRDefault="005278CE" w:rsidP="00970339">
      <w:pPr>
        <w:pStyle w:val="Normalnumber"/>
        <w:numPr>
          <w:ilvl w:val="0"/>
          <w:numId w:val="6"/>
        </w:numPr>
        <w:tabs>
          <w:tab w:val="clear" w:pos="567"/>
          <w:tab w:val="num" w:pos="624"/>
        </w:tabs>
        <w:rPr>
          <w:lang w:val="fr-FR"/>
        </w:rPr>
      </w:pPr>
      <w:r w:rsidRPr="00383908">
        <w:rPr>
          <w:lang w:val="fr-FR"/>
        </w:rPr>
        <w:t>La troisième réunion de la Conférence des Parties à la Convention de Minamata sur le</w:t>
      </w:r>
      <w:r w:rsidR="00B54A19" w:rsidRPr="00383908">
        <w:rPr>
          <w:lang w:val="fr-FR"/>
        </w:rPr>
        <w:t xml:space="preserve"> mercure se tiendra du 25 au 29 </w:t>
      </w:r>
      <w:r w:rsidRPr="00383908">
        <w:rPr>
          <w:lang w:val="fr-FR"/>
        </w:rPr>
        <w:t xml:space="preserve">novembre 2019 au Centre international </w:t>
      </w:r>
      <w:r w:rsidR="00B54A19" w:rsidRPr="00383908">
        <w:rPr>
          <w:lang w:val="fr-FR"/>
        </w:rPr>
        <w:t>de conférences de Genève, au 17 </w:t>
      </w:r>
      <w:r w:rsidRPr="00383908">
        <w:rPr>
          <w:lang w:val="fr-FR"/>
        </w:rPr>
        <w:t>rue de Varembé. La réunion sera ouverte le lun</w:t>
      </w:r>
      <w:r w:rsidR="00B54A19" w:rsidRPr="00383908">
        <w:rPr>
          <w:lang w:val="fr-FR"/>
        </w:rPr>
        <w:t>di 25 novembre à 10 </w:t>
      </w:r>
      <w:r w:rsidRPr="00383908">
        <w:rPr>
          <w:lang w:val="fr-FR"/>
        </w:rPr>
        <w:t>heures.</w:t>
      </w:r>
    </w:p>
    <w:p w14:paraId="2A0DFF4E" w14:textId="6A19FE81" w:rsidR="005278CE" w:rsidRPr="00383908" w:rsidRDefault="00087D8C" w:rsidP="00970339">
      <w:pPr>
        <w:pStyle w:val="Normalnumber"/>
        <w:numPr>
          <w:ilvl w:val="0"/>
          <w:numId w:val="5"/>
        </w:numPr>
        <w:tabs>
          <w:tab w:val="clear" w:pos="567"/>
          <w:tab w:val="num" w:pos="624"/>
        </w:tabs>
        <w:rPr>
          <w:lang w:val="fr-FR"/>
        </w:rPr>
      </w:pPr>
      <w:r>
        <w:rPr>
          <w:lang w:val="fr-FR"/>
        </w:rPr>
        <w:t>Le Président élu à la deuxième </w:t>
      </w:r>
      <w:r w:rsidR="005278CE" w:rsidRPr="00383908">
        <w:rPr>
          <w:lang w:val="fr-FR"/>
        </w:rPr>
        <w:t>réunion d</w:t>
      </w:r>
      <w:r w:rsidR="00B54A19" w:rsidRPr="00383908">
        <w:rPr>
          <w:lang w:val="fr-FR"/>
        </w:rPr>
        <w:t>e la Conférence des Parties, M. </w:t>
      </w:r>
      <w:r w:rsidR="005278CE" w:rsidRPr="00383908">
        <w:rPr>
          <w:lang w:val="fr-FR"/>
        </w:rPr>
        <w:t>David Kapindula (Zambie), présidera la réunion conformément au Règlement intérieur adopté par la Conférence des</w:t>
      </w:r>
      <w:r w:rsidR="00B54A19" w:rsidRPr="00383908">
        <w:rPr>
          <w:lang w:val="fr-FR"/>
        </w:rPr>
        <w:t xml:space="preserve"> Parties à sa première réunion.</w:t>
      </w:r>
    </w:p>
    <w:p w14:paraId="760822D5" w14:textId="4F0B1C54" w:rsidR="005278CE" w:rsidRPr="00383908" w:rsidRDefault="005278CE" w:rsidP="00970339">
      <w:pPr>
        <w:pStyle w:val="Normalnumber"/>
        <w:numPr>
          <w:ilvl w:val="0"/>
          <w:numId w:val="5"/>
        </w:numPr>
        <w:tabs>
          <w:tab w:val="clear" w:pos="567"/>
          <w:tab w:val="num" w:pos="624"/>
        </w:tabs>
        <w:rPr>
          <w:lang w:val="fr-FR"/>
        </w:rPr>
      </w:pPr>
      <w:r w:rsidRPr="00383908">
        <w:rPr>
          <w:lang w:val="fr-FR"/>
        </w:rPr>
        <w:t>Des déclaration</w:t>
      </w:r>
      <w:r w:rsidR="00B54A19" w:rsidRPr="00383908">
        <w:rPr>
          <w:lang w:val="fr-FR"/>
        </w:rPr>
        <w:t>s liminaires seront prononcées.</w:t>
      </w:r>
    </w:p>
    <w:p w14:paraId="312D3ADE" w14:textId="525A18A3" w:rsidR="005278CE" w:rsidRPr="00383908" w:rsidRDefault="00087D8C" w:rsidP="00924FE9">
      <w:pPr>
        <w:pStyle w:val="CH2"/>
        <w:keepNext w:val="0"/>
        <w:keepLines w:val="0"/>
        <w:spacing w:before="200"/>
        <w:ind w:left="624" w:firstLine="0"/>
        <w:rPr>
          <w:b w:val="0"/>
          <w:lang w:val="fr-FR"/>
        </w:rPr>
      </w:pPr>
      <w:r>
        <w:rPr>
          <w:bCs/>
          <w:lang w:val="fr-FR"/>
        </w:rPr>
        <w:t>Point </w:t>
      </w:r>
      <w:r w:rsidR="005278CE" w:rsidRPr="00383908">
        <w:rPr>
          <w:bCs/>
          <w:lang w:val="fr-FR"/>
        </w:rPr>
        <w:t>2</w:t>
      </w:r>
    </w:p>
    <w:p w14:paraId="2F38294C" w14:textId="2CD760AB" w:rsidR="005278CE" w:rsidRPr="00383908" w:rsidRDefault="005278CE" w:rsidP="005278CE">
      <w:pPr>
        <w:pStyle w:val="CH2"/>
        <w:keepNext w:val="0"/>
        <w:keepLines w:val="0"/>
        <w:spacing w:after="100"/>
        <w:ind w:left="624" w:firstLine="0"/>
        <w:rPr>
          <w:b w:val="0"/>
          <w:lang w:val="fr-FR"/>
        </w:rPr>
      </w:pPr>
      <w:r w:rsidRPr="00383908">
        <w:rPr>
          <w:bCs/>
          <w:lang w:val="fr-FR"/>
        </w:rPr>
        <w:t>Questions d</w:t>
      </w:r>
      <w:r w:rsidR="00087D8C">
        <w:rPr>
          <w:bCs/>
          <w:lang w:val="fr-FR"/>
        </w:rPr>
        <w:t>’</w:t>
      </w:r>
      <w:r w:rsidRPr="00383908">
        <w:rPr>
          <w:bCs/>
          <w:lang w:val="fr-FR"/>
        </w:rPr>
        <w:t>organisation</w:t>
      </w:r>
    </w:p>
    <w:p w14:paraId="18950980" w14:textId="0426F4CC" w:rsidR="005278CE" w:rsidRPr="00383908" w:rsidRDefault="00B54A19" w:rsidP="00924FE9">
      <w:pPr>
        <w:pStyle w:val="CH3"/>
        <w:spacing w:before="200"/>
        <w:rPr>
          <w:lang w:val="fr-FR"/>
        </w:rPr>
      </w:pPr>
      <w:r w:rsidRPr="00383908">
        <w:rPr>
          <w:lang w:val="fr-FR"/>
        </w:rPr>
        <w:tab/>
      </w:r>
      <w:r w:rsidR="005278CE" w:rsidRPr="00383908">
        <w:rPr>
          <w:lang w:val="fr-FR"/>
        </w:rPr>
        <w:t>a)</w:t>
      </w:r>
      <w:r w:rsidRPr="00383908">
        <w:rPr>
          <w:lang w:val="fr-FR"/>
        </w:rPr>
        <w:tab/>
      </w:r>
      <w:r w:rsidR="005278CE" w:rsidRPr="00383908">
        <w:rPr>
          <w:lang w:val="fr-FR"/>
        </w:rPr>
        <w:t>Élection du Bureau de la période intersessions et de la quatrième réunion de la Conférence des Parties</w:t>
      </w:r>
    </w:p>
    <w:p w14:paraId="289A3284" w14:textId="25174A88" w:rsidR="005278CE" w:rsidRPr="00383908" w:rsidRDefault="00087D8C" w:rsidP="00970339">
      <w:pPr>
        <w:pStyle w:val="Normalnumber"/>
        <w:numPr>
          <w:ilvl w:val="0"/>
          <w:numId w:val="6"/>
        </w:numPr>
        <w:tabs>
          <w:tab w:val="clear" w:pos="567"/>
          <w:tab w:val="num" w:pos="624"/>
        </w:tabs>
        <w:rPr>
          <w:lang w:val="fr-FR"/>
        </w:rPr>
      </w:pPr>
      <w:r>
        <w:rPr>
          <w:lang w:val="fr-FR"/>
        </w:rPr>
        <w:t>À sa deuxième </w:t>
      </w:r>
      <w:r w:rsidR="005278CE" w:rsidRPr="00383908">
        <w:rPr>
          <w:lang w:val="fr-FR"/>
        </w:rPr>
        <w:t>réunion, la Conférence des Parties a élu les membres du Bureau ci</w:t>
      </w:r>
      <w:r w:rsidR="00436AB4">
        <w:rPr>
          <w:lang w:val="fr-FR"/>
        </w:rPr>
        <w:noBreakHyphen/>
      </w:r>
      <w:r w:rsidR="005278CE" w:rsidRPr="00383908">
        <w:rPr>
          <w:lang w:val="fr-FR"/>
        </w:rPr>
        <w:t>ap</w:t>
      </w:r>
      <w:r w:rsidR="00920FB9">
        <w:rPr>
          <w:lang w:val="fr-FR"/>
        </w:rPr>
        <w:t>rès pour siéger à sa troisième </w:t>
      </w:r>
      <w:r w:rsidR="005278CE" w:rsidRPr="00383908">
        <w:rPr>
          <w:lang w:val="fr-FR"/>
        </w:rPr>
        <w:t>réunion ain</w:t>
      </w:r>
      <w:r w:rsidR="00B54A19" w:rsidRPr="00383908">
        <w:rPr>
          <w:lang w:val="fr-FR"/>
        </w:rPr>
        <w:t>si que pendant l</w:t>
      </w:r>
      <w:r>
        <w:rPr>
          <w:lang w:val="fr-FR"/>
        </w:rPr>
        <w:t>’</w:t>
      </w:r>
      <w:r w:rsidR="00920FB9">
        <w:rPr>
          <w:lang w:val="fr-FR"/>
        </w:rPr>
        <w:t>intersession </w:t>
      </w:r>
      <w:r w:rsidR="00B54A19" w:rsidRPr="00383908">
        <w:rPr>
          <w:lang w:val="fr-FR"/>
        </w:rPr>
        <w:t>:</w:t>
      </w:r>
    </w:p>
    <w:p w14:paraId="3E90C294" w14:textId="08E9AEC5" w:rsidR="005278CE" w:rsidRPr="00383908" w:rsidRDefault="00920FB9" w:rsidP="00924FE9">
      <w:pPr>
        <w:pStyle w:val="Normalpool"/>
        <w:tabs>
          <w:tab w:val="clear" w:pos="1247"/>
          <w:tab w:val="clear" w:pos="1814"/>
          <w:tab w:val="clear" w:pos="2381"/>
          <w:tab w:val="clear" w:pos="2948"/>
          <w:tab w:val="clear" w:pos="3515"/>
          <w:tab w:val="clear" w:pos="4082"/>
          <w:tab w:val="left" w:pos="624"/>
        </w:tabs>
        <w:spacing w:after="100"/>
        <w:ind w:left="1871"/>
      </w:pPr>
      <w:r>
        <w:tab/>
        <w:t>Président :</w:t>
      </w:r>
      <w:r>
        <w:tab/>
      </w:r>
      <w:r>
        <w:tab/>
        <w:t>M. </w:t>
      </w:r>
      <w:r w:rsidR="005278CE" w:rsidRPr="00383908">
        <w:t>David Kapindula (Zambie)</w:t>
      </w:r>
    </w:p>
    <w:p w14:paraId="52856C53" w14:textId="6456B24E" w:rsidR="005278CE" w:rsidRPr="00383908" w:rsidRDefault="005278CE" w:rsidP="00924FE9">
      <w:pPr>
        <w:pStyle w:val="Normalpool"/>
        <w:tabs>
          <w:tab w:val="clear" w:pos="1247"/>
          <w:tab w:val="clear" w:pos="1814"/>
          <w:tab w:val="clear" w:pos="2381"/>
          <w:tab w:val="clear" w:pos="2948"/>
          <w:tab w:val="clear" w:pos="3515"/>
          <w:tab w:val="clear" w:pos="4082"/>
          <w:tab w:val="left" w:pos="624"/>
        </w:tabs>
        <w:spacing w:after="100"/>
        <w:ind w:left="1871"/>
      </w:pPr>
      <w:r w:rsidRPr="00383908">
        <w:t>Vice</w:t>
      </w:r>
      <w:r w:rsidR="00436AB4">
        <w:noBreakHyphen/>
      </w:r>
      <w:r w:rsidR="00920FB9">
        <w:t>Président(e)s :</w:t>
      </w:r>
      <w:r w:rsidR="00920FB9">
        <w:tab/>
        <w:t>Mme </w:t>
      </w:r>
      <w:r w:rsidRPr="00383908">
        <w:t>Alison Dickson (Canada)</w:t>
      </w:r>
    </w:p>
    <w:p w14:paraId="63998DB5" w14:textId="697405D3" w:rsidR="005278CE" w:rsidRPr="00D671B9" w:rsidRDefault="00920FB9" w:rsidP="00924FE9">
      <w:pPr>
        <w:pStyle w:val="Normalpool"/>
        <w:tabs>
          <w:tab w:val="clear" w:pos="1247"/>
          <w:tab w:val="clear" w:pos="1814"/>
          <w:tab w:val="clear" w:pos="2381"/>
          <w:tab w:val="clear" w:pos="2948"/>
          <w:tab w:val="clear" w:pos="3515"/>
          <w:tab w:val="clear" w:pos="4082"/>
          <w:tab w:val="left" w:pos="624"/>
        </w:tabs>
        <w:spacing w:after="100"/>
        <w:ind w:left="3742"/>
        <w:rPr>
          <w:lang w:val="es-ES"/>
        </w:rPr>
      </w:pPr>
      <w:r>
        <w:tab/>
      </w:r>
      <w:r w:rsidRPr="00D671B9">
        <w:rPr>
          <w:lang w:val="es-ES"/>
        </w:rPr>
        <w:t>Mme </w:t>
      </w:r>
      <w:r w:rsidR="005278CE" w:rsidRPr="00D671B9">
        <w:rPr>
          <w:lang w:val="es-ES"/>
        </w:rPr>
        <w:t>María del Mar Solano Trejos (Costa Rica)</w:t>
      </w:r>
    </w:p>
    <w:p w14:paraId="14DE45A1" w14:textId="3FED4094" w:rsidR="005278CE" w:rsidRPr="00D671B9" w:rsidRDefault="00920FB9" w:rsidP="00924FE9">
      <w:pPr>
        <w:pStyle w:val="Normalpool"/>
        <w:tabs>
          <w:tab w:val="clear" w:pos="1247"/>
          <w:tab w:val="clear" w:pos="1814"/>
          <w:tab w:val="clear" w:pos="2381"/>
          <w:tab w:val="clear" w:pos="2948"/>
          <w:tab w:val="clear" w:pos="3515"/>
          <w:tab w:val="clear" w:pos="4082"/>
          <w:tab w:val="left" w:pos="624"/>
        </w:tabs>
        <w:spacing w:after="100"/>
        <w:ind w:left="3742"/>
        <w:rPr>
          <w:lang w:val="es-ES"/>
        </w:rPr>
      </w:pPr>
      <w:r w:rsidRPr="00D671B9">
        <w:rPr>
          <w:lang w:val="es-ES"/>
        </w:rPr>
        <w:t>M. </w:t>
      </w:r>
      <w:r w:rsidR="005278CE" w:rsidRPr="00D671B9">
        <w:rPr>
          <w:lang w:val="es-ES"/>
        </w:rPr>
        <w:t>Karel Bláha (Tchéquie)</w:t>
      </w:r>
    </w:p>
    <w:p w14:paraId="2E21E20B" w14:textId="048FD028" w:rsidR="005278CE" w:rsidRPr="00D671B9" w:rsidRDefault="005278CE" w:rsidP="00924FE9">
      <w:pPr>
        <w:pStyle w:val="Normalpool"/>
        <w:tabs>
          <w:tab w:val="clear" w:pos="1247"/>
          <w:tab w:val="clear" w:pos="1814"/>
          <w:tab w:val="clear" w:pos="2381"/>
          <w:tab w:val="clear" w:pos="2948"/>
          <w:tab w:val="clear" w:pos="3515"/>
          <w:tab w:val="clear" w:pos="4082"/>
          <w:tab w:val="left" w:pos="624"/>
        </w:tabs>
        <w:spacing w:after="100"/>
        <w:ind w:left="3742"/>
        <w:rPr>
          <w:lang w:val="es-ES"/>
        </w:rPr>
      </w:pPr>
      <w:r w:rsidRPr="00D671B9">
        <w:rPr>
          <w:lang w:val="es-ES"/>
        </w:rPr>
        <w:tab/>
        <w:t>M. Serge Molly Allo</w:t>
      </w:r>
      <w:r w:rsidR="00087D8C" w:rsidRPr="00D671B9">
        <w:rPr>
          <w:lang w:val="es-ES"/>
        </w:rPr>
        <w:t>’</w:t>
      </w:r>
      <w:r w:rsidRPr="00D671B9">
        <w:rPr>
          <w:lang w:val="es-ES"/>
        </w:rPr>
        <w:t>o Allo</w:t>
      </w:r>
      <w:r w:rsidR="00087D8C" w:rsidRPr="00D671B9">
        <w:rPr>
          <w:lang w:val="es-ES"/>
        </w:rPr>
        <w:t>’</w:t>
      </w:r>
      <w:r w:rsidRPr="00D671B9">
        <w:rPr>
          <w:lang w:val="es-ES"/>
        </w:rPr>
        <w:t>o (Gabon)</w:t>
      </w:r>
    </w:p>
    <w:p w14:paraId="64E98E72" w14:textId="377A2864" w:rsidR="005278CE" w:rsidRPr="00383908" w:rsidRDefault="00920FB9" w:rsidP="00924FE9">
      <w:pPr>
        <w:pStyle w:val="Normalpool"/>
        <w:tabs>
          <w:tab w:val="clear" w:pos="1247"/>
          <w:tab w:val="clear" w:pos="1814"/>
          <w:tab w:val="clear" w:pos="2381"/>
          <w:tab w:val="clear" w:pos="2948"/>
          <w:tab w:val="clear" w:pos="3515"/>
          <w:tab w:val="clear" w:pos="4082"/>
          <w:tab w:val="left" w:pos="624"/>
        </w:tabs>
        <w:spacing w:after="100"/>
        <w:ind w:left="3742"/>
      </w:pPr>
      <w:r>
        <w:t>Mme </w:t>
      </w:r>
      <w:r w:rsidR="005278CE" w:rsidRPr="00383908">
        <w:t>Mariscia Charles (Guyana)</w:t>
      </w:r>
    </w:p>
    <w:p w14:paraId="6F0A8C12" w14:textId="37E1A1D4" w:rsidR="005278CE" w:rsidRPr="00383908" w:rsidRDefault="00920FB9" w:rsidP="00924FE9">
      <w:pPr>
        <w:pStyle w:val="Normalpool"/>
        <w:tabs>
          <w:tab w:val="clear" w:pos="1247"/>
          <w:tab w:val="clear" w:pos="1814"/>
          <w:tab w:val="clear" w:pos="2381"/>
          <w:tab w:val="clear" w:pos="2948"/>
          <w:tab w:val="clear" w:pos="3515"/>
          <w:tab w:val="clear" w:pos="4082"/>
          <w:tab w:val="left" w:pos="624"/>
        </w:tabs>
        <w:spacing w:after="100"/>
        <w:ind w:left="3742"/>
      </w:pPr>
      <w:r>
        <w:tab/>
        <w:t>M. </w:t>
      </w:r>
      <w:r w:rsidR="005278CE" w:rsidRPr="00383908">
        <w:t>Adel Jahankhah (République islamique d</w:t>
      </w:r>
      <w:r w:rsidR="00087D8C">
        <w:t>’</w:t>
      </w:r>
      <w:r w:rsidR="005278CE" w:rsidRPr="00383908">
        <w:t>Iran)</w:t>
      </w:r>
    </w:p>
    <w:p w14:paraId="02AC7485" w14:textId="6FA4DF1F" w:rsidR="005278CE" w:rsidRPr="00383908" w:rsidRDefault="00920FB9" w:rsidP="00924FE9">
      <w:pPr>
        <w:pStyle w:val="Normalpool"/>
        <w:tabs>
          <w:tab w:val="clear" w:pos="1247"/>
          <w:tab w:val="clear" w:pos="1814"/>
          <w:tab w:val="clear" w:pos="2381"/>
          <w:tab w:val="clear" w:pos="2948"/>
          <w:tab w:val="clear" w:pos="3515"/>
          <w:tab w:val="clear" w:pos="4082"/>
          <w:tab w:val="left" w:pos="624"/>
        </w:tabs>
        <w:spacing w:after="100"/>
        <w:ind w:left="3742"/>
      </w:pPr>
      <w:r>
        <w:tab/>
        <w:t>M. </w:t>
      </w:r>
      <w:r w:rsidR="005278CE" w:rsidRPr="00383908">
        <w:t xml:space="preserve">Mohammed Khashashneh (Jordanie) </w:t>
      </w:r>
    </w:p>
    <w:p w14:paraId="2CFECE09" w14:textId="77777777" w:rsidR="005278CE" w:rsidRPr="00383908" w:rsidRDefault="005278CE" w:rsidP="00924FE9">
      <w:pPr>
        <w:pStyle w:val="Normalpool"/>
        <w:tabs>
          <w:tab w:val="clear" w:pos="1247"/>
          <w:tab w:val="clear" w:pos="1814"/>
          <w:tab w:val="clear" w:pos="2381"/>
          <w:tab w:val="clear" w:pos="2948"/>
          <w:tab w:val="clear" w:pos="3515"/>
          <w:tab w:val="clear" w:pos="4082"/>
          <w:tab w:val="left" w:pos="624"/>
        </w:tabs>
        <w:spacing w:after="100"/>
        <w:ind w:left="3742"/>
      </w:pPr>
      <w:r w:rsidRPr="00383908">
        <w:tab/>
        <w:t>Mme Svetlana Bolocan (République de Moldova)</w:t>
      </w:r>
    </w:p>
    <w:p w14:paraId="46330032" w14:textId="77777777" w:rsidR="005278CE" w:rsidRPr="00383908" w:rsidRDefault="005278CE" w:rsidP="005278CE">
      <w:pPr>
        <w:pStyle w:val="Normalpool"/>
        <w:tabs>
          <w:tab w:val="clear" w:pos="1247"/>
          <w:tab w:val="clear" w:pos="1814"/>
          <w:tab w:val="clear" w:pos="2381"/>
          <w:tab w:val="clear" w:pos="2948"/>
          <w:tab w:val="clear" w:pos="3515"/>
          <w:tab w:val="clear" w:pos="4082"/>
          <w:tab w:val="left" w:pos="624"/>
        </w:tabs>
        <w:spacing w:after="120"/>
        <w:ind w:left="3742"/>
      </w:pPr>
      <w:r w:rsidRPr="00383908">
        <w:tab/>
        <w:t>Mme Nina Cromnier (Suède)</w:t>
      </w:r>
    </w:p>
    <w:p w14:paraId="2D9B4F3D" w14:textId="21298E69" w:rsidR="005278CE" w:rsidRPr="00383908" w:rsidRDefault="00920FB9" w:rsidP="00970339">
      <w:pPr>
        <w:pStyle w:val="Normalnumber"/>
        <w:numPr>
          <w:ilvl w:val="0"/>
          <w:numId w:val="6"/>
        </w:numPr>
        <w:tabs>
          <w:tab w:val="clear" w:pos="567"/>
          <w:tab w:val="num" w:pos="624"/>
        </w:tabs>
        <w:rPr>
          <w:lang w:val="fr-FR"/>
        </w:rPr>
      </w:pPr>
      <w:r>
        <w:rPr>
          <w:lang w:val="fr-FR"/>
        </w:rPr>
        <w:lastRenderedPageBreak/>
        <w:t>M. </w:t>
      </w:r>
      <w:r w:rsidR="005278CE" w:rsidRPr="00383908">
        <w:rPr>
          <w:lang w:val="fr-FR"/>
        </w:rPr>
        <w:t>Karel Bláha (Tchéquie) a été élu Rapporteur.</w:t>
      </w:r>
    </w:p>
    <w:p w14:paraId="5D1FDB0D" w14:textId="41AB1E83" w:rsidR="00567F81" w:rsidRPr="00383908" w:rsidRDefault="00920FB9" w:rsidP="00970339">
      <w:pPr>
        <w:pStyle w:val="Normalnumber"/>
        <w:numPr>
          <w:ilvl w:val="0"/>
          <w:numId w:val="6"/>
        </w:numPr>
        <w:tabs>
          <w:tab w:val="clear" w:pos="567"/>
          <w:tab w:val="num" w:pos="624"/>
        </w:tabs>
        <w:rPr>
          <w:lang w:val="fr-FR"/>
        </w:rPr>
      </w:pPr>
      <w:r>
        <w:rPr>
          <w:lang w:val="fr-FR"/>
        </w:rPr>
        <w:t>M. </w:t>
      </w:r>
      <w:r w:rsidR="00567F81" w:rsidRPr="00383908">
        <w:rPr>
          <w:lang w:val="fr-FR"/>
        </w:rPr>
        <w:t>Adel Jahankhah n</w:t>
      </w:r>
      <w:r w:rsidR="00087D8C">
        <w:rPr>
          <w:lang w:val="fr-FR"/>
        </w:rPr>
        <w:t>’</w:t>
      </w:r>
      <w:r w:rsidR="00567F81" w:rsidRPr="00383908">
        <w:rPr>
          <w:lang w:val="fr-FR"/>
        </w:rPr>
        <w:t>ayant pu achever son mandat, le Gouver</w:t>
      </w:r>
      <w:r>
        <w:rPr>
          <w:lang w:val="fr-FR"/>
        </w:rPr>
        <w:t xml:space="preserve">nement iranien a proposé que </w:t>
      </w:r>
      <w:r w:rsidR="00D671B9">
        <w:rPr>
          <w:lang w:val="fr-FR"/>
        </w:rPr>
        <w:t>M</w:t>
      </w:r>
      <w:r w:rsidR="00D671B9" w:rsidRPr="00D671B9">
        <w:rPr>
          <w:lang w:val="fr-FR"/>
        </w:rPr>
        <w:t>.</w:t>
      </w:r>
      <w:r w:rsidR="00D671B9">
        <w:rPr>
          <w:lang w:val="fr-FR"/>
        </w:rPr>
        <w:t> </w:t>
      </w:r>
      <w:r w:rsidR="00D671B9" w:rsidRPr="00D671B9">
        <w:rPr>
          <w:lang w:val="fr-FR"/>
        </w:rPr>
        <w:t xml:space="preserve">Mohsen Naziri Asl </w:t>
      </w:r>
      <w:r w:rsidR="00567F81" w:rsidRPr="00383908">
        <w:rPr>
          <w:lang w:val="fr-FR"/>
        </w:rPr>
        <w:t>le remplace jusqu</w:t>
      </w:r>
      <w:r w:rsidR="00087D8C">
        <w:rPr>
          <w:lang w:val="fr-FR"/>
        </w:rPr>
        <w:t>’</w:t>
      </w:r>
      <w:r w:rsidR="00567F81" w:rsidRPr="00383908">
        <w:rPr>
          <w:lang w:val="fr-FR"/>
        </w:rPr>
        <w:t>à la fin du mandat en question.</w:t>
      </w:r>
    </w:p>
    <w:p w14:paraId="3A3B9F2B" w14:textId="331CA970" w:rsidR="005278CE" w:rsidRPr="00383908" w:rsidRDefault="005278CE" w:rsidP="00970339">
      <w:pPr>
        <w:pStyle w:val="Normalnumber"/>
        <w:numPr>
          <w:ilvl w:val="0"/>
          <w:numId w:val="6"/>
        </w:numPr>
        <w:tabs>
          <w:tab w:val="clear" w:pos="567"/>
          <w:tab w:val="num" w:pos="624"/>
        </w:tabs>
        <w:rPr>
          <w:lang w:val="fr-FR"/>
        </w:rPr>
      </w:pPr>
      <w:r w:rsidRPr="00383908">
        <w:rPr>
          <w:lang w:val="fr-FR"/>
        </w:rPr>
        <w:t>La Conférence des Parties a décidé que pour ses réunions ultérieures, les régions assumeraient la présidence à tour de rôle, dans l</w:t>
      </w:r>
      <w:r w:rsidR="00087D8C">
        <w:rPr>
          <w:lang w:val="fr-FR"/>
        </w:rPr>
        <w:t>’</w:t>
      </w:r>
      <w:r w:rsidRPr="00383908">
        <w:rPr>
          <w:lang w:val="fr-FR"/>
        </w:rPr>
        <w:t>ordre alphabétique anglais.</w:t>
      </w:r>
    </w:p>
    <w:p w14:paraId="1C55FD74" w14:textId="682DA300" w:rsidR="005278CE" w:rsidRPr="00383908" w:rsidRDefault="00920FB9" w:rsidP="00970339">
      <w:pPr>
        <w:pStyle w:val="Normalnumber"/>
        <w:numPr>
          <w:ilvl w:val="0"/>
          <w:numId w:val="6"/>
        </w:numPr>
        <w:tabs>
          <w:tab w:val="clear" w:pos="567"/>
          <w:tab w:val="num" w:pos="624"/>
        </w:tabs>
        <w:rPr>
          <w:lang w:val="fr-FR"/>
        </w:rPr>
      </w:pPr>
      <w:r>
        <w:rPr>
          <w:lang w:val="fr-FR"/>
        </w:rPr>
        <w:t>À sa troisième </w:t>
      </w:r>
      <w:r w:rsidR="005278CE" w:rsidRPr="00383908">
        <w:rPr>
          <w:lang w:val="fr-FR"/>
        </w:rPr>
        <w:t xml:space="preserve">réunion, la Conférence des Parties sera appelée, </w:t>
      </w:r>
      <w:r w:rsidR="00171378">
        <w:rPr>
          <w:lang w:val="fr-FR"/>
        </w:rPr>
        <w:t>ainsi que le prévoit le</w:t>
      </w:r>
      <w:r w:rsidR="005278CE" w:rsidRPr="00383908">
        <w:rPr>
          <w:lang w:val="fr-FR"/>
        </w:rPr>
        <w:t xml:space="preserve"> Règlement intérieur, à élire un président et neuf vice</w:t>
      </w:r>
      <w:r w:rsidR="00436AB4">
        <w:rPr>
          <w:lang w:val="fr-FR"/>
        </w:rPr>
        <w:noBreakHyphen/>
      </w:r>
      <w:r w:rsidR="005278CE" w:rsidRPr="00383908">
        <w:rPr>
          <w:lang w:val="fr-FR"/>
        </w:rPr>
        <w:t>présidents, dont l</w:t>
      </w:r>
      <w:r w:rsidR="00087D8C">
        <w:rPr>
          <w:lang w:val="fr-FR"/>
        </w:rPr>
        <w:t>’</w:t>
      </w:r>
      <w:r w:rsidR="005278CE" w:rsidRPr="00383908">
        <w:rPr>
          <w:lang w:val="fr-FR"/>
        </w:rPr>
        <w:t xml:space="preserve">un fera office de rapporteur, parmi les représentants des Parties présentes à la réunion, lesquels siègeront de la clôture de </w:t>
      </w:r>
      <w:r w:rsidR="007E660C">
        <w:rPr>
          <w:lang w:val="fr-FR"/>
        </w:rPr>
        <w:t>s</w:t>
      </w:r>
      <w:r w:rsidR="005278CE" w:rsidRPr="00383908">
        <w:rPr>
          <w:lang w:val="fr-FR"/>
        </w:rPr>
        <w:t>a troisième réunion jusqu</w:t>
      </w:r>
      <w:r w:rsidR="00087D8C">
        <w:rPr>
          <w:lang w:val="fr-FR"/>
        </w:rPr>
        <w:t>’</w:t>
      </w:r>
      <w:r w:rsidR="005278CE" w:rsidRPr="00383908">
        <w:rPr>
          <w:lang w:val="fr-FR"/>
        </w:rPr>
        <w:t xml:space="preserve">à la clôture de </w:t>
      </w:r>
      <w:r w:rsidR="007E660C">
        <w:rPr>
          <w:lang w:val="fr-FR"/>
        </w:rPr>
        <w:t>s</w:t>
      </w:r>
      <w:r w:rsidR="005278CE" w:rsidRPr="00383908">
        <w:rPr>
          <w:lang w:val="fr-FR"/>
        </w:rPr>
        <w:t>a quatrième réunion, y compris pendant l</w:t>
      </w:r>
      <w:r w:rsidR="00087D8C">
        <w:rPr>
          <w:lang w:val="fr-FR"/>
        </w:rPr>
        <w:t>’</w:t>
      </w:r>
      <w:r w:rsidR="005278CE" w:rsidRPr="00383908">
        <w:rPr>
          <w:lang w:val="fr-FR"/>
        </w:rPr>
        <w:t>intersession.</w:t>
      </w:r>
    </w:p>
    <w:p w14:paraId="29E913E6" w14:textId="77F2C920" w:rsidR="005278CE" w:rsidRPr="00383908" w:rsidRDefault="00B54A19" w:rsidP="005278CE">
      <w:pPr>
        <w:pStyle w:val="CH3"/>
        <w:spacing w:before="240"/>
        <w:rPr>
          <w:lang w:val="fr-FR"/>
        </w:rPr>
      </w:pPr>
      <w:r w:rsidRPr="00383908">
        <w:rPr>
          <w:lang w:val="fr-FR"/>
        </w:rPr>
        <w:tab/>
      </w:r>
      <w:r w:rsidR="005278CE" w:rsidRPr="00383908">
        <w:rPr>
          <w:lang w:val="fr-FR"/>
        </w:rPr>
        <w:t>b)</w:t>
      </w:r>
      <w:r w:rsidRPr="00383908">
        <w:rPr>
          <w:lang w:val="fr-FR"/>
        </w:rPr>
        <w:tab/>
      </w:r>
      <w:r w:rsidR="005278CE" w:rsidRPr="00383908">
        <w:rPr>
          <w:bCs/>
          <w:lang w:val="fr-FR"/>
        </w:rPr>
        <w:t>Adoption de l</w:t>
      </w:r>
      <w:r w:rsidR="00087D8C">
        <w:rPr>
          <w:bCs/>
          <w:lang w:val="fr-FR"/>
        </w:rPr>
        <w:t>’</w:t>
      </w:r>
      <w:r w:rsidR="005278CE" w:rsidRPr="00383908">
        <w:rPr>
          <w:bCs/>
          <w:lang w:val="fr-FR"/>
        </w:rPr>
        <w:t>ordre du jour</w:t>
      </w:r>
    </w:p>
    <w:p w14:paraId="6DAD2057" w14:textId="74466F50" w:rsidR="005278CE" w:rsidRPr="00383908" w:rsidRDefault="005278CE" w:rsidP="00970339">
      <w:pPr>
        <w:pStyle w:val="Normalnumber"/>
        <w:numPr>
          <w:ilvl w:val="0"/>
          <w:numId w:val="6"/>
        </w:numPr>
        <w:tabs>
          <w:tab w:val="clear" w:pos="567"/>
          <w:tab w:val="num" w:pos="624"/>
        </w:tabs>
        <w:rPr>
          <w:lang w:val="fr-FR"/>
        </w:rPr>
      </w:pPr>
      <w:r w:rsidRPr="00383908">
        <w:rPr>
          <w:lang w:val="fr-FR"/>
        </w:rPr>
        <w:t>La Conférence des Parties souhaitera peut</w:t>
      </w:r>
      <w:r w:rsidR="00436AB4">
        <w:rPr>
          <w:lang w:val="fr-FR"/>
        </w:rPr>
        <w:noBreakHyphen/>
      </w:r>
      <w:r w:rsidRPr="00383908">
        <w:rPr>
          <w:lang w:val="fr-FR"/>
        </w:rPr>
        <w:t>être adopter son ordre du jour sur la base de l</w:t>
      </w:r>
      <w:r w:rsidR="00087D8C">
        <w:rPr>
          <w:lang w:val="fr-FR"/>
        </w:rPr>
        <w:t>’</w:t>
      </w:r>
      <w:r w:rsidRPr="00383908">
        <w:rPr>
          <w:lang w:val="fr-FR"/>
        </w:rPr>
        <w:t>ordre du jour provisoire figurant dans le document UNEP/MC/COP.3/1.</w:t>
      </w:r>
    </w:p>
    <w:p w14:paraId="25BE95E1" w14:textId="09DB1491" w:rsidR="005278CE" w:rsidRPr="00383908" w:rsidRDefault="00B54A19" w:rsidP="005278CE">
      <w:pPr>
        <w:pStyle w:val="CH3"/>
        <w:spacing w:before="240"/>
        <w:rPr>
          <w:b w:val="0"/>
          <w:lang w:val="fr-FR"/>
        </w:rPr>
      </w:pPr>
      <w:r w:rsidRPr="00383908">
        <w:rPr>
          <w:lang w:val="fr-FR"/>
        </w:rPr>
        <w:tab/>
      </w:r>
      <w:r w:rsidR="005278CE" w:rsidRPr="00383908">
        <w:rPr>
          <w:lang w:val="fr-FR"/>
        </w:rPr>
        <w:t>c)</w:t>
      </w:r>
      <w:r w:rsidR="005278CE" w:rsidRPr="00383908">
        <w:rPr>
          <w:lang w:val="fr-FR"/>
        </w:rPr>
        <w:tab/>
      </w:r>
      <w:r w:rsidR="005278CE" w:rsidRPr="00383908">
        <w:rPr>
          <w:bCs/>
          <w:lang w:val="fr-FR"/>
        </w:rPr>
        <w:t>Organisation des travaux</w:t>
      </w:r>
    </w:p>
    <w:p w14:paraId="1B889E59" w14:textId="44D3B435" w:rsidR="005278CE" w:rsidRPr="00383908" w:rsidRDefault="005278CE" w:rsidP="00970339">
      <w:pPr>
        <w:pStyle w:val="Normalnumber"/>
        <w:numPr>
          <w:ilvl w:val="0"/>
          <w:numId w:val="6"/>
        </w:numPr>
        <w:tabs>
          <w:tab w:val="clear" w:pos="567"/>
          <w:tab w:val="num" w:pos="624"/>
        </w:tabs>
        <w:rPr>
          <w:lang w:val="fr-FR"/>
        </w:rPr>
      </w:pPr>
      <w:r w:rsidRPr="00383908">
        <w:rPr>
          <w:lang w:val="fr-FR"/>
        </w:rPr>
        <w:t>La Conférence des Parties est saisie d</w:t>
      </w:r>
      <w:r w:rsidR="00087D8C">
        <w:rPr>
          <w:lang w:val="fr-FR"/>
        </w:rPr>
        <w:t>’</w:t>
      </w:r>
      <w:r w:rsidRPr="00383908">
        <w:rPr>
          <w:lang w:val="fr-FR"/>
        </w:rPr>
        <w:t>une note relative au déroulement de la réunion, qui a été établie par le Président (UNEP/MC/COP.3/2).</w:t>
      </w:r>
    </w:p>
    <w:p w14:paraId="632F8C5B" w14:textId="5E4C568F" w:rsidR="005278CE" w:rsidRPr="00383908" w:rsidRDefault="005278CE" w:rsidP="00970339">
      <w:pPr>
        <w:pStyle w:val="Normalnumber"/>
        <w:numPr>
          <w:ilvl w:val="0"/>
          <w:numId w:val="6"/>
        </w:numPr>
        <w:tabs>
          <w:tab w:val="clear" w:pos="567"/>
          <w:tab w:val="num" w:pos="624"/>
        </w:tabs>
        <w:rPr>
          <w:lang w:val="fr-FR"/>
        </w:rPr>
      </w:pPr>
      <w:r w:rsidRPr="00383908">
        <w:rPr>
          <w:lang w:val="fr-FR"/>
        </w:rPr>
        <w:t>La Conférence des Parties devrait se réunir tous les jours du l</w:t>
      </w:r>
      <w:r w:rsidR="00B54A19" w:rsidRPr="00383908">
        <w:rPr>
          <w:lang w:val="fr-FR"/>
        </w:rPr>
        <w:t>undi 25 novembre au vendredi 29 </w:t>
      </w:r>
      <w:r w:rsidR="00B51A5B">
        <w:rPr>
          <w:lang w:val="fr-FR"/>
        </w:rPr>
        <w:t>novembre de </w:t>
      </w:r>
      <w:r w:rsidRPr="00383908">
        <w:rPr>
          <w:lang w:val="fr-FR"/>
        </w:rPr>
        <w:t>10 à 13</w:t>
      </w:r>
      <w:r w:rsidR="00B51A5B">
        <w:rPr>
          <w:lang w:val="fr-FR"/>
        </w:rPr>
        <w:t> heures et de </w:t>
      </w:r>
      <w:r w:rsidR="00B54A19" w:rsidRPr="00383908">
        <w:rPr>
          <w:lang w:val="fr-FR"/>
        </w:rPr>
        <w:t>15 à 18 </w:t>
      </w:r>
      <w:r w:rsidRPr="00383908">
        <w:rPr>
          <w:lang w:val="fr-FR"/>
        </w:rPr>
        <w:t>heures, sous réserve des ajustements nécess</w:t>
      </w:r>
      <w:r w:rsidR="00B54A19" w:rsidRPr="00383908">
        <w:rPr>
          <w:lang w:val="fr-FR"/>
        </w:rPr>
        <w:t>aires.</w:t>
      </w:r>
    </w:p>
    <w:p w14:paraId="32285899" w14:textId="2869AE13" w:rsidR="005278CE" w:rsidRPr="00383908" w:rsidRDefault="005278CE" w:rsidP="00970339">
      <w:pPr>
        <w:pStyle w:val="Normalnumber"/>
        <w:numPr>
          <w:ilvl w:val="0"/>
          <w:numId w:val="6"/>
        </w:numPr>
        <w:tabs>
          <w:tab w:val="clear" w:pos="567"/>
          <w:tab w:val="num" w:pos="624"/>
        </w:tabs>
        <w:rPr>
          <w:lang w:val="fr-FR"/>
        </w:rPr>
      </w:pPr>
      <w:r w:rsidRPr="00383908">
        <w:rPr>
          <w:lang w:val="fr-FR"/>
        </w:rPr>
        <w:t>La Conférence des Parties souhaitera peut</w:t>
      </w:r>
      <w:r w:rsidR="00436AB4">
        <w:rPr>
          <w:lang w:val="fr-FR"/>
        </w:rPr>
        <w:noBreakHyphen/>
      </w:r>
      <w:r w:rsidRPr="00383908">
        <w:rPr>
          <w:lang w:val="fr-FR"/>
        </w:rPr>
        <w:t>être, selon les besoins, constituer des groupes restreints et d</w:t>
      </w:r>
      <w:r w:rsidR="00087D8C">
        <w:rPr>
          <w:lang w:val="fr-FR"/>
        </w:rPr>
        <w:t>’</w:t>
      </w:r>
      <w:r w:rsidRPr="00383908">
        <w:rPr>
          <w:lang w:val="fr-FR"/>
        </w:rPr>
        <w:t>autres groupes de travail de session et en préciser le mandat.</w:t>
      </w:r>
    </w:p>
    <w:p w14:paraId="50DBC1BE" w14:textId="5953C2AF" w:rsidR="005278CE" w:rsidRPr="00383908" w:rsidRDefault="005278CE" w:rsidP="005278CE">
      <w:pPr>
        <w:pStyle w:val="CH2"/>
        <w:tabs>
          <w:tab w:val="clear" w:pos="851"/>
          <w:tab w:val="clear" w:pos="1247"/>
          <w:tab w:val="left" w:pos="567"/>
        </w:tabs>
        <w:spacing w:before="240"/>
        <w:ind w:left="0" w:firstLine="0"/>
        <w:rPr>
          <w:lang w:val="fr-FR"/>
        </w:rPr>
      </w:pPr>
      <w:r w:rsidRPr="00383908">
        <w:rPr>
          <w:lang w:val="fr-FR"/>
        </w:rPr>
        <w:tab/>
      </w:r>
      <w:r w:rsidR="00B54A19" w:rsidRPr="00383908">
        <w:rPr>
          <w:bCs/>
          <w:lang w:val="fr-FR"/>
        </w:rPr>
        <w:t>Point</w:t>
      </w:r>
      <w:r w:rsidR="00920FB9">
        <w:rPr>
          <w:bCs/>
          <w:lang w:val="fr-FR"/>
        </w:rPr>
        <w:t> </w:t>
      </w:r>
      <w:r w:rsidRPr="00383908">
        <w:rPr>
          <w:bCs/>
          <w:lang w:val="fr-FR"/>
        </w:rPr>
        <w:t>3</w:t>
      </w:r>
    </w:p>
    <w:p w14:paraId="19A47FE6" w14:textId="7E5CF04D" w:rsidR="005278CE" w:rsidRPr="00383908" w:rsidRDefault="005278CE" w:rsidP="005278CE">
      <w:pPr>
        <w:pStyle w:val="CH2"/>
        <w:keepNext w:val="0"/>
        <w:keepLines w:val="0"/>
        <w:ind w:left="624" w:firstLine="0"/>
        <w:rPr>
          <w:lang w:val="fr-FR"/>
        </w:rPr>
      </w:pPr>
      <w:r w:rsidRPr="00383908">
        <w:rPr>
          <w:lang w:val="fr-FR"/>
        </w:rPr>
        <w:tab/>
      </w:r>
      <w:r w:rsidRPr="00383908">
        <w:rPr>
          <w:bCs/>
          <w:lang w:val="fr-FR"/>
        </w:rPr>
        <w:t>Règlement intérie</w:t>
      </w:r>
      <w:r w:rsidR="00920FB9">
        <w:rPr>
          <w:bCs/>
          <w:lang w:val="fr-FR"/>
        </w:rPr>
        <w:t>ur de la Conférence des Parties </w:t>
      </w:r>
      <w:r w:rsidRPr="00383908">
        <w:rPr>
          <w:bCs/>
          <w:lang w:val="fr-FR"/>
        </w:rPr>
        <w:t>: examen de l</w:t>
      </w:r>
      <w:r w:rsidR="00087D8C">
        <w:rPr>
          <w:bCs/>
          <w:lang w:val="fr-FR"/>
        </w:rPr>
        <w:t>’</w:t>
      </w:r>
      <w:r w:rsidRPr="00383908">
        <w:rPr>
          <w:bCs/>
          <w:lang w:val="fr-FR"/>
        </w:rPr>
        <w:t>article 45</w:t>
      </w:r>
    </w:p>
    <w:p w14:paraId="56CB6748" w14:textId="6035C1FE" w:rsidR="005278CE" w:rsidRPr="00383908" w:rsidRDefault="005278CE" w:rsidP="00970339">
      <w:pPr>
        <w:pStyle w:val="Normalnumber"/>
        <w:numPr>
          <w:ilvl w:val="0"/>
          <w:numId w:val="6"/>
        </w:numPr>
        <w:tabs>
          <w:tab w:val="clear" w:pos="567"/>
          <w:tab w:val="num" w:pos="624"/>
        </w:tabs>
        <w:rPr>
          <w:lang w:val="fr-FR"/>
        </w:rPr>
      </w:pPr>
      <w:r w:rsidRPr="00383908">
        <w:rPr>
          <w:lang w:val="fr-FR"/>
        </w:rPr>
        <w:t>À sa première réunion, la Conférence des Parties a ad</w:t>
      </w:r>
      <w:r w:rsidR="00920FB9">
        <w:rPr>
          <w:lang w:val="fr-FR"/>
        </w:rPr>
        <w:t>opté son Règlement intérieur, à </w:t>
      </w:r>
      <w:r w:rsidRPr="00383908">
        <w:rPr>
          <w:lang w:val="fr-FR"/>
        </w:rPr>
        <w:t>l</w:t>
      </w:r>
      <w:r w:rsidR="00087D8C">
        <w:rPr>
          <w:lang w:val="fr-FR"/>
        </w:rPr>
        <w:t>’</w:t>
      </w:r>
      <w:r w:rsidRPr="00383908">
        <w:rPr>
          <w:lang w:val="fr-FR"/>
        </w:rPr>
        <w:t>exception de l</w:t>
      </w:r>
      <w:r w:rsidR="00920FB9">
        <w:rPr>
          <w:lang w:val="fr-FR"/>
        </w:rPr>
        <w:t>a deuxième phrase du paragraphe </w:t>
      </w:r>
      <w:r w:rsidRPr="00383908">
        <w:rPr>
          <w:lang w:val="fr-FR"/>
        </w:rPr>
        <w:t>1 d</w:t>
      </w:r>
      <w:r w:rsidR="00B54A19" w:rsidRPr="00383908">
        <w:rPr>
          <w:lang w:val="fr-FR"/>
        </w:rPr>
        <w:t>e l</w:t>
      </w:r>
      <w:r w:rsidR="00087D8C">
        <w:rPr>
          <w:lang w:val="fr-FR"/>
        </w:rPr>
        <w:t>’</w:t>
      </w:r>
      <w:r w:rsidR="00920FB9">
        <w:rPr>
          <w:lang w:val="fr-FR"/>
        </w:rPr>
        <w:t>article </w:t>
      </w:r>
      <w:r w:rsidR="00B54A19" w:rsidRPr="00383908">
        <w:rPr>
          <w:lang w:val="fr-FR"/>
        </w:rPr>
        <w:t>45 et du paragraphe </w:t>
      </w:r>
      <w:r w:rsidRPr="00383908">
        <w:rPr>
          <w:lang w:val="fr-FR"/>
        </w:rPr>
        <w:t>3 dudit article, qui o</w:t>
      </w:r>
      <w:r w:rsidR="00B54A19" w:rsidRPr="00383908">
        <w:rPr>
          <w:lang w:val="fr-FR"/>
        </w:rPr>
        <w:t>nt été laissés entre crochets. À</w:t>
      </w:r>
      <w:r w:rsidRPr="00383908">
        <w:rPr>
          <w:lang w:val="fr-FR"/>
        </w:rPr>
        <w:t xml:space="preserve"> sa deuxièm</w:t>
      </w:r>
      <w:r w:rsidR="00920FB9">
        <w:rPr>
          <w:lang w:val="fr-FR"/>
        </w:rPr>
        <w:t>e </w:t>
      </w:r>
      <w:r w:rsidRPr="00383908">
        <w:rPr>
          <w:lang w:val="fr-FR"/>
        </w:rPr>
        <w:t xml:space="preserve">réunion, </w:t>
      </w:r>
      <w:r w:rsidR="007E660C">
        <w:rPr>
          <w:lang w:val="fr-FR"/>
        </w:rPr>
        <w:t>elle</w:t>
      </w:r>
      <w:r w:rsidRPr="00383908">
        <w:rPr>
          <w:lang w:val="fr-FR"/>
        </w:rPr>
        <w:t xml:space="preserve"> a convenu de reporter à sa troisième réunion l</w:t>
      </w:r>
      <w:r w:rsidR="00087D8C">
        <w:rPr>
          <w:lang w:val="fr-FR"/>
        </w:rPr>
        <w:t>’</w:t>
      </w:r>
      <w:r w:rsidRPr="00383908">
        <w:rPr>
          <w:lang w:val="fr-FR"/>
        </w:rPr>
        <w:t>examen des parties du texte de l</w:t>
      </w:r>
      <w:r w:rsidR="00087D8C">
        <w:rPr>
          <w:lang w:val="fr-FR"/>
        </w:rPr>
        <w:t>’</w:t>
      </w:r>
      <w:r w:rsidR="00920FB9">
        <w:rPr>
          <w:lang w:val="fr-FR"/>
        </w:rPr>
        <w:t>article </w:t>
      </w:r>
      <w:r w:rsidRPr="00383908">
        <w:rPr>
          <w:lang w:val="fr-FR"/>
        </w:rPr>
        <w:t>45 se trouvant entre crochets. La Conférence des Parties souhaitera peut</w:t>
      </w:r>
      <w:r w:rsidR="00436AB4">
        <w:rPr>
          <w:lang w:val="fr-FR"/>
        </w:rPr>
        <w:noBreakHyphen/>
      </w:r>
      <w:r w:rsidRPr="00383908">
        <w:rPr>
          <w:lang w:val="fr-FR"/>
        </w:rPr>
        <w:t>être examiner et adopter lesdits paragraphes, qui figurent dans l</w:t>
      </w:r>
      <w:r w:rsidR="00087D8C">
        <w:rPr>
          <w:lang w:val="fr-FR"/>
        </w:rPr>
        <w:t>’</w:t>
      </w:r>
      <w:r w:rsidRPr="00383908">
        <w:rPr>
          <w:lang w:val="fr-FR"/>
        </w:rPr>
        <w:t>anne</w:t>
      </w:r>
      <w:r w:rsidR="00B54A19" w:rsidRPr="00383908">
        <w:rPr>
          <w:lang w:val="fr-FR"/>
        </w:rPr>
        <w:t>xe du document UNEP/MC/COP.3/3.</w:t>
      </w:r>
    </w:p>
    <w:p w14:paraId="54460EFF" w14:textId="48B78199" w:rsidR="005278CE" w:rsidRPr="00383908" w:rsidRDefault="00920FB9" w:rsidP="005278CE">
      <w:pPr>
        <w:pStyle w:val="CH2"/>
        <w:keepNext w:val="0"/>
        <w:keepLines w:val="0"/>
        <w:spacing w:before="240"/>
        <w:ind w:left="624" w:firstLine="0"/>
        <w:rPr>
          <w:lang w:val="fr-FR"/>
        </w:rPr>
      </w:pPr>
      <w:r>
        <w:rPr>
          <w:bCs/>
          <w:lang w:val="fr-FR"/>
        </w:rPr>
        <w:t>Point </w:t>
      </w:r>
      <w:r w:rsidR="005278CE" w:rsidRPr="00383908">
        <w:rPr>
          <w:bCs/>
          <w:lang w:val="fr-FR"/>
        </w:rPr>
        <w:t>4</w:t>
      </w:r>
    </w:p>
    <w:p w14:paraId="1EBA1E50" w14:textId="77777777" w:rsidR="005278CE" w:rsidRPr="00383908" w:rsidRDefault="005278CE" w:rsidP="005278CE">
      <w:pPr>
        <w:pStyle w:val="CH2"/>
        <w:keepNext w:val="0"/>
        <w:keepLines w:val="0"/>
        <w:ind w:left="624" w:firstLine="0"/>
        <w:rPr>
          <w:b w:val="0"/>
          <w:lang w:val="fr-FR"/>
        </w:rPr>
      </w:pPr>
      <w:r w:rsidRPr="00383908">
        <w:rPr>
          <w:lang w:val="fr-FR"/>
        </w:rPr>
        <w:tab/>
      </w:r>
      <w:r w:rsidRPr="00383908">
        <w:rPr>
          <w:bCs/>
          <w:lang w:val="fr-FR"/>
        </w:rPr>
        <w:t>Rapport sur la vérification des pouvoirs des représentants à la troisième réunion de la Conférence des Parties</w:t>
      </w:r>
    </w:p>
    <w:p w14:paraId="65299616" w14:textId="51B4ECBB" w:rsidR="005278CE" w:rsidRPr="00383908" w:rsidRDefault="005278CE" w:rsidP="00970339">
      <w:pPr>
        <w:pStyle w:val="Normalnumber"/>
        <w:numPr>
          <w:ilvl w:val="0"/>
          <w:numId w:val="6"/>
        </w:numPr>
        <w:tabs>
          <w:tab w:val="clear" w:pos="567"/>
          <w:tab w:val="num" w:pos="624"/>
        </w:tabs>
        <w:rPr>
          <w:lang w:val="fr-FR"/>
        </w:rPr>
      </w:pPr>
      <w:r w:rsidRPr="00383908">
        <w:rPr>
          <w:lang w:val="fr-FR"/>
        </w:rPr>
        <w:t>La Conférence des Parties est saisie d</w:t>
      </w:r>
      <w:r w:rsidR="00087D8C">
        <w:rPr>
          <w:lang w:val="fr-FR"/>
        </w:rPr>
        <w:t>’</w:t>
      </w:r>
      <w:r w:rsidRPr="00383908">
        <w:rPr>
          <w:lang w:val="fr-FR"/>
        </w:rPr>
        <w:t>une note établie par le secrétariat sur l</w:t>
      </w:r>
      <w:r w:rsidR="00087D8C">
        <w:rPr>
          <w:lang w:val="fr-FR"/>
        </w:rPr>
        <w:t>’</w:t>
      </w:r>
      <w:r w:rsidRPr="00383908">
        <w:rPr>
          <w:lang w:val="fr-FR"/>
        </w:rPr>
        <w:t>état des ratifications de la Con</w:t>
      </w:r>
      <w:r w:rsidR="00920FB9">
        <w:rPr>
          <w:lang w:val="fr-FR"/>
        </w:rPr>
        <w:t>vention de Minamata au 23 </w:t>
      </w:r>
      <w:r w:rsidRPr="00383908">
        <w:rPr>
          <w:lang w:val="fr-FR"/>
        </w:rPr>
        <w:t>septembre 2019 (UNEP/MC/COP.3/INF/21).</w:t>
      </w:r>
      <w:bookmarkStart w:id="2" w:name="_Hlk21456598"/>
      <w:bookmarkStart w:id="3" w:name="_Hlk20979873"/>
      <w:bookmarkEnd w:id="2"/>
      <w:bookmarkEnd w:id="3"/>
    </w:p>
    <w:p w14:paraId="076FBE96" w14:textId="73826281" w:rsidR="005278CE" w:rsidRPr="00383908" w:rsidRDefault="005278CE" w:rsidP="00970339">
      <w:pPr>
        <w:pStyle w:val="Normalnumber"/>
        <w:numPr>
          <w:ilvl w:val="0"/>
          <w:numId w:val="6"/>
        </w:numPr>
        <w:tabs>
          <w:tab w:val="clear" w:pos="567"/>
          <w:tab w:val="num" w:pos="624"/>
        </w:tabs>
        <w:rPr>
          <w:lang w:val="fr-FR"/>
        </w:rPr>
      </w:pPr>
      <w:r w:rsidRPr="00383908">
        <w:rPr>
          <w:lang w:val="fr-FR"/>
        </w:rPr>
        <w:t>Conformément à l</w:t>
      </w:r>
      <w:r w:rsidR="00087D8C">
        <w:rPr>
          <w:lang w:val="fr-FR"/>
        </w:rPr>
        <w:t>’</w:t>
      </w:r>
      <w:r w:rsidR="00920FB9">
        <w:rPr>
          <w:lang w:val="fr-FR"/>
        </w:rPr>
        <w:t>article </w:t>
      </w:r>
      <w:r w:rsidRPr="00383908">
        <w:rPr>
          <w:lang w:val="fr-FR"/>
        </w:rPr>
        <w:t>20 du Règlement intérieur, le Bureau examinera les pouvoirs des représentants et fera rapport à ce sujet à la Conférence des</w:t>
      </w:r>
      <w:r w:rsidR="00B54A19" w:rsidRPr="00383908">
        <w:rPr>
          <w:lang w:val="fr-FR"/>
        </w:rPr>
        <w:t xml:space="preserve"> Parties. En vertu de l</w:t>
      </w:r>
      <w:r w:rsidR="00087D8C">
        <w:rPr>
          <w:lang w:val="fr-FR"/>
        </w:rPr>
        <w:t>’</w:t>
      </w:r>
      <w:r w:rsidR="00B54A19" w:rsidRPr="00383908">
        <w:rPr>
          <w:lang w:val="fr-FR"/>
        </w:rPr>
        <w:t>article </w:t>
      </w:r>
      <w:r w:rsidR="00920FB9">
        <w:rPr>
          <w:lang w:val="fr-FR"/>
        </w:rPr>
        <w:t>21, les </w:t>
      </w:r>
      <w:r w:rsidRPr="00383908">
        <w:rPr>
          <w:lang w:val="fr-FR"/>
        </w:rPr>
        <w:t>représentants ont le droit de participer provisoirement à la réunion en attendant que la Conférence des Parties statue sur leurs pouvoirs.</w:t>
      </w:r>
    </w:p>
    <w:p w14:paraId="64EF25E1" w14:textId="123441BF" w:rsidR="005278CE" w:rsidRPr="00383908" w:rsidRDefault="00920FB9" w:rsidP="005278CE">
      <w:pPr>
        <w:pStyle w:val="CH2"/>
        <w:keepNext w:val="0"/>
        <w:keepLines w:val="0"/>
        <w:spacing w:before="240"/>
        <w:ind w:left="624" w:firstLine="0"/>
        <w:rPr>
          <w:lang w:val="fr-FR"/>
        </w:rPr>
      </w:pPr>
      <w:r>
        <w:rPr>
          <w:bCs/>
          <w:lang w:val="fr-FR"/>
        </w:rPr>
        <w:t>Point </w:t>
      </w:r>
      <w:r w:rsidR="005278CE" w:rsidRPr="00383908">
        <w:rPr>
          <w:bCs/>
          <w:lang w:val="fr-FR"/>
        </w:rPr>
        <w:t>5</w:t>
      </w:r>
    </w:p>
    <w:p w14:paraId="458D1B14" w14:textId="0F284606" w:rsidR="005278CE" w:rsidRPr="00383908" w:rsidRDefault="005278CE" w:rsidP="005278CE">
      <w:pPr>
        <w:pStyle w:val="CH2"/>
        <w:keepNext w:val="0"/>
        <w:keepLines w:val="0"/>
        <w:ind w:left="624" w:firstLine="0"/>
        <w:rPr>
          <w:b w:val="0"/>
          <w:lang w:val="fr-FR"/>
        </w:rPr>
      </w:pPr>
      <w:r w:rsidRPr="00383908">
        <w:rPr>
          <w:bCs/>
          <w:lang w:val="fr-FR"/>
        </w:rPr>
        <w:t>Questions soumises à la Conférence des Parties pour examen ou décision</w:t>
      </w:r>
    </w:p>
    <w:p w14:paraId="5154AF26" w14:textId="605E2522" w:rsidR="005278CE" w:rsidRPr="00383908" w:rsidRDefault="005278CE" w:rsidP="00970339">
      <w:pPr>
        <w:pStyle w:val="Normalnumber"/>
        <w:numPr>
          <w:ilvl w:val="0"/>
          <w:numId w:val="6"/>
        </w:numPr>
        <w:tabs>
          <w:tab w:val="clear" w:pos="567"/>
          <w:tab w:val="num" w:pos="624"/>
        </w:tabs>
        <w:rPr>
          <w:lang w:val="fr-FR"/>
        </w:rPr>
      </w:pPr>
      <w:r w:rsidRPr="00383908">
        <w:rPr>
          <w:lang w:val="fr-FR"/>
        </w:rPr>
        <w:t>La Conférence des Parties a été chargée d</w:t>
      </w:r>
      <w:r w:rsidR="00087D8C">
        <w:rPr>
          <w:lang w:val="fr-FR"/>
        </w:rPr>
        <w:t>’</w:t>
      </w:r>
      <w:r w:rsidRPr="00383908">
        <w:rPr>
          <w:lang w:val="fr-FR"/>
        </w:rPr>
        <w:t>examiner un certain nombre de questions à sa troisième réunion, inspirées du texte de la Convention ou des décisions adoptées à sa première réunion (UNE</w:t>
      </w:r>
      <w:r w:rsidR="00C07D8B">
        <w:rPr>
          <w:lang w:val="fr-FR"/>
        </w:rPr>
        <w:t>P/MC/COP.1/29) et à sa deuxième </w:t>
      </w:r>
      <w:r w:rsidRPr="00383908">
        <w:rPr>
          <w:lang w:val="fr-FR"/>
        </w:rPr>
        <w:t>réunion (UNEP/MC/COP.2/19), comme indiqué ci</w:t>
      </w:r>
      <w:r w:rsidR="00436AB4">
        <w:rPr>
          <w:lang w:val="fr-FR"/>
        </w:rPr>
        <w:noBreakHyphen/>
      </w:r>
      <w:r w:rsidR="00C07D8B">
        <w:rPr>
          <w:lang w:val="fr-FR"/>
        </w:rPr>
        <w:t>après. Les </w:t>
      </w:r>
      <w:r w:rsidRPr="00383908">
        <w:rPr>
          <w:lang w:val="fr-FR"/>
        </w:rPr>
        <w:t>sous</w:t>
      </w:r>
      <w:r w:rsidR="00436AB4">
        <w:rPr>
          <w:lang w:val="fr-FR"/>
        </w:rPr>
        <w:noBreakHyphen/>
      </w:r>
      <w:r w:rsidRPr="00383908">
        <w:rPr>
          <w:lang w:val="fr-FR"/>
        </w:rPr>
        <w:t>points sont énumérés dans l</w:t>
      </w:r>
      <w:r w:rsidR="00087D8C">
        <w:rPr>
          <w:lang w:val="fr-FR"/>
        </w:rPr>
        <w:t>’</w:t>
      </w:r>
      <w:r w:rsidRPr="00383908">
        <w:rPr>
          <w:lang w:val="fr-FR"/>
        </w:rPr>
        <w:t>ordre utilisé dans l</w:t>
      </w:r>
      <w:r w:rsidR="00087D8C">
        <w:rPr>
          <w:lang w:val="fr-FR"/>
        </w:rPr>
        <w:t>’</w:t>
      </w:r>
      <w:r w:rsidRPr="00383908">
        <w:rPr>
          <w:lang w:val="fr-FR"/>
        </w:rPr>
        <w:t>ordre du jour provisoire, qui suit lui</w:t>
      </w:r>
      <w:r w:rsidR="00436AB4">
        <w:rPr>
          <w:lang w:val="fr-FR"/>
        </w:rPr>
        <w:noBreakHyphen/>
      </w:r>
      <w:r w:rsidRPr="00383908">
        <w:rPr>
          <w:lang w:val="fr-FR"/>
        </w:rPr>
        <w:t>même l</w:t>
      </w:r>
      <w:r w:rsidR="00087D8C">
        <w:rPr>
          <w:lang w:val="fr-FR"/>
        </w:rPr>
        <w:t>’</w:t>
      </w:r>
      <w:r w:rsidRPr="00383908">
        <w:rPr>
          <w:lang w:val="fr-FR"/>
        </w:rPr>
        <w:t>ordre des articles concernés de la Convention, lequel n</w:t>
      </w:r>
      <w:r w:rsidR="00087D8C">
        <w:rPr>
          <w:lang w:val="fr-FR"/>
        </w:rPr>
        <w:t>’</w:t>
      </w:r>
      <w:r w:rsidRPr="00383908">
        <w:rPr>
          <w:lang w:val="fr-FR"/>
        </w:rPr>
        <w:t>est pas nécessairement l</w:t>
      </w:r>
      <w:r w:rsidR="00087D8C">
        <w:rPr>
          <w:lang w:val="fr-FR"/>
        </w:rPr>
        <w:t>’</w:t>
      </w:r>
      <w:r w:rsidRPr="00383908">
        <w:rPr>
          <w:lang w:val="fr-FR"/>
        </w:rPr>
        <w:t>ordre de priorité d</w:t>
      </w:r>
      <w:r w:rsidR="00087D8C">
        <w:rPr>
          <w:lang w:val="fr-FR"/>
        </w:rPr>
        <w:t>’</w:t>
      </w:r>
      <w:r w:rsidRPr="00383908">
        <w:rPr>
          <w:lang w:val="fr-FR"/>
        </w:rPr>
        <w:t>examen par la Conférence des Parties à sa troisième réunion.</w:t>
      </w:r>
    </w:p>
    <w:p w14:paraId="38D01953" w14:textId="2BA9E6A1" w:rsidR="005278CE" w:rsidRPr="00383908" w:rsidRDefault="00B54A19" w:rsidP="005278CE">
      <w:pPr>
        <w:pStyle w:val="CH3"/>
        <w:spacing w:before="240"/>
        <w:rPr>
          <w:lang w:val="fr-FR"/>
        </w:rPr>
      </w:pPr>
      <w:r w:rsidRPr="00383908">
        <w:rPr>
          <w:lang w:val="fr-FR"/>
        </w:rPr>
        <w:lastRenderedPageBreak/>
        <w:tab/>
      </w:r>
      <w:r w:rsidR="005278CE" w:rsidRPr="00383908">
        <w:rPr>
          <w:lang w:val="fr-FR"/>
        </w:rPr>
        <w:t>a)</w:t>
      </w:r>
      <w:r w:rsidR="005278CE" w:rsidRPr="00383908">
        <w:rPr>
          <w:lang w:val="fr-FR"/>
        </w:rPr>
        <w:tab/>
      </w:r>
      <w:r w:rsidR="005278CE" w:rsidRPr="00383908">
        <w:rPr>
          <w:bCs/>
          <w:lang w:val="fr-FR"/>
        </w:rPr>
        <w:t>Produits contenant du mercure ajouté et procédés de fabricat</w:t>
      </w:r>
      <w:r w:rsidR="008A3216">
        <w:rPr>
          <w:bCs/>
          <w:lang w:val="fr-FR"/>
        </w:rPr>
        <w:t>ion utilisant du mercure ou des </w:t>
      </w:r>
      <w:r w:rsidR="005278CE" w:rsidRPr="00383908">
        <w:rPr>
          <w:bCs/>
          <w:lang w:val="fr-FR"/>
        </w:rPr>
        <w:t>composés du mercure</w:t>
      </w:r>
      <w:bookmarkStart w:id="4" w:name="_Hlk13685878"/>
      <w:bookmarkEnd w:id="4"/>
    </w:p>
    <w:p w14:paraId="22685ACC" w14:textId="18CA600D" w:rsidR="005278CE" w:rsidRPr="00383908" w:rsidRDefault="00B54A19" w:rsidP="005278CE">
      <w:pPr>
        <w:pStyle w:val="CH3"/>
        <w:spacing w:before="240"/>
        <w:ind w:left="0" w:firstLine="0"/>
        <w:rPr>
          <w:lang w:val="fr-FR"/>
        </w:rPr>
      </w:pPr>
      <w:r w:rsidRPr="00383908">
        <w:rPr>
          <w:lang w:val="fr-FR"/>
        </w:rPr>
        <w:tab/>
      </w:r>
      <w:r w:rsidR="005278CE" w:rsidRPr="00383908">
        <w:rPr>
          <w:lang w:val="fr-FR"/>
        </w:rPr>
        <w:t>i)</w:t>
      </w:r>
      <w:r w:rsidR="005278CE" w:rsidRPr="00383908">
        <w:rPr>
          <w:lang w:val="fr-FR"/>
        </w:rPr>
        <w:tab/>
      </w:r>
      <w:r w:rsidR="00944FB2">
        <w:rPr>
          <w:bCs/>
          <w:lang w:val="fr-FR"/>
        </w:rPr>
        <w:t>Examen des Annexes A et </w:t>
      </w:r>
      <w:r w:rsidR="005278CE" w:rsidRPr="00383908">
        <w:rPr>
          <w:bCs/>
          <w:lang w:val="fr-FR"/>
        </w:rPr>
        <w:t>B</w:t>
      </w:r>
    </w:p>
    <w:p w14:paraId="18700F31" w14:textId="74BDC3C3" w:rsidR="005278CE" w:rsidRPr="00383908" w:rsidRDefault="00944FB2" w:rsidP="00970339">
      <w:pPr>
        <w:pStyle w:val="Normalnumber"/>
        <w:numPr>
          <w:ilvl w:val="0"/>
          <w:numId w:val="6"/>
        </w:numPr>
        <w:tabs>
          <w:tab w:val="clear" w:pos="567"/>
          <w:tab w:val="num" w:pos="624"/>
        </w:tabs>
        <w:rPr>
          <w:lang w:val="fr-FR"/>
        </w:rPr>
      </w:pPr>
      <w:r>
        <w:rPr>
          <w:lang w:val="fr-FR"/>
        </w:rPr>
        <w:t>Les articles 4 et </w:t>
      </w:r>
      <w:r w:rsidR="005278CE" w:rsidRPr="00383908">
        <w:rPr>
          <w:lang w:val="fr-FR"/>
        </w:rPr>
        <w:t>5 de la Convention prévoient l</w:t>
      </w:r>
      <w:r w:rsidR="00087D8C">
        <w:rPr>
          <w:lang w:val="fr-FR"/>
        </w:rPr>
        <w:t>’</w:t>
      </w:r>
      <w:r>
        <w:rPr>
          <w:lang w:val="fr-FR"/>
        </w:rPr>
        <w:t>examen des Annexes A et B au plus tard cinq </w:t>
      </w:r>
      <w:r w:rsidR="005278CE" w:rsidRPr="00383908">
        <w:rPr>
          <w:lang w:val="fr-FR"/>
        </w:rPr>
        <w:t>ans après la date d</w:t>
      </w:r>
      <w:r w:rsidR="00087D8C">
        <w:rPr>
          <w:lang w:val="fr-FR"/>
        </w:rPr>
        <w:t>’</w:t>
      </w:r>
      <w:r w:rsidR="005278CE" w:rsidRPr="00383908">
        <w:rPr>
          <w:lang w:val="fr-FR"/>
        </w:rPr>
        <w:t>entré</w:t>
      </w:r>
      <w:r w:rsidR="00B54A19" w:rsidRPr="00383908">
        <w:rPr>
          <w:lang w:val="fr-FR"/>
        </w:rPr>
        <w:t>e en vigueur de la Convention. À</w:t>
      </w:r>
      <w:r>
        <w:rPr>
          <w:lang w:val="fr-FR"/>
        </w:rPr>
        <w:t xml:space="preserve"> sa deuxième </w:t>
      </w:r>
      <w:r w:rsidR="005278CE" w:rsidRPr="00383908">
        <w:rPr>
          <w:lang w:val="fr-FR"/>
        </w:rPr>
        <w:t>réunion, la Conférence des Parties s</w:t>
      </w:r>
      <w:r w:rsidR="00087D8C">
        <w:rPr>
          <w:lang w:val="fr-FR"/>
        </w:rPr>
        <w:t>’</w:t>
      </w:r>
      <w:r w:rsidR="005278CE" w:rsidRPr="00383908">
        <w:rPr>
          <w:lang w:val="fr-FR"/>
        </w:rPr>
        <w:t>est penchée sur la question et a convenu d</w:t>
      </w:r>
      <w:r w:rsidR="00087D8C">
        <w:rPr>
          <w:lang w:val="fr-FR"/>
        </w:rPr>
        <w:t>’</w:t>
      </w:r>
      <w:r w:rsidR="005278CE" w:rsidRPr="00383908">
        <w:rPr>
          <w:lang w:val="fr-FR"/>
        </w:rPr>
        <w:t>en reporter l</w:t>
      </w:r>
      <w:r w:rsidR="00087D8C">
        <w:rPr>
          <w:lang w:val="fr-FR"/>
        </w:rPr>
        <w:t>’</w:t>
      </w:r>
      <w:r w:rsidR="005278CE" w:rsidRPr="00383908">
        <w:rPr>
          <w:lang w:val="fr-FR"/>
        </w:rPr>
        <w:t>examen à sa troisième réunion et de prier le secrétariat d</w:t>
      </w:r>
      <w:r w:rsidR="00087D8C">
        <w:rPr>
          <w:lang w:val="fr-FR"/>
        </w:rPr>
        <w:t>’</w:t>
      </w:r>
      <w:r w:rsidR="005278CE" w:rsidRPr="00383908">
        <w:rPr>
          <w:lang w:val="fr-FR"/>
        </w:rPr>
        <w:t xml:space="preserve">élaborer un document à ce sujet </w:t>
      </w:r>
      <w:r w:rsidR="005928AA">
        <w:rPr>
          <w:lang w:val="fr-FR"/>
        </w:rPr>
        <w:t>qu</w:t>
      </w:r>
      <w:r w:rsidR="00087D8C">
        <w:rPr>
          <w:lang w:val="fr-FR"/>
        </w:rPr>
        <w:t>’</w:t>
      </w:r>
      <w:r w:rsidR="005928AA">
        <w:rPr>
          <w:lang w:val="fr-FR"/>
        </w:rPr>
        <w:t>elle examinera</w:t>
      </w:r>
      <w:r w:rsidR="005278CE" w:rsidRPr="00383908">
        <w:rPr>
          <w:lang w:val="fr-FR"/>
        </w:rPr>
        <w:t xml:space="preserve"> à cette réunion.</w:t>
      </w:r>
    </w:p>
    <w:p w14:paraId="1E037E6E" w14:textId="693A8FD4" w:rsidR="005278CE" w:rsidRPr="00383908" w:rsidRDefault="005278CE" w:rsidP="00970339">
      <w:pPr>
        <w:pStyle w:val="Normalnumber"/>
        <w:numPr>
          <w:ilvl w:val="0"/>
          <w:numId w:val="6"/>
        </w:numPr>
        <w:tabs>
          <w:tab w:val="clear" w:pos="567"/>
          <w:tab w:val="num" w:pos="624"/>
        </w:tabs>
        <w:rPr>
          <w:lang w:val="fr-FR"/>
        </w:rPr>
      </w:pPr>
      <w:r w:rsidRPr="00383908">
        <w:rPr>
          <w:lang w:val="fr-FR"/>
        </w:rPr>
        <w:t>Ainsi, le secrétariat a établi une note relative à l</w:t>
      </w:r>
      <w:r w:rsidR="00087D8C">
        <w:rPr>
          <w:lang w:val="fr-FR"/>
        </w:rPr>
        <w:t>’</w:t>
      </w:r>
      <w:r w:rsidR="00944FB2">
        <w:rPr>
          <w:lang w:val="fr-FR"/>
        </w:rPr>
        <w:t>examen des Annexes A et </w:t>
      </w:r>
      <w:r w:rsidRPr="00383908">
        <w:rPr>
          <w:lang w:val="fr-FR"/>
        </w:rPr>
        <w:t>B expliquant la procédure d</w:t>
      </w:r>
      <w:r w:rsidR="00087D8C">
        <w:rPr>
          <w:lang w:val="fr-FR"/>
        </w:rPr>
        <w:t>’</w:t>
      </w:r>
      <w:r w:rsidRPr="00383908">
        <w:rPr>
          <w:lang w:val="fr-FR"/>
        </w:rPr>
        <w:t>examen des annexes et proposant un projet de décision sur la question (UNEP/MC/COP.3/4), ainsi que l</w:t>
      </w:r>
      <w:r w:rsidR="00087D8C">
        <w:rPr>
          <w:lang w:val="fr-FR"/>
        </w:rPr>
        <w:t>’</w:t>
      </w:r>
      <w:r w:rsidRPr="00383908">
        <w:rPr>
          <w:lang w:val="fr-FR"/>
        </w:rPr>
        <w:t>avait demandé le Bureau. La Conférence des Parties souhaitera peut</w:t>
      </w:r>
      <w:r w:rsidR="00436AB4">
        <w:rPr>
          <w:lang w:val="fr-FR"/>
        </w:rPr>
        <w:noBreakHyphen/>
      </w:r>
      <w:r w:rsidRPr="00383908">
        <w:rPr>
          <w:lang w:val="fr-FR"/>
        </w:rPr>
        <w:t>être examiner la procédure d</w:t>
      </w:r>
      <w:r w:rsidR="00087D8C">
        <w:rPr>
          <w:lang w:val="fr-FR"/>
        </w:rPr>
        <w:t>’</w:t>
      </w:r>
      <w:r w:rsidR="00944FB2">
        <w:rPr>
          <w:lang w:val="fr-FR"/>
        </w:rPr>
        <w:t>examen des Annexes A et </w:t>
      </w:r>
      <w:r w:rsidRPr="00383908">
        <w:rPr>
          <w:lang w:val="fr-FR"/>
        </w:rPr>
        <w:t>B et le projet de décision.</w:t>
      </w:r>
    </w:p>
    <w:p w14:paraId="0715FB36" w14:textId="3B6B3CA1" w:rsidR="005278CE" w:rsidRPr="00383908" w:rsidRDefault="00B54A19" w:rsidP="005278CE">
      <w:pPr>
        <w:pStyle w:val="CH3"/>
        <w:spacing w:before="240"/>
        <w:ind w:left="0" w:firstLine="0"/>
        <w:rPr>
          <w:lang w:val="fr-FR"/>
        </w:rPr>
      </w:pPr>
      <w:r w:rsidRPr="00383908">
        <w:rPr>
          <w:lang w:val="fr-FR"/>
        </w:rPr>
        <w:tab/>
      </w:r>
      <w:r w:rsidR="005278CE" w:rsidRPr="00383908">
        <w:rPr>
          <w:lang w:val="fr-FR"/>
        </w:rPr>
        <w:t>ii)</w:t>
      </w:r>
      <w:r w:rsidR="005278CE" w:rsidRPr="00383908">
        <w:rPr>
          <w:lang w:val="fr-FR"/>
        </w:rPr>
        <w:tab/>
      </w:r>
      <w:r w:rsidR="005278CE" w:rsidRPr="00383908">
        <w:rPr>
          <w:bCs/>
          <w:lang w:val="fr-FR"/>
        </w:rPr>
        <w:t>Proposition d</w:t>
      </w:r>
      <w:r w:rsidR="00087D8C">
        <w:rPr>
          <w:bCs/>
          <w:lang w:val="fr-FR"/>
        </w:rPr>
        <w:t>’</w:t>
      </w:r>
      <w:r w:rsidR="005278CE" w:rsidRPr="00383908">
        <w:rPr>
          <w:bCs/>
          <w:lang w:val="fr-FR"/>
        </w:rPr>
        <w:t>amendement de l</w:t>
      </w:r>
      <w:r w:rsidR="00087D8C">
        <w:rPr>
          <w:bCs/>
          <w:lang w:val="fr-FR"/>
        </w:rPr>
        <w:t>’</w:t>
      </w:r>
      <w:r w:rsidR="00944FB2">
        <w:rPr>
          <w:bCs/>
          <w:lang w:val="fr-FR"/>
        </w:rPr>
        <w:t>Annexe </w:t>
      </w:r>
      <w:r w:rsidR="005278CE" w:rsidRPr="00383908">
        <w:rPr>
          <w:bCs/>
          <w:lang w:val="fr-FR"/>
        </w:rPr>
        <w:t>A</w:t>
      </w:r>
    </w:p>
    <w:p w14:paraId="7152F166" w14:textId="1D94E721" w:rsidR="005278CE" w:rsidRPr="00383908" w:rsidRDefault="00944FB2" w:rsidP="00970339">
      <w:pPr>
        <w:pStyle w:val="Normalnumber"/>
        <w:numPr>
          <w:ilvl w:val="0"/>
          <w:numId w:val="6"/>
        </w:numPr>
        <w:tabs>
          <w:tab w:val="clear" w:pos="567"/>
          <w:tab w:val="num" w:pos="624"/>
        </w:tabs>
        <w:rPr>
          <w:lang w:val="fr-FR"/>
        </w:rPr>
      </w:pPr>
      <w:r>
        <w:rPr>
          <w:lang w:val="fr-FR"/>
        </w:rPr>
        <w:t>Le 8 </w:t>
      </w:r>
      <w:r w:rsidR="005278CE" w:rsidRPr="00383908">
        <w:rPr>
          <w:lang w:val="fr-FR"/>
        </w:rPr>
        <w:t>mai 2019, le secrétariat a reçu une communication d</w:t>
      </w:r>
      <w:r w:rsidR="00087D8C">
        <w:rPr>
          <w:lang w:val="fr-FR"/>
        </w:rPr>
        <w:t>’</w:t>
      </w:r>
      <w:r w:rsidR="005278CE" w:rsidRPr="00383908">
        <w:rPr>
          <w:lang w:val="fr-FR"/>
        </w:rPr>
        <w:t>u</w:t>
      </w:r>
      <w:r w:rsidR="008A3216">
        <w:rPr>
          <w:lang w:val="fr-FR"/>
        </w:rPr>
        <w:t>n groupe de pays soumettant une </w:t>
      </w:r>
      <w:r w:rsidR="005278CE" w:rsidRPr="00383908">
        <w:rPr>
          <w:lang w:val="fr-FR"/>
        </w:rPr>
        <w:t>proposition d</w:t>
      </w:r>
      <w:r w:rsidR="00087D8C">
        <w:rPr>
          <w:lang w:val="fr-FR"/>
        </w:rPr>
        <w:t>’</w:t>
      </w:r>
      <w:r w:rsidR="005278CE" w:rsidRPr="00383908">
        <w:rPr>
          <w:lang w:val="fr-FR"/>
        </w:rPr>
        <w:t>amendement de l</w:t>
      </w:r>
      <w:r w:rsidR="00087D8C">
        <w:rPr>
          <w:lang w:val="fr-FR"/>
        </w:rPr>
        <w:t>’</w:t>
      </w:r>
      <w:r>
        <w:rPr>
          <w:lang w:val="fr-FR"/>
        </w:rPr>
        <w:t>Annexe </w:t>
      </w:r>
      <w:r w:rsidR="005278CE" w:rsidRPr="00383908">
        <w:rPr>
          <w:lang w:val="fr-FR"/>
        </w:rPr>
        <w:t xml:space="preserve">A de la Convention et </w:t>
      </w:r>
      <w:r w:rsidR="008A3216">
        <w:rPr>
          <w:lang w:val="fr-FR"/>
        </w:rPr>
        <w:t>demandant que la Conférence des </w:t>
      </w:r>
      <w:r w:rsidR="005278CE" w:rsidRPr="00383908">
        <w:rPr>
          <w:lang w:val="fr-FR"/>
        </w:rPr>
        <w:t>Parties examine l</w:t>
      </w:r>
      <w:r w:rsidR="00087D8C">
        <w:rPr>
          <w:lang w:val="fr-FR"/>
        </w:rPr>
        <w:t>’</w:t>
      </w:r>
      <w:r w:rsidR="005278CE" w:rsidRPr="00383908">
        <w:rPr>
          <w:lang w:val="fr-FR"/>
        </w:rPr>
        <w:t>am</w:t>
      </w:r>
      <w:r>
        <w:rPr>
          <w:lang w:val="fr-FR"/>
        </w:rPr>
        <w:t>endement proposé à sa troisième </w:t>
      </w:r>
      <w:r w:rsidR="005278CE" w:rsidRPr="00383908">
        <w:rPr>
          <w:lang w:val="fr-FR"/>
        </w:rPr>
        <w:t>réunion.</w:t>
      </w:r>
    </w:p>
    <w:p w14:paraId="1603CB65" w14:textId="0F4AA0B3" w:rsidR="005278CE" w:rsidRPr="00383908" w:rsidRDefault="00944FB2" w:rsidP="00970339">
      <w:pPr>
        <w:pStyle w:val="Normalnumber"/>
        <w:numPr>
          <w:ilvl w:val="0"/>
          <w:numId w:val="6"/>
        </w:numPr>
        <w:tabs>
          <w:tab w:val="clear" w:pos="567"/>
          <w:tab w:val="num" w:pos="624"/>
        </w:tabs>
        <w:rPr>
          <w:lang w:val="fr-FR"/>
        </w:rPr>
      </w:pPr>
      <w:r>
        <w:rPr>
          <w:lang w:val="fr-FR"/>
        </w:rPr>
        <w:t>Le paragraphe </w:t>
      </w:r>
      <w:r w:rsidR="005278CE" w:rsidRPr="00383908">
        <w:rPr>
          <w:lang w:val="fr-FR"/>
        </w:rPr>
        <w:t>2 de l</w:t>
      </w:r>
      <w:r w:rsidR="00087D8C">
        <w:rPr>
          <w:lang w:val="fr-FR"/>
        </w:rPr>
        <w:t>’</w:t>
      </w:r>
      <w:r>
        <w:rPr>
          <w:lang w:val="fr-FR"/>
        </w:rPr>
        <w:t>article </w:t>
      </w:r>
      <w:r w:rsidR="005278CE" w:rsidRPr="00383908">
        <w:rPr>
          <w:lang w:val="fr-FR"/>
        </w:rPr>
        <w:t>26 de la Convention dispose que le texte de tout projet d</w:t>
      </w:r>
      <w:r w:rsidR="00087D8C">
        <w:rPr>
          <w:lang w:val="fr-FR"/>
        </w:rPr>
        <w:t>’</w:t>
      </w:r>
      <w:r w:rsidR="005278CE" w:rsidRPr="00383908">
        <w:rPr>
          <w:lang w:val="fr-FR"/>
        </w:rPr>
        <w:t>amendement est communiqué aux</w:t>
      </w:r>
      <w:r>
        <w:rPr>
          <w:lang w:val="fr-FR"/>
        </w:rPr>
        <w:t xml:space="preserve"> Parties par le secrétariat six </w:t>
      </w:r>
      <w:r w:rsidR="005278CE" w:rsidRPr="00383908">
        <w:rPr>
          <w:lang w:val="fr-FR"/>
        </w:rPr>
        <w:t xml:space="preserve">mois au moins </w:t>
      </w:r>
      <w:r w:rsidR="008A3216">
        <w:rPr>
          <w:lang w:val="fr-FR"/>
        </w:rPr>
        <w:t>avant la réunion à </w:t>
      </w:r>
      <w:r w:rsidR="005278CE" w:rsidRPr="00383908">
        <w:rPr>
          <w:lang w:val="fr-FR"/>
        </w:rPr>
        <w:t>laquelle il est présenté pour adoption et que le secrétariat communique également les projets d</w:t>
      </w:r>
      <w:r w:rsidR="00087D8C">
        <w:rPr>
          <w:lang w:val="fr-FR"/>
        </w:rPr>
        <w:t>’</w:t>
      </w:r>
      <w:r w:rsidR="005278CE" w:rsidRPr="00383908">
        <w:rPr>
          <w:lang w:val="fr-FR"/>
        </w:rPr>
        <w:t>amendement aux signataires de la Convention et, à titre d</w:t>
      </w:r>
      <w:r w:rsidR="00087D8C">
        <w:rPr>
          <w:lang w:val="fr-FR"/>
        </w:rPr>
        <w:t>’</w:t>
      </w:r>
      <w:r w:rsidR="005278CE" w:rsidRPr="00383908">
        <w:rPr>
          <w:lang w:val="fr-FR"/>
        </w:rPr>
        <w:t>information, au</w:t>
      </w:r>
      <w:r w:rsidR="008A3216">
        <w:rPr>
          <w:lang w:val="fr-FR"/>
        </w:rPr>
        <w:t xml:space="preserve"> Dépositaire. En </w:t>
      </w:r>
      <w:r w:rsidR="00EC64BB">
        <w:rPr>
          <w:lang w:val="fr-FR"/>
        </w:rPr>
        <w:t>conséquence, la Secrétaire exécutive</w:t>
      </w:r>
      <w:r w:rsidR="005278CE" w:rsidRPr="00383908">
        <w:rPr>
          <w:lang w:val="fr-FR"/>
        </w:rPr>
        <w:t xml:space="preserve"> a fait parvenir aux Parties et aux sign</w:t>
      </w:r>
      <w:r>
        <w:rPr>
          <w:lang w:val="fr-FR"/>
        </w:rPr>
        <w:t>ataires de la Convention, le </w:t>
      </w:r>
      <w:r w:rsidR="00B54A19" w:rsidRPr="00383908">
        <w:rPr>
          <w:lang w:val="fr-FR"/>
        </w:rPr>
        <w:t>24 </w:t>
      </w:r>
      <w:r w:rsidR="005278CE" w:rsidRPr="00383908">
        <w:rPr>
          <w:lang w:val="fr-FR"/>
        </w:rPr>
        <w:t xml:space="preserve">mai 2019, une lettre leur communiquant le texte de </w:t>
      </w:r>
      <w:r w:rsidR="00B54A19" w:rsidRPr="00383908">
        <w:rPr>
          <w:lang w:val="fr-FR"/>
        </w:rPr>
        <w:t>l</w:t>
      </w:r>
      <w:r w:rsidR="00087D8C">
        <w:rPr>
          <w:lang w:val="fr-FR"/>
        </w:rPr>
        <w:t>’</w:t>
      </w:r>
      <w:r w:rsidR="00B54A19" w:rsidRPr="00383908">
        <w:rPr>
          <w:lang w:val="fr-FR"/>
        </w:rPr>
        <w:t>amendement proposé à l</w:t>
      </w:r>
      <w:r w:rsidR="00087D8C">
        <w:rPr>
          <w:lang w:val="fr-FR"/>
        </w:rPr>
        <w:t>’</w:t>
      </w:r>
      <w:r w:rsidR="00B54A19" w:rsidRPr="00383908">
        <w:rPr>
          <w:lang w:val="fr-FR"/>
        </w:rPr>
        <w:t>Annexe </w:t>
      </w:r>
      <w:r>
        <w:rPr>
          <w:lang w:val="fr-FR"/>
        </w:rPr>
        <w:t>A. La </w:t>
      </w:r>
      <w:r w:rsidR="005278CE" w:rsidRPr="00383908">
        <w:rPr>
          <w:lang w:val="fr-FR"/>
        </w:rPr>
        <w:t>lettre a également été envoyée au Dépositaire à des fins d</w:t>
      </w:r>
      <w:r w:rsidR="00087D8C">
        <w:rPr>
          <w:lang w:val="fr-FR"/>
        </w:rPr>
        <w:t>’</w:t>
      </w:r>
      <w:r w:rsidR="005278CE" w:rsidRPr="00383908">
        <w:rPr>
          <w:lang w:val="fr-FR"/>
        </w:rPr>
        <w:t>information. U</w:t>
      </w:r>
      <w:r w:rsidR="00B54A19" w:rsidRPr="00383908">
        <w:rPr>
          <w:lang w:val="fr-FR"/>
        </w:rPr>
        <w:t>ne lettre de suivi, datée du 25 </w:t>
      </w:r>
      <w:r w:rsidR="005278CE" w:rsidRPr="00383908">
        <w:rPr>
          <w:lang w:val="fr-FR"/>
        </w:rPr>
        <w:t>ju</w:t>
      </w:r>
      <w:r w:rsidR="00EC64BB">
        <w:rPr>
          <w:lang w:val="fr-FR"/>
        </w:rPr>
        <w:t>illet 2019, a été envoyée par la Secrétaire exécutive</w:t>
      </w:r>
      <w:r w:rsidR="005278CE" w:rsidRPr="00383908">
        <w:rPr>
          <w:lang w:val="fr-FR"/>
        </w:rPr>
        <w:t xml:space="preserve"> aux Parties à la Convention et aux signataires, à laquelle était jointe la traduction de l</w:t>
      </w:r>
      <w:r w:rsidR="00087D8C">
        <w:rPr>
          <w:lang w:val="fr-FR"/>
        </w:rPr>
        <w:t>’</w:t>
      </w:r>
      <w:r w:rsidR="005278CE" w:rsidRPr="00383908">
        <w:rPr>
          <w:lang w:val="fr-FR"/>
        </w:rPr>
        <w:t>amendement proposé à l</w:t>
      </w:r>
      <w:r w:rsidR="00087D8C">
        <w:rPr>
          <w:lang w:val="fr-FR"/>
        </w:rPr>
        <w:t>’</w:t>
      </w:r>
      <w:r w:rsidR="005278CE" w:rsidRPr="00383908">
        <w:rPr>
          <w:lang w:val="fr-FR"/>
        </w:rPr>
        <w:t>Annexe</w:t>
      </w:r>
      <w:r w:rsidR="00B54A19" w:rsidRPr="00383908">
        <w:rPr>
          <w:lang w:val="fr-FR"/>
        </w:rPr>
        <w:t> </w:t>
      </w:r>
      <w:r>
        <w:rPr>
          <w:lang w:val="fr-FR"/>
        </w:rPr>
        <w:t xml:space="preserve">A dans les </w:t>
      </w:r>
      <w:r w:rsidR="00D671B9">
        <w:rPr>
          <w:lang w:val="fr-FR"/>
        </w:rPr>
        <w:t>cinq autres</w:t>
      </w:r>
      <w:r>
        <w:rPr>
          <w:lang w:val="fr-FR"/>
        </w:rPr>
        <w:t> </w:t>
      </w:r>
      <w:r w:rsidR="005278CE" w:rsidRPr="00383908">
        <w:rPr>
          <w:lang w:val="fr-FR"/>
        </w:rPr>
        <w:t>langues officielles de l</w:t>
      </w:r>
      <w:r w:rsidR="00087D8C">
        <w:rPr>
          <w:lang w:val="fr-FR"/>
        </w:rPr>
        <w:t>’</w:t>
      </w:r>
      <w:r w:rsidR="005278CE" w:rsidRPr="00383908">
        <w:rPr>
          <w:lang w:val="fr-FR"/>
        </w:rPr>
        <w:t xml:space="preserve">Organisation des Nations Unies. </w:t>
      </w:r>
    </w:p>
    <w:p w14:paraId="2A9EA68D" w14:textId="59B1B1BA" w:rsidR="005278CE" w:rsidRPr="00383908" w:rsidRDefault="005278CE" w:rsidP="00970339">
      <w:pPr>
        <w:pStyle w:val="Normalnumber"/>
        <w:numPr>
          <w:ilvl w:val="0"/>
          <w:numId w:val="6"/>
        </w:numPr>
        <w:tabs>
          <w:tab w:val="clear" w:pos="567"/>
          <w:tab w:val="num" w:pos="624"/>
        </w:tabs>
        <w:rPr>
          <w:lang w:val="fr-FR"/>
        </w:rPr>
      </w:pPr>
      <w:r w:rsidRPr="00383908">
        <w:rPr>
          <w:lang w:val="fr-FR"/>
        </w:rPr>
        <w:t>L</w:t>
      </w:r>
      <w:r w:rsidR="00087D8C">
        <w:rPr>
          <w:lang w:val="fr-FR"/>
        </w:rPr>
        <w:t>’</w:t>
      </w:r>
      <w:r w:rsidRPr="00383908">
        <w:rPr>
          <w:lang w:val="fr-FR"/>
        </w:rPr>
        <w:t>amendement proposé et les informations explicatives supplémentaires pertinentes sont présentés, sans avoir été revus par les services d</w:t>
      </w:r>
      <w:r w:rsidR="00087D8C">
        <w:rPr>
          <w:lang w:val="fr-FR"/>
        </w:rPr>
        <w:t>’</w:t>
      </w:r>
      <w:r w:rsidRPr="00383908">
        <w:rPr>
          <w:lang w:val="fr-FR"/>
        </w:rPr>
        <w:t>édition, dans l</w:t>
      </w:r>
      <w:r w:rsidR="00087D8C">
        <w:rPr>
          <w:lang w:val="fr-FR"/>
        </w:rPr>
        <w:t>’</w:t>
      </w:r>
      <w:r w:rsidRPr="00383908">
        <w:rPr>
          <w:lang w:val="fr-FR"/>
        </w:rPr>
        <w:t>annexe du document UNEP/MC/COP.3/21. La Conférence des Parties souhaitera peut</w:t>
      </w:r>
      <w:r w:rsidR="00436AB4">
        <w:rPr>
          <w:lang w:val="fr-FR"/>
        </w:rPr>
        <w:noBreakHyphen/>
      </w:r>
      <w:r w:rsidRPr="00383908">
        <w:rPr>
          <w:lang w:val="fr-FR"/>
        </w:rPr>
        <w:t>être examiner la proposition d</w:t>
      </w:r>
      <w:r w:rsidR="00087D8C">
        <w:rPr>
          <w:lang w:val="fr-FR"/>
        </w:rPr>
        <w:t>’</w:t>
      </w:r>
      <w:r w:rsidRPr="00383908">
        <w:rPr>
          <w:lang w:val="fr-FR"/>
        </w:rPr>
        <w:t>amendement.</w:t>
      </w:r>
    </w:p>
    <w:p w14:paraId="2368464B" w14:textId="49024B74" w:rsidR="005278CE" w:rsidRPr="00383908" w:rsidRDefault="00B54A19" w:rsidP="005278CE">
      <w:pPr>
        <w:pStyle w:val="CH3"/>
        <w:spacing w:before="240"/>
        <w:ind w:left="0" w:firstLine="0"/>
        <w:rPr>
          <w:lang w:val="fr-FR"/>
        </w:rPr>
      </w:pPr>
      <w:r w:rsidRPr="00383908">
        <w:rPr>
          <w:lang w:val="fr-FR"/>
        </w:rPr>
        <w:tab/>
      </w:r>
      <w:r w:rsidR="005278CE" w:rsidRPr="00383908">
        <w:rPr>
          <w:lang w:val="fr-FR"/>
        </w:rPr>
        <w:t>iii)</w:t>
      </w:r>
      <w:r w:rsidR="005278CE" w:rsidRPr="00383908">
        <w:rPr>
          <w:lang w:val="fr-FR"/>
        </w:rPr>
        <w:tab/>
      </w:r>
      <w:r w:rsidR="005278CE" w:rsidRPr="00383908">
        <w:rPr>
          <w:bCs/>
          <w:lang w:val="fr-FR"/>
        </w:rPr>
        <w:t>Codes du Système harmonisé</w:t>
      </w:r>
    </w:p>
    <w:p w14:paraId="725D6144" w14:textId="0B7DFCAD" w:rsidR="005278CE" w:rsidRPr="00383908" w:rsidRDefault="005928AA" w:rsidP="00970339">
      <w:pPr>
        <w:pStyle w:val="Normalnumber"/>
        <w:numPr>
          <w:ilvl w:val="0"/>
          <w:numId w:val="6"/>
        </w:numPr>
        <w:tabs>
          <w:tab w:val="clear" w:pos="567"/>
          <w:tab w:val="num" w:pos="624"/>
        </w:tabs>
        <w:rPr>
          <w:lang w:val="fr-FR"/>
        </w:rPr>
      </w:pPr>
      <w:r>
        <w:rPr>
          <w:lang w:val="fr-FR"/>
        </w:rPr>
        <w:t>D</w:t>
      </w:r>
      <w:r w:rsidRPr="00383908">
        <w:rPr>
          <w:lang w:val="fr-FR"/>
        </w:rPr>
        <w:t xml:space="preserve">ans </w:t>
      </w:r>
      <w:r>
        <w:rPr>
          <w:lang w:val="fr-FR"/>
        </w:rPr>
        <w:t>l</w:t>
      </w:r>
      <w:r w:rsidR="00935F41">
        <w:rPr>
          <w:lang w:val="fr-FR"/>
        </w:rPr>
        <w:t>a décision </w:t>
      </w:r>
      <w:r w:rsidRPr="00383908">
        <w:rPr>
          <w:lang w:val="fr-FR"/>
        </w:rPr>
        <w:t>MC</w:t>
      </w:r>
      <w:r>
        <w:rPr>
          <w:lang w:val="fr-FR"/>
        </w:rPr>
        <w:noBreakHyphen/>
      </w:r>
      <w:r w:rsidRPr="00383908">
        <w:rPr>
          <w:lang w:val="fr-FR"/>
        </w:rPr>
        <w:t>2/9</w:t>
      </w:r>
      <w:r>
        <w:rPr>
          <w:lang w:val="fr-FR"/>
        </w:rPr>
        <w:t xml:space="preserve"> qu</w:t>
      </w:r>
      <w:r w:rsidR="00087D8C">
        <w:rPr>
          <w:lang w:val="fr-FR"/>
        </w:rPr>
        <w:t>’</w:t>
      </w:r>
      <w:r>
        <w:rPr>
          <w:lang w:val="fr-FR"/>
        </w:rPr>
        <w:t>elle a adoptée à</w:t>
      </w:r>
      <w:r w:rsidR="005278CE" w:rsidRPr="00383908">
        <w:rPr>
          <w:lang w:val="fr-FR"/>
        </w:rPr>
        <w:t xml:space="preserve"> sa deuxième réunion, la Conférence des Parties a</w:t>
      </w:r>
      <w:r>
        <w:rPr>
          <w:lang w:val="fr-FR"/>
        </w:rPr>
        <w:t xml:space="preserve"> </w:t>
      </w:r>
      <w:r w:rsidR="005278CE" w:rsidRPr="00383908">
        <w:rPr>
          <w:lang w:val="fr-FR"/>
        </w:rPr>
        <w:t>prié le secrétariat, en collaboration avec le Partenariat sur les produits relevant du Partenariat mondial sur le mercure du PNUE et en concertation avec les organisations compétentes, de proposer, en tenant compte des résultats de l</w:t>
      </w:r>
      <w:r w:rsidR="00087D8C">
        <w:rPr>
          <w:lang w:val="fr-FR"/>
        </w:rPr>
        <w:t>’</w:t>
      </w:r>
      <w:r w:rsidR="005278CE" w:rsidRPr="00383908">
        <w:rPr>
          <w:lang w:val="fr-FR"/>
        </w:rPr>
        <w:t>enquête sur l</w:t>
      </w:r>
      <w:r w:rsidR="00087D8C">
        <w:rPr>
          <w:lang w:val="fr-FR"/>
        </w:rPr>
        <w:t>’</w:t>
      </w:r>
      <w:r w:rsidR="005278CE" w:rsidRPr="00383908">
        <w:rPr>
          <w:lang w:val="fr-FR"/>
        </w:rPr>
        <w:t>initiative en faveur du Système harmonisé mise en œuvre par le Partenariat mondial, des solutions pour la définition de codes douaniers permettant d</w:t>
      </w:r>
      <w:r w:rsidR="00087D8C">
        <w:rPr>
          <w:lang w:val="fr-FR"/>
        </w:rPr>
        <w:t>’</w:t>
      </w:r>
      <w:r w:rsidR="005278CE" w:rsidRPr="00383908">
        <w:rPr>
          <w:lang w:val="fr-FR"/>
        </w:rPr>
        <w:t>identifier et de distinguer les produits sans mercure ajouté et ceux en conte</w:t>
      </w:r>
      <w:r w:rsidR="00B54A19" w:rsidRPr="00383908">
        <w:rPr>
          <w:lang w:val="fr-FR"/>
        </w:rPr>
        <w:t>nant qui figurent dans l</w:t>
      </w:r>
      <w:r w:rsidR="00087D8C">
        <w:rPr>
          <w:lang w:val="fr-FR"/>
        </w:rPr>
        <w:t>’</w:t>
      </w:r>
      <w:r w:rsidR="00B54A19" w:rsidRPr="00383908">
        <w:rPr>
          <w:lang w:val="fr-FR"/>
        </w:rPr>
        <w:t>Annexe </w:t>
      </w:r>
      <w:r w:rsidR="005278CE" w:rsidRPr="00383908">
        <w:rPr>
          <w:lang w:val="fr-FR"/>
        </w:rPr>
        <w:t>A de la Convention, y compris des moyens d</w:t>
      </w:r>
      <w:r w:rsidR="00087D8C">
        <w:rPr>
          <w:lang w:val="fr-FR"/>
        </w:rPr>
        <w:t>’</w:t>
      </w:r>
      <w:r w:rsidR="005278CE" w:rsidRPr="00383908">
        <w:rPr>
          <w:lang w:val="fr-FR"/>
        </w:rPr>
        <w:t xml:space="preserve">harmoniser éventuellement ces codes. </w:t>
      </w:r>
      <w:r w:rsidR="00863CEB">
        <w:rPr>
          <w:lang w:val="fr-FR"/>
        </w:rPr>
        <w:t>Dans</w:t>
      </w:r>
      <w:r w:rsidR="005278CE" w:rsidRPr="00383908">
        <w:rPr>
          <w:lang w:val="fr-FR"/>
        </w:rPr>
        <w:t xml:space="preserve"> cette décision, </w:t>
      </w:r>
      <w:r w:rsidR="00863CEB">
        <w:rPr>
          <w:lang w:val="fr-FR"/>
        </w:rPr>
        <w:t xml:space="preserve">la Conférence des Parties a prié </w:t>
      </w:r>
      <w:r w:rsidR="005278CE" w:rsidRPr="00383908">
        <w:rPr>
          <w:lang w:val="fr-FR"/>
        </w:rPr>
        <w:t>le secrétariat de faire parvenir aux Parties ainsi qu</w:t>
      </w:r>
      <w:r w:rsidR="00087D8C">
        <w:rPr>
          <w:lang w:val="fr-FR"/>
        </w:rPr>
        <w:t>’</w:t>
      </w:r>
      <w:r w:rsidR="005278CE" w:rsidRPr="00383908">
        <w:rPr>
          <w:lang w:val="fr-FR"/>
        </w:rPr>
        <w:t>aux autres parties prenantes un projet de rapport de sorte que ces dernières fassent part de</w:t>
      </w:r>
      <w:r w:rsidR="00B54A19" w:rsidRPr="00383908">
        <w:rPr>
          <w:lang w:val="fr-FR"/>
        </w:rPr>
        <w:t xml:space="preserve"> leurs observations d</w:t>
      </w:r>
      <w:r w:rsidR="00087D8C">
        <w:rPr>
          <w:lang w:val="fr-FR"/>
        </w:rPr>
        <w:t>’</w:t>
      </w:r>
      <w:r w:rsidR="00B54A19" w:rsidRPr="00383908">
        <w:rPr>
          <w:lang w:val="fr-FR"/>
        </w:rPr>
        <w:t>ici à mai </w:t>
      </w:r>
      <w:r w:rsidR="005278CE" w:rsidRPr="00383908">
        <w:rPr>
          <w:lang w:val="fr-FR"/>
        </w:rPr>
        <w:t xml:space="preserve">2019, de réviser le projet de rapport à la lumière des observations reçues et de </w:t>
      </w:r>
      <w:r w:rsidR="00863CEB">
        <w:rPr>
          <w:lang w:val="fr-FR"/>
        </w:rPr>
        <w:t xml:space="preserve">lui </w:t>
      </w:r>
      <w:r w:rsidR="005278CE" w:rsidRPr="00383908">
        <w:rPr>
          <w:lang w:val="fr-FR"/>
        </w:rPr>
        <w:t>présenter le rapport à sa troisième réunion, pour examen.</w:t>
      </w:r>
    </w:p>
    <w:p w14:paraId="03696C7C" w14:textId="689A528A" w:rsidR="005278CE" w:rsidRPr="00383908" w:rsidRDefault="005278CE" w:rsidP="00970339">
      <w:pPr>
        <w:pStyle w:val="Normalnumber"/>
        <w:numPr>
          <w:ilvl w:val="0"/>
          <w:numId w:val="6"/>
        </w:numPr>
        <w:tabs>
          <w:tab w:val="clear" w:pos="567"/>
          <w:tab w:val="num" w:pos="624"/>
        </w:tabs>
        <w:rPr>
          <w:lang w:val="fr-FR"/>
        </w:rPr>
      </w:pPr>
      <w:r w:rsidRPr="00383908">
        <w:rPr>
          <w:lang w:val="fr-FR"/>
        </w:rPr>
        <w:t>La Conférence des Parties est saisie d</w:t>
      </w:r>
      <w:r w:rsidR="00087D8C">
        <w:rPr>
          <w:lang w:val="fr-FR"/>
        </w:rPr>
        <w:t>’</w:t>
      </w:r>
      <w:r w:rsidRPr="00383908">
        <w:rPr>
          <w:lang w:val="fr-FR"/>
        </w:rPr>
        <w:t>une note du secrétariat sur les solutions permettant d</w:t>
      </w:r>
      <w:r w:rsidR="00087D8C">
        <w:rPr>
          <w:lang w:val="fr-FR"/>
        </w:rPr>
        <w:t>’</w:t>
      </w:r>
      <w:r w:rsidRPr="00383908">
        <w:rPr>
          <w:lang w:val="fr-FR"/>
        </w:rPr>
        <w:t>identifier et de distinguer les produits sans mercure ajouté et ceux en conte</w:t>
      </w:r>
      <w:r w:rsidR="00B54A19" w:rsidRPr="00383908">
        <w:rPr>
          <w:lang w:val="fr-FR"/>
        </w:rPr>
        <w:t>nant qui figurent dans l</w:t>
      </w:r>
      <w:r w:rsidR="00087D8C">
        <w:rPr>
          <w:lang w:val="fr-FR"/>
        </w:rPr>
        <w:t>’</w:t>
      </w:r>
      <w:r w:rsidR="00B54A19" w:rsidRPr="00383908">
        <w:rPr>
          <w:lang w:val="fr-FR"/>
        </w:rPr>
        <w:t>Annexe </w:t>
      </w:r>
      <w:r w:rsidRPr="00383908">
        <w:rPr>
          <w:lang w:val="fr-FR"/>
        </w:rPr>
        <w:t xml:space="preserve">A </w:t>
      </w:r>
      <w:r w:rsidR="00863CEB">
        <w:rPr>
          <w:lang w:val="fr-FR"/>
        </w:rPr>
        <w:t>au titre</w:t>
      </w:r>
      <w:r w:rsidRPr="00383908">
        <w:rPr>
          <w:lang w:val="fr-FR"/>
        </w:rPr>
        <w:t xml:space="preserve"> du Système </w:t>
      </w:r>
      <w:r w:rsidR="00383908" w:rsidRPr="00383908">
        <w:rPr>
          <w:lang w:val="fr-FR"/>
        </w:rPr>
        <w:t>harmonisé (</w:t>
      </w:r>
      <w:r w:rsidRPr="00383908">
        <w:rPr>
          <w:lang w:val="fr-FR"/>
        </w:rPr>
        <w:t>UNEP/MC/COP.3/5) ainsi que de renseignements généraux sur la question (UNEP/MC/COP.3/INF/12). La Conférence des Parties souhaitera peut</w:t>
      </w:r>
      <w:r w:rsidR="00436AB4">
        <w:rPr>
          <w:lang w:val="fr-FR"/>
        </w:rPr>
        <w:noBreakHyphen/>
      </w:r>
      <w:r w:rsidRPr="00383908">
        <w:rPr>
          <w:lang w:val="fr-FR"/>
        </w:rPr>
        <w:t>être examiner les informations présentées.</w:t>
      </w:r>
    </w:p>
    <w:p w14:paraId="7E739168" w14:textId="290E07D7" w:rsidR="005278CE" w:rsidRPr="00383908" w:rsidRDefault="00B54A19" w:rsidP="005278CE">
      <w:pPr>
        <w:pStyle w:val="CH3"/>
        <w:spacing w:before="240"/>
        <w:ind w:left="0" w:firstLine="0"/>
        <w:rPr>
          <w:lang w:val="fr-FR"/>
        </w:rPr>
      </w:pPr>
      <w:r w:rsidRPr="00383908">
        <w:rPr>
          <w:lang w:val="fr-FR"/>
        </w:rPr>
        <w:tab/>
      </w:r>
      <w:r w:rsidR="005278CE" w:rsidRPr="00383908">
        <w:rPr>
          <w:lang w:val="fr-FR"/>
        </w:rPr>
        <w:t>b)</w:t>
      </w:r>
      <w:r w:rsidR="005278CE" w:rsidRPr="00383908">
        <w:rPr>
          <w:lang w:val="fr-FR"/>
        </w:rPr>
        <w:tab/>
      </w:r>
      <w:r w:rsidR="005278CE" w:rsidRPr="00383908">
        <w:rPr>
          <w:bCs/>
          <w:lang w:val="fr-FR"/>
        </w:rPr>
        <w:t>Rejets de mercure</w:t>
      </w:r>
    </w:p>
    <w:p w14:paraId="329E441C" w14:textId="0011B689" w:rsidR="005278CE" w:rsidRPr="00383908" w:rsidRDefault="005278CE" w:rsidP="00970339">
      <w:pPr>
        <w:pStyle w:val="Normalnumber"/>
        <w:numPr>
          <w:ilvl w:val="0"/>
          <w:numId w:val="6"/>
        </w:numPr>
        <w:tabs>
          <w:tab w:val="clear" w:pos="567"/>
          <w:tab w:val="num" w:pos="624"/>
        </w:tabs>
        <w:rPr>
          <w:lang w:val="fr-FR"/>
        </w:rPr>
      </w:pPr>
      <w:r w:rsidRPr="00383908">
        <w:rPr>
          <w:lang w:val="fr-FR"/>
        </w:rPr>
        <w:t>L</w:t>
      </w:r>
      <w:r w:rsidR="00087D8C">
        <w:rPr>
          <w:lang w:val="fr-FR"/>
        </w:rPr>
        <w:t>’</w:t>
      </w:r>
      <w:r w:rsidR="00935F41">
        <w:rPr>
          <w:lang w:val="fr-FR"/>
        </w:rPr>
        <w:t>article </w:t>
      </w:r>
      <w:r w:rsidRPr="00383908">
        <w:rPr>
          <w:lang w:val="fr-FR"/>
        </w:rPr>
        <w:t>9 de la Convention prévoit que la Conférence des Parties adopte dès que possible des orientations concernant les meilleures techniques disponibles et les meilleures pratiques environnementales, en tenant compte des différences entre les nouvelles sources et les sources existantes ainsi que de la nécessité de réduire au minimum les effets entre différents milieux, et des orientations concernant la méthode à suivre pour étab</w:t>
      </w:r>
      <w:r w:rsidR="00B54A19" w:rsidRPr="00383908">
        <w:rPr>
          <w:lang w:val="fr-FR"/>
        </w:rPr>
        <w:t>lir les inventaires des rejets.</w:t>
      </w:r>
    </w:p>
    <w:p w14:paraId="7CA7AD6D" w14:textId="3FC84152" w:rsidR="005278CE" w:rsidRPr="00383908" w:rsidRDefault="00944FB2" w:rsidP="00944FB2">
      <w:pPr>
        <w:pStyle w:val="Normalnumber"/>
        <w:keepNext/>
        <w:keepLines/>
        <w:numPr>
          <w:ilvl w:val="0"/>
          <w:numId w:val="6"/>
        </w:numPr>
        <w:tabs>
          <w:tab w:val="clear" w:pos="567"/>
          <w:tab w:val="num" w:pos="624"/>
        </w:tabs>
        <w:rPr>
          <w:lang w:val="fr-FR"/>
        </w:rPr>
      </w:pPr>
      <w:r>
        <w:rPr>
          <w:lang w:val="fr-FR"/>
        </w:rPr>
        <w:lastRenderedPageBreak/>
        <w:t>Par la décision </w:t>
      </w:r>
      <w:r w:rsidR="005278CE" w:rsidRPr="00383908">
        <w:rPr>
          <w:lang w:val="fr-FR"/>
        </w:rPr>
        <w:t>MC</w:t>
      </w:r>
      <w:r w:rsidR="00436AB4">
        <w:rPr>
          <w:lang w:val="fr-FR"/>
        </w:rPr>
        <w:noBreakHyphen/>
      </w:r>
      <w:r w:rsidR="005278CE" w:rsidRPr="00383908">
        <w:rPr>
          <w:lang w:val="fr-FR"/>
        </w:rPr>
        <w:t>2/3 qu</w:t>
      </w:r>
      <w:r w:rsidR="00087D8C">
        <w:rPr>
          <w:lang w:val="fr-FR"/>
        </w:rPr>
        <w:t>’</w:t>
      </w:r>
      <w:r w:rsidR="005278CE" w:rsidRPr="00383908">
        <w:rPr>
          <w:lang w:val="fr-FR"/>
        </w:rPr>
        <w:t>elle a adoptée à sa deuxième réuni</w:t>
      </w:r>
      <w:r w:rsidR="008A3216">
        <w:rPr>
          <w:lang w:val="fr-FR"/>
        </w:rPr>
        <w:t>on, la Conférence des Parties a </w:t>
      </w:r>
      <w:r w:rsidR="005278CE" w:rsidRPr="00383908">
        <w:rPr>
          <w:lang w:val="fr-FR"/>
        </w:rPr>
        <w:t>créé un groupe d</w:t>
      </w:r>
      <w:r w:rsidR="00087D8C">
        <w:rPr>
          <w:lang w:val="fr-FR"/>
        </w:rPr>
        <w:t>’</w:t>
      </w:r>
      <w:r w:rsidR="005278CE" w:rsidRPr="00383908">
        <w:rPr>
          <w:lang w:val="fr-FR"/>
        </w:rPr>
        <w:t>experts techniques chargé d</w:t>
      </w:r>
      <w:r w:rsidR="00087D8C">
        <w:rPr>
          <w:lang w:val="fr-FR"/>
        </w:rPr>
        <w:t>’</w:t>
      </w:r>
      <w:r w:rsidR="005278CE" w:rsidRPr="00383908">
        <w:rPr>
          <w:lang w:val="fr-FR"/>
        </w:rPr>
        <w:t>élaborer un projet d</w:t>
      </w:r>
      <w:r w:rsidR="00087D8C">
        <w:rPr>
          <w:lang w:val="fr-FR"/>
        </w:rPr>
        <w:t>’</w:t>
      </w:r>
      <w:r w:rsidR="005278CE" w:rsidRPr="00383908">
        <w:rPr>
          <w:lang w:val="fr-FR"/>
        </w:rPr>
        <w:t>orientations sur les méthodes d</w:t>
      </w:r>
      <w:r w:rsidR="00087D8C">
        <w:rPr>
          <w:lang w:val="fr-FR"/>
        </w:rPr>
        <w:t>’</w:t>
      </w:r>
      <w:r w:rsidR="005278CE" w:rsidRPr="00383908">
        <w:rPr>
          <w:lang w:val="fr-FR"/>
        </w:rPr>
        <w:t>établissement d</w:t>
      </w:r>
      <w:r w:rsidR="00087D8C">
        <w:rPr>
          <w:lang w:val="fr-FR"/>
        </w:rPr>
        <w:t>’</w:t>
      </w:r>
      <w:r w:rsidR="005278CE" w:rsidRPr="00383908">
        <w:rPr>
          <w:lang w:val="fr-FR"/>
        </w:rPr>
        <w:t>inventaires pour la définition d</w:t>
      </w:r>
      <w:r w:rsidR="00087D8C">
        <w:rPr>
          <w:lang w:val="fr-FR"/>
        </w:rPr>
        <w:t>’</w:t>
      </w:r>
      <w:r w:rsidR="005278CE" w:rsidRPr="00383908">
        <w:rPr>
          <w:lang w:val="fr-FR"/>
        </w:rPr>
        <w:t>une liste des catégories de sources ponctuelles potentiellement pertinentes. Conformément au mandat énoncé dans l</w:t>
      </w:r>
      <w:r w:rsidR="00087D8C">
        <w:rPr>
          <w:lang w:val="fr-FR"/>
        </w:rPr>
        <w:t>’</w:t>
      </w:r>
      <w:r w:rsidR="008A3216">
        <w:rPr>
          <w:lang w:val="fr-FR"/>
        </w:rPr>
        <w:t>annexe de ladite décision, le </w:t>
      </w:r>
      <w:r w:rsidR="005278CE" w:rsidRPr="00383908">
        <w:rPr>
          <w:lang w:val="fr-FR"/>
        </w:rPr>
        <w:t>groupe devait élaborer un rapport incluant une liste de toute source anthropique ponctuelle notable de rejets appartenant aux catégories non visées dans les dispositions de la Convent</w:t>
      </w:r>
      <w:r w:rsidR="00B54A19" w:rsidRPr="00383908">
        <w:rPr>
          <w:lang w:val="fr-FR"/>
        </w:rPr>
        <w:t>ion, à l</w:t>
      </w:r>
      <w:r w:rsidR="00087D8C">
        <w:rPr>
          <w:lang w:val="fr-FR"/>
        </w:rPr>
        <w:t>’</w:t>
      </w:r>
      <w:r w:rsidR="00B54A19" w:rsidRPr="00383908">
        <w:rPr>
          <w:lang w:val="fr-FR"/>
        </w:rPr>
        <w:t>exception de l</w:t>
      </w:r>
      <w:r w:rsidR="00087D8C">
        <w:rPr>
          <w:lang w:val="fr-FR"/>
        </w:rPr>
        <w:t>’</w:t>
      </w:r>
      <w:r w:rsidR="00B54A19" w:rsidRPr="00383908">
        <w:rPr>
          <w:lang w:val="fr-FR"/>
        </w:rPr>
        <w:t>article </w:t>
      </w:r>
      <w:r w:rsidR="005278CE" w:rsidRPr="00383908">
        <w:rPr>
          <w:lang w:val="fr-FR"/>
        </w:rPr>
        <w:t>9, ainsi qu</w:t>
      </w:r>
      <w:r w:rsidR="00087D8C">
        <w:rPr>
          <w:lang w:val="fr-FR"/>
        </w:rPr>
        <w:t>’</w:t>
      </w:r>
      <w:r w:rsidR="005278CE" w:rsidRPr="00383908">
        <w:rPr>
          <w:lang w:val="fr-FR"/>
        </w:rPr>
        <w:t>une proposition de feuille de route et de structure pour l</w:t>
      </w:r>
      <w:r w:rsidR="00087D8C">
        <w:rPr>
          <w:lang w:val="fr-FR"/>
        </w:rPr>
        <w:t>’</w:t>
      </w:r>
      <w:r w:rsidR="005278CE" w:rsidRPr="00383908">
        <w:rPr>
          <w:lang w:val="fr-FR"/>
        </w:rPr>
        <w:t>élaboration d</w:t>
      </w:r>
      <w:r w:rsidR="00087D8C">
        <w:rPr>
          <w:lang w:val="fr-FR"/>
        </w:rPr>
        <w:t>’</w:t>
      </w:r>
      <w:r w:rsidR="005278CE" w:rsidRPr="00383908">
        <w:rPr>
          <w:lang w:val="fr-FR"/>
        </w:rPr>
        <w:t>un projet d</w:t>
      </w:r>
      <w:r w:rsidR="00087D8C">
        <w:rPr>
          <w:lang w:val="fr-FR"/>
        </w:rPr>
        <w:t>’</w:t>
      </w:r>
      <w:r w:rsidR="005278CE" w:rsidRPr="00383908">
        <w:rPr>
          <w:lang w:val="fr-FR"/>
        </w:rPr>
        <w:t>orientations sur les méthodes à suivre pour l</w:t>
      </w:r>
      <w:r w:rsidR="00087D8C">
        <w:rPr>
          <w:lang w:val="fr-FR"/>
        </w:rPr>
        <w:t>’</w:t>
      </w:r>
      <w:r w:rsidR="005278CE" w:rsidRPr="00383908">
        <w:rPr>
          <w:lang w:val="fr-FR"/>
        </w:rPr>
        <w:t>é</w:t>
      </w:r>
      <w:r w:rsidR="00B54A19" w:rsidRPr="00383908">
        <w:rPr>
          <w:lang w:val="fr-FR"/>
        </w:rPr>
        <w:t>tablissement de ses inventaires.</w:t>
      </w:r>
    </w:p>
    <w:p w14:paraId="47B524D6" w14:textId="2D5CD36B" w:rsidR="005278CE" w:rsidRPr="00383908" w:rsidRDefault="005278CE" w:rsidP="00970339">
      <w:pPr>
        <w:pStyle w:val="Normalnumber"/>
        <w:numPr>
          <w:ilvl w:val="0"/>
          <w:numId w:val="6"/>
        </w:numPr>
        <w:tabs>
          <w:tab w:val="clear" w:pos="567"/>
          <w:tab w:val="num" w:pos="624"/>
        </w:tabs>
        <w:rPr>
          <w:lang w:val="fr-FR"/>
        </w:rPr>
      </w:pPr>
      <w:r w:rsidRPr="00383908">
        <w:rPr>
          <w:lang w:val="fr-FR"/>
        </w:rPr>
        <w:t>La Conférence des Parties est saisie d</w:t>
      </w:r>
      <w:r w:rsidR="00087D8C">
        <w:rPr>
          <w:lang w:val="fr-FR"/>
        </w:rPr>
        <w:t>’</w:t>
      </w:r>
      <w:r w:rsidRPr="00383908">
        <w:rPr>
          <w:lang w:val="fr-FR"/>
        </w:rPr>
        <w:t>une note du secrétariat sur la question (UNEP/MC/COP.3/6), qui contient en annexes un projet de décision et un rapport du groupe d</w:t>
      </w:r>
      <w:r w:rsidR="00087D8C">
        <w:rPr>
          <w:lang w:val="fr-FR"/>
        </w:rPr>
        <w:t>’</w:t>
      </w:r>
      <w:r w:rsidRPr="00383908">
        <w:rPr>
          <w:lang w:val="fr-FR"/>
        </w:rPr>
        <w:t>experts techniques</w:t>
      </w:r>
      <w:r w:rsidR="007E660C">
        <w:rPr>
          <w:lang w:val="fr-FR"/>
        </w:rPr>
        <w:t>. Elle</w:t>
      </w:r>
      <w:r w:rsidRPr="00383908">
        <w:rPr>
          <w:lang w:val="fr-FR"/>
        </w:rPr>
        <w:t xml:space="preserve"> souhaitera peut</w:t>
      </w:r>
      <w:r w:rsidR="00436AB4">
        <w:rPr>
          <w:lang w:val="fr-FR"/>
        </w:rPr>
        <w:noBreakHyphen/>
      </w:r>
      <w:r w:rsidRPr="00383908">
        <w:rPr>
          <w:lang w:val="fr-FR"/>
        </w:rPr>
        <w:t>être examiner le rapport et le projet de décision et convenir de travaux futurs sur la question.</w:t>
      </w:r>
    </w:p>
    <w:p w14:paraId="0B52F180" w14:textId="0709CFC1" w:rsidR="005278CE" w:rsidRPr="00383908" w:rsidRDefault="00B54A19" w:rsidP="005278CE">
      <w:pPr>
        <w:pStyle w:val="CH3"/>
        <w:spacing w:before="240"/>
        <w:ind w:left="0" w:firstLine="0"/>
        <w:rPr>
          <w:lang w:val="fr-FR"/>
        </w:rPr>
      </w:pPr>
      <w:r w:rsidRPr="00383908">
        <w:rPr>
          <w:lang w:val="fr-FR"/>
        </w:rPr>
        <w:tab/>
      </w:r>
      <w:r w:rsidR="005278CE" w:rsidRPr="00383908">
        <w:rPr>
          <w:lang w:val="fr-FR"/>
        </w:rPr>
        <w:t>c)</w:t>
      </w:r>
      <w:r w:rsidR="005278CE" w:rsidRPr="00383908">
        <w:rPr>
          <w:lang w:val="fr-FR"/>
        </w:rPr>
        <w:tab/>
      </w:r>
      <w:r w:rsidR="005278CE" w:rsidRPr="00383908">
        <w:rPr>
          <w:bCs/>
          <w:lang w:val="fr-FR"/>
        </w:rPr>
        <w:t>Déchets de mercure, en particulier examen des seuils pertinents</w:t>
      </w:r>
    </w:p>
    <w:p w14:paraId="0807611E" w14:textId="0E2D8FEE" w:rsidR="005278CE" w:rsidRPr="00383908" w:rsidRDefault="005278CE" w:rsidP="00970339">
      <w:pPr>
        <w:pStyle w:val="Normalnumber"/>
        <w:numPr>
          <w:ilvl w:val="0"/>
          <w:numId w:val="6"/>
        </w:numPr>
        <w:tabs>
          <w:tab w:val="clear" w:pos="567"/>
          <w:tab w:val="num" w:pos="624"/>
        </w:tabs>
        <w:rPr>
          <w:lang w:val="fr-FR"/>
        </w:rPr>
      </w:pPr>
      <w:r w:rsidRPr="00383908">
        <w:rPr>
          <w:lang w:val="fr-FR"/>
        </w:rPr>
        <w:t>L</w:t>
      </w:r>
      <w:r w:rsidR="00087D8C">
        <w:rPr>
          <w:lang w:val="fr-FR"/>
        </w:rPr>
        <w:t>’</w:t>
      </w:r>
      <w:r w:rsidR="00944FB2">
        <w:rPr>
          <w:lang w:val="fr-FR"/>
        </w:rPr>
        <w:t>article </w:t>
      </w:r>
      <w:r w:rsidRPr="00383908">
        <w:rPr>
          <w:lang w:val="fr-FR"/>
        </w:rPr>
        <w:t xml:space="preserve">11 de la Convention prévoit que la Conférence des Parties définit des seuils </w:t>
      </w:r>
      <w:r w:rsidR="00C3576C">
        <w:rPr>
          <w:lang w:val="fr-FR"/>
        </w:rPr>
        <w:t>applicables aux</w:t>
      </w:r>
      <w:r w:rsidRPr="00383908">
        <w:rPr>
          <w:lang w:val="fr-FR"/>
        </w:rPr>
        <w:t xml:space="preserve"> déchets de mercure en collaboration avec les organes compétents de la Co</w:t>
      </w:r>
      <w:r w:rsidR="008A3216">
        <w:rPr>
          <w:lang w:val="fr-FR"/>
        </w:rPr>
        <w:t>nvention de </w:t>
      </w:r>
      <w:r w:rsidR="00944FB2">
        <w:rPr>
          <w:lang w:val="fr-FR"/>
        </w:rPr>
        <w:t>Bâle. À sa première </w:t>
      </w:r>
      <w:r w:rsidRPr="00383908">
        <w:rPr>
          <w:lang w:val="fr-FR"/>
        </w:rPr>
        <w:t>réunion, la Conférence des Parties a examiné la question et mis en place un pr</w:t>
      </w:r>
      <w:r w:rsidR="00944FB2">
        <w:rPr>
          <w:lang w:val="fr-FR"/>
        </w:rPr>
        <w:t>ocessus ouvert. Par la décision </w:t>
      </w:r>
      <w:r w:rsidRPr="00383908">
        <w:rPr>
          <w:lang w:val="fr-FR"/>
        </w:rPr>
        <w:t>MC</w:t>
      </w:r>
      <w:r w:rsidR="00436AB4">
        <w:rPr>
          <w:lang w:val="fr-FR"/>
        </w:rPr>
        <w:noBreakHyphen/>
      </w:r>
      <w:r w:rsidRPr="00383908">
        <w:rPr>
          <w:lang w:val="fr-FR"/>
        </w:rPr>
        <w:t>2/2 qu</w:t>
      </w:r>
      <w:r w:rsidR="00087D8C">
        <w:rPr>
          <w:lang w:val="fr-FR"/>
        </w:rPr>
        <w:t>’</w:t>
      </w:r>
      <w:r w:rsidRPr="00383908">
        <w:rPr>
          <w:lang w:val="fr-FR"/>
        </w:rPr>
        <w:t>elle a adoptée à sa deuxième réunion, la Conférence des Parties a créé un groupe d</w:t>
      </w:r>
      <w:r w:rsidR="00087D8C">
        <w:rPr>
          <w:lang w:val="fr-FR"/>
        </w:rPr>
        <w:t>’</w:t>
      </w:r>
      <w:r w:rsidRPr="00383908">
        <w:rPr>
          <w:lang w:val="fr-FR"/>
        </w:rPr>
        <w:t>experts techniques chargé de poursuivre la discussion sur les seuils applicables aux déchets de mercure au cours de la période intersessions et prié le secrétariat de lui faire rapport à sa troisième réunion sur les résultats des travaux du groupe d</w:t>
      </w:r>
      <w:r w:rsidR="00087D8C">
        <w:rPr>
          <w:lang w:val="fr-FR"/>
        </w:rPr>
        <w:t>’</w:t>
      </w:r>
      <w:r w:rsidRPr="00383908">
        <w:rPr>
          <w:lang w:val="fr-FR"/>
        </w:rPr>
        <w:t>experts techniques.</w:t>
      </w:r>
    </w:p>
    <w:p w14:paraId="1E25766B" w14:textId="4D4286AB" w:rsidR="005278CE" w:rsidRPr="00383908" w:rsidRDefault="005278CE" w:rsidP="00970339">
      <w:pPr>
        <w:pStyle w:val="Normalnumber"/>
        <w:numPr>
          <w:ilvl w:val="0"/>
          <w:numId w:val="6"/>
        </w:numPr>
        <w:tabs>
          <w:tab w:val="clear" w:pos="567"/>
          <w:tab w:val="num" w:pos="624"/>
        </w:tabs>
        <w:rPr>
          <w:lang w:val="fr-FR"/>
        </w:rPr>
      </w:pPr>
      <w:r w:rsidRPr="00383908">
        <w:rPr>
          <w:lang w:val="fr-FR"/>
        </w:rPr>
        <w:t>La Conférence des Parties est saisie d</w:t>
      </w:r>
      <w:r w:rsidR="00087D8C">
        <w:rPr>
          <w:lang w:val="fr-FR"/>
        </w:rPr>
        <w:t>’</w:t>
      </w:r>
      <w:r w:rsidRPr="00383908">
        <w:rPr>
          <w:lang w:val="fr-FR"/>
        </w:rPr>
        <w:t>une note du secrétariat sur la question (UNEP/MC/COP.3/7), qui comprend en annexes un projet de décision et un rapport du groupe d</w:t>
      </w:r>
      <w:r w:rsidR="00087D8C">
        <w:rPr>
          <w:lang w:val="fr-FR"/>
        </w:rPr>
        <w:t>’</w:t>
      </w:r>
      <w:r w:rsidRPr="00383908">
        <w:rPr>
          <w:lang w:val="fr-FR"/>
        </w:rPr>
        <w:t>experts techniques, ainsi qu</w:t>
      </w:r>
      <w:r w:rsidR="00087D8C">
        <w:rPr>
          <w:lang w:val="fr-FR"/>
        </w:rPr>
        <w:t>’</w:t>
      </w:r>
      <w:r w:rsidRPr="00383908">
        <w:rPr>
          <w:lang w:val="fr-FR"/>
        </w:rPr>
        <w:t xml:space="preserve">une note du secrétariat sur les listes de composés du mercure et de produits contenant du mercure ajouté (UNEP/MC/COP.3/INF/18) pour compléter ce rapport. </w:t>
      </w:r>
      <w:r w:rsidR="00944FB2">
        <w:rPr>
          <w:lang w:val="fr-FR"/>
        </w:rPr>
        <w:t>Elle </w:t>
      </w:r>
      <w:r w:rsidRPr="00383908">
        <w:rPr>
          <w:lang w:val="fr-FR"/>
        </w:rPr>
        <w:t>souhaitera peut</w:t>
      </w:r>
      <w:r w:rsidR="00436AB4">
        <w:rPr>
          <w:lang w:val="fr-FR"/>
        </w:rPr>
        <w:noBreakHyphen/>
      </w:r>
      <w:r w:rsidRPr="00383908">
        <w:rPr>
          <w:lang w:val="fr-FR"/>
        </w:rPr>
        <w:t>être examiner les progrès accomplis pendant l</w:t>
      </w:r>
      <w:r w:rsidR="00087D8C">
        <w:rPr>
          <w:lang w:val="fr-FR"/>
        </w:rPr>
        <w:t>’</w:t>
      </w:r>
      <w:r w:rsidRPr="00383908">
        <w:rPr>
          <w:lang w:val="fr-FR"/>
        </w:rPr>
        <w:t>intersession, examiner le projet de décision et convenir de travaux futurs sur la question.</w:t>
      </w:r>
    </w:p>
    <w:p w14:paraId="1E3CBB65" w14:textId="33C972DA" w:rsidR="005278CE" w:rsidRPr="00383908" w:rsidRDefault="00B54A19" w:rsidP="005278CE">
      <w:pPr>
        <w:pStyle w:val="CH3"/>
        <w:spacing w:before="240"/>
        <w:ind w:left="0" w:firstLine="0"/>
        <w:rPr>
          <w:lang w:val="fr-FR"/>
        </w:rPr>
      </w:pPr>
      <w:r w:rsidRPr="00383908">
        <w:rPr>
          <w:lang w:val="fr-FR"/>
        </w:rPr>
        <w:tab/>
      </w:r>
      <w:r w:rsidR="005278CE" w:rsidRPr="00383908">
        <w:rPr>
          <w:lang w:val="fr-FR"/>
        </w:rPr>
        <w:t>d)</w:t>
      </w:r>
      <w:r w:rsidR="005278CE" w:rsidRPr="00383908">
        <w:rPr>
          <w:lang w:val="fr-FR"/>
        </w:rPr>
        <w:tab/>
      </w:r>
      <w:r w:rsidR="005278CE" w:rsidRPr="00383908">
        <w:rPr>
          <w:bCs/>
          <w:lang w:val="fr-FR"/>
        </w:rPr>
        <w:t>Orientations sur la gestion des sites contaminés</w:t>
      </w:r>
    </w:p>
    <w:p w14:paraId="1AEDC0F9" w14:textId="2113210F" w:rsidR="005278CE" w:rsidRPr="00383908" w:rsidRDefault="005278CE" w:rsidP="00970339">
      <w:pPr>
        <w:pStyle w:val="Normalnumber"/>
        <w:numPr>
          <w:ilvl w:val="0"/>
          <w:numId w:val="6"/>
        </w:numPr>
        <w:tabs>
          <w:tab w:val="clear" w:pos="567"/>
          <w:tab w:val="num" w:pos="624"/>
        </w:tabs>
        <w:rPr>
          <w:lang w:val="fr-FR"/>
        </w:rPr>
      </w:pPr>
      <w:r w:rsidRPr="00383908">
        <w:rPr>
          <w:lang w:val="fr-FR"/>
        </w:rPr>
        <w:t>L</w:t>
      </w:r>
      <w:r w:rsidR="00087D8C">
        <w:rPr>
          <w:lang w:val="fr-FR"/>
        </w:rPr>
        <w:t>’</w:t>
      </w:r>
      <w:r w:rsidR="00944FB2">
        <w:rPr>
          <w:lang w:val="fr-FR"/>
        </w:rPr>
        <w:t>article </w:t>
      </w:r>
      <w:r w:rsidRPr="00383908">
        <w:rPr>
          <w:lang w:val="fr-FR"/>
        </w:rPr>
        <w:t xml:space="preserve">12 de la Convention prévoit que la Conférence des Parties adopte des orientations sur la gestion des sites contaminés. </w:t>
      </w:r>
      <w:r w:rsidR="00180330" w:rsidRPr="00383908">
        <w:rPr>
          <w:lang w:val="fr-FR"/>
        </w:rPr>
        <w:t>À</w:t>
      </w:r>
      <w:r w:rsidR="00944FB2">
        <w:rPr>
          <w:lang w:val="fr-FR"/>
        </w:rPr>
        <w:t xml:space="preserve"> sa deuxième </w:t>
      </w:r>
      <w:r w:rsidRPr="00383908">
        <w:rPr>
          <w:lang w:val="fr-FR"/>
        </w:rPr>
        <w:t>réunion, la Conférence des Parties a examiné le projet d</w:t>
      </w:r>
      <w:r w:rsidR="00087D8C">
        <w:rPr>
          <w:lang w:val="fr-FR"/>
        </w:rPr>
        <w:t>’</w:t>
      </w:r>
      <w:r w:rsidRPr="00383908">
        <w:rPr>
          <w:lang w:val="fr-FR"/>
        </w:rPr>
        <w:t xml:space="preserve">orientations sur la gestion des sites contaminés par le mercure et les composés </w:t>
      </w:r>
      <w:r w:rsidR="00944FB2">
        <w:rPr>
          <w:lang w:val="fr-FR"/>
        </w:rPr>
        <w:t>du mercure et, dans sa décision </w:t>
      </w:r>
      <w:r w:rsidRPr="00383908">
        <w:rPr>
          <w:lang w:val="fr-FR"/>
        </w:rPr>
        <w:t>MC</w:t>
      </w:r>
      <w:r w:rsidR="00436AB4">
        <w:rPr>
          <w:lang w:val="fr-FR"/>
        </w:rPr>
        <w:noBreakHyphen/>
      </w:r>
      <w:r w:rsidRPr="00383908">
        <w:rPr>
          <w:lang w:val="fr-FR"/>
        </w:rPr>
        <w:t>2/8, a prié le secrétariat d</w:t>
      </w:r>
      <w:r w:rsidR="00087D8C">
        <w:rPr>
          <w:lang w:val="fr-FR"/>
        </w:rPr>
        <w:t>’</w:t>
      </w:r>
      <w:r w:rsidRPr="00383908">
        <w:rPr>
          <w:lang w:val="fr-FR"/>
        </w:rPr>
        <w:t>inviter les Parties et les parties prenantes à soumettre des observations et informations supplémentaires pour compléter et améliorer le projet d</w:t>
      </w:r>
      <w:r w:rsidR="00087D8C">
        <w:rPr>
          <w:lang w:val="fr-FR"/>
        </w:rPr>
        <w:t>’</w:t>
      </w:r>
      <w:r w:rsidR="00944FB2">
        <w:rPr>
          <w:lang w:val="fr-FR"/>
        </w:rPr>
        <w:t>orientations. Elle </w:t>
      </w:r>
      <w:r w:rsidRPr="00383908">
        <w:rPr>
          <w:lang w:val="fr-FR"/>
        </w:rPr>
        <w:t>a prié le secrétariat de réviser le projet d</w:t>
      </w:r>
      <w:r w:rsidR="00087D8C">
        <w:rPr>
          <w:lang w:val="fr-FR"/>
        </w:rPr>
        <w:t>’</w:t>
      </w:r>
      <w:r w:rsidRPr="00383908">
        <w:rPr>
          <w:lang w:val="fr-FR"/>
        </w:rPr>
        <w:t>orientation à la lumière</w:t>
      </w:r>
      <w:r w:rsidR="00944FB2">
        <w:rPr>
          <w:lang w:val="fr-FR"/>
        </w:rPr>
        <w:t xml:space="preserve"> des observations formulées, de </w:t>
      </w:r>
      <w:r w:rsidRPr="00383908">
        <w:rPr>
          <w:lang w:val="fr-FR"/>
        </w:rPr>
        <w:t>sorte qu</w:t>
      </w:r>
      <w:r w:rsidR="00087D8C">
        <w:rPr>
          <w:lang w:val="fr-FR"/>
        </w:rPr>
        <w:t>’</w:t>
      </w:r>
      <w:r w:rsidR="00252450">
        <w:rPr>
          <w:lang w:val="fr-FR"/>
        </w:rPr>
        <w:t>elle</w:t>
      </w:r>
      <w:r w:rsidRPr="00383908">
        <w:rPr>
          <w:lang w:val="fr-FR"/>
        </w:rPr>
        <w:t xml:space="preserve"> l</w:t>
      </w:r>
      <w:r w:rsidR="00087D8C">
        <w:rPr>
          <w:lang w:val="fr-FR"/>
        </w:rPr>
        <w:t>’</w:t>
      </w:r>
      <w:r w:rsidRPr="00383908">
        <w:rPr>
          <w:lang w:val="fr-FR"/>
        </w:rPr>
        <w:t>examine à sa troisième réunion.</w:t>
      </w:r>
    </w:p>
    <w:p w14:paraId="2E10DB89" w14:textId="11F45F7A" w:rsidR="005278CE" w:rsidRPr="00383908" w:rsidRDefault="005278CE" w:rsidP="00970339">
      <w:pPr>
        <w:pStyle w:val="Normalnumber"/>
        <w:numPr>
          <w:ilvl w:val="0"/>
          <w:numId w:val="6"/>
        </w:numPr>
        <w:tabs>
          <w:tab w:val="clear" w:pos="567"/>
          <w:tab w:val="num" w:pos="624"/>
        </w:tabs>
        <w:rPr>
          <w:lang w:val="fr-FR"/>
        </w:rPr>
      </w:pPr>
      <w:r w:rsidRPr="00383908">
        <w:rPr>
          <w:lang w:val="fr-FR"/>
        </w:rPr>
        <w:t>La Conférence des Parties est saisie d</w:t>
      </w:r>
      <w:r w:rsidR="00087D8C">
        <w:rPr>
          <w:lang w:val="fr-FR"/>
        </w:rPr>
        <w:t>’</w:t>
      </w:r>
      <w:r w:rsidRPr="00383908">
        <w:rPr>
          <w:lang w:val="fr-FR"/>
        </w:rPr>
        <w:t>une note du secrétariat (UNEP/MC/COP.3/8), qui contient en annexes un projet d</w:t>
      </w:r>
      <w:r w:rsidR="00087D8C">
        <w:rPr>
          <w:lang w:val="fr-FR"/>
        </w:rPr>
        <w:t>’</w:t>
      </w:r>
      <w:r w:rsidRPr="00383908">
        <w:rPr>
          <w:lang w:val="fr-FR"/>
        </w:rPr>
        <w:t>orientations révisées sur la gestion des sites contaminés, établi par le secrétariat en consultation avec des experts, ainsi qu</w:t>
      </w:r>
      <w:r w:rsidR="00087D8C">
        <w:rPr>
          <w:lang w:val="fr-FR"/>
        </w:rPr>
        <w:t>’</w:t>
      </w:r>
      <w:r w:rsidRPr="00383908">
        <w:rPr>
          <w:lang w:val="fr-FR"/>
        </w:rPr>
        <w:t>un projet de décision accompagné d</w:t>
      </w:r>
      <w:r w:rsidR="00087D8C">
        <w:rPr>
          <w:lang w:val="fr-FR"/>
        </w:rPr>
        <w:t>’</w:t>
      </w:r>
      <w:r w:rsidRPr="00383908">
        <w:rPr>
          <w:lang w:val="fr-FR"/>
        </w:rPr>
        <w:t>informations techniques complémentaires sur cette question (UNEP/MC/COP.3/INF/13). La Conférence des Parties souhaitera peut</w:t>
      </w:r>
      <w:r w:rsidR="00436AB4">
        <w:rPr>
          <w:lang w:val="fr-FR"/>
        </w:rPr>
        <w:noBreakHyphen/>
      </w:r>
      <w:r w:rsidRPr="00383908">
        <w:rPr>
          <w:lang w:val="fr-FR"/>
        </w:rPr>
        <w:t>être examiner le projet d</w:t>
      </w:r>
      <w:r w:rsidR="00087D8C">
        <w:rPr>
          <w:lang w:val="fr-FR"/>
        </w:rPr>
        <w:t>’</w:t>
      </w:r>
      <w:r w:rsidRPr="00383908">
        <w:rPr>
          <w:lang w:val="fr-FR"/>
        </w:rPr>
        <w:t>orientations et, éventuellement, l</w:t>
      </w:r>
      <w:r w:rsidR="00087D8C">
        <w:rPr>
          <w:lang w:val="fr-FR"/>
        </w:rPr>
        <w:t>’</w:t>
      </w:r>
      <w:r w:rsidRPr="00383908">
        <w:rPr>
          <w:lang w:val="fr-FR"/>
        </w:rPr>
        <w:t>adopter.</w:t>
      </w:r>
    </w:p>
    <w:p w14:paraId="57C2F0C2" w14:textId="753AED0F" w:rsidR="005278CE" w:rsidRPr="00383908" w:rsidRDefault="00B54A19" w:rsidP="005278CE">
      <w:pPr>
        <w:pStyle w:val="CH3"/>
        <w:spacing w:before="240"/>
        <w:ind w:left="0" w:firstLine="0"/>
        <w:rPr>
          <w:lang w:val="fr-FR"/>
        </w:rPr>
      </w:pPr>
      <w:r w:rsidRPr="00383908">
        <w:rPr>
          <w:lang w:val="fr-FR"/>
        </w:rPr>
        <w:tab/>
      </w:r>
      <w:r w:rsidR="005278CE" w:rsidRPr="00383908">
        <w:rPr>
          <w:lang w:val="fr-FR"/>
        </w:rPr>
        <w:t>e)</w:t>
      </w:r>
      <w:r w:rsidR="005278CE" w:rsidRPr="00383908">
        <w:rPr>
          <w:lang w:val="fr-FR"/>
        </w:rPr>
        <w:tab/>
      </w:r>
      <w:r w:rsidR="005278CE" w:rsidRPr="00383908">
        <w:rPr>
          <w:bCs/>
          <w:lang w:val="fr-FR"/>
        </w:rPr>
        <w:t>Mécanisme de financement</w:t>
      </w:r>
    </w:p>
    <w:p w14:paraId="6C9B2215" w14:textId="08E2E162" w:rsidR="005278CE" w:rsidRPr="00383908" w:rsidRDefault="005278CE" w:rsidP="00970339">
      <w:pPr>
        <w:pStyle w:val="Normalnumber"/>
        <w:numPr>
          <w:ilvl w:val="0"/>
          <w:numId w:val="6"/>
        </w:numPr>
        <w:tabs>
          <w:tab w:val="clear" w:pos="567"/>
          <w:tab w:val="num" w:pos="624"/>
        </w:tabs>
        <w:rPr>
          <w:lang w:val="fr-FR"/>
        </w:rPr>
      </w:pPr>
      <w:r w:rsidRPr="00383908">
        <w:rPr>
          <w:lang w:val="fr-FR"/>
        </w:rPr>
        <w:t>L</w:t>
      </w:r>
      <w:r w:rsidR="00087D8C">
        <w:rPr>
          <w:lang w:val="fr-FR"/>
        </w:rPr>
        <w:t>’</w:t>
      </w:r>
      <w:r w:rsidRPr="00383908">
        <w:rPr>
          <w:lang w:val="fr-FR"/>
        </w:rPr>
        <w:t>article 13 de la Convention prévoit un mécanisme destiné à fournir en temps voulu des ressources financières adéquates et prévisibles, qui comprend la Caisse du Fonds pour l</w:t>
      </w:r>
      <w:r w:rsidR="00087D8C">
        <w:rPr>
          <w:lang w:val="fr-FR"/>
        </w:rPr>
        <w:t>’</w:t>
      </w:r>
      <w:r w:rsidRPr="00383908">
        <w:rPr>
          <w:lang w:val="fr-FR"/>
        </w:rPr>
        <w:t>environnement mondial (FEM) et un programme international spécifique visant à soutenir le renforcement des capacités et l</w:t>
      </w:r>
      <w:r w:rsidR="00087D8C">
        <w:rPr>
          <w:lang w:val="fr-FR"/>
        </w:rPr>
        <w:t>’</w:t>
      </w:r>
      <w:r w:rsidRPr="00383908">
        <w:rPr>
          <w:lang w:val="fr-FR"/>
        </w:rPr>
        <w:t xml:space="preserve">assistance technique qui, aux fins de la </w:t>
      </w:r>
      <w:r w:rsidR="008A3216">
        <w:rPr>
          <w:lang w:val="fr-FR"/>
        </w:rPr>
        <w:t>Convention, sont placés sous la </w:t>
      </w:r>
      <w:r w:rsidRPr="00383908">
        <w:rPr>
          <w:lang w:val="fr-FR"/>
        </w:rPr>
        <w:t>direction de la Conférence des Parties</w:t>
      </w:r>
      <w:r w:rsidR="00B54A19" w:rsidRPr="00383908">
        <w:rPr>
          <w:lang w:val="fr-FR"/>
        </w:rPr>
        <w:t xml:space="preserve"> à laquelle ils rendent compte.</w:t>
      </w:r>
    </w:p>
    <w:p w14:paraId="16777724" w14:textId="35E5276F" w:rsidR="005278CE" w:rsidRPr="00383908" w:rsidRDefault="00B54A19" w:rsidP="005278CE">
      <w:pPr>
        <w:pStyle w:val="CH3"/>
        <w:spacing w:before="240"/>
        <w:ind w:left="0" w:firstLine="0"/>
        <w:rPr>
          <w:b w:val="0"/>
          <w:bCs/>
          <w:lang w:val="fr-FR"/>
        </w:rPr>
      </w:pPr>
      <w:r w:rsidRPr="00383908">
        <w:rPr>
          <w:lang w:val="fr-FR"/>
        </w:rPr>
        <w:tab/>
      </w:r>
      <w:r w:rsidR="005278CE" w:rsidRPr="00383908">
        <w:rPr>
          <w:lang w:val="fr-FR"/>
        </w:rPr>
        <w:t>i)</w:t>
      </w:r>
      <w:r w:rsidR="005278CE" w:rsidRPr="00383908">
        <w:rPr>
          <w:lang w:val="fr-FR"/>
        </w:rPr>
        <w:tab/>
      </w:r>
      <w:r w:rsidR="005278CE" w:rsidRPr="00383908">
        <w:rPr>
          <w:bCs/>
          <w:lang w:val="fr-FR"/>
        </w:rPr>
        <w:t>Fonds pour l</w:t>
      </w:r>
      <w:r w:rsidR="00087D8C">
        <w:rPr>
          <w:bCs/>
          <w:lang w:val="fr-FR"/>
        </w:rPr>
        <w:t>’</w:t>
      </w:r>
      <w:r w:rsidR="005278CE" w:rsidRPr="00383908">
        <w:rPr>
          <w:bCs/>
          <w:lang w:val="fr-FR"/>
        </w:rPr>
        <w:t>environnement mondial</w:t>
      </w:r>
    </w:p>
    <w:p w14:paraId="00226F22" w14:textId="5DF18F19" w:rsidR="005278CE" w:rsidRPr="00383908" w:rsidRDefault="005278CE" w:rsidP="00970339">
      <w:pPr>
        <w:pStyle w:val="Normalnumber"/>
        <w:numPr>
          <w:ilvl w:val="0"/>
          <w:numId w:val="6"/>
        </w:numPr>
        <w:tabs>
          <w:tab w:val="clear" w:pos="567"/>
          <w:tab w:val="num" w:pos="624"/>
        </w:tabs>
        <w:rPr>
          <w:lang w:val="fr-FR"/>
        </w:rPr>
      </w:pPr>
      <w:r w:rsidRPr="00383908">
        <w:rPr>
          <w:lang w:val="fr-FR"/>
        </w:rPr>
        <w:t>Par sa décision MC</w:t>
      </w:r>
      <w:r w:rsidR="00436AB4">
        <w:rPr>
          <w:lang w:val="fr-FR"/>
        </w:rPr>
        <w:noBreakHyphen/>
      </w:r>
      <w:r w:rsidRPr="00383908">
        <w:rPr>
          <w:lang w:val="fr-FR"/>
        </w:rPr>
        <w:t xml:space="preserve">1/5, la Conférence des </w:t>
      </w:r>
      <w:r w:rsidR="00247982">
        <w:rPr>
          <w:lang w:val="fr-FR"/>
        </w:rPr>
        <w:t>Parties a, à sa première </w:t>
      </w:r>
      <w:r w:rsidRPr="00383908">
        <w:rPr>
          <w:lang w:val="fr-FR"/>
        </w:rPr>
        <w:t>réunion, adopté les orientations à l</w:t>
      </w:r>
      <w:r w:rsidR="00087D8C">
        <w:rPr>
          <w:lang w:val="fr-FR"/>
        </w:rPr>
        <w:t>’</w:t>
      </w:r>
      <w:r w:rsidRPr="00383908">
        <w:rPr>
          <w:lang w:val="fr-FR"/>
        </w:rPr>
        <w:t>intention du FEM sur les stratégies, politiques et priorités programmatiques globales ainsi que sur les conditions requises pour avoir accès aux ressources financières et utiliser ces dernières, et sur une liste indicative des catégories d</w:t>
      </w:r>
      <w:r w:rsidR="00087D8C">
        <w:rPr>
          <w:lang w:val="fr-FR"/>
        </w:rPr>
        <w:t>’</w:t>
      </w:r>
      <w:r w:rsidRPr="00383908">
        <w:rPr>
          <w:lang w:val="fr-FR"/>
        </w:rPr>
        <w:t xml:space="preserve">activités qui pourraient bénéficier du soutien de </w:t>
      </w:r>
      <w:r w:rsidR="00247982">
        <w:rPr>
          <w:lang w:val="fr-FR"/>
        </w:rPr>
        <w:t>la Caisse du FEM. À sa deuxième </w:t>
      </w:r>
      <w:r w:rsidRPr="00383908">
        <w:rPr>
          <w:lang w:val="fr-FR"/>
        </w:rPr>
        <w:t>réunion, la Conférence des Parties a adopté le mémorandum d</w:t>
      </w:r>
      <w:r w:rsidR="00087D8C">
        <w:rPr>
          <w:lang w:val="fr-FR"/>
        </w:rPr>
        <w:t>’</w:t>
      </w:r>
      <w:r w:rsidRPr="00383908">
        <w:rPr>
          <w:lang w:val="fr-FR"/>
        </w:rPr>
        <w:t>accord entre celle</w:t>
      </w:r>
      <w:r w:rsidR="00436AB4">
        <w:rPr>
          <w:lang w:val="fr-FR"/>
        </w:rPr>
        <w:noBreakHyphen/>
      </w:r>
      <w:r w:rsidRPr="00383908">
        <w:rPr>
          <w:lang w:val="fr-FR"/>
        </w:rPr>
        <w:t>ci et le Conseil</w:t>
      </w:r>
      <w:r w:rsidR="00B54A19" w:rsidRPr="00383908">
        <w:rPr>
          <w:lang w:val="fr-FR"/>
        </w:rPr>
        <w:t xml:space="preserve"> du FEM (UNEP/MC/COP.2/19, par. </w:t>
      </w:r>
      <w:r w:rsidRPr="00383908">
        <w:rPr>
          <w:lang w:val="fr-FR"/>
        </w:rPr>
        <w:t>83). Le mémorandum d</w:t>
      </w:r>
      <w:r w:rsidR="00087D8C">
        <w:rPr>
          <w:lang w:val="fr-FR"/>
        </w:rPr>
        <w:t>’</w:t>
      </w:r>
      <w:r w:rsidRPr="00383908">
        <w:rPr>
          <w:lang w:val="fr-FR"/>
        </w:rPr>
        <w:t>accord est entré en vigueur dès son approbation par le Conseil du FEM à sa cinquante</w:t>
      </w:r>
      <w:r w:rsidR="00436AB4">
        <w:rPr>
          <w:lang w:val="fr-FR"/>
        </w:rPr>
        <w:noBreakHyphen/>
      </w:r>
      <w:r w:rsidR="00B54A19" w:rsidRPr="00383908">
        <w:rPr>
          <w:lang w:val="fr-FR"/>
        </w:rPr>
        <w:t>sixième réunion, tenue en juin </w:t>
      </w:r>
      <w:r w:rsidRPr="00383908">
        <w:rPr>
          <w:lang w:val="fr-FR"/>
        </w:rPr>
        <w:t>2019.</w:t>
      </w:r>
    </w:p>
    <w:p w14:paraId="440E10AA" w14:textId="62E7380D" w:rsidR="005278CE" w:rsidRPr="00383908" w:rsidRDefault="005278CE" w:rsidP="00970339">
      <w:pPr>
        <w:pStyle w:val="Normalnumber"/>
        <w:numPr>
          <w:ilvl w:val="0"/>
          <w:numId w:val="6"/>
        </w:numPr>
        <w:tabs>
          <w:tab w:val="clear" w:pos="567"/>
          <w:tab w:val="num" w:pos="624"/>
        </w:tabs>
        <w:rPr>
          <w:lang w:val="fr-FR"/>
        </w:rPr>
      </w:pPr>
      <w:r w:rsidRPr="00383908">
        <w:rPr>
          <w:lang w:val="fr-FR"/>
        </w:rPr>
        <w:lastRenderedPageBreak/>
        <w:t>La Conférence des Parties est saisie d</w:t>
      </w:r>
      <w:r w:rsidR="00087D8C">
        <w:rPr>
          <w:lang w:val="fr-FR"/>
        </w:rPr>
        <w:t>’</w:t>
      </w:r>
      <w:r w:rsidRPr="00383908">
        <w:rPr>
          <w:lang w:val="fr-FR"/>
        </w:rPr>
        <w:t>une note du secrétariat faisant le point sur des questions relatives au FEM (UNEP/MC/COP.3/</w:t>
      </w:r>
      <w:r w:rsidR="00383908" w:rsidRPr="00383908">
        <w:rPr>
          <w:lang w:val="fr-FR"/>
        </w:rPr>
        <w:t>9 ;</w:t>
      </w:r>
      <w:r w:rsidRPr="00383908">
        <w:rPr>
          <w:lang w:val="fr-FR"/>
        </w:rPr>
        <w:t xml:space="preserve"> UNEP/MC/COP.3/9/Add.1) et du rapport du Conseil du FEM à la Conférence des Parties à sa troisième réunion (UNEP/MC/COP.3/INF/2). La Conférence des Parties souhaitera peut</w:t>
      </w:r>
      <w:r w:rsidR="00436AB4">
        <w:rPr>
          <w:lang w:val="fr-FR"/>
        </w:rPr>
        <w:noBreakHyphen/>
      </w:r>
      <w:r w:rsidRPr="00383908">
        <w:rPr>
          <w:lang w:val="fr-FR"/>
        </w:rPr>
        <w:t>être examiner les informations communiquées.</w:t>
      </w:r>
    </w:p>
    <w:p w14:paraId="6AA23521" w14:textId="5AA43684" w:rsidR="005278CE" w:rsidRPr="00383908" w:rsidRDefault="00927404" w:rsidP="00927404">
      <w:pPr>
        <w:pStyle w:val="CH3"/>
        <w:spacing w:before="240"/>
        <w:ind w:left="1276" w:hanging="1276"/>
        <w:rPr>
          <w:b w:val="0"/>
          <w:bCs/>
          <w:lang w:val="fr-FR"/>
        </w:rPr>
      </w:pPr>
      <w:r>
        <w:rPr>
          <w:lang w:val="fr-FR"/>
        </w:rPr>
        <w:tab/>
      </w:r>
      <w:r w:rsidR="005278CE" w:rsidRPr="00383908">
        <w:rPr>
          <w:lang w:val="fr-FR"/>
        </w:rPr>
        <w:t>ii)</w:t>
      </w:r>
      <w:r w:rsidR="005278CE" w:rsidRPr="00383908">
        <w:rPr>
          <w:lang w:val="fr-FR"/>
        </w:rPr>
        <w:tab/>
      </w:r>
      <w:r w:rsidR="005278CE" w:rsidRPr="00383908">
        <w:rPr>
          <w:bCs/>
          <w:lang w:val="fr-FR"/>
        </w:rPr>
        <w:t>Programme international spécifique visant à soutenir le renforcement des capacités et l</w:t>
      </w:r>
      <w:r w:rsidR="00087D8C">
        <w:rPr>
          <w:bCs/>
          <w:lang w:val="fr-FR"/>
        </w:rPr>
        <w:t>’</w:t>
      </w:r>
      <w:r w:rsidR="005278CE" w:rsidRPr="00383908">
        <w:rPr>
          <w:bCs/>
          <w:lang w:val="fr-FR"/>
        </w:rPr>
        <w:t>assistance technique</w:t>
      </w:r>
    </w:p>
    <w:p w14:paraId="6BDD2660" w14:textId="383AF7E4" w:rsidR="005278CE" w:rsidRPr="00383908" w:rsidRDefault="00247982" w:rsidP="00970339">
      <w:pPr>
        <w:pStyle w:val="Normalnumber"/>
        <w:numPr>
          <w:ilvl w:val="0"/>
          <w:numId w:val="6"/>
        </w:numPr>
        <w:tabs>
          <w:tab w:val="clear" w:pos="567"/>
          <w:tab w:val="num" w:pos="624"/>
        </w:tabs>
        <w:rPr>
          <w:lang w:val="fr-FR"/>
        </w:rPr>
      </w:pPr>
      <w:r>
        <w:rPr>
          <w:lang w:val="fr-FR"/>
        </w:rPr>
        <w:t>Par la décision </w:t>
      </w:r>
      <w:r w:rsidR="005278CE" w:rsidRPr="00383908">
        <w:rPr>
          <w:lang w:val="fr-FR"/>
        </w:rPr>
        <w:t>MC</w:t>
      </w:r>
      <w:r w:rsidR="00436AB4">
        <w:rPr>
          <w:lang w:val="fr-FR"/>
        </w:rPr>
        <w:noBreakHyphen/>
      </w:r>
      <w:r w:rsidR="005278CE" w:rsidRPr="00383908">
        <w:rPr>
          <w:lang w:val="fr-FR"/>
        </w:rPr>
        <w:t>1/6 adoptée à sa première réunion, la Conférence des Parties a décidé que le PNUE accueillerait le Programme international spécifique et a approuvé les dispositions en matière d</w:t>
      </w:r>
      <w:r w:rsidR="00087D8C">
        <w:rPr>
          <w:lang w:val="fr-FR"/>
        </w:rPr>
        <w:t>’</w:t>
      </w:r>
      <w:r w:rsidR="005278CE" w:rsidRPr="00383908">
        <w:rPr>
          <w:lang w:val="fr-FR"/>
        </w:rPr>
        <w:t xml:space="preserve">accueil ainsi que les orientations relatives au fonctionnement, à la durée et au mandat du Programme. </w:t>
      </w:r>
      <w:r w:rsidR="007E660C">
        <w:rPr>
          <w:lang w:val="fr-FR"/>
        </w:rPr>
        <w:t>Elle</w:t>
      </w:r>
      <w:r w:rsidR="005278CE" w:rsidRPr="00383908">
        <w:rPr>
          <w:lang w:val="fr-FR"/>
        </w:rPr>
        <w:t xml:space="preserve"> a également prié le Directeur exécutif du PNUE de créer un fonds d</w:t>
      </w:r>
      <w:r w:rsidR="00087D8C">
        <w:rPr>
          <w:lang w:val="fr-FR"/>
        </w:rPr>
        <w:t>’</w:t>
      </w:r>
      <w:r w:rsidR="005278CE" w:rsidRPr="00383908">
        <w:rPr>
          <w:lang w:val="fr-FR"/>
        </w:rPr>
        <w:t>affectation spéciale destiné à financer le Programme et de mettre en œuvre les arrangements en matière de gouvernance figurant dans les annexes à la décision. En conséquence, le fonds d</w:t>
      </w:r>
      <w:r w:rsidR="00087D8C">
        <w:rPr>
          <w:lang w:val="fr-FR"/>
        </w:rPr>
        <w:t>’</w:t>
      </w:r>
      <w:r w:rsidR="005278CE" w:rsidRPr="00383908">
        <w:rPr>
          <w:lang w:val="fr-FR"/>
        </w:rPr>
        <w:t>affectation spéciale pour le Programme international spécifique a été créé.</w:t>
      </w:r>
    </w:p>
    <w:p w14:paraId="1E162697" w14:textId="664D1DD4" w:rsidR="005278CE" w:rsidRPr="00383908" w:rsidRDefault="005278CE" w:rsidP="00970339">
      <w:pPr>
        <w:pStyle w:val="Normalnumber"/>
        <w:numPr>
          <w:ilvl w:val="0"/>
          <w:numId w:val="6"/>
        </w:numPr>
        <w:tabs>
          <w:tab w:val="clear" w:pos="567"/>
          <w:tab w:val="num" w:pos="624"/>
        </w:tabs>
        <w:rPr>
          <w:lang w:val="fr-FR"/>
        </w:rPr>
      </w:pPr>
      <w:r w:rsidRPr="00383908">
        <w:rPr>
          <w:lang w:val="fr-FR"/>
        </w:rPr>
        <w:t>La Conférence des Parties est saisie d</w:t>
      </w:r>
      <w:r w:rsidR="00087D8C">
        <w:rPr>
          <w:lang w:val="fr-FR"/>
        </w:rPr>
        <w:t>’</w:t>
      </w:r>
      <w:r w:rsidRPr="00383908">
        <w:rPr>
          <w:lang w:val="fr-FR"/>
        </w:rPr>
        <w:t xml:space="preserve">un rapport sur </w:t>
      </w:r>
      <w:r w:rsidR="00D671B9">
        <w:rPr>
          <w:lang w:val="fr-FR"/>
        </w:rPr>
        <w:t xml:space="preserve">les questions liées au </w:t>
      </w:r>
      <w:r w:rsidRPr="00383908">
        <w:rPr>
          <w:lang w:val="fr-FR"/>
        </w:rPr>
        <w:t xml:space="preserve">Programme </w:t>
      </w:r>
      <w:r w:rsidR="00D671B9">
        <w:rPr>
          <w:lang w:val="fr-FR"/>
        </w:rPr>
        <w:t xml:space="preserve">spécifique international </w:t>
      </w:r>
      <w:r w:rsidRPr="00383908">
        <w:rPr>
          <w:lang w:val="fr-FR"/>
        </w:rPr>
        <w:t>(UNEP/MC/COP.3/</w:t>
      </w:r>
      <w:r w:rsidR="00383908">
        <w:rPr>
          <w:lang w:val="fr-FR"/>
        </w:rPr>
        <w:t>10</w:t>
      </w:r>
      <w:r w:rsidR="00D671B9">
        <w:rPr>
          <w:lang w:val="fr-FR"/>
        </w:rPr>
        <w:t xml:space="preserve"> et Corr.1</w:t>
      </w:r>
      <w:r w:rsidR="00383908">
        <w:rPr>
          <w:lang w:val="fr-FR"/>
        </w:rPr>
        <w:t> </w:t>
      </w:r>
      <w:r w:rsidR="00383908" w:rsidRPr="00383908">
        <w:rPr>
          <w:lang w:val="fr-FR"/>
        </w:rPr>
        <w:t>;</w:t>
      </w:r>
      <w:r w:rsidRPr="00383908">
        <w:rPr>
          <w:lang w:val="fr-FR"/>
        </w:rPr>
        <w:t xml:space="preserve"> UNEP/MC/COP.3/10/Add.1) et, à titre d</w:t>
      </w:r>
      <w:r w:rsidR="00087D8C">
        <w:rPr>
          <w:lang w:val="fr-FR"/>
        </w:rPr>
        <w:t>’</w:t>
      </w:r>
      <w:r w:rsidRPr="00383908">
        <w:rPr>
          <w:lang w:val="fr-FR"/>
        </w:rPr>
        <w:t xml:space="preserve">information, des directives relatives à la présentation de projets pour le deuxième cycle de dépôt de demandes au titre du Programme (UNEP/MC/COP.3/INF/3). </w:t>
      </w:r>
      <w:r w:rsidR="00016D10">
        <w:rPr>
          <w:lang w:val="fr-FR"/>
        </w:rPr>
        <w:t>Elle</w:t>
      </w:r>
      <w:r w:rsidRPr="00383908">
        <w:rPr>
          <w:lang w:val="fr-FR"/>
        </w:rPr>
        <w:t xml:space="preserve"> souhaitera peut</w:t>
      </w:r>
      <w:r w:rsidR="00436AB4">
        <w:rPr>
          <w:lang w:val="fr-FR"/>
        </w:rPr>
        <w:noBreakHyphen/>
      </w:r>
      <w:r w:rsidRPr="00383908">
        <w:rPr>
          <w:lang w:val="fr-FR"/>
        </w:rPr>
        <w:t>être examiner les informations fournies et confirmer la composition du Conseil d</w:t>
      </w:r>
      <w:r w:rsidR="00087D8C">
        <w:rPr>
          <w:lang w:val="fr-FR"/>
        </w:rPr>
        <w:t>’</w:t>
      </w:r>
      <w:r w:rsidRPr="00383908">
        <w:rPr>
          <w:lang w:val="fr-FR"/>
        </w:rPr>
        <w:t>administration du Programme pour le deuxième mandat lors d</w:t>
      </w:r>
      <w:r w:rsidR="00016D10">
        <w:rPr>
          <w:lang w:val="fr-FR"/>
        </w:rPr>
        <w:t>e la désignation des membres à s</w:t>
      </w:r>
      <w:r w:rsidRPr="00383908">
        <w:rPr>
          <w:lang w:val="fr-FR"/>
        </w:rPr>
        <w:t>a troisième réunion.</w:t>
      </w:r>
    </w:p>
    <w:p w14:paraId="52D3301E" w14:textId="0AE6BC3E" w:rsidR="005278CE" w:rsidRPr="00383908" w:rsidRDefault="00B54A19" w:rsidP="005278CE">
      <w:pPr>
        <w:pStyle w:val="CH3"/>
        <w:spacing w:before="240"/>
        <w:ind w:left="0" w:firstLine="0"/>
        <w:rPr>
          <w:b w:val="0"/>
          <w:bCs/>
          <w:lang w:val="fr-FR"/>
        </w:rPr>
      </w:pPr>
      <w:r w:rsidRPr="00383908">
        <w:rPr>
          <w:lang w:val="fr-FR"/>
        </w:rPr>
        <w:tab/>
      </w:r>
      <w:r w:rsidR="005278CE" w:rsidRPr="00383908">
        <w:rPr>
          <w:lang w:val="fr-FR"/>
        </w:rPr>
        <w:t>iii)</w:t>
      </w:r>
      <w:r w:rsidR="005278CE" w:rsidRPr="00383908">
        <w:rPr>
          <w:lang w:val="fr-FR"/>
        </w:rPr>
        <w:tab/>
      </w:r>
      <w:r w:rsidR="005278CE" w:rsidRPr="00383908">
        <w:rPr>
          <w:bCs/>
          <w:lang w:val="fr-FR"/>
        </w:rPr>
        <w:t>Examen du mécanisme de financement</w:t>
      </w:r>
    </w:p>
    <w:p w14:paraId="0AE9D0C2" w14:textId="64F76B3E" w:rsidR="005278CE" w:rsidRPr="00383908" w:rsidRDefault="002878C8" w:rsidP="00970339">
      <w:pPr>
        <w:pStyle w:val="Normalnumber"/>
        <w:numPr>
          <w:ilvl w:val="0"/>
          <w:numId w:val="6"/>
        </w:numPr>
        <w:tabs>
          <w:tab w:val="clear" w:pos="567"/>
          <w:tab w:val="num" w:pos="624"/>
        </w:tabs>
        <w:rPr>
          <w:lang w:val="fr-FR"/>
        </w:rPr>
      </w:pPr>
      <w:r w:rsidRPr="00383908">
        <w:rPr>
          <w:lang w:val="fr-FR"/>
        </w:rPr>
        <w:t>La Conféren</w:t>
      </w:r>
      <w:r w:rsidR="00247982">
        <w:rPr>
          <w:lang w:val="fr-FR"/>
        </w:rPr>
        <w:t>ce des Parties a, à sa deuxième </w:t>
      </w:r>
      <w:r w:rsidRPr="00383908">
        <w:rPr>
          <w:lang w:val="fr-FR"/>
        </w:rPr>
        <w:t>réunion (tel qu</w:t>
      </w:r>
      <w:r w:rsidR="00087D8C">
        <w:rPr>
          <w:lang w:val="fr-FR"/>
        </w:rPr>
        <w:t>’</w:t>
      </w:r>
      <w:r w:rsidRPr="00383908">
        <w:rPr>
          <w:lang w:val="fr-FR"/>
        </w:rPr>
        <w:t>indiqué dans le rapport sur les travaux de cette r</w:t>
      </w:r>
      <w:r w:rsidR="00247982">
        <w:rPr>
          <w:lang w:val="fr-FR"/>
        </w:rPr>
        <w:t>éunion (UNEP/MC/COP.2/19), par. </w:t>
      </w:r>
      <w:r w:rsidRPr="00383908">
        <w:rPr>
          <w:lang w:val="fr-FR"/>
        </w:rPr>
        <w:t>120), prié le secr</w:t>
      </w:r>
      <w:r w:rsidR="008A3216">
        <w:rPr>
          <w:lang w:val="fr-FR"/>
        </w:rPr>
        <w:t>étariat de recueillir auprès du </w:t>
      </w:r>
      <w:r w:rsidRPr="00383908">
        <w:rPr>
          <w:lang w:val="fr-FR"/>
        </w:rPr>
        <w:t>FEM, du Programme international spécifique, des Parties et d</w:t>
      </w:r>
      <w:r w:rsidR="00087D8C">
        <w:rPr>
          <w:lang w:val="fr-FR"/>
        </w:rPr>
        <w:t>’</w:t>
      </w:r>
      <w:r w:rsidRPr="00383908">
        <w:rPr>
          <w:lang w:val="fr-FR"/>
        </w:rPr>
        <w:t>autres sources pertinentes les infor</w:t>
      </w:r>
      <w:r w:rsidR="00247982">
        <w:rPr>
          <w:lang w:val="fr-FR"/>
        </w:rPr>
        <w:t>mations énumérées au paragraphe </w:t>
      </w:r>
      <w:r w:rsidRPr="00383908">
        <w:rPr>
          <w:lang w:val="fr-FR"/>
        </w:rPr>
        <w:t>11 de l</w:t>
      </w:r>
      <w:r w:rsidR="00087D8C">
        <w:rPr>
          <w:lang w:val="fr-FR"/>
        </w:rPr>
        <w:t>’</w:t>
      </w:r>
      <w:r w:rsidR="00247982">
        <w:rPr>
          <w:lang w:val="fr-FR"/>
        </w:rPr>
        <w:t>article </w:t>
      </w:r>
      <w:r w:rsidRPr="00383908">
        <w:rPr>
          <w:lang w:val="fr-FR"/>
        </w:rPr>
        <w:t>13 de la Convention, qui étaient nécessaires pour l</w:t>
      </w:r>
      <w:r w:rsidR="00087D8C">
        <w:rPr>
          <w:lang w:val="fr-FR"/>
        </w:rPr>
        <w:t>’</w:t>
      </w:r>
      <w:r w:rsidRPr="00383908">
        <w:rPr>
          <w:lang w:val="fr-FR"/>
        </w:rPr>
        <w:t>examen du fonctionnement du mécanisme de financement de la Convention, et de lui présenter une synthèse de ces informations pour examen à sa troisième réunion.</w:t>
      </w:r>
    </w:p>
    <w:p w14:paraId="46FA5E7E" w14:textId="5A01548F" w:rsidR="005278CE" w:rsidRPr="00383908" w:rsidRDefault="005278CE" w:rsidP="00970339">
      <w:pPr>
        <w:pStyle w:val="Normalnumber"/>
        <w:numPr>
          <w:ilvl w:val="0"/>
          <w:numId w:val="6"/>
        </w:numPr>
        <w:tabs>
          <w:tab w:val="clear" w:pos="567"/>
          <w:tab w:val="num" w:pos="624"/>
        </w:tabs>
        <w:rPr>
          <w:lang w:val="fr-FR"/>
        </w:rPr>
      </w:pPr>
      <w:r w:rsidRPr="00383908">
        <w:rPr>
          <w:lang w:val="fr-FR"/>
        </w:rPr>
        <w:t>En conséquence, le secrétariat a établi une note sur l</w:t>
      </w:r>
      <w:r w:rsidR="00087D8C">
        <w:rPr>
          <w:lang w:val="fr-FR"/>
        </w:rPr>
        <w:t>’</w:t>
      </w:r>
      <w:r w:rsidRPr="00383908">
        <w:rPr>
          <w:lang w:val="fr-FR"/>
        </w:rPr>
        <w:t>examen du mécanisme de financement (UNEP/MC/COP.3/11) comprenant les informations reçues du FEM et du Programme international spécifique. Aucune information sur la question n</w:t>
      </w:r>
      <w:r w:rsidR="00087D8C">
        <w:rPr>
          <w:lang w:val="fr-FR"/>
        </w:rPr>
        <w:t>’</w:t>
      </w:r>
      <w:r w:rsidRPr="00383908">
        <w:rPr>
          <w:lang w:val="fr-FR"/>
        </w:rPr>
        <w:t>a été fournie par les Parties ou d</w:t>
      </w:r>
      <w:r w:rsidR="00087D8C">
        <w:rPr>
          <w:lang w:val="fr-FR"/>
        </w:rPr>
        <w:t>’</w:t>
      </w:r>
      <w:r w:rsidRPr="00383908">
        <w:rPr>
          <w:lang w:val="fr-FR"/>
        </w:rPr>
        <w:t>autres sources pertinent</w:t>
      </w:r>
      <w:r w:rsidR="00247982">
        <w:rPr>
          <w:lang w:val="fr-FR"/>
        </w:rPr>
        <w:t>es, comme indiqué au paragraphe </w:t>
      </w:r>
      <w:r w:rsidRPr="00383908">
        <w:rPr>
          <w:lang w:val="fr-FR"/>
        </w:rPr>
        <w:t>11 de l</w:t>
      </w:r>
      <w:r w:rsidR="00087D8C">
        <w:rPr>
          <w:lang w:val="fr-FR"/>
        </w:rPr>
        <w:t>’</w:t>
      </w:r>
      <w:r w:rsidR="00247982">
        <w:rPr>
          <w:lang w:val="fr-FR"/>
        </w:rPr>
        <w:t>article </w:t>
      </w:r>
      <w:r w:rsidRPr="00383908">
        <w:rPr>
          <w:lang w:val="fr-FR"/>
        </w:rPr>
        <w:t>13. La Conférence des Parties souhaitera peut</w:t>
      </w:r>
      <w:r w:rsidR="00436AB4">
        <w:rPr>
          <w:lang w:val="fr-FR"/>
        </w:rPr>
        <w:noBreakHyphen/>
      </w:r>
      <w:r w:rsidRPr="00383908">
        <w:rPr>
          <w:lang w:val="fr-FR"/>
        </w:rPr>
        <w:t>être examiner les informations présentées, y compris le projet de</w:t>
      </w:r>
      <w:r w:rsidR="00B54A19" w:rsidRPr="00383908">
        <w:rPr>
          <w:lang w:val="fr-FR"/>
        </w:rPr>
        <w:t xml:space="preserve"> décision accompagnant la note.</w:t>
      </w:r>
    </w:p>
    <w:p w14:paraId="0E07F493" w14:textId="3B0F40CD" w:rsidR="005278CE" w:rsidRPr="00383908" w:rsidRDefault="00B54A19" w:rsidP="005278CE">
      <w:pPr>
        <w:pStyle w:val="CH3"/>
        <w:spacing w:before="240"/>
        <w:ind w:left="0" w:firstLine="0"/>
        <w:rPr>
          <w:lang w:val="fr-FR"/>
        </w:rPr>
      </w:pPr>
      <w:r w:rsidRPr="00383908">
        <w:rPr>
          <w:lang w:val="fr-FR"/>
        </w:rPr>
        <w:tab/>
      </w:r>
      <w:r w:rsidR="005278CE" w:rsidRPr="00383908">
        <w:rPr>
          <w:lang w:val="fr-FR"/>
        </w:rPr>
        <w:t>f)</w:t>
      </w:r>
      <w:r w:rsidR="005278CE" w:rsidRPr="00383908">
        <w:rPr>
          <w:lang w:val="fr-FR"/>
        </w:rPr>
        <w:tab/>
      </w:r>
      <w:r w:rsidR="005278CE" w:rsidRPr="00383908">
        <w:rPr>
          <w:bCs/>
          <w:lang w:val="fr-FR"/>
        </w:rPr>
        <w:t>Renforcement des capacités, assistance technique et transfert de technologies</w:t>
      </w:r>
    </w:p>
    <w:p w14:paraId="623E54FC" w14:textId="2D352092" w:rsidR="005278CE" w:rsidRPr="00383908" w:rsidRDefault="00247982" w:rsidP="00970339">
      <w:pPr>
        <w:pStyle w:val="Normalnumber"/>
        <w:numPr>
          <w:ilvl w:val="0"/>
          <w:numId w:val="6"/>
        </w:numPr>
        <w:tabs>
          <w:tab w:val="clear" w:pos="567"/>
          <w:tab w:val="num" w:pos="624"/>
        </w:tabs>
        <w:rPr>
          <w:lang w:val="fr-FR"/>
        </w:rPr>
      </w:pPr>
      <w:r>
        <w:rPr>
          <w:lang w:val="fr-FR"/>
        </w:rPr>
        <w:t>Par la décision </w:t>
      </w:r>
      <w:r w:rsidR="005278CE" w:rsidRPr="00383908">
        <w:rPr>
          <w:lang w:val="fr-FR"/>
        </w:rPr>
        <w:t>MC</w:t>
      </w:r>
      <w:r w:rsidR="00436AB4">
        <w:rPr>
          <w:lang w:val="fr-FR"/>
        </w:rPr>
        <w:noBreakHyphen/>
      </w:r>
      <w:r w:rsidR="005278CE" w:rsidRPr="00383908">
        <w:rPr>
          <w:lang w:val="fr-FR"/>
        </w:rPr>
        <w:t>2/11 qu</w:t>
      </w:r>
      <w:r w:rsidR="00087D8C">
        <w:rPr>
          <w:lang w:val="fr-FR"/>
        </w:rPr>
        <w:t>’</w:t>
      </w:r>
      <w:r w:rsidR="005278CE" w:rsidRPr="00383908">
        <w:rPr>
          <w:lang w:val="fr-FR"/>
        </w:rPr>
        <w:t>elle a adoptée à sa deuxième réunion, la Conférence des Parties a prié le secrétariat de recueillir des informations relatives aux arrangements régionaux, sous</w:t>
      </w:r>
      <w:r w:rsidR="00436AB4">
        <w:rPr>
          <w:lang w:val="fr-FR"/>
        </w:rPr>
        <w:noBreakHyphen/>
      </w:r>
      <w:r w:rsidR="005278CE" w:rsidRPr="00383908">
        <w:rPr>
          <w:lang w:val="fr-FR"/>
        </w:rPr>
        <w:t xml:space="preserve">régionaux et nationaux </w:t>
      </w:r>
      <w:r w:rsidR="007B216E">
        <w:rPr>
          <w:lang w:val="fr-FR"/>
        </w:rPr>
        <w:t>en vigueur</w:t>
      </w:r>
      <w:r w:rsidR="005278CE" w:rsidRPr="00383908">
        <w:rPr>
          <w:lang w:val="fr-FR"/>
        </w:rPr>
        <w:t xml:space="preserve"> en matière de renforcement des capacités et d</w:t>
      </w:r>
      <w:r w:rsidR="00087D8C">
        <w:rPr>
          <w:lang w:val="fr-FR"/>
        </w:rPr>
        <w:t>’</w:t>
      </w:r>
      <w:r w:rsidR="005278CE" w:rsidRPr="00383908">
        <w:rPr>
          <w:lang w:val="fr-FR"/>
        </w:rPr>
        <w:t>assistance technique pour aider les Parties à s</w:t>
      </w:r>
      <w:r w:rsidR="00087D8C">
        <w:rPr>
          <w:lang w:val="fr-FR"/>
        </w:rPr>
        <w:t>’</w:t>
      </w:r>
      <w:r w:rsidR="005278CE" w:rsidRPr="00383908">
        <w:rPr>
          <w:lang w:val="fr-FR"/>
        </w:rPr>
        <w:t>acquitter de</w:t>
      </w:r>
      <w:r w:rsidR="007B216E">
        <w:rPr>
          <w:lang w:val="fr-FR"/>
        </w:rPr>
        <w:t>s</w:t>
      </w:r>
      <w:r w:rsidR="005278CE" w:rsidRPr="00383908">
        <w:rPr>
          <w:lang w:val="fr-FR"/>
        </w:rPr>
        <w:t xml:space="preserve"> obligations </w:t>
      </w:r>
      <w:r w:rsidR="007B216E">
        <w:rPr>
          <w:lang w:val="fr-FR"/>
        </w:rPr>
        <w:t xml:space="preserve">que leur fait </w:t>
      </w:r>
      <w:r w:rsidR="005278CE" w:rsidRPr="00383908">
        <w:rPr>
          <w:lang w:val="fr-FR"/>
        </w:rPr>
        <w:t>la Convention et de lui faire ra</w:t>
      </w:r>
      <w:r>
        <w:rPr>
          <w:lang w:val="fr-FR"/>
        </w:rPr>
        <w:t>pport à ce sujet à sa troisième </w:t>
      </w:r>
      <w:r w:rsidR="005278CE" w:rsidRPr="00383908">
        <w:rPr>
          <w:lang w:val="fr-FR"/>
        </w:rPr>
        <w:t>réunion. Elle a souligné dans la même décision qu</w:t>
      </w:r>
      <w:r w:rsidR="00087D8C">
        <w:rPr>
          <w:lang w:val="fr-FR"/>
        </w:rPr>
        <w:t>’</w:t>
      </w:r>
      <w:r w:rsidR="005278CE" w:rsidRPr="00383908">
        <w:rPr>
          <w:lang w:val="fr-FR"/>
        </w:rPr>
        <w:t>il importait de recourir, selon qu</w:t>
      </w:r>
      <w:r w:rsidR="00087D8C">
        <w:rPr>
          <w:lang w:val="fr-FR"/>
        </w:rPr>
        <w:t>’</w:t>
      </w:r>
      <w:r w:rsidR="005278CE" w:rsidRPr="00383908">
        <w:rPr>
          <w:lang w:val="fr-FR"/>
        </w:rPr>
        <w:t>il convient, à des arrangements régionaux, sous</w:t>
      </w:r>
      <w:r w:rsidR="00436AB4">
        <w:rPr>
          <w:lang w:val="fr-FR"/>
        </w:rPr>
        <w:noBreakHyphen/>
      </w:r>
      <w:r w:rsidR="005278CE" w:rsidRPr="00383908">
        <w:rPr>
          <w:lang w:val="fr-FR"/>
        </w:rPr>
        <w:t>régionaux et nationaux, y compris des centres régionaux et sous</w:t>
      </w:r>
      <w:r w:rsidR="00436AB4">
        <w:rPr>
          <w:lang w:val="fr-FR"/>
        </w:rPr>
        <w:noBreakHyphen/>
      </w:r>
      <w:r w:rsidR="005278CE" w:rsidRPr="00383908">
        <w:rPr>
          <w:lang w:val="fr-FR"/>
        </w:rPr>
        <w:t xml:space="preserve">régionaux existants, en vue de fournir un </w:t>
      </w:r>
      <w:r w:rsidR="007B216E">
        <w:rPr>
          <w:lang w:val="fr-FR"/>
        </w:rPr>
        <w:t xml:space="preserve">appui en matière de </w:t>
      </w:r>
      <w:r w:rsidR="005278CE" w:rsidRPr="00383908">
        <w:rPr>
          <w:lang w:val="fr-FR"/>
        </w:rPr>
        <w:t>renforcement des capacités et une assistance technique conformément à l</w:t>
      </w:r>
      <w:r w:rsidR="00087D8C">
        <w:rPr>
          <w:lang w:val="fr-FR"/>
        </w:rPr>
        <w:t>’</w:t>
      </w:r>
      <w:r>
        <w:rPr>
          <w:lang w:val="fr-FR"/>
        </w:rPr>
        <w:t>article </w:t>
      </w:r>
      <w:r w:rsidR="005278CE" w:rsidRPr="00383908">
        <w:rPr>
          <w:lang w:val="fr-FR"/>
        </w:rPr>
        <w:t>14 de la Convention.</w:t>
      </w:r>
    </w:p>
    <w:p w14:paraId="0C4F407C" w14:textId="4CC89650" w:rsidR="005278CE" w:rsidRPr="00383908" w:rsidRDefault="005278CE" w:rsidP="00970339">
      <w:pPr>
        <w:pStyle w:val="Normalnumber"/>
        <w:numPr>
          <w:ilvl w:val="0"/>
          <w:numId w:val="6"/>
        </w:numPr>
        <w:tabs>
          <w:tab w:val="clear" w:pos="567"/>
          <w:tab w:val="num" w:pos="624"/>
        </w:tabs>
        <w:rPr>
          <w:lang w:val="fr-FR"/>
        </w:rPr>
      </w:pPr>
      <w:r w:rsidRPr="00383908">
        <w:rPr>
          <w:lang w:val="fr-FR"/>
        </w:rPr>
        <w:t>En conséquence, le secrétariat a demandé aux Parties et aux autres parties prenantes de lui soumettre des communications sur ces questions et a établi une note à ce sujet (UNEP/MC/COP.3/12) et une compilation des informations reçues (UNEP/MC/COP.3/INF/14). La Conférence des Parties souhaitera peut</w:t>
      </w:r>
      <w:r w:rsidR="00436AB4">
        <w:rPr>
          <w:lang w:val="fr-FR"/>
        </w:rPr>
        <w:noBreakHyphen/>
      </w:r>
      <w:r w:rsidRPr="00383908">
        <w:rPr>
          <w:lang w:val="fr-FR"/>
        </w:rPr>
        <w:t>être examiner les informations communiquées et appeler l</w:t>
      </w:r>
      <w:r w:rsidR="00087D8C">
        <w:rPr>
          <w:lang w:val="fr-FR"/>
        </w:rPr>
        <w:t>’</w:t>
      </w:r>
      <w:r w:rsidRPr="00383908">
        <w:rPr>
          <w:lang w:val="fr-FR"/>
        </w:rPr>
        <w:t xml:space="preserve">attention des Parties et des parties prenantes concernées, en particulier celles qui fournissent </w:t>
      </w:r>
      <w:r w:rsidR="007B216E">
        <w:rPr>
          <w:lang w:val="fr-FR"/>
        </w:rPr>
        <w:t>l</w:t>
      </w:r>
      <w:r w:rsidR="00087D8C">
        <w:rPr>
          <w:lang w:val="fr-FR"/>
        </w:rPr>
        <w:t>’</w:t>
      </w:r>
      <w:r w:rsidR="007B216E">
        <w:rPr>
          <w:lang w:val="fr-FR"/>
        </w:rPr>
        <w:t>appui en matière de</w:t>
      </w:r>
      <w:r w:rsidRPr="00383908">
        <w:rPr>
          <w:lang w:val="fr-FR"/>
        </w:rPr>
        <w:t xml:space="preserve"> renforcement des capacités et l</w:t>
      </w:r>
      <w:r w:rsidR="00087D8C">
        <w:rPr>
          <w:lang w:val="fr-FR"/>
        </w:rPr>
        <w:t>’</w:t>
      </w:r>
      <w:r w:rsidRPr="00383908">
        <w:rPr>
          <w:lang w:val="fr-FR"/>
        </w:rPr>
        <w:t>assistance technique visés à l</w:t>
      </w:r>
      <w:r w:rsidR="00087D8C">
        <w:rPr>
          <w:lang w:val="fr-FR"/>
        </w:rPr>
        <w:t>’</w:t>
      </w:r>
      <w:r w:rsidR="00B54A19" w:rsidRPr="00383908">
        <w:rPr>
          <w:lang w:val="fr-FR"/>
        </w:rPr>
        <w:t>article </w:t>
      </w:r>
      <w:r w:rsidRPr="00383908">
        <w:rPr>
          <w:lang w:val="fr-FR"/>
        </w:rPr>
        <w:t>14, sur les activités, les initiatives et les rapports mentionnés dans les communications, ainsi que sur les besoins et les pro</w:t>
      </w:r>
      <w:r w:rsidR="008A3216">
        <w:rPr>
          <w:lang w:val="fr-FR"/>
        </w:rPr>
        <w:t>blèmes qui y sont décrits. Elle </w:t>
      </w:r>
      <w:r w:rsidRPr="00383908">
        <w:rPr>
          <w:lang w:val="fr-FR"/>
        </w:rPr>
        <w:t>souhaitera peut</w:t>
      </w:r>
      <w:r w:rsidR="00436AB4">
        <w:rPr>
          <w:lang w:val="fr-FR"/>
        </w:rPr>
        <w:noBreakHyphen/>
      </w:r>
      <w:r w:rsidRPr="00383908">
        <w:rPr>
          <w:lang w:val="fr-FR"/>
        </w:rPr>
        <w:t>être également examiner la question plus avant à ses futures réunions, en tenant compte des communications et des rapports supplémentaires soumis par les Parties ainsi que des informations fournies par d</w:t>
      </w:r>
      <w:r w:rsidR="00087D8C">
        <w:rPr>
          <w:lang w:val="fr-FR"/>
        </w:rPr>
        <w:t>’</w:t>
      </w:r>
      <w:r w:rsidRPr="00383908">
        <w:rPr>
          <w:lang w:val="fr-FR"/>
        </w:rPr>
        <w:t>autres parties prenantes, qui sont compilées par le secrétariat, ou communiquées par les Part</w:t>
      </w:r>
      <w:r w:rsidR="00B54A19" w:rsidRPr="00383908">
        <w:rPr>
          <w:lang w:val="fr-FR"/>
        </w:rPr>
        <w:t>ies en application de l</w:t>
      </w:r>
      <w:r w:rsidR="00087D8C">
        <w:rPr>
          <w:lang w:val="fr-FR"/>
        </w:rPr>
        <w:t>’</w:t>
      </w:r>
      <w:r w:rsidR="00B54A19" w:rsidRPr="00383908">
        <w:rPr>
          <w:lang w:val="fr-FR"/>
        </w:rPr>
        <w:t>article 21.</w:t>
      </w:r>
    </w:p>
    <w:p w14:paraId="57698EF7" w14:textId="32090B08" w:rsidR="005278CE" w:rsidRPr="00383908" w:rsidRDefault="00B54A19" w:rsidP="005278CE">
      <w:pPr>
        <w:pStyle w:val="CH3"/>
        <w:spacing w:before="240"/>
        <w:ind w:left="0" w:firstLine="0"/>
        <w:rPr>
          <w:lang w:val="fr-FR"/>
        </w:rPr>
      </w:pPr>
      <w:r w:rsidRPr="00383908">
        <w:rPr>
          <w:lang w:val="fr-FR"/>
        </w:rPr>
        <w:tab/>
      </w:r>
      <w:r w:rsidR="005278CE" w:rsidRPr="00383908">
        <w:rPr>
          <w:lang w:val="fr-FR"/>
        </w:rPr>
        <w:t>g)</w:t>
      </w:r>
      <w:r w:rsidR="005278CE" w:rsidRPr="00383908">
        <w:rPr>
          <w:lang w:val="fr-FR"/>
        </w:rPr>
        <w:tab/>
      </w:r>
      <w:r w:rsidR="005278CE" w:rsidRPr="00383908">
        <w:rPr>
          <w:bCs/>
          <w:lang w:val="fr-FR"/>
        </w:rPr>
        <w:t>Comité de mise en œuvre et du respect des obligations</w:t>
      </w:r>
    </w:p>
    <w:p w14:paraId="079E833C" w14:textId="3E0081B9" w:rsidR="005278CE" w:rsidRPr="00383908" w:rsidRDefault="005278CE" w:rsidP="00970339">
      <w:pPr>
        <w:pStyle w:val="Normalnumber"/>
        <w:numPr>
          <w:ilvl w:val="0"/>
          <w:numId w:val="6"/>
        </w:numPr>
        <w:tabs>
          <w:tab w:val="clear" w:pos="567"/>
          <w:tab w:val="num" w:pos="624"/>
        </w:tabs>
        <w:rPr>
          <w:lang w:val="fr-FR"/>
        </w:rPr>
      </w:pPr>
      <w:r w:rsidRPr="00383908">
        <w:rPr>
          <w:lang w:val="fr-FR"/>
        </w:rPr>
        <w:t>L</w:t>
      </w:r>
      <w:r w:rsidR="00087D8C">
        <w:rPr>
          <w:lang w:val="fr-FR"/>
        </w:rPr>
        <w:t>’</w:t>
      </w:r>
      <w:r w:rsidR="00247982">
        <w:rPr>
          <w:lang w:val="fr-FR"/>
        </w:rPr>
        <w:t>article </w:t>
      </w:r>
      <w:r w:rsidRPr="00383908">
        <w:rPr>
          <w:lang w:val="fr-FR"/>
        </w:rPr>
        <w:t>15 de la Convention insti</w:t>
      </w:r>
      <w:r w:rsidR="008A3216">
        <w:rPr>
          <w:lang w:val="fr-FR"/>
        </w:rPr>
        <w:t>tue un mécanisme comprenant un c</w:t>
      </w:r>
      <w:r w:rsidRPr="00383908">
        <w:rPr>
          <w:lang w:val="fr-FR"/>
        </w:rPr>
        <w:t xml:space="preserve">omité de mise en </w:t>
      </w:r>
      <w:r w:rsidR="00B54A19" w:rsidRPr="00383908">
        <w:rPr>
          <w:lang w:val="fr-FR"/>
        </w:rPr>
        <w:t>œuvre</w:t>
      </w:r>
      <w:r w:rsidRPr="00383908">
        <w:rPr>
          <w:lang w:val="fr-FR"/>
        </w:rPr>
        <w:t xml:space="preserve"> et du respect des obligations ayant qualité d</w:t>
      </w:r>
      <w:r w:rsidR="00087D8C">
        <w:rPr>
          <w:lang w:val="fr-FR"/>
        </w:rPr>
        <w:t>’</w:t>
      </w:r>
      <w:r w:rsidRPr="00383908">
        <w:rPr>
          <w:lang w:val="fr-FR"/>
        </w:rPr>
        <w:t>organe subsidiaire de la Conférence des Parties, en vue de promouvoir la mise en œuvre de toutes les dispositions de la Convention et d</w:t>
      </w:r>
      <w:r w:rsidR="00087D8C">
        <w:rPr>
          <w:lang w:val="fr-FR"/>
        </w:rPr>
        <w:t>’</w:t>
      </w:r>
      <w:r w:rsidRPr="00383908">
        <w:rPr>
          <w:lang w:val="fr-FR"/>
        </w:rPr>
        <w:t xml:space="preserve">en examiner le respect. </w:t>
      </w:r>
      <w:r w:rsidR="00247982">
        <w:rPr>
          <w:lang w:val="fr-FR"/>
        </w:rPr>
        <w:lastRenderedPageBreak/>
        <w:t>Par la décision </w:t>
      </w:r>
      <w:r w:rsidRPr="00383908">
        <w:rPr>
          <w:lang w:val="fr-FR"/>
        </w:rPr>
        <w:t>MC</w:t>
      </w:r>
      <w:r w:rsidR="00436AB4">
        <w:rPr>
          <w:lang w:val="fr-FR"/>
        </w:rPr>
        <w:noBreakHyphen/>
      </w:r>
      <w:r w:rsidRPr="00383908">
        <w:rPr>
          <w:lang w:val="fr-FR"/>
        </w:rPr>
        <w:t>1/7 qu</w:t>
      </w:r>
      <w:r w:rsidR="00087D8C">
        <w:rPr>
          <w:lang w:val="fr-FR"/>
        </w:rPr>
        <w:t>’</w:t>
      </w:r>
      <w:r w:rsidRPr="00383908">
        <w:rPr>
          <w:lang w:val="fr-FR"/>
        </w:rPr>
        <w:t>elle a adoptée</w:t>
      </w:r>
      <w:r w:rsidR="00247982">
        <w:rPr>
          <w:lang w:val="fr-FR"/>
        </w:rPr>
        <w:t xml:space="preserve"> à sa première </w:t>
      </w:r>
      <w:r w:rsidRPr="00383908">
        <w:rPr>
          <w:lang w:val="fr-FR"/>
        </w:rPr>
        <w:t>réunion, la Conférence des Parties a élu les 15</w:t>
      </w:r>
      <w:r w:rsidR="00B54A19" w:rsidRPr="00383908">
        <w:rPr>
          <w:lang w:val="fr-FR"/>
        </w:rPr>
        <w:t> </w:t>
      </w:r>
      <w:r w:rsidRPr="00383908">
        <w:rPr>
          <w:lang w:val="fr-FR"/>
        </w:rPr>
        <w:t xml:space="preserve">premiers membres du Comité, qui se sont à ce jour réunis </w:t>
      </w:r>
      <w:r w:rsidR="00B54A19" w:rsidRPr="00383908">
        <w:rPr>
          <w:lang w:val="fr-FR"/>
        </w:rPr>
        <w:t>à Genève</w:t>
      </w:r>
      <w:r w:rsidR="00134386" w:rsidRPr="00134386">
        <w:rPr>
          <w:lang w:val="fr-FR"/>
        </w:rPr>
        <w:t xml:space="preserve"> </w:t>
      </w:r>
      <w:r w:rsidR="00134386" w:rsidRPr="00383908">
        <w:rPr>
          <w:lang w:val="fr-FR"/>
        </w:rPr>
        <w:t>à deux reprises</w:t>
      </w:r>
      <w:r w:rsidR="00247982">
        <w:rPr>
          <w:lang w:val="fr-FR"/>
        </w:rPr>
        <w:t>, les </w:t>
      </w:r>
      <w:r w:rsidR="00B54A19" w:rsidRPr="00383908">
        <w:rPr>
          <w:lang w:val="fr-FR"/>
        </w:rPr>
        <w:t>29 et 30 </w:t>
      </w:r>
      <w:r w:rsidRPr="00383908">
        <w:rPr>
          <w:lang w:val="fr-FR"/>
        </w:rPr>
        <w:t>mai 2018 et les</w:t>
      </w:r>
      <w:r w:rsidR="00935F41">
        <w:rPr>
          <w:lang w:val="fr-FR"/>
        </w:rPr>
        <w:t> </w:t>
      </w:r>
      <w:r w:rsidR="00B54A19" w:rsidRPr="00383908">
        <w:rPr>
          <w:lang w:val="fr-FR"/>
        </w:rPr>
        <w:t>3 et 4 juin 2019.</w:t>
      </w:r>
    </w:p>
    <w:p w14:paraId="739BB18F" w14:textId="0351AD5A" w:rsidR="001A0EE8" w:rsidRPr="00383908" w:rsidRDefault="005278CE" w:rsidP="00970339">
      <w:pPr>
        <w:pStyle w:val="Normalnumber"/>
        <w:numPr>
          <w:ilvl w:val="0"/>
          <w:numId w:val="6"/>
        </w:numPr>
        <w:tabs>
          <w:tab w:val="clear" w:pos="567"/>
          <w:tab w:val="num" w:pos="624"/>
        </w:tabs>
        <w:rPr>
          <w:lang w:val="fr-FR"/>
        </w:rPr>
      </w:pPr>
      <w:r w:rsidRPr="00383908">
        <w:rPr>
          <w:lang w:val="fr-FR"/>
        </w:rPr>
        <w:t>La Conférence des Parties est saisie du rapport sur l</w:t>
      </w:r>
      <w:r w:rsidR="00134386">
        <w:rPr>
          <w:lang w:val="fr-FR"/>
        </w:rPr>
        <w:t>es travaux de l</w:t>
      </w:r>
      <w:r w:rsidRPr="00383908">
        <w:rPr>
          <w:lang w:val="fr-FR"/>
        </w:rPr>
        <w:t>a deuxième réunion du Comité (UNEP/MC/COP.3/13), y compris du projet de man</w:t>
      </w:r>
      <w:r w:rsidR="00B54A19" w:rsidRPr="00383908">
        <w:rPr>
          <w:lang w:val="fr-FR"/>
        </w:rPr>
        <w:t>dat du Comité</w:t>
      </w:r>
      <w:r w:rsidR="00134386">
        <w:rPr>
          <w:lang w:val="fr-FR"/>
        </w:rPr>
        <w:t>, qui est présenté à l</w:t>
      </w:r>
      <w:r w:rsidR="00087D8C">
        <w:rPr>
          <w:lang w:val="fr-FR"/>
        </w:rPr>
        <w:t>’</w:t>
      </w:r>
      <w:r w:rsidR="00134386" w:rsidRPr="00383908">
        <w:rPr>
          <w:lang w:val="fr-FR"/>
        </w:rPr>
        <w:t>appendice I</w:t>
      </w:r>
      <w:r w:rsidR="00B54A19" w:rsidRPr="00383908">
        <w:rPr>
          <w:lang w:val="fr-FR"/>
        </w:rPr>
        <w:t>. Dans l</w:t>
      </w:r>
      <w:r w:rsidR="00087D8C">
        <w:rPr>
          <w:lang w:val="fr-FR"/>
        </w:rPr>
        <w:t>’</w:t>
      </w:r>
      <w:r w:rsidR="00B54A19" w:rsidRPr="00383908">
        <w:rPr>
          <w:lang w:val="fr-FR"/>
        </w:rPr>
        <w:t>appendice </w:t>
      </w:r>
      <w:r w:rsidRPr="00383908">
        <w:rPr>
          <w:lang w:val="fr-FR"/>
        </w:rPr>
        <w:t>III figure un projet de modèle pour les communications écrites transmises par les Parties concernant leur respect des dispositions. La Conférence des Parties souhaitera peut</w:t>
      </w:r>
      <w:r w:rsidR="00436AB4">
        <w:rPr>
          <w:lang w:val="fr-FR"/>
        </w:rPr>
        <w:noBreakHyphen/>
      </w:r>
      <w:r w:rsidRPr="00383908">
        <w:rPr>
          <w:lang w:val="fr-FR"/>
        </w:rPr>
        <w:t>être examiner le rapport du Comité, adopter le mandat du Comité et approuver le projet de modèle par voie de décision. Un projet de décisio</w:t>
      </w:r>
      <w:r w:rsidR="00B54A19" w:rsidRPr="00383908">
        <w:rPr>
          <w:lang w:val="fr-FR"/>
        </w:rPr>
        <w:t>n est présenté dans l</w:t>
      </w:r>
      <w:r w:rsidR="00087D8C">
        <w:rPr>
          <w:lang w:val="fr-FR"/>
        </w:rPr>
        <w:t>’</w:t>
      </w:r>
      <w:r w:rsidR="00B54A19" w:rsidRPr="00383908">
        <w:rPr>
          <w:lang w:val="fr-FR"/>
        </w:rPr>
        <w:t>appendice </w:t>
      </w:r>
      <w:r w:rsidR="00247982">
        <w:rPr>
          <w:lang w:val="fr-FR"/>
        </w:rPr>
        <w:t>II. La </w:t>
      </w:r>
      <w:r w:rsidRPr="00383908">
        <w:rPr>
          <w:lang w:val="fr-FR"/>
        </w:rPr>
        <w:t>Conférence des Parties devrait également, pour le deuxiè</w:t>
      </w:r>
      <w:r w:rsidR="00247982">
        <w:rPr>
          <w:lang w:val="fr-FR"/>
        </w:rPr>
        <w:t>me mandat du Comité, réélire 10 </w:t>
      </w:r>
      <w:r w:rsidRPr="00383908">
        <w:rPr>
          <w:lang w:val="fr-FR"/>
        </w:rPr>
        <w:t xml:space="preserve">membres parmi les premiers membres du Comité pour un mandat et élire 5 nouveaux membres pour </w:t>
      </w:r>
      <w:r w:rsidR="00134386">
        <w:rPr>
          <w:lang w:val="fr-FR"/>
        </w:rPr>
        <w:t>2</w:t>
      </w:r>
      <w:r w:rsidR="00247982">
        <w:rPr>
          <w:lang w:val="fr-FR"/>
        </w:rPr>
        <w:t> </w:t>
      </w:r>
      <w:r w:rsidRPr="00383908">
        <w:rPr>
          <w:lang w:val="fr-FR"/>
        </w:rPr>
        <w:t>mandats, conformément au Règlement intérieur du Comité.</w:t>
      </w:r>
    </w:p>
    <w:p w14:paraId="67FA87A7" w14:textId="6DE09F1B" w:rsidR="005278CE" w:rsidRPr="00383908" w:rsidRDefault="00B54A19" w:rsidP="005278CE">
      <w:pPr>
        <w:pStyle w:val="CH3"/>
        <w:spacing w:before="240"/>
        <w:ind w:left="0" w:firstLine="0"/>
        <w:rPr>
          <w:lang w:val="fr-FR"/>
        </w:rPr>
      </w:pPr>
      <w:r w:rsidRPr="00383908">
        <w:rPr>
          <w:lang w:val="fr-FR"/>
        </w:rPr>
        <w:tab/>
      </w:r>
      <w:r w:rsidR="005278CE" w:rsidRPr="00383908">
        <w:rPr>
          <w:lang w:val="fr-FR"/>
        </w:rPr>
        <w:t>h)</w:t>
      </w:r>
      <w:r w:rsidR="005278CE" w:rsidRPr="00383908">
        <w:rPr>
          <w:lang w:val="fr-FR"/>
        </w:rPr>
        <w:tab/>
      </w:r>
      <w:r w:rsidR="005278CE" w:rsidRPr="00383908">
        <w:rPr>
          <w:bCs/>
          <w:lang w:val="fr-FR"/>
        </w:rPr>
        <w:t>Évaluation de l</w:t>
      </w:r>
      <w:r w:rsidR="00087D8C">
        <w:rPr>
          <w:bCs/>
          <w:lang w:val="fr-FR"/>
        </w:rPr>
        <w:t>’</w:t>
      </w:r>
      <w:r w:rsidR="005278CE" w:rsidRPr="00383908">
        <w:rPr>
          <w:bCs/>
          <w:lang w:val="fr-FR"/>
        </w:rPr>
        <w:t>efficacité</w:t>
      </w:r>
    </w:p>
    <w:p w14:paraId="113307D5" w14:textId="3E29323E" w:rsidR="005278CE" w:rsidRPr="00383908" w:rsidRDefault="005278CE" w:rsidP="00970339">
      <w:pPr>
        <w:pStyle w:val="Normalnumber"/>
        <w:numPr>
          <w:ilvl w:val="0"/>
          <w:numId w:val="6"/>
        </w:numPr>
        <w:tabs>
          <w:tab w:val="clear" w:pos="567"/>
          <w:tab w:val="num" w:pos="624"/>
        </w:tabs>
        <w:rPr>
          <w:lang w:val="fr-FR"/>
        </w:rPr>
      </w:pPr>
      <w:r w:rsidRPr="00383908">
        <w:rPr>
          <w:lang w:val="fr-FR"/>
        </w:rPr>
        <w:t>L</w:t>
      </w:r>
      <w:r w:rsidR="00087D8C">
        <w:rPr>
          <w:lang w:val="fr-FR"/>
        </w:rPr>
        <w:t>’</w:t>
      </w:r>
      <w:r w:rsidR="00247982">
        <w:rPr>
          <w:lang w:val="fr-FR"/>
        </w:rPr>
        <w:t>article </w:t>
      </w:r>
      <w:r w:rsidRPr="00383908">
        <w:rPr>
          <w:lang w:val="fr-FR"/>
        </w:rPr>
        <w:t>22 de la Convention prévoit l</w:t>
      </w:r>
      <w:r w:rsidR="00087D8C">
        <w:rPr>
          <w:lang w:val="fr-FR"/>
        </w:rPr>
        <w:t>’</w:t>
      </w:r>
      <w:r w:rsidRPr="00383908">
        <w:rPr>
          <w:lang w:val="fr-FR"/>
        </w:rPr>
        <w:t xml:space="preserve">évaluation de </w:t>
      </w:r>
      <w:r w:rsidR="00247982">
        <w:rPr>
          <w:lang w:val="fr-FR"/>
        </w:rPr>
        <w:t>son efficacité. Par sa décision </w:t>
      </w:r>
      <w:r w:rsidRPr="00383908">
        <w:rPr>
          <w:lang w:val="fr-FR"/>
        </w:rPr>
        <w:t>MC</w:t>
      </w:r>
      <w:r w:rsidR="00436AB4">
        <w:rPr>
          <w:lang w:val="fr-FR"/>
        </w:rPr>
        <w:noBreakHyphen/>
      </w:r>
      <w:r w:rsidR="00247982">
        <w:rPr>
          <w:lang w:val="fr-FR"/>
        </w:rPr>
        <w:t>1/9, la </w:t>
      </w:r>
      <w:r w:rsidRPr="00383908">
        <w:rPr>
          <w:lang w:val="fr-FR"/>
        </w:rPr>
        <w:t>Conféren</w:t>
      </w:r>
      <w:r w:rsidR="00247982">
        <w:rPr>
          <w:lang w:val="fr-FR"/>
        </w:rPr>
        <w:t>ce des Parties a, à sa première </w:t>
      </w:r>
      <w:r w:rsidRPr="00383908">
        <w:rPr>
          <w:lang w:val="fr-FR"/>
        </w:rPr>
        <w:t>réunion, adopté une feuille de route pour la mise en place d</w:t>
      </w:r>
      <w:r w:rsidR="00087D8C">
        <w:rPr>
          <w:lang w:val="fr-FR"/>
        </w:rPr>
        <w:t>’</w:t>
      </w:r>
      <w:r w:rsidRPr="00383908">
        <w:rPr>
          <w:lang w:val="fr-FR"/>
        </w:rPr>
        <w:t>arrangements visant à lui fournir des données de surveillance comparables et les éléments d</w:t>
      </w:r>
      <w:r w:rsidR="00087D8C">
        <w:rPr>
          <w:lang w:val="fr-FR"/>
        </w:rPr>
        <w:t>’</w:t>
      </w:r>
      <w:r w:rsidRPr="00383908">
        <w:rPr>
          <w:lang w:val="fr-FR"/>
        </w:rPr>
        <w:t>un cadre d</w:t>
      </w:r>
      <w:r w:rsidR="00087D8C">
        <w:rPr>
          <w:lang w:val="fr-FR"/>
        </w:rPr>
        <w:t>’</w:t>
      </w:r>
      <w:r w:rsidRPr="00383908">
        <w:rPr>
          <w:lang w:val="fr-FR"/>
        </w:rPr>
        <w:t>évaluation de l</w:t>
      </w:r>
      <w:r w:rsidR="00087D8C">
        <w:rPr>
          <w:lang w:val="fr-FR"/>
        </w:rPr>
        <w:t>’</w:t>
      </w:r>
      <w:r w:rsidRPr="00383908">
        <w:rPr>
          <w:lang w:val="fr-FR"/>
        </w:rPr>
        <w:t>efficacité au titre de l</w:t>
      </w:r>
      <w:r w:rsidR="00087D8C">
        <w:rPr>
          <w:lang w:val="fr-FR"/>
        </w:rPr>
        <w:t>’</w:t>
      </w:r>
      <w:r w:rsidR="00247982">
        <w:rPr>
          <w:lang w:val="fr-FR"/>
        </w:rPr>
        <w:t>article 22. Par sa décision </w:t>
      </w:r>
      <w:r w:rsidRPr="00383908">
        <w:rPr>
          <w:lang w:val="fr-FR"/>
        </w:rPr>
        <w:t>MC</w:t>
      </w:r>
      <w:r w:rsidR="00436AB4">
        <w:rPr>
          <w:lang w:val="fr-FR"/>
        </w:rPr>
        <w:noBreakHyphen/>
      </w:r>
      <w:r w:rsidRPr="00383908">
        <w:rPr>
          <w:lang w:val="fr-FR"/>
        </w:rPr>
        <w:t xml:space="preserve">2/10, </w:t>
      </w:r>
      <w:r w:rsidR="007E660C">
        <w:rPr>
          <w:lang w:val="fr-FR"/>
        </w:rPr>
        <w:t>elle</w:t>
      </w:r>
      <w:r w:rsidRPr="00383908">
        <w:rPr>
          <w:lang w:val="fr-FR"/>
        </w:rPr>
        <w:t xml:space="preserve"> a, à sa deuxième réunion, adopté une nouvelle feuille de route pour l</w:t>
      </w:r>
      <w:r w:rsidR="00087D8C">
        <w:rPr>
          <w:lang w:val="fr-FR"/>
        </w:rPr>
        <w:t>’</w:t>
      </w:r>
      <w:r w:rsidRPr="00383908">
        <w:rPr>
          <w:lang w:val="fr-FR"/>
        </w:rPr>
        <w:t>élaboration du rapport du groupe spécial d</w:t>
      </w:r>
      <w:r w:rsidR="00087D8C">
        <w:rPr>
          <w:lang w:val="fr-FR"/>
        </w:rPr>
        <w:t>’</w:t>
      </w:r>
      <w:r w:rsidRPr="00383908">
        <w:rPr>
          <w:lang w:val="fr-FR"/>
        </w:rPr>
        <w:t>experts techniques sur l</w:t>
      </w:r>
      <w:r w:rsidR="00087D8C">
        <w:rPr>
          <w:lang w:val="fr-FR"/>
        </w:rPr>
        <w:t>’</w:t>
      </w:r>
      <w:r w:rsidRPr="00383908">
        <w:rPr>
          <w:lang w:val="fr-FR"/>
        </w:rPr>
        <w:t>évaluation de l</w:t>
      </w:r>
      <w:r w:rsidR="00087D8C">
        <w:rPr>
          <w:lang w:val="fr-FR"/>
        </w:rPr>
        <w:t>’</w:t>
      </w:r>
      <w:r w:rsidRPr="00383908">
        <w:rPr>
          <w:lang w:val="fr-FR"/>
        </w:rPr>
        <w:t>efficacité en vue de la troisième réunion de la Conférence des Parties, qui prévoyait la tenue d</w:t>
      </w:r>
      <w:r w:rsidR="00087D8C">
        <w:rPr>
          <w:lang w:val="fr-FR"/>
        </w:rPr>
        <w:t>’</w:t>
      </w:r>
      <w:r w:rsidRPr="00383908">
        <w:rPr>
          <w:lang w:val="fr-FR"/>
        </w:rPr>
        <w:t>une réunion en présentiel du groupe spécial dont la composition avait été modifiée, aux fins de l</w:t>
      </w:r>
      <w:r w:rsidR="00087D8C">
        <w:rPr>
          <w:lang w:val="fr-FR"/>
        </w:rPr>
        <w:t>’</w:t>
      </w:r>
      <w:r w:rsidRPr="00383908">
        <w:rPr>
          <w:lang w:val="fr-FR"/>
        </w:rPr>
        <w:t>établissement d</w:t>
      </w:r>
      <w:r w:rsidR="00087D8C">
        <w:rPr>
          <w:lang w:val="fr-FR"/>
        </w:rPr>
        <w:t>’</w:t>
      </w:r>
      <w:r w:rsidRPr="00383908">
        <w:rPr>
          <w:lang w:val="fr-FR"/>
        </w:rPr>
        <w:t xml:space="preserve">un rapport </w:t>
      </w:r>
      <w:r w:rsidR="00313E32">
        <w:rPr>
          <w:lang w:val="fr-FR"/>
        </w:rPr>
        <w:t>accompagné d</w:t>
      </w:r>
      <w:r w:rsidR="00087D8C">
        <w:rPr>
          <w:lang w:val="fr-FR"/>
        </w:rPr>
        <w:t>’</w:t>
      </w:r>
      <w:r w:rsidRPr="00383908">
        <w:rPr>
          <w:lang w:val="fr-FR"/>
        </w:rPr>
        <w:t>un cadre d</w:t>
      </w:r>
      <w:r w:rsidR="00087D8C">
        <w:rPr>
          <w:lang w:val="fr-FR"/>
        </w:rPr>
        <w:t>’</w:t>
      </w:r>
      <w:r w:rsidRPr="00383908">
        <w:rPr>
          <w:lang w:val="fr-FR"/>
        </w:rPr>
        <w:t xml:space="preserve">évaluation élaboré, dont les modalités de surveillance. La feuille de route précisait un calendrier qui prévoyait </w:t>
      </w:r>
      <w:r w:rsidR="00313E32">
        <w:rPr>
          <w:lang w:val="fr-FR"/>
        </w:rPr>
        <w:t xml:space="preserve">que les Parties pourraient transmettre des observations sur </w:t>
      </w:r>
      <w:r w:rsidRPr="00383908">
        <w:rPr>
          <w:lang w:val="fr-FR"/>
        </w:rPr>
        <w:t>le projet de rapport d</w:t>
      </w:r>
      <w:r w:rsidR="00087D8C">
        <w:rPr>
          <w:lang w:val="fr-FR"/>
        </w:rPr>
        <w:t>’</w:t>
      </w:r>
      <w:r w:rsidRPr="00383908">
        <w:rPr>
          <w:lang w:val="fr-FR"/>
        </w:rPr>
        <w:t>août à la mi</w:t>
      </w:r>
      <w:r w:rsidR="00436AB4">
        <w:rPr>
          <w:lang w:val="fr-FR"/>
        </w:rPr>
        <w:noBreakHyphen/>
      </w:r>
      <w:r w:rsidR="00313E32">
        <w:rPr>
          <w:lang w:val="fr-FR"/>
        </w:rPr>
        <w:t>septembre </w:t>
      </w:r>
      <w:r w:rsidRPr="00383908">
        <w:rPr>
          <w:lang w:val="fr-FR"/>
        </w:rPr>
        <w:t xml:space="preserve">2019 et </w:t>
      </w:r>
      <w:r w:rsidR="00313E32">
        <w:rPr>
          <w:lang w:val="fr-FR"/>
        </w:rPr>
        <w:t>que le rapport final serait présenté</w:t>
      </w:r>
      <w:r w:rsidRPr="00383908">
        <w:rPr>
          <w:lang w:val="fr-FR"/>
        </w:rPr>
        <w:t xml:space="preserve"> en octobre</w:t>
      </w:r>
      <w:r w:rsidR="00B54A19" w:rsidRPr="00383908">
        <w:rPr>
          <w:lang w:val="fr-FR"/>
        </w:rPr>
        <w:t> </w:t>
      </w:r>
      <w:r w:rsidRPr="00383908">
        <w:rPr>
          <w:lang w:val="fr-FR"/>
        </w:rPr>
        <w:t>2019. Selon la feuille de route, que les Parties</w:t>
      </w:r>
      <w:r w:rsidR="00247982">
        <w:rPr>
          <w:lang w:val="fr-FR"/>
        </w:rPr>
        <w:t xml:space="preserve"> ont approuvée dans la décision </w:t>
      </w:r>
      <w:r w:rsidRPr="00383908">
        <w:rPr>
          <w:lang w:val="fr-FR"/>
        </w:rPr>
        <w:t>MC</w:t>
      </w:r>
      <w:r w:rsidR="00436AB4">
        <w:rPr>
          <w:lang w:val="fr-FR"/>
        </w:rPr>
        <w:noBreakHyphen/>
      </w:r>
      <w:r w:rsidRPr="00383908">
        <w:rPr>
          <w:lang w:val="fr-FR"/>
        </w:rPr>
        <w:t>2/10, ce n</w:t>
      </w:r>
      <w:r w:rsidR="00087D8C">
        <w:rPr>
          <w:lang w:val="fr-FR"/>
        </w:rPr>
        <w:t>’</w:t>
      </w:r>
      <w:r w:rsidRPr="00383908">
        <w:rPr>
          <w:lang w:val="fr-FR"/>
        </w:rPr>
        <w:t>est qu</w:t>
      </w:r>
      <w:r w:rsidR="00087D8C">
        <w:rPr>
          <w:lang w:val="fr-FR"/>
        </w:rPr>
        <w:t>’</w:t>
      </w:r>
      <w:r w:rsidRPr="00383908">
        <w:rPr>
          <w:lang w:val="fr-FR"/>
        </w:rPr>
        <w:t>après l</w:t>
      </w:r>
      <w:r w:rsidR="00087D8C">
        <w:rPr>
          <w:lang w:val="fr-FR"/>
        </w:rPr>
        <w:t>’</w:t>
      </w:r>
      <w:r w:rsidRPr="00383908">
        <w:rPr>
          <w:lang w:val="fr-FR"/>
        </w:rPr>
        <w:t>achèvement du rapport en septembre que le secrétariat pourra en soumettre la version finale à la Division des services de conférence à Nairobi aux fins de traduction. Ainsi, la version définitive du rapport sera mise à disposition en anglais, sans avoir été revue par les services d</w:t>
      </w:r>
      <w:r w:rsidR="00087D8C">
        <w:rPr>
          <w:lang w:val="fr-FR"/>
        </w:rPr>
        <w:t>’</w:t>
      </w:r>
      <w:r w:rsidRPr="00383908">
        <w:rPr>
          <w:lang w:val="fr-FR"/>
        </w:rPr>
        <w:t>édition, en octobre. Dès que les versions officielles dans les autres langues seront publiées, elles seront affichées dans la section du site Web de la Convention consacrée à la prochaine réunion. La feuille de route approuvée p</w:t>
      </w:r>
      <w:r w:rsidR="00247982">
        <w:rPr>
          <w:lang w:val="fr-FR"/>
        </w:rPr>
        <w:t>ar les Parties dans la décision </w:t>
      </w:r>
      <w:r w:rsidRPr="00383908">
        <w:rPr>
          <w:lang w:val="fr-FR"/>
        </w:rPr>
        <w:t>MC</w:t>
      </w:r>
      <w:r w:rsidR="00436AB4">
        <w:rPr>
          <w:lang w:val="fr-FR"/>
        </w:rPr>
        <w:noBreakHyphen/>
      </w:r>
      <w:r w:rsidRPr="00383908">
        <w:rPr>
          <w:lang w:val="fr-FR"/>
        </w:rPr>
        <w:t>2/10 constitue une dérogation à l</w:t>
      </w:r>
      <w:r w:rsidR="00087D8C">
        <w:rPr>
          <w:lang w:val="fr-FR"/>
        </w:rPr>
        <w:t>’</w:t>
      </w:r>
      <w:r w:rsidR="00247982">
        <w:rPr>
          <w:lang w:val="fr-FR"/>
        </w:rPr>
        <w:t>article </w:t>
      </w:r>
      <w:r w:rsidRPr="00383908">
        <w:rPr>
          <w:lang w:val="fr-FR"/>
        </w:rPr>
        <w:t>11 du Règlement intérieur de la Conférence des Parties, selon lequel la documentation des réunions ordinaires de la Conférence doit être publiée six semaines avant l</w:t>
      </w:r>
      <w:r w:rsidR="00087D8C">
        <w:rPr>
          <w:lang w:val="fr-FR"/>
        </w:rPr>
        <w:t>’</w:t>
      </w:r>
      <w:r w:rsidRPr="00383908">
        <w:rPr>
          <w:lang w:val="fr-FR"/>
        </w:rPr>
        <w:t>ouverture de la réunion concernée.</w:t>
      </w:r>
      <w:bookmarkStart w:id="5" w:name="_Hlk20982811"/>
      <w:bookmarkEnd w:id="5"/>
    </w:p>
    <w:p w14:paraId="6DC03B03" w14:textId="323CC668" w:rsidR="005278CE" w:rsidRPr="00383908" w:rsidRDefault="005278CE" w:rsidP="00970339">
      <w:pPr>
        <w:pStyle w:val="Normalnumber"/>
        <w:numPr>
          <w:ilvl w:val="0"/>
          <w:numId w:val="6"/>
        </w:numPr>
        <w:tabs>
          <w:tab w:val="clear" w:pos="567"/>
          <w:tab w:val="num" w:pos="624"/>
        </w:tabs>
        <w:rPr>
          <w:lang w:val="fr-FR"/>
        </w:rPr>
      </w:pPr>
      <w:r w:rsidRPr="00383908">
        <w:rPr>
          <w:lang w:val="fr-FR"/>
        </w:rPr>
        <w:t>La Conférence des Parties est saisie d</w:t>
      </w:r>
      <w:r w:rsidR="00087D8C">
        <w:rPr>
          <w:lang w:val="fr-FR"/>
        </w:rPr>
        <w:t>’</w:t>
      </w:r>
      <w:r w:rsidRPr="00383908">
        <w:rPr>
          <w:lang w:val="fr-FR"/>
        </w:rPr>
        <w:t>une note du secrétariat sur la question (UNEP/MC/COP.3/14</w:t>
      </w:r>
      <w:r w:rsidR="00383908">
        <w:rPr>
          <w:lang w:val="fr-FR"/>
        </w:rPr>
        <w:t> </w:t>
      </w:r>
      <w:r w:rsidRPr="00383908">
        <w:rPr>
          <w:lang w:val="fr-FR"/>
        </w:rPr>
        <w:t>; UNEP/MC/COP.3/14/Add.1), qui comprend en annexes un projet de décision et un rapport du groupe d</w:t>
      </w:r>
      <w:r w:rsidR="00087D8C">
        <w:rPr>
          <w:lang w:val="fr-FR"/>
        </w:rPr>
        <w:t>’</w:t>
      </w:r>
      <w:r w:rsidRPr="00383908">
        <w:rPr>
          <w:lang w:val="fr-FR"/>
        </w:rPr>
        <w:t xml:space="preserve">experts techniques. </w:t>
      </w:r>
      <w:r w:rsidR="00C05871">
        <w:rPr>
          <w:lang w:val="fr-FR"/>
        </w:rPr>
        <w:t xml:space="preserve">Elle </w:t>
      </w:r>
      <w:r w:rsidRPr="00383908">
        <w:rPr>
          <w:lang w:val="fr-FR"/>
        </w:rPr>
        <w:t>est également saisie des informations techniques compilées par le groupe pour l</w:t>
      </w:r>
      <w:r w:rsidR="00087D8C">
        <w:rPr>
          <w:lang w:val="fr-FR"/>
        </w:rPr>
        <w:t>’</w:t>
      </w:r>
      <w:r w:rsidRPr="00383908">
        <w:rPr>
          <w:lang w:val="fr-FR"/>
        </w:rPr>
        <w:t>aider dans son examen de la q</w:t>
      </w:r>
      <w:r w:rsidR="00383908">
        <w:rPr>
          <w:lang w:val="fr-FR"/>
        </w:rPr>
        <w:t>uestion (</w:t>
      </w:r>
      <w:r w:rsidRPr="00383908">
        <w:rPr>
          <w:lang w:val="fr-FR"/>
        </w:rPr>
        <w:t>UNEP/MC/COP.3/INF.3/INF/15), y compris un examen des données de surveillance disponibles et une proposition d</w:t>
      </w:r>
      <w:r w:rsidR="00087D8C">
        <w:rPr>
          <w:lang w:val="fr-FR"/>
        </w:rPr>
        <w:t>’</w:t>
      </w:r>
      <w:r w:rsidRPr="00383908">
        <w:rPr>
          <w:lang w:val="fr-FR"/>
        </w:rPr>
        <w:t>éléments d</w:t>
      </w:r>
      <w:r w:rsidR="00087D8C">
        <w:rPr>
          <w:lang w:val="fr-FR"/>
        </w:rPr>
        <w:t>’</w:t>
      </w:r>
      <w:r w:rsidRPr="00383908">
        <w:rPr>
          <w:lang w:val="fr-FR"/>
        </w:rPr>
        <w:t>un document d</w:t>
      </w:r>
      <w:r w:rsidR="00087D8C">
        <w:rPr>
          <w:lang w:val="fr-FR"/>
        </w:rPr>
        <w:t>’</w:t>
      </w:r>
      <w:r w:rsidRPr="00383908">
        <w:rPr>
          <w:lang w:val="fr-FR"/>
        </w:rPr>
        <w:t>orientation pour</w:t>
      </w:r>
      <w:r w:rsidR="00247982">
        <w:rPr>
          <w:lang w:val="fr-FR"/>
        </w:rPr>
        <w:t xml:space="preserve"> la surveillance du mercure. La </w:t>
      </w:r>
      <w:r w:rsidRPr="00383908">
        <w:rPr>
          <w:lang w:val="fr-FR"/>
        </w:rPr>
        <w:t>Conférence des Parties souhaitera peut</w:t>
      </w:r>
      <w:r w:rsidR="00436AB4">
        <w:rPr>
          <w:lang w:val="fr-FR"/>
        </w:rPr>
        <w:noBreakHyphen/>
      </w:r>
      <w:r w:rsidRPr="00383908">
        <w:rPr>
          <w:lang w:val="fr-FR"/>
        </w:rPr>
        <w:t>être examiner le rapport du groupe d</w:t>
      </w:r>
      <w:r w:rsidR="00087D8C">
        <w:rPr>
          <w:lang w:val="fr-FR"/>
        </w:rPr>
        <w:t>’</w:t>
      </w:r>
      <w:r w:rsidRPr="00383908">
        <w:rPr>
          <w:lang w:val="fr-FR"/>
        </w:rPr>
        <w:t>experts techniques, qui contient le cadre demandé, examiner ce cadre en vue de l</w:t>
      </w:r>
      <w:r w:rsidR="00087D8C">
        <w:rPr>
          <w:lang w:val="fr-FR"/>
        </w:rPr>
        <w:t>’</w:t>
      </w:r>
      <w:r w:rsidRPr="00383908">
        <w:rPr>
          <w:lang w:val="fr-FR"/>
        </w:rPr>
        <w:t>adopter, et prendre des dispositions pour achever la première évaluation de l</w:t>
      </w:r>
      <w:r w:rsidR="00087D8C">
        <w:rPr>
          <w:lang w:val="fr-FR"/>
        </w:rPr>
        <w:t>’</w:t>
      </w:r>
      <w:r w:rsidRPr="00383908">
        <w:rPr>
          <w:lang w:val="fr-FR"/>
        </w:rPr>
        <w:t xml:space="preserve">efficacité de la Convention </w:t>
      </w:r>
      <w:r w:rsidR="00D671B9">
        <w:rPr>
          <w:lang w:val="fr-FR"/>
        </w:rPr>
        <w:t xml:space="preserve">de Minamata </w:t>
      </w:r>
      <w:r w:rsidRPr="00383908">
        <w:rPr>
          <w:lang w:val="fr-FR"/>
        </w:rPr>
        <w:t>avant 2023.</w:t>
      </w:r>
    </w:p>
    <w:p w14:paraId="02A4CA9E" w14:textId="1FC3DE7E" w:rsidR="005278CE" w:rsidRPr="00383908" w:rsidRDefault="00B54A19" w:rsidP="005278CE">
      <w:pPr>
        <w:pStyle w:val="CH3"/>
        <w:spacing w:before="240"/>
        <w:ind w:left="0" w:firstLine="0"/>
        <w:rPr>
          <w:lang w:val="fr-FR"/>
        </w:rPr>
      </w:pPr>
      <w:r w:rsidRPr="00383908">
        <w:rPr>
          <w:lang w:val="fr-FR"/>
        </w:rPr>
        <w:tab/>
      </w:r>
      <w:r w:rsidR="005278CE" w:rsidRPr="00383908">
        <w:rPr>
          <w:lang w:val="fr-FR"/>
        </w:rPr>
        <w:t>i)</w:t>
      </w:r>
      <w:r w:rsidR="005278CE" w:rsidRPr="00383908">
        <w:rPr>
          <w:lang w:val="fr-FR"/>
        </w:rPr>
        <w:tab/>
      </w:r>
      <w:r w:rsidR="005278CE" w:rsidRPr="00383908">
        <w:rPr>
          <w:bCs/>
          <w:lang w:val="fr-FR"/>
        </w:rPr>
        <w:t>Règles de gestion financière</w:t>
      </w:r>
    </w:p>
    <w:p w14:paraId="06FDD1DD" w14:textId="63B40AB7" w:rsidR="005278CE" w:rsidRPr="00383908" w:rsidRDefault="00247982" w:rsidP="00970339">
      <w:pPr>
        <w:pStyle w:val="Normalnumber"/>
        <w:numPr>
          <w:ilvl w:val="0"/>
          <w:numId w:val="6"/>
        </w:numPr>
        <w:tabs>
          <w:tab w:val="clear" w:pos="567"/>
          <w:tab w:val="num" w:pos="624"/>
        </w:tabs>
        <w:rPr>
          <w:bCs/>
          <w:lang w:val="fr-FR"/>
        </w:rPr>
      </w:pPr>
      <w:r>
        <w:rPr>
          <w:lang w:val="fr-FR"/>
        </w:rPr>
        <w:t>Par sa décision </w:t>
      </w:r>
      <w:r w:rsidR="005278CE" w:rsidRPr="00383908">
        <w:rPr>
          <w:lang w:val="fr-FR"/>
        </w:rPr>
        <w:t>MC</w:t>
      </w:r>
      <w:r w:rsidR="00436AB4">
        <w:rPr>
          <w:lang w:val="fr-FR"/>
        </w:rPr>
        <w:noBreakHyphen/>
      </w:r>
      <w:r w:rsidR="005278CE" w:rsidRPr="00383908">
        <w:rPr>
          <w:lang w:val="fr-FR"/>
        </w:rPr>
        <w:t>1/10, la Conférence des Parties a, à sa première réunion, adopté ses règles de gestion financière et celles de tout organe subsidiaire qu</w:t>
      </w:r>
      <w:r w:rsidR="00087D8C">
        <w:rPr>
          <w:lang w:val="fr-FR"/>
        </w:rPr>
        <w:t>’</w:t>
      </w:r>
      <w:r w:rsidR="005278CE" w:rsidRPr="00383908">
        <w:rPr>
          <w:lang w:val="fr-FR"/>
        </w:rPr>
        <w:t>elle pourrait créer, ainsi que les dispositions financières régissant le fonctionnement du se</w:t>
      </w:r>
      <w:r w:rsidR="00B54A19" w:rsidRPr="00383908">
        <w:rPr>
          <w:lang w:val="fr-FR"/>
        </w:rPr>
        <w:t>crétariat. Le texte de l</w:t>
      </w:r>
      <w:r w:rsidR="00087D8C">
        <w:rPr>
          <w:lang w:val="fr-FR"/>
        </w:rPr>
        <w:t>’</w:t>
      </w:r>
      <w:r w:rsidR="00B54A19" w:rsidRPr="00383908">
        <w:rPr>
          <w:lang w:val="fr-FR"/>
        </w:rPr>
        <w:t>alinéa e) du paragraphe </w:t>
      </w:r>
      <w:r w:rsidR="005278CE" w:rsidRPr="00383908">
        <w:rPr>
          <w:lang w:val="fr-FR"/>
        </w:rPr>
        <w:t>3 de l</w:t>
      </w:r>
      <w:r w:rsidR="00087D8C">
        <w:rPr>
          <w:lang w:val="fr-FR"/>
        </w:rPr>
        <w:t>’</w:t>
      </w:r>
      <w:r>
        <w:rPr>
          <w:lang w:val="fr-FR"/>
        </w:rPr>
        <w:t>article </w:t>
      </w:r>
      <w:r w:rsidR="005278CE" w:rsidRPr="00383908">
        <w:rPr>
          <w:lang w:val="fr-FR"/>
        </w:rPr>
        <w:t>5 des règles de gestio</w:t>
      </w:r>
      <w:r>
        <w:rPr>
          <w:lang w:val="fr-FR"/>
        </w:rPr>
        <w:t>n financière et des paragraphes 2 et </w:t>
      </w:r>
      <w:r w:rsidR="005278CE" w:rsidRPr="00383908">
        <w:rPr>
          <w:lang w:val="fr-FR"/>
        </w:rPr>
        <w:t>5 de l</w:t>
      </w:r>
      <w:r w:rsidR="00087D8C">
        <w:rPr>
          <w:lang w:val="fr-FR"/>
        </w:rPr>
        <w:t>’</w:t>
      </w:r>
      <w:r w:rsidR="005278CE" w:rsidRPr="00383908">
        <w:rPr>
          <w:lang w:val="fr-FR"/>
        </w:rPr>
        <w:t xml:space="preserve">annexe des règles de gestion financière restent entre crochets. </w:t>
      </w:r>
      <w:r w:rsidR="00B54A19" w:rsidRPr="00383908">
        <w:rPr>
          <w:lang w:val="fr-FR"/>
        </w:rPr>
        <w:t>À</w:t>
      </w:r>
      <w:r>
        <w:rPr>
          <w:lang w:val="fr-FR"/>
        </w:rPr>
        <w:t xml:space="preserve"> sa deuxième </w:t>
      </w:r>
      <w:r w:rsidR="005278CE" w:rsidRPr="00383908">
        <w:rPr>
          <w:lang w:val="fr-FR"/>
        </w:rPr>
        <w:t xml:space="preserve">réunion, </w:t>
      </w:r>
      <w:r w:rsidR="005E3315">
        <w:rPr>
          <w:lang w:val="fr-FR"/>
        </w:rPr>
        <w:t xml:space="preserve">elle </w:t>
      </w:r>
      <w:r w:rsidR="005278CE" w:rsidRPr="00383908">
        <w:rPr>
          <w:lang w:val="fr-FR"/>
        </w:rPr>
        <w:t>a décidé de reporter l</w:t>
      </w:r>
      <w:r w:rsidR="00087D8C">
        <w:rPr>
          <w:lang w:val="fr-FR"/>
        </w:rPr>
        <w:t>’</w:t>
      </w:r>
      <w:r w:rsidR="005278CE" w:rsidRPr="00383908">
        <w:rPr>
          <w:lang w:val="fr-FR"/>
        </w:rPr>
        <w:t>exame</w:t>
      </w:r>
      <w:r>
        <w:rPr>
          <w:lang w:val="fr-FR"/>
        </w:rPr>
        <w:t>n de la question à sa troisième </w:t>
      </w:r>
      <w:r w:rsidR="005278CE" w:rsidRPr="00383908">
        <w:rPr>
          <w:lang w:val="fr-FR"/>
        </w:rPr>
        <w:t xml:space="preserve">réunion. </w:t>
      </w:r>
      <w:r w:rsidR="005E3315">
        <w:rPr>
          <w:lang w:val="fr-FR"/>
        </w:rPr>
        <w:t xml:space="preserve">La Conférence des Parties </w:t>
      </w:r>
      <w:r w:rsidR="005278CE" w:rsidRPr="00383908">
        <w:rPr>
          <w:lang w:val="fr-FR"/>
        </w:rPr>
        <w:t>souhaitera peut</w:t>
      </w:r>
      <w:r w:rsidR="00436AB4">
        <w:rPr>
          <w:lang w:val="fr-FR"/>
        </w:rPr>
        <w:noBreakHyphen/>
      </w:r>
      <w:r w:rsidR="005278CE" w:rsidRPr="00383908">
        <w:rPr>
          <w:lang w:val="fr-FR"/>
        </w:rPr>
        <w:t>être examiner le texte placé entre crochets (UNEP/MC/COP.3/15, annexe) en vue d</w:t>
      </w:r>
      <w:r w:rsidR="00087D8C">
        <w:rPr>
          <w:lang w:val="fr-FR"/>
        </w:rPr>
        <w:t>’</w:t>
      </w:r>
      <w:r w:rsidR="005278CE" w:rsidRPr="00383908">
        <w:rPr>
          <w:lang w:val="fr-FR"/>
        </w:rPr>
        <w:t>adopter le texte définitif.</w:t>
      </w:r>
    </w:p>
    <w:p w14:paraId="5268C32F" w14:textId="04A60D57" w:rsidR="005278CE" w:rsidRPr="00383908" w:rsidRDefault="00B54A19" w:rsidP="005278CE">
      <w:pPr>
        <w:pStyle w:val="CH3"/>
        <w:spacing w:before="240"/>
        <w:ind w:left="0" w:firstLine="0"/>
        <w:rPr>
          <w:lang w:val="fr-FR"/>
        </w:rPr>
      </w:pPr>
      <w:r w:rsidRPr="00383908">
        <w:rPr>
          <w:lang w:val="fr-FR"/>
        </w:rPr>
        <w:tab/>
      </w:r>
      <w:r w:rsidR="005278CE" w:rsidRPr="00383908">
        <w:rPr>
          <w:lang w:val="fr-FR"/>
        </w:rPr>
        <w:t>j)</w:t>
      </w:r>
      <w:r w:rsidR="005278CE" w:rsidRPr="00383908">
        <w:rPr>
          <w:lang w:val="fr-FR"/>
        </w:rPr>
        <w:tab/>
      </w:r>
      <w:r w:rsidR="005278CE" w:rsidRPr="00383908">
        <w:rPr>
          <w:bCs/>
          <w:lang w:val="fr-FR"/>
        </w:rPr>
        <w:t>Secrétariat</w:t>
      </w:r>
    </w:p>
    <w:p w14:paraId="1814BFE1" w14:textId="132EFEFD" w:rsidR="005278CE" w:rsidRPr="00383908" w:rsidRDefault="00247982" w:rsidP="00970339">
      <w:pPr>
        <w:pStyle w:val="Normalnumber"/>
        <w:numPr>
          <w:ilvl w:val="0"/>
          <w:numId w:val="6"/>
        </w:numPr>
        <w:tabs>
          <w:tab w:val="clear" w:pos="567"/>
          <w:tab w:val="num" w:pos="624"/>
        </w:tabs>
        <w:rPr>
          <w:lang w:val="fr-FR"/>
        </w:rPr>
      </w:pPr>
      <w:r>
        <w:rPr>
          <w:lang w:val="fr-FR"/>
        </w:rPr>
        <w:t>Par la décision </w:t>
      </w:r>
      <w:r w:rsidR="005278CE" w:rsidRPr="00383908">
        <w:rPr>
          <w:lang w:val="fr-FR"/>
        </w:rPr>
        <w:t>MC</w:t>
      </w:r>
      <w:r w:rsidR="00436AB4">
        <w:rPr>
          <w:lang w:val="fr-FR"/>
        </w:rPr>
        <w:noBreakHyphen/>
      </w:r>
      <w:r w:rsidR="005278CE" w:rsidRPr="00383908">
        <w:rPr>
          <w:lang w:val="fr-FR"/>
        </w:rPr>
        <w:t>2/1 qu</w:t>
      </w:r>
      <w:r w:rsidR="00087D8C">
        <w:rPr>
          <w:lang w:val="fr-FR"/>
        </w:rPr>
        <w:t>’</w:t>
      </w:r>
      <w:r w:rsidR="005278CE" w:rsidRPr="00383908">
        <w:rPr>
          <w:lang w:val="fr-FR"/>
        </w:rPr>
        <w:t>elle a adoptée à sa deuxième réunion, la Conférence des Parties a décidé d</w:t>
      </w:r>
      <w:r w:rsidR="00087D8C">
        <w:rPr>
          <w:lang w:val="fr-FR"/>
        </w:rPr>
        <w:t>’</w:t>
      </w:r>
      <w:r w:rsidR="005278CE" w:rsidRPr="00383908">
        <w:rPr>
          <w:lang w:val="fr-FR"/>
        </w:rPr>
        <w:t>accepter l</w:t>
      </w:r>
      <w:r w:rsidR="00087D8C">
        <w:rPr>
          <w:lang w:val="fr-FR"/>
        </w:rPr>
        <w:t>’</w:t>
      </w:r>
      <w:r w:rsidR="005278CE" w:rsidRPr="00383908">
        <w:rPr>
          <w:lang w:val="fr-FR"/>
        </w:rPr>
        <w:t>offre du Gouvernement suisse d</w:t>
      </w:r>
      <w:r w:rsidR="00087D8C">
        <w:rPr>
          <w:lang w:val="fr-FR"/>
        </w:rPr>
        <w:t>’</w:t>
      </w:r>
      <w:r w:rsidR="005278CE" w:rsidRPr="00383908">
        <w:rPr>
          <w:lang w:val="fr-FR"/>
        </w:rPr>
        <w:t>accueillir le secrétariat à Genève et a prié la Directrice exécutive du PNUE de continuer à assurer les fonctions de secrétariat de la Convention par l</w:t>
      </w:r>
      <w:r w:rsidR="00087D8C">
        <w:rPr>
          <w:lang w:val="fr-FR"/>
        </w:rPr>
        <w:t>’</w:t>
      </w:r>
      <w:r w:rsidR="005278CE" w:rsidRPr="00383908">
        <w:rPr>
          <w:lang w:val="fr-FR"/>
        </w:rPr>
        <w:t>intermédiaire d</w:t>
      </w:r>
      <w:r w:rsidR="00087D8C">
        <w:rPr>
          <w:lang w:val="fr-FR"/>
        </w:rPr>
        <w:t>’</w:t>
      </w:r>
      <w:r w:rsidR="005278CE" w:rsidRPr="00383908">
        <w:rPr>
          <w:lang w:val="fr-FR"/>
        </w:rPr>
        <w:t>un secrétariat de la Convention</w:t>
      </w:r>
      <w:r w:rsidR="00B54A19" w:rsidRPr="00383908">
        <w:rPr>
          <w:lang w:val="fr-FR"/>
        </w:rPr>
        <w:t xml:space="preserve"> de Minamata implanté à Genève.</w:t>
      </w:r>
    </w:p>
    <w:p w14:paraId="6F11CED0" w14:textId="328BFD09" w:rsidR="005278CE" w:rsidRPr="00383908" w:rsidRDefault="005278CE" w:rsidP="00970339">
      <w:pPr>
        <w:pStyle w:val="Normalnumber"/>
        <w:numPr>
          <w:ilvl w:val="0"/>
          <w:numId w:val="6"/>
        </w:numPr>
        <w:tabs>
          <w:tab w:val="clear" w:pos="567"/>
          <w:tab w:val="num" w:pos="624"/>
        </w:tabs>
        <w:rPr>
          <w:lang w:val="fr-FR"/>
        </w:rPr>
      </w:pPr>
      <w:r w:rsidRPr="00383908">
        <w:rPr>
          <w:lang w:val="fr-FR"/>
        </w:rPr>
        <w:lastRenderedPageBreak/>
        <w:t>La Conférence des Parties est saisie d</w:t>
      </w:r>
      <w:r w:rsidR="00087D8C">
        <w:rPr>
          <w:lang w:val="fr-FR"/>
        </w:rPr>
        <w:t>’</w:t>
      </w:r>
      <w:r w:rsidRPr="00383908">
        <w:rPr>
          <w:lang w:val="fr-FR"/>
        </w:rPr>
        <w:t xml:space="preserve">une proposition de la Directrice exécutive du PNUE relative à un cadre de partage de certains services de secrétariat entre le secrétariat de la Convention de </w:t>
      </w:r>
      <w:r w:rsidR="004225DF">
        <w:rPr>
          <w:lang w:val="fr-FR"/>
        </w:rPr>
        <w:t>Minamata et le secrétariat des c</w:t>
      </w:r>
      <w:r w:rsidRPr="00383908">
        <w:rPr>
          <w:lang w:val="fr-FR"/>
        </w:rPr>
        <w:t>onventions de Bâle, de Rotterdam et de Stockholm (UNEP/MC/COP.3/16), qu</w:t>
      </w:r>
      <w:r w:rsidR="00087D8C">
        <w:rPr>
          <w:lang w:val="fr-FR"/>
        </w:rPr>
        <w:t>’</w:t>
      </w:r>
      <w:r w:rsidRPr="00383908">
        <w:rPr>
          <w:lang w:val="fr-FR"/>
        </w:rPr>
        <w:t>elle avait demandée dans sa</w:t>
      </w:r>
      <w:r w:rsidR="00247982">
        <w:rPr>
          <w:lang w:val="fr-FR"/>
        </w:rPr>
        <w:t xml:space="preserve"> décision </w:t>
      </w:r>
      <w:r w:rsidRPr="00383908">
        <w:rPr>
          <w:lang w:val="fr-FR"/>
        </w:rPr>
        <w:t>MC</w:t>
      </w:r>
      <w:r w:rsidR="00436AB4">
        <w:rPr>
          <w:lang w:val="fr-FR"/>
        </w:rPr>
        <w:noBreakHyphen/>
      </w:r>
      <w:r w:rsidRPr="00383908">
        <w:rPr>
          <w:lang w:val="fr-FR"/>
        </w:rPr>
        <w:t xml:space="preserve">2/7. Les activités de coopération </w:t>
      </w:r>
      <w:r w:rsidR="00247982">
        <w:rPr>
          <w:lang w:val="fr-FR"/>
        </w:rPr>
        <w:t>menées à ce jour entre les deux </w:t>
      </w:r>
      <w:r w:rsidRPr="00383908">
        <w:rPr>
          <w:lang w:val="fr-FR"/>
        </w:rPr>
        <w:t xml:space="preserve">secrétariats sont décrites en détail dans le rapport du secrétariat sur </w:t>
      </w:r>
      <w:r w:rsidR="00B4315A">
        <w:rPr>
          <w:lang w:val="fr-FR"/>
        </w:rPr>
        <w:t xml:space="preserve">les </w:t>
      </w:r>
      <w:r w:rsidRPr="00383908">
        <w:rPr>
          <w:lang w:val="fr-FR"/>
        </w:rPr>
        <w:t>principales activités qu</w:t>
      </w:r>
      <w:r w:rsidR="00087D8C">
        <w:rPr>
          <w:lang w:val="fr-FR"/>
        </w:rPr>
        <w:t>’</w:t>
      </w:r>
      <w:r w:rsidRPr="00383908">
        <w:rPr>
          <w:lang w:val="fr-FR"/>
        </w:rPr>
        <w:t>il a menées pendant l</w:t>
      </w:r>
      <w:r w:rsidR="00087D8C">
        <w:rPr>
          <w:lang w:val="fr-FR"/>
        </w:rPr>
        <w:t>’</w:t>
      </w:r>
      <w:r w:rsidRPr="00383908">
        <w:rPr>
          <w:lang w:val="fr-FR"/>
        </w:rPr>
        <w:t>intersession (UNEP/MC/COP.3/19) et dans</w:t>
      </w:r>
      <w:r w:rsidR="004225DF">
        <w:rPr>
          <w:lang w:val="fr-FR"/>
        </w:rPr>
        <w:t xml:space="preserve"> un rapport du secrétariat des c</w:t>
      </w:r>
      <w:r w:rsidRPr="00383908">
        <w:rPr>
          <w:lang w:val="fr-FR"/>
        </w:rPr>
        <w:t>onventions de Bâle, de Rotterdam et de Stoc</w:t>
      </w:r>
      <w:r w:rsidR="00247982">
        <w:rPr>
          <w:lang w:val="fr-FR"/>
        </w:rPr>
        <w:t>kholm (UNEP/MC/COP.3/INF/6). La </w:t>
      </w:r>
      <w:r w:rsidRPr="00383908">
        <w:rPr>
          <w:lang w:val="fr-FR"/>
        </w:rPr>
        <w:t>Conférence des Parties souhaitera peut</w:t>
      </w:r>
      <w:r w:rsidR="00436AB4">
        <w:rPr>
          <w:lang w:val="fr-FR"/>
        </w:rPr>
        <w:noBreakHyphen/>
      </w:r>
      <w:r w:rsidRPr="00383908">
        <w:rPr>
          <w:lang w:val="fr-FR"/>
        </w:rPr>
        <w:t>être prendre note des modalités proposées, notamment en ce qui concerne les scénarios présentés dans le budget pour l</w:t>
      </w:r>
      <w:r w:rsidR="00087D8C">
        <w:rPr>
          <w:lang w:val="fr-FR"/>
        </w:rPr>
        <w:t>’</w:t>
      </w:r>
      <w:r w:rsidRPr="00383908">
        <w:rPr>
          <w:lang w:val="fr-FR"/>
        </w:rPr>
        <w:t>exercice biennal 2020</w:t>
      </w:r>
      <w:r w:rsidR="00436AB4">
        <w:rPr>
          <w:lang w:val="fr-FR"/>
        </w:rPr>
        <w:noBreakHyphen/>
      </w:r>
      <w:r w:rsidRPr="00383908">
        <w:rPr>
          <w:lang w:val="fr-FR"/>
        </w:rPr>
        <w:t>2021, c</w:t>
      </w:r>
      <w:r w:rsidR="00247982">
        <w:rPr>
          <w:lang w:val="fr-FR"/>
        </w:rPr>
        <w:t>omme demandé dans les décisions </w:t>
      </w:r>
      <w:r w:rsidRPr="00383908">
        <w:rPr>
          <w:lang w:val="fr-FR"/>
        </w:rPr>
        <w:t>MC</w:t>
      </w:r>
      <w:r w:rsidR="00436AB4">
        <w:rPr>
          <w:lang w:val="fr-FR"/>
        </w:rPr>
        <w:noBreakHyphen/>
      </w:r>
      <w:r w:rsidRPr="00383908">
        <w:rPr>
          <w:lang w:val="fr-FR"/>
        </w:rPr>
        <w:t>2/7 et MC</w:t>
      </w:r>
      <w:r w:rsidR="00436AB4">
        <w:rPr>
          <w:lang w:val="fr-FR"/>
        </w:rPr>
        <w:noBreakHyphen/>
      </w:r>
      <w:r w:rsidRPr="00383908">
        <w:rPr>
          <w:lang w:val="fr-FR"/>
        </w:rPr>
        <w:t>2/12.</w:t>
      </w:r>
    </w:p>
    <w:p w14:paraId="1937E49F" w14:textId="1DF4B799" w:rsidR="005278CE" w:rsidRPr="00383908" w:rsidRDefault="00B54A19" w:rsidP="005278CE">
      <w:pPr>
        <w:pStyle w:val="CH3"/>
        <w:spacing w:before="240"/>
        <w:ind w:left="0" w:firstLine="0"/>
        <w:rPr>
          <w:lang w:val="fr-FR"/>
        </w:rPr>
      </w:pPr>
      <w:r w:rsidRPr="00383908">
        <w:rPr>
          <w:lang w:val="fr-FR"/>
        </w:rPr>
        <w:tab/>
      </w:r>
      <w:r w:rsidR="005278CE" w:rsidRPr="00383908">
        <w:rPr>
          <w:lang w:val="fr-FR"/>
        </w:rPr>
        <w:t>k)</w:t>
      </w:r>
      <w:r w:rsidR="005278CE" w:rsidRPr="00383908">
        <w:rPr>
          <w:lang w:val="fr-FR"/>
        </w:rPr>
        <w:tab/>
      </w:r>
      <w:r w:rsidR="005278CE" w:rsidRPr="00383908">
        <w:rPr>
          <w:bCs/>
          <w:lang w:val="fr-FR"/>
        </w:rPr>
        <w:t>Émissions de mercure provenant du brûlage de déchets à l</w:t>
      </w:r>
      <w:r w:rsidR="00087D8C">
        <w:rPr>
          <w:bCs/>
          <w:lang w:val="fr-FR"/>
        </w:rPr>
        <w:t>’</w:t>
      </w:r>
      <w:r w:rsidR="005278CE" w:rsidRPr="00383908">
        <w:rPr>
          <w:bCs/>
          <w:lang w:val="fr-FR"/>
        </w:rPr>
        <w:t>air libre</w:t>
      </w:r>
    </w:p>
    <w:p w14:paraId="104A6056" w14:textId="2616416C" w:rsidR="005278CE" w:rsidRPr="00383908" w:rsidRDefault="00B54A19" w:rsidP="00970339">
      <w:pPr>
        <w:pStyle w:val="Normalnumber"/>
        <w:numPr>
          <w:ilvl w:val="0"/>
          <w:numId w:val="6"/>
        </w:numPr>
        <w:tabs>
          <w:tab w:val="clear" w:pos="567"/>
          <w:tab w:val="num" w:pos="624"/>
        </w:tabs>
        <w:rPr>
          <w:lang w:val="fr-FR"/>
        </w:rPr>
      </w:pPr>
      <w:r w:rsidRPr="00383908">
        <w:rPr>
          <w:lang w:val="fr-FR"/>
        </w:rPr>
        <w:t>À</w:t>
      </w:r>
      <w:r w:rsidR="00247982">
        <w:rPr>
          <w:lang w:val="fr-FR"/>
        </w:rPr>
        <w:t xml:space="preserve"> ses première et deuxième </w:t>
      </w:r>
      <w:r w:rsidR="005A02E7" w:rsidRPr="00383908">
        <w:rPr>
          <w:lang w:val="fr-FR"/>
        </w:rPr>
        <w:t>réunions, la Conférence des Parties a examiné la question des émissions de mercure provenant du brû</w:t>
      </w:r>
      <w:r w:rsidR="00180330" w:rsidRPr="00383908">
        <w:rPr>
          <w:lang w:val="fr-FR"/>
        </w:rPr>
        <w:t>lage de déchets à l</w:t>
      </w:r>
      <w:r w:rsidR="00087D8C">
        <w:rPr>
          <w:lang w:val="fr-FR"/>
        </w:rPr>
        <w:t>’</w:t>
      </w:r>
      <w:r w:rsidR="00180330" w:rsidRPr="00383908">
        <w:rPr>
          <w:lang w:val="fr-FR"/>
        </w:rPr>
        <w:t>air libre. À</w:t>
      </w:r>
      <w:r w:rsidR="00247982">
        <w:rPr>
          <w:lang w:val="fr-FR"/>
        </w:rPr>
        <w:t xml:space="preserve"> sa deuxième </w:t>
      </w:r>
      <w:r w:rsidR="005A02E7" w:rsidRPr="00383908">
        <w:rPr>
          <w:lang w:val="fr-FR"/>
        </w:rPr>
        <w:t xml:space="preserve">réunion, elle a prié le secrétariat de continuer à recueillir et à communiquer des informations </w:t>
      </w:r>
      <w:r w:rsidR="00E9691E">
        <w:rPr>
          <w:lang w:val="fr-FR"/>
        </w:rPr>
        <w:t>à ce</w:t>
      </w:r>
      <w:r w:rsidR="005A02E7" w:rsidRPr="00383908">
        <w:rPr>
          <w:lang w:val="fr-FR"/>
        </w:rPr>
        <w:t xml:space="preserve"> sujet. Elle a également prié le secrétariat de poursuivre le dialogue sur cette qu</w:t>
      </w:r>
      <w:r w:rsidR="004225DF">
        <w:rPr>
          <w:lang w:val="fr-FR"/>
        </w:rPr>
        <w:t>estion avec le secrétariat des c</w:t>
      </w:r>
      <w:bookmarkStart w:id="6" w:name="_GoBack"/>
      <w:bookmarkEnd w:id="6"/>
      <w:r w:rsidR="005A02E7" w:rsidRPr="00383908">
        <w:rPr>
          <w:lang w:val="fr-FR"/>
        </w:rPr>
        <w:t>onventions de Bâle, de Rotterdam et de Stockholm et de l</w:t>
      </w:r>
      <w:r w:rsidR="00087D8C">
        <w:rPr>
          <w:lang w:val="fr-FR"/>
        </w:rPr>
        <w:t>’</w:t>
      </w:r>
      <w:r w:rsidR="005A02E7" w:rsidRPr="00383908">
        <w:rPr>
          <w:lang w:val="fr-FR"/>
        </w:rPr>
        <w:t>informer de l</w:t>
      </w:r>
      <w:r w:rsidR="00087D8C">
        <w:rPr>
          <w:lang w:val="fr-FR"/>
        </w:rPr>
        <w:t>’</w:t>
      </w:r>
      <w:r w:rsidR="005A02E7" w:rsidRPr="00383908">
        <w:rPr>
          <w:lang w:val="fr-FR"/>
        </w:rPr>
        <w:t>évolution de la situation à sa troisième réunion.</w:t>
      </w:r>
    </w:p>
    <w:p w14:paraId="105E7C0B" w14:textId="0C1380E5" w:rsidR="005278CE" w:rsidRPr="00383908" w:rsidRDefault="005278CE" w:rsidP="00970339">
      <w:pPr>
        <w:pStyle w:val="Normalnumber"/>
        <w:numPr>
          <w:ilvl w:val="0"/>
          <w:numId w:val="6"/>
        </w:numPr>
        <w:tabs>
          <w:tab w:val="clear" w:pos="567"/>
          <w:tab w:val="num" w:pos="624"/>
        </w:tabs>
        <w:rPr>
          <w:lang w:val="fr-FR"/>
        </w:rPr>
      </w:pPr>
      <w:r w:rsidRPr="00383908">
        <w:rPr>
          <w:lang w:val="fr-FR"/>
        </w:rPr>
        <w:t>En conséquence, le secrétariat a établi une note sur la question (UNEP/MC/COP.3/17)</w:t>
      </w:r>
      <w:r w:rsidR="00E327D9">
        <w:rPr>
          <w:lang w:val="fr-FR"/>
        </w:rPr>
        <w:t>. Par </w:t>
      </w:r>
      <w:r w:rsidR="00D671B9">
        <w:rPr>
          <w:lang w:val="fr-FR"/>
        </w:rPr>
        <w:t xml:space="preserve">ailleurs, les </w:t>
      </w:r>
      <w:r w:rsidRPr="00383908">
        <w:rPr>
          <w:lang w:val="fr-FR"/>
        </w:rPr>
        <w:t>informations reçues d</w:t>
      </w:r>
      <w:r w:rsidR="00087D8C">
        <w:rPr>
          <w:lang w:val="fr-FR"/>
        </w:rPr>
        <w:t>’</w:t>
      </w:r>
      <w:r w:rsidRPr="00383908">
        <w:rPr>
          <w:lang w:val="fr-FR"/>
        </w:rPr>
        <w:t xml:space="preserve">une Partie </w:t>
      </w:r>
      <w:r w:rsidR="00D671B9">
        <w:rPr>
          <w:lang w:val="fr-FR"/>
        </w:rPr>
        <w:t xml:space="preserve">sont reproduites dans le document </w:t>
      </w:r>
      <w:r w:rsidRPr="00383908">
        <w:rPr>
          <w:lang w:val="fr-FR"/>
        </w:rPr>
        <w:t>UNEP/MC/COP.3/INF/16. La Conférence des Parties souhaitera peut</w:t>
      </w:r>
      <w:r w:rsidR="00436AB4">
        <w:rPr>
          <w:lang w:val="fr-FR"/>
        </w:rPr>
        <w:noBreakHyphen/>
      </w:r>
      <w:r w:rsidRPr="00383908">
        <w:rPr>
          <w:lang w:val="fr-FR"/>
        </w:rPr>
        <w:t xml:space="preserve">être examiner les informations fournies et, compte tenu du nombre limité de communications reçues, demander au secrétariat de continuer à recueillir des informations sur le sujet et de </w:t>
      </w:r>
      <w:r w:rsidR="00E9691E">
        <w:rPr>
          <w:lang w:val="fr-FR"/>
        </w:rPr>
        <w:t xml:space="preserve">les </w:t>
      </w:r>
      <w:r w:rsidRPr="00383908">
        <w:rPr>
          <w:lang w:val="fr-FR"/>
        </w:rPr>
        <w:t>diffuser sur le site Web de la Convention.</w:t>
      </w:r>
    </w:p>
    <w:p w14:paraId="13C95956" w14:textId="69306045" w:rsidR="005278CE" w:rsidRPr="00383908" w:rsidRDefault="00927404" w:rsidP="005278CE">
      <w:pPr>
        <w:pStyle w:val="CH2"/>
        <w:spacing w:before="240"/>
        <w:ind w:left="624" w:firstLine="0"/>
        <w:rPr>
          <w:lang w:val="fr-FR"/>
        </w:rPr>
      </w:pPr>
      <w:r>
        <w:rPr>
          <w:bCs/>
          <w:lang w:val="fr-FR"/>
        </w:rPr>
        <w:t>Point </w:t>
      </w:r>
      <w:r w:rsidR="005278CE" w:rsidRPr="00383908">
        <w:rPr>
          <w:bCs/>
          <w:lang w:val="fr-FR"/>
        </w:rPr>
        <w:t>6</w:t>
      </w:r>
    </w:p>
    <w:p w14:paraId="2E74F995" w14:textId="77777777" w:rsidR="005278CE" w:rsidRPr="00383908" w:rsidRDefault="005278CE" w:rsidP="005278CE">
      <w:pPr>
        <w:pStyle w:val="CH2"/>
        <w:ind w:left="624" w:firstLine="0"/>
        <w:rPr>
          <w:lang w:val="fr-FR"/>
        </w:rPr>
      </w:pPr>
      <w:r w:rsidRPr="00383908">
        <w:rPr>
          <w:bCs/>
          <w:lang w:val="fr-FR"/>
        </w:rPr>
        <w:t>Coopération et coordination au niveau international</w:t>
      </w:r>
    </w:p>
    <w:p w14:paraId="58978B97" w14:textId="6386E9F4" w:rsidR="005278CE" w:rsidRPr="00383908" w:rsidRDefault="005278CE" w:rsidP="00970339">
      <w:pPr>
        <w:pStyle w:val="Normalnumber"/>
        <w:numPr>
          <w:ilvl w:val="0"/>
          <w:numId w:val="6"/>
        </w:numPr>
        <w:tabs>
          <w:tab w:val="clear" w:pos="567"/>
          <w:tab w:val="num" w:pos="624"/>
        </w:tabs>
        <w:rPr>
          <w:lang w:val="fr-FR"/>
        </w:rPr>
      </w:pPr>
      <w:r w:rsidRPr="00383908">
        <w:rPr>
          <w:lang w:val="fr-FR"/>
        </w:rPr>
        <w:t>Plusieurs dispositions de la Convention préconisent de coopérer avec les organisations intergouvernementales compétentes. En particulier, l</w:t>
      </w:r>
      <w:r w:rsidR="00087D8C">
        <w:rPr>
          <w:lang w:val="fr-FR"/>
        </w:rPr>
        <w:t>’</w:t>
      </w:r>
      <w:r w:rsidR="00927404">
        <w:rPr>
          <w:lang w:val="fr-FR"/>
        </w:rPr>
        <w:t>article </w:t>
      </w:r>
      <w:r w:rsidRPr="00383908">
        <w:rPr>
          <w:lang w:val="fr-FR"/>
        </w:rPr>
        <w:t>16 prévoit que, dans le cadre de l</w:t>
      </w:r>
      <w:r w:rsidR="00087D8C">
        <w:rPr>
          <w:lang w:val="fr-FR"/>
        </w:rPr>
        <w:t>’</w:t>
      </w:r>
      <w:r w:rsidRPr="00383908">
        <w:rPr>
          <w:lang w:val="fr-FR"/>
        </w:rPr>
        <w:t>examen de questions ou activités liées à la santé, la Conférence des Parties devrait consulter l</w:t>
      </w:r>
      <w:r w:rsidR="00087D8C">
        <w:rPr>
          <w:lang w:val="fr-FR"/>
        </w:rPr>
        <w:t>’</w:t>
      </w:r>
      <w:r w:rsidRPr="00383908">
        <w:rPr>
          <w:lang w:val="fr-FR"/>
        </w:rPr>
        <w:t>Organisation mondiale de la Santé (OMS), l</w:t>
      </w:r>
      <w:r w:rsidR="00087D8C">
        <w:rPr>
          <w:lang w:val="fr-FR"/>
        </w:rPr>
        <w:t>’</w:t>
      </w:r>
      <w:r w:rsidRPr="00383908">
        <w:rPr>
          <w:lang w:val="fr-FR"/>
        </w:rPr>
        <w:t>Organisation internationale du Travail (OIT) et d</w:t>
      </w:r>
      <w:r w:rsidR="00087D8C">
        <w:rPr>
          <w:lang w:val="fr-FR"/>
        </w:rPr>
        <w:t>’</w:t>
      </w:r>
      <w:r w:rsidRPr="00383908">
        <w:rPr>
          <w:lang w:val="fr-FR"/>
        </w:rPr>
        <w:t>autres organisations intergouvernementales compétentes et collaborer avec celles</w:t>
      </w:r>
      <w:r w:rsidR="00436AB4">
        <w:rPr>
          <w:lang w:val="fr-FR"/>
        </w:rPr>
        <w:noBreakHyphen/>
      </w:r>
      <w:r w:rsidRPr="00383908">
        <w:rPr>
          <w:lang w:val="fr-FR"/>
        </w:rPr>
        <w:t>ci, et promouvoir la coopération et l</w:t>
      </w:r>
      <w:r w:rsidR="00087D8C">
        <w:rPr>
          <w:lang w:val="fr-FR"/>
        </w:rPr>
        <w:t>’</w:t>
      </w:r>
      <w:r w:rsidRPr="00383908">
        <w:rPr>
          <w:lang w:val="fr-FR"/>
        </w:rPr>
        <w:t>échange d</w:t>
      </w:r>
      <w:r w:rsidR="00087D8C">
        <w:rPr>
          <w:lang w:val="fr-FR"/>
        </w:rPr>
        <w:t>’</w:t>
      </w:r>
      <w:r w:rsidRPr="00383908">
        <w:rPr>
          <w:lang w:val="fr-FR"/>
        </w:rPr>
        <w:t>informations avec ces organisations, selon qu</w:t>
      </w:r>
      <w:r w:rsidR="00087D8C">
        <w:rPr>
          <w:lang w:val="fr-FR"/>
        </w:rPr>
        <w:t>’</w:t>
      </w:r>
      <w:r w:rsidRPr="00383908">
        <w:rPr>
          <w:lang w:val="fr-FR"/>
        </w:rPr>
        <w:t>il convient.</w:t>
      </w:r>
    </w:p>
    <w:p w14:paraId="48D2FE1D" w14:textId="491BED9B" w:rsidR="005278CE" w:rsidRPr="00383908" w:rsidRDefault="00B54A19" w:rsidP="005278CE">
      <w:pPr>
        <w:pStyle w:val="CH2"/>
        <w:spacing w:before="240"/>
        <w:rPr>
          <w:sz w:val="20"/>
          <w:szCs w:val="20"/>
          <w:lang w:val="fr-FR"/>
        </w:rPr>
      </w:pPr>
      <w:r w:rsidRPr="00383908">
        <w:rPr>
          <w:lang w:val="fr-FR"/>
        </w:rPr>
        <w:tab/>
      </w:r>
      <w:r w:rsidR="005278CE" w:rsidRPr="00383908">
        <w:rPr>
          <w:lang w:val="fr-FR"/>
        </w:rPr>
        <w:t>a)</w:t>
      </w:r>
      <w:r w:rsidR="005278CE" w:rsidRPr="00383908">
        <w:rPr>
          <w:lang w:val="fr-FR"/>
        </w:rPr>
        <w:tab/>
      </w:r>
      <w:r w:rsidR="005278CE" w:rsidRPr="00383908">
        <w:rPr>
          <w:bCs/>
          <w:lang w:val="fr-FR"/>
        </w:rPr>
        <w:t>Organisation mondiale de la Santé et Organisation internationale du Travail</w:t>
      </w:r>
    </w:p>
    <w:p w14:paraId="616B8BB4" w14:textId="67444456" w:rsidR="005278CE" w:rsidRPr="00383908" w:rsidRDefault="005278CE" w:rsidP="00970339">
      <w:pPr>
        <w:pStyle w:val="Normalnumber"/>
        <w:numPr>
          <w:ilvl w:val="0"/>
          <w:numId w:val="6"/>
        </w:numPr>
        <w:tabs>
          <w:tab w:val="clear" w:pos="567"/>
          <w:tab w:val="num" w:pos="624"/>
        </w:tabs>
        <w:rPr>
          <w:lang w:val="fr-FR"/>
        </w:rPr>
      </w:pPr>
      <w:r w:rsidRPr="00383908">
        <w:rPr>
          <w:lang w:val="fr-FR"/>
        </w:rPr>
        <w:t>Des informations concernant la coopération avec l</w:t>
      </w:r>
      <w:r w:rsidR="00087D8C">
        <w:rPr>
          <w:lang w:val="fr-FR"/>
        </w:rPr>
        <w:t>’</w:t>
      </w:r>
      <w:r w:rsidRPr="00383908">
        <w:rPr>
          <w:lang w:val="fr-FR"/>
        </w:rPr>
        <w:t>OMS et l</w:t>
      </w:r>
      <w:r w:rsidR="00087D8C">
        <w:rPr>
          <w:lang w:val="fr-FR"/>
        </w:rPr>
        <w:t>’</w:t>
      </w:r>
      <w:r w:rsidRPr="00383908">
        <w:rPr>
          <w:lang w:val="fr-FR"/>
        </w:rPr>
        <w:t>OIT figurent dans une note du secrétariat sur la question (UNEP/MC/COP.3/18), dont les annexes font le point sur les activités des deux organisations intéressant la Convention. La Conférence des Parties souhaitera peut</w:t>
      </w:r>
      <w:r w:rsidR="00436AB4">
        <w:rPr>
          <w:lang w:val="fr-FR"/>
        </w:rPr>
        <w:noBreakHyphen/>
      </w:r>
      <w:r w:rsidRPr="00383908">
        <w:rPr>
          <w:lang w:val="fr-FR"/>
        </w:rPr>
        <w:t>être envisager de prier le secrétariat de continuer de coopérer et de collaborer activement avec l</w:t>
      </w:r>
      <w:r w:rsidR="00087D8C">
        <w:rPr>
          <w:lang w:val="fr-FR"/>
        </w:rPr>
        <w:t>’</w:t>
      </w:r>
      <w:r w:rsidRPr="00383908">
        <w:rPr>
          <w:lang w:val="fr-FR"/>
        </w:rPr>
        <w:t>OMS et l</w:t>
      </w:r>
      <w:r w:rsidR="00087D8C">
        <w:rPr>
          <w:lang w:val="fr-FR"/>
        </w:rPr>
        <w:t>’</w:t>
      </w:r>
      <w:r w:rsidRPr="00383908">
        <w:rPr>
          <w:lang w:val="fr-FR"/>
        </w:rPr>
        <w:t>O</w:t>
      </w:r>
      <w:r w:rsidR="00B54A19" w:rsidRPr="00383908">
        <w:rPr>
          <w:lang w:val="fr-FR"/>
        </w:rPr>
        <w:t>IT dans le domaine de la santé.</w:t>
      </w:r>
    </w:p>
    <w:p w14:paraId="75DB6B2E" w14:textId="11EC755A" w:rsidR="005278CE" w:rsidRPr="00383908" w:rsidRDefault="00B54A19" w:rsidP="005278CE">
      <w:pPr>
        <w:pStyle w:val="CH2"/>
        <w:rPr>
          <w:sz w:val="20"/>
          <w:szCs w:val="20"/>
          <w:lang w:val="fr-FR"/>
        </w:rPr>
      </w:pPr>
      <w:r w:rsidRPr="00383908">
        <w:rPr>
          <w:lang w:val="fr-FR"/>
        </w:rPr>
        <w:tab/>
      </w:r>
      <w:r w:rsidR="005278CE" w:rsidRPr="00383908">
        <w:rPr>
          <w:lang w:val="fr-FR"/>
        </w:rPr>
        <w:t>b)</w:t>
      </w:r>
      <w:r w:rsidR="005278CE" w:rsidRPr="00383908">
        <w:rPr>
          <w:lang w:val="fr-FR"/>
        </w:rPr>
        <w:tab/>
      </w:r>
      <w:r w:rsidR="005278CE" w:rsidRPr="00383908">
        <w:rPr>
          <w:bCs/>
          <w:lang w:val="fr-FR"/>
        </w:rPr>
        <w:t>Autres organisations et organismes internationaux</w:t>
      </w:r>
    </w:p>
    <w:p w14:paraId="7DABA809" w14:textId="39308DC5" w:rsidR="005278CE" w:rsidRPr="00383908" w:rsidRDefault="005278CE" w:rsidP="00970339">
      <w:pPr>
        <w:pStyle w:val="Normalnumber"/>
        <w:numPr>
          <w:ilvl w:val="0"/>
          <w:numId w:val="6"/>
        </w:numPr>
        <w:tabs>
          <w:tab w:val="clear" w:pos="567"/>
          <w:tab w:val="num" w:pos="624"/>
        </w:tabs>
        <w:rPr>
          <w:lang w:val="fr-FR"/>
        </w:rPr>
      </w:pPr>
      <w:r w:rsidRPr="00383908">
        <w:rPr>
          <w:lang w:val="fr-FR"/>
        </w:rPr>
        <w:t xml:space="preserve">On trouvera dans le document UNEP/MC/COP.3/INF/17 des informations sur les activités menées par les </w:t>
      </w:r>
      <w:r w:rsidR="00D671B9">
        <w:rPr>
          <w:lang w:val="fr-FR"/>
        </w:rPr>
        <w:t>entités internationales</w:t>
      </w:r>
      <w:r w:rsidRPr="00383908">
        <w:rPr>
          <w:lang w:val="fr-FR"/>
        </w:rPr>
        <w:t xml:space="preserve"> compéte</w:t>
      </w:r>
      <w:r w:rsidR="00B54A19" w:rsidRPr="00383908">
        <w:rPr>
          <w:lang w:val="fr-FR"/>
        </w:rPr>
        <w:t>nt</w:t>
      </w:r>
      <w:r w:rsidR="00D671B9">
        <w:rPr>
          <w:lang w:val="fr-FR"/>
        </w:rPr>
        <w:t>e</w:t>
      </w:r>
      <w:r w:rsidR="00B54A19" w:rsidRPr="00383908">
        <w:rPr>
          <w:lang w:val="fr-FR"/>
        </w:rPr>
        <w:t>s dans le domaine du mercure.</w:t>
      </w:r>
    </w:p>
    <w:p w14:paraId="3D5A69DD" w14:textId="55DD67B6" w:rsidR="005278CE" w:rsidRPr="00383908" w:rsidRDefault="00927404" w:rsidP="005278CE">
      <w:pPr>
        <w:pStyle w:val="CH2"/>
        <w:keepNext w:val="0"/>
        <w:keepLines w:val="0"/>
        <w:spacing w:before="240"/>
        <w:ind w:left="624" w:firstLine="0"/>
        <w:rPr>
          <w:lang w:val="fr-FR"/>
        </w:rPr>
      </w:pPr>
      <w:r>
        <w:rPr>
          <w:bCs/>
          <w:lang w:val="fr-FR"/>
        </w:rPr>
        <w:t>Point </w:t>
      </w:r>
      <w:r w:rsidR="005278CE" w:rsidRPr="00383908">
        <w:rPr>
          <w:bCs/>
          <w:lang w:val="fr-FR"/>
        </w:rPr>
        <w:t>7</w:t>
      </w:r>
    </w:p>
    <w:p w14:paraId="509C2238" w14:textId="0677E3D2" w:rsidR="005278CE" w:rsidRPr="00383908" w:rsidRDefault="005278CE" w:rsidP="005278CE">
      <w:pPr>
        <w:pStyle w:val="CH2"/>
        <w:keepNext w:val="0"/>
        <w:keepLines w:val="0"/>
        <w:ind w:left="624" w:firstLine="0"/>
        <w:rPr>
          <w:lang w:val="fr-FR"/>
        </w:rPr>
      </w:pPr>
      <w:r w:rsidRPr="00383908">
        <w:rPr>
          <w:bCs/>
          <w:lang w:val="fr-FR"/>
        </w:rPr>
        <w:t>Programme de travail et budget</w:t>
      </w:r>
    </w:p>
    <w:p w14:paraId="10D99D82" w14:textId="1209EF96" w:rsidR="005278CE" w:rsidRPr="00383908" w:rsidRDefault="00927404" w:rsidP="00970339">
      <w:pPr>
        <w:pStyle w:val="Normalnumber"/>
        <w:numPr>
          <w:ilvl w:val="0"/>
          <w:numId w:val="6"/>
        </w:numPr>
        <w:tabs>
          <w:tab w:val="clear" w:pos="567"/>
          <w:tab w:val="num" w:pos="624"/>
        </w:tabs>
        <w:rPr>
          <w:lang w:val="fr-FR"/>
        </w:rPr>
      </w:pPr>
      <w:r>
        <w:rPr>
          <w:lang w:val="fr-FR"/>
        </w:rPr>
        <w:t>Dans ses décisions </w:t>
      </w:r>
      <w:r w:rsidR="005A02E7" w:rsidRPr="00383908">
        <w:rPr>
          <w:lang w:val="fr-FR"/>
        </w:rPr>
        <w:t>MC</w:t>
      </w:r>
      <w:r w:rsidR="00436AB4">
        <w:rPr>
          <w:lang w:val="fr-FR"/>
        </w:rPr>
        <w:noBreakHyphen/>
      </w:r>
      <w:r w:rsidR="005A02E7" w:rsidRPr="00383908">
        <w:rPr>
          <w:lang w:val="fr-FR"/>
        </w:rPr>
        <w:t>1/15 et MC</w:t>
      </w:r>
      <w:r w:rsidR="00436AB4">
        <w:rPr>
          <w:lang w:val="fr-FR"/>
        </w:rPr>
        <w:noBreakHyphen/>
      </w:r>
      <w:r w:rsidR="005A02E7" w:rsidRPr="00383908">
        <w:rPr>
          <w:lang w:val="fr-FR"/>
        </w:rPr>
        <w:t>2/12, la Conférence des Parties a prié la Secrétaire exécutive d</w:t>
      </w:r>
      <w:r w:rsidR="00087D8C">
        <w:rPr>
          <w:lang w:val="fr-FR"/>
        </w:rPr>
        <w:t>’</w:t>
      </w:r>
      <w:r w:rsidR="005A02E7" w:rsidRPr="00383908">
        <w:rPr>
          <w:lang w:val="fr-FR"/>
        </w:rPr>
        <w:t>établir un budget pour l</w:t>
      </w:r>
      <w:r w:rsidR="00087D8C">
        <w:rPr>
          <w:lang w:val="fr-FR"/>
        </w:rPr>
        <w:t>’</w:t>
      </w:r>
      <w:r>
        <w:rPr>
          <w:lang w:val="fr-FR"/>
        </w:rPr>
        <w:t>exercice biennal </w:t>
      </w:r>
      <w:r w:rsidR="005A02E7" w:rsidRPr="00383908">
        <w:rPr>
          <w:lang w:val="fr-FR"/>
        </w:rPr>
        <w:t>2020–2021, qu</w:t>
      </w:r>
      <w:r w:rsidR="00087D8C">
        <w:rPr>
          <w:lang w:val="fr-FR"/>
        </w:rPr>
        <w:t>’</w:t>
      </w:r>
      <w:r w:rsidR="005A02E7" w:rsidRPr="00383908">
        <w:rPr>
          <w:lang w:val="fr-FR"/>
        </w:rPr>
        <w:t>elle examinerait à sa troisième réunion, en expliquant les principes fondamentaux, les hypothèses et la stratégie de programmation sous</w:t>
      </w:r>
      <w:r w:rsidR="00436AB4">
        <w:rPr>
          <w:lang w:val="fr-FR"/>
        </w:rPr>
        <w:noBreakHyphen/>
      </w:r>
      <w:r w:rsidR="005A02E7" w:rsidRPr="00383908">
        <w:rPr>
          <w:lang w:val="fr-FR"/>
        </w:rPr>
        <w:t>tendant ce budget et en présentant les dépenses pour cet exercice biennal par programme et par activité inscrite au budget, chaque activité devant être accompagnée d</w:t>
      </w:r>
      <w:r w:rsidR="00087D8C">
        <w:rPr>
          <w:lang w:val="fr-FR"/>
        </w:rPr>
        <w:t>’</w:t>
      </w:r>
      <w:r w:rsidR="005A02E7" w:rsidRPr="00383908">
        <w:rPr>
          <w:lang w:val="fr-FR"/>
        </w:rPr>
        <w:t>une fiche descriptive. Elle a également prié la Secrétaire exécutive, lors de la préparation du budget et du programme d</w:t>
      </w:r>
      <w:r w:rsidR="00B54A19" w:rsidRPr="00383908">
        <w:rPr>
          <w:lang w:val="fr-FR"/>
        </w:rPr>
        <w:t>e travail de l</w:t>
      </w:r>
      <w:r w:rsidR="00087D8C">
        <w:rPr>
          <w:lang w:val="fr-FR"/>
        </w:rPr>
        <w:t>’</w:t>
      </w:r>
      <w:r w:rsidR="00B54A19" w:rsidRPr="00383908">
        <w:rPr>
          <w:lang w:val="fr-FR"/>
        </w:rPr>
        <w:t>exercice biennal </w:t>
      </w:r>
      <w:r w:rsidR="005A02E7" w:rsidRPr="00383908">
        <w:rPr>
          <w:lang w:val="fr-FR"/>
        </w:rPr>
        <w:t>2020–2021, de présenter deux scénarios, le premier maintenant le budget de fonctionnement à son niveau de 2018</w:t>
      </w:r>
      <w:r w:rsidR="00436AB4">
        <w:rPr>
          <w:lang w:val="fr-FR"/>
        </w:rPr>
        <w:noBreakHyphen/>
      </w:r>
      <w:r w:rsidR="005A02E7" w:rsidRPr="00383908">
        <w:rPr>
          <w:lang w:val="fr-FR"/>
        </w:rPr>
        <w:t>2019 en valeur nominale et le second faisant apparaître les modifications qu</w:t>
      </w:r>
      <w:r w:rsidR="00087D8C">
        <w:rPr>
          <w:lang w:val="fr-FR"/>
        </w:rPr>
        <w:t>’</w:t>
      </w:r>
      <w:r w:rsidR="005A02E7" w:rsidRPr="00383908">
        <w:rPr>
          <w:lang w:val="fr-FR"/>
        </w:rPr>
        <w:t xml:space="preserve">il faudrait apporter à ce scénario </w:t>
      </w:r>
      <w:r w:rsidR="00EC64BB">
        <w:rPr>
          <w:lang w:val="fr-FR"/>
        </w:rPr>
        <w:t>de façon à</w:t>
      </w:r>
      <w:r w:rsidR="005A02E7" w:rsidRPr="00383908">
        <w:rPr>
          <w:lang w:val="fr-FR"/>
        </w:rPr>
        <w:t xml:space="preserve"> répondre aux besoins prévus et </w:t>
      </w:r>
      <w:r w:rsidR="00EC64BB">
        <w:rPr>
          <w:lang w:val="fr-FR"/>
        </w:rPr>
        <w:t xml:space="preserve">à </w:t>
      </w:r>
      <w:r w:rsidR="005A02E7" w:rsidRPr="00383908">
        <w:rPr>
          <w:lang w:val="fr-FR"/>
        </w:rPr>
        <w:t>couvrir les coûts ou réaliser des économies connexes.</w:t>
      </w:r>
    </w:p>
    <w:p w14:paraId="077C2B91" w14:textId="05A3B530" w:rsidR="005278CE" w:rsidRPr="00383908" w:rsidRDefault="005278CE" w:rsidP="00970339">
      <w:pPr>
        <w:pStyle w:val="Normalnumber"/>
        <w:numPr>
          <w:ilvl w:val="0"/>
          <w:numId w:val="6"/>
        </w:numPr>
        <w:tabs>
          <w:tab w:val="clear" w:pos="567"/>
          <w:tab w:val="num" w:pos="624"/>
        </w:tabs>
        <w:rPr>
          <w:lang w:val="fr-FR"/>
        </w:rPr>
      </w:pPr>
      <w:r w:rsidRPr="00383908">
        <w:rPr>
          <w:lang w:val="fr-FR"/>
        </w:rPr>
        <w:lastRenderedPageBreak/>
        <w:t>En conséquence, le secrétariat a établi une note sur le projet de programme de travail et de budget pour l</w:t>
      </w:r>
      <w:r w:rsidR="00087D8C">
        <w:rPr>
          <w:lang w:val="fr-FR"/>
        </w:rPr>
        <w:t>’</w:t>
      </w:r>
      <w:r w:rsidR="00927404">
        <w:rPr>
          <w:lang w:val="fr-FR"/>
        </w:rPr>
        <w:t>exercice biennal </w:t>
      </w:r>
      <w:r w:rsidRPr="00383908">
        <w:rPr>
          <w:lang w:val="fr-FR"/>
        </w:rPr>
        <w:t>2020</w:t>
      </w:r>
      <w:r w:rsidR="00436AB4">
        <w:rPr>
          <w:lang w:val="fr-FR"/>
        </w:rPr>
        <w:noBreakHyphen/>
      </w:r>
      <w:r w:rsidRPr="00383908">
        <w:rPr>
          <w:lang w:val="fr-FR"/>
        </w:rPr>
        <w:t>2021 (UNEP/MC/COP.3/20), ainsi que des fiches d</w:t>
      </w:r>
      <w:r w:rsidR="00087D8C">
        <w:rPr>
          <w:lang w:val="fr-FR"/>
        </w:rPr>
        <w:t>’</w:t>
      </w:r>
      <w:r w:rsidRPr="00383908">
        <w:rPr>
          <w:lang w:val="fr-FR"/>
        </w:rPr>
        <w:t>information sur les activités budgétaires (UNEP/MC/COP.3/INF/9), des informations financières (UNEP/MC/COP.3/INF/10) et les projets de budget de fonction</w:t>
      </w:r>
      <w:r w:rsidR="008A3216">
        <w:rPr>
          <w:lang w:val="fr-FR"/>
        </w:rPr>
        <w:t>nement correspondant à ces deux </w:t>
      </w:r>
      <w:r w:rsidRPr="00383908">
        <w:rPr>
          <w:lang w:val="fr-FR"/>
        </w:rPr>
        <w:t>scénarios (UNEP/MC/COP.3/INF/11). La Conférence des Parties est également saisie d</w:t>
      </w:r>
      <w:r w:rsidR="00087D8C">
        <w:rPr>
          <w:lang w:val="fr-FR"/>
        </w:rPr>
        <w:t>’</w:t>
      </w:r>
      <w:r w:rsidR="008A3216">
        <w:rPr>
          <w:lang w:val="fr-FR"/>
        </w:rPr>
        <w:t>un </w:t>
      </w:r>
      <w:r w:rsidRPr="00383908">
        <w:rPr>
          <w:lang w:val="fr-FR"/>
        </w:rPr>
        <w:t>rapport sur les principales activités menées par le secrétariat pendant l</w:t>
      </w:r>
      <w:r w:rsidR="00087D8C">
        <w:rPr>
          <w:lang w:val="fr-FR"/>
        </w:rPr>
        <w:t>’</w:t>
      </w:r>
      <w:r w:rsidRPr="00383908">
        <w:rPr>
          <w:lang w:val="fr-FR"/>
        </w:rPr>
        <w:t>intersession (UNEP/MC/COP.3/19). Parmi les autres documents relatifs aux travaux du secrétariat et à l</w:t>
      </w:r>
      <w:r w:rsidR="00087D8C">
        <w:rPr>
          <w:lang w:val="fr-FR"/>
        </w:rPr>
        <w:t>’</w:t>
      </w:r>
      <w:r w:rsidRPr="00383908">
        <w:rPr>
          <w:lang w:val="fr-FR"/>
        </w:rPr>
        <w:t>appui aux Parties figurent des notes du secrétariat sur la coopération avec l</w:t>
      </w:r>
      <w:r w:rsidR="00087D8C">
        <w:rPr>
          <w:lang w:val="fr-FR"/>
        </w:rPr>
        <w:t>’</w:t>
      </w:r>
      <w:r w:rsidRPr="00383908">
        <w:rPr>
          <w:lang w:val="fr-FR"/>
        </w:rPr>
        <w:t>OMS et l</w:t>
      </w:r>
      <w:r w:rsidR="00087D8C">
        <w:rPr>
          <w:lang w:val="fr-FR"/>
        </w:rPr>
        <w:t>’</w:t>
      </w:r>
      <w:r w:rsidRPr="00383908">
        <w:rPr>
          <w:lang w:val="fr-FR"/>
        </w:rPr>
        <w:t>OIT (UNEP/MC/COP.3/18),</w:t>
      </w:r>
      <w:r w:rsidR="008A3216">
        <w:rPr>
          <w:lang w:val="fr-FR"/>
        </w:rPr>
        <w:t xml:space="preserve"> un rapport du secrétariat des c</w:t>
      </w:r>
      <w:r w:rsidRPr="00383908">
        <w:rPr>
          <w:lang w:val="fr-FR"/>
        </w:rPr>
        <w:t>onventions de Bâle, de Rotterdam et de Stockholm (UNEP/MC/COP.3/INF/6), un rapport sur les activités des organes, secrétariats et organismes internationaux compétents sur le mercure (UNEP/MC/COP.3/INF/17), une note du secrétariat sur les activités du Programme spécial d</w:t>
      </w:r>
      <w:r w:rsidR="00087D8C">
        <w:rPr>
          <w:lang w:val="fr-FR"/>
        </w:rPr>
        <w:t>’</w:t>
      </w:r>
      <w:r w:rsidRPr="00383908">
        <w:rPr>
          <w:lang w:val="fr-FR"/>
        </w:rPr>
        <w:t>appui au renforcement des institutions nationales au</w:t>
      </w:r>
      <w:r w:rsidR="008A3216">
        <w:rPr>
          <w:lang w:val="fr-FR"/>
        </w:rPr>
        <w:t>x fins de la mise en œuvre des c</w:t>
      </w:r>
      <w:r w:rsidRPr="00383908">
        <w:rPr>
          <w:lang w:val="fr-FR"/>
        </w:rPr>
        <w:t>onventions de Bâle, de Rotterdam et de Stockholm, de la Convention de Minamata sur le mercure et de l</w:t>
      </w:r>
      <w:r w:rsidR="00087D8C">
        <w:rPr>
          <w:lang w:val="fr-FR"/>
        </w:rPr>
        <w:t>’</w:t>
      </w:r>
      <w:r w:rsidRPr="00383908">
        <w:rPr>
          <w:lang w:val="fr-FR"/>
        </w:rPr>
        <w:t>Approche stratégique de la gestion internationale des produits chimiques (UNEP/MC/COP.3/INF/5), le rapport de la Directrice exécutive du PNUE sur les travaux du PNUE à l</w:t>
      </w:r>
      <w:r w:rsidR="00087D8C">
        <w:rPr>
          <w:lang w:val="fr-FR"/>
        </w:rPr>
        <w:t>’</w:t>
      </w:r>
      <w:r w:rsidRPr="00383908">
        <w:rPr>
          <w:lang w:val="fr-FR"/>
        </w:rPr>
        <w:t>appui de la Convention de Minamata (UNEP/MC/COP.3/INF/4), une note faisant le point sur l</w:t>
      </w:r>
      <w:r w:rsidR="00087D8C">
        <w:rPr>
          <w:lang w:val="fr-FR"/>
        </w:rPr>
        <w:t>’</w:t>
      </w:r>
      <w:r w:rsidRPr="00383908">
        <w:rPr>
          <w:lang w:val="fr-FR"/>
        </w:rPr>
        <w:t>Approche stratégique (UNEP/MC/COP.3/INF/8) et un rapport sur les activités entreprises dans le cadre du Partenariat mondial sur le mercure du PNUE (UNEP/MC/COP.3/INF/7).</w:t>
      </w:r>
    </w:p>
    <w:p w14:paraId="41A01B03" w14:textId="12D46789" w:rsidR="005278CE" w:rsidRPr="00383908" w:rsidRDefault="005278CE" w:rsidP="00970339">
      <w:pPr>
        <w:pStyle w:val="Normalnumber"/>
        <w:numPr>
          <w:ilvl w:val="0"/>
          <w:numId w:val="6"/>
        </w:numPr>
        <w:tabs>
          <w:tab w:val="clear" w:pos="567"/>
          <w:tab w:val="num" w:pos="624"/>
        </w:tabs>
        <w:rPr>
          <w:lang w:val="fr-FR"/>
        </w:rPr>
      </w:pPr>
      <w:r w:rsidRPr="00383908">
        <w:rPr>
          <w:lang w:val="fr-FR"/>
        </w:rPr>
        <w:t>La Conférence des Parties souhaitera peut</w:t>
      </w:r>
      <w:r w:rsidR="00436AB4">
        <w:rPr>
          <w:lang w:val="fr-FR"/>
        </w:rPr>
        <w:noBreakHyphen/>
      </w:r>
      <w:r w:rsidRPr="00383908">
        <w:rPr>
          <w:lang w:val="fr-FR"/>
        </w:rPr>
        <w:t>être analyser les deux scénarios concernant le programme de travail et le budget présentés par le secrétariat ainsi que les autres informations fournies à cet égard, et examiner, approuver et adopter une décision sur le programme de travail et le budget du secrétariat pou</w:t>
      </w:r>
      <w:r w:rsidR="00180330" w:rsidRPr="00383908">
        <w:rPr>
          <w:lang w:val="fr-FR"/>
        </w:rPr>
        <w:t>r l</w:t>
      </w:r>
      <w:r w:rsidR="00087D8C">
        <w:rPr>
          <w:lang w:val="fr-FR"/>
        </w:rPr>
        <w:t>’</w:t>
      </w:r>
      <w:r w:rsidR="00927404">
        <w:rPr>
          <w:lang w:val="fr-FR"/>
        </w:rPr>
        <w:t>exercice biennal </w:t>
      </w:r>
      <w:r w:rsidR="00180330" w:rsidRPr="00383908">
        <w:rPr>
          <w:lang w:val="fr-FR"/>
        </w:rPr>
        <w:t>2020</w:t>
      </w:r>
      <w:r w:rsidR="00436AB4">
        <w:rPr>
          <w:lang w:val="fr-FR"/>
        </w:rPr>
        <w:noBreakHyphen/>
      </w:r>
      <w:r w:rsidR="00180330" w:rsidRPr="00383908">
        <w:rPr>
          <w:lang w:val="fr-FR"/>
        </w:rPr>
        <w:t>2021.</w:t>
      </w:r>
    </w:p>
    <w:p w14:paraId="36392AEA" w14:textId="77777777" w:rsidR="005278CE" w:rsidRPr="00383908" w:rsidRDefault="005278CE" w:rsidP="005278CE">
      <w:pPr>
        <w:pStyle w:val="CH2"/>
        <w:spacing w:before="240"/>
        <w:ind w:left="624" w:firstLine="0"/>
        <w:rPr>
          <w:b w:val="0"/>
          <w:lang w:val="fr-FR"/>
        </w:rPr>
      </w:pPr>
      <w:r w:rsidRPr="00383908">
        <w:rPr>
          <w:bCs/>
          <w:lang w:val="fr-FR"/>
        </w:rPr>
        <w:t>Point 8</w:t>
      </w:r>
    </w:p>
    <w:p w14:paraId="4A303144" w14:textId="77777777" w:rsidR="005278CE" w:rsidRPr="00383908" w:rsidRDefault="005278CE" w:rsidP="005278CE">
      <w:pPr>
        <w:pStyle w:val="CH2"/>
        <w:ind w:left="624" w:firstLine="0"/>
        <w:rPr>
          <w:lang w:val="fr-FR"/>
        </w:rPr>
      </w:pPr>
      <w:r w:rsidRPr="00383908">
        <w:rPr>
          <w:bCs/>
          <w:lang w:val="fr-FR"/>
        </w:rPr>
        <w:t>Date et lieu de la quatrième réunion de la Conférence des Parties</w:t>
      </w:r>
    </w:p>
    <w:p w14:paraId="35DEEAE0" w14:textId="7E88C9F3" w:rsidR="005278CE" w:rsidRPr="00383908" w:rsidRDefault="005278CE" w:rsidP="00970339">
      <w:pPr>
        <w:pStyle w:val="Normalnumber"/>
        <w:numPr>
          <w:ilvl w:val="0"/>
          <w:numId w:val="6"/>
        </w:numPr>
        <w:tabs>
          <w:tab w:val="clear" w:pos="567"/>
          <w:tab w:val="num" w:pos="624"/>
        </w:tabs>
        <w:rPr>
          <w:lang w:val="fr-FR"/>
        </w:rPr>
      </w:pPr>
      <w:r w:rsidRPr="00383908">
        <w:rPr>
          <w:lang w:val="fr-FR"/>
        </w:rPr>
        <w:t>Conformément à l</w:t>
      </w:r>
      <w:r w:rsidR="00087D8C">
        <w:rPr>
          <w:lang w:val="fr-FR"/>
        </w:rPr>
        <w:t>’</w:t>
      </w:r>
      <w:r w:rsidR="00927404">
        <w:rPr>
          <w:lang w:val="fr-FR"/>
        </w:rPr>
        <w:t>article </w:t>
      </w:r>
      <w:r w:rsidRPr="00383908">
        <w:rPr>
          <w:lang w:val="fr-FR"/>
        </w:rPr>
        <w:t>3 du Règlement intérieur, les réunions de la Conférence des Parties ont lieu au siège du secrétariat, à moins que la Conférence des Parties n</w:t>
      </w:r>
      <w:r w:rsidR="00087D8C">
        <w:rPr>
          <w:lang w:val="fr-FR"/>
        </w:rPr>
        <w:t>’</w:t>
      </w:r>
      <w:r w:rsidRPr="00383908">
        <w:rPr>
          <w:lang w:val="fr-FR"/>
        </w:rPr>
        <w:t>en décide autrement ou que d</w:t>
      </w:r>
      <w:r w:rsidR="00087D8C">
        <w:rPr>
          <w:lang w:val="fr-FR"/>
        </w:rPr>
        <w:t>’</w:t>
      </w:r>
      <w:r w:rsidRPr="00383908">
        <w:rPr>
          <w:lang w:val="fr-FR"/>
        </w:rPr>
        <w:t>autres arrangements appropriés ne soient pris par le secrétariat en consultat</w:t>
      </w:r>
      <w:r w:rsidR="00180330" w:rsidRPr="00383908">
        <w:rPr>
          <w:lang w:val="fr-FR"/>
        </w:rPr>
        <w:t>ion avec les Parties. L</w:t>
      </w:r>
      <w:r w:rsidR="00087D8C">
        <w:rPr>
          <w:lang w:val="fr-FR"/>
        </w:rPr>
        <w:t>’</w:t>
      </w:r>
      <w:r w:rsidR="00180330" w:rsidRPr="00383908">
        <w:rPr>
          <w:lang w:val="fr-FR"/>
        </w:rPr>
        <w:t>article </w:t>
      </w:r>
      <w:r w:rsidRPr="00383908">
        <w:rPr>
          <w:lang w:val="fr-FR"/>
        </w:rPr>
        <w:t xml:space="preserve">4 du Règlement intérieur dispose que, à moins </w:t>
      </w:r>
      <w:r w:rsidR="00270B88">
        <w:rPr>
          <w:lang w:val="fr-FR"/>
        </w:rPr>
        <w:t>que la Conférence des Parties</w:t>
      </w:r>
      <w:r w:rsidRPr="00383908">
        <w:rPr>
          <w:lang w:val="fr-FR"/>
        </w:rPr>
        <w:t xml:space="preserve"> n</w:t>
      </w:r>
      <w:r w:rsidR="00087D8C">
        <w:rPr>
          <w:lang w:val="fr-FR"/>
        </w:rPr>
        <w:t>’</w:t>
      </w:r>
      <w:r w:rsidRPr="00383908">
        <w:rPr>
          <w:lang w:val="fr-FR"/>
        </w:rPr>
        <w:t>en décide autrement, ses trois premières réunions ordinaires se tiennent annuellement et</w:t>
      </w:r>
      <w:r w:rsidR="00270B88">
        <w:rPr>
          <w:lang w:val="fr-FR"/>
        </w:rPr>
        <w:t>, par la suite,</w:t>
      </w:r>
      <w:r w:rsidRPr="00383908">
        <w:rPr>
          <w:lang w:val="fr-FR"/>
        </w:rPr>
        <w:t xml:space="preserve"> </w:t>
      </w:r>
      <w:r w:rsidR="00180330" w:rsidRPr="00383908">
        <w:rPr>
          <w:lang w:val="fr-FR"/>
        </w:rPr>
        <w:t>tous les deux ans.</w:t>
      </w:r>
    </w:p>
    <w:p w14:paraId="43E55FCD" w14:textId="7832D3E1" w:rsidR="005278CE" w:rsidRPr="00383908" w:rsidRDefault="00180330" w:rsidP="00970339">
      <w:pPr>
        <w:pStyle w:val="Normalnumber"/>
        <w:numPr>
          <w:ilvl w:val="0"/>
          <w:numId w:val="6"/>
        </w:numPr>
        <w:tabs>
          <w:tab w:val="clear" w:pos="567"/>
          <w:tab w:val="num" w:pos="624"/>
        </w:tabs>
        <w:rPr>
          <w:lang w:val="fr-FR"/>
        </w:rPr>
      </w:pPr>
      <w:r w:rsidRPr="00383908">
        <w:rPr>
          <w:lang w:val="fr-FR"/>
        </w:rPr>
        <w:t>À</w:t>
      </w:r>
      <w:r w:rsidR="005278CE" w:rsidRPr="00383908">
        <w:rPr>
          <w:lang w:val="fr-FR"/>
        </w:rPr>
        <w:t xml:space="preserve"> sa deuxième réunion, la Conférence d</w:t>
      </w:r>
      <w:r w:rsidR="00927404">
        <w:rPr>
          <w:lang w:val="fr-FR"/>
        </w:rPr>
        <w:t>es Parties a adopté la décision </w:t>
      </w:r>
      <w:r w:rsidR="005278CE" w:rsidRPr="00383908">
        <w:rPr>
          <w:lang w:val="fr-FR"/>
        </w:rPr>
        <w:t>MC</w:t>
      </w:r>
      <w:r w:rsidR="00436AB4">
        <w:rPr>
          <w:lang w:val="fr-FR"/>
        </w:rPr>
        <w:noBreakHyphen/>
      </w:r>
      <w:r w:rsidR="005278CE" w:rsidRPr="00383908">
        <w:rPr>
          <w:lang w:val="fr-FR"/>
        </w:rPr>
        <w:t>2/5 sur les dates et lieux de sa troisième réunion et des réunions ultérieures, dans laquelle elle a invité les Parties à soumettre des offres pour accueillir sa quatrième réunion ordinaire et à procéder de la même manière pour les réunions ordinaires suivantes. Dans la même décision, elle a prié l</w:t>
      </w:r>
      <w:r w:rsidR="00EC64BB">
        <w:rPr>
          <w:lang w:val="fr-FR"/>
        </w:rPr>
        <w:t>a Secrétaire exécutive</w:t>
      </w:r>
      <w:r w:rsidR="005278CE" w:rsidRPr="00383908">
        <w:rPr>
          <w:lang w:val="fr-FR"/>
        </w:rPr>
        <w:t xml:space="preserve"> de lui soumettre pour examen, avant chaque réunion ordinaire, une évaluation des offres reçues en application de ladite décision.</w:t>
      </w:r>
    </w:p>
    <w:p w14:paraId="51991FCD" w14:textId="309EDB52" w:rsidR="005278CE" w:rsidRPr="00383908" w:rsidRDefault="005278CE" w:rsidP="00970339">
      <w:pPr>
        <w:pStyle w:val="Normalnumber"/>
        <w:numPr>
          <w:ilvl w:val="0"/>
          <w:numId w:val="6"/>
        </w:numPr>
        <w:tabs>
          <w:tab w:val="clear" w:pos="567"/>
          <w:tab w:val="num" w:pos="624"/>
        </w:tabs>
        <w:rPr>
          <w:lang w:val="fr-FR"/>
        </w:rPr>
      </w:pPr>
      <w:r w:rsidRPr="00383908">
        <w:rPr>
          <w:lang w:val="fr-FR"/>
        </w:rPr>
        <w:t xml:space="preserve">Au moment </w:t>
      </w:r>
      <w:r w:rsidR="00476366">
        <w:rPr>
          <w:lang w:val="fr-FR"/>
        </w:rPr>
        <w:t xml:space="preserve">où </w:t>
      </w:r>
      <w:r w:rsidRPr="00383908">
        <w:rPr>
          <w:lang w:val="fr-FR"/>
        </w:rPr>
        <w:t>la note du secrétariat sur la date et le lieu de la quatrième réunion de la Conférence des Parties (UNEP/MC/COP.3/22) était finalisée, une seule offre, qui émanait du Gouvernement colombien, avait été reçue quant à l</w:t>
      </w:r>
      <w:r w:rsidR="00087D8C">
        <w:rPr>
          <w:lang w:val="fr-FR"/>
        </w:rPr>
        <w:t>’</w:t>
      </w:r>
      <w:r w:rsidRPr="00383908">
        <w:rPr>
          <w:lang w:val="fr-FR"/>
        </w:rPr>
        <w:t>organisation de la quatrième réunion. Cette offre est reproduite dans l</w:t>
      </w:r>
      <w:r w:rsidR="00087D8C">
        <w:rPr>
          <w:lang w:val="fr-FR"/>
        </w:rPr>
        <w:t>’</w:t>
      </w:r>
      <w:r w:rsidRPr="00383908">
        <w:rPr>
          <w:lang w:val="fr-FR"/>
        </w:rPr>
        <w:t>annexe du document susmentionné. Par la suite, le Gouvernement indonésien a également proposé d</w:t>
      </w:r>
      <w:r w:rsidR="00087D8C">
        <w:rPr>
          <w:lang w:val="fr-FR"/>
        </w:rPr>
        <w:t>’</w:t>
      </w:r>
      <w:r w:rsidRPr="00383908">
        <w:rPr>
          <w:lang w:val="fr-FR"/>
        </w:rPr>
        <w:t>accueillir la quatrième réunion de la Conférence des Parties. Cette offre figure dans le document U</w:t>
      </w:r>
      <w:r w:rsidR="00927404">
        <w:rPr>
          <w:lang w:val="fr-FR"/>
        </w:rPr>
        <w:t>NEP/MC/COP.3/22/Add.1. Les deux </w:t>
      </w:r>
      <w:r w:rsidRPr="00383908">
        <w:rPr>
          <w:lang w:val="fr-FR"/>
        </w:rPr>
        <w:t>Gouvernements ont également soumis des informations complémentaires concernant leur offre, qui sont présentées dans les documents UNEP/MC/COP.3/INF/20, UNEP/MC/COP.3/INF/22 et UNEP/MC/COP.3/INF/23. Ils ont fait part de leur intention de fournir, à l</w:t>
      </w:r>
      <w:r w:rsidR="00087D8C">
        <w:rPr>
          <w:lang w:val="fr-FR"/>
        </w:rPr>
        <w:t>’</w:t>
      </w:r>
      <w:r w:rsidR="00927404">
        <w:rPr>
          <w:lang w:val="fr-FR"/>
        </w:rPr>
        <w:t>occasion de la troisième </w:t>
      </w:r>
      <w:r w:rsidRPr="00383908">
        <w:rPr>
          <w:lang w:val="fr-FR"/>
        </w:rPr>
        <w:t>réunion, un complément d</w:t>
      </w:r>
      <w:r w:rsidR="00087D8C">
        <w:rPr>
          <w:lang w:val="fr-FR"/>
        </w:rPr>
        <w:t>’</w:t>
      </w:r>
      <w:r w:rsidRPr="00383908">
        <w:rPr>
          <w:lang w:val="fr-FR"/>
        </w:rPr>
        <w:t>information sur leur offre.</w:t>
      </w:r>
    </w:p>
    <w:p w14:paraId="7A65DDA0" w14:textId="3E95904D" w:rsidR="005278CE" w:rsidRPr="00383908" w:rsidRDefault="005278CE" w:rsidP="00970339">
      <w:pPr>
        <w:pStyle w:val="Normalnumber"/>
        <w:numPr>
          <w:ilvl w:val="0"/>
          <w:numId w:val="6"/>
        </w:numPr>
        <w:tabs>
          <w:tab w:val="clear" w:pos="567"/>
          <w:tab w:val="num" w:pos="624"/>
        </w:tabs>
        <w:rPr>
          <w:lang w:val="fr-FR"/>
        </w:rPr>
      </w:pPr>
      <w:r w:rsidRPr="00383908">
        <w:rPr>
          <w:lang w:val="fr-FR"/>
        </w:rPr>
        <w:t>La Conférence souhaitera peut</w:t>
      </w:r>
      <w:r w:rsidR="00436AB4">
        <w:rPr>
          <w:lang w:val="fr-FR"/>
        </w:rPr>
        <w:noBreakHyphen/>
      </w:r>
      <w:r w:rsidRPr="00383908">
        <w:rPr>
          <w:lang w:val="fr-FR"/>
        </w:rPr>
        <w:t>être examiner les offres et décider de la date et du lieu de sa quatrième réunion.</w:t>
      </w:r>
    </w:p>
    <w:p w14:paraId="30F44161" w14:textId="2CE773FB" w:rsidR="005278CE" w:rsidRPr="00383908" w:rsidRDefault="00927404" w:rsidP="005278CE">
      <w:pPr>
        <w:pStyle w:val="CH2"/>
        <w:keepNext w:val="0"/>
        <w:keepLines w:val="0"/>
        <w:spacing w:before="240"/>
        <w:ind w:left="624" w:firstLine="0"/>
        <w:rPr>
          <w:bCs/>
          <w:lang w:val="fr-FR"/>
        </w:rPr>
      </w:pPr>
      <w:r>
        <w:rPr>
          <w:bCs/>
          <w:lang w:val="fr-FR"/>
        </w:rPr>
        <w:t>Point </w:t>
      </w:r>
      <w:r w:rsidR="005278CE" w:rsidRPr="00383908">
        <w:rPr>
          <w:bCs/>
          <w:lang w:val="fr-FR"/>
        </w:rPr>
        <w:t>9</w:t>
      </w:r>
    </w:p>
    <w:p w14:paraId="257D02A0" w14:textId="77777777" w:rsidR="005278CE" w:rsidRPr="00383908" w:rsidRDefault="005278CE" w:rsidP="005278CE">
      <w:pPr>
        <w:pStyle w:val="CH2"/>
        <w:keepNext w:val="0"/>
        <w:keepLines w:val="0"/>
        <w:ind w:left="624" w:firstLine="0"/>
        <w:rPr>
          <w:b w:val="0"/>
          <w:lang w:val="fr-FR"/>
        </w:rPr>
      </w:pPr>
      <w:r w:rsidRPr="00383908">
        <w:rPr>
          <w:bCs/>
          <w:lang w:val="fr-FR"/>
        </w:rPr>
        <w:t>Questions diverses</w:t>
      </w:r>
    </w:p>
    <w:p w14:paraId="1CFA9328" w14:textId="77777777" w:rsidR="00746153" w:rsidRDefault="005278CE" w:rsidP="00970339">
      <w:pPr>
        <w:pStyle w:val="Normalnumber"/>
        <w:numPr>
          <w:ilvl w:val="0"/>
          <w:numId w:val="6"/>
        </w:numPr>
        <w:tabs>
          <w:tab w:val="clear" w:pos="567"/>
          <w:tab w:val="num" w:pos="624"/>
        </w:tabs>
        <w:rPr>
          <w:lang w:val="fr-FR"/>
        </w:rPr>
      </w:pPr>
      <w:r w:rsidRPr="00383908">
        <w:rPr>
          <w:lang w:val="fr-FR"/>
        </w:rPr>
        <w:t>La Conférence des Parties souhaitera peut</w:t>
      </w:r>
      <w:r w:rsidR="00436AB4">
        <w:rPr>
          <w:lang w:val="fr-FR"/>
        </w:rPr>
        <w:noBreakHyphen/>
      </w:r>
      <w:r w:rsidRPr="00383908">
        <w:rPr>
          <w:lang w:val="fr-FR"/>
        </w:rPr>
        <w:t>être examiner toute autre question soulevée pendant la réunion. Entre autres choses, elle souhaitera peut</w:t>
      </w:r>
      <w:r w:rsidR="00436AB4">
        <w:rPr>
          <w:lang w:val="fr-FR"/>
        </w:rPr>
        <w:noBreakHyphen/>
      </w:r>
      <w:r w:rsidRPr="00383908">
        <w:rPr>
          <w:lang w:val="fr-FR"/>
        </w:rPr>
        <w:t>être inviter le secrétariat à décrire les mesures prises concernant l</w:t>
      </w:r>
      <w:r w:rsidR="00087D8C">
        <w:rPr>
          <w:lang w:val="fr-FR"/>
        </w:rPr>
        <w:t>’</w:t>
      </w:r>
      <w:r w:rsidRPr="00383908">
        <w:rPr>
          <w:lang w:val="fr-FR"/>
        </w:rPr>
        <w:t>obligation qui incombe aux Parties au titre de l</w:t>
      </w:r>
      <w:r w:rsidR="00087D8C">
        <w:rPr>
          <w:lang w:val="fr-FR"/>
        </w:rPr>
        <w:t>’</w:t>
      </w:r>
      <w:r w:rsidR="00927404">
        <w:rPr>
          <w:lang w:val="fr-FR"/>
        </w:rPr>
        <w:t>article </w:t>
      </w:r>
      <w:r w:rsidRPr="00383908">
        <w:rPr>
          <w:lang w:val="fr-FR"/>
        </w:rPr>
        <w:t>2</w:t>
      </w:r>
      <w:r w:rsidR="00927404">
        <w:rPr>
          <w:lang w:val="fr-FR"/>
        </w:rPr>
        <w:t>1 et conformément à la décision </w:t>
      </w:r>
      <w:r w:rsidRPr="00383908">
        <w:rPr>
          <w:lang w:val="fr-FR"/>
        </w:rPr>
        <w:t>MC</w:t>
      </w:r>
      <w:r w:rsidR="00436AB4">
        <w:rPr>
          <w:lang w:val="fr-FR"/>
        </w:rPr>
        <w:noBreakHyphen/>
      </w:r>
      <w:r w:rsidRPr="00383908">
        <w:rPr>
          <w:lang w:val="fr-FR"/>
        </w:rPr>
        <w:t>1/8 de faire rapport sur les mesures que celles</w:t>
      </w:r>
      <w:r w:rsidR="00436AB4">
        <w:rPr>
          <w:lang w:val="fr-FR"/>
        </w:rPr>
        <w:noBreakHyphen/>
      </w:r>
      <w:r w:rsidRPr="00383908">
        <w:rPr>
          <w:lang w:val="fr-FR"/>
        </w:rPr>
        <w:t xml:space="preserve">ci ont prises pour mettre en </w:t>
      </w:r>
      <w:r w:rsidR="00383908" w:rsidRPr="00383908">
        <w:rPr>
          <w:lang w:val="fr-FR"/>
        </w:rPr>
        <w:t>œuvre</w:t>
      </w:r>
      <w:r w:rsidRPr="00383908">
        <w:rPr>
          <w:lang w:val="fr-FR"/>
        </w:rPr>
        <w:t xml:space="preserve"> les dispositions de la Convention ainsi que sur l</w:t>
      </w:r>
      <w:r w:rsidR="00087D8C">
        <w:rPr>
          <w:lang w:val="fr-FR"/>
        </w:rPr>
        <w:t>’</w:t>
      </w:r>
      <w:r w:rsidRPr="00383908">
        <w:rPr>
          <w:lang w:val="fr-FR"/>
        </w:rPr>
        <w:t xml:space="preserve">efficacité de ces mesures et les éventuelles difficultés </w:t>
      </w:r>
    </w:p>
    <w:p w14:paraId="47DA8C8A" w14:textId="0ECE575F" w:rsidR="005278CE" w:rsidRPr="00383908" w:rsidRDefault="005278CE" w:rsidP="00746153">
      <w:pPr>
        <w:pStyle w:val="Normalnumber"/>
        <w:numPr>
          <w:ilvl w:val="0"/>
          <w:numId w:val="0"/>
        </w:numPr>
        <w:tabs>
          <w:tab w:val="clear" w:pos="624"/>
        </w:tabs>
        <w:ind w:left="1247"/>
        <w:rPr>
          <w:lang w:val="fr-FR"/>
        </w:rPr>
      </w:pPr>
      <w:r w:rsidRPr="00383908">
        <w:rPr>
          <w:lang w:val="fr-FR"/>
        </w:rPr>
        <w:lastRenderedPageBreak/>
        <w:t>qu</w:t>
      </w:r>
      <w:r w:rsidR="00087D8C">
        <w:rPr>
          <w:lang w:val="fr-FR"/>
        </w:rPr>
        <w:t>’</w:t>
      </w:r>
      <w:r w:rsidRPr="00383908">
        <w:rPr>
          <w:lang w:val="fr-FR"/>
        </w:rPr>
        <w:t>elles ont rencontrées dans la réalisation des objectifs de la Convention, notamment sur l</w:t>
      </w:r>
      <w:r w:rsidR="00087D8C">
        <w:rPr>
          <w:lang w:val="fr-FR"/>
        </w:rPr>
        <w:t>’</w:t>
      </w:r>
      <w:r w:rsidRPr="00383908">
        <w:rPr>
          <w:lang w:val="fr-FR"/>
        </w:rPr>
        <w:t>élaboration d</w:t>
      </w:r>
      <w:r w:rsidR="00087D8C">
        <w:rPr>
          <w:lang w:val="fr-FR"/>
        </w:rPr>
        <w:t>’</w:t>
      </w:r>
      <w:r w:rsidRPr="00383908">
        <w:rPr>
          <w:lang w:val="fr-FR"/>
        </w:rPr>
        <w:t>un régime de communication. Elle souhaitera peut</w:t>
      </w:r>
      <w:r w:rsidR="00436AB4">
        <w:rPr>
          <w:lang w:val="fr-FR"/>
        </w:rPr>
        <w:noBreakHyphen/>
      </w:r>
      <w:r w:rsidRPr="00383908">
        <w:rPr>
          <w:lang w:val="fr-FR"/>
        </w:rPr>
        <w:t>être aussi envisager de donner des orientations au secrétariat en ce qui concerne l</w:t>
      </w:r>
      <w:r w:rsidR="00087D8C">
        <w:rPr>
          <w:lang w:val="fr-FR"/>
        </w:rPr>
        <w:t>’</w:t>
      </w:r>
      <w:r w:rsidRPr="00383908">
        <w:rPr>
          <w:lang w:val="fr-FR"/>
        </w:rPr>
        <w:t>appui qu</w:t>
      </w:r>
      <w:r w:rsidR="00087D8C">
        <w:rPr>
          <w:lang w:val="fr-FR"/>
        </w:rPr>
        <w:t>’</w:t>
      </w:r>
      <w:r w:rsidRPr="00383908">
        <w:rPr>
          <w:lang w:val="fr-FR"/>
        </w:rPr>
        <w:t>il apporte aux Parties en matière de communication.</w:t>
      </w:r>
    </w:p>
    <w:p w14:paraId="264E70DD" w14:textId="2671EF00" w:rsidR="005278CE" w:rsidRPr="00383908" w:rsidRDefault="00746153" w:rsidP="005278CE">
      <w:pPr>
        <w:pStyle w:val="CH2"/>
        <w:keepNext w:val="0"/>
        <w:keepLines w:val="0"/>
        <w:spacing w:before="240"/>
        <w:ind w:left="624" w:firstLine="0"/>
        <w:rPr>
          <w:b w:val="0"/>
          <w:lang w:val="fr-FR"/>
        </w:rPr>
      </w:pPr>
      <w:r>
        <w:rPr>
          <w:bCs/>
          <w:lang w:val="fr-FR"/>
        </w:rPr>
        <w:t>Point </w:t>
      </w:r>
      <w:r w:rsidR="005278CE" w:rsidRPr="00383908">
        <w:rPr>
          <w:bCs/>
          <w:lang w:val="fr-FR"/>
        </w:rPr>
        <w:t>10</w:t>
      </w:r>
    </w:p>
    <w:p w14:paraId="2A4C82E3" w14:textId="77777777" w:rsidR="005278CE" w:rsidRPr="00383908" w:rsidRDefault="005278CE" w:rsidP="005278CE">
      <w:pPr>
        <w:pStyle w:val="CH2"/>
        <w:keepNext w:val="0"/>
        <w:keepLines w:val="0"/>
        <w:ind w:left="624" w:firstLine="0"/>
        <w:rPr>
          <w:b w:val="0"/>
          <w:lang w:val="fr-FR"/>
        </w:rPr>
      </w:pPr>
      <w:r w:rsidRPr="00383908">
        <w:rPr>
          <w:bCs/>
          <w:lang w:val="fr-FR"/>
        </w:rPr>
        <w:t>Adoption du rapport</w:t>
      </w:r>
    </w:p>
    <w:p w14:paraId="54460592" w14:textId="18E6128D" w:rsidR="005278CE" w:rsidRPr="00383908" w:rsidRDefault="005278CE" w:rsidP="00970339">
      <w:pPr>
        <w:pStyle w:val="Normalnumber"/>
        <w:numPr>
          <w:ilvl w:val="0"/>
          <w:numId w:val="6"/>
        </w:numPr>
        <w:tabs>
          <w:tab w:val="clear" w:pos="567"/>
          <w:tab w:val="num" w:pos="624"/>
        </w:tabs>
        <w:rPr>
          <w:lang w:val="fr-FR"/>
        </w:rPr>
      </w:pPr>
      <w:r w:rsidRPr="00383908">
        <w:rPr>
          <w:lang w:val="fr-FR"/>
        </w:rPr>
        <w:t>La Conférence des Parties sera invitée à examiner et à adopter l</w:t>
      </w:r>
      <w:r w:rsidR="008A3216">
        <w:rPr>
          <w:lang w:val="fr-FR"/>
        </w:rPr>
        <w:t>e rapport sur les travaux de sa </w:t>
      </w:r>
      <w:r w:rsidRPr="00383908">
        <w:rPr>
          <w:lang w:val="fr-FR"/>
        </w:rPr>
        <w:t>troisième réunion, qui sera élaboré par le Rapporteur avec le concours du secrétariat, à l</w:t>
      </w:r>
      <w:r w:rsidR="00087D8C">
        <w:rPr>
          <w:lang w:val="fr-FR"/>
        </w:rPr>
        <w:t>’</w:t>
      </w:r>
      <w:r w:rsidRPr="00383908">
        <w:rPr>
          <w:lang w:val="fr-FR"/>
        </w:rPr>
        <w:t>occasion d</w:t>
      </w:r>
      <w:r w:rsidR="00087D8C">
        <w:rPr>
          <w:lang w:val="fr-FR"/>
        </w:rPr>
        <w:t>’</w:t>
      </w:r>
      <w:r w:rsidRPr="00383908">
        <w:rPr>
          <w:lang w:val="fr-FR"/>
        </w:rPr>
        <w:t>une séance plénièr</w:t>
      </w:r>
      <w:r w:rsidR="00746153">
        <w:rPr>
          <w:lang w:val="fr-FR"/>
        </w:rPr>
        <w:t>e qui se tiendra le vendredi 29 </w:t>
      </w:r>
      <w:r w:rsidRPr="00383908">
        <w:rPr>
          <w:lang w:val="fr-FR"/>
        </w:rPr>
        <w:t>novembre, après lui avoir apporté toutes les modifications jugées nécessaires. Conformément à la pratique habituelle à l</w:t>
      </w:r>
      <w:r w:rsidR="00087D8C">
        <w:rPr>
          <w:lang w:val="fr-FR"/>
        </w:rPr>
        <w:t>’</w:t>
      </w:r>
      <w:r w:rsidRPr="00383908">
        <w:rPr>
          <w:lang w:val="fr-FR"/>
        </w:rPr>
        <w:t>Organisation des Natio</w:t>
      </w:r>
      <w:r w:rsidR="00746153">
        <w:rPr>
          <w:lang w:val="fr-FR"/>
        </w:rPr>
        <w:t>ns </w:t>
      </w:r>
      <w:r w:rsidRPr="00383908">
        <w:rPr>
          <w:lang w:val="fr-FR"/>
        </w:rPr>
        <w:t>Unies, la Conférence pourrait souhaiter décider de laisser au Rapporteur, disposant pour ce faire du concours du secrétariat, le soin d</w:t>
      </w:r>
      <w:r w:rsidR="00087D8C">
        <w:rPr>
          <w:lang w:val="fr-FR"/>
        </w:rPr>
        <w:t>’</w:t>
      </w:r>
      <w:r w:rsidRPr="00383908">
        <w:rPr>
          <w:lang w:val="fr-FR"/>
        </w:rPr>
        <w:t xml:space="preserve">établir les parties du rapport </w:t>
      </w:r>
      <w:r w:rsidR="007E660C">
        <w:rPr>
          <w:lang w:val="fr-FR"/>
        </w:rPr>
        <w:t>correspondant aux</w:t>
      </w:r>
      <w:r w:rsidRPr="00383908">
        <w:rPr>
          <w:lang w:val="fr-FR"/>
        </w:rPr>
        <w:t xml:space="preserve"> séances plénières qui seront tenues le dernier jour de la réunion et de les inclure dans le rapport après la clôture de la réunion sous l</w:t>
      </w:r>
      <w:r w:rsidR="00087D8C">
        <w:rPr>
          <w:lang w:val="fr-FR"/>
        </w:rPr>
        <w:t>’</w:t>
      </w:r>
      <w:r w:rsidRPr="00383908">
        <w:rPr>
          <w:lang w:val="fr-FR"/>
        </w:rPr>
        <w:t>autorité du Président du Bureau. Le rapport final sur les travaux de la réunion sera distribué après la clôture de la réunion.</w:t>
      </w:r>
    </w:p>
    <w:p w14:paraId="1D509A57" w14:textId="38BBE93A" w:rsidR="005278CE" w:rsidRPr="00383908" w:rsidRDefault="00746153" w:rsidP="005278CE">
      <w:pPr>
        <w:pStyle w:val="CH2"/>
        <w:keepNext w:val="0"/>
        <w:keepLines w:val="0"/>
        <w:spacing w:before="240"/>
        <w:ind w:left="624" w:firstLine="0"/>
        <w:rPr>
          <w:b w:val="0"/>
          <w:lang w:val="fr-FR"/>
        </w:rPr>
      </w:pPr>
      <w:r>
        <w:rPr>
          <w:bCs/>
          <w:lang w:val="fr-FR"/>
        </w:rPr>
        <w:t>Point </w:t>
      </w:r>
      <w:r w:rsidR="005278CE" w:rsidRPr="00383908">
        <w:rPr>
          <w:bCs/>
          <w:lang w:val="fr-FR"/>
        </w:rPr>
        <w:t>11</w:t>
      </w:r>
    </w:p>
    <w:p w14:paraId="383DCF73" w14:textId="77777777" w:rsidR="005278CE" w:rsidRPr="00383908" w:rsidRDefault="005278CE" w:rsidP="005278CE">
      <w:pPr>
        <w:pStyle w:val="CH2"/>
        <w:keepNext w:val="0"/>
        <w:keepLines w:val="0"/>
        <w:ind w:left="624" w:firstLine="0"/>
        <w:rPr>
          <w:b w:val="0"/>
          <w:lang w:val="fr-FR"/>
        </w:rPr>
      </w:pPr>
      <w:r w:rsidRPr="00383908">
        <w:rPr>
          <w:bCs/>
          <w:lang w:val="fr-FR"/>
        </w:rPr>
        <w:t>Clôture de la réunion</w:t>
      </w:r>
    </w:p>
    <w:p w14:paraId="364C526F" w14:textId="3A2BFA48" w:rsidR="005278CE" w:rsidRPr="00383908" w:rsidRDefault="00746153" w:rsidP="00970339">
      <w:pPr>
        <w:pStyle w:val="Normalnumber"/>
        <w:numPr>
          <w:ilvl w:val="0"/>
          <w:numId w:val="6"/>
        </w:numPr>
        <w:tabs>
          <w:tab w:val="clear" w:pos="567"/>
          <w:tab w:val="num" w:pos="624"/>
        </w:tabs>
        <w:rPr>
          <w:lang w:val="fr-FR"/>
        </w:rPr>
      </w:pPr>
      <w:r>
        <w:rPr>
          <w:lang w:val="fr-FR"/>
        </w:rPr>
        <w:t>Les travaux de la troisième </w:t>
      </w:r>
      <w:r w:rsidR="005278CE" w:rsidRPr="00383908">
        <w:rPr>
          <w:lang w:val="fr-FR"/>
        </w:rPr>
        <w:t>réunion de la Conférence des Parties devra</w:t>
      </w:r>
      <w:r>
        <w:rPr>
          <w:lang w:val="fr-FR"/>
        </w:rPr>
        <w:t>ient se terminer le vendredi 29 novembre 2019 à 18 </w:t>
      </w:r>
      <w:r w:rsidR="005278CE" w:rsidRPr="00383908">
        <w:rPr>
          <w:lang w:val="fr-FR"/>
        </w:rPr>
        <w:t>heures.</w:t>
      </w:r>
    </w:p>
    <w:p w14:paraId="29033621" w14:textId="77777777" w:rsidR="009578DD" w:rsidRPr="00383908" w:rsidRDefault="009578DD" w:rsidP="009578DD">
      <w:pPr>
        <w:pStyle w:val="Normal-pool"/>
        <w:rPr>
          <w:lang w:val="fr-FR"/>
        </w:rPr>
      </w:pPr>
    </w:p>
    <w:tbl>
      <w:tblPr>
        <w:tblW w:w="0" w:type="auto"/>
        <w:tblLayout w:type="fixed"/>
        <w:tblLook w:val="04A0" w:firstRow="1" w:lastRow="0" w:firstColumn="1" w:lastColumn="0" w:noHBand="0" w:noVBand="1"/>
      </w:tblPr>
      <w:tblGrid>
        <w:gridCol w:w="1942"/>
        <w:gridCol w:w="1942"/>
        <w:gridCol w:w="1942"/>
        <w:gridCol w:w="1943"/>
        <w:gridCol w:w="1943"/>
      </w:tblGrid>
      <w:tr w:rsidR="00E976AB" w:rsidRPr="00D671B9" w14:paraId="50331B63" w14:textId="77777777" w:rsidTr="00990918">
        <w:tc>
          <w:tcPr>
            <w:tcW w:w="1942" w:type="dxa"/>
            <w:shd w:val="clear" w:color="auto" w:fill="auto"/>
          </w:tcPr>
          <w:p w14:paraId="7B40669A" w14:textId="77777777" w:rsidR="00E976AB" w:rsidRPr="00383908" w:rsidRDefault="00E976AB" w:rsidP="00924FE9">
            <w:pPr>
              <w:pStyle w:val="Normal-pool"/>
              <w:spacing w:before="40"/>
              <w:rPr>
                <w:lang w:val="fr-FR"/>
              </w:rPr>
            </w:pPr>
          </w:p>
        </w:tc>
        <w:tc>
          <w:tcPr>
            <w:tcW w:w="1942" w:type="dxa"/>
            <w:shd w:val="clear" w:color="auto" w:fill="auto"/>
          </w:tcPr>
          <w:p w14:paraId="70AD213F" w14:textId="77777777" w:rsidR="00E976AB" w:rsidRPr="00383908" w:rsidRDefault="00E976AB" w:rsidP="00924FE9">
            <w:pPr>
              <w:pStyle w:val="Normal-pool"/>
              <w:spacing w:before="40"/>
              <w:rPr>
                <w:lang w:val="fr-FR"/>
              </w:rPr>
            </w:pPr>
          </w:p>
        </w:tc>
        <w:tc>
          <w:tcPr>
            <w:tcW w:w="1942" w:type="dxa"/>
            <w:tcBorders>
              <w:bottom w:val="single" w:sz="4" w:space="0" w:color="auto"/>
            </w:tcBorders>
            <w:shd w:val="clear" w:color="auto" w:fill="auto"/>
          </w:tcPr>
          <w:p w14:paraId="3CE15F1B" w14:textId="77777777" w:rsidR="00E976AB" w:rsidRPr="00383908" w:rsidRDefault="00E976AB" w:rsidP="00924FE9">
            <w:pPr>
              <w:pStyle w:val="Normal-pool"/>
              <w:spacing w:before="40"/>
              <w:rPr>
                <w:lang w:val="fr-FR"/>
              </w:rPr>
            </w:pPr>
          </w:p>
        </w:tc>
        <w:tc>
          <w:tcPr>
            <w:tcW w:w="1943" w:type="dxa"/>
            <w:shd w:val="clear" w:color="auto" w:fill="auto"/>
          </w:tcPr>
          <w:p w14:paraId="2D0A53F8" w14:textId="77777777" w:rsidR="00E976AB" w:rsidRPr="00383908" w:rsidRDefault="00E976AB" w:rsidP="00924FE9">
            <w:pPr>
              <w:pStyle w:val="Normal-pool"/>
              <w:spacing w:before="40"/>
              <w:rPr>
                <w:lang w:val="fr-FR"/>
              </w:rPr>
            </w:pPr>
          </w:p>
        </w:tc>
        <w:tc>
          <w:tcPr>
            <w:tcW w:w="1943" w:type="dxa"/>
            <w:shd w:val="clear" w:color="auto" w:fill="auto"/>
          </w:tcPr>
          <w:p w14:paraId="00441DAD" w14:textId="77777777" w:rsidR="00E976AB" w:rsidRPr="00383908" w:rsidRDefault="00E976AB" w:rsidP="00924FE9">
            <w:pPr>
              <w:pStyle w:val="Normal-pool"/>
              <w:spacing w:before="40"/>
              <w:rPr>
                <w:lang w:val="fr-FR"/>
              </w:rPr>
            </w:pPr>
          </w:p>
        </w:tc>
      </w:tr>
    </w:tbl>
    <w:p w14:paraId="53AE7EE1" w14:textId="77777777" w:rsidR="00032E4E" w:rsidRPr="00383908" w:rsidRDefault="00032E4E" w:rsidP="00D013F5">
      <w:pPr>
        <w:pStyle w:val="Normal-pool"/>
        <w:rPr>
          <w:sz w:val="16"/>
          <w:szCs w:val="16"/>
          <w:lang w:val="fr-FR"/>
        </w:rPr>
      </w:pPr>
    </w:p>
    <w:sectPr w:rsidR="00032E4E" w:rsidRPr="00383908"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90AEE7" w14:textId="77777777" w:rsidR="00247982" w:rsidRDefault="00247982">
      <w:r>
        <w:separator/>
      </w:r>
    </w:p>
  </w:endnote>
  <w:endnote w:type="continuationSeparator" w:id="0">
    <w:p w14:paraId="02E4F967" w14:textId="77777777" w:rsidR="00247982" w:rsidRDefault="00247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36507" w14:textId="70EC4C50" w:rsidR="00247982" w:rsidRPr="002B7DA5" w:rsidRDefault="00247982" w:rsidP="001138CB">
    <w:pPr>
      <w:pStyle w:val="Footer-pool"/>
    </w:pPr>
    <w:r w:rsidRPr="002B7DA5">
      <w:rPr>
        <w:rStyle w:val="PageNumber"/>
        <w:b/>
      </w:rPr>
      <w:fldChar w:fldCharType="begin"/>
    </w:r>
    <w:r w:rsidRPr="002B7DA5">
      <w:rPr>
        <w:rStyle w:val="PageNumber"/>
        <w:b/>
      </w:rPr>
      <w:instrText xml:space="preserve"> PAGE </w:instrText>
    </w:r>
    <w:r w:rsidRPr="002B7DA5">
      <w:rPr>
        <w:rStyle w:val="PageNumber"/>
        <w:b/>
      </w:rPr>
      <w:fldChar w:fldCharType="separate"/>
    </w:r>
    <w:r w:rsidR="00313377">
      <w:rPr>
        <w:rStyle w:val="PageNumber"/>
        <w:b/>
        <w:noProof/>
      </w:rPr>
      <w:t>6</w:t>
    </w:r>
    <w:r w:rsidRPr="002B7DA5">
      <w:rPr>
        <w:rStyle w:val="PageNumbe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AFABE" w14:textId="771DDCE6" w:rsidR="00247982" w:rsidRDefault="00247982"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313377">
      <w:rPr>
        <w:rStyle w:val="PageNumber"/>
        <w:noProof/>
      </w:rPr>
      <w:t>7</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AD6EC" w14:textId="77478356" w:rsidR="00247982" w:rsidRDefault="00247982" w:rsidP="00B46D18">
    <w:pPr>
      <w:pStyle w:val="Normal-pool"/>
    </w:pPr>
    <w:r>
      <w:t>K1903748</w:t>
    </w:r>
    <w:r>
      <w:tab/>
      <w:t>161019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E6B31E" w14:textId="77777777" w:rsidR="00247982" w:rsidRDefault="00247982" w:rsidP="00D92DE0">
      <w:pPr>
        <w:ind w:left="624"/>
      </w:pPr>
      <w:r>
        <w:separator/>
      </w:r>
    </w:p>
  </w:footnote>
  <w:footnote w:type="continuationSeparator" w:id="0">
    <w:p w14:paraId="57480AE1" w14:textId="77777777" w:rsidR="00247982" w:rsidRDefault="00247982">
      <w:r>
        <w:continuationSeparator/>
      </w:r>
    </w:p>
  </w:footnote>
  <w:footnote w:id="1">
    <w:p w14:paraId="183818B5" w14:textId="77777777" w:rsidR="00247982" w:rsidRPr="004F122C" w:rsidRDefault="00247982" w:rsidP="005278CE">
      <w:pPr>
        <w:tabs>
          <w:tab w:val="clear" w:pos="1247"/>
          <w:tab w:val="clear" w:pos="1814"/>
          <w:tab w:val="clear" w:pos="2381"/>
          <w:tab w:val="clear" w:pos="2948"/>
          <w:tab w:val="clear" w:pos="3515"/>
          <w:tab w:val="left" w:pos="624"/>
        </w:tabs>
        <w:spacing w:before="20" w:after="40"/>
        <w:ind w:left="1247"/>
        <w:rPr>
          <w:sz w:val="18"/>
          <w:szCs w:val="18"/>
        </w:rPr>
      </w:pPr>
      <w:r>
        <w:rPr>
          <w:lang w:val="fr-FR"/>
        </w:rPr>
        <w:t>* UNEP/MC/COP.3/1.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ACAF0" w14:textId="11A037EA" w:rsidR="00247982" w:rsidRPr="00CA5CA9" w:rsidRDefault="00247982" w:rsidP="009578DD">
    <w:pPr>
      <w:pStyle w:val="Header-pool"/>
    </w:pPr>
    <w:r w:rsidRPr="00CA5CA9">
      <w:rPr>
        <w:bCs/>
      </w:rPr>
      <w:t>UNEP</w:t>
    </w:r>
    <w:r w:rsidRPr="00CA5CA9">
      <w:t>/</w:t>
    </w:r>
    <w:r>
      <w:t>MC</w:t>
    </w:r>
    <w:r w:rsidRPr="00CA5CA9">
      <w:t>/</w:t>
    </w:r>
    <w:r>
      <w:t>COP.3</w:t>
    </w:r>
    <w:r w:rsidRPr="009578DD">
      <w:t>/</w:t>
    </w:r>
    <w:r>
      <w:t>1/Add.1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6EE01" w14:textId="5B9B6A16" w:rsidR="00247982" w:rsidRPr="00CA5CA9" w:rsidRDefault="00247982" w:rsidP="00F7137B">
    <w:pPr>
      <w:pStyle w:val="Header"/>
      <w:jc w:val="right"/>
      <w:rPr>
        <w:szCs w:val="18"/>
      </w:rPr>
    </w:pPr>
    <w:r w:rsidRPr="005278CE">
      <w:rPr>
        <w:bCs/>
      </w:rPr>
      <w:t xml:space="preserve"> </w:t>
    </w:r>
    <w:r w:rsidRPr="00CA5CA9">
      <w:rPr>
        <w:bCs/>
      </w:rPr>
      <w:t>UNEP</w:t>
    </w:r>
    <w:r w:rsidRPr="00CA5CA9">
      <w:t>/</w:t>
    </w:r>
    <w:r>
      <w:t>MC</w:t>
    </w:r>
    <w:r w:rsidRPr="00CA5CA9">
      <w:t>/</w:t>
    </w:r>
    <w:r>
      <w:t>COP.3</w:t>
    </w:r>
    <w:r w:rsidRPr="009578DD">
      <w:t>/</w:t>
    </w:r>
    <w:r>
      <w:t>1/Add.1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26E95" w14:textId="63E7DD74" w:rsidR="00247982" w:rsidRDefault="00247982"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2"/>
  </w:num>
  <w:num w:numId="2">
    <w:abstractNumId w:val="0"/>
  </w:num>
  <w:num w:numId="3">
    <w:abstractNumId w:val="1"/>
  </w:num>
  <w:num w:numId="4">
    <w:abstractNumId w:val="2"/>
    <w:lvlOverride w:ilvl="0">
      <w:lvl w:ilvl="0">
        <w:start w:val="1"/>
        <w:numFmt w:val="decimal"/>
        <w:pStyle w:val="Normalnumber"/>
        <w:lvlText w:val="%1."/>
        <w:lvlJc w:val="left"/>
        <w:pPr>
          <w:tabs>
            <w:tab w:val="num" w:pos="1134"/>
          </w:tabs>
          <w:ind w:left="1247" w:firstLine="0"/>
        </w:pPr>
        <w:rPr>
          <w:rFonts w:hint="default"/>
        </w:rPr>
      </w:lvl>
    </w:lvlOverride>
  </w:num>
  <w:num w:numId="5">
    <w:abstractNumId w:val="2"/>
    <w:lvlOverride w:ilvl="0">
      <w:lvl w:ilvl="0">
        <w:start w:val="1"/>
        <w:numFmt w:val="decimal"/>
        <w:pStyle w:val="Normalnumber"/>
        <w:lvlText w:val="%1."/>
        <w:lvlJc w:val="left"/>
        <w:pPr>
          <w:tabs>
            <w:tab w:val="num" w:pos="567"/>
          </w:tabs>
          <w:ind w:left="1247" w:firstLine="0"/>
        </w:pPr>
        <w:rPr>
          <w:rFonts w:hint="default"/>
          <w:b w:val="0"/>
          <w:bCs/>
          <w:color w:val="auto"/>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Letter"/>
        <w:lvlText w:val="(%3)"/>
        <w:lvlJc w:val="left"/>
        <w:pPr>
          <w:tabs>
            <w:tab w:val="num" w:pos="567"/>
          </w:tabs>
          <w:ind w:left="2948" w:hanging="567"/>
        </w:pPr>
        <w:rPr>
          <w:rFonts w:ascii="Times New Roman" w:eastAsia="Times New Roman" w:hAnsi="Times New Roman" w:cs="Times New Roman"/>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2"/>
    <w:lvlOverride w:ilvl="0">
      <w:lvl w:ilvl="0">
        <w:start w:val="1"/>
        <w:numFmt w:val="decimal"/>
        <w:pStyle w:val="Normalnumber"/>
        <w:lvlText w:val="%1."/>
        <w:lvlJc w:val="left"/>
        <w:pPr>
          <w:tabs>
            <w:tab w:val="num" w:pos="567"/>
          </w:tabs>
          <w:ind w:left="1247" w:firstLine="0"/>
        </w:pPr>
        <w:rPr>
          <w:rFonts w:hint="default"/>
          <w:b w:val="0"/>
          <w:color w:val="auto"/>
        </w:rPr>
      </w:lvl>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en-AU" w:vendorID="64" w:dllVersion="0" w:nlCheck="1" w:checkStyle="0"/>
  <w:activeWritingStyle w:appName="MSWord" w:lang="fr-CA" w:vendorID="64" w:dllVersion="0"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314F"/>
    <w:rsid w:val="000057BB"/>
    <w:rsid w:val="000077AD"/>
    <w:rsid w:val="00010FCD"/>
    <w:rsid w:val="00011A16"/>
    <w:rsid w:val="000149E6"/>
    <w:rsid w:val="00016D10"/>
    <w:rsid w:val="00023DA9"/>
    <w:rsid w:val="000247B0"/>
    <w:rsid w:val="00026997"/>
    <w:rsid w:val="00026A08"/>
    <w:rsid w:val="00030067"/>
    <w:rsid w:val="00032E4E"/>
    <w:rsid w:val="00033E0B"/>
    <w:rsid w:val="00035EDE"/>
    <w:rsid w:val="00040F83"/>
    <w:rsid w:val="00044581"/>
    <w:rsid w:val="000509B4"/>
    <w:rsid w:val="0005682C"/>
    <w:rsid w:val="0006035B"/>
    <w:rsid w:val="0006096F"/>
    <w:rsid w:val="00061084"/>
    <w:rsid w:val="000649C5"/>
    <w:rsid w:val="0006691C"/>
    <w:rsid w:val="00070CA7"/>
    <w:rsid w:val="00071886"/>
    <w:rsid w:val="00071C36"/>
    <w:rsid w:val="0007253F"/>
    <w:rsid w:val="000742BC"/>
    <w:rsid w:val="00075327"/>
    <w:rsid w:val="00076CC6"/>
    <w:rsid w:val="00082A0C"/>
    <w:rsid w:val="00083504"/>
    <w:rsid w:val="00087D8C"/>
    <w:rsid w:val="0009640C"/>
    <w:rsid w:val="000A7C0C"/>
    <w:rsid w:val="000A7E8F"/>
    <w:rsid w:val="000B22A2"/>
    <w:rsid w:val="000B541B"/>
    <w:rsid w:val="000B73F9"/>
    <w:rsid w:val="000C2A52"/>
    <w:rsid w:val="000C2A88"/>
    <w:rsid w:val="000C4619"/>
    <w:rsid w:val="000D33C0"/>
    <w:rsid w:val="000D4CF6"/>
    <w:rsid w:val="000D5566"/>
    <w:rsid w:val="000D6941"/>
    <w:rsid w:val="000F4829"/>
    <w:rsid w:val="000F6B21"/>
    <w:rsid w:val="00102EFB"/>
    <w:rsid w:val="001138CB"/>
    <w:rsid w:val="001141F7"/>
    <w:rsid w:val="001202E3"/>
    <w:rsid w:val="00123699"/>
    <w:rsid w:val="001241FB"/>
    <w:rsid w:val="00124956"/>
    <w:rsid w:val="001277F7"/>
    <w:rsid w:val="0013059D"/>
    <w:rsid w:val="00134386"/>
    <w:rsid w:val="00136187"/>
    <w:rsid w:val="00137259"/>
    <w:rsid w:val="00141A55"/>
    <w:rsid w:val="001422C8"/>
    <w:rsid w:val="0014293F"/>
    <w:rsid w:val="0014397D"/>
    <w:rsid w:val="001446A3"/>
    <w:rsid w:val="00152B6B"/>
    <w:rsid w:val="00155395"/>
    <w:rsid w:val="00155A2F"/>
    <w:rsid w:val="00156B6B"/>
    <w:rsid w:val="00160D74"/>
    <w:rsid w:val="001646EA"/>
    <w:rsid w:val="00167D02"/>
    <w:rsid w:val="00167D7E"/>
    <w:rsid w:val="00171378"/>
    <w:rsid w:val="001759D8"/>
    <w:rsid w:val="00177D7F"/>
    <w:rsid w:val="00180330"/>
    <w:rsid w:val="00180C3F"/>
    <w:rsid w:val="00181EC8"/>
    <w:rsid w:val="00184349"/>
    <w:rsid w:val="001912BC"/>
    <w:rsid w:val="00195F33"/>
    <w:rsid w:val="001A0EE8"/>
    <w:rsid w:val="001A47E5"/>
    <w:rsid w:val="001B1617"/>
    <w:rsid w:val="001B504B"/>
    <w:rsid w:val="001B6F98"/>
    <w:rsid w:val="001C191A"/>
    <w:rsid w:val="001C24D6"/>
    <w:rsid w:val="001D3874"/>
    <w:rsid w:val="001D7E75"/>
    <w:rsid w:val="001E0D73"/>
    <w:rsid w:val="001E1A3A"/>
    <w:rsid w:val="001E45BD"/>
    <w:rsid w:val="001E56D2"/>
    <w:rsid w:val="001E7D56"/>
    <w:rsid w:val="001F5186"/>
    <w:rsid w:val="001F75DE"/>
    <w:rsid w:val="001F7659"/>
    <w:rsid w:val="00200D58"/>
    <w:rsid w:val="002011C1"/>
    <w:rsid w:val="002013BE"/>
    <w:rsid w:val="00201EDC"/>
    <w:rsid w:val="002063A4"/>
    <w:rsid w:val="0021145B"/>
    <w:rsid w:val="00211AAF"/>
    <w:rsid w:val="002157D0"/>
    <w:rsid w:val="00220C23"/>
    <w:rsid w:val="0022446D"/>
    <w:rsid w:val="002247F6"/>
    <w:rsid w:val="00225E21"/>
    <w:rsid w:val="00225E44"/>
    <w:rsid w:val="002275FA"/>
    <w:rsid w:val="00234E78"/>
    <w:rsid w:val="00243D36"/>
    <w:rsid w:val="00246151"/>
    <w:rsid w:val="00247707"/>
    <w:rsid w:val="00247982"/>
    <w:rsid w:val="00252450"/>
    <w:rsid w:val="00252456"/>
    <w:rsid w:val="00255B0F"/>
    <w:rsid w:val="0026018E"/>
    <w:rsid w:val="002605EF"/>
    <w:rsid w:val="00264492"/>
    <w:rsid w:val="00270B88"/>
    <w:rsid w:val="00286740"/>
    <w:rsid w:val="002878C8"/>
    <w:rsid w:val="002905F1"/>
    <w:rsid w:val="00291EAE"/>
    <w:rsid w:val="002929D8"/>
    <w:rsid w:val="002A237D"/>
    <w:rsid w:val="002A3808"/>
    <w:rsid w:val="002A4C53"/>
    <w:rsid w:val="002B0672"/>
    <w:rsid w:val="002B247F"/>
    <w:rsid w:val="002B50D4"/>
    <w:rsid w:val="002B58BF"/>
    <w:rsid w:val="002B7DA5"/>
    <w:rsid w:val="002C145D"/>
    <w:rsid w:val="002C2C3E"/>
    <w:rsid w:val="002C533E"/>
    <w:rsid w:val="002C5882"/>
    <w:rsid w:val="002D027F"/>
    <w:rsid w:val="002D3E15"/>
    <w:rsid w:val="002D7A85"/>
    <w:rsid w:val="002D7B60"/>
    <w:rsid w:val="002E7C06"/>
    <w:rsid w:val="002F4761"/>
    <w:rsid w:val="002F5C79"/>
    <w:rsid w:val="002F68EE"/>
    <w:rsid w:val="003019E2"/>
    <w:rsid w:val="00310BEB"/>
    <w:rsid w:val="00313377"/>
    <w:rsid w:val="00313E32"/>
    <w:rsid w:val="0031413F"/>
    <w:rsid w:val="00314854"/>
    <w:rsid w:val="003148BB"/>
    <w:rsid w:val="00317976"/>
    <w:rsid w:val="00320F2F"/>
    <w:rsid w:val="00322842"/>
    <w:rsid w:val="0032457E"/>
    <w:rsid w:val="00325D38"/>
    <w:rsid w:val="003342AD"/>
    <w:rsid w:val="00345474"/>
    <w:rsid w:val="0035277E"/>
    <w:rsid w:val="00355EA9"/>
    <w:rsid w:val="003578DE"/>
    <w:rsid w:val="00361688"/>
    <w:rsid w:val="00380921"/>
    <w:rsid w:val="00383908"/>
    <w:rsid w:val="003877D5"/>
    <w:rsid w:val="00390E88"/>
    <w:rsid w:val="003929B8"/>
    <w:rsid w:val="00393432"/>
    <w:rsid w:val="003939B4"/>
    <w:rsid w:val="00396257"/>
    <w:rsid w:val="00397EB8"/>
    <w:rsid w:val="003A0C4A"/>
    <w:rsid w:val="003A4FD0"/>
    <w:rsid w:val="003A69D1"/>
    <w:rsid w:val="003A7705"/>
    <w:rsid w:val="003A77F1"/>
    <w:rsid w:val="003B0E55"/>
    <w:rsid w:val="003B1545"/>
    <w:rsid w:val="003B23B0"/>
    <w:rsid w:val="003C3219"/>
    <w:rsid w:val="003C409D"/>
    <w:rsid w:val="003C4544"/>
    <w:rsid w:val="003C5583"/>
    <w:rsid w:val="003C5BA6"/>
    <w:rsid w:val="003C74CF"/>
    <w:rsid w:val="003D3752"/>
    <w:rsid w:val="003E35DA"/>
    <w:rsid w:val="003E455D"/>
    <w:rsid w:val="003F0E85"/>
    <w:rsid w:val="003F2DE3"/>
    <w:rsid w:val="003F5120"/>
    <w:rsid w:val="00407ADF"/>
    <w:rsid w:val="00410C55"/>
    <w:rsid w:val="00416854"/>
    <w:rsid w:val="00417725"/>
    <w:rsid w:val="004225DF"/>
    <w:rsid w:val="0042266F"/>
    <w:rsid w:val="00433555"/>
    <w:rsid w:val="00434321"/>
    <w:rsid w:val="00436AB4"/>
    <w:rsid w:val="00437F26"/>
    <w:rsid w:val="004429BA"/>
    <w:rsid w:val="00444097"/>
    <w:rsid w:val="00445487"/>
    <w:rsid w:val="00447E0D"/>
    <w:rsid w:val="00453EA8"/>
    <w:rsid w:val="00454769"/>
    <w:rsid w:val="00466991"/>
    <w:rsid w:val="0047064C"/>
    <w:rsid w:val="00476366"/>
    <w:rsid w:val="004822B7"/>
    <w:rsid w:val="00487BCD"/>
    <w:rsid w:val="00491A41"/>
    <w:rsid w:val="004921AB"/>
    <w:rsid w:val="00492D97"/>
    <w:rsid w:val="0049469E"/>
    <w:rsid w:val="004A2217"/>
    <w:rsid w:val="004A24F9"/>
    <w:rsid w:val="004A42E1"/>
    <w:rsid w:val="004B162C"/>
    <w:rsid w:val="004B2ABE"/>
    <w:rsid w:val="004C008C"/>
    <w:rsid w:val="004C3DBE"/>
    <w:rsid w:val="004C5C96"/>
    <w:rsid w:val="004D06A4"/>
    <w:rsid w:val="004D7C8D"/>
    <w:rsid w:val="004E6B1B"/>
    <w:rsid w:val="004F1A81"/>
    <w:rsid w:val="004F5D88"/>
    <w:rsid w:val="00501354"/>
    <w:rsid w:val="00504EFF"/>
    <w:rsid w:val="005050D2"/>
    <w:rsid w:val="005218D9"/>
    <w:rsid w:val="005278CE"/>
    <w:rsid w:val="00536186"/>
    <w:rsid w:val="00544CBB"/>
    <w:rsid w:val="00551B65"/>
    <w:rsid w:val="00556704"/>
    <w:rsid w:val="005656D7"/>
    <w:rsid w:val="005667F7"/>
    <w:rsid w:val="00567F81"/>
    <w:rsid w:val="0057315F"/>
    <w:rsid w:val="00576104"/>
    <w:rsid w:val="005804CF"/>
    <w:rsid w:val="00586418"/>
    <w:rsid w:val="005928AA"/>
    <w:rsid w:val="00592B21"/>
    <w:rsid w:val="005A02E7"/>
    <w:rsid w:val="005A3D39"/>
    <w:rsid w:val="005B2DF4"/>
    <w:rsid w:val="005B44BF"/>
    <w:rsid w:val="005C51F1"/>
    <w:rsid w:val="005C67C8"/>
    <w:rsid w:val="005D0249"/>
    <w:rsid w:val="005D18FA"/>
    <w:rsid w:val="005D4FD4"/>
    <w:rsid w:val="005D6E8C"/>
    <w:rsid w:val="005E3004"/>
    <w:rsid w:val="005E3315"/>
    <w:rsid w:val="005F100C"/>
    <w:rsid w:val="005F68DA"/>
    <w:rsid w:val="005F7419"/>
    <w:rsid w:val="00601BC9"/>
    <w:rsid w:val="0060773B"/>
    <w:rsid w:val="00613FD6"/>
    <w:rsid w:val="006157B5"/>
    <w:rsid w:val="00617224"/>
    <w:rsid w:val="00621B5C"/>
    <w:rsid w:val="00626FC6"/>
    <w:rsid w:val="006303B4"/>
    <w:rsid w:val="00630ADC"/>
    <w:rsid w:val="00633D3D"/>
    <w:rsid w:val="00641703"/>
    <w:rsid w:val="006431A6"/>
    <w:rsid w:val="00643E3A"/>
    <w:rsid w:val="006459F6"/>
    <w:rsid w:val="006501AD"/>
    <w:rsid w:val="00651BFA"/>
    <w:rsid w:val="00654475"/>
    <w:rsid w:val="00656DF0"/>
    <w:rsid w:val="00665A4B"/>
    <w:rsid w:val="00670FAE"/>
    <w:rsid w:val="00692E2A"/>
    <w:rsid w:val="0069496A"/>
    <w:rsid w:val="00695502"/>
    <w:rsid w:val="00696C1C"/>
    <w:rsid w:val="006A76F2"/>
    <w:rsid w:val="006B0243"/>
    <w:rsid w:val="006B7D29"/>
    <w:rsid w:val="006C71E6"/>
    <w:rsid w:val="006D19D4"/>
    <w:rsid w:val="006D5644"/>
    <w:rsid w:val="006D7EFB"/>
    <w:rsid w:val="006E6672"/>
    <w:rsid w:val="006E6722"/>
    <w:rsid w:val="006F7AFF"/>
    <w:rsid w:val="007027B9"/>
    <w:rsid w:val="007066B5"/>
    <w:rsid w:val="00707FC7"/>
    <w:rsid w:val="007145DA"/>
    <w:rsid w:val="00715E88"/>
    <w:rsid w:val="00716D8B"/>
    <w:rsid w:val="00731576"/>
    <w:rsid w:val="00734CAA"/>
    <w:rsid w:val="00735AC8"/>
    <w:rsid w:val="00740EE2"/>
    <w:rsid w:val="00742680"/>
    <w:rsid w:val="00745204"/>
    <w:rsid w:val="00746153"/>
    <w:rsid w:val="0075533C"/>
    <w:rsid w:val="00755A18"/>
    <w:rsid w:val="00757581"/>
    <w:rsid w:val="00757CE4"/>
    <w:rsid w:val="007602F5"/>
    <w:rsid w:val="00760D36"/>
    <w:rsid w:val="007611A0"/>
    <w:rsid w:val="00772574"/>
    <w:rsid w:val="00773E54"/>
    <w:rsid w:val="00784AA8"/>
    <w:rsid w:val="00787688"/>
    <w:rsid w:val="00791FA8"/>
    <w:rsid w:val="007935E6"/>
    <w:rsid w:val="00796D3F"/>
    <w:rsid w:val="007A1683"/>
    <w:rsid w:val="007A5C12"/>
    <w:rsid w:val="007A7CB0"/>
    <w:rsid w:val="007B1D42"/>
    <w:rsid w:val="007B216E"/>
    <w:rsid w:val="007B68A3"/>
    <w:rsid w:val="007C2541"/>
    <w:rsid w:val="007D08B3"/>
    <w:rsid w:val="007D66A8"/>
    <w:rsid w:val="007E003F"/>
    <w:rsid w:val="007E019D"/>
    <w:rsid w:val="007E171B"/>
    <w:rsid w:val="007E660C"/>
    <w:rsid w:val="007F0CF8"/>
    <w:rsid w:val="007F5E1B"/>
    <w:rsid w:val="007F62CB"/>
    <w:rsid w:val="0080511C"/>
    <w:rsid w:val="008142EC"/>
    <w:rsid w:val="008164F2"/>
    <w:rsid w:val="00821395"/>
    <w:rsid w:val="00830E26"/>
    <w:rsid w:val="00833A56"/>
    <w:rsid w:val="00834368"/>
    <w:rsid w:val="0083441A"/>
    <w:rsid w:val="00843576"/>
    <w:rsid w:val="00843B64"/>
    <w:rsid w:val="00845261"/>
    <w:rsid w:val="008478FC"/>
    <w:rsid w:val="00851C51"/>
    <w:rsid w:val="008538F7"/>
    <w:rsid w:val="00863CEB"/>
    <w:rsid w:val="008656A7"/>
    <w:rsid w:val="00867BFF"/>
    <w:rsid w:val="00871542"/>
    <w:rsid w:val="00872BF6"/>
    <w:rsid w:val="00881C7F"/>
    <w:rsid w:val="0088480A"/>
    <w:rsid w:val="0088757A"/>
    <w:rsid w:val="0089431B"/>
    <w:rsid w:val="00895668"/>
    <w:rsid w:val="008957DD"/>
    <w:rsid w:val="00895A87"/>
    <w:rsid w:val="00897D98"/>
    <w:rsid w:val="008A3216"/>
    <w:rsid w:val="008A6DF2"/>
    <w:rsid w:val="008A7807"/>
    <w:rsid w:val="008B1430"/>
    <w:rsid w:val="008B4C9E"/>
    <w:rsid w:val="008B4CC9"/>
    <w:rsid w:val="008B7FBF"/>
    <w:rsid w:val="008C054D"/>
    <w:rsid w:val="008C0B15"/>
    <w:rsid w:val="008C16D3"/>
    <w:rsid w:val="008C2E92"/>
    <w:rsid w:val="008C4B2A"/>
    <w:rsid w:val="008D75E4"/>
    <w:rsid w:val="008D7C99"/>
    <w:rsid w:val="008E0FCB"/>
    <w:rsid w:val="008F4FF3"/>
    <w:rsid w:val="008F6DFE"/>
    <w:rsid w:val="0090529F"/>
    <w:rsid w:val="00920FB9"/>
    <w:rsid w:val="0092178C"/>
    <w:rsid w:val="00924FE9"/>
    <w:rsid w:val="00927404"/>
    <w:rsid w:val="009304EF"/>
    <w:rsid w:val="00930B88"/>
    <w:rsid w:val="00935376"/>
    <w:rsid w:val="00935F41"/>
    <w:rsid w:val="00940DCC"/>
    <w:rsid w:val="0094179A"/>
    <w:rsid w:val="0094459E"/>
    <w:rsid w:val="00944BB0"/>
    <w:rsid w:val="00944DBC"/>
    <w:rsid w:val="00944FB2"/>
    <w:rsid w:val="00950977"/>
    <w:rsid w:val="00951A7B"/>
    <w:rsid w:val="00955512"/>
    <w:rsid w:val="009564A6"/>
    <w:rsid w:val="009578DD"/>
    <w:rsid w:val="00957EF8"/>
    <w:rsid w:val="009653C9"/>
    <w:rsid w:val="00966A53"/>
    <w:rsid w:val="00967621"/>
    <w:rsid w:val="00967E6A"/>
    <w:rsid w:val="00970339"/>
    <w:rsid w:val="009865EF"/>
    <w:rsid w:val="009907B9"/>
    <w:rsid w:val="00990918"/>
    <w:rsid w:val="00996148"/>
    <w:rsid w:val="009A091F"/>
    <w:rsid w:val="009A3A83"/>
    <w:rsid w:val="009B4A0F"/>
    <w:rsid w:val="009C11D2"/>
    <w:rsid w:val="009C6C70"/>
    <w:rsid w:val="009C6FD3"/>
    <w:rsid w:val="009C7B0A"/>
    <w:rsid w:val="009D0B63"/>
    <w:rsid w:val="009D5CB8"/>
    <w:rsid w:val="009E2D22"/>
    <w:rsid w:val="009E307E"/>
    <w:rsid w:val="00A0539E"/>
    <w:rsid w:val="00A07870"/>
    <w:rsid w:val="00A07C54"/>
    <w:rsid w:val="00A07F19"/>
    <w:rsid w:val="00A10ABB"/>
    <w:rsid w:val="00A1348D"/>
    <w:rsid w:val="00A13C99"/>
    <w:rsid w:val="00A232EE"/>
    <w:rsid w:val="00A264D9"/>
    <w:rsid w:val="00A27808"/>
    <w:rsid w:val="00A33423"/>
    <w:rsid w:val="00A4175F"/>
    <w:rsid w:val="00A44411"/>
    <w:rsid w:val="00A469FA"/>
    <w:rsid w:val="00A5303F"/>
    <w:rsid w:val="00A53662"/>
    <w:rsid w:val="00A55B01"/>
    <w:rsid w:val="00A56B5B"/>
    <w:rsid w:val="00A603FF"/>
    <w:rsid w:val="00A619B6"/>
    <w:rsid w:val="00A648CA"/>
    <w:rsid w:val="00A657DD"/>
    <w:rsid w:val="00A666A6"/>
    <w:rsid w:val="00A675FD"/>
    <w:rsid w:val="00A70415"/>
    <w:rsid w:val="00A72437"/>
    <w:rsid w:val="00A8048B"/>
    <w:rsid w:val="00A80611"/>
    <w:rsid w:val="00A83984"/>
    <w:rsid w:val="00AA5BF4"/>
    <w:rsid w:val="00AB3B28"/>
    <w:rsid w:val="00AB5340"/>
    <w:rsid w:val="00AC0A89"/>
    <w:rsid w:val="00AC7C96"/>
    <w:rsid w:val="00AD3593"/>
    <w:rsid w:val="00AE0812"/>
    <w:rsid w:val="00AE237D"/>
    <w:rsid w:val="00AE3E04"/>
    <w:rsid w:val="00AE502A"/>
    <w:rsid w:val="00AF0010"/>
    <w:rsid w:val="00AF1AA8"/>
    <w:rsid w:val="00AF2C1F"/>
    <w:rsid w:val="00AF7C07"/>
    <w:rsid w:val="00B026AB"/>
    <w:rsid w:val="00B06AEF"/>
    <w:rsid w:val="00B06C64"/>
    <w:rsid w:val="00B07D8E"/>
    <w:rsid w:val="00B11CAC"/>
    <w:rsid w:val="00B15A29"/>
    <w:rsid w:val="00B22C93"/>
    <w:rsid w:val="00B27589"/>
    <w:rsid w:val="00B35740"/>
    <w:rsid w:val="00B36B71"/>
    <w:rsid w:val="00B405B7"/>
    <w:rsid w:val="00B4315A"/>
    <w:rsid w:val="00B468C0"/>
    <w:rsid w:val="00B46D18"/>
    <w:rsid w:val="00B51A5B"/>
    <w:rsid w:val="00B52222"/>
    <w:rsid w:val="00B531DA"/>
    <w:rsid w:val="00B54895"/>
    <w:rsid w:val="00B54A19"/>
    <w:rsid w:val="00B54FE7"/>
    <w:rsid w:val="00B60F4D"/>
    <w:rsid w:val="00B647C6"/>
    <w:rsid w:val="00B655F9"/>
    <w:rsid w:val="00B66901"/>
    <w:rsid w:val="00B66F60"/>
    <w:rsid w:val="00B71C8D"/>
    <w:rsid w:val="00B71E6D"/>
    <w:rsid w:val="00B72070"/>
    <w:rsid w:val="00B779E1"/>
    <w:rsid w:val="00B81E3A"/>
    <w:rsid w:val="00B85CFB"/>
    <w:rsid w:val="00B85F65"/>
    <w:rsid w:val="00B914E9"/>
    <w:rsid w:val="00B91EE1"/>
    <w:rsid w:val="00B94602"/>
    <w:rsid w:val="00B954B4"/>
    <w:rsid w:val="00BA0090"/>
    <w:rsid w:val="00BA1A67"/>
    <w:rsid w:val="00BA6A80"/>
    <w:rsid w:val="00BA77B1"/>
    <w:rsid w:val="00BB1402"/>
    <w:rsid w:val="00BB3976"/>
    <w:rsid w:val="00BB4ABB"/>
    <w:rsid w:val="00BC62BA"/>
    <w:rsid w:val="00BE5B5F"/>
    <w:rsid w:val="00BE7993"/>
    <w:rsid w:val="00BF1882"/>
    <w:rsid w:val="00C05871"/>
    <w:rsid w:val="00C07D8B"/>
    <w:rsid w:val="00C106D1"/>
    <w:rsid w:val="00C11971"/>
    <w:rsid w:val="00C14767"/>
    <w:rsid w:val="00C16880"/>
    <w:rsid w:val="00C179DE"/>
    <w:rsid w:val="00C26F55"/>
    <w:rsid w:val="00C30C63"/>
    <w:rsid w:val="00C30FF3"/>
    <w:rsid w:val="00C34D5C"/>
    <w:rsid w:val="00C3576C"/>
    <w:rsid w:val="00C366CA"/>
    <w:rsid w:val="00C36B8B"/>
    <w:rsid w:val="00C415C1"/>
    <w:rsid w:val="00C46274"/>
    <w:rsid w:val="00C47DBF"/>
    <w:rsid w:val="00C5523C"/>
    <w:rsid w:val="00C552FF"/>
    <w:rsid w:val="00C558DA"/>
    <w:rsid w:val="00C55AF3"/>
    <w:rsid w:val="00C771A9"/>
    <w:rsid w:val="00C82943"/>
    <w:rsid w:val="00C84759"/>
    <w:rsid w:val="00C87449"/>
    <w:rsid w:val="00C93096"/>
    <w:rsid w:val="00C938F4"/>
    <w:rsid w:val="00CA5CA9"/>
    <w:rsid w:val="00CA6C7F"/>
    <w:rsid w:val="00CB007D"/>
    <w:rsid w:val="00CB60CA"/>
    <w:rsid w:val="00CC0FC7"/>
    <w:rsid w:val="00CC10A6"/>
    <w:rsid w:val="00CC5B03"/>
    <w:rsid w:val="00CD5EB8"/>
    <w:rsid w:val="00CD7044"/>
    <w:rsid w:val="00CE08B9"/>
    <w:rsid w:val="00CE3515"/>
    <w:rsid w:val="00CE3A30"/>
    <w:rsid w:val="00CE524C"/>
    <w:rsid w:val="00CF141F"/>
    <w:rsid w:val="00CF4777"/>
    <w:rsid w:val="00CF65C8"/>
    <w:rsid w:val="00D013F5"/>
    <w:rsid w:val="00D05E3F"/>
    <w:rsid w:val="00D067BB"/>
    <w:rsid w:val="00D1352A"/>
    <w:rsid w:val="00D1638E"/>
    <w:rsid w:val="00D169AF"/>
    <w:rsid w:val="00D173C8"/>
    <w:rsid w:val="00D200EF"/>
    <w:rsid w:val="00D25175"/>
    <w:rsid w:val="00D25249"/>
    <w:rsid w:val="00D26854"/>
    <w:rsid w:val="00D41776"/>
    <w:rsid w:val="00D44172"/>
    <w:rsid w:val="00D47BE3"/>
    <w:rsid w:val="00D550FA"/>
    <w:rsid w:val="00D63B8C"/>
    <w:rsid w:val="00D671B9"/>
    <w:rsid w:val="00D739CC"/>
    <w:rsid w:val="00D806F9"/>
    <w:rsid w:val="00D8093D"/>
    <w:rsid w:val="00D8108C"/>
    <w:rsid w:val="00D81736"/>
    <w:rsid w:val="00D842AE"/>
    <w:rsid w:val="00D9211C"/>
    <w:rsid w:val="00D92DE0"/>
    <w:rsid w:val="00D92FEF"/>
    <w:rsid w:val="00D931F9"/>
    <w:rsid w:val="00D93A0F"/>
    <w:rsid w:val="00DA1BCA"/>
    <w:rsid w:val="00DA3663"/>
    <w:rsid w:val="00DC274A"/>
    <w:rsid w:val="00DC46FF"/>
    <w:rsid w:val="00DC5254"/>
    <w:rsid w:val="00DC569D"/>
    <w:rsid w:val="00DC7767"/>
    <w:rsid w:val="00DD1A4F"/>
    <w:rsid w:val="00DD3107"/>
    <w:rsid w:val="00DD7C2C"/>
    <w:rsid w:val="00DE5BDA"/>
    <w:rsid w:val="00DF259B"/>
    <w:rsid w:val="00DF433C"/>
    <w:rsid w:val="00DF519F"/>
    <w:rsid w:val="00E0035A"/>
    <w:rsid w:val="00E06797"/>
    <w:rsid w:val="00E1265B"/>
    <w:rsid w:val="00E12E09"/>
    <w:rsid w:val="00E13B48"/>
    <w:rsid w:val="00E1404F"/>
    <w:rsid w:val="00E21C83"/>
    <w:rsid w:val="00E24ADA"/>
    <w:rsid w:val="00E327D9"/>
    <w:rsid w:val="00E32F59"/>
    <w:rsid w:val="00E41908"/>
    <w:rsid w:val="00E46D9A"/>
    <w:rsid w:val="00E565FF"/>
    <w:rsid w:val="00E65388"/>
    <w:rsid w:val="00E719A8"/>
    <w:rsid w:val="00E7490D"/>
    <w:rsid w:val="00E7741D"/>
    <w:rsid w:val="00E808CD"/>
    <w:rsid w:val="00E8348F"/>
    <w:rsid w:val="00E85B7D"/>
    <w:rsid w:val="00E9121B"/>
    <w:rsid w:val="00E9302E"/>
    <w:rsid w:val="00E9691E"/>
    <w:rsid w:val="00E976AB"/>
    <w:rsid w:val="00EA0AE2"/>
    <w:rsid w:val="00EA39E5"/>
    <w:rsid w:val="00EA57A3"/>
    <w:rsid w:val="00EC2813"/>
    <w:rsid w:val="00EC5A46"/>
    <w:rsid w:val="00EC63E2"/>
    <w:rsid w:val="00EC64BB"/>
    <w:rsid w:val="00ED0225"/>
    <w:rsid w:val="00ED366A"/>
    <w:rsid w:val="00ED6BB7"/>
    <w:rsid w:val="00EE6DFC"/>
    <w:rsid w:val="00EF22B3"/>
    <w:rsid w:val="00EF2CE9"/>
    <w:rsid w:val="00F019DE"/>
    <w:rsid w:val="00F03B69"/>
    <w:rsid w:val="00F07A50"/>
    <w:rsid w:val="00F113DA"/>
    <w:rsid w:val="00F266FC"/>
    <w:rsid w:val="00F3037A"/>
    <w:rsid w:val="00F3465A"/>
    <w:rsid w:val="00F36334"/>
    <w:rsid w:val="00F37DC8"/>
    <w:rsid w:val="00F439B3"/>
    <w:rsid w:val="00F45FF8"/>
    <w:rsid w:val="00F5105C"/>
    <w:rsid w:val="00F51858"/>
    <w:rsid w:val="00F57688"/>
    <w:rsid w:val="00F57736"/>
    <w:rsid w:val="00F650C3"/>
    <w:rsid w:val="00F65D85"/>
    <w:rsid w:val="00F6700B"/>
    <w:rsid w:val="00F7137B"/>
    <w:rsid w:val="00F8091E"/>
    <w:rsid w:val="00F8615C"/>
    <w:rsid w:val="00F953CB"/>
    <w:rsid w:val="00F969E5"/>
    <w:rsid w:val="00F96F7E"/>
    <w:rsid w:val="00F97FAE"/>
    <w:rsid w:val="00FA4972"/>
    <w:rsid w:val="00FA6BB0"/>
    <w:rsid w:val="00FB160F"/>
    <w:rsid w:val="00FB165C"/>
    <w:rsid w:val="00FB2DBD"/>
    <w:rsid w:val="00FD48DF"/>
    <w:rsid w:val="00FD5860"/>
    <w:rsid w:val="00FE11FC"/>
    <w:rsid w:val="00FE352D"/>
    <w:rsid w:val="00FE40EB"/>
    <w:rsid w:val="00FE4D02"/>
    <w:rsid w:val="00FE7D62"/>
    <w:rsid w:val="00FF0DA0"/>
    <w:rsid w:val="00FF3819"/>
    <w:rsid w:val="00FF51D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CD4AE46"/>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2B7DA5"/>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C87449"/>
    <w:pPr>
      <w:numPr>
        <w:numId w:val="4"/>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NormalnumberChar">
    <w:name w:val="Normal_number Char"/>
    <w:link w:val="Normalnumber"/>
    <w:locked/>
    <w:rsid w:val="00C87449"/>
    <w:rPr>
      <w:lang w:eastAsia="en-US"/>
    </w:rPr>
  </w:style>
  <w:style w:type="character" w:customStyle="1" w:styleId="CH2Char">
    <w:name w:val="CH2 Char"/>
    <w:link w:val="CH2"/>
    <w:locked/>
    <w:rsid w:val="005278CE"/>
    <w:rPr>
      <w:b/>
      <w:sz w:val="24"/>
      <w:szCs w:val="24"/>
      <w:lang w:eastAsia="en-US"/>
    </w:rPr>
  </w:style>
  <w:style w:type="character" w:customStyle="1" w:styleId="BBTitleChar">
    <w:name w:val="BB_Title Char"/>
    <w:link w:val="BBTitle"/>
    <w:rsid w:val="005278CE"/>
    <w:rPr>
      <w:b/>
      <w:sz w:val="28"/>
      <w:szCs w:val="28"/>
      <w:lang w:eastAsia="en-US"/>
    </w:rPr>
  </w:style>
  <w:style w:type="character" w:customStyle="1" w:styleId="CH3Char">
    <w:name w:val="CH3 Char"/>
    <w:link w:val="CH3"/>
    <w:locked/>
    <w:rsid w:val="005278CE"/>
    <w:rPr>
      <w:b/>
      <w:lang w:eastAsia="en-US"/>
    </w:rPr>
  </w:style>
  <w:style w:type="character" w:customStyle="1" w:styleId="Normal-poolChar">
    <w:name w:val="Normal-pool Char"/>
    <w:link w:val="Normal-pool"/>
    <w:rsid w:val="00087D8C"/>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2FA0B-68EB-42EF-ACBD-AA72BCC03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5264</Words>
  <Characters>28952</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34148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Esther Nzigiye</cp:lastModifiedBy>
  <cp:revision>2</cp:revision>
  <cp:lastPrinted>2019-10-16T09:13:00Z</cp:lastPrinted>
  <dcterms:created xsi:type="dcterms:W3CDTF">2019-10-16T09:22:00Z</dcterms:created>
  <dcterms:modified xsi:type="dcterms:W3CDTF">2019-10-16T09:22:00Z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maite.suengas</vt:lpwstr>
  </property>
  <property fmtid="{D5CDD505-2E9C-101B-9397-08002B2CF9AE}" pid="4" name="GeneratedDate">
    <vt:lpwstr>10/14/2019 10:57:08 AM</vt:lpwstr>
  </property>
  <property fmtid="{D5CDD505-2E9C-101B-9397-08002B2CF9AE}" pid="5" name="OriginalDocID">
    <vt:lpwstr>64653ccb-09c6-4dbb-bf14-45e44a1dd0f9</vt:lpwstr>
  </property>
</Properties>
</file>