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AB3B28" w14:paraId="6F581926" w14:textId="77777777" w:rsidTr="00924FE9">
        <w:trPr>
          <w:cantSplit/>
          <w:trHeight w:val="57"/>
          <w:jc w:val="right"/>
        </w:trPr>
        <w:tc>
          <w:tcPr>
            <w:tcW w:w="1550" w:type="dxa"/>
          </w:tcPr>
          <w:p w14:paraId="20CA88C2" w14:textId="77777777" w:rsidR="00032E4E" w:rsidRPr="00AB3B28" w:rsidRDefault="00032E4E" w:rsidP="00023DA9">
            <w:pPr>
              <w:rPr>
                <w:rFonts w:ascii="Univers" w:hAnsi="Univers"/>
                <w:b/>
                <w:noProof/>
                <w:sz w:val="27"/>
                <w:szCs w:val="27"/>
              </w:rPr>
            </w:pPr>
            <w:r w:rsidRPr="00AB3B28">
              <w:rPr>
                <w:rFonts w:ascii="Arial" w:hAnsi="Arial" w:cs="Arial"/>
                <w:b/>
                <w:noProof/>
                <w:sz w:val="27"/>
                <w:szCs w:val="27"/>
              </w:rPr>
              <w:t>UNITED</w:t>
            </w:r>
            <w:r w:rsidR="00F96F7E" w:rsidRPr="00AB3B28">
              <w:rPr>
                <w:rFonts w:ascii="Arial" w:hAnsi="Arial" w:cs="Arial"/>
                <w:b/>
                <w:noProof/>
                <w:sz w:val="27"/>
                <w:szCs w:val="27"/>
              </w:rPr>
              <w:t xml:space="preserve"> </w:t>
            </w:r>
            <w:r w:rsidRPr="00AB3B28">
              <w:rPr>
                <w:rFonts w:ascii="Arial" w:hAnsi="Arial" w:cs="Arial"/>
                <w:b/>
                <w:noProof/>
                <w:sz w:val="27"/>
                <w:szCs w:val="27"/>
              </w:rPr>
              <w:br/>
              <w:t>NATIONS</w:t>
            </w:r>
          </w:p>
        </w:tc>
        <w:tc>
          <w:tcPr>
            <w:tcW w:w="4751" w:type="dxa"/>
          </w:tcPr>
          <w:p w14:paraId="14ED46D5" w14:textId="77777777" w:rsidR="00032E4E" w:rsidRPr="00AB3B28" w:rsidRDefault="00032E4E" w:rsidP="00023DA9">
            <w:pPr>
              <w:rPr>
                <w:rFonts w:ascii="Univers" w:hAnsi="Univers"/>
                <w:b/>
                <w:sz w:val="27"/>
                <w:szCs w:val="27"/>
              </w:rPr>
            </w:pPr>
          </w:p>
        </w:tc>
        <w:tc>
          <w:tcPr>
            <w:tcW w:w="3411" w:type="dxa"/>
          </w:tcPr>
          <w:p w14:paraId="6DC31060" w14:textId="77777777" w:rsidR="00032E4E" w:rsidRPr="00AB3B28" w:rsidRDefault="00787688" w:rsidP="00023DA9">
            <w:pPr>
              <w:jc w:val="right"/>
              <w:rPr>
                <w:rFonts w:ascii="Arial" w:hAnsi="Arial" w:cs="Arial"/>
                <w:b/>
                <w:sz w:val="64"/>
                <w:szCs w:val="64"/>
              </w:rPr>
            </w:pPr>
            <w:r w:rsidRPr="00AB3B28">
              <w:rPr>
                <w:rFonts w:ascii="Arial" w:hAnsi="Arial" w:cs="Arial"/>
                <w:b/>
                <w:sz w:val="64"/>
                <w:szCs w:val="64"/>
              </w:rPr>
              <w:t>MC</w:t>
            </w:r>
          </w:p>
        </w:tc>
      </w:tr>
      <w:tr w:rsidR="00032E4E" w:rsidRPr="00AB3B28" w14:paraId="4C92B272" w14:textId="77777777" w:rsidTr="00924FE9">
        <w:trPr>
          <w:cantSplit/>
          <w:trHeight w:val="57"/>
          <w:jc w:val="right"/>
        </w:trPr>
        <w:tc>
          <w:tcPr>
            <w:tcW w:w="1550" w:type="dxa"/>
            <w:tcBorders>
              <w:bottom w:val="single" w:sz="4" w:space="0" w:color="auto"/>
            </w:tcBorders>
          </w:tcPr>
          <w:p w14:paraId="21C9C4C3" w14:textId="77777777" w:rsidR="00032E4E" w:rsidRPr="00AB3B28" w:rsidRDefault="00032E4E" w:rsidP="00023DA9">
            <w:pPr>
              <w:rPr>
                <w:noProof/>
                <w:sz w:val="18"/>
                <w:szCs w:val="18"/>
              </w:rPr>
            </w:pPr>
          </w:p>
        </w:tc>
        <w:tc>
          <w:tcPr>
            <w:tcW w:w="4751" w:type="dxa"/>
            <w:tcBorders>
              <w:bottom w:val="single" w:sz="4" w:space="0" w:color="auto"/>
            </w:tcBorders>
          </w:tcPr>
          <w:p w14:paraId="548E2D5A" w14:textId="77777777" w:rsidR="00032E4E" w:rsidRPr="00AB3B28" w:rsidRDefault="00032E4E" w:rsidP="00023DA9">
            <w:pPr>
              <w:rPr>
                <w:rFonts w:ascii="Univers" w:hAnsi="Univers"/>
                <w:b/>
                <w:sz w:val="18"/>
                <w:szCs w:val="18"/>
              </w:rPr>
            </w:pPr>
          </w:p>
        </w:tc>
        <w:tc>
          <w:tcPr>
            <w:tcW w:w="3411" w:type="dxa"/>
            <w:tcBorders>
              <w:bottom w:val="single" w:sz="4" w:space="0" w:color="auto"/>
            </w:tcBorders>
          </w:tcPr>
          <w:p w14:paraId="6D6EBE98" w14:textId="77777777" w:rsidR="00032E4E" w:rsidRPr="00AB3B28" w:rsidRDefault="00032E4E" w:rsidP="00434321">
            <w:pPr>
              <w:rPr>
                <w:noProof/>
                <w:sz w:val="18"/>
                <w:szCs w:val="18"/>
              </w:rPr>
            </w:pPr>
            <w:r w:rsidRPr="00AB3B28">
              <w:rPr>
                <w:b/>
                <w:bCs/>
                <w:sz w:val="28"/>
              </w:rPr>
              <w:t>UNEP</w:t>
            </w:r>
            <w:bookmarkStart w:id="0" w:name="OLE_LINK1"/>
            <w:bookmarkStart w:id="1" w:name="OLE_LINK2"/>
            <w:r w:rsidR="00787688" w:rsidRPr="00AB3B28">
              <w:rPr>
                <w:b/>
                <w:bCs/>
                <w:sz w:val="28"/>
              </w:rPr>
              <w:t>/</w:t>
            </w:r>
            <w:r w:rsidR="00787688" w:rsidRPr="00AB3B28">
              <w:t>MC</w:t>
            </w:r>
            <w:r w:rsidRPr="00AB3B28">
              <w:t>/</w:t>
            </w:r>
            <w:bookmarkEnd w:id="0"/>
            <w:bookmarkEnd w:id="1"/>
            <w:r w:rsidR="00787688" w:rsidRPr="00AB3B28">
              <w:t>COP.</w:t>
            </w:r>
            <w:r w:rsidR="000A7C0C" w:rsidRPr="00AB3B28">
              <w:t>3</w:t>
            </w:r>
            <w:r w:rsidRPr="00AB3B28">
              <w:t>/</w:t>
            </w:r>
            <w:r w:rsidR="00D013F5" w:rsidRPr="00AB3B28">
              <w:t>1</w:t>
            </w:r>
            <w:r w:rsidR="00D81736">
              <w:t>/Add.1</w:t>
            </w:r>
          </w:p>
        </w:tc>
      </w:tr>
      <w:bookmarkStart w:id="2" w:name="_MON_1021710510"/>
      <w:bookmarkEnd w:id="2"/>
      <w:bookmarkStart w:id="3" w:name="_MON_1021710482"/>
      <w:bookmarkEnd w:id="3"/>
      <w:tr w:rsidR="00032E4E" w:rsidRPr="00AB3B28" w14:paraId="525A330A" w14:textId="77777777" w:rsidTr="00924FE9">
        <w:trPr>
          <w:cantSplit/>
          <w:trHeight w:val="57"/>
          <w:jc w:val="right"/>
        </w:trPr>
        <w:tc>
          <w:tcPr>
            <w:tcW w:w="1550" w:type="dxa"/>
            <w:tcBorders>
              <w:top w:val="single" w:sz="4" w:space="0" w:color="auto"/>
              <w:bottom w:val="single" w:sz="24" w:space="0" w:color="auto"/>
            </w:tcBorders>
          </w:tcPr>
          <w:p w14:paraId="32D4A88A" w14:textId="77777777" w:rsidR="00032E4E" w:rsidRPr="00AB3B28" w:rsidRDefault="00040F83" w:rsidP="00023DA9">
            <w:pPr>
              <w:rPr>
                <w:noProof/>
              </w:rPr>
            </w:pPr>
            <w:r w:rsidRPr="00AB3B28">
              <w:rPr>
                <w:noProof/>
              </w:rPr>
              <w:object w:dxaOrig="1831" w:dyaOrig="1726" w14:anchorId="68466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9pt;height:60.75pt;mso-width-percent:0;mso-height-percent:0;mso-width-percent:0;mso-height-percent:0" o:ole="" fillcolor="window">
                  <v:imagedata r:id="rId8" o:title=""/>
                </v:shape>
                <o:OLEObject Type="Embed" ProgID="Word.Picture.8" ShapeID="_x0000_i1025" DrawAspect="Content" ObjectID="_1632661315" r:id="rId9"/>
              </w:object>
            </w:r>
            <w:r w:rsidR="00011A16" w:rsidRPr="00AB3B28">
              <w:rPr>
                <w:noProof/>
                <w:lang w:eastAsia="en-GB"/>
              </w:rPr>
              <w:drawing>
                <wp:inline distT="0" distB="0" distL="0" distR="0" wp14:anchorId="6F9483AC" wp14:editId="2F8C60D6">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35289E8" w14:textId="77777777" w:rsidR="00032E4E" w:rsidRPr="00AB3B28" w:rsidRDefault="00032E4E" w:rsidP="00023DA9">
            <w:pPr>
              <w:spacing w:before="1200"/>
              <w:rPr>
                <w:rFonts w:ascii="Arial" w:hAnsi="Arial" w:cs="Arial"/>
                <w:b/>
                <w:sz w:val="28"/>
              </w:rPr>
            </w:pPr>
            <w:r w:rsidRPr="00AB3B28">
              <w:rPr>
                <w:rFonts w:ascii="Arial" w:hAnsi="Arial" w:cs="Arial"/>
                <w:b/>
                <w:sz w:val="32"/>
                <w:szCs w:val="32"/>
              </w:rPr>
              <w:t>United Nations</w:t>
            </w:r>
            <w:r w:rsidR="005B2DF4" w:rsidRPr="00AB3B28">
              <w:rPr>
                <w:rFonts w:ascii="Arial" w:hAnsi="Arial" w:cs="Arial"/>
                <w:b/>
                <w:sz w:val="32"/>
                <w:szCs w:val="32"/>
              </w:rPr>
              <w:t xml:space="preserve"> </w:t>
            </w:r>
            <w:r w:rsidRPr="00AB3B28">
              <w:rPr>
                <w:rFonts w:ascii="Arial" w:hAnsi="Arial" w:cs="Arial"/>
                <w:b/>
                <w:sz w:val="32"/>
                <w:szCs w:val="32"/>
              </w:rPr>
              <w:br w:type="textWrapping" w:clear="all"/>
              <w:t>Environment</w:t>
            </w:r>
            <w:r w:rsidR="005B2DF4" w:rsidRPr="00AB3B28">
              <w:rPr>
                <w:rFonts w:ascii="Arial" w:hAnsi="Arial" w:cs="Arial"/>
                <w:b/>
                <w:sz w:val="32"/>
                <w:szCs w:val="32"/>
              </w:rPr>
              <w:t xml:space="preserve"> </w:t>
            </w:r>
            <w:r w:rsidRPr="00AB3B28">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30813F9B" w14:textId="5F25BD24" w:rsidR="00032E4E" w:rsidRPr="00AB3B28" w:rsidRDefault="00032E4E" w:rsidP="00AB3B28">
            <w:pPr>
              <w:spacing w:before="120"/>
            </w:pPr>
            <w:r w:rsidRPr="00AB3B28">
              <w:t>Distr.: General</w:t>
            </w:r>
            <w:r w:rsidR="005B2DF4" w:rsidRPr="00AB3B28">
              <w:t xml:space="preserve"> </w:t>
            </w:r>
            <w:r w:rsidR="00F96F7E" w:rsidRPr="00AB3B28">
              <w:br/>
            </w:r>
            <w:r w:rsidR="002E591D">
              <w:t>9 October</w:t>
            </w:r>
            <w:r w:rsidR="000A7C0C" w:rsidRPr="00AB3B28">
              <w:t xml:space="preserve"> </w:t>
            </w:r>
            <w:r w:rsidR="0042266F" w:rsidRPr="00AB3B28">
              <w:t>201</w:t>
            </w:r>
            <w:r w:rsidR="000A7C0C" w:rsidRPr="00AB3B28">
              <w:t>9</w:t>
            </w:r>
          </w:p>
          <w:p w14:paraId="6971EB3B" w14:textId="77777777" w:rsidR="00032E4E" w:rsidRPr="00AB3B28" w:rsidRDefault="00032E4E" w:rsidP="00AB3B28">
            <w:pPr>
              <w:spacing w:before="120"/>
            </w:pPr>
            <w:r w:rsidRPr="00AB3B28">
              <w:t>Original: English</w:t>
            </w:r>
          </w:p>
        </w:tc>
      </w:tr>
    </w:tbl>
    <w:p w14:paraId="6964E318" w14:textId="77777777" w:rsidR="00E976AB" w:rsidRPr="00AB3B28" w:rsidRDefault="00CB007D" w:rsidP="00E976AB">
      <w:pPr>
        <w:pStyle w:val="AATitle"/>
        <w:keepNext w:val="0"/>
        <w:keepLines w:val="0"/>
      </w:pPr>
      <w:r w:rsidRPr="00AB3B28">
        <w:t>Conference of the Parties to the</w:t>
      </w:r>
      <w:r w:rsidR="005B2DF4" w:rsidRPr="00AB3B28">
        <w:t xml:space="preserve"> </w:t>
      </w:r>
      <w:r w:rsidR="005B2DF4" w:rsidRPr="00AB3B28">
        <w:br/>
      </w:r>
      <w:r w:rsidR="00787688" w:rsidRPr="00AB3B28">
        <w:t>Minamata Convention o</w:t>
      </w:r>
      <w:bookmarkStart w:id="4" w:name="_GoBack"/>
      <w:bookmarkEnd w:id="4"/>
      <w:r w:rsidR="00787688" w:rsidRPr="00AB3B28">
        <w:t>n Mercury</w:t>
      </w:r>
    </w:p>
    <w:p w14:paraId="5E68EF1A" w14:textId="77777777" w:rsidR="00E976AB" w:rsidRPr="00AB3B28" w:rsidRDefault="00F96F7E" w:rsidP="00E976AB">
      <w:pPr>
        <w:pStyle w:val="AATitle"/>
        <w:keepNext w:val="0"/>
        <w:keepLines w:val="0"/>
      </w:pPr>
      <w:r w:rsidRPr="00AB3B28">
        <w:t>Third</w:t>
      </w:r>
      <w:r w:rsidR="00787688" w:rsidRPr="00AB3B28">
        <w:t xml:space="preserve"> meeting</w:t>
      </w:r>
    </w:p>
    <w:p w14:paraId="7AA99B0C" w14:textId="77777777" w:rsidR="00787688" w:rsidRPr="00AB3B28" w:rsidRDefault="00787688" w:rsidP="00434321">
      <w:pPr>
        <w:pStyle w:val="AATitle"/>
      </w:pPr>
      <w:r w:rsidRPr="00AB3B28">
        <w:rPr>
          <w:b w:val="0"/>
        </w:rPr>
        <w:t>Geneva</w:t>
      </w:r>
      <w:r w:rsidR="00E976AB" w:rsidRPr="00AB3B28">
        <w:rPr>
          <w:b w:val="0"/>
        </w:rPr>
        <w:t xml:space="preserve">, </w:t>
      </w:r>
      <w:r w:rsidR="000A7C0C" w:rsidRPr="00AB3B28">
        <w:rPr>
          <w:b w:val="0"/>
        </w:rPr>
        <w:t>25</w:t>
      </w:r>
      <w:r w:rsidR="00325D38" w:rsidRPr="00AB3B28">
        <w:rPr>
          <w:b w:val="0"/>
        </w:rPr>
        <w:t>–</w:t>
      </w:r>
      <w:r w:rsidR="000A7C0C" w:rsidRPr="00AB3B28">
        <w:rPr>
          <w:b w:val="0"/>
        </w:rPr>
        <w:t>29</w:t>
      </w:r>
      <w:r w:rsidR="00325D38" w:rsidRPr="00AB3B28">
        <w:rPr>
          <w:b w:val="0"/>
        </w:rPr>
        <w:t xml:space="preserve"> </w:t>
      </w:r>
      <w:r w:rsidR="00434321" w:rsidRPr="00AB3B28">
        <w:rPr>
          <w:b w:val="0"/>
        </w:rPr>
        <w:t>November 201</w:t>
      </w:r>
      <w:r w:rsidR="000A7C0C" w:rsidRPr="00AB3B28">
        <w:rPr>
          <w:b w:val="0"/>
        </w:rPr>
        <w:t>9</w:t>
      </w:r>
    </w:p>
    <w:p w14:paraId="57AE1D0F" w14:textId="77777777" w:rsidR="005278CE" w:rsidRPr="00A34C4A" w:rsidRDefault="005278CE" w:rsidP="005278CE">
      <w:pPr>
        <w:pStyle w:val="AATitle"/>
        <w:rPr>
          <w:b w:val="0"/>
          <w:color w:val="000000" w:themeColor="text1"/>
        </w:rPr>
      </w:pPr>
      <w:r w:rsidRPr="00A34C4A">
        <w:rPr>
          <w:b w:val="0"/>
          <w:color w:val="000000" w:themeColor="text1"/>
        </w:rPr>
        <w:t>Item 2 (c) of the provisional agenda</w:t>
      </w:r>
      <w:r w:rsidRPr="00A34C4A">
        <w:rPr>
          <w:b w:val="0"/>
        </w:rPr>
        <w:footnoteReference w:customMarkFollows="1" w:id="1"/>
        <w:t>*</w:t>
      </w:r>
    </w:p>
    <w:p w14:paraId="4D9DB279" w14:textId="77777777" w:rsidR="005278CE" w:rsidRPr="00A34C4A" w:rsidRDefault="005278CE" w:rsidP="00924FE9">
      <w:pPr>
        <w:pStyle w:val="AATitle2"/>
        <w:keepNext w:val="0"/>
        <w:keepLines w:val="0"/>
        <w:spacing w:before="60" w:after="100"/>
      </w:pPr>
      <w:r w:rsidRPr="00A34C4A">
        <w:t>Organizational matters: organization of work</w:t>
      </w:r>
    </w:p>
    <w:p w14:paraId="35D4A69F" w14:textId="12B8F172" w:rsidR="005278CE" w:rsidRPr="00A34C4A" w:rsidRDefault="005278CE" w:rsidP="00924FE9">
      <w:pPr>
        <w:pStyle w:val="BBTitle"/>
        <w:spacing w:before="280"/>
      </w:pPr>
      <w:r w:rsidRPr="00A34C4A">
        <w:t>Annotat</w:t>
      </w:r>
      <w:r w:rsidR="00492D97">
        <w:t>ed</w:t>
      </w:r>
      <w:r w:rsidRPr="00A34C4A">
        <w:t xml:space="preserve"> provisional agenda</w:t>
      </w:r>
    </w:p>
    <w:p w14:paraId="3A08F35C" w14:textId="77777777" w:rsidR="005278CE" w:rsidRPr="00EC2DBE" w:rsidRDefault="005278CE" w:rsidP="00924FE9">
      <w:pPr>
        <w:pStyle w:val="CH2"/>
        <w:keepNext w:val="0"/>
        <w:keepLines w:val="0"/>
        <w:spacing w:before="200" w:after="100"/>
        <w:ind w:left="624" w:firstLine="0"/>
      </w:pPr>
      <w:r w:rsidRPr="00EC2DBE">
        <w:t>Item 1</w:t>
      </w:r>
    </w:p>
    <w:p w14:paraId="046CE2D9" w14:textId="77777777" w:rsidR="005278CE" w:rsidRPr="00EC2DBE" w:rsidRDefault="005278CE" w:rsidP="005278CE">
      <w:pPr>
        <w:pStyle w:val="CH2"/>
        <w:keepNext w:val="0"/>
        <w:keepLines w:val="0"/>
        <w:spacing w:after="100"/>
        <w:ind w:left="624" w:firstLine="0"/>
      </w:pPr>
      <w:r w:rsidRPr="00EC2DBE">
        <w:t>Opening of the meeting</w:t>
      </w:r>
    </w:p>
    <w:p w14:paraId="60474AD0" w14:textId="77777777" w:rsidR="005278CE" w:rsidRPr="00EC2DBE" w:rsidRDefault="005278CE" w:rsidP="00970339">
      <w:pPr>
        <w:pStyle w:val="Normalnumber"/>
        <w:numPr>
          <w:ilvl w:val="0"/>
          <w:numId w:val="6"/>
        </w:numPr>
        <w:tabs>
          <w:tab w:val="clear" w:pos="567"/>
          <w:tab w:val="num" w:pos="624"/>
        </w:tabs>
      </w:pPr>
      <w:r w:rsidRPr="00EC2DBE">
        <w:t xml:space="preserve">The third meeting of the Conference of the Parties to the Minamata Convention on Mercury will be held at the Geneva International Conference Centre, 17 rue de </w:t>
      </w:r>
      <w:proofErr w:type="spellStart"/>
      <w:r w:rsidRPr="00EC2DBE">
        <w:t>Varembé</w:t>
      </w:r>
      <w:proofErr w:type="spellEnd"/>
      <w:r w:rsidRPr="00EC2DBE">
        <w:t>, Geneva, from 25 to 29 November 2019. The meeting will be opened at 10 a.m. on Monday, 25 November.</w:t>
      </w:r>
    </w:p>
    <w:p w14:paraId="2A0DFF4E" w14:textId="77777777" w:rsidR="005278CE" w:rsidRPr="00EC2DBE" w:rsidRDefault="005278CE" w:rsidP="00970339">
      <w:pPr>
        <w:pStyle w:val="Normalnumber"/>
        <w:numPr>
          <w:ilvl w:val="0"/>
          <w:numId w:val="5"/>
        </w:numPr>
        <w:tabs>
          <w:tab w:val="clear" w:pos="567"/>
          <w:tab w:val="num" w:pos="624"/>
        </w:tabs>
      </w:pPr>
      <w:r w:rsidRPr="00EC2DBE">
        <w:t xml:space="preserve">The President elected at the second meeting of the Conference of the Parties, Mr. David Kapindula (Zambia), will preside over the meeting in accordance with the rules of procedure adopted by the Conference of the Parties at its first meeting. </w:t>
      </w:r>
    </w:p>
    <w:p w14:paraId="760822D5" w14:textId="77777777" w:rsidR="005278CE" w:rsidRPr="00EC2DBE" w:rsidRDefault="005278CE" w:rsidP="00970339">
      <w:pPr>
        <w:pStyle w:val="Normalnumber"/>
        <w:numPr>
          <w:ilvl w:val="0"/>
          <w:numId w:val="5"/>
        </w:numPr>
        <w:tabs>
          <w:tab w:val="clear" w:pos="567"/>
          <w:tab w:val="num" w:pos="624"/>
        </w:tabs>
      </w:pPr>
      <w:r w:rsidRPr="00EC2DBE">
        <w:t xml:space="preserve">Opening statements will be delivered. </w:t>
      </w:r>
    </w:p>
    <w:p w14:paraId="312D3ADE" w14:textId="77777777" w:rsidR="005278CE" w:rsidRPr="00EC2DBE" w:rsidRDefault="005278CE" w:rsidP="00924FE9">
      <w:pPr>
        <w:pStyle w:val="CH2"/>
        <w:keepNext w:val="0"/>
        <w:keepLines w:val="0"/>
        <w:spacing w:before="200"/>
        <w:ind w:left="624" w:firstLine="0"/>
        <w:rPr>
          <w:b w:val="0"/>
        </w:rPr>
      </w:pPr>
      <w:r w:rsidRPr="00EC2DBE">
        <w:t>Item 2</w:t>
      </w:r>
    </w:p>
    <w:p w14:paraId="2F38294C" w14:textId="77777777" w:rsidR="005278CE" w:rsidRPr="00EC2DBE" w:rsidRDefault="005278CE" w:rsidP="005278CE">
      <w:pPr>
        <w:pStyle w:val="CH2"/>
        <w:keepNext w:val="0"/>
        <w:keepLines w:val="0"/>
        <w:spacing w:after="100"/>
        <w:ind w:left="624" w:firstLine="0"/>
        <w:rPr>
          <w:b w:val="0"/>
        </w:rPr>
      </w:pPr>
      <w:r w:rsidRPr="00EC2DBE">
        <w:t>Organizational matters</w:t>
      </w:r>
    </w:p>
    <w:p w14:paraId="18950980" w14:textId="77777777" w:rsidR="005278CE" w:rsidRPr="00EC2DBE" w:rsidRDefault="005278CE" w:rsidP="00924FE9">
      <w:pPr>
        <w:pStyle w:val="CH3"/>
        <w:spacing w:before="200"/>
        <w:rPr>
          <w:b w:val="0"/>
        </w:rPr>
      </w:pPr>
      <w:r w:rsidRPr="00EC2DBE">
        <w:tab/>
        <w:t>(a)</w:t>
      </w:r>
      <w:r w:rsidRPr="00EC2DBE">
        <w:tab/>
        <w:t xml:space="preserve">Election of officers for the intersessional period and the fourth meeting of the Conference of the Parties </w:t>
      </w:r>
    </w:p>
    <w:p w14:paraId="289A3284" w14:textId="03D78567" w:rsidR="005278CE" w:rsidRPr="00EC2DBE" w:rsidRDefault="005278CE" w:rsidP="00970339">
      <w:pPr>
        <w:pStyle w:val="Normalnumber"/>
        <w:numPr>
          <w:ilvl w:val="0"/>
          <w:numId w:val="6"/>
        </w:numPr>
        <w:tabs>
          <w:tab w:val="clear" w:pos="567"/>
          <w:tab w:val="num" w:pos="624"/>
        </w:tabs>
      </w:pPr>
      <w:r w:rsidRPr="00EC2DBE">
        <w:t xml:space="preserve">At its second meeting, the Conference of the Parties elected the following officers to serve at its third meeting, as well as during the intersessional period: </w:t>
      </w:r>
    </w:p>
    <w:p w14:paraId="3E90C294" w14:textId="77777777" w:rsidR="005278CE" w:rsidRPr="00F45FF8" w:rsidRDefault="005278CE" w:rsidP="00924FE9">
      <w:pPr>
        <w:pStyle w:val="Normalpool"/>
        <w:tabs>
          <w:tab w:val="clear" w:pos="1247"/>
          <w:tab w:val="clear" w:pos="1814"/>
          <w:tab w:val="clear" w:pos="2381"/>
          <w:tab w:val="clear" w:pos="2948"/>
          <w:tab w:val="clear" w:pos="3515"/>
          <w:tab w:val="clear" w:pos="4082"/>
          <w:tab w:val="left" w:pos="624"/>
        </w:tabs>
        <w:spacing w:after="100"/>
        <w:ind w:left="1871"/>
        <w:rPr>
          <w:lang w:val="en-GB"/>
        </w:rPr>
      </w:pPr>
      <w:r w:rsidRPr="00EC2DBE">
        <w:rPr>
          <w:lang w:val="en-GB"/>
        </w:rPr>
        <w:tab/>
      </w:r>
      <w:r w:rsidRPr="00F45FF8">
        <w:rPr>
          <w:lang w:val="en-GB"/>
        </w:rPr>
        <w:t>President:</w:t>
      </w:r>
      <w:r w:rsidRPr="00F45FF8">
        <w:rPr>
          <w:lang w:val="en-GB"/>
        </w:rPr>
        <w:tab/>
      </w:r>
      <w:r w:rsidRPr="00F45FF8">
        <w:rPr>
          <w:lang w:val="en-GB"/>
        </w:rPr>
        <w:tab/>
        <w:t>Mr. David Kapindula (Zambia)</w:t>
      </w:r>
    </w:p>
    <w:p w14:paraId="52856C53" w14:textId="77777777" w:rsidR="005278CE" w:rsidRPr="00F45FF8" w:rsidRDefault="005278CE" w:rsidP="00924FE9">
      <w:pPr>
        <w:pStyle w:val="Normalpool"/>
        <w:tabs>
          <w:tab w:val="clear" w:pos="1247"/>
          <w:tab w:val="clear" w:pos="1814"/>
          <w:tab w:val="clear" w:pos="2381"/>
          <w:tab w:val="clear" w:pos="2948"/>
          <w:tab w:val="clear" w:pos="3515"/>
          <w:tab w:val="clear" w:pos="4082"/>
          <w:tab w:val="left" w:pos="624"/>
        </w:tabs>
        <w:spacing w:after="100"/>
        <w:ind w:left="1871"/>
        <w:rPr>
          <w:lang w:val="en-GB"/>
        </w:rPr>
      </w:pPr>
      <w:r w:rsidRPr="00F45FF8">
        <w:rPr>
          <w:lang w:val="en-GB"/>
        </w:rPr>
        <w:t>Vice-Presidents:</w:t>
      </w:r>
      <w:r w:rsidRPr="00F45FF8">
        <w:rPr>
          <w:lang w:val="en-GB"/>
        </w:rPr>
        <w:tab/>
        <w:t>Ms. Alison Dickson (Canada)</w:t>
      </w:r>
    </w:p>
    <w:p w14:paraId="63998DB5"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s-ES"/>
        </w:rPr>
      </w:pPr>
      <w:r w:rsidRPr="00F45FF8">
        <w:rPr>
          <w:lang w:val="en-GB"/>
        </w:rPr>
        <w:tab/>
      </w:r>
      <w:r w:rsidRPr="00EC2DBE">
        <w:rPr>
          <w:lang w:val="es-ES"/>
        </w:rPr>
        <w:t>Ms. María del Mar Solano Trejos (Costa Rica)</w:t>
      </w:r>
    </w:p>
    <w:p w14:paraId="14DE45A1"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Mr. Karel Bláha (Czechia)</w:t>
      </w:r>
    </w:p>
    <w:p w14:paraId="2E21E20B"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ab/>
        <w:t xml:space="preserve">Mr. Serge Molly </w:t>
      </w:r>
      <w:proofErr w:type="spellStart"/>
      <w:r w:rsidRPr="00EC2DBE">
        <w:rPr>
          <w:lang w:val="en-GB"/>
        </w:rPr>
        <w:t>Allo’o</w:t>
      </w:r>
      <w:proofErr w:type="spellEnd"/>
      <w:r w:rsidRPr="00EC2DBE">
        <w:rPr>
          <w:lang w:val="en-GB"/>
        </w:rPr>
        <w:t xml:space="preserve"> </w:t>
      </w:r>
      <w:proofErr w:type="spellStart"/>
      <w:r w:rsidRPr="00EC2DBE">
        <w:rPr>
          <w:lang w:val="en-GB"/>
        </w:rPr>
        <w:t>Allo’o</w:t>
      </w:r>
      <w:proofErr w:type="spellEnd"/>
      <w:r w:rsidRPr="00EC2DBE">
        <w:rPr>
          <w:lang w:val="en-GB"/>
        </w:rPr>
        <w:t xml:space="preserve"> (Gabon)</w:t>
      </w:r>
    </w:p>
    <w:p w14:paraId="64E98E72"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 xml:space="preserve">Ms. </w:t>
      </w:r>
      <w:proofErr w:type="spellStart"/>
      <w:r w:rsidRPr="00EC2DBE">
        <w:rPr>
          <w:lang w:val="en-GB"/>
        </w:rPr>
        <w:t>Mariscia</w:t>
      </w:r>
      <w:proofErr w:type="spellEnd"/>
      <w:r w:rsidRPr="00EC2DBE">
        <w:rPr>
          <w:lang w:val="en-GB"/>
        </w:rPr>
        <w:t xml:space="preserve"> Charles (Guyana)</w:t>
      </w:r>
    </w:p>
    <w:p w14:paraId="6F0A8C12"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ab/>
        <w:t xml:space="preserve">Mr. Adel </w:t>
      </w:r>
      <w:proofErr w:type="spellStart"/>
      <w:r w:rsidRPr="00EC2DBE">
        <w:rPr>
          <w:lang w:val="en-GB"/>
        </w:rPr>
        <w:t>Jahankhah</w:t>
      </w:r>
      <w:proofErr w:type="spellEnd"/>
      <w:r w:rsidRPr="00EC2DBE">
        <w:rPr>
          <w:lang w:val="en-GB"/>
        </w:rPr>
        <w:t xml:space="preserve"> (Islamic Republic of Iran)</w:t>
      </w:r>
    </w:p>
    <w:p w14:paraId="02AC7485"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ab/>
        <w:t xml:space="preserve">Mr. Mohammed Khashashneh (Jordan) </w:t>
      </w:r>
    </w:p>
    <w:p w14:paraId="2CFECE09" w14:textId="77777777" w:rsidR="005278CE" w:rsidRPr="00EC2DBE" w:rsidRDefault="005278CE" w:rsidP="00924FE9">
      <w:pPr>
        <w:pStyle w:val="Normalpool"/>
        <w:tabs>
          <w:tab w:val="clear" w:pos="1247"/>
          <w:tab w:val="clear" w:pos="1814"/>
          <w:tab w:val="clear" w:pos="2381"/>
          <w:tab w:val="clear" w:pos="2948"/>
          <w:tab w:val="clear" w:pos="3515"/>
          <w:tab w:val="clear" w:pos="4082"/>
          <w:tab w:val="left" w:pos="624"/>
        </w:tabs>
        <w:spacing w:after="100"/>
        <w:ind w:left="3742"/>
        <w:rPr>
          <w:lang w:val="en-GB"/>
        </w:rPr>
      </w:pPr>
      <w:r w:rsidRPr="00EC2DBE">
        <w:rPr>
          <w:lang w:val="en-GB"/>
        </w:rPr>
        <w:tab/>
        <w:t>Ms. Svetlana Bolocan (Republic of Moldova)</w:t>
      </w:r>
    </w:p>
    <w:p w14:paraId="46330032" w14:textId="77777777" w:rsidR="005278CE" w:rsidRPr="00EC2DBE" w:rsidRDefault="005278CE" w:rsidP="005278CE">
      <w:pPr>
        <w:pStyle w:val="Normalpool"/>
        <w:tabs>
          <w:tab w:val="clear" w:pos="1247"/>
          <w:tab w:val="clear" w:pos="1814"/>
          <w:tab w:val="clear" w:pos="2381"/>
          <w:tab w:val="clear" w:pos="2948"/>
          <w:tab w:val="clear" w:pos="3515"/>
          <w:tab w:val="clear" w:pos="4082"/>
          <w:tab w:val="left" w:pos="624"/>
        </w:tabs>
        <w:spacing w:after="120"/>
        <w:ind w:left="3742"/>
        <w:rPr>
          <w:lang w:val="en-GB"/>
        </w:rPr>
      </w:pPr>
      <w:r w:rsidRPr="00EC2DBE">
        <w:rPr>
          <w:lang w:val="en-GB"/>
        </w:rPr>
        <w:tab/>
        <w:t xml:space="preserve">Ms. Nina </w:t>
      </w:r>
      <w:proofErr w:type="spellStart"/>
      <w:r w:rsidRPr="00EC2DBE">
        <w:rPr>
          <w:lang w:val="en-GB"/>
        </w:rPr>
        <w:t>Cromnier</w:t>
      </w:r>
      <w:proofErr w:type="spellEnd"/>
      <w:r w:rsidRPr="00EC2DBE">
        <w:rPr>
          <w:lang w:val="en-GB"/>
        </w:rPr>
        <w:t xml:space="preserve"> (Sweden)</w:t>
      </w:r>
    </w:p>
    <w:p w14:paraId="2D9B4F3D" w14:textId="3D6169AD" w:rsidR="005278CE" w:rsidRDefault="005278CE" w:rsidP="00970339">
      <w:pPr>
        <w:pStyle w:val="Normalnumber"/>
        <w:numPr>
          <w:ilvl w:val="0"/>
          <w:numId w:val="6"/>
        </w:numPr>
        <w:tabs>
          <w:tab w:val="clear" w:pos="567"/>
          <w:tab w:val="num" w:pos="624"/>
        </w:tabs>
      </w:pPr>
      <w:r w:rsidRPr="00EC2DBE">
        <w:lastRenderedPageBreak/>
        <w:t>Mr. Karel Bláha (Czechia) was elected to serve as rapporteur.</w:t>
      </w:r>
    </w:p>
    <w:p w14:paraId="5D1FDB0D" w14:textId="279701A3" w:rsidR="00567F81" w:rsidRPr="00EC2DBE" w:rsidRDefault="00567F81" w:rsidP="00970339">
      <w:pPr>
        <w:pStyle w:val="Normalnumber"/>
        <w:numPr>
          <w:ilvl w:val="0"/>
          <w:numId w:val="6"/>
        </w:numPr>
        <w:tabs>
          <w:tab w:val="clear" w:pos="567"/>
          <w:tab w:val="num" w:pos="624"/>
        </w:tabs>
      </w:pPr>
      <w:r>
        <w:t xml:space="preserve">As Mr. Adel </w:t>
      </w:r>
      <w:proofErr w:type="spellStart"/>
      <w:r>
        <w:t>Jahankhah</w:t>
      </w:r>
      <w:proofErr w:type="spellEnd"/>
      <w:r>
        <w:t xml:space="preserve"> was unable to complete his assigned term, </w:t>
      </w:r>
      <w:r w:rsidR="00071C36">
        <w:t xml:space="preserve">the </w:t>
      </w:r>
      <w:r>
        <w:t xml:space="preserve">Islamic Republic of Iran nominated </w:t>
      </w:r>
      <w:r w:rsidR="00B77EA9" w:rsidRPr="00B77EA9">
        <w:t xml:space="preserve">Mr. Mohsen </w:t>
      </w:r>
      <w:proofErr w:type="spellStart"/>
      <w:r w:rsidR="00B77EA9" w:rsidRPr="00B77EA9">
        <w:t>Naziri</w:t>
      </w:r>
      <w:proofErr w:type="spellEnd"/>
      <w:r w:rsidR="00B77EA9" w:rsidRPr="00B77EA9">
        <w:t xml:space="preserve"> </w:t>
      </w:r>
      <w:proofErr w:type="spellStart"/>
      <w:r w:rsidR="00B77EA9" w:rsidRPr="00B77EA9">
        <w:t>Asl</w:t>
      </w:r>
      <w:proofErr w:type="spellEnd"/>
      <w:r w:rsidR="00B77EA9" w:rsidRPr="00B77EA9">
        <w:t xml:space="preserve"> </w:t>
      </w:r>
      <w:r>
        <w:t>to replace him for the remainder of the term.</w:t>
      </w:r>
    </w:p>
    <w:p w14:paraId="3A3B9F2B" w14:textId="77777777" w:rsidR="005278CE" w:rsidRPr="00EC2DBE" w:rsidRDefault="005278CE" w:rsidP="00970339">
      <w:pPr>
        <w:pStyle w:val="Normalnumber"/>
        <w:numPr>
          <w:ilvl w:val="0"/>
          <w:numId w:val="6"/>
        </w:numPr>
        <w:tabs>
          <w:tab w:val="clear" w:pos="567"/>
          <w:tab w:val="num" w:pos="624"/>
        </w:tabs>
      </w:pPr>
      <w:r w:rsidRPr="00EC2DBE">
        <w:t xml:space="preserve">For its subsequent meetings, the Conference of the Parties agreed that the presidency would rotate among </w:t>
      </w:r>
      <w:r w:rsidR="00BF1882">
        <w:t xml:space="preserve">the </w:t>
      </w:r>
      <w:r w:rsidRPr="00EC2DBE">
        <w:t>regions in alphabetical order.</w:t>
      </w:r>
    </w:p>
    <w:p w14:paraId="1C55FD74" w14:textId="3ACA17D0" w:rsidR="005278CE" w:rsidRPr="00EC2DBE" w:rsidRDefault="005278CE" w:rsidP="00970339">
      <w:pPr>
        <w:pStyle w:val="Normalnumber"/>
        <w:numPr>
          <w:ilvl w:val="0"/>
          <w:numId w:val="6"/>
        </w:numPr>
        <w:tabs>
          <w:tab w:val="clear" w:pos="567"/>
          <w:tab w:val="num" w:pos="624"/>
        </w:tabs>
      </w:pPr>
      <w:r w:rsidRPr="00EC2DBE">
        <w:t xml:space="preserve">At its third meeting, pursuant to the rules of procedure, the Conference of the Parties is to elect a </w:t>
      </w:r>
      <w:r w:rsidR="0000314F">
        <w:t>p</w:t>
      </w:r>
      <w:r w:rsidRPr="00EC2DBE">
        <w:t xml:space="preserve">resident and nine </w:t>
      </w:r>
      <w:r w:rsidR="0000314F">
        <w:t>v</w:t>
      </w:r>
      <w:r w:rsidRPr="00EC2DBE">
        <w:t>ice-</w:t>
      </w:r>
      <w:r w:rsidR="0000314F">
        <w:t>p</w:t>
      </w:r>
      <w:r w:rsidRPr="00EC2DBE">
        <w:t xml:space="preserve">residents, one of whom will act as </w:t>
      </w:r>
      <w:r w:rsidR="0000314F">
        <w:t>r</w:t>
      </w:r>
      <w:r w:rsidRPr="00EC2DBE">
        <w:t xml:space="preserve">apporteur, from among the representatives of the parties present at the meeting, to serve from the closure of the third meeting until the closure of the fourth meeting of the Conference of the Parties, </w:t>
      </w:r>
      <w:r w:rsidR="0000314F">
        <w:t>including</w:t>
      </w:r>
      <w:r w:rsidRPr="00EC2DBE">
        <w:t xml:space="preserve"> the intersessional period.</w:t>
      </w:r>
    </w:p>
    <w:p w14:paraId="29E913E6" w14:textId="77777777" w:rsidR="005278CE" w:rsidRPr="00EC2DBE" w:rsidRDefault="005278CE" w:rsidP="005278CE">
      <w:pPr>
        <w:pStyle w:val="CH3"/>
        <w:spacing w:before="240"/>
      </w:pPr>
      <w:r w:rsidRPr="00EC2DBE">
        <w:tab/>
        <w:t>(b)</w:t>
      </w:r>
      <w:r w:rsidRPr="00EC2DBE">
        <w:tab/>
        <w:t>Adoption of the agenda</w:t>
      </w:r>
    </w:p>
    <w:p w14:paraId="6DAD2057" w14:textId="77777777" w:rsidR="005278CE" w:rsidRPr="00EC2DBE" w:rsidRDefault="005278CE" w:rsidP="00970339">
      <w:pPr>
        <w:pStyle w:val="Normalnumber"/>
        <w:numPr>
          <w:ilvl w:val="0"/>
          <w:numId w:val="6"/>
        </w:numPr>
        <w:tabs>
          <w:tab w:val="clear" w:pos="567"/>
          <w:tab w:val="num" w:pos="624"/>
        </w:tabs>
      </w:pPr>
      <w:r w:rsidRPr="00EC2DBE">
        <w:t xml:space="preserve">The Conference of the Parties may wish to adopt its agenda </w:t>
      </w:r>
      <w:proofErr w:type="gramStart"/>
      <w:r w:rsidRPr="00EC2DBE">
        <w:t>on the basis of</w:t>
      </w:r>
      <w:proofErr w:type="gramEnd"/>
      <w:r w:rsidRPr="00EC2DBE">
        <w:t xml:space="preserve"> the provisional agenda set forth in document UNEP/MC/COP.3/1.</w:t>
      </w:r>
    </w:p>
    <w:p w14:paraId="25BE95E1" w14:textId="77777777" w:rsidR="005278CE" w:rsidRPr="00EC2DBE" w:rsidRDefault="005278CE" w:rsidP="005278CE">
      <w:pPr>
        <w:pStyle w:val="CH3"/>
        <w:spacing w:before="240"/>
        <w:rPr>
          <w:b w:val="0"/>
        </w:rPr>
      </w:pPr>
      <w:r w:rsidRPr="00EC2DBE">
        <w:tab/>
        <w:t>(c)</w:t>
      </w:r>
      <w:r w:rsidRPr="00EC2DBE">
        <w:tab/>
        <w:t>Organization of work</w:t>
      </w:r>
    </w:p>
    <w:p w14:paraId="1B889E59" w14:textId="77777777" w:rsidR="005278CE" w:rsidRPr="00EC2DBE" w:rsidRDefault="005278CE" w:rsidP="00970339">
      <w:pPr>
        <w:pStyle w:val="Normalnumber"/>
        <w:numPr>
          <w:ilvl w:val="0"/>
          <w:numId w:val="6"/>
        </w:numPr>
        <w:tabs>
          <w:tab w:val="clear" w:pos="567"/>
          <w:tab w:val="num" w:pos="624"/>
        </w:tabs>
      </w:pPr>
      <w:r w:rsidRPr="00EC2DBE">
        <w:t xml:space="preserve">The Conference of the Parties has before it a scenario note for the meeting </w:t>
      </w:r>
      <w:r w:rsidRPr="00C114CB">
        <w:t xml:space="preserve">prepared by the President </w:t>
      </w:r>
      <w:r w:rsidRPr="00EC2DBE">
        <w:t>(UNEP/MC/COP.3/2).</w:t>
      </w:r>
    </w:p>
    <w:p w14:paraId="632F8C5B" w14:textId="31FCFFB5" w:rsidR="005278CE" w:rsidRPr="00EC2DBE" w:rsidRDefault="005278CE" w:rsidP="00970339">
      <w:pPr>
        <w:pStyle w:val="Normalnumber"/>
        <w:numPr>
          <w:ilvl w:val="0"/>
          <w:numId w:val="6"/>
        </w:numPr>
        <w:tabs>
          <w:tab w:val="clear" w:pos="567"/>
          <w:tab w:val="num" w:pos="624"/>
        </w:tabs>
      </w:pPr>
      <w:r w:rsidRPr="00EC2DBE">
        <w:t>The Conference of the Parties is expected to meet daily from Monday, 25 November until Friday, 29 November</w:t>
      </w:r>
      <w:r w:rsidR="0000314F">
        <w:t>,</w:t>
      </w:r>
      <w:r w:rsidRPr="00EC2DBE">
        <w:t xml:space="preserve"> from 10 a.m. to 1 p.m. and from 3 p.m. to 6 p.m., subject to any necessary adjustments. </w:t>
      </w:r>
    </w:p>
    <w:p w14:paraId="32285899" w14:textId="77777777" w:rsidR="005278CE" w:rsidRPr="00EC2DBE" w:rsidRDefault="005278CE" w:rsidP="00970339">
      <w:pPr>
        <w:pStyle w:val="Normalnumber"/>
        <w:numPr>
          <w:ilvl w:val="0"/>
          <w:numId w:val="6"/>
        </w:numPr>
        <w:tabs>
          <w:tab w:val="clear" w:pos="567"/>
          <w:tab w:val="num" w:pos="624"/>
        </w:tabs>
      </w:pPr>
      <w:r w:rsidRPr="00EC2DBE">
        <w:t>The Conference of the Parties may wish to establish small groups and other in-session working groups as it may deem necessary, and to specify their mandates.</w:t>
      </w:r>
    </w:p>
    <w:p w14:paraId="50DBC1BE" w14:textId="77777777" w:rsidR="005278CE" w:rsidRPr="00EC2DBE" w:rsidRDefault="005278CE" w:rsidP="005278CE">
      <w:pPr>
        <w:pStyle w:val="CH2"/>
        <w:tabs>
          <w:tab w:val="clear" w:pos="851"/>
          <w:tab w:val="clear" w:pos="1247"/>
          <w:tab w:val="left" w:pos="567"/>
        </w:tabs>
        <w:spacing w:before="240"/>
        <w:ind w:left="0" w:firstLine="0"/>
      </w:pPr>
      <w:r w:rsidRPr="00EC2DBE">
        <w:rPr>
          <w:b w:val="0"/>
          <w:sz w:val="20"/>
          <w:szCs w:val="20"/>
        </w:rPr>
        <w:tab/>
      </w:r>
      <w:r w:rsidRPr="00EC2DBE">
        <w:t>Item 3</w:t>
      </w:r>
    </w:p>
    <w:p w14:paraId="19A47FE6" w14:textId="77777777" w:rsidR="005278CE" w:rsidRPr="00EC2DBE" w:rsidRDefault="005278CE" w:rsidP="005278CE">
      <w:pPr>
        <w:pStyle w:val="CH2"/>
        <w:keepNext w:val="0"/>
        <w:keepLines w:val="0"/>
        <w:ind w:left="624" w:firstLine="0"/>
      </w:pPr>
      <w:r w:rsidRPr="00EC2DBE">
        <w:tab/>
        <w:t>Rules of procedure for the Conference of the Parties: consideration of rule 45</w:t>
      </w:r>
    </w:p>
    <w:p w14:paraId="56CB6748" w14:textId="77777777" w:rsidR="005278CE" w:rsidRPr="00EC2DBE" w:rsidRDefault="005278CE" w:rsidP="00970339">
      <w:pPr>
        <w:pStyle w:val="Normalnumber"/>
        <w:numPr>
          <w:ilvl w:val="0"/>
          <w:numId w:val="6"/>
        </w:numPr>
        <w:tabs>
          <w:tab w:val="clear" w:pos="567"/>
          <w:tab w:val="num" w:pos="624"/>
        </w:tabs>
      </w:pPr>
      <w:r w:rsidRPr="00EC2DBE">
        <w:t xml:space="preserve">At its first meeting, the Conference of the Parties adopted its rules of procedure, </w:t>
      </w:r>
      <w:proofErr w:type="gramStart"/>
      <w:r w:rsidRPr="00EC2DBE">
        <w:t>with the exception of</w:t>
      </w:r>
      <w:proofErr w:type="gramEnd"/>
      <w:r w:rsidRPr="00EC2DBE">
        <w:t xml:space="preserve"> the second sentence of paragraph 1 of rule 45 and paragraph 3 of rule 45</w:t>
      </w:r>
      <w:r>
        <w:t>, which remained in brackets</w:t>
      </w:r>
      <w:r w:rsidRPr="00EC2DBE">
        <w:t xml:space="preserve">. At its second meeting, the Conference of the Parties agreed to defer consideration of the bracketed text in rule 45 to its third meeting. The Conference of the Parties may wish to consider and adopt the outstanding paragraphs as set out in the annex to document UNEP/MC/COP.3/3. </w:t>
      </w:r>
    </w:p>
    <w:p w14:paraId="54460EFF" w14:textId="77777777" w:rsidR="005278CE" w:rsidRPr="00EC2DBE" w:rsidRDefault="005278CE" w:rsidP="005278CE">
      <w:pPr>
        <w:pStyle w:val="CH2"/>
        <w:keepNext w:val="0"/>
        <w:keepLines w:val="0"/>
        <w:spacing w:before="240"/>
        <w:ind w:left="624" w:firstLine="0"/>
      </w:pPr>
      <w:r w:rsidRPr="00EC2DBE">
        <w:t>Item 4</w:t>
      </w:r>
    </w:p>
    <w:p w14:paraId="1EBA1E50" w14:textId="77777777" w:rsidR="005278CE" w:rsidRPr="00EC2DBE" w:rsidRDefault="005278CE" w:rsidP="005278CE">
      <w:pPr>
        <w:pStyle w:val="CH2"/>
        <w:keepNext w:val="0"/>
        <w:keepLines w:val="0"/>
        <w:ind w:left="624" w:firstLine="0"/>
        <w:rPr>
          <w:b w:val="0"/>
        </w:rPr>
      </w:pPr>
      <w:r w:rsidRPr="00EC2DBE">
        <w:tab/>
        <w:t>Report on the credentials of representatives to the third meeting of the Conference of the Parties</w:t>
      </w:r>
    </w:p>
    <w:p w14:paraId="65299616" w14:textId="4C79CC69" w:rsidR="005278CE" w:rsidRPr="00F57688" w:rsidRDefault="005278CE" w:rsidP="00970339">
      <w:pPr>
        <w:pStyle w:val="Normalnumber"/>
        <w:numPr>
          <w:ilvl w:val="0"/>
          <w:numId w:val="6"/>
        </w:numPr>
        <w:tabs>
          <w:tab w:val="clear" w:pos="567"/>
          <w:tab w:val="num" w:pos="624"/>
        </w:tabs>
      </w:pPr>
      <w:r w:rsidRPr="00EC2DBE">
        <w:t xml:space="preserve">The Conference of the Parties has before it a </w:t>
      </w:r>
      <w:bookmarkStart w:id="5" w:name="_Hlk20979873"/>
      <w:r w:rsidRPr="00EC2DBE">
        <w:t xml:space="preserve">note by the secretariat on </w:t>
      </w:r>
      <w:r w:rsidR="00B71C8D">
        <w:t>the status of ratification of</w:t>
      </w:r>
      <w:r w:rsidRPr="00EC2DBE">
        <w:t xml:space="preserve"> the Minamata Convention as at </w:t>
      </w:r>
      <w:r w:rsidR="00071C36">
        <w:t>23 September</w:t>
      </w:r>
      <w:r w:rsidRPr="00F57688">
        <w:t xml:space="preserve"> 2019 (</w:t>
      </w:r>
      <w:bookmarkStart w:id="6" w:name="_Hlk21456598"/>
      <w:r w:rsidRPr="0080511C">
        <w:t>UNEP/MC/COP.3/INF/</w:t>
      </w:r>
      <w:r w:rsidR="008F4FF3">
        <w:t>21</w:t>
      </w:r>
      <w:bookmarkEnd w:id="6"/>
      <w:r w:rsidRPr="00F57688">
        <w:t>).</w:t>
      </w:r>
      <w:bookmarkEnd w:id="5"/>
    </w:p>
    <w:p w14:paraId="076FBE96" w14:textId="77777777" w:rsidR="005278CE" w:rsidRPr="00EC2DBE" w:rsidRDefault="005278CE" w:rsidP="00970339">
      <w:pPr>
        <w:pStyle w:val="Normalnumber"/>
        <w:numPr>
          <w:ilvl w:val="0"/>
          <w:numId w:val="6"/>
        </w:numPr>
        <w:tabs>
          <w:tab w:val="clear" w:pos="567"/>
          <w:tab w:val="num" w:pos="624"/>
        </w:tabs>
      </w:pPr>
      <w:r w:rsidRPr="00EC2DBE">
        <w:t>In accordance with rule 20 of the rules of procedure, the Bureau will examine the credentials of representatives and report thereon to the Conference of the Parties. In accordance with rule 21, representatives are entitled to participate provisionally in the meeting pending a decision regarding their credentials.</w:t>
      </w:r>
    </w:p>
    <w:p w14:paraId="64EF25E1" w14:textId="77777777" w:rsidR="005278CE" w:rsidRPr="00EC2DBE" w:rsidRDefault="005278CE" w:rsidP="005278CE">
      <w:pPr>
        <w:pStyle w:val="CH2"/>
        <w:keepNext w:val="0"/>
        <w:keepLines w:val="0"/>
        <w:spacing w:before="240"/>
        <w:ind w:left="624" w:firstLine="0"/>
      </w:pPr>
      <w:r w:rsidRPr="00EC2DBE">
        <w:t>Item 5</w:t>
      </w:r>
    </w:p>
    <w:p w14:paraId="458D1B14" w14:textId="77777777" w:rsidR="005278CE" w:rsidRPr="00EC2DBE" w:rsidRDefault="005278CE" w:rsidP="005278CE">
      <w:pPr>
        <w:pStyle w:val="CH2"/>
        <w:keepNext w:val="0"/>
        <w:keepLines w:val="0"/>
        <w:ind w:left="624" w:firstLine="0"/>
        <w:rPr>
          <w:b w:val="0"/>
        </w:rPr>
      </w:pPr>
      <w:r w:rsidRPr="00EC2DBE">
        <w:t xml:space="preserve">Matters for consideration or action by the Conference of the Parties </w:t>
      </w:r>
    </w:p>
    <w:p w14:paraId="5154AF26" w14:textId="683EF2BB" w:rsidR="005278CE" w:rsidRPr="00EC2DBE" w:rsidRDefault="005278CE" w:rsidP="00970339">
      <w:pPr>
        <w:pStyle w:val="Normalnumber"/>
        <w:numPr>
          <w:ilvl w:val="0"/>
          <w:numId w:val="6"/>
        </w:numPr>
        <w:tabs>
          <w:tab w:val="clear" w:pos="567"/>
          <w:tab w:val="num" w:pos="624"/>
        </w:tabs>
      </w:pPr>
      <w:r w:rsidRPr="00EC2DBE">
        <w:t xml:space="preserve">The Conference of the Parties has been given responsibility for considering </w:t>
      </w:r>
      <w:proofErr w:type="gramStart"/>
      <w:r w:rsidRPr="00EC2DBE">
        <w:t>a number of</w:t>
      </w:r>
      <w:proofErr w:type="gramEnd"/>
      <w:r w:rsidRPr="00EC2DBE">
        <w:t xml:space="preserve"> matters at its third meeting, on the basis of either the text of the Convention or the decisions adopted at its first meeting (UNEP/MC/COP.1/29) and </w:t>
      </w:r>
      <w:r w:rsidR="00AE3E04">
        <w:t xml:space="preserve">its </w:t>
      </w:r>
      <w:r w:rsidRPr="00EC2DBE">
        <w:t>second meeting (UNEP/MC/COP.2/19), as described below. Sub-items are listed in the order set out in the provisional agenda, arranged in the order of the relevant articles of the Convention, which is not necessarily the order of priority for their consideration by the Conference of the Parties</w:t>
      </w:r>
      <w:r>
        <w:t xml:space="preserve"> at its third meeting</w:t>
      </w:r>
      <w:r w:rsidRPr="00EC2DBE">
        <w:t>.</w:t>
      </w:r>
    </w:p>
    <w:p w14:paraId="38D01953" w14:textId="77777777" w:rsidR="005278CE" w:rsidRPr="00EC2DBE" w:rsidRDefault="005278CE" w:rsidP="005278CE">
      <w:pPr>
        <w:pStyle w:val="CH3"/>
        <w:spacing w:before="240"/>
      </w:pPr>
      <w:r w:rsidRPr="00EC2DBE">
        <w:lastRenderedPageBreak/>
        <w:tab/>
      </w:r>
      <w:bookmarkStart w:id="7" w:name="_Hlk13685878"/>
      <w:r w:rsidRPr="00EC2DBE">
        <w:t>(a)</w:t>
      </w:r>
      <w:r w:rsidRPr="00EC2DBE">
        <w:tab/>
        <w:t>Mercury-added products and manufacturing processes in which mercury or mercury compounds are used</w:t>
      </w:r>
      <w:bookmarkEnd w:id="7"/>
    </w:p>
    <w:p w14:paraId="22685ACC" w14:textId="77777777" w:rsidR="005278CE" w:rsidRPr="00EC2DBE" w:rsidRDefault="005278CE" w:rsidP="005278CE">
      <w:pPr>
        <w:pStyle w:val="CH3"/>
        <w:spacing w:before="240"/>
        <w:ind w:left="0" w:firstLine="0"/>
      </w:pPr>
      <w:r w:rsidRPr="00EC2DBE">
        <w:tab/>
        <w:t>(</w:t>
      </w:r>
      <w:proofErr w:type="spellStart"/>
      <w:r w:rsidRPr="00EC2DBE">
        <w:t>i</w:t>
      </w:r>
      <w:proofErr w:type="spellEnd"/>
      <w:r w:rsidRPr="00EC2DBE">
        <w:t>)</w:t>
      </w:r>
      <w:r w:rsidRPr="00EC2DBE">
        <w:tab/>
        <w:t>Review of annexes A and B</w:t>
      </w:r>
    </w:p>
    <w:p w14:paraId="18700F31" w14:textId="1B0F664A" w:rsidR="005278CE" w:rsidRPr="00EC2DBE" w:rsidRDefault="005278CE" w:rsidP="00970339">
      <w:pPr>
        <w:pStyle w:val="Normalnumber"/>
        <w:numPr>
          <w:ilvl w:val="0"/>
          <w:numId w:val="6"/>
        </w:numPr>
        <w:tabs>
          <w:tab w:val="clear" w:pos="567"/>
          <w:tab w:val="num" w:pos="624"/>
        </w:tabs>
      </w:pPr>
      <w:r w:rsidRPr="00EC2DBE">
        <w:t xml:space="preserve">Articles 4 and 5 of the Convention provide for reviews of annexes A and B no later than five years after the date of entry into force of the Convention. At its second meeting, the Conference of the Parties </w:t>
      </w:r>
      <w:r>
        <w:t>addressed</w:t>
      </w:r>
      <w:r w:rsidRPr="00EC2DBE">
        <w:t xml:space="preserve"> th</w:t>
      </w:r>
      <w:r w:rsidR="009C6FD3">
        <w:t>e</w:t>
      </w:r>
      <w:r w:rsidRPr="00EC2DBE">
        <w:t xml:space="preserve"> matter and agreed to defer consideration </w:t>
      </w:r>
      <w:r w:rsidR="009C6FD3">
        <w:t xml:space="preserve">thereof </w:t>
      </w:r>
      <w:r w:rsidRPr="00EC2DBE">
        <w:t>to its third meeting</w:t>
      </w:r>
      <w:r w:rsidR="009C6FD3">
        <w:t xml:space="preserve"> and to</w:t>
      </w:r>
      <w:r w:rsidRPr="00EC2DBE">
        <w:t xml:space="preserve"> request the secretariat to prepare a document on the matter for consideration at that meeting.</w:t>
      </w:r>
    </w:p>
    <w:p w14:paraId="1E037E6E" w14:textId="3FBF2FDD" w:rsidR="005278CE" w:rsidRPr="00EC2DBE" w:rsidRDefault="005278CE" w:rsidP="00970339">
      <w:pPr>
        <w:pStyle w:val="Normalnumber"/>
        <w:numPr>
          <w:ilvl w:val="0"/>
          <w:numId w:val="6"/>
        </w:numPr>
        <w:tabs>
          <w:tab w:val="clear" w:pos="567"/>
          <w:tab w:val="num" w:pos="624"/>
        </w:tabs>
      </w:pPr>
      <w:r w:rsidRPr="00EC2DBE">
        <w:t>In response to that request, the secretariat prepared a note</w:t>
      </w:r>
      <w:r w:rsidR="001277F7">
        <w:t xml:space="preserve"> on the review of annexes A and B</w:t>
      </w:r>
      <w:r w:rsidRPr="00EC2DBE">
        <w:t xml:space="preserve"> explaining the process for the review of annexes and proposing a draft decision on the matter</w:t>
      </w:r>
      <w:r w:rsidR="00B71C8D">
        <w:t xml:space="preserve"> </w:t>
      </w:r>
      <w:r w:rsidR="00B71C8D" w:rsidRPr="00EC2DBE">
        <w:t>(UNEP/MC/COP.3/4)</w:t>
      </w:r>
      <w:r>
        <w:t>, as requested by the Bureau</w:t>
      </w:r>
      <w:r w:rsidRPr="00EC2DBE">
        <w:t>. The Conference of the Parties may wish to consider the process for the review of annexes A and B</w:t>
      </w:r>
      <w:r>
        <w:t xml:space="preserve"> and the draft decision</w:t>
      </w:r>
      <w:r w:rsidRPr="00EC2DBE">
        <w:t>.</w:t>
      </w:r>
    </w:p>
    <w:p w14:paraId="0715FB36" w14:textId="77777777" w:rsidR="005278CE" w:rsidRPr="00EC2DBE" w:rsidRDefault="005278CE" w:rsidP="005278CE">
      <w:pPr>
        <w:pStyle w:val="CH3"/>
        <w:spacing w:before="240"/>
        <w:ind w:left="0" w:firstLine="0"/>
      </w:pPr>
      <w:r w:rsidRPr="00EC2DBE">
        <w:tab/>
        <w:t>(ii)</w:t>
      </w:r>
      <w:r w:rsidRPr="00EC2DBE">
        <w:tab/>
        <w:t>Proposal to amend annex A</w:t>
      </w:r>
    </w:p>
    <w:p w14:paraId="7152F166" w14:textId="77777777" w:rsidR="005278CE" w:rsidRPr="00EC2DBE" w:rsidRDefault="005278CE" w:rsidP="00970339">
      <w:pPr>
        <w:pStyle w:val="Normalnumber"/>
        <w:numPr>
          <w:ilvl w:val="0"/>
          <w:numId w:val="6"/>
        </w:numPr>
        <w:tabs>
          <w:tab w:val="clear" w:pos="567"/>
          <w:tab w:val="num" w:pos="624"/>
        </w:tabs>
      </w:pPr>
      <w:r w:rsidRPr="00EC2DBE">
        <w:t>On 8 May 2019, the secretariat received a communication from a group of countries submitting a proposal to amend annex A to the Convention, requesting that the proposed amendment be considered by the Conference of the Parties at its third meeting.</w:t>
      </w:r>
    </w:p>
    <w:p w14:paraId="1603CB65" w14:textId="71A31DBA" w:rsidR="005278CE" w:rsidRPr="00EC2DBE" w:rsidRDefault="005278CE" w:rsidP="00970339">
      <w:pPr>
        <w:pStyle w:val="Normalnumber"/>
        <w:numPr>
          <w:ilvl w:val="0"/>
          <w:numId w:val="6"/>
        </w:numPr>
        <w:tabs>
          <w:tab w:val="clear" w:pos="567"/>
          <w:tab w:val="num" w:pos="624"/>
        </w:tabs>
      </w:pPr>
      <w:r w:rsidRPr="00EC2DBE">
        <w:t xml:space="preserve">Paragraph 2 of article 26 of the Convention </w:t>
      </w:r>
      <w:r w:rsidR="00B60F4D">
        <w:t>provides</w:t>
      </w:r>
      <w:r w:rsidR="00B60F4D" w:rsidRPr="00EC2DBE">
        <w:t xml:space="preserve"> </w:t>
      </w:r>
      <w:r w:rsidRPr="00EC2DBE">
        <w:t xml:space="preserve">that the text of any proposed amendment </w:t>
      </w:r>
      <w:r w:rsidR="00B60F4D">
        <w:t xml:space="preserve">is to </w:t>
      </w:r>
      <w:r w:rsidRPr="00EC2DBE">
        <w:t xml:space="preserve">be communicated to the parties by the secretariat at least six months before the meeting </w:t>
      </w:r>
      <w:r>
        <w:t xml:space="preserve">at </w:t>
      </w:r>
      <w:r w:rsidRPr="00EC2DBE">
        <w:t xml:space="preserve">which it is proposed for adoption, and the secretariat </w:t>
      </w:r>
      <w:r w:rsidR="00B60F4D">
        <w:t>is</w:t>
      </w:r>
      <w:r w:rsidR="00B60F4D" w:rsidRPr="00EC2DBE">
        <w:t xml:space="preserve"> </w:t>
      </w:r>
      <w:r w:rsidRPr="00EC2DBE">
        <w:t xml:space="preserve">also </w:t>
      </w:r>
      <w:r w:rsidR="00B60F4D">
        <w:t xml:space="preserve">to </w:t>
      </w:r>
      <w:r w:rsidRPr="00EC2DBE">
        <w:t xml:space="preserve">communicate the proposed amendment to the signatories to the Convention and, for information, to the Depositary. </w:t>
      </w:r>
      <w:r w:rsidR="001277F7">
        <w:t>Accordingly</w:t>
      </w:r>
      <w:r w:rsidRPr="00EC2DBE">
        <w:t xml:space="preserve">, a letter </w:t>
      </w:r>
      <w:r w:rsidR="00B60F4D">
        <w:t>dated 24</w:t>
      </w:r>
      <w:r w:rsidR="00924FE9">
        <w:t> </w:t>
      </w:r>
      <w:r w:rsidR="00B60F4D">
        <w:t xml:space="preserve">May 2019 </w:t>
      </w:r>
      <w:r w:rsidRPr="00EC2DBE">
        <w:t>was sent by the Executive Secretary to the parties and signatories to the Convention, communicating the text of the proposed amendment to annex A to the Convention. The letter was also sent, for information</w:t>
      </w:r>
      <w:r w:rsidR="00B60F4D">
        <w:t xml:space="preserve"> purposes</w:t>
      </w:r>
      <w:r w:rsidRPr="00EC2DBE">
        <w:t>, to the Depositary.</w:t>
      </w:r>
      <w:r>
        <w:t xml:space="preserve"> A follow</w:t>
      </w:r>
      <w:r w:rsidR="00B60F4D">
        <w:t>-</w:t>
      </w:r>
      <w:r>
        <w:t>up letter</w:t>
      </w:r>
      <w:r w:rsidR="00B60F4D">
        <w:t>,</w:t>
      </w:r>
      <w:r>
        <w:t xml:space="preserve"> </w:t>
      </w:r>
      <w:r w:rsidR="00B60F4D">
        <w:t xml:space="preserve">dated 25 July 2019, </w:t>
      </w:r>
      <w:r>
        <w:t>was sent by the Executive Secretary</w:t>
      </w:r>
      <w:r w:rsidR="00B60F4D">
        <w:t xml:space="preserve"> to the parties and signatories to the Convention, </w:t>
      </w:r>
      <w:r>
        <w:t xml:space="preserve">providing the translation of the proposed amendment to </w:t>
      </w:r>
      <w:r w:rsidR="00B60F4D">
        <w:t>a</w:t>
      </w:r>
      <w:r>
        <w:t>nnex A in the</w:t>
      </w:r>
      <w:r w:rsidR="00074779">
        <w:t xml:space="preserve"> other five</w:t>
      </w:r>
      <w:r>
        <w:t xml:space="preserve"> official languages</w:t>
      </w:r>
      <w:r w:rsidR="00B60F4D">
        <w:t xml:space="preserve"> of the United Nations</w:t>
      </w:r>
      <w:r>
        <w:t xml:space="preserve">. </w:t>
      </w:r>
    </w:p>
    <w:p w14:paraId="2A9EA68D" w14:textId="306830DE" w:rsidR="005278CE" w:rsidRPr="00F57688" w:rsidRDefault="005278CE" w:rsidP="00970339">
      <w:pPr>
        <w:pStyle w:val="Normalnumber"/>
        <w:numPr>
          <w:ilvl w:val="0"/>
          <w:numId w:val="6"/>
        </w:numPr>
        <w:tabs>
          <w:tab w:val="clear" w:pos="567"/>
          <w:tab w:val="num" w:pos="624"/>
        </w:tabs>
      </w:pPr>
      <w:r w:rsidRPr="00EC2DBE">
        <w:t xml:space="preserve">The proposed </w:t>
      </w:r>
      <w:r w:rsidRPr="00F57688">
        <w:t>amendment and relevant additional</w:t>
      </w:r>
      <w:r w:rsidR="00B60F4D" w:rsidRPr="00F57688">
        <w:t xml:space="preserve"> </w:t>
      </w:r>
      <w:r w:rsidRPr="00F57688">
        <w:t>explanatory information are presented</w:t>
      </w:r>
      <w:r w:rsidR="00B60F4D" w:rsidRPr="00F57688">
        <w:t>, without formal editing,</w:t>
      </w:r>
      <w:r w:rsidRPr="00F57688">
        <w:t xml:space="preserve"> in </w:t>
      </w:r>
      <w:r w:rsidR="00B60F4D" w:rsidRPr="00F57688">
        <w:t xml:space="preserve">the </w:t>
      </w:r>
      <w:r w:rsidRPr="00F57688">
        <w:t>annex to document UNEP/MC/COP.3/21. The Conference of the Parties may wish to consider the proposed amendment.</w:t>
      </w:r>
    </w:p>
    <w:p w14:paraId="2368464B" w14:textId="77777777" w:rsidR="005278CE" w:rsidRPr="00EC2DBE" w:rsidRDefault="005278CE" w:rsidP="005278CE">
      <w:pPr>
        <w:pStyle w:val="CH3"/>
        <w:spacing w:before="240"/>
        <w:ind w:left="0" w:firstLine="0"/>
      </w:pPr>
      <w:r w:rsidRPr="00F57688">
        <w:tab/>
        <w:t>(iii)</w:t>
      </w:r>
      <w:r w:rsidRPr="00F57688">
        <w:tab/>
      </w:r>
      <w:r w:rsidRPr="00FF51DE">
        <w:t>Harmonized System codes</w:t>
      </w:r>
    </w:p>
    <w:p w14:paraId="725D6144" w14:textId="0D2EC6B2" w:rsidR="005278CE" w:rsidRPr="00EC2DBE" w:rsidRDefault="005278CE" w:rsidP="00970339">
      <w:pPr>
        <w:pStyle w:val="Normalnumber"/>
        <w:numPr>
          <w:ilvl w:val="0"/>
          <w:numId w:val="6"/>
        </w:numPr>
        <w:tabs>
          <w:tab w:val="clear" w:pos="567"/>
          <w:tab w:val="num" w:pos="624"/>
        </w:tabs>
      </w:pPr>
      <w:r w:rsidRPr="00895A87">
        <w:t>At its second meeting, the Conference of the Parties</w:t>
      </w:r>
      <w:r w:rsidR="00B60F4D" w:rsidRPr="00895A87">
        <w:t>,</w:t>
      </w:r>
      <w:r w:rsidRPr="00895A87">
        <w:t xml:space="preserve"> in its decision MC-2/9</w:t>
      </w:r>
      <w:r w:rsidR="00B60F4D" w:rsidRPr="00784AA8">
        <w:t>,</w:t>
      </w:r>
      <w:r w:rsidRPr="00895A87">
        <w:t xml:space="preserve"> requested the secretariat, in collaboration with the</w:t>
      </w:r>
      <w:r w:rsidR="00895A87" w:rsidRPr="00924FE9">
        <w:t xml:space="preserve"> UNEP Global Mercury</w:t>
      </w:r>
      <w:r w:rsidRPr="00895A87">
        <w:t xml:space="preserve"> Partnership</w:t>
      </w:r>
      <w:r w:rsidR="00253675">
        <w:t xml:space="preserve"> </w:t>
      </w:r>
      <w:r w:rsidR="00895A87" w:rsidRPr="00924FE9">
        <w:t>–</w:t>
      </w:r>
      <w:r w:rsidR="00253675">
        <w:t xml:space="preserve"> </w:t>
      </w:r>
      <w:r w:rsidR="00895A87" w:rsidRPr="00924FE9">
        <w:t xml:space="preserve">Products Partnership, </w:t>
      </w:r>
      <w:r w:rsidRPr="00895A87">
        <w:t>and in consultation with relevant organi</w:t>
      </w:r>
      <w:r w:rsidR="00F36334" w:rsidRPr="00895A87">
        <w:t>z</w:t>
      </w:r>
      <w:r w:rsidRPr="00784AA8">
        <w:t>ations, to suggest</w:t>
      </w:r>
      <w:r w:rsidRPr="00895A87">
        <w:t xml:space="preserve"> approaches for customs codes to identify and distinguish non-mercury-added </w:t>
      </w:r>
      <w:r w:rsidR="00F36334" w:rsidRPr="00895A87">
        <w:t xml:space="preserve">products </w:t>
      </w:r>
      <w:r w:rsidRPr="00784AA8">
        <w:t>and mercury-added products listed in annex A to the Convention, including approaches for their possible harmonization</w:t>
      </w:r>
      <w:r w:rsidR="00F36334" w:rsidRPr="00895A87">
        <w:t xml:space="preserve">, taking into account the results of the survey on the Harmonized System initiative developed by the </w:t>
      </w:r>
      <w:r w:rsidR="001141F7" w:rsidRPr="00895A87">
        <w:t>Partnership</w:t>
      </w:r>
      <w:r w:rsidRPr="00895A87">
        <w:t xml:space="preserve">. </w:t>
      </w:r>
      <w:r w:rsidR="00F36334" w:rsidRPr="00895A87">
        <w:t xml:space="preserve">By that </w:t>
      </w:r>
      <w:r w:rsidRPr="00895A87">
        <w:t xml:space="preserve">decision the secretariat </w:t>
      </w:r>
      <w:r w:rsidR="00F36334" w:rsidRPr="00895A87">
        <w:t xml:space="preserve">was requested </w:t>
      </w:r>
      <w:r w:rsidRPr="00895A87">
        <w:t>to circulate to parties and other stakeholders a draft report for comments</w:t>
      </w:r>
      <w:r w:rsidR="00030067" w:rsidRPr="00895A87">
        <w:t xml:space="preserve"> by May 2019</w:t>
      </w:r>
      <w:r w:rsidRPr="00895A87">
        <w:t xml:space="preserve">, to revise the draft report </w:t>
      </w:r>
      <w:proofErr w:type="gramStart"/>
      <w:r w:rsidRPr="00895A87">
        <w:t>taking into account</w:t>
      </w:r>
      <w:proofErr w:type="gramEnd"/>
      <w:r w:rsidRPr="00895A87">
        <w:t xml:space="preserve"> the comments</w:t>
      </w:r>
      <w:r w:rsidRPr="00EC2DBE">
        <w:t xml:space="preserve"> received, and to present the report to the Conference of the Parties at its third meeting for its consideration.</w:t>
      </w:r>
    </w:p>
    <w:p w14:paraId="03696C7C" w14:textId="318FD76F" w:rsidR="005278CE" w:rsidRPr="00EC2DBE" w:rsidRDefault="005278CE" w:rsidP="00970339">
      <w:pPr>
        <w:pStyle w:val="Normalnumber"/>
        <w:numPr>
          <w:ilvl w:val="0"/>
          <w:numId w:val="6"/>
        </w:numPr>
        <w:tabs>
          <w:tab w:val="clear" w:pos="567"/>
          <w:tab w:val="num" w:pos="624"/>
        </w:tabs>
      </w:pPr>
      <w:r w:rsidRPr="00EC2DBE">
        <w:t>The Conference of the Parties has before it a note</w:t>
      </w:r>
      <w:r w:rsidR="00030067">
        <w:t xml:space="preserve"> by the secretariat</w:t>
      </w:r>
      <w:r w:rsidRPr="00EC2DBE">
        <w:t xml:space="preserve"> on approaches </w:t>
      </w:r>
      <w:r w:rsidR="00030067">
        <w:t xml:space="preserve">to identifying and distinguishing non-mercury-added products and mercury-added products listed in annex A </w:t>
      </w:r>
      <w:proofErr w:type="gramStart"/>
      <w:r w:rsidR="00030067">
        <w:t>on the basis of</w:t>
      </w:r>
      <w:proofErr w:type="gramEnd"/>
      <w:r w:rsidR="00030067">
        <w:t xml:space="preserve"> the Harmonized System</w:t>
      </w:r>
      <w:r w:rsidRPr="00EC2DBE">
        <w:t xml:space="preserve"> (UNEP/MC/COP.3/5), together with background information on the matter (UNEP/MC/COP.3/INF/12). The Conference of the Parties may wish to consider the information presented.</w:t>
      </w:r>
    </w:p>
    <w:p w14:paraId="7E739168" w14:textId="77777777" w:rsidR="005278CE" w:rsidRPr="00EC2DBE" w:rsidRDefault="005278CE" w:rsidP="005278CE">
      <w:pPr>
        <w:pStyle w:val="CH3"/>
        <w:spacing w:before="240"/>
        <w:ind w:left="0" w:firstLine="0"/>
      </w:pPr>
      <w:r w:rsidRPr="00EC2DBE">
        <w:tab/>
        <w:t>(b)</w:t>
      </w:r>
      <w:r w:rsidRPr="00EC2DBE">
        <w:tab/>
        <w:t>Releases of mercury</w:t>
      </w:r>
    </w:p>
    <w:p w14:paraId="329E441C" w14:textId="7648821B" w:rsidR="005278CE" w:rsidRPr="00EC2DBE" w:rsidRDefault="005278CE" w:rsidP="00970339">
      <w:pPr>
        <w:pStyle w:val="Normalnumber"/>
        <w:numPr>
          <w:ilvl w:val="0"/>
          <w:numId w:val="6"/>
        </w:numPr>
        <w:tabs>
          <w:tab w:val="clear" w:pos="567"/>
          <w:tab w:val="num" w:pos="624"/>
        </w:tabs>
      </w:pPr>
      <w:r w:rsidRPr="00EC2DBE">
        <w:t>Article 9 of the Convention provides that the Conference of the Parties is to</w:t>
      </w:r>
      <w:r w:rsidR="00AE3E04">
        <w:t xml:space="preserve"> adopt</w:t>
      </w:r>
      <w:r w:rsidRPr="00EC2DBE">
        <w:t xml:space="preserve">, as soon as practicable, guidance on best available techniques and best environmental practices, </w:t>
      </w:r>
      <w:proofErr w:type="gramStart"/>
      <w:r w:rsidRPr="00EC2DBE">
        <w:t>taking into account</w:t>
      </w:r>
      <w:proofErr w:type="gramEnd"/>
      <w:r w:rsidRPr="00EC2DBE">
        <w:t xml:space="preserve"> any differences between new and existing sources and the need to minimize cross-media effects, and guidance on the methodology for preparing inventories of releases. </w:t>
      </w:r>
    </w:p>
    <w:p w14:paraId="7CA7AD6D" w14:textId="4C8DD650" w:rsidR="005278CE" w:rsidRPr="00EC2DBE" w:rsidRDefault="005278CE" w:rsidP="00970339">
      <w:pPr>
        <w:pStyle w:val="Normalnumber"/>
        <w:numPr>
          <w:ilvl w:val="0"/>
          <w:numId w:val="6"/>
        </w:numPr>
        <w:tabs>
          <w:tab w:val="clear" w:pos="567"/>
          <w:tab w:val="num" w:pos="624"/>
        </w:tabs>
      </w:pPr>
      <w:r w:rsidRPr="00EC2DBE">
        <w:t>At its second meeting, in its decision MC-2/3, the Conference of the Parties established a group of technical experts to develop draft guidance on methodologies for preparing inventories for a list of potentially relevant point source categories</w:t>
      </w:r>
      <w:r w:rsidR="00D41776">
        <w:t>. In accordance with the terms of reference set out in the annex to the decision,</w:t>
      </w:r>
      <w:r w:rsidRPr="00EC2DBE">
        <w:t xml:space="preserve"> the group </w:t>
      </w:r>
      <w:r w:rsidR="00D41776">
        <w:t xml:space="preserve">was </w:t>
      </w:r>
      <w:r w:rsidRPr="00EC2DBE">
        <w:t>to prepare a report including a list of any significant anthropogenic point source of release categories not addressed in provisions of the Convention other than article 9, a</w:t>
      </w:r>
      <w:r w:rsidR="00AE3E04">
        <w:t>long with</w:t>
      </w:r>
      <w:r w:rsidRPr="00EC2DBE">
        <w:t xml:space="preserve"> a suggested road</w:t>
      </w:r>
      <w:r w:rsidR="00AE3E04">
        <w:t xml:space="preserve"> </w:t>
      </w:r>
      <w:r w:rsidRPr="00EC2DBE">
        <w:t xml:space="preserve">map and structure for the development of draft guidance on methodologies for preparing its inventories. </w:t>
      </w:r>
    </w:p>
    <w:p w14:paraId="47B524D6" w14:textId="27C1BD1C" w:rsidR="005278CE" w:rsidRPr="00EC2DBE" w:rsidRDefault="005278CE" w:rsidP="00970339">
      <w:pPr>
        <w:pStyle w:val="Normalnumber"/>
        <w:numPr>
          <w:ilvl w:val="0"/>
          <w:numId w:val="6"/>
        </w:numPr>
        <w:tabs>
          <w:tab w:val="clear" w:pos="567"/>
          <w:tab w:val="num" w:pos="624"/>
        </w:tabs>
      </w:pPr>
      <w:r w:rsidRPr="00EC2DBE">
        <w:lastRenderedPageBreak/>
        <w:t>The Conference of the Parties has before it a note by the secretariat on the matter (UNEP/MC/COP.3/6)</w:t>
      </w:r>
      <w:r w:rsidR="008C16D3">
        <w:t xml:space="preserve"> that</w:t>
      </w:r>
      <w:r w:rsidRPr="00EC2DBE">
        <w:t xml:space="preserve"> includes </w:t>
      </w:r>
      <w:r w:rsidR="00A5303F">
        <w:t xml:space="preserve">as annexes </w:t>
      </w:r>
      <w:r w:rsidRPr="00EC2DBE">
        <w:t xml:space="preserve">a draft decision and a report by the group of technical experts. The Conference of the Parties may wish to consider the report </w:t>
      </w:r>
      <w:r>
        <w:t xml:space="preserve">and the draft decision </w:t>
      </w:r>
      <w:r w:rsidRPr="00EC2DBE">
        <w:t>and agree on future work on the matter.</w:t>
      </w:r>
    </w:p>
    <w:p w14:paraId="0B52F180" w14:textId="77777777" w:rsidR="005278CE" w:rsidRPr="00EC2DBE" w:rsidRDefault="005278CE" w:rsidP="005278CE">
      <w:pPr>
        <w:pStyle w:val="CH3"/>
        <w:spacing w:before="240"/>
        <w:ind w:left="0" w:firstLine="0"/>
      </w:pPr>
      <w:r w:rsidRPr="00EC2DBE">
        <w:tab/>
        <w:t>(c)</w:t>
      </w:r>
      <w:r w:rsidRPr="00EC2DBE">
        <w:tab/>
        <w:t xml:space="preserve">Mercury waste, </w:t>
      </w:r>
      <w:proofErr w:type="gramStart"/>
      <w:r w:rsidRPr="00EC2DBE">
        <w:t>in particular the</w:t>
      </w:r>
      <w:proofErr w:type="gramEnd"/>
      <w:r w:rsidRPr="00EC2DBE">
        <w:t xml:space="preserve"> consideration of relevant thresholds</w:t>
      </w:r>
    </w:p>
    <w:p w14:paraId="0807611E" w14:textId="58934E29" w:rsidR="005278CE" w:rsidRPr="00895A87" w:rsidRDefault="005278CE" w:rsidP="00970339">
      <w:pPr>
        <w:pStyle w:val="Normalnumber"/>
        <w:numPr>
          <w:ilvl w:val="0"/>
          <w:numId w:val="6"/>
        </w:numPr>
        <w:tabs>
          <w:tab w:val="clear" w:pos="567"/>
          <w:tab w:val="num" w:pos="624"/>
        </w:tabs>
      </w:pPr>
      <w:r w:rsidRPr="00C87449">
        <w:t xml:space="preserve">Article 11 of the </w:t>
      </w:r>
      <w:r w:rsidRPr="00CB2605">
        <w:t>Convention provides</w:t>
      </w:r>
      <w:r w:rsidRPr="00C87449">
        <w:t xml:space="preserve"> that the </w:t>
      </w:r>
      <w:r w:rsidRPr="00EC2DBE">
        <w:t>Conference of the Parties</w:t>
      </w:r>
      <w:r w:rsidRPr="00C87449">
        <w:t xml:space="preserve"> </w:t>
      </w:r>
      <w:r w:rsidR="008C16D3" w:rsidRPr="00C87449">
        <w:t>is to</w:t>
      </w:r>
      <w:r w:rsidRPr="00C87449">
        <w:t xml:space="preserve"> define relevant thresholds for mercury waste</w:t>
      </w:r>
      <w:r w:rsidR="00CF3ED6">
        <w:t>s</w:t>
      </w:r>
      <w:r w:rsidRPr="00C87449">
        <w:t>,</w:t>
      </w:r>
      <w:r w:rsidRPr="00EC2DBE">
        <w:t xml:space="preserve"> </w:t>
      </w:r>
      <w:r w:rsidRPr="00C87449">
        <w:t xml:space="preserve">in collaboration with the relevant bodies of the Basel Convention. At its first meeting, </w:t>
      </w:r>
      <w:r w:rsidRPr="00C114CB">
        <w:t xml:space="preserve">the Conference of the Parties considered the issue and established an open-ended process on the matter. At its second meeting, </w:t>
      </w:r>
      <w:r w:rsidR="008C16D3">
        <w:t>in its decision MC-2/2,</w:t>
      </w:r>
      <w:r w:rsidR="008C16D3" w:rsidRPr="00C114CB">
        <w:t xml:space="preserve"> </w:t>
      </w:r>
      <w:r w:rsidRPr="00C114CB">
        <w:t xml:space="preserve">the Conference </w:t>
      </w:r>
      <w:r w:rsidR="008C16D3">
        <w:t xml:space="preserve">of the Parties </w:t>
      </w:r>
      <w:r w:rsidRPr="00C114CB">
        <w:t>established a group of technical experts to proceed with the discussion on mercury waste thresholds during the intersessional period</w:t>
      </w:r>
      <w:r w:rsidR="008C16D3">
        <w:t xml:space="preserve"> and</w:t>
      </w:r>
      <w:r w:rsidRPr="00C114CB">
        <w:t xml:space="preserve"> requested the secretariat to report to the Conference of the Parties at its third meeting on </w:t>
      </w:r>
      <w:r w:rsidRPr="00F953CB">
        <w:t>the outcomes</w:t>
      </w:r>
      <w:r w:rsidRPr="00C87449">
        <w:t xml:space="preserve"> of the work of the group of technical experts.</w:t>
      </w:r>
    </w:p>
    <w:p w14:paraId="1E25766B" w14:textId="0E65FA8F" w:rsidR="005278CE" w:rsidRPr="00EC2DBE" w:rsidRDefault="005278CE" w:rsidP="00970339">
      <w:pPr>
        <w:pStyle w:val="Normalnumber"/>
        <w:numPr>
          <w:ilvl w:val="0"/>
          <w:numId w:val="6"/>
        </w:numPr>
        <w:tabs>
          <w:tab w:val="clear" w:pos="567"/>
          <w:tab w:val="num" w:pos="624"/>
        </w:tabs>
      </w:pPr>
      <w:r w:rsidRPr="00F953CB">
        <w:t xml:space="preserve">The Conference of the Parties has before it a note by the secretariat on the matter </w:t>
      </w:r>
      <w:r w:rsidRPr="00C87449">
        <w:t xml:space="preserve">(UNEP/MC/COP.3/7) </w:t>
      </w:r>
      <w:r w:rsidR="002605EF" w:rsidRPr="00F953CB">
        <w:t>that</w:t>
      </w:r>
      <w:r w:rsidRPr="00F953CB">
        <w:t xml:space="preserve"> includes </w:t>
      </w:r>
      <w:r w:rsidR="002605EF" w:rsidRPr="00F953CB">
        <w:t xml:space="preserve">as annexes </w:t>
      </w:r>
      <w:r w:rsidRPr="00F953CB">
        <w:t>a draft decision and a</w:t>
      </w:r>
      <w:r w:rsidRPr="00C87449">
        <w:t xml:space="preserve"> report by the group of technical experts</w:t>
      </w:r>
      <w:r w:rsidR="00322842" w:rsidRPr="00C87449">
        <w:t>, as well as a note by the secretariat on lists of mercury compounds and mercury-added products (</w:t>
      </w:r>
      <w:r w:rsidR="00322842" w:rsidRPr="00CB2605">
        <w:t>UNEP/MC/COP.3/INF/18</w:t>
      </w:r>
      <w:r w:rsidR="00322842" w:rsidRPr="00C87449">
        <w:t>) to supplement the report</w:t>
      </w:r>
      <w:r w:rsidRPr="00C87449">
        <w:t xml:space="preserve">. </w:t>
      </w:r>
      <w:r w:rsidRPr="00F953CB">
        <w:t>The</w:t>
      </w:r>
      <w:r w:rsidRPr="00C87449">
        <w:t xml:space="preserve"> Conference of the Parties may wish to review the progress achieved during the intersessional period, consider the draft decision</w:t>
      </w:r>
      <w:r w:rsidR="00A5303F" w:rsidRPr="00C87449">
        <w:t>,</w:t>
      </w:r>
      <w:r w:rsidRPr="00C87449">
        <w:t xml:space="preserve"> and agree on future work on the matter.</w:t>
      </w:r>
    </w:p>
    <w:p w14:paraId="1E3CBB65" w14:textId="77777777" w:rsidR="005278CE" w:rsidRPr="00FA5DFB" w:rsidRDefault="005278CE" w:rsidP="005278CE">
      <w:pPr>
        <w:pStyle w:val="CH3"/>
        <w:spacing w:before="240"/>
        <w:ind w:left="0" w:firstLine="0"/>
      </w:pPr>
      <w:r w:rsidRPr="00FA5DFB">
        <w:tab/>
        <w:t>(d)</w:t>
      </w:r>
      <w:r w:rsidRPr="00FA5DFB">
        <w:tab/>
        <w:t>Guidance on the management of contaminated sites</w:t>
      </w:r>
    </w:p>
    <w:p w14:paraId="1AEDC0F9" w14:textId="7EB0C364" w:rsidR="005278CE" w:rsidRPr="00C114CB" w:rsidRDefault="005278CE" w:rsidP="00970339">
      <w:pPr>
        <w:pStyle w:val="Normalnumber"/>
        <w:numPr>
          <w:ilvl w:val="0"/>
          <w:numId w:val="6"/>
        </w:numPr>
        <w:tabs>
          <w:tab w:val="clear" w:pos="567"/>
          <w:tab w:val="num" w:pos="624"/>
        </w:tabs>
      </w:pPr>
      <w:r w:rsidRPr="00FA5DFB">
        <w:t xml:space="preserve">Article 12 of </w:t>
      </w:r>
      <w:r w:rsidRPr="004952B1">
        <w:t>the Convention</w:t>
      </w:r>
      <w:r w:rsidRPr="00FA5DFB">
        <w:t xml:space="preserve"> provides that the Conference of the Parties </w:t>
      </w:r>
      <w:r w:rsidR="00791FA8">
        <w:t>is to</w:t>
      </w:r>
      <w:r w:rsidRPr="00FA5DFB">
        <w:t xml:space="preserve"> adopt guidance on managing contaminated sites. At its second meeting, the Conference of the Parties considered the draft guidance on the management of sites contaminated by mercury and mercury compounds</w:t>
      </w:r>
      <w:r w:rsidR="00791FA8">
        <w:t xml:space="preserve"> and,</w:t>
      </w:r>
      <w:r w:rsidRPr="00FA5DFB">
        <w:t xml:space="preserve"> in its decision MC-2/8</w:t>
      </w:r>
      <w:r w:rsidR="00791FA8">
        <w:t>, requested the secretariat</w:t>
      </w:r>
      <w:r w:rsidRPr="00FA5DFB">
        <w:t xml:space="preserve"> to invite parties and stakeholders to submit additional comments and information to complement and further improve the draft guidance</w:t>
      </w:r>
      <w:r w:rsidR="00791FA8">
        <w:t>. It</w:t>
      </w:r>
      <w:r w:rsidRPr="00FA5DFB">
        <w:t xml:space="preserve"> requested the secretariat to revise the draft guidance</w:t>
      </w:r>
      <w:r w:rsidR="002605EF">
        <w:t>,</w:t>
      </w:r>
      <w:r w:rsidRPr="00FA5DFB">
        <w:t xml:space="preserve"> </w:t>
      </w:r>
      <w:proofErr w:type="gramStart"/>
      <w:r>
        <w:t>taking into account</w:t>
      </w:r>
      <w:proofErr w:type="gramEnd"/>
      <w:r>
        <w:t xml:space="preserve"> the comments submitted, </w:t>
      </w:r>
      <w:r w:rsidRPr="00FA5DFB">
        <w:t xml:space="preserve">for consideration by the Conference </w:t>
      </w:r>
      <w:r w:rsidR="00791FA8">
        <w:t xml:space="preserve">of the Parties </w:t>
      </w:r>
      <w:r w:rsidRPr="00FA5DFB">
        <w:t>at its third meeting.</w:t>
      </w:r>
    </w:p>
    <w:p w14:paraId="2E10DB89" w14:textId="50BABECD" w:rsidR="005278CE" w:rsidRPr="00FA5DFB" w:rsidRDefault="005278CE" w:rsidP="00970339">
      <w:pPr>
        <w:pStyle w:val="Normalnumber"/>
        <w:numPr>
          <w:ilvl w:val="0"/>
          <w:numId w:val="6"/>
        </w:numPr>
        <w:tabs>
          <w:tab w:val="clear" w:pos="567"/>
          <w:tab w:val="num" w:pos="624"/>
        </w:tabs>
      </w:pPr>
      <w:r w:rsidRPr="00F720EF">
        <w:t xml:space="preserve">The Conference of the Parties has before it a note by the secretariat (UNEP/MC/COP.3/8) </w:t>
      </w:r>
      <w:r w:rsidR="002605EF" w:rsidRPr="00F720EF">
        <w:t>that</w:t>
      </w:r>
      <w:r w:rsidRPr="00F720EF">
        <w:t xml:space="preserve"> includes </w:t>
      </w:r>
      <w:r w:rsidR="00791FA8" w:rsidRPr="00F720EF">
        <w:t xml:space="preserve">as annexes </w:t>
      </w:r>
      <w:r w:rsidRPr="00F720EF">
        <w:t xml:space="preserve">revised draft guidance </w:t>
      </w:r>
      <w:r w:rsidR="00791FA8" w:rsidRPr="00F720EF">
        <w:t xml:space="preserve">on the management of contaminated sites, </w:t>
      </w:r>
      <w:r w:rsidRPr="00F720EF">
        <w:t>prepared by the secretariat in consultation with experts</w:t>
      </w:r>
      <w:r w:rsidR="00791FA8" w:rsidRPr="00F720EF">
        <w:t>,</w:t>
      </w:r>
      <w:r w:rsidR="00EF2CE9" w:rsidRPr="00F720EF">
        <w:t xml:space="preserve"> </w:t>
      </w:r>
      <w:r w:rsidRPr="00F720EF">
        <w:t>and a draft decision</w:t>
      </w:r>
      <w:r w:rsidR="00322842" w:rsidRPr="00F720EF">
        <w:t>,</w:t>
      </w:r>
      <w:r w:rsidR="00A31C6F" w:rsidRPr="00F720EF">
        <w:t xml:space="preserve"> </w:t>
      </w:r>
      <w:r w:rsidR="00322842" w:rsidRPr="00F720EF">
        <w:t>together with further technical information on the matter (UNEP/MC/COP.3/INF/13)</w:t>
      </w:r>
      <w:r w:rsidRPr="00F720EF">
        <w:t>. The Conference</w:t>
      </w:r>
      <w:r w:rsidRPr="00C87449">
        <w:t xml:space="preserve"> of the Parties may wish to consider the draft guidance </w:t>
      </w:r>
      <w:r w:rsidRPr="00FA5DFB">
        <w:t>for possible adoption.</w:t>
      </w:r>
    </w:p>
    <w:p w14:paraId="57C2F0C2" w14:textId="77777777" w:rsidR="005278CE" w:rsidRPr="00FA5DFB" w:rsidRDefault="005278CE" w:rsidP="005278CE">
      <w:pPr>
        <w:pStyle w:val="CH3"/>
        <w:spacing w:before="240"/>
        <w:ind w:left="0" w:firstLine="0"/>
      </w:pPr>
      <w:r w:rsidRPr="00FA5DFB">
        <w:tab/>
        <w:t>(e)</w:t>
      </w:r>
      <w:r w:rsidRPr="00FA5DFB">
        <w:tab/>
        <w:t>Financial mechanism</w:t>
      </w:r>
    </w:p>
    <w:p w14:paraId="6C9B2215" w14:textId="5F5A06D1" w:rsidR="005278CE" w:rsidRPr="00264492" w:rsidRDefault="005278CE" w:rsidP="00970339">
      <w:pPr>
        <w:pStyle w:val="Normalnumber"/>
        <w:numPr>
          <w:ilvl w:val="0"/>
          <w:numId w:val="6"/>
        </w:numPr>
        <w:tabs>
          <w:tab w:val="clear" w:pos="567"/>
          <w:tab w:val="num" w:pos="624"/>
        </w:tabs>
      </w:pPr>
      <w:r w:rsidRPr="00FA5DFB">
        <w:t>Article 13 of the Convention</w:t>
      </w:r>
      <w:r w:rsidR="003939B4">
        <w:t xml:space="preserve"> defines</w:t>
      </w:r>
      <w:r w:rsidRPr="00FA5DFB">
        <w:t xml:space="preserve"> a mechanism for the provision of adequate, predictable and timely financial resources, compris</w:t>
      </w:r>
      <w:r w:rsidR="003939B4">
        <w:t>ing</w:t>
      </w:r>
      <w:r w:rsidRPr="00FA5DFB">
        <w:t xml:space="preserve"> the Global Environment Facility (GEF) Trust Fund and the Specific International </w:t>
      </w:r>
      <w:r w:rsidRPr="002605EF">
        <w:t xml:space="preserve">Programme to </w:t>
      </w:r>
      <w:r w:rsidR="002605EF" w:rsidRPr="00264492">
        <w:t>S</w:t>
      </w:r>
      <w:r w:rsidRPr="002605EF">
        <w:t xml:space="preserve">upport </w:t>
      </w:r>
      <w:r w:rsidR="002605EF" w:rsidRPr="00264492">
        <w:t>C</w:t>
      </w:r>
      <w:r w:rsidRPr="002605EF">
        <w:t>apacity-</w:t>
      </w:r>
      <w:r w:rsidR="002605EF" w:rsidRPr="00264492">
        <w:t>B</w:t>
      </w:r>
      <w:r w:rsidRPr="002605EF">
        <w:t xml:space="preserve">uilding and </w:t>
      </w:r>
      <w:r w:rsidR="002605EF" w:rsidRPr="00264492">
        <w:t>T</w:t>
      </w:r>
      <w:r w:rsidRPr="002605EF">
        <w:t xml:space="preserve">echnical </w:t>
      </w:r>
      <w:r w:rsidR="002605EF" w:rsidRPr="00264492">
        <w:t>A</w:t>
      </w:r>
      <w:r w:rsidRPr="002605EF">
        <w:t>ssistance,</w:t>
      </w:r>
      <w:r w:rsidRPr="00DC7767">
        <w:t xml:space="preserve"> both</w:t>
      </w:r>
      <w:r w:rsidRPr="00C87449">
        <w:t xml:space="preserve"> of which, for the purposes of the Convention,</w:t>
      </w:r>
      <w:r w:rsidRPr="00DC7767">
        <w:t xml:space="preserve"> operate under the guidance of and are accountable to the Confe</w:t>
      </w:r>
      <w:r w:rsidRPr="00264492">
        <w:t xml:space="preserve">rence of the Parties. </w:t>
      </w:r>
    </w:p>
    <w:p w14:paraId="16777724" w14:textId="77777777" w:rsidR="005278CE" w:rsidRPr="00FA5DFB" w:rsidRDefault="005278CE" w:rsidP="005278CE">
      <w:pPr>
        <w:pStyle w:val="CH3"/>
        <w:spacing w:before="240"/>
        <w:ind w:left="0" w:firstLine="0"/>
        <w:rPr>
          <w:b w:val="0"/>
          <w:bCs/>
        </w:rPr>
      </w:pPr>
      <w:r>
        <w:rPr>
          <w:bCs/>
        </w:rPr>
        <w:tab/>
      </w:r>
      <w:r w:rsidRPr="00FA5DFB">
        <w:rPr>
          <w:bCs/>
        </w:rPr>
        <w:t>(</w:t>
      </w:r>
      <w:proofErr w:type="spellStart"/>
      <w:r w:rsidRPr="00FA5DFB">
        <w:rPr>
          <w:bCs/>
        </w:rPr>
        <w:t>i</w:t>
      </w:r>
      <w:proofErr w:type="spellEnd"/>
      <w:r w:rsidRPr="00FA5DFB">
        <w:rPr>
          <w:bCs/>
        </w:rPr>
        <w:t>)</w:t>
      </w:r>
      <w:r w:rsidRPr="00FA5DFB">
        <w:rPr>
          <w:bCs/>
        </w:rPr>
        <w:tab/>
      </w:r>
      <w:r w:rsidRPr="00C114CB">
        <w:t>Global</w:t>
      </w:r>
      <w:r w:rsidRPr="00FA5DFB">
        <w:rPr>
          <w:bCs/>
        </w:rPr>
        <w:t xml:space="preserve"> </w:t>
      </w:r>
      <w:r w:rsidRPr="00C114CB">
        <w:t>Environment</w:t>
      </w:r>
      <w:r w:rsidRPr="00FA5DFB">
        <w:rPr>
          <w:bCs/>
        </w:rPr>
        <w:t xml:space="preserve"> Facility</w:t>
      </w:r>
    </w:p>
    <w:p w14:paraId="00226F22" w14:textId="0C08A1CA" w:rsidR="005278CE" w:rsidRPr="00FA5DFB" w:rsidRDefault="005278CE" w:rsidP="00970339">
      <w:pPr>
        <w:pStyle w:val="Normalnumber"/>
        <w:numPr>
          <w:ilvl w:val="0"/>
          <w:numId w:val="6"/>
        </w:numPr>
        <w:tabs>
          <w:tab w:val="clear" w:pos="567"/>
          <w:tab w:val="num" w:pos="624"/>
        </w:tabs>
      </w:pPr>
      <w:r w:rsidRPr="00FA5DFB">
        <w:t>At its first meeting, in its decision MC-1/5, the Conference of the Parties adopted the guidance to GEF on the overall strategies, policies, programme priorities and eligibility for access to and utilization of financial resources and on an indicative list of categories of activities that could receive support from the GEF Trust Fund. At its second meeting, the Conference of the Parties adopted the memorandum of understanding between the Conference of the Parties and the GEF Council</w:t>
      </w:r>
      <w:r w:rsidR="003939B4">
        <w:t xml:space="preserve"> (UNEP/MC/COP.2/19, para. 83)</w:t>
      </w:r>
      <w:r w:rsidRPr="00FA5DFB">
        <w:t xml:space="preserve">. The memorandum of understanding </w:t>
      </w:r>
      <w:proofErr w:type="gramStart"/>
      <w:r w:rsidR="003939B4">
        <w:t>entered into effect</w:t>
      </w:r>
      <w:proofErr w:type="gramEnd"/>
      <w:r w:rsidR="003939B4">
        <w:t xml:space="preserve"> upon its approval</w:t>
      </w:r>
      <w:r w:rsidRPr="00FA5DFB">
        <w:t xml:space="preserve"> by the GEF Council at its </w:t>
      </w:r>
      <w:r w:rsidR="003939B4">
        <w:t>fifty-sixth</w:t>
      </w:r>
      <w:r w:rsidRPr="00FA5DFB">
        <w:t xml:space="preserve"> meeting</w:t>
      </w:r>
      <w:r w:rsidR="002605EF">
        <w:t>,</w:t>
      </w:r>
      <w:r w:rsidRPr="00FA5DFB">
        <w:t xml:space="preserve"> held in June 2019.</w:t>
      </w:r>
    </w:p>
    <w:p w14:paraId="440E10AA" w14:textId="371C00CD" w:rsidR="005278CE" w:rsidRPr="00FA5DFB" w:rsidRDefault="005278CE" w:rsidP="00970339">
      <w:pPr>
        <w:pStyle w:val="Normalnumber"/>
        <w:numPr>
          <w:ilvl w:val="0"/>
          <w:numId w:val="6"/>
        </w:numPr>
        <w:tabs>
          <w:tab w:val="clear" w:pos="567"/>
          <w:tab w:val="num" w:pos="624"/>
        </w:tabs>
      </w:pPr>
      <w:r w:rsidRPr="00FA5DFB">
        <w:t xml:space="preserve">The Conference of the Parties has before </w:t>
      </w:r>
      <w:r w:rsidRPr="00264492">
        <w:t xml:space="preserve">it a note </w:t>
      </w:r>
      <w:r w:rsidR="003939B4">
        <w:t>by the secretariat providing an update on matters related</w:t>
      </w:r>
      <w:r w:rsidRPr="00264492">
        <w:t xml:space="preserve"> to GEF (UNEP/MC/COP.3/9</w:t>
      </w:r>
      <w:r w:rsidR="003939B4">
        <w:t>;</w:t>
      </w:r>
      <w:r w:rsidRPr="00264492">
        <w:t xml:space="preserve"> UNEP/MC/COP.3/9</w:t>
      </w:r>
      <w:r w:rsidRPr="00C87449">
        <w:t>/Add.1</w:t>
      </w:r>
      <w:r w:rsidRPr="00264492">
        <w:t xml:space="preserve">) as well as the </w:t>
      </w:r>
      <w:r w:rsidR="002605EF" w:rsidRPr="00924FE9">
        <w:t>r</w:t>
      </w:r>
      <w:r w:rsidRPr="00924FE9">
        <w:t xml:space="preserve">eport of the GEF </w:t>
      </w:r>
      <w:r w:rsidR="00264492" w:rsidRPr="00924FE9">
        <w:t xml:space="preserve">Council </w:t>
      </w:r>
      <w:r w:rsidRPr="00924FE9">
        <w:t xml:space="preserve">to the </w:t>
      </w:r>
      <w:r w:rsidR="00264492" w:rsidRPr="00924FE9">
        <w:t>Conference of the Parties at its t</w:t>
      </w:r>
      <w:r w:rsidRPr="00924FE9">
        <w:t xml:space="preserve">hird </w:t>
      </w:r>
      <w:r w:rsidR="00264492" w:rsidRPr="00924FE9">
        <w:t>m</w:t>
      </w:r>
      <w:r w:rsidRPr="00924FE9">
        <w:t>e</w:t>
      </w:r>
      <w:r w:rsidR="002605EF" w:rsidRPr="00924FE9">
        <w:t>e</w:t>
      </w:r>
      <w:r w:rsidRPr="00924FE9">
        <w:t>ting</w:t>
      </w:r>
      <w:r w:rsidRPr="00264492">
        <w:t xml:space="preserve"> (UNEP</w:t>
      </w:r>
      <w:r w:rsidRPr="00FA5DFB">
        <w:t>/MC/COP.3/</w:t>
      </w:r>
      <w:r>
        <w:t>INF</w:t>
      </w:r>
      <w:r w:rsidR="00264492">
        <w:t>/</w:t>
      </w:r>
      <w:r>
        <w:t>2)</w:t>
      </w:r>
      <w:r w:rsidRPr="00FA5DFB">
        <w:t>. The Conference of the parties may wish to consider the</w:t>
      </w:r>
      <w:r w:rsidR="003939B4">
        <w:t xml:space="preserve"> information provided</w:t>
      </w:r>
      <w:r w:rsidR="002605EF">
        <w:t>.</w:t>
      </w:r>
    </w:p>
    <w:p w14:paraId="6AA23521" w14:textId="77777777" w:rsidR="005278CE" w:rsidRPr="00FA5DFB" w:rsidRDefault="005278CE" w:rsidP="005278CE">
      <w:pPr>
        <w:pStyle w:val="CH3"/>
        <w:spacing w:before="240"/>
        <w:ind w:left="0" w:firstLine="0"/>
        <w:rPr>
          <w:b w:val="0"/>
          <w:bCs/>
        </w:rPr>
      </w:pPr>
      <w:r>
        <w:rPr>
          <w:bCs/>
        </w:rPr>
        <w:tab/>
        <w:t>(ii)</w:t>
      </w:r>
      <w:r w:rsidRPr="00451010">
        <w:rPr>
          <w:bCs/>
        </w:rPr>
        <w:tab/>
      </w:r>
      <w:r w:rsidRPr="00C114CB">
        <w:t>Specific</w:t>
      </w:r>
      <w:r w:rsidRPr="00451010">
        <w:rPr>
          <w:bCs/>
        </w:rPr>
        <w:t xml:space="preserve"> International Programme to Support Capacity-Building and Technical Assistance</w:t>
      </w:r>
    </w:p>
    <w:p w14:paraId="6BDD2660" w14:textId="46782F9E" w:rsidR="005278CE" w:rsidRPr="00C87449" w:rsidRDefault="005278CE" w:rsidP="00970339">
      <w:pPr>
        <w:pStyle w:val="Normalnumber"/>
        <w:numPr>
          <w:ilvl w:val="0"/>
          <w:numId w:val="6"/>
        </w:numPr>
        <w:tabs>
          <w:tab w:val="clear" w:pos="567"/>
          <w:tab w:val="num" w:pos="624"/>
        </w:tabs>
      </w:pPr>
      <w:r w:rsidRPr="00A34C4A">
        <w:t xml:space="preserve">At its first meeting, </w:t>
      </w:r>
      <w:r w:rsidR="004E6B1B">
        <w:t xml:space="preserve">in its decision MC-1/6, </w:t>
      </w:r>
      <w:r w:rsidRPr="00A34C4A">
        <w:t xml:space="preserve">the Conference of the Parties </w:t>
      </w:r>
      <w:r w:rsidRPr="00C87449">
        <w:t xml:space="preserve">decided that UNEP would </w:t>
      </w:r>
      <w:r w:rsidR="004E6B1B" w:rsidRPr="00C87449">
        <w:t xml:space="preserve">be the </w:t>
      </w:r>
      <w:r w:rsidRPr="00C87449">
        <w:t>host</w:t>
      </w:r>
      <w:r w:rsidR="004E6B1B" w:rsidRPr="00C87449">
        <w:t>ing institution of</w:t>
      </w:r>
      <w:r w:rsidRPr="00C87449">
        <w:t xml:space="preserve"> the Specific International Programme and approved the necessary hosting arrangements, </w:t>
      </w:r>
      <w:r w:rsidR="00DC7767" w:rsidRPr="00C87449">
        <w:t xml:space="preserve">along with </w:t>
      </w:r>
      <w:r w:rsidRPr="00C87449">
        <w:t>guidance on the operations</w:t>
      </w:r>
      <w:r w:rsidR="00264492" w:rsidRPr="00C87449">
        <w:t>,</w:t>
      </w:r>
      <w:r w:rsidRPr="00C87449">
        <w:t xml:space="preserve"> duration a</w:t>
      </w:r>
      <w:r w:rsidR="00264492" w:rsidRPr="00C87449">
        <w:t>nd</w:t>
      </w:r>
      <w:r w:rsidRPr="00C87449">
        <w:t xml:space="preserve"> terms of reference of the </w:t>
      </w:r>
      <w:r w:rsidRPr="00C114CB">
        <w:lastRenderedPageBreak/>
        <w:t>Programme</w:t>
      </w:r>
      <w:r w:rsidRPr="00C87449">
        <w:t>. The Conference of the Parties also requested the Executive Director of UNEP to establish a trust fund for the Programme and to implement the governance arrangements</w:t>
      </w:r>
      <w:r w:rsidR="004E6B1B" w:rsidRPr="00C87449">
        <w:t xml:space="preserve"> outlined in the annexes to the decision</w:t>
      </w:r>
      <w:r w:rsidRPr="00C87449">
        <w:t>.</w:t>
      </w:r>
      <w:r w:rsidR="00264492" w:rsidRPr="00C87449">
        <w:t xml:space="preserve"> </w:t>
      </w:r>
      <w:r w:rsidR="004E6B1B" w:rsidRPr="00C87449">
        <w:t>Accordingly, t</w:t>
      </w:r>
      <w:r w:rsidR="00264492" w:rsidRPr="00C87449">
        <w:t xml:space="preserve">he trust fund </w:t>
      </w:r>
      <w:r w:rsidR="004E6B1B" w:rsidRPr="00C87449">
        <w:t xml:space="preserve">for the Specific international Programme </w:t>
      </w:r>
      <w:r w:rsidR="00264492" w:rsidRPr="00C87449">
        <w:t>has been established.</w:t>
      </w:r>
    </w:p>
    <w:p w14:paraId="1E162697" w14:textId="19B86A33" w:rsidR="005278CE" w:rsidRPr="00A34C4A" w:rsidRDefault="005278CE" w:rsidP="00970339">
      <w:pPr>
        <w:pStyle w:val="Normalnumber"/>
        <w:numPr>
          <w:ilvl w:val="0"/>
          <w:numId w:val="6"/>
        </w:numPr>
        <w:tabs>
          <w:tab w:val="clear" w:pos="567"/>
          <w:tab w:val="num" w:pos="624"/>
        </w:tabs>
      </w:pPr>
      <w:r>
        <w:t>T</w:t>
      </w:r>
      <w:r w:rsidRPr="00A34C4A">
        <w:t xml:space="preserve">he Conference of the Parties </w:t>
      </w:r>
      <w:r>
        <w:t>has</w:t>
      </w:r>
      <w:r w:rsidRPr="00A34C4A">
        <w:t xml:space="preserve"> before it </w:t>
      </w:r>
      <w:r w:rsidR="002E591D">
        <w:t xml:space="preserve">a </w:t>
      </w:r>
      <w:r w:rsidRPr="002E591D">
        <w:t>report</w:t>
      </w:r>
      <w:r w:rsidRPr="00A34C4A">
        <w:t xml:space="preserve"> on </w:t>
      </w:r>
      <w:r w:rsidR="002E591D">
        <w:t xml:space="preserve">matters related to </w:t>
      </w:r>
      <w:r w:rsidRPr="00A34C4A">
        <w:t xml:space="preserve">the </w:t>
      </w:r>
      <w:r w:rsidR="004952B1">
        <w:t xml:space="preserve">Specific International </w:t>
      </w:r>
      <w:r w:rsidRPr="00A34C4A">
        <w:t xml:space="preserve">Programme </w:t>
      </w:r>
      <w:r w:rsidRPr="00C87449">
        <w:t>(</w:t>
      </w:r>
      <w:r w:rsidRPr="00A34C4A">
        <w:t>UNEP/MC/COP.</w:t>
      </w:r>
      <w:r>
        <w:t>3</w:t>
      </w:r>
      <w:r w:rsidRPr="00A34C4A">
        <w:t>/</w:t>
      </w:r>
      <w:r>
        <w:t>10</w:t>
      </w:r>
      <w:r w:rsidR="002E591D">
        <w:t xml:space="preserve"> and Corr.1</w:t>
      </w:r>
      <w:r w:rsidR="005667F7">
        <w:t>;</w:t>
      </w:r>
      <w:r>
        <w:t xml:space="preserve"> </w:t>
      </w:r>
      <w:r w:rsidRPr="00A34C4A">
        <w:t>UNEP/MC/COP.</w:t>
      </w:r>
      <w:r>
        <w:t>3</w:t>
      </w:r>
      <w:r w:rsidRPr="00A34C4A">
        <w:t>/</w:t>
      </w:r>
      <w:r>
        <w:t>10/Add.1</w:t>
      </w:r>
      <w:r w:rsidRPr="00A34C4A">
        <w:t>)</w:t>
      </w:r>
      <w:r>
        <w:t xml:space="preserve"> and, for information, </w:t>
      </w:r>
      <w:r w:rsidRPr="00A34C4A">
        <w:t xml:space="preserve">the application guidelines for the </w:t>
      </w:r>
      <w:r>
        <w:t>second</w:t>
      </w:r>
      <w:r w:rsidRPr="00A34C4A">
        <w:t xml:space="preserve"> round of applications to the Programme </w:t>
      </w:r>
      <w:r w:rsidRPr="00C87449">
        <w:t>(</w:t>
      </w:r>
      <w:r w:rsidRPr="00A34C4A">
        <w:t>UNEP/MC/COP.</w:t>
      </w:r>
      <w:r>
        <w:t>3</w:t>
      </w:r>
      <w:r w:rsidRPr="00A34C4A">
        <w:t>/INF/</w:t>
      </w:r>
      <w:r>
        <w:t>3</w:t>
      </w:r>
      <w:r w:rsidRPr="00A34C4A">
        <w:t xml:space="preserve">). </w:t>
      </w:r>
      <w:r>
        <w:t xml:space="preserve">The Conference of the Parties may wish to consider the </w:t>
      </w:r>
      <w:r w:rsidR="005667F7">
        <w:t>information provided and to</w:t>
      </w:r>
      <w:r>
        <w:t xml:space="preserve"> confirm the members</w:t>
      </w:r>
      <w:r w:rsidR="005667F7">
        <w:t>hip</w:t>
      </w:r>
      <w:r>
        <w:t xml:space="preserve"> of the </w:t>
      </w:r>
      <w:r w:rsidR="005667F7">
        <w:t xml:space="preserve">Governing </w:t>
      </w:r>
      <w:r>
        <w:t>Board</w:t>
      </w:r>
      <w:r w:rsidR="005667F7">
        <w:t xml:space="preserve"> of the Programme</w:t>
      </w:r>
      <w:r>
        <w:t xml:space="preserve"> for the second term</w:t>
      </w:r>
      <w:r w:rsidR="005667F7">
        <w:t xml:space="preserve"> upon the nomination of members at the third meeting of the Conference of the Parties</w:t>
      </w:r>
      <w:r>
        <w:t>.</w:t>
      </w:r>
    </w:p>
    <w:p w14:paraId="52D3301E" w14:textId="77777777" w:rsidR="005278CE" w:rsidRPr="00FA203F" w:rsidRDefault="005278CE" w:rsidP="005278CE">
      <w:pPr>
        <w:pStyle w:val="CH3"/>
        <w:spacing w:before="240"/>
        <w:ind w:left="0" w:firstLine="0"/>
        <w:rPr>
          <w:b w:val="0"/>
          <w:bCs/>
        </w:rPr>
      </w:pPr>
      <w:r>
        <w:rPr>
          <w:bCs/>
        </w:rPr>
        <w:tab/>
        <w:t>(iii)</w:t>
      </w:r>
      <w:r w:rsidRPr="00FA203F">
        <w:rPr>
          <w:bCs/>
        </w:rPr>
        <w:tab/>
        <w:t>Review of the financial mechanism</w:t>
      </w:r>
    </w:p>
    <w:p w14:paraId="0AE9D0C2" w14:textId="52CEE34B" w:rsidR="005278CE" w:rsidRPr="00FA203F" w:rsidRDefault="002878C8" w:rsidP="00970339">
      <w:pPr>
        <w:pStyle w:val="Normalnumber"/>
        <w:numPr>
          <w:ilvl w:val="0"/>
          <w:numId w:val="6"/>
        </w:numPr>
        <w:tabs>
          <w:tab w:val="clear" w:pos="567"/>
          <w:tab w:val="num" w:pos="624"/>
        </w:tabs>
      </w:pPr>
      <w:r>
        <w:t>T</w:t>
      </w:r>
      <w:r w:rsidR="005278CE" w:rsidRPr="00FA203F">
        <w:t>he Conference of the Parties</w:t>
      </w:r>
      <w:r>
        <w:t xml:space="preserve"> at its second meeting (as reflected in the report of that meeting, </w:t>
      </w:r>
      <w:r w:rsidRPr="00FA203F">
        <w:t>UNEP/MC/COP.2/19</w:t>
      </w:r>
      <w:r>
        <w:t>, para. 120</w:t>
      </w:r>
      <w:r w:rsidRPr="00FA203F">
        <w:t>)</w:t>
      </w:r>
      <w:r w:rsidR="005278CE" w:rsidRPr="00FA203F">
        <w:t xml:space="preserve"> requested the secretariat</w:t>
      </w:r>
      <w:r w:rsidR="005278CE">
        <w:t xml:space="preserve"> </w:t>
      </w:r>
      <w:r w:rsidR="005278CE" w:rsidRPr="00FA203F">
        <w:t>to compile the information to be provided by GEF, the Specific International Programme, parties and other relevant sources</w:t>
      </w:r>
      <w:r>
        <w:t xml:space="preserve"> that was</w:t>
      </w:r>
      <w:r w:rsidR="005278CE" w:rsidRPr="00FA203F">
        <w:t xml:space="preserve"> identified in paragraph 11 of article 13 of the Convention as being necessary for the review of the financial mechanism of the Convention, and to present a synthesis of such information for consideration by the Conference </w:t>
      </w:r>
      <w:r>
        <w:t xml:space="preserve">of the Parties </w:t>
      </w:r>
      <w:r w:rsidR="005278CE" w:rsidRPr="00FA203F">
        <w:t>at its third meeting.</w:t>
      </w:r>
    </w:p>
    <w:p w14:paraId="46FA5E7E" w14:textId="778BE283" w:rsidR="005278CE" w:rsidRPr="003A0C4A" w:rsidRDefault="005278CE" w:rsidP="00970339">
      <w:pPr>
        <w:pStyle w:val="Normalnumber"/>
        <w:numPr>
          <w:ilvl w:val="0"/>
          <w:numId w:val="6"/>
        </w:numPr>
        <w:tabs>
          <w:tab w:val="clear" w:pos="567"/>
          <w:tab w:val="num" w:pos="624"/>
        </w:tabs>
      </w:pPr>
      <w:r w:rsidRPr="00FA203F">
        <w:t xml:space="preserve">In response to the request, the secretariat prepared a note on the review of the financial mechanism </w:t>
      </w:r>
      <w:r w:rsidR="007E171B">
        <w:t xml:space="preserve">(UNEP/MC/COP.3/11) </w:t>
      </w:r>
      <w:r w:rsidRPr="00FA203F">
        <w:t xml:space="preserve">including </w:t>
      </w:r>
      <w:r>
        <w:t xml:space="preserve">the </w:t>
      </w:r>
      <w:r w:rsidRPr="00FA203F">
        <w:t xml:space="preserve">information </w:t>
      </w:r>
      <w:r>
        <w:t>received from</w:t>
      </w:r>
      <w:r w:rsidRPr="00FA203F">
        <w:t xml:space="preserve"> GEF</w:t>
      </w:r>
      <w:r>
        <w:t xml:space="preserve"> and</w:t>
      </w:r>
      <w:r w:rsidRPr="00FA203F">
        <w:t xml:space="preserve"> the Specific International </w:t>
      </w:r>
      <w:r w:rsidRPr="003A0C4A">
        <w:t>Programme</w:t>
      </w:r>
      <w:r w:rsidRPr="00F953CB">
        <w:t xml:space="preserve">. No information on the matter was provided by parties </w:t>
      </w:r>
      <w:r w:rsidRPr="00895A87">
        <w:t xml:space="preserve">or other relevant sources as </w:t>
      </w:r>
      <w:r w:rsidR="007E171B" w:rsidRPr="00895A87">
        <w:t>specified</w:t>
      </w:r>
      <w:r w:rsidRPr="00895A87">
        <w:t xml:space="preserve"> in paragraph 11 of article 13. The Conference of the parties may wish to consider the information presented</w:t>
      </w:r>
      <w:r w:rsidR="003A0C4A" w:rsidRPr="003A0C4A">
        <w:t>, including the draft decision accompanying the note</w:t>
      </w:r>
      <w:r w:rsidRPr="003A0C4A">
        <w:t xml:space="preserve">. </w:t>
      </w:r>
    </w:p>
    <w:p w14:paraId="0E07F493" w14:textId="77777777" w:rsidR="005278CE" w:rsidRPr="00FA203F" w:rsidRDefault="005278CE" w:rsidP="005278CE">
      <w:pPr>
        <w:pStyle w:val="CH3"/>
        <w:spacing w:before="240"/>
        <w:ind w:left="0" w:firstLine="0"/>
      </w:pPr>
      <w:r w:rsidRPr="00FA203F">
        <w:tab/>
        <w:t>(f)</w:t>
      </w:r>
      <w:r w:rsidRPr="00FA203F">
        <w:tab/>
        <w:t>Capacity-building, technical assistance and technology transfer</w:t>
      </w:r>
    </w:p>
    <w:p w14:paraId="623E54FC" w14:textId="0FDC1E03" w:rsidR="005278CE" w:rsidRPr="00FA203F" w:rsidRDefault="005278CE" w:rsidP="00970339">
      <w:pPr>
        <w:pStyle w:val="Normalnumber"/>
        <w:numPr>
          <w:ilvl w:val="0"/>
          <w:numId w:val="6"/>
        </w:numPr>
        <w:tabs>
          <w:tab w:val="clear" w:pos="567"/>
          <w:tab w:val="num" w:pos="624"/>
        </w:tabs>
      </w:pPr>
      <w:r w:rsidRPr="00FA203F">
        <w:t xml:space="preserve">At its second meeting, the </w:t>
      </w:r>
      <w:r w:rsidRPr="005044CD">
        <w:t>Conference of the Parties</w:t>
      </w:r>
      <w:r w:rsidRPr="00FA203F">
        <w:t xml:space="preserve"> in its decision MC-2/11 requested the secretariat to collect information received from the existing regional, subregional and national arrangements on their capacity-building and technical assistance to support parties in implementing their obligations under the Minamata Convention and to report thereon to the Conference of the Parties at its third meeting. In the same decision </w:t>
      </w:r>
      <w:r w:rsidR="00264492">
        <w:t xml:space="preserve">it also emphasized </w:t>
      </w:r>
      <w:r w:rsidRPr="00FA203F">
        <w:t>the relevance of using, as appropriate, regional, subregional and national arrangements, including existing regional and subregional centres, in the delivery of capacity-building and technical assistance consistent with article 14 of the Convention.</w:t>
      </w:r>
    </w:p>
    <w:p w14:paraId="0C4F407C" w14:textId="270ABF1A" w:rsidR="005278CE" w:rsidRPr="00C87449" w:rsidRDefault="005278CE" w:rsidP="00970339">
      <w:pPr>
        <w:pStyle w:val="Normalnumber"/>
        <w:numPr>
          <w:ilvl w:val="0"/>
          <w:numId w:val="6"/>
        </w:numPr>
        <w:tabs>
          <w:tab w:val="clear" w:pos="567"/>
          <w:tab w:val="num" w:pos="624"/>
        </w:tabs>
      </w:pPr>
      <w:r w:rsidRPr="00FA203F">
        <w:t xml:space="preserve">In response to the request, the secretariat sought submissions from parties and other stakeholders on those issues and prepared a </w:t>
      </w:r>
      <w:r w:rsidR="005C51F1">
        <w:t>note</w:t>
      </w:r>
      <w:r w:rsidRPr="00FA203F">
        <w:t xml:space="preserve"> on the matter (UNEP/MC/COP.3/12) and </w:t>
      </w:r>
      <w:r w:rsidR="00264492">
        <w:t>a</w:t>
      </w:r>
      <w:r w:rsidRPr="00FA203F">
        <w:t xml:space="preserve"> compilation of information received (UNEP/MC/COP.3/INF/14). The Conference of the Parties may wish to consider the information provided and to draw the attention of parties and relevant stakeholders</w:t>
      </w:r>
      <w:r w:rsidR="005C51F1">
        <w:t>,</w:t>
      </w:r>
      <w:r w:rsidRPr="00FA203F">
        <w:t xml:space="preserve"> </w:t>
      </w:r>
      <w:r w:rsidR="009A091F" w:rsidRPr="00707FC7">
        <w:t>especially those providing capacity-building and technical assistance pursuant to article</w:t>
      </w:r>
      <w:r w:rsidR="005044CD">
        <w:t> </w:t>
      </w:r>
      <w:r w:rsidR="009A091F" w:rsidRPr="00707FC7">
        <w:t xml:space="preserve">14, </w:t>
      </w:r>
      <w:r w:rsidRPr="00707FC7">
        <w:t>to the activities</w:t>
      </w:r>
      <w:r w:rsidR="009A091F" w:rsidRPr="00707FC7">
        <w:t>, initiatives and reports</w:t>
      </w:r>
      <w:r w:rsidRPr="00FA203F">
        <w:t xml:space="preserve"> mentioned in the submissions</w:t>
      </w:r>
      <w:r w:rsidR="005C51F1">
        <w:t xml:space="preserve"> received</w:t>
      </w:r>
      <w:r w:rsidRPr="00FA203F">
        <w:t xml:space="preserve"> as well as to the needs and challenges </w:t>
      </w:r>
      <w:r w:rsidR="005C51F1">
        <w:t>highlighted</w:t>
      </w:r>
      <w:r w:rsidRPr="00FA203F">
        <w:t xml:space="preserve"> therein. </w:t>
      </w:r>
      <w:r w:rsidR="00264492">
        <w:t>It</w:t>
      </w:r>
      <w:r w:rsidRPr="00FA203F">
        <w:t xml:space="preserve"> may also wish to consider the issue further at </w:t>
      </w:r>
      <w:r>
        <w:t>future</w:t>
      </w:r>
      <w:r w:rsidRPr="00FA203F">
        <w:t xml:space="preserve"> meeting</w:t>
      </w:r>
      <w:r>
        <w:t>s</w:t>
      </w:r>
      <w:r w:rsidRPr="00FA203F">
        <w:t xml:space="preserve">, </w:t>
      </w:r>
      <w:proofErr w:type="gramStart"/>
      <w:r w:rsidRPr="00FA203F">
        <w:t>taking into account</w:t>
      </w:r>
      <w:proofErr w:type="gramEnd"/>
      <w:r w:rsidRPr="00FA203F">
        <w:t xml:space="preserve"> any further submissions and reports from parties and information provided by other stakeholders, compiled by the secretariat, or reported by parties pursuant to </w:t>
      </w:r>
      <w:r w:rsidR="00B36B71">
        <w:t>a</w:t>
      </w:r>
      <w:r w:rsidRPr="00FA203F">
        <w:t>rticle</w:t>
      </w:r>
      <w:r w:rsidR="005044CD">
        <w:t> </w:t>
      </w:r>
      <w:r w:rsidRPr="00FA203F">
        <w:t xml:space="preserve">21. </w:t>
      </w:r>
    </w:p>
    <w:p w14:paraId="57698EF7" w14:textId="77777777" w:rsidR="005278CE" w:rsidRPr="00FA203F" w:rsidRDefault="005278CE" w:rsidP="005278CE">
      <w:pPr>
        <w:pStyle w:val="CH3"/>
        <w:spacing w:before="240"/>
        <w:ind w:left="0" w:firstLine="0"/>
      </w:pPr>
      <w:r w:rsidRPr="00FA203F">
        <w:tab/>
        <w:t>(g)</w:t>
      </w:r>
      <w:r w:rsidRPr="00FA203F">
        <w:tab/>
        <w:t>Implementation and Compliance Committee</w:t>
      </w:r>
    </w:p>
    <w:p w14:paraId="079E833C" w14:textId="133884E7" w:rsidR="005278CE" w:rsidRPr="00FA203F" w:rsidRDefault="005278CE" w:rsidP="00970339">
      <w:pPr>
        <w:pStyle w:val="Normalnumber"/>
        <w:numPr>
          <w:ilvl w:val="0"/>
          <w:numId w:val="6"/>
        </w:numPr>
        <w:tabs>
          <w:tab w:val="clear" w:pos="567"/>
          <w:tab w:val="num" w:pos="624"/>
        </w:tabs>
      </w:pPr>
      <w:r w:rsidRPr="00FA203F">
        <w:t>Article 15 of the Convention establishes a mechanism, including a</w:t>
      </w:r>
      <w:r w:rsidR="00B36B71">
        <w:t>n Implementation and Compliance</w:t>
      </w:r>
      <w:r w:rsidRPr="00FA203F">
        <w:t xml:space="preserve"> Committee as a subsidiary body of the Conference of the Parties, to promote implementation of, and review compliance with, all its provisions. At its first meeting, </w:t>
      </w:r>
      <w:r w:rsidR="008B4C9E">
        <w:t xml:space="preserve">in its decision MC-1/7, </w:t>
      </w:r>
      <w:r w:rsidRPr="00FA203F">
        <w:t>the Conference of the Parties elected the first 15 members of the Committee, which ha</w:t>
      </w:r>
      <w:r w:rsidR="00B36B71">
        <w:t>s to date</w:t>
      </w:r>
      <w:r w:rsidRPr="00FA203F">
        <w:t xml:space="preserve"> met twice</w:t>
      </w:r>
      <w:r w:rsidR="008B4C9E">
        <w:t>,</w:t>
      </w:r>
      <w:r w:rsidRPr="00FA203F">
        <w:t xml:space="preserve"> in Geneva</w:t>
      </w:r>
      <w:r w:rsidR="00264492">
        <w:t>,</w:t>
      </w:r>
      <w:r w:rsidRPr="00FA203F">
        <w:t xml:space="preserve"> on 29 </w:t>
      </w:r>
      <w:r w:rsidR="00264492">
        <w:t>and</w:t>
      </w:r>
      <w:r w:rsidRPr="00FA203F">
        <w:t xml:space="preserve"> 30 May 2018 and 3 </w:t>
      </w:r>
      <w:r w:rsidR="00264492">
        <w:t>and</w:t>
      </w:r>
      <w:r w:rsidRPr="00FA203F">
        <w:t xml:space="preserve"> 4 June 2019. </w:t>
      </w:r>
    </w:p>
    <w:p w14:paraId="739BB18F" w14:textId="17A0B1B5" w:rsidR="001A0EE8" w:rsidRDefault="005278CE" w:rsidP="00970339">
      <w:pPr>
        <w:pStyle w:val="Normalnumber"/>
        <w:numPr>
          <w:ilvl w:val="0"/>
          <w:numId w:val="6"/>
        </w:numPr>
        <w:tabs>
          <w:tab w:val="clear" w:pos="567"/>
          <w:tab w:val="num" w:pos="624"/>
        </w:tabs>
      </w:pPr>
      <w:r w:rsidRPr="00924FE9">
        <w:t>The Conference of the Parties</w:t>
      </w:r>
      <w:r w:rsidRPr="00077A27">
        <w:t xml:space="preserve"> has </w:t>
      </w:r>
      <w:r w:rsidRPr="00F720EF">
        <w:t>before it the report on the second meeting of the Committee (UNEP/MC/COP.3/13), including, in a</w:t>
      </w:r>
      <w:r w:rsidR="008B4C9E" w:rsidRPr="00F720EF">
        <w:t>ppendix</w:t>
      </w:r>
      <w:r w:rsidRPr="00F720EF">
        <w:t xml:space="preserve"> I to the report, the draft terms of reference </w:t>
      </w:r>
      <w:r w:rsidR="008B4C9E" w:rsidRPr="00F720EF">
        <w:t>for</w:t>
      </w:r>
      <w:r w:rsidRPr="00F720EF">
        <w:t xml:space="preserve"> the Committee. </w:t>
      </w:r>
      <w:r w:rsidR="001A0EE8" w:rsidRPr="00F720EF">
        <w:t>Appendix III presents a draft template</w:t>
      </w:r>
      <w:r w:rsidR="001A0EE8" w:rsidRPr="003A0C4A">
        <w:t xml:space="preserve"> for written submissions from parties with respect to their own compliance </w:t>
      </w:r>
      <w:r w:rsidRPr="003A0C4A">
        <w:t>The Conference of the Parties may wish to consider the report of the Committee, adopt the terms of reference for the Committee</w:t>
      </w:r>
      <w:r w:rsidR="008B4C9E" w:rsidRPr="003A0C4A">
        <w:t>,</w:t>
      </w:r>
      <w:r w:rsidR="001A0EE8" w:rsidRPr="003A0C4A">
        <w:t xml:space="preserve"> and approve the draft template through the adoption of a decision on the matter. A draft decision is provided in appendix II. The Conference of the Parties is also expected to, for the second term of the Committee, re-elect 10 members from among the first members of the Committee for one term and </w:t>
      </w:r>
      <w:r w:rsidR="003A0C4A" w:rsidRPr="00924FE9">
        <w:t xml:space="preserve">elect </w:t>
      </w:r>
      <w:r w:rsidR="001A0EE8" w:rsidRPr="003A0C4A">
        <w:t>5 new members for two terms</w:t>
      </w:r>
      <w:r w:rsidR="001A0EE8" w:rsidRPr="00F953CB">
        <w:t xml:space="preserve">, in accordance with the </w:t>
      </w:r>
      <w:r w:rsidR="003A0C4A" w:rsidRPr="00924FE9">
        <w:t>r</w:t>
      </w:r>
      <w:r w:rsidR="001A0EE8" w:rsidRPr="00F953CB">
        <w:t xml:space="preserve">ules of </w:t>
      </w:r>
      <w:r w:rsidR="003A0C4A" w:rsidRPr="00924FE9">
        <w:t>p</w:t>
      </w:r>
      <w:r w:rsidR="001A0EE8" w:rsidRPr="00F953CB">
        <w:t>rocedure of the Committee</w:t>
      </w:r>
      <w:r w:rsidR="001A0EE8" w:rsidRPr="00895A87">
        <w:t>.</w:t>
      </w:r>
    </w:p>
    <w:p w14:paraId="67FA87A7" w14:textId="77777777" w:rsidR="005278CE" w:rsidRPr="00FA203F" w:rsidRDefault="005278CE" w:rsidP="005278CE">
      <w:pPr>
        <w:pStyle w:val="CH3"/>
        <w:spacing w:before="240"/>
        <w:ind w:left="0" w:firstLine="0"/>
      </w:pPr>
      <w:r w:rsidRPr="00FA203F">
        <w:lastRenderedPageBreak/>
        <w:tab/>
        <w:t>(h)</w:t>
      </w:r>
      <w:r w:rsidRPr="00FA203F">
        <w:tab/>
      </w:r>
      <w:r w:rsidRPr="00895A87">
        <w:t xml:space="preserve">Effectiveness </w:t>
      </w:r>
      <w:r w:rsidRPr="00784AA8">
        <w:t>evaluation</w:t>
      </w:r>
    </w:p>
    <w:p w14:paraId="113307D5" w14:textId="41E15213" w:rsidR="005278CE" w:rsidRPr="00FA203F" w:rsidRDefault="005278CE" w:rsidP="00970339">
      <w:pPr>
        <w:pStyle w:val="Normalnumber"/>
        <w:numPr>
          <w:ilvl w:val="0"/>
          <w:numId w:val="6"/>
        </w:numPr>
        <w:tabs>
          <w:tab w:val="clear" w:pos="567"/>
          <w:tab w:val="num" w:pos="624"/>
        </w:tabs>
      </w:pPr>
      <w:r w:rsidRPr="00FA203F">
        <w:t xml:space="preserve">Article 22 of the Convention provides for an evaluation of </w:t>
      </w:r>
      <w:r w:rsidR="00B36B71">
        <w:t>the Convention’s</w:t>
      </w:r>
      <w:r w:rsidRPr="00FA203F">
        <w:t xml:space="preserve"> effectiveness. At</w:t>
      </w:r>
      <w:r w:rsidR="009A7F8C">
        <w:t> </w:t>
      </w:r>
      <w:r w:rsidRPr="00FA203F">
        <w:t xml:space="preserve">its first meeting, in its decision MC-1/9, the Conference of the Parties adopted a road map for establishing arrangements for </w:t>
      </w:r>
      <w:r w:rsidR="00A83984">
        <w:t>providing it with</w:t>
      </w:r>
      <w:r w:rsidRPr="00FA203F">
        <w:t xml:space="preserve"> comparable monitoring data and elements of an effectiveness evaluation framework under article 22. At its second meeting, in its decision MC-2/10, the Conference adopted a new road</w:t>
      </w:r>
      <w:r w:rsidR="00B36B71">
        <w:t xml:space="preserve"> </w:t>
      </w:r>
      <w:r w:rsidRPr="00FA203F">
        <w:t xml:space="preserve">map </w:t>
      </w:r>
      <w:r w:rsidR="00A83984">
        <w:t xml:space="preserve">for the preparation of the report by the </w:t>
      </w:r>
      <w:r w:rsidR="00A83984" w:rsidRPr="00996E3C">
        <w:t xml:space="preserve">ad hoc </w:t>
      </w:r>
      <w:r w:rsidR="003F2DE3" w:rsidRPr="00996E3C">
        <w:t xml:space="preserve">group of </w:t>
      </w:r>
      <w:r w:rsidR="00A83984" w:rsidRPr="00996E3C">
        <w:t>technical expert</w:t>
      </w:r>
      <w:r w:rsidR="003F2DE3" w:rsidRPr="00996E3C">
        <w:t>s</w:t>
      </w:r>
      <w:r w:rsidR="00A83984" w:rsidRPr="00996E3C">
        <w:t xml:space="preserve"> for effectiveness evaluation to the third meeting of the Conference of the Parties</w:t>
      </w:r>
      <w:r w:rsidR="00A83984">
        <w:t xml:space="preserve">, </w:t>
      </w:r>
      <w:r w:rsidR="00B36B71">
        <w:t>that</w:t>
      </w:r>
      <w:r w:rsidRPr="00FA203F">
        <w:t xml:space="preserve"> included a face-to-face meeting of </w:t>
      </w:r>
      <w:r w:rsidR="00F97FAE">
        <w:t>the</w:t>
      </w:r>
      <w:r w:rsidRPr="00FA203F">
        <w:t xml:space="preserve"> ad hoc group with amended membership to prepare a report with a refined evaluation framework including the monitoring arrangements. The road</w:t>
      </w:r>
      <w:r w:rsidR="00B36B71">
        <w:t xml:space="preserve"> </w:t>
      </w:r>
      <w:r w:rsidRPr="00FA203F">
        <w:t xml:space="preserve">map established a time frame </w:t>
      </w:r>
      <w:r w:rsidR="00B36B71">
        <w:t>that</w:t>
      </w:r>
      <w:r w:rsidRPr="00FA203F">
        <w:t xml:space="preserve"> included the opening of a draft report for comments from parties from August to mid-September 2019 and the </w:t>
      </w:r>
      <w:r>
        <w:t>availability</w:t>
      </w:r>
      <w:r w:rsidRPr="00FA203F">
        <w:t xml:space="preserve"> of a final report in October 2019.</w:t>
      </w:r>
      <w:r>
        <w:t xml:space="preserve"> Th</w:t>
      </w:r>
      <w:r w:rsidR="00A83984">
        <w:t>e</w:t>
      </w:r>
      <w:r>
        <w:t xml:space="preserve"> road map, agreed to by the Parties in decision </w:t>
      </w:r>
      <w:r w:rsidRPr="00FA203F">
        <w:t>MC-2/10</w:t>
      </w:r>
      <w:r>
        <w:t>, implies that only after the finali</w:t>
      </w:r>
      <w:r w:rsidR="00B36B71">
        <w:t>z</w:t>
      </w:r>
      <w:r>
        <w:t xml:space="preserve">ation of the report in September will the </w:t>
      </w:r>
      <w:r w:rsidR="00A264D9">
        <w:t>s</w:t>
      </w:r>
      <w:r>
        <w:t xml:space="preserve">ecretariat be able to submit the final version of the report to the </w:t>
      </w:r>
      <w:r w:rsidR="00A264D9">
        <w:t xml:space="preserve">Division of </w:t>
      </w:r>
      <w:r>
        <w:t>Conference Services in Nairobi</w:t>
      </w:r>
      <w:bookmarkStart w:id="8" w:name="_Hlk20982811"/>
      <w:r w:rsidR="00A83984">
        <w:t xml:space="preserve"> for processing and translation</w:t>
      </w:r>
      <w:r>
        <w:t>. Th</w:t>
      </w:r>
      <w:r w:rsidR="002905F1">
        <w:t>us, th</w:t>
      </w:r>
      <w:r>
        <w:t xml:space="preserve">e </w:t>
      </w:r>
      <w:r w:rsidR="00F97FAE">
        <w:t>report, as finali</w:t>
      </w:r>
      <w:r w:rsidR="00784AA8">
        <w:t>z</w:t>
      </w:r>
      <w:r w:rsidR="00F97FAE">
        <w:t>ed,</w:t>
      </w:r>
      <w:r>
        <w:t xml:space="preserve"> will be made available in English</w:t>
      </w:r>
      <w:r w:rsidR="00A264D9">
        <w:t>, without</w:t>
      </w:r>
      <w:r>
        <w:t xml:space="preserve"> formal editing</w:t>
      </w:r>
      <w:r w:rsidR="00784AA8">
        <w:t>,</w:t>
      </w:r>
      <w:r w:rsidR="00F97FAE">
        <w:t xml:space="preserve"> in October</w:t>
      </w:r>
      <w:r>
        <w:t xml:space="preserve">. </w:t>
      </w:r>
      <w:bookmarkEnd w:id="8"/>
      <w:r>
        <w:t xml:space="preserve">As the official versions in languages are </w:t>
      </w:r>
      <w:r w:rsidR="00A264D9">
        <w:t>issued</w:t>
      </w:r>
      <w:r>
        <w:t>, they will be posted on the section of the Convention´s website</w:t>
      </w:r>
      <w:r w:rsidR="00A264D9">
        <w:t xml:space="preserve"> devoted to the upcoming meeting</w:t>
      </w:r>
      <w:r>
        <w:t xml:space="preserve">. The road map agreed to by the </w:t>
      </w:r>
      <w:r w:rsidR="00A264D9">
        <w:t>p</w:t>
      </w:r>
      <w:r>
        <w:t xml:space="preserve">arties in decision </w:t>
      </w:r>
      <w:r w:rsidRPr="00FA203F">
        <w:t>MC-2/10</w:t>
      </w:r>
      <w:r>
        <w:t xml:space="preserve"> is a derogation </w:t>
      </w:r>
      <w:r w:rsidR="00A264D9">
        <w:t>from</w:t>
      </w:r>
      <w:r>
        <w:t xml:space="preserve"> </w:t>
      </w:r>
      <w:r w:rsidR="00A264D9">
        <w:t>r</w:t>
      </w:r>
      <w:r>
        <w:t>ule 11 of the Rules of Procedure of the Conference of the Parties</w:t>
      </w:r>
      <w:r w:rsidR="00A264D9">
        <w:t>, according to</w:t>
      </w:r>
      <w:r>
        <w:t xml:space="preserve"> which the documentation </w:t>
      </w:r>
      <w:r w:rsidR="00A264D9">
        <w:t>for</w:t>
      </w:r>
      <w:r>
        <w:t xml:space="preserve"> ordinary meetings of the Conference </w:t>
      </w:r>
      <w:r w:rsidR="00A264D9">
        <w:t>is to</w:t>
      </w:r>
      <w:r>
        <w:t xml:space="preserve"> be issued six weeks before the opening of the relevant meeting.</w:t>
      </w:r>
    </w:p>
    <w:p w14:paraId="6DC03B03" w14:textId="7FB9357E" w:rsidR="005278CE" w:rsidRPr="00FA203F" w:rsidRDefault="005278CE" w:rsidP="00970339">
      <w:pPr>
        <w:pStyle w:val="Normalnumber"/>
        <w:numPr>
          <w:ilvl w:val="0"/>
          <w:numId w:val="6"/>
        </w:numPr>
        <w:tabs>
          <w:tab w:val="clear" w:pos="567"/>
          <w:tab w:val="num" w:pos="624"/>
        </w:tabs>
      </w:pPr>
      <w:r w:rsidRPr="00C114CB">
        <w:t>The Conference of the Parties has before it a note by the secretariat on the matter (UNEP/MC/COP.3/14</w:t>
      </w:r>
      <w:r w:rsidR="00D173C8">
        <w:t>;</w:t>
      </w:r>
      <w:r w:rsidR="008B1430" w:rsidRPr="001141F7">
        <w:t xml:space="preserve"> </w:t>
      </w:r>
      <w:bookmarkStart w:id="9" w:name="_Hlk21962553"/>
      <w:r w:rsidR="008B1430" w:rsidRPr="002E591D">
        <w:t>UNEP/MC/COP.3/14/Add.1</w:t>
      </w:r>
      <w:bookmarkEnd w:id="9"/>
      <w:r w:rsidRPr="00C114CB">
        <w:t>), which</w:t>
      </w:r>
      <w:r w:rsidRPr="00C87449">
        <w:t xml:space="preserve"> includes </w:t>
      </w:r>
      <w:r w:rsidR="00C46274" w:rsidRPr="00C87449">
        <w:t xml:space="preserve">as annexes </w:t>
      </w:r>
      <w:r w:rsidRPr="00C87449">
        <w:t xml:space="preserve">a draft decision and a report by the group of technical experts. </w:t>
      </w:r>
      <w:r w:rsidR="00C46274" w:rsidRPr="00C87449">
        <w:t>The Conference</w:t>
      </w:r>
      <w:r w:rsidRPr="00C87449">
        <w:t xml:space="preserve"> also has before it technical information compiled by the group </w:t>
      </w:r>
      <w:r w:rsidR="0006691C" w:rsidRPr="00C87449">
        <w:t>to</w:t>
      </w:r>
      <w:r w:rsidRPr="00C87449">
        <w:t xml:space="preserve"> assist it in its consideration of the matter </w:t>
      </w:r>
      <w:r w:rsidR="002E591D">
        <w:t>(</w:t>
      </w:r>
      <w:r w:rsidRPr="00C87449">
        <w:t>UNEP/MC/COP.3/INF/15), includ</w:t>
      </w:r>
      <w:r w:rsidR="00D173C8" w:rsidRPr="00C87449">
        <w:t>ing</w:t>
      </w:r>
      <w:r w:rsidRPr="00C87449">
        <w:t xml:space="preserve"> </w:t>
      </w:r>
      <w:r w:rsidR="00C46274" w:rsidRPr="00C87449">
        <w:t>a</w:t>
      </w:r>
      <w:r w:rsidRPr="00C87449">
        <w:t xml:space="preserve"> review of available monitoring information and a proposal for elements of </w:t>
      </w:r>
      <w:r w:rsidR="00D173C8" w:rsidRPr="00C87449">
        <w:t>a</w:t>
      </w:r>
      <w:r w:rsidRPr="00C87449">
        <w:t xml:space="preserve"> guidance document for mercury monitoring. The Conference of the Parties may wish to consider the </w:t>
      </w:r>
      <w:r w:rsidR="0006691C" w:rsidRPr="00C87449">
        <w:t>report of the group</w:t>
      </w:r>
      <w:r w:rsidR="003F2DE3" w:rsidRPr="00C87449">
        <w:t xml:space="preserve"> of technical experts</w:t>
      </w:r>
      <w:r w:rsidR="0006691C" w:rsidRPr="00C87449">
        <w:t xml:space="preserve">, which contains the requested </w:t>
      </w:r>
      <w:r w:rsidR="003F2DE3" w:rsidRPr="00C87449">
        <w:t>framework, and</w:t>
      </w:r>
      <w:r w:rsidR="0006691C" w:rsidRPr="00C87449">
        <w:t xml:space="preserve"> to d</w:t>
      </w:r>
      <w:r w:rsidR="003F2DE3" w:rsidRPr="00C87449">
        <w:t>iscuss the framework with a view to</w:t>
      </w:r>
      <w:r w:rsidR="0006691C" w:rsidRPr="00C87449">
        <w:t xml:space="preserve"> adopti</w:t>
      </w:r>
      <w:r w:rsidR="003F2DE3" w:rsidRPr="00C87449">
        <w:t>ng it</w:t>
      </w:r>
      <w:r w:rsidR="0006691C" w:rsidRPr="00C87449">
        <w:t xml:space="preserve">, </w:t>
      </w:r>
      <w:r w:rsidR="003F2DE3" w:rsidRPr="00C87449">
        <w:t xml:space="preserve">and </w:t>
      </w:r>
      <w:r w:rsidR="0006691C" w:rsidRPr="00C87449">
        <w:t xml:space="preserve">to </w:t>
      </w:r>
      <w:proofErr w:type="gramStart"/>
      <w:r w:rsidR="003F2DE3" w:rsidRPr="00C87449">
        <w:t>make</w:t>
      </w:r>
      <w:r w:rsidR="0006691C" w:rsidRPr="00C87449">
        <w:t xml:space="preserve"> arrangements</w:t>
      </w:r>
      <w:proofErr w:type="gramEnd"/>
      <w:r w:rsidR="0006691C" w:rsidRPr="00C87449">
        <w:t xml:space="preserve"> </w:t>
      </w:r>
      <w:r w:rsidR="003F2DE3" w:rsidRPr="00C87449">
        <w:t>for</w:t>
      </w:r>
      <w:r w:rsidR="0006691C" w:rsidRPr="00C87449">
        <w:t xml:space="preserve"> conclud</w:t>
      </w:r>
      <w:r w:rsidR="003F2DE3" w:rsidRPr="00C87449">
        <w:t>ing</w:t>
      </w:r>
      <w:r w:rsidR="0006691C" w:rsidRPr="00C87449">
        <w:t xml:space="preserve"> the first effectiveness evaluation of the </w:t>
      </w:r>
      <w:r w:rsidR="00D306EF">
        <w:t xml:space="preserve">Minamata </w:t>
      </w:r>
      <w:r w:rsidR="0006691C" w:rsidRPr="00C87449">
        <w:t>Con</w:t>
      </w:r>
      <w:r w:rsidR="003F2DE3" w:rsidRPr="00C87449">
        <w:t>v</w:t>
      </w:r>
      <w:r w:rsidR="0006691C" w:rsidRPr="00C87449">
        <w:t>ention by 2023.</w:t>
      </w:r>
    </w:p>
    <w:p w14:paraId="02A4CA9E" w14:textId="77777777" w:rsidR="005278CE" w:rsidRPr="00FA203F" w:rsidRDefault="005278CE" w:rsidP="005278CE">
      <w:pPr>
        <w:pStyle w:val="CH3"/>
        <w:spacing w:before="240"/>
        <w:ind w:left="0" w:firstLine="0"/>
      </w:pPr>
      <w:r w:rsidRPr="00FA203F">
        <w:tab/>
        <w:t>(</w:t>
      </w:r>
      <w:proofErr w:type="spellStart"/>
      <w:r w:rsidRPr="00FA203F">
        <w:t>i</w:t>
      </w:r>
      <w:proofErr w:type="spellEnd"/>
      <w:r w:rsidRPr="00FA203F">
        <w:t>)</w:t>
      </w:r>
      <w:r w:rsidRPr="00FA203F">
        <w:tab/>
        <w:t>Financial rules</w:t>
      </w:r>
    </w:p>
    <w:p w14:paraId="06FDD1DD" w14:textId="7F462106" w:rsidR="005278CE" w:rsidRPr="00FA203F" w:rsidRDefault="005278CE" w:rsidP="00970339">
      <w:pPr>
        <w:pStyle w:val="Normalnumber"/>
        <w:numPr>
          <w:ilvl w:val="0"/>
          <w:numId w:val="6"/>
        </w:numPr>
        <w:tabs>
          <w:tab w:val="clear" w:pos="567"/>
          <w:tab w:val="num" w:pos="624"/>
        </w:tabs>
        <w:rPr>
          <w:bCs/>
        </w:rPr>
      </w:pPr>
      <w:r w:rsidRPr="00FA203F">
        <w:t>At its first meeting,</w:t>
      </w:r>
      <w:r w:rsidRPr="00FA203F">
        <w:rPr>
          <w:bCs/>
        </w:rPr>
        <w:t xml:space="preserve"> in its decision MC-1/10,</w:t>
      </w:r>
      <w:r w:rsidRPr="00FA203F">
        <w:t xml:space="preserve"> the Conference of the Parties adopted financial rules for itself and any subsidiary bodies it might establish, as well as financial provisions governing the functioning of the secretariat. Bracketed text remained in </w:t>
      </w:r>
      <w:r w:rsidRPr="00FA203F">
        <w:rPr>
          <w:bCs/>
        </w:rPr>
        <w:t>paragraph 3 (e) of rule 5 of the financial rules and in paragraphs 2 and 5 of the annex to the financial rules</w:t>
      </w:r>
      <w:r w:rsidRPr="00FA203F">
        <w:t xml:space="preserve">. At its second meeting, the Conference agreed to defer the matter to </w:t>
      </w:r>
      <w:r w:rsidR="00C46274">
        <w:t>its</w:t>
      </w:r>
      <w:r w:rsidRPr="00FA203F">
        <w:t xml:space="preserve"> third meeting. </w:t>
      </w:r>
      <w:r w:rsidR="00C46274">
        <w:t>It</w:t>
      </w:r>
      <w:r w:rsidRPr="00FA203F">
        <w:t xml:space="preserve"> may </w:t>
      </w:r>
      <w:r w:rsidRPr="00FA203F">
        <w:rPr>
          <w:bCs/>
        </w:rPr>
        <w:t xml:space="preserve">wish to consider the bracketed text </w:t>
      </w:r>
      <w:r w:rsidRPr="00FA203F">
        <w:t xml:space="preserve">(UNEP/MC/COP.3/15, annex) </w:t>
      </w:r>
      <w:r w:rsidRPr="00FA203F">
        <w:rPr>
          <w:bCs/>
        </w:rPr>
        <w:t>with a view to adopting final text</w:t>
      </w:r>
      <w:r w:rsidRPr="00FA203F">
        <w:t>.</w:t>
      </w:r>
    </w:p>
    <w:p w14:paraId="5268C32F" w14:textId="77777777" w:rsidR="005278CE" w:rsidRPr="00FA203F" w:rsidRDefault="005278CE" w:rsidP="005278CE">
      <w:pPr>
        <w:pStyle w:val="CH3"/>
        <w:spacing w:before="240"/>
        <w:ind w:left="0" w:firstLine="0"/>
      </w:pPr>
      <w:r w:rsidRPr="00FA203F">
        <w:tab/>
        <w:t>(j)</w:t>
      </w:r>
      <w:r w:rsidRPr="00FA203F">
        <w:tab/>
        <w:t>Secretariat</w:t>
      </w:r>
    </w:p>
    <w:p w14:paraId="1814BFE1" w14:textId="50D67AB4" w:rsidR="005278CE" w:rsidRPr="00C114CB" w:rsidRDefault="005278CE" w:rsidP="00970339">
      <w:pPr>
        <w:pStyle w:val="Normalnumber"/>
        <w:numPr>
          <w:ilvl w:val="0"/>
          <w:numId w:val="6"/>
        </w:numPr>
        <w:tabs>
          <w:tab w:val="clear" w:pos="567"/>
          <w:tab w:val="num" w:pos="624"/>
        </w:tabs>
      </w:pPr>
      <w:r w:rsidRPr="00C87449">
        <w:t xml:space="preserve">At its second meeting, in its decision MC-2/1, the Conference of the Parties </w:t>
      </w:r>
      <w:r w:rsidR="004429BA" w:rsidRPr="00C87449">
        <w:t>decided</w:t>
      </w:r>
      <w:r w:rsidRPr="00C87449">
        <w:t xml:space="preserve"> to accept the offer of the Government of Switzerland to host </w:t>
      </w:r>
      <w:r w:rsidR="004429BA" w:rsidRPr="00C87449">
        <w:t>the</w:t>
      </w:r>
      <w:r w:rsidRPr="00C87449">
        <w:t xml:space="preserve"> secretariat in Geneva</w:t>
      </w:r>
      <w:r w:rsidR="004429BA" w:rsidRPr="00C87449">
        <w:t xml:space="preserve"> and</w:t>
      </w:r>
      <w:r w:rsidRPr="00C87449">
        <w:t xml:space="preserve"> requested the Executive </w:t>
      </w:r>
      <w:r w:rsidRPr="00C114CB">
        <w:t>Director</w:t>
      </w:r>
      <w:r w:rsidRPr="00C87449">
        <w:t xml:space="preserve"> of </w:t>
      </w:r>
      <w:r w:rsidR="00B85F65" w:rsidRPr="00C87449">
        <w:t>UNEP</w:t>
      </w:r>
      <w:r w:rsidRPr="00C87449">
        <w:t xml:space="preserve"> to continue performing the secretariat functions for the Convention through a secretariat of the Minamata Convention</w:t>
      </w:r>
      <w:r w:rsidR="004429BA" w:rsidRPr="00C87449">
        <w:t xml:space="preserve"> located in Geneva</w:t>
      </w:r>
      <w:r w:rsidRPr="00C87449">
        <w:t xml:space="preserve">. </w:t>
      </w:r>
    </w:p>
    <w:p w14:paraId="6F11CED0" w14:textId="25FE5A09" w:rsidR="005278CE" w:rsidRPr="00C87449" w:rsidRDefault="005278CE" w:rsidP="00970339">
      <w:pPr>
        <w:pStyle w:val="Normalnumber"/>
        <w:numPr>
          <w:ilvl w:val="0"/>
          <w:numId w:val="6"/>
        </w:numPr>
        <w:tabs>
          <w:tab w:val="clear" w:pos="567"/>
          <w:tab w:val="num" w:pos="624"/>
        </w:tabs>
      </w:pPr>
      <w:r w:rsidRPr="00C87449">
        <w:t xml:space="preserve">The Conference of the </w:t>
      </w:r>
      <w:r w:rsidRPr="002E591D">
        <w:t>Parties has before</w:t>
      </w:r>
      <w:r w:rsidRPr="00C87449">
        <w:t xml:space="preserve"> it </w:t>
      </w:r>
      <w:r w:rsidR="005A02E7" w:rsidRPr="002E591D">
        <w:t>a</w:t>
      </w:r>
      <w:r w:rsidR="00407ADF" w:rsidRPr="002E591D">
        <w:t>n operative</w:t>
      </w:r>
      <w:r w:rsidRPr="002E591D">
        <w:t xml:space="preserve"> proposal</w:t>
      </w:r>
      <w:r w:rsidRPr="00C87449">
        <w:t xml:space="preserve"> by the Executive Director of </w:t>
      </w:r>
      <w:r w:rsidR="00B85F65" w:rsidRPr="00C87449">
        <w:t>UNEP</w:t>
      </w:r>
      <w:r w:rsidRPr="00C87449">
        <w:t xml:space="preserve"> on a framework for </w:t>
      </w:r>
      <w:r w:rsidR="004429BA" w:rsidRPr="00C87449">
        <w:t xml:space="preserve">the </w:t>
      </w:r>
      <w:r w:rsidRPr="00C87449">
        <w:t xml:space="preserve">sharing of </w:t>
      </w:r>
      <w:r w:rsidR="004429BA" w:rsidRPr="00C87449">
        <w:t xml:space="preserve">relevant </w:t>
      </w:r>
      <w:r w:rsidRPr="00C87449">
        <w:t>secretariat services between the secretariat of the Minamata Convention and the secretariat of the Basel, Rotterdam and Stockholm conventions (UNEP/MC/COP.3/16)</w:t>
      </w:r>
      <w:r w:rsidR="005A02E7" w:rsidRPr="00C87449">
        <w:t>,</w:t>
      </w:r>
      <w:r w:rsidRPr="00C87449">
        <w:t xml:space="preserve"> as requested in </w:t>
      </w:r>
      <w:r w:rsidR="005A02E7" w:rsidRPr="00C87449">
        <w:t xml:space="preserve">decision </w:t>
      </w:r>
      <w:r w:rsidRPr="00C87449">
        <w:t xml:space="preserve">MC-2/7. </w:t>
      </w:r>
      <w:r w:rsidR="005A02E7" w:rsidRPr="00C87449">
        <w:t>C</w:t>
      </w:r>
      <w:r w:rsidRPr="00C87449">
        <w:t xml:space="preserve">ooperation </w:t>
      </w:r>
      <w:r w:rsidR="005A02E7" w:rsidRPr="00C87449">
        <w:t xml:space="preserve">to date </w:t>
      </w:r>
      <w:r w:rsidRPr="00C87449">
        <w:t xml:space="preserve">between the two secretariats is </w:t>
      </w:r>
      <w:r w:rsidR="005A02E7" w:rsidRPr="00C87449">
        <w:t>detailed</w:t>
      </w:r>
      <w:r w:rsidRPr="00C87449">
        <w:t xml:space="preserve"> in the secretariat’s report on its main activities </w:t>
      </w:r>
      <w:r w:rsidR="004429BA" w:rsidRPr="00C87449">
        <w:t xml:space="preserve">in the intersessional period </w:t>
      </w:r>
      <w:r w:rsidRPr="00C87449">
        <w:t xml:space="preserve">(UNEP/MC/COP.3/19) and </w:t>
      </w:r>
      <w:r w:rsidR="005A02E7" w:rsidRPr="00C87449">
        <w:t xml:space="preserve">in </w:t>
      </w:r>
      <w:r w:rsidR="003F5120" w:rsidRPr="00C87449">
        <w:t>a</w:t>
      </w:r>
      <w:r w:rsidRPr="00C87449">
        <w:t xml:space="preserve"> report by the secretariat of the Basel, Rotterdam and Stockholm conventions (UNEP/MC/COP.3/INF/6). The Conference of the Parties may wish to take note of the </w:t>
      </w:r>
      <w:r w:rsidR="00407ADF" w:rsidRPr="002E591D">
        <w:t>operative proposal</w:t>
      </w:r>
      <w:r w:rsidR="004429BA" w:rsidRPr="00C87449">
        <w:t>, including</w:t>
      </w:r>
      <w:r w:rsidRPr="00C87449">
        <w:t xml:space="preserve"> as it relates to the scenarios put forward in the budget for the biennium 2020</w:t>
      </w:r>
      <w:r w:rsidR="00B85F65" w:rsidRPr="00C87449">
        <w:t>–</w:t>
      </w:r>
      <w:r w:rsidRPr="00C87449">
        <w:t>2021, as requested</w:t>
      </w:r>
      <w:r w:rsidR="004429BA" w:rsidRPr="00C87449">
        <w:t xml:space="preserve"> in</w:t>
      </w:r>
      <w:r w:rsidRPr="00C87449">
        <w:t xml:space="preserve"> decisions MC-2/7 and MC-2/12.</w:t>
      </w:r>
    </w:p>
    <w:p w14:paraId="1937E49F" w14:textId="77777777" w:rsidR="005278CE" w:rsidRPr="00FA203F" w:rsidRDefault="005278CE" w:rsidP="005278CE">
      <w:pPr>
        <w:pStyle w:val="CH3"/>
        <w:spacing w:before="240"/>
        <w:ind w:left="0" w:firstLine="0"/>
      </w:pPr>
      <w:r w:rsidRPr="00FA203F">
        <w:tab/>
        <w:t>(k)</w:t>
      </w:r>
      <w:r w:rsidRPr="00FA203F">
        <w:tab/>
        <w:t>Emissions of mercury resulting from the open burning of waste</w:t>
      </w:r>
    </w:p>
    <w:p w14:paraId="104A6056" w14:textId="3E2EFDD5" w:rsidR="005278CE" w:rsidRPr="00FA203F" w:rsidRDefault="005A02E7" w:rsidP="00970339">
      <w:pPr>
        <w:pStyle w:val="Normalnumber"/>
        <w:numPr>
          <w:ilvl w:val="0"/>
          <w:numId w:val="6"/>
        </w:numPr>
        <w:tabs>
          <w:tab w:val="clear" w:pos="567"/>
          <w:tab w:val="num" w:pos="624"/>
        </w:tabs>
      </w:pPr>
      <w:r>
        <w:t>A</w:t>
      </w:r>
      <w:r w:rsidRPr="00FA203F">
        <w:t>t its first and second meetings</w:t>
      </w:r>
      <w:r>
        <w:t>,</w:t>
      </w:r>
      <w:r w:rsidRPr="00FA203F">
        <w:t xml:space="preserve"> </w:t>
      </w:r>
      <w:r>
        <w:t>t</w:t>
      </w:r>
      <w:r w:rsidR="005278CE" w:rsidRPr="00FA203F">
        <w:t>he Conference of the Parties considered the matter of mercury emissions resulting from the open burning of waste. At its second meeting, it requested the secretariat to continue to collect and make available relevant information. It also requested the secretariat to continue to engage on the issue with the secretariat of the Basel, Rotterdam and Stockholm conventions and to update the Conference</w:t>
      </w:r>
      <w:r w:rsidR="006C71E6">
        <w:t xml:space="preserve"> of the Parties</w:t>
      </w:r>
      <w:r w:rsidR="005278CE" w:rsidRPr="00FA203F">
        <w:t xml:space="preserve"> </w:t>
      </w:r>
      <w:r w:rsidR="001E1A3A">
        <w:t xml:space="preserve">on the matter </w:t>
      </w:r>
      <w:r w:rsidR="005278CE" w:rsidRPr="00FA203F">
        <w:t>at its third meeting.</w:t>
      </w:r>
    </w:p>
    <w:p w14:paraId="105E7C0B" w14:textId="52264D4C" w:rsidR="005278CE" w:rsidRPr="00FA203F" w:rsidRDefault="005278CE" w:rsidP="00970339">
      <w:pPr>
        <w:pStyle w:val="Normalnumber"/>
        <w:numPr>
          <w:ilvl w:val="0"/>
          <w:numId w:val="6"/>
        </w:numPr>
        <w:tabs>
          <w:tab w:val="clear" w:pos="567"/>
          <w:tab w:val="num" w:pos="624"/>
        </w:tabs>
      </w:pPr>
      <w:r w:rsidRPr="00FA203F">
        <w:lastRenderedPageBreak/>
        <w:t>In response to those requests, the secretariat prepared a note on the matter (UNEP/MC/COP.3/17)</w:t>
      </w:r>
      <w:r w:rsidR="003D20DB">
        <w:t>.</w:t>
      </w:r>
      <w:r w:rsidRPr="00FA203F">
        <w:t xml:space="preserve"> </w:t>
      </w:r>
      <w:r w:rsidR="003D20DB">
        <w:t xml:space="preserve">In addition, information </w:t>
      </w:r>
      <w:r>
        <w:t>received</w:t>
      </w:r>
      <w:r w:rsidRPr="00FA203F">
        <w:t xml:space="preserve"> from a party</w:t>
      </w:r>
      <w:r w:rsidR="003342AD">
        <w:t xml:space="preserve"> </w:t>
      </w:r>
      <w:r w:rsidR="003D20DB">
        <w:t xml:space="preserve">is set out in document </w:t>
      </w:r>
      <w:r w:rsidR="003342AD">
        <w:t>UNEP/MC/COP.3/INF/16</w:t>
      </w:r>
      <w:r w:rsidRPr="00FA203F">
        <w:t>. The Conference of the Parties may wish to consider the information pr</w:t>
      </w:r>
      <w:r w:rsidR="006C71E6">
        <w:t>ovided</w:t>
      </w:r>
      <w:r w:rsidRPr="00FA203F">
        <w:t xml:space="preserve"> and, given the limited number of submissions received, request the secretariat to continue to collect relevant information and to make such information available on the </w:t>
      </w:r>
      <w:r w:rsidR="00FB165C">
        <w:t xml:space="preserve">Convention’s </w:t>
      </w:r>
      <w:r w:rsidRPr="00FA203F">
        <w:t>website.</w:t>
      </w:r>
    </w:p>
    <w:p w14:paraId="13C95956" w14:textId="77777777" w:rsidR="005278CE" w:rsidRPr="00FA203F" w:rsidRDefault="005278CE" w:rsidP="005278CE">
      <w:pPr>
        <w:pStyle w:val="CH2"/>
        <w:spacing w:before="240"/>
        <w:ind w:left="624" w:firstLine="0"/>
      </w:pPr>
      <w:r w:rsidRPr="00FA203F">
        <w:t>Item 6</w:t>
      </w:r>
    </w:p>
    <w:p w14:paraId="2E74F995" w14:textId="77777777" w:rsidR="005278CE" w:rsidRPr="00FA203F" w:rsidRDefault="005278CE" w:rsidP="005278CE">
      <w:pPr>
        <w:pStyle w:val="CH2"/>
        <w:ind w:left="624" w:firstLine="0"/>
      </w:pPr>
      <w:r w:rsidRPr="00FA203F">
        <w:t>International cooperation and coordination</w:t>
      </w:r>
    </w:p>
    <w:p w14:paraId="58978B97" w14:textId="77777777" w:rsidR="005278CE" w:rsidRPr="00C87449" w:rsidRDefault="005278CE" w:rsidP="00970339">
      <w:pPr>
        <w:pStyle w:val="Normalnumber"/>
        <w:numPr>
          <w:ilvl w:val="0"/>
          <w:numId w:val="6"/>
        </w:numPr>
        <w:tabs>
          <w:tab w:val="clear" w:pos="567"/>
          <w:tab w:val="num" w:pos="624"/>
        </w:tabs>
      </w:pPr>
      <w:r w:rsidRPr="00C87449">
        <w:t xml:space="preserve">Several provisions of the Convention call for cooperation with relevant intergovernmental organizations. </w:t>
      </w:r>
      <w:proofErr w:type="gramStart"/>
      <w:r w:rsidRPr="00C87449">
        <w:t>In particular, article</w:t>
      </w:r>
      <w:proofErr w:type="gramEnd"/>
      <w:r w:rsidRPr="00C87449">
        <w:t xml:space="preserve"> 16 specifies that the Conference of the Parties, in considering health-related issues or activities, should consult and collaborate with the World Health Organization (WHO), the International Labour Organization (ILO) and other relevant intergovernmental organizations, as appropriate, and should promote cooperation and exchange of information with those organizations, as appropriate.</w:t>
      </w:r>
    </w:p>
    <w:p w14:paraId="48D2FE1D" w14:textId="77777777" w:rsidR="005278CE" w:rsidRPr="00735E24" w:rsidRDefault="005278CE" w:rsidP="005278CE">
      <w:pPr>
        <w:pStyle w:val="CH2"/>
        <w:spacing w:before="240"/>
        <w:rPr>
          <w:sz w:val="20"/>
          <w:szCs w:val="20"/>
        </w:rPr>
      </w:pPr>
      <w:r w:rsidRPr="00735E24">
        <w:rPr>
          <w:sz w:val="20"/>
          <w:szCs w:val="20"/>
        </w:rPr>
        <w:tab/>
        <w:t>(a)</w:t>
      </w:r>
      <w:r w:rsidRPr="00735E24">
        <w:rPr>
          <w:sz w:val="20"/>
          <w:szCs w:val="20"/>
        </w:rPr>
        <w:tab/>
        <w:t>World Health Organization and the International Labour Organization</w:t>
      </w:r>
    </w:p>
    <w:p w14:paraId="616B8BB4" w14:textId="097FE4E6" w:rsidR="005278CE" w:rsidRPr="00C87449" w:rsidRDefault="005278CE" w:rsidP="00970339">
      <w:pPr>
        <w:pStyle w:val="Normalnumber"/>
        <w:numPr>
          <w:ilvl w:val="0"/>
          <w:numId w:val="6"/>
        </w:numPr>
        <w:tabs>
          <w:tab w:val="clear" w:pos="567"/>
          <w:tab w:val="num" w:pos="624"/>
        </w:tabs>
      </w:pPr>
      <w:r w:rsidRPr="00FA203F">
        <w:t>Information on cooperation with WHO and ILO is set out in a note by the secretariat on the matter (UNEP/MC/COP.3/18), which includes in its annex</w:t>
      </w:r>
      <w:r w:rsidR="006C71E6">
        <w:t>es</w:t>
      </w:r>
      <w:r w:rsidRPr="00FA203F">
        <w:t xml:space="preserve"> </w:t>
      </w:r>
      <w:r w:rsidRPr="00C87449">
        <w:t>update</w:t>
      </w:r>
      <w:r w:rsidR="006C71E6" w:rsidRPr="00C87449">
        <w:t>s</w:t>
      </w:r>
      <w:r w:rsidRPr="00C87449">
        <w:t xml:space="preserve"> on the activities of WHO and ILO relevant to the Convention</w:t>
      </w:r>
      <w:r w:rsidRPr="00FA203F">
        <w:t xml:space="preserve">. The Conference of the Parties may wish to </w:t>
      </w:r>
      <w:r w:rsidR="00C14767">
        <w:t xml:space="preserve">consider </w:t>
      </w:r>
      <w:r w:rsidRPr="00FA203F">
        <w:t>request</w:t>
      </w:r>
      <w:r w:rsidR="00C14767">
        <w:t>ing</w:t>
      </w:r>
      <w:r w:rsidRPr="00FA203F">
        <w:t xml:space="preserve"> the secretariat to </w:t>
      </w:r>
      <w:r w:rsidRPr="00C87449">
        <w:t>continue</w:t>
      </w:r>
      <w:r w:rsidR="006C71E6" w:rsidRPr="00C87449">
        <w:t xml:space="preserve"> its</w:t>
      </w:r>
      <w:r w:rsidRPr="00C87449">
        <w:t xml:space="preserve"> active </w:t>
      </w:r>
      <w:r w:rsidRPr="00FA203F">
        <w:t>cooperation and collaboration on health-related issues with WHO and ILO</w:t>
      </w:r>
      <w:r>
        <w:t>.</w:t>
      </w:r>
      <w:r w:rsidRPr="00FA203F">
        <w:t xml:space="preserve"> </w:t>
      </w:r>
    </w:p>
    <w:p w14:paraId="75DB6B2E" w14:textId="77777777" w:rsidR="005278CE" w:rsidRPr="00264492" w:rsidRDefault="005278CE" w:rsidP="005278CE">
      <w:pPr>
        <w:pStyle w:val="CH2"/>
        <w:rPr>
          <w:sz w:val="20"/>
          <w:szCs w:val="20"/>
        </w:rPr>
      </w:pPr>
      <w:r>
        <w:rPr>
          <w:sz w:val="20"/>
          <w:szCs w:val="20"/>
        </w:rPr>
        <w:tab/>
      </w:r>
      <w:r w:rsidRPr="00264492">
        <w:rPr>
          <w:sz w:val="20"/>
          <w:szCs w:val="20"/>
        </w:rPr>
        <w:t>(b)</w:t>
      </w:r>
      <w:r w:rsidRPr="00264492">
        <w:rPr>
          <w:sz w:val="20"/>
          <w:szCs w:val="20"/>
        </w:rPr>
        <w:tab/>
        <w:t>Other international organizations and bodies</w:t>
      </w:r>
    </w:p>
    <w:p w14:paraId="7DABA809" w14:textId="22704A75" w:rsidR="005278CE" w:rsidRPr="00FA203F" w:rsidRDefault="005278CE" w:rsidP="00970339">
      <w:pPr>
        <w:pStyle w:val="Normalnumber"/>
        <w:numPr>
          <w:ilvl w:val="0"/>
          <w:numId w:val="6"/>
        </w:numPr>
        <w:tabs>
          <w:tab w:val="clear" w:pos="567"/>
          <w:tab w:val="num" w:pos="624"/>
        </w:tabs>
      </w:pPr>
      <w:r w:rsidRPr="00FA203F">
        <w:t xml:space="preserve">Information on </w:t>
      </w:r>
      <w:r w:rsidR="006C71E6">
        <w:t xml:space="preserve">the </w:t>
      </w:r>
      <w:r w:rsidRPr="00FA203F">
        <w:t xml:space="preserve">activities of relevant international </w:t>
      </w:r>
      <w:r w:rsidR="00F720EF">
        <w:t>entities</w:t>
      </w:r>
      <w:r>
        <w:t xml:space="preserve"> relat</w:t>
      </w:r>
      <w:r w:rsidR="006C71E6">
        <w:t>ing</w:t>
      </w:r>
      <w:r>
        <w:t xml:space="preserve"> to their work on mercury</w:t>
      </w:r>
      <w:r w:rsidRPr="00FA203F">
        <w:t xml:space="preserve"> </w:t>
      </w:r>
      <w:r w:rsidR="005A02E7">
        <w:t>is</w:t>
      </w:r>
      <w:r w:rsidRPr="00FA203F">
        <w:t xml:space="preserve"> set out in document UNEP/MC/COP.3/INF/</w:t>
      </w:r>
      <w:r>
        <w:t>17</w:t>
      </w:r>
      <w:r w:rsidRPr="00FA203F">
        <w:t xml:space="preserve">. </w:t>
      </w:r>
    </w:p>
    <w:p w14:paraId="3D5A69DD" w14:textId="77777777" w:rsidR="005278CE" w:rsidRPr="00FA203F" w:rsidRDefault="005278CE" w:rsidP="005278CE">
      <w:pPr>
        <w:pStyle w:val="CH2"/>
        <w:keepNext w:val="0"/>
        <w:keepLines w:val="0"/>
        <w:spacing w:before="240"/>
        <w:ind w:left="624" w:firstLine="0"/>
      </w:pPr>
      <w:r w:rsidRPr="00FA203F">
        <w:t>Item 7</w:t>
      </w:r>
    </w:p>
    <w:p w14:paraId="509C2238" w14:textId="77777777" w:rsidR="005278CE" w:rsidRPr="00FA203F" w:rsidRDefault="005278CE" w:rsidP="005278CE">
      <w:pPr>
        <w:pStyle w:val="CH2"/>
        <w:keepNext w:val="0"/>
        <w:keepLines w:val="0"/>
        <w:ind w:left="624" w:firstLine="0"/>
      </w:pPr>
      <w:r w:rsidRPr="00FA203F">
        <w:t xml:space="preserve">Programme of work and budget </w:t>
      </w:r>
    </w:p>
    <w:p w14:paraId="10D99D82" w14:textId="52700B84" w:rsidR="005278CE" w:rsidRPr="00FA203F" w:rsidRDefault="005A02E7" w:rsidP="00970339">
      <w:pPr>
        <w:pStyle w:val="Normalnumber"/>
        <w:numPr>
          <w:ilvl w:val="0"/>
          <w:numId w:val="6"/>
        </w:numPr>
        <w:tabs>
          <w:tab w:val="clear" w:pos="567"/>
          <w:tab w:val="num" w:pos="624"/>
        </w:tabs>
      </w:pPr>
      <w:r>
        <w:t>T</w:t>
      </w:r>
      <w:r w:rsidR="005278CE" w:rsidRPr="00FA203F">
        <w:t>he Conference of the Parties in its decision</w:t>
      </w:r>
      <w:r>
        <w:t>s</w:t>
      </w:r>
      <w:r w:rsidR="005278CE" w:rsidRPr="00FA203F">
        <w:t xml:space="preserve"> </w:t>
      </w:r>
      <w:r w:rsidR="005278CE">
        <w:t xml:space="preserve">MC-1/15 and </w:t>
      </w:r>
      <w:r w:rsidR="005278CE" w:rsidRPr="00FA203F">
        <w:t>MC-2/12 requested the Executive Secretary t</w:t>
      </w:r>
      <w:r w:rsidR="00881C7F">
        <w:t>o prepare for its consideration</w:t>
      </w:r>
      <w:r w:rsidR="005278CE" w:rsidRPr="00FA203F">
        <w:t xml:space="preserve"> at its third meeting a budget for the biennium 2020</w:t>
      </w:r>
      <w:r>
        <w:t>–</w:t>
      </w:r>
      <w:r w:rsidR="005278CE" w:rsidRPr="00FA203F">
        <w:t xml:space="preserve">2021, explaining the key principles, assumptions and programmatic strategy on which the budget </w:t>
      </w:r>
      <w:r w:rsidR="00881C7F">
        <w:t>was</w:t>
      </w:r>
      <w:r w:rsidR="005278CE" w:rsidRPr="00FA203F">
        <w:t xml:space="preserve"> based and presenting expenditures for that biennium in a programmatic format and broken down by budget activities, with each activity to be supported by an activity fact sheet. It also requested the Executive Secretary to present two scenarios in preparing the budget and programme of work for the biennium 2020</w:t>
      </w:r>
      <w:r>
        <w:t>–</w:t>
      </w:r>
      <w:r w:rsidR="005278CE" w:rsidRPr="00FA203F">
        <w:t xml:space="preserve">2021, one maintaining the operational budget at the </w:t>
      </w:r>
      <w:r w:rsidR="00881C7F">
        <w:t>2018–</w:t>
      </w:r>
      <w:r w:rsidR="005278CE" w:rsidRPr="00FA203F">
        <w:t xml:space="preserve">2019 level in nominal terms and </w:t>
      </w:r>
      <w:r w:rsidR="00881C7F">
        <w:t>the other</w:t>
      </w:r>
      <w:r w:rsidR="005278CE" w:rsidRPr="00FA203F">
        <w:t xml:space="preserve"> reflecting required changes to the above-mentioned scenario to meet projected needs and costs or savings related thereto.</w:t>
      </w:r>
    </w:p>
    <w:p w14:paraId="077C2B91" w14:textId="086D6B46" w:rsidR="005278CE" w:rsidRPr="00FA203F" w:rsidRDefault="005278CE" w:rsidP="00970339">
      <w:pPr>
        <w:pStyle w:val="Normalnumber"/>
        <w:numPr>
          <w:ilvl w:val="0"/>
          <w:numId w:val="6"/>
        </w:numPr>
        <w:tabs>
          <w:tab w:val="clear" w:pos="567"/>
          <w:tab w:val="num" w:pos="624"/>
        </w:tabs>
      </w:pPr>
      <w:r w:rsidRPr="00FA203F">
        <w:t xml:space="preserve">In response to that request, the secretariat has prepared a note on the proposed programme of work and budget for the biennium 2020–2021 (UNEP/MC/COP.3/20), together with budget activity fact sheets (UNEP/MC/COP.3/INF/9), information on financial matters (UNEP/MC/COP.3/INF/10) and proposed operational budgets for the two funding scenarios (UNEP/MC/COP.3/INF/11). The Conference of the Parties also has before it a report on the </w:t>
      </w:r>
      <w:r w:rsidR="001F7659">
        <w:t xml:space="preserve">main </w:t>
      </w:r>
      <w:r w:rsidRPr="00FA203F">
        <w:t xml:space="preserve">activities of the secretariat </w:t>
      </w:r>
      <w:r w:rsidR="00255B0F">
        <w:t>during</w:t>
      </w:r>
      <w:r w:rsidRPr="00FA203F">
        <w:t xml:space="preserve"> the intersessional period (UNEP/MC/COP.3/19). Other documents pertaining to the work of the secretariat and support to parties include notes by the secretariat on cooperation with WHO and ILO (UNEP/MC/COP.3/18), a report by the secretariat of the Basel, Rotterdam and Stockholm conventions (UNEP/MC/COP.3/INF/</w:t>
      </w:r>
      <w:r>
        <w:t>6</w:t>
      </w:r>
      <w:r w:rsidRPr="00FA203F">
        <w:t>), a report on the activities of relevant international bodies, secretariats and agencies on mercury (UNEP/MC/COP.3/INF/</w:t>
      </w:r>
      <w:r>
        <w:t>17</w:t>
      </w:r>
      <w:r w:rsidRPr="00FA203F">
        <w:t xml:space="preserve">), </w:t>
      </w:r>
      <w:r w:rsidR="001F7659">
        <w:t xml:space="preserve">a </w:t>
      </w:r>
      <w:r w:rsidRPr="00FA203F">
        <w:t>note</w:t>
      </w:r>
      <w:r w:rsidR="001F7659">
        <w:t xml:space="preserve"> by the secretariat</w:t>
      </w:r>
      <w:r w:rsidRPr="00FA203F">
        <w:t xml:space="preserve"> on the activities of the Special Programme to support institutional </w:t>
      </w:r>
      <w:r w:rsidRPr="00B35740">
        <w:t>strengthening at the national level for implementation of the Basel, Rotterdam and Stockholm conventions, the Minamata Convention on Mercury and the Strategic Approach to International Chemicals Management (UNEP/MC/COP.3/INF/</w:t>
      </w:r>
      <w:r w:rsidRPr="003F5120">
        <w:t>5</w:t>
      </w:r>
      <w:r w:rsidRPr="003F2DE3">
        <w:t>), the report of the Executive Director</w:t>
      </w:r>
      <w:r w:rsidRPr="002E7C06">
        <w:t xml:space="preserve"> of UNEP on </w:t>
      </w:r>
      <w:r w:rsidR="00492D97" w:rsidRPr="00F953CB">
        <w:t xml:space="preserve">the work of </w:t>
      </w:r>
      <w:r w:rsidRPr="00895A87">
        <w:t>UNEP in support of the Minamata Convention (UNEP/MC/COP.3/INF/</w:t>
      </w:r>
      <w:r w:rsidRPr="00B35740">
        <w:t>4)</w:t>
      </w:r>
      <w:r w:rsidR="00B35740" w:rsidRPr="00B35740">
        <w:t>,</w:t>
      </w:r>
      <w:r w:rsidRPr="00B35740">
        <w:t xml:space="preserve"> an update on the Strategic Approach (UNEP/MC/COP.3/INF/8)</w:t>
      </w:r>
      <w:r w:rsidR="0005682C" w:rsidRPr="00B35740">
        <w:t xml:space="preserve"> and </w:t>
      </w:r>
      <w:r w:rsidR="00B35740" w:rsidRPr="00924FE9">
        <w:t>a</w:t>
      </w:r>
      <w:r w:rsidR="0005682C" w:rsidRPr="003F5120">
        <w:t xml:space="preserve"> report on activities un</w:t>
      </w:r>
      <w:r w:rsidR="0005682C" w:rsidRPr="003F2DE3">
        <w:t>dertaken within the UNEP Global Mercury Partnership (UNEP/MC/COP.3/INF/7)</w:t>
      </w:r>
      <w:r w:rsidRPr="003F2DE3">
        <w:t>.</w:t>
      </w:r>
    </w:p>
    <w:p w14:paraId="41A01B03" w14:textId="40CF0479" w:rsidR="005278CE" w:rsidRPr="00FA203F" w:rsidRDefault="005278CE" w:rsidP="00970339">
      <w:pPr>
        <w:pStyle w:val="Normalnumber"/>
        <w:numPr>
          <w:ilvl w:val="0"/>
          <w:numId w:val="6"/>
        </w:numPr>
        <w:tabs>
          <w:tab w:val="clear" w:pos="567"/>
          <w:tab w:val="num" w:pos="624"/>
        </w:tabs>
      </w:pPr>
      <w:r w:rsidRPr="00FA203F">
        <w:t xml:space="preserve">The Conference of the Parties may wish to </w:t>
      </w:r>
      <w:r>
        <w:t xml:space="preserve">review the two </w:t>
      </w:r>
      <w:r w:rsidR="001F7659">
        <w:t xml:space="preserve">scenarios for the </w:t>
      </w:r>
      <w:r>
        <w:t xml:space="preserve">programme of work and budget presented by the </w:t>
      </w:r>
      <w:r w:rsidR="00433555">
        <w:t>s</w:t>
      </w:r>
      <w:r>
        <w:t xml:space="preserve">ecretariat and the </w:t>
      </w:r>
      <w:r w:rsidR="00211AAF">
        <w:t xml:space="preserve">other </w:t>
      </w:r>
      <w:r>
        <w:t xml:space="preserve">information provided in that regard, </w:t>
      </w:r>
      <w:r w:rsidR="00433555">
        <w:t xml:space="preserve">and to </w:t>
      </w:r>
      <w:r w:rsidRPr="00FA203F">
        <w:t>discuss</w:t>
      </w:r>
      <w:r>
        <w:t xml:space="preserve">, agree </w:t>
      </w:r>
      <w:r w:rsidR="00433555">
        <w:t xml:space="preserve">on </w:t>
      </w:r>
      <w:r>
        <w:t xml:space="preserve">and adopt a decision on the programme of work and budget for the </w:t>
      </w:r>
      <w:r w:rsidR="00433555">
        <w:t>s</w:t>
      </w:r>
      <w:r>
        <w:t>ecretariat for the biennium 2020</w:t>
      </w:r>
      <w:r w:rsidR="00433555">
        <w:t>–</w:t>
      </w:r>
      <w:r>
        <w:t>2021</w:t>
      </w:r>
      <w:r w:rsidRPr="00FA203F">
        <w:t xml:space="preserve">. </w:t>
      </w:r>
    </w:p>
    <w:p w14:paraId="36392AEA" w14:textId="77777777" w:rsidR="005278CE" w:rsidRPr="00FA203F" w:rsidRDefault="005278CE" w:rsidP="005278CE">
      <w:pPr>
        <w:pStyle w:val="CH2"/>
        <w:spacing w:before="240"/>
        <w:ind w:left="624" w:firstLine="0"/>
        <w:rPr>
          <w:b w:val="0"/>
        </w:rPr>
      </w:pPr>
      <w:r w:rsidRPr="00FA203F">
        <w:lastRenderedPageBreak/>
        <w:t>Item 8</w:t>
      </w:r>
    </w:p>
    <w:p w14:paraId="4A303144" w14:textId="77777777" w:rsidR="005278CE" w:rsidRPr="00FA203F" w:rsidRDefault="005278CE" w:rsidP="005278CE">
      <w:pPr>
        <w:pStyle w:val="CH2"/>
        <w:ind w:left="624" w:firstLine="0"/>
      </w:pPr>
      <w:r w:rsidRPr="00FA203F">
        <w:t>Venue and date of the fourth meeting of the Conference of the Parties</w:t>
      </w:r>
    </w:p>
    <w:p w14:paraId="35DEEAE0" w14:textId="42973D82" w:rsidR="005278CE" w:rsidRPr="00CC5B03" w:rsidRDefault="005278CE" w:rsidP="00970339">
      <w:pPr>
        <w:pStyle w:val="Normalnumber"/>
        <w:numPr>
          <w:ilvl w:val="0"/>
          <w:numId w:val="6"/>
        </w:numPr>
        <w:tabs>
          <w:tab w:val="clear" w:pos="567"/>
          <w:tab w:val="num" w:pos="624"/>
        </w:tabs>
      </w:pPr>
      <w:r w:rsidRPr="00FA203F">
        <w:t xml:space="preserve">In accordance with rule 3 of the rules of </w:t>
      </w:r>
      <w:r w:rsidRPr="00CC5B03">
        <w:t xml:space="preserve">procedure, </w:t>
      </w:r>
      <w:r w:rsidR="00A70415" w:rsidRPr="00B35740">
        <w:t xml:space="preserve">the </w:t>
      </w:r>
      <w:r w:rsidRPr="00B35740">
        <w:t>meetings of the Conference of the Parties are to take place at the seat of the secretariat</w:t>
      </w:r>
      <w:r w:rsidRPr="003F2DE3">
        <w:t xml:space="preserve"> unless the Conference of the Parties decides otherwise or other appropriate arrangements are made by the secretariat in consultation with the parties. Rule 4 of the </w:t>
      </w:r>
      <w:r w:rsidRPr="002E7C06">
        <w:t>rules of procedure provides that</w:t>
      </w:r>
      <w:r w:rsidR="006B0243" w:rsidRPr="00F953CB">
        <w:t>,</w:t>
      </w:r>
      <w:r w:rsidRPr="00895A87">
        <w:t xml:space="preserve"> unless it decides otherwise, the Conference of the Parties is to hold its first three ordinary meetings</w:t>
      </w:r>
      <w:r w:rsidR="006B0243" w:rsidRPr="00895A87">
        <w:t xml:space="preserve"> on an annual basis</w:t>
      </w:r>
      <w:r w:rsidRPr="00895A87">
        <w:t xml:space="preserve"> and thereafter meet every two years. </w:t>
      </w:r>
    </w:p>
    <w:p w14:paraId="43E55FCD" w14:textId="44965778" w:rsidR="005278CE" w:rsidRPr="00C87449" w:rsidRDefault="005278CE" w:rsidP="00970339">
      <w:pPr>
        <w:pStyle w:val="Normalnumber"/>
        <w:numPr>
          <w:ilvl w:val="0"/>
          <w:numId w:val="6"/>
        </w:numPr>
        <w:tabs>
          <w:tab w:val="clear" w:pos="567"/>
          <w:tab w:val="num" w:pos="624"/>
        </w:tabs>
      </w:pPr>
      <w:r w:rsidRPr="00C87449">
        <w:t>At its second meeting</w:t>
      </w:r>
      <w:r w:rsidR="006B0243" w:rsidRPr="00C87449">
        <w:t>,</w:t>
      </w:r>
      <w:r w:rsidRPr="00C87449">
        <w:t xml:space="preserve"> the Conference of the Parties adopted decision MC-2/5 on the venue and date of </w:t>
      </w:r>
      <w:r w:rsidR="0007253F" w:rsidRPr="00C87449">
        <w:t>its</w:t>
      </w:r>
      <w:r w:rsidRPr="00C87449">
        <w:t xml:space="preserve"> third and subsequent meetings</w:t>
      </w:r>
      <w:r w:rsidR="0007253F" w:rsidRPr="00C87449">
        <w:t>, in which it</w:t>
      </w:r>
      <w:r w:rsidRPr="00C87449">
        <w:t xml:space="preserve"> invited parties to submit offers to host </w:t>
      </w:r>
      <w:r w:rsidR="0007253F" w:rsidRPr="00C87449">
        <w:t>its</w:t>
      </w:r>
      <w:r w:rsidRPr="00C87449">
        <w:t xml:space="preserve"> fourth ordinary meeting and to proceed in a </w:t>
      </w:r>
      <w:r w:rsidRPr="00C114CB">
        <w:t>similar</w:t>
      </w:r>
      <w:r w:rsidRPr="00C87449">
        <w:t xml:space="preserve"> manner for subsequent ordinary meetings. </w:t>
      </w:r>
      <w:r w:rsidR="006B0243" w:rsidRPr="00C87449">
        <w:t>In the same</w:t>
      </w:r>
      <w:r w:rsidRPr="00C87449">
        <w:t xml:space="preserve"> decision the Executive Secretary </w:t>
      </w:r>
      <w:r w:rsidR="006B0243" w:rsidRPr="00C87449">
        <w:t xml:space="preserve">was requested </w:t>
      </w:r>
      <w:r w:rsidRPr="00C87449">
        <w:t>to submit, in advance of each ordinary meeting, an assessment of the offers received pursuant to the decision for consideration by the Conference of the Parties.</w:t>
      </w:r>
    </w:p>
    <w:p w14:paraId="51991FCD" w14:textId="625DC43F" w:rsidR="005278CE" w:rsidRPr="00C87449" w:rsidRDefault="005278CE" w:rsidP="00970339">
      <w:pPr>
        <w:pStyle w:val="Normalnumber"/>
        <w:numPr>
          <w:ilvl w:val="0"/>
          <w:numId w:val="6"/>
        </w:numPr>
        <w:tabs>
          <w:tab w:val="clear" w:pos="567"/>
          <w:tab w:val="num" w:pos="624"/>
        </w:tabs>
      </w:pPr>
      <w:r w:rsidRPr="00C87449">
        <w:t xml:space="preserve">By the time </w:t>
      </w:r>
      <w:r w:rsidR="00C16880" w:rsidRPr="00C87449">
        <w:t>the note by the secretariat</w:t>
      </w:r>
      <w:r w:rsidRPr="008F329B">
        <w:t xml:space="preserve"> on the venue and date </w:t>
      </w:r>
      <w:r w:rsidR="00C16880">
        <w:t>of</w:t>
      </w:r>
      <w:r w:rsidRPr="008F329B">
        <w:t xml:space="preserve"> the fourth meeting of the Conference of the Parties</w:t>
      </w:r>
      <w:r w:rsidR="00C16880">
        <w:t xml:space="preserve"> (</w:t>
      </w:r>
      <w:r w:rsidR="00C16880" w:rsidRPr="008F329B">
        <w:t>UNEP/MC/COP.3/22</w:t>
      </w:r>
      <w:r w:rsidR="00C16880">
        <w:t>)</w:t>
      </w:r>
      <w:r w:rsidRPr="008F329B">
        <w:t xml:space="preserve"> </w:t>
      </w:r>
      <w:r w:rsidRPr="00C87449">
        <w:t>was finali</w:t>
      </w:r>
      <w:r w:rsidR="004921AB" w:rsidRPr="00C87449">
        <w:t>z</w:t>
      </w:r>
      <w:r w:rsidRPr="00C87449">
        <w:t xml:space="preserve">ed, </w:t>
      </w:r>
      <w:r w:rsidR="00C16880" w:rsidRPr="00C87449">
        <w:t>just one offer to host the fourth meeting,</w:t>
      </w:r>
      <w:r w:rsidRPr="00C87449">
        <w:t xml:space="preserve"> from the </w:t>
      </w:r>
      <w:r w:rsidR="006B0243" w:rsidRPr="00C87449">
        <w:t>G</w:t>
      </w:r>
      <w:r w:rsidRPr="00C87449">
        <w:t>overnment of Colombia</w:t>
      </w:r>
      <w:r w:rsidR="00C16880" w:rsidRPr="00C87449">
        <w:t>,</w:t>
      </w:r>
      <w:r w:rsidRPr="00C87449">
        <w:t xml:space="preserve"> had been received. Th</w:t>
      </w:r>
      <w:r w:rsidR="00C16880" w:rsidRPr="00C87449">
        <w:t>at</w:t>
      </w:r>
      <w:r w:rsidRPr="00C87449">
        <w:t xml:space="preserve"> offer is</w:t>
      </w:r>
      <w:r w:rsidR="006B0243" w:rsidRPr="00C87449">
        <w:t xml:space="preserve"> </w:t>
      </w:r>
      <w:r w:rsidR="00C16880" w:rsidRPr="00C87449">
        <w:t>contained in the</w:t>
      </w:r>
      <w:r w:rsidR="00A56D74">
        <w:t xml:space="preserve"> </w:t>
      </w:r>
      <w:r w:rsidRPr="00C87449">
        <w:t>annex to th</w:t>
      </w:r>
      <w:r w:rsidR="00C16880" w:rsidRPr="00C87449">
        <w:t>e above-mentioned</w:t>
      </w:r>
      <w:r w:rsidR="006B0243" w:rsidRPr="00C87449">
        <w:t xml:space="preserve"> document</w:t>
      </w:r>
      <w:r w:rsidRPr="00C87449">
        <w:t>. Subsequent</w:t>
      </w:r>
      <w:r w:rsidR="004921AB" w:rsidRPr="00C87449">
        <w:t>ly</w:t>
      </w:r>
      <w:r w:rsidRPr="00C87449">
        <w:t xml:space="preserve">, the </w:t>
      </w:r>
      <w:r w:rsidR="006B0243" w:rsidRPr="00C87449">
        <w:t>G</w:t>
      </w:r>
      <w:r w:rsidRPr="00C87449">
        <w:t xml:space="preserve">overnment </w:t>
      </w:r>
      <w:r w:rsidRPr="003F2DE3">
        <w:t>of</w:t>
      </w:r>
      <w:r w:rsidRPr="00C87449">
        <w:t xml:space="preserve"> Indonesia </w:t>
      </w:r>
      <w:r w:rsidR="00C16880" w:rsidRPr="00C87449">
        <w:t>also offered</w:t>
      </w:r>
      <w:r w:rsidRPr="00C87449">
        <w:t xml:space="preserve"> to host the fourth meeting of </w:t>
      </w:r>
      <w:r w:rsidRPr="00895A87">
        <w:t>the Conference of the Parties</w:t>
      </w:r>
      <w:r w:rsidRPr="00075327">
        <w:t>. Th</w:t>
      </w:r>
      <w:r w:rsidR="00C16880" w:rsidRPr="00075327">
        <w:t>at offer is contained</w:t>
      </w:r>
      <w:r w:rsidRPr="00075327">
        <w:t xml:space="preserve"> in </w:t>
      </w:r>
      <w:r w:rsidR="006B0243" w:rsidRPr="00075327">
        <w:t xml:space="preserve">document </w:t>
      </w:r>
      <w:r w:rsidRPr="00075327">
        <w:t>UNEP/MC/COP.3/22</w:t>
      </w:r>
      <w:r w:rsidR="006B0243" w:rsidRPr="00075327">
        <w:t>/</w:t>
      </w:r>
      <w:r w:rsidRPr="00075327">
        <w:t>Add.1.</w:t>
      </w:r>
      <w:r w:rsidR="004921AB" w:rsidRPr="00075327">
        <w:t xml:space="preserve"> </w:t>
      </w:r>
      <w:r w:rsidRPr="00075327">
        <w:t>Both</w:t>
      </w:r>
      <w:r w:rsidRPr="00C87449">
        <w:t xml:space="preserve"> </w:t>
      </w:r>
      <w:r w:rsidR="006B0243" w:rsidRPr="00C87449">
        <w:t>G</w:t>
      </w:r>
      <w:r w:rsidRPr="00C87449">
        <w:t xml:space="preserve">overnments have also </w:t>
      </w:r>
      <w:r w:rsidR="00B06AEF" w:rsidRPr="00C87449">
        <w:t>submitted supplementary information regarding their offers</w:t>
      </w:r>
      <w:r w:rsidR="00075327" w:rsidRPr="00C87449">
        <w:t>, which is</w:t>
      </w:r>
      <w:r w:rsidR="00B06AEF" w:rsidRPr="00C87449">
        <w:t xml:space="preserve"> presented in documents</w:t>
      </w:r>
      <w:r w:rsidR="008C2E92" w:rsidRPr="00C87449">
        <w:t xml:space="preserve"> UNEP/MC/COP.3/INF/20, UNEP/MC/COP.3/INF/22 and UNEP/MC/COP.3/INF/23. </w:t>
      </w:r>
      <w:r w:rsidR="00B06AEF" w:rsidRPr="00C87449">
        <w:t xml:space="preserve">Both </w:t>
      </w:r>
      <w:r w:rsidR="00075327" w:rsidRPr="00C87449">
        <w:t>Governments</w:t>
      </w:r>
      <w:r w:rsidR="00B06AEF" w:rsidRPr="00C87449">
        <w:t xml:space="preserve"> have </w:t>
      </w:r>
      <w:r w:rsidRPr="00C87449">
        <w:t>communicated their intention to provide</w:t>
      </w:r>
      <w:r w:rsidR="006B0243" w:rsidRPr="00C87449">
        <w:t>, at the third meeting,</w:t>
      </w:r>
      <w:r w:rsidRPr="00C87449">
        <w:t xml:space="preserve"> </w:t>
      </w:r>
      <w:r w:rsidR="00075327" w:rsidRPr="00C87449">
        <w:t>yet more</w:t>
      </w:r>
      <w:r w:rsidRPr="00C87449">
        <w:t xml:space="preserve"> information regarding their </w:t>
      </w:r>
      <w:r w:rsidR="006B0243" w:rsidRPr="00C87449">
        <w:t xml:space="preserve">respective </w:t>
      </w:r>
      <w:r w:rsidRPr="00C87449">
        <w:t>offer</w:t>
      </w:r>
      <w:r w:rsidR="006B0243" w:rsidRPr="00C87449">
        <w:t>s</w:t>
      </w:r>
      <w:r w:rsidRPr="00C87449">
        <w:t xml:space="preserve"> to host the fourth meeting.</w:t>
      </w:r>
    </w:p>
    <w:p w14:paraId="7A65DDA0" w14:textId="77777777" w:rsidR="005278CE" w:rsidRPr="008F329B" w:rsidRDefault="005278CE" w:rsidP="00970339">
      <w:pPr>
        <w:pStyle w:val="Normalnumber"/>
        <w:numPr>
          <w:ilvl w:val="0"/>
          <w:numId w:val="6"/>
        </w:numPr>
        <w:tabs>
          <w:tab w:val="clear" w:pos="567"/>
          <w:tab w:val="num" w:pos="624"/>
        </w:tabs>
      </w:pPr>
      <w:r w:rsidRPr="00075327">
        <w:t>The Conference may wish to consider the offers</w:t>
      </w:r>
      <w:r w:rsidRPr="008F329B">
        <w:t xml:space="preserve"> and decide on the venue and date of its fourth meeting.</w:t>
      </w:r>
    </w:p>
    <w:p w14:paraId="30F44161" w14:textId="77777777" w:rsidR="005278CE" w:rsidRPr="00FA203F" w:rsidRDefault="005278CE" w:rsidP="005278CE">
      <w:pPr>
        <w:pStyle w:val="CH2"/>
        <w:keepNext w:val="0"/>
        <w:keepLines w:val="0"/>
        <w:spacing w:before="240"/>
        <w:ind w:left="624" w:firstLine="0"/>
        <w:rPr>
          <w:bCs/>
        </w:rPr>
      </w:pPr>
      <w:r w:rsidRPr="00FA203F">
        <w:rPr>
          <w:bCs/>
        </w:rPr>
        <w:t>Item 9</w:t>
      </w:r>
    </w:p>
    <w:p w14:paraId="257D02A0" w14:textId="77777777" w:rsidR="005278CE" w:rsidRPr="00FA203F" w:rsidRDefault="005278CE" w:rsidP="005278CE">
      <w:pPr>
        <w:pStyle w:val="CH2"/>
        <w:keepNext w:val="0"/>
        <w:keepLines w:val="0"/>
        <w:ind w:left="624" w:firstLine="0"/>
        <w:rPr>
          <w:b w:val="0"/>
        </w:rPr>
      </w:pPr>
      <w:r w:rsidRPr="00FA203F">
        <w:t>Other matters</w:t>
      </w:r>
    </w:p>
    <w:p w14:paraId="47DA8C8A" w14:textId="635DFDAC" w:rsidR="005278CE" w:rsidRPr="00FA203F" w:rsidRDefault="005278CE" w:rsidP="00970339">
      <w:pPr>
        <w:pStyle w:val="Normalnumber"/>
        <w:numPr>
          <w:ilvl w:val="0"/>
          <w:numId w:val="6"/>
        </w:numPr>
        <w:tabs>
          <w:tab w:val="clear" w:pos="567"/>
          <w:tab w:val="num" w:pos="624"/>
        </w:tabs>
      </w:pPr>
      <w:r w:rsidRPr="00FA203F">
        <w:t>The Conference of the Parties may wish to consider other matters raised during the meeting.</w:t>
      </w:r>
      <w:r w:rsidR="008C2E92">
        <w:t xml:space="preserve"> Among other things, it may wi</w:t>
      </w:r>
      <w:r w:rsidR="005804CF">
        <w:t>s</w:t>
      </w:r>
      <w:r w:rsidR="008C2E92">
        <w:t xml:space="preserve">h to </w:t>
      </w:r>
      <w:r w:rsidR="005804CF">
        <w:t>invite the secretariat to describe action taken regarding the obligation</w:t>
      </w:r>
      <w:r w:rsidR="00F019DE">
        <w:t xml:space="preserve"> of the </w:t>
      </w:r>
      <w:r w:rsidR="00BA77B1">
        <w:t>p</w:t>
      </w:r>
      <w:r w:rsidR="00F019DE">
        <w:t>arties</w:t>
      </w:r>
      <w:r w:rsidR="005804CF">
        <w:t xml:space="preserve"> under article 21 and in accordance with decision MC-1/8 to</w:t>
      </w:r>
      <w:r w:rsidR="00944BB0">
        <w:t xml:space="preserve"> report on the measures they have taken to implement the provisions of the Convention</w:t>
      </w:r>
      <w:r w:rsidR="00010FCD">
        <w:t>,</w:t>
      </w:r>
      <w:r w:rsidR="00944BB0">
        <w:t xml:space="preserve"> on the effectiveness of such measures and </w:t>
      </w:r>
      <w:r w:rsidR="00010FCD">
        <w:t>on</w:t>
      </w:r>
      <w:r w:rsidR="00944BB0">
        <w:t xml:space="preserve"> possible challenges in meeting the objectives of the Convention</w:t>
      </w:r>
      <w:r w:rsidR="005804CF">
        <w:t xml:space="preserve">, </w:t>
      </w:r>
      <w:r w:rsidR="003B23B0">
        <w:t xml:space="preserve">including </w:t>
      </w:r>
      <w:r w:rsidR="005804CF">
        <w:t xml:space="preserve">the </w:t>
      </w:r>
      <w:r w:rsidR="003B23B0">
        <w:t xml:space="preserve">development of </w:t>
      </w:r>
      <w:r w:rsidR="00010FCD">
        <w:t xml:space="preserve">a </w:t>
      </w:r>
      <w:r w:rsidR="005804CF">
        <w:t>reporting system</w:t>
      </w:r>
      <w:r w:rsidR="003B23B0">
        <w:t>. It may also wish to</w:t>
      </w:r>
      <w:r w:rsidR="005804CF">
        <w:t xml:space="preserve"> </w:t>
      </w:r>
      <w:r w:rsidR="008C2E92">
        <w:t xml:space="preserve">consider guidance to the secretariat regarding its support to </w:t>
      </w:r>
      <w:r w:rsidR="00BA77B1">
        <w:t>p</w:t>
      </w:r>
      <w:r w:rsidR="008C2E92">
        <w:t>arties on reporting</w:t>
      </w:r>
      <w:r w:rsidR="003B23B0">
        <w:t>.</w:t>
      </w:r>
    </w:p>
    <w:p w14:paraId="264E70DD" w14:textId="77777777" w:rsidR="005278CE" w:rsidRPr="00FA203F" w:rsidRDefault="005278CE" w:rsidP="005278CE">
      <w:pPr>
        <w:pStyle w:val="CH2"/>
        <w:keepNext w:val="0"/>
        <w:keepLines w:val="0"/>
        <w:spacing w:before="240"/>
        <w:ind w:left="624" w:firstLine="0"/>
        <w:rPr>
          <w:b w:val="0"/>
        </w:rPr>
      </w:pPr>
      <w:r w:rsidRPr="00FA203F">
        <w:t>Item 10</w:t>
      </w:r>
    </w:p>
    <w:p w14:paraId="2A4C82E3" w14:textId="77777777" w:rsidR="005278CE" w:rsidRPr="00FA203F" w:rsidRDefault="005278CE" w:rsidP="005278CE">
      <w:pPr>
        <w:pStyle w:val="CH2"/>
        <w:keepNext w:val="0"/>
        <w:keepLines w:val="0"/>
        <w:ind w:left="624" w:firstLine="0"/>
        <w:rPr>
          <w:b w:val="0"/>
        </w:rPr>
      </w:pPr>
      <w:r w:rsidRPr="00FA203F">
        <w:t>Adoption of the report</w:t>
      </w:r>
    </w:p>
    <w:p w14:paraId="54460592" w14:textId="6C60136D" w:rsidR="005278CE" w:rsidRPr="00FA203F" w:rsidRDefault="005278CE" w:rsidP="00970339">
      <w:pPr>
        <w:pStyle w:val="Normalnumber"/>
        <w:numPr>
          <w:ilvl w:val="0"/>
          <w:numId w:val="6"/>
        </w:numPr>
        <w:tabs>
          <w:tab w:val="clear" w:pos="567"/>
          <w:tab w:val="num" w:pos="624"/>
        </w:tabs>
      </w:pPr>
      <w:r w:rsidRPr="00FA203F">
        <w:t>The Conference of the Parties will be invited to consider and adopt the report of its third meeting, prepared by the rapporteur</w:t>
      </w:r>
      <w:r w:rsidR="00BA77B1">
        <w:t xml:space="preserve"> with the support of the secretariat</w:t>
      </w:r>
      <w:r w:rsidRPr="00FA203F">
        <w:t>, at a plenary meeting on Friday, 29 November, with any amendments that may be necessary. Consistent with standard United Nations practice, the meeting may wish to agree that the section</w:t>
      </w:r>
      <w:r w:rsidR="00695502">
        <w:t>s</w:t>
      </w:r>
      <w:r w:rsidRPr="00FA203F">
        <w:t xml:space="preserve"> of the report pertaining to the plenary meetings that take place on the last day of the meeting will be prepared by the rapporteur, with the support of the secretariat, and incorporated into the report of the meeting </w:t>
      </w:r>
      <w:r w:rsidR="00BA77B1">
        <w:t xml:space="preserve">after the closure of the meeting </w:t>
      </w:r>
      <w:r w:rsidRPr="00FA203F">
        <w:t>under the authority of the President of the Bureau. The final report of the meeting will be circulated after the closure of the meeting.</w:t>
      </w:r>
    </w:p>
    <w:p w14:paraId="1D509A57" w14:textId="77777777" w:rsidR="005278CE" w:rsidRPr="00FA203F" w:rsidRDefault="005278CE" w:rsidP="005278CE">
      <w:pPr>
        <w:pStyle w:val="CH2"/>
        <w:keepNext w:val="0"/>
        <w:keepLines w:val="0"/>
        <w:spacing w:before="240"/>
        <w:ind w:left="624" w:firstLine="0"/>
        <w:rPr>
          <w:b w:val="0"/>
        </w:rPr>
      </w:pPr>
      <w:r w:rsidRPr="00FA203F">
        <w:t>Item 11</w:t>
      </w:r>
    </w:p>
    <w:p w14:paraId="383DCF73" w14:textId="77777777" w:rsidR="005278CE" w:rsidRPr="00FA203F" w:rsidRDefault="005278CE" w:rsidP="005278CE">
      <w:pPr>
        <w:pStyle w:val="CH2"/>
        <w:keepNext w:val="0"/>
        <w:keepLines w:val="0"/>
        <w:ind w:left="624" w:firstLine="0"/>
        <w:rPr>
          <w:b w:val="0"/>
        </w:rPr>
      </w:pPr>
      <w:r w:rsidRPr="00FA203F">
        <w:t>Closure of the meeting</w:t>
      </w:r>
    </w:p>
    <w:p w14:paraId="364C526F" w14:textId="77777777" w:rsidR="005278CE" w:rsidRDefault="005278CE" w:rsidP="00970339">
      <w:pPr>
        <w:pStyle w:val="Normalnumber"/>
        <w:numPr>
          <w:ilvl w:val="0"/>
          <w:numId w:val="6"/>
        </w:numPr>
        <w:tabs>
          <w:tab w:val="clear" w:pos="567"/>
          <w:tab w:val="num" w:pos="624"/>
        </w:tabs>
      </w:pPr>
      <w:r w:rsidRPr="00FA203F">
        <w:t>It is expected that the third meeting of the Conference of the Parties will conclude its work by 6 p.m. on Friday, 29 November 2019.</w:t>
      </w:r>
    </w:p>
    <w:p w14:paraId="29033621" w14:textId="77777777" w:rsidR="009578DD" w:rsidRPr="00AB3B28" w:rsidRDefault="009578DD" w:rsidP="009578DD">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AB3B28" w14:paraId="50331B63" w14:textId="77777777" w:rsidTr="00990918">
        <w:tc>
          <w:tcPr>
            <w:tcW w:w="1942" w:type="dxa"/>
            <w:shd w:val="clear" w:color="auto" w:fill="auto"/>
          </w:tcPr>
          <w:p w14:paraId="7B40669A" w14:textId="77777777" w:rsidR="00E976AB" w:rsidRPr="00AB3B28" w:rsidRDefault="00E976AB" w:rsidP="00924FE9">
            <w:pPr>
              <w:pStyle w:val="Normal-pool"/>
              <w:spacing w:before="40"/>
            </w:pPr>
          </w:p>
        </w:tc>
        <w:tc>
          <w:tcPr>
            <w:tcW w:w="1942" w:type="dxa"/>
            <w:shd w:val="clear" w:color="auto" w:fill="auto"/>
          </w:tcPr>
          <w:p w14:paraId="70AD213F" w14:textId="77777777" w:rsidR="00E976AB" w:rsidRPr="00AB3B28" w:rsidRDefault="00E976AB" w:rsidP="00924FE9">
            <w:pPr>
              <w:pStyle w:val="Normal-pool"/>
              <w:spacing w:before="40"/>
            </w:pPr>
          </w:p>
        </w:tc>
        <w:tc>
          <w:tcPr>
            <w:tcW w:w="1942" w:type="dxa"/>
            <w:tcBorders>
              <w:bottom w:val="single" w:sz="4" w:space="0" w:color="auto"/>
            </w:tcBorders>
            <w:shd w:val="clear" w:color="auto" w:fill="auto"/>
          </w:tcPr>
          <w:p w14:paraId="3CE15F1B" w14:textId="77777777" w:rsidR="00E976AB" w:rsidRPr="00AB3B28" w:rsidRDefault="00E976AB" w:rsidP="00924FE9">
            <w:pPr>
              <w:pStyle w:val="Normal-pool"/>
              <w:spacing w:before="40"/>
            </w:pPr>
          </w:p>
        </w:tc>
        <w:tc>
          <w:tcPr>
            <w:tcW w:w="1943" w:type="dxa"/>
            <w:shd w:val="clear" w:color="auto" w:fill="auto"/>
          </w:tcPr>
          <w:p w14:paraId="2D0A53F8" w14:textId="77777777" w:rsidR="00E976AB" w:rsidRPr="00AB3B28" w:rsidRDefault="00E976AB" w:rsidP="00924FE9">
            <w:pPr>
              <w:pStyle w:val="Normal-pool"/>
              <w:spacing w:before="40"/>
            </w:pPr>
          </w:p>
        </w:tc>
        <w:tc>
          <w:tcPr>
            <w:tcW w:w="1943" w:type="dxa"/>
            <w:shd w:val="clear" w:color="auto" w:fill="auto"/>
          </w:tcPr>
          <w:p w14:paraId="00441DAD" w14:textId="77777777" w:rsidR="00E976AB" w:rsidRPr="00AB3B28" w:rsidRDefault="00E976AB" w:rsidP="00924FE9">
            <w:pPr>
              <w:pStyle w:val="Normal-pool"/>
              <w:spacing w:before="40"/>
            </w:pPr>
          </w:p>
        </w:tc>
      </w:tr>
    </w:tbl>
    <w:p w14:paraId="53AE7EE1" w14:textId="77777777" w:rsidR="00032E4E" w:rsidRPr="00924FE9" w:rsidRDefault="00032E4E" w:rsidP="00D013F5">
      <w:pPr>
        <w:pStyle w:val="Normal-pool"/>
        <w:rPr>
          <w:sz w:val="16"/>
          <w:szCs w:val="16"/>
        </w:rPr>
      </w:pPr>
    </w:p>
    <w:sectPr w:rsidR="00032E4E" w:rsidRPr="00924FE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A27C9" w14:textId="77777777" w:rsidR="002C1483" w:rsidRDefault="002C1483">
      <w:r>
        <w:separator/>
      </w:r>
    </w:p>
  </w:endnote>
  <w:endnote w:type="continuationSeparator" w:id="0">
    <w:p w14:paraId="26C1EC4F" w14:textId="77777777" w:rsidR="002C1483" w:rsidRDefault="002C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36507" w14:textId="594B97A5" w:rsidR="00C87449" w:rsidRPr="002B7DA5" w:rsidRDefault="00C87449" w:rsidP="001138CB">
    <w:pPr>
      <w:pStyle w:val="Footer-pool"/>
    </w:pPr>
    <w:r w:rsidRPr="002B7DA5">
      <w:rPr>
        <w:rStyle w:val="PageNumber"/>
        <w:b/>
      </w:rPr>
      <w:fldChar w:fldCharType="begin"/>
    </w:r>
    <w:r w:rsidRPr="002B7DA5">
      <w:rPr>
        <w:rStyle w:val="PageNumber"/>
        <w:b/>
      </w:rPr>
      <w:instrText xml:space="preserve"> PAGE </w:instrText>
    </w:r>
    <w:r w:rsidRPr="002B7DA5">
      <w:rPr>
        <w:rStyle w:val="PageNumber"/>
        <w:b/>
      </w:rPr>
      <w:fldChar w:fldCharType="separate"/>
    </w:r>
    <w:r w:rsidR="001D5636">
      <w:rPr>
        <w:rStyle w:val="PageNumber"/>
        <w:b/>
        <w:noProof/>
      </w:rPr>
      <w:t>8</w:t>
    </w:r>
    <w:r w:rsidRPr="002B7DA5">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FABE" w14:textId="79331C8F" w:rsidR="00C87449" w:rsidRDefault="00C8744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D5636">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AD6EC" w14:textId="261BAE99" w:rsidR="00C87449" w:rsidRDefault="00C87449" w:rsidP="00B46D18">
    <w:pPr>
      <w:pStyle w:val="Normal-pool"/>
    </w:pPr>
    <w:r>
      <w:t>K1903747</w:t>
    </w:r>
    <w:r>
      <w:tab/>
    </w:r>
    <w:r w:rsidR="009A7F8C">
      <w:t>15</w:t>
    </w:r>
    <w: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30573" w14:textId="77777777" w:rsidR="002C1483" w:rsidRDefault="002C1483" w:rsidP="00D92DE0">
      <w:pPr>
        <w:ind w:left="624"/>
      </w:pPr>
      <w:r>
        <w:separator/>
      </w:r>
    </w:p>
  </w:footnote>
  <w:footnote w:type="continuationSeparator" w:id="0">
    <w:p w14:paraId="32D4E49C" w14:textId="77777777" w:rsidR="002C1483" w:rsidRDefault="002C1483">
      <w:r>
        <w:continuationSeparator/>
      </w:r>
    </w:p>
  </w:footnote>
  <w:footnote w:id="1">
    <w:p w14:paraId="183818B5" w14:textId="77777777" w:rsidR="00C87449" w:rsidRPr="004F122C" w:rsidRDefault="00C87449" w:rsidP="005278CE">
      <w:pPr>
        <w:tabs>
          <w:tab w:val="clear" w:pos="1247"/>
          <w:tab w:val="clear" w:pos="1814"/>
          <w:tab w:val="clear" w:pos="2381"/>
          <w:tab w:val="clear" w:pos="2948"/>
          <w:tab w:val="clear" w:pos="3515"/>
          <w:tab w:val="left" w:pos="624"/>
        </w:tabs>
        <w:spacing w:before="20" w:after="40"/>
        <w:ind w:left="1247"/>
        <w:rPr>
          <w:sz w:val="18"/>
          <w:szCs w:val="18"/>
          <w:lang w:val="en-US"/>
        </w:rPr>
      </w:pPr>
      <w:r w:rsidRPr="004F122C">
        <w:rPr>
          <w:sz w:val="18"/>
          <w:szCs w:val="18"/>
          <w:lang w:val="en-US"/>
        </w:rPr>
        <w:t>* UNEP/MC/COP.</w:t>
      </w:r>
      <w:r>
        <w:rPr>
          <w:sz w:val="18"/>
          <w:szCs w:val="18"/>
          <w:lang w:val="en-US"/>
        </w:rPr>
        <w:t>3</w:t>
      </w:r>
      <w:r w:rsidRPr="004F122C">
        <w:rPr>
          <w:sz w:val="18"/>
          <w:szCs w:val="18"/>
          <w:lang w:val="en-US"/>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CAF0" w14:textId="17AE9F6C" w:rsidR="00C87449" w:rsidRPr="00CA5CA9" w:rsidRDefault="00C87449" w:rsidP="009578DD">
    <w:pPr>
      <w:pStyle w:val="Header-pool"/>
    </w:pPr>
    <w:r w:rsidRPr="00CA5CA9">
      <w:rPr>
        <w:bCs/>
      </w:rPr>
      <w:t>UNEP</w:t>
    </w:r>
    <w:r w:rsidRPr="00CA5CA9">
      <w:t>/</w:t>
    </w:r>
    <w:r>
      <w:t>MC</w:t>
    </w:r>
    <w:r w:rsidRPr="00CA5CA9">
      <w:t>/</w:t>
    </w:r>
    <w:r>
      <w:t>COP.3</w:t>
    </w:r>
    <w:r w:rsidRPr="009578DD">
      <w:t>/</w:t>
    </w:r>
    <w: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EE01" w14:textId="0109D6C0" w:rsidR="00C87449" w:rsidRPr="00CA5CA9" w:rsidRDefault="00C87449" w:rsidP="00F7137B">
    <w:pPr>
      <w:pStyle w:val="Header"/>
      <w:jc w:val="right"/>
      <w:rPr>
        <w:szCs w:val="18"/>
      </w:rPr>
    </w:pPr>
    <w:r w:rsidRPr="00CA5CA9">
      <w:rPr>
        <w:bCs/>
      </w:rPr>
      <w:t>UNEP</w:t>
    </w:r>
    <w:r w:rsidRPr="00CA5CA9">
      <w:t>/</w:t>
    </w:r>
    <w:r>
      <w:t>MC</w:t>
    </w:r>
    <w:r w:rsidRPr="00CA5CA9">
      <w:t>/</w:t>
    </w:r>
    <w:r>
      <w:t>COP.3</w:t>
    </w:r>
    <w:r w:rsidRPr="009578DD">
      <w:t>/</w:t>
    </w:r>
    <w:r>
      <w:t>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26E95" w14:textId="30FD0952" w:rsidR="00C87449" w:rsidRDefault="00C87449"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num>
  <w:num w:numId="5">
    <w:abstractNumId w:val="2"/>
    <w:lvlOverride w:ilvl="0">
      <w:lvl w:ilvl="0">
        <w:start w:val="1"/>
        <w:numFmt w:val="decimal"/>
        <w:pStyle w:val="Normalnumber"/>
        <w:lvlText w:val="%1."/>
        <w:lvlJc w:val="left"/>
        <w:pPr>
          <w:tabs>
            <w:tab w:val="num" w:pos="567"/>
          </w:tabs>
          <w:ind w:left="1247" w:firstLine="0"/>
        </w:pPr>
        <w:rPr>
          <w:rFonts w:hint="default"/>
          <w:b w:val="0"/>
          <w:bCs/>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lvlOverride w:ilvl="0">
      <w:lvl w:ilvl="0">
        <w:start w:val="1"/>
        <w:numFmt w:val="decimal"/>
        <w:pStyle w:val="Normalnumber"/>
        <w:lvlText w:val="%1."/>
        <w:lvlJc w:val="left"/>
        <w:pPr>
          <w:tabs>
            <w:tab w:val="num" w:pos="567"/>
          </w:tabs>
          <w:ind w:left="1247" w:firstLine="0"/>
        </w:pPr>
        <w:rPr>
          <w:rFonts w:hint="default"/>
          <w:b w:val="0"/>
          <w:color w:val="auto"/>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5A"/>
    <w:rsid w:val="000024A3"/>
    <w:rsid w:val="0000314F"/>
    <w:rsid w:val="000057BB"/>
    <w:rsid w:val="000077AD"/>
    <w:rsid w:val="00010FCD"/>
    <w:rsid w:val="00011A16"/>
    <w:rsid w:val="000149E6"/>
    <w:rsid w:val="00023DA9"/>
    <w:rsid w:val="000247B0"/>
    <w:rsid w:val="00026997"/>
    <w:rsid w:val="00026A08"/>
    <w:rsid w:val="00030067"/>
    <w:rsid w:val="00032E4E"/>
    <w:rsid w:val="00033E0B"/>
    <w:rsid w:val="00035EDE"/>
    <w:rsid w:val="00040F83"/>
    <w:rsid w:val="00044581"/>
    <w:rsid w:val="000509B4"/>
    <w:rsid w:val="0005682C"/>
    <w:rsid w:val="0006035B"/>
    <w:rsid w:val="0006096F"/>
    <w:rsid w:val="00061084"/>
    <w:rsid w:val="000649C5"/>
    <w:rsid w:val="0006691C"/>
    <w:rsid w:val="00070CA7"/>
    <w:rsid w:val="00071886"/>
    <w:rsid w:val="00071C36"/>
    <w:rsid w:val="0007253F"/>
    <w:rsid w:val="000742BC"/>
    <w:rsid w:val="00074779"/>
    <w:rsid w:val="00075327"/>
    <w:rsid w:val="00076CC6"/>
    <w:rsid w:val="00082A0C"/>
    <w:rsid w:val="00083504"/>
    <w:rsid w:val="000927EA"/>
    <w:rsid w:val="0009640C"/>
    <w:rsid w:val="000A7C0C"/>
    <w:rsid w:val="000A7E8F"/>
    <w:rsid w:val="000B1B45"/>
    <w:rsid w:val="000B22A2"/>
    <w:rsid w:val="000B541B"/>
    <w:rsid w:val="000B73F9"/>
    <w:rsid w:val="000C2A52"/>
    <w:rsid w:val="000C2A88"/>
    <w:rsid w:val="000C4619"/>
    <w:rsid w:val="000D33C0"/>
    <w:rsid w:val="000D4CF6"/>
    <w:rsid w:val="000D5566"/>
    <w:rsid w:val="000D6941"/>
    <w:rsid w:val="000F4829"/>
    <w:rsid w:val="000F6B21"/>
    <w:rsid w:val="00100784"/>
    <w:rsid w:val="00102EFB"/>
    <w:rsid w:val="001114E2"/>
    <w:rsid w:val="001138CB"/>
    <w:rsid w:val="001141F7"/>
    <w:rsid w:val="001202E3"/>
    <w:rsid w:val="00123699"/>
    <w:rsid w:val="001241FB"/>
    <w:rsid w:val="001277F7"/>
    <w:rsid w:val="0013059D"/>
    <w:rsid w:val="00136187"/>
    <w:rsid w:val="00137259"/>
    <w:rsid w:val="00141A55"/>
    <w:rsid w:val="001422C8"/>
    <w:rsid w:val="0014293F"/>
    <w:rsid w:val="0014397D"/>
    <w:rsid w:val="001446A3"/>
    <w:rsid w:val="00152B6B"/>
    <w:rsid w:val="00155395"/>
    <w:rsid w:val="00155A2F"/>
    <w:rsid w:val="00156B6B"/>
    <w:rsid w:val="00160D74"/>
    <w:rsid w:val="001646EA"/>
    <w:rsid w:val="00167D02"/>
    <w:rsid w:val="00167D7E"/>
    <w:rsid w:val="001759D8"/>
    <w:rsid w:val="00176A08"/>
    <w:rsid w:val="00177D7F"/>
    <w:rsid w:val="00180C3F"/>
    <w:rsid w:val="00181EC8"/>
    <w:rsid w:val="00184349"/>
    <w:rsid w:val="001912BC"/>
    <w:rsid w:val="00195F33"/>
    <w:rsid w:val="001A0EE8"/>
    <w:rsid w:val="001A47E5"/>
    <w:rsid w:val="001B1617"/>
    <w:rsid w:val="001B504B"/>
    <w:rsid w:val="001B6F98"/>
    <w:rsid w:val="001C191A"/>
    <w:rsid w:val="001C24D6"/>
    <w:rsid w:val="001D3874"/>
    <w:rsid w:val="001D5636"/>
    <w:rsid w:val="001D7E75"/>
    <w:rsid w:val="001E0D73"/>
    <w:rsid w:val="001E1A3A"/>
    <w:rsid w:val="001E45BD"/>
    <w:rsid w:val="001E56D2"/>
    <w:rsid w:val="001E7D56"/>
    <w:rsid w:val="001F5186"/>
    <w:rsid w:val="001F75DE"/>
    <w:rsid w:val="001F7659"/>
    <w:rsid w:val="00200D58"/>
    <w:rsid w:val="002011C1"/>
    <w:rsid w:val="002013BE"/>
    <w:rsid w:val="00201EDC"/>
    <w:rsid w:val="002063A4"/>
    <w:rsid w:val="0021145B"/>
    <w:rsid w:val="00211AAF"/>
    <w:rsid w:val="002141A9"/>
    <w:rsid w:val="00220C23"/>
    <w:rsid w:val="0022446D"/>
    <w:rsid w:val="002247F6"/>
    <w:rsid w:val="00225E21"/>
    <w:rsid w:val="00225E44"/>
    <w:rsid w:val="00234E78"/>
    <w:rsid w:val="00243D36"/>
    <w:rsid w:val="00246151"/>
    <w:rsid w:val="00247707"/>
    <w:rsid w:val="00252456"/>
    <w:rsid w:val="00253675"/>
    <w:rsid w:val="00255B0F"/>
    <w:rsid w:val="0025649F"/>
    <w:rsid w:val="0026018E"/>
    <w:rsid w:val="002605EF"/>
    <w:rsid w:val="00264492"/>
    <w:rsid w:val="00286740"/>
    <w:rsid w:val="002878C8"/>
    <w:rsid w:val="002905F1"/>
    <w:rsid w:val="00291EAE"/>
    <w:rsid w:val="002929D8"/>
    <w:rsid w:val="002A237D"/>
    <w:rsid w:val="002A3808"/>
    <w:rsid w:val="002A4C53"/>
    <w:rsid w:val="002B0672"/>
    <w:rsid w:val="002B247F"/>
    <w:rsid w:val="002B50D4"/>
    <w:rsid w:val="002B58BF"/>
    <w:rsid w:val="002B7DA5"/>
    <w:rsid w:val="002C145D"/>
    <w:rsid w:val="002C1483"/>
    <w:rsid w:val="002C2C3E"/>
    <w:rsid w:val="002C533E"/>
    <w:rsid w:val="002C5882"/>
    <w:rsid w:val="002D027F"/>
    <w:rsid w:val="002D3E15"/>
    <w:rsid w:val="002D7A85"/>
    <w:rsid w:val="002D7B60"/>
    <w:rsid w:val="002E591D"/>
    <w:rsid w:val="002E7C06"/>
    <w:rsid w:val="002F4761"/>
    <w:rsid w:val="002F5C79"/>
    <w:rsid w:val="002F68EE"/>
    <w:rsid w:val="003019E2"/>
    <w:rsid w:val="00310BEB"/>
    <w:rsid w:val="0031413F"/>
    <w:rsid w:val="00314854"/>
    <w:rsid w:val="003148BB"/>
    <w:rsid w:val="00317976"/>
    <w:rsid w:val="00320F2F"/>
    <w:rsid w:val="00322842"/>
    <w:rsid w:val="0032457E"/>
    <w:rsid w:val="00325D38"/>
    <w:rsid w:val="003342AD"/>
    <w:rsid w:val="00345474"/>
    <w:rsid w:val="0035277E"/>
    <w:rsid w:val="00355EA9"/>
    <w:rsid w:val="0035783E"/>
    <w:rsid w:val="003578DE"/>
    <w:rsid w:val="00361688"/>
    <w:rsid w:val="00380921"/>
    <w:rsid w:val="003877D5"/>
    <w:rsid w:val="00390E88"/>
    <w:rsid w:val="003929B8"/>
    <w:rsid w:val="00393432"/>
    <w:rsid w:val="003939B4"/>
    <w:rsid w:val="00396257"/>
    <w:rsid w:val="00397EB8"/>
    <w:rsid w:val="003A0C4A"/>
    <w:rsid w:val="003A4FD0"/>
    <w:rsid w:val="003A69D1"/>
    <w:rsid w:val="003A7705"/>
    <w:rsid w:val="003A77F1"/>
    <w:rsid w:val="003B0E55"/>
    <w:rsid w:val="003B1545"/>
    <w:rsid w:val="003B23B0"/>
    <w:rsid w:val="003C3219"/>
    <w:rsid w:val="003C409D"/>
    <w:rsid w:val="003C4544"/>
    <w:rsid w:val="003C5583"/>
    <w:rsid w:val="003C5BA6"/>
    <w:rsid w:val="003C74CF"/>
    <w:rsid w:val="003D20DB"/>
    <w:rsid w:val="003D3752"/>
    <w:rsid w:val="003E35DA"/>
    <w:rsid w:val="003E455D"/>
    <w:rsid w:val="003F0E85"/>
    <w:rsid w:val="003F2DE3"/>
    <w:rsid w:val="003F5120"/>
    <w:rsid w:val="00407ADF"/>
    <w:rsid w:val="00410C55"/>
    <w:rsid w:val="00416854"/>
    <w:rsid w:val="00417725"/>
    <w:rsid w:val="0042266F"/>
    <w:rsid w:val="00433555"/>
    <w:rsid w:val="00434321"/>
    <w:rsid w:val="00437F26"/>
    <w:rsid w:val="004429BA"/>
    <w:rsid w:val="00444097"/>
    <w:rsid w:val="00445487"/>
    <w:rsid w:val="00447E0D"/>
    <w:rsid w:val="00453EA8"/>
    <w:rsid w:val="00454769"/>
    <w:rsid w:val="00466991"/>
    <w:rsid w:val="0047064C"/>
    <w:rsid w:val="004822B7"/>
    <w:rsid w:val="00487BCD"/>
    <w:rsid w:val="00491A41"/>
    <w:rsid w:val="004921AB"/>
    <w:rsid w:val="00492D97"/>
    <w:rsid w:val="0049469E"/>
    <w:rsid w:val="004952B1"/>
    <w:rsid w:val="004A2217"/>
    <w:rsid w:val="004A24F9"/>
    <w:rsid w:val="004A42E1"/>
    <w:rsid w:val="004B162C"/>
    <w:rsid w:val="004B2ABE"/>
    <w:rsid w:val="004C008C"/>
    <w:rsid w:val="004C3DBE"/>
    <w:rsid w:val="004C5C96"/>
    <w:rsid w:val="004D06A4"/>
    <w:rsid w:val="004D7C8D"/>
    <w:rsid w:val="004E6B1B"/>
    <w:rsid w:val="004F1A81"/>
    <w:rsid w:val="004F5D88"/>
    <w:rsid w:val="00501354"/>
    <w:rsid w:val="005044CD"/>
    <w:rsid w:val="00504EFF"/>
    <w:rsid w:val="005050D2"/>
    <w:rsid w:val="005218D9"/>
    <w:rsid w:val="005278CE"/>
    <w:rsid w:val="00536186"/>
    <w:rsid w:val="00544CBB"/>
    <w:rsid w:val="00551B65"/>
    <w:rsid w:val="0055283B"/>
    <w:rsid w:val="00556704"/>
    <w:rsid w:val="005656D7"/>
    <w:rsid w:val="005667F7"/>
    <w:rsid w:val="00567F81"/>
    <w:rsid w:val="0057315F"/>
    <w:rsid w:val="00576104"/>
    <w:rsid w:val="005804CF"/>
    <w:rsid w:val="00586418"/>
    <w:rsid w:val="00592B21"/>
    <w:rsid w:val="005A02E7"/>
    <w:rsid w:val="005A3D39"/>
    <w:rsid w:val="005B2DF4"/>
    <w:rsid w:val="005B44BF"/>
    <w:rsid w:val="005C51F1"/>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1B5C"/>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5502"/>
    <w:rsid w:val="00696C1C"/>
    <w:rsid w:val="006A76F2"/>
    <w:rsid w:val="006B0243"/>
    <w:rsid w:val="006B7D29"/>
    <w:rsid w:val="006C71E6"/>
    <w:rsid w:val="006D19D4"/>
    <w:rsid w:val="006D5644"/>
    <w:rsid w:val="006D7EFB"/>
    <w:rsid w:val="006E6672"/>
    <w:rsid w:val="006E6722"/>
    <w:rsid w:val="006F7AFF"/>
    <w:rsid w:val="007027B9"/>
    <w:rsid w:val="007066B5"/>
    <w:rsid w:val="00707FC7"/>
    <w:rsid w:val="007145DA"/>
    <w:rsid w:val="00715E88"/>
    <w:rsid w:val="00716D8B"/>
    <w:rsid w:val="00731576"/>
    <w:rsid w:val="00734CAA"/>
    <w:rsid w:val="00735AC8"/>
    <w:rsid w:val="00740EE2"/>
    <w:rsid w:val="00742680"/>
    <w:rsid w:val="00745204"/>
    <w:rsid w:val="0075533C"/>
    <w:rsid w:val="00755A18"/>
    <w:rsid w:val="00757581"/>
    <w:rsid w:val="00757CE4"/>
    <w:rsid w:val="007602F5"/>
    <w:rsid w:val="00760D36"/>
    <w:rsid w:val="007611A0"/>
    <w:rsid w:val="00772574"/>
    <w:rsid w:val="00773E54"/>
    <w:rsid w:val="00784AA8"/>
    <w:rsid w:val="00787688"/>
    <w:rsid w:val="00791FA8"/>
    <w:rsid w:val="007935E6"/>
    <w:rsid w:val="00796D3F"/>
    <w:rsid w:val="007A1683"/>
    <w:rsid w:val="007A5C12"/>
    <w:rsid w:val="007A7CB0"/>
    <w:rsid w:val="007B1D42"/>
    <w:rsid w:val="007B68A3"/>
    <w:rsid w:val="007C2541"/>
    <w:rsid w:val="007D08B3"/>
    <w:rsid w:val="007D66A8"/>
    <w:rsid w:val="007E003F"/>
    <w:rsid w:val="007E019D"/>
    <w:rsid w:val="007E171B"/>
    <w:rsid w:val="007F0CF8"/>
    <w:rsid w:val="007F5E1B"/>
    <w:rsid w:val="007F62CB"/>
    <w:rsid w:val="0080511C"/>
    <w:rsid w:val="008142EC"/>
    <w:rsid w:val="008164F2"/>
    <w:rsid w:val="00821395"/>
    <w:rsid w:val="00830E26"/>
    <w:rsid w:val="00833A56"/>
    <w:rsid w:val="00834368"/>
    <w:rsid w:val="0083441A"/>
    <w:rsid w:val="00843576"/>
    <w:rsid w:val="00843B64"/>
    <w:rsid w:val="00845261"/>
    <w:rsid w:val="008478FC"/>
    <w:rsid w:val="00851C51"/>
    <w:rsid w:val="008538F7"/>
    <w:rsid w:val="008656A7"/>
    <w:rsid w:val="00867BFF"/>
    <w:rsid w:val="00871542"/>
    <w:rsid w:val="00872BF6"/>
    <w:rsid w:val="00881C7F"/>
    <w:rsid w:val="0088480A"/>
    <w:rsid w:val="0088757A"/>
    <w:rsid w:val="0089431B"/>
    <w:rsid w:val="00895668"/>
    <w:rsid w:val="008957DD"/>
    <w:rsid w:val="00895A87"/>
    <w:rsid w:val="00897D98"/>
    <w:rsid w:val="008A6DF2"/>
    <w:rsid w:val="008A7807"/>
    <w:rsid w:val="008B1430"/>
    <w:rsid w:val="008B4C9E"/>
    <w:rsid w:val="008B4CC9"/>
    <w:rsid w:val="008B7FBF"/>
    <w:rsid w:val="008C054D"/>
    <w:rsid w:val="008C0B15"/>
    <w:rsid w:val="008C16D3"/>
    <w:rsid w:val="008C2E92"/>
    <w:rsid w:val="008D75E4"/>
    <w:rsid w:val="008D7C99"/>
    <w:rsid w:val="008E0FCB"/>
    <w:rsid w:val="008F4FF3"/>
    <w:rsid w:val="008F6DFE"/>
    <w:rsid w:val="0090529F"/>
    <w:rsid w:val="0092178C"/>
    <w:rsid w:val="00924FE9"/>
    <w:rsid w:val="009304EF"/>
    <w:rsid w:val="00930B88"/>
    <w:rsid w:val="00935376"/>
    <w:rsid w:val="00940DCC"/>
    <w:rsid w:val="0094179A"/>
    <w:rsid w:val="0094459E"/>
    <w:rsid w:val="00944BB0"/>
    <w:rsid w:val="00944DBC"/>
    <w:rsid w:val="00950977"/>
    <w:rsid w:val="00951A7B"/>
    <w:rsid w:val="00955512"/>
    <w:rsid w:val="009564A6"/>
    <w:rsid w:val="009578DD"/>
    <w:rsid w:val="00957EF8"/>
    <w:rsid w:val="00966A53"/>
    <w:rsid w:val="00967621"/>
    <w:rsid w:val="00967E6A"/>
    <w:rsid w:val="00970339"/>
    <w:rsid w:val="009907B9"/>
    <w:rsid w:val="00990918"/>
    <w:rsid w:val="00996148"/>
    <w:rsid w:val="00996E3C"/>
    <w:rsid w:val="009A091F"/>
    <w:rsid w:val="009A3A83"/>
    <w:rsid w:val="009A7F8C"/>
    <w:rsid w:val="009B4A0F"/>
    <w:rsid w:val="009C11D2"/>
    <w:rsid w:val="009C6C70"/>
    <w:rsid w:val="009C6FD3"/>
    <w:rsid w:val="009C7B0A"/>
    <w:rsid w:val="009D0B63"/>
    <w:rsid w:val="009D5CB8"/>
    <w:rsid w:val="009E2D22"/>
    <w:rsid w:val="009E307E"/>
    <w:rsid w:val="00A0539E"/>
    <w:rsid w:val="00A0710E"/>
    <w:rsid w:val="00A07870"/>
    <w:rsid w:val="00A07C54"/>
    <w:rsid w:val="00A07F19"/>
    <w:rsid w:val="00A10ABB"/>
    <w:rsid w:val="00A1348D"/>
    <w:rsid w:val="00A13C99"/>
    <w:rsid w:val="00A232EE"/>
    <w:rsid w:val="00A264D9"/>
    <w:rsid w:val="00A27808"/>
    <w:rsid w:val="00A31C6F"/>
    <w:rsid w:val="00A33423"/>
    <w:rsid w:val="00A372CF"/>
    <w:rsid w:val="00A4175F"/>
    <w:rsid w:val="00A44411"/>
    <w:rsid w:val="00A469FA"/>
    <w:rsid w:val="00A5303F"/>
    <w:rsid w:val="00A53662"/>
    <w:rsid w:val="00A55B01"/>
    <w:rsid w:val="00A56B5B"/>
    <w:rsid w:val="00A56D74"/>
    <w:rsid w:val="00A603FF"/>
    <w:rsid w:val="00A619B6"/>
    <w:rsid w:val="00A648CA"/>
    <w:rsid w:val="00A657DD"/>
    <w:rsid w:val="00A666A6"/>
    <w:rsid w:val="00A675FD"/>
    <w:rsid w:val="00A70415"/>
    <w:rsid w:val="00A72437"/>
    <w:rsid w:val="00A8048B"/>
    <w:rsid w:val="00A80611"/>
    <w:rsid w:val="00A83984"/>
    <w:rsid w:val="00A8664F"/>
    <w:rsid w:val="00AA5BF4"/>
    <w:rsid w:val="00AB3B28"/>
    <w:rsid w:val="00AB5340"/>
    <w:rsid w:val="00AC0A89"/>
    <w:rsid w:val="00AC7C96"/>
    <w:rsid w:val="00AD3593"/>
    <w:rsid w:val="00AD753D"/>
    <w:rsid w:val="00AE0812"/>
    <w:rsid w:val="00AE237D"/>
    <w:rsid w:val="00AE3E04"/>
    <w:rsid w:val="00AE502A"/>
    <w:rsid w:val="00AE66B8"/>
    <w:rsid w:val="00AF0010"/>
    <w:rsid w:val="00AF1AA8"/>
    <w:rsid w:val="00AF2C1F"/>
    <w:rsid w:val="00AF7C07"/>
    <w:rsid w:val="00B026AB"/>
    <w:rsid w:val="00B06AEF"/>
    <w:rsid w:val="00B06C64"/>
    <w:rsid w:val="00B07D8E"/>
    <w:rsid w:val="00B11CAC"/>
    <w:rsid w:val="00B15A29"/>
    <w:rsid w:val="00B22C93"/>
    <w:rsid w:val="00B27589"/>
    <w:rsid w:val="00B35740"/>
    <w:rsid w:val="00B36B71"/>
    <w:rsid w:val="00B405B7"/>
    <w:rsid w:val="00B468C0"/>
    <w:rsid w:val="00B46D18"/>
    <w:rsid w:val="00B52222"/>
    <w:rsid w:val="00B531DA"/>
    <w:rsid w:val="00B54895"/>
    <w:rsid w:val="00B54FE7"/>
    <w:rsid w:val="00B60F4D"/>
    <w:rsid w:val="00B647C6"/>
    <w:rsid w:val="00B655F9"/>
    <w:rsid w:val="00B66901"/>
    <w:rsid w:val="00B66F60"/>
    <w:rsid w:val="00B71C8D"/>
    <w:rsid w:val="00B71E6D"/>
    <w:rsid w:val="00B72070"/>
    <w:rsid w:val="00B779E1"/>
    <w:rsid w:val="00B77EA9"/>
    <w:rsid w:val="00B81E3A"/>
    <w:rsid w:val="00B85CFB"/>
    <w:rsid w:val="00B85F65"/>
    <w:rsid w:val="00B8665B"/>
    <w:rsid w:val="00B914E9"/>
    <w:rsid w:val="00B91EE1"/>
    <w:rsid w:val="00B94602"/>
    <w:rsid w:val="00B954B4"/>
    <w:rsid w:val="00BA0090"/>
    <w:rsid w:val="00BA1A67"/>
    <w:rsid w:val="00BA6A80"/>
    <w:rsid w:val="00BA77B1"/>
    <w:rsid w:val="00BB0EB7"/>
    <w:rsid w:val="00BB1402"/>
    <w:rsid w:val="00BB3976"/>
    <w:rsid w:val="00BB4ABB"/>
    <w:rsid w:val="00BC62BA"/>
    <w:rsid w:val="00BE5B5F"/>
    <w:rsid w:val="00BE7993"/>
    <w:rsid w:val="00BF1882"/>
    <w:rsid w:val="00C05C0D"/>
    <w:rsid w:val="00C106D1"/>
    <w:rsid w:val="00C11971"/>
    <w:rsid w:val="00C14767"/>
    <w:rsid w:val="00C16880"/>
    <w:rsid w:val="00C179DE"/>
    <w:rsid w:val="00C26F55"/>
    <w:rsid w:val="00C30C63"/>
    <w:rsid w:val="00C30FF3"/>
    <w:rsid w:val="00C34D5C"/>
    <w:rsid w:val="00C366CA"/>
    <w:rsid w:val="00C36B8B"/>
    <w:rsid w:val="00C415C1"/>
    <w:rsid w:val="00C4582B"/>
    <w:rsid w:val="00C46274"/>
    <w:rsid w:val="00C47DBF"/>
    <w:rsid w:val="00C5523C"/>
    <w:rsid w:val="00C552FF"/>
    <w:rsid w:val="00C558DA"/>
    <w:rsid w:val="00C55AF3"/>
    <w:rsid w:val="00C771A9"/>
    <w:rsid w:val="00C82943"/>
    <w:rsid w:val="00C84759"/>
    <w:rsid w:val="00C87449"/>
    <w:rsid w:val="00C93096"/>
    <w:rsid w:val="00C938F4"/>
    <w:rsid w:val="00CA5CA9"/>
    <w:rsid w:val="00CA6C7F"/>
    <w:rsid w:val="00CB007D"/>
    <w:rsid w:val="00CB2605"/>
    <w:rsid w:val="00CB60CA"/>
    <w:rsid w:val="00CC0FC7"/>
    <w:rsid w:val="00CC10A6"/>
    <w:rsid w:val="00CC5B03"/>
    <w:rsid w:val="00CD5EB8"/>
    <w:rsid w:val="00CD7044"/>
    <w:rsid w:val="00CE08B9"/>
    <w:rsid w:val="00CE3515"/>
    <w:rsid w:val="00CE3A30"/>
    <w:rsid w:val="00CE524C"/>
    <w:rsid w:val="00CF141F"/>
    <w:rsid w:val="00CF3ED6"/>
    <w:rsid w:val="00CF4777"/>
    <w:rsid w:val="00CF65C8"/>
    <w:rsid w:val="00D013F5"/>
    <w:rsid w:val="00D05E3F"/>
    <w:rsid w:val="00D067BB"/>
    <w:rsid w:val="00D1352A"/>
    <w:rsid w:val="00D1638E"/>
    <w:rsid w:val="00D169AF"/>
    <w:rsid w:val="00D173C8"/>
    <w:rsid w:val="00D200EF"/>
    <w:rsid w:val="00D25175"/>
    <w:rsid w:val="00D25249"/>
    <w:rsid w:val="00D26854"/>
    <w:rsid w:val="00D306EF"/>
    <w:rsid w:val="00D32594"/>
    <w:rsid w:val="00D41776"/>
    <w:rsid w:val="00D44172"/>
    <w:rsid w:val="00D47BE3"/>
    <w:rsid w:val="00D550FA"/>
    <w:rsid w:val="00D63B8C"/>
    <w:rsid w:val="00D739CC"/>
    <w:rsid w:val="00D806F9"/>
    <w:rsid w:val="00D8093D"/>
    <w:rsid w:val="00D8108C"/>
    <w:rsid w:val="00D81736"/>
    <w:rsid w:val="00D842AE"/>
    <w:rsid w:val="00D9211C"/>
    <w:rsid w:val="00D92DE0"/>
    <w:rsid w:val="00D92FEF"/>
    <w:rsid w:val="00D931F9"/>
    <w:rsid w:val="00D93A0F"/>
    <w:rsid w:val="00DA1BCA"/>
    <w:rsid w:val="00DA3663"/>
    <w:rsid w:val="00DC274A"/>
    <w:rsid w:val="00DC46FF"/>
    <w:rsid w:val="00DC5254"/>
    <w:rsid w:val="00DC569D"/>
    <w:rsid w:val="00DC7767"/>
    <w:rsid w:val="00DD1A4F"/>
    <w:rsid w:val="00DD3107"/>
    <w:rsid w:val="00DD7C2C"/>
    <w:rsid w:val="00DE5BDA"/>
    <w:rsid w:val="00DF259B"/>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19A8"/>
    <w:rsid w:val="00E7490D"/>
    <w:rsid w:val="00E7741D"/>
    <w:rsid w:val="00E808CD"/>
    <w:rsid w:val="00E8348F"/>
    <w:rsid w:val="00E85B7D"/>
    <w:rsid w:val="00E9121B"/>
    <w:rsid w:val="00E9302E"/>
    <w:rsid w:val="00E976AB"/>
    <w:rsid w:val="00EA0AE2"/>
    <w:rsid w:val="00EA231E"/>
    <w:rsid w:val="00EA39E5"/>
    <w:rsid w:val="00EA57A3"/>
    <w:rsid w:val="00EC2813"/>
    <w:rsid w:val="00EC5A46"/>
    <w:rsid w:val="00EC63E2"/>
    <w:rsid w:val="00ED0225"/>
    <w:rsid w:val="00ED366A"/>
    <w:rsid w:val="00ED6BB7"/>
    <w:rsid w:val="00EE6DFC"/>
    <w:rsid w:val="00EF22B3"/>
    <w:rsid w:val="00EF2CE9"/>
    <w:rsid w:val="00F019DE"/>
    <w:rsid w:val="00F03B69"/>
    <w:rsid w:val="00F07A50"/>
    <w:rsid w:val="00F113DA"/>
    <w:rsid w:val="00F266FC"/>
    <w:rsid w:val="00F3037A"/>
    <w:rsid w:val="00F3465A"/>
    <w:rsid w:val="00F36334"/>
    <w:rsid w:val="00F37DC8"/>
    <w:rsid w:val="00F439B3"/>
    <w:rsid w:val="00F45FF8"/>
    <w:rsid w:val="00F51858"/>
    <w:rsid w:val="00F57688"/>
    <w:rsid w:val="00F57736"/>
    <w:rsid w:val="00F650C3"/>
    <w:rsid w:val="00F65D85"/>
    <w:rsid w:val="00F6700B"/>
    <w:rsid w:val="00F7137B"/>
    <w:rsid w:val="00F720EF"/>
    <w:rsid w:val="00F8091E"/>
    <w:rsid w:val="00F83E20"/>
    <w:rsid w:val="00F8615C"/>
    <w:rsid w:val="00F953CB"/>
    <w:rsid w:val="00F969E5"/>
    <w:rsid w:val="00F96F7E"/>
    <w:rsid w:val="00F97FAE"/>
    <w:rsid w:val="00FA4972"/>
    <w:rsid w:val="00FA6BB0"/>
    <w:rsid w:val="00FB160F"/>
    <w:rsid w:val="00FB165C"/>
    <w:rsid w:val="00FB2DBD"/>
    <w:rsid w:val="00FD48DF"/>
    <w:rsid w:val="00FD5860"/>
    <w:rsid w:val="00FE352D"/>
    <w:rsid w:val="00FE40EB"/>
    <w:rsid w:val="00FE4C8D"/>
    <w:rsid w:val="00FE4D02"/>
    <w:rsid w:val="00FE7D62"/>
    <w:rsid w:val="00FF0DA0"/>
    <w:rsid w:val="00FF3819"/>
    <w:rsid w:val="00FF51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CD4AE46"/>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2B7DA5"/>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87449"/>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numberChar">
    <w:name w:val="Normal_number Char"/>
    <w:link w:val="Normalnumber"/>
    <w:locked/>
    <w:rsid w:val="00C87449"/>
    <w:rPr>
      <w:lang w:eastAsia="en-US"/>
    </w:rPr>
  </w:style>
  <w:style w:type="character" w:customStyle="1" w:styleId="CH2Char">
    <w:name w:val="CH2 Char"/>
    <w:link w:val="CH2"/>
    <w:locked/>
    <w:rsid w:val="005278CE"/>
    <w:rPr>
      <w:b/>
      <w:sz w:val="24"/>
      <w:szCs w:val="24"/>
      <w:lang w:eastAsia="en-US"/>
    </w:rPr>
  </w:style>
  <w:style w:type="character" w:customStyle="1" w:styleId="BBTitleChar">
    <w:name w:val="BB_Title Char"/>
    <w:link w:val="BBTitle"/>
    <w:rsid w:val="005278CE"/>
    <w:rPr>
      <w:b/>
      <w:sz w:val="28"/>
      <w:szCs w:val="28"/>
      <w:lang w:eastAsia="en-US"/>
    </w:rPr>
  </w:style>
  <w:style w:type="character" w:customStyle="1" w:styleId="CH3Char">
    <w:name w:val="CH3 Char"/>
    <w:link w:val="CH3"/>
    <w:locked/>
    <w:rsid w:val="005278CE"/>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E05F8-CB23-42B6-9368-C67282F85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4765</Words>
  <Characters>27166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4</cp:revision>
  <cp:lastPrinted>2019-10-15T13:14:00Z</cp:lastPrinted>
  <dcterms:created xsi:type="dcterms:W3CDTF">2019-10-15T11:00:00Z</dcterms:created>
  <dcterms:modified xsi:type="dcterms:W3CDTF">2019-10-15T13:15:00Z</dcterms:modified>
</cp:coreProperties>
</file>