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tmp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4642"/>
        <w:gridCol w:w="3334"/>
      </w:tblGrid>
      <w:tr w:rsidR="007264B2" w:rsidRPr="003B52B4" w14:paraId="621F7BEC" w14:textId="77777777" w:rsidTr="00DA13B5">
        <w:trPr>
          <w:cantSplit/>
          <w:trHeight w:val="850"/>
          <w:jc w:val="right"/>
        </w:trPr>
        <w:tc>
          <w:tcPr>
            <w:tcW w:w="1521" w:type="dxa"/>
          </w:tcPr>
          <w:p w14:paraId="1170622D" w14:textId="77777777" w:rsidR="007264B2" w:rsidRPr="003B52B4" w:rsidRDefault="007264B2" w:rsidP="003D48BC">
            <w:pPr>
              <w:rPr>
                <w:rFonts w:ascii="Univers" w:hAnsi="Univers"/>
                <w:b/>
                <w:noProof/>
                <w:sz w:val="27"/>
                <w:szCs w:val="27"/>
                <w:lang w:val="fr-FR"/>
              </w:rPr>
            </w:pPr>
            <w:r w:rsidRPr="003B52B4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t xml:space="preserve">NATIONS </w:t>
            </w:r>
            <w:r w:rsidRPr="003B52B4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4642" w:type="dxa"/>
          </w:tcPr>
          <w:p w14:paraId="1F731737" w14:textId="77777777" w:rsidR="007264B2" w:rsidRPr="003B52B4" w:rsidRDefault="007264B2" w:rsidP="003D48BC">
            <w:pPr>
              <w:rPr>
                <w:rFonts w:ascii="Univers" w:hAnsi="Univers"/>
                <w:b/>
                <w:sz w:val="27"/>
                <w:szCs w:val="27"/>
                <w:lang w:val="fr-FR"/>
              </w:rPr>
            </w:pPr>
          </w:p>
        </w:tc>
        <w:tc>
          <w:tcPr>
            <w:tcW w:w="3334" w:type="dxa"/>
          </w:tcPr>
          <w:p w14:paraId="1D4E5BAB" w14:textId="77777777" w:rsidR="007264B2" w:rsidRPr="003B52B4" w:rsidRDefault="007264B2" w:rsidP="003D48BC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FR"/>
              </w:rPr>
            </w:pPr>
            <w:r w:rsidRPr="003B52B4">
              <w:rPr>
                <w:rFonts w:ascii="Arial" w:hAnsi="Arial" w:cs="Arial"/>
                <w:b/>
                <w:sz w:val="64"/>
                <w:szCs w:val="64"/>
                <w:lang w:val="fr-FR"/>
              </w:rPr>
              <w:t>MC</w:t>
            </w:r>
          </w:p>
        </w:tc>
      </w:tr>
      <w:tr w:rsidR="007264B2" w:rsidRPr="003B52B4" w14:paraId="149E9734" w14:textId="77777777" w:rsidTr="00DA13B5">
        <w:trPr>
          <w:cantSplit/>
          <w:trHeight w:val="281"/>
          <w:jc w:val="right"/>
        </w:trPr>
        <w:tc>
          <w:tcPr>
            <w:tcW w:w="1521" w:type="dxa"/>
            <w:tcBorders>
              <w:bottom w:val="single" w:sz="4" w:space="0" w:color="auto"/>
            </w:tcBorders>
          </w:tcPr>
          <w:p w14:paraId="6CE1ED8A" w14:textId="77777777" w:rsidR="007264B2" w:rsidRPr="003B52B4" w:rsidRDefault="007264B2" w:rsidP="003D48BC">
            <w:pPr>
              <w:rPr>
                <w:noProof/>
                <w:sz w:val="18"/>
                <w:szCs w:val="18"/>
                <w:lang w:val="fr-FR"/>
              </w:rPr>
            </w:pPr>
          </w:p>
        </w:tc>
        <w:tc>
          <w:tcPr>
            <w:tcW w:w="4642" w:type="dxa"/>
            <w:tcBorders>
              <w:bottom w:val="single" w:sz="4" w:space="0" w:color="auto"/>
            </w:tcBorders>
          </w:tcPr>
          <w:p w14:paraId="3262BB0C" w14:textId="77777777" w:rsidR="007264B2" w:rsidRPr="003B52B4" w:rsidRDefault="007264B2" w:rsidP="003D48BC">
            <w:pPr>
              <w:rPr>
                <w:rFonts w:ascii="Univers" w:hAnsi="Univers"/>
                <w:b/>
                <w:sz w:val="18"/>
                <w:szCs w:val="18"/>
                <w:lang w:val="fr-FR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14:paraId="10AE9534" w14:textId="234375AA" w:rsidR="007264B2" w:rsidRPr="003B52B4" w:rsidRDefault="007264B2" w:rsidP="003D48BC">
            <w:pPr>
              <w:rPr>
                <w:noProof/>
                <w:sz w:val="18"/>
                <w:szCs w:val="18"/>
                <w:lang w:val="fr-FR"/>
              </w:rPr>
            </w:pPr>
            <w:r w:rsidRPr="003B52B4">
              <w:rPr>
                <w:b/>
                <w:bCs/>
                <w:sz w:val="28"/>
                <w:lang w:val="fr-FR"/>
              </w:rPr>
              <w:t>UNEP</w:t>
            </w:r>
            <w:r w:rsidRPr="003B52B4">
              <w:rPr>
                <w:bCs/>
                <w:lang w:val="fr-FR"/>
              </w:rPr>
              <w:t>/</w:t>
            </w:r>
            <w:r w:rsidRPr="003B52B4">
              <w:rPr>
                <w:lang w:val="fr-FR"/>
              </w:rPr>
              <w:t>MC/COP.3/</w:t>
            </w:r>
            <w:r w:rsidR="00DA13B5" w:rsidRPr="003B52B4">
              <w:rPr>
                <w:lang w:val="fr-FR"/>
              </w:rPr>
              <w:t>9</w:t>
            </w:r>
            <w:r w:rsidRPr="003B52B4">
              <w:rPr>
                <w:lang w:val="fr-FR"/>
              </w:rPr>
              <w:t>/Add.1</w:t>
            </w:r>
          </w:p>
        </w:tc>
      </w:tr>
      <w:tr w:rsidR="007264B2" w:rsidRPr="003B52B4" w14:paraId="4D9AEA19" w14:textId="77777777" w:rsidTr="00DA13B5">
        <w:trPr>
          <w:cantSplit/>
          <w:trHeight w:val="2549"/>
          <w:jc w:val="right"/>
        </w:trPr>
        <w:tc>
          <w:tcPr>
            <w:tcW w:w="1521" w:type="dxa"/>
            <w:tcBorders>
              <w:top w:val="single" w:sz="4" w:space="0" w:color="auto"/>
              <w:bottom w:val="single" w:sz="24" w:space="0" w:color="auto"/>
            </w:tcBorders>
          </w:tcPr>
          <w:p w14:paraId="231B58EB" w14:textId="77777777" w:rsidR="007264B2" w:rsidRPr="003B52B4" w:rsidRDefault="007264B2" w:rsidP="003D48BC">
            <w:pPr>
              <w:rPr>
                <w:noProof/>
                <w:lang w:val="fr-FR"/>
              </w:rPr>
            </w:pPr>
            <w:r w:rsidRPr="003B52B4">
              <w:rPr>
                <w:noProof/>
                <w:lang w:val="fr-FR"/>
              </w:rPr>
              <w:object w:dxaOrig="1831" w:dyaOrig="1726" w14:anchorId="756A7D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633414940" r:id="rId9"/>
              </w:object>
            </w:r>
            <w:r w:rsidRPr="003B52B4">
              <w:rPr>
                <w:noProof/>
                <w:lang w:val="fr-FR" w:eastAsia="en-GB"/>
              </w:rPr>
              <w:drawing>
                <wp:inline distT="0" distB="0" distL="0" distR="0" wp14:anchorId="2D054DF3" wp14:editId="3F8C28A9">
                  <wp:extent cx="723900" cy="769620"/>
                  <wp:effectExtent l="0" t="0" r="0" b="0"/>
                  <wp:docPr id="3" name="Picture 3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  <w:tcBorders>
              <w:top w:val="single" w:sz="4" w:space="0" w:color="auto"/>
              <w:bottom w:val="single" w:sz="24" w:space="0" w:color="auto"/>
            </w:tcBorders>
          </w:tcPr>
          <w:p w14:paraId="6B2EFD98" w14:textId="401DD0B7" w:rsidR="007264B2" w:rsidRPr="003B52B4" w:rsidRDefault="007264B2" w:rsidP="003D48BC">
            <w:pPr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3B52B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Programme </w:t>
            </w:r>
            <w:r w:rsidRPr="003B52B4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 xml:space="preserve">des Nations Unies </w:t>
            </w:r>
            <w:r w:rsidRPr="003B52B4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pour l</w:t>
            </w:r>
            <w:r w:rsidR="00063446" w:rsidRPr="003B52B4">
              <w:rPr>
                <w:rFonts w:ascii="Arial" w:hAnsi="Arial" w:cs="Arial"/>
                <w:b/>
                <w:sz w:val="32"/>
                <w:szCs w:val="32"/>
                <w:lang w:val="fr-FR"/>
              </w:rPr>
              <w:t>’</w:t>
            </w:r>
            <w:r w:rsidRPr="003B52B4">
              <w:rPr>
                <w:rFonts w:ascii="Arial" w:hAnsi="Arial" w:cs="Arial"/>
                <w:b/>
                <w:sz w:val="32"/>
                <w:szCs w:val="32"/>
                <w:lang w:val="fr-FR"/>
              </w:rPr>
              <w:t>environnement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24" w:space="0" w:color="auto"/>
            </w:tcBorders>
          </w:tcPr>
          <w:p w14:paraId="04C3A257" w14:textId="680CE067" w:rsidR="007264B2" w:rsidRPr="003B52B4" w:rsidRDefault="007264B2" w:rsidP="003D48BC">
            <w:pPr>
              <w:spacing w:before="120"/>
              <w:rPr>
                <w:lang w:val="fr-FR"/>
              </w:rPr>
            </w:pPr>
            <w:r w:rsidRPr="003B52B4">
              <w:rPr>
                <w:lang w:val="fr-FR"/>
              </w:rPr>
              <w:t xml:space="preserve">Distr. générale </w:t>
            </w:r>
            <w:r w:rsidRPr="003B52B4">
              <w:rPr>
                <w:lang w:val="fr-FR"/>
              </w:rPr>
              <w:br/>
            </w:r>
            <w:r w:rsidR="00DA13B5" w:rsidRPr="003B52B4">
              <w:rPr>
                <w:lang w:val="fr-FR"/>
              </w:rPr>
              <w:t>16</w:t>
            </w:r>
            <w:r w:rsidRPr="003B52B4">
              <w:rPr>
                <w:lang w:val="fr-FR"/>
              </w:rPr>
              <w:t> septembre 2019</w:t>
            </w:r>
          </w:p>
          <w:p w14:paraId="6037894B" w14:textId="77777777" w:rsidR="007264B2" w:rsidRPr="003B52B4" w:rsidRDefault="007264B2" w:rsidP="003D48BC">
            <w:pPr>
              <w:spacing w:before="240"/>
              <w:rPr>
                <w:lang w:val="fr-FR"/>
              </w:rPr>
            </w:pPr>
            <w:r w:rsidRPr="003B52B4">
              <w:rPr>
                <w:lang w:val="fr-FR"/>
              </w:rPr>
              <w:t xml:space="preserve">Français </w:t>
            </w:r>
            <w:r w:rsidRPr="003B52B4">
              <w:rPr>
                <w:lang w:val="fr-FR"/>
              </w:rPr>
              <w:br/>
              <w:t>Original : anglais</w:t>
            </w:r>
          </w:p>
        </w:tc>
      </w:tr>
    </w:tbl>
    <w:p w14:paraId="0A4BFFDA" w14:textId="17BFD2A7" w:rsidR="00E976AB" w:rsidRPr="003B52B4" w:rsidRDefault="00CB007D" w:rsidP="00E976AB">
      <w:pPr>
        <w:pStyle w:val="AATitle"/>
        <w:keepNext w:val="0"/>
        <w:keepLines w:val="0"/>
        <w:rPr>
          <w:lang w:val="fr-FR"/>
        </w:rPr>
      </w:pPr>
      <w:r w:rsidRPr="003B52B4">
        <w:rPr>
          <w:bCs/>
          <w:lang w:val="fr-FR"/>
        </w:rPr>
        <w:t>Conférence des Parties à la Convention de</w:t>
      </w:r>
      <w:r w:rsidR="001055BA" w:rsidRPr="003B52B4">
        <w:rPr>
          <w:bCs/>
          <w:lang w:val="fr-FR"/>
        </w:rPr>
        <w:t> </w:t>
      </w:r>
      <w:r w:rsidRPr="003B52B4">
        <w:rPr>
          <w:bCs/>
          <w:lang w:val="fr-FR"/>
        </w:rPr>
        <w:t>Minamata sur le mercure</w:t>
      </w:r>
    </w:p>
    <w:p w14:paraId="26A6CAA0" w14:textId="65393398" w:rsidR="00E976AB" w:rsidRPr="003B52B4" w:rsidRDefault="00F96F7E" w:rsidP="00E976AB">
      <w:pPr>
        <w:pStyle w:val="AATitle"/>
        <w:keepNext w:val="0"/>
        <w:keepLines w:val="0"/>
        <w:rPr>
          <w:lang w:val="fr-FR"/>
        </w:rPr>
      </w:pPr>
      <w:r w:rsidRPr="003B52B4">
        <w:rPr>
          <w:bCs/>
          <w:lang w:val="fr-FR"/>
        </w:rPr>
        <w:t>Troisième réunion</w:t>
      </w:r>
    </w:p>
    <w:p w14:paraId="67B82F12" w14:textId="51A40131" w:rsidR="00787688" w:rsidRPr="003B52B4" w:rsidRDefault="00DA13B5" w:rsidP="00434321">
      <w:pPr>
        <w:pStyle w:val="AATitle"/>
        <w:rPr>
          <w:b w:val="0"/>
          <w:lang w:val="fr-FR"/>
        </w:rPr>
      </w:pPr>
      <w:r w:rsidRPr="003B52B4">
        <w:rPr>
          <w:b w:val="0"/>
          <w:lang w:val="fr-FR"/>
        </w:rPr>
        <w:t>Genève, 25–29 </w:t>
      </w:r>
      <w:r w:rsidR="00787688" w:rsidRPr="003B52B4">
        <w:rPr>
          <w:b w:val="0"/>
          <w:lang w:val="fr-FR"/>
        </w:rPr>
        <w:t>novembre 2019</w:t>
      </w:r>
    </w:p>
    <w:p w14:paraId="41BD102B" w14:textId="7BCF2833" w:rsidR="00353EC0" w:rsidRPr="003B52B4" w:rsidRDefault="00DA13B5" w:rsidP="00353EC0">
      <w:pPr>
        <w:pStyle w:val="AATitle"/>
        <w:rPr>
          <w:b w:val="0"/>
          <w:lang w:val="fr-FR"/>
        </w:rPr>
      </w:pPr>
      <w:r w:rsidRPr="003B52B4">
        <w:rPr>
          <w:b w:val="0"/>
          <w:lang w:val="fr-FR"/>
        </w:rPr>
        <w:t>Point 5 e) </w:t>
      </w:r>
      <w:r w:rsidR="00353EC0" w:rsidRPr="003B52B4">
        <w:rPr>
          <w:b w:val="0"/>
          <w:lang w:val="fr-FR"/>
        </w:rPr>
        <w:t>i) de l</w:t>
      </w:r>
      <w:r w:rsidR="00063446" w:rsidRPr="003B52B4">
        <w:rPr>
          <w:b w:val="0"/>
          <w:lang w:val="fr-FR"/>
        </w:rPr>
        <w:t>’</w:t>
      </w:r>
      <w:r w:rsidR="00353EC0" w:rsidRPr="003B52B4">
        <w:rPr>
          <w:b w:val="0"/>
          <w:lang w:val="fr-FR"/>
        </w:rPr>
        <w:t>ordre du jour provisoire</w:t>
      </w:r>
      <w:r w:rsidR="00353EC0" w:rsidRPr="003B52B4">
        <w:rPr>
          <w:b w:val="0"/>
          <w:lang w:val="fr-FR"/>
        </w:rPr>
        <w:footnoteReference w:customMarkFollows="1" w:id="1"/>
        <w:t>*</w:t>
      </w:r>
    </w:p>
    <w:p w14:paraId="0D221D43" w14:textId="52C15DA9" w:rsidR="00353EC0" w:rsidRPr="003B52B4" w:rsidRDefault="00353EC0" w:rsidP="00353EC0">
      <w:pPr>
        <w:pStyle w:val="AATitle2"/>
        <w:rPr>
          <w:lang w:val="fr-FR"/>
        </w:rPr>
      </w:pPr>
      <w:r w:rsidRPr="003B52B4">
        <w:rPr>
          <w:bCs/>
          <w:lang w:val="fr-FR"/>
        </w:rPr>
        <w:t xml:space="preserve">Questions soumises à la Conférence des </w:t>
      </w:r>
      <w:r w:rsidR="00063446" w:rsidRPr="003B52B4">
        <w:rPr>
          <w:bCs/>
          <w:lang w:val="fr-FR"/>
        </w:rPr>
        <w:t>Parties pour </w:t>
      </w:r>
      <w:r w:rsidR="00DA13B5" w:rsidRPr="003B52B4">
        <w:rPr>
          <w:bCs/>
          <w:lang w:val="fr-FR"/>
        </w:rPr>
        <w:t>examen ou décision </w:t>
      </w:r>
      <w:r w:rsidRPr="003B52B4">
        <w:rPr>
          <w:bCs/>
          <w:lang w:val="fr-FR"/>
        </w:rPr>
        <w:t>: mécanisme de financement</w:t>
      </w:r>
      <w:r w:rsidR="00DA13B5" w:rsidRPr="003B52B4">
        <w:rPr>
          <w:bCs/>
          <w:lang w:val="fr-FR"/>
        </w:rPr>
        <w:t> </w:t>
      </w:r>
      <w:r w:rsidRPr="003B52B4">
        <w:rPr>
          <w:bCs/>
          <w:lang w:val="fr-FR"/>
        </w:rPr>
        <w:t>: Fonds pour l</w:t>
      </w:r>
      <w:r w:rsidR="00063446" w:rsidRPr="003B52B4">
        <w:rPr>
          <w:bCs/>
          <w:lang w:val="fr-FR"/>
        </w:rPr>
        <w:t>’</w:t>
      </w:r>
      <w:r w:rsidRPr="003B52B4">
        <w:rPr>
          <w:bCs/>
          <w:lang w:val="fr-FR"/>
        </w:rPr>
        <w:t>environnement mondial</w:t>
      </w:r>
    </w:p>
    <w:p w14:paraId="70C94C6F" w14:textId="105C84B9" w:rsidR="00353EC0" w:rsidRPr="003B52B4" w:rsidRDefault="00353EC0" w:rsidP="00353EC0">
      <w:pPr>
        <w:pStyle w:val="BBTitle"/>
        <w:rPr>
          <w:lang w:val="fr-FR"/>
        </w:rPr>
      </w:pPr>
      <w:r w:rsidRPr="003B52B4">
        <w:rPr>
          <w:bCs/>
          <w:lang w:val="fr-FR"/>
        </w:rPr>
        <w:t xml:space="preserve">Résumé analytique du rapport </w:t>
      </w:r>
      <w:r w:rsidR="00FC3292" w:rsidRPr="003B52B4">
        <w:rPr>
          <w:bCs/>
          <w:lang w:val="fr-FR"/>
        </w:rPr>
        <w:t xml:space="preserve">présenté par le </w:t>
      </w:r>
      <w:r w:rsidRPr="003B52B4">
        <w:rPr>
          <w:bCs/>
          <w:lang w:val="fr-FR"/>
        </w:rPr>
        <w:t>Conseil du</w:t>
      </w:r>
      <w:r w:rsidR="001055BA" w:rsidRPr="003B52B4">
        <w:rPr>
          <w:bCs/>
          <w:lang w:val="fr-FR"/>
        </w:rPr>
        <w:t> </w:t>
      </w:r>
      <w:r w:rsidRPr="003B52B4">
        <w:rPr>
          <w:bCs/>
          <w:lang w:val="fr-FR"/>
        </w:rPr>
        <w:t>Fonds</w:t>
      </w:r>
      <w:r w:rsidR="001055BA" w:rsidRPr="003B52B4">
        <w:rPr>
          <w:bCs/>
          <w:lang w:val="fr-FR"/>
        </w:rPr>
        <w:t> </w:t>
      </w:r>
      <w:r w:rsidRPr="003B52B4">
        <w:rPr>
          <w:bCs/>
          <w:lang w:val="fr-FR"/>
        </w:rPr>
        <w:t>pour l</w:t>
      </w:r>
      <w:r w:rsidR="00063446" w:rsidRPr="003B52B4">
        <w:rPr>
          <w:bCs/>
          <w:lang w:val="fr-FR"/>
        </w:rPr>
        <w:t>’</w:t>
      </w:r>
      <w:r w:rsidRPr="003B52B4">
        <w:rPr>
          <w:bCs/>
          <w:lang w:val="fr-FR"/>
        </w:rPr>
        <w:t>environnement mond</w:t>
      </w:r>
      <w:r w:rsidR="00DA13B5" w:rsidRPr="003B52B4">
        <w:rPr>
          <w:bCs/>
          <w:lang w:val="fr-FR"/>
        </w:rPr>
        <w:t>ial à la troisième </w:t>
      </w:r>
      <w:r w:rsidR="00FC3292" w:rsidRPr="003B52B4">
        <w:rPr>
          <w:bCs/>
          <w:lang w:val="fr-FR"/>
        </w:rPr>
        <w:t>réunion de la Conférence des Parties</w:t>
      </w:r>
    </w:p>
    <w:p w14:paraId="758627E5" w14:textId="77777777" w:rsidR="00353EC0" w:rsidRPr="003B52B4" w:rsidRDefault="00353EC0" w:rsidP="00353EC0">
      <w:pPr>
        <w:pStyle w:val="CH2"/>
        <w:rPr>
          <w:lang w:val="fr-FR"/>
        </w:rPr>
      </w:pPr>
      <w:r w:rsidRPr="003B52B4">
        <w:rPr>
          <w:lang w:val="fr-FR"/>
        </w:rPr>
        <w:tab/>
      </w:r>
      <w:r w:rsidRPr="003B52B4">
        <w:rPr>
          <w:lang w:val="fr-FR"/>
        </w:rPr>
        <w:tab/>
      </w:r>
      <w:r w:rsidRPr="003B52B4">
        <w:rPr>
          <w:bCs/>
          <w:lang w:val="fr-FR"/>
        </w:rPr>
        <w:t>Note du secrétariat</w:t>
      </w:r>
    </w:p>
    <w:p w14:paraId="36B579D9" w14:textId="1DB937DF" w:rsidR="00353EC0" w:rsidRPr="003B52B4" w:rsidRDefault="00353EC0" w:rsidP="004C442D">
      <w:pPr>
        <w:pStyle w:val="NormalNonumber"/>
        <w:rPr>
          <w:lang w:val="fr-FR"/>
        </w:rPr>
      </w:pPr>
      <w:r w:rsidRPr="003B52B4">
        <w:rPr>
          <w:lang w:val="fr-FR"/>
        </w:rPr>
        <w:t xml:space="preserve">Le résumé analytique du rapport </w:t>
      </w:r>
      <w:r w:rsidR="00FC3292" w:rsidRPr="003B52B4">
        <w:rPr>
          <w:lang w:val="fr-FR"/>
        </w:rPr>
        <w:t>présenté par le</w:t>
      </w:r>
      <w:r w:rsidRPr="003B52B4">
        <w:rPr>
          <w:lang w:val="fr-FR"/>
        </w:rPr>
        <w:t xml:space="preserve"> Conseil du Fonds pour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 xml:space="preserve">environnement mondial </w:t>
      </w:r>
      <w:r w:rsidR="00063446" w:rsidRPr="003B52B4">
        <w:rPr>
          <w:lang w:val="fr-FR"/>
        </w:rPr>
        <w:t>à la troisième </w:t>
      </w:r>
      <w:r w:rsidR="00FC3292" w:rsidRPr="003B52B4">
        <w:rPr>
          <w:lang w:val="fr-FR"/>
        </w:rPr>
        <w:t xml:space="preserve">réunion de </w:t>
      </w:r>
      <w:r w:rsidRPr="003B52B4">
        <w:rPr>
          <w:lang w:val="fr-FR"/>
        </w:rPr>
        <w:t>la Conférence des Parties à la Convention de Minamata sur le mercure figure dans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annexe de la présente note</w:t>
      </w:r>
      <w:r w:rsidR="00FC3292" w:rsidRPr="003B52B4">
        <w:rPr>
          <w:lang w:val="fr-FR"/>
        </w:rPr>
        <w:t>, laquelle</w:t>
      </w:r>
      <w:r w:rsidRPr="003B52B4">
        <w:rPr>
          <w:lang w:val="fr-FR"/>
        </w:rPr>
        <w:t xml:space="preserve"> est reproduite telle qu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elle a été reçue, sans avoir été revue par les services d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édition. Le rapport complet figure dans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annexe du document UNEP/MC/COP.3/INF.2.</w:t>
      </w:r>
    </w:p>
    <w:p w14:paraId="6B1044D5" w14:textId="77777777" w:rsidR="00353EC0" w:rsidRPr="003B52B4" w:rsidRDefault="00353EC0" w:rsidP="00353EC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FR"/>
        </w:rPr>
      </w:pPr>
      <w:r w:rsidRPr="003B52B4">
        <w:rPr>
          <w:lang w:val="fr-FR"/>
        </w:rPr>
        <w:br w:type="page"/>
      </w:r>
    </w:p>
    <w:p w14:paraId="6A2D98C3" w14:textId="022CCDBB" w:rsidR="00353EC0" w:rsidRPr="003B52B4" w:rsidRDefault="00353EC0" w:rsidP="00353EC0">
      <w:pPr>
        <w:pStyle w:val="ZZAnxheader"/>
        <w:rPr>
          <w:lang w:val="fr-FR"/>
        </w:rPr>
      </w:pPr>
      <w:r w:rsidRPr="003B52B4">
        <w:rPr>
          <w:lang w:val="fr-FR"/>
        </w:rPr>
        <w:lastRenderedPageBreak/>
        <w:t xml:space="preserve">Annexe </w:t>
      </w:r>
    </w:p>
    <w:p w14:paraId="724A5491" w14:textId="69524A18" w:rsidR="00353EC0" w:rsidRPr="003B52B4" w:rsidRDefault="00353EC0" w:rsidP="00353EC0">
      <w:pPr>
        <w:pStyle w:val="ZZAnxtitle"/>
        <w:rPr>
          <w:lang w:val="fr-FR"/>
        </w:rPr>
      </w:pPr>
      <w:r w:rsidRPr="003B52B4">
        <w:rPr>
          <w:lang w:val="fr-FR"/>
        </w:rPr>
        <w:t xml:space="preserve">Résumé analytique du rapport </w:t>
      </w:r>
      <w:r w:rsidR="00FC3292" w:rsidRPr="003B52B4">
        <w:rPr>
          <w:lang w:val="fr-FR"/>
        </w:rPr>
        <w:t>présenté par le</w:t>
      </w:r>
      <w:r w:rsidRPr="003B52B4">
        <w:rPr>
          <w:lang w:val="fr-FR"/>
        </w:rPr>
        <w:t xml:space="preserve"> Conseil du Fonds pour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 xml:space="preserve">environnement mondial </w:t>
      </w:r>
      <w:r w:rsidR="00DA13B5" w:rsidRPr="003B52B4">
        <w:rPr>
          <w:lang w:val="fr-FR"/>
        </w:rPr>
        <w:t>à la troisième </w:t>
      </w:r>
      <w:r w:rsidR="00FC3292" w:rsidRPr="003B52B4">
        <w:rPr>
          <w:lang w:val="fr-FR"/>
        </w:rPr>
        <w:t>réunion de</w:t>
      </w:r>
      <w:r w:rsidRPr="003B52B4">
        <w:rPr>
          <w:lang w:val="fr-FR"/>
        </w:rPr>
        <w:t xml:space="preserve"> la Conférence des Parties à la Conven</w:t>
      </w:r>
      <w:r w:rsidR="00FC3292" w:rsidRPr="003B52B4">
        <w:rPr>
          <w:lang w:val="fr-FR"/>
        </w:rPr>
        <w:t>tion de Minamata sur le mercure</w:t>
      </w:r>
    </w:p>
    <w:p w14:paraId="289B35D0" w14:textId="77777777" w:rsidR="00353EC0" w:rsidRPr="003B52B4" w:rsidRDefault="00353EC0" w:rsidP="0085531B">
      <w:pPr>
        <w:pStyle w:val="Normal-pool"/>
        <w:rPr>
          <w:lang w:val="fr-FR"/>
        </w:rPr>
      </w:pPr>
    </w:p>
    <w:p w14:paraId="656C3F35" w14:textId="77777777" w:rsidR="00353EC0" w:rsidRPr="003B52B4" w:rsidRDefault="00353EC0" w:rsidP="00353EC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FR"/>
        </w:rPr>
      </w:pPr>
      <w:r w:rsidRPr="003B52B4">
        <w:rPr>
          <w:lang w:val="fr-FR"/>
        </w:rPr>
        <w:br w:type="page"/>
      </w:r>
    </w:p>
    <w:p w14:paraId="18E0E8FC" w14:textId="77777777" w:rsidR="001055BA" w:rsidRPr="003B52B4" w:rsidRDefault="001055BA" w:rsidP="00353EC0">
      <w:pPr>
        <w:pStyle w:val="BodyText"/>
        <w:jc w:val="center"/>
        <w:rPr>
          <w:noProof/>
          <w:lang w:val="fr-FR" w:eastAsia="en-GB"/>
        </w:rPr>
      </w:pPr>
    </w:p>
    <w:p w14:paraId="4A25F34C" w14:textId="3FD19E56" w:rsidR="001055BA" w:rsidRPr="003B52B4" w:rsidRDefault="001055BA" w:rsidP="00353EC0">
      <w:pPr>
        <w:pStyle w:val="BodyText"/>
        <w:jc w:val="center"/>
        <w:rPr>
          <w:noProof/>
          <w:lang w:val="fr-FR" w:eastAsia="en-GB"/>
        </w:rPr>
      </w:pPr>
      <w:r w:rsidRPr="003B52B4">
        <w:rPr>
          <w:noProof/>
          <w:lang w:val="fr-FR" w:eastAsia="en-GB"/>
        </w:rPr>
        <w:drawing>
          <wp:inline distT="0" distB="0" distL="0" distR="0" wp14:anchorId="67B4136B" wp14:editId="0E6FE079">
            <wp:extent cx="3972479" cy="1590897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444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3293E" w14:textId="77777777" w:rsidR="00353EC0" w:rsidRPr="003B52B4" w:rsidRDefault="00353EC0" w:rsidP="00353EC0">
      <w:pPr>
        <w:pStyle w:val="BodyText"/>
        <w:rPr>
          <w:lang w:val="fr-FR"/>
        </w:rPr>
      </w:pPr>
    </w:p>
    <w:p w14:paraId="06920026" w14:textId="77777777" w:rsidR="00353EC0" w:rsidRPr="003B52B4" w:rsidRDefault="00353EC0" w:rsidP="00353EC0">
      <w:pPr>
        <w:pStyle w:val="BodyText"/>
        <w:rPr>
          <w:lang w:val="fr-FR"/>
        </w:rPr>
      </w:pPr>
    </w:p>
    <w:p w14:paraId="2A1C765E" w14:textId="77777777" w:rsidR="00353EC0" w:rsidRPr="003B52B4" w:rsidRDefault="00353EC0" w:rsidP="00353EC0">
      <w:pPr>
        <w:pStyle w:val="BodyText"/>
        <w:rPr>
          <w:lang w:val="fr-FR"/>
        </w:rPr>
      </w:pPr>
    </w:p>
    <w:p w14:paraId="20F5AF58" w14:textId="77777777" w:rsidR="00353EC0" w:rsidRPr="003B52B4" w:rsidRDefault="00353EC0" w:rsidP="00353EC0">
      <w:pPr>
        <w:pStyle w:val="BodyText"/>
        <w:spacing w:before="2"/>
        <w:rPr>
          <w:lang w:val="fr-FR"/>
        </w:rPr>
      </w:pPr>
      <w:r w:rsidRPr="003B52B4">
        <w:rPr>
          <w:noProof/>
          <w:lang w:val="fr-FR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1FF6BB5" wp14:editId="6ED3F8CF">
                <wp:simplePos x="0" y="0"/>
                <wp:positionH relativeFrom="page">
                  <wp:posOffset>838200</wp:posOffset>
                </wp:positionH>
                <wp:positionV relativeFrom="paragraph">
                  <wp:posOffset>120650</wp:posOffset>
                </wp:positionV>
                <wp:extent cx="6090920" cy="0"/>
                <wp:effectExtent l="19050" t="16510" r="14605" b="21590"/>
                <wp:wrapTopAndBottom/>
                <wp:docPr id="4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0920" cy="0"/>
                        </a:xfrm>
                        <a:prstGeom prst="line">
                          <a:avLst/>
                        </a:prstGeom>
                        <a:noFill/>
                        <a:ln w="27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eLuna="https://cms.unov.org/eLuna/2015/main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id="Line 267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weight=".77047mm" from="66pt,9.5pt" to="545.6pt,9.5pt" w14:anchorId="1C4101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">
                <w10:wrap type="topAndBottom" anchorx="page"/>
              </v:line>
            </w:pict>
          </mc:Fallback>
        </mc:AlternateContent>
      </w:r>
    </w:p>
    <w:p w14:paraId="77C68F7D" w14:textId="77777777" w:rsidR="00353EC0" w:rsidRPr="003B52B4" w:rsidRDefault="00353EC0" w:rsidP="00353EC0">
      <w:pPr>
        <w:pStyle w:val="BodyText"/>
        <w:rPr>
          <w:lang w:val="fr-FR"/>
        </w:rPr>
      </w:pPr>
    </w:p>
    <w:p w14:paraId="177BB6C8" w14:textId="77777777" w:rsidR="00353EC0" w:rsidRPr="003B52B4" w:rsidRDefault="00353EC0" w:rsidP="00353EC0">
      <w:pPr>
        <w:pStyle w:val="BodyText"/>
        <w:rPr>
          <w:lang w:val="fr-FR"/>
        </w:rPr>
      </w:pPr>
    </w:p>
    <w:p w14:paraId="001FE09D" w14:textId="77777777" w:rsidR="00353EC0" w:rsidRPr="003B52B4" w:rsidRDefault="00353EC0" w:rsidP="00353EC0">
      <w:pPr>
        <w:pStyle w:val="BodyText"/>
        <w:rPr>
          <w:lang w:val="fr-FR"/>
        </w:rPr>
      </w:pPr>
    </w:p>
    <w:p w14:paraId="1AE772C6" w14:textId="77777777" w:rsidR="00353EC0" w:rsidRPr="003B52B4" w:rsidRDefault="00353EC0" w:rsidP="00353EC0">
      <w:pPr>
        <w:pStyle w:val="BodyText"/>
        <w:rPr>
          <w:lang w:val="fr-FR"/>
        </w:rPr>
      </w:pPr>
    </w:p>
    <w:p w14:paraId="3C2AC97B" w14:textId="77777777" w:rsidR="00353EC0" w:rsidRPr="003B52B4" w:rsidRDefault="00353EC0" w:rsidP="00353EC0">
      <w:pPr>
        <w:pStyle w:val="BodyText"/>
        <w:rPr>
          <w:lang w:val="fr-FR"/>
        </w:rPr>
      </w:pPr>
    </w:p>
    <w:p w14:paraId="50804C53" w14:textId="77777777" w:rsidR="00353EC0" w:rsidRPr="003B52B4" w:rsidRDefault="00353EC0" w:rsidP="00353EC0">
      <w:pPr>
        <w:pStyle w:val="BodyText"/>
        <w:rPr>
          <w:lang w:val="fr-FR"/>
        </w:rPr>
      </w:pPr>
    </w:p>
    <w:p w14:paraId="64FCE16B" w14:textId="77777777" w:rsidR="00353EC0" w:rsidRPr="003B52B4" w:rsidRDefault="00353EC0" w:rsidP="00353EC0">
      <w:pPr>
        <w:pStyle w:val="BodyText"/>
        <w:rPr>
          <w:lang w:val="fr-FR"/>
        </w:rPr>
      </w:pPr>
    </w:p>
    <w:p w14:paraId="5460BAD5" w14:textId="77777777" w:rsidR="00353EC0" w:rsidRPr="003B52B4" w:rsidRDefault="00353EC0" w:rsidP="00353EC0">
      <w:pPr>
        <w:pStyle w:val="BodyText"/>
        <w:rPr>
          <w:lang w:val="fr-FR"/>
        </w:rPr>
      </w:pPr>
    </w:p>
    <w:p w14:paraId="1DEC6BFA" w14:textId="77777777" w:rsidR="00353EC0" w:rsidRPr="003B52B4" w:rsidRDefault="00353EC0" w:rsidP="00353EC0">
      <w:pPr>
        <w:pStyle w:val="BodyText"/>
        <w:rPr>
          <w:lang w:val="fr-FR"/>
        </w:rPr>
      </w:pPr>
    </w:p>
    <w:p w14:paraId="11F70D32" w14:textId="77777777" w:rsidR="00353EC0" w:rsidRPr="003B52B4" w:rsidRDefault="00353EC0" w:rsidP="00353EC0">
      <w:pPr>
        <w:pStyle w:val="BodyText"/>
        <w:rPr>
          <w:lang w:val="fr-FR"/>
        </w:rPr>
      </w:pPr>
    </w:p>
    <w:p w14:paraId="24A977DD" w14:textId="1DC4DF54" w:rsidR="00353EC0" w:rsidRPr="003B52B4" w:rsidRDefault="00353EC0" w:rsidP="00063446">
      <w:pPr>
        <w:spacing w:before="250"/>
        <w:ind w:left="1365" w:right="1351"/>
        <w:jc w:val="center"/>
        <w:rPr>
          <w:b/>
          <w:sz w:val="28"/>
          <w:szCs w:val="28"/>
          <w:lang w:val="fr-FR"/>
        </w:rPr>
      </w:pPr>
      <w:r w:rsidRPr="003B52B4">
        <w:rPr>
          <w:b/>
          <w:bCs/>
          <w:sz w:val="28"/>
          <w:szCs w:val="28"/>
          <w:lang w:val="fr-FR"/>
        </w:rPr>
        <w:t xml:space="preserve">Rapport </w:t>
      </w:r>
      <w:r w:rsidR="00FC3292" w:rsidRPr="003B52B4">
        <w:rPr>
          <w:b/>
          <w:bCs/>
          <w:sz w:val="28"/>
          <w:szCs w:val="28"/>
          <w:lang w:val="fr-FR"/>
        </w:rPr>
        <w:t>présenté par le</w:t>
      </w:r>
      <w:r w:rsidRPr="003B52B4">
        <w:rPr>
          <w:b/>
          <w:bCs/>
          <w:sz w:val="28"/>
          <w:szCs w:val="28"/>
          <w:lang w:val="fr-FR"/>
        </w:rPr>
        <w:t xml:space="preserve"> Fonds pour l</w:t>
      </w:r>
      <w:r w:rsidR="00063446" w:rsidRPr="003B52B4">
        <w:rPr>
          <w:b/>
          <w:bCs/>
          <w:sz w:val="28"/>
          <w:szCs w:val="28"/>
          <w:lang w:val="fr-FR"/>
        </w:rPr>
        <w:t>’</w:t>
      </w:r>
      <w:r w:rsidRPr="003B52B4">
        <w:rPr>
          <w:b/>
          <w:bCs/>
          <w:sz w:val="28"/>
          <w:szCs w:val="28"/>
          <w:lang w:val="fr-FR"/>
        </w:rPr>
        <w:t>environnement mondial</w:t>
      </w:r>
      <w:r w:rsidR="00063446" w:rsidRPr="003B52B4">
        <w:rPr>
          <w:b/>
          <w:bCs/>
          <w:sz w:val="28"/>
          <w:szCs w:val="28"/>
          <w:lang w:val="fr-FR"/>
        </w:rPr>
        <w:t xml:space="preserve"> </w:t>
      </w:r>
      <w:r w:rsidRPr="003B52B4">
        <w:rPr>
          <w:b/>
          <w:bCs/>
          <w:sz w:val="28"/>
          <w:szCs w:val="28"/>
          <w:lang w:val="fr-FR"/>
        </w:rPr>
        <w:t>à la troisième réunion de la Conférence</w:t>
      </w:r>
      <w:r w:rsidR="00063446" w:rsidRPr="003B52B4">
        <w:rPr>
          <w:b/>
          <w:bCs/>
          <w:sz w:val="28"/>
          <w:szCs w:val="28"/>
          <w:lang w:val="fr-FR"/>
        </w:rPr>
        <w:br/>
      </w:r>
      <w:r w:rsidRPr="003B52B4">
        <w:rPr>
          <w:b/>
          <w:bCs/>
          <w:sz w:val="28"/>
          <w:szCs w:val="28"/>
          <w:lang w:val="fr-FR"/>
        </w:rPr>
        <w:t xml:space="preserve"> des Parties à l</w:t>
      </w:r>
      <w:r w:rsidR="00063446" w:rsidRPr="003B52B4">
        <w:rPr>
          <w:b/>
          <w:bCs/>
          <w:sz w:val="28"/>
          <w:szCs w:val="28"/>
          <w:lang w:val="fr-FR"/>
        </w:rPr>
        <w:t>a Convention de Minamata sur le </w:t>
      </w:r>
      <w:r w:rsidRPr="003B52B4">
        <w:rPr>
          <w:b/>
          <w:bCs/>
          <w:sz w:val="28"/>
          <w:szCs w:val="28"/>
          <w:lang w:val="fr-FR"/>
        </w:rPr>
        <w:t>mercure</w:t>
      </w:r>
    </w:p>
    <w:p w14:paraId="146814A2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77EC38EE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3C50F780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0933B8DA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20474463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69173E7D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3BC527EA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15990212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29F119A6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2171B61F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22647B4F" w14:textId="77777777" w:rsidR="00353EC0" w:rsidRPr="003B52B4" w:rsidRDefault="00353EC0" w:rsidP="00353EC0">
      <w:pPr>
        <w:pStyle w:val="BodyText"/>
        <w:ind w:left="1368" w:right="1351"/>
        <w:jc w:val="center"/>
        <w:rPr>
          <w:lang w:val="fr-FR"/>
        </w:rPr>
      </w:pPr>
    </w:p>
    <w:p w14:paraId="03DB5A72" w14:textId="080AAFAC" w:rsidR="00353EC0" w:rsidRPr="003B52B4" w:rsidRDefault="00063446" w:rsidP="00353EC0">
      <w:pPr>
        <w:pStyle w:val="BodyText"/>
        <w:ind w:left="1368" w:right="1351"/>
        <w:jc w:val="center"/>
        <w:rPr>
          <w:lang w:val="fr-FR"/>
        </w:rPr>
      </w:pPr>
      <w:r w:rsidRPr="003B52B4">
        <w:rPr>
          <w:lang w:val="fr-FR"/>
        </w:rPr>
        <w:t>4 </w:t>
      </w:r>
      <w:r w:rsidR="00353EC0" w:rsidRPr="003B52B4">
        <w:rPr>
          <w:lang w:val="fr-FR"/>
        </w:rPr>
        <w:t>septembre 2019</w:t>
      </w:r>
      <w:bookmarkStart w:id="0" w:name="_Toc18663671"/>
    </w:p>
    <w:p w14:paraId="11298B9A" w14:textId="77777777" w:rsidR="00353EC0" w:rsidRPr="003B52B4" w:rsidRDefault="00353EC0" w:rsidP="00353EC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FR"/>
        </w:rPr>
      </w:pPr>
      <w:r w:rsidRPr="003B52B4">
        <w:rPr>
          <w:lang w:val="fr-FR"/>
        </w:rPr>
        <w:br w:type="page"/>
      </w:r>
    </w:p>
    <w:p w14:paraId="01DD51AA" w14:textId="6C8A32E2" w:rsidR="00353EC0" w:rsidRPr="003B52B4" w:rsidRDefault="00353EC0" w:rsidP="00A620BD">
      <w:pPr>
        <w:pStyle w:val="CH2"/>
        <w:jc w:val="center"/>
        <w:rPr>
          <w:rFonts w:eastAsiaTheme="minorEastAsia"/>
          <w:lang w:val="fr-FR"/>
        </w:rPr>
      </w:pPr>
      <w:r w:rsidRPr="003B52B4">
        <w:rPr>
          <w:bCs/>
          <w:lang w:val="fr-FR"/>
        </w:rPr>
        <w:t xml:space="preserve">Résumé </w:t>
      </w:r>
      <w:bookmarkEnd w:id="0"/>
      <w:r w:rsidR="004359F2" w:rsidRPr="003B52B4">
        <w:rPr>
          <w:bCs/>
          <w:lang w:val="fr-FR"/>
        </w:rPr>
        <w:t>analytique</w:t>
      </w:r>
    </w:p>
    <w:p w14:paraId="22929B82" w14:textId="1006C09D" w:rsidR="00353EC0" w:rsidRPr="003B52B4" w:rsidRDefault="00DA13B5" w:rsidP="00A620BD">
      <w:pPr>
        <w:pStyle w:val="Normalnumber"/>
        <w:rPr>
          <w:lang w:val="fr-FR"/>
        </w:rPr>
      </w:pPr>
      <w:bookmarkStart w:id="1" w:name="_Toc519159106"/>
      <w:bookmarkStart w:id="2" w:name="_Toc519159549"/>
      <w:bookmarkStart w:id="3" w:name="_Toc521069758"/>
      <w:bookmarkStart w:id="4" w:name="_Toc521071088"/>
      <w:r w:rsidRPr="003B52B4">
        <w:rPr>
          <w:lang w:val="fr-FR"/>
        </w:rPr>
        <w:t>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article </w:t>
      </w:r>
      <w:r w:rsidR="00353EC0" w:rsidRPr="003B52B4">
        <w:rPr>
          <w:lang w:val="fr-FR"/>
        </w:rPr>
        <w:t>13 de la Convention de Minamata inclut le Fonds pour l</w:t>
      </w:r>
      <w:r w:rsidR="00063446" w:rsidRPr="003B52B4">
        <w:rPr>
          <w:lang w:val="fr-FR"/>
        </w:rPr>
        <w:t>’</w:t>
      </w:r>
      <w:r w:rsidR="00353EC0" w:rsidRPr="003B52B4">
        <w:rPr>
          <w:lang w:val="fr-FR"/>
        </w:rPr>
        <w:t>environnement mondial (FEM) dans le mécanisme de financement afin que celui-ci fournisse en temps voulu des ressources financières nouvelles, prévisibles et adéquates pour couvrir les coûts de l</w:t>
      </w:r>
      <w:r w:rsidR="00063446" w:rsidRPr="003B52B4">
        <w:rPr>
          <w:lang w:val="fr-FR"/>
        </w:rPr>
        <w:t>’</w:t>
      </w:r>
      <w:r w:rsidR="00353EC0" w:rsidRPr="003B52B4">
        <w:rPr>
          <w:lang w:val="fr-FR"/>
        </w:rPr>
        <w:t>aide à la mise en œuvre de la Convention, comme convenu par la Conférence des Parties.</w:t>
      </w:r>
      <w:bookmarkEnd w:id="1"/>
      <w:bookmarkEnd w:id="2"/>
      <w:bookmarkEnd w:id="3"/>
      <w:bookmarkEnd w:id="4"/>
    </w:p>
    <w:p w14:paraId="6D649F45" w14:textId="28E6C5C8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 xml:space="preserve">Le présent rapport rend compte des activités que le FEM a menées </w:t>
      </w:r>
      <w:r w:rsidR="00A527C6" w:rsidRPr="003B52B4">
        <w:rPr>
          <w:lang w:val="fr-FR"/>
        </w:rPr>
        <w:t>entre le 1</w:t>
      </w:r>
      <w:r w:rsidR="00A527C6" w:rsidRPr="003B52B4">
        <w:rPr>
          <w:vertAlign w:val="superscript"/>
          <w:lang w:val="fr-FR"/>
        </w:rPr>
        <w:t>er</w:t>
      </w:r>
      <w:r w:rsidR="00DA13B5" w:rsidRPr="003B52B4">
        <w:rPr>
          <w:lang w:val="fr-FR"/>
        </w:rPr>
        <w:t> juillet 2018 et le 30 </w:t>
      </w:r>
      <w:r w:rsidR="00A527C6" w:rsidRPr="003B52B4">
        <w:rPr>
          <w:lang w:val="fr-FR"/>
        </w:rPr>
        <w:t xml:space="preserve">juin 2019 </w:t>
      </w:r>
      <w:r w:rsidRPr="003B52B4">
        <w:rPr>
          <w:lang w:val="fr-FR"/>
        </w:rPr>
        <w:t>dans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exercice du mandat qui lui incombe au titre de la Conv</w:t>
      </w:r>
      <w:r w:rsidR="00A527C6" w:rsidRPr="003B52B4">
        <w:rPr>
          <w:lang w:val="fr-FR"/>
        </w:rPr>
        <w:t xml:space="preserve">ention de Minamata </w:t>
      </w:r>
      <w:r w:rsidRPr="003B52B4">
        <w:rPr>
          <w:lang w:val="fr-FR"/>
        </w:rPr>
        <w:t xml:space="preserve">et de la manière dont le FEM a donné suite aux directives reçues à ce jour de la Conférence des Parties. </w:t>
      </w:r>
    </w:p>
    <w:p w14:paraId="483F1121" w14:textId="2919B218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 xml:space="preserve">Au cours de la période </w:t>
      </w:r>
      <w:r w:rsidR="00063446" w:rsidRPr="003B52B4">
        <w:rPr>
          <w:lang w:val="fr-FR"/>
        </w:rPr>
        <w:t>considérée, le FEM a approuvé 3 </w:t>
      </w:r>
      <w:r w:rsidRPr="003B52B4">
        <w:rPr>
          <w:lang w:val="fr-FR"/>
        </w:rPr>
        <w:t xml:space="preserve">projets </w:t>
      </w:r>
      <w:r w:rsidR="00063446" w:rsidRPr="003B52B4">
        <w:rPr>
          <w:lang w:val="fr-FR"/>
        </w:rPr>
        <w:t>de grande envergure couvrant 15 </w:t>
      </w:r>
      <w:r w:rsidRPr="003B52B4">
        <w:rPr>
          <w:lang w:val="fr-FR"/>
        </w:rPr>
        <w:t xml:space="preserve">pays, 1 projet de moyenne envergure couvrant un seul pays, un </w:t>
      </w:r>
      <w:r w:rsidR="00A527C6" w:rsidRPr="003B52B4">
        <w:rPr>
          <w:lang w:val="fr-FR"/>
        </w:rPr>
        <w:t>programme couvrant 27 pays et 4 </w:t>
      </w:r>
      <w:r w:rsidRPr="003B52B4">
        <w:rPr>
          <w:lang w:val="fr-FR"/>
        </w:rPr>
        <w:t>projets d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activités habilitantes couvrant un seul pays.</w:t>
      </w:r>
    </w:p>
    <w:p w14:paraId="3680EA98" w14:textId="5290A910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>Les ressources engagées durant la période considérée pour mettre en œuvre la Conventi</w:t>
      </w:r>
      <w:r w:rsidR="00DA13B5" w:rsidRPr="003B52B4">
        <w:rPr>
          <w:lang w:val="fr-FR"/>
        </w:rPr>
        <w:t>on de Minamata s</w:t>
      </w:r>
      <w:r w:rsidR="00063446" w:rsidRPr="003B52B4">
        <w:rPr>
          <w:lang w:val="fr-FR"/>
        </w:rPr>
        <w:t>’</w:t>
      </w:r>
      <w:r w:rsidR="00DA13B5" w:rsidRPr="003B52B4">
        <w:rPr>
          <w:lang w:val="fr-FR"/>
        </w:rPr>
        <w:t>élèvent à 22,6 </w:t>
      </w:r>
      <w:r w:rsidRPr="003B52B4">
        <w:rPr>
          <w:lang w:val="fr-FR"/>
        </w:rPr>
        <w:t>millions de dollars</w:t>
      </w:r>
      <w:r w:rsidRPr="003B52B4">
        <w:rPr>
          <w:vertAlign w:val="superscript"/>
          <w:lang w:val="fr-FR"/>
        </w:rPr>
        <w:footnoteReference w:id="2"/>
      </w:r>
      <w:r w:rsidRPr="003B52B4">
        <w:rPr>
          <w:lang w:val="fr-FR"/>
        </w:rPr>
        <w:t>.</w:t>
      </w:r>
    </w:p>
    <w:p w14:paraId="0AB48743" w14:textId="6943F945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>Au cours de la période considérée, les ressources du FEM ont permis de financer une évaluation initiale de la mise en œuvre</w:t>
      </w:r>
      <w:r w:rsidR="00A527C6" w:rsidRPr="003B52B4">
        <w:rPr>
          <w:lang w:val="fr-FR"/>
        </w:rPr>
        <w:t xml:space="preserve"> de la Convention de Minamata. À</w:t>
      </w:r>
      <w:r w:rsidRPr="003B52B4">
        <w:rPr>
          <w:lang w:val="fr-FR"/>
        </w:rPr>
        <w:t xml:space="preserve"> ce jour, les ressource</w:t>
      </w:r>
      <w:r w:rsidR="00A527C6" w:rsidRPr="003B52B4">
        <w:rPr>
          <w:lang w:val="fr-FR"/>
        </w:rPr>
        <w:t>s du FEM ont permis d</w:t>
      </w:r>
      <w:r w:rsidR="00063446" w:rsidRPr="003B52B4">
        <w:rPr>
          <w:lang w:val="fr-FR"/>
        </w:rPr>
        <w:t>’</w:t>
      </w:r>
      <w:r w:rsidR="00A527C6" w:rsidRPr="003B52B4">
        <w:rPr>
          <w:lang w:val="fr-FR"/>
        </w:rPr>
        <w:t>aider 111 </w:t>
      </w:r>
      <w:r w:rsidRPr="003B52B4">
        <w:rPr>
          <w:lang w:val="fr-FR"/>
        </w:rPr>
        <w:t>pays à effectuer des évaluations de ce type</w:t>
      </w:r>
      <w:r w:rsidRPr="003B52B4">
        <w:rPr>
          <w:vertAlign w:val="superscript"/>
          <w:lang w:val="fr-FR"/>
        </w:rPr>
        <w:footnoteReference w:id="3"/>
      </w:r>
      <w:r w:rsidRPr="003B52B4">
        <w:rPr>
          <w:lang w:val="fr-FR"/>
        </w:rPr>
        <w:t>.</w:t>
      </w:r>
    </w:p>
    <w:p w14:paraId="4AB5D81A" w14:textId="60DEB7C0" w:rsidR="00353EC0" w:rsidRPr="003B52B4" w:rsidRDefault="00063446" w:rsidP="00A620BD">
      <w:pPr>
        <w:pStyle w:val="Normalnumber"/>
        <w:rPr>
          <w:lang w:val="fr-FR"/>
        </w:rPr>
      </w:pPr>
      <w:r w:rsidRPr="003B52B4">
        <w:rPr>
          <w:lang w:val="fr-FR"/>
        </w:rPr>
        <w:t>Quatre </w:t>
      </w:r>
      <w:r w:rsidR="00353EC0" w:rsidRPr="003B52B4">
        <w:rPr>
          <w:lang w:val="fr-FR"/>
        </w:rPr>
        <w:t>plans d</w:t>
      </w:r>
      <w:r w:rsidRPr="003B52B4">
        <w:rPr>
          <w:lang w:val="fr-FR"/>
        </w:rPr>
        <w:t>’</w:t>
      </w:r>
      <w:r w:rsidR="00353EC0" w:rsidRPr="003B52B4">
        <w:rPr>
          <w:lang w:val="fr-FR"/>
        </w:rPr>
        <w:t>action nationaux concernant l</w:t>
      </w:r>
      <w:r w:rsidRPr="003B52B4">
        <w:rPr>
          <w:lang w:val="fr-FR"/>
        </w:rPr>
        <w:t>’</w:t>
      </w:r>
      <w:r w:rsidR="00353EC0" w:rsidRPr="003B52B4">
        <w:rPr>
          <w:lang w:val="fr-FR"/>
        </w:rPr>
        <w:t>extraction minière artisanale et à petite échelle d</w:t>
      </w:r>
      <w:r w:rsidRPr="003B52B4">
        <w:rPr>
          <w:lang w:val="fr-FR"/>
        </w:rPr>
        <w:t>’</w:t>
      </w:r>
      <w:r w:rsidR="00353EC0" w:rsidRPr="003B52B4">
        <w:rPr>
          <w:lang w:val="fr-FR"/>
        </w:rPr>
        <w:t>or ont également été facilités,</w:t>
      </w:r>
      <w:r w:rsidR="00DA13B5" w:rsidRPr="003B52B4">
        <w:rPr>
          <w:lang w:val="fr-FR"/>
        </w:rPr>
        <w:t xml:space="preserve"> 35 </w:t>
      </w:r>
      <w:r w:rsidR="00353EC0" w:rsidRPr="003B52B4">
        <w:rPr>
          <w:lang w:val="fr-FR"/>
        </w:rPr>
        <w:t>pays ayant bénéficié d</w:t>
      </w:r>
      <w:r w:rsidRPr="003B52B4">
        <w:rPr>
          <w:lang w:val="fr-FR"/>
        </w:rPr>
        <w:t>’</w:t>
      </w:r>
      <w:r w:rsidR="00353EC0" w:rsidRPr="003B52B4">
        <w:rPr>
          <w:lang w:val="fr-FR"/>
        </w:rPr>
        <w:t>un appui à ce jour.</w:t>
      </w:r>
    </w:p>
    <w:p w14:paraId="3D303137" w14:textId="0EE33485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>Les activités concernant les produits chimiques et les déchets financées par le FEM, dont celles relatives au mercure, ont permis d</w:t>
      </w:r>
      <w:r w:rsidR="00063446" w:rsidRPr="003B52B4">
        <w:rPr>
          <w:lang w:val="fr-FR"/>
        </w:rPr>
        <w:t>’obtenir 13 </w:t>
      </w:r>
      <w:r w:rsidRPr="003B52B4">
        <w:rPr>
          <w:lang w:val="fr-FR"/>
        </w:rPr>
        <w:t>dollars pour chaque dollar investi par le FEM au titre du cofinancement pendant la période considérée</w:t>
      </w:r>
      <w:r w:rsidRPr="003B52B4">
        <w:rPr>
          <w:vertAlign w:val="superscript"/>
          <w:lang w:val="fr-FR"/>
        </w:rPr>
        <w:footnoteReference w:id="4"/>
      </w:r>
      <w:r w:rsidRPr="003B52B4">
        <w:rPr>
          <w:lang w:val="fr-FR"/>
        </w:rPr>
        <w:t>.</w:t>
      </w:r>
    </w:p>
    <w:p w14:paraId="7CDCE7AA" w14:textId="47EE7E47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>Le cadre de résultats de la septième reconstitution du FEM comprend un indicateur de base pour mesurer les résultats dans le domaine des produits chimiques et des déchets</w:t>
      </w:r>
      <w:r w:rsidRPr="003B52B4">
        <w:rPr>
          <w:vertAlign w:val="superscript"/>
          <w:lang w:val="fr-FR"/>
        </w:rPr>
        <w:footnoteReference w:id="5"/>
      </w:r>
      <w:r w:rsidRPr="003B52B4">
        <w:rPr>
          <w:lang w:val="fr-FR"/>
        </w:rPr>
        <w:t>,</w:t>
      </w:r>
      <w:r w:rsidR="00DA13B5" w:rsidRPr="003B52B4">
        <w:rPr>
          <w:lang w:val="fr-FR"/>
        </w:rPr>
        <w:t xml:space="preserve"> lequel vise un objectif de 100 </w:t>
      </w:r>
      <w:r w:rsidR="00063446" w:rsidRPr="003B52B4">
        <w:rPr>
          <w:lang w:val="fr-FR"/>
        </w:rPr>
        <w:t>000 </w:t>
      </w:r>
      <w:r w:rsidRPr="003B52B4">
        <w:rPr>
          <w:lang w:val="fr-FR"/>
        </w:rPr>
        <w:t>tonnes métriques de produits chimiques et de dé</w:t>
      </w:r>
      <w:r w:rsidR="00063446" w:rsidRPr="003B52B4">
        <w:rPr>
          <w:lang w:val="fr-FR"/>
        </w:rPr>
        <w:t>chets, y compris le mercure. La </w:t>
      </w:r>
      <w:r w:rsidRPr="003B52B4">
        <w:rPr>
          <w:lang w:val="fr-FR"/>
        </w:rPr>
        <w:t>septième reconstitution ne précise pas d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objectif exprès pour le m</w:t>
      </w:r>
      <w:r w:rsidR="00A527C6" w:rsidRPr="003B52B4">
        <w:rPr>
          <w:lang w:val="fr-FR"/>
        </w:rPr>
        <w:t>ercure. Le FEM estime que l</w:t>
      </w:r>
      <w:r w:rsidRPr="003B52B4">
        <w:rPr>
          <w:lang w:val="fr-FR"/>
        </w:rPr>
        <w:t>es projets ayant été approuvés au cours de la période considérée</w:t>
      </w:r>
      <w:r w:rsidR="00A527C6" w:rsidRPr="003B52B4">
        <w:rPr>
          <w:lang w:val="fr-FR"/>
        </w:rPr>
        <w:t xml:space="preserve"> devraient concerner 1 163 tonnes de mercure</w:t>
      </w:r>
      <w:r w:rsidRPr="003B52B4">
        <w:rPr>
          <w:lang w:val="fr-FR"/>
        </w:rPr>
        <w:t>.</w:t>
      </w:r>
    </w:p>
    <w:p w14:paraId="41B0590C" w14:textId="5BEDDD4B" w:rsidR="00353EC0" w:rsidRPr="003B52B4" w:rsidRDefault="00353EC0" w:rsidP="00A620BD">
      <w:pPr>
        <w:pStyle w:val="Normalnumber"/>
        <w:rPr>
          <w:lang w:val="fr-FR"/>
        </w:rPr>
      </w:pPr>
      <w:r w:rsidRPr="003B52B4">
        <w:rPr>
          <w:lang w:val="fr-FR"/>
        </w:rPr>
        <w:t xml:space="preserve">Le FEM rend compte des progrès accomplis au regard du cadre de résultats au moyen du tableau de </w:t>
      </w:r>
      <w:r w:rsidR="00063446" w:rsidRPr="003B52B4">
        <w:rPr>
          <w:lang w:val="fr-FR"/>
        </w:rPr>
        <w:t>bord institutionnel. Le premier </w:t>
      </w:r>
      <w:r w:rsidRPr="003B52B4">
        <w:rPr>
          <w:lang w:val="fr-FR"/>
        </w:rPr>
        <w:t>t</w:t>
      </w:r>
      <w:r w:rsidR="00063446" w:rsidRPr="003B52B4">
        <w:rPr>
          <w:lang w:val="fr-FR"/>
        </w:rPr>
        <w:t>ableau de bord pour la septième </w:t>
      </w:r>
      <w:r w:rsidRPr="003B52B4">
        <w:rPr>
          <w:lang w:val="fr-FR"/>
        </w:rPr>
        <w:t>période de reconstitution du FEM a été présen</w:t>
      </w:r>
      <w:r w:rsidR="00063446" w:rsidRPr="003B52B4">
        <w:rPr>
          <w:lang w:val="fr-FR"/>
        </w:rPr>
        <w:t>té lors de la cinquante-sixième </w:t>
      </w:r>
      <w:r w:rsidRPr="003B52B4">
        <w:rPr>
          <w:lang w:val="fr-FR"/>
        </w:rPr>
        <w:t>réunion du C</w:t>
      </w:r>
      <w:r w:rsidR="00063446" w:rsidRPr="003B52B4">
        <w:rPr>
          <w:lang w:val="fr-FR"/>
        </w:rPr>
        <w:t>onseil du FEM, en juin 2019. Le </w:t>
      </w:r>
      <w:r w:rsidRPr="003B52B4">
        <w:rPr>
          <w:lang w:val="fr-FR"/>
        </w:rPr>
        <w:t xml:space="preserve">tableau de bord ne tient compte que des indicateurs de base cumulés et indique que les projets approuvés dans le domaine des produits chimiques et des déchets </w:t>
      </w:r>
      <w:r w:rsidR="00063446" w:rsidRPr="003B52B4">
        <w:rPr>
          <w:lang w:val="fr-FR"/>
        </w:rPr>
        <w:t>ont contribué à hauteur de 30,9 </w:t>
      </w:r>
      <w:r w:rsidRPr="003B52B4">
        <w:rPr>
          <w:lang w:val="fr-FR"/>
        </w:rPr>
        <w:t>% de l</w:t>
      </w:r>
      <w:r w:rsidR="00063446" w:rsidRPr="003B52B4">
        <w:rPr>
          <w:lang w:val="fr-FR"/>
        </w:rPr>
        <w:t>’</w:t>
      </w:r>
      <w:r w:rsidRPr="003B52B4">
        <w:rPr>
          <w:lang w:val="fr-FR"/>
        </w:rPr>
        <w:t>in</w:t>
      </w:r>
      <w:r w:rsidR="00063446" w:rsidRPr="003B52B4">
        <w:rPr>
          <w:lang w:val="fr-FR"/>
        </w:rPr>
        <w:t>dicateur de base de la septième </w:t>
      </w:r>
      <w:r w:rsidRPr="003B52B4">
        <w:rPr>
          <w:lang w:val="fr-FR"/>
        </w:rPr>
        <w:t>reconstitution du FEM lorsque le mercure est inclus</w:t>
      </w:r>
      <w:r w:rsidRPr="003B52B4">
        <w:rPr>
          <w:vertAlign w:val="superscript"/>
          <w:lang w:val="fr-FR"/>
        </w:rPr>
        <w:footnoteReference w:id="6"/>
      </w:r>
      <w:r w:rsidR="00063446" w:rsidRPr="003B52B4">
        <w:rPr>
          <w:lang w:val="fr-FR"/>
        </w:rPr>
        <w:t>. Il a </w:t>
      </w:r>
      <w:r w:rsidRPr="003B52B4">
        <w:rPr>
          <w:lang w:val="fr-FR"/>
        </w:rPr>
        <w:t>également montré que le FEM av</w:t>
      </w:r>
      <w:r w:rsidR="00063446" w:rsidRPr="003B52B4">
        <w:rPr>
          <w:lang w:val="fr-FR"/>
        </w:rPr>
        <w:t>ait programmé 8 </w:t>
      </w:r>
      <w:r w:rsidRPr="003B52B4">
        <w:rPr>
          <w:lang w:val="fr-FR"/>
        </w:rPr>
        <w:t xml:space="preserve">% des ressources allouées en théorie au mercure au titre de la septième reconstitution. </w:t>
      </w:r>
      <w:bookmarkStart w:id="7" w:name="_GoBack"/>
      <w:bookmarkEnd w:id="7"/>
    </w:p>
    <w:p w14:paraId="0A291C20" w14:textId="71D3070B" w:rsidR="00353EC0" w:rsidRPr="003B52B4" w:rsidRDefault="00FC3292" w:rsidP="00353EC0">
      <w:pPr>
        <w:pStyle w:val="Normalnumber"/>
        <w:rPr>
          <w:lang w:val="fr-FR"/>
        </w:rPr>
      </w:pPr>
      <w:r w:rsidRPr="003B52B4">
        <w:rPr>
          <w:lang w:val="fr-FR"/>
        </w:rPr>
        <w:t>À</w:t>
      </w:r>
      <w:r w:rsidR="00063446" w:rsidRPr="003B52B4">
        <w:rPr>
          <w:lang w:val="fr-FR"/>
        </w:rPr>
        <w:t xml:space="preserve"> sa cinquante-sixième </w:t>
      </w:r>
      <w:r w:rsidR="00353EC0" w:rsidRPr="003B52B4">
        <w:rPr>
          <w:lang w:val="fr-FR"/>
        </w:rPr>
        <w:t>réunion, le Conseil du FEM a approuvé le Mémorandum d</w:t>
      </w:r>
      <w:r w:rsidR="00063446" w:rsidRPr="003B52B4">
        <w:rPr>
          <w:lang w:val="fr-FR"/>
        </w:rPr>
        <w:t>’accord adopté par la deuxième </w:t>
      </w:r>
      <w:r w:rsidR="00353EC0" w:rsidRPr="003B52B4">
        <w:rPr>
          <w:lang w:val="fr-FR"/>
        </w:rPr>
        <w:t>Conférence des Parties et a prié le secrétariat du FEM de transmettre son approbation à la Conférence des Parties</w:t>
      </w:r>
      <w:r w:rsidR="00353EC0" w:rsidRPr="003B52B4">
        <w:rPr>
          <w:vertAlign w:val="superscript"/>
          <w:lang w:val="fr-FR"/>
        </w:rPr>
        <w:footnoteReference w:id="7"/>
      </w:r>
      <w:r w:rsidR="00353EC0" w:rsidRPr="003B52B4">
        <w:rPr>
          <w:lang w:val="fr-FR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3B52B4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3B52B4" w:rsidRDefault="00E976AB" w:rsidP="00A620BD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3B52B4" w:rsidRDefault="00E976AB" w:rsidP="00A620BD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3B52B4" w:rsidRDefault="00E976AB" w:rsidP="00A620BD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3B52B4" w:rsidRDefault="00E976AB" w:rsidP="00A620BD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3B52B4" w:rsidRDefault="00E976AB" w:rsidP="00A620BD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325E8270" w14:textId="77777777" w:rsidR="00032E4E" w:rsidRPr="003B52B4" w:rsidRDefault="00032E4E" w:rsidP="004359F2">
      <w:pPr>
        <w:pStyle w:val="Normal-pool"/>
        <w:rPr>
          <w:lang w:val="fr-FR"/>
        </w:rPr>
      </w:pPr>
    </w:p>
    <w:sectPr w:rsidR="00032E4E" w:rsidRPr="003B52B4" w:rsidSect="00353E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70470" w14:textId="77777777" w:rsidR="00402D63" w:rsidRDefault="00402D63">
      <w:r>
        <w:separator/>
      </w:r>
    </w:p>
  </w:endnote>
  <w:endnote w:type="continuationSeparator" w:id="0">
    <w:p w14:paraId="5C423954" w14:textId="77777777" w:rsidR="00402D63" w:rsidRDefault="0040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71CE222C" w:rsidR="00670FAE" w:rsidRDefault="00670FA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44D3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40E316B3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44D3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B5F1" w14:textId="3ED49503" w:rsidR="00731576" w:rsidRDefault="00731576" w:rsidP="001224E5">
    <w:pPr>
      <w:pStyle w:val="Normal-pool"/>
    </w:pPr>
    <w:r>
      <w:t>K1</w:t>
    </w:r>
    <w:r w:rsidR="000A7C0C">
      <w:t>9</w:t>
    </w:r>
    <w:r w:rsidR="0085531B">
      <w:t>0407</w:t>
    </w:r>
    <w:r w:rsidR="00DA13B5">
      <w:t>4</w:t>
    </w:r>
    <w:r>
      <w:tab/>
    </w:r>
    <w:r w:rsidR="001055BA">
      <w:t>24</w:t>
    </w:r>
    <w:r w:rsidR="009B28F3">
      <w:t>10</w:t>
    </w:r>
    <w:r w:rsidR="000A7C0C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71CA8" w14:textId="77777777" w:rsidR="00402D63" w:rsidRPr="00A620BD" w:rsidRDefault="00402D63" w:rsidP="00A620BD">
      <w:pPr>
        <w:pStyle w:val="NormalNonumber"/>
        <w:spacing w:before="60" w:after="0"/>
        <w:ind w:left="624"/>
        <w:rPr>
          <w:sz w:val="18"/>
          <w:szCs w:val="18"/>
        </w:rPr>
      </w:pPr>
      <w:r w:rsidRPr="00A620BD">
        <w:rPr>
          <w:sz w:val="18"/>
          <w:szCs w:val="18"/>
        </w:rPr>
        <w:separator/>
      </w:r>
    </w:p>
  </w:footnote>
  <w:footnote w:type="continuationSeparator" w:id="0">
    <w:p w14:paraId="16287876" w14:textId="77777777" w:rsidR="00402D63" w:rsidRDefault="00402D63">
      <w:r>
        <w:continuationSeparator/>
      </w:r>
    </w:p>
  </w:footnote>
  <w:footnote w:id="1">
    <w:p w14:paraId="54FD195B" w14:textId="77777777" w:rsidR="00353EC0" w:rsidRPr="001055BA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1055BA">
        <w:rPr>
          <w:sz w:val="18"/>
          <w:szCs w:val="18"/>
          <w:lang w:val="fr-FR"/>
        </w:rPr>
        <w:t>* UNEP/MC/COP.3/1.</w:t>
      </w:r>
    </w:p>
  </w:footnote>
  <w:footnote w:id="2">
    <w:p w14:paraId="0CC29127" w14:textId="77777777" w:rsidR="00353EC0" w:rsidRPr="00063446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vertAlign w:val="superscript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Abstraction faite des frais d’agence et des subventions au titre de la préparation de projets. </w:t>
      </w:r>
    </w:p>
  </w:footnote>
  <w:footnote w:id="3">
    <w:p w14:paraId="1F473786" w14:textId="399DAC10" w:rsidR="00353EC0" w:rsidRPr="00063446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vertAlign w:val="superscript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Le FEM a facilité le financement d'éva</w:t>
      </w:r>
      <w:r w:rsidR="00A527C6" w:rsidRPr="00063446">
        <w:rPr>
          <w:sz w:val="18"/>
          <w:szCs w:val="18"/>
          <w:lang w:val="fr-FR"/>
        </w:rPr>
        <w:t>luations initiales à partir de s</w:t>
      </w:r>
      <w:r w:rsidRPr="00063446">
        <w:rPr>
          <w:sz w:val="18"/>
          <w:szCs w:val="18"/>
          <w:lang w:val="fr-FR"/>
        </w:rPr>
        <w:t>a cinquième reconstitution.</w:t>
      </w:r>
    </w:p>
  </w:footnote>
  <w:footnote w:id="4">
    <w:p w14:paraId="0A29C58F" w14:textId="33F76447" w:rsidR="00353EC0" w:rsidRPr="00063446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vertAlign w:val="superscript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Le cofinancement </w:t>
      </w:r>
      <w:r w:rsidR="00A527C6" w:rsidRPr="00063446">
        <w:rPr>
          <w:sz w:val="18"/>
          <w:szCs w:val="18"/>
          <w:lang w:val="fr-FR"/>
        </w:rPr>
        <w:t>porte sur</w:t>
      </w:r>
      <w:r w:rsidRPr="00063446">
        <w:rPr>
          <w:sz w:val="18"/>
          <w:szCs w:val="18"/>
          <w:lang w:val="fr-FR"/>
        </w:rPr>
        <w:t xml:space="preserve"> les programmes, les projets de grande envergure, les projets de moyenne envergure et les activités habilitantes. Les subventions au titre de la préparation des projets et les frais d</w:t>
      </w:r>
      <w:r w:rsidR="00063446" w:rsidRPr="00063446">
        <w:rPr>
          <w:sz w:val="18"/>
          <w:szCs w:val="18"/>
          <w:lang w:val="fr-FR"/>
        </w:rPr>
        <w:t>’</w:t>
      </w:r>
      <w:r w:rsidRPr="00063446">
        <w:rPr>
          <w:sz w:val="18"/>
          <w:szCs w:val="18"/>
          <w:lang w:val="fr-FR"/>
        </w:rPr>
        <w:t>agence sont exclus.</w:t>
      </w:r>
      <w:bookmarkStart w:id="5" w:name="_Hlk11233537"/>
      <w:bookmarkEnd w:id="5"/>
    </w:p>
  </w:footnote>
  <w:footnote w:id="5">
    <w:p w14:paraId="7F8CA310" w14:textId="77777777" w:rsidR="00353EC0" w:rsidRPr="00063446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FEM (2018), </w:t>
      </w:r>
      <w:r w:rsidRPr="00063446">
        <w:rPr>
          <w:i/>
          <w:iCs/>
          <w:sz w:val="18"/>
          <w:szCs w:val="18"/>
          <w:lang w:val="fr-FR"/>
        </w:rPr>
        <w:t>GEF-7 Programming Directions</w:t>
      </w:r>
      <w:r w:rsidRPr="00063446">
        <w:rPr>
          <w:sz w:val="18"/>
          <w:szCs w:val="18"/>
          <w:lang w:val="fr-FR"/>
        </w:rPr>
        <w:t>, Document du Conseil GEF/R.7/19.</w:t>
      </w:r>
      <w:bookmarkStart w:id="6" w:name="_Hlk17878957"/>
      <w:bookmarkEnd w:id="6"/>
    </w:p>
  </w:footnote>
  <w:footnote w:id="6">
    <w:p w14:paraId="51588BC8" w14:textId="5D55D2A3" w:rsidR="00353EC0" w:rsidRPr="00063446" w:rsidRDefault="00353EC0" w:rsidP="00A620BD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vertAlign w:val="superscript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FEM (2019), Corporate Scorecard. Le tableau de bo</w:t>
      </w:r>
      <w:r w:rsidR="00063446" w:rsidRPr="00063446">
        <w:rPr>
          <w:sz w:val="18"/>
          <w:szCs w:val="18"/>
          <w:lang w:val="fr-FR"/>
        </w:rPr>
        <w:t>rd compile les avantages pour l’</w:t>
      </w:r>
      <w:r w:rsidRPr="00063446">
        <w:rPr>
          <w:sz w:val="18"/>
          <w:szCs w:val="18"/>
          <w:lang w:val="fr-FR"/>
        </w:rPr>
        <w:t>enviro</w:t>
      </w:r>
      <w:r w:rsidR="00063446" w:rsidRPr="00063446">
        <w:rPr>
          <w:sz w:val="18"/>
          <w:szCs w:val="18"/>
          <w:lang w:val="fr-FR"/>
        </w:rPr>
        <w:t>nnement mondial aux stades de l’</w:t>
      </w:r>
      <w:r w:rsidRPr="00063446">
        <w:rPr>
          <w:sz w:val="18"/>
          <w:szCs w:val="18"/>
          <w:lang w:val="fr-FR"/>
        </w:rPr>
        <w:t xml:space="preserve">approbation par le </w:t>
      </w:r>
      <w:r w:rsidR="00A527C6" w:rsidRPr="00063446">
        <w:rPr>
          <w:sz w:val="18"/>
          <w:szCs w:val="18"/>
          <w:lang w:val="fr-FR"/>
        </w:rPr>
        <w:t>Conseil du FEM et de l'aval du D</w:t>
      </w:r>
      <w:r w:rsidRPr="00063446">
        <w:rPr>
          <w:sz w:val="18"/>
          <w:szCs w:val="18"/>
          <w:lang w:val="fr-FR"/>
        </w:rPr>
        <w:t>irecteur général.</w:t>
      </w:r>
    </w:p>
  </w:footnote>
  <w:footnote w:id="7">
    <w:p w14:paraId="4CF751F2" w14:textId="3C1194F8" w:rsidR="00353EC0" w:rsidRPr="00063446" w:rsidRDefault="00353EC0" w:rsidP="00316FCA">
      <w:pPr>
        <w:pStyle w:val="NormalNonumber"/>
        <w:spacing w:before="20" w:after="40"/>
        <w:rPr>
          <w:sz w:val="18"/>
          <w:szCs w:val="18"/>
          <w:lang w:val="fr-FR"/>
        </w:rPr>
      </w:pPr>
      <w:r w:rsidRPr="00063446">
        <w:rPr>
          <w:sz w:val="18"/>
          <w:szCs w:val="18"/>
          <w:vertAlign w:val="superscript"/>
          <w:lang w:val="fr-FR"/>
        </w:rPr>
        <w:footnoteRef/>
      </w:r>
      <w:r w:rsidRPr="00063446">
        <w:rPr>
          <w:sz w:val="18"/>
          <w:szCs w:val="18"/>
          <w:lang w:val="fr-FR"/>
        </w:rPr>
        <w:t xml:space="preserve"> FEM (2019), Approbation du Mémorandum d’accord entre la Conférence des Parties à la Convention de Minamata sur le mercure et le Conseil du Fonds pour l’environnement mondial, Document du Conseil GEF/C.56/10/Rev.01.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00A8C728" w:rsidR="00670FAE" w:rsidRPr="00CA5CA9" w:rsidRDefault="00670FAE" w:rsidP="001224E5">
    <w:pPr>
      <w:pStyle w:val="Header-pool"/>
    </w:pPr>
    <w:r w:rsidRPr="00353EC0">
      <w:rPr>
        <w:bCs/>
      </w:rPr>
      <w:t>UNEP</w:t>
    </w:r>
    <w:r w:rsidRPr="00353EC0">
      <w:t>/MC/COP.</w:t>
    </w:r>
    <w:r w:rsidR="000A7C0C" w:rsidRPr="00353EC0">
      <w:t>3</w:t>
    </w:r>
    <w:r w:rsidRPr="00353EC0">
      <w:t>/</w:t>
    </w:r>
    <w:r w:rsidR="0085531B">
      <w:t>9/Add.1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18CA287F" w:rsidR="00670FAE" w:rsidRPr="00CA5CA9" w:rsidRDefault="00670FAE" w:rsidP="00F7137B">
    <w:pPr>
      <w:pStyle w:val="Header"/>
      <w:jc w:val="right"/>
      <w:rPr>
        <w:szCs w:val="18"/>
      </w:rPr>
    </w:pPr>
    <w:r w:rsidRPr="00353EC0">
      <w:rPr>
        <w:bCs/>
        <w:szCs w:val="18"/>
      </w:rPr>
      <w:t>UNEP</w:t>
    </w:r>
    <w:r w:rsidRPr="00353EC0">
      <w:rPr>
        <w:szCs w:val="18"/>
      </w:rPr>
      <w:t>/MC/COP.</w:t>
    </w:r>
    <w:r w:rsidR="000A7C0C" w:rsidRPr="00353EC0">
      <w:rPr>
        <w:szCs w:val="18"/>
      </w:rPr>
      <w:t>3</w:t>
    </w:r>
    <w:r w:rsidRPr="00353EC0">
      <w:rPr>
        <w:szCs w:val="18"/>
      </w:rPr>
      <w:t>/</w:t>
    </w:r>
    <w:r w:rsidR="0085531B">
      <w:rPr>
        <w:szCs w:val="18"/>
      </w:rPr>
      <w:t>9/Add.1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09C9A5B1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5A217B9"/>
    <w:multiLevelType w:val="hybridMultilevel"/>
    <w:tmpl w:val="25A209EC"/>
    <w:lvl w:ilvl="0" w:tplc="FAD096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3446"/>
    <w:rsid w:val="000649C5"/>
    <w:rsid w:val="000656E9"/>
    <w:rsid w:val="00071886"/>
    <w:rsid w:val="000742BC"/>
    <w:rsid w:val="00076CC6"/>
    <w:rsid w:val="00082A0C"/>
    <w:rsid w:val="00083504"/>
    <w:rsid w:val="0009640C"/>
    <w:rsid w:val="000A7C0C"/>
    <w:rsid w:val="000B22A2"/>
    <w:rsid w:val="000B4942"/>
    <w:rsid w:val="000B541B"/>
    <w:rsid w:val="000B73F9"/>
    <w:rsid w:val="000C2A52"/>
    <w:rsid w:val="000C2A88"/>
    <w:rsid w:val="000D33C0"/>
    <w:rsid w:val="000D4CF6"/>
    <w:rsid w:val="000D6941"/>
    <w:rsid w:val="000F4829"/>
    <w:rsid w:val="000F6B21"/>
    <w:rsid w:val="00102EFB"/>
    <w:rsid w:val="001055BA"/>
    <w:rsid w:val="001202E3"/>
    <w:rsid w:val="001224E5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20AB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6FCA"/>
    <w:rsid w:val="00317976"/>
    <w:rsid w:val="00320F2F"/>
    <w:rsid w:val="0032457E"/>
    <w:rsid w:val="00325D38"/>
    <w:rsid w:val="0035277E"/>
    <w:rsid w:val="00353EC0"/>
    <w:rsid w:val="00355EA9"/>
    <w:rsid w:val="003578DE"/>
    <w:rsid w:val="00361688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52B4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2D63"/>
    <w:rsid w:val="00410C55"/>
    <w:rsid w:val="00416854"/>
    <w:rsid w:val="00417725"/>
    <w:rsid w:val="0042266F"/>
    <w:rsid w:val="00434321"/>
    <w:rsid w:val="004359F2"/>
    <w:rsid w:val="00437F26"/>
    <w:rsid w:val="00444097"/>
    <w:rsid w:val="00445487"/>
    <w:rsid w:val="00447E0D"/>
    <w:rsid w:val="00453EA8"/>
    <w:rsid w:val="00454769"/>
    <w:rsid w:val="00461B47"/>
    <w:rsid w:val="00466991"/>
    <w:rsid w:val="0047064C"/>
    <w:rsid w:val="004822B7"/>
    <w:rsid w:val="00484226"/>
    <w:rsid w:val="0049469E"/>
    <w:rsid w:val="004A2217"/>
    <w:rsid w:val="004A24F9"/>
    <w:rsid w:val="004A42E1"/>
    <w:rsid w:val="004B162C"/>
    <w:rsid w:val="004B239D"/>
    <w:rsid w:val="004B2ABE"/>
    <w:rsid w:val="004C3DBE"/>
    <w:rsid w:val="004C442D"/>
    <w:rsid w:val="004C5C96"/>
    <w:rsid w:val="004D06A4"/>
    <w:rsid w:val="004F1A81"/>
    <w:rsid w:val="004F5D88"/>
    <w:rsid w:val="00501354"/>
    <w:rsid w:val="005031C5"/>
    <w:rsid w:val="005050D2"/>
    <w:rsid w:val="005218D9"/>
    <w:rsid w:val="00536186"/>
    <w:rsid w:val="00544CBB"/>
    <w:rsid w:val="00544D3F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0209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298B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264B2"/>
    <w:rsid w:val="00731576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361F"/>
    <w:rsid w:val="007D66A8"/>
    <w:rsid w:val="007E003F"/>
    <w:rsid w:val="007F0CF8"/>
    <w:rsid w:val="007F5E1B"/>
    <w:rsid w:val="007F62CB"/>
    <w:rsid w:val="008142EC"/>
    <w:rsid w:val="008164F2"/>
    <w:rsid w:val="00821395"/>
    <w:rsid w:val="00827F5D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5531B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1A36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28F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0ABB"/>
    <w:rsid w:val="00A1348D"/>
    <w:rsid w:val="00A13C99"/>
    <w:rsid w:val="00A232EE"/>
    <w:rsid w:val="00A4175F"/>
    <w:rsid w:val="00A44411"/>
    <w:rsid w:val="00A469FA"/>
    <w:rsid w:val="00A527C6"/>
    <w:rsid w:val="00A53662"/>
    <w:rsid w:val="00A55B01"/>
    <w:rsid w:val="00A56B5B"/>
    <w:rsid w:val="00A603FF"/>
    <w:rsid w:val="00A619B6"/>
    <w:rsid w:val="00A620BD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3331E"/>
    <w:rsid w:val="00B405B7"/>
    <w:rsid w:val="00B4247B"/>
    <w:rsid w:val="00B4288D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400F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5040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3B5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1A30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96F7E"/>
    <w:rsid w:val="00FA4972"/>
    <w:rsid w:val="00FA6BB0"/>
    <w:rsid w:val="00FB2DBD"/>
    <w:rsid w:val="00FB3758"/>
    <w:rsid w:val="00FC3292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353EC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5031C5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5031C5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16FC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E20A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D55040"/>
    <w:pPr>
      <w:numPr>
        <w:numId w:val="5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353EC0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53EC0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353EC0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353EC0"/>
    <w:rPr>
      <w:b/>
      <w:bCs/>
      <w:sz w:val="2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353EC0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53EC0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53EC0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53EC0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66B9D-C971-4279-9224-13D3A5CD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3</cp:revision>
  <cp:lastPrinted>2016-07-18T09:51:00Z</cp:lastPrinted>
  <dcterms:created xsi:type="dcterms:W3CDTF">2019-10-24T06:36:00Z</dcterms:created>
  <dcterms:modified xsi:type="dcterms:W3CDTF">2019-10-24T06:36:00Z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maite.suengas</vt:lpwstr>
  </property>
  <property fmtid="{D5CDD505-2E9C-101B-9397-08002B2CF9AE}" pid="4" name="GeneratedDate">
    <vt:lpwstr>10/9/2019 12:33:41 PM</vt:lpwstr>
  </property>
  <property fmtid="{D5CDD505-2E9C-101B-9397-08002B2CF9AE}" pid="5" name="OriginalDocID">
    <vt:lpwstr>0c66b078-db9d-4202-9faa-c30e76b03f5d</vt:lpwstr>
  </property>
</Properties>
</file>