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9"/>
        <w:gridCol w:w="4643"/>
        <w:gridCol w:w="3335"/>
      </w:tblGrid>
      <w:tr w:rsidR="00032E4E" w:rsidRPr="00353EC0" w14:paraId="4B9F0F9B" w14:textId="77777777" w:rsidTr="00CB007D">
        <w:trPr>
          <w:cantSplit/>
          <w:trHeight w:val="850"/>
          <w:jc w:val="right"/>
        </w:trPr>
        <w:tc>
          <w:tcPr>
            <w:tcW w:w="1550" w:type="dxa"/>
          </w:tcPr>
          <w:p w14:paraId="2A9B9F9D" w14:textId="5E7D4162" w:rsidR="00032E4E" w:rsidRPr="00353EC0" w:rsidRDefault="00032E4E" w:rsidP="00B8400F">
            <w:pPr>
              <w:pStyle w:val="Normal-pool"/>
              <w:rPr>
                <w:rFonts w:ascii="Arial" w:hAnsi="Arial" w:cs="Arial"/>
                <w:b/>
                <w:noProof/>
                <w:sz w:val="27"/>
                <w:szCs w:val="27"/>
              </w:rPr>
            </w:pPr>
            <w:r w:rsidRPr="00353EC0">
              <w:rPr>
                <w:rFonts w:ascii="Arial" w:hAnsi="Arial" w:cs="Arial"/>
                <w:b/>
                <w:noProof/>
                <w:sz w:val="27"/>
                <w:szCs w:val="27"/>
              </w:rPr>
              <w:t>UNITED</w:t>
            </w:r>
            <w:r w:rsidR="00F96F7E" w:rsidRPr="00353EC0">
              <w:rPr>
                <w:rFonts w:ascii="Arial" w:hAnsi="Arial" w:cs="Arial"/>
                <w:b/>
                <w:noProof/>
                <w:sz w:val="27"/>
                <w:szCs w:val="27"/>
              </w:rPr>
              <w:t xml:space="preserve"> </w:t>
            </w:r>
            <w:r w:rsidRPr="00353EC0">
              <w:rPr>
                <w:rFonts w:ascii="Arial" w:hAnsi="Arial" w:cs="Arial"/>
                <w:b/>
                <w:noProof/>
                <w:sz w:val="27"/>
                <w:szCs w:val="27"/>
              </w:rPr>
              <w:br/>
              <w:t>NATIONS</w:t>
            </w:r>
          </w:p>
        </w:tc>
        <w:tc>
          <w:tcPr>
            <w:tcW w:w="4751" w:type="dxa"/>
          </w:tcPr>
          <w:p w14:paraId="2F47229A" w14:textId="77777777" w:rsidR="00032E4E" w:rsidRPr="00353EC0" w:rsidRDefault="00032E4E" w:rsidP="00B8400F">
            <w:pPr>
              <w:pStyle w:val="Normal-pool"/>
              <w:jc w:val="right"/>
              <w:rPr>
                <w:rFonts w:ascii="Arial" w:hAnsi="Arial" w:cs="Arial"/>
                <w:b/>
              </w:rPr>
            </w:pPr>
          </w:p>
        </w:tc>
        <w:tc>
          <w:tcPr>
            <w:tcW w:w="3411" w:type="dxa"/>
          </w:tcPr>
          <w:p w14:paraId="57073C3F" w14:textId="77777777" w:rsidR="00032E4E" w:rsidRPr="00353EC0" w:rsidRDefault="00787688" w:rsidP="00B8400F">
            <w:pPr>
              <w:pStyle w:val="Normal-pool"/>
              <w:jc w:val="right"/>
              <w:rPr>
                <w:rFonts w:ascii="Arial" w:hAnsi="Arial" w:cs="Arial"/>
                <w:b/>
                <w:sz w:val="64"/>
                <w:szCs w:val="64"/>
              </w:rPr>
            </w:pPr>
            <w:r w:rsidRPr="00353EC0">
              <w:rPr>
                <w:rFonts w:ascii="Arial" w:hAnsi="Arial" w:cs="Arial"/>
                <w:b/>
                <w:sz w:val="64"/>
                <w:szCs w:val="64"/>
              </w:rPr>
              <w:t>MC</w:t>
            </w:r>
          </w:p>
        </w:tc>
      </w:tr>
      <w:tr w:rsidR="00032E4E" w:rsidRPr="00353EC0" w14:paraId="0DEAC680" w14:textId="77777777" w:rsidTr="00CB007D">
        <w:trPr>
          <w:cantSplit/>
          <w:trHeight w:val="281"/>
          <w:jc w:val="right"/>
        </w:trPr>
        <w:tc>
          <w:tcPr>
            <w:tcW w:w="1550" w:type="dxa"/>
            <w:tcBorders>
              <w:bottom w:val="single" w:sz="4" w:space="0" w:color="auto"/>
            </w:tcBorders>
          </w:tcPr>
          <w:p w14:paraId="30269B88" w14:textId="77777777" w:rsidR="00032E4E" w:rsidRPr="00353EC0" w:rsidRDefault="00032E4E" w:rsidP="00B8400F">
            <w:pPr>
              <w:pStyle w:val="Normal-pool"/>
              <w:rPr>
                <w:noProof/>
                <w:sz w:val="18"/>
                <w:szCs w:val="18"/>
              </w:rPr>
            </w:pPr>
          </w:p>
        </w:tc>
        <w:tc>
          <w:tcPr>
            <w:tcW w:w="4751" w:type="dxa"/>
            <w:tcBorders>
              <w:bottom w:val="single" w:sz="4" w:space="0" w:color="auto"/>
            </w:tcBorders>
          </w:tcPr>
          <w:p w14:paraId="54296B4D" w14:textId="77777777" w:rsidR="00032E4E" w:rsidRPr="00353EC0" w:rsidRDefault="00032E4E" w:rsidP="00B8400F">
            <w:pPr>
              <w:pStyle w:val="Normal-pool"/>
              <w:rPr>
                <w:rFonts w:ascii="Univers" w:hAnsi="Univers"/>
                <w:sz w:val="18"/>
                <w:szCs w:val="18"/>
              </w:rPr>
            </w:pPr>
          </w:p>
        </w:tc>
        <w:tc>
          <w:tcPr>
            <w:tcW w:w="3411" w:type="dxa"/>
            <w:tcBorders>
              <w:bottom w:val="single" w:sz="4" w:space="0" w:color="auto"/>
            </w:tcBorders>
          </w:tcPr>
          <w:p w14:paraId="540639F8" w14:textId="349539EF" w:rsidR="00032E4E" w:rsidRPr="00353EC0" w:rsidRDefault="00032E4E" w:rsidP="00B8400F">
            <w:pPr>
              <w:pStyle w:val="Normal-pool"/>
              <w:rPr>
                <w:noProof/>
                <w:sz w:val="18"/>
                <w:szCs w:val="18"/>
              </w:rPr>
            </w:pPr>
            <w:r w:rsidRPr="00353EC0">
              <w:rPr>
                <w:b/>
                <w:bCs/>
                <w:sz w:val="28"/>
              </w:rPr>
              <w:t>UNEP</w:t>
            </w:r>
            <w:bookmarkStart w:id="0" w:name="OLE_LINK1"/>
            <w:bookmarkStart w:id="1" w:name="OLE_LINK2"/>
            <w:r w:rsidR="00787688" w:rsidRPr="00353EC0">
              <w:rPr>
                <w:bCs/>
              </w:rPr>
              <w:t>/</w:t>
            </w:r>
            <w:r w:rsidR="00787688" w:rsidRPr="00353EC0">
              <w:t>MC</w:t>
            </w:r>
            <w:r w:rsidRPr="00353EC0">
              <w:t>/</w:t>
            </w:r>
            <w:bookmarkEnd w:id="0"/>
            <w:bookmarkEnd w:id="1"/>
            <w:r w:rsidR="00787688" w:rsidRPr="00353EC0">
              <w:t>COP.</w:t>
            </w:r>
            <w:r w:rsidR="000A7C0C" w:rsidRPr="00353EC0">
              <w:t>3</w:t>
            </w:r>
            <w:r w:rsidRPr="00353EC0">
              <w:t>/</w:t>
            </w:r>
            <w:r w:rsidR="00353EC0">
              <w:t>9/Add.1</w:t>
            </w:r>
          </w:p>
        </w:tc>
      </w:tr>
      <w:bookmarkStart w:id="2" w:name="_MON_1021710510"/>
      <w:bookmarkEnd w:id="2"/>
      <w:bookmarkStart w:id="3" w:name="_MON_1021710482"/>
      <w:bookmarkEnd w:id="3"/>
      <w:tr w:rsidR="00032E4E" w:rsidRPr="00353EC0"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353EC0" w:rsidRDefault="008B1A36" w:rsidP="00B8400F">
            <w:pPr>
              <w:pStyle w:val="Normal-pool"/>
              <w:rPr>
                <w:noProof/>
              </w:rPr>
            </w:pPr>
            <w:r w:rsidRPr="00353EC0">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9pt;height:60.65pt;mso-width-percent:0;mso-height-percent:0;mso-width-percent:0;mso-height-percent:0" o:ole="" fillcolor="window">
                  <v:imagedata r:id="rId8" o:title=""/>
                </v:shape>
                <o:OLEObject Type="Embed" ProgID="Word.Picture.8" ShapeID="_x0000_i1025" DrawAspect="Content" ObjectID="_1633413489" r:id="rId9"/>
              </w:object>
            </w:r>
            <w:r w:rsidR="00011A16" w:rsidRPr="00353EC0">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353EC0" w:rsidRDefault="00032E4E" w:rsidP="00B8400F">
            <w:pPr>
              <w:pStyle w:val="Normal-pool"/>
              <w:spacing w:before="1200"/>
              <w:rPr>
                <w:rFonts w:ascii="Arial" w:hAnsi="Arial" w:cs="Arial"/>
                <w:b/>
                <w:sz w:val="28"/>
              </w:rPr>
            </w:pPr>
            <w:r w:rsidRPr="00353EC0">
              <w:rPr>
                <w:rFonts w:ascii="Arial" w:hAnsi="Arial" w:cs="Arial"/>
                <w:b/>
                <w:sz w:val="32"/>
                <w:szCs w:val="32"/>
              </w:rPr>
              <w:t>United Nations</w:t>
            </w:r>
            <w:r w:rsidR="005B2DF4" w:rsidRPr="00353EC0">
              <w:rPr>
                <w:rFonts w:ascii="Arial" w:hAnsi="Arial" w:cs="Arial"/>
                <w:b/>
                <w:sz w:val="32"/>
                <w:szCs w:val="32"/>
              </w:rPr>
              <w:t xml:space="preserve"> </w:t>
            </w:r>
            <w:r w:rsidRPr="00353EC0">
              <w:rPr>
                <w:rFonts w:ascii="Arial" w:hAnsi="Arial" w:cs="Arial"/>
                <w:b/>
                <w:sz w:val="32"/>
                <w:szCs w:val="32"/>
              </w:rPr>
              <w:br w:type="textWrapping" w:clear="all"/>
              <w:t>Environment</w:t>
            </w:r>
            <w:r w:rsidR="005B2DF4" w:rsidRPr="00353EC0">
              <w:rPr>
                <w:rFonts w:ascii="Arial" w:hAnsi="Arial" w:cs="Arial"/>
                <w:b/>
                <w:sz w:val="32"/>
                <w:szCs w:val="32"/>
              </w:rPr>
              <w:t xml:space="preserve"> </w:t>
            </w:r>
            <w:r w:rsidRPr="00353EC0">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75C3F95D" w:rsidR="00032E4E" w:rsidRPr="00353EC0" w:rsidRDefault="00032E4E" w:rsidP="00B8400F">
            <w:pPr>
              <w:pStyle w:val="Normal-pool"/>
              <w:spacing w:before="120"/>
            </w:pPr>
            <w:r w:rsidRPr="00353EC0">
              <w:t>Distr.: General</w:t>
            </w:r>
            <w:r w:rsidR="005B2DF4" w:rsidRPr="00353EC0">
              <w:t xml:space="preserve"> </w:t>
            </w:r>
            <w:r w:rsidR="00F96F7E" w:rsidRPr="00353EC0">
              <w:br/>
            </w:r>
            <w:r w:rsidR="00316FCA">
              <w:t xml:space="preserve">16 </w:t>
            </w:r>
            <w:r w:rsidR="00353EC0">
              <w:t>September</w:t>
            </w:r>
            <w:r w:rsidR="000A7C0C" w:rsidRPr="00353EC0">
              <w:t xml:space="preserve"> </w:t>
            </w:r>
            <w:r w:rsidR="0042266F" w:rsidRPr="00353EC0">
              <w:t>201</w:t>
            </w:r>
            <w:r w:rsidR="000A7C0C" w:rsidRPr="00353EC0">
              <w:t>9</w:t>
            </w:r>
          </w:p>
          <w:p w14:paraId="1A75CF9D" w14:textId="77777777" w:rsidR="00032E4E" w:rsidRPr="00353EC0" w:rsidRDefault="00032E4E" w:rsidP="00B8400F">
            <w:pPr>
              <w:pStyle w:val="Normal-pool"/>
              <w:spacing w:before="120"/>
            </w:pPr>
            <w:r w:rsidRPr="00353EC0">
              <w:t>Original: English</w:t>
            </w:r>
          </w:p>
        </w:tc>
      </w:tr>
    </w:tbl>
    <w:p w14:paraId="0A4BFFDA" w14:textId="30575E0E" w:rsidR="00E976AB" w:rsidRPr="00353EC0" w:rsidRDefault="00CB007D" w:rsidP="00E976AB">
      <w:pPr>
        <w:pStyle w:val="AATitle"/>
        <w:keepNext w:val="0"/>
        <w:keepLines w:val="0"/>
      </w:pPr>
      <w:r w:rsidRPr="00353EC0">
        <w:t>Conference of the Parties to the</w:t>
      </w:r>
      <w:r w:rsidR="005B2DF4" w:rsidRPr="00353EC0">
        <w:t xml:space="preserve"> </w:t>
      </w:r>
      <w:r w:rsidR="005B2DF4" w:rsidRPr="00353EC0">
        <w:br/>
      </w:r>
      <w:r w:rsidR="00787688" w:rsidRPr="00353EC0">
        <w:t>Minamata Convention on Mercury</w:t>
      </w:r>
    </w:p>
    <w:p w14:paraId="26A6CAA0" w14:textId="65393398" w:rsidR="00E976AB" w:rsidRPr="00353EC0" w:rsidRDefault="00F96F7E" w:rsidP="00E976AB">
      <w:pPr>
        <w:pStyle w:val="AATitle"/>
        <w:keepNext w:val="0"/>
        <w:keepLines w:val="0"/>
      </w:pPr>
      <w:r w:rsidRPr="00353EC0">
        <w:t>Third</w:t>
      </w:r>
      <w:r w:rsidR="00787688" w:rsidRPr="00353EC0">
        <w:t xml:space="preserve"> meeting</w:t>
      </w:r>
    </w:p>
    <w:p w14:paraId="67B82F12" w14:textId="15AA025C" w:rsidR="00787688" w:rsidRPr="00353EC0" w:rsidRDefault="00787688" w:rsidP="00434321">
      <w:pPr>
        <w:pStyle w:val="AATitle"/>
        <w:rPr>
          <w:b w:val="0"/>
        </w:rPr>
      </w:pPr>
      <w:r w:rsidRPr="00353EC0">
        <w:rPr>
          <w:b w:val="0"/>
        </w:rPr>
        <w:t>Geneva</w:t>
      </w:r>
      <w:r w:rsidR="00E976AB" w:rsidRPr="00353EC0">
        <w:rPr>
          <w:b w:val="0"/>
        </w:rPr>
        <w:t xml:space="preserve">, </w:t>
      </w:r>
      <w:r w:rsidR="000A7C0C" w:rsidRPr="00353EC0">
        <w:rPr>
          <w:b w:val="0"/>
        </w:rPr>
        <w:t>25</w:t>
      </w:r>
      <w:r w:rsidR="00325D38" w:rsidRPr="00353EC0">
        <w:rPr>
          <w:b w:val="0"/>
        </w:rPr>
        <w:t>–</w:t>
      </w:r>
      <w:r w:rsidR="000A7C0C" w:rsidRPr="00353EC0">
        <w:rPr>
          <w:b w:val="0"/>
        </w:rPr>
        <w:t>29</w:t>
      </w:r>
      <w:r w:rsidR="00325D38" w:rsidRPr="00353EC0">
        <w:rPr>
          <w:b w:val="0"/>
        </w:rPr>
        <w:t xml:space="preserve"> </w:t>
      </w:r>
      <w:r w:rsidR="00434321" w:rsidRPr="00353EC0">
        <w:rPr>
          <w:b w:val="0"/>
        </w:rPr>
        <w:t>November 201</w:t>
      </w:r>
      <w:r w:rsidR="000A7C0C" w:rsidRPr="00353EC0">
        <w:rPr>
          <w:b w:val="0"/>
        </w:rPr>
        <w:t>9</w:t>
      </w:r>
    </w:p>
    <w:p w14:paraId="41BD102B" w14:textId="77777777" w:rsidR="00353EC0" w:rsidRPr="00B4247B" w:rsidRDefault="00353EC0" w:rsidP="00353EC0">
      <w:pPr>
        <w:pStyle w:val="AATitle"/>
        <w:rPr>
          <w:b w:val="0"/>
        </w:rPr>
      </w:pPr>
      <w:r w:rsidRPr="00B4247B">
        <w:rPr>
          <w:b w:val="0"/>
        </w:rPr>
        <w:t>Item 5 (e) (</w:t>
      </w:r>
      <w:proofErr w:type="spellStart"/>
      <w:r w:rsidRPr="00B4247B">
        <w:rPr>
          <w:b w:val="0"/>
        </w:rPr>
        <w:t>i</w:t>
      </w:r>
      <w:proofErr w:type="spellEnd"/>
      <w:r w:rsidRPr="00B4247B">
        <w:rPr>
          <w:b w:val="0"/>
        </w:rPr>
        <w:t>) of the provisional agenda</w:t>
      </w:r>
      <w:r w:rsidRPr="00B4247B">
        <w:rPr>
          <w:b w:val="0"/>
        </w:rPr>
        <w:footnoteReference w:customMarkFollows="1" w:id="1"/>
        <w:t>*</w:t>
      </w:r>
    </w:p>
    <w:p w14:paraId="0D221D43" w14:textId="620E2F98" w:rsidR="00353EC0" w:rsidRPr="006B7BBD" w:rsidRDefault="00353EC0" w:rsidP="00353EC0">
      <w:pPr>
        <w:pStyle w:val="AATitle2"/>
      </w:pPr>
      <w:r w:rsidRPr="006B7BBD">
        <w:t xml:space="preserve">Matters for consideration or action by the </w:t>
      </w:r>
      <w:r w:rsidR="004C442D">
        <w:br/>
      </w:r>
      <w:r w:rsidRPr="006B7BBD">
        <w:t xml:space="preserve">Conference of the Parties: financial mechanism: </w:t>
      </w:r>
      <w:r w:rsidR="004C442D">
        <w:br/>
      </w:r>
      <w:r w:rsidRPr="006B7BBD">
        <w:t>Global Environment Facility</w:t>
      </w:r>
    </w:p>
    <w:p w14:paraId="70C94C6F" w14:textId="5F6781EC" w:rsidR="00353EC0" w:rsidRPr="006B7BBD" w:rsidRDefault="00353EC0" w:rsidP="00353EC0">
      <w:pPr>
        <w:pStyle w:val="BBTitle"/>
      </w:pPr>
      <w:r w:rsidRPr="006B7BBD">
        <w:t xml:space="preserve">Executive </w:t>
      </w:r>
      <w:r w:rsidR="00DF1A30">
        <w:t>s</w:t>
      </w:r>
      <w:r w:rsidRPr="006B7BBD">
        <w:t xml:space="preserve">ummary of the </w:t>
      </w:r>
      <w:r w:rsidR="00DF1A30">
        <w:t>r</w:t>
      </w:r>
      <w:r w:rsidRPr="006B7BBD">
        <w:t>eport of the Council of the Global Environment Facility to the Conference of the Parties at its third meeting</w:t>
      </w:r>
    </w:p>
    <w:p w14:paraId="758627E5" w14:textId="77777777" w:rsidR="00353EC0" w:rsidRPr="006B7BBD" w:rsidRDefault="00353EC0" w:rsidP="00353EC0">
      <w:pPr>
        <w:pStyle w:val="CH2"/>
      </w:pPr>
      <w:r w:rsidRPr="006B7BBD">
        <w:tab/>
      </w:r>
      <w:r w:rsidRPr="006B7BBD">
        <w:tab/>
        <w:t>Note by the secretariat</w:t>
      </w:r>
    </w:p>
    <w:p w14:paraId="36B579D9" w14:textId="271C426B" w:rsidR="00353EC0" w:rsidRDefault="00353EC0" w:rsidP="004C442D">
      <w:pPr>
        <w:pStyle w:val="NormalNonumber"/>
      </w:pPr>
      <w:r w:rsidRPr="006B7BBD">
        <w:t xml:space="preserve">The </w:t>
      </w:r>
      <w:r w:rsidR="00DF1A30" w:rsidRPr="004C442D">
        <w:t>e</w:t>
      </w:r>
      <w:r w:rsidRPr="004C442D">
        <w:t>xecutive</w:t>
      </w:r>
      <w:r w:rsidRPr="006B7BBD">
        <w:t xml:space="preserve"> </w:t>
      </w:r>
      <w:r w:rsidR="00DF1A30">
        <w:t>s</w:t>
      </w:r>
      <w:r w:rsidRPr="006B7BBD">
        <w:t xml:space="preserve">ummary of the </w:t>
      </w:r>
      <w:r w:rsidR="00DF1A30">
        <w:t>r</w:t>
      </w:r>
      <w:r w:rsidRPr="006B7BBD">
        <w:t xml:space="preserve">eport of the Council of the Global Environment Facility to the Conference of the Parties </w:t>
      </w:r>
      <w:r w:rsidR="00DF1A30">
        <w:t xml:space="preserve">to the Minamata Convention on Mercury </w:t>
      </w:r>
      <w:r w:rsidRPr="006B7BBD">
        <w:t>at its third meeting</w:t>
      </w:r>
      <w:r w:rsidR="00DF1A30">
        <w:t xml:space="preserve"> is set out in the annex to the present note</w:t>
      </w:r>
      <w:r w:rsidRPr="006B7BBD">
        <w:t xml:space="preserve">. The </w:t>
      </w:r>
      <w:r w:rsidR="00DF1A30">
        <w:t>annex</w:t>
      </w:r>
      <w:r w:rsidR="00DF1A30" w:rsidRPr="006B7BBD">
        <w:t xml:space="preserve"> </w:t>
      </w:r>
      <w:r w:rsidRPr="006B7BBD">
        <w:t xml:space="preserve">is </w:t>
      </w:r>
      <w:r w:rsidR="00DF1A30">
        <w:t>reproduced</w:t>
      </w:r>
      <w:r w:rsidR="00DF1A30" w:rsidRPr="006B7BBD">
        <w:t xml:space="preserve"> </w:t>
      </w:r>
      <w:r w:rsidRPr="006B7BBD">
        <w:t>as received</w:t>
      </w:r>
      <w:r w:rsidR="00DF1A30">
        <w:t>,</w:t>
      </w:r>
      <w:r w:rsidRPr="006B7BBD">
        <w:t xml:space="preserve"> without</w:t>
      </w:r>
      <w:r w:rsidR="00DF1A30">
        <w:t xml:space="preserve"> formal</w:t>
      </w:r>
      <w:r w:rsidRPr="006B7BBD">
        <w:t xml:space="preserve"> editing. The full report is </w:t>
      </w:r>
      <w:r w:rsidR="00DF1A30">
        <w:t>set out in the annex to document</w:t>
      </w:r>
      <w:r w:rsidRPr="006B7BBD">
        <w:t xml:space="preserve"> UNEP/MC/COP.3/INF.2.</w:t>
      </w:r>
    </w:p>
    <w:p w14:paraId="6B1044D5" w14:textId="77777777" w:rsidR="00353EC0" w:rsidRPr="006B7BBD" w:rsidRDefault="00353EC0" w:rsidP="00353EC0">
      <w:pPr>
        <w:tabs>
          <w:tab w:val="clear" w:pos="1247"/>
          <w:tab w:val="clear" w:pos="1814"/>
          <w:tab w:val="clear" w:pos="2381"/>
          <w:tab w:val="clear" w:pos="2948"/>
          <w:tab w:val="clear" w:pos="3515"/>
        </w:tabs>
      </w:pPr>
      <w:r w:rsidRPr="006B7BBD">
        <w:br w:type="page"/>
      </w:r>
    </w:p>
    <w:p w14:paraId="6A2D98C3" w14:textId="022CCDBB" w:rsidR="00353EC0" w:rsidRPr="006B7BBD" w:rsidRDefault="00353EC0" w:rsidP="00353EC0">
      <w:pPr>
        <w:pStyle w:val="ZZAnxheader"/>
      </w:pPr>
      <w:r w:rsidRPr="006B7BBD">
        <w:lastRenderedPageBreak/>
        <w:t xml:space="preserve">Annex </w:t>
      </w:r>
    </w:p>
    <w:p w14:paraId="724A5491" w14:textId="3CC77BA4" w:rsidR="00353EC0" w:rsidRPr="006B7BBD" w:rsidRDefault="00353EC0" w:rsidP="00353EC0">
      <w:pPr>
        <w:pStyle w:val="ZZAnxtitle"/>
      </w:pPr>
      <w:r w:rsidRPr="006B7BBD">
        <w:t>Executive summary of the report of the Council of the Global Environment Facility to the Conference of the Parties to the Minamata Convention on Mercury</w:t>
      </w:r>
      <w:r w:rsidR="00DF1A30">
        <w:t xml:space="preserve"> at its third meeting</w:t>
      </w:r>
    </w:p>
    <w:p w14:paraId="289B35D0" w14:textId="77777777" w:rsidR="00353EC0" w:rsidRPr="0085531B" w:rsidRDefault="00353EC0" w:rsidP="0085531B">
      <w:pPr>
        <w:pStyle w:val="Normal-pool"/>
      </w:pPr>
    </w:p>
    <w:p w14:paraId="656C3F35" w14:textId="77777777" w:rsidR="00353EC0" w:rsidRPr="006B7BBD" w:rsidRDefault="00353EC0" w:rsidP="00353EC0">
      <w:pPr>
        <w:tabs>
          <w:tab w:val="clear" w:pos="1247"/>
          <w:tab w:val="clear" w:pos="1814"/>
          <w:tab w:val="clear" w:pos="2381"/>
          <w:tab w:val="clear" w:pos="2948"/>
          <w:tab w:val="clear" w:pos="3515"/>
        </w:tabs>
      </w:pPr>
      <w:r w:rsidRPr="006B7BBD">
        <w:br w:type="page"/>
      </w:r>
    </w:p>
    <w:p w14:paraId="04C1BB82" w14:textId="77777777" w:rsidR="00353EC0" w:rsidRPr="006B7BBD" w:rsidRDefault="00353EC0" w:rsidP="00353EC0">
      <w:pPr>
        <w:pStyle w:val="BodyText"/>
        <w:jc w:val="center"/>
      </w:pPr>
      <w:r w:rsidRPr="006B7BBD">
        <w:rPr>
          <w:noProof/>
          <w:lang w:val="en-GB" w:eastAsia="en-GB"/>
        </w:rPr>
        <w:lastRenderedPageBreak/>
        <w:drawing>
          <wp:inline distT="0" distB="0" distL="0" distR="0" wp14:anchorId="45CFF1DD" wp14:editId="557E869F">
            <wp:extent cx="4362450" cy="963632"/>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EF_Brand_Long_Col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67300" cy="964703"/>
                    </a:xfrm>
                    <a:prstGeom prst="rect">
                      <a:avLst/>
                    </a:prstGeom>
                  </pic:spPr>
                </pic:pic>
              </a:graphicData>
            </a:graphic>
          </wp:inline>
        </w:drawing>
      </w:r>
    </w:p>
    <w:p w14:paraId="1743293E" w14:textId="77777777" w:rsidR="00353EC0" w:rsidRPr="006B7BBD" w:rsidRDefault="00353EC0" w:rsidP="00353EC0">
      <w:pPr>
        <w:pStyle w:val="BodyText"/>
      </w:pPr>
    </w:p>
    <w:p w14:paraId="06920026" w14:textId="77777777" w:rsidR="00353EC0" w:rsidRPr="006B7BBD" w:rsidRDefault="00353EC0" w:rsidP="00353EC0">
      <w:pPr>
        <w:pStyle w:val="BodyText"/>
      </w:pPr>
    </w:p>
    <w:p w14:paraId="2A1C765E" w14:textId="77777777" w:rsidR="00353EC0" w:rsidRPr="006B7BBD" w:rsidRDefault="00353EC0" w:rsidP="00353EC0">
      <w:pPr>
        <w:pStyle w:val="BodyText"/>
      </w:pPr>
    </w:p>
    <w:p w14:paraId="20F5AF58" w14:textId="77777777" w:rsidR="00353EC0" w:rsidRPr="006B7BBD" w:rsidRDefault="00353EC0" w:rsidP="00353EC0">
      <w:pPr>
        <w:pStyle w:val="BodyText"/>
        <w:spacing w:before="2"/>
      </w:pPr>
      <w:r w:rsidRPr="006B7BBD">
        <w:rPr>
          <w:noProof/>
          <w:lang w:val="en-GB" w:eastAsia="en-GB"/>
        </w:rPr>
        <mc:AlternateContent>
          <mc:Choice Requires="wps">
            <w:drawing>
              <wp:anchor distT="0" distB="0" distL="0" distR="0" simplePos="0" relativeHeight="251659264" behindDoc="0" locked="0" layoutInCell="1" allowOverlap="1" wp14:anchorId="71FF6BB5" wp14:editId="6ED3F8CF">
                <wp:simplePos x="0" y="0"/>
                <wp:positionH relativeFrom="page">
                  <wp:posOffset>838200</wp:posOffset>
                </wp:positionH>
                <wp:positionV relativeFrom="paragraph">
                  <wp:posOffset>120650</wp:posOffset>
                </wp:positionV>
                <wp:extent cx="6090920" cy="0"/>
                <wp:effectExtent l="19050" t="16510" r="14605" b="21590"/>
                <wp:wrapTopAndBottom/>
                <wp:docPr id="4"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920" cy="0"/>
                        </a:xfrm>
                        <a:prstGeom prst="line">
                          <a:avLst/>
                        </a:prstGeom>
                        <a:noFill/>
                        <a:ln w="277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line w14:anchorId="1C41017E" id="Line 267"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pt,9.5pt" to="545.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" strokeweight=".77047mm">
                <w10:wrap type="topAndBottom" anchorx="page"/>
              </v:line>
            </w:pict>
          </mc:Fallback>
        </mc:AlternateContent>
      </w:r>
    </w:p>
    <w:p w14:paraId="0C54897B" w14:textId="77777777" w:rsidR="00353EC0" w:rsidRPr="006B7BBD" w:rsidRDefault="00353EC0" w:rsidP="00353EC0">
      <w:pPr>
        <w:pStyle w:val="BodyText"/>
      </w:pPr>
    </w:p>
    <w:p w14:paraId="222AE43D" w14:textId="77777777" w:rsidR="00353EC0" w:rsidRPr="006B7BBD" w:rsidRDefault="00353EC0" w:rsidP="00353EC0">
      <w:pPr>
        <w:pStyle w:val="BodyText"/>
      </w:pPr>
    </w:p>
    <w:p w14:paraId="6282C69C" w14:textId="77777777" w:rsidR="00353EC0" w:rsidRPr="006B7BBD" w:rsidRDefault="00353EC0" w:rsidP="00353EC0">
      <w:pPr>
        <w:pStyle w:val="BodyText"/>
      </w:pPr>
    </w:p>
    <w:p w14:paraId="4E0A2F54" w14:textId="77777777" w:rsidR="00353EC0" w:rsidRPr="006B7BBD" w:rsidRDefault="00353EC0" w:rsidP="00353EC0">
      <w:pPr>
        <w:pStyle w:val="BodyText"/>
      </w:pPr>
    </w:p>
    <w:p w14:paraId="77C68F7D" w14:textId="77777777" w:rsidR="00353EC0" w:rsidRPr="006B7BBD" w:rsidRDefault="00353EC0" w:rsidP="00353EC0">
      <w:pPr>
        <w:pStyle w:val="BodyText"/>
      </w:pPr>
    </w:p>
    <w:p w14:paraId="177BB6C8" w14:textId="77777777" w:rsidR="00353EC0" w:rsidRPr="006B7BBD" w:rsidRDefault="00353EC0" w:rsidP="00353EC0">
      <w:pPr>
        <w:pStyle w:val="BodyText"/>
      </w:pPr>
    </w:p>
    <w:p w14:paraId="001FE09D" w14:textId="77777777" w:rsidR="00353EC0" w:rsidRPr="006B7BBD" w:rsidRDefault="00353EC0" w:rsidP="00353EC0">
      <w:pPr>
        <w:pStyle w:val="BodyText"/>
      </w:pPr>
    </w:p>
    <w:p w14:paraId="61F8A539" w14:textId="77777777" w:rsidR="00353EC0" w:rsidRPr="006B7BBD" w:rsidRDefault="00353EC0" w:rsidP="00353EC0">
      <w:pPr>
        <w:pStyle w:val="BodyText"/>
      </w:pPr>
    </w:p>
    <w:p w14:paraId="1AE772C6" w14:textId="77777777" w:rsidR="00353EC0" w:rsidRPr="006B7BBD" w:rsidRDefault="00353EC0" w:rsidP="00353EC0">
      <w:pPr>
        <w:pStyle w:val="BodyText"/>
      </w:pPr>
    </w:p>
    <w:p w14:paraId="3C2AC97B" w14:textId="77777777" w:rsidR="00353EC0" w:rsidRPr="006B7BBD" w:rsidRDefault="00353EC0" w:rsidP="00353EC0">
      <w:pPr>
        <w:pStyle w:val="BodyText"/>
      </w:pPr>
    </w:p>
    <w:p w14:paraId="50804C53" w14:textId="77777777" w:rsidR="00353EC0" w:rsidRPr="006B7BBD" w:rsidRDefault="00353EC0" w:rsidP="00353EC0">
      <w:pPr>
        <w:pStyle w:val="BodyText"/>
      </w:pPr>
    </w:p>
    <w:p w14:paraId="64FCE16B" w14:textId="77777777" w:rsidR="00353EC0" w:rsidRPr="006B7BBD" w:rsidRDefault="00353EC0" w:rsidP="00353EC0">
      <w:pPr>
        <w:pStyle w:val="BodyText"/>
      </w:pPr>
    </w:p>
    <w:p w14:paraId="5460BAD5" w14:textId="77777777" w:rsidR="00353EC0" w:rsidRPr="006B7BBD" w:rsidRDefault="00353EC0" w:rsidP="00353EC0">
      <w:pPr>
        <w:pStyle w:val="BodyText"/>
      </w:pPr>
    </w:p>
    <w:p w14:paraId="1DEC6BFA" w14:textId="77777777" w:rsidR="00353EC0" w:rsidRPr="006B7BBD" w:rsidRDefault="00353EC0" w:rsidP="00353EC0">
      <w:pPr>
        <w:pStyle w:val="BodyText"/>
      </w:pPr>
    </w:p>
    <w:p w14:paraId="11F70D32" w14:textId="77777777" w:rsidR="00353EC0" w:rsidRPr="006B7BBD" w:rsidRDefault="00353EC0" w:rsidP="00353EC0">
      <w:pPr>
        <w:pStyle w:val="BodyText"/>
      </w:pPr>
    </w:p>
    <w:p w14:paraId="4DC1F38E" w14:textId="77777777" w:rsidR="00353EC0" w:rsidRPr="00A620BD" w:rsidRDefault="00353EC0" w:rsidP="00353EC0">
      <w:pPr>
        <w:spacing w:before="250"/>
        <w:ind w:left="1365" w:right="1351"/>
        <w:jc w:val="center"/>
        <w:rPr>
          <w:b/>
          <w:sz w:val="28"/>
          <w:szCs w:val="28"/>
        </w:rPr>
      </w:pPr>
      <w:r w:rsidRPr="00A620BD">
        <w:rPr>
          <w:b/>
          <w:sz w:val="28"/>
          <w:szCs w:val="28"/>
        </w:rPr>
        <w:t>Report of the Global Environment Facility</w:t>
      </w:r>
    </w:p>
    <w:p w14:paraId="24A977DD" w14:textId="77777777" w:rsidR="00353EC0" w:rsidRPr="00A620BD" w:rsidRDefault="00353EC0" w:rsidP="00353EC0">
      <w:pPr>
        <w:spacing w:before="1"/>
        <w:ind w:left="1369" w:right="1351"/>
        <w:jc w:val="center"/>
        <w:rPr>
          <w:b/>
          <w:sz w:val="28"/>
          <w:szCs w:val="28"/>
        </w:rPr>
      </w:pPr>
      <w:r w:rsidRPr="00A620BD">
        <w:rPr>
          <w:b/>
          <w:sz w:val="28"/>
          <w:szCs w:val="28"/>
        </w:rPr>
        <w:t>to the Third Meeting of the Conference of the Parties to the Minamata Convention on Mercury</w:t>
      </w:r>
    </w:p>
    <w:p w14:paraId="146814A2" w14:textId="77777777" w:rsidR="00353EC0" w:rsidRPr="006B7BBD" w:rsidRDefault="00353EC0" w:rsidP="00353EC0">
      <w:pPr>
        <w:pStyle w:val="BodyText"/>
        <w:ind w:left="1368" w:right="1351"/>
        <w:jc w:val="center"/>
      </w:pPr>
    </w:p>
    <w:p w14:paraId="77EC38EE" w14:textId="77777777" w:rsidR="00353EC0" w:rsidRPr="006B7BBD" w:rsidRDefault="00353EC0" w:rsidP="00353EC0">
      <w:pPr>
        <w:pStyle w:val="BodyText"/>
        <w:ind w:left="1368" w:right="1351"/>
        <w:jc w:val="center"/>
      </w:pPr>
    </w:p>
    <w:p w14:paraId="3C50F780" w14:textId="77777777" w:rsidR="00353EC0" w:rsidRPr="006B7BBD" w:rsidRDefault="00353EC0" w:rsidP="00353EC0">
      <w:pPr>
        <w:pStyle w:val="BodyText"/>
        <w:ind w:left="1368" w:right="1351"/>
        <w:jc w:val="center"/>
      </w:pPr>
    </w:p>
    <w:p w14:paraId="0933B8DA" w14:textId="77777777" w:rsidR="00353EC0" w:rsidRPr="006B7BBD" w:rsidRDefault="00353EC0" w:rsidP="00353EC0">
      <w:pPr>
        <w:pStyle w:val="BodyText"/>
        <w:ind w:left="1368" w:right="1351"/>
        <w:jc w:val="center"/>
      </w:pPr>
    </w:p>
    <w:p w14:paraId="20474463" w14:textId="77777777" w:rsidR="00353EC0" w:rsidRPr="006B7BBD" w:rsidRDefault="00353EC0" w:rsidP="00353EC0">
      <w:pPr>
        <w:pStyle w:val="BodyText"/>
        <w:ind w:left="1368" w:right="1351"/>
        <w:jc w:val="center"/>
      </w:pPr>
    </w:p>
    <w:p w14:paraId="69173E7D" w14:textId="77777777" w:rsidR="00353EC0" w:rsidRPr="006B7BBD" w:rsidRDefault="00353EC0" w:rsidP="00353EC0">
      <w:pPr>
        <w:pStyle w:val="BodyText"/>
        <w:ind w:left="1368" w:right="1351"/>
        <w:jc w:val="center"/>
      </w:pPr>
    </w:p>
    <w:p w14:paraId="3BC527EA" w14:textId="77777777" w:rsidR="00353EC0" w:rsidRPr="006B7BBD" w:rsidRDefault="00353EC0" w:rsidP="00353EC0">
      <w:pPr>
        <w:pStyle w:val="BodyText"/>
        <w:ind w:left="1368" w:right="1351"/>
        <w:jc w:val="center"/>
      </w:pPr>
    </w:p>
    <w:p w14:paraId="15990212" w14:textId="77777777" w:rsidR="00353EC0" w:rsidRPr="006B7BBD" w:rsidRDefault="00353EC0" w:rsidP="00353EC0">
      <w:pPr>
        <w:pStyle w:val="BodyText"/>
        <w:ind w:left="1368" w:right="1351"/>
        <w:jc w:val="center"/>
      </w:pPr>
    </w:p>
    <w:p w14:paraId="29F119A6" w14:textId="77777777" w:rsidR="00353EC0" w:rsidRPr="006B7BBD" w:rsidRDefault="00353EC0" w:rsidP="00353EC0">
      <w:pPr>
        <w:pStyle w:val="BodyText"/>
        <w:ind w:left="1368" w:right="1351"/>
        <w:jc w:val="center"/>
      </w:pPr>
    </w:p>
    <w:p w14:paraId="2171B61F" w14:textId="77777777" w:rsidR="00353EC0" w:rsidRPr="006B7BBD" w:rsidRDefault="00353EC0" w:rsidP="00353EC0">
      <w:pPr>
        <w:pStyle w:val="BodyText"/>
        <w:ind w:left="1368" w:right="1351"/>
        <w:jc w:val="center"/>
      </w:pPr>
    </w:p>
    <w:p w14:paraId="22647B4F" w14:textId="77777777" w:rsidR="00353EC0" w:rsidRPr="006B7BBD" w:rsidRDefault="00353EC0" w:rsidP="00353EC0">
      <w:pPr>
        <w:pStyle w:val="BodyText"/>
        <w:ind w:left="1368" w:right="1351"/>
        <w:jc w:val="center"/>
      </w:pPr>
    </w:p>
    <w:p w14:paraId="03DB5A72" w14:textId="77777777" w:rsidR="00353EC0" w:rsidRPr="006B7BBD" w:rsidRDefault="00353EC0" w:rsidP="00353EC0">
      <w:pPr>
        <w:pStyle w:val="BodyText"/>
        <w:ind w:left="1368" w:right="1351"/>
        <w:jc w:val="center"/>
      </w:pPr>
      <w:r w:rsidRPr="006B7BBD">
        <w:t xml:space="preserve">September 4, </w:t>
      </w:r>
      <w:bookmarkStart w:id="4" w:name="_Toc18663671"/>
      <w:r w:rsidRPr="006B7BBD">
        <w:t>2019</w:t>
      </w:r>
    </w:p>
    <w:p w14:paraId="11298B9A" w14:textId="77777777" w:rsidR="00353EC0" w:rsidRPr="006B7BBD" w:rsidRDefault="00353EC0" w:rsidP="00353EC0">
      <w:pPr>
        <w:tabs>
          <w:tab w:val="clear" w:pos="1247"/>
          <w:tab w:val="clear" w:pos="1814"/>
          <w:tab w:val="clear" w:pos="2381"/>
          <w:tab w:val="clear" w:pos="2948"/>
          <w:tab w:val="clear" w:pos="3515"/>
        </w:tabs>
      </w:pPr>
      <w:r w:rsidRPr="006B7BBD">
        <w:br w:type="page"/>
      </w:r>
    </w:p>
    <w:p w14:paraId="01DD51AA" w14:textId="77777777" w:rsidR="00353EC0" w:rsidRPr="00A620BD" w:rsidRDefault="00353EC0" w:rsidP="00A620BD">
      <w:pPr>
        <w:pStyle w:val="CH2"/>
        <w:jc w:val="center"/>
        <w:rPr>
          <w:rFonts w:eastAsiaTheme="minorEastAsia"/>
        </w:rPr>
      </w:pPr>
      <w:r w:rsidRPr="00A620BD">
        <w:lastRenderedPageBreak/>
        <w:t>Executive Summary</w:t>
      </w:r>
      <w:bookmarkEnd w:id="4"/>
    </w:p>
    <w:p w14:paraId="22929B82" w14:textId="77777777" w:rsidR="00353EC0" w:rsidRPr="006B7BBD" w:rsidRDefault="00353EC0" w:rsidP="00F2535D">
      <w:pPr>
        <w:pStyle w:val="Normalnumber"/>
      </w:pPr>
      <w:bookmarkStart w:id="5" w:name="_Toc519159106"/>
      <w:bookmarkStart w:id="6" w:name="_Toc519159549"/>
      <w:bookmarkStart w:id="7" w:name="_Toc521069758"/>
      <w:bookmarkStart w:id="8" w:name="_Toc521071088"/>
      <w:r w:rsidRPr="006B7BBD">
        <w:t xml:space="preserve">Article 13 of the Minamata Convention includes the Global Environment Facility (GEF) in the Financial Mechanism </w:t>
      </w:r>
      <w:bookmarkEnd w:id="5"/>
      <w:bookmarkEnd w:id="6"/>
      <w:bookmarkEnd w:id="7"/>
      <w:bookmarkEnd w:id="8"/>
      <w:r w:rsidRPr="006B7BBD">
        <w:t>to provide new, predictable, adequate, and timely financial resources to meet costs in support of implementation of this Convention as agreed by the Conference of the Parties (COP).</w:t>
      </w:r>
    </w:p>
    <w:p w14:paraId="6D649F45" w14:textId="77777777" w:rsidR="00353EC0" w:rsidRPr="006B7BBD" w:rsidRDefault="00353EC0" w:rsidP="00F2535D">
      <w:pPr>
        <w:pStyle w:val="Normalnumber"/>
      </w:pPr>
      <w:r w:rsidRPr="006B7BBD">
        <w:t xml:space="preserve">This report presents the work of the GEF in fulfilling its mandate under the Minamata Convention between July 1, 2018 and June 30, 2019 and how the GEF has responded to the guidance received from the COP to date. </w:t>
      </w:r>
    </w:p>
    <w:p w14:paraId="483F1121" w14:textId="7F574E7C" w:rsidR="00353EC0" w:rsidRPr="006B7BBD" w:rsidRDefault="00353EC0" w:rsidP="00F2535D">
      <w:pPr>
        <w:pStyle w:val="Normalnumber"/>
      </w:pPr>
      <w:r w:rsidRPr="006B7BBD">
        <w:t>During the reporting period, the GEF has approved three full-size projects (FSPs) covering 15</w:t>
      </w:r>
      <w:r w:rsidR="00A620BD">
        <w:t> </w:t>
      </w:r>
      <w:r w:rsidRPr="006B7BBD">
        <w:t>countries, one single country medium-size project (MSP), one program covering 27 countries, and four single country enabling activity projects.</w:t>
      </w:r>
    </w:p>
    <w:p w14:paraId="3680EA98" w14:textId="77777777" w:rsidR="00353EC0" w:rsidRPr="006B7BBD" w:rsidRDefault="00353EC0" w:rsidP="00F2535D">
      <w:pPr>
        <w:pStyle w:val="Normalnumber"/>
      </w:pPr>
      <w:r w:rsidRPr="006B7BBD">
        <w:t>The resources committed during the reporting period for the implementation of the Minamata Convention is $22.6 million.</w:t>
      </w:r>
      <w:r w:rsidRPr="00316FCA">
        <w:rPr>
          <w:vertAlign w:val="superscript"/>
        </w:rPr>
        <w:footnoteReference w:id="2"/>
      </w:r>
    </w:p>
    <w:p w14:paraId="0AB48743" w14:textId="77777777" w:rsidR="00353EC0" w:rsidRPr="006B7BBD" w:rsidRDefault="00353EC0" w:rsidP="00F2535D">
      <w:pPr>
        <w:pStyle w:val="Normalnumber"/>
      </w:pPr>
      <w:r w:rsidRPr="006B7BBD">
        <w:t>During the reporting period, GEF resources have supported one Minamata Initial Assessment (MIA). To date GEF resources have supported 111 countries to conduct MIAs.</w:t>
      </w:r>
      <w:r w:rsidRPr="00316FCA">
        <w:rPr>
          <w:vertAlign w:val="superscript"/>
        </w:rPr>
        <w:footnoteReference w:id="3"/>
      </w:r>
    </w:p>
    <w:p w14:paraId="4AB5D81A" w14:textId="77777777" w:rsidR="00353EC0" w:rsidRPr="006B7BBD" w:rsidRDefault="00353EC0" w:rsidP="00F2535D">
      <w:pPr>
        <w:pStyle w:val="Normalnumber"/>
      </w:pPr>
      <w:r w:rsidRPr="006B7BBD">
        <w:t>Four National Action Plans (NAPs) for Artisanal and Small-Scale Gold Mining (ASGM) were also supported, with 35 countries receiving support to date.</w:t>
      </w:r>
    </w:p>
    <w:p w14:paraId="3D303137" w14:textId="536AF344" w:rsidR="00353EC0" w:rsidRPr="006B7BBD" w:rsidRDefault="00353EC0" w:rsidP="00F2535D">
      <w:pPr>
        <w:pStyle w:val="Normalnumber"/>
      </w:pPr>
      <w:r w:rsidRPr="006B7BBD">
        <w:t>The GEF chemicals and wastes portfolio, which includes mercury, leveraged $13 for every $1</w:t>
      </w:r>
      <w:r w:rsidR="00A620BD">
        <w:t> </w:t>
      </w:r>
      <w:r w:rsidRPr="006B7BBD">
        <w:t>GEF invested from co-financing during the reporting period.</w:t>
      </w:r>
      <w:r w:rsidRPr="00316FCA">
        <w:rPr>
          <w:vertAlign w:val="superscript"/>
        </w:rPr>
        <w:footnoteReference w:id="4"/>
      </w:r>
    </w:p>
    <w:p w14:paraId="7CDCE7AA" w14:textId="49035A3C" w:rsidR="00353EC0" w:rsidRPr="006B7BBD" w:rsidRDefault="00353EC0" w:rsidP="00F2535D">
      <w:pPr>
        <w:pStyle w:val="Normalnumber"/>
      </w:pPr>
      <w:r w:rsidRPr="006B7BBD">
        <w:t>The GEF-7 results framework includes a core indicator to measure results in the chemicals and wastes focal area.</w:t>
      </w:r>
      <w:r w:rsidRPr="00316FCA">
        <w:rPr>
          <w:vertAlign w:val="superscript"/>
        </w:rPr>
        <w:footnoteReference w:id="5"/>
      </w:r>
      <w:r w:rsidRPr="006B7BBD">
        <w:t xml:space="preserve"> This core indicator has a target of 100,000 metric tons of chemicals and wastes including mercury. There is no stand-alone target for mercury in GEF-7. The GEF expects that 1,163</w:t>
      </w:r>
      <w:r w:rsidR="00A620BD">
        <w:t> </w:t>
      </w:r>
      <w:r w:rsidRPr="006B7BBD">
        <w:t>metric tons of mercury will be addressed by the projects that were approved during this reporting period.</w:t>
      </w:r>
    </w:p>
    <w:p w14:paraId="41B0590C" w14:textId="77777777" w:rsidR="00353EC0" w:rsidRPr="006B7BBD" w:rsidRDefault="00353EC0" w:rsidP="00F2535D">
      <w:pPr>
        <w:pStyle w:val="Normalnumber"/>
      </w:pPr>
      <w:r w:rsidRPr="006B7BBD">
        <w:t>The GEF reports progress on the results framework via the Corporate Scorecard. The first scorecard for the GEF-7 period was presented at the 56th GEF Council meeting in June 2019. The scorecard reports only on the aggregate core indicators, and it reports that approved chemicals and wastes projects contributed to 30.9 percent of the GEF-7 core indicator where mercury is included.</w:t>
      </w:r>
      <w:r w:rsidRPr="00316FCA">
        <w:rPr>
          <w:vertAlign w:val="superscript"/>
        </w:rPr>
        <w:footnoteReference w:id="6"/>
      </w:r>
      <w:r w:rsidRPr="006B7BBD">
        <w:t xml:space="preserve"> The scorecard also showed that the GEF had programmed 8 percent of the notionally allocated mercury resources for GEF-7. </w:t>
      </w:r>
    </w:p>
    <w:p w14:paraId="2554F79B" w14:textId="5E319CA8" w:rsidR="00353EC0" w:rsidRDefault="00353EC0" w:rsidP="00F2535D">
      <w:pPr>
        <w:pStyle w:val="Normalnumber"/>
      </w:pPr>
      <w:r w:rsidRPr="006B7BBD">
        <w:t>The GEF Council, at its 56th meeting, approved the Memorandum of Understanding adopted by the second COP, and requested the GEF Secretariat (hereafter the Secretariat) to transmit its approval to the COP.</w:t>
      </w:r>
      <w:r w:rsidRPr="00316FCA">
        <w:rPr>
          <w:vertAlign w:val="superscript"/>
        </w:rPr>
        <w:footnoteReference w:id="7"/>
      </w:r>
    </w:p>
    <w:p w14:paraId="0A291C20" w14:textId="77777777" w:rsidR="00353EC0" w:rsidRPr="00353EC0" w:rsidRDefault="00353EC0" w:rsidP="00353EC0">
      <w:pPr>
        <w:pStyle w:val="Normal-pool"/>
      </w:pPr>
    </w:p>
    <w:tbl>
      <w:tblPr>
        <w:tblW w:w="0" w:type="auto"/>
        <w:tblLook w:val="04A0" w:firstRow="1" w:lastRow="0" w:firstColumn="1" w:lastColumn="0" w:noHBand="0" w:noVBand="1"/>
      </w:tblPr>
      <w:tblGrid>
        <w:gridCol w:w="1899"/>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A620BD">
            <w:pPr>
              <w:pStyle w:val="Normal-pool"/>
              <w:spacing w:before="520"/>
            </w:pPr>
          </w:p>
        </w:tc>
        <w:tc>
          <w:tcPr>
            <w:tcW w:w="1942" w:type="dxa"/>
            <w:shd w:val="clear" w:color="auto" w:fill="auto"/>
          </w:tcPr>
          <w:p w14:paraId="378BA037" w14:textId="77777777" w:rsidR="00E976AB" w:rsidRPr="00D25175" w:rsidRDefault="00E976AB" w:rsidP="00A620BD">
            <w:pPr>
              <w:pStyle w:val="Normal-pool"/>
              <w:spacing w:before="520"/>
            </w:pPr>
          </w:p>
        </w:tc>
        <w:tc>
          <w:tcPr>
            <w:tcW w:w="1942" w:type="dxa"/>
            <w:tcBorders>
              <w:bottom w:val="single" w:sz="4" w:space="0" w:color="auto"/>
            </w:tcBorders>
            <w:shd w:val="clear" w:color="auto" w:fill="auto"/>
          </w:tcPr>
          <w:p w14:paraId="028E3E1E" w14:textId="77777777" w:rsidR="00E976AB" w:rsidRPr="00D25175" w:rsidRDefault="00E976AB" w:rsidP="00A620BD">
            <w:pPr>
              <w:pStyle w:val="Normal-pool"/>
              <w:spacing w:before="520"/>
            </w:pPr>
          </w:p>
        </w:tc>
        <w:tc>
          <w:tcPr>
            <w:tcW w:w="1943" w:type="dxa"/>
            <w:shd w:val="clear" w:color="auto" w:fill="auto"/>
          </w:tcPr>
          <w:p w14:paraId="25F1BA19" w14:textId="77777777" w:rsidR="00E976AB" w:rsidRPr="00D25175" w:rsidRDefault="00E976AB" w:rsidP="00A620BD">
            <w:pPr>
              <w:pStyle w:val="Normal-pool"/>
              <w:spacing w:before="520"/>
            </w:pPr>
          </w:p>
        </w:tc>
        <w:tc>
          <w:tcPr>
            <w:tcW w:w="1943" w:type="dxa"/>
            <w:shd w:val="clear" w:color="auto" w:fill="auto"/>
          </w:tcPr>
          <w:p w14:paraId="457D2993" w14:textId="77777777" w:rsidR="00E976AB" w:rsidRPr="00D25175" w:rsidRDefault="00E976AB" w:rsidP="00A620BD">
            <w:pPr>
              <w:pStyle w:val="Normal-pool"/>
              <w:spacing w:before="520"/>
            </w:pPr>
          </w:p>
        </w:tc>
      </w:tr>
    </w:tbl>
    <w:p w14:paraId="325E8270" w14:textId="77777777" w:rsidR="00032E4E" w:rsidRPr="00D25175" w:rsidRDefault="00032E4E" w:rsidP="00D013F5">
      <w:pPr>
        <w:pStyle w:val="Normal-pool"/>
      </w:pPr>
      <w:bookmarkStart w:id="11" w:name="_GoBack"/>
      <w:bookmarkEnd w:id="11"/>
    </w:p>
    <w:sectPr w:rsidR="00032E4E" w:rsidRPr="00D25175" w:rsidSect="00353EC0">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34E6A" w14:textId="77777777" w:rsidR="008B1A36" w:rsidRDefault="008B1A36">
      <w:r>
        <w:separator/>
      </w:r>
    </w:p>
  </w:endnote>
  <w:endnote w:type="continuationSeparator" w:id="0">
    <w:p w14:paraId="7A0521F7" w14:textId="77777777" w:rsidR="008B1A36" w:rsidRDefault="008B1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723EDBB5"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165BB1">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6DAE6A33"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165BB1">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EB5F1" w14:textId="4E6475BA" w:rsidR="00731576" w:rsidRPr="00F2535D" w:rsidRDefault="00731576" w:rsidP="00F2535D">
    <w:pPr>
      <w:pStyle w:val="Footer-pool"/>
      <w:rPr>
        <w:b w:val="0"/>
      </w:rPr>
    </w:pPr>
    <w:r w:rsidRPr="00F2535D">
      <w:rPr>
        <w:b w:val="0"/>
      </w:rPr>
      <w:t>K1</w:t>
    </w:r>
    <w:r w:rsidR="000A7C0C" w:rsidRPr="00F2535D">
      <w:rPr>
        <w:b w:val="0"/>
      </w:rPr>
      <w:t>9</w:t>
    </w:r>
    <w:r w:rsidR="0085531B" w:rsidRPr="00F2535D">
      <w:rPr>
        <w:b w:val="0"/>
      </w:rPr>
      <w:t>04073</w:t>
    </w:r>
    <w:r w:rsidRPr="00F2535D">
      <w:rPr>
        <w:b w:val="0"/>
      </w:rPr>
      <w:tab/>
    </w:r>
    <w:r w:rsidR="00F2535D">
      <w:rPr>
        <w:b w:val="0"/>
      </w:rPr>
      <w:t>24</w:t>
    </w:r>
    <w:r w:rsidR="009B28F3" w:rsidRPr="00F2535D">
      <w:rPr>
        <w:b w:val="0"/>
      </w:rPr>
      <w:t>10</w:t>
    </w:r>
    <w:r w:rsidR="000A7C0C" w:rsidRPr="00F2535D">
      <w:rPr>
        <w:b w:val="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8D7DE" w14:textId="77777777" w:rsidR="008B1A36" w:rsidRPr="00A620BD" w:rsidRDefault="008B1A36" w:rsidP="00A620BD">
      <w:pPr>
        <w:pStyle w:val="NormalNonumber"/>
        <w:spacing w:before="60" w:after="0"/>
        <w:ind w:left="624"/>
        <w:rPr>
          <w:sz w:val="18"/>
          <w:szCs w:val="18"/>
        </w:rPr>
      </w:pPr>
      <w:r w:rsidRPr="00A620BD">
        <w:rPr>
          <w:sz w:val="18"/>
          <w:szCs w:val="18"/>
        </w:rPr>
        <w:separator/>
      </w:r>
    </w:p>
  </w:footnote>
  <w:footnote w:type="continuationSeparator" w:id="0">
    <w:p w14:paraId="1FA450A0" w14:textId="77777777" w:rsidR="008B1A36" w:rsidRDefault="008B1A36">
      <w:r>
        <w:continuationSeparator/>
      </w:r>
    </w:p>
  </w:footnote>
  <w:footnote w:id="1">
    <w:p w14:paraId="54FD195B" w14:textId="77777777" w:rsidR="00353EC0" w:rsidRPr="00A620BD" w:rsidRDefault="00353EC0" w:rsidP="00A620BD">
      <w:pPr>
        <w:pStyle w:val="NormalNonumber"/>
        <w:spacing w:before="20" w:after="40"/>
        <w:rPr>
          <w:sz w:val="18"/>
          <w:szCs w:val="18"/>
        </w:rPr>
      </w:pPr>
      <w:r w:rsidRPr="00A620BD">
        <w:rPr>
          <w:sz w:val="18"/>
          <w:szCs w:val="18"/>
        </w:rPr>
        <w:t>* UNEP/MC/COP.3/1.</w:t>
      </w:r>
    </w:p>
  </w:footnote>
  <w:footnote w:id="2">
    <w:p w14:paraId="0CC29127" w14:textId="77777777" w:rsidR="00353EC0" w:rsidRPr="00A620BD" w:rsidRDefault="00353EC0" w:rsidP="00A620BD">
      <w:pPr>
        <w:pStyle w:val="NormalNonumber"/>
        <w:spacing w:before="20" w:after="40"/>
        <w:rPr>
          <w:szCs w:val="18"/>
        </w:rPr>
      </w:pPr>
      <w:r w:rsidRPr="00A620BD">
        <w:rPr>
          <w:sz w:val="18"/>
          <w:vertAlign w:val="superscript"/>
        </w:rPr>
        <w:footnoteRef/>
      </w:r>
      <w:r w:rsidRPr="00A620BD">
        <w:rPr>
          <w:sz w:val="18"/>
          <w:szCs w:val="18"/>
        </w:rPr>
        <w:t xml:space="preserve"> Excluding Agency Fees and project preparation grants (PPGs). </w:t>
      </w:r>
    </w:p>
  </w:footnote>
  <w:footnote w:id="3">
    <w:p w14:paraId="1F473786" w14:textId="77777777" w:rsidR="00353EC0" w:rsidRPr="00A620BD" w:rsidRDefault="00353EC0" w:rsidP="00A620BD">
      <w:pPr>
        <w:pStyle w:val="NormalNonumber"/>
        <w:spacing w:before="20" w:after="40"/>
        <w:rPr>
          <w:szCs w:val="18"/>
        </w:rPr>
      </w:pPr>
      <w:r w:rsidRPr="00A620BD">
        <w:rPr>
          <w:sz w:val="18"/>
          <w:vertAlign w:val="superscript"/>
        </w:rPr>
        <w:footnoteRef/>
      </w:r>
      <w:r w:rsidRPr="00A620BD">
        <w:rPr>
          <w:sz w:val="18"/>
          <w:szCs w:val="18"/>
        </w:rPr>
        <w:t xml:space="preserve"> The GEF has supported MIAs starting in GEF-5.</w:t>
      </w:r>
    </w:p>
  </w:footnote>
  <w:footnote w:id="4">
    <w:p w14:paraId="0A29C58F" w14:textId="77777777" w:rsidR="00353EC0" w:rsidRPr="00A620BD" w:rsidRDefault="00353EC0" w:rsidP="00A620BD">
      <w:pPr>
        <w:pStyle w:val="NormalNonumber"/>
        <w:spacing w:before="20" w:after="40"/>
        <w:rPr>
          <w:szCs w:val="18"/>
        </w:rPr>
      </w:pPr>
      <w:r w:rsidRPr="00A620BD">
        <w:rPr>
          <w:sz w:val="18"/>
          <w:vertAlign w:val="superscript"/>
        </w:rPr>
        <w:footnoteRef/>
      </w:r>
      <w:r w:rsidRPr="00A620BD">
        <w:rPr>
          <w:sz w:val="18"/>
          <w:szCs w:val="18"/>
        </w:rPr>
        <w:t xml:space="preserve"> </w:t>
      </w:r>
      <w:bookmarkStart w:id="9" w:name="_Hlk11233537"/>
      <w:r w:rsidRPr="00A620BD">
        <w:rPr>
          <w:sz w:val="18"/>
          <w:szCs w:val="18"/>
        </w:rPr>
        <w:t>Co-financing includes programs, full-size projects, medium-size projects, and enabling activities. PPGs and Agency Fees are excluded.</w:t>
      </w:r>
      <w:bookmarkEnd w:id="9"/>
    </w:p>
  </w:footnote>
  <w:footnote w:id="5">
    <w:p w14:paraId="7F8CA310" w14:textId="77777777" w:rsidR="00353EC0" w:rsidRPr="00A620BD" w:rsidRDefault="00353EC0" w:rsidP="00A620BD">
      <w:pPr>
        <w:pStyle w:val="NormalNonumber"/>
        <w:spacing w:before="20" w:after="40"/>
        <w:rPr>
          <w:szCs w:val="18"/>
        </w:rPr>
      </w:pPr>
      <w:r w:rsidRPr="00F2535D">
        <w:rPr>
          <w:sz w:val="18"/>
          <w:vertAlign w:val="superscript"/>
        </w:rPr>
        <w:footnoteRef/>
      </w:r>
      <w:r w:rsidRPr="00A620BD">
        <w:rPr>
          <w:sz w:val="18"/>
          <w:szCs w:val="18"/>
        </w:rPr>
        <w:t xml:space="preserve"> </w:t>
      </w:r>
      <w:bookmarkStart w:id="10" w:name="_Hlk17878957"/>
      <w:r w:rsidRPr="00A620BD">
        <w:rPr>
          <w:sz w:val="18"/>
          <w:szCs w:val="18"/>
        </w:rPr>
        <w:t xml:space="preserve">GEF, 2018, </w:t>
      </w:r>
      <w:hyperlink r:id="rId1" w:history="1">
        <w:r w:rsidRPr="00A620BD">
          <w:rPr>
            <w:rStyle w:val="Hyperlink"/>
            <w:i/>
            <w:sz w:val="18"/>
            <w:szCs w:val="18"/>
            <w:lang w:val="en-GB"/>
          </w:rPr>
          <w:t>GEF-7 Programming Directions</w:t>
        </w:r>
      </w:hyperlink>
      <w:r w:rsidRPr="00A620BD">
        <w:rPr>
          <w:sz w:val="18"/>
          <w:szCs w:val="18"/>
        </w:rPr>
        <w:t>, Council Document GEF/R.7/19.</w:t>
      </w:r>
      <w:bookmarkEnd w:id="10"/>
    </w:p>
  </w:footnote>
  <w:footnote w:id="6">
    <w:p w14:paraId="51588BC8" w14:textId="77777777" w:rsidR="00353EC0" w:rsidRPr="00A620BD" w:rsidRDefault="00353EC0" w:rsidP="00A620BD">
      <w:pPr>
        <w:pStyle w:val="NormalNonumber"/>
        <w:spacing w:before="20" w:after="40"/>
        <w:rPr>
          <w:szCs w:val="18"/>
        </w:rPr>
      </w:pPr>
      <w:r w:rsidRPr="00A620BD">
        <w:rPr>
          <w:sz w:val="18"/>
          <w:vertAlign w:val="superscript"/>
        </w:rPr>
        <w:footnoteRef/>
      </w:r>
      <w:r w:rsidRPr="00A620BD">
        <w:rPr>
          <w:sz w:val="18"/>
          <w:szCs w:val="18"/>
        </w:rPr>
        <w:t xml:space="preserve"> GEF, 2019, </w:t>
      </w:r>
      <w:hyperlink r:id="rId2" w:history="1">
        <w:r w:rsidRPr="00A620BD">
          <w:rPr>
            <w:rStyle w:val="Hyperlink"/>
            <w:sz w:val="18"/>
            <w:szCs w:val="18"/>
            <w:lang w:val="en-GB"/>
          </w:rPr>
          <w:t>Corporate Score Card</w:t>
        </w:r>
      </w:hyperlink>
      <w:r w:rsidRPr="00A620BD">
        <w:rPr>
          <w:rStyle w:val="Hyperlink"/>
          <w:sz w:val="18"/>
          <w:szCs w:val="18"/>
          <w:lang w:val="en-GB"/>
        </w:rPr>
        <w:t xml:space="preserve">. </w:t>
      </w:r>
      <w:r w:rsidRPr="00A620BD">
        <w:rPr>
          <w:sz w:val="18"/>
          <w:szCs w:val="18"/>
        </w:rPr>
        <w:t>The score card compiles Global Environmental Benefits at GEF Council approval and CEO Endorsement stages.</w:t>
      </w:r>
    </w:p>
  </w:footnote>
  <w:footnote w:id="7">
    <w:p w14:paraId="4CF751F2" w14:textId="3C1194F8" w:rsidR="00353EC0" w:rsidRPr="00316FCA" w:rsidRDefault="00353EC0" w:rsidP="00316FCA">
      <w:pPr>
        <w:pStyle w:val="NormalNonumber"/>
        <w:spacing w:before="20" w:after="40"/>
        <w:rPr>
          <w:sz w:val="18"/>
          <w:szCs w:val="18"/>
        </w:rPr>
      </w:pPr>
      <w:r w:rsidRPr="00A620BD">
        <w:rPr>
          <w:sz w:val="18"/>
          <w:vertAlign w:val="superscript"/>
        </w:rPr>
        <w:footnoteRef/>
      </w:r>
      <w:r w:rsidRPr="00316FCA">
        <w:rPr>
          <w:sz w:val="18"/>
          <w:szCs w:val="18"/>
        </w:rPr>
        <w:t xml:space="preserve"> GEF, 2019, </w:t>
      </w:r>
      <w:hyperlink r:id="rId3" w:history="1">
        <w:r w:rsidRPr="00316FCA">
          <w:rPr>
            <w:rStyle w:val="Hyperlink"/>
            <w:sz w:val="18"/>
            <w:szCs w:val="18"/>
            <w:lang w:val="en-GB"/>
          </w:rPr>
          <w:t>Approval of the Memorandum of Understanding Between the Conference of the Parties to the Minamata Convention on Mercury and the Council of the Global Environment Facility</w:t>
        </w:r>
      </w:hyperlink>
      <w:r w:rsidRPr="00316FCA">
        <w:rPr>
          <w:sz w:val="18"/>
          <w:szCs w:val="18"/>
        </w:rPr>
        <w:t>, Council Document GEF/C.56/10/Rev.01</w:t>
      </w:r>
      <w:r w:rsidR="001E20AB">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38CFBFCC" w:rsidR="00670FAE" w:rsidRPr="00CA5CA9" w:rsidRDefault="00670FAE" w:rsidP="001224E5">
    <w:pPr>
      <w:pStyle w:val="Header-pool"/>
    </w:pPr>
    <w:r w:rsidRPr="00353EC0">
      <w:rPr>
        <w:bCs/>
      </w:rPr>
      <w:t>UNEP</w:t>
    </w:r>
    <w:r w:rsidRPr="00353EC0">
      <w:t>/MC/COP.</w:t>
    </w:r>
    <w:r w:rsidR="000A7C0C" w:rsidRPr="00353EC0">
      <w:t>3</w:t>
    </w:r>
    <w:r w:rsidRPr="00353EC0">
      <w:t>/</w:t>
    </w:r>
    <w:r w:rsidR="0085531B">
      <w:t>9/Add.1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5F27405A" w:rsidR="00670FAE" w:rsidRPr="00CA5CA9" w:rsidRDefault="00670FAE" w:rsidP="00F7137B">
    <w:pPr>
      <w:pStyle w:val="Header"/>
      <w:jc w:val="right"/>
      <w:rPr>
        <w:szCs w:val="18"/>
      </w:rPr>
    </w:pPr>
    <w:r w:rsidRPr="00353EC0">
      <w:rPr>
        <w:bCs/>
        <w:szCs w:val="18"/>
      </w:rPr>
      <w:t>UNEP</w:t>
    </w:r>
    <w:r w:rsidRPr="00353EC0">
      <w:rPr>
        <w:szCs w:val="18"/>
      </w:rPr>
      <w:t>/MC/COP.</w:t>
    </w:r>
    <w:r w:rsidR="000A7C0C" w:rsidRPr="00353EC0">
      <w:rPr>
        <w:szCs w:val="18"/>
      </w:rPr>
      <w:t>3</w:t>
    </w:r>
    <w:r w:rsidRPr="00353EC0">
      <w:rPr>
        <w:szCs w:val="18"/>
      </w:rPr>
      <w:t>/</w:t>
    </w:r>
    <w:r w:rsidR="0085531B">
      <w:rPr>
        <w:szCs w:val="18"/>
      </w:rPr>
      <w:t>9/Add.1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2123B32D"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45A217B9"/>
    <w:multiLevelType w:val="hybridMultilevel"/>
    <w:tmpl w:val="25A209EC"/>
    <w:lvl w:ilvl="0" w:tplc="FAD09642">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8"/>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656E9"/>
    <w:rsid w:val="00071886"/>
    <w:rsid w:val="000742BC"/>
    <w:rsid w:val="00076CC6"/>
    <w:rsid w:val="00082A0C"/>
    <w:rsid w:val="00083504"/>
    <w:rsid w:val="0009640C"/>
    <w:rsid w:val="000A7C0C"/>
    <w:rsid w:val="000B22A2"/>
    <w:rsid w:val="000B4942"/>
    <w:rsid w:val="000B541B"/>
    <w:rsid w:val="000B73F9"/>
    <w:rsid w:val="000C2A52"/>
    <w:rsid w:val="000C2A88"/>
    <w:rsid w:val="000D33C0"/>
    <w:rsid w:val="000D4CF6"/>
    <w:rsid w:val="000D6941"/>
    <w:rsid w:val="000F4829"/>
    <w:rsid w:val="000F6B21"/>
    <w:rsid w:val="00102EFB"/>
    <w:rsid w:val="001202E3"/>
    <w:rsid w:val="001224E5"/>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5BB1"/>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20AB"/>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6FCA"/>
    <w:rsid w:val="00317976"/>
    <w:rsid w:val="00320F2F"/>
    <w:rsid w:val="0032457E"/>
    <w:rsid w:val="00325D38"/>
    <w:rsid w:val="0035277E"/>
    <w:rsid w:val="00353EC0"/>
    <w:rsid w:val="00355EA9"/>
    <w:rsid w:val="003578DE"/>
    <w:rsid w:val="00361688"/>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7E0D"/>
    <w:rsid w:val="00453EA8"/>
    <w:rsid w:val="00454769"/>
    <w:rsid w:val="00466991"/>
    <w:rsid w:val="0047064C"/>
    <w:rsid w:val="004822B7"/>
    <w:rsid w:val="00484226"/>
    <w:rsid w:val="0049469E"/>
    <w:rsid w:val="004A2217"/>
    <w:rsid w:val="004A24F9"/>
    <w:rsid w:val="004A42E1"/>
    <w:rsid w:val="004B162C"/>
    <w:rsid w:val="004B2ABE"/>
    <w:rsid w:val="004C3DBE"/>
    <w:rsid w:val="004C442D"/>
    <w:rsid w:val="004C5C96"/>
    <w:rsid w:val="004D06A4"/>
    <w:rsid w:val="004F1A81"/>
    <w:rsid w:val="004F5D88"/>
    <w:rsid w:val="00501354"/>
    <w:rsid w:val="005031C5"/>
    <w:rsid w:val="005050D2"/>
    <w:rsid w:val="005218D9"/>
    <w:rsid w:val="00536186"/>
    <w:rsid w:val="00544CBB"/>
    <w:rsid w:val="00551B65"/>
    <w:rsid w:val="00556704"/>
    <w:rsid w:val="005656D7"/>
    <w:rsid w:val="0057315F"/>
    <w:rsid w:val="00576104"/>
    <w:rsid w:val="00586418"/>
    <w:rsid w:val="00592B21"/>
    <w:rsid w:val="005B2DF4"/>
    <w:rsid w:val="005B44BF"/>
    <w:rsid w:val="005C67C8"/>
    <w:rsid w:val="005D0249"/>
    <w:rsid w:val="005D18FA"/>
    <w:rsid w:val="005D4FD4"/>
    <w:rsid w:val="005D6E8C"/>
    <w:rsid w:val="005E3004"/>
    <w:rsid w:val="005F0209"/>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298B"/>
    <w:rsid w:val="00654475"/>
    <w:rsid w:val="00656DF0"/>
    <w:rsid w:val="00665A4B"/>
    <w:rsid w:val="00670FAE"/>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361F"/>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38F7"/>
    <w:rsid w:val="0085531B"/>
    <w:rsid w:val="00867BFF"/>
    <w:rsid w:val="00871542"/>
    <w:rsid w:val="00872BF6"/>
    <w:rsid w:val="0088480A"/>
    <w:rsid w:val="0088757A"/>
    <w:rsid w:val="0089431B"/>
    <w:rsid w:val="00895668"/>
    <w:rsid w:val="008957DD"/>
    <w:rsid w:val="00897D98"/>
    <w:rsid w:val="008A6DF2"/>
    <w:rsid w:val="008A7807"/>
    <w:rsid w:val="008B1A36"/>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B28F3"/>
    <w:rsid w:val="009B4A0F"/>
    <w:rsid w:val="009C11D2"/>
    <w:rsid w:val="009C6C70"/>
    <w:rsid w:val="009C7B0A"/>
    <w:rsid w:val="009D0B63"/>
    <w:rsid w:val="009D5CB8"/>
    <w:rsid w:val="009E307E"/>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20BD"/>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3331E"/>
    <w:rsid w:val="00B405B7"/>
    <w:rsid w:val="00B4247B"/>
    <w:rsid w:val="00B468C0"/>
    <w:rsid w:val="00B52222"/>
    <w:rsid w:val="00B531DA"/>
    <w:rsid w:val="00B54895"/>
    <w:rsid w:val="00B54FE7"/>
    <w:rsid w:val="00B647C6"/>
    <w:rsid w:val="00B655F9"/>
    <w:rsid w:val="00B66901"/>
    <w:rsid w:val="00B66F60"/>
    <w:rsid w:val="00B71E6D"/>
    <w:rsid w:val="00B72070"/>
    <w:rsid w:val="00B779E1"/>
    <w:rsid w:val="00B81E3A"/>
    <w:rsid w:val="00B8400F"/>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55040"/>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1A30"/>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535D"/>
    <w:rsid w:val="00F266FC"/>
    <w:rsid w:val="00F3037A"/>
    <w:rsid w:val="00F3465A"/>
    <w:rsid w:val="00F37DC8"/>
    <w:rsid w:val="00F439B3"/>
    <w:rsid w:val="00F650C3"/>
    <w:rsid w:val="00F65D85"/>
    <w:rsid w:val="00F6700B"/>
    <w:rsid w:val="00F7137B"/>
    <w:rsid w:val="00F8091E"/>
    <w:rsid w:val="00F8615C"/>
    <w:rsid w:val="00F969E5"/>
    <w:rsid w:val="00F96F7E"/>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353EC0"/>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5031C5"/>
    <w:pPr>
      <w:keepNext/>
      <w:keepLines/>
      <w:tabs>
        <w:tab w:val="right" w:pos="851"/>
      </w:tabs>
      <w:suppressAutoHyphens/>
      <w:spacing w:before="12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5031C5"/>
    <w:pPr>
      <w:keepNext/>
      <w:keepLines/>
      <w:tabs>
        <w:tab w:val="right" w:pos="851"/>
      </w:tabs>
      <w:suppressAutoHyphens/>
      <w:spacing w:before="12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16FCA"/>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E20AB"/>
    <w:pPr>
      <w:tabs>
        <w:tab w:val="clear" w:pos="1247"/>
        <w:tab w:val="clear" w:pos="1814"/>
        <w:tab w:val="clear" w:pos="2381"/>
        <w:tab w:val="clear" w:pos="2948"/>
        <w:tab w:val="clear" w:pos="3515"/>
        <w:tab w:val="clear" w:pos="4082"/>
        <w:tab w:val="left" w:pos="624"/>
      </w:tabs>
      <w:spacing w:after="120"/>
      <w:ind w:left="1247"/>
    </w:pPr>
    <w:rPr>
      <w:lang w:val="en-GB"/>
    </w:rPr>
  </w:style>
  <w:style w:type="paragraph" w:customStyle="1" w:styleId="Normalnumber">
    <w:name w:val="Normal_number"/>
    <w:basedOn w:val="Normalpool"/>
    <w:rsid w:val="00D55040"/>
    <w:pPr>
      <w:numPr>
        <w:numId w:val="5"/>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pPr>
      <w:tabs>
        <w:tab w:val="clear" w:pos="1247"/>
        <w:tab w:val="clear" w:pos="1814"/>
        <w:tab w:val="clear" w:pos="2381"/>
        <w:tab w:val="clear" w:pos="2948"/>
        <w:tab w:val="clear" w:pos="3515"/>
      </w:tabs>
    </w:pPr>
    <w:rPr>
      <w:sz w:val="24"/>
      <w:szCs w:val="24"/>
      <w:lang w:val="en-US"/>
    </w:rPr>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thegef.org/council-meeting-documents/approval-mou-between-cop-minamata-convention-mercury-and-council-global" TargetMode="External"/><Relationship Id="rId2" Type="http://schemas.openxmlformats.org/officeDocument/2006/relationships/hyperlink" Target="http://www.thegef.org/publications/gef-7-corporate-scorecard-june-2019" TargetMode="External"/><Relationship Id="rId1" Type="http://schemas.openxmlformats.org/officeDocument/2006/relationships/hyperlink" Target="https://www.thegef.org/council-meeting-documents/gef-7-programming-dire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165F8-92A9-4586-AB02-4C40454B3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8</cp:revision>
  <cp:lastPrinted>2019-10-24T06:11:00Z</cp:lastPrinted>
  <dcterms:created xsi:type="dcterms:W3CDTF">2019-09-20T10:00:00Z</dcterms:created>
  <dcterms:modified xsi:type="dcterms:W3CDTF">2019-10-24T06:12:00Z</dcterms:modified>
</cp:coreProperties>
</file>