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4A0" w:firstRow="1" w:lastRow="0" w:firstColumn="1" w:lastColumn="0" w:noHBand="0" w:noVBand="1"/>
      </w:tblPr>
      <w:tblGrid>
        <w:gridCol w:w="1519"/>
        <w:gridCol w:w="4643"/>
        <w:gridCol w:w="3335"/>
      </w:tblGrid>
      <w:tr w:rsidR="00430330" w:rsidRPr="00474AF8" w14:paraId="1B02F0C5" w14:textId="77777777" w:rsidTr="00430330">
        <w:trPr>
          <w:cantSplit/>
          <w:trHeight w:val="850"/>
          <w:jc w:val="right"/>
        </w:trPr>
        <w:tc>
          <w:tcPr>
            <w:tcW w:w="1550" w:type="dxa"/>
            <w:hideMark/>
          </w:tcPr>
          <w:p w14:paraId="7C511FA8" w14:textId="77777777" w:rsidR="00430330" w:rsidRPr="00474AF8" w:rsidRDefault="00430330">
            <w:pPr>
              <w:overflowPunct w:val="0"/>
              <w:spacing w:after="0" w:line="240" w:lineRule="auto"/>
              <w:jc w:val="left"/>
              <w:rPr>
                <w:rFonts w:ascii="SimHei" w:eastAsia="SimHei" w:hAnsi="SimHei"/>
                <w:b/>
                <w:noProof/>
                <w:sz w:val="32"/>
                <w:szCs w:val="32"/>
                <w:lang w:val="en-GB" w:eastAsia="en-US"/>
              </w:rPr>
            </w:pPr>
            <w:bookmarkStart w:id="0" w:name="_GoBack"/>
            <w:bookmarkEnd w:id="0"/>
            <w:r w:rsidRPr="00474AF8">
              <w:rPr>
                <w:rFonts w:ascii="SimHei" w:eastAsia="SimHei" w:hAnsi="SimHei" w:cs="Arial" w:hint="eastAsia"/>
                <w:b/>
                <w:noProof/>
                <w:sz w:val="32"/>
                <w:szCs w:val="32"/>
                <w:lang w:val="en-GB"/>
              </w:rPr>
              <w:t>联合国</w:t>
            </w:r>
          </w:p>
        </w:tc>
        <w:tc>
          <w:tcPr>
            <w:tcW w:w="4751" w:type="dxa"/>
          </w:tcPr>
          <w:p w14:paraId="4F3868AA" w14:textId="77777777" w:rsidR="00430330" w:rsidRPr="00474AF8" w:rsidRDefault="00430330">
            <w:pPr>
              <w:overflowPunct w:val="0"/>
              <w:spacing w:after="0" w:line="240" w:lineRule="auto"/>
              <w:jc w:val="left"/>
              <w:rPr>
                <w:rFonts w:ascii="Univers" w:eastAsia="PMingLiU" w:hAnsi="Univers"/>
                <w:b/>
                <w:sz w:val="27"/>
                <w:szCs w:val="27"/>
                <w:lang w:val="en-GB" w:eastAsia="en-US"/>
              </w:rPr>
            </w:pPr>
          </w:p>
        </w:tc>
        <w:tc>
          <w:tcPr>
            <w:tcW w:w="3411" w:type="dxa"/>
            <w:hideMark/>
          </w:tcPr>
          <w:p w14:paraId="42142CAE" w14:textId="77777777" w:rsidR="00430330" w:rsidRPr="00474AF8" w:rsidRDefault="00430330">
            <w:pPr>
              <w:overflowPunct w:val="0"/>
              <w:spacing w:after="0" w:line="240" w:lineRule="auto"/>
              <w:jc w:val="right"/>
              <w:rPr>
                <w:rFonts w:ascii="Arial" w:eastAsia="PMingLiU" w:hAnsi="Arial" w:cs="Arial"/>
                <w:b/>
                <w:sz w:val="64"/>
                <w:szCs w:val="64"/>
                <w:lang w:val="en-GB" w:eastAsia="en-US"/>
              </w:rPr>
            </w:pPr>
            <w:r w:rsidRPr="00474AF8">
              <w:rPr>
                <w:rFonts w:ascii="Arial" w:eastAsia="PMingLiU" w:hAnsi="Arial" w:cs="Arial"/>
                <w:b/>
                <w:sz w:val="64"/>
                <w:szCs w:val="64"/>
                <w:lang w:val="en-GB" w:eastAsia="en-US"/>
              </w:rPr>
              <w:t>MC</w:t>
            </w:r>
          </w:p>
        </w:tc>
      </w:tr>
      <w:tr w:rsidR="00430330" w:rsidRPr="00474AF8" w14:paraId="644F7451" w14:textId="77777777" w:rsidTr="00430330">
        <w:trPr>
          <w:cantSplit/>
          <w:trHeight w:val="281"/>
          <w:jc w:val="right"/>
        </w:trPr>
        <w:tc>
          <w:tcPr>
            <w:tcW w:w="1550" w:type="dxa"/>
            <w:tcBorders>
              <w:top w:val="nil"/>
              <w:left w:val="nil"/>
              <w:bottom w:val="single" w:sz="4" w:space="0" w:color="auto"/>
              <w:right w:val="nil"/>
            </w:tcBorders>
          </w:tcPr>
          <w:p w14:paraId="5ADB7C13" w14:textId="77777777" w:rsidR="00430330" w:rsidRPr="00474AF8" w:rsidRDefault="00430330">
            <w:pPr>
              <w:tabs>
                <w:tab w:val="left" w:pos="4082"/>
              </w:tabs>
              <w:overflowPunct w:val="0"/>
              <w:spacing w:after="0" w:line="240" w:lineRule="auto"/>
              <w:jc w:val="left"/>
              <w:rPr>
                <w:rFonts w:eastAsia="PMingLiU"/>
                <w:noProof/>
                <w:sz w:val="20"/>
                <w:szCs w:val="20"/>
                <w:lang w:val="en-GB" w:eastAsia="en-US"/>
              </w:rPr>
            </w:pPr>
          </w:p>
        </w:tc>
        <w:tc>
          <w:tcPr>
            <w:tcW w:w="4751" w:type="dxa"/>
            <w:tcBorders>
              <w:top w:val="nil"/>
              <w:left w:val="nil"/>
              <w:bottom w:val="single" w:sz="4" w:space="0" w:color="auto"/>
              <w:right w:val="nil"/>
            </w:tcBorders>
          </w:tcPr>
          <w:p w14:paraId="3133BBD2" w14:textId="77777777" w:rsidR="00430330" w:rsidRPr="00474AF8" w:rsidRDefault="00430330">
            <w:pPr>
              <w:tabs>
                <w:tab w:val="left" w:pos="4082"/>
              </w:tabs>
              <w:overflowPunct w:val="0"/>
              <w:spacing w:after="0" w:line="240" w:lineRule="auto"/>
              <w:jc w:val="left"/>
              <w:rPr>
                <w:rFonts w:eastAsia="PMingLiU"/>
                <w:sz w:val="20"/>
                <w:szCs w:val="20"/>
                <w:lang w:val="en-GB" w:eastAsia="en-US"/>
              </w:rPr>
            </w:pPr>
          </w:p>
        </w:tc>
        <w:tc>
          <w:tcPr>
            <w:tcW w:w="3411" w:type="dxa"/>
            <w:tcBorders>
              <w:top w:val="nil"/>
              <w:left w:val="nil"/>
              <w:bottom w:val="single" w:sz="4" w:space="0" w:color="auto"/>
              <w:right w:val="nil"/>
            </w:tcBorders>
            <w:hideMark/>
          </w:tcPr>
          <w:p w14:paraId="28B935BE" w14:textId="219364FA" w:rsidR="00430330" w:rsidRPr="00474AF8" w:rsidRDefault="00430330">
            <w:pPr>
              <w:overflowPunct w:val="0"/>
              <w:spacing w:after="0" w:line="240" w:lineRule="auto"/>
              <w:jc w:val="left"/>
              <w:rPr>
                <w:rFonts w:eastAsia="PMingLiU"/>
                <w:noProof/>
                <w:sz w:val="18"/>
                <w:szCs w:val="18"/>
                <w:lang w:val="en-GB" w:eastAsia="en-US"/>
              </w:rPr>
            </w:pPr>
            <w:r w:rsidRPr="00474AF8">
              <w:rPr>
                <w:rFonts w:eastAsia="PMingLiU"/>
                <w:b/>
                <w:bCs/>
                <w:sz w:val="28"/>
                <w:szCs w:val="20"/>
                <w:lang w:val="en-GB" w:eastAsia="en-US"/>
              </w:rPr>
              <w:t>UNEP</w:t>
            </w:r>
            <w:bookmarkStart w:id="1" w:name="OLE_LINK1"/>
            <w:bookmarkStart w:id="2" w:name="OLE_LINK2"/>
            <w:r w:rsidRPr="00FA0DC5">
              <w:rPr>
                <w:rFonts w:eastAsia="PMingLiU"/>
                <w:bCs/>
                <w:sz w:val="24"/>
                <w:szCs w:val="24"/>
                <w:lang w:val="en-GB" w:eastAsia="en-US"/>
              </w:rPr>
              <w:t>/</w:t>
            </w:r>
            <w:r w:rsidRPr="00474AF8">
              <w:rPr>
                <w:rFonts w:eastAsia="PMingLiU"/>
                <w:sz w:val="20"/>
                <w:szCs w:val="20"/>
                <w:lang w:val="en-GB" w:eastAsia="en-US"/>
              </w:rPr>
              <w:t>MC/</w:t>
            </w:r>
            <w:bookmarkEnd w:id="1"/>
            <w:bookmarkEnd w:id="2"/>
            <w:r w:rsidRPr="00474AF8">
              <w:rPr>
                <w:rFonts w:eastAsia="PMingLiU"/>
                <w:sz w:val="20"/>
                <w:szCs w:val="20"/>
                <w:lang w:val="en-GB" w:eastAsia="en-US"/>
              </w:rPr>
              <w:t>COP</w:t>
            </w:r>
            <w:r w:rsidRPr="00474AF8">
              <w:rPr>
                <w:sz w:val="20"/>
                <w:szCs w:val="20"/>
                <w:lang w:val="en-GB" w:eastAsia="en-US"/>
              </w:rPr>
              <w:t>.</w:t>
            </w:r>
            <w:r w:rsidRPr="00474AF8">
              <w:rPr>
                <w:sz w:val="20"/>
                <w:szCs w:val="20"/>
                <w:lang w:val="en-GB" w:eastAsia="en-GB"/>
              </w:rPr>
              <w:t>3</w:t>
            </w:r>
            <w:r w:rsidRPr="00474AF8">
              <w:rPr>
                <w:sz w:val="20"/>
                <w:szCs w:val="20"/>
                <w:lang w:val="en-GB" w:eastAsia="en-US"/>
              </w:rPr>
              <w:t>/9/Add.1</w:t>
            </w:r>
          </w:p>
        </w:tc>
      </w:tr>
      <w:bookmarkStart w:id="3" w:name="_MON_1021710482"/>
      <w:bookmarkEnd w:id="3"/>
      <w:tr w:rsidR="00430330" w:rsidRPr="00474AF8" w14:paraId="05D120EA" w14:textId="77777777" w:rsidTr="00430330">
        <w:trPr>
          <w:cantSplit/>
          <w:trHeight w:val="2549"/>
          <w:jc w:val="right"/>
        </w:trPr>
        <w:tc>
          <w:tcPr>
            <w:tcW w:w="1550" w:type="dxa"/>
            <w:tcBorders>
              <w:top w:val="single" w:sz="4" w:space="0" w:color="auto"/>
              <w:left w:val="nil"/>
              <w:bottom w:val="single" w:sz="24" w:space="0" w:color="auto"/>
              <w:right w:val="nil"/>
            </w:tcBorders>
            <w:hideMark/>
          </w:tcPr>
          <w:p w14:paraId="572E2D67" w14:textId="400DE3A8" w:rsidR="00430330" w:rsidRPr="00474AF8" w:rsidRDefault="00430330">
            <w:pPr>
              <w:overflowPunct w:val="0"/>
              <w:spacing w:after="0" w:line="240" w:lineRule="auto"/>
              <w:jc w:val="left"/>
              <w:rPr>
                <w:rFonts w:eastAsia="PMingLiU"/>
                <w:noProof/>
                <w:sz w:val="20"/>
                <w:szCs w:val="20"/>
                <w:lang w:val="en-GB" w:eastAsia="en-US"/>
              </w:rPr>
            </w:pPr>
            <w:r w:rsidRPr="00474AF8">
              <w:rPr>
                <w:rFonts w:eastAsia="PMingLiU"/>
                <w:noProof/>
                <w:sz w:val="20"/>
                <w:szCs w:val="20"/>
                <w:lang w:val="en-GB" w:eastAsia="en-US"/>
              </w:rPr>
              <w:object w:dxaOrig="1290" w:dyaOrig="1155" w14:anchorId="549C83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8.05pt;mso-width-percent:0;mso-height-percent:0;mso-width-percent:0;mso-height-percent:0" o:ole="" fillcolor="window">
                  <v:imagedata r:id="rId8" o:title=""/>
                </v:shape>
                <o:OLEObject Type="Embed" ProgID="Word.Picture.8" ShapeID="_x0000_i1025" DrawAspect="Content" ObjectID="_1633415204" r:id="rId9"/>
              </w:object>
            </w:r>
            <w:r w:rsidRPr="00474AF8">
              <w:rPr>
                <w:rFonts w:eastAsia="PMingLiU"/>
                <w:noProof/>
                <w:sz w:val="20"/>
                <w:szCs w:val="20"/>
              </w:rPr>
              <w:drawing>
                <wp:inline distT="0" distB="0" distL="0" distR="0" wp14:anchorId="137EA373" wp14:editId="753CFEF5">
                  <wp:extent cx="723265" cy="773430"/>
                  <wp:effectExtent l="0" t="0" r="635" b="762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65" cy="773430"/>
                          </a:xfrm>
                          <a:prstGeom prst="rect">
                            <a:avLst/>
                          </a:prstGeom>
                          <a:noFill/>
                          <a:ln>
                            <a:noFill/>
                          </a:ln>
                        </pic:spPr>
                      </pic:pic>
                    </a:graphicData>
                  </a:graphic>
                </wp:inline>
              </w:drawing>
            </w:r>
          </w:p>
        </w:tc>
        <w:tc>
          <w:tcPr>
            <w:tcW w:w="4751" w:type="dxa"/>
            <w:tcBorders>
              <w:top w:val="single" w:sz="4" w:space="0" w:color="auto"/>
              <w:left w:val="nil"/>
              <w:bottom w:val="single" w:sz="24" w:space="0" w:color="auto"/>
              <w:right w:val="nil"/>
            </w:tcBorders>
            <w:hideMark/>
          </w:tcPr>
          <w:p w14:paraId="2190AA6D" w14:textId="77777777" w:rsidR="00430330" w:rsidRPr="00474AF8" w:rsidRDefault="00430330">
            <w:pPr>
              <w:overflowPunct w:val="0"/>
              <w:spacing w:before="1320" w:after="0" w:line="240" w:lineRule="auto"/>
              <w:jc w:val="left"/>
              <w:rPr>
                <w:rFonts w:ascii="SimHei" w:eastAsia="SimHei" w:hAnsi="SimHei" w:cs="Arial"/>
                <w:b/>
                <w:sz w:val="32"/>
                <w:szCs w:val="32"/>
                <w:lang w:val="en-GB" w:eastAsia="en-US"/>
              </w:rPr>
            </w:pPr>
            <w:r w:rsidRPr="00474AF8">
              <w:rPr>
                <w:rFonts w:ascii="SimHei" w:eastAsia="SimHei" w:hAnsi="SimHei" w:cs="Arial" w:hint="eastAsia"/>
                <w:b/>
                <w:sz w:val="32"/>
                <w:szCs w:val="32"/>
                <w:lang w:val="en-GB"/>
              </w:rPr>
              <w:t xml:space="preserve">联合国 </w:t>
            </w:r>
            <w:r w:rsidRPr="00474AF8">
              <w:rPr>
                <w:rFonts w:ascii="SimHei" w:eastAsia="SimHei" w:hAnsi="SimHei" w:cs="Arial" w:hint="eastAsia"/>
                <w:b/>
                <w:sz w:val="32"/>
                <w:szCs w:val="32"/>
                <w:lang w:val="en-GB" w:eastAsia="en-US"/>
              </w:rPr>
              <w:br w:type="textWrapping" w:clear="all"/>
            </w:r>
            <w:r w:rsidRPr="00474AF8">
              <w:rPr>
                <w:rFonts w:ascii="SimHei" w:eastAsia="SimHei" w:hAnsi="SimHei" w:cs="Arial" w:hint="eastAsia"/>
                <w:b/>
                <w:sz w:val="32"/>
                <w:szCs w:val="32"/>
                <w:lang w:val="en-GB"/>
              </w:rPr>
              <w:t>环境规划署</w:t>
            </w:r>
          </w:p>
        </w:tc>
        <w:tc>
          <w:tcPr>
            <w:tcW w:w="3411" w:type="dxa"/>
            <w:tcBorders>
              <w:top w:val="single" w:sz="4" w:space="0" w:color="auto"/>
              <w:left w:val="nil"/>
              <w:bottom w:val="single" w:sz="24" w:space="0" w:color="auto"/>
              <w:right w:val="nil"/>
            </w:tcBorders>
          </w:tcPr>
          <w:p w14:paraId="45E6E18D" w14:textId="22B06772" w:rsidR="00430330" w:rsidRPr="00474AF8" w:rsidRDefault="00430330">
            <w:pPr>
              <w:overflowPunct w:val="0"/>
              <w:spacing w:before="120" w:after="0" w:line="240" w:lineRule="auto"/>
              <w:jc w:val="left"/>
              <w:rPr>
                <w:rFonts w:eastAsia="PMingLiU"/>
                <w:sz w:val="20"/>
                <w:szCs w:val="20"/>
                <w:lang w:val="en-GB" w:eastAsia="en-US"/>
              </w:rPr>
            </w:pPr>
            <w:r w:rsidRPr="00474AF8">
              <w:rPr>
                <w:rFonts w:eastAsia="PMingLiU"/>
                <w:sz w:val="20"/>
                <w:szCs w:val="20"/>
                <w:lang w:val="en-GB" w:eastAsia="en-US"/>
              </w:rPr>
              <w:t xml:space="preserve">Distr.: General </w:t>
            </w:r>
            <w:r w:rsidRPr="00474AF8">
              <w:rPr>
                <w:rFonts w:eastAsia="PMingLiU"/>
                <w:sz w:val="20"/>
                <w:szCs w:val="20"/>
                <w:lang w:val="en-GB" w:eastAsia="en-US"/>
              </w:rPr>
              <w:br w:type="textWrapping" w:clear="all"/>
            </w:r>
            <w:r w:rsidR="00AC1BD4" w:rsidRPr="00474AF8">
              <w:rPr>
                <w:rFonts w:eastAsia="PMingLiU"/>
                <w:sz w:val="20"/>
                <w:szCs w:val="20"/>
                <w:lang w:val="en-GB" w:eastAsia="en-US"/>
              </w:rPr>
              <w:t xml:space="preserve">16 September </w:t>
            </w:r>
            <w:r w:rsidRPr="00474AF8">
              <w:rPr>
                <w:rFonts w:eastAsia="PMingLiU"/>
                <w:sz w:val="20"/>
                <w:szCs w:val="20"/>
                <w:lang w:val="en-GB" w:eastAsia="en-US"/>
              </w:rPr>
              <w:t>2019</w:t>
            </w:r>
          </w:p>
          <w:p w14:paraId="4567C2C7" w14:textId="77777777" w:rsidR="00430330" w:rsidRPr="00474AF8" w:rsidRDefault="00430330">
            <w:pPr>
              <w:overflowPunct w:val="0"/>
              <w:spacing w:after="0" w:line="240" w:lineRule="auto"/>
              <w:jc w:val="left"/>
              <w:rPr>
                <w:rFonts w:eastAsia="PMingLiU"/>
                <w:sz w:val="20"/>
                <w:szCs w:val="20"/>
                <w:lang w:val="en-GB" w:eastAsia="en-US"/>
              </w:rPr>
            </w:pPr>
          </w:p>
          <w:p w14:paraId="38A81CFE" w14:textId="77777777" w:rsidR="00430330" w:rsidRPr="00474AF8" w:rsidRDefault="00430330">
            <w:pPr>
              <w:overflowPunct w:val="0"/>
              <w:spacing w:after="0" w:line="240" w:lineRule="auto"/>
              <w:jc w:val="left"/>
              <w:rPr>
                <w:rFonts w:eastAsia="PMingLiU"/>
                <w:sz w:val="20"/>
                <w:szCs w:val="20"/>
                <w:lang w:val="en-GB" w:eastAsia="en-US"/>
              </w:rPr>
            </w:pPr>
            <w:r w:rsidRPr="00474AF8">
              <w:rPr>
                <w:rFonts w:eastAsia="PMingLiU"/>
                <w:sz w:val="20"/>
                <w:szCs w:val="20"/>
                <w:lang w:val="en-GB" w:eastAsia="en-US"/>
              </w:rPr>
              <w:t>Chinese</w:t>
            </w:r>
          </w:p>
          <w:p w14:paraId="246D07CE" w14:textId="77777777" w:rsidR="00430330" w:rsidRPr="00474AF8" w:rsidRDefault="00430330">
            <w:pPr>
              <w:overflowPunct w:val="0"/>
              <w:spacing w:after="0" w:line="240" w:lineRule="auto"/>
              <w:jc w:val="left"/>
              <w:rPr>
                <w:rFonts w:eastAsia="PMingLiU"/>
                <w:sz w:val="20"/>
                <w:szCs w:val="20"/>
                <w:lang w:val="en-GB" w:eastAsia="en-US"/>
              </w:rPr>
            </w:pPr>
            <w:r w:rsidRPr="00474AF8">
              <w:rPr>
                <w:rFonts w:eastAsia="PMingLiU"/>
                <w:sz w:val="20"/>
                <w:szCs w:val="20"/>
                <w:lang w:val="en-GB" w:eastAsia="en-US"/>
              </w:rPr>
              <w:t>Original: English</w:t>
            </w:r>
          </w:p>
        </w:tc>
      </w:tr>
    </w:tbl>
    <w:p w14:paraId="42E85187" w14:textId="77777777" w:rsidR="00430330" w:rsidRPr="00474AF8" w:rsidRDefault="00430330" w:rsidP="00430330">
      <w:pPr>
        <w:tabs>
          <w:tab w:val="left" w:pos="4082"/>
        </w:tabs>
        <w:suppressAutoHyphens/>
        <w:overflowPunct w:val="0"/>
        <w:spacing w:after="0" w:line="240" w:lineRule="auto"/>
        <w:ind w:right="5103"/>
        <w:jc w:val="left"/>
        <w:rPr>
          <w:rFonts w:ascii="SimHei" w:eastAsia="SimHei" w:hAnsi="SimHei"/>
          <w:b/>
          <w:sz w:val="24"/>
          <w:szCs w:val="24"/>
          <w:lang w:val="en-GB"/>
        </w:rPr>
      </w:pPr>
      <w:r w:rsidRPr="00474AF8">
        <w:rPr>
          <w:rFonts w:ascii="SimHei" w:eastAsia="SimHei" w:hAnsi="SimHei" w:hint="eastAsia"/>
          <w:b/>
          <w:sz w:val="24"/>
          <w:szCs w:val="24"/>
          <w:lang w:val="en-GB"/>
        </w:rPr>
        <w:t>关于汞的水俣公约缔约方大会</w:t>
      </w:r>
      <w:r w:rsidRPr="00474AF8">
        <w:rPr>
          <w:rFonts w:ascii="SimHei" w:eastAsia="SimHei" w:hAnsi="SimHei" w:hint="eastAsia"/>
          <w:b/>
          <w:sz w:val="24"/>
          <w:szCs w:val="24"/>
          <w:lang w:val="en-GB"/>
        </w:rPr>
        <w:br/>
        <w:t>第三次会议</w:t>
      </w:r>
    </w:p>
    <w:p w14:paraId="658C7B70" w14:textId="77777777" w:rsidR="00430330" w:rsidRPr="00474AF8" w:rsidRDefault="00430330" w:rsidP="00430330">
      <w:pPr>
        <w:pStyle w:val="AATitle"/>
        <w:overflowPunct w:val="0"/>
        <w:rPr>
          <w:rFonts w:eastAsiaTheme="minorEastAsia"/>
          <w:b w:val="0"/>
          <w:sz w:val="24"/>
          <w:szCs w:val="24"/>
          <w:lang w:eastAsia="zh-CN"/>
        </w:rPr>
      </w:pPr>
      <w:r w:rsidRPr="00474AF8">
        <w:rPr>
          <w:rFonts w:eastAsiaTheme="minorEastAsia" w:hint="eastAsia"/>
          <w:b w:val="0"/>
          <w:sz w:val="24"/>
          <w:szCs w:val="24"/>
          <w:lang w:val="zh-CN" w:eastAsia="zh-CN"/>
        </w:rPr>
        <w:t>2019</w:t>
      </w:r>
      <w:r w:rsidRPr="00474AF8">
        <w:rPr>
          <w:rFonts w:eastAsiaTheme="minorEastAsia" w:hint="eastAsia"/>
          <w:b w:val="0"/>
          <w:sz w:val="24"/>
          <w:szCs w:val="24"/>
          <w:lang w:val="zh-CN" w:eastAsia="zh-CN"/>
        </w:rPr>
        <w:t>年</w:t>
      </w:r>
      <w:r w:rsidRPr="00474AF8">
        <w:rPr>
          <w:rFonts w:eastAsiaTheme="minorEastAsia" w:hint="eastAsia"/>
          <w:b w:val="0"/>
          <w:sz w:val="24"/>
          <w:szCs w:val="24"/>
          <w:lang w:val="zh-CN" w:eastAsia="zh-CN"/>
        </w:rPr>
        <w:t>11</w:t>
      </w:r>
      <w:r w:rsidRPr="00474AF8">
        <w:rPr>
          <w:rFonts w:eastAsiaTheme="minorEastAsia" w:hint="eastAsia"/>
          <w:b w:val="0"/>
          <w:sz w:val="24"/>
          <w:szCs w:val="24"/>
          <w:lang w:val="zh-CN" w:eastAsia="zh-CN"/>
        </w:rPr>
        <w:t>月</w:t>
      </w:r>
      <w:r w:rsidRPr="00474AF8">
        <w:rPr>
          <w:rFonts w:eastAsiaTheme="minorEastAsia" w:hint="eastAsia"/>
          <w:b w:val="0"/>
          <w:sz w:val="24"/>
          <w:szCs w:val="24"/>
          <w:lang w:val="zh-CN" w:eastAsia="zh-CN"/>
        </w:rPr>
        <w:t>25</w:t>
      </w:r>
      <w:r w:rsidRPr="00474AF8">
        <w:rPr>
          <w:rFonts w:eastAsiaTheme="minorEastAsia" w:hint="eastAsia"/>
          <w:b w:val="0"/>
          <w:sz w:val="24"/>
          <w:szCs w:val="24"/>
          <w:lang w:val="zh-CN" w:eastAsia="zh-CN"/>
        </w:rPr>
        <w:t>日至</w:t>
      </w:r>
      <w:r w:rsidRPr="00474AF8">
        <w:rPr>
          <w:rFonts w:eastAsiaTheme="minorEastAsia" w:hint="eastAsia"/>
          <w:b w:val="0"/>
          <w:sz w:val="24"/>
          <w:szCs w:val="24"/>
          <w:lang w:val="zh-CN" w:eastAsia="zh-CN"/>
        </w:rPr>
        <w:t>29</w:t>
      </w:r>
      <w:r w:rsidRPr="00474AF8">
        <w:rPr>
          <w:rFonts w:eastAsiaTheme="minorEastAsia" w:hint="eastAsia"/>
          <w:b w:val="0"/>
          <w:sz w:val="24"/>
          <w:szCs w:val="24"/>
          <w:lang w:val="zh-CN" w:eastAsia="zh-CN"/>
        </w:rPr>
        <w:t>日，日内瓦</w:t>
      </w:r>
    </w:p>
    <w:p w14:paraId="596857E5" w14:textId="77777777" w:rsidR="00430330" w:rsidRPr="00474AF8" w:rsidRDefault="00430330" w:rsidP="00430330">
      <w:pPr>
        <w:pStyle w:val="AATitle"/>
        <w:keepNext w:val="0"/>
        <w:keepLines w:val="0"/>
        <w:overflowPunct w:val="0"/>
        <w:spacing w:after="60"/>
        <w:rPr>
          <w:rFonts w:eastAsiaTheme="minorEastAsia"/>
          <w:b w:val="0"/>
          <w:sz w:val="24"/>
          <w:szCs w:val="24"/>
          <w:lang w:eastAsia="zh-CN"/>
        </w:rPr>
      </w:pPr>
      <w:r w:rsidRPr="00474AF8">
        <w:rPr>
          <w:rFonts w:eastAsiaTheme="minorEastAsia" w:hint="eastAsia"/>
          <w:b w:val="0"/>
          <w:sz w:val="24"/>
          <w:szCs w:val="24"/>
          <w:lang w:val="zh-CN" w:eastAsia="zh-CN"/>
        </w:rPr>
        <w:t>临时议程</w:t>
      </w:r>
      <w:r w:rsidRPr="00474AF8">
        <w:rPr>
          <w:rFonts w:eastAsiaTheme="minorEastAsia" w:hint="eastAsia"/>
          <w:b w:val="0"/>
          <w:sz w:val="24"/>
          <w:szCs w:val="24"/>
          <w:lang w:val="zh-CN" w:eastAsia="zh-CN"/>
        </w:rPr>
        <w:footnoteReference w:customMarkFollows="1" w:id="1"/>
        <w:t>*</w:t>
      </w:r>
      <w:r w:rsidRPr="00474AF8">
        <w:rPr>
          <w:rFonts w:eastAsiaTheme="minorEastAsia" w:hint="eastAsia"/>
          <w:b w:val="0"/>
          <w:sz w:val="24"/>
          <w:szCs w:val="24"/>
          <w:lang w:val="zh-CN" w:eastAsia="zh-CN"/>
        </w:rPr>
        <w:t>项目</w:t>
      </w:r>
      <w:r w:rsidRPr="00474AF8">
        <w:rPr>
          <w:rFonts w:eastAsiaTheme="minorEastAsia" w:hint="eastAsia"/>
          <w:b w:val="0"/>
          <w:sz w:val="24"/>
          <w:szCs w:val="24"/>
          <w:lang w:val="zh-CN" w:eastAsia="zh-CN"/>
        </w:rPr>
        <w:t>5(e)</w:t>
      </w:r>
      <w:r w:rsidRPr="00474AF8">
        <w:rPr>
          <w:rFonts w:eastAsiaTheme="minorEastAsia" w:hint="eastAsia"/>
          <w:b w:val="0"/>
          <w:lang w:val="zh-CN" w:eastAsia="zh-CN"/>
        </w:rPr>
        <w:t>(</w:t>
      </w:r>
      <w:r w:rsidRPr="00474AF8">
        <w:rPr>
          <w:rFonts w:eastAsiaTheme="minorEastAsia" w:hint="eastAsia"/>
          <w:b w:val="0"/>
          <w:lang w:val="zh-CN" w:eastAsia="zh-CN"/>
        </w:rPr>
        <w:t>一</w:t>
      </w:r>
      <w:r w:rsidRPr="00474AF8">
        <w:rPr>
          <w:rFonts w:eastAsiaTheme="minorEastAsia" w:hint="eastAsia"/>
          <w:b w:val="0"/>
          <w:lang w:val="zh-CN" w:eastAsia="zh-CN"/>
        </w:rPr>
        <w:t>)</w:t>
      </w:r>
    </w:p>
    <w:p w14:paraId="1300CEBA" w14:textId="77777777" w:rsidR="00430330" w:rsidRPr="00474AF8" w:rsidRDefault="00430330" w:rsidP="00430330">
      <w:pPr>
        <w:pStyle w:val="AATitle2"/>
        <w:tabs>
          <w:tab w:val="left" w:pos="4920"/>
        </w:tabs>
        <w:overflowPunct w:val="0"/>
        <w:spacing w:before="0"/>
        <w:rPr>
          <w:rFonts w:ascii="SimHei" w:eastAsia="SimHei" w:hAnsi="SimHei"/>
          <w:sz w:val="24"/>
          <w:szCs w:val="24"/>
          <w:lang w:eastAsia="zh-CN"/>
        </w:rPr>
      </w:pPr>
      <w:r w:rsidRPr="00474AF8">
        <w:rPr>
          <w:rFonts w:ascii="SimHei" w:eastAsia="SimHei" w:hAnsi="SimHei" w:hint="eastAsia"/>
          <w:sz w:val="24"/>
          <w:szCs w:val="24"/>
          <w:lang w:val="zh-CN" w:eastAsia="zh-CN"/>
        </w:rPr>
        <w:t>供缔约方大会审议或采取行动的事项：</w:t>
      </w:r>
      <w:r w:rsidRPr="00474AF8">
        <w:rPr>
          <w:rFonts w:ascii="SimHei" w:eastAsia="SimHei" w:hAnsi="SimHei" w:hint="eastAsia"/>
          <w:sz w:val="24"/>
          <w:szCs w:val="24"/>
          <w:lang w:val="zh-CN" w:eastAsia="zh-CN"/>
        </w:rPr>
        <w:br/>
        <w:t>资金机制：全球环境基金</w:t>
      </w:r>
    </w:p>
    <w:p w14:paraId="70C94C6F" w14:textId="197A5F80" w:rsidR="00353EC0" w:rsidRPr="00474AF8" w:rsidRDefault="00353EC0" w:rsidP="00FA0DC5">
      <w:pPr>
        <w:pStyle w:val="BBTitle"/>
        <w:ind w:right="137"/>
        <w:rPr>
          <w:rFonts w:ascii="SimHei" w:eastAsia="SimHei" w:hAnsi="SimHei"/>
          <w:sz w:val="32"/>
          <w:szCs w:val="32"/>
          <w:lang w:eastAsia="zh-CN"/>
        </w:rPr>
      </w:pPr>
      <w:r w:rsidRPr="00474AF8">
        <w:rPr>
          <w:rFonts w:ascii="SimHei" w:eastAsia="SimHei" w:hAnsi="SimHei"/>
          <w:bCs/>
          <w:sz w:val="32"/>
          <w:szCs w:val="32"/>
          <w:lang w:val="zh-CN" w:eastAsia="zh-CN"/>
        </w:rPr>
        <w:t>全球环境基金理事会向缔约方大会第三次会议所作报告的执行摘要</w:t>
      </w:r>
    </w:p>
    <w:p w14:paraId="758627E5" w14:textId="77777777" w:rsidR="00353EC0" w:rsidRPr="00474AF8" w:rsidRDefault="00353EC0" w:rsidP="00353EC0">
      <w:pPr>
        <w:pStyle w:val="CH2"/>
        <w:rPr>
          <w:rFonts w:ascii="SimHei" w:eastAsia="SimHei" w:hAnsi="SimHei"/>
          <w:lang w:eastAsia="zh-CN"/>
        </w:rPr>
      </w:pPr>
      <w:r w:rsidRPr="00474AF8">
        <w:rPr>
          <w:rFonts w:ascii="SimHei" w:eastAsia="SimHei" w:hAnsi="SimHei"/>
          <w:lang w:val="zh-CN" w:eastAsia="zh-CN"/>
        </w:rPr>
        <w:tab/>
      </w:r>
      <w:r w:rsidRPr="00474AF8">
        <w:rPr>
          <w:rFonts w:ascii="SimHei" w:eastAsia="SimHei" w:hAnsi="SimHei"/>
          <w:lang w:val="zh-CN" w:eastAsia="zh-CN"/>
        </w:rPr>
        <w:tab/>
      </w:r>
      <w:r w:rsidRPr="00474AF8">
        <w:rPr>
          <w:rFonts w:ascii="SimHei" w:eastAsia="SimHei" w:hAnsi="SimHei"/>
          <w:bCs/>
          <w:lang w:val="zh-CN" w:eastAsia="zh-CN"/>
        </w:rPr>
        <w:t>秘书处的说明</w:t>
      </w:r>
    </w:p>
    <w:p w14:paraId="36B579D9" w14:textId="271C426B" w:rsidR="00353EC0" w:rsidRPr="00474AF8" w:rsidRDefault="00353EC0" w:rsidP="00FA0DC5">
      <w:pPr>
        <w:pStyle w:val="NormalNonumber"/>
        <w:jc w:val="both"/>
        <w:rPr>
          <w:sz w:val="24"/>
          <w:lang w:eastAsia="zh-CN"/>
        </w:rPr>
      </w:pPr>
      <w:r w:rsidRPr="00474AF8">
        <w:rPr>
          <w:sz w:val="24"/>
          <w:lang w:val="zh-CN" w:eastAsia="zh-CN"/>
        </w:rPr>
        <w:t>全球环境基金理事会向关于汞的水俣公约缔约方大会第三次会议所作报告的执行摘要载于本说明附件。该附件按原文转载，未经正式编辑。报告全文载于</w:t>
      </w:r>
      <w:r w:rsidRPr="00474AF8">
        <w:rPr>
          <w:sz w:val="24"/>
          <w:lang w:val="zh-CN" w:eastAsia="zh-CN"/>
        </w:rPr>
        <w:t>UNEP/MC/COP.3/INF.2</w:t>
      </w:r>
      <w:r w:rsidRPr="00474AF8">
        <w:rPr>
          <w:sz w:val="24"/>
          <w:lang w:val="zh-CN" w:eastAsia="zh-CN"/>
        </w:rPr>
        <w:t>号文件附件。</w:t>
      </w:r>
    </w:p>
    <w:p w14:paraId="6B1044D5" w14:textId="77777777" w:rsidR="00353EC0" w:rsidRPr="00474AF8" w:rsidRDefault="00353EC0" w:rsidP="00353EC0">
      <w:pPr>
        <w:tabs>
          <w:tab w:val="clear" w:pos="1247"/>
          <w:tab w:val="clear" w:pos="1814"/>
          <w:tab w:val="clear" w:pos="2381"/>
          <w:tab w:val="clear" w:pos="2948"/>
          <w:tab w:val="clear" w:pos="3515"/>
        </w:tabs>
      </w:pPr>
      <w:r w:rsidRPr="00474AF8">
        <w:br w:type="page"/>
      </w:r>
    </w:p>
    <w:p w14:paraId="6A2D98C3" w14:textId="022CCDBB" w:rsidR="00353EC0" w:rsidRPr="00FA0DC5" w:rsidRDefault="00353EC0" w:rsidP="00353EC0">
      <w:pPr>
        <w:pStyle w:val="ZZAnxheader"/>
        <w:rPr>
          <w:rFonts w:ascii="SimHei" w:eastAsia="SimHei" w:hAnsi="SimHei"/>
          <w:sz w:val="32"/>
          <w:szCs w:val="32"/>
          <w:lang w:eastAsia="zh-CN"/>
        </w:rPr>
      </w:pPr>
      <w:r w:rsidRPr="00FA0DC5">
        <w:rPr>
          <w:rFonts w:ascii="SimHei" w:eastAsia="SimHei" w:hAnsi="SimHei"/>
          <w:sz w:val="32"/>
          <w:szCs w:val="32"/>
          <w:lang w:val="zh-CN" w:eastAsia="zh-CN"/>
        </w:rPr>
        <w:lastRenderedPageBreak/>
        <w:t>附件</w:t>
      </w:r>
    </w:p>
    <w:p w14:paraId="724A5491" w14:textId="3CC77BA4" w:rsidR="00353EC0" w:rsidRPr="00474AF8" w:rsidRDefault="00353EC0" w:rsidP="00FA0DC5">
      <w:pPr>
        <w:pStyle w:val="ZZAnxtitle"/>
        <w:ind w:right="617"/>
        <w:rPr>
          <w:rFonts w:ascii="SimHei" w:eastAsia="SimHei" w:hAnsi="SimHei"/>
          <w:sz w:val="32"/>
          <w:lang w:eastAsia="zh-CN"/>
        </w:rPr>
      </w:pPr>
      <w:r w:rsidRPr="00474AF8">
        <w:rPr>
          <w:rFonts w:ascii="SimHei" w:eastAsia="SimHei" w:hAnsi="SimHei"/>
          <w:sz w:val="32"/>
          <w:lang w:val="zh-CN" w:eastAsia="zh-CN"/>
        </w:rPr>
        <w:t>全球环境基金理事会</w:t>
      </w:r>
      <w:proofErr w:type="gramStart"/>
      <w:r w:rsidRPr="00474AF8">
        <w:rPr>
          <w:rFonts w:ascii="SimHei" w:eastAsia="SimHei" w:hAnsi="SimHei"/>
          <w:sz w:val="32"/>
          <w:lang w:val="zh-CN" w:eastAsia="zh-CN"/>
        </w:rPr>
        <w:t>向关于汞</w:t>
      </w:r>
      <w:proofErr w:type="gramEnd"/>
      <w:r w:rsidRPr="00474AF8">
        <w:rPr>
          <w:rFonts w:ascii="SimHei" w:eastAsia="SimHei" w:hAnsi="SimHei"/>
          <w:sz w:val="32"/>
          <w:lang w:val="zh-CN" w:eastAsia="zh-CN"/>
        </w:rPr>
        <w:t>的水</w:t>
      </w:r>
      <w:proofErr w:type="gramStart"/>
      <w:r w:rsidRPr="00474AF8">
        <w:rPr>
          <w:rFonts w:ascii="SimHei" w:eastAsia="SimHei" w:hAnsi="SimHei"/>
          <w:sz w:val="32"/>
          <w:lang w:val="zh-CN" w:eastAsia="zh-CN"/>
        </w:rPr>
        <w:t>俣</w:t>
      </w:r>
      <w:proofErr w:type="gramEnd"/>
      <w:r w:rsidRPr="00474AF8">
        <w:rPr>
          <w:rFonts w:ascii="SimHei" w:eastAsia="SimHei" w:hAnsi="SimHei"/>
          <w:sz w:val="32"/>
          <w:lang w:val="zh-CN" w:eastAsia="zh-CN"/>
        </w:rPr>
        <w:t>公约缔约方大会第三次会议所作报告的执行摘要</w:t>
      </w:r>
    </w:p>
    <w:p w14:paraId="289B35D0" w14:textId="77777777" w:rsidR="00353EC0" w:rsidRPr="00474AF8" w:rsidRDefault="00353EC0" w:rsidP="0085531B">
      <w:pPr>
        <w:pStyle w:val="Normal-pool"/>
        <w:rPr>
          <w:lang w:eastAsia="zh-CN"/>
        </w:rPr>
      </w:pPr>
    </w:p>
    <w:p w14:paraId="656C3F35" w14:textId="77777777" w:rsidR="00353EC0" w:rsidRPr="00474AF8" w:rsidRDefault="00353EC0" w:rsidP="00353EC0">
      <w:pPr>
        <w:tabs>
          <w:tab w:val="clear" w:pos="1247"/>
          <w:tab w:val="clear" w:pos="1814"/>
          <w:tab w:val="clear" w:pos="2381"/>
          <w:tab w:val="clear" w:pos="2948"/>
          <w:tab w:val="clear" w:pos="3515"/>
        </w:tabs>
      </w:pPr>
      <w:r w:rsidRPr="00474AF8">
        <w:br w:type="page"/>
      </w:r>
    </w:p>
    <w:p w14:paraId="1743293E" w14:textId="752B4035" w:rsidR="00353EC0" w:rsidRPr="00474AF8" w:rsidRDefault="003860D2" w:rsidP="00353EC0">
      <w:pPr>
        <w:pStyle w:val="BodyText"/>
      </w:pPr>
      <w:r w:rsidRPr="00474AF8">
        <w:rPr>
          <w:noProof/>
        </w:rPr>
        <w:lastRenderedPageBreak/>
        <w:drawing>
          <wp:anchor distT="0" distB="0" distL="114300" distR="114300" simplePos="0" relativeHeight="251660288" behindDoc="0" locked="0" layoutInCell="1" allowOverlap="1" wp14:anchorId="16C034FF" wp14:editId="40BAF3E1">
            <wp:simplePos x="0" y="0"/>
            <wp:positionH relativeFrom="column">
              <wp:posOffset>917575</wp:posOffset>
            </wp:positionH>
            <wp:positionV relativeFrom="paragraph">
              <wp:posOffset>265430</wp:posOffset>
            </wp:positionV>
            <wp:extent cx="4362450" cy="963295"/>
            <wp:effectExtent l="0" t="0" r="0" b="8255"/>
            <wp:wrapTopAndBottom/>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62450" cy="963295"/>
                    </a:xfrm>
                    <a:prstGeom prst="rect">
                      <a:avLst/>
                    </a:prstGeom>
                  </pic:spPr>
                </pic:pic>
              </a:graphicData>
            </a:graphic>
          </wp:anchor>
        </w:drawing>
      </w:r>
    </w:p>
    <w:p w14:paraId="20F5AF58" w14:textId="61578236" w:rsidR="00353EC0" w:rsidRPr="00474AF8" w:rsidRDefault="00353EC0" w:rsidP="00353EC0">
      <w:pPr>
        <w:pStyle w:val="BodyText"/>
        <w:spacing w:before="2"/>
      </w:pPr>
    </w:p>
    <w:p w14:paraId="0C54897B" w14:textId="46C790C8" w:rsidR="00353EC0" w:rsidRPr="00474AF8" w:rsidRDefault="003860D2" w:rsidP="00353EC0">
      <w:pPr>
        <w:pStyle w:val="BodyText"/>
      </w:pPr>
      <w:r w:rsidRPr="00474AF8">
        <w:rPr>
          <w:noProof/>
        </w:rPr>
        <mc:AlternateContent>
          <mc:Choice Requires="wps">
            <w:drawing>
              <wp:anchor distT="0" distB="0" distL="0" distR="0" simplePos="0" relativeHeight="251659264" behindDoc="0" locked="0" layoutInCell="1" allowOverlap="1" wp14:anchorId="71FF6BB5" wp14:editId="710A2DCF">
                <wp:simplePos x="0" y="0"/>
                <wp:positionH relativeFrom="page">
                  <wp:posOffset>838200</wp:posOffset>
                </wp:positionH>
                <wp:positionV relativeFrom="paragraph">
                  <wp:posOffset>288680</wp:posOffset>
                </wp:positionV>
                <wp:extent cx="6090920" cy="0"/>
                <wp:effectExtent l="19050" t="16510" r="14605" b="21590"/>
                <wp:wrapTopAndBottom/>
                <wp:docPr id="4"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277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9BBFC" id="Line 26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pt,22.75pt" to="545.6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" strokeweight=".77047mm">
                <w10:wrap type="topAndBottom" anchorx="page"/>
              </v:line>
            </w:pict>
          </mc:Fallback>
        </mc:AlternateContent>
      </w:r>
    </w:p>
    <w:p w14:paraId="222AE43D" w14:textId="77777777" w:rsidR="00353EC0" w:rsidRPr="00474AF8" w:rsidRDefault="00353EC0" w:rsidP="00353EC0">
      <w:pPr>
        <w:pStyle w:val="BodyText"/>
      </w:pPr>
    </w:p>
    <w:p w14:paraId="6282C69C" w14:textId="77777777" w:rsidR="00353EC0" w:rsidRPr="00474AF8" w:rsidRDefault="00353EC0" w:rsidP="00353EC0">
      <w:pPr>
        <w:pStyle w:val="BodyText"/>
      </w:pPr>
    </w:p>
    <w:p w14:paraId="4E0A2F54" w14:textId="77777777" w:rsidR="00353EC0" w:rsidRPr="00474AF8" w:rsidRDefault="00353EC0" w:rsidP="00353EC0">
      <w:pPr>
        <w:pStyle w:val="BodyText"/>
      </w:pPr>
    </w:p>
    <w:p w14:paraId="77C68F7D" w14:textId="77777777" w:rsidR="00353EC0" w:rsidRPr="00474AF8" w:rsidRDefault="00353EC0" w:rsidP="00353EC0">
      <w:pPr>
        <w:pStyle w:val="BodyText"/>
      </w:pPr>
    </w:p>
    <w:p w14:paraId="177BB6C8" w14:textId="77777777" w:rsidR="00353EC0" w:rsidRPr="00474AF8" w:rsidRDefault="00353EC0" w:rsidP="00353EC0">
      <w:pPr>
        <w:pStyle w:val="BodyText"/>
      </w:pPr>
    </w:p>
    <w:p w14:paraId="64FCE16B" w14:textId="77777777" w:rsidR="00353EC0" w:rsidRPr="00474AF8" w:rsidRDefault="00353EC0" w:rsidP="00353EC0">
      <w:pPr>
        <w:pStyle w:val="BodyText"/>
      </w:pPr>
    </w:p>
    <w:p w14:paraId="5460BAD5" w14:textId="77777777" w:rsidR="00353EC0" w:rsidRPr="00474AF8" w:rsidRDefault="00353EC0" w:rsidP="00353EC0">
      <w:pPr>
        <w:pStyle w:val="BodyText"/>
      </w:pPr>
    </w:p>
    <w:p w14:paraId="1DEC6BFA" w14:textId="77777777" w:rsidR="00353EC0" w:rsidRPr="00474AF8" w:rsidRDefault="00353EC0" w:rsidP="00353EC0">
      <w:pPr>
        <w:pStyle w:val="BodyText"/>
      </w:pPr>
    </w:p>
    <w:p w14:paraId="11F70D32" w14:textId="77777777" w:rsidR="00353EC0" w:rsidRPr="00474AF8" w:rsidRDefault="00353EC0" w:rsidP="00353EC0">
      <w:pPr>
        <w:pStyle w:val="BodyText"/>
      </w:pPr>
    </w:p>
    <w:p w14:paraId="652E839E" w14:textId="77777777" w:rsidR="003860D2" w:rsidRPr="00474AF8" w:rsidRDefault="00353EC0" w:rsidP="003860D2">
      <w:pPr>
        <w:spacing w:before="250" w:line="240" w:lineRule="auto"/>
        <w:ind w:left="1368" w:right="1354"/>
        <w:jc w:val="center"/>
        <w:rPr>
          <w:rFonts w:ascii="SimHei" w:eastAsia="SimHei" w:hAnsi="SimHei"/>
          <w:b/>
          <w:bCs/>
          <w:sz w:val="32"/>
          <w:lang w:val="zh-CN"/>
        </w:rPr>
      </w:pPr>
      <w:r w:rsidRPr="00474AF8">
        <w:rPr>
          <w:rFonts w:ascii="SimHei" w:eastAsia="SimHei" w:hAnsi="SimHei"/>
          <w:b/>
          <w:bCs/>
          <w:sz w:val="32"/>
          <w:lang w:val="zh-CN"/>
        </w:rPr>
        <w:t>全球环境基金向关于汞的水俣公约缔约方大会</w:t>
      </w:r>
    </w:p>
    <w:p w14:paraId="4DC1F38E" w14:textId="72E9A01F" w:rsidR="00353EC0" w:rsidRPr="00474AF8" w:rsidRDefault="00353EC0" w:rsidP="003860D2">
      <w:pPr>
        <w:spacing w:before="250" w:line="240" w:lineRule="auto"/>
        <w:ind w:left="1368" w:right="1354"/>
        <w:jc w:val="center"/>
        <w:rPr>
          <w:rFonts w:ascii="SimHei" w:eastAsia="SimHei" w:hAnsi="SimHei"/>
          <w:b/>
          <w:sz w:val="44"/>
          <w:szCs w:val="28"/>
        </w:rPr>
      </w:pPr>
      <w:r w:rsidRPr="00474AF8">
        <w:rPr>
          <w:rFonts w:ascii="SimHei" w:eastAsia="SimHei" w:hAnsi="SimHei"/>
          <w:b/>
          <w:bCs/>
          <w:sz w:val="32"/>
          <w:lang w:val="zh-CN"/>
        </w:rPr>
        <w:t>第三次会议</w:t>
      </w:r>
      <w:r w:rsidR="00474AF8">
        <w:rPr>
          <w:rFonts w:ascii="SimHei" w:eastAsia="SimHei" w:hAnsi="SimHei" w:hint="eastAsia"/>
          <w:b/>
          <w:bCs/>
          <w:sz w:val="32"/>
          <w:lang w:val="zh-CN"/>
        </w:rPr>
        <w:t>提交的</w:t>
      </w:r>
      <w:r w:rsidRPr="00474AF8">
        <w:rPr>
          <w:rFonts w:ascii="SimHei" w:eastAsia="SimHei" w:hAnsi="SimHei"/>
          <w:b/>
          <w:bCs/>
          <w:sz w:val="32"/>
          <w:lang w:val="zh-CN"/>
        </w:rPr>
        <w:t>报告</w:t>
      </w:r>
    </w:p>
    <w:p w14:paraId="24A977DD" w14:textId="77777777" w:rsidR="00353EC0" w:rsidRPr="00474AF8" w:rsidRDefault="00353EC0" w:rsidP="00353EC0">
      <w:pPr>
        <w:spacing w:before="1"/>
        <w:ind w:left="1369" w:right="1351"/>
        <w:jc w:val="center"/>
        <w:rPr>
          <w:b/>
          <w:sz w:val="28"/>
          <w:szCs w:val="28"/>
        </w:rPr>
      </w:pPr>
    </w:p>
    <w:p w14:paraId="15990212" w14:textId="77777777" w:rsidR="00353EC0" w:rsidRPr="00474AF8" w:rsidRDefault="00353EC0" w:rsidP="00353EC0">
      <w:pPr>
        <w:pStyle w:val="BodyText"/>
        <w:ind w:left="1368" w:right="1351"/>
        <w:jc w:val="center"/>
      </w:pPr>
    </w:p>
    <w:p w14:paraId="29F119A6" w14:textId="77777777" w:rsidR="00353EC0" w:rsidRPr="00474AF8" w:rsidRDefault="00353EC0" w:rsidP="00353EC0">
      <w:pPr>
        <w:pStyle w:val="BodyText"/>
        <w:ind w:left="1368" w:right="1351"/>
        <w:jc w:val="center"/>
      </w:pPr>
    </w:p>
    <w:p w14:paraId="2171B61F" w14:textId="77777777" w:rsidR="00353EC0" w:rsidRPr="00474AF8" w:rsidRDefault="00353EC0" w:rsidP="00353EC0">
      <w:pPr>
        <w:pStyle w:val="BodyText"/>
        <w:ind w:left="1368" w:right="1351"/>
        <w:jc w:val="center"/>
      </w:pPr>
    </w:p>
    <w:p w14:paraId="22647B4F" w14:textId="77777777" w:rsidR="00353EC0" w:rsidRPr="00474AF8" w:rsidRDefault="00353EC0" w:rsidP="00353EC0">
      <w:pPr>
        <w:pStyle w:val="BodyText"/>
        <w:ind w:left="1368" w:right="1351"/>
        <w:jc w:val="center"/>
      </w:pPr>
    </w:p>
    <w:p w14:paraId="03DB5A72" w14:textId="77777777" w:rsidR="00353EC0" w:rsidRPr="00474AF8" w:rsidRDefault="00353EC0" w:rsidP="00353EC0">
      <w:pPr>
        <w:pStyle w:val="BodyText"/>
        <w:ind w:left="1368" w:right="1351"/>
        <w:jc w:val="center"/>
      </w:pPr>
      <w:r w:rsidRPr="00474AF8">
        <w:rPr>
          <w:lang w:val="zh-CN"/>
        </w:rPr>
        <w:t>2019</w:t>
      </w:r>
      <w:r w:rsidRPr="00474AF8">
        <w:rPr>
          <w:lang w:val="zh-CN"/>
        </w:rPr>
        <w:t>年</w:t>
      </w:r>
      <w:r w:rsidRPr="00474AF8">
        <w:rPr>
          <w:lang w:val="zh-CN"/>
        </w:rPr>
        <w:t>9</w:t>
      </w:r>
      <w:r w:rsidRPr="00474AF8">
        <w:rPr>
          <w:lang w:val="zh-CN"/>
        </w:rPr>
        <w:t>月</w:t>
      </w:r>
      <w:r w:rsidRPr="00474AF8">
        <w:rPr>
          <w:lang w:val="zh-CN"/>
        </w:rPr>
        <w:t>4</w:t>
      </w:r>
      <w:r w:rsidRPr="00474AF8">
        <w:rPr>
          <w:lang w:val="zh-CN"/>
        </w:rPr>
        <w:t>日</w:t>
      </w:r>
      <w:bookmarkStart w:id="4" w:name="_Toc18663671"/>
    </w:p>
    <w:p w14:paraId="11298B9A" w14:textId="77777777" w:rsidR="00353EC0" w:rsidRPr="00474AF8" w:rsidRDefault="00353EC0" w:rsidP="00353EC0">
      <w:pPr>
        <w:tabs>
          <w:tab w:val="clear" w:pos="1247"/>
          <w:tab w:val="clear" w:pos="1814"/>
          <w:tab w:val="clear" w:pos="2381"/>
          <w:tab w:val="clear" w:pos="2948"/>
          <w:tab w:val="clear" w:pos="3515"/>
        </w:tabs>
      </w:pPr>
      <w:r w:rsidRPr="00474AF8">
        <w:br w:type="page"/>
      </w:r>
    </w:p>
    <w:p w14:paraId="01DD51AA" w14:textId="77777777" w:rsidR="00353EC0" w:rsidRPr="00474AF8" w:rsidRDefault="00353EC0" w:rsidP="00A620BD">
      <w:pPr>
        <w:pStyle w:val="CH2"/>
        <w:jc w:val="center"/>
        <w:rPr>
          <w:rFonts w:ascii="SimHei" w:eastAsia="SimHei" w:hAnsi="SimHei"/>
          <w:sz w:val="28"/>
        </w:rPr>
      </w:pPr>
      <w:r w:rsidRPr="00474AF8">
        <w:rPr>
          <w:rFonts w:ascii="SimHei" w:eastAsia="SimHei" w:hAnsi="SimHei"/>
          <w:bCs/>
          <w:sz w:val="28"/>
          <w:lang w:val="zh-CN"/>
        </w:rPr>
        <w:lastRenderedPageBreak/>
        <w:t>执行摘要</w:t>
      </w:r>
      <w:bookmarkEnd w:id="4"/>
    </w:p>
    <w:p w14:paraId="22929B82" w14:textId="600DBB9B" w:rsidR="00353EC0" w:rsidRPr="00474AF8" w:rsidRDefault="00353EC0" w:rsidP="00256304">
      <w:pPr>
        <w:pStyle w:val="Normalnumber"/>
        <w:jc w:val="both"/>
        <w:rPr>
          <w:sz w:val="24"/>
          <w:lang w:eastAsia="zh-CN"/>
        </w:rPr>
      </w:pPr>
      <w:bookmarkStart w:id="5" w:name="_Toc519159106"/>
      <w:bookmarkStart w:id="6" w:name="_Toc519159549"/>
      <w:bookmarkStart w:id="7" w:name="_Toc521069758"/>
      <w:bookmarkStart w:id="8" w:name="_Toc521071088"/>
      <w:r w:rsidRPr="00474AF8">
        <w:rPr>
          <w:sz w:val="24"/>
          <w:lang w:val="zh-CN" w:eastAsia="zh-CN"/>
        </w:rPr>
        <w:t>《水俣公约》第</w:t>
      </w:r>
      <w:r w:rsidRPr="00474AF8">
        <w:rPr>
          <w:sz w:val="24"/>
          <w:lang w:val="zh-CN" w:eastAsia="zh-CN"/>
        </w:rPr>
        <w:t>13</w:t>
      </w:r>
      <w:r w:rsidRPr="00474AF8">
        <w:rPr>
          <w:sz w:val="24"/>
          <w:lang w:val="zh-CN" w:eastAsia="zh-CN"/>
        </w:rPr>
        <w:t>条将全球环境基金（全环基金）列入</w:t>
      </w:r>
      <w:r w:rsidR="00D70880">
        <w:rPr>
          <w:rFonts w:hint="eastAsia"/>
          <w:sz w:val="24"/>
          <w:lang w:val="zh-CN" w:eastAsia="zh-CN"/>
        </w:rPr>
        <w:t>资金</w:t>
      </w:r>
      <w:r w:rsidRPr="00474AF8">
        <w:rPr>
          <w:sz w:val="24"/>
          <w:lang w:val="zh-CN" w:eastAsia="zh-CN"/>
        </w:rPr>
        <w:t>机制，以提供新的、可预测的、充足的和及时的财政资源，用于支付缔约方大会所商定的、旨在支持《公约》执行工作而涉及的费用。</w:t>
      </w:r>
      <w:bookmarkEnd w:id="5"/>
      <w:bookmarkEnd w:id="6"/>
      <w:bookmarkEnd w:id="7"/>
      <w:bookmarkEnd w:id="8"/>
    </w:p>
    <w:p w14:paraId="6D649F45" w14:textId="77777777" w:rsidR="00353EC0" w:rsidRPr="00474AF8" w:rsidRDefault="00353EC0" w:rsidP="00256304">
      <w:pPr>
        <w:pStyle w:val="Normalnumber"/>
        <w:jc w:val="both"/>
        <w:rPr>
          <w:sz w:val="24"/>
          <w:lang w:eastAsia="zh-CN"/>
        </w:rPr>
      </w:pPr>
      <w:r w:rsidRPr="00474AF8">
        <w:rPr>
          <w:sz w:val="24"/>
          <w:lang w:val="zh-CN" w:eastAsia="zh-CN"/>
        </w:rPr>
        <w:t>本报告介绍了全环基金在</w:t>
      </w:r>
      <w:r w:rsidRPr="00474AF8">
        <w:rPr>
          <w:sz w:val="24"/>
          <w:lang w:val="zh-CN" w:eastAsia="zh-CN"/>
        </w:rPr>
        <w:t>2018</w:t>
      </w:r>
      <w:r w:rsidRPr="00474AF8">
        <w:rPr>
          <w:sz w:val="24"/>
          <w:lang w:val="zh-CN" w:eastAsia="zh-CN"/>
        </w:rPr>
        <w:t>年</w:t>
      </w:r>
      <w:r w:rsidRPr="00474AF8">
        <w:rPr>
          <w:sz w:val="24"/>
          <w:lang w:val="zh-CN" w:eastAsia="zh-CN"/>
        </w:rPr>
        <w:t>7</w:t>
      </w:r>
      <w:r w:rsidRPr="00474AF8">
        <w:rPr>
          <w:sz w:val="24"/>
          <w:lang w:val="zh-CN" w:eastAsia="zh-CN"/>
        </w:rPr>
        <w:t>月</w:t>
      </w:r>
      <w:r w:rsidRPr="00474AF8">
        <w:rPr>
          <w:sz w:val="24"/>
          <w:lang w:val="zh-CN" w:eastAsia="zh-CN"/>
        </w:rPr>
        <w:t>1</w:t>
      </w:r>
      <w:r w:rsidRPr="00474AF8">
        <w:rPr>
          <w:sz w:val="24"/>
          <w:lang w:val="zh-CN" w:eastAsia="zh-CN"/>
        </w:rPr>
        <w:t>日至</w:t>
      </w:r>
      <w:r w:rsidRPr="00474AF8">
        <w:rPr>
          <w:sz w:val="24"/>
          <w:lang w:val="zh-CN" w:eastAsia="zh-CN"/>
        </w:rPr>
        <w:t>2019</w:t>
      </w:r>
      <w:r w:rsidRPr="00474AF8">
        <w:rPr>
          <w:sz w:val="24"/>
          <w:lang w:val="zh-CN" w:eastAsia="zh-CN"/>
        </w:rPr>
        <w:t>年</w:t>
      </w:r>
      <w:r w:rsidRPr="00474AF8">
        <w:rPr>
          <w:sz w:val="24"/>
          <w:lang w:val="zh-CN" w:eastAsia="zh-CN"/>
        </w:rPr>
        <w:t>6</w:t>
      </w:r>
      <w:r w:rsidRPr="00474AF8">
        <w:rPr>
          <w:sz w:val="24"/>
          <w:lang w:val="zh-CN" w:eastAsia="zh-CN"/>
        </w:rPr>
        <w:t>月</w:t>
      </w:r>
      <w:r w:rsidRPr="00474AF8">
        <w:rPr>
          <w:sz w:val="24"/>
          <w:lang w:val="zh-CN" w:eastAsia="zh-CN"/>
        </w:rPr>
        <w:t>30</w:t>
      </w:r>
      <w:r w:rsidRPr="00474AF8">
        <w:rPr>
          <w:sz w:val="24"/>
          <w:lang w:val="zh-CN" w:eastAsia="zh-CN"/>
        </w:rPr>
        <w:t>日期间履行《水俣公约》规定任务的工作，以及全环基金迄今如何对缔约方大会提供的指导意见作出回应。</w:t>
      </w:r>
    </w:p>
    <w:p w14:paraId="483F1121" w14:textId="7F574E7C" w:rsidR="00353EC0" w:rsidRPr="00474AF8" w:rsidRDefault="00353EC0" w:rsidP="00256304">
      <w:pPr>
        <w:pStyle w:val="Normalnumber"/>
        <w:jc w:val="both"/>
        <w:rPr>
          <w:sz w:val="24"/>
          <w:lang w:eastAsia="zh-CN"/>
        </w:rPr>
      </w:pPr>
      <w:r w:rsidRPr="00474AF8">
        <w:rPr>
          <w:sz w:val="24"/>
          <w:lang w:val="zh-CN" w:eastAsia="zh-CN"/>
        </w:rPr>
        <w:t>在本报告所述期间，全环基金核准了涵盖</w:t>
      </w:r>
      <w:r w:rsidRPr="00474AF8">
        <w:rPr>
          <w:sz w:val="24"/>
          <w:lang w:val="zh-CN" w:eastAsia="zh-CN"/>
        </w:rPr>
        <w:t>15</w:t>
      </w:r>
      <w:r w:rsidRPr="00474AF8">
        <w:rPr>
          <w:sz w:val="24"/>
          <w:lang w:val="zh-CN" w:eastAsia="zh-CN"/>
        </w:rPr>
        <w:t>个国家的三个大型项目，一个涉及单一国家的中型项目，一个涵盖</w:t>
      </w:r>
      <w:r w:rsidRPr="00474AF8">
        <w:rPr>
          <w:sz w:val="24"/>
          <w:lang w:val="zh-CN" w:eastAsia="zh-CN"/>
        </w:rPr>
        <w:t>27</w:t>
      </w:r>
      <w:r w:rsidRPr="00474AF8">
        <w:rPr>
          <w:sz w:val="24"/>
          <w:lang w:val="zh-CN" w:eastAsia="zh-CN"/>
        </w:rPr>
        <w:t>个国家的方案，以及四个单一国家扶持活动项目。</w:t>
      </w:r>
    </w:p>
    <w:p w14:paraId="3680EA98" w14:textId="2FC302E3" w:rsidR="00353EC0" w:rsidRPr="00474AF8" w:rsidRDefault="00353EC0" w:rsidP="00256304">
      <w:pPr>
        <w:pStyle w:val="Normalnumber"/>
        <w:jc w:val="both"/>
        <w:rPr>
          <w:sz w:val="24"/>
          <w:lang w:eastAsia="zh-CN"/>
        </w:rPr>
      </w:pPr>
      <w:r w:rsidRPr="00474AF8">
        <w:rPr>
          <w:sz w:val="24"/>
          <w:lang w:val="zh-CN" w:eastAsia="zh-CN"/>
        </w:rPr>
        <w:t>在</w:t>
      </w:r>
      <w:r w:rsidR="00225459">
        <w:rPr>
          <w:rFonts w:hint="eastAsia"/>
          <w:sz w:val="24"/>
          <w:lang w:val="zh-CN" w:eastAsia="zh-CN"/>
        </w:rPr>
        <w:t>本</w:t>
      </w:r>
      <w:r w:rsidRPr="00474AF8">
        <w:rPr>
          <w:sz w:val="24"/>
          <w:lang w:val="zh-CN" w:eastAsia="zh-CN"/>
        </w:rPr>
        <w:t>报告所述期间，为执行《水俣公约》承付的资源为</w:t>
      </w:r>
      <w:r w:rsidRPr="00474AF8">
        <w:rPr>
          <w:sz w:val="24"/>
          <w:lang w:val="zh-CN" w:eastAsia="zh-CN"/>
        </w:rPr>
        <w:t>2 260</w:t>
      </w:r>
      <w:r w:rsidRPr="00474AF8">
        <w:rPr>
          <w:sz w:val="24"/>
          <w:lang w:val="zh-CN" w:eastAsia="zh-CN"/>
        </w:rPr>
        <w:t>万美元。</w:t>
      </w:r>
      <w:r w:rsidRPr="00474AF8">
        <w:rPr>
          <w:sz w:val="24"/>
          <w:vertAlign w:val="superscript"/>
          <w:lang w:val="zh-CN"/>
        </w:rPr>
        <w:footnoteReference w:id="2"/>
      </w:r>
    </w:p>
    <w:p w14:paraId="0AB48743" w14:textId="77E4E6F1" w:rsidR="00353EC0" w:rsidRPr="00474AF8" w:rsidRDefault="00353EC0" w:rsidP="00256304">
      <w:pPr>
        <w:pStyle w:val="Normalnumber"/>
        <w:jc w:val="both"/>
        <w:rPr>
          <w:sz w:val="24"/>
          <w:lang w:eastAsia="zh-CN"/>
        </w:rPr>
      </w:pPr>
      <w:r w:rsidRPr="00474AF8">
        <w:rPr>
          <w:sz w:val="24"/>
          <w:lang w:val="zh-CN" w:eastAsia="zh-CN"/>
        </w:rPr>
        <w:t>在本报告所述期间，在全环基金的资源支持下进行了一次《水俣公约》初始评估。迄今为止，全环基金的资源已支持</w:t>
      </w:r>
      <w:r w:rsidRPr="00474AF8">
        <w:rPr>
          <w:sz w:val="24"/>
          <w:lang w:val="zh-CN" w:eastAsia="zh-CN"/>
        </w:rPr>
        <w:t>111</w:t>
      </w:r>
      <w:r w:rsidRPr="00474AF8">
        <w:rPr>
          <w:sz w:val="24"/>
          <w:lang w:val="zh-CN" w:eastAsia="zh-CN"/>
        </w:rPr>
        <w:t>个国家开展《水俣公约》初始评估。</w:t>
      </w:r>
      <w:r w:rsidRPr="00474AF8">
        <w:rPr>
          <w:sz w:val="24"/>
          <w:vertAlign w:val="superscript"/>
          <w:lang w:val="zh-CN"/>
        </w:rPr>
        <w:footnoteReference w:id="3"/>
      </w:r>
    </w:p>
    <w:p w14:paraId="4AB5D81A" w14:textId="490AC7D9" w:rsidR="00353EC0" w:rsidRPr="00474AF8" w:rsidRDefault="00353EC0" w:rsidP="00256304">
      <w:pPr>
        <w:pStyle w:val="Normalnumber"/>
        <w:jc w:val="both"/>
        <w:rPr>
          <w:sz w:val="24"/>
          <w:lang w:eastAsia="zh-CN"/>
        </w:rPr>
      </w:pPr>
      <w:r w:rsidRPr="00474AF8">
        <w:rPr>
          <w:sz w:val="24"/>
          <w:lang w:val="zh-CN" w:eastAsia="zh-CN"/>
        </w:rPr>
        <w:t>全环基金还支持了四</w:t>
      </w:r>
      <w:r w:rsidR="00D70880">
        <w:rPr>
          <w:rFonts w:hint="eastAsia"/>
          <w:sz w:val="24"/>
          <w:lang w:val="zh-CN" w:eastAsia="zh-CN"/>
        </w:rPr>
        <w:t>项</w:t>
      </w:r>
      <w:r w:rsidRPr="00474AF8">
        <w:rPr>
          <w:sz w:val="24"/>
          <w:lang w:val="zh-CN" w:eastAsia="zh-CN"/>
        </w:rPr>
        <w:t>手工和小规模采金业的国家行动计划，迄今有</w:t>
      </w:r>
      <w:r w:rsidRPr="00474AF8">
        <w:rPr>
          <w:sz w:val="24"/>
          <w:lang w:val="zh-CN" w:eastAsia="zh-CN"/>
        </w:rPr>
        <w:t>35</w:t>
      </w:r>
      <w:r w:rsidRPr="00474AF8">
        <w:rPr>
          <w:sz w:val="24"/>
          <w:lang w:val="zh-CN" w:eastAsia="zh-CN"/>
        </w:rPr>
        <w:t>个国家获得支持。</w:t>
      </w:r>
    </w:p>
    <w:p w14:paraId="3D303137" w14:textId="4A31D738" w:rsidR="00353EC0" w:rsidRPr="00474AF8" w:rsidRDefault="00F66051" w:rsidP="00256304">
      <w:pPr>
        <w:pStyle w:val="Normalnumber"/>
        <w:jc w:val="both"/>
        <w:rPr>
          <w:sz w:val="24"/>
          <w:lang w:eastAsia="zh-CN"/>
        </w:rPr>
      </w:pPr>
      <w:r>
        <w:rPr>
          <w:rFonts w:hint="eastAsia"/>
          <w:sz w:val="24"/>
          <w:lang w:val="zh-CN" w:eastAsia="zh-CN"/>
        </w:rPr>
        <w:t>在</w:t>
      </w:r>
      <w:r w:rsidR="00353EC0" w:rsidRPr="00474AF8">
        <w:rPr>
          <w:sz w:val="24"/>
          <w:lang w:val="zh-CN" w:eastAsia="zh-CN"/>
        </w:rPr>
        <w:t>本报告所述期间，</w:t>
      </w:r>
      <w:r w:rsidR="00872031">
        <w:rPr>
          <w:rFonts w:hint="eastAsia"/>
          <w:sz w:val="24"/>
          <w:lang w:val="zh-CN" w:eastAsia="zh-CN"/>
        </w:rPr>
        <w:t>对于</w:t>
      </w:r>
      <w:r w:rsidR="00872031" w:rsidRPr="00D70DF0">
        <w:rPr>
          <w:rFonts w:hint="eastAsia"/>
          <w:sz w:val="24"/>
          <w:lang w:val="zh-CN" w:eastAsia="zh-CN"/>
        </w:rPr>
        <w:t>全环基金</w:t>
      </w:r>
      <w:r w:rsidR="00872031">
        <w:rPr>
          <w:rFonts w:hint="eastAsia"/>
          <w:sz w:val="24"/>
          <w:lang w:val="zh-CN" w:eastAsia="zh-CN"/>
        </w:rPr>
        <w:t>以共同供资投入的每一</w:t>
      </w:r>
      <w:r w:rsidR="00872031" w:rsidRPr="00D70DF0">
        <w:rPr>
          <w:rFonts w:hint="eastAsia"/>
          <w:sz w:val="24"/>
          <w:lang w:val="zh-CN" w:eastAsia="zh-CN"/>
        </w:rPr>
        <w:t>美元</w:t>
      </w:r>
      <w:r w:rsidR="00872031">
        <w:rPr>
          <w:rFonts w:hint="eastAsia"/>
          <w:sz w:val="24"/>
          <w:lang w:val="zh-CN" w:eastAsia="zh-CN"/>
        </w:rPr>
        <w:t>，</w:t>
      </w:r>
      <w:r w:rsidR="00353EC0" w:rsidRPr="00474AF8">
        <w:rPr>
          <w:sz w:val="24"/>
          <w:lang w:val="zh-CN" w:eastAsia="zh-CN"/>
        </w:rPr>
        <w:t>全环基金化学品和废物（包括汞）项目组合</w:t>
      </w:r>
      <w:r w:rsidR="00D70DF0">
        <w:rPr>
          <w:rFonts w:hint="eastAsia"/>
          <w:sz w:val="24"/>
          <w:lang w:val="zh-CN" w:eastAsia="zh-CN"/>
        </w:rPr>
        <w:t>可通过</w:t>
      </w:r>
      <w:r w:rsidR="00D70DF0" w:rsidRPr="00D70DF0">
        <w:rPr>
          <w:rFonts w:hint="eastAsia"/>
          <w:sz w:val="24"/>
          <w:lang w:val="zh-CN" w:eastAsia="zh-CN"/>
        </w:rPr>
        <w:t>杠杆</w:t>
      </w:r>
      <w:r w:rsidR="00D70DF0">
        <w:rPr>
          <w:rFonts w:hint="eastAsia"/>
          <w:sz w:val="24"/>
          <w:lang w:val="zh-CN" w:eastAsia="zh-CN"/>
        </w:rPr>
        <w:t>利用</w:t>
      </w:r>
      <w:r w:rsidR="00353EC0" w:rsidRPr="00D70DF0">
        <w:rPr>
          <w:sz w:val="24"/>
          <w:lang w:val="zh-CN" w:eastAsia="zh-CN"/>
        </w:rPr>
        <w:t>13</w:t>
      </w:r>
      <w:r w:rsidR="00353EC0" w:rsidRPr="00D70DF0">
        <w:rPr>
          <w:rFonts w:hint="eastAsia"/>
          <w:sz w:val="24"/>
          <w:lang w:val="zh-CN" w:eastAsia="zh-CN"/>
        </w:rPr>
        <w:t>美元</w:t>
      </w:r>
      <w:r w:rsidR="00353EC0" w:rsidRPr="00D70DF0">
        <w:rPr>
          <w:sz w:val="24"/>
          <w:lang w:val="zh-CN" w:eastAsia="zh-CN"/>
        </w:rPr>
        <w:t>。</w:t>
      </w:r>
      <w:r w:rsidR="00353EC0" w:rsidRPr="00474AF8">
        <w:rPr>
          <w:sz w:val="24"/>
          <w:vertAlign w:val="superscript"/>
          <w:lang w:val="zh-CN"/>
        </w:rPr>
        <w:footnoteReference w:id="4"/>
      </w:r>
    </w:p>
    <w:p w14:paraId="7CDCE7AA" w14:textId="0FF8C4F2" w:rsidR="00353EC0" w:rsidRPr="00474AF8" w:rsidRDefault="00353EC0" w:rsidP="00256304">
      <w:pPr>
        <w:pStyle w:val="Normalnumber"/>
        <w:jc w:val="both"/>
        <w:rPr>
          <w:sz w:val="24"/>
          <w:lang w:eastAsia="zh-CN"/>
        </w:rPr>
      </w:pPr>
      <w:r w:rsidRPr="00474AF8">
        <w:rPr>
          <w:sz w:val="24"/>
          <w:lang w:val="zh-CN" w:eastAsia="zh-CN"/>
        </w:rPr>
        <w:t>全环基金第七次充资成果框架中包括一项衡量化学品和废物重点领域成果的核心指标。</w:t>
      </w:r>
      <w:r w:rsidRPr="00474AF8">
        <w:rPr>
          <w:sz w:val="24"/>
          <w:vertAlign w:val="superscript"/>
          <w:lang w:val="zh-CN"/>
        </w:rPr>
        <w:footnoteReference w:id="5"/>
      </w:r>
      <w:r w:rsidRPr="00474AF8">
        <w:rPr>
          <w:sz w:val="24"/>
          <w:lang w:val="zh-CN" w:eastAsia="zh-CN"/>
        </w:rPr>
        <w:t>这一核心指标的目标是</w:t>
      </w:r>
      <w:r w:rsidR="00171539" w:rsidRPr="00474AF8">
        <w:rPr>
          <w:sz w:val="24"/>
          <w:lang w:val="zh-CN" w:eastAsia="zh-CN"/>
        </w:rPr>
        <w:t>包括汞</w:t>
      </w:r>
      <w:r w:rsidR="00171539">
        <w:rPr>
          <w:rFonts w:hint="eastAsia"/>
          <w:sz w:val="24"/>
          <w:lang w:val="zh-CN" w:eastAsia="zh-CN"/>
        </w:rPr>
        <w:t>在内的</w:t>
      </w:r>
      <w:r w:rsidRPr="00474AF8">
        <w:rPr>
          <w:sz w:val="24"/>
          <w:lang w:val="zh-CN" w:eastAsia="zh-CN"/>
        </w:rPr>
        <w:t>10</w:t>
      </w:r>
      <w:r w:rsidRPr="00474AF8">
        <w:rPr>
          <w:sz w:val="24"/>
          <w:lang w:val="zh-CN" w:eastAsia="zh-CN"/>
        </w:rPr>
        <w:t>万公吨化学品和废物。全环基金第七次充资期间没有</w:t>
      </w:r>
      <w:r w:rsidR="00C959B9">
        <w:rPr>
          <w:rFonts w:hint="eastAsia"/>
          <w:sz w:val="24"/>
          <w:lang w:val="zh-CN" w:eastAsia="zh-CN"/>
        </w:rPr>
        <w:t>单独</w:t>
      </w:r>
      <w:r w:rsidR="00F66051">
        <w:rPr>
          <w:rFonts w:hint="eastAsia"/>
          <w:sz w:val="24"/>
          <w:lang w:val="zh-CN" w:eastAsia="zh-CN"/>
        </w:rPr>
        <w:t>设立</w:t>
      </w:r>
      <w:r w:rsidRPr="00474AF8">
        <w:rPr>
          <w:sz w:val="24"/>
          <w:lang w:val="zh-CN" w:eastAsia="zh-CN"/>
        </w:rPr>
        <w:t>关于汞的目标。全环基金预计，在本报告所述期间核准的项目将解决</w:t>
      </w:r>
      <w:r w:rsidRPr="00474AF8">
        <w:rPr>
          <w:sz w:val="24"/>
          <w:lang w:val="zh-CN" w:eastAsia="zh-CN"/>
        </w:rPr>
        <w:t>1 163</w:t>
      </w:r>
      <w:r w:rsidRPr="00474AF8">
        <w:rPr>
          <w:sz w:val="24"/>
          <w:lang w:val="zh-CN" w:eastAsia="zh-CN"/>
        </w:rPr>
        <w:t>公吨汞的问题。</w:t>
      </w:r>
    </w:p>
    <w:p w14:paraId="41B0590C" w14:textId="049AE14D" w:rsidR="00353EC0" w:rsidRPr="00474AF8" w:rsidRDefault="00353EC0" w:rsidP="00256304">
      <w:pPr>
        <w:pStyle w:val="Normalnumber"/>
        <w:jc w:val="both"/>
        <w:rPr>
          <w:sz w:val="24"/>
          <w:lang w:eastAsia="zh-CN"/>
        </w:rPr>
      </w:pPr>
      <w:r w:rsidRPr="00474AF8">
        <w:rPr>
          <w:sz w:val="24"/>
          <w:lang w:val="zh-CN" w:eastAsia="zh-CN"/>
        </w:rPr>
        <w:t>全环基金</w:t>
      </w:r>
      <w:r w:rsidRPr="00474AF8">
        <w:rPr>
          <w:rFonts w:ascii="SimSun" w:hAnsi="SimSun"/>
          <w:sz w:val="24"/>
          <w:lang w:val="zh-CN" w:eastAsia="zh-CN"/>
        </w:rPr>
        <w:t>通过机构记分卡报告</w:t>
      </w:r>
      <w:r w:rsidRPr="00474AF8">
        <w:rPr>
          <w:sz w:val="24"/>
          <w:lang w:val="zh-CN" w:eastAsia="zh-CN"/>
        </w:rPr>
        <w:t>成果框架的进展情况。全环基金第七次充资期间第一个记分卡于</w:t>
      </w:r>
      <w:r w:rsidRPr="00474AF8">
        <w:rPr>
          <w:sz w:val="24"/>
          <w:lang w:val="zh-CN" w:eastAsia="zh-CN"/>
        </w:rPr>
        <w:t>2019</w:t>
      </w:r>
      <w:r w:rsidRPr="00474AF8">
        <w:rPr>
          <w:sz w:val="24"/>
          <w:lang w:val="zh-CN" w:eastAsia="zh-CN"/>
        </w:rPr>
        <w:t>年</w:t>
      </w:r>
      <w:r w:rsidRPr="00474AF8">
        <w:rPr>
          <w:sz w:val="24"/>
          <w:lang w:val="zh-CN" w:eastAsia="zh-CN"/>
        </w:rPr>
        <w:t>6</w:t>
      </w:r>
      <w:r w:rsidRPr="00474AF8">
        <w:rPr>
          <w:sz w:val="24"/>
          <w:lang w:val="zh-CN" w:eastAsia="zh-CN"/>
        </w:rPr>
        <w:t>月提交给全环基金理事会第</w:t>
      </w:r>
      <w:r w:rsidRPr="00474AF8">
        <w:rPr>
          <w:sz w:val="24"/>
          <w:lang w:val="zh-CN" w:eastAsia="zh-CN"/>
        </w:rPr>
        <w:t>56</w:t>
      </w:r>
      <w:r w:rsidRPr="00474AF8">
        <w:rPr>
          <w:sz w:val="24"/>
          <w:lang w:val="zh-CN" w:eastAsia="zh-CN"/>
        </w:rPr>
        <w:t>次会议。记分卡</w:t>
      </w:r>
      <w:proofErr w:type="gramStart"/>
      <w:r w:rsidRPr="00474AF8">
        <w:rPr>
          <w:sz w:val="24"/>
          <w:lang w:val="zh-CN" w:eastAsia="zh-CN"/>
        </w:rPr>
        <w:t>仅报告</w:t>
      </w:r>
      <w:proofErr w:type="gramEnd"/>
      <w:r w:rsidRPr="00474AF8">
        <w:rPr>
          <w:sz w:val="24"/>
          <w:lang w:val="zh-CN" w:eastAsia="zh-CN"/>
        </w:rPr>
        <w:t>总体核心指标，据其显示，已核准的化学品和废物项目</w:t>
      </w:r>
      <w:r w:rsidR="00376AAB">
        <w:rPr>
          <w:rFonts w:hint="eastAsia"/>
          <w:sz w:val="24"/>
          <w:lang w:val="zh-CN" w:eastAsia="zh-CN"/>
        </w:rPr>
        <w:t>完成了</w:t>
      </w:r>
      <w:r w:rsidRPr="00474AF8">
        <w:rPr>
          <w:sz w:val="24"/>
          <w:lang w:val="zh-CN" w:eastAsia="zh-CN"/>
        </w:rPr>
        <w:t>全环基金第七次充资期间</w:t>
      </w:r>
      <w:r w:rsidR="00BA725F">
        <w:rPr>
          <w:rFonts w:hint="eastAsia"/>
          <w:sz w:val="24"/>
          <w:lang w:val="zh-CN" w:eastAsia="zh-CN"/>
        </w:rPr>
        <w:t>包括</w:t>
      </w:r>
      <w:r w:rsidRPr="00474AF8">
        <w:rPr>
          <w:sz w:val="24"/>
          <w:lang w:val="zh-CN" w:eastAsia="zh-CN"/>
        </w:rPr>
        <w:t>汞的核心指标</w:t>
      </w:r>
      <w:r w:rsidR="00376AAB">
        <w:rPr>
          <w:rFonts w:hint="eastAsia"/>
          <w:sz w:val="24"/>
          <w:lang w:val="zh-CN" w:eastAsia="zh-CN"/>
        </w:rPr>
        <w:t>的</w:t>
      </w:r>
      <w:r w:rsidRPr="00474AF8">
        <w:rPr>
          <w:sz w:val="24"/>
          <w:lang w:val="zh-CN" w:eastAsia="zh-CN"/>
        </w:rPr>
        <w:t>30.9%</w:t>
      </w:r>
      <w:r w:rsidRPr="00474AF8">
        <w:rPr>
          <w:sz w:val="24"/>
          <w:lang w:val="zh-CN" w:eastAsia="zh-CN"/>
        </w:rPr>
        <w:t>。</w:t>
      </w:r>
      <w:r w:rsidRPr="00474AF8">
        <w:rPr>
          <w:sz w:val="24"/>
          <w:vertAlign w:val="superscript"/>
          <w:lang w:val="zh-CN"/>
        </w:rPr>
        <w:footnoteReference w:id="6"/>
      </w:r>
      <w:r w:rsidRPr="00474AF8">
        <w:rPr>
          <w:sz w:val="24"/>
          <w:lang w:val="zh-CN" w:eastAsia="zh-CN"/>
        </w:rPr>
        <w:t>记分卡还显示，全环基金为第七次充资编列了</w:t>
      </w:r>
      <w:r w:rsidRPr="00474AF8">
        <w:rPr>
          <w:sz w:val="24"/>
          <w:lang w:val="zh-CN" w:eastAsia="zh-CN"/>
        </w:rPr>
        <w:t>8%</w:t>
      </w:r>
      <w:r w:rsidRPr="00474AF8">
        <w:rPr>
          <w:sz w:val="24"/>
          <w:lang w:val="zh-CN" w:eastAsia="zh-CN"/>
        </w:rPr>
        <w:t>的名义上</w:t>
      </w:r>
      <w:proofErr w:type="gramStart"/>
      <w:r w:rsidRPr="00474AF8">
        <w:rPr>
          <w:sz w:val="24"/>
          <w:lang w:val="zh-CN" w:eastAsia="zh-CN"/>
        </w:rPr>
        <w:t>划拨给汞的</w:t>
      </w:r>
      <w:proofErr w:type="gramEnd"/>
      <w:r w:rsidRPr="00474AF8">
        <w:rPr>
          <w:sz w:val="24"/>
          <w:lang w:val="zh-CN" w:eastAsia="zh-CN"/>
        </w:rPr>
        <w:t>资源。</w:t>
      </w:r>
    </w:p>
    <w:p w14:paraId="2554F79B" w14:textId="213D2197" w:rsidR="00353EC0" w:rsidRPr="00474AF8" w:rsidRDefault="00353EC0" w:rsidP="00256304">
      <w:pPr>
        <w:pStyle w:val="Normalnumber"/>
        <w:jc w:val="both"/>
        <w:rPr>
          <w:sz w:val="24"/>
          <w:lang w:eastAsia="zh-CN"/>
        </w:rPr>
      </w:pPr>
      <w:r w:rsidRPr="00474AF8">
        <w:rPr>
          <w:sz w:val="24"/>
          <w:lang w:val="zh-CN" w:eastAsia="zh-CN"/>
        </w:rPr>
        <w:t>全环基金理事会第</w:t>
      </w:r>
      <w:r w:rsidRPr="00474AF8">
        <w:rPr>
          <w:sz w:val="24"/>
          <w:lang w:val="zh-CN" w:eastAsia="zh-CN"/>
        </w:rPr>
        <w:t>56</w:t>
      </w:r>
      <w:r w:rsidRPr="00474AF8">
        <w:rPr>
          <w:sz w:val="24"/>
          <w:lang w:val="zh-CN" w:eastAsia="zh-CN"/>
        </w:rPr>
        <w:t>次会议核准了缔约方大会</w:t>
      </w:r>
      <w:r w:rsidR="00977BFC" w:rsidRPr="00474AF8">
        <w:rPr>
          <w:sz w:val="24"/>
          <w:lang w:val="zh-CN" w:eastAsia="zh-CN"/>
        </w:rPr>
        <w:t>第二次</w:t>
      </w:r>
      <w:r w:rsidR="00977BFC">
        <w:rPr>
          <w:rFonts w:hint="eastAsia"/>
          <w:sz w:val="24"/>
          <w:lang w:val="zh-CN" w:eastAsia="zh-CN"/>
        </w:rPr>
        <w:t>会议</w:t>
      </w:r>
      <w:r w:rsidRPr="00474AF8">
        <w:rPr>
          <w:sz w:val="24"/>
          <w:lang w:val="zh-CN" w:eastAsia="zh-CN"/>
        </w:rPr>
        <w:t>通过的谅解备忘录，并请全环基金秘书处（</w:t>
      </w:r>
      <w:r w:rsidRPr="00256304">
        <w:rPr>
          <w:rFonts w:hint="eastAsia"/>
          <w:sz w:val="24"/>
          <w:lang w:val="zh-CN" w:eastAsia="zh-CN"/>
        </w:rPr>
        <w:t>以下简称</w:t>
      </w:r>
      <w:r w:rsidR="00376AAB">
        <w:rPr>
          <w:rFonts w:hint="eastAsia"/>
          <w:sz w:val="24"/>
          <w:lang w:val="zh-CN" w:eastAsia="zh-CN"/>
        </w:rPr>
        <w:t>“</w:t>
      </w:r>
      <w:r w:rsidRPr="00256304">
        <w:rPr>
          <w:rFonts w:hint="eastAsia"/>
          <w:sz w:val="24"/>
          <w:lang w:val="zh-CN" w:eastAsia="zh-CN"/>
        </w:rPr>
        <w:t>秘书处</w:t>
      </w:r>
      <w:r w:rsidR="00376AAB">
        <w:rPr>
          <w:rFonts w:hint="eastAsia"/>
          <w:sz w:val="24"/>
          <w:lang w:val="zh-CN" w:eastAsia="zh-CN"/>
        </w:rPr>
        <w:t>”</w:t>
      </w:r>
      <w:r w:rsidRPr="00474AF8">
        <w:rPr>
          <w:sz w:val="24"/>
          <w:lang w:val="zh-CN" w:eastAsia="zh-CN"/>
        </w:rPr>
        <w:t>）将其核准情况转告缔约方大会。</w:t>
      </w:r>
      <w:r w:rsidRPr="00474AF8">
        <w:rPr>
          <w:sz w:val="24"/>
          <w:vertAlign w:val="superscript"/>
          <w:lang w:val="zh-CN"/>
        </w:rPr>
        <w:footnoteReference w:id="7"/>
      </w:r>
    </w:p>
    <w:tbl>
      <w:tblPr>
        <w:tblW w:w="9712" w:type="dxa"/>
        <w:jc w:val="center"/>
        <w:tblLayout w:type="fixed"/>
        <w:tblLook w:val="04A0" w:firstRow="1" w:lastRow="0" w:firstColumn="1" w:lastColumn="0" w:noHBand="0" w:noVBand="1"/>
      </w:tblPr>
      <w:tblGrid>
        <w:gridCol w:w="1942"/>
        <w:gridCol w:w="1942"/>
        <w:gridCol w:w="1942"/>
        <w:gridCol w:w="1943"/>
        <w:gridCol w:w="1943"/>
      </w:tblGrid>
      <w:tr w:rsidR="00E976AB" w:rsidRPr="00474AF8" w14:paraId="6DB0CABC" w14:textId="77777777" w:rsidTr="00FA0DC5">
        <w:trPr>
          <w:jc w:val="center"/>
        </w:trPr>
        <w:tc>
          <w:tcPr>
            <w:tcW w:w="1942" w:type="dxa"/>
            <w:shd w:val="clear" w:color="auto" w:fill="auto"/>
          </w:tcPr>
          <w:p w14:paraId="6D3F7C2C" w14:textId="77777777" w:rsidR="00E976AB" w:rsidRPr="00474AF8" w:rsidRDefault="00E976AB" w:rsidP="00A620BD">
            <w:pPr>
              <w:pStyle w:val="Normal-pool"/>
              <w:spacing w:before="520"/>
              <w:rPr>
                <w:lang w:eastAsia="zh-CN"/>
              </w:rPr>
            </w:pPr>
          </w:p>
        </w:tc>
        <w:tc>
          <w:tcPr>
            <w:tcW w:w="1942" w:type="dxa"/>
            <w:shd w:val="clear" w:color="auto" w:fill="auto"/>
          </w:tcPr>
          <w:p w14:paraId="378BA037" w14:textId="77777777" w:rsidR="00E976AB" w:rsidRPr="00474AF8" w:rsidRDefault="00E976AB" w:rsidP="00A620BD">
            <w:pPr>
              <w:pStyle w:val="Normal-pool"/>
              <w:spacing w:before="520"/>
              <w:rPr>
                <w:lang w:eastAsia="zh-CN"/>
              </w:rPr>
            </w:pPr>
          </w:p>
        </w:tc>
        <w:tc>
          <w:tcPr>
            <w:tcW w:w="1942" w:type="dxa"/>
            <w:tcBorders>
              <w:bottom w:val="single" w:sz="4" w:space="0" w:color="auto"/>
            </w:tcBorders>
            <w:shd w:val="clear" w:color="auto" w:fill="auto"/>
          </w:tcPr>
          <w:p w14:paraId="028E3E1E" w14:textId="77777777" w:rsidR="00E976AB" w:rsidRPr="00474AF8" w:rsidRDefault="00E976AB" w:rsidP="00A620BD">
            <w:pPr>
              <w:pStyle w:val="Normal-pool"/>
              <w:spacing w:before="520"/>
              <w:rPr>
                <w:lang w:eastAsia="zh-CN"/>
              </w:rPr>
            </w:pPr>
          </w:p>
        </w:tc>
        <w:tc>
          <w:tcPr>
            <w:tcW w:w="1943" w:type="dxa"/>
            <w:shd w:val="clear" w:color="auto" w:fill="auto"/>
          </w:tcPr>
          <w:p w14:paraId="25F1BA19" w14:textId="77777777" w:rsidR="00E976AB" w:rsidRPr="00474AF8" w:rsidRDefault="00E976AB" w:rsidP="00A620BD">
            <w:pPr>
              <w:pStyle w:val="Normal-pool"/>
              <w:spacing w:before="520"/>
              <w:rPr>
                <w:lang w:eastAsia="zh-CN"/>
              </w:rPr>
            </w:pPr>
          </w:p>
        </w:tc>
        <w:tc>
          <w:tcPr>
            <w:tcW w:w="1943" w:type="dxa"/>
            <w:shd w:val="clear" w:color="auto" w:fill="auto"/>
          </w:tcPr>
          <w:p w14:paraId="457D2993" w14:textId="77777777" w:rsidR="00E976AB" w:rsidRPr="00474AF8" w:rsidRDefault="00E976AB" w:rsidP="00A620BD">
            <w:pPr>
              <w:pStyle w:val="Normal-pool"/>
              <w:spacing w:before="520"/>
              <w:rPr>
                <w:lang w:eastAsia="zh-CN"/>
              </w:rPr>
            </w:pPr>
          </w:p>
        </w:tc>
      </w:tr>
    </w:tbl>
    <w:p w14:paraId="325E8270" w14:textId="77777777" w:rsidR="00032E4E" w:rsidRPr="00474AF8" w:rsidRDefault="00032E4E" w:rsidP="00D013F5">
      <w:pPr>
        <w:pStyle w:val="Normal-pool"/>
        <w:rPr>
          <w:lang w:eastAsia="zh-CN"/>
        </w:rPr>
      </w:pPr>
    </w:p>
    <w:sectPr w:rsidR="00032E4E" w:rsidRPr="00474AF8" w:rsidSect="00353EC0">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2182" w14:textId="77777777" w:rsidR="004337BF" w:rsidRDefault="004337BF">
      <w:r>
        <w:separator/>
      </w:r>
    </w:p>
  </w:endnote>
  <w:endnote w:type="continuationSeparator" w:id="0">
    <w:p w14:paraId="2CB75888" w14:textId="77777777" w:rsidR="004337BF" w:rsidRDefault="0043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6F4F2A2C" w:rsidR="00670FAE" w:rsidRPr="00FA0DC5" w:rsidRDefault="00670FAE" w:rsidP="00FA0DC5">
    <w:pPr>
      <w:pStyle w:val="Footer"/>
      <w:jc w:val="left"/>
      <w:rPr>
        <w:bCs/>
        <w:sz w:val="20"/>
        <w:szCs w:val="20"/>
      </w:rPr>
    </w:pPr>
    <w:r w:rsidRPr="00FA0DC5">
      <w:rPr>
        <w:rStyle w:val="PageNumber"/>
        <w:b/>
        <w:bCs/>
        <w:sz w:val="20"/>
        <w:szCs w:val="20"/>
      </w:rPr>
      <w:fldChar w:fldCharType="begin"/>
    </w:r>
    <w:r w:rsidRPr="00FA0DC5">
      <w:rPr>
        <w:rStyle w:val="PageNumber"/>
        <w:b/>
        <w:bCs/>
        <w:sz w:val="20"/>
        <w:szCs w:val="20"/>
      </w:rPr>
      <w:instrText xml:space="preserve"> PAGE </w:instrText>
    </w:r>
    <w:r w:rsidRPr="00FA0DC5">
      <w:rPr>
        <w:rStyle w:val="PageNumber"/>
        <w:b/>
        <w:bCs/>
        <w:sz w:val="20"/>
        <w:szCs w:val="20"/>
      </w:rPr>
      <w:fldChar w:fldCharType="separate"/>
    </w:r>
    <w:r w:rsidR="00C07A26" w:rsidRPr="00FA0DC5">
      <w:rPr>
        <w:rStyle w:val="PageNumber"/>
        <w:b/>
        <w:bCs/>
        <w:sz w:val="20"/>
        <w:szCs w:val="20"/>
      </w:rPr>
      <w:t>4</w:t>
    </w:r>
    <w:r w:rsidRPr="00FA0DC5">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57C09954" w:rsidR="00670FAE" w:rsidRPr="00FA0DC5" w:rsidRDefault="00670FAE" w:rsidP="00035EDE">
    <w:pPr>
      <w:pStyle w:val="Footer"/>
      <w:jc w:val="right"/>
      <w:rPr>
        <w:bCs/>
        <w:sz w:val="20"/>
        <w:szCs w:val="20"/>
      </w:rPr>
    </w:pPr>
    <w:r w:rsidRPr="00FA0DC5">
      <w:rPr>
        <w:rStyle w:val="PageNumber"/>
        <w:b/>
        <w:bCs/>
        <w:sz w:val="20"/>
        <w:szCs w:val="20"/>
      </w:rPr>
      <w:fldChar w:fldCharType="begin"/>
    </w:r>
    <w:r w:rsidRPr="00FA0DC5">
      <w:rPr>
        <w:rStyle w:val="PageNumber"/>
        <w:b/>
        <w:bCs/>
        <w:sz w:val="20"/>
        <w:szCs w:val="20"/>
      </w:rPr>
      <w:instrText xml:space="preserve"> PAGE </w:instrText>
    </w:r>
    <w:r w:rsidRPr="00FA0DC5">
      <w:rPr>
        <w:rStyle w:val="PageNumber"/>
        <w:b/>
        <w:bCs/>
        <w:sz w:val="20"/>
        <w:szCs w:val="20"/>
      </w:rPr>
      <w:fldChar w:fldCharType="separate"/>
    </w:r>
    <w:r w:rsidR="001D1B5A" w:rsidRPr="00FA0DC5">
      <w:rPr>
        <w:rStyle w:val="PageNumber"/>
        <w:b/>
        <w:bCs/>
        <w:sz w:val="20"/>
        <w:szCs w:val="20"/>
      </w:rPr>
      <w:t>3</w:t>
    </w:r>
    <w:r w:rsidRPr="00FA0DC5">
      <w:rPr>
        <w:rStyle w:val="PageNumbe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EB5F1" w14:textId="77754454" w:rsidR="00731576" w:rsidRPr="00FA0DC5" w:rsidRDefault="00731576" w:rsidP="00C26244">
    <w:pPr>
      <w:pStyle w:val="Normal-pool"/>
      <w:rPr>
        <w:b/>
        <w:bCs/>
      </w:rPr>
    </w:pPr>
    <w:r w:rsidRPr="00FA0DC5">
      <w:rPr>
        <w:b/>
        <w:bCs/>
      </w:rPr>
      <w:t>K1</w:t>
    </w:r>
    <w:r w:rsidR="000A7C0C" w:rsidRPr="00FA0DC5">
      <w:rPr>
        <w:b/>
        <w:bCs/>
      </w:rPr>
      <w:t>9</w:t>
    </w:r>
    <w:r w:rsidR="0085531B" w:rsidRPr="00FA0DC5">
      <w:rPr>
        <w:b/>
        <w:bCs/>
      </w:rPr>
      <w:t>0407</w:t>
    </w:r>
    <w:r w:rsidR="00282B56" w:rsidRPr="00FA0DC5">
      <w:rPr>
        <w:b/>
        <w:bCs/>
      </w:rPr>
      <w:t>2</w:t>
    </w:r>
    <w:r w:rsidRPr="00FA0DC5">
      <w:rPr>
        <w:b/>
        <w:bCs/>
      </w:rPr>
      <w:tab/>
    </w:r>
    <w:r w:rsidR="00F617C5">
      <w:rPr>
        <w:b/>
        <w:bCs/>
      </w:rPr>
      <w:t>24</w:t>
    </w:r>
    <w:r w:rsidR="009B28F3" w:rsidRPr="00FA0DC5">
      <w:rPr>
        <w:b/>
        <w:bCs/>
      </w:rPr>
      <w:t>10</w:t>
    </w:r>
    <w:r w:rsidR="000A7C0C" w:rsidRPr="00FA0DC5">
      <w:rPr>
        <w:b/>
        <w:bCs/>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1149D" w14:textId="77777777" w:rsidR="004337BF" w:rsidRPr="00A620BD" w:rsidRDefault="004337BF" w:rsidP="000637AF">
      <w:pPr>
        <w:pStyle w:val="NormalNonumber"/>
        <w:spacing w:after="0"/>
        <w:ind w:left="624"/>
        <w:rPr>
          <w:sz w:val="18"/>
          <w:szCs w:val="18"/>
        </w:rPr>
      </w:pPr>
      <w:r w:rsidRPr="00A620BD">
        <w:rPr>
          <w:sz w:val="18"/>
          <w:szCs w:val="18"/>
        </w:rPr>
        <w:separator/>
      </w:r>
    </w:p>
  </w:footnote>
  <w:footnote w:type="continuationSeparator" w:id="0">
    <w:p w14:paraId="719C05A4" w14:textId="77777777" w:rsidR="004337BF" w:rsidRDefault="004337BF">
      <w:r>
        <w:continuationSeparator/>
      </w:r>
    </w:p>
  </w:footnote>
  <w:footnote w:id="1">
    <w:p w14:paraId="21076394" w14:textId="77777777" w:rsidR="00430330" w:rsidRDefault="00430330" w:rsidP="00430330">
      <w:pPr>
        <w:pStyle w:val="NormalNonumber"/>
        <w:spacing w:before="20" w:after="40"/>
        <w:rPr>
          <w:lang w:eastAsia="zh-CN"/>
        </w:rPr>
      </w:pPr>
      <w:r>
        <w:rPr>
          <w:rFonts w:hint="eastAsia"/>
          <w:lang w:val="zh-CN" w:eastAsia="zh-CN"/>
        </w:rPr>
        <w:t>* UNEP/MC/COP.3/1</w:t>
      </w:r>
      <w:r>
        <w:rPr>
          <w:rFonts w:hint="eastAsia"/>
          <w:lang w:val="zh-CN" w:eastAsia="zh-CN"/>
        </w:rPr>
        <w:t>。</w:t>
      </w:r>
    </w:p>
  </w:footnote>
  <w:footnote w:id="2">
    <w:p w14:paraId="0CC29127" w14:textId="77777777" w:rsidR="00353EC0" w:rsidRPr="00474AF8" w:rsidRDefault="00353EC0" w:rsidP="00A620BD">
      <w:pPr>
        <w:pStyle w:val="NormalNonumber"/>
        <w:spacing w:before="20" w:after="40"/>
        <w:rPr>
          <w:lang w:eastAsia="zh-CN"/>
        </w:rPr>
      </w:pPr>
      <w:r w:rsidRPr="00474AF8">
        <w:rPr>
          <w:vertAlign w:val="superscript"/>
          <w:lang w:val="zh-CN"/>
        </w:rPr>
        <w:footnoteRef/>
      </w:r>
      <w:r w:rsidRPr="00474AF8">
        <w:rPr>
          <w:lang w:val="zh-CN" w:eastAsia="zh-CN"/>
        </w:rPr>
        <w:t xml:space="preserve"> </w:t>
      </w:r>
      <w:r w:rsidRPr="00474AF8">
        <w:rPr>
          <w:lang w:val="zh-CN" w:eastAsia="zh-CN"/>
        </w:rPr>
        <w:t>不包括机构费用和项目编制赠款。</w:t>
      </w:r>
    </w:p>
  </w:footnote>
  <w:footnote w:id="3">
    <w:p w14:paraId="1F473786" w14:textId="44C1F50E" w:rsidR="00353EC0" w:rsidRPr="00474AF8" w:rsidRDefault="00353EC0" w:rsidP="00A620BD">
      <w:pPr>
        <w:pStyle w:val="NormalNonumber"/>
        <w:spacing w:before="20" w:after="40"/>
        <w:rPr>
          <w:lang w:eastAsia="zh-CN"/>
        </w:rPr>
      </w:pPr>
      <w:r w:rsidRPr="00474AF8">
        <w:rPr>
          <w:vertAlign w:val="superscript"/>
          <w:lang w:val="zh-CN"/>
        </w:rPr>
        <w:footnoteRef/>
      </w:r>
      <w:r w:rsidR="00F66051">
        <w:rPr>
          <w:rFonts w:hint="eastAsia"/>
          <w:lang w:val="zh-CN" w:eastAsia="zh-CN"/>
        </w:rPr>
        <w:t xml:space="preserve"> </w:t>
      </w:r>
      <w:r w:rsidRPr="00474AF8">
        <w:rPr>
          <w:lang w:val="zh-CN" w:eastAsia="zh-CN"/>
        </w:rPr>
        <w:t>全环基金</w:t>
      </w:r>
      <w:r w:rsidR="00F66051" w:rsidRPr="00474AF8">
        <w:rPr>
          <w:lang w:val="zh-CN" w:eastAsia="zh-CN"/>
        </w:rPr>
        <w:t>从第五次充资</w:t>
      </w:r>
      <w:r w:rsidR="00F66051">
        <w:rPr>
          <w:rFonts w:hint="eastAsia"/>
          <w:lang w:val="zh-CN" w:eastAsia="zh-CN"/>
        </w:rPr>
        <w:t>起</w:t>
      </w:r>
      <w:r w:rsidRPr="00474AF8">
        <w:rPr>
          <w:lang w:val="zh-CN" w:eastAsia="zh-CN"/>
        </w:rPr>
        <w:t>对《水俣公约》初始评估提供支持。</w:t>
      </w:r>
    </w:p>
  </w:footnote>
  <w:footnote w:id="4">
    <w:p w14:paraId="0A29C58F" w14:textId="1F08500B" w:rsidR="00353EC0" w:rsidRPr="00474AF8" w:rsidRDefault="00353EC0" w:rsidP="00A620BD">
      <w:pPr>
        <w:pStyle w:val="NormalNonumber"/>
        <w:spacing w:before="20" w:after="40"/>
        <w:rPr>
          <w:lang w:eastAsia="zh-CN"/>
        </w:rPr>
      </w:pPr>
      <w:r w:rsidRPr="00474AF8">
        <w:rPr>
          <w:vertAlign w:val="superscript"/>
          <w:lang w:val="zh-CN"/>
        </w:rPr>
        <w:footnoteRef/>
      </w:r>
      <w:r w:rsidRPr="00474AF8">
        <w:rPr>
          <w:lang w:val="zh-CN" w:eastAsia="zh-CN"/>
        </w:rPr>
        <w:t xml:space="preserve"> </w:t>
      </w:r>
      <w:r w:rsidRPr="00474AF8">
        <w:rPr>
          <w:lang w:val="zh-CN" w:eastAsia="zh-CN"/>
        </w:rPr>
        <w:t>共同</w:t>
      </w:r>
      <w:r w:rsidR="00402EDE">
        <w:rPr>
          <w:rFonts w:hint="eastAsia"/>
          <w:lang w:val="zh-CN" w:eastAsia="zh-CN"/>
        </w:rPr>
        <w:t>供</w:t>
      </w:r>
      <w:proofErr w:type="gramStart"/>
      <w:r w:rsidR="00402EDE">
        <w:rPr>
          <w:rFonts w:hint="eastAsia"/>
          <w:lang w:val="zh-CN" w:eastAsia="zh-CN"/>
        </w:rPr>
        <w:t>资</w:t>
      </w:r>
      <w:r w:rsidRPr="00474AF8">
        <w:rPr>
          <w:lang w:val="zh-CN" w:eastAsia="zh-CN"/>
        </w:rPr>
        <w:t>包括</w:t>
      </w:r>
      <w:proofErr w:type="gramEnd"/>
      <w:r w:rsidRPr="00474AF8">
        <w:rPr>
          <w:lang w:val="zh-CN" w:eastAsia="zh-CN"/>
        </w:rPr>
        <w:t>方案、大型项目、中型项目和扶持活动。</w:t>
      </w:r>
      <w:r w:rsidR="001D1B5A" w:rsidRPr="00474AF8">
        <w:rPr>
          <w:lang w:val="zh-CN" w:eastAsia="zh-CN"/>
        </w:rPr>
        <w:t>不</w:t>
      </w:r>
      <w:r w:rsidR="001D1B5A">
        <w:rPr>
          <w:rFonts w:hint="eastAsia"/>
          <w:lang w:val="zh-CN" w:eastAsia="zh-CN"/>
        </w:rPr>
        <w:t>包</w:t>
      </w:r>
      <w:r w:rsidR="001D1B5A" w:rsidRPr="00474AF8">
        <w:rPr>
          <w:lang w:val="zh-CN" w:eastAsia="zh-CN"/>
        </w:rPr>
        <w:t>含</w:t>
      </w:r>
      <w:r w:rsidRPr="00474AF8">
        <w:rPr>
          <w:lang w:val="zh-CN" w:eastAsia="zh-CN"/>
        </w:rPr>
        <w:t>项目编制赠款和</w:t>
      </w:r>
      <w:r w:rsidR="00F615B9">
        <w:rPr>
          <w:rFonts w:hint="eastAsia"/>
          <w:lang w:val="zh-CN" w:eastAsia="zh-CN"/>
        </w:rPr>
        <w:t>机构</w:t>
      </w:r>
      <w:r w:rsidRPr="00474AF8">
        <w:rPr>
          <w:lang w:val="zh-CN" w:eastAsia="zh-CN"/>
        </w:rPr>
        <w:t>费</w:t>
      </w:r>
      <w:r w:rsidR="00F615B9">
        <w:rPr>
          <w:rFonts w:hint="eastAsia"/>
          <w:lang w:val="zh-CN" w:eastAsia="zh-CN"/>
        </w:rPr>
        <w:t>用</w:t>
      </w:r>
      <w:r w:rsidRPr="00474AF8">
        <w:rPr>
          <w:lang w:val="zh-CN" w:eastAsia="zh-CN"/>
        </w:rPr>
        <w:t>。</w:t>
      </w:r>
      <w:bookmarkStart w:id="9" w:name="_Hlk11233537"/>
      <w:bookmarkEnd w:id="9"/>
    </w:p>
  </w:footnote>
  <w:footnote w:id="5">
    <w:p w14:paraId="7F8CA310" w14:textId="1CF36940" w:rsidR="00353EC0" w:rsidRPr="00474AF8" w:rsidRDefault="00353EC0" w:rsidP="00A620BD">
      <w:pPr>
        <w:pStyle w:val="NormalNonumber"/>
        <w:spacing w:before="20" w:after="40"/>
        <w:rPr>
          <w:lang w:eastAsia="zh-CN"/>
        </w:rPr>
      </w:pPr>
      <w:r w:rsidRPr="00474AF8">
        <w:rPr>
          <w:vertAlign w:val="superscript"/>
          <w:lang w:val="zh-CN"/>
        </w:rPr>
        <w:footnoteRef/>
      </w:r>
      <w:r w:rsidRPr="00474AF8">
        <w:rPr>
          <w:sz w:val="16"/>
          <w:lang w:val="zh-CN" w:eastAsia="zh-CN"/>
        </w:rPr>
        <w:t xml:space="preserve"> </w:t>
      </w:r>
      <w:r w:rsidRPr="00474AF8">
        <w:rPr>
          <w:lang w:val="zh-CN" w:eastAsia="zh-CN"/>
        </w:rPr>
        <w:t>全环基金，</w:t>
      </w:r>
      <w:r w:rsidRPr="00474AF8">
        <w:rPr>
          <w:lang w:val="zh-CN" w:eastAsia="zh-CN"/>
        </w:rPr>
        <w:t>2018</w:t>
      </w:r>
      <w:r w:rsidRPr="00474AF8">
        <w:rPr>
          <w:lang w:val="zh-CN" w:eastAsia="zh-CN"/>
        </w:rPr>
        <w:t>年，全环基金第七次充资方案拟订指示，</w:t>
      </w:r>
      <w:r w:rsidR="00C07A26" w:rsidRPr="00474AF8" w:rsidDel="00C07A26">
        <w:rPr>
          <w:lang w:val="zh-CN" w:eastAsia="zh-CN"/>
        </w:rPr>
        <w:t xml:space="preserve"> </w:t>
      </w:r>
      <w:r w:rsidRPr="00474AF8">
        <w:rPr>
          <w:lang w:val="zh-CN" w:eastAsia="zh-CN"/>
        </w:rPr>
        <w:t>GEF/R.7/19</w:t>
      </w:r>
      <w:r w:rsidR="00C07A26">
        <w:rPr>
          <w:rFonts w:hint="eastAsia"/>
          <w:lang w:val="zh-CN" w:eastAsia="zh-CN"/>
        </w:rPr>
        <w:t>号</w:t>
      </w:r>
      <w:r w:rsidR="00C07A26" w:rsidRPr="00474AF8">
        <w:rPr>
          <w:lang w:val="zh-CN" w:eastAsia="zh-CN"/>
        </w:rPr>
        <w:t>理事会文件</w:t>
      </w:r>
      <w:r w:rsidRPr="00474AF8">
        <w:rPr>
          <w:lang w:val="zh-CN" w:eastAsia="zh-CN"/>
        </w:rPr>
        <w:t>。</w:t>
      </w:r>
      <w:bookmarkStart w:id="10" w:name="_Hlk17878957"/>
      <w:bookmarkEnd w:id="10"/>
    </w:p>
  </w:footnote>
  <w:footnote w:id="6">
    <w:p w14:paraId="51588BC8" w14:textId="09447436" w:rsidR="00353EC0" w:rsidRPr="00474AF8" w:rsidRDefault="00353EC0" w:rsidP="00A620BD">
      <w:pPr>
        <w:pStyle w:val="NormalNonumber"/>
        <w:spacing w:before="20" w:after="40"/>
        <w:rPr>
          <w:lang w:eastAsia="zh-CN"/>
        </w:rPr>
      </w:pPr>
      <w:r w:rsidRPr="00474AF8">
        <w:rPr>
          <w:vertAlign w:val="superscript"/>
          <w:lang w:val="zh-CN"/>
        </w:rPr>
        <w:footnoteRef/>
      </w:r>
      <w:r w:rsidRPr="00474AF8">
        <w:rPr>
          <w:lang w:val="zh-CN" w:eastAsia="zh-CN"/>
        </w:rPr>
        <w:t xml:space="preserve"> </w:t>
      </w:r>
      <w:r w:rsidRPr="00474AF8">
        <w:rPr>
          <w:lang w:val="zh-CN" w:eastAsia="zh-CN"/>
        </w:rPr>
        <w:t>全环基金，</w:t>
      </w:r>
      <w:r w:rsidRPr="00474AF8">
        <w:rPr>
          <w:lang w:val="zh-CN" w:eastAsia="zh-CN"/>
        </w:rPr>
        <w:t>2019</w:t>
      </w:r>
      <w:r w:rsidRPr="00474AF8">
        <w:rPr>
          <w:lang w:val="zh-CN" w:eastAsia="zh-CN"/>
        </w:rPr>
        <w:t>年，机构记分卡。记分卡在全环基金理事会</w:t>
      </w:r>
      <w:r w:rsidR="001D1B5A">
        <w:rPr>
          <w:rFonts w:hint="eastAsia"/>
          <w:lang w:val="zh-CN" w:eastAsia="zh-CN"/>
        </w:rPr>
        <w:t>核</w:t>
      </w:r>
      <w:r w:rsidRPr="00474AF8">
        <w:rPr>
          <w:lang w:val="zh-CN" w:eastAsia="zh-CN"/>
        </w:rPr>
        <w:t>准和首席执行官</w:t>
      </w:r>
      <w:r w:rsidR="001D1B5A">
        <w:rPr>
          <w:rFonts w:hint="eastAsia"/>
          <w:lang w:val="zh-CN" w:eastAsia="zh-CN"/>
        </w:rPr>
        <w:t>核</w:t>
      </w:r>
      <w:proofErr w:type="gramStart"/>
      <w:r w:rsidRPr="00474AF8">
        <w:rPr>
          <w:lang w:val="zh-CN" w:eastAsia="zh-CN"/>
        </w:rPr>
        <w:t>可阶段</w:t>
      </w:r>
      <w:proofErr w:type="gramEnd"/>
      <w:r w:rsidRPr="00474AF8">
        <w:rPr>
          <w:lang w:val="zh-CN" w:eastAsia="zh-CN"/>
        </w:rPr>
        <w:t>汇编全球环境效益。</w:t>
      </w:r>
    </w:p>
  </w:footnote>
  <w:footnote w:id="7">
    <w:p w14:paraId="4CF751F2" w14:textId="222AE25B" w:rsidR="00353EC0" w:rsidRPr="00316FCA" w:rsidRDefault="00353EC0" w:rsidP="00316FCA">
      <w:pPr>
        <w:pStyle w:val="NormalNonumber"/>
        <w:spacing w:before="20" w:after="40"/>
        <w:rPr>
          <w:sz w:val="18"/>
          <w:szCs w:val="18"/>
          <w:lang w:eastAsia="zh-CN"/>
        </w:rPr>
      </w:pPr>
      <w:r w:rsidRPr="00474AF8">
        <w:rPr>
          <w:vertAlign w:val="superscript"/>
          <w:lang w:val="zh-CN"/>
        </w:rPr>
        <w:footnoteRef/>
      </w:r>
      <w:r w:rsidRPr="00474AF8">
        <w:rPr>
          <w:lang w:val="zh-CN" w:eastAsia="zh-CN"/>
        </w:rPr>
        <w:t xml:space="preserve"> </w:t>
      </w:r>
      <w:r w:rsidRPr="00474AF8">
        <w:rPr>
          <w:lang w:val="zh-CN" w:eastAsia="zh-CN"/>
        </w:rPr>
        <w:t>全环基金，</w:t>
      </w:r>
      <w:r w:rsidRPr="00474AF8">
        <w:rPr>
          <w:lang w:val="zh-CN" w:eastAsia="zh-CN"/>
        </w:rPr>
        <w:t>2019</w:t>
      </w:r>
      <w:r w:rsidRPr="00474AF8">
        <w:rPr>
          <w:lang w:val="zh-CN" w:eastAsia="zh-CN"/>
        </w:rPr>
        <w:t>年，核准关于汞的水</w:t>
      </w:r>
      <w:proofErr w:type="gramStart"/>
      <w:r w:rsidRPr="00474AF8">
        <w:rPr>
          <w:lang w:val="zh-CN" w:eastAsia="zh-CN"/>
        </w:rPr>
        <w:t>俣</w:t>
      </w:r>
      <w:proofErr w:type="gramEnd"/>
      <w:r w:rsidRPr="00474AF8">
        <w:rPr>
          <w:lang w:val="zh-CN" w:eastAsia="zh-CN"/>
        </w:rPr>
        <w:t>公约缔约方大会与全球环境基金理事会之间的谅解备忘录，</w:t>
      </w:r>
      <w:r w:rsidR="00C07A26" w:rsidRPr="00474AF8" w:rsidDel="00C07A26">
        <w:rPr>
          <w:lang w:val="zh-CN" w:eastAsia="zh-CN"/>
        </w:rPr>
        <w:t xml:space="preserve"> </w:t>
      </w:r>
      <w:r w:rsidRPr="00474AF8">
        <w:rPr>
          <w:lang w:val="zh-CN" w:eastAsia="zh-CN"/>
        </w:rPr>
        <w:t>GEF/C.56/10/Rev.01</w:t>
      </w:r>
      <w:r w:rsidR="00C07A26">
        <w:rPr>
          <w:rFonts w:hint="eastAsia"/>
          <w:lang w:val="zh-CN" w:eastAsia="zh-CN"/>
        </w:rPr>
        <w:t>号</w:t>
      </w:r>
      <w:r w:rsidR="00C07A26" w:rsidRPr="00474AF8">
        <w:rPr>
          <w:lang w:val="zh-CN" w:eastAsia="zh-CN"/>
        </w:rPr>
        <w:t>理事会文件</w:t>
      </w:r>
      <w:r w:rsidRPr="00474AF8">
        <w:rPr>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0E29F39" w:rsidR="00670FAE" w:rsidRPr="00FA0DC5" w:rsidRDefault="00670FAE" w:rsidP="001224E5">
    <w:pPr>
      <w:pStyle w:val="Header-pool"/>
      <w:rPr>
        <w:sz w:val="20"/>
      </w:rPr>
    </w:pPr>
    <w:r w:rsidRPr="00FA0DC5">
      <w:rPr>
        <w:bCs/>
        <w:sz w:val="20"/>
      </w:rPr>
      <w:t>UNEP</w:t>
    </w:r>
    <w:r w:rsidRPr="00FA0DC5">
      <w:rPr>
        <w:sz w:val="20"/>
      </w:rPr>
      <w:t>/MC/COP.</w:t>
    </w:r>
    <w:r w:rsidR="000A7C0C" w:rsidRPr="00FA0DC5">
      <w:rPr>
        <w:sz w:val="20"/>
      </w:rPr>
      <w:t>3</w:t>
    </w:r>
    <w:r w:rsidRPr="00FA0DC5">
      <w:rPr>
        <w:sz w:val="20"/>
      </w:rPr>
      <w:t>/</w:t>
    </w:r>
    <w:r w:rsidR="0085531B" w:rsidRPr="00FA0DC5">
      <w:rPr>
        <w:sz w:val="20"/>
      </w:rPr>
      <w:t>9/Add.1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30504EB" w:rsidR="00670FAE" w:rsidRPr="00FA0DC5" w:rsidRDefault="00670FAE" w:rsidP="00FA0DC5">
    <w:pPr>
      <w:pStyle w:val="Header"/>
      <w:spacing w:line="240" w:lineRule="auto"/>
      <w:jc w:val="right"/>
      <w:rPr>
        <w:sz w:val="20"/>
        <w:szCs w:val="20"/>
      </w:rPr>
    </w:pPr>
    <w:r w:rsidRPr="00FA0DC5">
      <w:rPr>
        <w:bCs/>
        <w:sz w:val="20"/>
        <w:szCs w:val="20"/>
      </w:rPr>
      <w:t>UNEP</w:t>
    </w:r>
    <w:r w:rsidRPr="00FA0DC5">
      <w:rPr>
        <w:sz w:val="20"/>
        <w:szCs w:val="20"/>
      </w:rPr>
      <w:t>/MC/COP.</w:t>
    </w:r>
    <w:r w:rsidR="000A7C0C" w:rsidRPr="00FA0DC5">
      <w:rPr>
        <w:sz w:val="20"/>
        <w:szCs w:val="20"/>
      </w:rPr>
      <w:t>3</w:t>
    </w:r>
    <w:r w:rsidRPr="00FA0DC5">
      <w:rPr>
        <w:sz w:val="20"/>
        <w:szCs w:val="20"/>
      </w:rPr>
      <w:t>/</w:t>
    </w:r>
    <w:r w:rsidR="0085531B" w:rsidRPr="00FA0DC5">
      <w:rPr>
        <w:sz w:val="20"/>
        <w:szCs w:val="20"/>
      </w:rPr>
      <w:t>9/Add.1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2684AD96"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5A217B9"/>
    <w:multiLevelType w:val="hybridMultilevel"/>
    <w:tmpl w:val="25A209EC"/>
    <w:lvl w:ilvl="0" w:tplc="FAD09642">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1AFC"/>
    <w:rsid w:val="000149E6"/>
    <w:rsid w:val="00023DA9"/>
    <w:rsid w:val="000247B0"/>
    <w:rsid w:val="00026997"/>
    <w:rsid w:val="00026A08"/>
    <w:rsid w:val="00032E4E"/>
    <w:rsid w:val="00033E0B"/>
    <w:rsid w:val="00035EDE"/>
    <w:rsid w:val="000509B4"/>
    <w:rsid w:val="0006035B"/>
    <w:rsid w:val="0006096F"/>
    <w:rsid w:val="000637AF"/>
    <w:rsid w:val="000649C5"/>
    <w:rsid w:val="000656E9"/>
    <w:rsid w:val="00071886"/>
    <w:rsid w:val="000742BC"/>
    <w:rsid w:val="00076CC6"/>
    <w:rsid w:val="00082A0C"/>
    <w:rsid w:val="00083504"/>
    <w:rsid w:val="0009640C"/>
    <w:rsid w:val="000A7C0C"/>
    <w:rsid w:val="000B0F38"/>
    <w:rsid w:val="000B22A2"/>
    <w:rsid w:val="000B4942"/>
    <w:rsid w:val="000B541B"/>
    <w:rsid w:val="000B73F9"/>
    <w:rsid w:val="000C2A52"/>
    <w:rsid w:val="000C2A88"/>
    <w:rsid w:val="000D33C0"/>
    <w:rsid w:val="000D4CF6"/>
    <w:rsid w:val="000D6941"/>
    <w:rsid w:val="000F4829"/>
    <w:rsid w:val="000F6B21"/>
    <w:rsid w:val="000F72A1"/>
    <w:rsid w:val="000F7C5F"/>
    <w:rsid w:val="00102EFB"/>
    <w:rsid w:val="001202E3"/>
    <w:rsid w:val="001224E5"/>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1539"/>
    <w:rsid w:val="001759D8"/>
    <w:rsid w:val="00177D7F"/>
    <w:rsid w:val="00180C3F"/>
    <w:rsid w:val="00181EC8"/>
    <w:rsid w:val="00184349"/>
    <w:rsid w:val="00195F33"/>
    <w:rsid w:val="001A47E5"/>
    <w:rsid w:val="001A6FE9"/>
    <w:rsid w:val="001B1617"/>
    <w:rsid w:val="001B504B"/>
    <w:rsid w:val="001B6F98"/>
    <w:rsid w:val="001C191A"/>
    <w:rsid w:val="001D1B5A"/>
    <w:rsid w:val="001D3874"/>
    <w:rsid w:val="001D7E75"/>
    <w:rsid w:val="001E0D73"/>
    <w:rsid w:val="001E20AB"/>
    <w:rsid w:val="001E45BD"/>
    <w:rsid w:val="001E56D2"/>
    <w:rsid w:val="001E7D56"/>
    <w:rsid w:val="001F5186"/>
    <w:rsid w:val="001F75DE"/>
    <w:rsid w:val="00200D58"/>
    <w:rsid w:val="002011C1"/>
    <w:rsid w:val="002013BE"/>
    <w:rsid w:val="00201EDC"/>
    <w:rsid w:val="002063A4"/>
    <w:rsid w:val="0021145B"/>
    <w:rsid w:val="00220C23"/>
    <w:rsid w:val="002247F6"/>
    <w:rsid w:val="00225459"/>
    <w:rsid w:val="00225E21"/>
    <w:rsid w:val="00225E44"/>
    <w:rsid w:val="00234E78"/>
    <w:rsid w:val="00243D36"/>
    <w:rsid w:val="00246151"/>
    <w:rsid w:val="00247707"/>
    <w:rsid w:val="00252456"/>
    <w:rsid w:val="00256304"/>
    <w:rsid w:val="0026018E"/>
    <w:rsid w:val="00282B56"/>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02A67"/>
    <w:rsid w:val="00310BEB"/>
    <w:rsid w:val="0031413F"/>
    <w:rsid w:val="00314854"/>
    <w:rsid w:val="003148BB"/>
    <w:rsid w:val="00316FCA"/>
    <w:rsid w:val="00317976"/>
    <w:rsid w:val="00320F2F"/>
    <w:rsid w:val="0032457E"/>
    <w:rsid w:val="00325D38"/>
    <w:rsid w:val="0035277E"/>
    <w:rsid w:val="00353EC0"/>
    <w:rsid w:val="00355EA9"/>
    <w:rsid w:val="003578DE"/>
    <w:rsid w:val="0036111A"/>
    <w:rsid w:val="00361688"/>
    <w:rsid w:val="00376AAB"/>
    <w:rsid w:val="00380921"/>
    <w:rsid w:val="003860D2"/>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2EDE"/>
    <w:rsid w:val="00410C55"/>
    <w:rsid w:val="00416854"/>
    <w:rsid w:val="00417725"/>
    <w:rsid w:val="0042266F"/>
    <w:rsid w:val="00430330"/>
    <w:rsid w:val="004337BF"/>
    <w:rsid w:val="00434321"/>
    <w:rsid w:val="00437F26"/>
    <w:rsid w:val="004411A9"/>
    <w:rsid w:val="00444097"/>
    <w:rsid w:val="00445487"/>
    <w:rsid w:val="00445EF6"/>
    <w:rsid w:val="00447E0D"/>
    <w:rsid w:val="00453EA8"/>
    <w:rsid w:val="00454769"/>
    <w:rsid w:val="00466991"/>
    <w:rsid w:val="0047064C"/>
    <w:rsid w:val="00474AF8"/>
    <w:rsid w:val="004822B7"/>
    <w:rsid w:val="00484226"/>
    <w:rsid w:val="00490494"/>
    <w:rsid w:val="0049469E"/>
    <w:rsid w:val="004947CE"/>
    <w:rsid w:val="004A2217"/>
    <w:rsid w:val="004A24F9"/>
    <w:rsid w:val="004A42E1"/>
    <w:rsid w:val="004B162C"/>
    <w:rsid w:val="004B2ABE"/>
    <w:rsid w:val="004C3DBE"/>
    <w:rsid w:val="004C442D"/>
    <w:rsid w:val="004C5C96"/>
    <w:rsid w:val="004D06A4"/>
    <w:rsid w:val="004F1A81"/>
    <w:rsid w:val="004F5D88"/>
    <w:rsid w:val="00501354"/>
    <w:rsid w:val="005031C5"/>
    <w:rsid w:val="005050D2"/>
    <w:rsid w:val="005218D9"/>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4FD4"/>
    <w:rsid w:val="005D6E8C"/>
    <w:rsid w:val="005E3004"/>
    <w:rsid w:val="005F0209"/>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98B"/>
    <w:rsid w:val="00654475"/>
    <w:rsid w:val="00656DF0"/>
    <w:rsid w:val="006624DB"/>
    <w:rsid w:val="00665A4B"/>
    <w:rsid w:val="00670FAE"/>
    <w:rsid w:val="0067455B"/>
    <w:rsid w:val="00692E2A"/>
    <w:rsid w:val="0069496A"/>
    <w:rsid w:val="00696C1C"/>
    <w:rsid w:val="006A76F2"/>
    <w:rsid w:val="006B7D29"/>
    <w:rsid w:val="006D19D4"/>
    <w:rsid w:val="006D5644"/>
    <w:rsid w:val="006D7EFB"/>
    <w:rsid w:val="006E6672"/>
    <w:rsid w:val="006E6722"/>
    <w:rsid w:val="006F7AFF"/>
    <w:rsid w:val="007027B9"/>
    <w:rsid w:val="007066B5"/>
    <w:rsid w:val="007142A9"/>
    <w:rsid w:val="007145DA"/>
    <w:rsid w:val="00715E88"/>
    <w:rsid w:val="00716D8B"/>
    <w:rsid w:val="00731576"/>
    <w:rsid w:val="00734CAA"/>
    <w:rsid w:val="00734EFB"/>
    <w:rsid w:val="00740EE2"/>
    <w:rsid w:val="00742680"/>
    <w:rsid w:val="00751427"/>
    <w:rsid w:val="0075533C"/>
    <w:rsid w:val="00755A18"/>
    <w:rsid w:val="00757581"/>
    <w:rsid w:val="007602F5"/>
    <w:rsid w:val="00760D36"/>
    <w:rsid w:val="007611A0"/>
    <w:rsid w:val="00772574"/>
    <w:rsid w:val="00773E54"/>
    <w:rsid w:val="00787688"/>
    <w:rsid w:val="007935E6"/>
    <w:rsid w:val="00794EF9"/>
    <w:rsid w:val="007959CD"/>
    <w:rsid w:val="00796D3F"/>
    <w:rsid w:val="007A1683"/>
    <w:rsid w:val="007A5C12"/>
    <w:rsid w:val="007A7CB0"/>
    <w:rsid w:val="007B68A3"/>
    <w:rsid w:val="007C2541"/>
    <w:rsid w:val="007D361F"/>
    <w:rsid w:val="007D66A8"/>
    <w:rsid w:val="007D7321"/>
    <w:rsid w:val="007E003F"/>
    <w:rsid w:val="007F0CF8"/>
    <w:rsid w:val="007F5E1B"/>
    <w:rsid w:val="007F62CB"/>
    <w:rsid w:val="008006A3"/>
    <w:rsid w:val="008142EC"/>
    <w:rsid w:val="008164F2"/>
    <w:rsid w:val="00821395"/>
    <w:rsid w:val="00830E26"/>
    <w:rsid w:val="00833909"/>
    <w:rsid w:val="00834368"/>
    <w:rsid w:val="0083441A"/>
    <w:rsid w:val="00843576"/>
    <w:rsid w:val="00843B64"/>
    <w:rsid w:val="00845261"/>
    <w:rsid w:val="008478FC"/>
    <w:rsid w:val="00851C51"/>
    <w:rsid w:val="008538F7"/>
    <w:rsid w:val="0085531B"/>
    <w:rsid w:val="00867BFF"/>
    <w:rsid w:val="00871542"/>
    <w:rsid w:val="00872031"/>
    <w:rsid w:val="00872BF6"/>
    <w:rsid w:val="0088480A"/>
    <w:rsid w:val="0088757A"/>
    <w:rsid w:val="0089431B"/>
    <w:rsid w:val="00895668"/>
    <w:rsid w:val="008957DD"/>
    <w:rsid w:val="00897D98"/>
    <w:rsid w:val="008A6DF2"/>
    <w:rsid w:val="008A7807"/>
    <w:rsid w:val="008B1A36"/>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3B28"/>
    <w:rsid w:val="00955512"/>
    <w:rsid w:val="009564A6"/>
    <w:rsid w:val="00957EF8"/>
    <w:rsid w:val="00966A53"/>
    <w:rsid w:val="00967621"/>
    <w:rsid w:val="00967E6A"/>
    <w:rsid w:val="00977BFC"/>
    <w:rsid w:val="009907B9"/>
    <w:rsid w:val="00990918"/>
    <w:rsid w:val="009A3A83"/>
    <w:rsid w:val="009B28F3"/>
    <w:rsid w:val="009B4A0F"/>
    <w:rsid w:val="009C11D2"/>
    <w:rsid w:val="009C6C70"/>
    <w:rsid w:val="009C7B0A"/>
    <w:rsid w:val="009D0B63"/>
    <w:rsid w:val="009D5CB8"/>
    <w:rsid w:val="009E23BA"/>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20BD"/>
    <w:rsid w:val="00A648CA"/>
    <w:rsid w:val="00A65641"/>
    <w:rsid w:val="00A657DD"/>
    <w:rsid w:val="00A666A6"/>
    <w:rsid w:val="00A675FD"/>
    <w:rsid w:val="00A72437"/>
    <w:rsid w:val="00A8048B"/>
    <w:rsid w:val="00A80611"/>
    <w:rsid w:val="00A8191E"/>
    <w:rsid w:val="00A84EDB"/>
    <w:rsid w:val="00A8586D"/>
    <w:rsid w:val="00AA5BF4"/>
    <w:rsid w:val="00AB5340"/>
    <w:rsid w:val="00AC0A89"/>
    <w:rsid w:val="00AC1BD4"/>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32CE"/>
    <w:rsid w:val="00B27025"/>
    <w:rsid w:val="00B27589"/>
    <w:rsid w:val="00B3331E"/>
    <w:rsid w:val="00B405B7"/>
    <w:rsid w:val="00B4247B"/>
    <w:rsid w:val="00B468C0"/>
    <w:rsid w:val="00B51AB8"/>
    <w:rsid w:val="00B52222"/>
    <w:rsid w:val="00B531DA"/>
    <w:rsid w:val="00B54895"/>
    <w:rsid w:val="00B54FE7"/>
    <w:rsid w:val="00B647C6"/>
    <w:rsid w:val="00B655F9"/>
    <w:rsid w:val="00B66901"/>
    <w:rsid w:val="00B66F60"/>
    <w:rsid w:val="00B71E6D"/>
    <w:rsid w:val="00B72070"/>
    <w:rsid w:val="00B779E1"/>
    <w:rsid w:val="00B81E3A"/>
    <w:rsid w:val="00B8400F"/>
    <w:rsid w:val="00B85CFB"/>
    <w:rsid w:val="00B914E9"/>
    <w:rsid w:val="00B91EE1"/>
    <w:rsid w:val="00B94602"/>
    <w:rsid w:val="00BA0090"/>
    <w:rsid w:val="00BA1A67"/>
    <w:rsid w:val="00BA6A80"/>
    <w:rsid w:val="00BA725F"/>
    <w:rsid w:val="00BB4ABB"/>
    <w:rsid w:val="00BC62BA"/>
    <w:rsid w:val="00BE5B5F"/>
    <w:rsid w:val="00BE7993"/>
    <w:rsid w:val="00C07A26"/>
    <w:rsid w:val="00C11971"/>
    <w:rsid w:val="00C179DE"/>
    <w:rsid w:val="00C26244"/>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959B9"/>
    <w:rsid w:val="00CA5CA9"/>
    <w:rsid w:val="00CA6C7F"/>
    <w:rsid w:val="00CB007D"/>
    <w:rsid w:val="00CB4DC6"/>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55040"/>
    <w:rsid w:val="00D63B8C"/>
    <w:rsid w:val="00D70880"/>
    <w:rsid w:val="00D70DF0"/>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6511"/>
    <w:rsid w:val="00DD7C2C"/>
    <w:rsid w:val="00DE5BDA"/>
    <w:rsid w:val="00DF1A30"/>
    <w:rsid w:val="00DF433C"/>
    <w:rsid w:val="00DF519F"/>
    <w:rsid w:val="00E0035A"/>
    <w:rsid w:val="00E06797"/>
    <w:rsid w:val="00E1265B"/>
    <w:rsid w:val="00E12E09"/>
    <w:rsid w:val="00E13B48"/>
    <w:rsid w:val="00E1404F"/>
    <w:rsid w:val="00E21C83"/>
    <w:rsid w:val="00E24ADA"/>
    <w:rsid w:val="00E32F59"/>
    <w:rsid w:val="00E41908"/>
    <w:rsid w:val="00E46D9A"/>
    <w:rsid w:val="00E54CB2"/>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51F50"/>
    <w:rsid w:val="00F615B9"/>
    <w:rsid w:val="00F617C5"/>
    <w:rsid w:val="00F650C3"/>
    <w:rsid w:val="00F65D85"/>
    <w:rsid w:val="00F66051"/>
    <w:rsid w:val="00F6700B"/>
    <w:rsid w:val="00F7137B"/>
    <w:rsid w:val="00F8091E"/>
    <w:rsid w:val="00F8615C"/>
    <w:rsid w:val="00F969E5"/>
    <w:rsid w:val="00F96F7E"/>
    <w:rsid w:val="00FA0DC5"/>
    <w:rsid w:val="00FA4972"/>
    <w:rsid w:val="00FA6BB0"/>
    <w:rsid w:val="00FB2DBD"/>
    <w:rsid w:val="00FC4A9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53EC0"/>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5031C5"/>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031C5"/>
    <w:pPr>
      <w:keepNext/>
      <w:keepLines/>
      <w:tabs>
        <w:tab w:val="right" w:pos="851"/>
      </w:tabs>
      <w:suppressAutoHyphens/>
      <w:spacing w:before="12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qFormat/>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16FC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E20AB"/>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rsid w:val="00D55040"/>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paragraph" w:styleId="NormalWeb">
    <w:name w:val="Normal (Web)"/>
    <w:basedOn w:val="Normal"/>
    <w:uiPriority w:val="99"/>
    <w:semiHidden/>
    <w:unhideWhenUsed/>
    <w:rsid w:val="00430330"/>
    <w:pPr>
      <w:tabs>
        <w:tab w:val="clear" w:pos="1247"/>
        <w:tab w:val="clear" w:pos="1814"/>
        <w:tab w:val="clear" w:pos="2381"/>
        <w:tab w:val="clear" w:pos="2948"/>
        <w:tab w:val="clear" w:pos="3515"/>
      </w:tabs>
      <w:spacing w:before="100" w:beforeAutospacing="1" w:after="100" w:afterAutospacing="1" w:line="240" w:lineRule="auto"/>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6613556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753AC-00D2-4E89-B698-1B0BBF9B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8</cp:revision>
  <cp:lastPrinted>2016-07-18T09:51:00Z</cp:lastPrinted>
  <dcterms:created xsi:type="dcterms:W3CDTF">2019-10-24T06:37:00Z</dcterms:created>
  <dcterms:modified xsi:type="dcterms:W3CDTF">2019-10-24T06:40:00Z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10/10/2019 9:25:22 AM</vt:lpwstr>
  </property>
  <property fmtid="{D5CDD505-2E9C-101B-9397-08002B2CF9AE}" pid="5" name="OriginalDocID">
    <vt:lpwstr>87b636ab-97c1-4b79-a92a-bb77ed1e7878</vt:lpwstr>
  </property>
</Properties>
</file>