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00E60E51">
        <w:trPr>
          <w:cantSplit/>
          <w:trHeight w:val="624"/>
        </w:trPr>
        <w:tc>
          <w:tcPr>
            <w:tcW w:w="3403" w:type="dxa"/>
            <w:tcBorders>
              <w:bottom w:val="nil"/>
            </w:tcBorders>
          </w:tcPr>
          <w:p w14:paraId="315B46E2" w14:textId="77777777" w:rsidR="00DE796A" w:rsidRPr="0064436F" w:rsidRDefault="00934FB6" w:rsidP="000B1AA7">
            <w:pPr>
              <w:spacing w:after="120" w:line="640" w:lineRule="exact"/>
              <w:rPr>
                <w:rFonts w:ascii="Arial" w:hAnsi="Arial" w:cs="Arial"/>
                <w:b/>
                <w:bCs/>
                <w:sz w:val="64"/>
                <w:szCs w:val="64"/>
                <w:lang w:val="en-GB"/>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FE46A2">
        <w:trPr>
          <w:cantSplit/>
          <w:trHeight w:val="98"/>
        </w:trPr>
        <w:tc>
          <w:tcPr>
            <w:tcW w:w="3403" w:type="dxa"/>
            <w:tcBorders>
              <w:top w:val="nil"/>
              <w:bottom w:val="single" w:sz="4" w:space="0" w:color="auto"/>
            </w:tcBorders>
          </w:tcPr>
          <w:p w14:paraId="71DEC684" w14:textId="19EE2568" w:rsidR="004B0A17" w:rsidRPr="00052C2D"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521081">
              <w:rPr>
                <w:rFonts w:cs="Times New Roman"/>
                <w:szCs w:val="20"/>
              </w:rPr>
              <w:t>9</w:t>
            </w:r>
            <w:r w:rsidR="00316921" w:rsidRPr="00316921">
              <w:rPr>
                <w:rFonts w:cs="Times New Roman"/>
                <w:szCs w:val="20"/>
              </w:rPr>
              <w:t>/Add.1</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FE46A2">
        <w:trPr>
          <w:cantSplit/>
          <w:trHeight w:val="2317"/>
        </w:trPr>
        <w:tc>
          <w:tcPr>
            <w:tcW w:w="3403" w:type="dxa"/>
            <w:tcBorders>
              <w:top w:val="single" w:sz="4" w:space="0" w:color="auto"/>
              <w:bottom w:val="single" w:sz="18"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35A56DAB" w:rsidR="00934FB6" w:rsidRPr="002772B3" w:rsidRDefault="00316921" w:rsidP="00934FB6">
            <w:pPr>
              <w:jc w:val="both"/>
              <w:rPr>
                <w:rFonts w:cs="Times New Roman"/>
                <w:szCs w:val="20"/>
              </w:rPr>
            </w:pPr>
            <w:r>
              <w:t>16</w:t>
            </w:r>
            <w:r w:rsidR="00521081">
              <w:t xml:space="preserve"> </w:t>
            </w:r>
            <w:r>
              <w:t>September</w:t>
            </w:r>
            <w:r w:rsidR="00521081">
              <w:t xml:space="preserve"> </w:t>
            </w:r>
            <w:r w:rsidR="00934FB6" w:rsidRPr="00A969A0">
              <w:rPr>
                <w:rFonts w:cs="Times New Roman"/>
                <w:szCs w:val="20"/>
              </w:rPr>
              <w:t>20</w:t>
            </w:r>
            <w:r w:rsidR="00934FB6">
              <w:rPr>
                <w:rFonts w:cs="Times New Roman"/>
                <w:szCs w:val="20"/>
              </w:rPr>
              <w:t>1</w:t>
            </w:r>
            <w:r w:rsidR="001764C7">
              <w:rPr>
                <w:rFonts w:cs="Times New Roman"/>
                <w:szCs w:val="20"/>
              </w:rPr>
              <w:t>9</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18" w:space="0" w:color="auto"/>
            </w:tcBorders>
          </w:tcPr>
          <w:p w14:paraId="217CCEE4" w14:textId="77777777" w:rsidR="00317EFB" w:rsidRPr="00643398" w:rsidRDefault="00317EFB" w:rsidP="00E60E51">
            <w:pPr>
              <w:bidi/>
              <w:spacing w:before="840" w:line="62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18" w:space="0" w:color="auto"/>
            </w:tcBorders>
          </w:tcPr>
          <w:p w14:paraId="5CF0660A" w14:textId="77E6E52B" w:rsidR="00DE796A" w:rsidRDefault="00E60E51" w:rsidP="007D019B">
            <w:pPr>
              <w:spacing w:line="20" w:lineRule="exact"/>
            </w:pPr>
            <w:r>
              <w:rPr>
                <w:noProof/>
              </w:rPr>
              <w:drawing>
                <wp:anchor distT="0" distB="0" distL="114300" distR="114300" simplePos="0" relativeHeight="251658240"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rPr>
              <w:drawing>
                <wp:anchor distT="0" distB="0" distL="114300" distR="114300" simplePos="0" relativeHeight="251657216"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00FE46A2">
        <w:trPr>
          <w:cantSplit/>
          <w:trHeight w:val="2317"/>
        </w:trPr>
        <w:tc>
          <w:tcPr>
            <w:tcW w:w="3403" w:type="dxa"/>
            <w:tcBorders>
              <w:top w:val="single" w:sz="18"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18" w:space="0" w:color="auto"/>
              <w:bottom w:val="nil"/>
            </w:tcBorders>
          </w:tcPr>
          <w:p w14:paraId="12824EF2" w14:textId="219B652A" w:rsidR="002625D8" w:rsidRDefault="002625D8" w:rsidP="005B288F">
            <w:pPr>
              <w:bidi/>
              <w:spacing w:before="60" w:line="360" w:lineRule="exact"/>
              <w:ind w:right="3518"/>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r w:rsidR="005B288F">
              <w:rPr>
                <w:b/>
                <w:bCs/>
                <w:sz w:val="30"/>
              </w:rPr>
              <w:t xml:space="preserve"> </w:t>
            </w:r>
            <w:r>
              <w:rPr>
                <w:rFonts w:hint="cs"/>
                <w:b/>
                <w:bCs/>
                <w:sz w:val="30"/>
                <w:rtl/>
              </w:rPr>
              <w:t>بشأن الزئبق</w:t>
            </w:r>
          </w:p>
          <w:p w14:paraId="2C1B588E" w14:textId="77777777" w:rsidR="002625D8" w:rsidRPr="00A579D1" w:rsidRDefault="002625D8" w:rsidP="002625D8">
            <w:pPr>
              <w:bidi/>
              <w:spacing w:line="360" w:lineRule="exact"/>
              <w:ind w:right="748"/>
              <w:jc w:val="both"/>
              <w:rPr>
                <w:b/>
                <w:bCs/>
                <w:sz w:val="30"/>
                <w:rtl/>
              </w:rPr>
            </w:pPr>
            <w:r>
              <w:rPr>
                <w:rFonts w:hint="cs"/>
                <w:b/>
                <w:bCs/>
                <w:sz w:val="30"/>
                <w:rtl/>
              </w:rPr>
              <w:t>الاجتماع الثالث</w:t>
            </w:r>
          </w:p>
          <w:p w14:paraId="302113BB" w14:textId="77777777" w:rsidR="002625D8" w:rsidRDefault="002625D8" w:rsidP="002625D8">
            <w:pPr>
              <w:bidi/>
              <w:spacing w:before="40" w:line="360" w:lineRule="exact"/>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25</w:t>
            </w:r>
            <w:r w:rsidRPr="00980B8A">
              <w:rPr>
                <w:rFonts w:ascii="Traditional Arabic" w:hAnsi="Traditional Arabic"/>
                <w:sz w:val="30"/>
                <w:rtl/>
              </w:rPr>
              <w:t>-</w:t>
            </w:r>
            <w:r>
              <w:rPr>
                <w:rFonts w:ascii="Traditional Arabic" w:hAnsi="Traditional Arabic" w:hint="cs"/>
                <w:sz w:val="30"/>
                <w:rtl/>
              </w:rPr>
              <w:t>29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9</w:t>
            </w:r>
          </w:p>
          <w:p w14:paraId="53CD9C06" w14:textId="7397DEDC" w:rsidR="002625D8" w:rsidRDefault="002625D8" w:rsidP="002625D8">
            <w:pPr>
              <w:bidi/>
              <w:spacing w:line="360" w:lineRule="exact"/>
              <w:jc w:val="both"/>
              <w:rPr>
                <w:rFonts w:ascii="Traditional Arabic" w:hAnsi="Traditional Arabic"/>
                <w:noProof/>
                <w:sz w:val="28"/>
                <w:szCs w:val="28"/>
                <w:rtl/>
                <w:lang w:eastAsia="en-CA"/>
              </w:rPr>
            </w:pPr>
            <w:r w:rsidRPr="00FF3359">
              <w:rPr>
                <w:rFonts w:ascii="Traditional Arabic" w:hAnsi="Traditional Arabic" w:hint="cs"/>
                <w:sz w:val="28"/>
                <w:rtl/>
              </w:rPr>
              <w:t xml:space="preserve">البند </w:t>
            </w:r>
            <w:r w:rsidR="00521081">
              <w:rPr>
                <w:rFonts w:asciiTheme="minorHAnsi" w:hAnsiTheme="minorHAnsi" w:hint="cs"/>
                <w:sz w:val="28"/>
                <w:rtl/>
              </w:rPr>
              <w:t>5 (ه) ’1‘</w:t>
            </w:r>
            <w:r>
              <w:rPr>
                <w:rFonts w:asciiTheme="minorHAnsi" w:hAnsiTheme="minorHAnsi" w:hint="cs"/>
                <w:sz w:val="28"/>
                <w:rtl/>
              </w:rPr>
              <w:t xml:space="preserve"> </w:t>
            </w:r>
            <w:r w:rsidRPr="00FF3359">
              <w:rPr>
                <w:rFonts w:ascii="Traditional Arabic" w:hAnsi="Traditional Arabic" w:hint="cs"/>
                <w:sz w:val="28"/>
                <w:rtl/>
              </w:rPr>
              <w:t>من جدول الأعمال المؤقت</w:t>
            </w:r>
            <w:r w:rsidRPr="00262E14">
              <w:rPr>
                <w:sz w:val="28"/>
                <w:szCs w:val="28"/>
                <w:vertAlign w:val="superscript"/>
              </w:rPr>
              <w:footnoteReference w:customMarkFollows="1" w:id="1"/>
              <w:t>*</w:t>
            </w:r>
          </w:p>
          <w:p w14:paraId="4E399EE0" w14:textId="04C50991" w:rsidR="002625D8" w:rsidRPr="00521081" w:rsidRDefault="00521081" w:rsidP="00666DB1">
            <w:pPr>
              <w:bidi/>
              <w:spacing w:after="120" w:line="340" w:lineRule="exact"/>
              <w:ind w:right="2671"/>
              <w:jc w:val="both"/>
              <w:rPr>
                <w:rFonts w:ascii="Traditional Arabic" w:hAnsi="Traditional Arabic"/>
                <w:b/>
                <w:bCs/>
                <w:noProof/>
                <w:sz w:val="28"/>
                <w:szCs w:val="28"/>
                <w:rtl/>
                <w:lang w:eastAsia="en-CA"/>
              </w:rPr>
            </w:pPr>
            <w:r w:rsidRPr="00521081">
              <w:rPr>
                <w:b/>
                <w:bCs/>
                <w:sz w:val="28"/>
                <w:szCs w:val="28"/>
                <w:rtl/>
              </w:rPr>
              <w:t>مسائل تُعرض على مؤتمر الأطراف لكي ينظر فيها أو يتخذ إجراءً بشأنها: الآلية المالية: مرفق البيئة العالمية</w:t>
            </w:r>
          </w:p>
        </w:tc>
      </w:tr>
    </w:tbl>
    <w:p w14:paraId="61956802" w14:textId="4DC25324" w:rsidR="00521081" w:rsidRPr="00206E56" w:rsidRDefault="008C69E1" w:rsidP="009963DD">
      <w:pPr>
        <w:pStyle w:val="BBTitle"/>
        <w:bidi/>
        <w:spacing w:before="0" w:line="400" w:lineRule="exact"/>
        <w:ind w:left="1134" w:right="0"/>
        <w:jc w:val="both"/>
        <w:textDirection w:val="tbRlV"/>
        <w:rPr>
          <w:rFonts w:cs="Traditional Arabic"/>
          <w:sz w:val="34"/>
          <w:szCs w:val="34"/>
          <w:rtl/>
          <w:lang w:val="ar-SA" w:eastAsia="zh-TW"/>
        </w:rPr>
      </w:pPr>
      <w:r w:rsidRPr="008C69E1">
        <w:rPr>
          <w:rFonts w:cs="Traditional Arabic"/>
          <w:bCs/>
          <w:sz w:val="34"/>
          <w:szCs w:val="34"/>
          <w:rtl/>
        </w:rPr>
        <w:t>موجز تنفيذي لتقرير مجلس مرفق البيئة العالمية إلى مؤتمر الأطراف في اجتماعه ‏الثالث</w:t>
      </w:r>
    </w:p>
    <w:p w14:paraId="3BC40CEA" w14:textId="35C823D7" w:rsidR="00521081" w:rsidRDefault="00521081" w:rsidP="00521081">
      <w:pPr>
        <w:pStyle w:val="CH2"/>
        <w:bidi/>
        <w:spacing w:before="0" w:line="400" w:lineRule="exact"/>
        <w:ind w:left="1134" w:right="0" w:firstLine="0"/>
        <w:jc w:val="both"/>
        <w:textDirection w:val="tbRlV"/>
        <w:rPr>
          <w:rFonts w:cs="Traditional Arabic"/>
          <w:bCs/>
          <w:sz w:val="32"/>
          <w:szCs w:val="32"/>
        </w:rPr>
      </w:pPr>
      <w:r w:rsidRPr="00206E56">
        <w:rPr>
          <w:rFonts w:cs="Traditional Arabic"/>
          <w:bCs/>
          <w:sz w:val="32"/>
          <w:szCs w:val="32"/>
          <w:rtl/>
        </w:rPr>
        <w:t>مذكرة من الأمانة</w:t>
      </w:r>
    </w:p>
    <w:p w14:paraId="1787836C" w14:textId="71293BC8" w:rsidR="008C69E1" w:rsidRDefault="008C69E1" w:rsidP="009963DD">
      <w:pPr>
        <w:pStyle w:val="Normalnumber"/>
        <w:numPr>
          <w:ilvl w:val="0"/>
          <w:numId w:val="0"/>
        </w:numPr>
        <w:tabs>
          <w:tab w:val="right" w:pos="1841"/>
        </w:tabs>
        <w:autoSpaceDE/>
        <w:autoSpaceDN/>
        <w:bidi/>
        <w:adjustRightInd/>
        <w:spacing w:line="400" w:lineRule="exact"/>
        <w:ind w:left="1134" w:firstLine="565"/>
        <w:jc w:val="both"/>
        <w:textDirection w:val="tbRlV"/>
        <w:rPr>
          <w:rFonts w:cs="Traditional Arabic"/>
          <w:szCs w:val="30"/>
          <w:rtl/>
          <w:lang w:val="ar-SA" w:eastAsia="zh-TW"/>
        </w:rPr>
      </w:pPr>
      <w:bookmarkStart w:id="0" w:name="_Hlk525996886"/>
      <w:r w:rsidRPr="008C69E1">
        <w:rPr>
          <w:rFonts w:cs="Traditional Arabic"/>
          <w:szCs w:val="30"/>
          <w:rtl/>
          <w:lang w:val="ar-SA" w:eastAsia="zh-TW"/>
        </w:rPr>
        <w:t>يرد الموجز التنفيذي لتقرير مجلس مرفق البيئة العالمية المقدم إلى مؤتمر الأطراف في اتفاقية ميناماتا بشأن الزئبق في اجتماعه الثالث، في ‏مرفق هذه المذكرة.‏</w:t>
      </w:r>
      <w:r w:rsidRPr="008C69E1">
        <w:rPr>
          <w:rFonts w:cs="Traditional Arabic"/>
          <w:szCs w:val="30"/>
          <w:rtl/>
          <w:cs/>
          <w:lang w:val="ar-SA" w:eastAsia="zh-TW"/>
        </w:rPr>
        <w:t>‎</w:t>
      </w:r>
      <w:r w:rsidRPr="008C69E1">
        <w:rPr>
          <w:rFonts w:cs="Traditional Arabic"/>
          <w:szCs w:val="30"/>
          <w:rtl/>
          <w:lang w:val="ar-SA" w:eastAsia="zh-TW"/>
        </w:rPr>
        <w:t xml:space="preserve"> </w:t>
      </w:r>
      <w:r w:rsidRPr="008C69E1">
        <w:rPr>
          <w:rFonts w:cs="Traditional Arabic"/>
          <w:szCs w:val="30"/>
          <w:rtl/>
          <w:cs/>
          <w:lang w:val="ar-SA" w:eastAsia="zh-TW"/>
        </w:rPr>
        <w:t>‎</w:t>
      </w:r>
      <w:r w:rsidRPr="008C69E1">
        <w:rPr>
          <w:rFonts w:cs="Traditional Arabic"/>
          <w:szCs w:val="30"/>
          <w:rtl/>
          <w:lang w:val="ar-SA" w:eastAsia="zh-TW"/>
        </w:rPr>
        <w:t>وقد استُنسخ المرفق بصيغته التي ورد بها دون تحرير رسمي.‏</w:t>
      </w:r>
      <w:r w:rsidRPr="008C69E1">
        <w:rPr>
          <w:rFonts w:cs="Traditional Arabic"/>
          <w:szCs w:val="30"/>
          <w:rtl/>
          <w:cs/>
          <w:lang w:val="ar-SA" w:eastAsia="zh-TW"/>
        </w:rPr>
        <w:t>‎</w:t>
      </w:r>
      <w:r w:rsidRPr="008C69E1">
        <w:rPr>
          <w:rFonts w:cs="Traditional Arabic"/>
          <w:szCs w:val="30"/>
          <w:rtl/>
          <w:lang w:val="ar-SA" w:eastAsia="zh-TW"/>
        </w:rPr>
        <w:t xml:space="preserve"> </w:t>
      </w:r>
      <w:r w:rsidRPr="008C69E1">
        <w:rPr>
          <w:rFonts w:cs="Traditional Arabic"/>
          <w:szCs w:val="30"/>
          <w:rtl/>
          <w:cs/>
          <w:lang w:val="ar-SA" w:eastAsia="zh-TW"/>
        </w:rPr>
        <w:t>‎</w:t>
      </w:r>
      <w:r w:rsidRPr="008C69E1">
        <w:rPr>
          <w:rFonts w:cs="Traditional Arabic"/>
          <w:szCs w:val="30"/>
          <w:rtl/>
          <w:lang w:val="ar-SA" w:eastAsia="zh-TW"/>
        </w:rPr>
        <w:t xml:space="preserve">ويرد التقرير الكامل في مرفق الوثيقة </w:t>
      </w:r>
      <w:r w:rsidRPr="006B7BBD">
        <w:t>UNEP/MC/COP.3/INF.2</w:t>
      </w:r>
      <w:r>
        <w:rPr>
          <w:rFonts w:cs="Traditional Arabic" w:hint="cs"/>
          <w:szCs w:val="30"/>
          <w:rtl/>
          <w:lang w:val="ar-SA" w:eastAsia="zh-TW"/>
        </w:rPr>
        <w:t>.</w:t>
      </w:r>
    </w:p>
    <w:p w14:paraId="20B8709D" w14:textId="77777777" w:rsidR="008C69E1" w:rsidRDefault="008C69E1" w:rsidP="009963DD">
      <w:pPr>
        <w:bidi/>
        <w:rPr>
          <w:rFonts w:eastAsiaTheme="minorEastAsia"/>
          <w:rtl/>
          <w:lang w:val="ar-SA" w:eastAsia="zh-TW"/>
        </w:rPr>
      </w:pPr>
      <w:r>
        <w:rPr>
          <w:rtl/>
          <w:lang w:val="ar-SA" w:eastAsia="zh-TW"/>
        </w:rPr>
        <w:br w:type="page"/>
      </w:r>
    </w:p>
    <w:p w14:paraId="4F064854" w14:textId="6FEE9F2B" w:rsidR="008C69E1" w:rsidRPr="008C69E1" w:rsidRDefault="00791DE9" w:rsidP="005F4BBB">
      <w:pPr>
        <w:pStyle w:val="Normalnumber"/>
        <w:numPr>
          <w:ilvl w:val="0"/>
          <w:numId w:val="0"/>
        </w:numPr>
        <w:tabs>
          <w:tab w:val="right" w:pos="1841"/>
        </w:tabs>
        <w:autoSpaceDE/>
        <w:autoSpaceDN/>
        <w:bidi/>
        <w:adjustRightInd/>
        <w:spacing w:line="400" w:lineRule="exact"/>
        <w:jc w:val="both"/>
        <w:textDirection w:val="tbRlV"/>
        <w:rPr>
          <w:rFonts w:cs="Traditional Arabic"/>
          <w:szCs w:val="30"/>
          <w:rtl/>
          <w:lang w:val="ar-SA" w:eastAsia="zh-TW"/>
        </w:rPr>
      </w:pPr>
      <w:r w:rsidRPr="00791DE9">
        <w:rPr>
          <w:rFonts w:cs="Traditional Arabic" w:hint="cs"/>
          <w:b/>
          <w:bCs/>
          <w:sz w:val="24"/>
          <w:szCs w:val="34"/>
          <w:rtl/>
          <w:lang w:val="ar-SA" w:eastAsia="zh-TW"/>
        </w:rPr>
        <w:lastRenderedPageBreak/>
        <w:t>المرفق</w:t>
      </w:r>
    </w:p>
    <w:p w14:paraId="1257DDF8" w14:textId="31AC038D" w:rsidR="00791DE9" w:rsidRPr="005F4BBB" w:rsidRDefault="00791DE9" w:rsidP="005B288F">
      <w:pPr>
        <w:bidi/>
        <w:spacing w:after="120" w:line="400" w:lineRule="exact"/>
        <w:ind w:left="1132"/>
        <w:jc w:val="both"/>
        <w:rPr>
          <w:rFonts w:eastAsiaTheme="minorEastAsia"/>
          <w:b/>
          <w:bCs/>
          <w:sz w:val="32"/>
          <w:szCs w:val="32"/>
          <w:rtl/>
        </w:rPr>
      </w:pPr>
      <w:r w:rsidRPr="005F4BBB">
        <w:rPr>
          <w:rFonts w:eastAsiaTheme="minorEastAsia"/>
          <w:b/>
          <w:bCs/>
          <w:sz w:val="32"/>
          <w:szCs w:val="32"/>
          <w:rtl/>
        </w:rPr>
        <w:t>الموجز التنفيذي لتقرير مجلس مرفق البيئة العالمية إلى مؤتمر الأطراف في اتفاقية ميناماتا بشأن الزئبق في اجتماعه الثالث</w:t>
      </w:r>
    </w:p>
    <w:p w14:paraId="72650830" w14:textId="297901EE" w:rsidR="00791DE9" w:rsidRDefault="00791DE9" w:rsidP="009963DD">
      <w:pPr>
        <w:bidi/>
        <w:spacing w:after="120" w:line="400" w:lineRule="exact"/>
        <w:ind w:left="1134"/>
        <w:rPr>
          <w:rFonts w:eastAsiaTheme="minorEastAsia"/>
          <w:rtl/>
        </w:rPr>
      </w:pPr>
    </w:p>
    <w:p w14:paraId="224BCA86" w14:textId="50A53FF5" w:rsidR="005F4BBB" w:rsidRDefault="005F4BBB" w:rsidP="005F4BBB">
      <w:pPr>
        <w:bidi/>
        <w:spacing w:after="120" w:line="400" w:lineRule="exact"/>
        <w:ind w:left="1132"/>
        <w:rPr>
          <w:rFonts w:eastAsiaTheme="minorEastAsia"/>
          <w:rtl/>
        </w:rPr>
      </w:pPr>
    </w:p>
    <w:p w14:paraId="6E938C91" w14:textId="77777777" w:rsidR="005F4BBB" w:rsidRDefault="005F4BBB" w:rsidP="005F4BBB">
      <w:pPr>
        <w:bidi/>
        <w:spacing w:after="120" w:line="400" w:lineRule="exact"/>
        <w:ind w:left="1132"/>
        <w:rPr>
          <w:rFonts w:eastAsiaTheme="minorEastAsia"/>
          <w:rtl/>
        </w:rPr>
      </w:pPr>
    </w:p>
    <w:p w14:paraId="2DC87204" w14:textId="77777777" w:rsidR="00791DE9" w:rsidRPr="00791DE9" w:rsidRDefault="00791DE9" w:rsidP="00791DE9">
      <w:pPr>
        <w:bidi/>
        <w:jc w:val="center"/>
        <w:rPr>
          <w:rFonts w:eastAsiaTheme="minorEastAsia"/>
        </w:rPr>
      </w:pPr>
      <w:r>
        <w:rPr>
          <w:rtl/>
        </w:rPr>
        <w:br w:type="page"/>
      </w:r>
      <w:r w:rsidRPr="00791DE9">
        <w:rPr>
          <w:rFonts w:eastAsiaTheme="minorEastAsia"/>
          <w:noProof/>
          <w:lang w:val="en-GB"/>
        </w:rPr>
        <w:lastRenderedPageBreak/>
        <w:drawing>
          <wp:inline distT="0" distB="0" distL="0" distR="0" wp14:anchorId="6C21D9B0" wp14:editId="69A92C72">
            <wp:extent cx="4362450" cy="963632"/>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EF_Brand_Long_Colo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67300" cy="964703"/>
                    </a:xfrm>
                    <a:prstGeom prst="rect">
                      <a:avLst/>
                    </a:prstGeom>
                  </pic:spPr>
                </pic:pic>
              </a:graphicData>
            </a:graphic>
          </wp:inline>
        </w:drawing>
      </w:r>
    </w:p>
    <w:p w14:paraId="7DCAD233" w14:textId="77777777" w:rsidR="00791DE9" w:rsidRPr="00791DE9" w:rsidRDefault="00791DE9" w:rsidP="00791DE9">
      <w:pPr>
        <w:bidi/>
        <w:rPr>
          <w:rFonts w:eastAsiaTheme="minorEastAsia"/>
        </w:rPr>
      </w:pPr>
    </w:p>
    <w:p w14:paraId="68EEEB0E" w14:textId="77777777" w:rsidR="00791DE9" w:rsidRPr="00791DE9" w:rsidRDefault="00791DE9" w:rsidP="00791DE9">
      <w:pPr>
        <w:bidi/>
        <w:rPr>
          <w:rFonts w:eastAsiaTheme="minorEastAsia"/>
        </w:rPr>
      </w:pPr>
    </w:p>
    <w:p w14:paraId="30BC7418" w14:textId="77777777" w:rsidR="00791DE9" w:rsidRPr="00791DE9" w:rsidRDefault="00791DE9" w:rsidP="00791DE9">
      <w:pPr>
        <w:bidi/>
        <w:rPr>
          <w:rFonts w:eastAsiaTheme="minorEastAsia"/>
        </w:rPr>
      </w:pPr>
    </w:p>
    <w:p w14:paraId="48BE87CC" w14:textId="77777777" w:rsidR="00791DE9" w:rsidRPr="00791DE9" w:rsidRDefault="00791DE9" w:rsidP="00791DE9">
      <w:pPr>
        <w:bidi/>
        <w:rPr>
          <w:rFonts w:eastAsiaTheme="minorEastAsia"/>
        </w:rPr>
      </w:pPr>
      <w:r w:rsidRPr="00791DE9">
        <w:rPr>
          <w:rFonts w:eastAsiaTheme="minorEastAsia"/>
          <w:noProof/>
          <w:lang w:val="en-GB"/>
        </w:rPr>
        <mc:AlternateContent>
          <mc:Choice Requires="wps">
            <w:drawing>
              <wp:anchor distT="0" distB="0" distL="0" distR="0" simplePos="0" relativeHeight="251660288" behindDoc="0" locked="0" layoutInCell="1" allowOverlap="1" wp14:anchorId="1A1B06D4" wp14:editId="19E1BEB2">
                <wp:simplePos x="0" y="0"/>
                <wp:positionH relativeFrom="page">
                  <wp:posOffset>838200</wp:posOffset>
                </wp:positionH>
                <wp:positionV relativeFrom="paragraph">
                  <wp:posOffset>120650</wp:posOffset>
                </wp:positionV>
                <wp:extent cx="6090920" cy="0"/>
                <wp:effectExtent l="19050" t="16510" r="14605" b="21590"/>
                <wp:wrapTopAndBottom/>
                <wp:docPr id="4" name="Lin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920" cy="0"/>
                        </a:xfrm>
                        <a:prstGeom prst="line">
                          <a:avLst/>
                        </a:prstGeom>
                        <a:noFill/>
                        <a:ln w="277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97CED" id="Line 267"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6pt,9.5pt" to="545.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" strokeweight=".77047mm">
                <w10:wrap type="topAndBottom" anchorx="page"/>
              </v:line>
            </w:pict>
          </mc:Fallback>
        </mc:AlternateContent>
      </w:r>
    </w:p>
    <w:p w14:paraId="506C7719" w14:textId="77777777" w:rsidR="00791DE9" w:rsidRPr="00791DE9" w:rsidRDefault="00791DE9" w:rsidP="00791DE9">
      <w:pPr>
        <w:bidi/>
        <w:rPr>
          <w:rFonts w:eastAsiaTheme="minorEastAsia"/>
        </w:rPr>
      </w:pPr>
    </w:p>
    <w:p w14:paraId="57E84838" w14:textId="77777777" w:rsidR="00791DE9" w:rsidRDefault="00791DE9" w:rsidP="00791DE9">
      <w:pPr>
        <w:bidi/>
        <w:jc w:val="center"/>
        <w:rPr>
          <w:rFonts w:eastAsiaTheme="minorEastAsia"/>
          <w:b/>
          <w:bCs/>
          <w:sz w:val="32"/>
          <w:szCs w:val="42"/>
          <w:rtl/>
        </w:rPr>
      </w:pPr>
    </w:p>
    <w:p w14:paraId="57731D9C" w14:textId="77777777" w:rsidR="00791DE9" w:rsidRDefault="00791DE9" w:rsidP="00791DE9">
      <w:pPr>
        <w:bidi/>
        <w:jc w:val="center"/>
        <w:rPr>
          <w:rFonts w:eastAsiaTheme="minorEastAsia"/>
          <w:b/>
          <w:bCs/>
          <w:sz w:val="32"/>
          <w:szCs w:val="42"/>
          <w:rtl/>
        </w:rPr>
      </w:pPr>
    </w:p>
    <w:p w14:paraId="238D4949" w14:textId="77777777" w:rsidR="00791DE9" w:rsidRDefault="00791DE9" w:rsidP="00791DE9">
      <w:pPr>
        <w:bidi/>
        <w:jc w:val="center"/>
        <w:rPr>
          <w:rFonts w:eastAsiaTheme="minorEastAsia"/>
          <w:b/>
          <w:bCs/>
          <w:sz w:val="32"/>
          <w:szCs w:val="42"/>
          <w:rtl/>
        </w:rPr>
      </w:pPr>
    </w:p>
    <w:p w14:paraId="283E28BD" w14:textId="77777777" w:rsidR="00791DE9" w:rsidRDefault="00791DE9" w:rsidP="00791DE9">
      <w:pPr>
        <w:bidi/>
        <w:jc w:val="center"/>
        <w:rPr>
          <w:rFonts w:eastAsiaTheme="minorEastAsia"/>
          <w:b/>
          <w:bCs/>
          <w:sz w:val="32"/>
          <w:szCs w:val="42"/>
          <w:rtl/>
        </w:rPr>
      </w:pPr>
    </w:p>
    <w:p w14:paraId="327B1EEF" w14:textId="7E413FEB" w:rsidR="00791DE9" w:rsidRPr="009963DD" w:rsidRDefault="00791DE9" w:rsidP="005F4BBB">
      <w:pPr>
        <w:bidi/>
        <w:spacing w:line="500" w:lineRule="exact"/>
        <w:jc w:val="center"/>
        <w:rPr>
          <w:rFonts w:eastAsiaTheme="minorEastAsia"/>
          <w:b/>
          <w:sz w:val="40"/>
          <w:szCs w:val="40"/>
          <w:rtl/>
        </w:rPr>
      </w:pPr>
      <w:r w:rsidRPr="009963DD">
        <w:rPr>
          <w:rFonts w:eastAsiaTheme="minorEastAsia"/>
          <w:b/>
          <w:bCs/>
          <w:sz w:val="40"/>
          <w:szCs w:val="40"/>
          <w:rtl/>
        </w:rPr>
        <w:t>تقرير مرفق البيئة العالمية</w:t>
      </w:r>
    </w:p>
    <w:p w14:paraId="36989A2A" w14:textId="77777777" w:rsidR="005A39FC" w:rsidRPr="009963DD" w:rsidRDefault="00791DE9" w:rsidP="005F4BBB">
      <w:pPr>
        <w:bidi/>
        <w:spacing w:line="500" w:lineRule="exact"/>
        <w:jc w:val="center"/>
        <w:rPr>
          <w:rFonts w:eastAsiaTheme="minorEastAsia"/>
          <w:b/>
          <w:bCs/>
          <w:sz w:val="40"/>
          <w:szCs w:val="40"/>
          <w:rtl/>
        </w:rPr>
      </w:pPr>
      <w:r w:rsidRPr="009963DD">
        <w:rPr>
          <w:rFonts w:eastAsiaTheme="minorEastAsia"/>
          <w:b/>
          <w:bCs/>
          <w:sz w:val="40"/>
          <w:szCs w:val="40"/>
          <w:rtl/>
        </w:rPr>
        <w:t>إلى الاجتماع الثالث لمؤتمر الأطراف</w:t>
      </w:r>
    </w:p>
    <w:p w14:paraId="385E7A56" w14:textId="10A9AF04" w:rsidR="00791DE9" w:rsidRPr="009963DD" w:rsidRDefault="00791DE9" w:rsidP="005F4BBB">
      <w:pPr>
        <w:bidi/>
        <w:spacing w:line="500" w:lineRule="exact"/>
        <w:jc w:val="center"/>
        <w:rPr>
          <w:rFonts w:eastAsiaTheme="minorEastAsia"/>
          <w:b/>
          <w:sz w:val="40"/>
          <w:szCs w:val="40"/>
          <w:rtl/>
        </w:rPr>
      </w:pPr>
      <w:r w:rsidRPr="009963DD">
        <w:rPr>
          <w:rFonts w:eastAsiaTheme="minorEastAsia"/>
          <w:b/>
          <w:bCs/>
          <w:sz w:val="40"/>
          <w:szCs w:val="40"/>
          <w:rtl/>
        </w:rPr>
        <w:t>في اتفاقية ميناماتا بشأن الزئبق</w:t>
      </w:r>
    </w:p>
    <w:p w14:paraId="1B8801F9" w14:textId="77777777" w:rsidR="00791DE9" w:rsidRPr="00791DE9" w:rsidRDefault="00791DE9" w:rsidP="00791DE9">
      <w:pPr>
        <w:bidi/>
        <w:jc w:val="both"/>
        <w:rPr>
          <w:rFonts w:eastAsiaTheme="minorEastAsia"/>
          <w:rtl/>
        </w:rPr>
      </w:pPr>
    </w:p>
    <w:p w14:paraId="4BC060EF" w14:textId="77777777" w:rsidR="00791DE9" w:rsidRPr="00791DE9" w:rsidRDefault="00791DE9" w:rsidP="00791DE9">
      <w:pPr>
        <w:bidi/>
        <w:jc w:val="both"/>
        <w:rPr>
          <w:rFonts w:eastAsiaTheme="minorEastAsia"/>
          <w:rtl/>
        </w:rPr>
      </w:pPr>
    </w:p>
    <w:p w14:paraId="3089AF96" w14:textId="516AD544" w:rsidR="00791DE9" w:rsidRDefault="00791DE9" w:rsidP="00791DE9">
      <w:pPr>
        <w:bidi/>
        <w:jc w:val="both"/>
        <w:rPr>
          <w:rFonts w:eastAsiaTheme="minorEastAsia"/>
          <w:rtl/>
        </w:rPr>
      </w:pPr>
    </w:p>
    <w:p w14:paraId="0A847270" w14:textId="1626F946" w:rsidR="009963DD" w:rsidRDefault="009963DD" w:rsidP="009963DD">
      <w:pPr>
        <w:bidi/>
        <w:jc w:val="both"/>
        <w:rPr>
          <w:rFonts w:eastAsiaTheme="minorEastAsia"/>
          <w:rtl/>
        </w:rPr>
      </w:pPr>
    </w:p>
    <w:p w14:paraId="7035A9F3" w14:textId="77777777" w:rsidR="009963DD" w:rsidRPr="009963DD" w:rsidRDefault="009963DD" w:rsidP="009963DD">
      <w:pPr>
        <w:bidi/>
        <w:jc w:val="both"/>
        <w:rPr>
          <w:rFonts w:eastAsiaTheme="minorEastAsia"/>
          <w:rtl/>
          <w:lang w:val="en-GB"/>
        </w:rPr>
      </w:pPr>
    </w:p>
    <w:p w14:paraId="2D21E203" w14:textId="77777777" w:rsidR="00791DE9" w:rsidRPr="00791DE9" w:rsidRDefault="00791DE9" w:rsidP="00791DE9">
      <w:pPr>
        <w:bidi/>
        <w:jc w:val="both"/>
        <w:rPr>
          <w:rFonts w:eastAsiaTheme="minorEastAsia"/>
          <w:rtl/>
        </w:rPr>
      </w:pPr>
    </w:p>
    <w:p w14:paraId="07E862BD" w14:textId="77777777" w:rsidR="00791DE9" w:rsidRPr="00791DE9" w:rsidRDefault="00791DE9" w:rsidP="00791DE9">
      <w:pPr>
        <w:bidi/>
        <w:jc w:val="both"/>
        <w:rPr>
          <w:rFonts w:eastAsiaTheme="minorEastAsia"/>
          <w:rtl/>
        </w:rPr>
      </w:pPr>
    </w:p>
    <w:p w14:paraId="7920915F" w14:textId="77777777" w:rsidR="00791DE9" w:rsidRPr="00791DE9" w:rsidRDefault="00791DE9" w:rsidP="00791DE9">
      <w:pPr>
        <w:bidi/>
        <w:jc w:val="both"/>
        <w:rPr>
          <w:rFonts w:eastAsiaTheme="minorEastAsia"/>
          <w:rtl/>
        </w:rPr>
      </w:pPr>
    </w:p>
    <w:p w14:paraId="7175E9DC" w14:textId="77777777" w:rsidR="00791DE9" w:rsidRPr="005B288F" w:rsidRDefault="00791DE9" w:rsidP="005F4BBB">
      <w:pPr>
        <w:bidi/>
        <w:spacing w:line="500" w:lineRule="exact"/>
        <w:jc w:val="center"/>
        <w:rPr>
          <w:rFonts w:eastAsiaTheme="minorEastAsia"/>
          <w:b/>
          <w:bCs/>
          <w:rtl/>
        </w:rPr>
      </w:pPr>
      <w:r w:rsidRPr="005B288F">
        <w:rPr>
          <w:rFonts w:eastAsiaTheme="minorEastAsia"/>
          <w:b/>
          <w:bCs/>
          <w:rtl/>
        </w:rPr>
        <w:t>4 أيلول/سبتمبر ٢٠١٩</w:t>
      </w:r>
      <w:bookmarkStart w:id="1" w:name="_Toc18663671"/>
    </w:p>
    <w:p w14:paraId="5399A2F8" w14:textId="77777777" w:rsidR="00791DE9" w:rsidRPr="00791DE9" w:rsidRDefault="00791DE9" w:rsidP="00791DE9">
      <w:pPr>
        <w:bidi/>
        <w:jc w:val="both"/>
        <w:rPr>
          <w:rFonts w:eastAsiaTheme="minorEastAsia"/>
          <w:rtl/>
          <w:lang w:val="en-GB"/>
        </w:rPr>
      </w:pPr>
      <w:r w:rsidRPr="00791DE9">
        <w:rPr>
          <w:rFonts w:eastAsiaTheme="minorEastAsia"/>
          <w:rtl/>
          <w:lang w:val="en-GB"/>
        </w:rPr>
        <w:br w:type="page"/>
      </w:r>
    </w:p>
    <w:p w14:paraId="480DDC49" w14:textId="77777777" w:rsidR="00791DE9" w:rsidRPr="00940BF3" w:rsidRDefault="00791DE9" w:rsidP="00940BF3">
      <w:pPr>
        <w:tabs>
          <w:tab w:val="right" w:pos="1841"/>
        </w:tabs>
        <w:bidi/>
        <w:spacing w:after="240" w:line="400" w:lineRule="exact"/>
        <w:ind w:left="1134"/>
        <w:jc w:val="center"/>
        <w:rPr>
          <w:rFonts w:eastAsiaTheme="minorEastAsia"/>
          <w:b/>
          <w:sz w:val="32"/>
          <w:szCs w:val="32"/>
          <w:rtl/>
        </w:rPr>
      </w:pPr>
      <w:r w:rsidRPr="00940BF3">
        <w:rPr>
          <w:rFonts w:eastAsiaTheme="minorEastAsia"/>
          <w:b/>
          <w:bCs/>
          <w:sz w:val="32"/>
          <w:szCs w:val="32"/>
          <w:rtl/>
        </w:rPr>
        <w:lastRenderedPageBreak/>
        <w:t>الموجز التنفيذي</w:t>
      </w:r>
      <w:bookmarkEnd w:id="1"/>
    </w:p>
    <w:p w14:paraId="56C8AE57" w14:textId="77777777" w:rsidR="00791DE9" w:rsidRPr="00791DE9" w:rsidRDefault="00791DE9" w:rsidP="00940BF3">
      <w:pPr>
        <w:numPr>
          <w:ilvl w:val="0"/>
          <w:numId w:val="23"/>
        </w:numPr>
        <w:tabs>
          <w:tab w:val="right" w:pos="1841"/>
        </w:tabs>
        <w:bidi/>
        <w:spacing w:after="120" w:line="400" w:lineRule="exact"/>
        <w:ind w:left="1134"/>
        <w:jc w:val="both"/>
        <w:rPr>
          <w:rFonts w:eastAsiaTheme="minorEastAsia"/>
          <w:rtl/>
        </w:rPr>
      </w:pPr>
      <w:bookmarkStart w:id="2" w:name="_Toc519159106"/>
      <w:bookmarkStart w:id="3" w:name="_Toc519159549"/>
      <w:bookmarkStart w:id="4" w:name="_Toc521069758"/>
      <w:bookmarkStart w:id="5" w:name="_Toc521071088"/>
      <w:r w:rsidRPr="00791DE9">
        <w:rPr>
          <w:rFonts w:eastAsiaTheme="minorEastAsia"/>
          <w:rtl/>
        </w:rPr>
        <w:t xml:space="preserve">تُدرج المادة </w:t>
      </w:r>
      <w:r w:rsidRPr="00791DE9">
        <w:rPr>
          <w:rFonts w:eastAsiaTheme="minorEastAsia"/>
          <w:rtl/>
          <w:lang w:val="en-GB"/>
        </w:rPr>
        <w:t>13</w:t>
      </w:r>
      <w:r w:rsidRPr="00791DE9">
        <w:rPr>
          <w:rFonts w:eastAsiaTheme="minorEastAsia"/>
          <w:rtl/>
        </w:rPr>
        <w:t xml:space="preserve"> من اتفاقية ميناماتا مرفق البيئة العالمية في الآلية المالية لتوفير موارد مالية جديدة كافية يمكن التنبؤ بها وتتاح في الوقت المناسب للوفاء بالتكاليف دعماً لتنفيذ هذه الاتفاقية على النحو الذي يوافق عليه مؤتمر الأطراف.</w:t>
      </w:r>
      <w:bookmarkEnd w:id="2"/>
      <w:bookmarkEnd w:id="3"/>
      <w:bookmarkEnd w:id="4"/>
      <w:bookmarkEnd w:id="5"/>
    </w:p>
    <w:p w14:paraId="6BD526EE" w14:textId="682C24FB" w:rsidR="00791DE9" w:rsidRPr="00791DE9" w:rsidRDefault="00791DE9" w:rsidP="00940BF3">
      <w:pPr>
        <w:numPr>
          <w:ilvl w:val="0"/>
          <w:numId w:val="23"/>
        </w:numPr>
        <w:tabs>
          <w:tab w:val="right" w:pos="1841"/>
        </w:tabs>
        <w:bidi/>
        <w:spacing w:after="120" w:line="400" w:lineRule="exact"/>
        <w:ind w:left="1134"/>
        <w:jc w:val="both"/>
        <w:rPr>
          <w:rFonts w:eastAsiaTheme="minorEastAsia"/>
          <w:rtl/>
        </w:rPr>
      </w:pPr>
      <w:r w:rsidRPr="00791DE9">
        <w:rPr>
          <w:rFonts w:eastAsiaTheme="minorEastAsia"/>
          <w:rtl/>
        </w:rPr>
        <w:t>ويعرض هذا التقرير عمل مرفق البيئة العالمية في الاضطلاع بولايته بموجب اتفاقية ميناماتا بين ١ تموز/يوليه ٢٠١8 و٣٠ حزيران/يونيه ٢٠١9، وكيف استجاب مرفق البيئة العالمية للتوجيهات الواردة من مؤتمر الأطراف حتى الآن.</w:t>
      </w:r>
    </w:p>
    <w:p w14:paraId="6B4364CE" w14:textId="395A1F0E" w:rsidR="00791DE9" w:rsidRPr="00791DE9" w:rsidRDefault="00791DE9" w:rsidP="00940BF3">
      <w:pPr>
        <w:numPr>
          <w:ilvl w:val="0"/>
          <w:numId w:val="23"/>
        </w:numPr>
        <w:tabs>
          <w:tab w:val="right" w:pos="1841"/>
        </w:tabs>
        <w:bidi/>
        <w:spacing w:after="120" w:line="400" w:lineRule="exact"/>
        <w:ind w:left="1134"/>
        <w:jc w:val="both"/>
        <w:rPr>
          <w:rFonts w:eastAsiaTheme="minorEastAsia"/>
          <w:rtl/>
        </w:rPr>
      </w:pPr>
      <w:r w:rsidRPr="00791DE9">
        <w:rPr>
          <w:rFonts w:eastAsiaTheme="minorEastAsia"/>
          <w:rtl/>
        </w:rPr>
        <w:t>وخلال الفترة المشمولة بالتقرير، أقر مرفق البيئة العالمية ثلاثة مشاريع كبيرة الحجم تشمل ١٥ بلدا</w:t>
      </w:r>
      <w:r w:rsidR="00314875">
        <w:rPr>
          <w:rFonts w:eastAsiaTheme="minorEastAsia" w:hint="cs"/>
          <w:rtl/>
        </w:rPr>
        <w:t>ً</w:t>
      </w:r>
      <w:r w:rsidRPr="00791DE9">
        <w:rPr>
          <w:rFonts w:eastAsiaTheme="minorEastAsia"/>
          <w:rtl/>
        </w:rPr>
        <w:t>، ومشروعاً متوسط الحجم لبلد واحد، وبرنامجاً يشمل ٢٧ بلدا</w:t>
      </w:r>
      <w:r w:rsidR="00314875">
        <w:rPr>
          <w:rFonts w:eastAsiaTheme="minorEastAsia" w:hint="cs"/>
          <w:rtl/>
        </w:rPr>
        <w:t>ً</w:t>
      </w:r>
      <w:r w:rsidRPr="00791DE9">
        <w:rPr>
          <w:rFonts w:eastAsiaTheme="minorEastAsia"/>
          <w:rtl/>
        </w:rPr>
        <w:t>، وأربعة مشاريع أنشطة تمكينية لبلد واحد.</w:t>
      </w:r>
    </w:p>
    <w:p w14:paraId="137F25DB" w14:textId="7C60F7B1" w:rsidR="00791DE9" w:rsidRPr="00791DE9" w:rsidRDefault="00791DE9" w:rsidP="00940BF3">
      <w:pPr>
        <w:numPr>
          <w:ilvl w:val="0"/>
          <w:numId w:val="23"/>
        </w:numPr>
        <w:tabs>
          <w:tab w:val="right" w:pos="1841"/>
        </w:tabs>
        <w:bidi/>
        <w:spacing w:after="120" w:line="400" w:lineRule="exact"/>
        <w:ind w:left="1134"/>
        <w:jc w:val="both"/>
        <w:rPr>
          <w:rFonts w:eastAsiaTheme="minorEastAsia"/>
          <w:rtl/>
        </w:rPr>
      </w:pPr>
      <w:r w:rsidRPr="00791DE9">
        <w:rPr>
          <w:rFonts w:eastAsiaTheme="minorEastAsia"/>
          <w:rtl/>
        </w:rPr>
        <w:t xml:space="preserve">وبلغت الموارد المرصودة خلال الفترة المشمولة بالتقرير لتنفيذ </w:t>
      </w:r>
      <w:bookmarkStart w:id="6" w:name="_GoBack"/>
      <w:bookmarkEnd w:id="6"/>
      <w:r w:rsidRPr="00791DE9">
        <w:rPr>
          <w:rFonts w:eastAsiaTheme="minorEastAsia"/>
          <w:rtl/>
        </w:rPr>
        <w:t xml:space="preserve">اتفاقية </w:t>
      </w:r>
      <w:proofErr w:type="spellStart"/>
      <w:r w:rsidRPr="00791DE9">
        <w:rPr>
          <w:rFonts w:eastAsiaTheme="minorEastAsia"/>
          <w:rtl/>
        </w:rPr>
        <w:t>ميناماتا</w:t>
      </w:r>
      <w:proofErr w:type="spellEnd"/>
      <w:r w:rsidRPr="00791DE9">
        <w:rPr>
          <w:rFonts w:eastAsiaTheme="minorEastAsia"/>
          <w:rtl/>
        </w:rPr>
        <w:t xml:space="preserve"> </w:t>
      </w:r>
      <w:r w:rsidRPr="00791DE9">
        <w:rPr>
          <w:rFonts w:eastAsiaTheme="minorEastAsia"/>
          <w:rtl/>
          <w:lang w:val="en-GB"/>
        </w:rPr>
        <w:t xml:space="preserve">22,6 </w:t>
      </w:r>
      <w:r w:rsidRPr="00791DE9">
        <w:rPr>
          <w:rFonts w:eastAsiaTheme="minorEastAsia"/>
          <w:rtl/>
        </w:rPr>
        <w:t>مليون دولار</w:t>
      </w:r>
      <w:r w:rsidR="009963DD" w:rsidRPr="00D1471B">
        <w:rPr>
          <w:rFonts w:ascii="Traditional Arabic" w:hAnsi="Traditional Arabic" w:hint="cs"/>
          <w:sz w:val="30"/>
          <w:vertAlign w:val="superscript"/>
          <w:rtl/>
          <w:lang w:eastAsia="zh-TW"/>
        </w:rPr>
        <w:t>(</w:t>
      </w:r>
      <w:r w:rsidR="009963DD" w:rsidRPr="00D1471B">
        <w:rPr>
          <w:rFonts w:ascii="Traditional Arabic" w:hAnsi="Traditional Arabic" w:hint="cs"/>
          <w:sz w:val="30"/>
          <w:vertAlign w:val="superscript"/>
          <w:rtl/>
          <w:lang w:eastAsia="zh-TW"/>
        </w:rPr>
        <w:footnoteReference w:id="2"/>
      </w:r>
      <w:r w:rsidR="009963DD" w:rsidRPr="00D1471B">
        <w:rPr>
          <w:rFonts w:ascii="Traditional Arabic" w:hAnsi="Traditional Arabic" w:hint="cs"/>
          <w:sz w:val="30"/>
          <w:vertAlign w:val="superscript"/>
          <w:rtl/>
          <w:lang w:eastAsia="zh-TW"/>
        </w:rPr>
        <w:t>)</w:t>
      </w:r>
      <w:r w:rsidRPr="00791DE9">
        <w:rPr>
          <w:rFonts w:eastAsiaTheme="minorEastAsia"/>
          <w:rtl/>
        </w:rPr>
        <w:t>.</w:t>
      </w:r>
    </w:p>
    <w:p w14:paraId="0FDBEF25" w14:textId="2F0B446D" w:rsidR="00791DE9" w:rsidRPr="00791DE9" w:rsidRDefault="00791DE9" w:rsidP="00940BF3">
      <w:pPr>
        <w:numPr>
          <w:ilvl w:val="0"/>
          <w:numId w:val="23"/>
        </w:numPr>
        <w:tabs>
          <w:tab w:val="right" w:pos="1841"/>
        </w:tabs>
        <w:bidi/>
        <w:spacing w:after="120" w:line="400" w:lineRule="exact"/>
        <w:ind w:left="1134"/>
        <w:jc w:val="both"/>
        <w:rPr>
          <w:rFonts w:eastAsiaTheme="minorEastAsia"/>
          <w:rtl/>
        </w:rPr>
      </w:pPr>
      <w:r w:rsidRPr="00791DE9">
        <w:rPr>
          <w:rFonts w:eastAsiaTheme="minorEastAsia"/>
          <w:rtl/>
        </w:rPr>
        <w:t>وخلال الفترة المشمولة بالتقرير دعمت موارد مرفق البيئة العالمية تقييماً أولياً واحداً بموجب اتفاقية ميناماتا.</w:t>
      </w:r>
      <w:r w:rsidRPr="00791DE9">
        <w:rPr>
          <w:rFonts w:eastAsiaTheme="minorEastAsia"/>
          <w:rtl/>
          <w:lang w:val="en-GB"/>
        </w:rPr>
        <w:t xml:space="preserve"> </w:t>
      </w:r>
      <w:r w:rsidRPr="00791DE9">
        <w:rPr>
          <w:rFonts w:eastAsiaTheme="minorEastAsia"/>
          <w:rtl/>
        </w:rPr>
        <w:t xml:space="preserve">وحتى الآن دعمت موارد مرفق البيئة العالمية ١١١ بلداً لإجراء التقييمات الأولية بموجب اتفاقية </w:t>
      </w:r>
      <w:proofErr w:type="spellStart"/>
      <w:r w:rsidRPr="00791DE9">
        <w:rPr>
          <w:rFonts w:eastAsiaTheme="minorEastAsia"/>
          <w:rtl/>
        </w:rPr>
        <w:t>ميناماتا</w:t>
      </w:r>
      <w:proofErr w:type="spellEnd"/>
      <w:r w:rsidR="009963DD" w:rsidRPr="00D1471B">
        <w:rPr>
          <w:rFonts w:ascii="Traditional Arabic" w:hAnsi="Traditional Arabic" w:hint="cs"/>
          <w:sz w:val="30"/>
          <w:vertAlign w:val="superscript"/>
          <w:rtl/>
          <w:lang w:eastAsia="zh-TW"/>
        </w:rPr>
        <w:t>(</w:t>
      </w:r>
      <w:r w:rsidR="009963DD" w:rsidRPr="00D1471B">
        <w:rPr>
          <w:rFonts w:ascii="Traditional Arabic" w:hAnsi="Traditional Arabic" w:hint="cs"/>
          <w:sz w:val="30"/>
          <w:vertAlign w:val="superscript"/>
          <w:rtl/>
          <w:lang w:eastAsia="zh-TW"/>
        </w:rPr>
        <w:footnoteReference w:id="3"/>
      </w:r>
      <w:r w:rsidR="009963DD" w:rsidRPr="00D1471B">
        <w:rPr>
          <w:rFonts w:ascii="Traditional Arabic" w:hAnsi="Traditional Arabic" w:hint="cs"/>
          <w:sz w:val="30"/>
          <w:vertAlign w:val="superscript"/>
          <w:rtl/>
          <w:lang w:eastAsia="zh-TW"/>
        </w:rPr>
        <w:t>)</w:t>
      </w:r>
      <w:r w:rsidRPr="00791DE9">
        <w:rPr>
          <w:rFonts w:eastAsiaTheme="minorEastAsia"/>
          <w:rtl/>
        </w:rPr>
        <w:t>.</w:t>
      </w:r>
    </w:p>
    <w:p w14:paraId="037214D8" w14:textId="77777777" w:rsidR="00791DE9" w:rsidRPr="00791DE9" w:rsidRDefault="00791DE9" w:rsidP="00940BF3">
      <w:pPr>
        <w:numPr>
          <w:ilvl w:val="0"/>
          <w:numId w:val="23"/>
        </w:numPr>
        <w:tabs>
          <w:tab w:val="right" w:pos="1841"/>
        </w:tabs>
        <w:bidi/>
        <w:spacing w:after="120" w:line="400" w:lineRule="exact"/>
        <w:ind w:left="1134"/>
        <w:jc w:val="both"/>
        <w:rPr>
          <w:rFonts w:eastAsiaTheme="minorEastAsia"/>
          <w:rtl/>
        </w:rPr>
      </w:pPr>
      <w:r w:rsidRPr="00791DE9">
        <w:rPr>
          <w:rFonts w:eastAsiaTheme="minorEastAsia"/>
          <w:rtl/>
        </w:rPr>
        <w:t xml:space="preserve">كذلك قُدم الدعم لأربع خطط عمل وطنية لتعدين الذهب الحرفي والضيق النطاق، حيث تلقي </w:t>
      </w:r>
      <w:r w:rsidRPr="00791DE9">
        <w:rPr>
          <w:rFonts w:eastAsiaTheme="minorEastAsia"/>
          <w:rtl/>
          <w:lang w:val="en-GB"/>
        </w:rPr>
        <w:t>35</w:t>
      </w:r>
      <w:r w:rsidRPr="00791DE9">
        <w:rPr>
          <w:rFonts w:eastAsiaTheme="minorEastAsia"/>
          <w:rtl/>
        </w:rPr>
        <w:t xml:space="preserve"> بلداً الدعم حتى الآن.</w:t>
      </w:r>
    </w:p>
    <w:p w14:paraId="4A965100" w14:textId="5E4CDEA4" w:rsidR="00791DE9" w:rsidRPr="00791DE9" w:rsidRDefault="00791DE9" w:rsidP="00940BF3">
      <w:pPr>
        <w:numPr>
          <w:ilvl w:val="0"/>
          <w:numId w:val="23"/>
        </w:numPr>
        <w:tabs>
          <w:tab w:val="right" w:pos="1841"/>
        </w:tabs>
        <w:bidi/>
        <w:spacing w:after="120" w:line="400" w:lineRule="exact"/>
        <w:ind w:left="1134"/>
        <w:jc w:val="both"/>
        <w:rPr>
          <w:rFonts w:eastAsiaTheme="minorEastAsia"/>
          <w:rtl/>
        </w:rPr>
      </w:pPr>
      <w:r w:rsidRPr="00791DE9">
        <w:rPr>
          <w:rFonts w:eastAsiaTheme="minorEastAsia"/>
          <w:rtl/>
        </w:rPr>
        <w:t xml:space="preserve">واستفادت حافظة المواد الكيميائية والنفايات التابعة لمرفق البيئة العالمية، التي تشمل الزئبق، من </w:t>
      </w:r>
      <w:r w:rsidRPr="00791DE9">
        <w:rPr>
          <w:rFonts w:eastAsiaTheme="minorEastAsia"/>
          <w:rtl/>
          <w:lang w:val="en-GB"/>
        </w:rPr>
        <w:t>13</w:t>
      </w:r>
      <w:r w:rsidRPr="00791DE9">
        <w:rPr>
          <w:rFonts w:eastAsiaTheme="minorEastAsia"/>
          <w:rtl/>
        </w:rPr>
        <w:t xml:space="preserve"> دولاراً لكل دولار واحد استثمره مرفق البيئة العالمية من التمويل المشترك خلال الفترة المشمولة بالتقرير</w:t>
      </w:r>
      <w:r w:rsidR="009963DD" w:rsidRPr="00D1471B">
        <w:rPr>
          <w:rFonts w:ascii="Traditional Arabic" w:hAnsi="Traditional Arabic" w:hint="cs"/>
          <w:sz w:val="30"/>
          <w:vertAlign w:val="superscript"/>
          <w:rtl/>
          <w:lang w:eastAsia="zh-TW"/>
        </w:rPr>
        <w:t>(</w:t>
      </w:r>
      <w:r w:rsidR="009963DD" w:rsidRPr="00D1471B">
        <w:rPr>
          <w:rFonts w:ascii="Traditional Arabic" w:hAnsi="Traditional Arabic" w:hint="cs"/>
          <w:sz w:val="30"/>
          <w:vertAlign w:val="superscript"/>
          <w:rtl/>
          <w:lang w:eastAsia="zh-TW"/>
        </w:rPr>
        <w:footnoteReference w:id="4"/>
      </w:r>
      <w:r w:rsidR="009963DD" w:rsidRPr="00D1471B">
        <w:rPr>
          <w:rFonts w:ascii="Traditional Arabic" w:hAnsi="Traditional Arabic" w:hint="cs"/>
          <w:sz w:val="30"/>
          <w:vertAlign w:val="superscript"/>
          <w:rtl/>
          <w:lang w:eastAsia="zh-TW"/>
        </w:rPr>
        <w:t>)</w:t>
      </w:r>
      <w:r w:rsidR="00314875" w:rsidRPr="00314875">
        <w:rPr>
          <w:rFonts w:eastAsiaTheme="minorEastAsia" w:hint="cs"/>
          <w:rtl/>
        </w:rPr>
        <w:t>.</w:t>
      </w:r>
    </w:p>
    <w:p w14:paraId="03AE3F20" w14:textId="2455EBD9" w:rsidR="00791DE9" w:rsidRPr="00791DE9" w:rsidRDefault="00791DE9" w:rsidP="00940BF3">
      <w:pPr>
        <w:numPr>
          <w:ilvl w:val="0"/>
          <w:numId w:val="23"/>
        </w:numPr>
        <w:tabs>
          <w:tab w:val="right" w:pos="1841"/>
        </w:tabs>
        <w:bidi/>
        <w:spacing w:after="120" w:line="400" w:lineRule="exact"/>
        <w:ind w:left="1134"/>
        <w:jc w:val="both"/>
        <w:rPr>
          <w:rFonts w:eastAsiaTheme="minorEastAsia"/>
          <w:rtl/>
        </w:rPr>
      </w:pPr>
      <w:r w:rsidRPr="00791DE9">
        <w:rPr>
          <w:rFonts w:eastAsiaTheme="minorEastAsia"/>
          <w:rtl/>
        </w:rPr>
        <w:t>ويشمل إطار نتائج التجديد السابع لموارد مرفق البيئة العالمية مؤشراً أساسياً لقياس النتائج المحققة في مجال التركيز المتعلق بالمواد الكيميائية والنفايات</w:t>
      </w:r>
      <w:r w:rsidR="009963DD" w:rsidRPr="00D1471B">
        <w:rPr>
          <w:rFonts w:ascii="Traditional Arabic" w:hAnsi="Traditional Arabic" w:hint="cs"/>
          <w:sz w:val="30"/>
          <w:vertAlign w:val="superscript"/>
          <w:rtl/>
          <w:lang w:eastAsia="zh-TW"/>
        </w:rPr>
        <w:t>(</w:t>
      </w:r>
      <w:r w:rsidR="009963DD" w:rsidRPr="00D1471B">
        <w:rPr>
          <w:rFonts w:ascii="Traditional Arabic" w:hAnsi="Traditional Arabic" w:hint="cs"/>
          <w:sz w:val="30"/>
          <w:vertAlign w:val="superscript"/>
          <w:rtl/>
          <w:lang w:eastAsia="zh-TW"/>
        </w:rPr>
        <w:footnoteReference w:id="5"/>
      </w:r>
      <w:r w:rsidR="009963DD" w:rsidRPr="00D1471B">
        <w:rPr>
          <w:rFonts w:ascii="Traditional Arabic" w:hAnsi="Traditional Arabic" w:hint="cs"/>
          <w:sz w:val="30"/>
          <w:vertAlign w:val="superscript"/>
          <w:rtl/>
          <w:lang w:eastAsia="zh-TW"/>
        </w:rPr>
        <w:t>)</w:t>
      </w:r>
      <w:r w:rsidR="00314875">
        <w:rPr>
          <w:rFonts w:eastAsiaTheme="minorEastAsia" w:hint="cs"/>
          <w:rtl/>
          <w:lang w:val="en-GB"/>
        </w:rPr>
        <w:t xml:space="preserve">. </w:t>
      </w:r>
      <w:r w:rsidR="004C2C60">
        <w:rPr>
          <w:rFonts w:eastAsiaTheme="minorEastAsia" w:hint="cs"/>
          <w:rtl/>
        </w:rPr>
        <w:t>و</w:t>
      </w:r>
      <w:r w:rsidRPr="00791DE9">
        <w:rPr>
          <w:rFonts w:eastAsiaTheme="minorEastAsia"/>
          <w:rtl/>
        </w:rPr>
        <w:t>هدف هذا المؤشر الأساسي هو ٠٠٠</w:t>
      </w:r>
      <w:r w:rsidR="005B288F">
        <w:rPr>
          <w:rFonts w:eastAsiaTheme="minorEastAsia" w:hint="cs"/>
          <w:rtl/>
          <w:lang w:val="en-GB"/>
        </w:rPr>
        <w:t> </w:t>
      </w:r>
      <w:r w:rsidRPr="00791DE9">
        <w:rPr>
          <w:rFonts w:eastAsiaTheme="minorEastAsia"/>
          <w:rtl/>
        </w:rPr>
        <w:t>١٠٠ طن متري من المواد الكيميائية والنفايات، بما في ذلك الزئبق.</w:t>
      </w:r>
      <w:r w:rsidRPr="00791DE9">
        <w:rPr>
          <w:rFonts w:eastAsiaTheme="minorEastAsia"/>
          <w:rtl/>
          <w:lang w:val="en-GB"/>
        </w:rPr>
        <w:t xml:space="preserve"> </w:t>
      </w:r>
      <w:r w:rsidRPr="00791DE9">
        <w:rPr>
          <w:rFonts w:eastAsiaTheme="minorEastAsia"/>
          <w:rtl/>
        </w:rPr>
        <w:t>ولا يوجد هدف قائم بذاته بشأن الزئبق في</w:t>
      </w:r>
      <w:r w:rsidR="004C2C60">
        <w:rPr>
          <w:rFonts w:eastAsiaTheme="minorEastAsia" w:hint="cs"/>
          <w:rtl/>
        </w:rPr>
        <w:t xml:space="preserve"> فترة</w:t>
      </w:r>
      <w:r w:rsidRPr="00791DE9">
        <w:rPr>
          <w:rFonts w:eastAsiaTheme="minorEastAsia"/>
          <w:rtl/>
        </w:rPr>
        <w:t xml:space="preserve"> التجديد السابع لموارد مرفق البيئة العالمية.</w:t>
      </w:r>
      <w:r w:rsidRPr="00791DE9">
        <w:rPr>
          <w:rFonts w:eastAsiaTheme="minorEastAsia"/>
          <w:rtl/>
          <w:lang w:val="en-GB"/>
        </w:rPr>
        <w:t xml:space="preserve"> </w:t>
      </w:r>
      <w:r w:rsidRPr="00791DE9">
        <w:rPr>
          <w:rFonts w:eastAsiaTheme="minorEastAsia"/>
          <w:rtl/>
        </w:rPr>
        <w:t>ويتوقع مرفق البيئة العالمية أن تعالج المشاريع التي تمت الموافقة عليها خلال هذه الفترة المشمولة بالتقرير كميةً من الزئبق قدرها ١٦٣</w:t>
      </w:r>
      <w:r w:rsidR="005B288F">
        <w:rPr>
          <w:rFonts w:eastAsiaTheme="minorEastAsia" w:hint="cs"/>
          <w:rtl/>
          <w:lang w:val="en-GB"/>
        </w:rPr>
        <w:t> </w:t>
      </w:r>
      <w:r w:rsidRPr="00791DE9">
        <w:rPr>
          <w:rFonts w:eastAsiaTheme="minorEastAsia"/>
          <w:rtl/>
        </w:rPr>
        <w:t>١ طناً.</w:t>
      </w:r>
    </w:p>
    <w:p w14:paraId="4EB86519" w14:textId="34832A84" w:rsidR="00791DE9" w:rsidRPr="00791DE9" w:rsidRDefault="00791DE9" w:rsidP="00940BF3">
      <w:pPr>
        <w:numPr>
          <w:ilvl w:val="0"/>
          <w:numId w:val="23"/>
        </w:numPr>
        <w:tabs>
          <w:tab w:val="right" w:pos="1841"/>
        </w:tabs>
        <w:bidi/>
        <w:spacing w:after="120" w:line="400" w:lineRule="exact"/>
        <w:ind w:left="1134"/>
        <w:jc w:val="both"/>
        <w:rPr>
          <w:rFonts w:eastAsiaTheme="minorEastAsia"/>
          <w:rtl/>
        </w:rPr>
      </w:pPr>
      <w:r w:rsidRPr="00791DE9">
        <w:rPr>
          <w:rFonts w:eastAsiaTheme="minorEastAsia"/>
          <w:rtl/>
        </w:rPr>
        <w:t>وأبلغ مرفق البيئة العالمية عن إحراز تقدم على صعيد إطار النتائج عن طريق سجل الإنجاز العام.</w:t>
      </w:r>
      <w:r w:rsidRPr="00791DE9">
        <w:rPr>
          <w:rFonts w:eastAsiaTheme="minorEastAsia"/>
          <w:rtl/>
          <w:lang w:val="en-GB"/>
        </w:rPr>
        <w:t xml:space="preserve"> </w:t>
      </w:r>
      <w:r w:rsidRPr="00791DE9">
        <w:rPr>
          <w:rFonts w:eastAsiaTheme="minorEastAsia"/>
          <w:rtl/>
        </w:rPr>
        <w:t>وعُرض سجل الإنجاز الأول الخاص بفترة التجديد السابع لموارد مرفق البيئة العالمية في اجتماع مجلس مرفق البيئة العالمية السادس والخمسين في حزيران/يونيه ٢٠١٩.</w:t>
      </w:r>
      <w:r w:rsidRPr="00791DE9">
        <w:rPr>
          <w:rFonts w:eastAsiaTheme="minorEastAsia"/>
          <w:rtl/>
          <w:lang w:val="en-GB"/>
        </w:rPr>
        <w:t xml:space="preserve"> </w:t>
      </w:r>
      <w:r w:rsidRPr="00791DE9">
        <w:rPr>
          <w:rFonts w:eastAsiaTheme="minorEastAsia"/>
          <w:rtl/>
        </w:rPr>
        <w:t xml:space="preserve">ويقدم سجل الإنجاز معلومات عن مجموع المؤشرات الأساسية فقط، ويفيد بأن المشاريع المعتمدة في مجال المواد الكيميائية والنفايات أسهمت بنسبة </w:t>
      </w:r>
      <w:r w:rsidRPr="00791DE9">
        <w:rPr>
          <w:rFonts w:eastAsiaTheme="minorEastAsia"/>
          <w:rtl/>
          <w:lang w:val="en-GB"/>
        </w:rPr>
        <w:t xml:space="preserve">30,9 </w:t>
      </w:r>
      <w:r w:rsidRPr="00791DE9">
        <w:rPr>
          <w:rFonts w:eastAsiaTheme="minorEastAsia"/>
          <w:rtl/>
        </w:rPr>
        <w:t xml:space="preserve">في المائة من المؤشر الأساسي </w:t>
      </w:r>
      <w:r w:rsidRPr="00791DE9">
        <w:rPr>
          <w:rFonts w:eastAsiaTheme="minorEastAsia"/>
          <w:rtl/>
        </w:rPr>
        <w:lastRenderedPageBreak/>
        <w:t>للتجديد السابع لموارد مرفق البيئة العالمية الذي يدخل فيه الزئبق</w:t>
      </w:r>
      <w:r w:rsidR="009963DD" w:rsidRPr="00D1471B">
        <w:rPr>
          <w:rFonts w:ascii="Traditional Arabic" w:hAnsi="Traditional Arabic" w:hint="cs"/>
          <w:sz w:val="30"/>
          <w:vertAlign w:val="superscript"/>
          <w:rtl/>
          <w:lang w:eastAsia="zh-TW"/>
        </w:rPr>
        <w:t>(</w:t>
      </w:r>
      <w:r w:rsidR="009963DD" w:rsidRPr="00D1471B">
        <w:rPr>
          <w:rFonts w:ascii="Traditional Arabic" w:hAnsi="Traditional Arabic" w:hint="cs"/>
          <w:sz w:val="30"/>
          <w:vertAlign w:val="superscript"/>
          <w:rtl/>
          <w:lang w:eastAsia="zh-TW"/>
        </w:rPr>
        <w:footnoteReference w:id="6"/>
      </w:r>
      <w:r w:rsidR="009963DD" w:rsidRPr="00D1471B">
        <w:rPr>
          <w:rFonts w:ascii="Traditional Arabic" w:hAnsi="Traditional Arabic" w:hint="cs"/>
          <w:sz w:val="30"/>
          <w:vertAlign w:val="superscript"/>
          <w:rtl/>
          <w:lang w:eastAsia="zh-TW"/>
        </w:rPr>
        <w:t>)</w:t>
      </w:r>
      <w:r w:rsidRPr="00791DE9">
        <w:rPr>
          <w:rFonts w:eastAsiaTheme="minorEastAsia"/>
          <w:rtl/>
        </w:rPr>
        <w:t>.</w:t>
      </w:r>
      <w:r w:rsidRPr="00791DE9">
        <w:rPr>
          <w:rFonts w:eastAsiaTheme="minorEastAsia"/>
          <w:rtl/>
          <w:lang w:val="en-GB"/>
        </w:rPr>
        <w:t xml:space="preserve"> </w:t>
      </w:r>
      <w:r w:rsidR="006132CC">
        <w:rPr>
          <w:rFonts w:eastAsiaTheme="minorEastAsia" w:hint="cs"/>
          <w:rtl/>
        </w:rPr>
        <w:t>و</w:t>
      </w:r>
      <w:r w:rsidRPr="00791DE9">
        <w:rPr>
          <w:rFonts w:eastAsiaTheme="minorEastAsia"/>
          <w:rtl/>
        </w:rPr>
        <w:t>أظهر سجل الإنجاز أيضا</w:t>
      </w:r>
      <w:r w:rsidR="00314875">
        <w:rPr>
          <w:rFonts w:eastAsiaTheme="minorEastAsia" w:hint="cs"/>
          <w:rtl/>
        </w:rPr>
        <w:t>ً</w:t>
      </w:r>
      <w:r w:rsidRPr="00791DE9">
        <w:rPr>
          <w:rFonts w:eastAsiaTheme="minorEastAsia"/>
          <w:rtl/>
        </w:rPr>
        <w:t xml:space="preserve"> أن مرفق البيئة العالمية برمج ٨ في المائة من موارد الزئبق المخصصة على المستوى الوطني للتجديد السابع لموارد مرفق البيئة العالمية.</w:t>
      </w:r>
    </w:p>
    <w:p w14:paraId="336D50EA" w14:textId="53B9A361" w:rsidR="00791DE9" w:rsidRPr="00314875" w:rsidRDefault="00791DE9" w:rsidP="008A2E91">
      <w:pPr>
        <w:numPr>
          <w:ilvl w:val="0"/>
          <w:numId w:val="23"/>
        </w:numPr>
        <w:tabs>
          <w:tab w:val="right" w:pos="1841"/>
        </w:tabs>
        <w:bidi/>
        <w:spacing w:line="400" w:lineRule="exact"/>
        <w:ind w:left="1134"/>
        <w:jc w:val="both"/>
        <w:rPr>
          <w:rFonts w:eastAsiaTheme="minorEastAsia"/>
          <w:rtl/>
          <w:lang w:val="en-GB"/>
        </w:rPr>
      </w:pPr>
      <w:r w:rsidRPr="00314875">
        <w:rPr>
          <w:rFonts w:eastAsiaTheme="minorEastAsia"/>
          <w:rtl/>
        </w:rPr>
        <w:t>ووافق مجلس مرفق البيئة العالمية، في اجتماعه السادس والخمسين، على مذكرة التفاهم التي اعتمدها مؤتمر الأطراف الثاني، وطلب إلى أمانة مرفق البيئة العالمية (يشار إليها لاحقاً بالأمانة) أن تحيل موافقته إلى مؤتمر الأطراف</w:t>
      </w:r>
      <w:r w:rsidR="009963DD" w:rsidRPr="00D1471B">
        <w:rPr>
          <w:rFonts w:ascii="Traditional Arabic" w:hAnsi="Traditional Arabic" w:hint="cs"/>
          <w:sz w:val="30"/>
          <w:vertAlign w:val="superscript"/>
          <w:rtl/>
          <w:lang w:eastAsia="zh-TW"/>
        </w:rPr>
        <w:t>(</w:t>
      </w:r>
      <w:r w:rsidR="009963DD" w:rsidRPr="00D1471B">
        <w:rPr>
          <w:rFonts w:ascii="Traditional Arabic" w:hAnsi="Traditional Arabic" w:hint="cs"/>
          <w:sz w:val="30"/>
          <w:vertAlign w:val="superscript"/>
          <w:rtl/>
          <w:lang w:eastAsia="zh-TW"/>
        </w:rPr>
        <w:footnoteReference w:id="7"/>
      </w:r>
      <w:r w:rsidR="009963DD" w:rsidRPr="00D1471B">
        <w:rPr>
          <w:rFonts w:ascii="Traditional Arabic" w:hAnsi="Traditional Arabic" w:hint="cs"/>
          <w:sz w:val="30"/>
          <w:vertAlign w:val="superscript"/>
          <w:rtl/>
          <w:lang w:eastAsia="zh-TW"/>
        </w:rPr>
        <w:t>)</w:t>
      </w:r>
      <w:r w:rsidR="00314875" w:rsidRPr="00314875">
        <w:rPr>
          <w:rFonts w:eastAsiaTheme="minorEastAsia" w:hint="cs"/>
          <w:rtl/>
        </w:rPr>
        <w:t>.</w:t>
      </w:r>
    </w:p>
    <w:p w14:paraId="3ED0B1E9" w14:textId="2DE80280" w:rsidR="00791DE9" w:rsidRPr="00791DE9" w:rsidRDefault="00B10A03" w:rsidP="005B288F">
      <w:pPr>
        <w:bidi/>
        <w:spacing w:line="400" w:lineRule="exact"/>
        <w:ind w:left="1132"/>
        <w:jc w:val="center"/>
        <w:rPr>
          <w:rFonts w:eastAsiaTheme="minorEastAsia"/>
          <w:rtl/>
          <w:lang w:val="en-GB"/>
        </w:rPr>
      </w:pPr>
      <w:r>
        <w:rPr>
          <w:rFonts w:eastAsiaTheme="minorEastAsia" w:hint="cs"/>
          <w:rtl/>
          <w:lang w:val="en-GB"/>
        </w:rPr>
        <w:t>_____________</w:t>
      </w:r>
      <w:bookmarkEnd w:id="0"/>
    </w:p>
    <w:sectPr w:rsidR="00791DE9" w:rsidRPr="00791DE9" w:rsidSect="002625D8">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3B43B" w14:textId="77777777" w:rsidR="00B3198B" w:rsidRDefault="00B3198B">
      <w:r>
        <w:separator/>
      </w:r>
    </w:p>
  </w:endnote>
  <w:endnote w:type="continuationSeparator" w:id="0">
    <w:p w14:paraId="0987BB1E" w14:textId="77777777" w:rsidR="00B3198B" w:rsidRDefault="00B31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aditional Arabic">
    <w:altName w:val="Traditional Arabic"/>
    <w:charset w:val="B2"/>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altName w:val="Times New Roman"/>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0E4820EF" w:rsidR="0042042E" w:rsidRPr="005B288F" w:rsidRDefault="0042042E" w:rsidP="00E0494C">
    <w:pPr>
      <w:pStyle w:val="Footer"/>
      <w:tabs>
        <w:tab w:val="clear" w:pos="4153"/>
        <w:tab w:val="clear" w:pos="8306"/>
      </w:tabs>
      <w:rPr>
        <w:rFonts w:ascii="Times New Roman" w:hAnsi="Times New Roman" w:cs="Times New Roman"/>
        <w:b/>
        <w:bCs/>
        <w:sz w:val="18"/>
        <w:szCs w:val="18"/>
        <w:rtl/>
      </w:rPr>
    </w:pPr>
    <w:r w:rsidRPr="005B288F">
      <w:rPr>
        <w:rStyle w:val="PageNumber"/>
        <w:rFonts w:ascii="Times New Roman" w:hAnsi="Times New Roman" w:cs="Times New Roman"/>
        <w:b/>
        <w:bCs/>
        <w:sz w:val="18"/>
        <w:szCs w:val="18"/>
      </w:rPr>
      <w:fldChar w:fldCharType="begin"/>
    </w:r>
    <w:r w:rsidRPr="005B288F">
      <w:rPr>
        <w:rStyle w:val="PageNumber"/>
        <w:rFonts w:ascii="Times New Roman" w:hAnsi="Times New Roman" w:cs="Times New Roman"/>
        <w:b/>
        <w:bCs/>
        <w:sz w:val="18"/>
        <w:szCs w:val="18"/>
        <w:rtl/>
      </w:rPr>
      <w:instrText xml:space="preserve"> </w:instrText>
    </w:r>
    <w:r w:rsidRPr="005B288F">
      <w:rPr>
        <w:rStyle w:val="PageNumber"/>
        <w:rFonts w:ascii="Times New Roman" w:hAnsi="Times New Roman" w:cs="Times New Roman"/>
        <w:b/>
        <w:bCs/>
        <w:sz w:val="18"/>
        <w:szCs w:val="18"/>
      </w:rPr>
      <w:instrText>PAGE</w:instrText>
    </w:r>
    <w:r w:rsidRPr="005B288F">
      <w:rPr>
        <w:rStyle w:val="PageNumber"/>
        <w:rFonts w:ascii="Times New Roman" w:hAnsi="Times New Roman" w:cs="Times New Roman"/>
        <w:b/>
        <w:bCs/>
        <w:sz w:val="18"/>
        <w:szCs w:val="18"/>
        <w:rtl/>
      </w:rPr>
      <w:instrText xml:space="preserve"> </w:instrText>
    </w:r>
    <w:r w:rsidRPr="005B288F">
      <w:rPr>
        <w:rStyle w:val="PageNumber"/>
        <w:rFonts w:ascii="Times New Roman" w:hAnsi="Times New Roman" w:cs="Times New Roman"/>
        <w:b/>
        <w:bCs/>
        <w:sz w:val="18"/>
        <w:szCs w:val="18"/>
      </w:rPr>
      <w:fldChar w:fldCharType="separate"/>
    </w:r>
    <w:r w:rsidR="00170697" w:rsidRPr="005B288F">
      <w:rPr>
        <w:rStyle w:val="PageNumber"/>
        <w:rFonts w:ascii="Times New Roman" w:hAnsi="Times New Roman" w:cs="Times New Roman"/>
        <w:b/>
        <w:bCs/>
        <w:sz w:val="18"/>
        <w:szCs w:val="18"/>
      </w:rPr>
      <w:t>4</w:t>
    </w:r>
    <w:r w:rsidRPr="005B288F">
      <w:rPr>
        <w:rStyle w:val="PageNumber"/>
        <w:rFonts w:ascii="Times New Roman" w:hAnsi="Times New Roman" w:cs="Times New Roman"/>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07717A0D" w:rsidR="0042042E" w:rsidRPr="005B288F" w:rsidRDefault="0042042E" w:rsidP="00E0494C">
    <w:pPr>
      <w:pStyle w:val="Footer"/>
      <w:tabs>
        <w:tab w:val="clear" w:pos="4153"/>
        <w:tab w:val="clear" w:pos="8306"/>
      </w:tabs>
      <w:spacing w:before="40"/>
      <w:jc w:val="both"/>
      <w:rPr>
        <w:rFonts w:ascii="Times New Roman" w:hAnsi="Times New Roman" w:cs="Times New Roman"/>
        <w:b/>
        <w:bCs/>
        <w:sz w:val="18"/>
        <w:szCs w:val="18"/>
        <w:rtl/>
      </w:rPr>
    </w:pPr>
    <w:r w:rsidRPr="005B288F">
      <w:rPr>
        <w:rStyle w:val="PageNumber"/>
        <w:rFonts w:ascii="Times New Roman" w:hAnsi="Times New Roman" w:cs="Times New Roman"/>
        <w:b/>
        <w:bCs/>
        <w:sz w:val="18"/>
        <w:szCs w:val="18"/>
      </w:rPr>
      <w:fldChar w:fldCharType="begin"/>
    </w:r>
    <w:r w:rsidRPr="005B288F">
      <w:rPr>
        <w:rStyle w:val="PageNumber"/>
        <w:rFonts w:ascii="Times New Roman" w:hAnsi="Times New Roman" w:cs="Times New Roman"/>
        <w:b/>
        <w:bCs/>
        <w:sz w:val="18"/>
        <w:szCs w:val="18"/>
        <w:rtl/>
      </w:rPr>
      <w:instrText xml:space="preserve"> </w:instrText>
    </w:r>
    <w:r w:rsidRPr="005B288F">
      <w:rPr>
        <w:rStyle w:val="PageNumber"/>
        <w:rFonts w:ascii="Times New Roman" w:hAnsi="Times New Roman" w:cs="Times New Roman"/>
        <w:b/>
        <w:bCs/>
        <w:sz w:val="18"/>
        <w:szCs w:val="18"/>
      </w:rPr>
      <w:instrText>PAGE</w:instrText>
    </w:r>
    <w:r w:rsidRPr="005B288F">
      <w:rPr>
        <w:rStyle w:val="PageNumber"/>
        <w:rFonts w:ascii="Times New Roman" w:hAnsi="Times New Roman" w:cs="Times New Roman"/>
        <w:b/>
        <w:bCs/>
        <w:sz w:val="18"/>
        <w:szCs w:val="18"/>
        <w:rtl/>
      </w:rPr>
      <w:instrText xml:space="preserve"> </w:instrText>
    </w:r>
    <w:r w:rsidRPr="005B288F">
      <w:rPr>
        <w:rStyle w:val="PageNumber"/>
        <w:rFonts w:ascii="Times New Roman" w:hAnsi="Times New Roman" w:cs="Times New Roman"/>
        <w:b/>
        <w:bCs/>
        <w:sz w:val="18"/>
        <w:szCs w:val="18"/>
      </w:rPr>
      <w:fldChar w:fldCharType="separate"/>
    </w:r>
    <w:r w:rsidR="00170697" w:rsidRPr="005B288F">
      <w:rPr>
        <w:rStyle w:val="PageNumber"/>
        <w:rFonts w:ascii="Times New Roman" w:hAnsi="Times New Roman" w:cs="Times New Roman"/>
        <w:b/>
        <w:bCs/>
        <w:sz w:val="18"/>
        <w:szCs w:val="18"/>
      </w:rPr>
      <w:t>5</w:t>
    </w:r>
    <w:r w:rsidRPr="005B288F">
      <w:rPr>
        <w:rStyle w:val="PageNumber"/>
        <w:rFonts w:ascii="Times New Roman" w:hAnsi="Times New Roman" w:cs="Times New Roman"/>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51A7F286" w:rsidR="0042042E" w:rsidRPr="00D80FA4" w:rsidRDefault="00D80FA4" w:rsidP="00843FDA">
    <w:pPr>
      <w:pStyle w:val="Footer"/>
      <w:tabs>
        <w:tab w:val="clear" w:pos="4153"/>
        <w:tab w:val="clear" w:pos="8306"/>
      </w:tabs>
      <w:bidi/>
      <w:jc w:val="left"/>
      <w:rPr>
        <w:rFonts w:asciiTheme="majorBidi" w:hAnsiTheme="majorBidi" w:cstheme="majorBidi"/>
        <w:szCs w:val="20"/>
        <w:rtl/>
      </w:rPr>
    </w:pPr>
    <w:r w:rsidRPr="00D80FA4">
      <w:rPr>
        <w:rStyle w:val="PageNumber"/>
        <w:rFonts w:asciiTheme="majorBidi" w:hAnsiTheme="majorBidi" w:cstheme="majorBidi"/>
        <w:szCs w:val="20"/>
      </w:rPr>
      <w:t>K1</w:t>
    </w:r>
    <w:r w:rsidR="002A3532">
      <w:rPr>
        <w:rStyle w:val="PageNumber"/>
        <w:rFonts w:asciiTheme="majorBidi" w:hAnsiTheme="majorBidi" w:cstheme="majorBidi"/>
        <w:szCs w:val="20"/>
      </w:rPr>
      <w:t>90</w:t>
    </w:r>
    <w:r w:rsidR="008C69E1">
      <w:rPr>
        <w:rStyle w:val="PageNumber"/>
        <w:rFonts w:asciiTheme="majorBidi" w:hAnsiTheme="majorBidi" w:cstheme="majorBidi"/>
        <w:szCs w:val="20"/>
      </w:rPr>
      <w:t>4071</w:t>
    </w:r>
    <w:r w:rsidR="006E1D97">
      <w:rPr>
        <w:rStyle w:val="PageNumber"/>
        <w:rFonts w:asciiTheme="majorBidi" w:hAnsiTheme="majorBidi" w:cstheme="majorBidi" w:hint="cs"/>
        <w:szCs w:val="20"/>
        <w:rtl/>
      </w:rPr>
      <w:tab/>
    </w:r>
    <w:r w:rsidR="005B288F">
      <w:rPr>
        <w:rStyle w:val="PageNumber"/>
        <w:rFonts w:asciiTheme="majorBidi" w:hAnsiTheme="majorBidi" w:cstheme="majorBidi"/>
        <w:szCs w:val="20"/>
      </w:rPr>
      <w:t>24</w:t>
    </w:r>
    <w:r w:rsidR="008C69E1">
      <w:rPr>
        <w:rStyle w:val="PageNumber"/>
        <w:rFonts w:asciiTheme="majorBidi" w:hAnsiTheme="majorBidi" w:cstheme="majorBidi"/>
        <w:szCs w:val="20"/>
      </w:rPr>
      <w:t>10</w:t>
    </w:r>
    <w:r w:rsidR="006E1D97" w:rsidRPr="00D80FA4">
      <w:rPr>
        <w:rStyle w:val="PageNumber"/>
        <w:rFonts w:asciiTheme="majorBidi" w:hAnsiTheme="majorBidi" w:cstheme="majorBidi"/>
        <w:szCs w:val="20"/>
      </w:rPr>
      <w:t>1</w:t>
    </w:r>
    <w:r w:rsidR="002A3532">
      <w:rPr>
        <w:rStyle w:val="PageNumber"/>
        <w:rFonts w:asciiTheme="majorBidi" w:hAnsiTheme="majorBidi" w:cstheme="majorBidi"/>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267E5" w14:textId="77777777" w:rsidR="00B3198B" w:rsidRDefault="00B3198B" w:rsidP="008A79DC">
      <w:pPr>
        <w:bidi/>
        <w:ind w:left="720"/>
      </w:pPr>
      <w:r>
        <w:separator/>
      </w:r>
    </w:p>
  </w:footnote>
  <w:footnote w:type="continuationSeparator" w:id="0">
    <w:p w14:paraId="1289A4B9" w14:textId="77777777" w:rsidR="00B3198B" w:rsidRDefault="00B3198B">
      <w:r>
        <w:continuationSeparator/>
      </w:r>
    </w:p>
  </w:footnote>
  <w:footnote w:id="1">
    <w:p w14:paraId="6C028CC3" w14:textId="77777777" w:rsidR="002625D8" w:rsidRPr="00206E56" w:rsidRDefault="002625D8" w:rsidP="00206E56">
      <w:pPr>
        <w:bidi/>
        <w:spacing w:after="40" w:line="300" w:lineRule="exact"/>
        <w:ind w:left="1134"/>
        <w:jc w:val="both"/>
        <w:rPr>
          <w:sz w:val="18"/>
          <w:szCs w:val="26"/>
          <w:rtl/>
        </w:rPr>
      </w:pPr>
      <w:proofErr w:type="gramStart"/>
      <w:r w:rsidRPr="00206E56">
        <w:rPr>
          <w:sz w:val="18"/>
          <w:szCs w:val="26"/>
        </w:rPr>
        <w:t>.UNEP</w:t>
      </w:r>
      <w:proofErr w:type="gramEnd"/>
      <w:r w:rsidRPr="00206E56">
        <w:rPr>
          <w:sz w:val="18"/>
          <w:szCs w:val="26"/>
        </w:rPr>
        <w:t>/MC/COP.3/1  *</w:t>
      </w:r>
    </w:p>
  </w:footnote>
  <w:footnote w:id="2">
    <w:p w14:paraId="1F200DAA" w14:textId="72874564" w:rsidR="009963DD" w:rsidRPr="005B288F" w:rsidRDefault="009963DD" w:rsidP="00485600">
      <w:pPr>
        <w:pStyle w:val="FootnoteText"/>
        <w:bidi/>
        <w:spacing w:after="40" w:line="300" w:lineRule="exact"/>
        <w:ind w:left="1134"/>
        <w:jc w:val="both"/>
        <w:textDirection w:val="tbRlV"/>
        <w:rPr>
          <w:rFonts w:ascii="Traditional Arabic" w:hAnsi="Traditional Arabic"/>
          <w:noProof w:val="0"/>
          <w:sz w:val="26"/>
          <w:szCs w:val="26"/>
          <w:lang w:val="en-GB" w:eastAsia="zh-TW"/>
        </w:rPr>
      </w:pPr>
      <w:r w:rsidRPr="005B288F">
        <w:rPr>
          <w:rFonts w:ascii="Traditional Arabic" w:hAnsi="Traditional Arabic"/>
          <w:noProof w:val="0"/>
          <w:sz w:val="26"/>
          <w:szCs w:val="26"/>
          <w:rtl/>
          <w:lang w:eastAsia="zh-TW"/>
        </w:rPr>
        <w:t>(</w:t>
      </w:r>
      <w:r w:rsidRPr="005B288F">
        <w:rPr>
          <w:rStyle w:val="FootnoteReference"/>
          <w:rFonts w:ascii="Traditional Arabic" w:hAnsi="Traditional Arabic"/>
          <w:noProof w:val="0"/>
          <w:sz w:val="26"/>
          <w:szCs w:val="26"/>
          <w:vertAlign w:val="baseline"/>
          <w:rtl/>
          <w:lang w:eastAsia="zh-TW"/>
        </w:rPr>
        <w:footnoteRef/>
      </w:r>
      <w:r w:rsidRPr="005B288F">
        <w:rPr>
          <w:rFonts w:ascii="Traditional Arabic" w:hAnsi="Traditional Arabic"/>
          <w:noProof w:val="0"/>
          <w:sz w:val="26"/>
          <w:szCs w:val="26"/>
          <w:rtl/>
          <w:lang w:eastAsia="zh-TW"/>
        </w:rPr>
        <w:t xml:space="preserve">)  </w:t>
      </w:r>
      <w:r w:rsidRPr="005B288F">
        <w:rPr>
          <w:noProof w:val="0"/>
          <w:sz w:val="26"/>
          <w:szCs w:val="26"/>
          <w:rtl/>
        </w:rPr>
        <w:t>باستثناء رسوم الوكالات ومنح إعداد المشاريع.</w:t>
      </w:r>
    </w:p>
  </w:footnote>
  <w:footnote w:id="3">
    <w:p w14:paraId="01EBEF21" w14:textId="146C0F32" w:rsidR="009963DD" w:rsidRPr="005B288F" w:rsidRDefault="009963DD" w:rsidP="00485600">
      <w:pPr>
        <w:pStyle w:val="FootnoteText"/>
        <w:bidi/>
        <w:spacing w:after="40" w:line="300" w:lineRule="exact"/>
        <w:ind w:left="1134"/>
        <w:jc w:val="both"/>
        <w:textDirection w:val="tbRlV"/>
        <w:rPr>
          <w:rFonts w:ascii="Traditional Arabic" w:hAnsi="Traditional Arabic"/>
          <w:noProof w:val="0"/>
          <w:sz w:val="26"/>
          <w:szCs w:val="26"/>
          <w:rtl/>
          <w:lang w:eastAsia="zh-TW"/>
        </w:rPr>
      </w:pPr>
      <w:r w:rsidRPr="005B288F">
        <w:rPr>
          <w:rFonts w:ascii="Traditional Arabic" w:hAnsi="Traditional Arabic"/>
          <w:noProof w:val="0"/>
          <w:sz w:val="26"/>
          <w:szCs w:val="26"/>
          <w:rtl/>
          <w:lang w:eastAsia="zh-TW"/>
        </w:rPr>
        <w:t>(</w:t>
      </w:r>
      <w:r w:rsidRPr="005B288F">
        <w:rPr>
          <w:rStyle w:val="FootnoteReference"/>
          <w:rFonts w:ascii="Traditional Arabic" w:hAnsi="Traditional Arabic"/>
          <w:noProof w:val="0"/>
          <w:sz w:val="26"/>
          <w:szCs w:val="26"/>
          <w:vertAlign w:val="baseline"/>
          <w:rtl/>
          <w:lang w:eastAsia="zh-TW"/>
        </w:rPr>
        <w:footnoteRef/>
      </w:r>
      <w:r w:rsidRPr="005B288F">
        <w:rPr>
          <w:rFonts w:ascii="Traditional Arabic" w:hAnsi="Traditional Arabic"/>
          <w:noProof w:val="0"/>
          <w:sz w:val="26"/>
          <w:szCs w:val="26"/>
          <w:rtl/>
          <w:lang w:eastAsia="zh-TW"/>
        </w:rPr>
        <w:t xml:space="preserve">)  </w:t>
      </w:r>
      <w:r w:rsidRPr="005B288F">
        <w:rPr>
          <w:noProof w:val="0"/>
          <w:sz w:val="26"/>
          <w:szCs w:val="26"/>
          <w:rtl/>
        </w:rPr>
        <w:t xml:space="preserve">دعَم مرفق البيئة العالمية التقييمات الأولية بموجب اتفاقية </w:t>
      </w:r>
      <w:proofErr w:type="spellStart"/>
      <w:r w:rsidRPr="005B288F">
        <w:rPr>
          <w:noProof w:val="0"/>
          <w:sz w:val="26"/>
          <w:szCs w:val="26"/>
          <w:rtl/>
        </w:rPr>
        <w:t>ميناماتا</w:t>
      </w:r>
      <w:proofErr w:type="spellEnd"/>
      <w:r w:rsidRPr="005B288F">
        <w:rPr>
          <w:noProof w:val="0"/>
          <w:sz w:val="26"/>
          <w:szCs w:val="26"/>
          <w:rtl/>
        </w:rPr>
        <w:t xml:space="preserve"> التي بدأت في فترة التجديد الخامس لموارد مرفق البيئة العالمية.</w:t>
      </w:r>
    </w:p>
  </w:footnote>
  <w:footnote w:id="4">
    <w:p w14:paraId="49933348" w14:textId="5D536E43" w:rsidR="009963DD" w:rsidRPr="005B288F" w:rsidRDefault="009963DD" w:rsidP="00485600">
      <w:pPr>
        <w:pStyle w:val="FootnoteText"/>
        <w:bidi/>
        <w:spacing w:after="40" w:line="300" w:lineRule="exact"/>
        <w:ind w:left="1134"/>
        <w:jc w:val="both"/>
        <w:textDirection w:val="tbRlV"/>
        <w:rPr>
          <w:rFonts w:ascii="Traditional Arabic" w:hAnsi="Traditional Arabic"/>
          <w:noProof w:val="0"/>
          <w:sz w:val="26"/>
          <w:szCs w:val="26"/>
          <w:rtl/>
          <w:lang w:eastAsia="zh-TW"/>
        </w:rPr>
      </w:pPr>
      <w:r w:rsidRPr="005B288F">
        <w:rPr>
          <w:rFonts w:ascii="Traditional Arabic" w:hAnsi="Traditional Arabic"/>
          <w:noProof w:val="0"/>
          <w:sz w:val="26"/>
          <w:szCs w:val="26"/>
          <w:rtl/>
          <w:lang w:eastAsia="zh-TW"/>
        </w:rPr>
        <w:t>(</w:t>
      </w:r>
      <w:r w:rsidRPr="005B288F">
        <w:rPr>
          <w:rStyle w:val="FootnoteReference"/>
          <w:rFonts w:ascii="Traditional Arabic" w:hAnsi="Traditional Arabic"/>
          <w:noProof w:val="0"/>
          <w:sz w:val="26"/>
          <w:szCs w:val="26"/>
          <w:vertAlign w:val="baseline"/>
          <w:rtl/>
          <w:lang w:eastAsia="zh-TW"/>
        </w:rPr>
        <w:footnoteRef/>
      </w:r>
      <w:r w:rsidRPr="005B288F">
        <w:rPr>
          <w:rFonts w:ascii="Traditional Arabic" w:hAnsi="Traditional Arabic"/>
          <w:noProof w:val="0"/>
          <w:sz w:val="26"/>
          <w:szCs w:val="26"/>
          <w:rtl/>
          <w:lang w:eastAsia="zh-TW"/>
        </w:rPr>
        <w:t xml:space="preserve">)  </w:t>
      </w:r>
      <w:r w:rsidRPr="005B288F">
        <w:rPr>
          <w:noProof w:val="0"/>
          <w:sz w:val="26"/>
          <w:szCs w:val="26"/>
          <w:rtl/>
        </w:rPr>
        <w:t>يشمل التمويل المشترك البرامج والمشاريع الكاملة الحجم والمشاريع المتوسطة الحجم والأنشطة التمكينية. ويستثنى من ذلك رسوم الوكالات ومنح إعداد المشاريع.</w:t>
      </w:r>
    </w:p>
  </w:footnote>
  <w:footnote w:id="5">
    <w:p w14:paraId="0C37D147" w14:textId="79F55572" w:rsidR="009963DD" w:rsidRPr="00485600" w:rsidRDefault="009963DD" w:rsidP="00485600">
      <w:pPr>
        <w:pStyle w:val="FootnoteText"/>
        <w:bidi/>
        <w:spacing w:after="40" w:line="300" w:lineRule="exact"/>
        <w:ind w:left="1134"/>
        <w:jc w:val="both"/>
        <w:textDirection w:val="tbRlV"/>
        <w:rPr>
          <w:rFonts w:ascii="Traditional Arabic" w:hAnsi="Traditional Arabic"/>
          <w:noProof w:val="0"/>
          <w:sz w:val="26"/>
          <w:szCs w:val="24"/>
          <w:rtl/>
          <w:lang w:eastAsia="zh-TW"/>
        </w:rPr>
      </w:pPr>
      <w:r w:rsidRPr="005B288F">
        <w:rPr>
          <w:rFonts w:ascii="Traditional Arabic" w:hAnsi="Traditional Arabic"/>
          <w:noProof w:val="0"/>
          <w:sz w:val="26"/>
          <w:szCs w:val="26"/>
          <w:rtl/>
          <w:lang w:eastAsia="zh-TW"/>
        </w:rPr>
        <w:t>(</w:t>
      </w:r>
      <w:r w:rsidRPr="005B288F">
        <w:rPr>
          <w:rStyle w:val="FootnoteReference"/>
          <w:rFonts w:ascii="Traditional Arabic" w:hAnsi="Traditional Arabic"/>
          <w:noProof w:val="0"/>
          <w:sz w:val="26"/>
          <w:szCs w:val="26"/>
          <w:vertAlign w:val="baseline"/>
          <w:rtl/>
          <w:lang w:eastAsia="zh-TW"/>
        </w:rPr>
        <w:footnoteRef/>
      </w:r>
      <w:r w:rsidRPr="005B288F">
        <w:rPr>
          <w:rFonts w:ascii="Traditional Arabic" w:hAnsi="Traditional Arabic"/>
          <w:noProof w:val="0"/>
          <w:sz w:val="26"/>
          <w:szCs w:val="26"/>
          <w:rtl/>
          <w:lang w:eastAsia="zh-TW"/>
        </w:rPr>
        <w:t xml:space="preserve">)  </w:t>
      </w:r>
      <w:r w:rsidRPr="005B288F">
        <w:rPr>
          <w:noProof w:val="0"/>
          <w:sz w:val="26"/>
          <w:szCs w:val="26"/>
          <w:rtl/>
        </w:rPr>
        <w:t xml:space="preserve">مرفق البيئة العالمية، ٢٠١٨، </w:t>
      </w:r>
      <w:r w:rsidRPr="005B288F">
        <w:rPr>
          <w:iCs/>
          <w:noProof w:val="0"/>
          <w:sz w:val="26"/>
          <w:szCs w:val="26"/>
          <w:rtl/>
        </w:rPr>
        <w:t>توجيهات البرمجة</w:t>
      </w:r>
      <w:r w:rsidRPr="005B288F">
        <w:rPr>
          <w:i/>
          <w:noProof w:val="0"/>
          <w:sz w:val="26"/>
          <w:szCs w:val="26"/>
          <w:rtl/>
        </w:rPr>
        <w:t xml:space="preserve"> لفترة التجديد السابع لموارد مرفق البيئة العالمية</w:t>
      </w:r>
      <w:r w:rsidRPr="005B288F">
        <w:rPr>
          <w:noProof w:val="0"/>
          <w:sz w:val="26"/>
          <w:szCs w:val="26"/>
          <w:rtl/>
        </w:rPr>
        <w:t>، وثيقة المجلس</w:t>
      </w:r>
      <w:r w:rsidRPr="00485600">
        <w:rPr>
          <w:noProof w:val="0"/>
          <w:sz w:val="24"/>
          <w:szCs w:val="24"/>
          <w:rtl/>
        </w:rPr>
        <w:t xml:space="preserve"> </w:t>
      </w:r>
      <w:r w:rsidRPr="00485600">
        <w:rPr>
          <w:noProof w:val="0"/>
          <w:sz w:val="18"/>
          <w:szCs w:val="24"/>
        </w:rPr>
        <w:t>GEF/R.7/19</w:t>
      </w:r>
      <w:r w:rsidRPr="00485600">
        <w:rPr>
          <w:noProof w:val="0"/>
          <w:sz w:val="24"/>
          <w:szCs w:val="24"/>
          <w:rtl/>
        </w:rPr>
        <w:t>.</w:t>
      </w:r>
    </w:p>
  </w:footnote>
  <w:footnote w:id="6">
    <w:p w14:paraId="6982E1BA" w14:textId="3EA8271F" w:rsidR="009963DD" w:rsidRPr="005B288F" w:rsidRDefault="009963DD" w:rsidP="00485600">
      <w:pPr>
        <w:pStyle w:val="FootnoteText"/>
        <w:bidi/>
        <w:spacing w:after="40" w:line="300" w:lineRule="exact"/>
        <w:ind w:left="1134"/>
        <w:jc w:val="both"/>
        <w:textDirection w:val="tbRlV"/>
        <w:rPr>
          <w:rFonts w:ascii="Traditional Arabic" w:hAnsi="Traditional Arabic"/>
          <w:noProof w:val="0"/>
          <w:sz w:val="26"/>
          <w:szCs w:val="26"/>
          <w:rtl/>
          <w:lang w:eastAsia="zh-TW"/>
        </w:rPr>
      </w:pPr>
      <w:r w:rsidRPr="005B288F">
        <w:rPr>
          <w:rFonts w:ascii="Traditional Arabic" w:hAnsi="Traditional Arabic"/>
          <w:noProof w:val="0"/>
          <w:sz w:val="26"/>
          <w:szCs w:val="26"/>
          <w:rtl/>
          <w:lang w:eastAsia="zh-TW"/>
        </w:rPr>
        <w:t>(</w:t>
      </w:r>
      <w:r w:rsidRPr="005B288F">
        <w:rPr>
          <w:rStyle w:val="FootnoteReference"/>
          <w:rFonts w:ascii="Traditional Arabic" w:hAnsi="Traditional Arabic"/>
          <w:noProof w:val="0"/>
          <w:sz w:val="26"/>
          <w:szCs w:val="26"/>
          <w:vertAlign w:val="baseline"/>
          <w:rtl/>
          <w:lang w:eastAsia="zh-TW"/>
        </w:rPr>
        <w:footnoteRef/>
      </w:r>
      <w:r w:rsidRPr="005B288F">
        <w:rPr>
          <w:rFonts w:ascii="Traditional Arabic" w:hAnsi="Traditional Arabic"/>
          <w:noProof w:val="0"/>
          <w:sz w:val="26"/>
          <w:szCs w:val="26"/>
          <w:rtl/>
          <w:lang w:eastAsia="zh-TW"/>
        </w:rPr>
        <w:t xml:space="preserve">)  </w:t>
      </w:r>
      <w:r w:rsidRPr="005B288F">
        <w:rPr>
          <w:noProof w:val="0"/>
          <w:sz w:val="26"/>
          <w:szCs w:val="26"/>
          <w:rtl/>
        </w:rPr>
        <w:t>مرفق البيئة العالمية، ٢٠١٩، سجل الإنجاز العام. يجمع سجل الإنجاز المزايا البيئية العالمية عند موافقة مجلس مرفق البيئة العالمية وعند مراحل الاعتماد من جانب المسؤول التنفيذي الأول.</w:t>
      </w:r>
    </w:p>
  </w:footnote>
  <w:footnote w:id="7">
    <w:p w14:paraId="49AB6F41" w14:textId="08983B71" w:rsidR="009963DD" w:rsidRPr="00485600" w:rsidRDefault="009963DD" w:rsidP="00485600">
      <w:pPr>
        <w:pStyle w:val="FootnoteText"/>
        <w:bidi/>
        <w:spacing w:after="40" w:line="300" w:lineRule="exact"/>
        <w:ind w:left="1134"/>
        <w:jc w:val="both"/>
        <w:textDirection w:val="tbRlV"/>
        <w:rPr>
          <w:rFonts w:ascii="Traditional Arabic" w:hAnsi="Traditional Arabic"/>
          <w:noProof w:val="0"/>
          <w:sz w:val="26"/>
          <w:szCs w:val="24"/>
          <w:lang w:val="en-GB" w:eastAsia="zh-TW"/>
        </w:rPr>
      </w:pPr>
      <w:r w:rsidRPr="005B288F">
        <w:rPr>
          <w:rFonts w:ascii="Traditional Arabic" w:hAnsi="Traditional Arabic"/>
          <w:noProof w:val="0"/>
          <w:sz w:val="26"/>
          <w:szCs w:val="26"/>
          <w:rtl/>
          <w:lang w:eastAsia="zh-TW"/>
        </w:rPr>
        <w:t>(</w:t>
      </w:r>
      <w:r w:rsidRPr="005B288F">
        <w:rPr>
          <w:rStyle w:val="FootnoteReference"/>
          <w:rFonts w:ascii="Traditional Arabic" w:hAnsi="Traditional Arabic"/>
          <w:noProof w:val="0"/>
          <w:sz w:val="26"/>
          <w:szCs w:val="26"/>
          <w:vertAlign w:val="baseline"/>
          <w:rtl/>
          <w:lang w:eastAsia="zh-TW"/>
        </w:rPr>
        <w:footnoteRef/>
      </w:r>
      <w:r w:rsidRPr="005B288F">
        <w:rPr>
          <w:rFonts w:ascii="Traditional Arabic" w:hAnsi="Traditional Arabic"/>
          <w:noProof w:val="0"/>
          <w:sz w:val="26"/>
          <w:szCs w:val="26"/>
          <w:rtl/>
          <w:lang w:eastAsia="zh-TW"/>
        </w:rPr>
        <w:t xml:space="preserve">)  </w:t>
      </w:r>
      <w:r w:rsidRPr="005B288F">
        <w:rPr>
          <w:noProof w:val="0"/>
          <w:sz w:val="26"/>
          <w:szCs w:val="26"/>
          <w:rtl/>
        </w:rPr>
        <w:t xml:space="preserve">مرفق البيئة العالمية، ٢٠١٩، الموافقة على مذكرة التفاهم بين مؤتمر الأطراف في اتفاقية </w:t>
      </w:r>
      <w:proofErr w:type="spellStart"/>
      <w:r w:rsidRPr="005B288F">
        <w:rPr>
          <w:noProof w:val="0"/>
          <w:sz w:val="26"/>
          <w:szCs w:val="26"/>
          <w:rtl/>
        </w:rPr>
        <w:t>ميناماتا</w:t>
      </w:r>
      <w:proofErr w:type="spellEnd"/>
      <w:r w:rsidRPr="005B288F">
        <w:rPr>
          <w:noProof w:val="0"/>
          <w:sz w:val="26"/>
          <w:szCs w:val="26"/>
          <w:rtl/>
        </w:rPr>
        <w:t xml:space="preserve"> بشأن الزئبق ومجلس مرفق البيئة العالمية، وثيقة المجلس</w:t>
      </w:r>
      <w:r w:rsidRPr="00485600">
        <w:rPr>
          <w:noProof w:val="0"/>
          <w:sz w:val="24"/>
          <w:szCs w:val="24"/>
          <w:rtl/>
        </w:rPr>
        <w:t xml:space="preserve"> </w:t>
      </w:r>
      <w:r w:rsidRPr="00485600">
        <w:rPr>
          <w:noProof w:val="0"/>
          <w:sz w:val="18"/>
          <w:szCs w:val="24"/>
        </w:rPr>
        <w:t>GEF/C.56/10/Rev.01</w:t>
      </w:r>
      <w:r w:rsidRPr="00485600">
        <w:rPr>
          <w:noProof w:val="0"/>
          <w:sz w:val="24"/>
          <w:szCs w:val="24"/>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1947025D" w:rsidR="0042042E" w:rsidRPr="009D4EBB" w:rsidRDefault="00934FB6" w:rsidP="00DB6CCC">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E2164">
      <w:rPr>
        <w:rFonts w:cs="Times New Roman"/>
        <w:b/>
        <w:bCs/>
        <w:sz w:val="17"/>
        <w:szCs w:val="17"/>
      </w:rPr>
      <w:t>3</w:t>
    </w:r>
    <w:r>
      <w:rPr>
        <w:rFonts w:cs="Times New Roman"/>
        <w:b/>
        <w:bCs/>
        <w:sz w:val="17"/>
        <w:szCs w:val="17"/>
      </w:rPr>
      <w:t>/</w:t>
    </w:r>
    <w:r w:rsidR="00D53848">
      <w:rPr>
        <w:rFonts w:cs="Times New Roman"/>
        <w:b/>
        <w:bCs/>
        <w:sz w:val="17"/>
        <w:szCs w:val="17"/>
      </w:rPr>
      <w:t>9</w:t>
    </w:r>
    <w:r w:rsidR="008C69E1">
      <w:rPr>
        <w:rFonts w:cs="Times New Roman"/>
        <w:b/>
        <w:bCs/>
        <w:sz w:val="17"/>
        <w:szCs w:val="17"/>
      </w:rP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403FFD4D" w:rsidR="0042042E" w:rsidRPr="00D53848" w:rsidRDefault="00934FB6" w:rsidP="00DB6CCC">
    <w:pPr>
      <w:pBdr>
        <w:bottom w:val="single" w:sz="4" w:space="0" w:color="auto"/>
      </w:pBdr>
      <w:spacing w:before="20" w:after="40"/>
      <w:jc w:val="both"/>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A4119B">
      <w:rPr>
        <w:rFonts w:cs="Times New Roman"/>
        <w:b/>
        <w:bCs/>
        <w:sz w:val="17"/>
        <w:szCs w:val="17"/>
      </w:rPr>
      <w:t>3</w:t>
    </w:r>
    <w:r>
      <w:rPr>
        <w:rFonts w:cs="Times New Roman"/>
        <w:b/>
        <w:bCs/>
        <w:sz w:val="17"/>
        <w:szCs w:val="17"/>
      </w:rPr>
      <w:t>/</w:t>
    </w:r>
    <w:r w:rsidR="00D53848">
      <w:rPr>
        <w:rFonts w:cs="Times New Roman"/>
        <w:b/>
        <w:bCs/>
        <w:sz w:val="17"/>
        <w:szCs w:val="17"/>
      </w:rPr>
      <w:t>9</w:t>
    </w:r>
    <w:r w:rsidR="008C69E1">
      <w:rPr>
        <w:b/>
        <w:bCs/>
        <w:sz w:val="17"/>
        <w:szCs w:val="17"/>
      </w:rP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11A8DAA8"/>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6"/>
  </w:num>
  <w:num w:numId="4">
    <w:abstractNumId w:val="15"/>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4"/>
    <w:lvlOverride w:ilvl="0">
      <w:lvl w:ilvl="0" w:tplc="B724672E">
        <w:start w:val="1"/>
        <w:numFmt w:val="decimal"/>
        <w:lvlText w:val="%1-"/>
        <w:lvlJc w:val="left"/>
        <w:pPr>
          <w:ind w:left="2071" w:hanging="360"/>
        </w:pPr>
        <w:rPr>
          <w:b w:val="0"/>
          <w:i w:val="0"/>
        </w:rPr>
      </w:lvl>
    </w:lvlOverride>
  </w:num>
  <w:num w:numId="20">
    <w:abstractNumId w:val="8"/>
    <w:lvlOverride w:ilvl="0">
      <w:lvl w:ilvl="0">
        <w:start w:val="1"/>
        <w:numFmt w:val="decimal"/>
        <w:lvlText w:val="%1-"/>
        <w:lvlJc w:val="left"/>
        <w:pPr>
          <w:tabs>
            <w:tab w:val="num" w:pos="1134"/>
          </w:tabs>
          <w:ind w:left="1247" w:firstLine="0"/>
        </w:pPr>
        <w:rPr>
          <w:rFonts w:ascii="Traditional Arabic" w:hAnsi="Traditional Arabic" w:cs="Traditional Arabic" w:hint="default"/>
          <w:b/>
          <w:bCs w:val="0"/>
          <w:caps w:val="0"/>
          <w:strike w:val="0"/>
          <w:dstrike w:val="0"/>
          <w:color w:val="000000"/>
          <w:spacing w:val="0"/>
          <w:w w:val="100"/>
          <w:kern w:val="0"/>
          <w:position w:val="0"/>
          <w:sz w:val="30"/>
          <w:szCs w:val="30"/>
          <w:vertAlign w:val="baseline"/>
          <w:lang w:bidi="ar-SA"/>
        </w:rPr>
      </w:lvl>
    </w:lvlOverride>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3">
    <w:abstractNumId w:val="8"/>
    <w:lvlOverride w:ilvl="0">
      <w:lvl w:ilvl="0">
        <w:start w:val="1"/>
        <w:numFmt w:val="decimal"/>
        <w:lvlText w:val="%1-"/>
        <w:lvlJc w:val="left"/>
        <w:pPr>
          <w:tabs>
            <w:tab w:val="num" w:pos="1134"/>
          </w:tabs>
          <w:ind w:left="1247" w:firstLine="0"/>
        </w:pPr>
        <w:rPr>
          <w:rFonts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6145"/>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03FF2"/>
    <w:rsid w:val="000242CB"/>
    <w:rsid w:val="00024566"/>
    <w:rsid w:val="00024D2B"/>
    <w:rsid w:val="0003131F"/>
    <w:rsid w:val="00033595"/>
    <w:rsid w:val="00033A5C"/>
    <w:rsid w:val="0003604B"/>
    <w:rsid w:val="00036134"/>
    <w:rsid w:val="00037D52"/>
    <w:rsid w:val="0004010A"/>
    <w:rsid w:val="00051665"/>
    <w:rsid w:val="0005282F"/>
    <w:rsid w:val="00052C2D"/>
    <w:rsid w:val="0006021A"/>
    <w:rsid w:val="000668FE"/>
    <w:rsid w:val="00071F69"/>
    <w:rsid w:val="00072F5D"/>
    <w:rsid w:val="0008088A"/>
    <w:rsid w:val="0008251D"/>
    <w:rsid w:val="000844F9"/>
    <w:rsid w:val="000855C1"/>
    <w:rsid w:val="000A33B7"/>
    <w:rsid w:val="000A7260"/>
    <w:rsid w:val="000B1AA7"/>
    <w:rsid w:val="000B41E8"/>
    <w:rsid w:val="000C042E"/>
    <w:rsid w:val="000C6AF1"/>
    <w:rsid w:val="000C72D5"/>
    <w:rsid w:val="000D3AC8"/>
    <w:rsid w:val="000D775A"/>
    <w:rsid w:val="000E3644"/>
    <w:rsid w:val="000F083C"/>
    <w:rsid w:val="000F39C0"/>
    <w:rsid w:val="000F712A"/>
    <w:rsid w:val="001010F0"/>
    <w:rsid w:val="00102A11"/>
    <w:rsid w:val="00111DDA"/>
    <w:rsid w:val="001122CD"/>
    <w:rsid w:val="00113A5C"/>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7B75"/>
    <w:rsid w:val="001640DB"/>
    <w:rsid w:val="00165BE3"/>
    <w:rsid w:val="00170697"/>
    <w:rsid w:val="0017427B"/>
    <w:rsid w:val="00174BBC"/>
    <w:rsid w:val="001764C7"/>
    <w:rsid w:val="00177118"/>
    <w:rsid w:val="00177C0C"/>
    <w:rsid w:val="001841AD"/>
    <w:rsid w:val="001844E3"/>
    <w:rsid w:val="00186DE2"/>
    <w:rsid w:val="001A0F83"/>
    <w:rsid w:val="001A6258"/>
    <w:rsid w:val="001B03D9"/>
    <w:rsid w:val="001B2FF1"/>
    <w:rsid w:val="001C1DD1"/>
    <w:rsid w:val="001C513F"/>
    <w:rsid w:val="001C64B6"/>
    <w:rsid w:val="001D3A25"/>
    <w:rsid w:val="001D6BA5"/>
    <w:rsid w:val="001E1443"/>
    <w:rsid w:val="001E4795"/>
    <w:rsid w:val="001E6E8E"/>
    <w:rsid w:val="001F0C9C"/>
    <w:rsid w:val="001F171C"/>
    <w:rsid w:val="001F390D"/>
    <w:rsid w:val="00206E56"/>
    <w:rsid w:val="00207022"/>
    <w:rsid w:val="002079F8"/>
    <w:rsid w:val="002300EA"/>
    <w:rsid w:val="0023160B"/>
    <w:rsid w:val="002323CD"/>
    <w:rsid w:val="002361BF"/>
    <w:rsid w:val="00237F16"/>
    <w:rsid w:val="00245592"/>
    <w:rsid w:val="00252FE5"/>
    <w:rsid w:val="00255F00"/>
    <w:rsid w:val="00260A65"/>
    <w:rsid w:val="00260C3B"/>
    <w:rsid w:val="00261436"/>
    <w:rsid w:val="00261451"/>
    <w:rsid w:val="002625D8"/>
    <w:rsid w:val="00262E14"/>
    <w:rsid w:val="0026317F"/>
    <w:rsid w:val="0026391E"/>
    <w:rsid w:val="00267DA8"/>
    <w:rsid w:val="0027071F"/>
    <w:rsid w:val="00276330"/>
    <w:rsid w:val="002772B3"/>
    <w:rsid w:val="00291EAE"/>
    <w:rsid w:val="00295F25"/>
    <w:rsid w:val="002962A4"/>
    <w:rsid w:val="002A2BDE"/>
    <w:rsid w:val="002A3532"/>
    <w:rsid w:val="002B14DB"/>
    <w:rsid w:val="002B24AA"/>
    <w:rsid w:val="002C1EE1"/>
    <w:rsid w:val="002C46F7"/>
    <w:rsid w:val="002C60AD"/>
    <w:rsid w:val="002D07C5"/>
    <w:rsid w:val="002D57DB"/>
    <w:rsid w:val="002E2164"/>
    <w:rsid w:val="002E7390"/>
    <w:rsid w:val="002F11C2"/>
    <w:rsid w:val="002F74A0"/>
    <w:rsid w:val="00304FAF"/>
    <w:rsid w:val="00306618"/>
    <w:rsid w:val="00310BFE"/>
    <w:rsid w:val="00314875"/>
    <w:rsid w:val="00316921"/>
    <w:rsid w:val="00317E61"/>
    <w:rsid w:val="00317EFB"/>
    <w:rsid w:val="00323929"/>
    <w:rsid w:val="003501E1"/>
    <w:rsid w:val="003511A7"/>
    <w:rsid w:val="00351FDC"/>
    <w:rsid w:val="003553DB"/>
    <w:rsid w:val="0036154E"/>
    <w:rsid w:val="0036250E"/>
    <w:rsid w:val="0038155A"/>
    <w:rsid w:val="003821A4"/>
    <w:rsid w:val="0038322E"/>
    <w:rsid w:val="00384B8A"/>
    <w:rsid w:val="003858ED"/>
    <w:rsid w:val="00386BD3"/>
    <w:rsid w:val="00390CD8"/>
    <w:rsid w:val="003923ED"/>
    <w:rsid w:val="00397363"/>
    <w:rsid w:val="003B1437"/>
    <w:rsid w:val="003B507C"/>
    <w:rsid w:val="003C3E04"/>
    <w:rsid w:val="003C42E1"/>
    <w:rsid w:val="003C510B"/>
    <w:rsid w:val="003C6409"/>
    <w:rsid w:val="003C6718"/>
    <w:rsid w:val="003D355A"/>
    <w:rsid w:val="003E0E95"/>
    <w:rsid w:val="003E1210"/>
    <w:rsid w:val="003E4E41"/>
    <w:rsid w:val="003F77FF"/>
    <w:rsid w:val="0040218B"/>
    <w:rsid w:val="00403B93"/>
    <w:rsid w:val="00404CFE"/>
    <w:rsid w:val="00405211"/>
    <w:rsid w:val="004112CD"/>
    <w:rsid w:val="0042042E"/>
    <w:rsid w:val="00420706"/>
    <w:rsid w:val="00423AEE"/>
    <w:rsid w:val="004469F3"/>
    <w:rsid w:val="00451081"/>
    <w:rsid w:val="00451ABD"/>
    <w:rsid w:val="004524AB"/>
    <w:rsid w:val="00452B9C"/>
    <w:rsid w:val="004547E5"/>
    <w:rsid w:val="004606CA"/>
    <w:rsid w:val="00472C66"/>
    <w:rsid w:val="00473D7D"/>
    <w:rsid w:val="0047425F"/>
    <w:rsid w:val="00475A13"/>
    <w:rsid w:val="00485260"/>
    <w:rsid w:val="004855C1"/>
    <w:rsid w:val="00485600"/>
    <w:rsid w:val="004916B5"/>
    <w:rsid w:val="0049251D"/>
    <w:rsid w:val="00494C40"/>
    <w:rsid w:val="00495361"/>
    <w:rsid w:val="004A1FC4"/>
    <w:rsid w:val="004B0A17"/>
    <w:rsid w:val="004C2C60"/>
    <w:rsid w:val="004D0F9A"/>
    <w:rsid w:val="004D2B12"/>
    <w:rsid w:val="004D567F"/>
    <w:rsid w:val="004E001B"/>
    <w:rsid w:val="004E1EDE"/>
    <w:rsid w:val="004E4EB2"/>
    <w:rsid w:val="004E5370"/>
    <w:rsid w:val="004E741A"/>
    <w:rsid w:val="004E7B30"/>
    <w:rsid w:val="004F1584"/>
    <w:rsid w:val="004F1A2F"/>
    <w:rsid w:val="004F26CB"/>
    <w:rsid w:val="0050160C"/>
    <w:rsid w:val="005023EE"/>
    <w:rsid w:val="00505660"/>
    <w:rsid w:val="005064C3"/>
    <w:rsid w:val="00520C86"/>
    <w:rsid w:val="00521081"/>
    <w:rsid w:val="00522932"/>
    <w:rsid w:val="005234DB"/>
    <w:rsid w:val="00530F46"/>
    <w:rsid w:val="00540949"/>
    <w:rsid w:val="005435B2"/>
    <w:rsid w:val="005668AB"/>
    <w:rsid w:val="00590B41"/>
    <w:rsid w:val="00591B8E"/>
    <w:rsid w:val="00594173"/>
    <w:rsid w:val="00594340"/>
    <w:rsid w:val="005945AA"/>
    <w:rsid w:val="00597815"/>
    <w:rsid w:val="005A39FC"/>
    <w:rsid w:val="005A5C9D"/>
    <w:rsid w:val="005A6A53"/>
    <w:rsid w:val="005B198D"/>
    <w:rsid w:val="005B25B0"/>
    <w:rsid w:val="005B288F"/>
    <w:rsid w:val="005B3616"/>
    <w:rsid w:val="005C1DB0"/>
    <w:rsid w:val="005C55FF"/>
    <w:rsid w:val="005D23EF"/>
    <w:rsid w:val="005E06C5"/>
    <w:rsid w:val="005E2737"/>
    <w:rsid w:val="005E35EA"/>
    <w:rsid w:val="005E6B63"/>
    <w:rsid w:val="005F3809"/>
    <w:rsid w:val="005F4BBB"/>
    <w:rsid w:val="005F5925"/>
    <w:rsid w:val="00601018"/>
    <w:rsid w:val="0060188A"/>
    <w:rsid w:val="00606839"/>
    <w:rsid w:val="0060772E"/>
    <w:rsid w:val="006132CC"/>
    <w:rsid w:val="00614BE8"/>
    <w:rsid w:val="00615461"/>
    <w:rsid w:val="006160A4"/>
    <w:rsid w:val="006227F4"/>
    <w:rsid w:val="00632CDF"/>
    <w:rsid w:val="0063365A"/>
    <w:rsid w:val="0063685D"/>
    <w:rsid w:val="00643398"/>
    <w:rsid w:val="0064436F"/>
    <w:rsid w:val="006569BD"/>
    <w:rsid w:val="00666DB1"/>
    <w:rsid w:val="00671875"/>
    <w:rsid w:val="00684004"/>
    <w:rsid w:val="00684243"/>
    <w:rsid w:val="006861B7"/>
    <w:rsid w:val="00690AEC"/>
    <w:rsid w:val="00696059"/>
    <w:rsid w:val="006A7E4F"/>
    <w:rsid w:val="006B05FA"/>
    <w:rsid w:val="006B0E7B"/>
    <w:rsid w:val="006B4C13"/>
    <w:rsid w:val="006B54B1"/>
    <w:rsid w:val="006C028B"/>
    <w:rsid w:val="006C560D"/>
    <w:rsid w:val="006C5C5C"/>
    <w:rsid w:val="006D0402"/>
    <w:rsid w:val="006D598B"/>
    <w:rsid w:val="006E1D97"/>
    <w:rsid w:val="006E30FA"/>
    <w:rsid w:val="006E4BE0"/>
    <w:rsid w:val="006E7BAC"/>
    <w:rsid w:val="006F036C"/>
    <w:rsid w:val="006F6824"/>
    <w:rsid w:val="006F7F31"/>
    <w:rsid w:val="00706852"/>
    <w:rsid w:val="00712158"/>
    <w:rsid w:val="00720D77"/>
    <w:rsid w:val="0072582B"/>
    <w:rsid w:val="00726240"/>
    <w:rsid w:val="007275EE"/>
    <w:rsid w:val="00732F3B"/>
    <w:rsid w:val="00734EE4"/>
    <w:rsid w:val="007418BE"/>
    <w:rsid w:val="00743330"/>
    <w:rsid w:val="00744D3B"/>
    <w:rsid w:val="00744D9A"/>
    <w:rsid w:val="00751096"/>
    <w:rsid w:val="0075239F"/>
    <w:rsid w:val="0075378C"/>
    <w:rsid w:val="0076392D"/>
    <w:rsid w:val="007640B0"/>
    <w:rsid w:val="00764B71"/>
    <w:rsid w:val="0077392C"/>
    <w:rsid w:val="007775CF"/>
    <w:rsid w:val="00783165"/>
    <w:rsid w:val="007878A7"/>
    <w:rsid w:val="00787C1E"/>
    <w:rsid w:val="00791DE9"/>
    <w:rsid w:val="007A55A9"/>
    <w:rsid w:val="007A671B"/>
    <w:rsid w:val="007B173A"/>
    <w:rsid w:val="007B431F"/>
    <w:rsid w:val="007B5F59"/>
    <w:rsid w:val="007B7061"/>
    <w:rsid w:val="007B75A1"/>
    <w:rsid w:val="007C62EE"/>
    <w:rsid w:val="007C73F5"/>
    <w:rsid w:val="007D019B"/>
    <w:rsid w:val="007D3018"/>
    <w:rsid w:val="007D6ED0"/>
    <w:rsid w:val="007E0C9A"/>
    <w:rsid w:val="007F304D"/>
    <w:rsid w:val="007F59F8"/>
    <w:rsid w:val="00802B63"/>
    <w:rsid w:val="00805014"/>
    <w:rsid w:val="00811602"/>
    <w:rsid w:val="00822614"/>
    <w:rsid w:val="00827105"/>
    <w:rsid w:val="008321C1"/>
    <w:rsid w:val="008323B3"/>
    <w:rsid w:val="00843FDA"/>
    <w:rsid w:val="00846640"/>
    <w:rsid w:val="008500FB"/>
    <w:rsid w:val="00852F12"/>
    <w:rsid w:val="00873A40"/>
    <w:rsid w:val="00880C90"/>
    <w:rsid w:val="0088216E"/>
    <w:rsid w:val="00887CE8"/>
    <w:rsid w:val="0089216B"/>
    <w:rsid w:val="0089620E"/>
    <w:rsid w:val="008A2E91"/>
    <w:rsid w:val="008A5420"/>
    <w:rsid w:val="008A5EBB"/>
    <w:rsid w:val="008A6475"/>
    <w:rsid w:val="008A79DC"/>
    <w:rsid w:val="008B6A62"/>
    <w:rsid w:val="008C188E"/>
    <w:rsid w:val="008C2022"/>
    <w:rsid w:val="008C23F0"/>
    <w:rsid w:val="008C69E1"/>
    <w:rsid w:val="008D4D22"/>
    <w:rsid w:val="008D7739"/>
    <w:rsid w:val="008F4416"/>
    <w:rsid w:val="0090002B"/>
    <w:rsid w:val="009017E0"/>
    <w:rsid w:val="009121DA"/>
    <w:rsid w:val="00916C2A"/>
    <w:rsid w:val="0092522D"/>
    <w:rsid w:val="00926C1F"/>
    <w:rsid w:val="00931CC7"/>
    <w:rsid w:val="00933976"/>
    <w:rsid w:val="00934EBC"/>
    <w:rsid w:val="00934FB6"/>
    <w:rsid w:val="00940BF3"/>
    <w:rsid w:val="00952DAB"/>
    <w:rsid w:val="00954948"/>
    <w:rsid w:val="00955980"/>
    <w:rsid w:val="00961D22"/>
    <w:rsid w:val="0096449B"/>
    <w:rsid w:val="0096688D"/>
    <w:rsid w:val="009809CC"/>
    <w:rsid w:val="00980B82"/>
    <w:rsid w:val="009819E2"/>
    <w:rsid w:val="00983518"/>
    <w:rsid w:val="0099049A"/>
    <w:rsid w:val="009963DD"/>
    <w:rsid w:val="009A052E"/>
    <w:rsid w:val="009A0564"/>
    <w:rsid w:val="009A11E7"/>
    <w:rsid w:val="009A1FDF"/>
    <w:rsid w:val="009A2C69"/>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066E7"/>
    <w:rsid w:val="00A108BD"/>
    <w:rsid w:val="00A12896"/>
    <w:rsid w:val="00A128E5"/>
    <w:rsid w:val="00A178E1"/>
    <w:rsid w:val="00A17930"/>
    <w:rsid w:val="00A23B72"/>
    <w:rsid w:val="00A26E11"/>
    <w:rsid w:val="00A34C1A"/>
    <w:rsid w:val="00A36ABF"/>
    <w:rsid w:val="00A4058E"/>
    <w:rsid w:val="00A4119B"/>
    <w:rsid w:val="00A43405"/>
    <w:rsid w:val="00A46AF4"/>
    <w:rsid w:val="00A579D1"/>
    <w:rsid w:val="00A57F44"/>
    <w:rsid w:val="00A67825"/>
    <w:rsid w:val="00A76B59"/>
    <w:rsid w:val="00A91772"/>
    <w:rsid w:val="00A969A0"/>
    <w:rsid w:val="00AA32A0"/>
    <w:rsid w:val="00AB1E5D"/>
    <w:rsid w:val="00AB7203"/>
    <w:rsid w:val="00AC5F19"/>
    <w:rsid w:val="00AD7F38"/>
    <w:rsid w:val="00AE4729"/>
    <w:rsid w:val="00AF0DF6"/>
    <w:rsid w:val="00AF75CE"/>
    <w:rsid w:val="00B0033E"/>
    <w:rsid w:val="00B10A03"/>
    <w:rsid w:val="00B110B0"/>
    <w:rsid w:val="00B179A4"/>
    <w:rsid w:val="00B3054B"/>
    <w:rsid w:val="00B3198B"/>
    <w:rsid w:val="00B336C3"/>
    <w:rsid w:val="00B3408E"/>
    <w:rsid w:val="00B347CA"/>
    <w:rsid w:val="00B42C89"/>
    <w:rsid w:val="00B602AD"/>
    <w:rsid w:val="00B6390C"/>
    <w:rsid w:val="00B65469"/>
    <w:rsid w:val="00B66D5F"/>
    <w:rsid w:val="00B762F2"/>
    <w:rsid w:val="00B77EDA"/>
    <w:rsid w:val="00B83776"/>
    <w:rsid w:val="00B84185"/>
    <w:rsid w:val="00B87B65"/>
    <w:rsid w:val="00B87FDB"/>
    <w:rsid w:val="00B913B6"/>
    <w:rsid w:val="00B945ED"/>
    <w:rsid w:val="00B97A52"/>
    <w:rsid w:val="00BA25F3"/>
    <w:rsid w:val="00BA5B08"/>
    <w:rsid w:val="00BA66F1"/>
    <w:rsid w:val="00BA6ED1"/>
    <w:rsid w:val="00BB0629"/>
    <w:rsid w:val="00BB4CA4"/>
    <w:rsid w:val="00BB514C"/>
    <w:rsid w:val="00BC7562"/>
    <w:rsid w:val="00BD0BC5"/>
    <w:rsid w:val="00BD1906"/>
    <w:rsid w:val="00BD2B8F"/>
    <w:rsid w:val="00BD4A65"/>
    <w:rsid w:val="00BE20CA"/>
    <w:rsid w:val="00BE3C21"/>
    <w:rsid w:val="00BE5284"/>
    <w:rsid w:val="00BF64C6"/>
    <w:rsid w:val="00BF7F42"/>
    <w:rsid w:val="00C0594F"/>
    <w:rsid w:val="00C1200F"/>
    <w:rsid w:val="00C1297E"/>
    <w:rsid w:val="00C204E0"/>
    <w:rsid w:val="00C2111C"/>
    <w:rsid w:val="00C33F5C"/>
    <w:rsid w:val="00C34FDE"/>
    <w:rsid w:val="00C36378"/>
    <w:rsid w:val="00C37B3A"/>
    <w:rsid w:val="00C44909"/>
    <w:rsid w:val="00C47E78"/>
    <w:rsid w:val="00C56205"/>
    <w:rsid w:val="00C60C8B"/>
    <w:rsid w:val="00C629B7"/>
    <w:rsid w:val="00C712BF"/>
    <w:rsid w:val="00C7529E"/>
    <w:rsid w:val="00C75C0B"/>
    <w:rsid w:val="00C762BE"/>
    <w:rsid w:val="00C82D22"/>
    <w:rsid w:val="00C85728"/>
    <w:rsid w:val="00C86BDC"/>
    <w:rsid w:val="00C90A4C"/>
    <w:rsid w:val="00C91665"/>
    <w:rsid w:val="00C93743"/>
    <w:rsid w:val="00C94729"/>
    <w:rsid w:val="00CA4F8C"/>
    <w:rsid w:val="00CA7833"/>
    <w:rsid w:val="00CB79F1"/>
    <w:rsid w:val="00CC16CF"/>
    <w:rsid w:val="00CD25C4"/>
    <w:rsid w:val="00CD399B"/>
    <w:rsid w:val="00CD4572"/>
    <w:rsid w:val="00CD5653"/>
    <w:rsid w:val="00CD6428"/>
    <w:rsid w:val="00CE3292"/>
    <w:rsid w:val="00D05640"/>
    <w:rsid w:val="00D0655D"/>
    <w:rsid w:val="00D113A9"/>
    <w:rsid w:val="00D11CE5"/>
    <w:rsid w:val="00D12FDA"/>
    <w:rsid w:val="00D15263"/>
    <w:rsid w:val="00D21049"/>
    <w:rsid w:val="00D27F92"/>
    <w:rsid w:val="00D444E7"/>
    <w:rsid w:val="00D44CE3"/>
    <w:rsid w:val="00D52B4F"/>
    <w:rsid w:val="00D53848"/>
    <w:rsid w:val="00D54857"/>
    <w:rsid w:val="00D55934"/>
    <w:rsid w:val="00D569AA"/>
    <w:rsid w:val="00D578BF"/>
    <w:rsid w:val="00D66C66"/>
    <w:rsid w:val="00D70490"/>
    <w:rsid w:val="00D71211"/>
    <w:rsid w:val="00D71822"/>
    <w:rsid w:val="00D7320E"/>
    <w:rsid w:val="00D80FA4"/>
    <w:rsid w:val="00D90EDD"/>
    <w:rsid w:val="00D9173E"/>
    <w:rsid w:val="00D91942"/>
    <w:rsid w:val="00D958DE"/>
    <w:rsid w:val="00DA14CC"/>
    <w:rsid w:val="00DA1588"/>
    <w:rsid w:val="00DA3FB6"/>
    <w:rsid w:val="00DA494E"/>
    <w:rsid w:val="00DB0A68"/>
    <w:rsid w:val="00DB686B"/>
    <w:rsid w:val="00DB6958"/>
    <w:rsid w:val="00DB6CCC"/>
    <w:rsid w:val="00DC4E2F"/>
    <w:rsid w:val="00DC590D"/>
    <w:rsid w:val="00DD2F15"/>
    <w:rsid w:val="00DD3DD1"/>
    <w:rsid w:val="00DE44A3"/>
    <w:rsid w:val="00DE796A"/>
    <w:rsid w:val="00E015AC"/>
    <w:rsid w:val="00E0494C"/>
    <w:rsid w:val="00E14F7F"/>
    <w:rsid w:val="00E1515A"/>
    <w:rsid w:val="00E176E7"/>
    <w:rsid w:val="00E2101B"/>
    <w:rsid w:val="00E323C0"/>
    <w:rsid w:val="00E369DB"/>
    <w:rsid w:val="00E36EB2"/>
    <w:rsid w:val="00E51BAF"/>
    <w:rsid w:val="00E60E51"/>
    <w:rsid w:val="00E63CFD"/>
    <w:rsid w:val="00E642AB"/>
    <w:rsid w:val="00E720C8"/>
    <w:rsid w:val="00E7491C"/>
    <w:rsid w:val="00E760C7"/>
    <w:rsid w:val="00E90558"/>
    <w:rsid w:val="00E96DEF"/>
    <w:rsid w:val="00EA0788"/>
    <w:rsid w:val="00EA0F41"/>
    <w:rsid w:val="00EA14B6"/>
    <w:rsid w:val="00EA218A"/>
    <w:rsid w:val="00EA31BB"/>
    <w:rsid w:val="00EA3601"/>
    <w:rsid w:val="00EB19C9"/>
    <w:rsid w:val="00EB63CF"/>
    <w:rsid w:val="00EC35F9"/>
    <w:rsid w:val="00EC3A5F"/>
    <w:rsid w:val="00ED0538"/>
    <w:rsid w:val="00ED3537"/>
    <w:rsid w:val="00ED77A3"/>
    <w:rsid w:val="00EE026C"/>
    <w:rsid w:val="00EE48F0"/>
    <w:rsid w:val="00EF0793"/>
    <w:rsid w:val="00F12D03"/>
    <w:rsid w:val="00F12DD6"/>
    <w:rsid w:val="00F1601D"/>
    <w:rsid w:val="00F21909"/>
    <w:rsid w:val="00F240DC"/>
    <w:rsid w:val="00F26CD0"/>
    <w:rsid w:val="00F47390"/>
    <w:rsid w:val="00F50135"/>
    <w:rsid w:val="00F61AB5"/>
    <w:rsid w:val="00F64BB3"/>
    <w:rsid w:val="00F70C3F"/>
    <w:rsid w:val="00F7639B"/>
    <w:rsid w:val="00F93241"/>
    <w:rsid w:val="00F96B6F"/>
    <w:rsid w:val="00FA45ED"/>
    <w:rsid w:val="00FB59A6"/>
    <w:rsid w:val="00FC5790"/>
    <w:rsid w:val="00FD576F"/>
    <w:rsid w:val="00FD7BCB"/>
    <w:rsid w:val="00FD7F76"/>
    <w:rsid w:val="00FE21C0"/>
    <w:rsid w:val="00FE2DC0"/>
    <w:rsid w:val="00FE46A2"/>
    <w:rsid w:val="00FF20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122821"/>
  <w15:docId w15:val="{839DBB6A-C642-45A1-88D4-1156C18F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Superscript 6 Point + 11 pt,Appel note de bas de page,-E Fußnotenzeichen,Ref,註腳內容,11 pt"/>
    <w:qFormat/>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3">
    <w:name w:val="CH3"/>
    <w:basedOn w:val="Normalpool"/>
    <w:next w:val="Normalnumber"/>
    <w:rsid w:val="00521081"/>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AATitle2">
    <w:name w:val="AA_Title2"/>
    <w:basedOn w:val="Normal"/>
    <w:rsid w:val="00521081"/>
    <w:pPr>
      <w:keepNext/>
      <w:keepLines/>
      <w:tabs>
        <w:tab w:val="left" w:pos="1247"/>
        <w:tab w:val="left" w:pos="1814"/>
        <w:tab w:val="left" w:pos="2381"/>
        <w:tab w:val="left" w:pos="2948"/>
        <w:tab w:val="left" w:pos="3515"/>
      </w:tabs>
      <w:suppressAutoHyphens/>
      <w:spacing w:before="120" w:after="120"/>
      <w:ind w:right="4536"/>
    </w:pPr>
    <w:rPr>
      <w:rFonts w:cs="Times New Roman"/>
      <w:b/>
      <w:szCs w:val="20"/>
      <w:lang w:val="en-GB"/>
    </w:rPr>
  </w:style>
  <w:style w:type="paragraph" w:customStyle="1" w:styleId="BBTitle">
    <w:name w:val="BB_Title"/>
    <w:basedOn w:val="Normalpool"/>
    <w:link w:val="BBTitleChar"/>
    <w:rsid w:val="00521081"/>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BBTitleChar">
    <w:name w:val="BB_Title Char"/>
    <w:link w:val="BBTitle"/>
    <w:rsid w:val="00521081"/>
    <w:rPr>
      <w:rFonts w:cs="Times New Roman"/>
      <w:b/>
      <w:sz w:val="28"/>
      <w:szCs w:val="28"/>
      <w:lang w:val="en-GB"/>
    </w:rPr>
  </w:style>
  <w:style w:type="character" w:customStyle="1" w:styleId="UnresolvedMention1">
    <w:name w:val="Unresolved Mention1"/>
    <w:basedOn w:val="DefaultParagraphFont"/>
    <w:uiPriority w:val="99"/>
    <w:semiHidden/>
    <w:unhideWhenUsed/>
    <w:rsid w:val="00206E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144A7-4104-45C7-A416-D78D1540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Mahmoud Hassan</cp:lastModifiedBy>
  <cp:revision>2</cp:revision>
  <cp:lastPrinted>2019-07-23T13:41:00Z</cp:lastPrinted>
  <dcterms:created xsi:type="dcterms:W3CDTF">2019-10-24T06:59:00Z</dcterms:created>
  <dcterms:modified xsi:type="dcterms:W3CDTF">2019-10-24T06:59:00Z</dcterms:modified>
</cp:coreProperties>
</file>