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5003"/>
        <w:gridCol w:w="2975"/>
      </w:tblGrid>
      <w:tr w:rsidR="003A0F06" w:rsidRPr="008D2CC5" w14:paraId="08C28060" w14:textId="77777777" w:rsidTr="003A0F06">
        <w:trPr>
          <w:cantSplit/>
          <w:trHeight w:val="57"/>
          <w:jc w:val="right"/>
        </w:trPr>
        <w:tc>
          <w:tcPr>
            <w:tcW w:w="1518" w:type="dxa"/>
          </w:tcPr>
          <w:p w14:paraId="2CFDCE70" w14:textId="77777777" w:rsidR="003A0F06" w:rsidRPr="008D2CC5" w:rsidRDefault="003A0F06" w:rsidP="003A0F06">
            <w:pPr>
              <w:rPr>
                <w:rFonts w:ascii="Arial" w:hAnsi="Arial" w:cs="Arial"/>
                <w:b/>
                <w:sz w:val="27"/>
                <w:szCs w:val="27"/>
              </w:rPr>
            </w:pPr>
            <w:r w:rsidRPr="008D2CC5">
              <w:rPr>
                <w:rFonts w:ascii="Arial" w:hAnsi="Arial" w:cs="Arial"/>
                <w:b/>
                <w:bCs/>
                <w:sz w:val="27"/>
                <w:szCs w:val="27"/>
              </w:rPr>
              <w:t>NATIONS UNIES</w:t>
            </w:r>
          </w:p>
        </w:tc>
        <w:tc>
          <w:tcPr>
            <w:tcW w:w="5003" w:type="dxa"/>
          </w:tcPr>
          <w:p w14:paraId="1FE55A08" w14:textId="77777777" w:rsidR="003A0F06" w:rsidRPr="008D2CC5" w:rsidRDefault="003A0F06" w:rsidP="003A0F06">
            <w:pPr>
              <w:rPr>
                <w:rFonts w:ascii="Univers" w:hAnsi="Univers"/>
                <w:b/>
                <w:sz w:val="27"/>
                <w:szCs w:val="27"/>
              </w:rPr>
            </w:pPr>
          </w:p>
        </w:tc>
        <w:tc>
          <w:tcPr>
            <w:tcW w:w="2975" w:type="dxa"/>
          </w:tcPr>
          <w:p w14:paraId="3CBBB95A" w14:textId="77777777" w:rsidR="003A0F06" w:rsidRPr="008D2CC5" w:rsidRDefault="003A0F06" w:rsidP="003A0F06">
            <w:pPr>
              <w:jc w:val="right"/>
              <w:rPr>
                <w:rFonts w:ascii="Arial" w:hAnsi="Arial" w:cs="Arial"/>
                <w:b/>
                <w:sz w:val="64"/>
                <w:szCs w:val="64"/>
              </w:rPr>
            </w:pPr>
            <w:r w:rsidRPr="008D2CC5">
              <w:rPr>
                <w:rFonts w:ascii="Arial" w:hAnsi="Arial" w:cs="Arial"/>
                <w:b/>
                <w:bCs/>
                <w:sz w:val="64"/>
                <w:szCs w:val="64"/>
              </w:rPr>
              <w:t>MC</w:t>
            </w:r>
          </w:p>
        </w:tc>
      </w:tr>
      <w:tr w:rsidR="003A0F06" w:rsidRPr="008D2CC5" w14:paraId="3F4EFEA4" w14:textId="77777777" w:rsidTr="003A0F06">
        <w:trPr>
          <w:cantSplit/>
          <w:trHeight w:val="57"/>
          <w:jc w:val="right"/>
        </w:trPr>
        <w:tc>
          <w:tcPr>
            <w:tcW w:w="1518" w:type="dxa"/>
            <w:tcBorders>
              <w:bottom w:val="single" w:sz="4" w:space="0" w:color="auto"/>
            </w:tcBorders>
          </w:tcPr>
          <w:p w14:paraId="28C38BB6" w14:textId="77777777" w:rsidR="003A0F06" w:rsidRPr="008D2CC5" w:rsidRDefault="003A0F06" w:rsidP="003A0F06">
            <w:pPr>
              <w:rPr>
                <w:sz w:val="18"/>
                <w:szCs w:val="18"/>
              </w:rPr>
            </w:pPr>
          </w:p>
        </w:tc>
        <w:tc>
          <w:tcPr>
            <w:tcW w:w="5003" w:type="dxa"/>
            <w:tcBorders>
              <w:bottom w:val="single" w:sz="4" w:space="0" w:color="auto"/>
            </w:tcBorders>
          </w:tcPr>
          <w:p w14:paraId="70D39EBB" w14:textId="77777777" w:rsidR="003A0F06" w:rsidRPr="008D2CC5" w:rsidRDefault="003A0F06" w:rsidP="003A0F06">
            <w:pPr>
              <w:rPr>
                <w:rFonts w:ascii="Univers" w:hAnsi="Univers"/>
                <w:b/>
                <w:sz w:val="18"/>
                <w:szCs w:val="18"/>
              </w:rPr>
            </w:pPr>
          </w:p>
        </w:tc>
        <w:tc>
          <w:tcPr>
            <w:tcW w:w="2975" w:type="dxa"/>
            <w:tcBorders>
              <w:bottom w:val="single" w:sz="4" w:space="0" w:color="auto"/>
            </w:tcBorders>
          </w:tcPr>
          <w:p w14:paraId="017D4F11" w14:textId="67DD44A8" w:rsidR="003A0F06" w:rsidRPr="008D2CC5" w:rsidRDefault="003A0F06" w:rsidP="003A0F06">
            <w:pPr>
              <w:rPr>
                <w:sz w:val="18"/>
                <w:szCs w:val="18"/>
              </w:rPr>
            </w:pPr>
            <w:r w:rsidRPr="008D2CC5">
              <w:rPr>
                <w:b/>
                <w:sz w:val="28"/>
                <w:szCs w:val="28"/>
              </w:rPr>
              <w:t>UNEP</w:t>
            </w:r>
            <w:r w:rsidRPr="008D2CC5">
              <w:t>/MC/COP.3/8</w:t>
            </w:r>
            <w:r w:rsidR="0079503F" w:rsidRPr="008D2CC5">
              <w:t>/Rev.1</w:t>
            </w:r>
          </w:p>
        </w:tc>
      </w:tr>
      <w:bookmarkStart w:id="0" w:name="_MON_1021710510"/>
      <w:bookmarkEnd w:id="0"/>
      <w:bookmarkStart w:id="1" w:name="_MON_1021710482"/>
      <w:bookmarkEnd w:id="1"/>
      <w:tr w:rsidR="003A0F06" w:rsidRPr="008D2CC5" w14:paraId="078C3ACD" w14:textId="77777777" w:rsidTr="003A0F06">
        <w:trPr>
          <w:cantSplit/>
          <w:trHeight w:val="57"/>
          <w:jc w:val="right"/>
        </w:trPr>
        <w:tc>
          <w:tcPr>
            <w:tcW w:w="1518" w:type="dxa"/>
            <w:tcBorders>
              <w:top w:val="single" w:sz="4" w:space="0" w:color="auto"/>
              <w:bottom w:val="single" w:sz="24" w:space="0" w:color="auto"/>
            </w:tcBorders>
          </w:tcPr>
          <w:p w14:paraId="548BADA6" w14:textId="77777777" w:rsidR="003A0F06" w:rsidRPr="008D2CC5" w:rsidRDefault="003A0F06" w:rsidP="003A0F06">
            <w:r w:rsidRPr="008D2CC5">
              <w:object w:dxaOrig="1831" w:dyaOrig="1726" w14:anchorId="5568B5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25pt;height:56.15pt;mso-width-percent:0;mso-height-percent:0;mso-width-percent:0;mso-height-percent:0" o:ole="" fillcolor="window">
                  <v:imagedata r:id="rId8" o:title=""/>
                </v:shape>
                <o:OLEObject Type="Embed" ProgID="Word.Picture.8" ShapeID="_x0000_i1025" DrawAspect="Content" ObjectID="_1642236128" r:id="rId9"/>
              </w:object>
            </w:r>
            <w:r w:rsidRPr="008D2CC5">
              <w:rPr>
                <w:noProof/>
                <w:lang w:eastAsia="fr-FR"/>
              </w:rPr>
              <w:drawing>
                <wp:inline distT="0" distB="0" distL="0" distR="0" wp14:anchorId="30BED2B5" wp14:editId="23A639A1">
                  <wp:extent cx="723900" cy="769620"/>
                  <wp:effectExtent l="0" t="0" r="0" b="0"/>
                  <wp:docPr id="3" name="Picture 3"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5003" w:type="dxa"/>
            <w:tcBorders>
              <w:top w:val="single" w:sz="4" w:space="0" w:color="auto"/>
              <w:bottom w:val="single" w:sz="24" w:space="0" w:color="auto"/>
            </w:tcBorders>
          </w:tcPr>
          <w:p w14:paraId="0D9196F8" w14:textId="160DCEB1" w:rsidR="003A0F06" w:rsidRPr="008D2CC5" w:rsidRDefault="003A0F06" w:rsidP="003A0F06">
            <w:pPr>
              <w:spacing w:before="1200"/>
              <w:rPr>
                <w:rFonts w:ascii="Arial" w:hAnsi="Arial" w:cs="Arial"/>
                <w:b/>
                <w:sz w:val="32"/>
                <w:szCs w:val="32"/>
              </w:rPr>
            </w:pPr>
            <w:r w:rsidRPr="008D2CC5">
              <w:rPr>
                <w:rFonts w:ascii="Arial" w:hAnsi="Arial" w:cs="Arial"/>
                <w:b/>
                <w:bCs/>
                <w:sz w:val="32"/>
                <w:szCs w:val="32"/>
              </w:rPr>
              <w:t xml:space="preserve">Programme </w:t>
            </w:r>
            <w:r w:rsidR="00C56F63" w:rsidRPr="008D2CC5">
              <w:rPr>
                <w:rFonts w:ascii="Arial" w:hAnsi="Arial" w:cs="Arial"/>
                <w:b/>
                <w:bCs/>
                <w:sz w:val="32"/>
                <w:szCs w:val="32"/>
              </w:rPr>
              <w:br/>
            </w:r>
            <w:r w:rsidRPr="008D2CC5">
              <w:rPr>
                <w:rFonts w:ascii="Arial" w:hAnsi="Arial" w:cs="Arial"/>
                <w:b/>
                <w:bCs/>
                <w:sz w:val="32"/>
                <w:szCs w:val="32"/>
              </w:rPr>
              <w:t xml:space="preserve">des Nations Unies </w:t>
            </w:r>
            <w:r w:rsidR="00C56F63" w:rsidRPr="008D2CC5">
              <w:rPr>
                <w:rFonts w:ascii="Arial" w:hAnsi="Arial" w:cs="Arial"/>
                <w:b/>
                <w:bCs/>
                <w:sz w:val="32"/>
                <w:szCs w:val="32"/>
              </w:rPr>
              <w:br/>
            </w:r>
            <w:r w:rsidRPr="008D2CC5">
              <w:rPr>
                <w:rFonts w:ascii="Arial" w:hAnsi="Arial" w:cs="Arial"/>
                <w:b/>
                <w:bCs/>
                <w:sz w:val="32"/>
                <w:szCs w:val="32"/>
              </w:rPr>
              <w:t>pour l</w:t>
            </w:r>
            <w:r w:rsidR="000409D6" w:rsidRPr="008D2CC5">
              <w:rPr>
                <w:rFonts w:ascii="Arial" w:hAnsi="Arial" w:cs="Arial"/>
                <w:b/>
                <w:bCs/>
                <w:sz w:val="32"/>
                <w:szCs w:val="32"/>
              </w:rPr>
              <w:t>’</w:t>
            </w:r>
            <w:r w:rsidRPr="008D2CC5">
              <w:rPr>
                <w:rFonts w:ascii="Arial" w:hAnsi="Arial" w:cs="Arial"/>
                <w:b/>
                <w:bCs/>
                <w:sz w:val="32"/>
                <w:szCs w:val="32"/>
              </w:rPr>
              <w:t>environnement</w:t>
            </w:r>
          </w:p>
        </w:tc>
        <w:tc>
          <w:tcPr>
            <w:tcW w:w="2975" w:type="dxa"/>
            <w:tcBorders>
              <w:top w:val="single" w:sz="4" w:space="0" w:color="auto"/>
              <w:bottom w:val="single" w:sz="24" w:space="0" w:color="auto"/>
            </w:tcBorders>
            <w:shd w:val="clear" w:color="auto" w:fill="auto"/>
          </w:tcPr>
          <w:p w14:paraId="25595D85" w14:textId="1EB01518" w:rsidR="003A0F06" w:rsidRPr="008D2CC5" w:rsidRDefault="00827C43" w:rsidP="003A0F06">
            <w:pPr>
              <w:spacing w:before="120"/>
            </w:pPr>
            <w:proofErr w:type="spellStart"/>
            <w:r>
              <w:t>Distr</w:t>
            </w:r>
            <w:proofErr w:type="spellEnd"/>
            <w:r>
              <w:t>. </w:t>
            </w:r>
            <w:proofErr w:type="gramStart"/>
            <w:r w:rsidR="003A0F06" w:rsidRPr="008D2CC5">
              <w:t>générale</w:t>
            </w:r>
            <w:proofErr w:type="gramEnd"/>
            <w:r w:rsidR="003A0F06" w:rsidRPr="008D2CC5">
              <w:t xml:space="preserve"> </w:t>
            </w:r>
            <w:r w:rsidR="003A0F06" w:rsidRPr="008D2CC5">
              <w:br/>
              <w:t>1</w:t>
            </w:r>
            <w:r w:rsidR="00041C61" w:rsidRPr="008D2CC5">
              <w:t>7</w:t>
            </w:r>
            <w:r w:rsidR="003A0F06" w:rsidRPr="008D2CC5">
              <w:t> </w:t>
            </w:r>
            <w:r w:rsidR="00041C61" w:rsidRPr="008D2CC5">
              <w:t xml:space="preserve">décembre </w:t>
            </w:r>
            <w:r w:rsidR="003A0F06" w:rsidRPr="008D2CC5">
              <w:t>2019</w:t>
            </w:r>
          </w:p>
          <w:p w14:paraId="00ACFDAB" w14:textId="2D37F336" w:rsidR="003A0F06" w:rsidRPr="008D2CC5" w:rsidRDefault="003A0F06" w:rsidP="003A0F06">
            <w:pPr>
              <w:spacing w:before="120"/>
            </w:pPr>
            <w:r w:rsidRPr="008D2CC5">
              <w:t xml:space="preserve">Français </w:t>
            </w:r>
            <w:r w:rsidRPr="008D2CC5">
              <w:br/>
              <w:t>Original</w:t>
            </w:r>
            <w:r w:rsidR="000409D6" w:rsidRPr="008D2CC5">
              <w:t> :</w:t>
            </w:r>
            <w:r w:rsidRPr="008D2CC5">
              <w:t xml:space="preserve"> anglais</w:t>
            </w:r>
          </w:p>
        </w:tc>
      </w:tr>
    </w:tbl>
    <w:p w14:paraId="29B88E5C" w14:textId="77777777" w:rsidR="003A0F06" w:rsidRPr="008D2CC5" w:rsidRDefault="003A0F06" w:rsidP="003A0F06">
      <w:pPr>
        <w:pStyle w:val="AATitle"/>
        <w:keepNext w:val="0"/>
        <w:keepLines w:val="0"/>
        <w:rPr>
          <w:lang w:val="fr-FR"/>
        </w:rPr>
      </w:pPr>
      <w:r w:rsidRPr="008D2CC5">
        <w:rPr>
          <w:bCs/>
          <w:lang w:val="fr-FR"/>
        </w:rPr>
        <w:t>Conférence des Parties à la Convention de Minamata sur le mercure</w:t>
      </w:r>
    </w:p>
    <w:p w14:paraId="283A3421" w14:textId="77777777" w:rsidR="003A0F06" w:rsidRPr="008D2CC5" w:rsidRDefault="003A0F06" w:rsidP="003A0F06">
      <w:pPr>
        <w:pStyle w:val="AATitle"/>
        <w:keepNext w:val="0"/>
        <w:keepLines w:val="0"/>
        <w:rPr>
          <w:lang w:val="fr-FR"/>
        </w:rPr>
      </w:pPr>
      <w:r w:rsidRPr="008D2CC5">
        <w:rPr>
          <w:bCs/>
          <w:lang w:val="fr-FR"/>
        </w:rPr>
        <w:t>Troisième réunion</w:t>
      </w:r>
    </w:p>
    <w:p w14:paraId="5BEEA9DE" w14:textId="15F44162" w:rsidR="003A0F06" w:rsidRPr="008D2CC5" w:rsidRDefault="00827C43" w:rsidP="003A0F06">
      <w:pPr>
        <w:pStyle w:val="AATitle"/>
        <w:rPr>
          <w:b w:val="0"/>
          <w:lang w:val="fr-FR"/>
        </w:rPr>
      </w:pPr>
      <w:r>
        <w:rPr>
          <w:b w:val="0"/>
          <w:lang w:val="fr-FR"/>
        </w:rPr>
        <w:t>Genève, 25–29 </w:t>
      </w:r>
      <w:r w:rsidR="003A0F06" w:rsidRPr="008D2CC5">
        <w:rPr>
          <w:b w:val="0"/>
          <w:lang w:val="fr-FR"/>
        </w:rPr>
        <w:t>novembre 2019</w:t>
      </w:r>
    </w:p>
    <w:p w14:paraId="6DF7A3F7" w14:textId="01FD723E" w:rsidR="003A0F06" w:rsidRPr="008D2CC5" w:rsidRDefault="003A0F06" w:rsidP="003A0F06">
      <w:pPr>
        <w:pStyle w:val="AATitle"/>
        <w:keepNext w:val="0"/>
        <w:keepLines w:val="0"/>
        <w:rPr>
          <w:b w:val="0"/>
          <w:lang w:val="fr-FR"/>
        </w:rPr>
      </w:pPr>
      <w:r w:rsidRPr="008D2CC5">
        <w:rPr>
          <w:b w:val="0"/>
          <w:lang w:val="fr-FR"/>
        </w:rPr>
        <w:t>Point</w:t>
      </w:r>
      <w:r w:rsidR="00C63A90" w:rsidRPr="008D2CC5">
        <w:rPr>
          <w:b w:val="0"/>
          <w:lang w:val="fr-FR"/>
        </w:rPr>
        <w:t> </w:t>
      </w:r>
      <w:r w:rsidRPr="008D2CC5">
        <w:rPr>
          <w:b w:val="0"/>
          <w:lang w:val="fr-FR"/>
        </w:rPr>
        <w:t>5</w:t>
      </w:r>
      <w:r w:rsidR="00C63A90" w:rsidRPr="008D2CC5">
        <w:rPr>
          <w:b w:val="0"/>
          <w:lang w:val="fr-FR"/>
        </w:rPr>
        <w:t> d</w:t>
      </w:r>
      <w:r w:rsidRPr="008D2CC5">
        <w:rPr>
          <w:b w:val="0"/>
          <w:lang w:val="fr-FR"/>
        </w:rPr>
        <w:t>) de l</w:t>
      </w:r>
      <w:r w:rsidR="000409D6" w:rsidRPr="008D2CC5">
        <w:rPr>
          <w:b w:val="0"/>
          <w:lang w:val="fr-FR"/>
        </w:rPr>
        <w:t>’</w:t>
      </w:r>
      <w:r w:rsidRPr="008D2CC5">
        <w:rPr>
          <w:b w:val="0"/>
          <w:lang w:val="fr-FR"/>
        </w:rPr>
        <w:t>ordre du jour provisoire</w:t>
      </w:r>
      <w:r w:rsidRPr="008D2CC5">
        <w:rPr>
          <w:b w:val="0"/>
          <w:lang w:val="fr-FR"/>
        </w:rPr>
        <w:footnoteReference w:customMarkFollows="1" w:id="1"/>
        <w:t>*</w:t>
      </w:r>
    </w:p>
    <w:p w14:paraId="505A3C0E" w14:textId="2A618BD7" w:rsidR="003A0F06" w:rsidRPr="008D2CC5" w:rsidRDefault="00C63A90" w:rsidP="00C63A90">
      <w:pPr>
        <w:pStyle w:val="AATitle2"/>
        <w:rPr>
          <w:lang w:val="fr-FR"/>
        </w:rPr>
      </w:pPr>
      <w:r w:rsidRPr="008D2CC5">
        <w:rPr>
          <w:lang w:val="fr-FR"/>
        </w:rPr>
        <w:t>Questions soumises à la Conférence des Parties pour</w:t>
      </w:r>
      <w:r w:rsidR="00C56F63" w:rsidRPr="008D2CC5">
        <w:rPr>
          <w:lang w:val="fr-FR"/>
        </w:rPr>
        <w:t> </w:t>
      </w:r>
      <w:r w:rsidRPr="008D2CC5">
        <w:rPr>
          <w:lang w:val="fr-FR"/>
        </w:rPr>
        <w:t>examen ou décision</w:t>
      </w:r>
      <w:r w:rsidR="000409D6" w:rsidRPr="008D2CC5">
        <w:rPr>
          <w:lang w:val="fr-FR"/>
        </w:rPr>
        <w:t> :</w:t>
      </w:r>
      <w:r w:rsidRPr="008D2CC5">
        <w:rPr>
          <w:lang w:val="fr-FR"/>
        </w:rPr>
        <w:t xml:space="preserve"> orientations</w:t>
      </w:r>
      <w:r w:rsidR="00256B82" w:rsidRPr="008D2CC5">
        <w:rPr>
          <w:lang w:val="fr-FR"/>
        </w:rPr>
        <w:br/>
      </w:r>
      <w:r w:rsidRPr="008D2CC5">
        <w:rPr>
          <w:lang w:val="fr-FR"/>
        </w:rPr>
        <w:t>sur la gestion des</w:t>
      </w:r>
      <w:r w:rsidR="00C56F63" w:rsidRPr="008D2CC5">
        <w:rPr>
          <w:lang w:val="fr-FR"/>
        </w:rPr>
        <w:t> </w:t>
      </w:r>
      <w:r w:rsidRPr="008D2CC5">
        <w:rPr>
          <w:lang w:val="fr-FR"/>
        </w:rPr>
        <w:t>sites contaminés</w:t>
      </w:r>
    </w:p>
    <w:p w14:paraId="14044654" w14:textId="2E2438D0" w:rsidR="00064B6B" w:rsidRPr="008D2CC5" w:rsidRDefault="008B7990" w:rsidP="008A35CE">
      <w:pPr>
        <w:pStyle w:val="BBTitle"/>
        <w:rPr>
          <w:lang w:val="fr-FR"/>
        </w:rPr>
      </w:pPr>
      <w:r w:rsidRPr="008D2CC5">
        <w:rPr>
          <w:lang w:val="fr-FR"/>
        </w:rPr>
        <w:t>Orientations sur la gestion des sites contaminés</w:t>
      </w:r>
    </w:p>
    <w:p w14:paraId="030AB599" w14:textId="21AB548A" w:rsidR="00064B6B" w:rsidRPr="008D2CC5" w:rsidRDefault="00064B6B" w:rsidP="008A35CE">
      <w:pPr>
        <w:pStyle w:val="CH2"/>
        <w:rPr>
          <w:lang w:val="fr-FR"/>
        </w:rPr>
      </w:pPr>
      <w:r w:rsidRPr="008D2CC5">
        <w:rPr>
          <w:lang w:val="fr-FR"/>
        </w:rPr>
        <w:tab/>
      </w:r>
      <w:r w:rsidRPr="008D2CC5">
        <w:rPr>
          <w:lang w:val="fr-FR"/>
        </w:rPr>
        <w:tab/>
      </w:r>
      <w:bookmarkStart w:id="2" w:name="_Toc524355392"/>
      <w:r w:rsidRPr="008D2CC5">
        <w:rPr>
          <w:lang w:val="fr-FR"/>
        </w:rPr>
        <w:t xml:space="preserve">Note </w:t>
      </w:r>
      <w:bookmarkEnd w:id="2"/>
      <w:r w:rsidR="008B7990" w:rsidRPr="008D2CC5">
        <w:rPr>
          <w:lang w:val="fr-FR"/>
        </w:rPr>
        <w:t>du secrétariat</w:t>
      </w:r>
    </w:p>
    <w:p w14:paraId="3F596C34" w14:textId="6DE9FC13" w:rsidR="00064B6B" w:rsidRPr="008D2CC5" w:rsidRDefault="008B7990" w:rsidP="0066320B">
      <w:pPr>
        <w:pStyle w:val="Normalnumber"/>
        <w:rPr>
          <w:lang w:val="fr-FR"/>
        </w:rPr>
      </w:pPr>
      <w:r w:rsidRPr="008D2CC5">
        <w:rPr>
          <w:lang w:val="fr-FR"/>
        </w:rPr>
        <w:t>Le p</w:t>
      </w:r>
      <w:r w:rsidR="00064B6B" w:rsidRPr="008D2CC5">
        <w:rPr>
          <w:lang w:val="fr-FR"/>
        </w:rPr>
        <w:t>aragraph</w:t>
      </w:r>
      <w:r w:rsidRPr="008D2CC5">
        <w:rPr>
          <w:lang w:val="fr-FR"/>
        </w:rPr>
        <w:t>e </w:t>
      </w:r>
      <w:r w:rsidR="00064B6B" w:rsidRPr="008D2CC5">
        <w:rPr>
          <w:lang w:val="fr-FR"/>
        </w:rPr>
        <w:t xml:space="preserve">3 </w:t>
      </w:r>
      <w:r w:rsidRPr="008D2CC5">
        <w:rPr>
          <w:lang w:val="fr-FR"/>
        </w:rPr>
        <w:t>de l</w:t>
      </w:r>
      <w:r w:rsidR="000409D6" w:rsidRPr="008D2CC5">
        <w:rPr>
          <w:lang w:val="fr-FR"/>
        </w:rPr>
        <w:t>’</w:t>
      </w:r>
      <w:r w:rsidR="00064B6B" w:rsidRPr="008D2CC5">
        <w:rPr>
          <w:lang w:val="fr-FR"/>
        </w:rPr>
        <w:t>article</w:t>
      </w:r>
      <w:r w:rsidRPr="008D2CC5">
        <w:rPr>
          <w:lang w:val="fr-FR"/>
        </w:rPr>
        <w:t> </w:t>
      </w:r>
      <w:r w:rsidR="00064B6B" w:rsidRPr="008D2CC5">
        <w:rPr>
          <w:lang w:val="fr-FR"/>
        </w:rPr>
        <w:t xml:space="preserve">12 </w:t>
      </w:r>
      <w:r w:rsidRPr="008D2CC5">
        <w:rPr>
          <w:lang w:val="fr-FR"/>
        </w:rPr>
        <w:t>de la Convention de</w:t>
      </w:r>
      <w:r w:rsidR="00461ADC" w:rsidRPr="008D2CC5">
        <w:rPr>
          <w:lang w:val="fr-FR"/>
        </w:rPr>
        <w:t xml:space="preserve"> Minamata </w:t>
      </w:r>
      <w:r w:rsidRPr="008D2CC5">
        <w:rPr>
          <w:lang w:val="fr-FR"/>
        </w:rPr>
        <w:t>sur le mercure dispose que la</w:t>
      </w:r>
      <w:r w:rsidR="008A35CE" w:rsidRPr="008D2CC5">
        <w:rPr>
          <w:lang w:val="fr-FR"/>
        </w:rPr>
        <w:t> </w:t>
      </w:r>
      <w:r w:rsidRPr="008D2CC5">
        <w:rPr>
          <w:lang w:val="fr-FR"/>
        </w:rPr>
        <w:t>Conférence des Parties à la Convention de Minamata</w:t>
      </w:r>
      <w:r w:rsidR="00461ADC" w:rsidRPr="008D2CC5">
        <w:rPr>
          <w:lang w:val="fr-FR"/>
        </w:rPr>
        <w:t xml:space="preserve"> </w:t>
      </w:r>
      <w:r w:rsidRPr="008D2CC5">
        <w:rPr>
          <w:lang w:val="fr-FR"/>
        </w:rPr>
        <w:t xml:space="preserve">adopte des </w:t>
      </w:r>
      <w:bookmarkStart w:id="3" w:name="_Hlk20476532"/>
      <w:r w:rsidRPr="008D2CC5">
        <w:rPr>
          <w:lang w:val="fr-FR"/>
        </w:rPr>
        <w:t>orientations sur la gestion des sites contaminés</w:t>
      </w:r>
      <w:bookmarkEnd w:id="3"/>
      <w:r w:rsidR="00D31AFF" w:rsidRPr="008D2CC5">
        <w:rPr>
          <w:lang w:val="fr-FR"/>
        </w:rPr>
        <w:t>.</w:t>
      </w:r>
    </w:p>
    <w:p w14:paraId="685A7136" w14:textId="6EEC70D2" w:rsidR="008A17EB" w:rsidRPr="008D2CC5" w:rsidRDefault="008A09FE" w:rsidP="00F93F76">
      <w:pPr>
        <w:pStyle w:val="Normalnumber"/>
        <w:rPr>
          <w:lang w:val="fr-FR"/>
        </w:rPr>
      </w:pPr>
      <w:r w:rsidRPr="008D2CC5">
        <w:rPr>
          <w:lang w:val="fr-FR"/>
        </w:rPr>
        <w:t>Dans sa décision MC</w:t>
      </w:r>
      <w:r w:rsidRPr="008D2CC5">
        <w:rPr>
          <w:lang w:val="fr-FR"/>
        </w:rPr>
        <w:noBreakHyphen/>
        <w:t>1/20, l</w:t>
      </w:r>
      <w:r w:rsidR="008B7990" w:rsidRPr="008D2CC5">
        <w:rPr>
          <w:lang w:val="fr-FR"/>
        </w:rPr>
        <w:t>a Conférence des Parties a prié le secrétariat d</w:t>
      </w:r>
      <w:r w:rsidR="000409D6" w:rsidRPr="008D2CC5">
        <w:rPr>
          <w:lang w:val="fr-FR"/>
        </w:rPr>
        <w:t>’</w:t>
      </w:r>
      <w:r w:rsidR="008B7990" w:rsidRPr="008D2CC5">
        <w:rPr>
          <w:lang w:val="fr-FR"/>
        </w:rPr>
        <w:t>élaborer un projet d</w:t>
      </w:r>
      <w:r w:rsidR="000409D6" w:rsidRPr="008D2CC5">
        <w:rPr>
          <w:lang w:val="fr-FR"/>
        </w:rPr>
        <w:t>’</w:t>
      </w:r>
      <w:r w:rsidR="008B7990" w:rsidRPr="008D2CC5">
        <w:rPr>
          <w:lang w:val="fr-FR"/>
        </w:rPr>
        <w:t xml:space="preserve">orientations, </w:t>
      </w:r>
      <w:r w:rsidR="00CD5230" w:rsidRPr="008D2CC5">
        <w:rPr>
          <w:lang w:val="fr-FR"/>
        </w:rPr>
        <w:t>e</w:t>
      </w:r>
      <w:r w:rsidR="008A17EB" w:rsidRPr="008D2CC5">
        <w:rPr>
          <w:lang w:val="fr-FR"/>
        </w:rPr>
        <w:t xml:space="preserve">n </w:t>
      </w:r>
      <w:r w:rsidR="00893590" w:rsidRPr="008D2CC5">
        <w:rPr>
          <w:lang w:val="fr-FR"/>
        </w:rPr>
        <w:t>concertation</w:t>
      </w:r>
      <w:r w:rsidR="008A17EB" w:rsidRPr="008D2CC5">
        <w:rPr>
          <w:lang w:val="fr-FR"/>
        </w:rPr>
        <w:t xml:space="preserve"> </w:t>
      </w:r>
      <w:r w:rsidR="00CD5230" w:rsidRPr="008D2CC5">
        <w:rPr>
          <w:lang w:val="fr-FR"/>
        </w:rPr>
        <w:t xml:space="preserve">avec </w:t>
      </w:r>
      <w:r w:rsidR="00893590" w:rsidRPr="008D2CC5">
        <w:rPr>
          <w:lang w:val="fr-FR"/>
        </w:rPr>
        <w:t>d</w:t>
      </w:r>
      <w:r w:rsidR="00CD5230" w:rsidRPr="008D2CC5">
        <w:rPr>
          <w:lang w:val="fr-FR"/>
        </w:rPr>
        <w:t>es</w:t>
      </w:r>
      <w:r w:rsidR="008A17EB" w:rsidRPr="008D2CC5">
        <w:rPr>
          <w:lang w:val="fr-FR"/>
        </w:rPr>
        <w:t xml:space="preserve"> </w:t>
      </w:r>
      <w:r w:rsidR="00064B6B" w:rsidRPr="008D2CC5">
        <w:rPr>
          <w:lang w:val="fr-FR"/>
        </w:rPr>
        <w:t>experts</w:t>
      </w:r>
      <w:r w:rsidR="008A17EB" w:rsidRPr="008D2CC5">
        <w:rPr>
          <w:lang w:val="fr-FR"/>
        </w:rPr>
        <w:t xml:space="preserve"> </w:t>
      </w:r>
      <w:r w:rsidR="00CD5230" w:rsidRPr="008D2CC5">
        <w:rPr>
          <w:lang w:val="fr-FR"/>
        </w:rPr>
        <w:t>désignés par les gouvernements et d</w:t>
      </w:r>
      <w:r w:rsidR="000409D6" w:rsidRPr="008D2CC5">
        <w:rPr>
          <w:lang w:val="fr-FR"/>
        </w:rPr>
        <w:t>’</w:t>
      </w:r>
      <w:r w:rsidR="00CD5230" w:rsidRPr="008D2CC5">
        <w:rPr>
          <w:lang w:val="fr-FR"/>
        </w:rPr>
        <w:t>autres parties prenantes, et de soumettre ce projet à la Conférence des Parties à sa deuxième réunion</w:t>
      </w:r>
      <w:r w:rsidR="008A17EB" w:rsidRPr="008D2CC5">
        <w:rPr>
          <w:lang w:val="fr-FR"/>
        </w:rPr>
        <w:t>.</w:t>
      </w:r>
    </w:p>
    <w:p w14:paraId="4CE56115" w14:textId="69760DBA" w:rsidR="00064B6B" w:rsidRPr="008D2CC5" w:rsidRDefault="00CD5230" w:rsidP="00F93F76">
      <w:pPr>
        <w:pStyle w:val="Normalnumber"/>
        <w:rPr>
          <w:lang w:val="fr-FR"/>
        </w:rPr>
      </w:pPr>
      <w:r w:rsidRPr="008D2CC5">
        <w:rPr>
          <w:lang w:val="fr-FR"/>
        </w:rPr>
        <w:t>La Conférence des</w:t>
      </w:r>
      <w:r w:rsidR="00BE0E42" w:rsidRPr="008D2CC5">
        <w:rPr>
          <w:lang w:val="fr-FR"/>
        </w:rPr>
        <w:t xml:space="preserve"> Parties </w:t>
      </w:r>
      <w:r w:rsidRPr="008D2CC5">
        <w:rPr>
          <w:lang w:val="fr-FR"/>
        </w:rPr>
        <w:t>a examiné le projet à sa deuxième réunion et</w:t>
      </w:r>
      <w:r w:rsidR="00893590" w:rsidRPr="008D2CC5">
        <w:rPr>
          <w:lang w:val="fr-FR"/>
        </w:rPr>
        <w:t>,</w:t>
      </w:r>
      <w:r w:rsidRPr="008D2CC5">
        <w:rPr>
          <w:lang w:val="fr-FR"/>
        </w:rPr>
        <w:t xml:space="preserve"> dans sa</w:t>
      </w:r>
      <w:r w:rsidR="008A35CE" w:rsidRPr="008D2CC5">
        <w:rPr>
          <w:lang w:val="fr-FR"/>
        </w:rPr>
        <w:t> </w:t>
      </w:r>
      <w:r w:rsidR="008A17EB" w:rsidRPr="008D2CC5">
        <w:rPr>
          <w:lang w:val="fr-FR"/>
        </w:rPr>
        <w:t>d</w:t>
      </w:r>
      <w:r w:rsidRPr="008D2CC5">
        <w:rPr>
          <w:lang w:val="fr-FR"/>
        </w:rPr>
        <w:t>é</w:t>
      </w:r>
      <w:r w:rsidR="008A17EB" w:rsidRPr="008D2CC5">
        <w:rPr>
          <w:lang w:val="fr-FR"/>
        </w:rPr>
        <w:t>cision</w:t>
      </w:r>
      <w:r w:rsidRPr="008D2CC5">
        <w:rPr>
          <w:lang w:val="fr-FR"/>
        </w:rPr>
        <w:t> </w:t>
      </w:r>
      <w:r w:rsidR="008A17EB" w:rsidRPr="008D2CC5">
        <w:rPr>
          <w:lang w:val="fr-FR"/>
        </w:rPr>
        <w:t>MC</w:t>
      </w:r>
      <w:r w:rsidRPr="008D2CC5">
        <w:rPr>
          <w:lang w:val="fr-FR"/>
        </w:rPr>
        <w:noBreakHyphen/>
      </w:r>
      <w:r w:rsidR="008A17EB" w:rsidRPr="008D2CC5">
        <w:rPr>
          <w:lang w:val="fr-FR"/>
        </w:rPr>
        <w:t>2/8</w:t>
      </w:r>
      <w:r w:rsidR="008D06F3" w:rsidRPr="008D2CC5">
        <w:rPr>
          <w:lang w:val="fr-FR"/>
        </w:rPr>
        <w:t>,</w:t>
      </w:r>
      <w:r w:rsidR="008A17EB" w:rsidRPr="008D2CC5">
        <w:rPr>
          <w:lang w:val="fr-FR"/>
        </w:rPr>
        <w:t xml:space="preserve"> </w:t>
      </w:r>
      <w:r w:rsidR="00893590" w:rsidRPr="008D2CC5">
        <w:rPr>
          <w:lang w:val="fr-FR"/>
        </w:rPr>
        <w:t>prié le secrétariat</w:t>
      </w:r>
      <w:r w:rsidR="008A17EB" w:rsidRPr="008D2CC5">
        <w:rPr>
          <w:lang w:val="fr-FR"/>
        </w:rPr>
        <w:t xml:space="preserve"> </w:t>
      </w:r>
      <w:r w:rsidR="00893590" w:rsidRPr="008D2CC5">
        <w:rPr>
          <w:lang w:val="fr-FR"/>
        </w:rPr>
        <w:t>de réviser plus avant le projet d</w:t>
      </w:r>
      <w:r w:rsidR="000409D6" w:rsidRPr="008D2CC5">
        <w:rPr>
          <w:lang w:val="fr-FR"/>
        </w:rPr>
        <w:t>’</w:t>
      </w:r>
      <w:r w:rsidR="00893590" w:rsidRPr="008D2CC5">
        <w:rPr>
          <w:lang w:val="fr-FR"/>
        </w:rPr>
        <w:t>orientations, en tenant compte des</w:t>
      </w:r>
      <w:r w:rsidR="008A35CE" w:rsidRPr="008D2CC5">
        <w:rPr>
          <w:lang w:val="fr-FR"/>
        </w:rPr>
        <w:t> </w:t>
      </w:r>
      <w:r w:rsidR="00893590" w:rsidRPr="008D2CC5">
        <w:rPr>
          <w:lang w:val="fr-FR"/>
        </w:rPr>
        <w:t>observations et des informations communiquées par les Parties et les parties prenantes et en</w:t>
      </w:r>
      <w:r w:rsidR="008A35CE" w:rsidRPr="008D2CC5">
        <w:rPr>
          <w:lang w:val="fr-FR"/>
        </w:rPr>
        <w:t> </w:t>
      </w:r>
      <w:r w:rsidR="00893590" w:rsidRPr="008D2CC5">
        <w:rPr>
          <w:lang w:val="fr-FR"/>
        </w:rPr>
        <w:t>concertation avec les experts désignés, et de soumettre le projet révisé à la Conférence des Parties afin que celle-ci l</w:t>
      </w:r>
      <w:r w:rsidR="000409D6" w:rsidRPr="008D2CC5">
        <w:rPr>
          <w:lang w:val="fr-FR"/>
        </w:rPr>
        <w:t>’</w:t>
      </w:r>
      <w:r w:rsidR="00893590" w:rsidRPr="008D2CC5">
        <w:rPr>
          <w:lang w:val="fr-FR"/>
        </w:rPr>
        <w:t>examine à sa troisième réunion</w:t>
      </w:r>
      <w:r w:rsidR="00260183" w:rsidRPr="008D2CC5">
        <w:rPr>
          <w:lang w:val="fr-FR"/>
        </w:rPr>
        <w:t>.</w:t>
      </w:r>
    </w:p>
    <w:p w14:paraId="25744D81" w14:textId="282CBB44" w:rsidR="00260183" w:rsidRPr="008D2CC5" w:rsidRDefault="00893590" w:rsidP="00F93F76">
      <w:pPr>
        <w:pStyle w:val="Normalnumber"/>
        <w:rPr>
          <w:lang w:val="fr-FR"/>
        </w:rPr>
      </w:pPr>
      <w:r w:rsidRPr="008D2CC5">
        <w:rPr>
          <w:lang w:val="fr-FR"/>
        </w:rPr>
        <w:t xml:space="preserve">Des observations et des informations ont été communiquées par le </w:t>
      </w:r>
      <w:r w:rsidR="00260183" w:rsidRPr="008D2CC5">
        <w:rPr>
          <w:lang w:val="fr-FR"/>
        </w:rPr>
        <w:t xml:space="preserve">Canada, </w:t>
      </w:r>
      <w:r w:rsidRPr="008D2CC5">
        <w:rPr>
          <w:lang w:val="fr-FR"/>
        </w:rPr>
        <w:t xml:space="preserve">le </w:t>
      </w:r>
      <w:r w:rsidR="00260183" w:rsidRPr="008D2CC5">
        <w:rPr>
          <w:lang w:val="fr-FR"/>
        </w:rPr>
        <w:t>Chil</w:t>
      </w:r>
      <w:r w:rsidRPr="008D2CC5">
        <w:rPr>
          <w:lang w:val="fr-FR"/>
        </w:rPr>
        <w:t>i</w:t>
      </w:r>
      <w:r w:rsidR="00260183" w:rsidRPr="008D2CC5">
        <w:rPr>
          <w:lang w:val="fr-FR"/>
        </w:rPr>
        <w:t>,</w:t>
      </w:r>
      <w:r w:rsidRPr="008D2CC5">
        <w:rPr>
          <w:lang w:val="fr-FR"/>
        </w:rPr>
        <w:t xml:space="preserve"> la</w:t>
      </w:r>
      <w:r w:rsidR="00260183" w:rsidRPr="008D2CC5">
        <w:rPr>
          <w:lang w:val="fr-FR"/>
        </w:rPr>
        <w:t xml:space="preserve"> France, </w:t>
      </w:r>
      <w:r w:rsidRPr="008D2CC5">
        <w:rPr>
          <w:lang w:val="fr-FR"/>
        </w:rPr>
        <w:t xml:space="preserve">le </w:t>
      </w:r>
      <w:r w:rsidR="00260183" w:rsidRPr="008D2CC5">
        <w:rPr>
          <w:lang w:val="fr-FR"/>
        </w:rPr>
        <w:t>Jap</w:t>
      </w:r>
      <w:r w:rsidRPr="008D2CC5">
        <w:rPr>
          <w:lang w:val="fr-FR"/>
        </w:rPr>
        <w:t>o</w:t>
      </w:r>
      <w:r w:rsidR="00260183" w:rsidRPr="008D2CC5">
        <w:rPr>
          <w:lang w:val="fr-FR"/>
        </w:rPr>
        <w:t xml:space="preserve">n, </w:t>
      </w:r>
      <w:r w:rsidRPr="008D2CC5">
        <w:rPr>
          <w:lang w:val="fr-FR"/>
        </w:rPr>
        <w:t>la Suisse</w:t>
      </w:r>
      <w:r w:rsidR="00260183" w:rsidRPr="008D2CC5">
        <w:rPr>
          <w:lang w:val="fr-FR"/>
        </w:rPr>
        <w:t>,</w:t>
      </w:r>
      <w:r w:rsidR="00E458AD" w:rsidRPr="008D2CC5">
        <w:rPr>
          <w:lang w:val="fr-FR"/>
        </w:rPr>
        <w:t xml:space="preserve"> </w:t>
      </w:r>
      <w:r w:rsidRPr="008D2CC5">
        <w:rPr>
          <w:lang w:val="fr-FR"/>
        </w:rPr>
        <w:t>l</w:t>
      </w:r>
      <w:r w:rsidR="000409D6" w:rsidRPr="008D2CC5">
        <w:rPr>
          <w:lang w:val="fr-FR"/>
        </w:rPr>
        <w:t>’</w:t>
      </w:r>
      <w:r w:rsidR="00260183" w:rsidRPr="008D2CC5">
        <w:rPr>
          <w:lang w:val="fr-FR"/>
        </w:rPr>
        <w:t xml:space="preserve">Uruguay, </w:t>
      </w:r>
      <w:r w:rsidR="00E458AD" w:rsidRPr="008D2CC5">
        <w:rPr>
          <w:lang w:val="fr-FR"/>
        </w:rPr>
        <w:t>le secrétariat de la</w:t>
      </w:r>
      <w:r w:rsidR="00260183" w:rsidRPr="008D2CC5">
        <w:rPr>
          <w:lang w:val="fr-FR"/>
        </w:rPr>
        <w:t xml:space="preserve"> </w:t>
      </w:r>
      <w:r w:rsidR="00E458AD" w:rsidRPr="008D2CC5">
        <w:rPr>
          <w:lang w:val="fr-FR"/>
        </w:rPr>
        <w:t>Convention pour la protection du milieu marin et du</w:t>
      </w:r>
      <w:r w:rsidR="008A35CE" w:rsidRPr="008D2CC5">
        <w:rPr>
          <w:lang w:val="fr-FR"/>
        </w:rPr>
        <w:t> </w:t>
      </w:r>
      <w:r w:rsidR="00E458AD" w:rsidRPr="008D2CC5">
        <w:rPr>
          <w:lang w:val="fr-FR"/>
        </w:rPr>
        <w:t>littoral de la Méditerranée</w:t>
      </w:r>
      <w:r w:rsidR="00260183" w:rsidRPr="008D2CC5">
        <w:rPr>
          <w:lang w:val="fr-FR"/>
        </w:rPr>
        <w:t xml:space="preserve">, </w:t>
      </w:r>
      <w:r w:rsidR="00E458AD" w:rsidRPr="008D2CC5">
        <w:rPr>
          <w:lang w:val="fr-FR"/>
        </w:rPr>
        <w:t>le</w:t>
      </w:r>
      <w:r w:rsidR="00C846B1" w:rsidRPr="008D2CC5">
        <w:rPr>
          <w:lang w:val="fr-FR"/>
        </w:rPr>
        <w:t xml:space="preserve"> </w:t>
      </w:r>
      <w:r w:rsidR="00260183" w:rsidRPr="008D2CC5">
        <w:rPr>
          <w:lang w:val="fr-FR"/>
        </w:rPr>
        <w:t xml:space="preserve">Common Forum on </w:t>
      </w:r>
      <w:proofErr w:type="spellStart"/>
      <w:r w:rsidR="00260183" w:rsidRPr="008D2CC5">
        <w:rPr>
          <w:lang w:val="fr-FR"/>
        </w:rPr>
        <w:t>Contaminated</w:t>
      </w:r>
      <w:proofErr w:type="spellEnd"/>
      <w:r w:rsidR="00260183" w:rsidRPr="008D2CC5">
        <w:rPr>
          <w:lang w:val="fr-FR"/>
        </w:rPr>
        <w:t xml:space="preserve"> Land in Europe, </w:t>
      </w:r>
      <w:r w:rsidR="00DD7407" w:rsidRPr="008D2CC5">
        <w:rPr>
          <w:lang w:val="fr-FR"/>
        </w:rPr>
        <w:t>le Conseil international des mines et métaux</w:t>
      </w:r>
      <w:r w:rsidR="00260183" w:rsidRPr="008D2CC5">
        <w:rPr>
          <w:lang w:val="fr-FR"/>
        </w:rPr>
        <w:t xml:space="preserve">, </w:t>
      </w:r>
      <w:r w:rsidR="003F5208" w:rsidRPr="008D2CC5">
        <w:rPr>
          <w:lang w:val="fr-FR"/>
        </w:rPr>
        <w:t>le</w:t>
      </w:r>
      <w:r w:rsidR="005A4FC9" w:rsidRPr="008D2CC5">
        <w:rPr>
          <w:lang w:val="fr-FR"/>
        </w:rPr>
        <w:t xml:space="preserve"> </w:t>
      </w:r>
      <w:r w:rsidR="003F5208" w:rsidRPr="008D2CC5">
        <w:rPr>
          <w:lang w:val="fr-FR"/>
        </w:rPr>
        <w:t>Réseau international pour l</w:t>
      </w:r>
      <w:r w:rsidR="000409D6" w:rsidRPr="008D2CC5">
        <w:rPr>
          <w:lang w:val="fr-FR"/>
        </w:rPr>
        <w:t>’</w:t>
      </w:r>
      <w:r w:rsidR="003F5208" w:rsidRPr="008D2CC5">
        <w:rPr>
          <w:lang w:val="fr-FR"/>
        </w:rPr>
        <w:t xml:space="preserve">élimination des </w:t>
      </w:r>
      <w:r w:rsidR="00681431">
        <w:rPr>
          <w:lang w:val="fr-FR"/>
        </w:rPr>
        <w:t>polluants organiques persistants</w:t>
      </w:r>
      <w:r w:rsidR="003F5208" w:rsidRPr="008D2CC5">
        <w:rPr>
          <w:lang w:val="fr-FR"/>
        </w:rPr>
        <w:t xml:space="preserve"> et</w:t>
      </w:r>
      <w:r w:rsidR="00260183" w:rsidRPr="008D2CC5">
        <w:rPr>
          <w:lang w:val="fr-FR"/>
        </w:rPr>
        <w:t xml:space="preserve"> </w:t>
      </w:r>
      <w:r w:rsidR="000F224E" w:rsidRPr="008D2CC5">
        <w:rPr>
          <w:lang w:val="fr-FR"/>
        </w:rPr>
        <w:t>M</w:t>
      </w:r>
      <w:r w:rsidR="003F5208" w:rsidRPr="008D2CC5">
        <w:rPr>
          <w:lang w:val="fr-FR"/>
        </w:rPr>
        <w:t>me </w:t>
      </w:r>
      <w:proofErr w:type="spellStart"/>
      <w:r w:rsidR="000F224E" w:rsidRPr="008D2CC5">
        <w:rPr>
          <w:lang w:val="fr-FR"/>
        </w:rPr>
        <w:t>Svetoslava</w:t>
      </w:r>
      <w:proofErr w:type="spellEnd"/>
      <w:r w:rsidR="003F5208" w:rsidRPr="008D2CC5">
        <w:rPr>
          <w:lang w:val="fr-FR"/>
        </w:rPr>
        <w:t> </w:t>
      </w:r>
      <w:proofErr w:type="spellStart"/>
      <w:r w:rsidR="00260183" w:rsidRPr="008D2CC5">
        <w:rPr>
          <w:lang w:val="fr-FR"/>
        </w:rPr>
        <w:t>Todorova</w:t>
      </w:r>
      <w:proofErr w:type="spellEnd"/>
      <w:r w:rsidR="000F224E" w:rsidRPr="008D2CC5">
        <w:rPr>
          <w:lang w:val="fr-FR"/>
        </w:rPr>
        <w:t xml:space="preserve"> </w:t>
      </w:r>
      <w:r w:rsidR="003F5208" w:rsidRPr="008D2CC5">
        <w:rPr>
          <w:lang w:val="fr-FR"/>
        </w:rPr>
        <w:t>de l</w:t>
      </w:r>
      <w:r w:rsidR="000409D6" w:rsidRPr="008D2CC5">
        <w:rPr>
          <w:lang w:val="fr-FR"/>
        </w:rPr>
        <w:t>’</w:t>
      </w:r>
      <w:r w:rsidR="003F5208" w:rsidRPr="008D2CC5">
        <w:rPr>
          <w:lang w:val="fr-FR"/>
        </w:rPr>
        <w:t xml:space="preserve">Université de </w:t>
      </w:r>
      <w:r w:rsidR="00260183" w:rsidRPr="008D2CC5">
        <w:rPr>
          <w:lang w:val="fr-FR"/>
        </w:rPr>
        <w:t xml:space="preserve">Syracuse. </w:t>
      </w:r>
      <w:r w:rsidR="003F5208" w:rsidRPr="008D2CC5">
        <w:rPr>
          <w:lang w:val="fr-FR"/>
        </w:rPr>
        <w:t>Le projet d</w:t>
      </w:r>
      <w:r w:rsidR="000409D6" w:rsidRPr="008D2CC5">
        <w:rPr>
          <w:lang w:val="fr-FR"/>
        </w:rPr>
        <w:t>’</w:t>
      </w:r>
      <w:r w:rsidR="003F5208" w:rsidRPr="008D2CC5">
        <w:rPr>
          <w:lang w:val="fr-FR"/>
        </w:rPr>
        <w:t>orientations révisé a été publié</w:t>
      </w:r>
      <w:r w:rsidR="00491330" w:rsidRPr="008D2CC5">
        <w:rPr>
          <w:lang w:val="fr-FR"/>
        </w:rPr>
        <w:t xml:space="preserve"> le</w:t>
      </w:r>
      <w:r w:rsidR="008A35CE" w:rsidRPr="008D2CC5">
        <w:rPr>
          <w:lang w:val="fr-FR"/>
        </w:rPr>
        <w:t> </w:t>
      </w:r>
      <w:r w:rsidR="00491330" w:rsidRPr="008D2CC5">
        <w:rPr>
          <w:lang w:val="fr-FR"/>
        </w:rPr>
        <w:t>17 mai 2019</w:t>
      </w:r>
      <w:r w:rsidR="003F5208" w:rsidRPr="008D2CC5">
        <w:rPr>
          <w:lang w:val="fr-FR"/>
        </w:rPr>
        <w:t xml:space="preserve"> sur le site Web de la Convention </w:t>
      </w:r>
      <w:r w:rsidR="00491330" w:rsidRPr="008D2CC5">
        <w:rPr>
          <w:lang w:val="fr-FR"/>
        </w:rPr>
        <w:t>afin que des observations puissent être formulées jusqu</w:t>
      </w:r>
      <w:r w:rsidR="000409D6" w:rsidRPr="008D2CC5">
        <w:rPr>
          <w:lang w:val="fr-FR"/>
        </w:rPr>
        <w:t>’</w:t>
      </w:r>
      <w:r w:rsidR="00491330" w:rsidRPr="008D2CC5">
        <w:rPr>
          <w:lang w:val="fr-FR"/>
        </w:rPr>
        <w:t>au</w:t>
      </w:r>
      <w:r w:rsidR="00260183" w:rsidRPr="008D2CC5">
        <w:rPr>
          <w:lang w:val="fr-FR"/>
        </w:rPr>
        <w:t xml:space="preserve"> 21</w:t>
      </w:r>
      <w:r w:rsidR="00491330" w:rsidRPr="008D2CC5">
        <w:rPr>
          <w:lang w:val="fr-FR"/>
        </w:rPr>
        <w:t> juin </w:t>
      </w:r>
      <w:r w:rsidR="00260183" w:rsidRPr="008D2CC5">
        <w:rPr>
          <w:lang w:val="fr-FR"/>
        </w:rPr>
        <w:t xml:space="preserve">2019. </w:t>
      </w:r>
      <w:r w:rsidR="00491330" w:rsidRPr="008D2CC5">
        <w:rPr>
          <w:lang w:val="fr-FR"/>
        </w:rPr>
        <w:t>Des observations supplémentaires ont été communiquées par l</w:t>
      </w:r>
      <w:r w:rsidR="000409D6" w:rsidRPr="008D2CC5">
        <w:rPr>
          <w:lang w:val="fr-FR"/>
        </w:rPr>
        <w:t>’</w:t>
      </w:r>
      <w:r w:rsidR="00260183" w:rsidRPr="008D2CC5">
        <w:rPr>
          <w:lang w:val="fr-FR"/>
        </w:rPr>
        <w:t>Argentin</w:t>
      </w:r>
      <w:r w:rsidR="00491330" w:rsidRPr="008D2CC5">
        <w:rPr>
          <w:lang w:val="fr-FR"/>
        </w:rPr>
        <w:t>e</w:t>
      </w:r>
      <w:r w:rsidR="00260183" w:rsidRPr="008D2CC5">
        <w:rPr>
          <w:lang w:val="fr-FR"/>
        </w:rPr>
        <w:t xml:space="preserve">, </w:t>
      </w:r>
      <w:r w:rsidR="00491330" w:rsidRPr="008D2CC5">
        <w:rPr>
          <w:lang w:val="fr-FR"/>
        </w:rPr>
        <w:t>le</w:t>
      </w:r>
      <w:r w:rsidR="008A35CE" w:rsidRPr="008D2CC5">
        <w:rPr>
          <w:lang w:val="fr-FR"/>
        </w:rPr>
        <w:t> </w:t>
      </w:r>
      <w:r w:rsidR="00260183" w:rsidRPr="008D2CC5">
        <w:rPr>
          <w:lang w:val="fr-FR"/>
        </w:rPr>
        <w:t xml:space="preserve">Canada, </w:t>
      </w:r>
      <w:r w:rsidR="00491330" w:rsidRPr="008D2CC5">
        <w:rPr>
          <w:lang w:val="fr-FR"/>
        </w:rPr>
        <w:t xml:space="preserve">le </w:t>
      </w:r>
      <w:r w:rsidR="00260183" w:rsidRPr="008D2CC5">
        <w:rPr>
          <w:lang w:val="fr-FR"/>
        </w:rPr>
        <w:t>Chil</w:t>
      </w:r>
      <w:r w:rsidR="00491330" w:rsidRPr="008D2CC5">
        <w:rPr>
          <w:lang w:val="fr-FR"/>
        </w:rPr>
        <w:t>i</w:t>
      </w:r>
      <w:r w:rsidR="00260183" w:rsidRPr="008D2CC5">
        <w:rPr>
          <w:lang w:val="fr-FR"/>
        </w:rPr>
        <w:t xml:space="preserve">, </w:t>
      </w:r>
      <w:r w:rsidR="00491330" w:rsidRPr="008D2CC5">
        <w:rPr>
          <w:lang w:val="fr-FR"/>
        </w:rPr>
        <w:t xml:space="preserve">la </w:t>
      </w:r>
      <w:r w:rsidR="00260183" w:rsidRPr="008D2CC5">
        <w:rPr>
          <w:lang w:val="fr-FR"/>
        </w:rPr>
        <w:t>Chin</w:t>
      </w:r>
      <w:r w:rsidR="00491330" w:rsidRPr="008D2CC5">
        <w:rPr>
          <w:lang w:val="fr-FR"/>
        </w:rPr>
        <w:t>e</w:t>
      </w:r>
      <w:r w:rsidR="00260183" w:rsidRPr="008D2CC5">
        <w:rPr>
          <w:lang w:val="fr-FR"/>
        </w:rPr>
        <w:t xml:space="preserve">, </w:t>
      </w:r>
      <w:r w:rsidR="00491330" w:rsidRPr="008D2CC5">
        <w:rPr>
          <w:lang w:val="fr-FR"/>
        </w:rPr>
        <w:t>l</w:t>
      </w:r>
      <w:r w:rsidR="000409D6" w:rsidRPr="008D2CC5">
        <w:rPr>
          <w:lang w:val="fr-FR"/>
        </w:rPr>
        <w:t>’</w:t>
      </w:r>
      <w:r w:rsidR="00491330" w:rsidRPr="008D2CC5">
        <w:rPr>
          <w:lang w:val="fr-FR"/>
        </w:rPr>
        <w:t>Espagne, les États-Unis d</w:t>
      </w:r>
      <w:r w:rsidR="000409D6" w:rsidRPr="008D2CC5">
        <w:rPr>
          <w:lang w:val="fr-FR"/>
        </w:rPr>
        <w:t>’</w:t>
      </w:r>
      <w:r w:rsidR="00491330" w:rsidRPr="008D2CC5">
        <w:rPr>
          <w:lang w:val="fr-FR"/>
        </w:rPr>
        <w:t xml:space="preserve">Amérique, la </w:t>
      </w:r>
      <w:r w:rsidR="00260183" w:rsidRPr="008D2CC5">
        <w:rPr>
          <w:lang w:val="fr-FR"/>
        </w:rPr>
        <w:t xml:space="preserve">France, </w:t>
      </w:r>
      <w:r w:rsidR="00491330" w:rsidRPr="008D2CC5">
        <w:rPr>
          <w:lang w:val="fr-FR"/>
        </w:rPr>
        <w:t>l</w:t>
      </w:r>
      <w:r w:rsidR="000C34EA">
        <w:rPr>
          <w:lang w:val="fr-FR"/>
        </w:rPr>
        <w:t>a</w:t>
      </w:r>
      <w:r w:rsidR="00260183" w:rsidRPr="008D2CC5">
        <w:rPr>
          <w:lang w:val="fr-FR"/>
        </w:rPr>
        <w:t xml:space="preserve"> </w:t>
      </w:r>
      <w:r w:rsidR="00491330" w:rsidRPr="008D2CC5">
        <w:rPr>
          <w:lang w:val="fr-FR"/>
        </w:rPr>
        <w:t>République islamique d</w:t>
      </w:r>
      <w:r w:rsidR="000409D6" w:rsidRPr="008D2CC5">
        <w:rPr>
          <w:lang w:val="fr-FR"/>
        </w:rPr>
        <w:t>’</w:t>
      </w:r>
      <w:r w:rsidR="000C34EA" w:rsidRPr="000C34EA">
        <w:rPr>
          <w:lang w:val="fr-FR"/>
        </w:rPr>
        <w:t>Iran</w:t>
      </w:r>
      <w:r w:rsidR="00260183" w:rsidRPr="008D2CC5">
        <w:rPr>
          <w:lang w:val="fr-FR"/>
        </w:rPr>
        <w:t xml:space="preserve">, </w:t>
      </w:r>
      <w:r w:rsidR="00491330" w:rsidRPr="008D2CC5">
        <w:rPr>
          <w:lang w:val="fr-FR"/>
        </w:rPr>
        <w:t xml:space="preserve">le </w:t>
      </w:r>
      <w:r w:rsidR="00260183" w:rsidRPr="008D2CC5">
        <w:rPr>
          <w:lang w:val="fr-FR"/>
        </w:rPr>
        <w:t>Jap</w:t>
      </w:r>
      <w:r w:rsidR="00491330" w:rsidRPr="008D2CC5">
        <w:rPr>
          <w:lang w:val="fr-FR"/>
        </w:rPr>
        <w:t>o</w:t>
      </w:r>
      <w:r w:rsidR="00260183" w:rsidRPr="008D2CC5">
        <w:rPr>
          <w:lang w:val="fr-FR"/>
        </w:rPr>
        <w:t xml:space="preserve">n, </w:t>
      </w:r>
      <w:r w:rsidR="00491330" w:rsidRPr="008D2CC5">
        <w:rPr>
          <w:lang w:val="fr-FR"/>
        </w:rPr>
        <w:t>le Conseil international des mines et métaux</w:t>
      </w:r>
      <w:r w:rsidR="00260183" w:rsidRPr="008D2CC5">
        <w:rPr>
          <w:lang w:val="fr-FR"/>
        </w:rPr>
        <w:t xml:space="preserve">, </w:t>
      </w:r>
      <w:r w:rsidR="00491330" w:rsidRPr="008D2CC5">
        <w:rPr>
          <w:lang w:val="fr-FR"/>
        </w:rPr>
        <w:t>le Réseau international pour l</w:t>
      </w:r>
      <w:r w:rsidR="000409D6" w:rsidRPr="008D2CC5">
        <w:rPr>
          <w:lang w:val="fr-FR"/>
        </w:rPr>
        <w:t>’</w:t>
      </w:r>
      <w:r w:rsidR="00491330" w:rsidRPr="008D2CC5">
        <w:rPr>
          <w:lang w:val="fr-FR"/>
        </w:rPr>
        <w:t xml:space="preserve">élimination des </w:t>
      </w:r>
      <w:r w:rsidR="00681431">
        <w:rPr>
          <w:lang w:val="fr-FR"/>
        </w:rPr>
        <w:t>polluants organiques persistants</w:t>
      </w:r>
      <w:r w:rsidR="00491330" w:rsidRPr="008D2CC5">
        <w:rPr>
          <w:lang w:val="fr-FR"/>
        </w:rPr>
        <w:t xml:space="preserve"> et</w:t>
      </w:r>
      <w:r w:rsidR="00260183" w:rsidRPr="008D2CC5">
        <w:rPr>
          <w:lang w:val="fr-FR"/>
        </w:rPr>
        <w:t xml:space="preserve"> </w:t>
      </w:r>
      <w:r w:rsidR="000F224E" w:rsidRPr="008D2CC5">
        <w:rPr>
          <w:lang w:val="fr-FR"/>
        </w:rPr>
        <w:t>M</w:t>
      </w:r>
      <w:r w:rsidR="00491330" w:rsidRPr="008D2CC5">
        <w:rPr>
          <w:lang w:val="fr-FR"/>
        </w:rPr>
        <w:t>me </w:t>
      </w:r>
      <w:proofErr w:type="spellStart"/>
      <w:r w:rsidR="00260183" w:rsidRPr="008D2CC5">
        <w:rPr>
          <w:lang w:val="fr-FR"/>
        </w:rPr>
        <w:t>Todorova</w:t>
      </w:r>
      <w:proofErr w:type="spellEnd"/>
      <w:r w:rsidR="00260183" w:rsidRPr="008D2CC5">
        <w:rPr>
          <w:lang w:val="fr-FR"/>
        </w:rPr>
        <w:t xml:space="preserve">. </w:t>
      </w:r>
      <w:r w:rsidR="00491330" w:rsidRPr="008D2CC5">
        <w:rPr>
          <w:lang w:val="fr-FR"/>
        </w:rPr>
        <w:t>Le secrétariat a organisé le 1</w:t>
      </w:r>
      <w:r w:rsidR="00491330" w:rsidRPr="008D2CC5">
        <w:rPr>
          <w:vertAlign w:val="superscript"/>
          <w:lang w:val="fr-FR"/>
        </w:rPr>
        <w:t>er</w:t>
      </w:r>
      <w:r w:rsidR="00491330" w:rsidRPr="008D2CC5">
        <w:rPr>
          <w:lang w:val="fr-FR"/>
        </w:rPr>
        <w:t> juillet 2019 une</w:t>
      </w:r>
      <w:r w:rsidR="008A35CE" w:rsidRPr="008D2CC5">
        <w:rPr>
          <w:lang w:val="fr-FR"/>
        </w:rPr>
        <w:t> </w:t>
      </w:r>
      <w:r w:rsidR="00491330" w:rsidRPr="008D2CC5">
        <w:rPr>
          <w:lang w:val="fr-FR"/>
        </w:rPr>
        <w:t>téléconférence avec les experts désignés</w:t>
      </w:r>
      <w:r w:rsidR="00260183" w:rsidRPr="008D2CC5">
        <w:rPr>
          <w:lang w:val="fr-FR"/>
        </w:rPr>
        <w:t xml:space="preserve"> </w:t>
      </w:r>
      <w:r w:rsidR="00491330" w:rsidRPr="008D2CC5">
        <w:rPr>
          <w:lang w:val="fr-FR"/>
        </w:rPr>
        <w:t xml:space="preserve">et ensuite élaboré le </w:t>
      </w:r>
      <w:r w:rsidR="00F37BF0" w:rsidRPr="008D2CC5">
        <w:rPr>
          <w:lang w:val="fr-FR"/>
        </w:rPr>
        <w:t xml:space="preserve">nouveau </w:t>
      </w:r>
      <w:r w:rsidR="00491330" w:rsidRPr="008D2CC5">
        <w:rPr>
          <w:lang w:val="fr-FR"/>
        </w:rPr>
        <w:t>projet</w:t>
      </w:r>
      <w:r w:rsidR="0008379F" w:rsidRPr="008D2CC5">
        <w:rPr>
          <w:lang w:val="fr-FR"/>
        </w:rPr>
        <w:t xml:space="preserve"> </w:t>
      </w:r>
      <w:r w:rsidR="00491330" w:rsidRPr="008D2CC5">
        <w:rPr>
          <w:lang w:val="fr-FR"/>
        </w:rPr>
        <w:t xml:space="preserve">révisé </w:t>
      </w:r>
      <w:r w:rsidR="00F37BF0" w:rsidRPr="008D2CC5">
        <w:rPr>
          <w:lang w:val="fr-FR"/>
        </w:rPr>
        <w:t>qui est contenu dans l</w:t>
      </w:r>
      <w:r w:rsidR="000409D6" w:rsidRPr="008D2CC5">
        <w:rPr>
          <w:lang w:val="fr-FR"/>
        </w:rPr>
        <w:t>’</w:t>
      </w:r>
      <w:r w:rsidR="00F37BF0" w:rsidRPr="008D2CC5">
        <w:rPr>
          <w:lang w:val="fr-FR"/>
        </w:rPr>
        <w:t>a</w:t>
      </w:r>
      <w:r w:rsidR="001D3060" w:rsidRPr="008D2CC5">
        <w:rPr>
          <w:lang w:val="fr-FR"/>
        </w:rPr>
        <w:t>nnex</w:t>
      </w:r>
      <w:r w:rsidR="00F37BF0" w:rsidRPr="008D2CC5">
        <w:rPr>
          <w:lang w:val="fr-FR"/>
        </w:rPr>
        <w:t>e </w:t>
      </w:r>
      <w:r w:rsidR="001D3060" w:rsidRPr="008D2CC5">
        <w:rPr>
          <w:lang w:val="fr-FR"/>
        </w:rPr>
        <w:t>II</w:t>
      </w:r>
      <w:r w:rsidR="008D06F3" w:rsidRPr="008D2CC5">
        <w:rPr>
          <w:lang w:val="fr-FR"/>
        </w:rPr>
        <w:t xml:space="preserve"> </w:t>
      </w:r>
      <w:r w:rsidR="007064D1" w:rsidRPr="008D2CC5">
        <w:rPr>
          <w:lang w:val="fr-FR"/>
        </w:rPr>
        <w:t>du document UNEP/MC/COP.3/8</w:t>
      </w:r>
      <w:r w:rsidR="00260183" w:rsidRPr="008D2CC5">
        <w:rPr>
          <w:lang w:val="fr-FR"/>
        </w:rPr>
        <w:t>.</w:t>
      </w:r>
      <w:r w:rsidR="00064B6B" w:rsidRPr="008D2CC5">
        <w:rPr>
          <w:lang w:val="fr-FR"/>
        </w:rPr>
        <w:t xml:space="preserve"> </w:t>
      </w:r>
    </w:p>
    <w:p w14:paraId="49F616FD" w14:textId="0B5B6E51" w:rsidR="003A7ACF" w:rsidRPr="008D2CC5" w:rsidRDefault="004A7825" w:rsidP="00F93F76">
      <w:pPr>
        <w:pStyle w:val="Normalnumber"/>
        <w:rPr>
          <w:lang w:val="fr-FR"/>
        </w:rPr>
      </w:pPr>
      <w:r w:rsidRPr="008D2CC5">
        <w:rPr>
          <w:lang w:val="fr-FR"/>
        </w:rPr>
        <w:t>Lors de leur téléconférence</w:t>
      </w:r>
      <w:r w:rsidR="0008379F" w:rsidRPr="008D2CC5">
        <w:rPr>
          <w:lang w:val="fr-FR"/>
        </w:rPr>
        <w:t>,</w:t>
      </w:r>
      <w:r w:rsidRPr="008D2CC5">
        <w:rPr>
          <w:lang w:val="fr-FR"/>
        </w:rPr>
        <w:t xml:space="preserve"> les experts désignés ont convenu que certaines des informations étaient trop techniques pour figurer dans les orientations mais devraient être mises à la disposition des</w:t>
      </w:r>
      <w:r w:rsidR="008A35CE" w:rsidRPr="008D2CC5">
        <w:rPr>
          <w:lang w:val="fr-FR"/>
        </w:rPr>
        <w:t> </w:t>
      </w:r>
      <w:r w:rsidRPr="008D2CC5">
        <w:rPr>
          <w:lang w:val="fr-FR"/>
        </w:rPr>
        <w:t>Parties afin d</w:t>
      </w:r>
      <w:r w:rsidR="000409D6" w:rsidRPr="008D2CC5">
        <w:rPr>
          <w:lang w:val="fr-FR"/>
        </w:rPr>
        <w:t>’</w:t>
      </w:r>
      <w:r w:rsidRPr="008D2CC5">
        <w:rPr>
          <w:lang w:val="fr-FR"/>
        </w:rPr>
        <w:t>appuyer la mise en œuvre de l</w:t>
      </w:r>
      <w:r w:rsidR="000409D6" w:rsidRPr="008D2CC5">
        <w:rPr>
          <w:lang w:val="fr-FR"/>
        </w:rPr>
        <w:t>’</w:t>
      </w:r>
      <w:r w:rsidR="0008379F" w:rsidRPr="008D2CC5">
        <w:rPr>
          <w:lang w:val="fr-FR"/>
        </w:rPr>
        <w:t>article</w:t>
      </w:r>
      <w:r w:rsidRPr="008D2CC5">
        <w:rPr>
          <w:lang w:val="fr-FR"/>
        </w:rPr>
        <w:t> </w:t>
      </w:r>
      <w:r w:rsidR="0008379F" w:rsidRPr="008D2CC5">
        <w:rPr>
          <w:lang w:val="fr-FR"/>
        </w:rPr>
        <w:t xml:space="preserve">12. </w:t>
      </w:r>
      <w:r w:rsidRPr="008D2CC5">
        <w:rPr>
          <w:lang w:val="fr-FR"/>
        </w:rPr>
        <w:t>Ces</w:t>
      </w:r>
      <w:r w:rsidR="0008379F" w:rsidRPr="008D2CC5">
        <w:rPr>
          <w:lang w:val="fr-FR"/>
        </w:rPr>
        <w:t xml:space="preserve"> information</w:t>
      </w:r>
      <w:r w:rsidRPr="008D2CC5">
        <w:rPr>
          <w:lang w:val="fr-FR"/>
        </w:rPr>
        <w:t>s figurent en annexe au</w:t>
      </w:r>
      <w:r w:rsidR="008A35CE" w:rsidRPr="008D2CC5">
        <w:rPr>
          <w:lang w:val="fr-FR"/>
        </w:rPr>
        <w:t> </w:t>
      </w:r>
      <w:r w:rsidR="002F1440" w:rsidRPr="008D2CC5">
        <w:rPr>
          <w:lang w:val="fr-FR"/>
        </w:rPr>
        <w:t xml:space="preserve">document </w:t>
      </w:r>
      <w:r w:rsidR="0008379F" w:rsidRPr="008D2CC5">
        <w:rPr>
          <w:lang w:val="fr-FR"/>
        </w:rPr>
        <w:t>UNEP/MC/COP.3/INF/13</w:t>
      </w:r>
      <w:r w:rsidR="00F523FD" w:rsidRPr="008D2CC5">
        <w:rPr>
          <w:lang w:val="fr-FR"/>
        </w:rPr>
        <w:t>.</w:t>
      </w:r>
    </w:p>
    <w:p w14:paraId="69F15413" w14:textId="5B8F5777" w:rsidR="00064B6B" w:rsidRPr="008D2CC5" w:rsidRDefault="00064B6B" w:rsidP="00064B6B">
      <w:pPr>
        <w:pStyle w:val="CH2"/>
        <w:rPr>
          <w:lang w:val="fr-FR"/>
        </w:rPr>
      </w:pPr>
      <w:r w:rsidRPr="008D2CC5">
        <w:rPr>
          <w:lang w:val="fr-FR"/>
        </w:rPr>
        <w:lastRenderedPageBreak/>
        <w:tab/>
      </w:r>
      <w:r w:rsidRPr="008D2CC5">
        <w:rPr>
          <w:lang w:val="fr-FR"/>
        </w:rPr>
        <w:tab/>
      </w:r>
      <w:r w:rsidR="00314263" w:rsidRPr="008D2CC5">
        <w:rPr>
          <w:lang w:val="fr-FR"/>
        </w:rPr>
        <w:t xml:space="preserve">Mesure </w:t>
      </w:r>
      <w:r w:rsidR="007F3807" w:rsidRPr="008D2CC5">
        <w:rPr>
          <w:lang w:val="fr-FR"/>
        </w:rPr>
        <w:t>prise par</w:t>
      </w:r>
      <w:r w:rsidR="00314263" w:rsidRPr="008D2CC5">
        <w:rPr>
          <w:lang w:val="fr-FR"/>
        </w:rPr>
        <w:t xml:space="preserve"> la Conférence des Parties</w:t>
      </w:r>
    </w:p>
    <w:p w14:paraId="282468A5" w14:textId="462BEA56" w:rsidR="003A28C0" w:rsidRDefault="00314263" w:rsidP="003A0F06">
      <w:pPr>
        <w:pStyle w:val="Normalnumber"/>
        <w:rPr>
          <w:lang w:val="fr-FR"/>
        </w:rPr>
      </w:pPr>
      <w:r w:rsidRPr="008D2CC5">
        <w:rPr>
          <w:lang w:val="fr-FR"/>
        </w:rPr>
        <w:t>La</w:t>
      </w:r>
      <w:r w:rsidR="00064B6B" w:rsidRPr="008D2CC5">
        <w:rPr>
          <w:lang w:val="fr-FR"/>
        </w:rPr>
        <w:t xml:space="preserve"> Conf</w:t>
      </w:r>
      <w:r w:rsidRPr="008D2CC5">
        <w:rPr>
          <w:lang w:val="fr-FR"/>
        </w:rPr>
        <w:t>é</w:t>
      </w:r>
      <w:r w:rsidR="00064B6B" w:rsidRPr="008D2CC5">
        <w:rPr>
          <w:lang w:val="fr-FR"/>
        </w:rPr>
        <w:t xml:space="preserve">rence </w:t>
      </w:r>
      <w:r w:rsidRPr="008D2CC5">
        <w:rPr>
          <w:lang w:val="fr-FR"/>
        </w:rPr>
        <w:t>des</w:t>
      </w:r>
      <w:r w:rsidR="00064B6B" w:rsidRPr="008D2CC5">
        <w:rPr>
          <w:lang w:val="fr-FR"/>
        </w:rPr>
        <w:t xml:space="preserve"> Parties</w:t>
      </w:r>
      <w:r w:rsidRPr="008D2CC5">
        <w:rPr>
          <w:lang w:val="fr-FR"/>
        </w:rPr>
        <w:t xml:space="preserve"> </w:t>
      </w:r>
      <w:r w:rsidR="007F3807" w:rsidRPr="008D2CC5">
        <w:rPr>
          <w:lang w:val="fr-FR"/>
        </w:rPr>
        <w:t>a</w:t>
      </w:r>
      <w:r w:rsidRPr="008D2CC5">
        <w:rPr>
          <w:lang w:val="fr-FR"/>
        </w:rPr>
        <w:t xml:space="preserve"> examin</w:t>
      </w:r>
      <w:r w:rsidR="007F3807" w:rsidRPr="008D2CC5">
        <w:rPr>
          <w:lang w:val="fr-FR"/>
        </w:rPr>
        <w:t>é</w:t>
      </w:r>
      <w:r w:rsidRPr="008D2CC5">
        <w:rPr>
          <w:lang w:val="fr-FR"/>
        </w:rPr>
        <w:t xml:space="preserve"> le projet d</w:t>
      </w:r>
      <w:r w:rsidR="000409D6" w:rsidRPr="008D2CC5">
        <w:rPr>
          <w:lang w:val="fr-FR"/>
        </w:rPr>
        <w:t>’</w:t>
      </w:r>
      <w:r w:rsidRPr="008D2CC5">
        <w:rPr>
          <w:lang w:val="fr-FR"/>
        </w:rPr>
        <w:t>orientations</w:t>
      </w:r>
      <w:r w:rsidR="007F3807" w:rsidRPr="008D2CC5">
        <w:rPr>
          <w:lang w:val="fr-FR"/>
        </w:rPr>
        <w:t xml:space="preserve"> figurant dans l</w:t>
      </w:r>
      <w:r w:rsidR="000409D6" w:rsidRPr="008D2CC5">
        <w:rPr>
          <w:lang w:val="fr-FR"/>
        </w:rPr>
        <w:t>’</w:t>
      </w:r>
      <w:r w:rsidR="007F3807" w:rsidRPr="008D2CC5">
        <w:rPr>
          <w:lang w:val="fr-FR"/>
        </w:rPr>
        <w:t>annexe II du document UNEP/MC/COP.3/8 et l</w:t>
      </w:r>
      <w:r w:rsidR="000409D6" w:rsidRPr="008D2CC5">
        <w:rPr>
          <w:lang w:val="fr-FR"/>
        </w:rPr>
        <w:t>’</w:t>
      </w:r>
      <w:r w:rsidR="007F3807" w:rsidRPr="008D2CC5">
        <w:rPr>
          <w:lang w:val="fr-FR"/>
        </w:rPr>
        <w:t xml:space="preserve">a adopté </w:t>
      </w:r>
      <w:r w:rsidR="00A91944" w:rsidRPr="008D2CC5">
        <w:rPr>
          <w:lang w:val="fr-FR"/>
        </w:rPr>
        <w:t>avec quelques modifications</w:t>
      </w:r>
      <w:r w:rsidR="00064B6B" w:rsidRPr="008D2CC5">
        <w:rPr>
          <w:lang w:val="fr-FR"/>
        </w:rPr>
        <w:t xml:space="preserve">. </w:t>
      </w:r>
      <w:r w:rsidR="005A4DF9" w:rsidRPr="008D2CC5">
        <w:rPr>
          <w:lang w:val="fr-FR"/>
        </w:rPr>
        <w:t>Les orientations</w:t>
      </w:r>
      <w:r w:rsidRPr="008D2CC5">
        <w:rPr>
          <w:lang w:val="fr-FR"/>
        </w:rPr>
        <w:t xml:space="preserve"> </w:t>
      </w:r>
      <w:r w:rsidR="005A4DF9" w:rsidRPr="008D2CC5">
        <w:rPr>
          <w:lang w:val="fr-FR"/>
        </w:rPr>
        <w:t xml:space="preserve">adoptées sont reproduites </w:t>
      </w:r>
      <w:r w:rsidRPr="008D2CC5">
        <w:rPr>
          <w:lang w:val="fr-FR"/>
        </w:rPr>
        <w:t>dans l</w:t>
      </w:r>
      <w:r w:rsidR="000409D6" w:rsidRPr="008D2CC5">
        <w:rPr>
          <w:lang w:val="fr-FR"/>
        </w:rPr>
        <w:t>’</w:t>
      </w:r>
      <w:r w:rsidRPr="008D2CC5">
        <w:rPr>
          <w:lang w:val="fr-FR"/>
        </w:rPr>
        <w:t>annexe </w:t>
      </w:r>
      <w:r w:rsidR="005A4DF9" w:rsidRPr="008D2CC5">
        <w:rPr>
          <w:lang w:val="fr-FR"/>
        </w:rPr>
        <w:t>à la présente note</w:t>
      </w:r>
      <w:r w:rsidR="00A436CC" w:rsidRPr="008D2CC5">
        <w:rPr>
          <w:lang w:val="fr-FR"/>
        </w:rPr>
        <w:t xml:space="preserve">. </w:t>
      </w:r>
    </w:p>
    <w:p w14:paraId="1DC9C454" w14:textId="77777777" w:rsidR="003A28C0" w:rsidRDefault="003A28C0">
      <w:pPr>
        <w:tabs>
          <w:tab w:val="clear" w:pos="1247"/>
          <w:tab w:val="clear" w:pos="1814"/>
          <w:tab w:val="clear" w:pos="2381"/>
          <w:tab w:val="clear" w:pos="2948"/>
          <w:tab w:val="clear" w:pos="3515"/>
        </w:tabs>
      </w:pPr>
      <w:r>
        <w:br w:type="page"/>
      </w:r>
    </w:p>
    <w:p w14:paraId="3AAEFB03" w14:textId="1462DD11" w:rsidR="00D31AFF" w:rsidRPr="008D2CC5" w:rsidRDefault="003A28C0" w:rsidP="003A28C0">
      <w:pPr>
        <w:pStyle w:val="ZZAnxheader"/>
      </w:pPr>
      <w:r>
        <w:lastRenderedPageBreak/>
        <w:t>Annexe</w:t>
      </w:r>
    </w:p>
    <w:p w14:paraId="785C9593" w14:textId="2089F24B" w:rsidR="00D31AFF" w:rsidRPr="008D2CC5" w:rsidRDefault="00304ED9" w:rsidP="0066320B">
      <w:pPr>
        <w:pStyle w:val="ZZAnxtitle"/>
        <w:rPr>
          <w:lang w:val="fr-FR"/>
        </w:rPr>
      </w:pPr>
      <w:r w:rsidRPr="008D2CC5">
        <w:rPr>
          <w:lang w:val="fr-FR"/>
        </w:rPr>
        <w:t>O</w:t>
      </w:r>
      <w:r w:rsidR="00A33D00" w:rsidRPr="008D2CC5">
        <w:rPr>
          <w:lang w:val="fr-FR"/>
        </w:rPr>
        <w:t>rientations sur la gestion des sites contaminés</w:t>
      </w:r>
    </w:p>
    <w:p w14:paraId="1C4CC52D" w14:textId="07A86C7E" w:rsidR="00D31AFF" w:rsidRPr="008D2CC5" w:rsidRDefault="00D31AFF" w:rsidP="0066320B">
      <w:pPr>
        <w:pStyle w:val="CH2"/>
        <w:rPr>
          <w:lang w:val="fr-FR"/>
        </w:rPr>
      </w:pPr>
      <w:r w:rsidRPr="008D2CC5">
        <w:rPr>
          <w:lang w:val="fr-FR"/>
        </w:rPr>
        <w:tab/>
      </w:r>
      <w:bookmarkStart w:id="4" w:name="_Toc15920534"/>
      <w:r w:rsidRPr="008D2CC5">
        <w:rPr>
          <w:lang w:val="fr-FR"/>
        </w:rPr>
        <w:t>A.</w:t>
      </w:r>
      <w:r w:rsidRPr="008D2CC5">
        <w:rPr>
          <w:lang w:val="fr-FR"/>
        </w:rPr>
        <w:tab/>
        <w:t>Introduction</w:t>
      </w:r>
      <w:bookmarkEnd w:id="4"/>
    </w:p>
    <w:p w14:paraId="6356E0C2" w14:textId="2573304A" w:rsidR="00304ED9" w:rsidRPr="008D2CC5" w:rsidRDefault="00304ED9" w:rsidP="00304ED9">
      <w:pPr>
        <w:pStyle w:val="CH2"/>
        <w:rPr>
          <w:sz w:val="20"/>
          <w:szCs w:val="20"/>
          <w:lang w:val="fr-FR"/>
        </w:rPr>
      </w:pPr>
      <w:r w:rsidRPr="008D2CC5">
        <w:rPr>
          <w:sz w:val="20"/>
          <w:szCs w:val="20"/>
          <w:lang w:val="fr-FR"/>
        </w:rPr>
        <w:tab/>
        <w:t>1.</w:t>
      </w:r>
      <w:r w:rsidRPr="008D2CC5">
        <w:rPr>
          <w:sz w:val="20"/>
          <w:szCs w:val="20"/>
          <w:lang w:val="fr-FR"/>
        </w:rPr>
        <w:tab/>
        <w:t>Contexte</w:t>
      </w:r>
    </w:p>
    <w:p w14:paraId="483510E9" w14:textId="1D9035BC" w:rsidR="00D31AFF" w:rsidRPr="008D2CC5" w:rsidRDefault="00A33D00" w:rsidP="008E43CD">
      <w:pPr>
        <w:pStyle w:val="Normalnumber"/>
        <w:numPr>
          <w:ilvl w:val="0"/>
          <w:numId w:val="5"/>
        </w:numPr>
        <w:rPr>
          <w:lang w:val="fr-FR"/>
        </w:rPr>
      </w:pPr>
      <w:r w:rsidRPr="008D2CC5">
        <w:rPr>
          <w:lang w:val="fr-FR"/>
        </w:rPr>
        <w:t>La Convention de</w:t>
      </w:r>
      <w:r w:rsidR="00D31AFF" w:rsidRPr="008D2CC5">
        <w:rPr>
          <w:lang w:val="fr-FR"/>
        </w:rPr>
        <w:t xml:space="preserve"> Minamata </w:t>
      </w:r>
      <w:r w:rsidRPr="008D2CC5">
        <w:rPr>
          <w:lang w:val="fr-FR"/>
        </w:rPr>
        <w:t>sur le mercure contient des dispositions relatives aux sites contaminés</w:t>
      </w:r>
      <w:r w:rsidR="00D31AFF" w:rsidRPr="008D2CC5">
        <w:rPr>
          <w:lang w:val="fr-FR"/>
        </w:rPr>
        <w:t>,</w:t>
      </w:r>
      <w:r w:rsidRPr="008D2CC5">
        <w:rPr>
          <w:lang w:val="fr-FR"/>
        </w:rPr>
        <w:t xml:space="preserve"> y compris l</w:t>
      </w:r>
      <w:r w:rsidR="000409D6" w:rsidRPr="008D2CC5">
        <w:rPr>
          <w:lang w:val="fr-FR"/>
        </w:rPr>
        <w:t>’</w:t>
      </w:r>
      <w:r w:rsidRPr="008D2CC5">
        <w:rPr>
          <w:lang w:val="fr-FR"/>
        </w:rPr>
        <w:t>identification et l</w:t>
      </w:r>
      <w:r w:rsidR="000409D6" w:rsidRPr="008D2CC5">
        <w:rPr>
          <w:lang w:val="fr-FR"/>
        </w:rPr>
        <w:t>’</w:t>
      </w:r>
      <w:r w:rsidRPr="008D2CC5">
        <w:rPr>
          <w:lang w:val="fr-FR"/>
        </w:rPr>
        <w:t>évaluation des sites ainsi que l</w:t>
      </w:r>
      <w:r w:rsidR="000409D6" w:rsidRPr="008D2CC5">
        <w:rPr>
          <w:lang w:val="fr-FR"/>
        </w:rPr>
        <w:t>’</w:t>
      </w:r>
      <w:r w:rsidRPr="008D2CC5">
        <w:rPr>
          <w:lang w:val="fr-FR"/>
        </w:rPr>
        <w:t>adoption</w:t>
      </w:r>
      <w:r w:rsidR="00D31AFF" w:rsidRPr="008D2CC5">
        <w:rPr>
          <w:lang w:val="fr-FR"/>
        </w:rPr>
        <w:t xml:space="preserve"> </w:t>
      </w:r>
      <w:r w:rsidRPr="008D2CC5">
        <w:rPr>
          <w:lang w:val="fr-FR"/>
        </w:rPr>
        <w:t>par la Conférence des Parties d</w:t>
      </w:r>
      <w:r w:rsidR="000409D6" w:rsidRPr="008D2CC5">
        <w:rPr>
          <w:lang w:val="fr-FR"/>
        </w:rPr>
        <w:t>’</w:t>
      </w:r>
      <w:r w:rsidRPr="008D2CC5">
        <w:rPr>
          <w:lang w:val="fr-FR"/>
        </w:rPr>
        <w:t>orientations sur la gestion des sites contaminés</w:t>
      </w:r>
      <w:r w:rsidR="00D31AFF" w:rsidRPr="008D2CC5">
        <w:rPr>
          <w:lang w:val="fr-FR"/>
        </w:rPr>
        <w:t xml:space="preserve">. </w:t>
      </w:r>
      <w:r w:rsidRPr="008D2CC5">
        <w:rPr>
          <w:lang w:val="fr-FR"/>
        </w:rPr>
        <w:t>Le</w:t>
      </w:r>
      <w:r w:rsidR="00D31AFF" w:rsidRPr="008D2CC5">
        <w:rPr>
          <w:lang w:val="fr-FR"/>
        </w:rPr>
        <w:t xml:space="preserve"> pr</w:t>
      </w:r>
      <w:r w:rsidRPr="008D2CC5">
        <w:rPr>
          <w:lang w:val="fr-FR"/>
        </w:rPr>
        <w:t>é</w:t>
      </w:r>
      <w:r w:rsidR="00D31AFF" w:rsidRPr="008D2CC5">
        <w:rPr>
          <w:lang w:val="fr-FR"/>
        </w:rPr>
        <w:t xml:space="preserve">sent document </w:t>
      </w:r>
      <w:r w:rsidRPr="008D2CC5">
        <w:rPr>
          <w:lang w:val="fr-FR"/>
        </w:rPr>
        <w:t>fournit des orientations sur les principaux éléments permettant l</w:t>
      </w:r>
      <w:r w:rsidR="000409D6" w:rsidRPr="008D2CC5">
        <w:rPr>
          <w:lang w:val="fr-FR"/>
        </w:rPr>
        <w:t>’</w:t>
      </w:r>
      <w:r w:rsidRPr="008D2CC5">
        <w:rPr>
          <w:lang w:val="fr-FR"/>
        </w:rPr>
        <w:t>identification et la gestion des sites contaminés</w:t>
      </w:r>
      <w:r w:rsidR="0035462B" w:rsidRPr="008D2CC5">
        <w:rPr>
          <w:lang w:val="fr-FR"/>
        </w:rPr>
        <w:t xml:space="preserve"> et les</w:t>
      </w:r>
      <w:r w:rsidRPr="008D2CC5">
        <w:rPr>
          <w:lang w:val="fr-FR"/>
        </w:rPr>
        <w:t xml:space="preserve"> Parties qui </w:t>
      </w:r>
      <w:r w:rsidR="008207A5" w:rsidRPr="008D2CC5">
        <w:rPr>
          <w:lang w:val="fr-FR"/>
        </w:rPr>
        <w:t>souhaitent prendre</w:t>
      </w:r>
      <w:r w:rsidRPr="008D2CC5">
        <w:rPr>
          <w:lang w:val="fr-FR"/>
        </w:rPr>
        <w:t xml:space="preserve"> des mesures pour gérer de tels sites</w:t>
      </w:r>
      <w:r w:rsidR="0035462B" w:rsidRPr="008D2CC5">
        <w:rPr>
          <w:lang w:val="fr-FR"/>
        </w:rPr>
        <w:t xml:space="preserve"> pourront s</w:t>
      </w:r>
      <w:r w:rsidR="000409D6" w:rsidRPr="008D2CC5">
        <w:rPr>
          <w:lang w:val="fr-FR"/>
        </w:rPr>
        <w:t>’</w:t>
      </w:r>
      <w:r w:rsidR="0035462B" w:rsidRPr="008D2CC5">
        <w:rPr>
          <w:lang w:val="fr-FR"/>
        </w:rPr>
        <w:t>y référer à cette fin</w:t>
      </w:r>
      <w:r w:rsidR="00D31AFF" w:rsidRPr="008D2CC5">
        <w:rPr>
          <w:lang w:val="fr-FR"/>
        </w:rPr>
        <w:t xml:space="preserve">. </w:t>
      </w:r>
      <w:r w:rsidRPr="008D2CC5">
        <w:rPr>
          <w:lang w:val="fr-FR"/>
        </w:rPr>
        <w:t>Ce document s</w:t>
      </w:r>
      <w:r w:rsidR="000409D6" w:rsidRPr="008D2CC5">
        <w:rPr>
          <w:lang w:val="fr-FR"/>
        </w:rPr>
        <w:t>’</w:t>
      </w:r>
      <w:r w:rsidRPr="008D2CC5">
        <w:rPr>
          <w:lang w:val="fr-FR"/>
        </w:rPr>
        <w:t>adresse à divers utilisateurs possibles</w:t>
      </w:r>
      <w:r w:rsidR="008D06F3" w:rsidRPr="008D2CC5">
        <w:rPr>
          <w:lang w:val="fr-FR"/>
        </w:rPr>
        <w:t>,</w:t>
      </w:r>
      <w:r w:rsidR="00624B44" w:rsidRPr="008D2CC5">
        <w:rPr>
          <w:lang w:val="fr-FR"/>
        </w:rPr>
        <w:t xml:space="preserve"> notamment les responsables gouvernementaux et les</w:t>
      </w:r>
      <w:r w:rsidR="00D31AFF" w:rsidRPr="008D2CC5">
        <w:rPr>
          <w:lang w:val="fr-FR"/>
        </w:rPr>
        <w:t xml:space="preserve"> </w:t>
      </w:r>
      <w:r w:rsidR="00624B44" w:rsidRPr="008D2CC5">
        <w:rPr>
          <w:lang w:val="fr-FR"/>
        </w:rPr>
        <w:t>praticiens</w:t>
      </w:r>
      <w:r w:rsidR="00D31AFF" w:rsidRPr="008D2CC5">
        <w:rPr>
          <w:lang w:val="fr-FR"/>
        </w:rPr>
        <w:t xml:space="preserve">. </w:t>
      </w:r>
      <w:r w:rsidR="00624B44" w:rsidRPr="008D2CC5">
        <w:rPr>
          <w:lang w:val="fr-FR"/>
        </w:rPr>
        <w:t>Il fournit des orientations sur</w:t>
      </w:r>
      <w:r w:rsidR="00D31AFF" w:rsidRPr="008D2CC5">
        <w:rPr>
          <w:lang w:val="fr-FR"/>
        </w:rPr>
        <w:t xml:space="preserve"> </w:t>
      </w:r>
      <w:r w:rsidR="00624B44" w:rsidRPr="008D2CC5">
        <w:rPr>
          <w:lang w:val="fr-FR"/>
        </w:rPr>
        <w:t>la gestion des sites couvrant aussi bien leur identification et les examens approfondis à mener sur place que le processus de décision pour leur gestion et, s</w:t>
      </w:r>
      <w:r w:rsidR="000409D6" w:rsidRPr="008D2CC5">
        <w:rPr>
          <w:lang w:val="fr-FR"/>
        </w:rPr>
        <w:t>’</w:t>
      </w:r>
      <w:r w:rsidR="00624B44" w:rsidRPr="008D2CC5">
        <w:rPr>
          <w:lang w:val="fr-FR"/>
        </w:rPr>
        <w:t>il y a lieu, leur</w:t>
      </w:r>
      <w:r w:rsidR="00FE58E1" w:rsidRPr="008D2CC5">
        <w:rPr>
          <w:lang w:val="fr-FR"/>
        </w:rPr>
        <w:t> </w:t>
      </w:r>
      <w:r w:rsidR="00624B44" w:rsidRPr="008D2CC5">
        <w:rPr>
          <w:lang w:val="fr-FR"/>
        </w:rPr>
        <w:t>remise en état</w:t>
      </w:r>
      <w:r w:rsidR="00D31AFF" w:rsidRPr="008D2CC5">
        <w:rPr>
          <w:lang w:val="fr-FR"/>
        </w:rPr>
        <w:t>.</w:t>
      </w:r>
      <w:r w:rsidR="00624B44" w:rsidRPr="008D2CC5">
        <w:rPr>
          <w:lang w:val="fr-FR"/>
        </w:rPr>
        <w:t xml:space="preserve"> </w:t>
      </w:r>
      <w:r w:rsidR="005568BD" w:rsidRPr="008D2CC5">
        <w:rPr>
          <w:lang w:val="fr-FR"/>
        </w:rPr>
        <w:t xml:space="preserve">Rédigé dans un langage non prescriptif, il </w:t>
      </w:r>
      <w:r w:rsidR="00624B44" w:rsidRPr="008D2CC5">
        <w:rPr>
          <w:lang w:val="fr-FR"/>
        </w:rPr>
        <w:t xml:space="preserve">est destiné à </w:t>
      </w:r>
      <w:r w:rsidR="005568BD" w:rsidRPr="008D2CC5">
        <w:rPr>
          <w:lang w:val="fr-FR"/>
        </w:rPr>
        <w:t>donner</w:t>
      </w:r>
      <w:r w:rsidR="00BE6976" w:rsidRPr="008D2CC5">
        <w:rPr>
          <w:lang w:val="fr-FR"/>
        </w:rPr>
        <w:t xml:space="preserve"> aux Parties</w:t>
      </w:r>
      <w:r w:rsidR="00D31AFF" w:rsidRPr="008D2CC5">
        <w:rPr>
          <w:lang w:val="fr-FR"/>
        </w:rPr>
        <w:t xml:space="preserve"> </w:t>
      </w:r>
      <w:r w:rsidR="00BE6976" w:rsidRPr="008D2CC5">
        <w:rPr>
          <w:lang w:val="fr-FR"/>
        </w:rPr>
        <w:t>des conseils d</w:t>
      </w:r>
      <w:r w:rsidR="000409D6" w:rsidRPr="008D2CC5">
        <w:rPr>
          <w:lang w:val="fr-FR"/>
        </w:rPr>
        <w:t>’</w:t>
      </w:r>
      <w:r w:rsidR="00BE6976" w:rsidRPr="008D2CC5">
        <w:rPr>
          <w:lang w:val="fr-FR"/>
        </w:rPr>
        <w:t>ordre général</w:t>
      </w:r>
      <w:r w:rsidR="005568BD" w:rsidRPr="008D2CC5">
        <w:rPr>
          <w:lang w:val="fr-FR"/>
        </w:rPr>
        <w:t>,</w:t>
      </w:r>
      <w:r w:rsidR="00D31AFF" w:rsidRPr="008D2CC5">
        <w:rPr>
          <w:lang w:val="fr-FR"/>
        </w:rPr>
        <w:t xml:space="preserve"> </w:t>
      </w:r>
      <w:r w:rsidR="00962EE4">
        <w:rPr>
          <w:lang w:val="fr-FR"/>
        </w:rPr>
        <w:t xml:space="preserve">en </w:t>
      </w:r>
      <w:r w:rsidR="005568BD" w:rsidRPr="008D2CC5">
        <w:rPr>
          <w:lang w:val="fr-FR"/>
        </w:rPr>
        <w:t xml:space="preserve">prenant en compte la diversité de leurs </w:t>
      </w:r>
      <w:r w:rsidR="00962EE4">
        <w:rPr>
          <w:lang w:val="fr-FR"/>
        </w:rPr>
        <w:t>problématiques</w:t>
      </w:r>
      <w:r w:rsidR="005568BD" w:rsidRPr="008D2CC5">
        <w:rPr>
          <w:lang w:val="fr-FR"/>
        </w:rPr>
        <w:t xml:space="preserve"> nationa</w:t>
      </w:r>
      <w:r w:rsidR="00962EE4">
        <w:rPr>
          <w:lang w:val="fr-FR"/>
        </w:rPr>
        <w:t>les</w:t>
      </w:r>
      <w:r w:rsidR="0035462B" w:rsidRPr="008D2CC5">
        <w:rPr>
          <w:lang w:val="fr-FR"/>
        </w:rPr>
        <w:t>, y compris en matière socio-économique, ainsi que les difficultés qu</w:t>
      </w:r>
      <w:r w:rsidR="000409D6" w:rsidRPr="008D2CC5">
        <w:rPr>
          <w:lang w:val="fr-FR"/>
        </w:rPr>
        <w:t>’</w:t>
      </w:r>
      <w:r w:rsidR="0035462B" w:rsidRPr="008D2CC5">
        <w:rPr>
          <w:lang w:val="fr-FR"/>
        </w:rPr>
        <w:t>elles rencontrent</w:t>
      </w:r>
      <w:r w:rsidR="00D31AFF" w:rsidRPr="008D2CC5">
        <w:rPr>
          <w:lang w:val="fr-FR"/>
        </w:rPr>
        <w:t>.</w:t>
      </w:r>
      <w:r w:rsidR="005568BD" w:rsidRPr="008D2CC5">
        <w:rPr>
          <w:lang w:val="fr-FR"/>
        </w:rPr>
        <w:t xml:space="preserve"> </w:t>
      </w:r>
      <w:r w:rsidR="0035462B" w:rsidRPr="008D2CC5">
        <w:rPr>
          <w:lang w:val="fr-FR"/>
        </w:rPr>
        <w:t xml:space="preserve">Il </w:t>
      </w:r>
      <w:r w:rsidR="00962EE4">
        <w:rPr>
          <w:lang w:val="fr-FR"/>
        </w:rPr>
        <w:t>tient compte d</w:t>
      </w:r>
      <w:r w:rsidR="0035462B" w:rsidRPr="008D2CC5">
        <w:rPr>
          <w:lang w:val="fr-FR"/>
        </w:rPr>
        <w:t xml:space="preserve">es meilleures pratiques environnementales et </w:t>
      </w:r>
      <w:r w:rsidR="00962EE4">
        <w:rPr>
          <w:lang w:val="fr-FR"/>
        </w:rPr>
        <w:t>d</w:t>
      </w:r>
      <w:r w:rsidR="0035462B" w:rsidRPr="008D2CC5">
        <w:rPr>
          <w:lang w:val="fr-FR"/>
        </w:rPr>
        <w:t xml:space="preserve">es </w:t>
      </w:r>
      <w:r w:rsidR="00B50B26">
        <w:rPr>
          <w:lang w:val="fr-FR"/>
        </w:rPr>
        <w:t>meilleures techniques disponibles</w:t>
      </w:r>
      <w:r w:rsidR="0035462B" w:rsidRPr="008D2CC5">
        <w:rPr>
          <w:lang w:val="fr-FR"/>
        </w:rPr>
        <w:t xml:space="preserve">. </w:t>
      </w:r>
      <w:r w:rsidR="009A3117" w:rsidRPr="008D2CC5">
        <w:rPr>
          <w:lang w:val="fr-FR"/>
        </w:rPr>
        <w:t xml:space="preserve">Pour </w:t>
      </w:r>
      <w:r w:rsidR="00962EE4">
        <w:rPr>
          <w:lang w:val="fr-FR"/>
        </w:rPr>
        <w:t>l</w:t>
      </w:r>
      <w:r w:rsidR="009A3117" w:rsidRPr="008D2CC5">
        <w:rPr>
          <w:lang w:val="fr-FR"/>
        </w:rPr>
        <w:t>es personnes qui envisagent</w:t>
      </w:r>
      <w:r w:rsidR="00C36DDC" w:rsidRPr="008D2CC5">
        <w:rPr>
          <w:lang w:val="fr-FR"/>
        </w:rPr>
        <w:t xml:space="preserve"> de planifier la</w:t>
      </w:r>
      <w:r w:rsidR="00FE58E1" w:rsidRPr="008D2CC5">
        <w:rPr>
          <w:lang w:val="fr-FR"/>
        </w:rPr>
        <w:t> </w:t>
      </w:r>
      <w:r w:rsidR="00C36DDC" w:rsidRPr="008D2CC5">
        <w:rPr>
          <w:lang w:val="fr-FR"/>
        </w:rPr>
        <w:t>gestion approfondie d</w:t>
      </w:r>
      <w:r w:rsidR="000409D6" w:rsidRPr="008D2CC5">
        <w:rPr>
          <w:lang w:val="fr-FR"/>
        </w:rPr>
        <w:t>’</w:t>
      </w:r>
      <w:r w:rsidR="00681431">
        <w:rPr>
          <w:lang w:val="fr-FR"/>
        </w:rPr>
        <w:t>un site donné, les </w:t>
      </w:r>
      <w:r w:rsidR="00C36DDC" w:rsidRPr="008D2CC5">
        <w:rPr>
          <w:lang w:val="fr-FR"/>
        </w:rPr>
        <w:t>références reproduites à la suite des orientations fournissent des informations techniques supplémentaires</w:t>
      </w:r>
      <w:r w:rsidR="00D31AFF" w:rsidRPr="008D2CC5">
        <w:rPr>
          <w:lang w:val="fr-FR"/>
        </w:rPr>
        <w:t xml:space="preserve">. </w:t>
      </w:r>
    </w:p>
    <w:p w14:paraId="36D69203" w14:textId="19AB94E5" w:rsidR="00D31AFF" w:rsidRPr="008D2CC5" w:rsidRDefault="007511C3" w:rsidP="008E43CD">
      <w:pPr>
        <w:pStyle w:val="Normalnumber"/>
        <w:numPr>
          <w:ilvl w:val="0"/>
          <w:numId w:val="5"/>
        </w:numPr>
        <w:rPr>
          <w:lang w:val="fr-FR"/>
        </w:rPr>
      </w:pPr>
      <w:r w:rsidRPr="008D2CC5">
        <w:rPr>
          <w:lang w:val="fr-FR"/>
        </w:rPr>
        <w:t>Les orientations ont été élaborées conformément à l</w:t>
      </w:r>
      <w:r w:rsidR="000409D6" w:rsidRPr="008D2CC5">
        <w:rPr>
          <w:lang w:val="fr-FR"/>
        </w:rPr>
        <w:t>’</w:t>
      </w:r>
      <w:r w:rsidR="00D31AFF" w:rsidRPr="008D2CC5">
        <w:rPr>
          <w:lang w:val="fr-FR"/>
        </w:rPr>
        <w:t>article</w:t>
      </w:r>
      <w:r w:rsidRPr="008D2CC5">
        <w:rPr>
          <w:lang w:val="fr-FR"/>
        </w:rPr>
        <w:t> </w:t>
      </w:r>
      <w:r w:rsidR="00D31AFF" w:rsidRPr="008D2CC5">
        <w:rPr>
          <w:lang w:val="fr-FR"/>
        </w:rPr>
        <w:t xml:space="preserve">12 </w:t>
      </w:r>
      <w:r w:rsidRPr="008D2CC5">
        <w:rPr>
          <w:lang w:val="fr-FR"/>
        </w:rPr>
        <w:t>de la</w:t>
      </w:r>
      <w:r w:rsidR="00D31AFF" w:rsidRPr="008D2CC5">
        <w:rPr>
          <w:lang w:val="fr-FR"/>
        </w:rPr>
        <w:t xml:space="preserve"> Convention. </w:t>
      </w:r>
      <w:r w:rsidRPr="008D2CC5">
        <w:rPr>
          <w:lang w:val="fr-FR"/>
        </w:rPr>
        <w:t>La f</w:t>
      </w:r>
      <w:r w:rsidR="00D31AFF" w:rsidRPr="008D2CC5">
        <w:rPr>
          <w:lang w:val="fr-FR"/>
        </w:rPr>
        <w:t>igure</w:t>
      </w:r>
      <w:r w:rsidRPr="008D2CC5">
        <w:rPr>
          <w:lang w:val="fr-FR"/>
        </w:rPr>
        <w:t> </w:t>
      </w:r>
      <w:r w:rsidR="00D31AFF" w:rsidRPr="008D2CC5">
        <w:rPr>
          <w:lang w:val="fr-FR"/>
        </w:rPr>
        <w:t>1</w:t>
      </w:r>
      <w:r w:rsidRPr="008D2CC5">
        <w:rPr>
          <w:lang w:val="fr-FR"/>
        </w:rPr>
        <w:t xml:space="preserve"> présente un schéma décisionnel pour la gestion des sites contaminés</w:t>
      </w:r>
      <w:r w:rsidR="00D31AFF" w:rsidRPr="008D2CC5">
        <w:rPr>
          <w:lang w:val="fr-FR"/>
        </w:rPr>
        <w:t xml:space="preserve">. </w:t>
      </w:r>
      <w:r w:rsidR="0009389B" w:rsidRPr="008D2CC5">
        <w:rPr>
          <w:lang w:val="fr-FR"/>
        </w:rPr>
        <w:t>Chaque étape du schéma décisionnel est explicitée dans la section des orientations spécifiée</w:t>
      </w:r>
      <w:r w:rsidR="00D31AFF" w:rsidRPr="008D2CC5">
        <w:rPr>
          <w:lang w:val="fr-FR"/>
        </w:rPr>
        <w:t>.</w:t>
      </w:r>
    </w:p>
    <w:p w14:paraId="60AC4EFC" w14:textId="7C605B43" w:rsidR="00D31AFF" w:rsidRPr="008D2CC5" w:rsidRDefault="00DE7FFB" w:rsidP="008E43CD">
      <w:pPr>
        <w:pStyle w:val="Normalnumber"/>
        <w:numPr>
          <w:ilvl w:val="0"/>
          <w:numId w:val="5"/>
        </w:numPr>
        <w:rPr>
          <w:lang w:val="fr-FR"/>
        </w:rPr>
      </w:pPr>
      <w:r w:rsidRPr="008D2CC5">
        <w:rPr>
          <w:lang w:val="fr-FR"/>
        </w:rPr>
        <w:t>Les orientations</w:t>
      </w:r>
      <w:r w:rsidR="00632760" w:rsidRPr="008D2CC5">
        <w:rPr>
          <w:lang w:val="fr-FR"/>
        </w:rPr>
        <w:t xml:space="preserve"> </w:t>
      </w:r>
      <w:r w:rsidRPr="008D2CC5">
        <w:rPr>
          <w:lang w:val="fr-FR"/>
        </w:rPr>
        <w:t xml:space="preserve">ne créent pas </w:t>
      </w:r>
      <w:r w:rsidR="009A3117" w:rsidRPr="008D2CC5">
        <w:rPr>
          <w:lang w:val="fr-FR"/>
        </w:rPr>
        <w:t>d</w:t>
      </w:r>
      <w:r w:rsidR="00B50B26">
        <w:rPr>
          <w:lang w:val="fr-FR"/>
        </w:rPr>
        <w:t>’</w:t>
      </w:r>
      <w:r w:rsidR="009A3117" w:rsidRPr="008D2CC5">
        <w:rPr>
          <w:lang w:val="fr-FR"/>
        </w:rPr>
        <w:t>exigences contraignantes</w:t>
      </w:r>
      <w:r w:rsidRPr="008D2CC5">
        <w:rPr>
          <w:lang w:val="fr-FR"/>
        </w:rPr>
        <w:t xml:space="preserve"> et n</w:t>
      </w:r>
      <w:r w:rsidR="000409D6" w:rsidRPr="008D2CC5">
        <w:rPr>
          <w:lang w:val="fr-FR"/>
        </w:rPr>
        <w:t>’</w:t>
      </w:r>
      <w:r w:rsidRPr="008D2CC5">
        <w:rPr>
          <w:lang w:val="fr-FR"/>
        </w:rPr>
        <w:t>ajoutent ni ne soustraient aux</w:t>
      </w:r>
      <w:r w:rsidR="00FE58E1" w:rsidRPr="008D2CC5">
        <w:rPr>
          <w:lang w:val="fr-FR"/>
        </w:rPr>
        <w:t> </w:t>
      </w:r>
      <w:r w:rsidRPr="008D2CC5">
        <w:rPr>
          <w:lang w:val="fr-FR"/>
        </w:rPr>
        <w:t>obligations faites aux Parties par l</w:t>
      </w:r>
      <w:r w:rsidR="000409D6" w:rsidRPr="008D2CC5">
        <w:rPr>
          <w:lang w:val="fr-FR"/>
        </w:rPr>
        <w:t>’</w:t>
      </w:r>
      <w:r w:rsidRPr="008D2CC5">
        <w:rPr>
          <w:lang w:val="fr-FR"/>
        </w:rPr>
        <w:t>article 12</w:t>
      </w:r>
      <w:r w:rsidR="00D31AFF" w:rsidRPr="008D2CC5">
        <w:rPr>
          <w:lang w:val="fr-FR"/>
        </w:rPr>
        <w:t xml:space="preserve">. </w:t>
      </w:r>
      <w:r w:rsidRPr="008D2CC5">
        <w:rPr>
          <w:lang w:val="fr-FR"/>
        </w:rPr>
        <w:t>Il est admis que, pour des raisons techniques, économiques ou juridiques, certaines des mesures décrites dans les présentes orientations peuvent ne</w:t>
      </w:r>
      <w:r w:rsidR="00FE58E1" w:rsidRPr="008D2CC5">
        <w:rPr>
          <w:lang w:val="fr-FR"/>
        </w:rPr>
        <w:t> </w:t>
      </w:r>
      <w:r w:rsidRPr="008D2CC5">
        <w:rPr>
          <w:lang w:val="fr-FR"/>
        </w:rPr>
        <w:t>pas être à la disposition de toutes les Parties</w:t>
      </w:r>
      <w:r w:rsidR="00D31AFF" w:rsidRPr="008D2CC5">
        <w:rPr>
          <w:lang w:val="fr-FR"/>
        </w:rPr>
        <w:t xml:space="preserve">. </w:t>
      </w:r>
      <w:r w:rsidR="00560F6A" w:rsidRPr="008D2CC5">
        <w:rPr>
          <w:lang w:val="fr-FR"/>
        </w:rPr>
        <w:t xml:space="preserve">Les lois et règlements existants applicables aux activités menées sur les sites contaminés </w:t>
      </w:r>
      <w:r w:rsidR="00066CBE" w:rsidRPr="008D2CC5">
        <w:rPr>
          <w:lang w:val="fr-FR"/>
        </w:rPr>
        <w:t>l</w:t>
      </w:r>
      <w:r w:rsidR="000409D6" w:rsidRPr="008D2CC5">
        <w:rPr>
          <w:lang w:val="fr-FR"/>
        </w:rPr>
        <w:t>’</w:t>
      </w:r>
      <w:r w:rsidR="00066CBE" w:rsidRPr="008D2CC5">
        <w:rPr>
          <w:lang w:val="fr-FR"/>
        </w:rPr>
        <w:t>emportent sur les présentes orientations.</w:t>
      </w:r>
    </w:p>
    <w:p w14:paraId="4D5F07D7" w14:textId="54D91F77" w:rsidR="00D31AFF" w:rsidRPr="008D2CC5" w:rsidRDefault="00DE7FFB" w:rsidP="002172B3">
      <w:pPr>
        <w:pStyle w:val="Normalnumber"/>
        <w:rPr>
          <w:strike/>
          <w:lang w:val="fr-FR"/>
        </w:rPr>
      </w:pPr>
      <w:r w:rsidRPr="008D2CC5">
        <w:rPr>
          <w:lang w:val="fr-FR"/>
        </w:rPr>
        <w:t>Le texte de la Convention ne définit pas explicitement le terme « site contaminé »</w:t>
      </w:r>
      <w:r w:rsidR="00D31AFF" w:rsidRPr="008D2CC5">
        <w:rPr>
          <w:lang w:val="fr-FR"/>
        </w:rPr>
        <w:t>.</w:t>
      </w:r>
      <w:r w:rsidRPr="008D2CC5">
        <w:rPr>
          <w:lang w:val="fr-FR"/>
        </w:rPr>
        <w:t xml:space="preserve"> Les pays peuvent avoir leur propre définition dans leur législation</w:t>
      </w:r>
      <w:r w:rsidR="00D31AFF" w:rsidRPr="008D2CC5">
        <w:rPr>
          <w:lang w:val="fr-FR"/>
        </w:rPr>
        <w:t xml:space="preserve">. </w:t>
      </w:r>
      <w:r w:rsidR="00A37E8A" w:rsidRPr="008D2CC5">
        <w:rPr>
          <w:lang w:val="fr-FR"/>
        </w:rPr>
        <w:t>Aux fins du présent document, un site contaminé s</w:t>
      </w:r>
      <w:r w:rsidR="000409D6" w:rsidRPr="008D2CC5">
        <w:rPr>
          <w:lang w:val="fr-FR"/>
        </w:rPr>
        <w:t>’</w:t>
      </w:r>
      <w:r w:rsidR="00A37E8A" w:rsidRPr="008D2CC5">
        <w:rPr>
          <w:lang w:val="fr-FR"/>
        </w:rPr>
        <w:t>entend d</w:t>
      </w:r>
      <w:r w:rsidR="000409D6" w:rsidRPr="008D2CC5">
        <w:rPr>
          <w:lang w:val="fr-FR"/>
        </w:rPr>
        <w:t>’</w:t>
      </w:r>
      <w:r w:rsidR="00D12E43" w:rsidRPr="008D2CC5">
        <w:rPr>
          <w:lang w:val="fr-FR"/>
        </w:rPr>
        <w:t xml:space="preserve">un </w:t>
      </w:r>
      <w:r w:rsidR="0070404E" w:rsidRPr="008D2CC5">
        <w:rPr>
          <w:lang w:val="fr-FR"/>
        </w:rPr>
        <w:t>site sur lequel a été confirmée la présence</w:t>
      </w:r>
      <w:r w:rsidR="00A37E8A" w:rsidRPr="008D2CC5">
        <w:rPr>
          <w:lang w:val="fr-FR"/>
        </w:rPr>
        <w:t>,</w:t>
      </w:r>
      <w:r w:rsidR="0070404E" w:rsidRPr="008D2CC5">
        <w:rPr>
          <w:lang w:val="fr-FR"/>
        </w:rPr>
        <w:t xml:space="preserve"> découlant de l</w:t>
      </w:r>
      <w:r w:rsidR="000409D6" w:rsidRPr="008D2CC5">
        <w:rPr>
          <w:lang w:val="fr-FR"/>
        </w:rPr>
        <w:t>’</w:t>
      </w:r>
      <w:r w:rsidR="0070404E" w:rsidRPr="008D2CC5">
        <w:rPr>
          <w:lang w:val="fr-FR"/>
        </w:rPr>
        <w:t xml:space="preserve">activité humaine, </w:t>
      </w:r>
      <w:r w:rsidR="00A37E8A" w:rsidRPr="008D2CC5">
        <w:rPr>
          <w:lang w:val="fr-FR"/>
        </w:rPr>
        <w:t xml:space="preserve">de mercure et de composés du mercure </w:t>
      </w:r>
      <w:r w:rsidR="00B50B26">
        <w:rPr>
          <w:lang w:val="fr-FR"/>
        </w:rPr>
        <w:t>à</w:t>
      </w:r>
      <w:r w:rsidR="0070404E" w:rsidRPr="008D2CC5">
        <w:rPr>
          <w:lang w:val="fr-FR"/>
        </w:rPr>
        <w:t xml:space="preserve"> des concentrations </w:t>
      </w:r>
      <w:r w:rsidR="00B50B26">
        <w:rPr>
          <w:lang w:val="fr-FR"/>
        </w:rPr>
        <w:t xml:space="preserve">permettant à </w:t>
      </w:r>
      <w:r w:rsidR="00A37E8A" w:rsidRPr="008D2CC5">
        <w:rPr>
          <w:lang w:val="fr-FR"/>
        </w:rPr>
        <w:t xml:space="preserve">une Partie </w:t>
      </w:r>
      <w:r w:rsidR="00B50B26">
        <w:rPr>
          <w:lang w:val="fr-FR"/>
        </w:rPr>
        <w:t>de</w:t>
      </w:r>
      <w:r w:rsidR="0070404E" w:rsidRPr="008D2CC5">
        <w:rPr>
          <w:lang w:val="fr-FR"/>
        </w:rPr>
        <w:t xml:space="preserve"> </w:t>
      </w:r>
      <w:r w:rsidR="00A37E8A" w:rsidRPr="008D2CC5">
        <w:rPr>
          <w:lang w:val="fr-FR"/>
        </w:rPr>
        <w:t xml:space="preserve">considérer </w:t>
      </w:r>
      <w:r w:rsidR="0070404E" w:rsidRPr="008D2CC5">
        <w:rPr>
          <w:lang w:val="fr-FR"/>
        </w:rPr>
        <w:t>qu</w:t>
      </w:r>
      <w:r w:rsidR="000409D6" w:rsidRPr="008D2CC5">
        <w:rPr>
          <w:lang w:val="fr-FR"/>
        </w:rPr>
        <w:t>’</w:t>
      </w:r>
      <w:r w:rsidR="0070404E" w:rsidRPr="008D2CC5">
        <w:rPr>
          <w:lang w:val="fr-FR"/>
        </w:rPr>
        <w:t>il en résulte un risque important pour la santé humaine ou l</w:t>
      </w:r>
      <w:r w:rsidR="000409D6" w:rsidRPr="008D2CC5">
        <w:rPr>
          <w:lang w:val="fr-FR"/>
        </w:rPr>
        <w:t>’</w:t>
      </w:r>
      <w:r w:rsidR="0070404E" w:rsidRPr="008D2CC5">
        <w:rPr>
          <w:lang w:val="fr-FR"/>
        </w:rPr>
        <w:t>environnement</w:t>
      </w:r>
      <w:r w:rsidR="00A37E8A" w:rsidRPr="008D2CC5">
        <w:rPr>
          <w:lang w:val="fr-FR"/>
        </w:rPr>
        <w:t>.</w:t>
      </w:r>
    </w:p>
    <w:p w14:paraId="1A66EDBE" w14:textId="63510EAE" w:rsidR="006D69D3" w:rsidRPr="008D2CC5" w:rsidRDefault="006D69D3">
      <w:pPr>
        <w:tabs>
          <w:tab w:val="clear" w:pos="1247"/>
          <w:tab w:val="clear" w:pos="1814"/>
          <w:tab w:val="clear" w:pos="2381"/>
          <w:tab w:val="clear" w:pos="2948"/>
          <w:tab w:val="clear" w:pos="3515"/>
        </w:tabs>
      </w:pPr>
      <w:r w:rsidRPr="008D2CC5">
        <w:br w:type="page"/>
      </w:r>
    </w:p>
    <w:p w14:paraId="577AA7AC" w14:textId="6275DD8A" w:rsidR="00AD25B8" w:rsidRPr="008D2CC5" w:rsidRDefault="00AD25B8" w:rsidP="00AD25B8">
      <w:pPr>
        <w:pStyle w:val="Titlefigure"/>
        <w:rPr>
          <w:lang w:val="fr-FR"/>
        </w:rPr>
      </w:pPr>
      <w:r w:rsidRPr="008D2CC5">
        <w:rPr>
          <w:b w:val="0"/>
          <w:lang w:val="fr-FR"/>
        </w:rPr>
        <w:lastRenderedPageBreak/>
        <w:t xml:space="preserve">Figure 1 </w:t>
      </w:r>
      <w:r w:rsidRPr="008D2CC5">
        <w:rPr>
          <w:b w:val="0"/>
          <w:lang w:val="fr-FR"/>
        </w:rPr>
        <w:br/>
      </w:r>
      <w:r w:rsidRPr="008D2CC5">
        <w:rPr>
          <w:lang w:val="fr-FR"/>
        </w:rPr>
        <w:t>Cadre et schéma décisionnel initial pour la gestion des sites contaminés</w:t>
      </w:r>
    </w:p>
    <w:p w14:paraId="309F32B1" w14:textId="709B199E" w:rsidR="00031D9D" w:rsidRPr="003F0842" w:rsidRDefault="00031D9D" w:rsidP="00031D9D">
      <w:pPr>
        <w:tabs>
          <w:tab w:val="left" w:pos="4082"/>
        </w:tabs>
      </w:pPr>
      <w:r w:rsidRPr="003F0842">
        <w:rPr>
          <w:noProof/>
          <w:lang w:eastAsia="fr-FR"/>
        </w:rPr>
        <mc:AlternateContent>
          <mc:Choice Requires="wpg">
            <w:drawing>
              <wp:anchor distT="0" distB="0" distL="114300" distR="114300" simplePos="0" relativeHeight="251680256" behindDoc="0" locked="0" layoutInCell="1" allowOverlap="1" wp14:anchorId="0E7A3BF0" wp14:editId="76EF8D71">
                <wp:simplePos x="0" y="0"/>
                <wp:positionH relativeFrom="column">
                  <wp:posOffset>-113166</wp:posOffset>
                </wp:positionH>
                <wp:positionV relativeFrom="paragraph">
                  <wp:posOffset>159840</wp:posOffset>
                </wp:positionV>
                <wp:extent cx="6119118" cy="8478520"/>
                <wp:effectExtent l="0" t="0" r="15240" b="17780"/>
                <wp:wrapNone/>
                <wp:docPr id="52" name="Grupo 52"/>
                <wp:cNvGraphicFramePr/>
                <a:graphic xmlns:a="http://schemas.openxmlformats.org/drawingml/2006/main">
                  <a:graphicData uri="http://schemas.microsoft.com/office/word/2010/wordprocessingGroup">
                    <wpg:wgp>
                      <wpg:cNvGrpSpPr/>
                      <wpg:grpSpPr>
                        <a:xfrm>
                          <a:off x="0" y="0"/>
                          <a:ext cx="6119118" cy="8478520"/>
                          <a:chOff x="-117356" y="0"/>
                          <a:chExt cx="6119141" cy="8478561"/>
                        </a:xfrm>
                      </wpg:grpSpPr>
                      <wps:wsp>
                        <wps:cNvPr id="53" name="Straight Arrow Connector 21"/>
                        <wps:cNvCnPr/>
                        <wps:spPr>
                          <a:xfrm flipH="1">
                            <a:off x="2698251" y="5698710"/>
                            <a:ext cx="10328" cy="471098"/>
                          </a:xfrm>
                          <a:prstGeom prst="straightConnector1">
                            <a:avLst/>
                          </a:prstGeom>
                          <a:noFill/>
                          <a:ln w="9525" cap="flat" cmpd="sng" algn="ctr">
                            <a:solidFill>
                              <a:srgbClr val="4F81BD">
                                <a:shade val="95000"/>
                                <a:satMod val="105000"/>
                              </a:srgbClr>
                            </a:solidFill>
                            <a:prstDash val="solid"/>
                            <a:tailEnd type="triangle"/>
                          </a:ln>
                          <a:effectLst/>
                        </wps:spPr>
                        <wps:bodyPr/>
                      </wps:wsp>
                      <wpg:grpSp>
                        <wpg:cNvPr id="54" name="Grupo 54"/>
                        <wpg:cNvGrpSpPr/>
                        <wpg:grpSpPr>
                          <a:xfrm>
                            <a:off x="-117356" y="0"/>
                            <a:ext cx="6119141" cy="8478561"/>
                            <a:chOff x="-117356" y="0"/>
                            <a:chExt cx="6119141" cy="8478561"/>
                          </a:xfrm>
                        </wpg:grpSpPr>
                        <wps:wsp>
                          <wps:cNvPr id="55" name="Rectangle 13"/>
                          <wps:cNvSpPr/>
                          <wps:spPr>
                            <a:xfrm>
                              <a:off x="1340481" y="5237454"/>
                              <a:ext cx="2726675" cy="459608"/>
                            </a:xfrm>
                            <a:prstGeom prst="rect">
                              <a:avLst/>
                            </a:prstGeom>
                            <a:solidFill>
                              <a:sysClr val="window" lastClr="FFFFFF"/>
                            </a:solidFill>
                            <a:ln w="25400" cap="flat" cmpd="sng" algn="ctr">
                              <a:solidFill>
                                <a:srgbClr val="F79646"/>
                              </a:solidFill>
                              <a:prstDash val="solid"/>
                            </a:ln>
                            <a:effectLst/>
                          </wps:spPr>
                          <wps:txbx>
                            <w:txbxContent>
                              <w:p w14:paraId="2E7E7E9D" w14:textId="32A30EDA" w:rsidR="000C34EA" w:rsidRPr="00031D9D" w:rsidRDefault="000C34EA" w:rsidP="00031D9D">
                                <w:pPr>
                                  <w:jc w:val="center"/>
                                </w:pPr>
                                <w:r w:rsidRPr="00031D9D">
                                  <w:rPr>
                                    <w:color w:val="000000" w:themeColor="dark1"/>
                                  </w:rPr>
                                  <w:t>Évaluation des risques (section D)</w:t>
                                </w:r>
                                <w:r w:rsidRPr="00031D9D">
                                  <w:rPr>
                                    <w:color w:val="000000"/>
                                  </w:rPr>
                                  <w:t xml:space="preserve"> </w:t>
                                </w:r>
                              </w:p>
                            </w:txbxContent>
                          </wps:txbx>
                          <wps:bodyPr tIns="0" bIns="0" rtlCol="0" anchor="ctr"/>
                        </wps:wsp>
                        <wpg:grpSp>
                          <wpg:cNvPr id="56" name="Grupo 56"/>
                          <wpg:cNvGrpSpPr/>
                          <wpg:grpSpPr>
                            <a:xfrm>
                              <a:off x="-117356" y="0"/>
                              <a:ext cx="6119141" cy="8478561"/>
                              <a:chOff x="-117356" y="0"/>
                              <a:chExt cx="6119141" cy="8478561"/>
                            </a:xfrm>
                          </wpg:grpSpPr>
                          <wps:wsp>
                            <wps:cNvPr id="57" name="Rectangle 17"/>
                            <wps:cNvSpPr/>
                            <wps:spPr>
                              <a:xfrm>
                                <a:off x="1330906" y="8018953"/>
                                <a:ext cx="2726675" cy="459608"/>
                              </a:xfrm>
                              <a:prstGeom prst="rect">
                                <a:avLst/>
                              </a:prstGeom>
                              <a:solidFill>
                                <a:sysClr val="window" lastClr="FFFFFF"/>
                              </a:solidFill>
                              <a:ln w="25400" cap="flat" cmpd="sng" algn="ctr">
                                <a:solidFill>
                                  <a:srgbClr val="F79646"/>
                                </a:solidFill>
                                <a:prstDash val="solid"/>
                              </a:ln>
                              <a:effectLst/>
                            </wps:spPr>
                            <wps:txbx>
                              <w:txbxContent>
                                <w:p w14:paraId="0C288439" w14:textId="77777777" w:rsidR="000C34EA" w:rsidRPr="00031D9D" w:rsidRDefault="000C34EA" w:rsidP="00031D9D">
                                  <w:pPr>
                                    <w:jc w:val="center"/>
                                  </w:pPr>
                                  <w:r w:rsidRPr="00031D9D">
                                    <w:rPr>
                                      <w:color w:val="000000" w:themeColor="dark1"/>
                                    </w:rPr>
                                    <w:t>Validation et surveillance (section G)</w:t>
                                  </w:r>
                                </w:p>
                                <w:p w14:paraId="448ECA74" w14:textId="281015FE" w:rsidR="000C34EA" w:rsidRDefault="000C34EA" w:rsidP="00031D9D">
                                  <w:pPr>
                                    <w:jc w:val="center"/>
                                    <w:rPr>
                                      <w:sz w:val="24"/>
                                      <w:szCs w:val="24"/>
                                    </w:rPr>
                                  </w:pPr>
                                </w:p>
                              </w:txbxContent>
                            </wps:txbx>
                            <wps:bodyPr tIns="0" bIns="0" rtlCol="0" anchor="ctr"/>
                          </wps:wsp>
                          <wpg:grpSp>
                            <wpg:cNvPr id="58" name="Grupo 58"/>
                            <wpg:cNvGrpSpPr/>
                            <wpg:grpSpPr>
                              <a:xfrm>
                                <a:off x="-117356" y="0"/>
                                <a:ext cx="6119141" cy="8247203"/>
                                <a:chOff x="-117356" y="0"/>
                                <a:chExt cx="6119141" cy="8247203"/>
                              </a:xfrm>
                            </wpg:grpSpPr>
                            <wps:wsp>
                              <wps:cNvPr id="59" name="Rectangle 80"/>
                              <wps:cNvSpPr/>
                              <wps:spPr>
                                <a:xfrm>
                                  <a:off x="1168134" y="0"/>
                                  <a:ext cx="4833651" cy="4883334"/>
                                </a:xfrm>
                                <a:prstGeom prst="rect">
                                  <a:avLst/>
                                </a:prstGeom>
                                <a:noFill/>
                                <a:ln w="25400" cap="flat" cmpd="sng" algn="ctr">
                                  <a:solidFill>
                                    <a:srgbClr val="4F81BD">
                                      <a:shade val="50000"/>
                                    </a:srgbClr>
                                  </a:solidFill>
                                  <a:prstDash val="dash"/>
                                </a:ln>
                                <a:effectLst/>
                              </wps:spPr>
                              <wps:txbx>
                                <w:txbxContent>
                                  <w:p w14:paraId="645CF850" w14:textId="052B9C27" w:rsidR="000C34EA" w:rsidRDefault="000C34EA" w:rsidP="00031D9D">
                                    <w:pPr>
                                      <w:jc w:val="right"/>
                                      <w:rPr>
                                        <w:sz w:val="24"/>
                                        <w:szCs w:val="24"/>
                                      </w:rPr>
                                    </w:pPr>
                                    <w:r>
                                      <w:rPr>
                                        <w:rFonts w:hAnsi="Calibri"/>
                                        <w:color w:val="000000"/>
                                      </w:rPr>
                                      <w:t>(section</w:t>
                                    </w:r>
                                    <w:r>
                                      <w:rPr>
                                        <w:rFonts w:hAnsi="Calibri"/>
                                        <w:color w:val="000000"/>
                                      </w:rPr>
                                      <w:t> </w:t>
                                    </w:r>
                                    <w:r>
                                      <w:rPr>
                                        <w:rFonts w:hAnsi="Calibri"/>
                                        <w:color w:val="000000"/>
                                      </w:rPr>
                                      <w:t>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 name="Rectangle 4"/>
                              <wps:cNvSpPr/>
                              <wps:spPr>
                                <a:xfrm>
                                  <a:off x="1302182" y="196285"/>
                                  <a:ext cx="2726675" cy="459608"/>
                                </a:xfrm>
                                <a:prstGeom prst="rect">
                                  <a:avLst/>
                                </a:prstGeom>
                                <a:solidFill>
                                  <a:sysClr val="window" lastClr="FFFFFF"/>
                                </a:solidFill>
                                <a:ln w="25400" cap="flat" cmpd="sng" algn="ctr">
                                  <a:solidFill>
                                    <a:srgbClr val="F79646"/>
                                  </a:solidFill>
                                  <a:prstDash val="solid"/>
                                </a:ln>
                                <a:effectLst/>
                              </wps:spPr>
                              <wps:txbx>
                                <w:txbxContent>
                                  <w:p w14:paraId="2087C69C" w14:textId="7273C76A" w:rsidR="000C34EA" w:rsidRPr="00AD25B8" w:rsidRDefault="000C34EA" w:rsidP="00031D9D">
                                    <w:pPr>
                                      <w:jc w:val="center"/>
                                    </w:pPr>
                                    <w:r w:rsidRPr="00AD25B8">
                                      <w:rPr>
                                        <w:color w:val="000000" w:themeColor="dark1"/>
                                      </w:rPr>
                                      <w:t>Étude rétrospective de l’occupation des sols</w:t>
                                    </w:r>
                                  </w:p>
                                </w:txbxContent>
                              </wps:txbx>
                              <wps:bodyPr tIns="0" bIns="0" rtlCol="0" anchor="ctr"/>
                            </wps:wsp>
                            <wps:wsp>
                              <wps:cNvPr id="61" name="Rectangle 5"/>
                              <wps:cNvSpPr/>
                              <wps:spPr>
                                <a:xfrm>
                                  <a:off x="1330906" y="1115472"/>
                                  <a:ext cx="2726674" cy="459607"/>
                                </a:xfrm>
                                <a:prstGeom prst="rect">
                                  <a:avLst/>
                                </a:prstGeom>
                                <a:solidFill>
                                  <a:sysClr val="window" lastClr="FFFFFF"/>
                                </a:solidFill>
                                <a:ln w="25400" cap="flat" cmpd="sng" algn="ctr">
                                  <a:solidFill>
                                    <a:srgbClr val="F79646"/>
                                  </a:solidFill>
                                  <a:prstDash val="solid"/>
                                </a:ln>
                                <a:effectLst/>
                              </wps:spPr>
                              <wps:txbx>
                                <w:txbxContent>
                                  <w:p w14:paraId="129DFEFE" w14:textId="0EAF4F17" w:rsidR="000C34EA" w:rsidRPr="00AD25B8" w:rsidRDefault="000C34EA" w:rsidP="00031D9D">
                                    <w:pPr>
                                      <w:jc w:val="center"/>
                                    </w:pPr>
                                    <w:r w:rsidRPr="00AD25B8">
                                      <w:rPr>
                                        <w:color w:val="000000" w:themeColor="dark1"/>
                                      </w:rPr>
                                      <w:t>Inventaire préliminaire</w:t>
                                    </w:r>
                                    <w:r>
                                      <w:rPr>
                                        <w:color w:val="000000" w:themeColor="dark1"/>
                                      </w:rPr>
                                      <w:t xml:space="preserve"> des sites potentiellement </w:t>
                                    </w:r>
                                    <w:r w:rsidRPr="00AD25B8">
                                      <w:rPr>
                                        <w:color w:val="000000" w:themeColor="dark1"/>
                                      </w:rPr>
                                      <w:t>contaminés</w:t>
                                    </w:r>
                                  </w:p>
                                </w:txbxContent>
                              </wps:txbx>
                              <wps:bodyPr tIns="0" bIns="0" rtlCol="0" anchor="ctr"/>
                            </wps:wsp>
                            <wps:wsp>
                              <wps:cNvPr id="62" name="Rectangle 6"/>
                              <wps:cNvSpPr/>
                              <wps:spPr>
                                <a:xfrm>
                                  <a:off x="1330906" y="2029872"/>
                                  <a:ext cx="2726675" cy="459608"/>
                                </a:xfrm>
                                <a:prstGeom prst="rect">
                                  <a:avLst/>
                                </a:prstGeom>
                                <a:solidFill>
                                  <a:sysClr val="window" lastClr="FFFFFF"/>
                                </a:solidFill>
                                <a:ln w="25400" cap="flat" cmpd="sng" algn="ctr">
                                  <a:solidFill>
                                    <a:srgbClr val="F79646"/>
                                  </a:solidFill>
                                  <a:prstDash val="solid"/>
                                </a:ln>
                                <a:effectLst/>
                              </wps:spPr>
                              <wps:txbx>
                                <w:txbxContent>
                                  <w:p w14:paraId="4A809806" w14:textId="1013B802" w:rsidR="000C34EA" w:rsidRPr="00AD25B8" w:rsidRDefault="000C34EA" w:rsidP="00031D9D">
                                    <w:pPr>
                                      <w:jc w:val="center"/>
                                    </w:pPr>
                                    <w:r w:rsidRPr="00AD25B8">
                                      <w:rPr>
                                        <w:color w:val="000000" w:themeColor="dark1"/>
                                      </w:rPr>
                                      <w:t>Examen préliminaire du site/</w:t>
                                    </w:r>
                                    <w:r w:rsidRPr="00AD25B8">
                                      <w:rPr>
                                        <w:color w:val="000000" w:themeColor="dark1"/>
                                      </w:rPr>
                                      <w:br/>
                                      <w:t>évaluation initiale du site</w:t>
                                    </w:r>
                                  </w:p>
                                </w:txbxContent>
                              </wps:txbx>
                              <wps:bodyPr tIns="0" bIns="0" rtlCol="0" anchor="ctr"/>
                            </wps:wsp>
                            <wps:wsp>
                              <wps:cNvPr id="63" name="Rectangle 7"/>
                              <wps:cNvSpPr/>
                              <wps:spPr>
                                <a:xfrm>
                                  <a:off x="1330906" y="2963422"/>
                                  <a:ext cx="2726675" cy="459608"/>
                                </a:xfrm>
                                <a:prstGeom prst="rect">
                                  <a:avLst/>
                                </a:prstGeom>
                                <a:solidFill>
                                  <a:sysClr val="window" lastClr="FFFFFF"/>
                                </a:solidFill>
                                <a:ln w="25400" cap="flat" cmpd="sng" algn="ctr">
                                  <a:solidFill>
                                    <a:srgbClr val="F79646"/>
                                  </a:solidFill>
                                  <a:prstDash val="solid"/>
                                </a:ln>
                                <a:effectLst/>
                              </wps:spPr>
                              <wps:txbx>
                                <w:txbxContent>
                                  <w:p w14:paraId="52AA133E" w14:textId="196E0508" w:rsidR="000C34EA" w:rsidRPr="00AD25B8" w:rsidRDefault="000C34EA" w:rsidP="00031D9D">
                                    <w:pPr>
                                      <w:jc w:val="center"/>
                                    </w:pPr>
                                    <w:r w:rsidRPr="00AD25B8">
                                      <w:rPr>
                                        <w:color w:val="000000" w:themeColor="dark1"/>
                                      </w:rPr>
                                      <w:t>Établissement des objectifs de l’examen</w:t>
                                    </w:r>
                                  </w:p>
                                </w:txbxContent>
                              </wps:txbx>
                              <wps:bodyPr tIns="0" bIns="0" rtlCol="0" anchor="ctr"/>
                            </wps:wsp>
                            <wps:wsp>
                              <wps:cNvPr id="64" name="Flowchart: Magnetic Disk 11"/>
                              <wps:cNvSpPr/>
                              <wps:spPr>
                                <a:xfrm>
                                  <a:off x="4504975" y="3183644"/>
                                  <a:ext cx="1363338" cy="1378824"/>
                                </a:xfrm>
                                <a:prstGeom prst="flowChartMagneticDisk">
                                  <a:avLst/>
                                </a:prstGeom>
                                <a:solidFill>
                                  <a:sysClr val="window" lastClr="FFFFFF"/>
                                </a:solidFill>
                                <a:ln w="25400" cap="flat" cmpd="sng" algn="ctr">
                                  <a:solidFill>
                                    <a:srgbClr val="F79646"/>
                                  </a:solidFill>
                                  <a:prstDash val="solid"/>
                                </a:ln>
                                <a:effectLst/>
                              </wps:spPr>
                              <wps:txbx>
                                <w:txbxContent>
                                  <w:p w14:paraId="62FEDE92" w14:textId="506F8792" w:rsidR="000C34EA" w:rsidRPr="00AD25B8" w:rsidRDefault="000C34EA" w:rsidP="00031D9D">
                                    <w:pPr>
                                      <w:jc w:val="center"/>
                                    </w:pPr>
                                    <w:r w:rsidRPr="00AD25B8">
                                      <w:rPr>
                                        <w:color w:val="000000" w:themeColor="dark1"/>
                                      </w:rPr>
                                      <w:t>Inventaire des sites contaminés</w:t>
                                    </w:r>
                                  </w:p>
                                </w:txbxContent>
                              </wps:txbx>
                              <wps:bodyPr lIns="0" tIns="0" rIns="0" bIns="0" rtlCol="0" anchor="ctr" anchorCtr="0"/>
                            </wps:wsp>
                            <wps:wsp>
                              <wps:cNvPr id="65" name="Rectangle 12"/>
                              <wps:cNvSpPr/>
                              <wps:spPr>
                                <a:xfrm>
                                  <a:off x="1340481" y="3873035"/>
                                  <a:ext cx="2726675" cy="919216"/>
                                </a:xfrm>
                                <a:prstGeom prst="rect">
                                  <a:avLst/>
                                </a:prstGeom>
                                <a:solidFill>
                                  <a:sysClr val="window" lastClr="FFFFFF"/>
                                </a:solidFill>
                                <a:ln w="25400" cap="flat" cmpd="sng" algn="ctr">
                                  <a:solidFill>
                                    <a:srgbClr val="F79646"/>
                                  </a:solidFill>
                                  <a:prstDash val="solid"/>
                                </a:ln>
                                <a:effectLst/>
                              </wps:spPr>
                              <wps:txbx>
                                <w:txbxContent>
                                  <w:p w14:paraId="1E521505" w14:textId="77777777" w:rsidR="000C34EA" w:rsidRPr="00681431" w:rsidRDefault="000C34EA" w:rsidP="00031D9D">
                                    <w:pPr>
                                      <w:jc w:val="center"/>
                                      <w:rPr>
                                        <w:u w:val="single"/>
                                      </w:rPr>
                                    </w:pPr>
                                    <w:r w:rsidRPr="00681431">
                                      <w:rPr>
                                        <w:color w:val="000000" w:themeColor="dark1"/>
                                        <w:u w:val="single"/>
                                      </w:rPr>
                                      <w:t>Examen du site</w:t>
                                    </w:r>
                                  </w:p>
                                  <w:p w14:paraId="4DFD187D" w14:textId="77777777" w:rsidR="000C34EA" w:rsidRPr="00031D9D" w:rsidRDefault="000C34EA" w:rsidP="00031D9D">
                                    <w:r w:rsidRPr="00031D9D">
                                      <w:rPr>
                                        <w:color w:val="000000" w:themeColor="dark1"/>
                                      </w:rPr>
                                      <w:t>- Établir un modèle de site conceptuel</w:t>
                                    </w:r>
                                  </w:p>
                                  <w:p w14:paraId="01A14BAE" w14:textId="77777777" w:rsidR="000C34EA" w:rsidRPr="00031D9D" w:rsidRDefault="000C34EA" w:rsidP="00031D9D">
                                    <w:r w:rsidRPr="00031D9D">
                                      <w:rPr>
                                        <w:color w:val="000000" w:themeColor="dark1"/>
                                      </w:rPr>
                                      <w:t>- Examiner les informations existantes</w:t>
                                    </w:r>
                                  </w:p>
                                  <w:p w14:paraId="09E65CCD" w14:textId="23E104A4" w:rsidR="000C34EA" w:rsidRPr="00031D9D" w:rsidRDefault="000C34EA" w:rsidP="00031D9D">
                                    <w:r w:rsidRPr="00031D9D">
                                      <w:rPr>
                                        <w:color w:val="000000" w:themeColor="dark1"/>
                                      </w:rPr>
                                      <w:t>- Effectuer un échantillonnage et une analyse</w:t>
                                    </w:r>
                                  </w:p>
                                </w:txbxContent>
                              </wps:txbx>
                              <wps:bodyPr tIns="0" bIns="0" rtlCol="0" anchor="ctr"/>
                            </wps:wsp>
                            <wps:wsp>
                              <wps:cNvPr id="66" name="Straight Arrow Connector 19"/>
                              <wps:cNvCnPr/>
                              <wps:spPr>
                                <a:xfrm>
                                  <a:off x="2696788" y="3424678"/>
                                  <a:ext cx="10328" cy="448118"/>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67" name="Rectangle 18"/>
                              <wps:cNvSpPr/>
                              <wps:spPr>
                                <a:xfrm>
                                  <a:off x="4299116" y="5251816"/>
                                  <a:ext cx="908892" cy="459608"/>
                                </a:xfrm>
                                <a:prstGeom prst="rect">
                                  <a:avLst/>
                                </a:prstGeom>
                                <a:solidFill>
                                  <a:sysClr val="window" lastClr="FFFFFF"/>
                                </a:solidFill>
                                <a:ln w="25400" cap="flat" cmpd="sng" algn="ctr">
                                  <a:solidFill>
                                    <a:srgbClr val="F79646"/>
                                  </a:solidFill>
                                  <a:prstDash val="solid"/>
                                </a:ln>
                                <a:effectLst/>
                              </wps:spPr>
                              <wps:txbx>
                                <w:txbxContent>
                                  <w:p w14:paraId="656190F1" w14:textId="26F711DC" w:rsidR="000C34EA" w:rsidRPr="00031D9D" w:rsidRDefault="000C34EA" w:rsidP="00031D9D">
                                    <w:pPr>
                                      <w:jc w:val="center"/>
                                    </w:pPr>
                                    <w:r w:rsidRPr="00031D9D">
                                      <w:rPr>
                                        <w:color w:val="000000" w:themeColor="dark1"/>
                                      </w:rPr>
                                      <w:t>Aucune mesure</w:t>
                                    </w:r>
                                  </w:p>
                                </w:txbxContent>
                              </wps:txbx>
                              <wps:bodyPr tIns="0" bIns="0" rtlCol="0" anchor="ctr"/>
                            </wps:wsp>
                            <wps:wsp>
                              <wps:cNvPr id="68" name="Rectangle 81"/>
                              <wps:cNvSpPr/>
                              <wps:spPr>
                                <a:xfrm>
                                  <a:off x="1187283" y="5984293"/>
                                  <a:ext cx="3935088" cy="1824538"/>
                                </a:xfrm>
                                <a:prstGeom prst="rect">
                                  <a:avLst/>
                                </a:prstGeom>
                                <a:noFill/>
                                <a:ln w="25400" cap="flat" cmpd="sng" algn="ctr">
                                  <a:solidFill>
                                    <a:srgbClr val="4F81BD">
                                      <a:shade val="50000"/>
                                    </a:srgbClr>
                                  </a:solidFill>
                                  <a:prstDash val="dash"/>
                                </a:ln>
                                <a:effectLst/>
                              </wps:spPr>
                              <wps:txbx>
                                <w:txbxContent>
                                  <w:p w14:paraId="54CF5297" w14:textId="0EF89C8C" w:rsidR="000C34EA" w:rsidRDefault="000C34EA" w:rsidP="00031D9D">
                                    <w:pPr>
                                      <w:jc w:val="right"/>
                                      <w:rPr>
                                        <w:sz w:val="24"/>
                                        <w:szCs w:val="24"/>
                                      </w:rPr>
                                    </w:pPr>
                                    <w:r>
                                      <w:rPr>
                                        <w:rFonts w:hAnsi="Calibri"/>
                                        <w:color w:val="000000"/>
                                      </w:rPr>
                                      <w:t>(sections</w:t>
                                    </w:r>
                                    <w:r>
                                      <w:rPr>
                                        <w:rFonts w:hAnsi="Calibri"/>
                                        <w:color w:val="000000"/>
                                      </w:rPr>
                                      <w:t> </w:t>
                                    </w:r>
                                    <w:r>
                                      <w:rPr>
                                        <w:rFonts w:hAnsi="Calibri"/>
                                        <w:color w:val="000000"/>
                                      </w:rPr>
                                      <w:t>E, F)</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9" name="Rectangle 14"/>
                              <wps:cNvSpPr/>
                              <wps:spPr>
                                <a:xfrm>
                                  <a:off x="1330906" y="6171003"/>
                                  <a:ext cx="2726675" cy="459608"/>
                                </a:xfrm>
                                <a:prstGeom prst="rect">
                                  <a:avLst/>
                                </a:prstGeom>
                                <a:solidFill>
                                  <a:sysClr val="window" lastClr="FFFFFF"/>
                                </a:solidFill>
                                <a:ln w="25400" cap="flat" cmpd="sng" algn="ctr">
                                  <a:solidFill>
                                    <a:srgbClr val="F79646"/>
                                  </a:solidFill>
                                  <a:prstDash val="solid"/>
                                </a:ln>
                                <a:effectLst/>
                              </wps:spPr>
                              <wps:txbx>
                                <w:txbxContent>
                                  <w:p w14:paraId="0FF6ACA6" w14:textId="7F863D4D" w:rsidR="000C34EA" w:rsidRPr="00031D9D" w:rsidRDefault="000C34EA" w:rsidP="00031D9D">
                                    <w:pPr>
                                      <w:jc w:val="center"/>
                                      <w:rPr>
                                        <w:sz w:val="24"/>
                                        <w:szCs w:val="24"/>
                                      </w:rPr>
                                    </w:pPr>
                                    <w:r w:rsidRPr="00031D9D">
                                      <w:rPr>
                                        <w:color w:val="000000"/>
                                      </w:rPr>
                                      <w:t>Évaluation des options</w:t>
                                    </w:r>
                                  </w:p>
                                </w:txbxContent>
                              </wps:txbx>
                              <wps:bodyPr tIns="0" bIns="0" rtlCol="0" anchor="ctr"/>
                            </wps:wsp>
                            <wps:wsp>
                              <wps:cNvPr id="70" name="Straight Arrow Connector 27"/>
                              <wps:cNvCnPr/>
                              <wps:spPr>
                                <a:xfrm flipH="1" flipV="1">
                                  <a:off x="4742485" y="4570338"/>
                                  <a:ext cx="10328" cy="677920"/>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71" name="Oval 32"/>
                              <wps:cNvSpPr/>
                              <wps:spPr>
                                <a:xfrm>
                                  <a:off x="-117356" y="2638069"/>
                                  <a:ext cx="1226735" cy="4917805"/>
                                </a:xfrm>
                                <a:prstGeom prst="ellipse">
                                  <a:avLst/>
                                </a:prstGeom>
                                <a:solidFill>
                                  <a:sysClr val="window" lastClr="FFFFFF"/>
                                </a:solidFill>
                                <a:ln w="25400" cap="flat" cmpd="sng" algn="ctr">
                                  <a:solidFill>
                                    <a:srgbClr val="F79646"/>
                                  </a:solidFill>
                                  <a:prstDash val="solid"/>
                                </a:ln>
                                <a:effectLst/>
                              </wps:spPr>
                              <wps:txbx>
                                <w:txbxContent>
                                  <w:p w14:paraId="06CD6C01" w14:textId="57F8B8C2" w:rsidR="000C34EA" w:rsidRPr="00031D9D" w:rsidRDefault="000C34EA" w:rsidP="00031D9D">
                                    <w:pPr>
                                      <w:jc w:val="center"/>
                                    </w:pPr>
                                    <w:r w:rsidRPr="00031D9D">
                                      <w:rPr>
                                        <w:color w:val="000000" w:themeColor="dark1"/>
                                      </w:rPr>
                                      <w:t>Participation du public (par ex., partage des informations, comité de consultation communautaire)</w:t>
                                    </w:r>
                                    <w:r w:rsidRPr="00031D9D">
                                      <w:rPr>
                                        <w:color w:val="000000" w:themeColor="dark1"/>
                                      </w:rPr>
                                      <w:br/>
                                      <w:t>(section C)</w:t>
                                    </w:r>
                                  </w:p>
                                </w:txbxContent>
                              </wps:txbx>
                              <wps:bodyPr lIns="0" tIns="0" rIns="0" bIns="0" rtlCol="0" anchor="ctr" anchorCtr="0"/>
                            </wps:wsp>
                            <wps:wsp>
                              <wps:cNvPr id="72" name="Rectangle 35"/>
                              <wps:cNvSpPr/>
                              <wps:spPr>
                                <a:xfrm>
                                  <a:off x="4284753" y="2029872"/>
                                  <a:ext cx="1146443" cy="459608"/>
                                </a:xfrm>
                                <a:prstGeom prst="rect">
                                  <a:avLst/>
                                </a:prstGeom>
                                <a:solidFill>
                                  <a:sysClr val="window" lastClr="FFFFFF"/>
                                </a:solidFill>
                                <a:ln w="25400" cap="flat" cmpd="sng" algn="ctr">
                                  <a:solidFill>
                                    <a:srgbClr val="F79646"/>
                                  </a:solidFill>
                                  <a:prstDash val="solid"/>
                                </a:ln>
                                <a:effectLst/>
                              </wps:spPr>
                              <wps:txbx>
                                <w:txbxContent>
                                  <w:p w14:paraId="68BDC5AD" w14:textId="1DBFD9FF" w:rsidR="000C34EA" w:rsidRPr="00AD25B8" w:rsidRDefault="000C34EA" w:rsidP="00031D9D">
                                    <w:pPr>
                                      <w:jc w:val="center"/>
                                    </w:pPr>
                                    <w:r w:rsidRPr="00AD25B8">
                                      <w:rPr>
                                        <w:color w:val="000000" w:themeColor="dark1"/>
                                      </w:rPr>
                                      <w:t>Sites prioritaires connus</w:t>
                                    </w:r>
                                  </w:p>
                                </w:txbxContent>
                              </wps:txbx>
                              <wps:bodyPr tIns="0" bIns="0" rtlCol="0" anchor="ctr"/>
                            </wps:wsp>
                            <wps:wsp>
                              <wps:cNvPr id="73" name="Straight Arrow Connector 37"/>
                              <wps:cNvCnPr/>
                              <wps:spPr>
                                <a:xfrm flipH="1">
                                  <a:off x="4058082" y="2961560"/>
                                  <a:ext cx="805607" cy="0"/>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74" name="Straight Arrow Connector 79"/>
                              <wps:cNvCnPr/>
                              <wps:spPr>
                                <a:xfrm flipH="1">
                                  <a:off x="4058082" y="3409917"/>
                                  <a:ext cx="423460" cy="1"/>
                                </a:xfrm>
                                <a:prstGeom prst="straightConnector1">
                                  <a:avLst/>
                                </a:prstGeom>
                                <a:ln w="9525" cap="flat" cmpd="sng" algn="ctr">
                                  <a:solidFill>
                                    <a:schemeClr val="accent1"/>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5" name="Straight Arrow Connector 29"/>
                              <wps:cNvCnPr/>
                              <wps:spPr>
                                <a:xfrm flipV="1">
                                  <a:off x="5417514" y="4570338"/>
                                  <a:ext cx="3589" cy="3676865"/>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76" name="Arrow: Left-Right 39"/>
                              <wps:cNvSpPr/>
                              <wps:spPr>
                                <a:xfrm rot="10800000" flipH="1" flipV="1">
                                  <a:off x="1134622" y="4921483"/>
                                  <a:ext cx="404962" cy="259278"/>
                                </a:xfrm>
                                <a:prstGeom prst="leftRightArrow">
                                  <a:avLst>
                                    <a:gd name="adj1" fmla="val 42472"/>
                                    <a:gd name="adj2" fmla="val 50000"/>
                                  </a:avLst>
                                </a:prstGeom>
                                <a:noFill/>
                                <a:ln w="25400" cap="flat" cmpd="sng" algn="ctr">
                                  <a:solidFill>
                                    <a:srgbClr val="4F81BD">
                                      <a:shade val="50000"/>
                                    </a:srgbClr>
                                  </a:solidFill>
                                  <a:prstDash val="solid"/>
                                </a:ln>
                                <a:effectLst/>
                              </wps:spPr>
                              <wps:bodyPr rtlCol="0" anchor="t"/>
                            </wps:wsp>
                            <wps:wsp>
                              <wps:cNvPr id="77" name="Straight Arrow Connector 26"/>
                              <wps:cNvCnPr/>
                              <wps:spPr>
                                <a:xfrm>
                                  <a:off x="4070981" y="5479751"/>
                                  <a:ext cx="227223" cy="0"/>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78" name="Rectangle 16"/>
                              <wps:cNvSpPr/>
                              <wps:spPr>
                                <a:xfrm>
                                  <a:off x="1364418" y="6831669"/>
                                  <a:ext cx="2696734" cy="893866"/>
                                </a:xfrm>
                                <a:prstGeom prst="rect">
                                  <a:avLst/>
                                </a:prstGeom>
                                <a:solidFill>
                                  <a:sysClr val="window" lastClr="FFFFFF"/>
                                </a:solidFill>
                                <a:ln w="25400" cap="flat" cmpd="sng" algn="ctr">
                                  <a:solidFill>
                                    <a:srgbClr val="F79646"/>
                                  </a:solidFill>
                                  <a:prstDash val="solid"/>
                                </a:ln>
                                <a:effectLst/>
                              </wps:spPr>
                              <wps:txbx>
                                <w:txbxContent>
                                  <w:p w14:paraId="0DFA76A1" w14:textId="04AFB9EF" w:rsidR="000C34EA" w:rsidRDefault="000C34EA" w:rsidP="00031D9D">
                                    <w:pPr>
                                      <w:jc w:val="center"/>
                                      <w:rPr>
                                        <w:sz w:val="24"/>
                                        <w:szCs w:val="24"/>
                                      </w:rPr>
                                    </w:pPr>
                                    <w:r>
                                      <w:rPr>
                                        <w:rFonts w:hAnsi="Calibri"/>
                                        <w:color w:val="000000"/>
                                      </w:rPr>
                                      <w:t>Gestion</w:t>
                                    </w:r>
                                    <w:r w:rsidRPr="00A71F6B">
                                      <w:rPr>
                                        <w:rFonts w:hAnsi="Calibri"/>
                                        <w:color w:val="000000"/>
                                      </w:rPr>
                                      <w:t xml:space="preserve"> </w:t>
                                    </w:r>
                                    <w:r w:rsidRPr="00AC36F1">
                                      <w:rPr>
                                        <w:rFonts w:hAnsi="Calibri"/>
                                        <w:color w:val="000000"/>
                                      </w:rPr>
                                      <w:t>(</w:t>
                                    </w:r>
                                    <w:r>
                                      <w:rPr>
                                        <w:rFonts w:hAnsi="Calibri"/>
                                        <w:color w:val="000000"/>
                                      </w:rPr>
                                      <w:t>des risques</w:t>
                                    </w:r>
                                    <w:r w:rsidRPr="00AC36F1">
                                      <w:rPr>
                                        <w:rFonts w:hAnsi="Calibri"/>
                                        <w:color w:val="000000"/>
                                      </w:rPr>
                                      <w:t>)</w:t>
                                    </w:r>
                                    <w:r>
                                      <w:rPr>
                                        <w:rFonts w:hAnsi="Calibri"/>
                                        <w:color w:val="000000"/>
                                      </w:rPr>
                                      <w:t xml:space="preserve"> du site</w:t>
                                    </w:r>
                                  </w:p>
                                </w:txbxContent>
                              </wps:txbx>
                              <wps:bodyPr tIns="0" bIns="0" rtlCol="0" anchor="t"/>
                            </wps:wsp>
                            <wps:wsp>
                              <wps:cNvPr id="82" name="Straight Arrow Connector 24"/>
                              <wps:cNvCnPr/>
                              <wps:spPr>
                                <a:xfrm>
                                  <a:off x="1898749" y="7561022"/>
                                  <a:ext cx="0" cy="459608"/>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83" name="Straight Arrow Connector 25"/>
                              <wps:cNvCnPr/>
                              <wps:spPr>
                                <a:xfrm>
                                  <a:off x="3492965" y="7546659"/>
                                  <a:ext cx="0" cy="459608"/>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84" name="Arrow: Left-Right 33"/>
                              <wps:cNvSpPr/>
                              <wps:spPr>
                                <a:xfrm rot="2491632">
                                  <a:off x="719777" y="7720071"/>
                                  <a:ext cx="572736" cy="247255"/>
                                </a:xfrm>
                                <a:prstGeom prst="leftRightArrow">
                                  <a:avLst/>
                                </a:prstGeom>
                                <a:noFill/>
                                <a:ln w="25400" cap="flat" cmpd="sng" algn="ctr">
                                  <a:solidFill>
                                    <a:srgbClr val="4F81BD">
                                      <a:shade val="50000"/>
                                    </a:srgbClr>
                                  </a:solidFill>
                                  <a:prstDash val="solid"/>
                                </a:ln>
                                <a:effectLst/>
                              </wps:spPr>
                              <wps:bodyPr rtlCol="0" anchor="t"/>
                            </wps:wsp>
                            <wps:wsp>
                              <wps:cNvPr id="85" name="Text Box 83"/>
                              <wps:cNvSpPr txBox="1"/>
                              <wps:spPr>
                                <a:xfrm>
                                  <a:off x="1744288" y="7091853"/>
                                  <a:ext cx="1962150" cy="552450"/>
                                </a:xfrm>
                                <a:prstGeom prst="rect">
                                  <a:avLst/>
                                </a:prstGeom>
                                <a:noFill/>
                                <a:ln w="19050">
                                  <a:solidFill>
                                    <a:schemeClr val="accent2"/>
                                  </a:solidFill>
                                </a:ln>
                              </wps:spPr>
                              <wps:txbx>
                                <w:txbxContent>
                                  <w:p w14:paraId="5A16B482" w14:textId="23D03CCF" w:rsidR="000C34EA" w:rsidRDefault="000C34EA" w:rsidP="00031D9D">
                                    <w:pPr>
                                      <w:jc w:val="center"/>
                                    </w:pPr>
                                    <w:r>
                                      <w:t>Remise en état du site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6" name="Straight Arrow Connector 86"/>
                              <wps:cNvCnPr/>
                              <wps:spPr>
                                <a:xfrm>
                                  <a:off x="2696688" y="6641834"/>
                                  <a:ext cx="10328" cy="15811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grpSp>
                      </wpg:grpSp>
                    </wpg:wgp>
                  </a:graphicData>
                </a:graphic>
                <wp14:sizeRelH relativeFrom="margin">
                  <wp14:pctWidth>0</wp14:pctWidth>
                </wp14:sizeRelH>
              </wp:anchor>
            </w:drawing>
          </mc:Choice>
          <mc:Fallback>
            <w:pict>
              <v:group w14:anchorId="0E7A3BF0" id="Grupo 52" o:spid="_x0000_s1026" style="position:absolute;margin-left:-8.9pt;margin-top:12.6pt;width:481.8pt;height:667.6pt;z-index:251680256;mso-width-relative:margin" coordorigin="-1173" coordsize="61191,84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">
                <v:shapetype id="_x0000_t32" coordsize="21600,21600" o:spt="32" o:oned="t" path="m,l21600,21600e" filled="f">
                  <v:path arrowok="t" fillok="f" o:connecttype="none"/>
                  <o:lock v:ext="edit" shapetype="t"/>
                </v:shapetype>
                <v:shape id="Straight Arrow Connector 21" o:spid="_x0000_s1027" type="#_x0000_t32" style="position:absolute;left:26982;top:56987;width:103;height:471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" strokecolor="#4a7ebb">
                  <v:stroke endarrow="block"/>
                </v:shape>
                <v:group id="Grupo 54" o:spid="_x0000_s1028" style="position:absolute;left:-1173;width:61190;height:84785" coordorigin="-1173" coordsize="61191,84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13" o:spid="_x0000_s1029" style="position:absolute;left:13404;top:52374;width:27267;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" fillcolor="window" strokecolor="#f79646" strokeweight="2pt">
                    <v:textbox inset=",0,,0">
                      <w:txbxContent>
                        <w:p w14:paraId="2E7E7E9D" w14:textId="32A30EDA" w:rsidR="000C34EA" w:rsidRPr="00031D9D" w:rsidRDefault="000C34EA" w:rsidP="00031D9D">
                          <w:pPr>
                            <w:jc w:val="center"/>
                          </w:pPr>
                          <w:r w:rsidRPr="00031D9D">
                            <w:rPr>
                              <w:color w:val="000000" w:themeColor="dark1"/>
                            </w:rPr>
                            <w:t>Évaluation des risques (section D)</w:t>
                          </w:r>
                          <w:r w:rsidRPr="00031D9D">
                            <w:rPr>
                              <w:color w:val="000000"/>
                            </w:rPr>
                            <w:t xml:space="preserve"> </w:t>
                          </w:r>
                        </w:p>
                      </w:txbxContent>
                    </v:textbox>
                  </v:rect>
                  <v:group id="Grupo 56" o:spid="_x0000_s1030" style="position:absolute;left:-1173;width:61190;height:84785" coordorigin="-1173" coordsize="61191,84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17" o:spid="_x0000_s1031" style="position:absolute;left:13309;top:80189;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" fillcolor="window" strokecolor="#f79646" strokeweight="2pt">
                      <v:textbox inset=",0,,0">
                        <w:txbxContent>
                          <w:p w14:paraId="0C288439" w14:textId="77777777" w:rsidR="000C34EA" w:rsidRPr="00031D9D" w:rsidRDefault="000C34EA" w:rsidP="00031D9D">
                            <w:pPr>
                              <w:jc w:val="center"/>
                            </w:pPr>
                            <w:r w:rsidRPr="00031D9D">
                              <w:rPr>
                                <w:color w:val="000000" w:themeColor="dark1"/>
                              </w:rPr>
                              <w:t>Validation et surveillance (section G)</w:t>
                            </w:r>
                          </w:p>
                          <w:p w14:paraId="448ECA74" w14:textId="281015FE" w:rsidR="000C34EA" w:rsidRDefault="000C34EA" w:rsidP="00031D9D">
                            <w:pPr>
                              <w:jc w:val="center"/>
                              <w:rPr>
                                <w:sz w:val="24"/>
                                <w:szCs w:val="24"/>
                              </w:rPr>
                            </w:pPr>
                          </w:p>
                        </w:txbxContent>
                      </v:textbox>
                    </v:rect>
                    <v:group id="Grupo 58" o:spid="_x0000_s1032" style="position:absolute;left:-1173;width:61190;height:82472" coordorigin="-1173" coordsize="61191,82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80" o:spid="_x0000_s1033" style="position:absolute;left:11681;width:48336;height:488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" filled="f" strokecolor="#385d8a" strokeweight="2pt">
                        <v:stroke dashstyle="dash"/>
                        <v:textbox>
                          <w:txbxContent>
                            <w:p w14:paraId="645CF850" w14:textId="052B9C27" w:rsidR="000C34EA" w:rsidRDefault="000C34EA" w:rsidP="00031D9D">
                              <w:pPr>
                                <w:jc w:val="right"/>
                                <w:rPr>
                                  <w:sz w:val="24"/>
                                  <w:szCs w:val="24"/>
                                </w:rPr>
                              </w:pPr>
                              <w:r>
                                <w:rPr>
                                  <w:rFonts w:hAnsi="Calibri"/>
                                  <w:color w:val="000000"/>
                                </w:rPr>
                                <w:t>(section</w:t>
                              </w:r>
                              <w:r>
                                <w:rPr>
                                  <w:rFonts w:hAnsi="Calibri"/>
                                  <w:color w:val="000000"/>
                                </w:rPr>
                                <w:t> </w:t>
                              </w:r>
                              <w:r>
                                <w:rPr>
                                  <w:rFonts w:hAnsi="Calibri"/>
                                  <w:color w:val="000000"/>
                                </w:rPr>
                                <w:t>B)</w:t>
                              </w:r>
                            </w:p>
                          </w:txbxContent>
                        </v:textbox>
                      </v:rect>
                      <v:rect id="Rectangle 4" o:spid="_x0000_s1034" style="position:absolute;left:13021;top:1962;width:27267;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" fillcolor="window" strokecolor="#f79646" strokeweight="2pt">
                        <v:textbox inset=",0,,0">
                          <w:txbxContent>
                            <w:p w14:paraId="2087C69C" w14:textId="7273C76A" w:rsidR="000C34EA" w:rsidRPr="00AD25B8" w:rsidRDefault="000C34EA" w:rsidP="00031D9D">
                              <w:pPr>
                                <w:jc w:val="center"/>
                              </w:pPr>
                              <w:r w:rsidRPr="00AD25B8">
                                <w:rPr>
                                  <w:color w:val="000000" w:themeColor="dark1"/>
                                </w:rPr>
                                <w:t>Étude rétrospective de l’occupation des sols</w:t>
                              </w:r>
                            </w:p>
                          </w:txbxContent>
                        </v:textbox>
                      </v:rect>
                      <v:rect id="Rectangle 5" o:spid="_x0000_s1035" style="position:absolute;left:13309;top:11154;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" fillcolor="window" strokecolor="#f79646" strokeweight="2pt">
                        <v:textbox inset=",0,,0">
                          <w:txbxContent>
                            <w:p w14:paraId="129DFEFE" w14:textId="0EAF4F17" w:rsidR="000C34EA" w:rsidRPr="00AD25B8" w:rsidRDefault="000C34EA" w:rsidP="00031D9D">
                              <w:pPr>
                                <w:jc w:val="center"/>
                              </w:pPr>
                              <w:r w:rsidRPr="00AD25B8">
                                <w:rPr>
                                  <w:color w:val="000000" w:themeColor="dark1"/>
                                </w:rPr>
                                <w:t>Inventaire préliminaire</w:t>
                              </w:r>
                              <w:r>
                                <w:rPr>
                                  <w:color w:val="000000" w:themeColor="dark1"/>
                                </w:rPr>
                                <w:t xml:space="preserve"> des sites potentiellement </w:t>
                              </w:r>
                              <w:r w:rsidRPr="00AD25B8">
                                <w:rPr>
                                  <w:color w:val="000000" w:themeColor="dark1"/>
                                </w:rPr>
                                <w:t>contaminés</w:t>
                              </w:r>
                            </w:p>
                          </w:txbxContent>
                        </v:textbox>
                      </v:rect>
                      <v:rect id="Rectangle 6" o:spid="_x0000_s1036" style="position:absolute;left:13309;top:20298;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" fillcolor="window" strokecolor="#f79646" strokeweight="2pt">
                        <v:textbox inset=",0,,0">
                          <w:txbxContent>
                            <w:p w14:paraId="4A809806" w14:textId="1013B802" w:rsidR="000C34EA" w:rsidRPr="00AD25B8" w:rsidRDefault="000C34EA" w:rsidP="00031D9D">
                              <w:pPr>
                                <w:jc w:val="center"/>
                              </w:pPr>
                              <w:r w:rsidRPr="00AD25B8">
                                <w:rPr>
                                  <w:color w:val="000000" w:themeColor="dark1"/>
                                </w:rPr>
                                <w:t>Examen préliminaire du site/</w:t>
                              </w:r>
                              <w:r w:rsidRPr="00AD25B8">
                                <w:rPr>
                                  <w:color w:val="000000" w:themeColor="dark1"/>
                                </w:rPr>
                                <w:br/>
                                <w:t>évaluation initiale du site</w:t>
                              </w:r>
                            </w:p>
                          </w:txbxContent>
                        </v:textbox>
                      </v:rect>
                      <v:rect id="Rectangle 7" o:spid="_x0000_s1037" style="position:absolute;left:13309;top:29634;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" fillcolor="window" strokecolor="#f79646" strokeweight="2pt">
                        <v:textbox inset=",0,,0">
                          <w:txbxContent>
                            <w:p w14:paraId="52AA133E" w14:textId="196E0508" w:rsidR="000C34EA" w:rsidRPr="00AD25B8" w:rsidRDefault="000C34EA" w:rsidP="00031D9D">
                              <w:pPr>
                                <w:jc w:val="center"/>
                              </w:pPr>
                              <w:r w:rsidRPr="00AD25B8">
                                <w:rPr>
                                  <w:color w:val="000000" w:themeColor="dark1"/>
                                </w:rPr>
                                <w:t>Établissement des objectifs de l’examen</w:t>
                              </w:r>
                            </w:p>
                          </w:txbxContent>
                        </v:textbox>
                      </v:rec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11" o:spid="_x0000_s1038" type="#_x0000_t132" style="position:absolute;left:45049;top:31836;width:13634;height:137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" fillcolor="window" strokecolor="#f79646" strokeweight="2pt">
                        <v:textbox inset="0,0,0,0">
                          <w:txbxContent>
                            <w:p w14:paraId="62FEDE92" w14:textId="506F8792" w:rsidR="000C34EA" w:rsidRPr="00AD25B8" w:rsidRDefault="000C34EA" w:rsidP="00031D9D">
                              <w:pPr>
                                <w:jc w:val="center"/>
                              </w:pPr>
                              <w:r w:rsidRPr="00AD25B8">
                                <w:rPr>
                                  <w:color w:val="000000" w:themeColor="dark1"/>
                                </w:rPr>
                                <w:t>Inventaire des sites contaminés</w:t>
                              </w:r>
                            </w:p>
                          </w:txbxContent>
                        </v:textbox>
                      </v:shape>
                      <v:rect id="Rectangle 12" o:spid="_x0000_s1039" style="position:absolute;left:13404;top:38730;width:27267;height:9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" fillcolor="window" strokecolor="#f79646" strokeweight="2pt">
                        <v:textbox inset=",0,,0">
                          <w:txbxContent>
                            <w:p w14:paraId="1E521505" w14:textId="77777777" w:rsidR="000C34EA" w:rsidRPr="00681431" w:rsidRDefault="000C34EA" w:rsidP="00031D9D">
                              <w:pPr>
                                <w:jc w:val="center"/>
                                <w:rPr>
                                  <w:u w:val="single"/>
                                </w:rPr>
                              </w:pPr>
                              <w:r w:rsidRPr="00681431">
                                <w:rPr>
                                  <w:color w:val="000000" w:themeColor="dark1"/>
                                  <w:u w:val="single"/>
                                </w:rPr>
                                <w:t>Examen du site</w:t>
                              </w:r>
                            </w:p>
                            <w:p w14:paraId="4DFD187D" w14:textId="77777777" w:rsidR="000C34EA" w:rsidRPr="00031D9D" w:rsidRDefault="000C34EA" w:rsidP="00031D9D">
                              <w:r w:rsidRPr="00031D9D">
                                <w:rPr>
                                  <w:color w:val="000000" w:themeColor="dark1"/>
                                </w:rPr>
                                <w:t>- Établir un modèle de site conceptuel</w:t>
                              </w:r>
                            </w:p>
                            <w:p w14:paraId="01A14BAE" w14:textId="77777777" w:rsidR="000C34EA" w:rsidRPr="00031D9D" w:rsidRDefault="000C34EA" w:rsidP="00031D9D">
                              <w:r w:rsidRPr="00031D9D">
                                <w:rPr>
                                  <w:color w:val="000000" w:themeColor="dark1"/>
                                </w:rPr>
                                <w:t>- Examiner les informations existantes</w:t>
                              </w:r>
                            </w:p>
                            <w:p w14:paraId="09E65CCD" w14:textId="23E104A4" w:rsidR="000C34EA" w:rsidRPr="00031D9D" w:rsidRDefault="000C34EA" w:rsidP="00031D9D">
                              <w:r w:rsidRPr="00031D9D">
                                <w:rPr>
                                  <w:color w:val="000000" w:themeColor="dark1"/>
                                </w:rPr>
                                <w:t>- Effectuer un échantillonnage et une analyse</w:t>
                              </w:r>
                            </w:p>
                          </w:txbxContent>
                        </v:textbox>
                      </v:rect>
                      <v:shape id="Straight Arrow Connector 19" o:spid="_x0000_s1040" type="#_x0000_t32" style="position:absolute;left:26967;top:34246;width:104;height:44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" strokecolor="#4a7ebb">
                        <v:stroke endarrow="block"/>
                      </v:shape>
                      <v:rect id="Rectangle 18" o:spid="_x0000_s1041" style="position:absolute;left:42991;top:52518;width:9089;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" fillcolor="window" strokecolor="#f79646" strokeweight="2pt">
                        <v:textbox inset=",0,,0">
                          <w:txbxContent>
                            <w:p w14:paraId="656190F1" w14:textId="26F711DC" w:rsidR="000C34EA" w:rsidRPr="00031D9D" w:rsidRDefault="000C34EA" w:rsidP="00031D9D">
                              <w:pPr>
                                <w:jc w:val="center"/>
                              </w:pPr>
                              <w:r w:rsidRPr="00031D9D">
                                <w:rPr>
                                  <w:color w:val="000000" w:themeColor="dark1"/>
                                </w:rPr>
                                <w:t>Aucune mesure</w:t>
                              </w:r>
                            </w:p>
                          </w:txbxContent>
                        </v:textbox>
                      </v:rect>
                      <v:rect id="Rectangle 81" o:spid="_x0000_s1042" style="position:absolute;left:11872;top:59842;width:39351;height:182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" filled="f" strokecolor="#385d8a" strokeweight="2pt">
                        <v:stroke dashstyle="dash"/>
                        <v:textbox>
                          <w:txbxContent>
                            <w:p w14:paraId="54CF5297" w14:textId="0EF89C8C" w:rsidR="000C34EA" w:rsidRDefault="000C34EA" w:rsidP="00031D9D">
                              <w:pPr>
                                <w:jc w:val="right"/>
                                <w:rPr>
                                  <w:sz w:val="24"/>
                                  <w:szCs w:val="24"/>
                                </w:rPr>
                              </w:pPr>
                              <w:r>
                                <w:rPr>
                                  <w:rFonts w:hAnsi="Calibri"/>
                                  <w:color w:val="000000"/>
                                </w:rPr>
                                <w:t>(sections</w:t>
                              </w:r>
                              <w:r>
                                <w:rPr>
                                  <w:rFonts w:hAnsi="Calibri"/>
                                  <w:color w:val="000000"/>
                                </w:rPr>
                                <w:t> </w:t>
                              </w:r>
                              <w:r>
                                <w:rPr>
                                  <w:rFonts w:hAnsi="Calibri"/>
                                  <w:color w:val="000000"/>
                                </w:rPr>
                                <w:t>E, F)</w:t>
                              </w:r>
                            </w:p>
                          </w:txbxContent>
                        </v:textbox>
                      </v:rect>
                      <v:rect id="Rectangle 14" o:spid="_x0000_s1043" style="position:absolute;left:13309;top:61710;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" fillcolor="window" strokecolor="#f79646" strokeweight="2pt">
                        <v:textbox inset=",0,,0">
                          <w:txbxContent>
                            <w:p w14:paraId="0FF6ACA6" w14:textId="7F863D4D" w:rsidR="000C34EA" w:rsidRPr="00031D9D" w:rsidRDefault="000C34EA" w:rsidP="00031D9D">
                              <w:pPr>
                                <w:jc w:val="center"/>
                                <w:rPr>
                                  <w:sz w:val="24"/>
                                  <w:szCs w:val="24"/>
                                </w:rPr>
                              </w:pPr>
                              <w:r w:rsidRPr="00031D9D">
                                <w:rPr>
                                  <w:color w:val="000000"/>
                                </w:rPr>
                                <w:t>Évaluation des options</w:t>
                              </w:r>
                            </w:p>
                          </w:txbxContent>
                        </v:textbox>
                      </v:rect>
                      <v:shape id="Straight Arrow Connector 27" o:spid="_x0000_s1044" type="#_x0000_t32" style="position:absolute;left:47424;top:45703;width:104;height:677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" strokecolor="#4a7ebb">
                        <v:stroke endarrow="block"/>
                      </v:shape>
                      <v:oval id="Oval 32" o:spid="_x0000_s1045" style="position:absolute;left:-1173;top:26380;width:12266;height:491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" fillcolor="window" strokecolor="#f79646" strokeweight="2pt">
                        <v:textbox inset="0,0,0,0">
                          <w:txbxContent>
                            <w:p w14:paraId="06CD6C01" w14:textId="57F8B8C2" w:rsidR="000C34EA" w:rsidRPr="00031D9D" w:rsidRDefault="000C34EA" w:rsidP="00031D9D">
                              <w:pPr>
                                <w:jc w:val="center"/>
                              </w:pPr>
                              <w:r w:rsidRPr="00031D9D">
                                <w:rPr>
                                  <w:color w:val="000000" w:themeColor="dark1"/>
                                </w:rPr>
                                <w:t>Participation du public (par ex., partage des informations, comité de consultation communautaire)</w:t>
                              </w:r>
                              <w:r w:rsidRPr="00031D9D">
                                <w:rPr>
                                  <w:color w:val="000000" w:themeColor="dark1"/>
                                </w:rPr>
                                <w:br/>
                                <w:t>(section C)</w:t>
                              </w:r>
                            </w:p>
                          </w:txbxContent>
                        </v:textbox>
                      </v:oval>
                      <v:rect id="Rectangle 35" o:spid="_x0000_s1046" style="position:absolute;left:42847;top:20298;width:11464;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" fillcolor="window" strokecolor="#f79646" strokeweight="2pt">
                        <v:textbox inset=",0,,0">
                          <w:txbxContent>
                            <w:p w14:paraId="68BDC5AD" w14:textId="1DBFD9FF" w:rsidR="000C34EA" w:rsidRPr="00AD25B8" w:rsidRDefault="000C34EA" w:rsidP="00031D9D">
                              <w:pPr>
                                <w:jc w:val="center"/>
                              </w:pPr>
                              <w:r w:rsidRPr="00AD25B8">
                                <w:rPr>
                                  <w:color w:val="000000" w:themeColor="dark1"/>
                                </w:rPr>
                                <w:t>Sites prioritaires connus</w:t>
                              </w:r>
                            </w:p>
                          </w:txbxContent>
                        </v:textbox>
                      </v:rect>
                      <v:shape id="Straight Arrow Connector 37" o:spid="_x0000_s1047" type="#_x0000_t32" style="position:absolute;left:40580;top:29615;width:805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" strokecolor="#4a7ebb">
                        <v:stroke endarrow="block"/>
                      </v:shape>
                      <v:shape id="Straight Arrow Connector 79" o:spid="_x0000_s1048" type="#_x0000_t32" style="position:absolute;left:40580;top:34099;width:423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" strokecolor="#4f81bd [3204]">
                        <v:stroke startarrow="open" endarrow="open"/>
                      </v:shape>
                      <v:shape id="Straight Arrow Connector 29" o:spid="_x0000_s1049" type="#_x0000_t32" style="position:absolute;left:54175;top:45703;width:36;height:3676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" strokecolor="#4a7ebb">
                        <v:stroke endarrow="block"/>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rrow: Left-Right 39" o:spid="_x0000_s1050" type="#_x0000_t69" style="position:absolute;left:11346;top:49214;width:4049;height:2593;rotation:180;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" adj="6915,6213" filled="f" strokecolor="#385d8a" strokeweight="2pt"/>
                      <v:shape id="Straight Arrow Connector 26" o:spid="_x0000_s1051" type="#_x0000_t32" style="position:absolute;left:40709;top:54797;width:22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" strokecolor="#4a7ebb">
                        <v:stroke endarrow="block"/>
                      </v:shape>
                      <v:rect id="Rectangle 16" o:spid="_x0000_s1052" style="position:absolute;left:13644;top:68316;width:26967;height:89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" fillcolor="window" strokecolor="#f79646" strokeweight="2pt">
                        <v:textbox inset=",0,,0">
                          <w:txbxContent>
                            <w:p w14:paraId="0DFA76A1" w14:textId="04AFB9EF" w:rsidR="000C34EA" w:rsidRDefault="000C34EA" w:rsidP="00031D9D">
                              <w:pPr>
                                <w:jc w:val="center"/>
                                <w:rPr>
                                  <w:sz w:val="24"/>
                                  <w:szCs w:val="24"/>
                                </w:rPr>
                              </w:pPr>
                              <w:r>
                                <w:rPr>
                                  <w:rFonts w:hAnsi="Calibri"/>
                                  <w:color w:val="000000"/>
                                </w:rPr>
                                <w:t>Gestion</w:t>
                              </w:r>
                              <w:r w:rsidRPr="00A71F6B">
                                <w:rPr>
                                  <w:rFonts w:hAnsi="Calibri"/>
                                  <w:color w:val="000000"/>
                                </w:rPr>
                                <w:t xml:space="preserve"> </w:t>
                              </w:r>
                              <w:r w:rsidRPr="00AC36F1">
                                <w:rPr>
                                  <w:rFonts w:hAnsi="Calibri"/>
                                  <w:color w:val="000000"/>
                                </w:rPr>
                                <w:t>(</w:t>
                              </w:r>
                              <w:r>
                                <w:rPr>
                                  <w:rFonts w:hAnsi="Calibri"/>
                                  <w:color w:val="000000"/>
                                </w:rPr>
                                <w:t>des risques</w:t>
                              </w:r>
                              <w:r w:rsidRPr="00AC36F1">
                                <w:rPr>
                                  <w:rFonts w:hAnsi="Calibri"/>
                                  <w:color w:val="000000"/>
                                </w:rPr>
                                <w:t>)</w:t>
                              </w:r>
                              <w:r>
                                <w:rPr>
                                  <w:rFonts w:hAnsi="Calibri"/>
                                  <w:color w:val="000000"/>
                                </w:rPr>
                                <w:t xml:space="preserve"> du site</w:t>
                              </w:r>
                            </w:p>
                          </w:txbxContent>
                        </v:textbox>
                      </v:rect>
                      <v:shape id="Straight Arrow Connector 24" o:spid="_x0000_s1053" type="#_x0000_t32" style="position:absolute;left:18987;top:75610;width:0;height:45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" strokecolor="#4a7ebb">
                        <v:stroke endarrow="block"/>
                      </v:shape>
                      <v:shape id="Straight Arrow Connector 25" o:spid="_x0000_s1054" type="#_x0000_t32" style="position:absolute;left:34929;top:75466;width:0;height:45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" strokecolor="#4a7ebb">
                        <v:stroke endarrow="block"/>
                      </v:shape>
                      <v:shape id="Arrow: Left-Right 33" o:spid="_x0000_s1055" type="#_x0000_t69" style="position:absolute;left:7197;top:77200;width:5728;height:2473;rotation:272152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" adj="4662" filled="f" strokecolor="#385d8a" strokeweight="2pt"/>
                      <v:shapetype id="_x0000_t202" coordsize="21600,21600" o:spt="202" path="m,l,21600r21600,l21600,xe">
                        <v:stroke joinstyle="miter"/>
                        <v:path gradientshapeok="t" o:connecttype="rect"/>
                      </v:shapetype>
                      <v:shape id="Text Box 83" o:spid="_x0000_s1056" type="#_x0000_t202" style="position:absolute;left:17442;top:70918;width:19622;height:5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" filled="f" strokecolor="#c0504d [3205]" strokeweight="1.5pt">
                        <v:textbox>
                          <w:txbxContent>
                            <w:p w14:paraId="5A16B482" w14:textId="23D03CCF" w:rsidR="000C34EA" w:rsidRDefault="000C34EA" w:rsidP="00031D9D">
                              <w:pPr>
                                <w:jc w:val="center"/>
                              </w:pPr>
                              <w:r>
                                <w:t>Remise en état du site</w:t>
                              </w:r>
                            </w:p>
                          </w:txbxContent>
                        </v:textbox>
                      </v:shape>
                      <v:shape id="Straight Arrow Connector 86" o:spid="_x0000_s1057" type="#_x0000_t32" style="position:absolute;left:26966;top:66418;width:104;height:15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" strokecolor="#4579b8 [3044]">
                        <v:stroke endarrow="block"/>
                      </v:shape>
                    </v:group>
                  </v:group>
                </v:group>
              </v:group>
            </w:pict>
          </mc:Fallback>
        </mc:AlternateContent>
      </w:r>
    </w:p>
    <w:p w14:paraId="666883C5" w14:textId="1370FCB3" w:rsidR="00031D9D" w:rsidRPr="003F0842" w:rsidRDefault="00031D9D" w:rsidP="00031D9D">
      <w:pPr>
        <w:tabs>
          <w:tab w:val="left" w:pos="4082"/>
        </w:tabs>
      </w:pPr>
    </w:p>
    <w:p w14:paraId="529403BE" w14:textId="77777777" w:rsidR="00031D9D" w:rsidRPr="003F0842" w:rsidRDefault="00031D9D" w:rsidP="00031D9D">
      <w:pPr>
        <w:tabs>
          <w:tab w:val="left" w:pos="4082"/>
        </w:tabs>
        <w:rPr>
          <w:strike/>
        </w:rPr>
      </w:pPr>
    </w:p>
    <w:p w14:paraId="13606E70" w14:textId="77777777" w:rsidR="00031D9D" w:rsidRPr="003F0842" w:rsidRDefault="00031D9D" w:rsidP="00031D9D">
      <w:pPr>
        <w:tabs>
          <w:tab w:val="left" w:pos="4082"/>
        </w:tabs>
        <w:rPr>
          <w:strike/>
        </w:rPr>
      </w:pPr>
    </w:p>
    <w:p w14:paraId="75796D11" w14:textId="77777777" w:rsidR="00031D9D" w:rsidRPr="003F0842" w:rsidRDefault="00031D9D" w:rsidP="00031D9D">
      <w:pPr>
        <w:tabs>
          <w:tab w:val="left" w:pos="4082"/>
        </w:tabs>
        <w:rPr>
          <w:strike/>
        </w:rPr>
      </w:pPr>
    </w:p>
    <w:p w14:paraId="4E5A0FB9" w14:textId="77777777" w:rsidR="00031D9D" w:rsidRPr="003F0842" w:rsidRDefault="00031D9D" w:rsidP="00031D9D">
      <w:pPr>
        <w:tabs>
          <w:tab w:val="left" w:pos="4082"/>
        </w:tabs>
        <w:rPr>
          <w:strike/>
        </w:rPr>
      </w:pPr>
      <w:r w:rsidRPr="003F0842">
        <w:rPr>
          <w:strike/>
          <w:noProof/>
          <w:lang w:eastAsia="fr-FR"/>
        </w:rPr>
        <mc:AlternateContent>
          <mc:Choice Requires="wps">
            <w:drawing>
              <wp:anchor distT="0" distB="0" distL="114300" distR="114300" simplePos="0" relativeHeight="251681280" behindDoc="0" locked="0" layoutInCell="1" allowOverlap="1" wp14:anchorId="53F3B34F" wp14:editId="4732D151">
                <wp:simplePos x="0" y="0"/>
                <wp:positionH relativeFrom="column">
                  <wp:posOffset>2645546</wp:posOffset>
                </wp:positionH>
                <wp:positionV relativeFrom="paragraph">
                  <wp:posOffset>81295</wp:posOffset>
                </wp:positionV>
                <wp:extent cx="0" cy="459609"/>
                <wp:effectExtent l="63500" t="0" r="63500" b="36195"/>
                <wp:wrapNone/>
                <wp:docPr id="87" name="Straight Arrow Connector 8"/>
                <wp:cNvGraphicFramePr/>
                <a:graphic xmlns:a="http://schemas.openxmlformats.org/drawingml/2006/main">
                  <a:graphicData uri="http://schemas.microsoft.com/office/word/2010/wordprocessingShape">
                    <wps:wsp>
                      <wps:cNvCnPr/>
                      <wps:spPr>
                        <a:xfrm>
                          <a:off x="0" y="0"/>
                          <a:ext cx="0" cy="459609"/>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1E7DB330" id="Straight Arrow Connector 8" o:spid="_x0000_s1026" type="#_x0000_t32" style="position:absolute;margin-left:208.3pt;margin-top:6.4pt;width:0;height:36.2pt;z-index:251681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" strokecolor="#4a7ebb">
                <v:stroke endarrow="block"/>
              </v:shape>
            </w:pict>
          </mc:Fallback>
        </mc:AlternateContent>
      </w:r>
    </w:p>
    <w:p w14:paraId="701A116F" w14:textId="77777777" w:rsidR="00031D9D" w:rsidRPr="003F0842" w:rsidRDefault="00031D9D" w:rsidP="00031D9D">
      <w:pPr>
        <w:tabs>
          <w:tab w:val="left" w:pos="4082"/>
        </w:tabs>
        <w:rPr>
          <w:strike/>
        </w:rPr>
      </w:pPr>
    </w:p>
    <w:p w14:paraId="331BB860" w14:textId="77777777" w:rsidR="00031D9D" w:rsidRPr="003F0842" w:rsidRDefault="00031D9D" w:rsidP="00031D9D">
      <w:pPr>
        <w:tabs>
          <w:tab w:val="left" w:pos="4082"/>
        </w:tabs>
        <w:rPr>
          <w:strike/>
        </w:rPr>
      </w:pPr>
    </w:p>
    <w:p w14:paraId="497D07D3" w14:textId="77777777" w:rsidR="00031D9D" w:rsidRPr="003F0842" w:rsidRDefault="00031D9D" w:rsidP="00031D9D">
      <w:pPr>
        <w:tabs>
          <w:tab w:val="left" w:pos="4082"/>
        </w:tabs>
        <w:rPr>
          <w:strike/>
        </w:rPr>
      </w:pPr>
    </w:p>
    <w:p w14:paraId="5CA21865" w14:textId="77777777" w:rsidR="00031D9D" w:rsidRPr="003F0842" w:rsidRDefault="00031D9D" w:rsidP="00031D9D">
      <w:pPr>
        <w:pStyle w:val="Normal-pool"/>
      </w:pPr>
    </w:p>
    <w:p w14:paraId="518EC65D" w14:textId="77777777" w:rsidR="00031D9D" w:rsidRPr="003F0842" w:rsidRDefault="00031D9D" w:rsidP="00031D9D">
      <w:pPr>
        <w:pStyle w:val="Normal-pool"/>
        <w:rPr>
          <w:strike/>
        </w:rPr>
      </w:pPr>
    </w:p>
    <w:p w14:paraId="6D5CB84C" w14:textId="77777777" w:rsidR="00031D9D" w:rsidRPr="003F0842" w:rsidRDefault="00031D9D" w:rsidP="00031D9D">
      <w:pPr>
        <w:pStyle w:val="Normal-pool"/>
        <w:rPr>
          <w:strike/>
        </w:rPr>
      </w:pPr>
      <w:r w:rsidRPr="003F0842">
        <w:rPr>
          <w:strike/>
          <w:noProof/>
          <w:lang w:val="fr-FR" w:eastAsia="fr-FR"/>
        </w:rPr>
        <mc:AlternateContent>
          <mc:Choice Requires="wps">
            <w:drawing>
              <wp:anchor distT="0" distB="0" distL="114300" distR="114300" simplePos="0" relativeHeight="251682304" behindDoc="0" locked="0" layoutInCell="1" allowOverlap="1" wp14:anchorId="0394E553" wp14:editId="022E4CEA">
                <wp:simplePos x="0" y="0"/>
                <wp:positionH relativeFrom="column">
                  <wp:posOffset>2622892</wp:posOffset>
                </wp:positionH>
                <wp:positionV relativeFrom="paragraph">
                  <wp:posOffset>120015</wp:posOffset>
                </wp:positionV>
                <wp:extent cx="0" cy="459609"/>
                <wp:effectExtent l="63500" t="0" r="63500" b="36195"/>
                <wp:wrapNone/>
                <wp:docPr id="88" name="Straight Arrow Connector 8"/>
                <wp:cNvGraphicFramePr/>
                <a:graphic xmlns:a="http://schemas.openxmlformats.org/drawingml/2006/main">
                  <a:graphicData uri="http://schemas.microsoft.com/office/word/2010/wordprocessingShape">
                    <wps:wsp>
                      <wps:cNvCnPr/>
                      <wps:spPr>
                        <a:xfrm>
                          <a:off x="0" y="0"/>
                          <a:ext cx="0" cy="459609"/>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0B9E9531" id="Straight Arrow Connector 8" o:spid="_x0000_s1026" type="#_x0000_t32" style="position:absolute;margin-left:206.55pt;margin-top:9.45pt;width:0;height:36.2pt;z-index:2516823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" strokecolor="#4a7ebb">
                <v:stroke endarrow="block"/>
              </v:shape>
            </w:pict>
          </mc:Fallback>
        </mc:AlternateContent>
      </w:r>
    </w:p>
    <w:p w14:paraId="191725A3" w14:textId="77777777" w:rsidR="00031D9D" w:rsidRPr="003F0842" w:rsidRDefault="00031D9D" w:rsidP="00031D9D">
      <w:pPr>
        <w:pStyle w:val="Normal-pool"/>
        <w:rPr>
          <w:strike/>
        </w:rPr>
      </w:pPr>
    </w:p>
    <w:p w14:paraId="280B9297" w14:textId="77777777" w:rsidR="00031D9D" w:rsidRPr="003F0842" w:rsidRDefault="00031D9D" w:rsidP="00031D9D">
      <w:pPr>
        <w:pStyle w:val="Normal-pool"/>
        <w:rPr>
          <w:strike/>
        </w:rPr>
      </w:pPr>
    </w:p>
    <w:p w14:paraId="5F03836B" w14:textId="77777777" w:rsidR="00031D9D" w:rsidRPr="003F0842" w:rsidRDefault="00031D9D" w:rsidP="00031D9D">
      <w:pPr>
        <w:pStyle w:val="Normal-pool"/>
        <w:rPr>
          <w:strike/>
        </w:rPr>
      </w:pPr>
    </w:p>
    <w:p w14:paraId="24D59489" w14:textId="77777777" w:rsidR="00031D9D" w:rsidRPr="003F0842" w:rsidRDefault="00031D9D" w:rsidP="00031D9D">
      <w:pPr>
        <w:pStyle w:val="Normal-pool"/>
        <w:rPr>
          <w:strike/>
        </w:rPr>
      </w:pPr>
    </w:p>
    <w:p w14:paraId="30B01E7E" w14:textId="77777777" w:rsidR="00031D9D" w:rsidRPr="003F0842" w:rsidRDefault="00031D9D" w:rsidP="00031D9D">
      <w:pPr>
        <w:pStyle w:val="Normal-pool"/>
        <w:rPr>
          <w:strike/>
        </w:rPr>
      </w:pPr>
      <w:r w:rsidRPr="003F0842">
        <w:rPr>
          <w:noProof/>
          <w:lang w:val="fr-FR" w:eastAsia="fr-FR"/>
        </w:rPr>
        <mc:AlternateContent>
          <mc:Choice Requires="wps">
            <w:drawing>
              <wp:anchor distT="0" distB="0" distL="114300" distR="114300" simplePos="0" relativeHeight="251683328" behindDoc="0" locked="0" layoutInCell="1" allowOverlap="1" wp14:anchorId="4549637B" wp14:editId="2B7A418D">
                <wp:simplePos x="0" y="0"/>
                <wp:positionH relativeFrom="column">
                  <wp:posOffset>621785</wp:posOffset>
                </wp:positionH>
                <wp:positionV relativeFrom="paragraph">
                  <wp:posOffset>97674</wp:posOffset>
                </wp:positionV>
                <wp:extent cx="454313" cy="229748"/>
                <wp:effectExtent l="0" t="0" r="0" b="0"/>
                <wp:wrapNone/>
                <wp:docPr id="89" name="Arrow: Left-Right 34"/>
                <wp:cNvGraphicFramePr/>
                <a:graphic xmlns:a="http://schemas.openxmlformats.org/drawingml/2006/main">
                  <a:graphicData uri="http://schemas.microsoft.com/office/word/2010/wordprocessingShape">
                    <wps:wsp>
                      <wps:cNvSpPr/>
                      <wps:spPr>
                        <a:xfrm rot="19110630">
                          <a:off x="0" y="0"/>
                          <a:ext cx="454313" cy="229748"/>
                        </a:xfrm>
                        <a:prstGeom prst="leftRightArrow">
                          <a:avLst/>
                        </a:prstGeom>
                        <a:noFill/>
                        <a:ln w="25400" cap="flat" cmpd="sng" algn="ctr">
                          <a:solidFill>
                            <a:srgbClr val="4F81BD">
                              <a:shade val="50000"/>
                            </a:srgbClr>
                          </a:solidFill>
                          <a:prstDash val="solid"/>
                        </a:ln>
                        <a:effectLst/>
                      </wps:spPr>
                      <wps:bodyPr rtlCol="0" anchor="t"/>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60C04EEF" id="Arrow: Left-Right 34" o:spid="_x0000_s1026" type="#_x0000_t69" style="position:absolute;margin-left:48.95pt;margin-top:7.7pt;width:35.75pt;height:18.1pt;rotation:-2719056fd;z-index:251683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" adj="5462" filled="f" strokecolor="#385d8a" strokeweight="2pt"/>
            </w:pict>
          </mc:Fallback>
        </mc:AlternateContent>
      </w:r>
    </w:p>
    <w:p w14:paraId="6F8E8FA1" w14:textId="77777777" w:rsidR="00031D9D" w:rsidRPr="003F0842" w:rsidRDefault="00031D9D" w:rsidP="00031D9D">
      <w:pPr>
        <w:pStyle w:val="Normal-pool"/>
        <w:rPr>
          <w:strike/>
        </w:rPr>
      </w:pPr>
    </w:p>
    <w:p w14:paraId="4B28F4BF" w14:textId="77777777" w:rsidR="00031D9D" w:rsidRPr="003F0842" w:rsidRDefault="00031D9D" w:rsidP="00031D9D">
      <w:pPr>
        <w:pStyle w:val="Normal-pool"/>
        <w:rPr>
          <w:strike/>
        </w:rPr>
      </w:pPr>
      <w:r w:rsidRPr="003F0842">
        <w:rPr>
          <w:strike/>
          <w:noProof/>
          <w:lang w:val="fr-FR" w:eastAsia="fr-FR"/>
        </w:rPr>
        <mc:AlternateContent>
          <mc:Choice Requires="wps">
            <w:drawing>
              <wp:anchor distT="0" distB="0" distL="114300" distR="114300" simplePos="0" relativeHeight="251685376" behindDoc="0" locked="0" layoutInCell="1" allowOverlap="1" wp14:anchorId="0C317CDE" wp14:editId="618FFE6E">
                <wp:simplePos x="0" y="0"/>
                <wp:positionH relativeFrom="column">
                  <wp:posOffset>4861702</wp:posOffset>
                </wp:positionH>
                <wp:positionV relativeFrom="paragraph">
                  <wp:posOffset>45480</wp:posOffset>
                </wp:positionV>
                <wp:extent cx="5165" cy="448118"/>
                <wp:effectExtent l="0" t="0" r="20320" b="9525"/>
                <wp:wrapNone/>
                <wp:docPr id="90" name="Straight Connector 36"/>
                <wp:cNvGraphicFramePr/>
                <a:graphic xmlns:a="http://schemas.openxmlformats.org/drawingml/2006/main">
                  <a:graphicData uri="http://schemas.microsoft.com/office/word/2010/wordprocessingShape">
                    <wps:wsp>
                      <wps:cNvCnPr/>
                      <wps:spPr>
                        <a:xfrm flipV="1">
                          <a:off x="0" y="0"/>
                          <a:ext cx="5165" cy="448118"/>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line w14:anchorId="2789AD36" id="Straight Connector 36" o:spid="_x0000_s1026" style="position:absolute;flip:y;z-index:251685376;visibility:visible;mso-wrap-style:square;mso-wrap-distance-left:9pt;mso-wrap-distance-top:0;mso-wrap-distance-right:9pt;mso-wrap-distance-bottom:0;mso-position-horizontal:absolute;mso-position-horizontal-relative:text;mso-position-vertical:absolute;mso-position-vertical-relative:text" from="382.8pt,3.6pt" to="383.2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" strokecolor="#4a7ebb"/>
            </w:pict>
          </mc:Fallback>
        </mc:AlternateContent>
      </w:r>
      <w:r w:rsidRPr="003F0842">
        <w:rPr>
          <w:strike/>
          <w:noProof/>
          <w:lang w:val="fr-FR" w:eastAsia="fr-FR"/>
        </w:rPr>
        <mc:AlternateContent>
          <mc:Choice Requires="wps">
            <w:drawing>
              <wp:anchor distT="0" distB="0" distL="114300" distR="114300" simplePos="0" relativeHeight="251684352" behindDoc="0" locked="0" layoutInCell="1" allowOverlap="1" wp14:anchorId="6C209B20" wp14:editId="39EBFA4F">
                <wp:simplePos x="0" y="0"/>
                <wp:positionH relativeFrom="column">
                  <wp:posOffset>2622872</wp:posOffset>
                </wp:positionH>
                <wp:positionV relativeFrom="paragraph">
                  <wp:posOffset>28724</wp:posOffset>
                </wp:positionV>
                <wp:extent cx="0" cy="459609"/>
                <wp:effectExtent l="63500" t="0" r="63500" b="36195"/>
                <wp:wrapNone/>
                <wp:docPr id="91" name="Straight Arrow Connector 8"/>
                <wp:cNvGraphicFramePr/>
                <a:graphic xmlns:a="http://schemas.openxmlformats.org/drawingml/2006/main">
                  <a:graphicData uri="http://schemas.microsoft.com/office/word/2010/wordprocessingShape">
                    <wps:wsp>
                      <wps:cNvCnPr/>
                      <wps:spPr>
                        <a:xfrm>
                          <a:off x="0" y="0"/>
                          <a:ext cx="0" cy="459609"/>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1A162BD0" id="Straight Arrow Connector 8" o:spid="_x0000_s1026" type="#_x0000_t32" style="position:absolute;margin-left:206.55pt;margin-top:2.25pt;width:0;height:36.2pt;z-index:251684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" strokecolor="#4a7ebb">
                <v:stroke endarrow="block"/>
              </v:shape>
            </w:pict>
          </mc:Fallback>
        </mc:AlternateContent>
      </w:r>
    </w:p>
    <w:p w14:paraId="7D421488" w14:textId="77777777" w:rsidR="00031D9D" w:rsidRPr="003F0842" w:rsidRDefault="00031D9D" w:rsidP="00031D9D">
      <w:pPr>
        <w:pStyle w:val="Normal-pool"/>
        <w:rPr>
          <w:strike/>
        </w:rPr>
      </w:pPr>
    </w:p>
    <w:p w14:paraId="6B1A9ABE" w14:textId="77777777" w:rsidR="00031D9D" w:rsidRPr="003F0842" w:rsidRDefault="00031D9D" w:rsidP="00031D9D">
      <w:pPr>
        <w:pStyle w:val="Normal-pool"/>
        <w:rPr>
          <w:strike/>
        </w:rPr>
      </w:pPr>
    </w:p>
    <w:p w14:paraId="76AF563E" w14:textId="77777777" w:rsidR="00031D9D" w:rsidRPr="003F0842" w:rsidRDefault="00031D9D" w:rsidP="00031D9D">
      <w:pPr>
        <w:pStyle w:val="Normal-pool"/>
        <w:rPr>
          <w:strike/>
        </w:rPr>
      </w:pPr>
    </w:p>
    <w:p w14:paraId="3F8C8607" w14:textId="77777777" w:rsidR="00031D9D" w:rsidRPr="003F0842" w:rsidRDefault="00031D9D" w:rsidP="00031D9D">
      <w:pPr>
        <w:pStyle w:val="Normal-pool"/>
        <w:rPr>
          <w:strike/>
        </w:rPr>
      </w:pPr>
    </w:p>
    <w:p w14:paraId="0CFE9DFA" w14:textId="77777777" w:rsidR="00031D9D" w:rsidRPr="003F0842" w:rsidRDefault="00031D9D" w:rsidP="00031D9D">
      <w:pPr>
        <w:pStyle w:val="Normal-pool"/>
        <w:rPr>
          <w:strike/>
        </w:rPr>
      </w:pPr>
    </w:p>
    <w:p w14:paraId="1EFF34B9" w14:textId="77777777" w:rsidR="00031D9D" w:rsidRPr="003F0842" w:rsidRDefault="00031D9D" w:rsidP="00031D9D">
      <w:pPr>
        <w:pStyle w:val="Normal-pool"/>
        <w:rPr>
          <w:strike/>
        </w:rPr>
      </w:pPr>
    </w:p>
    <w:p w14:paraId="3F9659D3" w14:textId="77777777" w:rsidR="00031D9D" w:rsidRPr="003F0842" w:rsidRDefault="00031D9D" w:rsidP="00031D9D">
      <w:pPr>
        <w:pStyle w:val="Normal-pool"/>
        <w:rPr>
          <w:strike/>
        </w:rPr>
      </w:pPr>
    </w:p>
    <w:p w14:paraId="0600CB79" w14:textId="77777777" w:rsidR="00031D9D" w:rsidRPr="003F0842" w:rsidRDefault="00031D9D" w:rsidP="00031D9D">
      <w:pPr>
        <w:pStyle w:val="Normal-pool"/>
        <w:rPr>
          <w:strike/>
        </w:rPr>
      </w:pPr>
    </w:p>
    <w:p w14:paraId="678A8FEF" w14:textId="77777777" w:rsidR="00031D9D" w:rsidRPr="003F0842" w:rsidRDefault="00031D9D" w:rsidP="00031D9D">
      <w:pPr>
        <w:pStyle w:val="Normal-pool"/>
        <w:rPr>
          <w:strike/>
        </w:rPr>
      </w:pPr>
    </w:p>
    <w:p w14:paraId="49C0BFC1" w14:textId="77777777" w:rsidR="00031D9D" w:rsidRPr="003F0842" w:rsidRDefault="00031D9D" w:rsidP="00031D9D">
      <w:pPr>
        <w:pStyle w:val="Normal-pool"/>
        <w:rPr>
          <w:strike/>
        </w:rPr>
      </w:pPr>
    </w:p>
    <w:p w14:paraId="02893997" w14:textId="77777777" w:rsidR="00031D9D" w:rsidRPr="003F0842" w:rsidRDefault="00031D9D" w:rsidP="00031D9D">
      <w:pPr>
        <w:pStyle w:val="Normal-pool"/>
        <w:rPr>
          <w:strike/>
        </w:rPr>
      </w:pPr>
    </w:p>
    <w:p w14:paraId="65730D9A" w14:textId="77777777" w:rsidR="00031D9D" w:rsidRPr="003F0842" w:rsidRDefault="00031D9D" w:rsidP="00031D9D">
      <w:pPr>
        <w:pStyle w:val="Normal-pool"/>
        <w:rPr>
          <w:strike/>
        </w:rPr>
      </w:pPr>
    </w:p>
    <w:p w14:paraId="09DDAC2F" w14:textId="77777777" w:rsidR="00031D9D" w:rsidRPr="003F0842" w:rsidRDefault="00031D9D" w:rsidP="00031D9D">
      <w:pPr>
        <w:pStyle w:val="Normal-pool"/>
        <w:rPr>
          <w:strike/>
        </w:rPr>
      </w:pPr>
    </w:p>
    <w:p w14:paraId="18234C63" w14:textId="77777777" w:rsidR="00031D9D" w:rsidRPr="003F0842" w:rsidRDefault="00031D9D" w:rsidP="00031D9D">
      <w:pPr>
        <w:pStyle w:val="Normal-pool"/>
        <w:rPr>
          <w:strike/>
        </w:rPr>
      </w:pPr>
    </w:p>
    <w:p w14:paraId="1D36261E" w14:textId="77777777" w:rsidR="00031D9D" w:rsidRPr="003F0842" w:rsidRDefault="00031D9D" w:rsidP="00031D9D">
      <w:pPr>
        <w:pStyle w:val="Normal-pool"/>
        <w:rPr>
          <w:strike/>
        </w:rPr>
      </w:pPr>
    </w:p>
    <w:p w14:paraId="4161108F" w14:textId="77777777" w:rsidR="00031D9D" w:rsidRPr="003F0842" w:rsidRDefault="00031D9D" w:rsidP="00031D9D">
      <w:pPr>
        <w:pStyle w:val="Normal-pool"/>
        <w:rPr>
          <w:strike/>
        </w:rPr>
      </w:pPr>
    </w:p>
    <w:p w14:paraId="43C5189D" w14:textId="77777777" w:rsidR="00031D9D" w:rsidRPr="003F0842" w:rsidRDefault="00031D9D" w:rsidP="00031D9D">
      <w:pPr>
        <w:pStyle w:val="Normal-pool"/>
        <w:rPr>
          <w:strike/>
        </w:rPr>
      </w:pPr>
    </w:p>
    <w:p w14:paraId="7B4E10A1" w14:textId="77777777" w:rsidR="00031D9D" w:rsidRPr="003F0842" w:rsidRDefault="00031D9D" w:rsidP="00031D9D">
      <w:pPr>
        <w:pStyle w:val="Normal-pool"/>
        <w:rPr>
          <w:strike/>
        </w:rPr>
      </w:pPr>
    </w:p>
    <w:p w14:paraId="7CE0E945" w14:textId="77777777" w:rsidR="00031D9D" w:rsidRPr="003F0842" w:rsidRDefault="00031D9D" w:rsidP="00031D9D">
      <w:pPr>
        <w:pStyle w:val="Normal-pool"/>
        <w:rPr>
          <w:strike/>
        </w:rPr>
      </w:pPr>
    </w:p>
    <w:p w14:paraId="5B61F4C6" w14:textId="77777777" w:rsidR="00031D9D" w:rsidRPr="003F0842" w:rsidRDefault="00031D9D" w:rsidP="00031D9D">
      <w:pPr>
        <w:pStyle w:val="Normal-pool"/>
        <w:rPr>
          <w:strike/>
        </w:rPr>
      </w:pPr>
    </w:p>
    <w:p w14:paraId="57F841BF" w14:textId="77777777" w:rsidR="00031D9D" w:rsidRPr="003F0842" w:rsidRDefault="00031D9D" w:rsidP="00031D9D">
      <w:pPr>
        <w:pStyle w:val="Normal-pool"/>
        <w:rPr>
          <w:strike/>
        </w:rPr>
      </w:pPr>
    </w:p>
    <w:p w14:paraId="69FF12DA" w14:textId="77777777" w:rsidR="00031D9D" w:rsidRPr="003F0842" w:rsidRDefault="00031D9D" w:rsidP="00031D9D">
      <w:pPr>
        <w:pStyle w:val="Normal-pool"/>
        <w:rPr>
          <w:strike/>
        </w:rPr>
      </w:pPr>
    </w:p>
    <w:p w14:paraId="7983268F" w14:textId="77777777" w:rsidR="00031D9D" w:rsidRPr="003F0842" w:rsidRDefault="00031D9D" w:rsidP="00031D9D">
      <w:pPr>
        <w:pStyle w:val="Normal-pool"/>
        <w:rPr>
          <w:strike/>
        </w:rPr>
      </w:pPr>
    </w:p>
    <w:p w14:paraId="376B3555" w14:textId="77777777" w:rsidR="00031D9D" w:rsidRPr="003F0842" w:rsidRDefault="00031D9D" w:rsidP="00031D9D">
      <w:pPr>
        <w:pStyle w:val="Normal-pool"/>
        <w:rPr>
          <w:strike/>
        </w:rPr>
      </w:pPr>
    </w:p>
    <w:p w14:paraId="26E9E19C" w14:textId="77777777" w:rsidR="00031D9D" w:rsidRPr="003F0842" w:rsidRDefault="00031D9D" w:rsidP="00031D9D">
      <w:pPr>
        <w:pStyle w:val="Normal-pool"/>
        <w:rPr>
          <w:strike/>
        </w:rPr>
      </w:pPr>
    </w:p>
    <w:p w14:paraId="7580EE71" w14:textId="77777777" w:rsidR="00031D9D" w:rsidRPr="003F0842" w:rsidRDefault="00031D9D" w:rsidP="00031D9D">
      <w:pPr>
        <w:pStyle w:val="Normal-pool"/>
        <w:rPr>
          <w:strike/>
        </w:rPr>
      </w:pPr>
    </w:p>
    <w:p w14:paraId="6E485DE8" w14:textId="77777777" w:rsidR="00031D9D" w:rsidRPr="003F0842" w:rsidRDefault="00031D9D" w:rsidP="00031D9D">
      <w:pPr>
        <w:pStyle w:val="Normal-pool"/>
        <w:rPr>
          <w:strike/>
        </w:rPr>
      </w:pPr>
    </w:p>
    <w:p w14:paraId="69478D08" w14:textId="77777777" w:rsidR="00031D9D" w:rsidRPr="003F0842" w:rsidRDefault="00031D9D" w:rsidP="00031D9D">
      <w:pPr>
        <w:pStyle w:val="Normal-pool"/>
        <w:rPr>
          <w:strike/>
        </w:rPr>
      </w:pPr>
    </w:p>
    <w:p w14:paraId="78FA6091" w14:textId="77777777" w:rsidR="00031D9D" w:rsidRPr="003F0842" w:rsidRDefault="00031D9D" w:rsidP="00031D9D">
      <w:pPr>
        <w:pStyle w:val="Normal-pool"/>
        <w:rPr>
          <w:strike/>
        </w:rPr>
      </w:pPr>
    </w:p>
    <w:p w14:paraId="385793C3" w14:textId="77777777" w:rsidR="00031D9D" w:rsidRPr="003F0842" w:rsidRDefault="00031D9D" w:rsidP="00031D9D">
      <w:pPr>
        <w:pStyle w:val="Normal-pool"/>
        <w:rPr>
          <w:strike/>
        </w:rPr>
      </w:pPr>
    </w:p>
    <w:p w14:paraId="12CC67B3" w14:textId="77777777" w:rsidR="00031D9D" w:rsidRPr="003F0842" w:rsidRDefault="00031D9D" w:rsidP="00031D9D">
      <w:pPr>
        <w:pStyle w:val="Normal-pool"/>
        <w:rPr>
          <w:strike/>
        </w:rPr>
      </w:pPr>
    </w:p>
    <w:p w14:paraId="46B2F8EC" w14:textId="77777777" w:rsidR="00031D9D" w:rsidRPr="003F0842" w:rsidRDefault="00031D9D" w:rsidP="00031D9D">
      <w:pPr>
        <w:pStyle w:val="Normal-pool"/>
        <w:rPr>
          <w:strike/>
        </w:rPr>
      </w:pPr>
    </w:p>
    <w:p w14:paraId="5B0446BB" w14:textId="77777777" w:rsidR="00031D9D" w:rsidRPr="003F0842" w:rsidRDefault="00031D9D" w:rsidP="00031D9D">
      <w:pPr>
        <w:pStyle w:val="Normal-pool"/>
        <w:rPr>
          <w:strike/>
        </w:rPr>
      </w:pPr>
    </w:p>
    <w:p w14:paraId="4E1A5B56" w14:textId="77777777" w:rsidR="00031D9D" w:rsidRPr="003F0842" w:rsidRDefault="00031D9D" w:rsidP="00031D9D">
      <w:pPr>
        <w:pStyle w:val="Normal-pool"/>
        <w:rPr>
          <w:strike/>
        </w:rPr>
      </w:pPr>
    </w:p>
    <w:p w14:paraId="642EBF31" w14:textId="77777777" w:rsidR="00031D9D" w:rsidRPr="003F0842" w:rsidRDefault="00031D9D" w:rsidP="00031D9D">
      <w:pPr>
        <w:pStyle w:val="Normal-pool"/>
        <w:rPr>
          <w:strike/>
        </w:rPr>
      </w:pPr>
    </w:p>
    <w:p w14:paraId="7069A98B" w14:textId="77777777" w:rsidR="00031D9D" w:rsidRPr="003F0842" w:rsidRDefault="00031D9D" w:rsidP="00031D9D">
      <w:pPr>
        <w:pStyle w:val="Normal-pool"/>
        <w:rPr>
          <w:strike/>
        </w:rPr>
      </w:pPr>
    </w:p>
    <w:p w14:paraId="209A252C" w14:textId="77777777" w:rsidR="00031D9D" w:rsidRPr="003F0842" w:rsidRDefault="00031D9D" w:rsidP="00031D9D">
      <w:pPr>
        <w:pStyle w:val="Normal-pool"/>
        <w:rPr>
          <w:strike/>
        </w:rPr>
      </w:pPr>
    </w:p>
    <w:p w14:paraId="5490BD35" w14:textId="77777777" w:rsidR="00031D9D" w:rsidRPr="003F0842" w:rsidRDefault="00031D9D" w:rsidP="00031D9D">
      <w:pPr>
        <w:pStyle w:val="Normal-pool"/>
        <w:rPr>
          <w:strike/>
        </w:rPr>
      </w:pPr>
    </w:p>
    <w:p w14:paraId="4FB78B3F" w14:textId="77777777" w:rsidR="00031D9D" w:rsidRPr="003F0842" w:rsidRDefault="00031D9D" w:rsidP="00031D9D">
      <w:pPr>
        <w:pStyle w:val="Normal-pool"/>
        <w:rPr>
          <w:strike/>
        </w:rPr>
      </w:pPr>
    </w:p>
    <w:p w14:paraId="4F65C66E" w14:textId="77777777" w:rsidR="00031D9D" w:rsidRPr="003F0842" w:rsidRDefault="00031D9D" w:rsidP="00031D9D">
      <w:pPr>
        <w:pStyle w:val="Normal-pool"/>
        <w:rPr>
          <w:strike/>
        </w:rPr>
      </w:pPr>
    </w:p>
    <w:p w14:paraId="3B70F8B2" w14:textId="1418ED0F" w:rsidR="009B3EB2" w:rsidRPr="008D2CC5" w:rsidRDefault="00031D9D" w:rsidP="00163926">
      <w:pPr>
        <w:pStyle w:val="CH3"/>
        <w:rPr>
          <w:lang w:val="fr-FR"/>
        </w:rPr>
      </w:pPr>
      <w:r>
        <w:rPr>
          <w:lang w:val="fr-FR"/>
        </w:rPr>
        <w:lastRenderedPageBreak/>
        <w:tab/>
      </w:r>
      <w:r w:rsidR="00062C07" w:rsidRPr="008D2CC5">
        <w:rPr>
          <w:lang w:val="fr-FR"/>
        </w:rPr>
        <w:t>2</w:t>
      </w:r>
      <w:r w:rsidR="00152CD3" w:rsidRPr="008D2CC5">
        <w:rPr>
          <w:lang w:val="fr-FR"/>
        </w:rPr>
        <w:t>.</w:t>
      </w:r>
      <w:r w:rsidR="009B3EB2" w:rsidRPr="008D2CC5">
        <w:rPr>
          <w:lang w:val="fr-FR"/>
        </w:rPr>
        <w:tab/>
      </w:r>
      <w:r w:rsidR="00106103" w:rsidRPr="008D2CC5">
        <w:rPr>
          <w:lang w:val="fr-FR"/>
        </w:rPr>
        <w:t>Risques pour la santé humaine et l</w:t>
      </w:r>
      <w:r w:rsidR="000409D6" w:rsidRPr="008D2CC5">
        <w:rPr>
          <w:lang w:val="fr-FR"/>
        </w:rPr>
        <w:t>’</w:t>
      </w:r>
      <w:r w:rsidR="00106103" w:rsidRPr="008D2CC5">
        <w:rPr>
          <w:lang w:val="fr-FR"/>
        </w:rPr>
        <w:t>environnement</w:t>
      </w:r>
    </w:p>
    <w:p w14:paraId="4DFBB052" w14:textId="2EA4A4D7" w:rsidR="009B3EB2" w:rsidRPr="008D2CC5" w:rsidRDefault="00E24EBE" w:rsidP="00163926">
      <w:pPr>
        <w:pStyle w:val="Normalnumber"/>
        <w:keepNext/>
        <w:keepLines/>
        <w:numPr>
          <w:ilvl w:val="0"/>
          <w:numId w:val="5"/>
        </w:numPr>
        <w:rPr>
          <w:lang w:val="fr-FR"/>
        </w:rPr>
      </w:pPr>
      <w:r w:rsidRPr="008D2CC5">
        <w:rPr>
          <w:lang w:val="fr-FR"/>
        </w:rPr>
        <w:t>Le mercure est un élément chimique naturel présent dans l</w:t>
      </w:r>
      <w:r w:rsidR="000409D6" w:rsidRPr="008D2CC5">
        <w:rPr>
          <w:lang w:val="fr-FR"/>
        </w:rPr>
        <w:t>’</w:t>
      </w:r>
      <w:r w:rsidRPr="008D2CC5">
        <w:rPr>
          <w:lang w:val="fr-FR"/>
        </w:rPr>
        <w:t>air, l</w:t>
      </w:r>
      <w:r w:rsidR="000409D6" w:rsidRPr="008D2CC5">
        <w:rPr>
          <w:lang w:val="fr-FR"/>
        </w:rPr>
        <w:t>’</w:t>
      </w:r>
      <w:r w:rsidRPr="008D2CC5">
        <w:rPr>
          <w:lang w:val="fr-FR"/>
        </w:rPr>
        <w:t>eau et les sols</w:t>
      </w:r>
      <w:r w:rsidR="009B3EB2" w:rsidRPr="008D2CC5">
        <w:rPr>
          <w:lang w:val="fr-FR"/>
        </w:rPr>
        <w:t>.</w:t>
      </w:r>
      <w:r w:rsidRPr="008D2CC5">
        <w:rPr>
          <w:lang w:val="fr-FR"/>
        </w:rPr>
        <w:t xml:space="preserve"> Ses</w:t>
      </w:r>
      <w:r w:rsidR="009B3EB2" w:rsidRPr="008D2CC5">
        <w:rPr>
          <w:lang w:val="fr-FR"/>
        </w:rPr>
        <w:t xml:space="preserve"> </w:t>
      </w:r>
      <w:r w:rsidRPr="008D2CC5">
        <w:rPr>
          <w:lang w:val="fr-FR"/>
        </w:rPr>
        <w:t>niveaux de fond naturels varient d</w:t>
      </w:r>
      <w:r w:rsidR="000409D6" w:rsidRPr="008D2CC5">
        <w:rPr>
          <w:lang w:val="fr-FR"/>
        </w:rPr>
        <w:t>’</w:t>
      </w:r>
      <w:r w:rsidRPr="008D2CC5">
        <w:rPr>
          <w:lang w:val="fr-FR"/>
        </w:rPr>
        <w:t>un endroit à un autre et dépendent de la géologie locale</w:t>
      </w:r>
      <w:r w:rsidR="009B3EB2" w:rsidRPr="008D2CC5">
        <w:rPr>
          <w:lang w:val="fr-FR"/>
        </w:rPr>
        <w:t>.</w:t>
      </w:r>
      <w:r w:rsidRPr="008D2CC5">
        <w:rPr>
          <w:lang w:val="fr-FR"/>
        </w:rPr>
        <w:t xml:space="preserve"> Le mercure est émis et rejeté dans l</w:t>
      </w:r>
      <w:r w:rsidR="000409D6" w:rsidRPr="008D2CC5">
        <w:rPr>
          <w:lang w:val="fr-FR"/>
        </w:rPr>
        <w:t>’</w:t>
      </w:r>
      <w:r w:rsidRPr="008D2CC5">
        <w:rPr>
          <w:lang w:val="fr-FR"/>
        </w:rPr>
        <w:t>environnement par les activités volcaniques</w:t>
      </w:r>
      <w:r w:rsidR="00C14585" w:rsidRPr="008D2CC5">
        <w:rPr>
          <w:lang w:val="fr-FR"/>
        </w:rPr>
        <w:t>,</w:t>
      </w:r>
      <w:r w:rsidRPr="008D2CC5">
        <w:rPr>
          <w:lang w:val="fr-FR"/>
        </w:rPr>
        <w:t xml:space="preserve"> l</w:t>
      </w:r>
      <w:r w:rsidR="000409D6" w:rsidRPr="008D2CC5">
        <w:rPr>
          <w:lang w:val="fr-FR"/>
        </w:rPr>
        <w:t>’</w:t>
      </w:r>
      <w:r w:rsidRPr="008D2CC5">
        <w:rPr>
          <w:lang w:val="fr-FR"/>
        </w:rPr>
        <w:t>altération des roches</w:t>
      </w:r>
      <w:r w:rsidR="00C14585" w:rsidRPr="008D2CC5">
        <w:rPr>
          <w:lang w:val="fr-FR"/>
        </w:rPr>
        <w:t xml:space="preserve"> et les activités humaines</w:t>
      </w:r>
      <w:r w:rsidR="009B3EB2" w:rsidRPr="008D2CC5">
        <w:rPr>
          <w:lang w:val="fr-FR"/>
        </w:rPr>
        <w:t>.</w:t>
      </w:r>
      <w:r w:rsidR="00C14585" w:rsidRPr="008D2CC5">
        <w:rPr>
          <w:lang w:val="fr-FR"/>
        </w:rPr>
        <w:t xml:space="preserve"> Les principales sources anthropiques d</w:t>
      </w:r>
      <w:r w:rsidR="000409D6" w:rsidRPr="008D2CC5">
        <w:rPr>
          <w:lang w:val="fr-FR"/>
        </w:rPr>
        <w:t>’</w:t>
      </w:r>
      <w:r w:rsidR="00C14585" w:rsidRPr="008D2CC5">
        <w:rPr>
          <w:lang w:val="fr-FR"/>
        </w:rPr>
        <w:t>émissions et de rejets de mercure comprennent l</w:t>
      </w:r>
      <w:r w:rsidR="000409D6" w:rsidRPr="008D2CC5">
        <w:rPr>
          <w:lang w:val="fr-FR"/>
        </w:rPr>
        <w:t>’</w:t>
      </w:r>
      <w:r w:rsidR="00C14585" w:rsidRPr="008D2CC5">
        <w:rPr>
          <w:lang w:val="fr-FR"/>
        </w:rPr>
        <w:t xml:space="preserve">extraction minière </w:t>
      </w:r>
      <w:r w:rsidR="0013579E" w:rsidRPr="008D2CC5">
        <w:rPr>
          <w:lang w:val="fr-FR"/>
        </w:rPr>
        <w:t xml:space="preserve">primaire de mercure, les </w:t>
      </w:r>
      <w:r w:rsidR="00145A33" w:rsidRPr="008D2CC5">
        <w:rPr>
          <w:lang w:val="fr-FR"/>
        </w:rPr>
        <w:t>activités d</w:t>
      </w:r>
      <w:r w:rsidR="000409D6" w:rsidRPr="008D2CC5">
        <w:rPr>
          <w:lang w:val="fr-FR"/>
        </w:rPr>
        <w:t>’</w:t>
      </w:r>
      <w:r w:rsidR="00145A33" w:rsidRPr="008D2CC5">
        <w:rPr>
          <w:lang w:val="fr-FR"/>
        </w:rPr>
        <w:t xml:space="preserve">extraction </w:t>
      </w:r>
      <w:r w:rsidR="00C14585" w:rsidRPr="008D2CC5">
        <w:rPr>
          <w:lang w:val="fr-FR"/>
        </w:rPr>
        <w:t>artisanale et à petite échelle d</w:t>
      </w:r>
      <w:r w:rsidR="000409D6" w:rsidRPr="008D2CC5">
        <w:rPr>
          <w:lang w:val="fr-FR"/>
        </w:rPr>
        <w:t>’</w:t>
      </w:r>
      <w:r w:rsidR="008A4317">
        <w:rPr>
          <w:lang w:val="fr-FR"/>
        </w:rPr>
        <w:t>or, la </w:t>
      </w:r>
      <w:r w:rsidR="00C14585" w:rsidRPr="008D2CC5">
        <w:rPr>
          <w:lang w:val="fr-FR"/>
        </w:rPr>
        <w:t>combustion du charbon, les procédés industriels</w:t>
      </w:r>
      <w:r w:rsidR="00145A33" w:rsidRPr="008D2CC5">
        <w:rPr>
          <w:lang w:val="fr-FR"/>
        </w:rPr>
        <w:t>, les amalgames dentaires</w:t>
      </w:r>
      <w:r w:rsidR="00C14585" w:rsidRPr="008D2CC5">
        <w:rPr>
          <w:lang w:val="fr-FR"/>
        </w:rPr>
        <w:t xml:space="preserve"> et l</w:t>
      </w:r>
      <w:r w:rsidR="000409D6" w:rsidRPr="008D2CC5">
        <w:rPr>
          <w:lang w:val="fr-FR"/>
        </w:rPr>
        <w:t>’</w:t>
      </w:r>
      <w:r w:rsidR="00C14585" w:rsidRPr="008D2CC5">
        <w:rPr>
          <w:lang w:val="fr-FR"/>
        </w:rPr>
        <w:t>incinération des déchets</w:t>
      </w:r>
      <w:r w:rsidR="009B3EB2" w:rsidRPr="008D2CC5">
        <w:rPr>
          <w:lang w:val="fr-FR"/>
        </w:rPr>
        <w:t>.</w:t>
      </w:r>
    </w:p>
    <w:p w14:paraId="23B97F46" w14:textId="6007016C" w:rsidR="009B3EB2" w:rsidRPr="008D2CC5" w:rsidRDefault="000C34EA" w:rsidP="008E43CD">
      <w:pPr>
        <w:pStyle w:val="Normalnumber"/>
        <w:numPr>
          <w:ilvl w:val="0"/>
          <w:numId w:val="5"/>
        </w:numPr>
        <w:rPr>
          <w:lang w:val="fr-FR"/>
        </w:rPr>
      </w:pPr>
      <w:r>
        <w:rPr>
          <w:lang w:val="fr-FR"/>
        </w:rPr>
        <w:t>Comme l’illustre la figure 2, u</w:t>
      </w:r>
      <w:r w:rsidR="00C14585" w:rsidRPr="008D2CC5">
        <w:rPr>
          <w:lang w:val="fr-FR"/>
        </w:rPr>
        <w:t>ne fois rejeté dans l</w:t>
      </w:r>
      <w:r w:rsidR="000409D6" w:rsidRPr="008D2CC5">
        <w:rPr>
          <w:lang w:val="fr-FR"/>
        </w:rPr>
        <w:t>’</w:t>
      </w:r>
      <w:r w:rsidR="00C14585" w:rsidRPr="008D2CC5">
        <w:rPr>
          <w:lang w:val="fr-FR"/>
        </w:rPr>
        <w:t>environnement, le mercure peut y rester, transporté sur de grandes distances par l</w:t>
      </w:r>
      <w:r w:rsidR="000409D6" w:rsidRPr="008D2CC5">
        <w:rPr>
          <w:lang w:val="fr-FR"/>
        </w:rPr>
        <w:t>’</w:t>
      </w:r>
      <w:r w:rsidR="00C14585" w:rsidRPr="008D2CC5">
        <w:rPr>
          <w:lang w:val="fr-FR"/>
        </w:rPr>
        <w:t>air, l</w:t>
      </w:r>
      <w:r w:rsidR="000409D6" w:rsidRPr="008D2CC5">
        <w:rPr>
          <w:lang w:val="fr-FR"/>
        </w:rPr>
        <w:t>’</w:t>
      </w:r>
      <w:r w:rsidR="00C14585" w:rsidRPr="008D2CC5">
        <w:rPr>
          <w:lang w:val="fr-FR"/>
        </w:rPr>
        <w:t>eau, les sédiments, le sol et les organismes vivants, aboutissant en fin de parcours dans les sédiments marins des grands fonds ou dans les sols minéraux</w:t>
      </w:r>
      <w:r w:rsidR="009B3EB2" w:rsidRPr="008D2CC5">
        <w:rPr>
          <w:lang w:val="fr-FR"/>
        </w:rPr>
        <w:t xml:space="preserve">. </w:t>
      </w:r>
      <w:r w:rsidR="00C14585" w:rsidRPr="008D2CC5">
        <w:rPr>
          <w:lang w:val="fr-FR"/>
        </w:rPr>
        <w:t>Le mercure existe sous des formes diverses</w:t>
      </w:r>
      <w:r w:rsidR="000409D6" w:rsidRPr="008D2CC5">
        <w:rPr>
          <w:lang w:val="fr-FR"/>
        </w:rPr>
        <w:t> :</w:t>
      </w:r>
      <w:r w:rsidR="009B3EB2" w:rsidRPr="008D2CC5">
        <w:rPr>
          <w:lang w:val="fr-FR"/>
        </w:rPr>
        <w:t xml:space="preserve"> </w:t>
      </w:r>
      <w:r w:rsidR="00C14585" w:rsidRPr="008D2CC5">
        <w:rPr>
          <w:lang w:val="fr-FR"/>
        </w:rPr>
        <w:t>mercure (métallique) élémentaire et composés mercuriels organiques et inorganiques</w:t>
      </w:r>
      <w:r w:rsidR="009B3EB2" w:rsidRPr="008D2CC5">
        <w:rPr>
          <w:lang w:val="fr-FR"/>
        </w:rPr>
        <w:t xml:space="preserve">. </w:t>
      </w:r>
      <w:r w:rsidR="00A95971" w:rsidRPr="008D2CC5">
        <w:rPr>
          <w:lang w:val="fr-FR"/>
        </w:rPr>
        <w:t xml:space="preserve">Le comportement environnemental et les propriétés toxicologiques des </w:t>
      </w:r>
      <w:r w:rsidR="002C7530" w:rsidRPr="008D2CC5">
        <w:rPr>
          <w:lang w:val="fr-FR"/>
        </w:rPr>
        <w:t xml:space="preserve">différents </w:t>
      </w:r>
      <w:r w:rsidR="00A95971" w:rsidRPr="008D2CC5">
        <w:rPr>
          <w:lang w:val="fr-FR"/>
        </w:rPr>
        <w:t>composés du mercure varient de l</w:t>
      </w:r>
      <w:r w:rsidR="000409D6" w:rsidRPr="008D2CC5">
        <w:rPr>
          <w:lang w:val="fr-FR"/>
        </w:rPr>
        <w:t>’</w:t>
      </w:r>
      <w:r w:rsidR="00A95971" w:rsidRPr="008D2CC5">
        <w:rPr>
          <w:lang w:val="fr-FR"/>
        </w:rPr>
        <w:t>un à l</w:t>
      </w:r>
      <w:r w:rsidR="000409D6" w:rsidRPr="008D2CC5">
        <w:rPr>
          <w:lang w:val="fr-FR"/>
        </w:rPr>
        <w:t>’</w:t>
      </w:r>
      <w:r w:rsidR="00A95971" w:rsidRPr="008D2CC5">
        <w:rPr>
          <w:lang w:val="fr-FR"/>
        </w:rPr>
        <w:t>autre</w:t>
      </w:r>
      <w:r w:rsidR="009B3EB2" w:rsidRPr="008D2CC5">
        <w:rPr>
          <w:lang w:val="fr-FR"/>
        </w:rPr>
        <w:t>.</w:t>
      </w:r>
    </w:p>
    <w:p w14:paraId="1BD75A0D" w14:textId="2AEAF0FB" w:rsidR="00A15920" w:rsidRPr="008D2CC5" w:rsidRDefault="00B7210F" w:rsidP="008E43CD">
      <w:pPr>
        <w:pStyle w:val="Normalnumber"/>
        <w:numPr>
          <w:ilvl w:val="0"/>
          <w:numId w:val="5"/>
        </w:numPr>
        <w:rPr>
          <w:lang w:val="fr-FR"/>
        </w:rPr>
      </w:pPr>
      <w:r w:rsidRPr="008D2CC5">
        <w:rPr>
          <w:lang w:val="fr-FR"/>
        </w:rPr>
        <w:t xml:space="preserve">Sur les lieux de travail </w:t>
      </w:r>
      <w:proofErr w:type="spellStart"/>
      <w:r w:rsidRPr="008D2CC5">
        <w:rPr>
          <w:lang w:val="fr-FR"/>
        </w:rPr>
        <w:t>où</w:t>
      </w:r>
      <w:proofErr w:type="spellEnd"/>
      <w:r w:rsidRPr="008D2CC5">
        <w:rPr>
          <w:lang w:val="fr-FR"/>
        </w:rPr>
        <w:t xml:space="preserve"> </w:t>
      </w:r>
      <w:r w:rsidR="002C7530" w:rsidRPr="008D2CC5">
        <w:rPr>
          <w:lang w:val="fr-FR"/>
        </w:rPr>
        <w:t>du</w:t>
      </w:r>
      <w:r w:rsidRPr="008D2CC5">
        <w:rPr>
          <w:lang w:val="fr-FR"/>
        </w:rPr>
        <w:t xml:space="preserve"> mercure est utilisé, les personnes risquent d</w:t>
      </w:r>
      <w:r w:rsidR="000409D6" w:rsidRPr="008D2CC5">
        <w:rPr>
          <w:lang w:val="fr-FR"/>
        </w:rPr>
        <w:t>’</w:t>
      </w:r>
      <w:r w:rsidRPr="008D2CC5">
        <w:rPr>
          <w:lang w:val="fr-FR"/>
        </w:rPr>
        <w:t>inhaler des vapeurs de mercure ou d</w:t>
      </w:r>
      <w:r w:rsidR="000409D6" w:rsidRPr="008D2CC5">
        <w:rPr>
          <w:lang w:val="fr-FR"/>
        </w:rPr>
        <w:t>’</w:t>
      </w:r>
      <w:r w:rsidRPr="008D2CC5">
        <w:rPr>
          <w:lang w:val="fr-FR"/>
        </w:rPr>
        <w:t>y être exposées par voie cutanée en raison de leurs pratiques de travail habituelles (dans les secteurs industriel, médical ou dentaire ou celui de l</w:t>
      </w:r>
      <w:r w:rsidR="000409D6" w:rsidRPr="008D2CC5">
        <w:rPr>
          <w:lang w:val="fr-FR"/>
        </w:rPr>
        <w:t>’</w:t>
      </w:r>
      <w:r w:rsidRPr="008D2CC5">
        <w:rPr>
          <w:lang w:val="fr-FR"/>
        </w:rPr>
        <w:t>extraction minière artisanale et à petite échelle d</w:t>
      </w:r>
      <w:r w:rsidR="000409D6" w:rsidRPr="008D2CC5">
        <w:rPr>
          <w:lang w:val="fr-FR"/>
        </w:rPr>
        <w:t>’</w:t>
      </w:r>
      <w:r w:rsidRPr="008D2CC5">
        <w:rPr>
          <w:lang w:val="fr-FR"/>
        </w:rPr>
        <w:t>or) ou par suite de déversements</w:t>
      </w:r>
      <w:r w:rsidR="009B3EB2" w:rsidRPr="008D2CC5">
        <w:rPr>
          <w:lang w:val="fr-FR"/>
        </w:rPr>
        <w:t>.</w:t>
      </w:r>
      <w:r w:rsidR="00A15920" w:rsidRPr="008D2CC5">
        <w:rPr>
          <w:lang w:val="fr-FR"/>
        </w:rPr>
        <w:t xml:space="preserve"> Le mercure se vaporise même à température ambiante. Étant donné que la vapeur de mercure élémentaire inhalée peut pénétrer dans le système nerveux central et l</w:t>
      </w:r>
      <w:r w:rsidR="000409D6" w:rsidRPr="008D2CC5">
        <w:rPr>
          <w:lang w:val="fr-FR"/>
        </w:rPr>
        <w:t>’</w:t>
      </w:r>
      <w:r w:rsidR="00A15920" w:rsidRPr="008D2CC5">
        <w:rPr>
          <w:lang w:val="fr-FR"/>
        </w:rPr>
        <w:t>endommager progressivement, cette forme de mercure est considérée comme l</w:t>
      </w:r>
      <w:r w:rsidR="000409D6" w:rsidRPr="008D2CC5">
        <w:rPr>
          <w:lang w:val="fr-FR"/>
        </w:rPr>
        <w:t>’</w:t>
      </w:r>
      <w:r w:rsidR="00A15920" w:rsidRPr="008D2CC5">
        <w:rPr>
          <w:lang w:val="fr-FR"/>
        </w:rPr>
        <w:t>une des plus toxiques.</w:t>
      </w:r>
    </w:p>
    <w:p w14:paraId="6D8DBF75" w14:textId="544B8544" w:rsidR="009B3EB2" w:rsidRPr="008D2CC5" w:rsidRDefault="00B7210F" w:rsidP="00A13ED1">
      <w:pPr>
        <w:pStyle w:val="Normalnumber"/>
        <w:numPr>
          <w:ilvl w:val="0"/>
          <w:numId w:val="5"/>
        </w:numPr>
        <w:spacing w:after="0"/>
        <w:rPr>
          <w:lang w:val="fr-FR"/>
        </w:rPr>
      </w:pPr>
      <w:r w:rsidRPr="008D2CC5">
        <w:rPr>
          <w:lang w:val="fr-FR"/>
        </w:rPr>
        <w:t xml:space="preserve">En revanche, </w:t>
      </w:r>
      <w:r w:rsidR="002C7530" w:rsidRPr="008D2CC5">
        <w:rPr>
          <w:lang w:val="fr-FR"/>
        </w:rPr>
        <w:t>pour ce qui est</w:t>
      </w:r>
      <w:r w:rsidRPr="008D2CC5">
        <w:rPr>
          <w:lang w:val="fr-FR"/>
        </w:rPr>
        <w:t xml:space="preserve"> de la population </w:t>
      </w:r>
      <w:r w:rsidR="002C7530" w:rsidRPr="008D2CC5">
        <w:rPr>
          <w:lang w:val="fr-FR"/>
        </w:rPr>
        <w:t>en général</w:t>
      </w:r>
      <w:r w:rsidRPr="008D2CC5">
        <w:rPr>
          <w:lang w:val="fr-FR"/>
        </w:rPr>
        <w:t>, la forme la plus courante d</w:t>
      </w:r>
      <w:r w:rsidR="000409D6" w:rsidRPr="008D2CC5">
        <w:rPr>
          <w:lang w:val="fr-FR"/>
        </w:rPr>
        <w:t>’</w:t>
      </w:r>
      <w:r w:rsidRPr="008D2CC5">
        <w:rPr>
          <w:lang w:val="fr-FR"/>
        </w:rPr>
        <w:t xml:space="preserve">exposition directe est la consommation de poissons et de fruits de mer contaminés par du </w:t>
      </w:r>
      <w:proofErr w:type="spellStart"/>
      <w:r w:rsidRPr="008D2CC5">
        <w:rPr>
          <w:lang w:val="fr-FR"/>
        </w:rPr>
        <w:t>méthylmercure</w:t>
      </w:r>
      <w:proofErr w:type="spellEnd"/>
      <w:r w:rsidR="009B3EB2" w:rsidRPr="008D2CC5">
        <w:rPr>
          <w:lang w:val="fr-FR"/>
        </w:rPr>
        <w:t>,</w:t>
      </w:r>
      <w:r w:rsidRPr="008D2CC5">
        <w:rPr>
          <w:lang w:val="fr-FR"/>
        </w:rPr>
        <w:t xml:space="preserve"> </w:t>
      </w:r>
      <w:r w:rsidR="00A4673D" w:rsidRPr="008D2CC5">
        <w:rPr>
          <w:lang w:val="fr-FR"/>
        </w:rPr>
        <w:t xml:space="preserve">une des </w:t>
      </w:r>
      <w:r w:rsidRPr="008D2CC5">
        <w:rPr>
          <w:lang w:val="fr-FR"/>
        </w:rPr>
        <w:t>forme</w:t>
      </w:r>
      <w:r w:rsidR="00A4673D" w:rsidRPr="008D2CC5">
        <w:rPr>
          <w:lang w:val="fr-FR"/>
        </w:rPr>
        <w:t>s</w:t>
      </w:r>
      <w:r w:rsidRPr="008D2CC5">
        <w:rPr>
          <w:lang w:val="fr-FR"/>
        </w:rPr>
        <w:t xml:space="preserve"> </w:t>
      </w:r>
      <w:r w:rsidR="00A4673D" w:rsidRPr="008D2CC5">
        <w:rPr>
          <w:lang w:val="fr-FR"/>
        </w:rPr>
        <w:t xml:space="preserve">les </w:t>
      </w:r>
      <w:r w:rsidRPr="008D2CC5">
        <w:rPr>
          <w:lang w:val="fr-FR"/>
        </w:rPr>
        <w:t>plus toxique</w:t>
      </w:r>
      <w:r w:rsidR="00A4673D" w:rsidRPr="008D2CC5">
        <w:rPr>
          <w:lang w:val="fr-FR"/>
        </w:rPr>
        <w:t>s</w:t>
      </w:r>
      <w:r w:rsidR="00B50B26" w:rsidRPr="00B50B26">
        <w:rPr>
          <w:lang w:val="fr-FR"/>
        </w:rPr>
        <w:t xml:space="preserve"> d</w:t>
      </w:r>
      <w:r w:rsidR="00B50B26">
        <w:rPr>
          <w:lang w:val="fr-FR"/>
        </w:rPr>
        <w:t>u</w:t>
      </w:r>
      <w:r w:rsidR="00B50B26" w:rsidRPr="00B50B26">
        <w:rPr>
          <w:lang w:val="fr-FR"/>
        </w:rPr>
        <w:t xml:space="preserve"> mercure</w:t>
      </w:r>
      <w:r w:rsidR="009B3EB2" w:rsidRPr="008D2CC5">
        <w:rPr>
          <w:lang w:val="fr-FR"/>
        </w:rPr>
        <w:t>.</w:t>
      </w:r>
      <w:r w:rsidRPr="008D2CC5">
        <w:rPr>
          <w:lang w:val="fr-FR"/>
        </w:rPr>
        <w:t xml:space="preserve"> Le</w:t>
      </w:r>
      <w:r w:rsidR="009B3EB2" w:rsidRPr="008D2CC5">
        <w:rPr>
          <w:lang w:val="fr-FR"/>
        </w:rPr>
        <w:t xml:space="preserve"> </w:t>
      </w:r>
      <w:proofErr w:type="spellStart"/>
      <w:r w:rsidRPr="008D2CC5">
        <w:rPr>
          <w:lang w:val="fr-FR"/>
        </w:rPr>
        <w:t>méthylmercure</w:t>
      </w:r>
      <w:proofErr w:type="spellEnd"/>
      <w:r w:rsidRPr="008D2CC5">
        <w:rPr>
          <w:lang w:val="fr-FR"/>
        </w:rPr>
        <w:t xml:space="preserve"> se </w:t>
      </w:r>
      <w:proofErr w:type="spellStart"/>
      <w:r w:rsidRPr="008D2CC5">
        <w:rPr>
          <w:lang w:val="fr-FR"/>
        </w:rPr>
        <w:t>bioaccumule</w:t>
      </w:r>
      <w:proofErr w:type="spellEnd"/>
      <w:r w:rsidRPr="008D2CC5">
        <w:rPr>
          <w:lang w:val="fr-FR"/>
        </w:rPr>
        <w:t xml:space="preserve"> et se </w:t>
      </w:r>
      <w:proofErr w:type="spellStart"/>
      <w:r w:rsidRPr="008D2CC5">
        <w:rPr>
          <w:lang w:val="fr-FR"/>
        </w:rPr>
        <w:t>bioamplifie</w:t>
      </w:r>
      <w:proofErr w:type="spellEnd"/>
      <w:r w:rsidRPr="008D2CC5">
        <w:rPr>
          <w:lang w:val="fr-FR"/>
        </w:rPr>
        <w:t xml:space="preserve"> en se concentrant </w:t>
      </w:r>
      <w:r w:rsidR="009A3117" w:rsidRPr="008D2CC5">
        <w:rPr>
          <w:lang w:val="fr-FR"/>
        </w:rPr>
        <w:t xml:space="preserve">au fur et </w:t>
      </w:r>
      <w:r w:rsidRPr="008D2CC5">
        <w:rPr>
          <w:lang w:val="fr-FR"/>
        </w:rPr>
        <w:t>à mesure qu</w:t>
      </w:r>
      <w:r w:rsidR="000409D6" w:rsidRPr="008D2CC5">
        <w:rPr>
          <w:lang w:val="fr-FR"/>
        </w:rPr>
        <w:t>’</w:t>
      </w:r>
      <w:r w:rsidRPr="008D2CC5">
        <w:rPr>
          <w:lang w:val="fr-FR"/>
        </w:rPr>
        <w:t>il progresse vers le sommet de la chaîne alimentaire, ce qui explique qu</w:t>
      </w:r>
      <w:r w:rsidR="000409D6" w:rsidRPr="008D2CC5">
        <w:rPr>
          <w:lang w:val="fr-FR"/>
        </w:rPr>
        <w:t>’</w:t>
      </w:r>
      <w:r w:rsidRPr="008D2CC5">
        <w:rPr>
          <w:lang w:val="fr-FR"/>
        </w:rPr>
        <w:t>on en trouve les taux les plus élevés dans les espèces prédatrices telles que le thon, le makaire, l</w:t>
      </w:r>
      <w:r w:rsidR="000409D6" w:rsidRPr="008D2CC5">
        <w:rPr>
          <w:lang w:val="fr-FR"/>
        </w:rPr>
        <w:t>’</w:t>
      </w:r>
      <w:r w:rsidRPr="008D2CC5">
        <w:rPr>
          <w:lang w:val="fr-FR"/>
        </w:rPr>
        <w:t>espadon, les requins, les mammifères marins et les êtres humains</w:t>
      </w:r>
      <w:r w:rsidR="009B3EB2" w:rsidRPr="008D2CC5">
        <w:rPr>
          <w:lang w:val="fr-FR"/>
        </w:rPr>
        <w:t xml:space="preserve">. </w:t>
      </w:r>
      <w:r w:rsidRPr="008D2CC5">
        <w:rPr>
          <w:lang w:val="fr-FR"/>
        </w:rPr>
        <w:t>Il peut avoir de graves conséquences pour les écosystèmes, y compris sur la reproduction des oiseaux et des mammifères prédateurs</w:t>
      </w:r>
      <w:r w:rsidR="009B3EB2" w:rsidRPr="008D2CC5">
        <w:rPr>
          <w:lang w:val="fr-FR"/>
        </w:rPr>
        <w:t xml:space="preserve">. </w:t>
      </w:r>
      <w:r w:rsidRPr="008D2CC5">
        <w:rPr>
          <w:lang w:val="fr-FR"/>
        </w:rPr>
        <w:t xml:space="preserve">Une exposition aiguë ou chronique </w:t>
      </w:r>
      <w:r w:rsidR="009A3117" w:rsidRPr="008D2CC5">
        <w:rPr>
          <w:lang w:val="fr-FR"/>
        </w:rPr>
        <w:t xml:space="preserve">élevée </w:t>
      </w:r>
      <w:r w:rsidRPr="008D2CC5">
        <w:rPr>
          <w:lang w:val="fr-FR"/>
        </w:rPr>
        <w:t>au mercure et aux composés du mercure constitue un risque grave pour la santé humaine et l</w:t>
      </w:r>
      <w:r w:rsidR="000409D6" w:rsidRPr="008D2CC5">
        <w:rPr>
          <w:lang w:val="fr-FR"/>
        </w:rPr>
        <w:t>’</w:t>
      </w:r>
      <w:r w:rsidRPr="008D2CC5">
        <w:rPr>
          <w:lang w:val="fr-FR"/>
        </w:rPr>
        <w:t>environnement</w:t>
      </w:r>
      <w:r w:rsidR="00856712" w:rsidRPr="008D2CC5">
        <w:rPr>
          <w:lang w:val="fr-FR"/>
        </w:rPr>
        <w:t>.</w:t>
      </w:r>
      <w:r w:rsidR="00A4673D" w:rsidRPr="008D2CC5">
        <w:rPr>
          <w:lang w:val="fr-FR"/>
        </w:rPr>
        <w:t xml:space="preserve"> Du point de vue de la santé humaine, </w:t>
      </w:r>
      <w:r w:rsidR="00D26D63">
        <w:rPr>
          <w:lang w:val="fr-FR"/>
        </w:rPr>
        <w:t>une telle exposition</w:t>
      </w:r>
      <w:r w:rsidR="00A4673D" w:rsidRPr="008D2CC5">
        <w:rPr>
          <w:lang w:val="fr-FR"/>
        </w:rPr>
        <w:t xml:space="preserve"> peut avoir des effets sur le cerveau, le cœu</w:t>
      </w:r>
      <w:r w:rsidR="008A4317">
        <w:rPr>
          <w:lang w:val="fr-FR"/>
        </w:rPr>
        <w:t>r, les reins, les poumons et le </w:t>
      </w:r>
      <w:r w:rsidR="00A4673D" w:rsidRPr="008D2CC5">
        <w:rPr>
          <w:lang w:val="fr-FR"/>
        </w:rPr>
        <w:t xml:space="preserve">système immunitaire chez des individus de tous âges. </w:t>
      </w:r>
      <w:r w:rsidR="00CD3224" w:rsidRPr="008D2CC5">
        <w:rPr>
          <w:lang w:val="fr-FR"/>
        </w:rPr>
        <w:t xml:space="preserve">Le </w:t>
      </w:r>
      <w:proofErr w:type="spellStart"/>
      <w:r w:rsidR="00CD3224" w:rsidRPr="008D2CC5">
        <w:rPr>
          <w:lang w:val="fr-FR"/>
        </w:rPr>
        <w:t>méthylmercure</w:t>
      </w:r>
      <w:proofErr w:type="spellEnd"/>
      <w:r w:rsidR="00CD3224" w:rsidRPr="008D2CC5">
        <w:rPr>
          <w:lang w:val="fr-FR"/>
        </w:rPr>
        <w:t xml:space="preserve"> a la capacité de se lier au tissu adipeux et de traverser l</w:t>
      </w:r>
      <w:r w:rsidR="0043212F" w:rsidRPr="008D2CC5">
        <w:rPr>
          <w:lang w:val="fr-FR"/>
        </w:rPr>
        <w:t>es</w:t>
      </w:r>
      <w:r w:rsidR="00CD3224" w:rsidRPr="008D2CC5">
        <w:rPr>
          <w:lang w:val="fr-FR"/>
        </w:rPr>
        <w:t xml:space="preserve"> barrière</w:t>
      </w:r>
      <w:r w:rsidR="0043212F" w:rsidRPr="008D2CC5">
        <w:rPr>
          <w:lang w:val="fr-FR"/>
        </w:rPr>
        <w:t>s</w:t>
      </w:r>
      <w:r w:rsidR="00CD3224" w:rsidRPr="008D2CC5">
        <w:rPr>
          <w:lang w:val="fr-FR"/>
        </w:rPr>
        <w:t xml:space="preserve"> hémato-encéphalique et </w:t>
      </w:r>
      <w:proofErr w:type="spellStart"/>
      <w:r w:rsidR="0043212F" w:rsidRPr="008D2CC5">
        <w:rPr>
          <w:lang w:val="fr-FR"/>
        </w:rPr>
        <w:t>fœto</w:t>
      </w:r>
      <w:proofErr w:type="spellEnd"/>
      <w:r w:rsidR="0043212F" w:rsidRPr="008D2CC5">
        <w:rPr>
          <w:lang w:val="fr-FR"/>
        </w:rPr>
        <w:t>-</w:t>
      </w:r>
      <w:r w:rsidR="00CD3224" w:rsidRPr="008D2CC5">
        <w:rPr>
          <w:lang w:val="fr-FR"/>
        </w:rPr>
        <w:t>placentaire. Par conséquent, d</w:t>
      </w:r>
      <w:r w:rsidR="00A4673D" w:rsidRPr="008D2CC5">
        <w:rPr>
          <w:lang w:val="fr-FR"/>
        </w:rPr>
        <w:t xml:space="preserve">es taux élevés de </w:t>
      </w:r>
      <w:proofErr w:type="spellStart"/>
      <w:r w:rsidR="00A4673D" w:rsidRPr="008D2CC5">
        <w:rPr>
          <w:lang w:val="fr-FR"/>
        </w:rPr>
        <w:t>méthylmercure</w:t>
      </w:r>
      <w:proofErr w:type="spellEnd"/>
      <w:r w:rsidR="00A4673D" w:rsidRPr="008D2CC5">
        <w:rPr>
          <w:lang w:val="fr-FR"/>
        </w:rPr>
        <w:t xml:space="preserve"> dans le système sanguin des fœtus et des jeunes enfants peuvent nuire au développement du système nerveux.</w:t>
      </w:r>
    </w:p>
    <w:p w14:paraId="77588C6A" w14:textId="08FC8486" w:rsidR="00816847" w:rsidRPr="008D2CC5" w:rsidRDefault="00816847" w:rsidP="00E1739A">
      <w:pPr>
        <w:pStyle w:val="Titlefigure"/>
        <w:rPr>
          <w:lang w:val="fr-FR"/>
        </w:rPr>
      </w:pPr>
      <w:r w:rsidRPr="008D2CC5">
        <w:rPr>
          <w:b w:val="0"/>
          <w:lang w:val="fr-FR"/>
        </w:rPr>
        <w:t>Figure</w:t>
      </w:r>
      <w:r w:rsidR="009234B0" w:rsidRPr="008D2CC5">
        <w:rPr>
          <w:b w:val="0"/>
          <w:lang w:val="fr-FR"/>
        </w:rPr>
        <w:t> </w:t>
      </w:r>
      <w:r w:rsidRPr="008D2CC5">
        <w:rPr>
          <w:b w:val="0"/>
          <w:lang w:val="fr-FR"/>
        </w:rPr>
        <w:t>2</w:t>
      </w:r>
      <w:r w:rsidR="00E1739A" w:rsidRPr="008D2CC5">
        <w:rPr>
          <w:lang w:val="fr-FR"/>
        </w:rPr>
        <w:t xml:space="preserve"> </w:t>
      </w:r>
      <w:r w:rsidR="00E1739A" w:rsidRPr="008D2CC5">
        <w:rPr>
          <w:lang w:val="fr-FR"/>
        </w:rPr>
        <w:br/>
      </w:r>
      <w:r w:rsidR="009308A1" w:rsidRPr="008D2CC5">
        <w:rPr>
          <w:lang w:val="fr-FR"/>
        </w:rPr>
        <w:t>Sources</w:t>
      </w:r>
      <w:r w:rsidR="009234B0" w:rsidRPr="008D2CC5">
        <w:rPr>
          <w:lang w:val="fr-FR"/>
        </w:rPr>
        <w:t xml:space="preserve"> de mercure et voies d</w:t>
      </w:r>
      <w:r w:rsidR="000409D6" w:rsidRPr="008D2CC5">
        <w:rPr>
          <w:lang w:val="fr-FR"/>
        </w:rPr>
        <w:t>’</w:t>
      </w:r>
      <w:r w:rsidR="009234B0" w:rsidRPr="008D2CC5">
        <w:rPr>
          <w:lang w:val="fr-FR"/>
        </w:rPr>
        <w:t>exposition au mercure</w:t>
      </w:r>
    </w:p>
    <w:p w14:paraId="4E2EBB0A" w14:textId="4B64ADB1" w:rsidR="00A13ED1" w:rsidRDefault="00D31AFF" w:rsidP="00D31AFF">
      <w:pPr>
        <w:pStyle w:val="Normalnumber"/>
        <w:numPr>
          <w:ilvl w:val="0"/>
          <w:numId w:val="0"/>
        </w:numPr>
        <w:ind w:left="1418"/>
        <w:rPr>
          <w:lang w:val="fr-FR"/>
        </w:rPr>
      </w:pPr>
      <w:r w:rsidRPr="008D2CC5">
        <w:rPr>
          <w:noProof/>
          <w:lang w:val="fr-FR" w:eastAsia="fr-FR"/>
        </w:rPr>
        <w:drawing>
          <wp:inline distT="0" distB="0" distL="0" distR="0" wp14:anchorId="341C9105" wp14:editId="46F43C2A">
            <wp:extent cx="4909663" cy="360045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49239" cy="3629473"/>
                    </a:xfrm>
                    <a:prstGeom prst="rect">
                      <a:avLst/>
                    </a:prstGeom>
                    <a:noFill/>
                  </pic:spPr>
                </pic:pic>
              </a:graphicData>
            </a:graphic>
          </wp:inline>
        </w:drawing>
      </w:r>
    </w:p>
    <w:tbl>
      <w:tblPr>
        <w:tblStyle w:val="TableGrid"/>
        <w:tblW w:w="9634" w:type="dxa"/>
        <w:tblLook w:val="04A0" w:firstRow="1" w:lastRow="0" w:firstColumn="1" w:lastColumn="0" w:noHBand="0" w:noVBand="1"/>
      </w:tblPr>
      <w:tblGrid>
        <w:gridCol w:w="4743"/>
        <w:gridCol w:w="4891"/>
      </w:tblGrid>
      <w:tr w:rsidR="00956611" w:rsidRPr="00FA2E2E" w14:paraId="40D48B7F" w14:textId="77777777" w:rsidTr="002E6038">
        <w:trPr>
          <w:tblHeader/>
        </w:trPr>
        <w:tc>
          <w:tcPr>
            <w:tcW w:w="4743" w:type="dxa"/>
            <w:shd w:val="clear" w:color="auto" w:fill="A6A6A6" w:themeFill="background1" w:themeFillShade="A6"/>
          </w:tcPr>
          <w:p w14:paraId="3EA1A4B4" w14:textId="77777777" w:rsidR="00956611" w:rsidRPr="00FA2E2E" w:rsidRDefault="00956611" w:rsidP="00B50B26">
            <w:pPr>
              <w:rPr>
                <w:sz w:val="16"/>
                <w:szCs w:val="16"/>
              </w:rPr>
            </w:pPr>
            <w:r w:rsidRPr="00FA2E2E">
              <w:rPr>
                <w:sz w:val="16"/>
                <w:szCs w:val="16"/>
              </w:rPr>
              <w:lastRenderedPageBreak/>
              <w:t>ENGLISH</w:t>
            </w:r>
          </w:p>
        </w:tc>
        <w:tc>
          <w:tcPr>
            <w:tcW w:w="4891" w:type="dxa"/>
            <w:shd w:val="clear" w:color="auto" w:fill="A6A6A6" w:themeFill="background1" w:themeFillShade="A6"/>
          </w:tcPr>
          <w:p w14:paraId="5A386702" w14:textId="77777777" w:rsidR="00956611" w:rsidRPr="00FA2E2E" w:rsidRDefault="00956611" w:rsidP="00B50B26">
            <w:pPr>
              <w:rPr>
                <w:sz w:val="16"/>
                <w:szCs w:val="16"/>
              </w:rPr>
            </w:pPr>
            <w:r w:rsidRPr="00FA2E2E">
              <w:rPr>
                <w:sz w:val="16"/>
                <w:szCs w:val="16"/>
              </w:rPr>
              <w:t>TRANSLATION</w:t>
            </w:r>
          </w:p>
        </w:tc>
      </w:tr>
      <w:tr w:rsidR="00956611" w:rsidRPr="00FA2E2E" w14:paraId="0E2C5831" w14:textId="77777777" w:rsidTr="002E6038">
        <w:tc>
          <w:tcPr>
            <w:tcW w:w="4743" w:type="dxa"/>
          </w:tcPr>
          <w:p w14:paraId="34F863D3" w14:textId="77777777" w:rsidR="00956611" w:rsidRPr="00B50B26" w:rsidRDefault="00956611" w:rsidP="00B50B26">
            <w:pPr>
              <w:rPr>
                <w:sz w:val="16"/>
                <w:szCs w:val="16"/>
                <w:lang w:val="en-US"/>
              </w:rPr>
            </w:pPr>
            <w:r w:rsidRPr="00B50B26">
              <w:rPr>
                <w:sz w:val="16"/>
                <w:szCs w:val="16"/>
                <w:lang w:val="en-US"/>
              </w:rPr>
              <w:t xml:space="preserve">How mercury can enter our </w:t>
            </w:r>
            <w:proofErr w:type="gramStart"/>
            <w:r w:rsidRPr="00B50B26">
              <w:rPr>
                <w:sz w:val="16"/>
                <w:szCs w:val="16"/>
                <w:lang w:val="en-US"/>
              </w:rPr>
              <w:t>bodies :</w:t>
            </w:r>
            <w:proofErr w:type="gramEnd"/>
          </w:p>
        </w:tc>
        <w:tc>
          <w:tcPr>
            <w:tcW w:w="4891" w:type="dxa"/>
          </w:tcPr>
          <w:p w14:paraId="381A6394" w14:textId="77777777" w:rsidR="00956611" w:rsidRPr="00FA2E2E" w:rsidRDefault="00956611" w:rsidP="00B50B26">
            <w:pPr>
              <w:rPr>
                <w:sz w:val="16"/>
                <w:szCs w:val="16"/>
              </w:rPr>
            </w:pPr>
            <w:r w:rsidRPr="00FA2E2E">
              <w:rPr>
                <w:sz w:val="16"/>
                <w:szCs w:val="16"/>
              </w:rPr>
              <w:t>Comment le mercure peut pénétrer dans nos corps</w:t>
            </w:r>
          </w:p>
          <w:p w14:paraId="676AFB02" w14:textId="77777777" w:rsidR="00956611" w:rsidRPr="00FA2E2E" w:rsidRDefault="00956611" w:rsidP="00B50B26">
            <w:pPr>
              <w:rPr>
                <w:sz w:val="16"/>
                <w:szCs w:val="16"/>
              </w:rPr>
            </w:pPr>
          </w:p>
        </w:tc>
      </w:tr>
      <w:tr w:rsidR="00956611" w:rsidRPr="00FA2E2E" w14:paraId="0390F312" w14:textId="77777777" w:rsidTr="002E6038">
        <w:tc>
          <w:tcPr>
            <w:tcW w:w="4743" w:type="dxa"/>
          </w:tcPr>
          <w:p w14:paraId="564008D2" w14:textId="77777777" w:rsidR="00956611" w:rsidRPr="00B50B26" w:rsidRDefault="00956611" w:rsidP="00B50B26">
            <w:pPr>
              <w:rPr>
                <w:sz w:val="16"/>
                <w:szCs w:val="16"/>
                <w:lang w:val="en-US"/>
              </w:rPr>
            </w:pPr>
            <w:r w:rsidRPr="00B50B26">
              <w:rPr>
                <w:sz w:val="16"/>
                <w:szCs w:val="16"/>
                <w:lang w:val="en-US"/>
              </w:rPr>
              <w:t xml:space="preserve">Volcanoes and other natural </w:t>
            </w:r>
            <w:proofErr w:type="gramStart"/>
            <w:r w:rsidRPr="00B50B26">
              <w:rPr>
                <w:sz w:val="16"/>
                <w:szCs w:val="16"/>
                <w:lang w:val="en-US"/>
              </w:rPr>
              <w:t>sources :</w:t>
            </w:r>
            <w:proofErr w:type="gramEnd"/>
          </w:p>
        </w:tc>
        <w:tc>
          <w:tcPr>
            <w:tcW w:w="4891" w:type="dxa"/>
          </w:tcPr>
          <w:p w14:paraId="719F42E4" w14:textId="77777777" w:rsidR="00956611" w:rsidRPr="00FA2E2E" w:rsidRDefault="00956611" w:rsidP="00B50B26">
            <w:pPr>
              <w:rPr>
                <w:sz w:val="16"/>
                <w:szCs w:val="16"/>
              </w:rPr>
            </w:pPr>
            <w:r w:rsidRPr="00FA2E2E">
              <w:rPr>
                <w:sz w:val="16"/>
                <w:szCs w:val="16"/>
              </w:rPr>
              <w:t>Volcans et autres sources naturelles</w:t>
            </w:r>
          </w:p>
          <w:p w14:paraId="05D62688" w14:textId="77777777" w:rsidR="00956611" w:rsidRPr="00FA2E2E" w:rsidRDefault="00956611" w:rsidP="00B50B26">
            <w:pPr>
              <w:rPr>
                <w:sz w:val="16"/>
                <w:szCs w:val="16"/>
              </w:rPr>
            </w:pPr>
          </w:p>
        </w:tc>
      </w:tr>
      <w:tr w:rsidR="00956611" w:rsidRPr="00FA2E2E" w14:paraId="69DF0EC7" w14:textId="77777777" w:rsidTr="002E6038">
        <w:tc>
          <w:tcPr>
            <w:tcW w:w="4743" w:type="dxa"/>
          </w:tcPr>
          <w:p w14:paraId="6AC9ADD6" w14:textId="77777777" w:rsidR="00956611" w:rsidRPr="00B50B26" w:rsidRDefault="00956611" w:rsidP="00B50B26">
            <w:pPr>
              <w:rPr>
                <w:sz w:val="16"/>
                <w:szCs w:val="16"/>
                <w:lang w:val="en-US"/>
              </w:rPr>
            </w:pPr>
            <w:r w:rsidRPr="00B50B26">
              <w:rPr>
                <w:sz w:val="16"/>
                <w:szCs w:val="16"/>
                <w:lang w:val="en-US"/>
              </w:rPr>
              <w:t xml:space="preserve">Artisanal and small scale gold </w:t>
            </w:r>
            <w:proofErr w:type="gramStart"/>
            <w:r w:rsidRPr="00B50B26">
              <w:rPr>
                <w:sz w:val="16"/>
                <w:szCs w:val="16"/>
                <w:lang w:val="en-US"/>
              </w:rPr>
              <w:t>mining :</w:t>
            </w:r>
            <w:proofErr w:type="gramEnd"/>
          </w:p>
        </w:tc>
        <w:tc>
          <w:tcPr>
            <w:tcW w:w="4891" w:type="dxa"/>
          </w:tcPr>
          <w:p w14:paraId="561EE2B4" w14:textId="77777777" w:rsidR="00956611" w:rsidRPr="00FA2E2E" w:rsidRDefault="00956611" w:rsidP="00B50B26">
            <w:pPr>
              <w:rPr>
                <w:sz w:val="16"/>
                <w:szCs w:val="16"/>
              </w:rPr>
            </w:pPr>
            <w:r w:rsidRPr="00FA2E2E">
              <w:rPr>
                <w:sz w:val="16"/>
                <w:szCs w:val="16"/>
              </w:rPr>
              <w:t>Extraction minière artisanale et à petite échelle d’or</w:t>
            </w:r>
          </w:p>
          <w:p w14:paraId="79EBE5E2" w14:textId="77777777" w:rsidR="00956611" w:rsidRPr="00FA2E2E" w:rsidRDefault="00956611" w:rsidP="00B50B26">
            <w:pPr>
              <w:rPr>
                <w:sz w:val="16"/>
                <w:szCs w:val="16"/>
              </w:rPr>
            </w:pPr>
          </w:p>
        </w:tc>
      </w:tr>
      <w:tr w:rsidR="00956611" w:rsidRPr="00FA2E2E" w14:paraId="00F24BCC" w14:textId="77777777" w:rsidTr="002E6038">
        <w:tc>
          <w:tcPr>
            <w:tcW w:w="4743" w:type="dxa"/>
          </w:tcPr>
          <w:p w14:paraId="2D46D5EA" w14:textId="77777777" w:rsidR="00956611" w:rsidRPr="00FA2E2E" w:rsidRDefault="00956611" w:rsidP="00B50B26">
            <w:pPr>
              <w:rPr>
                <w:sz w:val="16"/>
                <w:szCs w:val="16"/>
              </w:rPr>
            </w:pPr>
            <w:proofErr w:type="spellStart"/>
            <w:r w:rsidRPr="00FA2E2E">
              <w:rPr>
                <w:sz w:val="16"/>
                <w:szCs w:val="16"/>
              </w:rPr>
              <w:t>Urban</w:t>
            </w:r>
            <w:proofErr w:type="spellEnd"/>
            <w:r w:rsidRPr="00FA2E2E">
              <w:rPr>
                <w:sz w:val="16"/>
                <w:szCs w:val="16"/>
              </w:rPr>
              <w:t xml:space="preserve"> </w:t>
            </w:r>
            <w:proofErr w:type="spellStart"/>
            <w:r w:rsidRPr="00FA2E2E">
              <w:rPr>
                <w:sz w:val="16"/>
                <w:szCs w:val="16"/>
              </w:rPr>
              <w:t>sewage</w:t>
            </w:r>
            <w:proofErr w:type="spellEnd"/>
            <w:r w:rsidRPr="00FA2E2E">
              <w:rPr>
                <w:sz w:val="16"/>
                <w:szCs w:val="16"/>
              </w:rPr>
              <w:t xml:space="preserve"> system :</w:t>
            </w:r>
          </w:p>
        </w:tc>
        <w:tc>
          <w:tcPr>
            <w:tcW w:w="4891" w:type="dxa"/>
          </w:tcPr>
          <w:p w14:paraId="118941E2" w14:textId="77777777" w:rsidR="00956611" w:rsidRPr="00FA2E2E" w:rsidRDefault="00956611" w:rsidP="00B50B26">
            <w:pPr>
              <w:rPr>
                <w:sz w:val="16"/>
                <w:szCs w:val="16"/>
              </w:rPr>
            </w:pPr>
            <w:r w:rsidRPr="00FA2E2E">
              <w:rPr>
                <w:sz w:val="16"/>
                <w:szCs w:val="16"/>
              </w:rPr>
              <w:t>Réseau d’assainissement urbain</w:t>
            </w:r>
          </w:p>
          <w:p w14:paraId="59B146B4" w14:textId="77777777" w:rsidR="00956611" w:rsidRPr="00FA2E2E" w:rsidRDefault="00956611" w:rsidP="00B50B26">
            <w:pPr>
              <w:rPr>
                <w:sz w:val="16"/>
                <w:szCs w:val="16"/>
              </w:rPr>
            </w:pPr>
          </w:p>
        </w:tc>
      </w:tr>
      <w:tr w:rsidR="00956611" w:rsidRPr="00FA2E2E" w14:paraId="5388B842" w14:textId="77777777" w:rsidTr="002E6038">
        <w:tc>
          <w:tcPr>
            <w:tcW w:w="4743" w:type="dxa"/>
          </w:tcPr>
          <w:p w14:paraId="6A5293DE" w14:textId="77777777" w:rsidR="00956611" w:rsidRPr="00FA2E2E" w:rsidRDefault="00956611" w:rsidP="00B50B26">
            <w:pPr>
              <w:rPr>
                <w:sz w:val="16"/>
                <w:szCs w:val="16"/>
              </w:rPr>
            </w:pPr>
            <w:proofErr w:type="spellStart"/>
            <w:r w:rsidRPr="00FA2E2E">
              <w:rPr>
                <w:sz w:val="16"/>
                <w:szCs w:val="16"/>
              </w:rPr>
              <w:t>Products</w:t>
            </w:r>
            <w:proofErr w:type="spellEnd"/>
            <w:r w:rsidRPr="00FA2E2E">
              <w:rPr>
                <w:sz w:val="16"/>
                <w:szCs w:val="16"/>
              </w:rPr>
              <w:t> :</w:t>
            </w:r>
          </w:p>
        </w:tc>
        <w:tc>
          <w:tcPr>
            <w:tcW w:w="4891" w:type="dxa"/>
          </w:tcPr>
          <w:p w14:paraId="7CFFA5C8" w14:textId="77777777" w:rsidR="00956611" w:rsidRPr="00FA2E2E" w:rsidRDefault="00956611" w:rsidP="00B50B26">
            <w:pPr>
              <w:rPr>
                <w:sz w:val="16"/>
                <w:szCs w:val="16"/>
              </w:rPr>
            </w:pPr>
            <w:r w:rsidRPr="00FA2E2E">
              <w:rPr>
                <w:sz w:val="16"/>
                <w:szCs w:val="16"/>
              </w:rPr>
              <w:t>Produits</w:t>
            </w:r>
          </w:p>
          <w:p w14:paraId="7687D1CE" w14:textId="77777777" w:rsidR="00956611" w:rsidRPr="00FA2E2E" w:rsidRDefault="00956611" w:rsidP="00B50B26">
            <w:pPr>
              <w:rPr>
                <w:sz w:val="16"/>
                <w:szCs w:val="16"/>
              </w:rPr>
            </w:pPr>
          </w:p>
        </w:tc>
      </w:tr>
      <w:tr w:rsidR="00956611" w:rsidRPr="00FA2E2E" w14:paraId="00C91FA7" w14:textId="77777777" w:rsidTr="002E6038">
        <w:tc>
          <w:tcPr>
            <w:tcW w:w="4743" w:type="dxa"/>
          </w:tcPr>
          <w:p w14:paraId="3F118F86" w14:textId="77777777" w:rsidR="00956611" w:rsidRPr="00FA2E2E" w:rsidRDefault="00956611" w:rsidP="00B50B26">
            <w:pPr>
              <w:rPr>
                <w:sz w:val="16"/>
                <w:szCs w:val="16"/>
              </w:rPr>
            </w:pPr>
            <w:proofErr w:type="spellStart"/>
            <w:r w:rsidRPr="00FA2E2E">
              <w:rPr>
                <w:sz w:val="16"/>
                <w:szCs w:val="16"/>
              </w:rPr>
              <w:t>Waste</w:t>
            </w:r>
            <w:proofErr w:type="spellEnd"/>
            <w:r w:rsidRPr="00FA2E2E">
              <w:rPr>
                <w:sz w:val="16"/>
                <w:szCs w:val="16"/>
              </w:rPr>
              <w:t xml:space="preserve"> </w:t>
            </w:r>
            <w:proofErr w:type="spellStart"/>
            <w:r w:rsidRPr="00FA2E2E">
              <w:rPr>
                <w:sz w:val="16"/>
                <w:szCs w:val="16"/>
              </w:rPr>
              <w:t>incineration</w:t>
            </w:r>
            <w:proofErr w:type="spellEnd"/>
            <w:r w:rsidRPr="00FA2E2E">
              <w:rPr>
                <w:sz w:val="16"/>
                <w:szCs w:val="16"/>
              </w:rPr>
              <w:t xml:space="preserve"> and </w:t>
            </w:r>
            <w:proofErr w:type="spellStart"/>
            <w:r w:rsidRPr="00FA2E2E">
              <w:rPr>
                <w:sz w:val="16"/>
                <w:szCs w:val="16"/>
              </w:rPr>
              <w:t>cremation</w:t>
            </w:r>
            <w:proofErr w:type="spellEnd"/>
            <w:r w:rsidRPr="00FA2E2E">
              <w:rPr>
                <w:sz w:val="16"/>
                <w:szCs w:val="16"/>
              </w:rPr>
              <w:t> :</w:t>
            </w:r>
          </w:p>
        </w:tc>
        <w:tc>
          <w:tcPr>
            <w:tcW w:w="4891" w:type="dxa"/>
          </w:tcPr>
          <w:p w14:paraId="1FBBCF77" w14:textId="77777777" w:rsidR="00956611" w:rsidRPr="00FA2E2E" w:rsidRDefault="00956611" w:rsidP="00B50B26">
            <w:pPr>
              <w:rPr>
                <w:sz w:val="16"/>
                <w:szCs w:val="16"/>
              </w:rPr>
            </w:pPr>
            <w:r w:rsidRPr="00FA2E2E">
              <w:rPr>
                <w:sz w:val="16"/>
                <w:szCs w:val="16"/>
              </w:rPr>
              <w:t>Incinération de déchets et crémation</w:t>
            </w:r>
          </w:p>
          <w:p w14:paraId="0312BC29" w14:textId="77777777" w:rsidR="00956611" w:rsidRPr="00FA2E2E" w:rsidRDefault="00956611" w:rsidP="00B50B26">
            <w:pPr>
              <w:rPr>
                <w:sz w:val="16"/>
                <w:szCs w:val="16"/>
              </w:rPr>
            </w:pPr>
          </w:p>
        </w:tc>
      </w:tr>
      <w:tr w:rsidR="00956611" w:rsidRPr="00FA2E2E" w14:paraId="69CC78A2" w14:textId="77777777" w:rsidTr="002E6038">
        <w:tc>
          <w:tcPr>
            <w:tcW w:w="4743" w:type="dxa"/>
          </w:tcPr>
          <w:p w14:paraId="3ED00A55" w14:textId="77777777" w:rsidR="00956611" w:rsidRPr="00FA2E2E" w:rsidRDefault="00956611" w:rsidP="00B50B26">
            <w:pPr>
              <w:rPr>
                <w:sz w:val="16"/>
                <w:szCs w:val="16"/>
              </w:rPr>
            </w:pPr>
            <w:proofErr w:type="spellStart"/>
            <w:r w:rsidRPr="00FA2E2E">
              <w:rPr>
                <w:sz w:val="16"/>
                <w:szCs w:val="16"/>
              </w:rPr>
              <w:t>Landfill</w:t>
            </w:r>
            <w:proofErr w:type="spellEnd"/>
            <w:r w:rsidRPr="00FA2E2E">
              <w:rPr>
                <w:sz w:val="16"/>
                <w:szCs w:val="16"/>
              </w:rPr>
              <w:t> :</w:t>
            </w:r>
          </w:p>
        </w:tc>
        <w:tc>
          <w:tcPr>
            <w:tcW w:w="4891" w:type="dxa"/>
          </w:tcPr>
          <w:p w14:paraId="4E294659" w14:textId="77777777" w:rsidR="00956611" w:rsidRPr="00FA2E2E" w:rsidRDefault="00956611" w:rsidP="00B50B26">
            <w:pPr>
              <w:rPr>
                <w:sz w:val="16"/>
                <w:szCs w:val="16"/>
              </w:rPr>
            </w:pPr>
            <w:r w:rsidRPr="00FA2E2E">
              <w:rPr>
                <w:sz w:val="16"/>
                <w:szCs w:val="16"/>
              </w:rPr>
              <w:t>Décharges</w:t>
            </w:r>
          </w:p>
          <w:p w14:paraId="207CAB83" w14:textId="77777777" w:rsidR="00956611" w:rsidRPr="00FA2E2E" w:rsidRDefault="00956611" w:rsidP="00B50B26">
            <w:pPr>
              <w:rPr>
                <w:sz w:val="16"/>
                <w:szCs w:val="16"/>
              </w:rPr>
            </w:pPr>
          </w:p>
        </w:tc>
      </w:tr>
      <w:tr w:rsidR="00956611" w:rsidRPr="00FA2E2E" w14:paraId="79E53915" w14:textId="77777777" w:rsidTr="002E6038">
        <w:tc>
          <w:tcPr>
            <w:tcW w:w="4743" w:type="dxa"/>
          </w:tcPr>
          <w:p w14:paraId="643CD9F5" w14:textId="77777777" w:rsidR="00956611" w:rsidRPr="00FA2E2E" w:rsidRDefault="00956611" w:rsidP="00B50B26">
            <w:pPr>
              <w:rPr>
                <w:sz w:val="16"/>
                <w:szCs w:val="16"/>
              </w:rPr>
            </w:pPr>
            <w:r w:rsidRPr="00FA2E2E">
              <w:rPr>
                <w:sz w:val="16"/>
                <w:szCs w:val="16"/>
              </w:rPr>
              <w:t>Coal power plants :</w:t>
            </w:r>
          </w:p>
        </w:tc>
        <w:tc>
          <w:tcPr>
            <w:tcW w:w="4891" w:type="dxa"/>
          </w:tcPr>
          <w:p w14:paraId="0D82768E" w14:textId="77777777" w:rsidR="00956611" w:rsidRPr="00FA2E2E" w:rsidRDefault="00956611" w:rsidP="00B50B26">
            <w:pPr>
              <w:rPr>
                <w:sz w:val="16"/>
                <w:szCs w:val="16"/>
              </w:rPr>
            </w:pPr>
            <w:r w:rsidRPr="00FA2E2E">
              <w:rPr>
                <w:sz w:val="16"/>
                <w:szCs w:val="16"/>
              </w:rPr>
              <w:t>Centrales électriques au charbon</w:t>
            </w:r>
          </w:p>
          <w:p w14:paraId="610AE44D" w14:textId="77777777" w:rsidR="00956611" w:rsidRPr="00FA2E2E" w:rsidRDefault="00956611" w:rsidP="00B50B26">
            <w:pPr>
              <w:rPr>
                <w:sz w:val="16"/>
                <w:szCs w:val="16"/>
              </w:rPr>
            </w:pPr>
          </w:p>
        </w:tc>
      </w:tr>
      <w:tr w:rsidR="00956611" w:rsidRPr="00FA2E2E" w14:paraId="1EE046AD" w14:textId="77777777" w:rsidTr="002E6038">
        <w:tc>
          <w:tcPr>
            <w:tcW w:w="4743" w:type="dxa"/>
          </w:tcPr>
          <w:p w14:paraId="69CBD609" w14:textId="77777777" w:rsidR="00956611" w:rsidRPr="00FA2E2E" w:rsidRDefault="00956611" w:rsidP="00B50B26">
            <w:pPr>
              <w:rPr>
                <w:sz w:val="16"/>
                <w:szCs w:val="16"/>
              </w:rPr>
            </w:pPr>
            <w:proofErr w:type="spellStart"/>
            <w:r w:rsidRPr="00FA2E2E">
              <w:rPr>
                <w:sz w:val="16"/>
                <w:szCs w:val="16"/>
              </w:rPr>
              <w:t>Deposition</w:t>
            </w:r>
            <w:proofErr w:type="spellEnd"/>
            <w:r w:rsidRPr="00FA2E2E">
              <w:rPr>
                <w:sz w:val="16"/>
                <w:szCs w:val="16"/>
              </w:rPr>
              <w:t xml:space="preserve"> to water :</w:t>
            </w:r>
          </w:p>
        </w:tc>
        <w:tc>
          <w:tcPr>
            <w:tcW w:w="4891" w:type="dxa"/>
          </w:tcPr>
          <w:p w14:paraId="4BDEF767" w14:textId="77777777" w:rsidR="00956611" w:rsidRPr="00FA2E2E" w:rsidRDefault="00956611" w:rsidP="00B50B26">
            <w:pPr>
              <w:rPr>
                <w:sz w:val="16"/>
                <w:szCs w:val="16"/>
              </w:rPr>
            </w:pPr>
            <w:r w:rsidRPr="00FA2E2E">
              <w:rPr>
                <w:sz w:val="16"/>
                <w:szCs w:val="16"/>
              </w:rPr>
              <w:t>Dépôts dans l’eau</w:t>
            </w:r>
          </w:p>
          <w:p w14:paraId="43C605FB" w14:textId="77777777" w:rsidR="00956611" w:rsidRPr="00FA2E2E" w:rsidRDefault="00956611" w:rsidP="00B50B26">
            <w:pPr>
              <w:rPr>
                <w:sz w:val="16"/>
                <w:szCs w:val="16"/>
              </w:rPr>
            </w:pPr>
          </w:p>
        </w:tc>
      </w:tr>
      <w:tr w:rsidR="00956611" w:rsidRPr="00FA2E2E" w14:paraId="2EDA60F5" w14:textId="77777777" w:rsidTr="002E6038">
        <w:tc>
          <w:tcPr>
            <w:tcW w:w="4743" w:type="dxa"/>
          </w:tcPr>
          <w:p w14:paraId="1D04222F" w14:textId="77777777" w:rsidR="00956611" w:rsidRPr="00FA2E2E" w:rsidRDefault="00956611" w:rsidP="00B50B26">
            <w:pPr>
              <w:rPr>
                <w:sz w:val="16"/>
                <w:szCs w:val="16"/>
              </w:rPr>
            </w:pPr>
            <w:proofErr w:type="spellStart"/>
            <w:r w:rsidRPr="00FA2E2E">
              <w:rPr>
                <w:sz w:val="16"/>
                <w:szCs w:val="16"/>
              </w:rPr>
              <w:t>Landfill</w:t>
            </w:r>
            <w:proofErr w:type="spellEnd"/>
            <w:r w:rsidRPr="00FA2E2E">
              <w:rPr>
                <w:sz w:val="16"/>
                <w:szCs w:val="16"/>
              </w:rPr>
              <w:t xml:space="preserve"> </w:t>
            </w:r>
            <w:proofErr w:type="spellStart"/>
            <w:r w:rsidRPr="00FA2E2E">
              <w:rPr>
                <w:sz w:val="16"/>
                <w:szCs w:val="16"/>
              </w:rPr>
              <w:t>leachate</w:t>
            </w:r>
            <w:proofErr w:type="spellEnd"/>
            <w:r w:rsidRPr="00FA2E2E">
              <w:rPr>
                <w:sz w:val="16"/>
                <w:szCs w:val="16"/>
              </w:rPr>
              <w:t> :</w:t>
            </w:r>
          </w:p>
        </w:tc>
        <w:tc>
          <w:tcPr>
            <w:tcW w:w="4891" w:type="dxa"/>
          </w:tcPr>
          <w:p w14:paraId="42A0158E" w14:textId="77777777" w:rsidR="00956611" w:rsidRPr="00FA2E2E" w:rsidRDefault="00956611" w:rsidP="00B50B26">
            <w:pPr>
              <w:rPr>
                <w:sz w:val="16"/>
                <w:szCs w:val="16"/>
              </w:rPr>
            </w:pPr>
            <w:r w:rsidRPr="00FA2E2E">
              <w:rPr>
                <w:sz w:val="16"/>
                <w:szCs w:val="16"/>
              </w:rPr>
              <w:t>Lixiviats de décharges</w:t>
            </w:r>
          </w:p>
          <w:p w14:paraId="1267B012" w14:textId="77777777" w:rsidR="00956611" w:rsidRPr="00FA2E2E" w:rsidRDefault="00956611" w:rsidP="00B50B26">
            <w:pPr>
              <w:rPr>
                <w:sz w:val="16"/>
                <w:szCs w:val="16"/>
              </w:rPr>
            </w:pPr>
          </w:p>
        </w:tc>
      </w:tr>
      <w:tr w:rsidR="00956611" w:rsidRPr="00FA2E2E" w14:paraId="236AF7FD" w14:textId="77777777" w:rsidTr="002E6038">
        <w:tc>
          <w:tcPr>
            <w:tcW w:w="4743" w:type="dxa"/>
          </w:tcPr>
          <w:p w14:paraId="0AC6563F" w14:textId="77777777" w:rsidR="00956611" w:rsidRPr="00FA2E2E" w:rsidRDefault="00956611" w:rsidP="00B50B26">
            <w:pPr>
              <w:rPr>
                <w:sz w:val="16"/>
                <w:szCs w:val="16"/>
              </w:rPr>
            </w:pPr>
            <w:r w:rsidRPr="00FA2E2E">
              <w:rPr>
                <w:sz w:val="16"/>
                <w:szCs w:val="16"/>
              </w:rPr>
              <w:t>Cement plants :</w:t>
            </w:r>
          </w:p>
        </w:tc>
        <w:tc>
          <w:tcPr>
            <w:tcW w:w="4891" w:type="dxa"/>
          </w:tcPr>
          <w:p w14:paraId="75E76E0C" w14:textId="77777777" w:rsidR="00956611" w:rsidRPr="00FA2E2E" w:rsidRDefault="00956611" w:rsidP="00B50B26">
            <w:pPr>
              <w:rPr>
                <w:sz w:val="16"/>
                <w:szCs w:val="16"/>
              </w:rPr>
            </w:pPr>
            <w:r w:rsidRPr="00FA2E2E">
              <w:rPr>
                <w:sz w:val="16"/>
                <w:szCs w:val="16"/>
              </w:rPr>
              <w:t>Cimenteries</w:t>
            </w:r>
          </w:p>
          <w:p w14:paraId="4A75C748" w14:textId="77777777" w:rsidR="00956611" w:rsidRPr="00FA2E2E" w:rsidRDefault="00956611" w:rsidP="00B50B26">
            <w:pPr>
              <w:rPr>
                <w:sz w:val="16"/>
                <w:szCs w:val="16"/>
              </w:rPr>
            </w:pPr>
          </w:p>
        </w:tc>
      </w:tr>
      <w:tr w:rsidR="00956611" w:rsidRPr="00FA2E2E" w14:paraId="738EFA28" w14:textId="77777777" w:rsidTr="002E6038">
        <w:tc>
          <w:tcPr>
            <w:tcW w:w="4743" w:type="dxa"/>
          </w:tcPr>
          <w:p w14:paraId="59B86ECA" w14:textId="77777777" w:rsidR="00956611" w:rsidRPr="00FA2E2E" w:rsidRDefault="00956611" w:rsidP="00B50B26">
            <w:pPr>
              <w:rPr>
                <w:sz w:val="16"/>
                <w:szCs w:val="16"/>
              </w:rPr>
            </w:pPr>
            <w:proofErr w:type="spellStart"/>
            <w:r w:rsidRPr="00FA2E2E">
              <w:rPr>
                <w:sz w:val="16"/>
                <w:szCs w:val="16"/>
              </w:rPr>
              <w:t>Chlor</w:t>
            </w:r>
            <w:proofErr w:type="spellEnd"/>
            <w:r w:rsidRPr="00FA2E2E">
              <w:rPr>
                <w:sz w:val="16"/>
                <w:szCs w:val="16"/>
              </w:rPr>
              <w:t>-alkali plants :</w:t>
            </w:r>
          </w:p>
        </w:tc>
        <w:tc>
          <w:tcPr>
            <w:tcW w:w="4891" w:type="dxa"/>
          </w:tcPr>
          <w:p w14:paraId="137F18F9" w14:textId="77777777" w:rsidR="00956611" w:rsidRPr="00FA2E2E" w:rsidRDefault="00956611" w:rsidP="00B50B26">
            <w:pPr>
              <w:rPr>
                <w:sz w:val="16"/>
                <w:szCs w:val="16"/>
              </w:rPr>
            </w:pPr>
            <w:r w:rsidRPr="00FA2E2E">
              <w:rPr>
                <w:sz w:val="16"/>
                <w:szCs w:val="16"/>
              </w:rPr>
              <w:t>Usines de chlore-alcali</w:t>
            </w:r>
          </w:p>
          <w:p w14:paraId="0DEDB6EA" w14:textId="77777777" w:rsidR="00956611" w:rsidRPr="00FA2E2E" w:rsidRDefault="00956611" w:rsidP="00B50B26">
            <w:pPr>
              <w:rPr>
                <w:sz w:val="16"/>
                <w:szCs w:val="16"/>
              </w:rPr>
            </w:pPr>
          </w:p>
        </w:tc>
      </w:tr>
      <w:tr w:rsidR="00956611" w:rsidRPr="00FA2E2E" w14:paraId="2DB1C651" w14:textId="77777777" w:rsidTr="002E6038">
        <w:tc>
          <w:tcPr>
            <w:tcW w:w="4743" w:type="dxa"/>
          </w:tcPr>
          <w:p w14:paraId="4F1FD7DA" w14:textId="77777777" w:rsidR="00956611" w:rsidRPr="00FA2E2E" w:rsidRDefault="00956611" w:rsidP="00B50B26">
            <w:pPr>
              <w:rPr>
                <w:sz w:val="16"/>
                <w:szCs w:val="16"/>
              </w:rPr>
            </w:pPr>
            <w:proofErr w:type="spellStart"/>
            <w:r w:rsidRPr="00FA2E2E">
              <w:rPr>
                <w:sz w:val="16"/>
                <w:szCs w:val="16"/>
              </w:rPr>
              <w:t>Vinyl</w:t>
            </w:r>
            <w:proofErr w:type="spellEnd"/>
            <w:r w:rsidRPr="00FA2E2E">
              <w:rPr>
                <w:sz w:val="16"/>
                <w:szCs w:val="16"/>
              </w:rPr>
              <w:t xml:space="preserve"> </w:t>
            </w:r>
            <w:proofErr w:type="spellStart"/>
            <w:r w:rsidRPr="00FA2E2E">
              <w:rPr>
                <w:sz w:val="16"/>
                <w:szCs w:val="16"/>
              </w:rPr>
              <w:t>chloride</w:t>
            </w:r>
            <w:proofErr w:type="spellEnd"/>
            <w:r w:rsidRPr="00FA2E2E">
              <w:rPr>
                <w:sz w:val="16"/>
                <w:szCs w:val="16"/>
              </w:rPr>
              <w:t> </w:t>
            </w:r>
            <w:proofErr w:type="spellStart"/>
            <w:r w:rsidRPr="00FA2E2E">
              <w:rPr>
                <w:sz w:val="16"/>
                <w:szCs w:val="16"/>
              </w:rPr>
              <w:t>monomer</w:t>
            </w:r>
            <w:proofErr w:type="spellEnd"/>
            <w:r w:rsidRPr="00FA2E2E">
              <w:rPr>
                <w:sz w:val="16"/>
                <w:szCs w:val="16"/>
              </w:rPr>
              <w:t xml:space="preserve"> plants :</w:t>
            </w:r>
          </w:p>
        </w:tc>
        <w:tc>
          <w:tcPr>
            <w:tcW w:w="4891" w:type="dxa"/>
          </w:tcPr>
          <w:p w14:paraId="13A8A1D6" w14:textId="77777777" w:rsidR="00956611" w:rsidRPr="00FA2E2E" w:rsidRDefault="00956611" w:rsidP="00B50B26">
            <w:pPr>
              <w:rPr>
                <w:sz w:val="16"/>
                <w:szCs w:val="16"/>
              </w:rPr>
            </w:pPr>
            <w:r w:rsidRPr="00FA2E2E">
              <w:rPr>
                <w:sz w:val="16"/>
                <w:szCs w:val="16"/>
              </w:rPr>
              <w:t>Usines de chlorure de vinyle monomère</w:t>
            </w:r>
          </w:p>
          <w:p w14:paraId="475547D6" w14:textId="77777777" w:rsidR="00956611" w:rsidRPr="00FA2E2E" w:rsidRDefault="00956611" w:rsidP="00B50B26">
            <w:pPr>
              <w:rPr>
                <w:sz w:val="16"/>
                <w:szCs w:val="16"/>
              </w:rPr>
            </w:pPr>
          </w:p>
        </w:tc>
      </w:tr>
      <w:tr w:rsidR="00956611" w:rsidRPr="00FA2E2E" w14:paraId="73F0FCD5" w14:textId="77777777" w:rsidTr="002E6038">
        <w:tc>
          <w:tcPr>
            <w:tcW w:w="4743" w:type="dxa"/>
          </w:tcPr>
          <w:p w14:paraId="1811E8A5" w14:textId="77777777" w:rsidR="00956611" w:rsidRPr="00FA2E2E" w:rsidRDefault="00956611" w:rsidP="00B50B26">
            <w:pPr>
              <w:rPr>
                <w:sz w:val="16"/>
                <w:szCs w:val="16"/>
              </w:rPr>
            </w:pPr>
            <w:proofErr w:type="spellStart"/>
            <w:r w:rsidRPr="00FA2E2E">
              <w:rPr>
                <w:sz w:val="16"/>
                <w:szCs w:val="16"/>
              </w:rPr>
              <w:t>Larger</w:t>
            </w:r>
            <w:proofErr w:type="spellEnd"/>
            <w:r w:rsidRPr="00FA2E2E">
              <w:rPr>
                <w:sz w:val="16"/>
                <w:szCs w:val="16"/>
              </w:rPr>
              <w:t xml:space="preserve"> </w:t>
            </w:r>
            <w:proofErr w:type="spellStart"/>
            <w:r w:rsidRPr="00FA2E2E">
              <w:rPr>
                <w:sz w:val="16"/>
                <w:szCs w:val="16"/>
              </w:rPr>
              <w:t>fish</w:t>
            </w:r>
            <w:proofErr w:type="spellEnd"/>
            <w:r w:rsidRPr="00FA2E2E">
              <w:rPr>
                <w:sz w:val="16"/>
                <w:szCs w:val="16"/>
              </w:rPr>
              <w:t> :</w:t>
            </w:r>
          </w:p>
        </w:tc>
        <w:tc>
          <w:tcPr>
            <w:tcW w:w="4891" w:type="dxa"/>
          </w:tcPr>
          <w:p w14:paraId="0216C5E8" w14:textId="77777777" w:rsidR="00956611" w:rsidRPr="00FA2E2E" w:rsidRDefault="00956611" w:rsidP="00B50B26">
            <w:pPr>
              <w:rPr>
                <w:sz w:val="16"/>
                <w:szCs w:val="16"/>
              </w:rPr>
            </w:pPr>
            <w:r w:rsidRPr="00FA2E2E">
              <w:rPr>
                <w:sz w:val="16"/>
                <w:szCs w:val="16"/>
              </w:rPr>
              <w:t>Poissons de grande taille</w:t>
            </w:r>
          </w:p>
          <w:p w14:paraId="3EB2FF17" w14:textId="77777777" w:rsidR="00956611" w:rsidRPr="00FA2E2E" w:rsidRDefault="00956611" w:rsidP="00B50B26">
            <w:pPr>
              <w:rPr>
                <w:sz w:val="16"/>
                <w:szCs w:val="16"/>
              </w:rPr>
            </w:pPr>
          </w:p>
        </w:tc>
      </w:tr>
      <w:tr w:rsidR="00956611" w:rsidRPr="00FA2E2E" w14:paraId="00AB49B1" w14:textId="77777777" w:rsidTr="002E6038">
        <w:tc>
          <w:tcPr>
            <w:tcW w:w="4743" w:type="dxa"/>
          </w:tcPr>
          <w:p w14:paraId="7F20624C" w14:textId="77777777" w:rsidR="00956611" w:rsidRPr="00FA2E2E" w:rsidRDefault="00956611" w:rsidP="00B50B26">
            <w:pPr>
              <w:rPr>
                <w:sz w:val="16"/>
                <w:szCs w:val="16"/>
              </w:rPr>
            </w:pPr>
            <w:proofErr w:type="spellStart"/>
            <w:r w:rsidRPr="00FA2E2E">
              <w:rPr>
                <w:sz w:val="16"/>
                <w:szCs w:val="16"/>
              </w:rPr>
              <w:t>Humans</w:t>
            </w:r>
            <w:proofErr w:type="spellEnd"/>
            <w:r w:rsidRPr="00FA2E2E">
              <w:rPr>
                <w:sz w:val="16"/>
                <w:szCs w:val="16"/>
              </w:rPr>
              <w:t> :</w:t>
            </w:r>
          </w:p>
        </w:tc>
        <w:tc>
          <w:tcPr>
            <w:tcW w:w="4891" w:type="dxa"/>
          </w:tcPr>
          <w:p w14:paraId="1868059B" w14:textId="77777777" w:rsidR="00956611" w:rsidRPr="00FA2E2E" w:rsidRDefault="00956611" w:rsidP="00B50B26">
            <w:pPr>
              <w:rPr>
                <w:sz w:val="16"/>
                <w:szCs w:val="16"/>
              </w:rPr>
            </w:pPr>
            <w:r w:rsidRPr="00FA2E2E">
              <w:rPr>
                <w:rFonts w:cstheme="minorHAnsi"/>
                <w:sz w:val="16"/>
                <w:szCs w:val="16"/>
              </w:rPr>
              <w:t>Ê</w:t>
            </w:r>
            <w:r w:rsidRPr="00FA2E2E">
              <w:rPr>
                <w:sz w:val="16"/>
                <w:szCs w:val="16"/>
              </w:rPr>
              <w:t>tres humains</w:t>
            </w:r>
          </w:p>
          <w:p w14:paraId="69ABD8DB" w14:textId="77777777" w:rsidR="00956611" w:rsidRPr="00FA2E2E" w:rsidRDefault="00956611" w:rsidP="00B50B26">
            <w:pPr>
              <w:rPr>
                <w:sz w:val="16"/>
                <w:szCs w:val="16"/>
              </w:rPr>
            </w:pPr>
          </w:p>
        </w:tc>
      </w:tr>
      <w:tr w:rsidR="00956611" w:rsidRPr="00FA2E2E" w14:paraId="73CFF0BD" w14:textId="77777777" w:rsidTr="002E6038">
        <w:tc>
          <w:tcPr>
            <w:tcW w:w="4743" w:type="dxa"/>
          </w:tcPr>
          <w:p w14:paraId="4636AFA4" w14:textId="77777777" w:rsidR="00956611" w:rsidRPr="00FA2E2E" w:rsidRDefault="00956611" w:rsidP="00B50B26">
            <w:pPr>
              <w:rPr>
                <w:sz w:val="16"/>
                <w:szCs w:val="16"/>
              </w:rPr>
            </w:pPr>
            <w:proofErr w:type="spellStart"/>
            <w:r w:rsidRPr="00FA2E2E">
              <w:rPr>
                <w:sz w:val="16"/>
                <w:szCs w:val="16"/>
              </w:rPr>
              <w:t>Soil</w:t>
            </w:r>
            <w:proofErr w:type="spellEnd"/>
            <w:r w:rsidRPr="00FA2E2E">
              <w:rPr>
                <w:sz w:val="16"/>
                <w:szCs w:val="16"/>
              </w:rPr>
              <w:t xml:space="preserve"> contamination :</w:t>
            </w:r>
          </w:p>
        </w:tc>
        <w:tc>
          <w:tcPr>
            <w:tcW w:w="4891" w:type="dxa"/>
          </w:tcPr>
          <w:p w14:paraId="3AFD0417" w14:textId="77777777" w:rsidR="00956611" w:rsidRPr="00FA2E2E" w:rsidRDefault="00956611" w:rsidP="00B50B26">
            <w:pPr>
              <w:rPr>
                <w:sz w:val="16"/>
                <w:szCs w:val="16"/>
              </w:rPr>
            </w:pPr>
            <w:r w:rsidRPr="00FA2E2E">
              <w:rPr>
                <w:sz w:val="16"/>
                <w:szCs w:val="16"/>
              </w:rPr>
              <w:t>Contamination des sols</w:t>
            </w:r>
          </w:p>
          <w:p w14:paraId="1792BFAC" w14:textId="77777777" w:rsidR="00956611" w:rsidRPr="00FA2E2E" w:rsidRDefault="00956611" w:rsidP="00B50B26">
            <w:pPr>
              <w:rPr>
                <w:sz w:val="16"/>
                <w:szCs w:val="16"/>
              </w:rPr>
            </w:pPr>
          </w:p>
        </w:tc>
      </w:tr>
      <w:tr w:rsidR="00956611" w:rsidRPr="00FA2E2E" w14:paraId="2B199ABB" w14:textId="77777777" w:rsidTr="002E6038">
        <w:tc>
          <w:tcPr>
            <w:tcW w:w="4743" w:type="dxa"/>
          </w:tcPr>
          <w:p w14:paraId="0B5378E7" w14:textId="77777777" w:rsidR="00956611" w:rsidRPr="00FA2E2E" w:rsidRDefault="00956611" w:rsidP="00B50B26">
            <w:pPr>
              <w:rPr>
                <w:sz w:val="16"/>
                <w:szCs w:val="16"/>
              </w:rPr>
            </w:pPr>
            <w:proofErr w:type="spellStart"/>
            <w:r w:rsidRPr="00FA2E2E">
              <w:rPr>
                <w:sz w:val="16"/>
                <w:szCs w:val="16"/>
              </w:rPr>
              <w:t>Smaller</w:t>
            </w:r>
            <w:proofErr w:type="spellEnd"/>
            <w:r w:rsidRPr="00FA2E2E">
              <w:rPr>
                <w:sz w:val="16"/>
                <w:szCs w:val="16"/>
              </w:rPr>
              <w:t xml:space="preserve"> </w:t>
            </w:r>
            <w:proofErr w:type="spellStart"/>
            <w:r w:rsidRPr="00FA2E2E">
              <w:rPr>
                <w:sz w:val="16"/>
                <w:szCs w:val="16"/>
              </w:rPr>
              <w:t>fish</w:t>
            </w:r>
            <w:proofErr w:type="spellEnd"/>
            <w:r w:rsidRPr="00FA2E2E">
              <w:rPr>
                <w:sz w:val="16"/>
                <w:szCs w:val="16"/>
              </w:rPr>
              <w:t> :</w:t>
            </w:r>
          </w:p>
        </w:tc>
        <w:tc>
          <w:tcPr>
            <w:tcW w:w="4891" w:type="dxa"/>
          </w:tcPr>
          <w:p w14:paraId="1C51DB4F" w14:textId="77777777" w:rsidR="00956611" w:rsidRPr="00FA2E2E" w:rsidRDefault="00956611" w:rsidP="00B50B26">
            <w:pPr>
              <w:rPr>
                <w:sz w:val="16"/>
                <w:szCs w:val="16"/>
              </w:rPr>
            </w:pPr>
            <w:r w:rsidRPr="00FA2E2E">
              <w:rPr>
                <w:sz w:val="16"/>
                <w:szCs w:val="16"/>
              </w:rPr>
              <w:t>Poissons de petite taille</w:t>
            </w:r>
          </w:p>
          <w:p w14:paraId="0B5731AE" w14:textId="77777777" w:rsidR="00956611" w:rsidRPr="00FA2E2E" w:rsidRDefault="00956611" w:rsidP="00B50B26">
            <w:pPr>
              <w:rPr>
                <w:sz w:val="16"/>
                <w:szCs w:val="16"/>
              </w:rPr>
            </w:pPr>
          </w:p>
        </w:tc>
      </w:tr>
      <w:tr w:rsidR="00956611" w:rsidRPr="00FA2E2E" w14:paraId="59241119" w14:textId="77777777" w:rsidTr="002E6038">
        <w:tc>
          <w:tcPr>
            <w:tcW w:w="4743" w:type="dxa"/>
          </w:tcPr>
          <w:p w14:paraId="5C5313F5" w14:textId="77777777" w:rsidR="00956611" w:rsidRDefault="00956611" w:rsidP="00B50B26">
            <w:pPr>
              <w:rPr>
                <w:sz w:val="16"/>
                <w:szCs w:val="16"/>
              </w:rPr>
            </w:pPr>
            <w:r w:rsidRPr="00FA2E2E">
              <w:rPr>
                <w:sz w:val="16"/>
                <w:szCs w:val="16"/>
              </w:rPr>
              <w:t>Biomagnification :</w:t>
            </w:r>
          </w:p>
          <w:p w14:paraId="1051CC75" w14:textId="56D59F74" w:rsidR="00681431" w:rsidRPr="00FA2E2E" w:rsidRDefault="00681431" w:rsidP="00B50B26">
            <w:pPr>
              <w:rPr>
                <w:sz w:val="16"/>
                <w:szCs w:val="16"/>
              </w:rPr>
            </w:pPr>
          </w:p>
        </w:tc>
        <w:tc>
          <w:tcPr>
            <w:tcW w:w="4891" w:type="dxa"/>
          </w:tcPr>
          <w:p w14:paraId="2D1D53C9" w14:textId="77777777" w:rsidR="00956611" w:rsidRPr="00FA2E2E" w:rsidRDefault="00956611" w:rsidP="00B50B26">
            <w:pPr>
              <w:rPr>
                <w:sz w:val="16"/>
                <w:szCs w:val="16"/>
              </w:rPr>
            </w:pPr>
            <w:r w:rsidRPr="00FA2E2E">
              <w:rPr>
                <w:sz w:val="16"/>
                <w:szCs w:val="16"/>
              </w:rPr>
              <w:t>Bioamplification</w:t>
            </w:r>
          </w:p>
        </w:tc>
      </w:tr>
      <w:tr w:rsidR="00956611" w:rsidRPr="00FA2E2E" w14:paraId="556002F3" w14:textId="77777777" w:rsidTr="002E6038">
        <w:tc>
          <w:tcPr>
            <w:tcW w:w="4743" w:type="dxa"/>
          </w:tcPr>
          <w:p w14:paraId="1B051A87" w14:textId="77777777" w:rsidR="00956611" w:rsidRDefault="00956611" w:rsidP="00B50B26">
            <w:pPr>
              <w:rPr>
                <w:sz w:val="16"/>
                <w:szCs w:val="16"/>
              </w:rPr>
            </w:pPr>
            <w:proofErr w:type="spellStart"/>
            <w:r w:rsidRPr="00FA2E2E">
              <w:rPr>
                <w:sz w:val="16"/>
                <w:szCs w:val="16"/>
              </w:rPr>
              <w:t>Anaerobic</w:t>
            </w:r>
            <w:proofErr w:type="spellEnd"/>
            <w:r w:rsidRPr="00FA2E2E">
              <w:rPr>
                <w:sz w:val="16"/>
                <w:szCs w:val="16"/>
              </w:rPr>
              <w:t xml:space="preserve"> </w:t>
            </w:r>
            <w:proofErr w:type="spellStart"/>
            <w:r w:rsidRPr="00FA2E2E">
              <w:rPr>
                <w:sz w:val="16"/>
                <w:szCs w:val="16"/>
              </w:rPr>
              <w:t>bacteria</w:t>
            </w:r>
            <w:proofErr w:type="spellEnd"/>
            <w:r w:rsidRPr="00FA2E2E">
              <w:rPr>
                <w:sz w:val="16"/>
                <w:szCs w:val="16"/>
              </w:rPr>
              <w:t xml:space="preserve"> </w:t>
            </w:r>
            <w:proofErr w:type="spellStart"/>
            <w:r w:rsidRPr="00FA2E2E">
              <w:rPr>
                <w:sz w:val="16"/>
                <w:szCs w:val="16"/>
              </w:rPr>
              <w:t>convert</w:t>
            </w:r>
            <w:proofErr w:type="spellEnd"/>
            <w:r w:rsidRPr="00FA2E2E">
              <w:rPr>
                <w:sz w:val="16"/>
                <w:szCs w:val="16"/>
              </w:rPr>
              <w:t xml:space="preserve"> </w:t>
            </w:r>
            <w:proofErr w:type="spellStart"/>
            <w:r w:rsidRPr="00FA2E2E">
              <w:rPr>
                <w:sz w:val="16"/>
                <w:szCs w:val="16"/>
              </w:rPr>
              <w:t>mercury</w:t>
            </w:r>
            <w:proofErr w:type="spellEnd"/>
            <w:r w:rsidRPr="00FA2E2E">
              <w:rPr>
                <w:sz w:val="16"/>
                <w:szCs w:val="16"/>
              </w:rPr>
              <w:t> :</w:t>
            </w:r>
          </w:p>
          <w:p w14:paraId="57B0C612" w14:textId="210A1645" w:rsidR="00681431" w:rsidRPr="00FA2E2E" w:rsidRDefault="00681431" w:rsidP="00B50B26">
            <w:pPr>
              <w:rPr>
                <w:sz w:val="16"/>
                <w:szCs w:val="16"/>
              </w:rPr>
            </w:pPr>
          </w:p>
        </w:tc>
        <w:tc>
          <w:tcPr>
            <w:tcW w:w="4891" w:type="dxa"/>
          </w:tcPr>
          <w:p w14:paraId="33AB8026" w14:textId="77777777" w:rsidR="00956611" w:rsidRPr="00FA2E2E" w:rsidRDefault="00956611" w:rsidP="00B50B26">
            <w:pPr>
              <w:rPr>
                <w:sz w:val="16"/>
                <w:szCs w:val="16"/>
              </w:rPr>
            </w:pPr>
            <w:r w:rsidRPr="00FA2E2E">
              <w:rPr>
                <w:sz w:val="16"/>
                <w:szCs w:val="16"/>
              </w:rPr>
              <w:t>Les bactéries anaérobies transforment le mercure</w:t>
            </w:r>
          </w:p>
        </w:tc>
      </w:tr>
      <w:tr w:rsidR="00956611" w:rsidRPr="00FA2E2E" w14:paraId="6091064D" w14:textId="77777777" w:rsidTr="002E6038">
        <w:tc>
          <w:tcPr>
            <w:tcW w:w="4743" w:type="dxa"/>
          </w:tcPr>
          <w:p w14:paraId="43D2E136" w14:textId="77777777" w:rsidR="00956611" w:rsidRDefault="00956611" w:rsidP="00B50B26">
            <w:pPr>
              <w:rPr>
                <w:sz w:val="16"/>
                <w:szCs w:val="16"/>
              </w:rPr>
            </w:pPr>
            <w:r w:rsidRPr="00FA2E2E">
              <w:rPr>
                <w:sz w:val="16"/>
                <w:szCs w:val="16"/>
              </w:rPr>
              <w:t>Bioaccumulation over time :</w:t>
            </w:r>
          </w:p>
          <w:p w14:paraId="5F5E199D" w14:textId="35E596B1" w:rsidR="00681431" w:rsidRPr="00FA2E2E" w:rsidRDefault="00681431" w:rsidP="00B50B26">
            <w:pPr>
              <w:rPr>
                <w:sz w:val="16"/>
                <w:szCs w:val="16"/>
              </w:rPr>
            </w:pPr>
          </w:p>
        </w:tc>
        <w:tc>
          <w:tcPr>
            <w:tcW w:w="4891" w:type="dxa"/>
          </w:tcPr>
          <w:p w14:paraId="3809871C" w14:textId="77777777" w:rsidR="00956611" w:rsidRPr="00FA2E2E" w:rsidRDefault="00956611" w:rsidP="00B50B26">
            <w:pPr>
              <w:rPr>
                <w:sz w:val="16"/>
                <w:szCs w:val="16"/>
              </w:rPr>
            </w:pPr>
            <w:r w:rsidRPr="00FA2E2E">
              <w:rPr>
                <w:sz w:val="16"/>
                <w:szCs w:val="16"/>
              </w:rPr>
              <w:t>Bioaccumulation au fil du temps</w:t>
            </w:r>
          </w:p>
        </w:tc>
      </w:tr>
      <w:tr w:rsidR="00956611" w:rsidRPr="00FA2E2E" w14:paraId="3ACEB1F0" w14:textId="77777777" w:rsidTr="002E6038">
        <w:tc>
          <w:tcPr>
            <w:tcW w:w="4743" w:type="dxa"/>
          </w:tcPr>
          <w:p w14:paraId="36AB9C9A" w14:textId="77777777" w:rsidR="00956611" w:rsidRPr="00FA2E2E" w:rsidRDefault="00956611" w:rsidP="00B50B26">
            <w:pPr>
              <w:rPr>
                <w:sz w:val="16"/>
                <w:szCs w:val="16"/>
              </w:rPr>
            </w:pPr>
            <w:proofErr w:type="spellStart"/>
            <w:r w:rsidRPr="00FA2E2E">
              <w:rPr>
                <w:sz w:val="16"/>
                <w:szCs w:val="16"/>
              </w:rPr>
              <w:t>Tiny</w:t>
            </w:r>
            <w:proofErr w:type="spellEnd"/>
            <w:r w:rsidRPr="00FA2E2E">
              <w:rPr>
                <w:sz w:val="16"/>
                <w:szCs w:val="16"/>
              </w:rPr>
              <w:t xml:space="preserve"> plants and </w:t>
            </w:r>
            <w:proofErr w:type="spellStart"/>
            <w:r w:rsidRPr="00FA2E2E">
              <w:rPr>
                <w:sz w:val="16"/>
                <w:szCs w:val="16"/>
              </w:rPr>
              <w:t>animals</w:t>
            </w:r>
            <w:proofErr w:type="spellEnd"/>
            <w:r w:rsidRPr="00FA2E2E">
              <w:rPr>
                <w:sz w:val="16"/>
                <w:szCs w:val="16"/>
              </w:rPr>
              <w:t> :</w:t>
            </w:r>
          </w:p>
        </w:tc>
        <w:tc>
          <w:tcPr>
            <w:tcW w:w="4891" w:type="dxa"/>
          </w:tcPr>
          <w:p w14:paraId="70A3979C" w14:textId="77777777" w:rsidR="00956611" w:rsidRPr="00FA2E2E" w:rsidRDefault="00956611" w:rsidP="00B50B26">
            <w:pPr>
              <w:rPr>
                <w:sz w:val="16"/>
                <w:szCs w:val="16"/>
              </w:rPr>
            </w:pPr>
            <w:r w:rsidRPr="00FA2E2E">
              <w:rPr>
                <w:sz w:val="16"/>
                <w:szCs w:val="16"/>
              </w:rPr>
              <w:t>Végétaux et animaux de très petite taille</w:t>
            </w:r>
          </w:p>
          <w:p w14:paraId="4EFC2971" w14:textId="77777777" w:rsidR="00956611" w:rsidRPr="00FA2E2E" w:rsidRDefault="00956611" w:rsidP="00B50B26">
            <w:pPr>
              <w:rPr>
                <w:sz w:val="16"/>
                <w:szCs w:val="16"/>
              </w:rPr>
            </w:pPr>
          </w:p>
        </w:tc>
      </w:tr>
      <w:tr w:rsidR="00956611" w:rsidRPr="00FA2E2E" w14:paraId="3F746FC4" w14:textId="77777777" w:rsidTr="002E6038">
        <w:tc>
          <w:tcPr>
            <w:tcW w:w="4743" w:type="dxa"/>
          </w:tcPr>
          <w:p w14:paraId="268D0E85" w14:textId="77777777" w:rsidR="00956611" w:rsidRPr="00B50B26" w:rsidRDefault="00956611" w:rsidP="00B50B26">
            <w:pPr>
              <w:rPr>
                <w:sz w:val="16"/>
                <w:szCs w:val="16"/>
                <w:lang w:val="en-US"/>
              </w:rPr>
            </w:pPr>
            <w:proofErr w:type="spellStart"/>
            <w:r w:rsidRPr="00B50B26">
              <w:rPr>
                <w:sz w:val="16"/>
                <w:szCs w:val="16"/>
                <w:lang w:val="en-US"/>
              </w:rPr>
              <w:t>wich</w:t>
            </w:r>
            <w:proofErr w:type="spellEnd"/>
            <w:r w:rsidRPr="00B50B26">
              <w:rPr>
                <w:sz w:val="16"/>
                <w:szCs w:val="16"/>
                <w:lang w:val="en-US"/>
              </w:rPr>
              <w:t xml:space="preserve"> is taken up </w:t>
            </w:r>
            <w:proofErr w:type="gramStart"/>
            <w:r w:rsidRPr="00B50B26">
              <w:rPr>
                <w:sz w:val="16"/>
                <w:szCs w:val="16"/>
                <w:lang w:val="en-US"/>
              </w:rPr>
              <w:t>by :</w:t>
            </w:r>
            <w:proofErr w:type="gramEnd"/>
          </w:p>
        </w:tc>
        <w:tc>
          <w:tcPr>
            <w:tcW w:w="4891" w:type="dxa"/>
          </w:tcPr>
          <w:p w14:paraId="0C72BEFD" w14:textId="77777777" w:rsidR="00956611" w:rsidRPr="00FA2E2E" w:rsidRDefault="00956611" w:rsidP="00B50B26">
            <w:pPr>
              <w:rPr>
                <w:sz w:val="16"/>
                <w:szCs w:val="16"/>
              </w:rPr>
            </w:pPr>
            <w:proofErr w:type="gramStart"/>
            <w:r w:rsidRPr="00FA2E2E">
              <w:rPr>
                <w:sz w:val="16"/>
                <w:szCs w:val="16"/>
              </w:rPr>
              <w:t>qui</w:t>
            </w:r>
            <w:proofErr w:type="gramEnd"/>
            <w:r w:rsidRPr="00FA2E2E">
              <w:rPr>
                <w:sz w:val="16"/>
                <w:szCs w:val="16"/>
              </w:rPr>
              <w:t xml:space="preserve"> est absorbé par</w:t>
            </w:r>
          </w:p>
          <w:p w14:paraId="2915AC01" w14:textId="77777777" w:rsidR="00956611" w:rsidRPr="00FA2E2E" w:rsidRDefault="00956611" w:rsidP="00B50B26">
            <w:pPr>
              <w:rPr>
                <w:sz w:val="16"/>
                <w:szCs w:val="16"/>
              </w:rPr>
            </w:pPr>
          </w:p>
        </w:tc>
      </w:tr>
      <w:tr w:rsidR="00956611" w:rsidRPr="00FA2E2E" w14:paraId="009DD9C6" w14:textId="77777777" w:rsidTr="002E6038">
        <w:tc>
          <w:tcPr>
            <w:tcW w:w="4743" w:type="dxa"/>
          </w:tcPr>
          <w:p w14:paraId="70F07E07" w14:textId="77777777" w:rsidR="00956611" w:rsidRPr="00FA2E2E" w:rsidRDefault="00956611" w:rsidP="00B50B26">
            <w:pPr>
              <w:rPr>
                <w:sz w:val="16"/>
                <w:szCs w:val="16"/>
              </w:rPr>
            </w:pPr>
            <w:proofErr w:type="gramStart"/>
            <w:r w:rsidRPr="00FA2E2E">
              <w:rPr>
                <w:sz w:val="16"/>
                <w:szCs w:val="16"/>
              </w:rPr>
              <w:t>to</w:t>
            </w:r>
            <w:proofErr w:type="gramEnd"/>
            <w:r w:rsidRPr="00FA2E2E">
              <w:rPr>
                <w:sz w:val="16"/>
                <w:szCs w:val="16"/>
              </w:rPr>
              <w:t xml:space="preserve"> </w:t>
            </w:r>
            <w:proofErr w:type="spellStart"/>
            <w:r w:rsidRPr="00FA2E2E">
              <w:rPr>
                <w:sz w:val="16"/>
                <w:szCs w:val="16"/>
              </w:rPr>
              <w:t>methylmercury</w:t>
            </w:r>
            <w:proofErr w:type="spellEnd"/>
            <w:r w:rsidRPr="00FA2E2E">
              <w:rPr>
                <w:sz w:val="16"/>
                <w:szCs w:val="16"/>
              </w:rPr>
              <w:t> :</w:t>
            </w:r>
          </w:p>
        </w:tc>
        <w:tc>
          <w:tcPr>
            <w:tcW w:w="4891" w:type="dxa"/>
          </w:tcPr>
          <w:p w14:paraId="551FCBDA" w14:textId="77777777" w:rsidR="00956611" w:rsidRPr="00FA2E2E" w:rsidRDefault="00956611" w:rsidP="00B50B26">
            <w:pPr>
              <w:rPr>
                <w:sz w:val="16"/>
                <w:szCs w:val="16"/>
              </w:rPr>
            </w:pPr>
            <w:proofErr w:type="gramStart"/>
            <w:r w:rsidRPr="00FA2E2E">
              <w:rPr>
                <w:sz w:val="16"/>
                <w:szCs w:val="16"/>
              </w:rPr>
              <w:t>en</w:t>
            </w:r>
            <w:proofErr w:type="gramEnd"/>
            <w:r w:rsidRPr="00FA2E2E">
              <w:rPr>
                <w:sz w:val="16"/>
                <w:szCs w:val="16"/>
              </w:rPr>
              <w:t xml:space="preserve"> </w:t>
            </w:r>
            <w:proofErr w:type="spellStart"/>
            <w:r w:rsidRPr="00FA2E2E">
              <w:rPr>
                <w:sz w:val="16"/>
                <w:szCs w:val="16"/>
              </w:rPr>
              <w:t>méthylmercure</w:t>
            </w:r>
            <w:proofErr w:type="spellEnd"/>
          </w:p>
          <w:p w14:paraId="3FDC4708" w14:textId="77777777" w:rsidR="00956611" w:rsidRPr="00FA2E2E" w:rsidRDefault="00956611" w:rsidP="00B50B26">
            <w:pPr>
              <w:rPr>
                <w:sz w:val="16"/>
                <w:szCs w:val="16"/>
              </w:rPr>
            </w:pPr>
          </w:p>
        </w:tc>
      </w:tr>
      <w:tr w:rsidR="00956611" w:rsidRPr="00FA2E2E" w14:paraId="170DCDCF" w14:textId="77777777" w:rsidTr="002E6038">
        <w:tc>
          <w:tcPr>
            <w:tcW w:w="4743" w:type="dxa"/>
          </w:tcPr>
          <w:p w14:paraId="42B82891" w14:textId="77777777" w:rsidR="00956611" w:rsidRPr="00FA2E2E" w:rsidRDefault="00956611" w:rsidP="00B50B26">
            <w:pPr>
              <w:rPr>
                <w:sz w:val="16"/>
                <w:szCs w:val="16"/>
              </w:rPr>
            </w:pPr>
            <w:proofErr w:type="spellStart"/>
            <w:r w:rsidRPr="00FA2E2E">
              <w:rPr>
                <w:sz w:val="16"/>
                <w:szCs w:val="16"/>
              </w:rPr>
              <w:t>Methylmercury</w:t>
            </w:r>
            <w:proofErr w:type="spellEnd"/>
            <w:r w:rsidRPr="00FA2E2E">
              <w:rPr>
                <w:sz w:val="16"/>
                <w:szCs w:val="16"/>
              </w:rPr>
              <w:t> :</w:t>
            </w:r>
          </w:p>
        </w:tc>
        <w:tc>
          <w:tcPr>
            <w:tcW w:w="4891" w:type="dxa"/>
          </w:tcPr>
          <w:p w14:paraId="2DF91FE4" w14:textId="77777777" w:rsidR="00956611" w:rsidRPr="00FA2E2E" w:rsidRDefault="00956611" w:rsidP="00B50B26">
            <w:pPr>
              <w:rPr>
                <w:sz w:val="16"/>
                <w:szCs w:val="16"/>
              </w:rPr>
            </w:pPr>
            <w:proofErr w:type="spellStart"/>
            <w:r w:rsidRPr="00FA2E2E">
              <w:rPr>
                <w:sz w:val="16"/>
                <w:szCs w:val="16"/>
              </w:rPr>
              <w:t>Méthylmercure</w:t>
            </w:r>
            <w:proofErr w:type="spellEnd"/>
          </w:p>
          <w:p w14:paraId="49492B45" w14:textId="77777777" w:rsidR="00956611" w:rsidRPr="00FA2E2E" w:rsidRDefault="00956611" w:rsidP="00B50B26">
            <w:pPr>
              <w:rPr>
                <w:sz w:val="16"/>
                <w:szCs w:val="16"/>
              </w:rPr>
            </w:pPr>
          </w:p>
        </w:tc>
      </w:tr>
      <w:tr w:rsidR="00956611" w:rsidRPr="00FA2E2E" w14:paraId="78A9D4C5" w14:textId="77777777" w:rsidTr="002E6038">
        <w:tc>
          <w:tcPr>
            <w:tcW w:w="4743" w:type="dxa"/>
          </w:tcPr>
          <w:p w14:paraId="079D4C94" w14:textId="77777777" w:rsidR="00956611" w:rsidRPr="00B50B26" w:rsidRDefault="00956611" w:rsidP="00B50B26">
            <w:pPr>
              <w:rPr>
                <w:sz w:val="16"/>
                <w:szCs w:val="16"/>
                <w:lang w:val="en-US"/>
              </w:rPr>
            </w:pPr>
            <w:r w:rsidRPr="00B50B26">
              <w:rPr>
                <w:sz w:val="16"/>
                <w:szCs w:val="16"/>
                <w:lang w:val="en-US"/>
              </w:rPr>
              <w:t xml:space="preserve">Causes majority of harmful mercury </w:t>
            </w:r>
            <w:proofErr w:type="gramStart"/>
            <w:r w:rsidRPr="00B50B26">
              <w:rPr>
                <w:sz w:val="16"/>
                <w:szCs w:val="16"/>
                <w:lang w:val="en-US"/>
              </w:rPr>
              <w:t>exposures :</w:t>
            </w:r>
            <w:proofErr w:type="gramEnd"/>
          </w:p>
        </w:tc>
        <w:tc>
          <w:tcPr>
            <w:tcW w:w="4891" w:type="dxa"/>
          </w:tcPr>
          <w:p w14:paraId="388F7D18" w14:textId="77777777" w:rsidR="00956611" w:rsidRPr="00FA2E2E" w:rsidRDefault="00956611" w:rsidP="00B50B26">
            <w:pPr>
              <w:rPr>
                <w:sz w:val="16"/>
                <w:szCs w:val="16"/>
              </w:rPr>
            </w:pPr>
            <w:r w:rsidRPr="00FA2E2E">
              <w:rPr>
                <w:sz w:val="16"/>
                <w:szCs w:val="16"/>
              </w:rPr>
              <w:t>Est à l’origine de la majorité des expositions nocives au mercure</w:t>
            </w:r>
          </w:p>
          <w:p w14:paraId="73BEC573" w14:textId="77777777" w:rsidR="00956611" w:rsidRPr="00FA2E2E" w:rsidRDefault="00956611" w:rsidP="00B50B26">
            <w:pPr>
              <w:rPr>
                <w:sz w:val="16"/>
                <w:szCs w:val="16"/>
              </w:rPr>
            </w:pPr>
          </w:p>
        </w:tc>
      </w:tr>
      <w:tr w:rsidR="00956611" w:rsidRPr="00FA2E2E" w14:paraId="3C37DD16" w14:textId="77777777" w:rsidTr="002E6038">
        <w:tc>
          <w:tcPr>
            <w:tcW w:w="4743" w:type="dxa"/>
          </w:tcPr>
          <w:p w14:paraId="26547D7B" w14:textId="77777777" w:rsidR="00956611" w:rsidRPr="00B50B26" w:rsidRDefault="00956611" w:rsidP="00B50B26">
            <w:pPr>
              <w:rPr>
                <w:sz w:val="16"/>
                <w:szCs w:val="16"/>
                <w:lang w:val="en-US"/>
              </w:rPr>
            </w:pPr>
            <w:r w:rsidRPr="00B50B26">
              <w:rPr>
                <w:sz w:val="16"/>
                <w:szCs w:val="16"/>
                <w:lang w:val="en-US"/>
              </w:rPr>
              <w:t xml:space="preserve">Easily absorbed by the </w:t>
            </w:r>
            <w:proofErr w:type="gramStart"/>
            <w:r w:rsidRPr="00B50B26">
              <w:rPr>
                <w:sz w:val="16"/>
                <w:szCs w:val="16"/>
                <w:lang w:val="en-US"/>
              </w:rPr>
              <w:t>gut :</w:t>
            </w:r>
            <w:proofErr w:type="gramEnd"/>
          </w:p>
        </w:tc>
        <w:tc>
          <w:tcPr>
            <w:tcW w:w="4891" w:type="dxa"/>
          </w:tcPr>
          <w:p w14:paraId="125EB187" w14:textId="77777777" w:rsidR="00956611" w:rsidRPr="00FA2E2E" w:rsidRDefault="00956611" w:rsidP="00B50B26">
            <w:pPr>
              <w:rPr>
                <w:sz w:val="16"/>
                <w:szCs w:val="16"/>
              </w:rPr>
            </w:pPr>
            <w:r w:rsidRPr="00FA2E2E">
              <w:rPr>
                <w:sz w:val="16"/>
                <w:szCs w:val="16"/>
              </w:rPr>
              <w:t>Facilement absorbé par les intestins</w:t>
            </w:r>
          </w:p>
          <w:p w14:paraId="55CD335A" w14:textId="77777777" w:rsidR="00956611" w:rsidRPr="00FA2E2E" w:rsidRDefault="00956611" w:rsidP="00B50B26">
            <w:pPr>
              <w:rPr>
                <w:sz w:val="16"/>
                <w:szCs w:val="16"/>
              </w:rPr>
            </w:pPr>
          </w:p>
        </w:tc>
      </w:tr>
      <w:tr w:rsidR="00956611" w:rsidRPr="00FA2E2E" w14:paraId="69ED3E54" w14:textId="77777777" w:rsidTr="002E6038">
        <w:tc>
          <w:tcPr>
            <w:tcW w:w="4743" w:type="dxa"/>
          </w:tcPr>
          <w:p w14:paraId="46296338" w14:textId="77777777" w:rsidR="00956611" w:rsidRPr="00B50B26" w:rsidRDefault="00956611" w:rsidP="00B50B26">
            <w:pPr>
              <w:rPr>
                <w:sz w:val="16"/>
                <w:szCs w:val="16"/>
                <w:lang w:val="en-US"/>
              </w:rPr>
            </w:pPr>
            <w:r w:rsidRPr="00B50B26">
              <w:rPr>
                <w:sz w:val="16"/>
                <w:szCs w:val="16"/>
                <w:lang w:val="en-US"/>
              </w:rPr>
              <w:t xml:space="preserve">Binds strongly to proteins in fat, nerves and </w:t>
            </w:r>
            <w:proofErr w:type="gramStart"/>
            <w:r w:rsidRPr="00B50B26">
              <w:rPr>
                <w:sz w:val="16"/>
                <w:szCs w:val="16"/>
                <w:lang w:val="en-US"/>
              </w:rPr>
              <w:t>brain :</w:t>
            </w:r>
            <w:proofErr w:type="gramEnd"/>
          </w:p>
        </w:tc>
        <w:tc>
          <w:tcPr>
            <w:tcW w:w="4891" w:type="dxa"/>
          </w:tcPr>
          <w:p w14:paraId="3CD02719" w14:textId="77777777" w:rsidR="00956611" w:rsidRPr="00FA2E2E" w:rsidRDefault="00956611" w:rsidP="00B50B26">
            <w:pPr>
              <w:rPr>
                <w:sz w:val="16"/>
                <w:szCs w:val="16"/>
              </w:rPr>
            </w:pPr>
            <w:r w:rsidRPr="00FA2E2E">
              <w:rPr>
                <w:sz w:val="16"/>
                <w:szCs w:val="16"/>
              </w:rPr>
              <w:t>Se lie fortement aux protéines dans les tissus adipeux, les nerfs et le cerveau</w:t>
            </w:r>
          </w:p>
          <w:p w14:paraId="1878B610" w14:textId="77777777" w:rsidR="00956611" w:rsidRPr="00FA2E2E" w:rsidRDefault="00956611" w:rsidP="00B50B26">
            <w:pPr>
              <w:rPr>
                <w:sz w:val="16"/>
                <w:szCs w:val="16"/>
              </w:rPr>
            </w:pPr>
          </w:p>
        </w:tc>
      </w:tr>
      <w:tr w:rsidR="00956611" w:rsidRPr="00FA2E2E" w14:paraId="798C4CCB" w14:textId="77777777" w:rsidTr="002E6038">
        <w:tc>
          <w:tcPr>
            <w:tcW w:w="4743" w:type="dxa"/>
          </w:tcPr>
          <w:p w14:paraId="4D7D1766" w14:textId="77777777" w:rsidR="00956611" w:rsidRPr="00B50B26" w:rsidRDefault="00956611" w:rsidP="00B50B26">
            <w:pPr>
              <w:rPr>
                <w:sz w:val="16"/>
                <w:szCs w:val="16"/>
                <w:lang w:val="en-US"/>
              </w:rPr>
            </w:pPr>
            <w:r w:rsidRPr="00B50B26">
              <w:rPr>
                <w:sz w:val="16"/>
                <w:szCs w:val="16"/>
                <w:lang w:val="en-US"/>
              </w:rPr>
              <w:t xml:space="preserve">Too much can build up and cause neurological </w:t>
            </w:r>
            <w:proofErr w:type="gramStart"/>
            <w:r w:rsidRPr="00B50B26">
              <w:rPr>
                <w:sz w:val="16"/>
                <w:szCs w:val="16"/>
                <w:lang w:val="en-US"/>
              </w:rPr>
              <w:t>damage :</w:t>
            </w:r>
            <w:proofErr w:type="gramEnd"/>
          </w:p>
        </w:tc>
        <w:tc>
          <w:tcPr>
            <w:tcW w:w="4891" w:type="dxa"/>
          </w:tcPr>
          <w:p w14:paraId="52F779B2" w14:textId="77777777" w:rsidR="00956611" w:rsidRPr="00FA2E2E" w:rsidRDefault="00956611" w:rsidP="00B50B26">
            <w:pPr>
              <w:rPr>
                <w:sz w:val="16"/>
                <w:szCs w:val="16"/>
              </w:rPr>
            </w:pPr>
            <w:r w:rsidRPr="00FA2E2E">
              <w:rPr>
                <w:sz w:val="16"/>
                <w:szCs w:val="16"/>
              </w:rPr>
              <w:t>Une quantité trop importante peut s’accumuler et causer des dommages neurologiques</w:t>
            </w:r>
          </w:p>
          <w:p w14:paraId="7B04931A" w14:textId="77777777" w:rsidR="00956611" w:rsidRPr="00FA2E2E" w:rsidRDefault="00956611" w:rsidP="00B50B26">
            <w:pPr>
              <w:rPr>
                <w:sz w:val="16"/>
                <w:szCs w:val="16"/>
              </w:rPr>
            </w:pPr>
          </w:p>
        </w:tc>
      </w:tr>
      <w:tr w:rsidR="00956611" w:rsidRPr="00FA2E2E" w14:paraId="454A150D" w14:textId="77777777" w:rsidTr="002E6038">
        <w:tc>
          <w:tcPr>
            <w:tcW w:w="4743" w:type="dxa"/>
          </w:tcPr>
          <w:p w14:paraId="166B0DCC" w14:textId="77777777" w:rsidR="00956611" w:rsidRPr="00B50B26" w:rsidRDefault="00956611" w:rsidP="00681431">
            <w:pPr>
              <w:spacing w:line="276" w:lineRule="auto"/>
              <w:rPr>
                <w:sz w:val="16"/>
                <w:szCs w:val="16"/>
                <w:lang w:val="en-US"/>
              </w:rPr>
            </w:pPr>
            <w:r w:rsidRPr="00B50B26">
              <w:rPr>
                <w:sz w:val="16"/>
                <w:szCs w:val="16"/>
                <w:lang w:val="en-US"/>
              </w:rPr>
              <w:t xml:space="preserve">For more information on mercury, read the Science For Environment Policy In-Depth Report, Tackling mercury pollution in the EU and </w:t>
            </w:r>
            <w:proofErr w:type="gramStart"/>
            <w:r w:rsidRPr="00B50B26">
              <w:rPr>
                <w:sz w:val="16"/>
                <w:szCs w:val="16"/>
                <w:lang w:val="en-US"/>
              </w:rPr>
              <w:t>worldwide :</w:t>
            </w:r>
            <w:proofErr w:type="gramEnd"/>
          </w:p>
        </w:tc>
        <w:tc>
          <w:tcPr>
            <w:tcW w:w="4891" w:type="dxa"/>
          </w:tcPr>
          <w:p w14:paraId="23FCFCF0" w14:textId="77777777" w:rsidR="00956611" w:rsidRPr="00FA2E2E" w:rsidRDefault="00956611" w:rsidP="00681431">
            <w:pPr>
              <w:spacing w:line="276" w:lineRule="auto"/>
              <w:rPr>
                <w:sz w:val="16"/>
                <w:szCs w:val="16"/>
              </w:rPr>
            </w:pPr>
            <w:r w:rsidRPr="00FA2E2E">
              <w:rPr>
                <w:sz w:val="16"/>
                <w:szCs w:val="16"/>
              </w:rPr>
              <w:t xml:space="preserve">Pour de plus amples informations sur le mercure, veuillez consulter le Science For </w:t>
            </w:r>
            <w:proofErr w:type="spellStart"/>
            <w:r w:rsidRPr="00FA2E2E">
              <w:rPr>
                <w:sz w:val="16"/>
                <w:szCs w:val="16"/>
              </w:rPr>
              <w:t>Environment</w:t>
            </w:r>
            <w:proofErr w:type="spellEnd"/>
            <w:r w:rsidRPr="00FA2E2E">
              <w:rPr>
                <w:sz w:val="16"/>
                <w:szCs w:val="16"/>
              </w:rPr>
              <w:t xml:space="preserve"> Policy In-</w:t>
            </w:r>
            <w:proofErr w:type="spellStart"/>
            <w:r w:rsidRPr="00FA2E2E">
              <w:rPr>
                <w:sz w:val="16"/>
                <w:szCs w:val="16"/>
              </w:rPr>
              <w:t>Depth</w:t>
            </w:r>
            <w:proofErr w:type="spellEnd"/>
            <w:r w:rsidRPr="00FA2E2E">
              <w:rPr>
                <w:sz w:val="16"/>
                <w:szCs w:val="16"/>
              </w:rPr>
              <w:t xml:space="preserve"> Report, </w:t>
            </w:r>
            <w:proofErr w:type="spellStart"/>
            <w:r w:rsidRPr="00FA2E2E">
              <w:rPr>
                <w:sz w:val="16"/>
                <w:szCs w:val="16"/>
              </w:rPr>
              <w:t>Tackling</w:t>
            </w:r>
            <w:proofErr w:type="spellEnd"/>
            <w:r w:rsidRPr="00FA2E2E">
              <w:rPr>
                <w:sz w:val="16"/>
                <w:szCs w:val="16"/>
              </w:rPr>
              <w:t xml:space="preserve"> </w:t>
            </w:r>
            <w:proofErr w:type="spellStart"/>
            <w:r w:rsidRPr="00FA2E2E">
              <w:rPr>
                <w:sz w:val="16"/>
                <w:szCs w:val="16"/>
              </w:rPr>
              <w:t>mercury</w:t>
            </w:r>
            <w:proofErr w:type="spellEnd"/>
            <w:r w:rsidRPr="00FA2E2E">
              <w:rPr>
                <w:sz w:val="16"/>
                <w:szCs w:val="16"/>
              </w:rPr>
              <w:t xml:space="preserve"> pollution in the EU and </w:t>
            </w:r>
            <w:proofErr w:type="spellStart"/>
            <w:r w:rsidRPr="00FA2E2E">
              <w:rPr>
                <w:sz w:val="16"/>
                <w:szCs w:val="16"/>
              </w:rPr>
              <w:t>worldwide</w:t>
            </w:r>
            <w:proofErr w:type="spellEnd"/>
            <w:r w:rsidRPr="00FA2E2E">
              <w:rPr>
                <w:sz w:val="16"/>
                <w:szCs w:val="16"/>
              </w:rPr>
              <w:t xml:space="preserve"> (Rapport détaillé de Science For </w:t>
            </w:r>
            <w:proofErr w:type="spellStart"/>
            <w:r w:rsidRPr="00FA2E2E">
              <w:rPr>
                <w:sz w:val="16"/>
                <w:szCs w:val="16"/>
              </w:rPr>
              <w:t>Environment</w:t>
            </w:r>
            <w:proofErr w:type="spellEnd"/>
            <w:r w:rsidRPr="00FA2E2E">
              <w:rPr>
                <w:sz w:val="16"/>
                <w:szCs w:val="16"/>
              </w:rPr>
              <w:t xml:space="preserve"> Policy, « Lutter contre la pollution au mercure dans l’UE et le monde entier »)</w:t>
            </w:r>
          </w:p>
          <w:p w14:paraId="3B805503" w14:textId="77777777" w:rsidR="00956611" w:rsidRPr="00FA2E2E" w:rsidRDefault="00956611" w:rsidP="00681431">
            <w:pPr>
              <w:spacing w:line="276" w:lineRule="auto"/>
              <w:rPr>
                <w:sz w:val="16"/>
                <w:szCs w:val="16"/>
              </w:rPr>
            </w:pPr>
          </w:p>
        </w:tc>
      </w:tr>
    </w:tbl>
    <w:p w14:paraId="46168012" w14:textId="77777777" w:rsidR="00956611" w:rsidRPr="00FA2E2E" w:rsidRDefault="00956611" w:rsidP="00956611"/>
    <w:p w14:paraId="71CA5B81" w14:textId="38A2F137" w:rsidR="00D31AFF" w:rsidRPr="008D2CC5" w:rsidRDefault="00D31AFF" w:rsidP="00F93F76">
      <w:pPr>
        <w:pStyle w:val="CH3"/>
        <w:rPr>
          <w:lang w:val="fr-FR"/>
        </w:rPr>
      </w:pPr>
      <w:r w:rsidRPr="008D2CC5">
        <w:rPr>
          <w:lang w:val="fr-FR"/>
        </w:rPr>
        <w:tab/>
      </w:r>
      <w:r w:rsidR="00A5364D" w:rsidRPr="008D2CC5">
        <w:rPr>
          <w:lang w:val="fr-FR"/>
        </w:rPr>
        <w:t>3</w:t>
      </w:r>
      <w:r w:rsidR="00152CD3" w:rsidRPr="008D2CC5">
        <w:rPr>
          <w:lang w:val="fr-FR"/>
        </w:rPr>
        <w:t>.</w:t>
      </w:r>
      <w:r w:rsidRPr="008D2CC5">
        <w:rPr>
          <w:lang w:val="fr-FR"/>
        </w:rPr>
        <w:tab/>
      </w:r>
      <w:bookmarkStart w:id="5" w:name="_Toc15920537"/>
      <w:r w:rsidR="006828AE" w:rsidRPr="008D2CC5">
        <w:rPr>
          <w:lang w:val="fr-FR"/>
        </w:rPr>
        <w:t>Utilisation du mercure au niveau mondial</w:t>
      </w:r>
      <w:bookmarkEnd w:id="5"/>
    </w:p>
    <w:p w14:paraId="7B2551C8" w14:textId="6888FEBF" w:rsidR="00D31AFF" w:rsidRPr="008D2CC5" w:rsidRDefault="00D436F6" w:rsidP="008E43CD">
      <w:pPr>
        <w:pStyle w:val="Normalnumber"/>
        <w:numPr>
          <w:ilvl w:val="0"/>
          <w:numId w:val="5"/>
        </w:numPr>
        <w:rPr>
          <w:lang w:val="fr-FR"/>
        </w:rPr>
      </w:pPr>
      <w:r w:rsidRPr="008D2CC5">
        <w:rPr>
          <w:lang w:val="fr-FR"/>
        </w:rPr>
        <w:t>Le mercure est un métal dont les propriétés uniques ont conduit à une série d</w:t>
      </w:r>
      <w:r w:rsidR="000409D6" w:rsidRPr="008D2CC5">
        <w:rPr>
          <w:lang w:val="fr-FR"/>
        </w:rPr>
        <w:t>’</w:t>
      </w:r>
      <w:r w:rsidRPr="008D2CC5">
        <w:rPr>
          <w:lang w:val="fr-FR"/>
        </w:rPr>
        <w:t>utilisations</w:t>
      </w:r>
      <w:r w:rsidR="00D31AFF" w:rsidRPr="008D2CC5">
        <w:rPr>
          <w:lang w:val="fr-FR"/>
        </w:rPr>
        <w:t>.</w:t>
      </w:r>
      <w:r w:rsidRPr="008D2CC5">
        <w:rPr>
          <w:lang w:val="fr-FR"/>
        </w:rPr>
        <w:t xml:space="preserve"> Liquide à température ambiante, il a été utilisé dans les</w:t>
      </w:r>
      <w:r w:rsidR="00D31AFF" w:rsidRPr="008D2CC5">
        <w:rPr>
          <w:lang w:val="fr-FR"/>
        </w:rPr>
        <w:t xml:space="preserve"> </w:t>
      </w:r>
      <w:r w:rsidRPr="008D2CC5">
        <w:rPr>
          <w:lang w:val="fr-FR"/>
        </w:rPr>
        <w:t>commutateurs et les relais ainsi que dans les</w:t>
      </w:r>
      <w:r w:rsidR="00380F44" w:rsidRPr="008D2CC5">
        <w:rPr>
          <w:lang w:val="fr-FR"/>
        </w:rPr>
        <w:t> </w:t>
      </w:r>
      <w:r w:rsidRPr="008D2CC5">
        <w:rPr>
          <w:lang w:val="fr-FR"/>
        </w:rPr>
        <w:t>appareils de mesure</w:t>
      </w:r>
      <w:r w:rsidR="00D31AFF" w:rsidRPr="008D2CC5">
        <w:rPr>
          <w:lang w:val="fr-FR"/>
        </w:rPr>
        <w:t>,</w:t>
      </w:r>
      <w:r w:rsidRPr="008D2CC5">
        <w:rPr>
          <w:lang w:val="fr-FR"/>
        </w:rPr>
        <w:t xml:space="preserve"> permettant de déterminer avec précision les changements de température</w:t>
      </w:r>
      <w:r w:rsidR="00D31AFF" w:rsidRPr="008D2CC5">
        <w:rPr>
          <w:lang w:val="fr-FR"/>
        </w:rPr>
        <w:t>.</w:t>
      </w:r>
      <w:r w:rsidRPr="008D2CC5">
        <w:rPr>
          <w:lang w:val="fr-FR"/>
        </w:rPr>
        <w:t xml:space="preserve"> Il</w:t>
      </w:r>
      <w:r w:rsidR="00380F44" w:rsidRPr="008D2CC5">
        <w:rPr>
          <w:lang w:val="fr-FR"/>
        </w:rPr>
        <w:t> </w:t>
      </w:r>
      <w:r w:rsidRPr="008D2CC5">
        <w:rPr>
          <w:lang w:val="fr-FR"/>
        </w:rPr>
        <w:t>a</w:t>
      </w:r>
      <w:r w:rsidR="00380F44" w:rsidRPr="008D2CC5">
        <w:rPr>
          <w:lang w:val="fr-FR"/>
        </w:rPr>
        <w:t> </w:t>
      </w:r>
      <w:r w:rsidRPr="008D2CC5">
        <w:rPr>
          <w:lang w:val="fr-FR"/>
        </w:rPr>
        <w:t>été utilisé dans un certain nombre de procédés industriels</w:t>
      </w:r>
      <w:r w:rsidR="00D31AFF" w:rsidRPr="008D2CC5">
        <w:rPr>
          <w:lang w:val="fr-FR"/>
        </w:rPr>
        <w:t>.</w:t>
      </w:r>
      <w:r w:rsidRPr="008D2CC5">
        <w:rPr>
          <w:lang w:val="fr-FR"/>
        </w:rPr>
        <w:t xml:space="preserve"> La capacité du mercure à </w:t>
      </w:r>
      <w:r w:rsidR="00CC227D" w:rsidRPr="008D2CC5">
        <w:rPr>
          <w:lang w:val="fr-FR"/>
        </w:rPr>
        <w:t>s</w:t>
      </w:r>
      <w:r w:rsidR="000409D6" w:rsidRPr="008D2CC5">
        <w:rPr>
          <w:lang w:val="fr-FR"/>
        </w:rPr>
        <w:t>’</w:t>
      </w:r>
      <w:r w:rsidRPr="008D2CC5">
        <w:rPr>
          <w:lang w:val="fr-FR"/>
        </w:rPr>
        <w:t>amalgame</w:t>
      </w:r>
      <w:r w:rsidR="00CC227D" w:rsidRPr="008D2CC5">
        <w:rPr>
          <w:lang w:val="fr-FR"/>
        </w:rPr>
        <w:t>r</w:t>
      </w:r>
      <w:r w:rsidRPr="008D2CC5">
        <w:rPr>
          <w:lang w:val="fr-FR"/>
        </w:rPr>
        <w:t xml:space="preserve"> </w:t>
      </w:r>
      <w:r w:rsidRPr="008D2CC5">
        <w:rPr>
          <w:lang w:val="fr-FR"/>
        </w:rPr>
        <w:lastRenderedPageBreak/>
        <w:t>avec d</w:t>
      </w:r>
      <w:r w:rsidR="000409D6" w:rsidRPr="008D2CC5">
        <w:rPr>
          <w:lang w:val="fr-FR"/>
        </w:rPr>
        <w:t>’</w:t>
      </w:r>
      <w:r w:rsidRPr="008D2CC5">
        <w:rPr>
          <w:lang w:val="fr-FR"/>
        </w:rPr>
        <w:t>autres métaux a conduit à son utilisation dans des procédés et des produits tels que l</w:t>
      </w:r>
      <w:r w:rsidR="000409D6" w:rsidRPr="008D2CC5">
        <w:rPr>
          <w:lang w:val="fr-FR"/>
        </w:rPr>
        <w:t>’</w:t>
      </w:r>
      <w:r w:rsidRPr="008D2CC5">
        <w:rPr>
          <w:lang w:val="fr-FR"/>
        </w:rPr>
        <w:t>extraction minière artisanale et à petite échelle d</w:t>
      </w:r>
      <w:r w:rsidR="000409D6" w:rsidRPr="008D2CC5">
        <w:rPr>
          <w:lang w:val="fr-FR"/>
        </w:rPr>
        <w:t>’</w:t>
      </w:r>
      <w:r w:rsidRPr="008D2CC5">
        <w:rPr>
          <w:lang w:val="fr-FR"/>
        </w:rPr>
        <w:t>or et la dentisterie</w:t>
      </w:r>
      <w:r w:rsidR="00D31AFF" w:rsidRPr="008D2CC5">
        <w:rPr>
          <w:lang w:val="fr-FR"/>
        </w:rPr>
        <w:t xml:space="preserve">. </w:t>
      </w:r>
    </w:p>
    <w:p w14:paraId="03A59DD9" w14:textId="408979BC" w:rsidR="00D31AFF" w:rsidRPr="008D2CC5" w:rsidRDefault="00FB1B51" w:rsidP="008E43CD">
      <w:pPr>
        <w:pStyle w:val="Normalnumber"/>
        <w:numPr>
          <w:ilvl w:val="0"/>
          <w:numId w:val="5"/>
        </w:numPr>
        <w:rPr>
          <w:lang w:val="fr-FR"/>
        </w:rPr>
      </w:pPr>
      <w:r w:rsidRPr="008D2CC5">
        <w:rPr>
          <w:lang w:val="fr-FR"/>
        </w:rPr>
        <w:t>Un large éventail de produits contenant du mercure ajouté</w:t>
      </w:r>
      <w:r w:rsidR="00C31006" w:rsidRPr="008D2CC5">
        <w:rPr>
          <w:lang w:val="fr-FR"/>
        </w:rPr>
        <w:t xml:space="preserve"> sont encore produits au niveau mondial, notamment des</w:t>
      </w:r>
      <w:r w:rsidR="00D31AFF" w:rsidRPr="008D2CC5">
        <w:rPr>
          <w:lang w:val="fr-FR"/>
        </w:rPr>
        <w:t xml:space="preserve"> </w:t>
      </w:r>
      <w:r w:rsidR="00C31006" w:rsidRPr="008D2CC5">
        <w:rPr>
          <w:lang w:val="fr-FR"/>
        </w:rPr>
        <w:t xml:space="preserve">piles, des lampes, des appareils de mesure </w:t>
      </w:r>
      <w:r w:rsidR="00D31AFF" w:rsidRPr="008D2CC5">
        <w:rPr>
          <w:lang w:val="fr-FR"/>
        </w:rPr>
        <w:t>(</w:t>
      </w:r>
      <w:r w:rsidR="00C31006" w:rsidRPr="008D2CC5">
        <w:rPr>
          <w:lang w:val="fr-FR"/>
        </w:rPr>
        <w:t>par ex</w:t>
      </w:r>
      <w:r w:rsidR="003A6A35">
        <w:rPr>
          <w:lang w:val="fr-FR"/>
        </w:rPr>
        <w:t>.</w:t>
      </w:r>
      <w:r w:rsidR="00C31006" w:rsidRPr="008D2CC5">
        <w:rPr>
          <w:lang w:val="fr-FR"/>
        </w:rPr>
        <w:t>, thermomètres</w:t>
      </w:r>
      <w:r w:rsidR="00D31AFF" w:rsidRPr="008D2CC5">
        <w:rPr>
          <w:lang w:val="fr-FR"/>
        </w:rPr>
        <w:t xml:space="preserve">), </w:t>
      </w:r>
      <w:r w:rsidR="00C31006" w:rsidRPr="008D2CC5">
        <w:rPr>
          <w:lang w:val="fr-FR"/>
        </w:rPr>
        <w:t>des</w:t>
      </w:r>
      <w:r w:rsidR="00380F44" w:rsidRPr="008D2CC5">
        <w:rPr>
          <w:lang w:val="fr-FR"/>
        </w:rPr>
        <w:t> </w:t>
      </w:r>
      <w:r w:rsidR="00C31006" w:rsidRPr="008D2CC5">
        <w:rPr>
          <w:lang w:val="fr-FR"/>
        </w:rPr>
        <w:t>cosmétiques et des</w:t>
      </w:r>
      <w:r w:rsidR="00D31AFF" w:rsidRPr="008D2CC5">
        <w:rPr>
          <w:lang w:val="fr-FR"/>
        </w:rPr>
        <w:t xml:space="preserve"> pesticides. </w:t>
      </w:r>
      <w:r w:rsidR="00443861" w:rsidRPr="008D2CC5">
        <w:rPr>
          <w:lang w:val="fr-FR"/>
        </w:rPr>
        <w:t>La concentration ou la quantité de mercure dans ces produits est généralement très faible, mais une mauvaise manipulation de grandes quantités de ces matériaux sous</w:t>
      </w:r>
      <w:r w:rsidR="00380F44" w:rsidRPr="008D2CC5">
        <w:rPr>
          <w:lang w:val="fr-FR"/>
        </w:rPr>
        <w:t> </w:t>
      </w:r>
      <w:r w:rsidR="00443861" w:rsidRPr="008D2CC5">
        <w:rPr>
          <w:lang w:val="fr-FR"/>
        </w:rPr>
        <w:t>forme de produits ou de déchets peut entraîner des rejets dans l</w:t>
      </w:r>
      <w:r w:rsidR="000409D6" w:rsidRPr="008D2CC5">
        <w:rPr>
          <w:lang w:val="fr-FR"/>
        </w:rPr>
        <w:t>’</w:t>
      </w:r>
      <w:r w:rsidR="00443861" w:rsidRPr="008D2CC5">
        <w:rPr>
          <w:lang w:val="fr-FR"/>
        </w:rPr>
        <w:t>environnement</w:t>
      </w:r>
      <w:r w:rsidR="00D31AFF" w:rsidRPr="008D2CC5">
        <w:rPr>
          <w:lang w:val="fr-FR"/>
        </w:rPr>
        <w:t xml:space="preserve">. </w:t>
      </w:r>
      <w:r w:rsidR="00443861" w:rsidRPr="008D2CC5">
        <w:rPr>
          <w:lang w:val="fr-FR"/>
        </w:rPr>
        <w:t>Les amalgames au mercure sont encore largement utilisés dans la dentisterie, ce qui peut causer d</w:t>
      </w:r>
      <w:r w:rsidR="000409D6" w:rsidRPr="008D2CC5">
        <w:rPr>
          <w:lang w:val="fr-FR"/>
        </w:rPr>
        <w:t>’</w:t>
      </w:r>
      <w:r w:rsidR="00B557F6" w:rsidRPr="008D2CC5">
        <w:rPr>
          <w:lang w:val="fr-FR"/>
        </w:rPr>
        <w:t>importants</w:t>
      </w:r>
      <w:r w:rsidR="00443861" w:rsidRPr="008D2CC5">
        <w:rPr>
          <w:lang w:val="fr-FR"/>
        </w:rPr>
        <w:t xml:space="preserve"> rejets de mercure dans les eaux usées des cabinets dentaires et dans les effluents gazeux des fours crématoires</w:t>
      </w:r>
      <w:r w:rsidR="00D31AFF" w:rsidRPr="008D2CC5">
        <w:rPr>
          <w:lang w:val="fr-FR"/>
        </w:rPr>
        <w:t xml:space="preserve">. </w:t>
      </w:r>
    </w:p>
    <w:p w14:paraId="03A55039" w14:textId="15B85C13" w:rsidR="00D31AFF" w:rsidRPr="008D2CC5" w:rsidRDefault="00A361E9" w:rsidP="008E43CD">
      <w:pPr>
        <w:pStyle w:val="Normalnumber"/>
        <w:numPr>
          <w:ilvl w:val="0"/>
          <w:numId w:val="5"/>
        </w:numPr>
        <w:rPr>
          <w:lang w:val="fr-FR"/>
        </w:rPr>
      </w:pPr>
      <w:r w:rsidRPr="008D2CC5">
        <w:rPr>
          <w:lang w:val="fr-FR"/>
        </w:rPr>
        <w:t>De même, des procédés industriels faisant appel au mercure comme catalyseur ou élément de circuits électriques sont encore utilisés dans le monde</w:t>
      </w:r>
      <w:r w:rsidR="009A3117" w:rsidRPr="008D2CC5">
        <w:rPr>
          <w:lang w:val="fr-FR"/>
        </w:rPr>
        <w:t xml:space="preserve"> entier</w:t>
      </w:r>
      <w:r w:rsidR="00D31AFF" w:rsidRPr="008D2CC5">
        <w:rPr>
          <w:lang w:val="fr-FR"/>
        </w:rPr>
        <w:t xml:space="preserve">. </w:t>
      </w:r>
      <w:r w:rsidRPr="008D2CC5">
        <w:rPr>
          <w:lang w:val="fr-FR"/>
        </w:rPr>
        <w:t>Ces procédés comprennent la production de chlore-alcali</w:t>
      </w:r>
      <w:r w:rsidR="00D31AFF" w:rsidRPr="008D2CC5">
        <w:rPr>
          <w:lang w:val="fr-FR"/>
        </w:rPr>
        <w:t>,</w:t>
      </w:r>
      <w:r w:rsidR="00C2437C" w:rsidRPr="008D2CC5">
        <w:rPr>
          <w:lang w:val="fr-FR"/>
        </w:rPr>
        <w:t xml:space="preserve"> dans le cadre de laquelle d</w:t>
      </w:r>
      <w:r w:rsidR="000409D6" w:rsidRPr="008D2CC5">
        <w:rPr>
          <w:lang w:val="fr-FR"/>
        </w:rPr>
        <w:t>’</w:t>
      </w:r>
      <w:r w:rsidR="00C2437C" w:rsidRPr="008D2CC5">
        <w:rPr>
          <w:lang w:val="fr-FR"/>
        </w:rPr>
        <w:t>importants volumes de mercure sont parfois utilisés sur les</w:t>
      </w:r>
      <w:r w:rsidR="00380F44" w:rsidRPr="008D2CC5">
        <w:rPr>
          <w:lang w:val="fr-FR"/>
        </w:rPr>
        <w:t> </w:t>
      </w:r>
      <w:r w:rsidR="00C2437C" w:rsidRPr="008D2CC5">
        <w:rPr>
          <w:lang w:val="fr-FR"/>
        </w:rPr>
        <w:t>sites de production</w:t>
      </w:r>
      <w:r w:rsidR="00D31AFF" w:rsidRPr="008D2CC5">
        <w:rPr>
          <w:lang w:val="fr-FR"/>
        </w:rPr>
        <w:t xml:space="preserve">, </w:t>
      </w:r>
      <w:r w:rsidR="00C2437C" w:rsidRPr="008D2CC5">
        <w:rPr>
          <w:lang w:val="fr-FR"/>
        </w:rPr>
        <w:t>conduisant à l</w:t>
      </w:r>
      <w:r w:rsidR="000409D6" w:rsidRPr="008D2CC5">
        <w:rPr>
          <w:lang w:val="fr-FR"/>
        </w:rPr>
        <w:t>’</w:t>
      </w:r>
      <w:r w:rsidR="00C2437C" w:rsidRPr="008D2CC5">
        <w:rPr>
          <w:lang w:val="fr-FR"/>
        </w:rPr>
        <w:t>existence d</w:t>
      </w:r>
      <w:r w:rsidR="000409D6" w:rsidRPr="008D2CC5">
        <w:rPr>
          <w:lang w:val="fr-FR"/>
        </w:rPr>
        <w:t>’</w:t>
      </w:r>
      <w:r w:rsidR="00C2437C" w:rsidRPr="008D2CC5">
        <w:rPr>
          <w:lang w:val="fr-FR"/>
        </w:rPr>
        <w:t>usines qui peuvent être lourdement contaminées au mercure</w:t>
      </w:r>
      <w:r w:rsidR="00D31AFF" w:rsidRPr="008D2CC5">
        <w:rPr>
          <w:lang w:val="fr-FR"/>
        </w:rPr>
        <w:t xml:space="preserve">. </w:t>
      </w:r>
      <w:r w:rsidR="00C2437C" w:rsidRPr="008D2CC5">
        <w:rPr>
          <w:lang w:val="fr-FR"/>
        </w:rPr>
        <w:t>Le mercure a également été utilisé dans la production d</w:t>
      </w:r>
      <w:r w:rsidR="000409D6" w:rsidRPr="008D2CC5">
        <w:rPr>
          <w:lang w:val="fr-FR"/>
        </w:rPr>
        <w:t>’</w:t>
      </w:r>
      <w:r w:rsidR="00C2437C" w:rsidRPr="008D2CC5">
        <w:rPr>
          <w:lang w:val="fr-FR"/>
        </w:rPr>
        <w:t>acétaldéhyde</w:t>
      </w:r>
      <w:r w:rsidR="00D31AFF" w:rsidRPr="008D2CC5">
        <w:rPr>
          <w:lang w:val="fr-FR"/>
        </w:rPr>
        <w:t>.</w:t>
      </w:r>
      <w:r w:rsidR="00C2437C" w:rsidRPr="008D2CC5">
        <w:rPr>
          <w:lang w:val="fr-FR"/>
        </w:rPr>
        <w:t xml:space="preserve"> Parmi les autres procédés </w:t>
      </w:r>
      <w:r w:rsidR="00133D50" w:rsidRPr="008D2CC5">
        <w:rPr>
          <w:lang w:val="fr-FR"/>
        </w:rPr>
        <w:t xml:space="preserve">industriels </w:t>
      </w:r>
      <w:r w:rsidR="00C2437C" w:rsidRPr="008D2CC5">
        <w:rPr>
          <w:lang w:val="fr-FR"/>
        </w:rPr>
        <w:t>pouvant utiliser du mercure figurent la production de</w:t>
      </w:r>
      <w:r w:rsidR="00D31AFF" w:rsidRPr="008D2CC5">
        <w:rPr>
          <w:lang w:val="fr-FR"/>
        </w:rPr>
        <w:t xml:space="preserve"> </w:t>
      </w:r>
      <w:r w:rsidR="00C2437C" w:rsidRPr="008D2CC5">
        <w:rPr>
          <w:lang w:val="fr-FR"/>
        </w:rPr>
        <w:t xml:space="preserve">chlorure de vinyle monomère </w:t>
      </w:r>
      <w:r w:rsidR="00D31AFF" w:rsidRPr="008D2CC5">
        <w:rPr>
          <w:lang w:val="fr-FR"/>
        </w:rPr>
        <w:t>(</w:t>
      </w:r>
      <w:r w:rsidR="00C2437C" w:rsidRPr="008D2CC5">
        <w:rPr>
          <w:lang w:val="fr-FR"/>
        </w:rPr>
        <w:t>pour la fabrication de polychlorure de vinyle</w:t>
      </w:r>
      <w:r w:rsidR="00D31AFF" w:rsidRPr="008D2CC5">
        <w:rPr>
          <w:lang w:val="fr-FR"/>
        </w:rPr>
        <w:t>),</w:t>
      </w:r>
      <w:r w:rsidR="00C2437C" w:rsidRPr="008D2CC5">
        <w:rPr>
          <w:lang w:val="fr-FR"/>
        </w:rPr>
        <w:t xml:space="preserve"> la production</w:t>
      </w:r>
      <w:r w:rsidR="00D31AFF" w:rsidRPr="008D2CC5">
        <w:rPr>
          <w:lang w:val="fr-FR"/>
        </w:rPr>
        <w:t xml:space="preserve"> </w:t>
      </w:r>
      <w:r w:rsidR="00C2437C" w:rsidRPr="008D2CC5">
        <w:rPr>
          <w:lang w:val="fr-FR"/>
        </w:rPr>
        <w:t xml:space="preserve">de </w:t>
      </w:r>
      <w:proofErr w:type="spellStart"/>
      <w:r w:rsidR="00C2437C" w:rsidRPr="008D2CC5">
        <w:rPr>
          <w:lang w:val="fr-FR"/>
        </w:rPr>
        <w:t>méthylate</w:t>
      </w:r>
      <w:proofErr w:type="spellEnd"/>
      <w:r w:rsidR="00C2437C" w:rsidRPr="008D2CC5">
        <w:rPr>
          <w:lang w:val="fr-FR"/>
        </w:rPr>
        <w:t xml:space="preserve"> ou d</w:t>
      </w:r>
      <w:r w:rsidR="000409D6" w:rsidRPr="008D2CC5">
        <w:rPr>
          <w:lang w:val="fr-FR"/>
        </w:rPr>
        <w:t>’</w:t>
      </w:r>
      <w:proofErr w:type="spellStart"/>
      <w:r w:rsidR="00C2437C" w:rsidRPr="008D2CC5">
        <w:rPr>
          <w:lang w:val="fr-FR"/>
        </w:rPr>
        <w:t>éthylate</w:t>
      </w:r>
      <w:proofErr w:type="spellEnd"/>
      <w:r w:rsidR="00C2437C" w:rsidRPr="008D2CC5">
        <w:rPr>
          <w:lang w:val="fr-FR"/>
        </w:rPr>
        <w:t xml:space="preserve"> de sodium ou de potassium et la production de polyuréthane</w:t>
      </w:r>
      <w:r w:rsidR="00D31AFF" w:rsidRPr="008D2CC5">
        <w:rPr>
          <w:lang w:val="fr-FR"/>
        </w:rPr>
        <w:t>.</w:t>
      </w:r>
      <w:r w:rsidR="00C2437C" w:rsidRPr="008D2CC5">
        <w:rPr>
          <w:lang w:val="fr-FR"/>
        </w:rPr>
        <w:t xml:space="preserve"> Chacun de ces procédés de fabrication</w:t>
      </w:r>
      <w:r w:rsidR="00D31AFF" w:rsidRPr="008D2CC5">
        <w:rPr>
          <w:lang w:val="fr-FR"/>
        </w:rPr>
        <w:t xml:space="preserve"> </w:t>
      </w:r>
      <w:r w:rsidR="00131907" w:rsidRPr="008D2CC5">
        <w:rPr>
          <w:lang w:val="fr-FR"/>
        </w:rPr>
        <w:t>peut contaminer le site de production en raison du procédé lui-même, de déversements résultant d</w:t>
      </w:r>
      <w:r w:rsidR="000409D6" w:rsidRPr="008D2CC5">
        <w:rPr>
          <w:lang w:val="fr-FR"/>
        </w:rPr>
        <w:t>’</w:t>
      </w:r>
      <w:r w:rsidR="00131907" w:rsidRPr="008D2CC5">
        <w:rPr>
          <w:lang w:val="fr-FR"/>
        </w:rPr>
        <w:t>une</w:t>
      </w:r>
      <w:r w:rsidR="00380F44" w:rsidRPr="008D2CC5">
        <w:rPr>
          <w:lang w:val="fr-FR"/>
        </w:rPr>
        <w:t> </w:t>
      </w:r>
      <w:r w:rsidR="00131907" w:rsidRPr="008D2CC5">
        <w:rPr>
          <w:lang w:val="fr-FR"/>
        </w:rPr>
        <w:t>mauvaise manipulation ou d</w:t>
      </w:r>
      <w:r w:rsidR="000409D6" w:rsidRPr="008D2CC5">
        <w:rPr>
          <w:lang w:val="fr-FR"/>
        </w:rPr>
        <w:t>’</w:t>
      </w:r>
      <w:r w:rsidR="00131907" w:rsidRPr="008D2CC5">
        <w:rPr>
          <w:lang w:val="fr-FR"/>
        </w:rPr>
        <w:t>accidents ou d</w:t>
      </w:r>
      <w:r w:rsidR="000409D6" w:rsidRPr="008D2CC5">
        <w:rPr>
          <w:lang w:val="fr-FR"/>
        </w:rPr>
        <w:t>’</w:t>
      </w:r>
      <w:r w:rsidR="00131907" w:rsidRPr="008D2CC5">
        <w:rPr>
          <w:lang w:val="fr-FR"/>
        </w:rPr>
        <w:t>une mauvaise gestion des déchets de mercure qu</w:t>
      </w:r>
      <w:r w:rsidR="000409D6" w:rsidRPr="008D2CC5">
        <w:rPr>
          <w:lang w:val="fr-FR"/>
        </w:rPr>
        <w:t>’</w:t>
      </w:r>
      <w:r w:rsidR="00131907" w:rsidRPr="008D2CC5">
        <w:rPr>
          <w:lang w:val="fr-FR"/>
        </w:rPr>
        <w:t>il</w:t>
      </w:r>
      <w:r w:rsidR="00380F44" w:rsidRPr="008D2CC5">
        <w:rPr>
          <w:lang w:val="fr-FR"/>
        </w:rPr>
        <w:t> </w:t>
      </w:r>
      <w:r w:rsidR="00131907" w:rsidRPr="008D2CC5">
        <w:rPr>
          <w:lang w:val="fr-FR"/>
        </w:rPr>
        <w:t>génère</w:t>
      </w:r>
      <w:r w:rsidR="00D31AFF" w:rsidRPr="008D2CC5">
        <w:rPr>
          <w:lang w:val="fr-FR"/>
        </w:rPr>
        <w:t>.</w:t>
      </w:r>
    </w:p>
    <w:p w14:paraId="78034BA2" w14:textId="3725A393" w:rsidR="00D31AFF" w:rsidRPr="008D2CC5" w:rsidRDefault="00E768D1" w:rsidP="008E43CD">
      <w:pPr>
        <w:pStyle w:val="Normalnumber"/>
        <w:numPr>
          <w:ilvl w:val="0"/>
          <w:numId w:val="5"/>
        </w:numPr>
        <w:rPr>
          <w:lang w:val="fr-FR"/>
        </w:rPr>
      </w:pPr>
      <w:r w:rsidRPr="008D2CC5">
        <w:rPr>
          <w:lang w:val="fr-FR"/>
        </w:rPr>
        <w:t>Le mercure est largement utilisé dans l</w:t>
      </w:r>
      <w:r w:rsidR="00B557F6" w:rsidRPr="008D2CC5">
        <w:rPr>
          <w:lang w:val="fr-FR"/>
        </w:rPr>
        <w:t>es activités d</w:t>
      </w:r>
      <w:r w:rsidR="000409D6" w:rsidRPr="008D2CC5">
        <w:rPr>
          <w:lang w:val="fr-FR"/>
        </w:rPr>
        <w:t>’</w:t>
      </w:r>
      <w:r w:rsidRPr="008D2CC5">
        <w:rPr>
          <w:lang w:val="fr-FR"/>
        </w:rPr>
        <w:t>extraction minière artisanale et à petite échelle d</w:t>
      </w:r>
      <w:r w:rsidR="000409D6" w:rsidRPr="008D2CC5">
        <w:rPr>
          <w:lang w:val="fr-FR"/>
        </w:rPr>
        <w:t>’</w:t>
      </w:r>
      <w:r w:rsidRPr="008D2CC5">
        <w:rPr>
          <w:lang w:val="fr-FR"/>
        </w:rPr>
        <w:t>or, où</w:t>
      </w:r>
      <w:r w:rsidR="00380F44" w:rsidRPr="008D2CC5">
        <w:rPr>
          <w:lang w:val="fr-FR"/>
        </w:rPr>
        <w:t> </w:t>
      </w:r>
      <w:r w:rsidRPr="008D2CC5">
        <w:rPr>
          <w:lang w:val="fr-FR"/>
        </w:rPr>
        <w:t>il est mélangé au minerai aurifère</w:t>
      </w:r>
      <w:r w:rsidR="00D31AFF" w:rsidRPr="008D2CC5">
        <w:rPr>
          <w:lang w:val="fr-FR"/>
        </w:rPr>
        <w:t xml:space="preserve">. </w:t>
      </w:r>
      <w:r w:rsidRPr="008D2CC5">
        <w:rPr>
          <w:lang w:val="fr-FR"/>
        </w:rPr>
        <w:t>Le mercure se lie à l</w:t>
      </w:r>
      <w:r w:rsidR="000409D6" w:rsidRPr="008D2CC5">
        <w:rPr>
          <w:lang w:val="fr-FR"/>
        </w:rPr>
        <w:t>’</w:t>
      </w:r>
      <w:r w:rsidRPr="008D2CC5">
        <w:rPr>
          <w:lang w:val="fr-FR"/>
        </w:rPr>
        <w:t>or, formant un amalgame qui est ensuite chauffé afin d</w:t>
      </w:r>
      <w:r w:rsidR="00F00C81">
        <w:rPr>
          <w:lang w:val="fr-FR"/>
        </w:rPr>
        <w:t>’en élimin</w:t>
      </w:r>
      <w:r w:rsidRPr="008D2CC5">
        <w:rPr>
          <w:lang w:val="fr-FR"/>
        </w:rPr>
        <w:t>er le mercure sous forme de vapeur et de ne laisser que l</w:t>
      </w:r>
      <w:r w:rsidR="000409D6" w:rsidRPr="008D2CC5">
        <w:rPr>
          <w:lang w:val="fr-FR"/>
        </w:rPr>
        <w:t>’</w:t>
      </w:r>
      <w:r w:rsidRPr="008D2CC5">
        <w:rPr>
          <w:lang w:val="fr-FR"/>
        </w:rPr>
        <w:t>or</w:t>
      </w:r>
      <w:r w:rsidR="00D31AFF" w:rsidRPr="008D2CC5">
        <w:rPr>
          <w:lang w:val="fr-FR"/>
        </w:rPr>
        <w:t xml:space="preserve">. </w:t>
      </w:r>
      <w:r w:rsidR="003A6A35">
        <w:rPr>
          <w:lang w:val="fr-FR"/>
        </w:rPr>
        <w:t>Les </w:t>
      </w:r>
      <w:r w:rsidRPr="008D2CC5">
        <w:rPr>
          <w:lang w:val="fr-FR"/>
        </w:rPr>
        <w:t>contrôles de l</w:t>
      </w:r>
      <w:r w:rsidR="000409D6" w:rsidRPr="008D2CC5">
        <w:rPr>
          <w:lang w:val="fr-FR"/>
        </w:rPr>
        <w:t>’</w:t>
      </w:r>
      <w:r w:rsidRPr="008D2CC5">
        <w:rPr>
          <w:lang w:val="fr-FR"/>
        </w:rPr>
        <w:t>utilisation et des rejets de mercure sont peu nombreux, voire inexistants, en raison de la nature informelle de nombreuses opérations d</w:t>
      </w:r>
      <w:r w:rsidR="000409D6" w:rsidRPr="008D2CC5">
        <w:rPr>
          <w:lang w:val="fr-FR"/>
        </w:rPr>
        <w:t>’</w:t>
      </w:r>
      <w:r w:rsidRPr="008D2CC5">
        <w:rPr>
          <w:lang w:val="fr-FR"/>
        </w:rPr>
        <w:t>extraction minière artisanale et à petite échelle d</w:t>
      </w:r>
      <w:r w:rsidR="000409D6" w:rsidRPr="008D2CC5">
        <w:rPr>
          <w:lang w:val="fr-FR"/>
        </w:rPr>
        <w:t>’</w:t>
      </w:r>
      <w:r w:rsidRPr="008D2CC5">
        <w:rPr>
          <w:lang w:val="fr-FR"/>
        </w:rPr>
        <w:t>or, ce qui conduit souvent à d</w:t>
      </w:r>
      <w:r w:rsidR="000409D6" w:rsidRPr="008D2CC5">
        <w:rPr>
          <w:lang w:val="fr-FR"/>
        </w:rPr>
        <w:t>’</w:t>
      </w:r>
      <w:r w:rsidRPr="008D2CC5">
        <w:rPr>
          <w:lang w:val="fr-FR"/>
        </w:rPr>
        <w:t>importants niveaux d</w:t>
      </w:r>
      <w:r w:rsidR="000409D6" w:rsidRPr="008D2CC5">
        <w:rPr>
          <w:lang w:val="fr-FR"/>
        </w:rPr>
        <w:t>’</w:t>
      </w:r>
      <w:r w:rsidRPr="008D2CC5">
        <w:rPr>
          <w:lang w:val="fr-FR"/>
        </w:rPr>
        <w:t>exposition pour les travailleurs et à une contamination élevée des sites</w:t>
      </w:r>
      <w:r w:rsidR="00D31AFF" w:rsidRPr="008D2CC5">
        <w:rPr>
          <w:lang w:val="fr-FR"/>
        </w:rPr>
        <w:t xml:space="preserve">. </w:t>
      </w:r>
      <w:r w:rsidRPr="008D2CC5">
        <w:rPr>
          <w:lang w:val="fr-FR"/>
        </w:rPr>
        <w:t>De plus, des familles ou des groupes de personnes entiers peuvent être exposés aux</w:t>
      </w:r>
      <w:r w:rsidR="00380F44" w:rsidRPr="008D2CC5">
        <w:rPr>
          <w:lang w:val="fr-FR"/>
        </w:rPr>
        <w:t> </w:t>
      </w:r>
      <w:r w:rsidRPr="008D2CC5">
        <w:rPr>
          <w:lang w:val="fr-FR"/>
        </w:rPr>
        <w:t xml:space="preserve">vapeurs de mercure </w:t>
      </w:r>
      <w:r w:rsidR="00133D50" w:rsidRPr="008D2CC5">
        <w:rPr>
          <w:lang w:val="fr-FR"/>
        </w:rPr>
        <w:t>à l</w:t>
      </w:r>
      <w:r w:rsidR="000409D6" w:rsidRPr="008D2CC5">
        <w:rPr>
          <w:lang w:val="fr-FR"/>
        </w:rPr>
        <w:t>’</w:t>
      </w:r>
      <w:r w:rsidR="00133D50" w:rsidRPr="008D2CC5">
        <w:rPr>
          <w:lang w:val="fr-FR"/>
        </w:rPr>
        <w:t>intérieur</w:t>
      </w:r>
      <w:r w:rsidRPr="008D2CC5">
        <w:rPr>
          <w:lang w:val="fr-FR"/>
        </w:rPr>
        <w:t xml:space="preserve"> ou autour de l</w:t>
      </w:r>
      <w:r w:rsidR="000409D6" w:rsidRPr="008D2CC5">
        <w:rPr>
          <w:lang w:val="fr-FR"/>
        </w:rPr>
        <w:t>’</w:t>
      </w:r>
      <w:r w:rsidRPr="008D2CC5">
        <w:rPr>
          <w:lang w:val="fr-FR"/>
        </w:rPr>
        <w:t xml:space="preserve">habitation ou </w:t>
      </w:r>
      <w:r w:rsidR="00133D50" w:rsidRPr="008D2CC5">
        <w:rPr>
          <w:lang w:val="fr-FR"/>
        </w:rPr>
        <w:t xml:space="preserve">de </w:t>
      </w:r>
      <w:r w:rsidRPr="008D2CC5">
        <w:rPr>
          <w:lang w:val="fr-FR"/>
        </w:rPr>
        <w:t>l</w:t>
      </w:r>
      <w:r w:rsidR="000409D6" w:rsidRPr="008D2CC5">
        <w:rPr>
          <w:lang w:val="fr-FR"/>
        </w:rPr>
        <w:t>’</w:t>
      </w:r>
      <w:r w:rsidRPr="008D2CC5">
        <w:rPr>
          <w:lang w:val="fr-FR"/>
        </w:rPr>
        <w:t xml:space="preserve">entrepôt où le </w:t>
      </w:r>
      <w:r w:rsidR="00F00C81">
        <w:rPr>
          <w:lang w:val="fr-FR"/>
        </w:rPr>
        <w:t>traitement</w:t>
      </w:r>
      <w:r w:rsidRPr="008D2CC5">
        <w:rPr>
          <w:lang w:val="fr-FR"/>
        </w:rPr>
        <w:t xml:space="preserve"> a lieu</w:t>
      </w:r>
      <w:r w:rsidR="00D31AFF" w:rsidRPr="008D2CC5">
        <w:rPr>
          <w:lang w:val="fr-FR"/>
        </w:rPr>
        <w:t xml:space="preserve">. </w:t>
      </w:r>
    </w:p>
    <w:p w14:paraId="31797725" w14:textId="736B8A8B" w:rsidR="00D31AFF" w:rsidRPr="008D2CC5" w:rsidRDefault="006A05E4" w:rsidP="008E43CD">
      <w:pPr>
        <w:pStyle w:val="Normalnumber"/>
        <w:numPr>
          <w:ilvl w:val="0"/>
          <w:numId w:val="5"/>
        </w:numPr>
        <w:rPr>
          <w:lang w:val="fr-FR"/>
        </w:rPr>
      </w:pPr>
      <w:r w:rsidRPr="008D2CC5">
        <w:rPr>
          <w:lang w:val="fr-FR"/>
        </w:rPr>
        <w:t xml:space="preserve">Il convient de noter que les rejets de mercure ne se limitent pas </w:t>
      </w:r>
      <w:r w:rsidR="00F00C81">
        <w:rPr>
          <w:lang w:val="fr-FR"/>
        </w:rPr>
        <w:t xml:space="preserve">à ceux </w:t>
      </w:r>
      <w:r w:rsidRPr="008D2CC5">
        <w:rPr>
          <w:lang w:val="fr-FR"/>
        </w:rPr>
        <w:t>résultant d</w:t>
      </w:r>
      <w:r w:rsidR="000409D6" w:rsidRPr="008D2CC5">
        <w:rPr>
          <w:lang w:val="fr-FR"/>
        </w:rPr>
        <w:t>’</w:t>
      </w:r>
      <w:r w:rsidRPr="008D2CC5">
        <w:rPr>
          <w:lang w:val="fr-FR"/>
        </w:rPr>
        <w:t>une</w:t>
      </w:r>
      <w:r w:rsidR="00380F44" w:rsidRPr="008D2CC5">
        <w:rPr>
          <w:lang w:val="fr-FR"/>
        </w:rPr>
        <w:t> </w:t>
      </w:r>
      <w:r w:rsidRPr="008D2CC5">
        <w:rPr>
          <w:lang w:val="fr-FR"/>
        </w:rPr>
        <w:t>utilisation intentionnelle</w:t>
      </w:r>
      <w:r w:rsidR="00813FA0" w:rsidRPr="008D2CC5">
        <w:rPr>
          <w:lang w:val="fr-FR"/>
        </w:rPr>
        <w:t>.</w:t>
      </w:r>
      <w:r w:rsidRPr="008D2CC5">
        <w:rPr>
          <w:lang w:val="fr-FR"/>
        </w:rPr>
        <w:t xml:space="preserve"> Une mauvaise gestion des déchets et des eaux usées, notamment dans</w:t>
      </w:r>
      <w:r w:rsidR="00380F44" w:rsidRPr="008D2CC5">
        <w:rPr>
          <w:lang w:val="fr-FR"/>
        </w:rPr>
        <w:t> </w:t>
      </w:r>
      <w:r w:rsidRPr="008D2CC5">
        <w:rPr>
          <w:lang w:val="fr-FR"/>
        </w:rPr>
        <w:t>le</w:t>
      </w:r>
      <w:r w:rsidR="00380F44" w:rsidRPr="008D2CC5">
        <w:rPr>
          <w:lang w:val="fr-FR"/>
        </w:rPr>
        <w:t> </w:t>
      </w:r>
      <w:r w:rsidRPr="008D2CC5">
        <w:rPr>
          <w:lang w:val="fr-FR"/>
        </w:rPr>
        <w:t>cadre de mesures de lutte contre la pollution,</w:t>
      </w:r>
      <w:r w:rsidR="00813FA0" w:rsidRPr="008D2CC5">
        <w:rPr>
          <w:lang w:val="fr-FR"/>
        </w:rPr>
        <w:t xml:space="preserve"> </w:t>
      </w:r>
      <w:r w:rsidRPr="008D2CC5">
        <w:rPr>
          <w:lang w:val="fr-FR"/>
        </w:rPr>
        <w:t xml:space="preserve">peut conduire à des rejets de mercure </w:t>
      </w:r>
      <w:r w:rsidR="00B557F6" w:rsidRPr="008D2CC5">
        <w:rPr>
          <w:lang w:val="fr-FR"/>
        </w:rPr>
        <w:t xml:space="preserve">et </w:t>
      </w:r>
      <w:r w:rsidR="002165C1">
        <w:rPr>
          <w:lang w:val="fr-FR"/>
        </w:rPr>
        <w:t xml:space="preserve">à </w:t>
      </w:r>
      <w:r w:rsidR="00B557F6" w:rsidRPr="008D2CC5">
        <w:rPr>
          <w:lang w:val="fr-FR"/>
        </w:rPr>
        <w:t xml:space="preserve">une contamination des sols et de </w:t>
      </w:r>
      <w:r w:rsidRPr="008D2CC5">
        <w:rPr>
          <w:lang w:val="fr-FR"/>
        </w:rPr>
        <w:t>l</w:t>
      </w:r>
      <w:r w:rsidR="000409D6" w:rsidRPr="008D2CC5">
        <w:rPr>
          <w:lang w:val="fr-FR"/>
        </w:rPr>
        <w:t>’</w:t>
      </w:r>
      <w:r w:rsidRPr="008D2CC5">
        <w:rPr>
          <w:lang w:val="fr-FR"/>
        </w:rPr>
        <w:t>eau</w:t>
      </w:r>
      <w:r w:rsidR="00D31AFF" w:rsidRPr="008D2CC5">
        <w:rPr>
          <w:lang w:val="fr-FR"/>
        </w:rPr>
        <w:t>.</w:t>
      </w:r>
      <w:r w:rsidR="00152CD3" w:rsidRPr="008D2CC5">
        <w:rPr>
          <w:lang w:val="fr-FR"/>
        </w:rPr>
        <w:t xml:space="preserve"> </w:t>
      </w:r>
      <w:r w:rsidRPr="008D2CC5">
        <w:rPr>
          <w:lang w:val="fr-FR"/>
        </w:rPr>
        <w:t>Les activités minières à l</w:t>
      </w:r>
      <w:r w:rsidR="000409D6" w:rsidRPr="008D2CC5">
        <w:rPr>
          <w:lang w:val="fr-FR"/>
        </w:rPr>
        <w:t>’</w:t>
      </w:r>
      <w:r w:rsidRPr="008D2CC5">
        <w:rPr>
          <w:lang w:val="fr-FR"/>
        </w:rPr>
        <w:t xml:space="preserve">échelle industrielle </w:t>
      </w:r>
      <w:r w:rsidR="00B557F6" w:rsidRPr="008D2CC5">
        <w:rPr>
          <w:lang w:val="fr-FR"/>
        </w:rPr>
        <w:t>pourraient</w:t>
      </w:r>
      <w:r w:rsidRPr="008D2CC5">
        <w:rPr>
          <w:lang w:val="fr-FR"/>
        </w:rPr>
        <w:t xml:space="preserve"> également conduire à des</w:t>
      </w:r>
      <w:r w:rsidR="00380F44" w:rsidRPr="008D2CC5">
        <w:rPr>
          <w:lang w:val="fr-FR"/>
        </w:rPr>
        <w:t> </w:t>
      </w:r>
      <w:r w:rsidRPr="008D2CC5">
        <w:rPr>
          <w:lang w:val="fr-FR"/>
        </w:rPr>
        <w:t>rejets de mercure dans la terre et l</w:t>
      </w:r>
      <w:r w:rsidR="000409D6" w:rsidRPr="008D2CC5">
        <w:rPr>
          <w:lang w:val="fr-FR"/>
        </w:rPr>
        <w:t>’</w:t>
      </w:r>
      <w:r w:rsidRPr="008D2CC5">
        <w:rPr>
          <w:lang w:val="fr-FR"/>
        </w:rPr>
        <w:t>eau</w:t>
      </w:r>
      <w:r w:rsidR="009A3117" w:rsidRPr="008D2CC5">
        <w:rPr>
          <w:lang w:val="fr-FR"/>
        </w:rPr>
        <w:t xml:space="preserve"> lorsque le minerai contient un taux élevé de mercure ou lorsque du pétrole et du gaz sont extraits</w:t>
      </w:r>
      <w:r w:rsidR="00D31AFF" w:rsidRPr="008D2CC5">
        <w:rPr>
          <w:lang w:val="fr-FR"/>
        </w:rPr>
        <w:t xml:space="preserve">. </w:t>
      </w:r>
    </w:p>
    <w:p w14:paraId="1BDC927F" w14:textId="0E1683ED" w:rsidR="00D31AFF" w:rsidRPr="008D2CC5" w:rsidRDefault="00D31AFF" w:rsidP="00F93F76">
      <w:pPr>
        <w:pStyle w:val="CH3"/>
        <w:rPr>
          <w:lang w:val="fr-FR"/>
        </w:rPr>
      </w:pPr>
      <w:r w:rsidRPr="008D2CC5">
        <w:rPr>
          <w:lang w:val="fr-FR"/>
        </w:rPr>
        <w:tab/>
      </w:r>
      <w:r w:rsidR="00B557F6" w:rsidRPr="008D2CC5">
        <w:rPr>
          <w:lang w:val="fr-FR"/>
        </w:rPr>
        <w:t>4</w:t>
      </w:r>
      <w:r w:rsidR="00152CD3" w:rsidRPr="008D2CC5">
        <w:rPr>
          <w:lang w:val="fr-FR"/>
        </w:rPr>
        <w:t>.</w:t>
      </w:r>
      <w:r w:rsidRPr="008D2CC5">
        <w:rPr>
          <w:lang w:val="fr-FR"/>
        </w:rPr>
        <w:tab/>
      </w:r>
      <w:bookmarkStart w:id="6" w:name="_Toc15920538"/>
      <w:r w:rsidR="00B540C1" w:rsidRPr="008D2CC5">
        <w:rPr>
          <w:lang w:val="fr-FR"/>
        </w:rPr>
        <w:t>É</w:t>
      </w:r>
      <w:r w:rsidRPr="008D2CC5">
        <w:rPr>
          <w:lang w:val="fr-FR"/>
        </w:rPr>
        <w:t xml:space="preserve">missions </w:t>
      </w:r>
      <w:r w:rsidR="00B540C1" w:rsidRPr="008D2CC5">
        <w:rPr>
          <w:lang w:val="fr-FR"/>
        </w:rPr>
        <w:t>et rejets de mercure</w:t>
      </w:r>
      <w:r w:rsidRPr="008D2CC5">
        <w:rPr>
          <w:lang w:val="fr-FR"/>
        </w:rPr>
        <w:t xml:space="preserve"> </w:t>
      </w:r>
      <w:bookmarkEnd w:id="6"/>
      <w:r w:rsidR="00B540C1" w:rsidRPr="008D2CC5">
        <w:rPr>
          <w:lang w:val="fr-FR"/>
        </w:rPr>
        <w:t>provenant de sites contaminés</w:t>
      </w:r>
    </w:p>
    <w:p w14:paraId="77ECD39F" w14:textId="111A78D0" w:rsidR="00D31AFF" w:rsidRPr="008D2CC5" w:rsidRDefault="00B540C1" w:rsidP="008E43CD">
      <w:pPr>
        <w:pStyle w:val="Normalnumber"/>
        <w:numPr>
          <w:ilvl w:val="0"/>
          <w:numId w:val="5"/>
        </w:numPr>
        <w:rPr>
          <w:lang w:val="fr-FR"/>
        </w:rPr>
      </w:pPr>
      <w:r w:rsidRPr="008D2CC5">
        <w:rPr>
          <w:lang w:val="fr-FR"/>
        </w:rPr>
        <w:t>Les risques pour l</w:t>
      </w:r>
      <w:r w:rsidR="000409D6" w:rsidRPr="008D2CC5">
        <w:rPr>
          <w:lang w:val="fr-FR"/>
        </w:rPr>
        <w:t>’</w:t>
      </w:r>
      <w:r w:rsidRPr="008D2CC5">
        <w:rPr>
          <w:lang w:val="fr-FR"/>
        </w:rPr>
        <w:t>environnement que présentent les sites contaminés sont doubles</w:t>
      </w:r>
      <w:r w:rsidR="000409D6" w:rsidRPr="008D2CC5">
        <w:rPr>
          <w:lang w:val="fr-FR"/>
        </w:rPr>
        <w:t> :</w:t>
      </w:r>
      <w:r w:rsidR="00AE7D3C" w:rsidRPr="008D2CC5">
        <w:rPr>
          <w:lang w:val="fr-FR"/>
        </w:rPr>
        <w:t xml:space="preserve"> </w:t>
      </w:r>
      <w:r w:rsidRPr="008D2CC5">
        <w:rPr>
          <w:lang w:val="fr-FR"/>
        </w:rPr>
        <w:t>d</w:t>
      </w:r>
      <w:r w:rsidR="000409D6" w:rsidRPr="008D2CC5">
        <w:rPr>
          <w:lang w:val="fr-FR"/>
        </w:rPr>
        <w:t>’</w:t>
      </w:r>
      <w:r w:rsidRPr="008D2CC5">
        <w:rPr>
          <w:lang w:val="fr-FR"/>
        </w:rPr>
        <w:t>une part, le site contaminé lui-même (par ex</w:t>
      </w:r>
      <w:r w:rsidR="003A6A35">
        <w:rPr>
          <w:lang w:val="fr-FR"/>
        </w:rPr>
        <w:t>.</w:t>
      </w:r>
      <w:r w:rsidRPr="008D2CC5">
        <w:rPr>
          <w:lang w:val="fr-FR"/>
        </w:rPr>
        <w:t>, usine ou site de déversement local) peut conduire à l</w:t>
      </w:r>
      <w:r w:rsidR="000409D6" w:rsidRPr="008D2CC5">
        <w:rPr>
          <w:lang w:val="fr-FR"/>
        </w:rPr>
        <w:t>’</w:t>
      </w:r>
      <w:r w:rsidRPr="008D2CC5">
        <w:rPr>
          <w:lang w:val="fr-FR"/>
        </w:rPr>
        <w:t>exposition de quiconque y pénètre et, d</w:t>
      </w:r>
      <w:r w:rsidR="000409D6" w:rsidRPr="008D2CC5">
        <w:rPr>
          <w:lang w:val="fr-FR"/>
        </w:rPr>
        <w:t>’</w:t>
      </w:r>
      <w:r w:rsidRPr="008D2CC5">
        <w:rPr>
          <w:lang w:val="fr-FR"/>
        </w:rPr>
        <w:t>autre part, il peut laisser échapper du mercure dans son environnement immédiat</w:t>
      </w:r>
      <w:r w:rsidR="00D31AFF" w:rsidRPr="008D2CC5">
        <w:rPr>
          <w:lang w:val="fr-FR"/>
        </w:rPr>
        <w:t xml:space="preserve">. </w:t>
      </w:r>
      <w:r w:rsidRPr="008D2CC5">
        <w:rPr>
          <w:lang w:val="fr-FR"/>
        </w:rPr>
        <w:t>Dans un tel cas,</w:t>
      </w:r>
      <w:r w:rsidR="005B25F1" w:rsidRPr="008D2CC5">
        <w:rPr>
          <w:lang w:val="fr-FR"/>
        </w:rPr>
        <w:t xml:space="preserve"> </w:t>
      </w:r>
      <w:r w:rsidR="0075022F">
        <w:rPr>
          <w:lang w:val="fr-FR"/>
        </w:rPr>
        <w:t>qui entraîne</w:t>
      </w:r>
      <w:r w:rsidR="005B25F1" w:rsidRPr="008D2CC5">
        <w:rPr>
          <w:lang w:val="fr-FR"/>
        </w:rPr>
        <w:t xml:space="preserve"> un risque inacceptable, des mesures d</w:t>
      </w:r>
      <w:r w:rsidR="000409D6" w:rsidRPr="008D2CC5">
        <w:rPr>
          <w:lang w:val="fr-FR"/>
        </w:rPr>
        <w:t>’</w:t>
      </w:r>
      <w:r w:rsidR="005B25F1" w:rsidRPr="008D2CC5">
        <w:rPr>
          <w:lang w:val="fr-FR"/>
        </w:rPr>
        <w:t xml:space="preserve">assainissement, ou toute autre mesure de gestion des risques, peuvent être prises </w:t>
      </w:r>
      <w:r w:rsidR="00607434">
        <w:rPr>
          <w:lang w:val="fr-FR"/>
        </w:rPr>
        <w:t xml:space="preserve">concernant </w:t>
      </w:r>
      <w:r w:rsidRPr="008D2CC5">
        <w:rPr>
          <w:lang w:val="fr-FR"/>
        </w:rPr>
        <w:t>non seulement le site</w:t>
      </w:r>
      <w:r w:rsidR="00863367" w:rsidRPr="008D2CC5">
        <w:rPr>
          <w:lang w:val="fr-FR"/>
        </w:rPr>
        <w:t xml:space="preserve"> de contamination initiale</w:t>
      </w:r>
      <w:r w:rsidRPr="008D2CC5">
        <w:rPr>
          <w:lang w:val="fr-FR"/>
        </w:rPr>
        <w:t>, mais aussi les milieux environnementaux vers lesquels il a pu migrer (</w:t>
      </w:r>
      <w:r w:rsidR="00863367" w:rsidRPr="008D2CC5">
        <w:rPr>
          <w:lang w:val="fr-FR"/>
        </w:rPr>
        <w:t>par ex</w:t>
      </w:r>
      <w:r w:rsidR="003A6A35">
        <w:rPr>
          <w:lang w:val="fr-FR"/>
        </w:rPr>
        <w:t>.</w:t>
      </w:r>
      <w:r w:rsidR="00863367" w:rsidRPr="008D2CC5">
        <w:rPr>
          <w:lang w:val="fr-FR"/>
        </w:rPr>
        <w:t xml:space="preserve">, </w:t>
      </w:r>
      <w:r w:rsidR="007A3522">
        <w:rPr>
          <w:lang w:val="fr-FR"/>
        </w:rPr>
        <w:t xml:space="preserve">les </w:t>
      </w:r>
      <w:r w:rsidRPr="008D2CC5">
        <w:rPr>
          <w:lang w:val="fr-FR"/>
        </w:rPr>
        <w:t xml:space="preserve">eaux souterraines, </w:t>
      </w:r>
      <w:r w:rsidR="007A3522">
        <w:rPr>
          <w:lang w:val="fr-FR"/>
        </w:rPr>
        <w:t xml:space="preserve">les </w:t>
      </w:r>
      <w:r w:rsidRPr="008D2CC5">
        <w:rPr>
          <w:lang w:val="fr-FR"/>
        </w:rPr>
        <w:t>eaux de surface</w:t>
      </w:r>
      <w:r w:rsidR="007A3522">
        <w:rPr>
          <w:lang w:val="fr-FR"/>
        </w:rPr>
        <w:t xml:space="preserve"> et les</w:t>
      </w:r>
      <w:r w:rsidRPr="008D2CC5">
        <w:rPr>
          <w:lang w:val="fr-FR"/>
        </w:rPr>
        <w:t xml:space="preserve"> sédiments</w:t>
      </w:r>
      <w:r w:rsidR="00D31AFF" w:rsidRPr="008D2CC5">
        <w:rPr>
          <w:lang w:val="fr-FR"/>
        </w:rPr>
        <w:t>).</w:t>
      </w:r>
    </w:p>
    <w:p w14:paraId="537F7186" w14:textId="19C3EDF0" w:rsidR="00D31AFF" w:rsidRPr="008D2CC5" w:rsidRDefault="00A37E4B" w:rsidP="008E43CD">
      <w:pPr>
        <w:pStyle w:val="Normalnumber"/>
        <w:numPr>
          <w:ilvl w:val="0"/>
          <w:numId w:val="5"/>
        </w:numPr>
        <w:rPr>
          <w:lang w:val="fr-FR"/>
        </w:rPr>
      </w:pPr>
      <w:r w:rsidRPr="008D2CC5">
        <w:rPr>
          <w:lang w:val="fr-FR"/>
        </w:rPr>
        <w:t>L</w:t>
      </w:r>
      <w:r w:rsidR="000409D6" w:rsidRPr="008D2CC5">
        <w:rPr>
          <w:lang w:val="fr-FR"/>
        </w:rPr>
        <w:t>’</w:t>
      </w:r>
      <w:r w:rsidR="00265E91" w:rsidRPr="008D2CC5">
        <w:rPr>
          <w:lang w:val="fr-FR"/>
        </w:rPr>
        <w:t>É</w:t>
      </w:r>
      <w:r w:rsidRPr="008D2CC5">
        <w:rPr>
          <w:lang w:val="fr-FR"/>
        </w:rPr>
        <w:t xml:space="preserve">valuation mondiale du mercure 2013 </w:t>
      </w:r>
      <w:r w:rsidR="00D31AFF" w:rsidRPr="008D2CC5">
        <w:rPr>
          <w:lang w:val="fr-FR"/>
        </w:rPr>
        <w:t>(</w:t>
      </w:r>
      <w:r w:rsidR="00265E91" w:rsidRPr="008D2CC5">
        <w:rPr>
          <w:lang w:val="fr-FR"/>
        </w:rPr>
        <w:t>PNUE</w:t>
      </w:r>
      <w:r w:rsidR="00D31AFF" w:rsidRPr="008D2CC5">
        <w:rPr>
          <w:lang w:val="fr-FR"/>
        </w:rPr>
        <w:t xml:space="preserve">, </w:t>
      </w:r>
      <w:r w:rsidR="00B102C7" w:rsidRPr="008D2CC5">
        <w:rPr>
          <w:lang w:val="fr-FR"/>
        </w:rPr>
        <w:t>2013</w:t>
      </w:r>
      <w:r w:rsidR="00D31AFF" w:rsidRPr="008D2CC5">
        <w:rPr>
          <w:lang w:val="fr-FR"/>
        </w:rPr>
        <w:t xml:space="preserve">) </w:t>
      </w:r>
      <w:r w:rsidRPr="008D2CC5">
        <w:rPr>
          <w:lang w:val="fr-FR"/>
        </w:rPr>
        <w:t>a évalué</w:t>
      </w:r>
      <w:r w:rsidR="00D31AFF" w:rsidRPr="008D2CC5">
        <w:rPr>
          <w:lang w:val="fr-FR"/>
        </w:rPr>
        <w:t xml:space="preserve">, </w:t>
      </w:r>
      <w:r w:rsidRPr="008D2CC5">
        <w:rPr>
          <w:lang w:val="fr-FR"/>
        </w:rPr>
        <w:t>entre autres</w:t>
      </w:r>
      <w:r w:rsidR="00D31AFF" w:rsidRPr="008D2CC5">
        <w:rPr>
          <w:lang w:val="fr-FR"/>
        </w:rPr>
        <w:t xml:space="preserve">, </w:t>
      </w:r>
      <w:r w:rsidRPr="008D2CC5">
        <w:rPr>
          <w:lang w:val="fr-FR"/>
        </w:rPr>
        <w:t>l</w:t>
      </w:r>
      <w:r w:rsidR="003B406B">
        <w:rPr>
          <w:lang w:val="fr-FR"/>
        </w:rPr>
        <w:t>es rejets</w:t>
      </w:r>
      <w:r w:rsidRPr="008D2CC5">
        <w:rPr>
          <w:lang w:val="fr-FR"/>
        </w:rPr>
        <w:t xml:space="preserve"> </w:t>
      </w:r>
      <w:r w:rsidR="00F00C81">
        <w:rPr>
          <w:lang w:val="fr-FR"/>
        </w:rPr>
        <w:t>aquatique</w:t>
      </w:r>
      <w:r w:rsidR="003B406B">
        <w:rPr>
          <w:lang w:val="fr-FR"/>
        </w:rPr>
        <w:t>s de</w:t>
      </w:r>
      <w:r w:rsidRPr="008D2CC5">
        <w:rPr>
          <w:lang w:val="fr-FR"/>
        </w:rPr>
        <w:t xml:space="preserve"> mercure pro</w:t>
      </w:r>
      <w:r w:rsidR="003B406B">
        <w:rPr>
          <w:lang w:val="fr-FR"/>
        </w:rPr>
        <w:t>duits par l</w:t>
      </w:r>
      <w:r w:rsidRPr="008D2CC5">
        <w:rPr>
          <w:lang w:val="fr-FR"/>
        </w:rPr>
        <w:t>es sources ponctuelles d</w:t>
      </w:r>
      <w:r w:rsidR="000409D6" w:rsidRPr="008D2CC5">
        <w:rPr>
          <w:lang w:val="fr-FR"/>
        </w:rPr>
        <w:t>’</w:t>
      </w:r>
      <w:r w:rsidRPr="008D2CC5">
        <w:rPr>
          <w:lang w:val="fr-FR"/>
        </w:rPr>
        <w:t xml:space="preserve">émissions, </w:t>
      </w:r>
      <w:r w:rsidR="003B406B">
        <w:rPr>
          <w:lang w:val="fr-FR"/>
        </w:rPr>
        <w:t>l</w:t>
      </w:r>
      <w:r w:rsidRPr="008D2CC5">
        <w:rPr>
          <w:lang w:val="fr-FR"/>
        </w:rPr>
        <w:t xml:space="preserve">es sites contaminés et </w:t>
      </w:r>
      <w:r w:rsidR="003B406B">
        <w:rPr>
          <w:lang w:val="fr-FR"/>
        </w:rPr>
        <w:t>l</w:t>
      </w:r>
      <w:r w:rsidRPr="008D2CC5">
        <w:rPr>
          <w:lang w:val="fr-FR"/>
        </w:rPr>
        <w:t>es sites d</w:t>
      </w:r>
      <w:r w:rsidR="000409D6" w:rsidRPr="008D2CC5">
        <w:rPr>
          <w:lang w:val="fr-FR"/>
        </w:rPr>
        <w:t>’</w:t>
      </w:r>
      <w:r w:rsidRPr="008D2CC5">
        <w:rPr>
          <w:lang w:val="fr-FR"/>
        </w:rPr>
        <w:t>extraction minière artisanale et à petite échelle d</w:t>
      </w:r>
      <w:r w:rsidR="000409D6" w:rsidRPr="008D2CC5">
        <w:rPr>
          <w:lang w:val="fr-FR"/>
        </w:rPr>
        <w:t>’</w:t>
      </w:r>
      <w:r w:rsidRPr="008D2CC5">
        <w:rPr>
          <w:lang w:val="fr-FR"/>
        </w:rPr>
        <w:t>or</w:t>
      </w:r>
      <w:r w:rsidR="00D31AFF" w:rsidRPr="008D2CC5">
        <w:rPr>
          <w:lang w:val="fr-FR"/>
        </w:rPr>
        <w:t xml:space="preserve">. </w:t>
      </w:r>
      <w:r w:rsidR="003B406B">
        <w:rPr>
          <w:lang w:val="fr-FR"/>
        </w:rPr>
        <w:t>Elle</w:t>
      </w:r>
      <w:r w:rsidR="001634FB" w:rsidRPr="008D2CC5">
        <w:rPr>
          <w:lang w:val="fr-FR"/>
        </w:rPr>
        <w:t xml:space="preserve"> estim</w:t>
      </w:r>
      <w:r w:rsidR="003B406B">
        <w:rPr>
          <w:lang w:val="fr-FR"/>
        </w:rPr>
        <w:t>e que</w:t>
      </w:r>
      <w:r w:rsidR="001634FB" w:rsidRPr="008D2CC5">
        <w:rPr>
          <w:lang w:val="fr-FR"/>
        </w:rPr>
        <w:t xml:space="preserve"> les sites contaminés </w:t>
      </w:r>
      <w:r w:rsidR="003B406B">
        <w:rPr>
          <w:lang w:val="fr-FR"/>
        </w:rPr>
        <w:t>contribu</w:t>
      </w:r>
      <w:r w:rsidR="001634FB" w:rsidRPr="008D2CC5">
        <w:rPr>
          <w:lang w:val="fr-FR"/>
        </w:rPr>
        <w:t xml:space="preserve">ent entre 8 et 33 tonnes métriques par an </w:t>
      </w:r>
      <w:r w:rsidR="003B406B">
        <w:rPr>
          <w:lang w:val="fr-FR"/>
        </w:rPr>
        <w:t xml:space="preserve">aux rejets aquatiques </w:t>
      </w:r>
      <w:r w:rsidR="001634FB" w:rsidRPr="008D2CC5">
        <w:rPr>
          <w:lang w:val="fr-FR"/>
        </w:rPr>
        <w:t xml:space="preserve">et entre 70 et 95 tonnes métriques </w:t>
      </w:r>
      <w:r w:rsidR="003B406B">
        <w:rPr>
          <w:lang w:val="fr-FR"/>
        </w:rPr>
        <w:t>par an aux rejets atmosphériques de mercure</w:t>
      </w:r>
      <w:r w:rsidR="00452496" w:rsidRPr="008D2CC5">
        <w:rPr>
          <w:lang w:val="fr-FR"/>
        </w:rPr>
        <w:t>.</w:t>
      </w:r>
      <w:r w:rsidR="00D31AFF" w:rsidRPr="008D2CC5">
        <w:rPr>
          <w:lang w:val="fr-FR"/>
        </w:rPr>
        <w:t xml:space="preserve"> </w:t>
      </w:r>
      <w:r w:rsidR="001634FB" w:rsidRPr="008D2CC5">
        <w:rPr>
          <w:lang w:val="fr-FR"/>
        </w:rPr>
        <w:t>D</w:t>
      </w:r>
      <w:r w:rsidR="000409D6" w:rsidRPr="008D2CC5">
        <w:rPr>
          <w:lang w:val="fr-FR"/>
        </w:rPr>
        <w:t>’</w:t>
      </w:r>
      <w:r w:rsidR="001634FB" w:rsidRPr="008D2CC5">
        <w:rPr>
          <w:lang w:val="fr-FR"/>
        </w:rPr>
        <w:t>autres études (</w:t>
      </w:r>
      <w:proofErr w:type="spellStart"/>
      <w:r w:rsidR="001634FB" w:rsidRPr="008D2CC5">
        <w:rPr>
          <w:lang w:val="fr-FR"/>
        </w:rPr>
        <w:t>Kocman</w:t>
      </w:r>
      <w:proofErr w:type="spellEnd"/>
      <w:r w:rsidR="001634FB" w:rsidRPr="008D2CC5">
        <w:rPr>
          <w:lang w:val="fr-FR"/>
        </w:rPr>
        <w:t xml:space="preserve"> </w:t>
      </w:r>
      <w:r w:rsidR="001634FB" w:rsidRPr="008D2CC5">
        <w:rPr>
          <w:i/>
          <w:iCs/>
          <w:lang w:val="fr-FR"/>
        </w:rPr>
        <w:t>et al.</w:t>
      </w:r>
      <w:r w:rsidR="001634FB" w:rsidRPr="008D2CC5">
        <w:rPr>
          <w:lang w:val="fr-FR"/>
        </w:rPr>
        <w:t>, 2013) ont estimé que les quantités de mercure rejetées par ces sites dans l</w:t>
      </w:r>
      <w:r w:rsidR="000409D6" w:rsidRPr="008D2CC5">
        <w:rPr>
          <w:lang w:val="fr-FR"/>
        </w:rPr>
        <w:t>’</w:t>
      </w:r>
      <w:r w:rsidR="001634FB" w:rsidRPr="008D2CC5">
        <w:rPr>
          <w:lang w:val="fr-FR"/>
        </w:rPr>
        <w:t>eau étaient plus élevées et se situaient entre 67 et 165 tonnes métriques par an</w:t>
      </w:r>
      <w:r w:rsidR="00D31AFF" w:rsidRPr="008D2CC5">
        <w:rPr>
          <w:lang w:val="fr-FR"/>
        </w:rPr>
        <w:t xml:space="preserve">. </w:t>
      </w:r>
      <w:r w:rsidR="004504F2" w:rsidRPr="008D2CC5">
        <w:rPr>
          <w:lang w:val="fr-FR"/>
        </w:rPr>
        <w:t>L</w:t>
      </w:r>
      <w:r w:rsidR="000409D6" w:rsidRPr="008D2CC5">
        <w:rPr>
          <w:lang w:val="fr-FR"/>
        </w:rPr>
        <w:t>’</w:t>
      </w:r>
      <w:r w:rsidR="00265E91" w:rsidRPr="008D2CC5">
        <w:rPr>
          <w:lang w:val="fr-FR"/>
        </w:rPr>
        <w:t>É</w:t>
      </w:r>
      <w:r w:rsidR="004504F2" w:rsidRPr="008D2CC5">
        <w:rPr>
          <w:lang w:val="fr-FR"/>
        </w:rPr>
        <w:t xml:space="preserve">valuation mondiale du mercure </w:t>
      </w:r>
      <w:r w:rsidR="00452496" w:rsidRPr="008D2CC5">
        <w:rPr>
          <w:lang w:val="fr-FR"/>
        </w:rPr>
        <w:t>2018 (</w:t>
      </w:r>
      <w:r w:rsidR="00265E91" w:rsidRPr="008D2CC5">
        <w:rPr>
          <w:lang w:val="fr-FR"/>
        </w:rPr>
        <w:t>PNUE</w:t>
      </w:r>
      <w:r w:rsidR="00452496" w:rsidRPr="008D2CC5">
        <w:rPr>
          <w:lang w:val="fr-FR"/>
        </w:rPr>
        <w:t>, 2019)</w:t>
      </w:r>
      <w:r w:rsidR="0089564B" w:rsidRPr="008D2CC5">
        <w:rPr>
          <w:lang w:val="fr-FR"/>
        </w:rPr>
        <w:t xml:space="preserve"> considère les sites contaminés comme une source anthropique </w:t>
      </w:r>
      <w:r w:rsidR="003B406B">
        <w:rPr>
          <w:lang w:val="fr-FR"/>
        </w:rPr>
        <w:t>dont</w:t>
      </w:r>
      <w:r w:rsidR="0089564B" w:rsidRPr="008D2CC5">
        <w:rPr>
          <w:lang w:val="fr-FR"/>
        </w:rPr>
        <w:t xml:space="preserve"> les émissions ne peuvent pas encore être estimées </w:t>
      </w:r>
      <w:r w:rsidR="003B406B">
        <w:rPr>
          <w:lang w:val="fr-FR"/>
        </w:rPr>
        <w:t>avec</w:t>
      </w:r>
      <w:r w:rsidR="0089564B" w:rsidRPr="008D2CC5">
        <w:rPr>
          <w:lang w:val="fr-FR"/>
        </w:rPr>
        <w:t xml:space="preserve"> fiab</w:t>
      </w:r>
      <w:r w:rsidR="003B406B">
        <w:rPr>
          <w:lang w:val="fr-FR"/>
        </w:rPr>
        <w:t>ilité</w:t>
      </w:r>
      <w:r w:rsidR="0089564B" w:rsidRPr="008D2CC5">
        <w:rPr>
          <w:lang w:val="fr-FR"/>
        </w:rPr>
        <w:t xml:space="preserve"> et conclut qu</w:t>
      </w:r>
      <w:r w:rsidR="000409D6" w:rsidRPr="008D2CC5">
        <w:rPr>
          <w:lang w:val="fr-FR"/>
        </w:rPr>
        <w:t>’</w:t>
      </w:r>
      <w:r w:rsidR="0089564B" w:rsidRPr="008D2CC5">
        <w:rPr>
          <w:lang w:val="fr-FR"/>
        </w:rPr>
        <w:t>il n</w:t>
      </w:r>
      <w:r w:rsidR="000409D6" w:rsidRPr="008D2CC5">
        <w:rPr>
          <w:lang w:val="fr-FR"/>
        </w:rPr>
        <w:t>’</w:t>
      </w:r>
      <w:r w:rsidR="0089564B" w:rsidRPr="008D2CC5">
        <w:rPr>
          <w:lang w:val="fr-FR"/>
        </w:rPr>
        <w:t>existe pas de connaissances détaillées sur</w:t>
      </w:r>
      <w:r w:rsidR="00503ECC" w:rsidRPr="008D2CC5">
        <w:rPr>
          <w:lang w:val="fr-FR"/>
        </w:rPr>
        <w:t xml:space="preserve"> les processus de rejets secondaires résultant de rejets initiaux de mercure dans le milieu terrestre</w:t>
      </w:r>
      <w:r w:rsidR="00452496" w:rsidRPr="008D2CC5">
        <w:rPr>
          <w:lang w:val="fr-FR"/>
        </w:rPr>
        <w:t>.</w:t>
      </w:r>
    </w:p>
    <w:p w14:paraId="4D583574" w14:textId="12AFC6FC" w:rsidR="00D31AFF" w:rsidRPr="008D2CC5" w:rsidRDefault="00D31AFF" w:rsidP="008B22F8">
      <w:pPr>
        <w:pStyle w:val="CH3"/>
        <w:rPr>
          <w:lang w:val="fr-FR"/>
        </w:rPr>
      </w:pPr>
      <w:r w:rsidRPr="008D2CC5">
        <w:rPr>
          <w:lang w:val="fr-FR"/>
        </w:rPr>
        <w:lastRenderedPageBreak/>
        <w:tab/>
      </w:r>
      <w:r w:rsidR="00B557F6" w:rsidRPr="008D2CC5">
        <w:rPr>
          <w:lang w:val="fr-FR"/>
        </w:rPr>
        <w:t>5</w:t>
      </w:r>
      <w:r w:rsidR="00152CD3" w:rsidRPr="008D2CC5">
        <w:rPr>
          <w:lang w:val="fr-FR"/>
        </w:rPr>
        <w:t>.</w:t>
      </w:r>
      <w:r w:rsidRPr="008D2CC5">
        <w:rPr>
          <w:lang w:val="fr-FR"/>
        </w:rPr>
        <w:tab/>
      </w:r>
      <w:bookmarkStart w:id="7" w:name="_Toc15920540"/>
      <w:r w:rsidRPr="008D2CC5">
        <w:rPr>
          <w:lang w:val="fr-FR"/>
        </w:rPr>
        <w:t xml:space="preserve">Obligations </w:t>
      </w:r>
      <w:r w:rsidR="002E3C14" w:rsidRPr="008D2CC5">
        <w:rPr>
          <w:lang w:val="fr-FR"/>
        </w:rPr>
        <w:t>au titre de la Convention de</w:t>
      </w:r>
      <w:r w:rsidRPr="008D2CC5">
        <w:rPr>
          <w:lang w:val="fr-FR"/>
        </w:rPr>
        <w:t xml:space="preserve"> Minamata </w:t>
      </w:r>
      <w:bookmarkEnd w:id="7"/>
      <w:r w:rsidR="002E3C14" w:rsidRPr="008D2CC5">
        <w:rPr>
          <w:lang w:val="fr-FR"/>
        </w:rPr>
        <w:t>sur le mercure</w:t>
      </w:r>
    </w:p>
    <w:p w14:paraId="4C078AC4" w14:textId="31AC217F" w:rsidR="00D31AFF" w:rsidRPr="008D2CC5" w:rsidRDefault="002E3C14" w:rsidP="008B22F8">
      <w:pPr>
        <w:pStyle w:val="Normalnumber"/>
        <w:keepNext/>
        <w:keepLines/>
        <w:numPr>
          <w:ilvl w:val="0"/>
          <w:numId w:val="5"/>
        </w:numPr>
        <w:rPr>
          <w:lang w:val="fr-FR"/>
        </w:rPr>
      </w:pPr>
      <w:r w:rsidRPr="008D2CC5">
        <w:rPr>
          <w:lang w:val="fr-FR"/>
        </w:rPr>
        <w:t>L</w:t>
      </w:r>
      <w:r w:rsidR="000409D6" w:rsidRPr="008D2CC5">
        <w:rPr>
          <w:lang w:val="fr-FR"/>
        </w:rPr>
        <w:t>’</w:t>
      </w:r>
      <w:r w:rsidRPr="008D2CC5">
        <w:rPr>
          <w:lang w:val="fr-FR"/>
        </w:rPr>
        <w:t>a</w:t>
      </w:r>
      <w:r w:rsidR="00D31AFF" w:rsidRPr="008D2CC5">
        <w:rPr>
          <w:lang w:val="fr-FR"/>
        </w:rPr>
        <w:t>rticle</w:t>
      </w:r>
      <w:r w:rsidRPr="008D2CC5">
        <w:rPr>
          <w:lang w:val="fr-FR"/>
        </w:rPr>
        <w:t> </w:t>
      </w:r>
      <w:r w:rsidR="00D31AFF" w:rsidRPr="008D2CC5">
        <w:rPr>
          <w:lang w:val="fr-FR"/>
        </w:rPr>
        <w:t xml:space="preserve">12 </w:t>
      </w:r>
      <w:r w:rsidRPr="008D2CC5">
        <w:rPr>
          <w:lang w:val="fr-FR"/>
        </w:rPr>
        <w:t xml:space="preserve">de la Convention de </w:t>
      </w:r>
      <w:r w:rsidR="00D31AFF" w:rsidRPr="008D2CC5">
        <w:rPr>
          <w:lang w:val="fr-FR"/>
        </w:rPr>
        <w:t xml:space="preserve">Minamata </w:t>
      </w:r>
      <w:r w:rsidRPr="008D2CC5">
        <w:rPr>
          <w:lang w:val="fr-FR"/>
        </w:rPr>
        <w:t>définit les obligations ci-après en ce qui concerne les sites contaminés</w:t>
      </w:r>
      <w:r w:rsidR="000409D6" w:rsidRPr="008D2CC5">
        <w:rPr>
          <w:lang w:val="fr-FR"/>
        </w:rPr>
        <w:t> :</w:t>
      </w:r>
      <w:r w:rsidR="00D31AFF" w:rsidRPr="008D2CC5">
        <w:rPr>
          <w:lang w:val="fr-FR"/>
        </w:rPr>
        <w:t xml:space="preserve"> </w:t>
      </w:r>
    </w:p>
    <w:p w14:paraId="5863630F" w14:textId="360CF6B5" w:rsidR="00D31AFF" w:rsidRPr="008D2CC5" w:rsidRDefault="002E3C14" w:rsidP="008B22F8">
      <w:pPr>
        <w:pStyle w:val="Normalnumber"/>
        <w:keepNext/>
        <w:keepLines/>
        <w:numPr>
          <w:ilvl w:val="1"/>
          <w:numId w:val="5"/>
        </w:numPr>
        <w:rPr>
          <w:lang w:val="fr-FR"/>
        </w:rPr>
      </w:pPr>
      <w:r w:rsidRPr="008D2CC5">
        <w:rPr>
          <w:lang w:val="fr-FR"/>
        </w:rPr>
        <w:t>Chaque Partie s</w:t>
      </w:r>
      <w:r w:rsidR="000409D6" w:rsidRPr="008D2CC5">
        <w:rPr>
          <w:lang w:val="fr-FR"/>
        </w:rPr>
        <w:t>’</w:t>
      </w:r>
      <w:r w:rsidRPr="008D2CC5">
        <w:rPr>
          <w:lang w:val="fr-FR"/>
        </w:rPr>
        <w:t>efforce d</w:t>
      </w:r>
      <w:r w:rsidR="000409D6" w:rsidRPr="008D2CC5">
        <w:rPr>
          <w:lang w:val="fr-FR"/>
        </w:rPr>
        <w:t>’</w:t>
      </w:r>
      <w:r w:rsidRPr="008D2CC5">
        <w:rPr>
          <w:lang w:val="fr-FR"/>
        </w:rPr>
        <w:t>élaborer des stratégies appropriées pour identifier et évaluer les sites contaminés par du mercure ou des composés du mercure</w:t>
      </w:r>
      <w:r w:rsidR="00D31AFF" w:rsidRPr="008D2CC5">
        <w:rPr>
          <w:lang w:val="fr-FR"/>
        </w:rPr>
        <w:t>.</w:t>
      </w:r>
    </w:p>
    <w:p w14:paraId="77DC18D4" w14:textId="33FD030F" w:rsidR="00D31AFF" w:rsidRPr="008D2CC5" w:rsidRDefault="002E3C14" w:rsidP="008B22F8">
      <w:pPr>
        <w:pStyle w:val="Normalnumber"/>
        <w:keepNext/>
        <w:keepLines/>
        <w:numPr>
          <w:ilvl w:val="1"/>
          <w:numId w:val="5"/>
        </w:numPr>
        <w:rPr>
          <w:lang w:val="fr-FR"/>
        </w:rPr>
      </w:pPr>
      <w:r w:rsidRPr="008D2CC5">
        <w:rPr>
          <w:lang w:val="fr-FR"/>
        </w:rPr>
        <w:t>Les actions visant à réduire les risques présentés par ces sites sont menées d</w:t>
      </w:r>
      <w:r w:rsidR="000409D6" w:rsidRPr="008D2CC5">
        <w:rPr>
          <w:lang w:val="fr-FR"/>
        </w:rPr>
        <w:t>’</w:t>
      </w:r>
      <w:r w:rsidRPr="008D2CC5">
        <w:rPr>
          <w:lang w:val="fr-FR"/>
        </w:rPr>
        <w:t>une</w:t>
      </w:r>
      <w:r w:rsidR="00380F44" w:rsidRPr="008D2CC5">
        <w:rPr>
          <w:lang w:val="fr-FR"/>
        </w:rPr>
        <w:t> </w:t>
      </w:r>
      <w:r w:rsidRPr="008D2CC5">
        <w:rPr>
          <w:lang w:val="fr-FR"/>
        </w:rPr>
        <w:t>manière écologiquement rationnelle comprenant, au besoin, une évaluation des risques pour la</w:t>
      </w:r>
      <w:r w:rsidR="00380F44" w:rsidRPr="008D2CC5">
        <w:rPr>
          <w:lang w:val="fr-FR"/>
        </w:rPr>
        <w:t> </w:t>
      </w:r>
      <w:r w:rsidRPr="008D2CC5">
        <w:rPr>
          <w:lang w:val="fr-FR"/>
        </w:rPr>
        <w:t>santé humaine et l</w:t>
      </w:r>
      <w:r w:rsidR="000409D6" w:rsidRPr="008D2CC5">
        <w:rPr>
          <w:lang w:val="fr-FR"/>
        </w:rPr>
        <w:t>’</w:t>
      </w:r>
      <w:r w:rsidRPr="008D2CC5">
        <w:rPr>
          <w:lang w:val="fr-FR"/>
        </w:rPr>
        <w:t>environnement posés par le mercure ou les composés du mercure qu</w:t>
      </w:r>
      <w:r w:rsidR="000409D6" w:rsidRPr="008D2CC5">
        <w:rPr>
          <w:lang w:val="fr-FR"/>
        </w:rPr>
        <w:t>’</w:t>
      </w:r>
      <w:r w:rsidRPr="008D2CC5">
        <w:rPr>
          <w:lang w:val="fr-FR"/>
        </w:rPr>
        <w:t>ils recèlent</w:t>
      </w:r>
      <w:r w:rsidR="00D31AFF" w:rsidRPr="008D2CC5">
        <w:rPr>
          <w:lang w:val="fr-FR"/>
        </w:rPr>
        <w:t xml:space="preserve">. </w:t>
      </w:r>
    </w:p>
    <w:p w14:paraId="51B169D0" w14:textId="3432CD39" w:rsidR="00D31AFF" w:rsidRPr="008D2CC5" w:rsidRDefault="002E3C14" w:rsidP="008E43CD">
      <w:pPr>
        <w:pStyle w:val="Normalnumber"/>
        <w:numPr>
          <w:ilvl w:val="1"/>
          <w:numId w:val="5"/>
        </w:numPr>
        <w:rPr>
          <w:lang w:val="fr-FR"/>
        </w:rPr>
      </w:pPr>
      <w:r w:rsidRPr="008D2CC5">
        <w:rPr>
          <w:lang w:val="fr-FR"/>
        </w:rPr>
        <w:t>La Conférence des Parties adopte des orientations sur la gestion des sites contaminés qui peuvent inclure des méthodes et des approches pour</w:t>
      </w:r>
      <w:r w:rsidR="000409D6" w:rsidRPr="008D2CC5">
        <w:rPr>
          <w:lang w:val="fr-FR"/>
        </w:rPr>
        <w:t> :</w:t>
      </w:r>
      <w:r w:rsidR="00D31AFF" w:rsidRPr="008D2CC5">
        <w:rPr>
          <w:lang w:val="fr-FR"/>
        </w:rPr>
        <w:t xml:space="preserve"> </w:t>
      </w:r>
    </w:p>
    <w:p w14:paraId="1E352083" w14:textId="031D871E" w:rsidR="00D31AFF" w:rsidRPr="008D2CC5" w:rsidRDefault="002E3C14" w:rsidP="008E43CD">
      <w:pPr>
        <w:pStyle w:val="Normalnumber"/>
        <w:numPr>
          <w:ilvl w:val="2"/>
          <w:numId w:val="5"/>
        </w:numPr>
        <w:rPr>
          <w:lang w:val="fr-FR"/>
        </w:rPr>
      </w:pPr>
      <w:r w:rsidRPr="008D2CC5">
        <w:rPr>
          <w:lang w:val="fr-FR"/>
        </w:rPr>
        <w:t>L</w:t>
      </w:r>
      <w:r w:rsidR="000409D6" w:rsidRPr="008D2CC5">
        <w:rPr>
          <w:lang w:val="fr-FR"/>
        </w:rPr>
        <w:t>’</w:t>
      </w:r>
      <w:r w:rsidRPr="008D2CC5">
        <w:rPr>
          <w:lang w:val="fr-FR"/>
        </w:rPr>
        <w:t>identification et la caractérisation des sites contaminés</w:t>
      </w:r>
      <w:r w:rsidR="000409D6" w:rsidRPr="008D2CC5">
        <w:rPr>
          <w:lang w:val="fr-FR"/>
        </w:rPr>
        <w:t> ;</w:t>
      </w:r>
    </w:p>
    <w:p w14:paraId="772D1428" w14:textId="35A63092" w:rsidR="00D31AFF" w:rsidRPr="008D2CC5" w:rsidRDefault="002E3C14" w:rsidP="008E43CD">
      <w:pPr>
        <w:pStyle w:val="Normalnumber"/>
        <w:numPr>
          <w:ilvl w:val="2"/>
          <w:numId w:val="5"/>
        </w:numPr>
        <w:rPr>
          <w:lang w:val="fr-FR"/>
        </w:rPr>
      </w:pPr>
      <w:r w:rsidRPr="008D2CC5">
        <w:rPr>
          <w:lang w:val="fr-FR"/>
        </w:rPr>
        <w:t>La mobilisation du public</w:t>
      </w:r>
      <w:r w:rsidR="000409D6" w:rsidRPr="008D2CC5">
        <w:rPr>
          <w:lang w:val="fr-FR"/>
        </w:rPr>
        <w:t> ;</w:t>
      </w:r>
    </w:p>
    <w:p w14:paraId="176B492E" w14:textId="73AC340D" w:rsidR="00D31AFF" w:rsidRPr="008D2CC5" w:rsidRDefault="002E3C14" w:rsidP="008E43CD">
      <w:pPr>
        <w:pStyle w:val="Normalnumber"/>
        <w:numPr>
          <w:ilvl w:val="2"/>
          <w:numId w:val="5"/>
        </w:numPr>
        <w:rPr>
          <w:lang w:val="fr-FR"/>
        </w:rPr>
      </w:pPr>
      <w:r w:rsidRPr="008D2CC5">
        <w:rPr>
          <w:lang w:val="fr-FR"/>
        </w:rPr>
        <w:t>Les évaluations des risques pour la santé humaine et l</w:t>
      </w:r>
      <w:r w:rsidR="000409D6" w:rsidRPr="008D2CC5">
        <w:rPr>
          <w:lang w:val="fr-FR"/>
        </w:rPr>
        <w:t>’</w:t>
      </w:r>
      <w:r w:rsidRPr="008D2CC5">
        <w:rPr>
          <w:lang w:val="fr-FR"/>
        </w:rPr>
        <w:t>environnement</w:t>
      </w:r>
      <w:r w:rsidR="000409D6" w:rsidRPr="008D2CC5">
        <w:rPr>
          <w:lang w:val="fr-FR"/>
        </w:rPr>
        <w:t> ;</w:t>
      </w:r>
    </w:p>
    <w:p w14:paraId="09E32CED" w14:textId="2815504D" w:rsidR="00D31AFF" w:rsidRPr="008D2CC5" w:rsidRDefault="002E3C14" w:rsidP="008E43CD">
      <w:pPr>
        <w:pStyle w:val="Normalnumber"/>
        <w:numPr>
          <w:ilvl w:val="2"/>
          <w:numId w:val="5"/>
        </w:numPr>
        <w:rPr>
          <w:lang w:val="fr-FR"/>
        </w:rPr>
      </w:pPr>
      <w:r w:rsidRPr="008D2CC5">
        <w:rPr>
          <w:lang w:val="fr-FR"/>
        </w:rPr>
        <w:t>Les options de gestion des risques présentés par les sites contaminés</w:t>
      </w:r>
      <w:r w:rsidR="000409D6" w:rsidRPr="008D2CC5">
        <w:rPr>
          <w:lang w:val="fr-FR"/>
        </w:rPr>
        <w:t> ;</w:t>
      </w:r>
    </w:p>
    <w:p w14:paraId="6B3F30F3" w14:textId="63FE63A4" w:rsidR="00D31AFF" w:rsidRPr="008D2CC5" w:rsidRDefault="002E3C14" w:rsidP="008E43CD">
      <w:pPr>
        <w:pStyle w:val="Normalnumber"/>
        <w:numPr>
          <w:ilvl w:val="2"/>
          <w:numId w:val="5"/>
        </w:numPr>
        <w:rPr>
          <w:lang w:val="fr-FR"/>
        </w:rPr>
      </w:pPr>
      <w:r w:rsidRPr="008D2CC5">
        <w:rPr>
          <w:lang w:val="fr-FR"/>
        </w:rPr>
        <w:t>L</w:t>
      </w:r>
      <w:r w:rsidR="000409D6" w:rsidRPr="008D2CC5">
        <w:rPr>
          <w:lang w:val="fr-FR"/>
        </w:rPr>
        <w:t>’</w:t>
      </w:r>
      <w:r w:rsidRPr="008D2CC5">
        <w:rPr>
          <w:lang w:val="fr-FR"/>
        </w:rPr>
        <w:t>évaluation des avantages et des coûts</w:t>
      </w:r>
      <w:r w:rsidR="000409D6" w:rsidRPr="008D2CC5">
        <w:rPr>
          <w:lang w:val="fr-FR"/>
        </w:rPr>
        <w:t> ;</w:t>
      </w:r>
    </w:p>
    <w:p w14:paraId="79941831" w14:textId="377ED8A0" w:rsidR="00D31AFF" w:rsidRPr="008D2CC5" w:rsidRDefault="002E3C14" w:rsidP="00797A0D">
      <w:pPr>
        <w:pStyle w:val="Normalnumber"/>
        <w:numPr>
          <w:ilvl w:val="2"/>
          <w:numId w:val="5"/>
        </w:numPr>
        <w:rPr>
          <w:lang w:val="fr-FR"/>
        </w:rPr>
      </w:pPr>
      <w:r w:rsidRPr="008D2CC5">
        <w:rPr>
          <w:lang w:val="fr-FR"/>
        </w:rPr>
        <w:t>La validation des résultats</w:t>
      </w:r>
      <w:r w:rsidR="00265E91" w:rsidRPr="008D2CC5">
        <w:rPr>
          <w:lang w:val="fr-FR"/>
        </w:rPr>
        <w:t>.</w:t>
      </w:r>
    </w:p>
    <w:p w14:paraId="407AC713" w14:textId="4F39E6B2" w:rsidR="00797A0D" w:rsidRPr="008D2CC5" w:rsidRDefault="00797A0D" w:rsidP="008E43CD">
      <w:pPr>
        <w:pStyle w:val="Normalnumber"/>
        <w:numPr>
          <w:ilvl w:val="0"/>
          <w:numId w:val="5"/>
        </w:numPr>
        <w:rPr>
          <w:lang w:val="fr-FR"/>
        </w:rPr>
      </w:pPr>
      <w:r w:rsidRPr="008D2CC5">
        <w:rPr>
          <w:lang w:val="fr-FR"/>
        </w:rPr>
        <w:t>Dans l</w:t>
      </w:r>
      <w:r w:rsidR="000409D6" w:rsidRPr="008D2CC5">
        <w:rPr>
          <w:lang w:val="fr-FR"/>
        </w:rPr>
        <w:t>’</w:t>
      </w:r>
      <w:r w:rsidRPr="008D2CC5">
        <w:rPr>
          <w:lang w:val="fr-FR"/>
        </w:rPr>
        <w:t>article 12, les Parties sont également encouragées à coopérer à l</w:t>
      </w:r>
      <w:r w:rsidR="000409D6" w:rsidRPr="008D2CC5">
        <w:rPr>
          <w:lang w:val="fr-FR"/>
        </w:rPr>
        <w:t>’</w:t>
      </w:r>
      <w:r w:rsidRPr="008D2CC5">
        <w:rPr>
          <w:lang w:val="fr-FR"/>
        </w:rPr>
        <w:t>élaboration de stratégies et à l</w:t>
      </w:r>
      <w:r w:rsidR="000409D6" w:rsidRPr="008D2CC5">
        <w:rPr>
          <w:lang w:val="fr-FR"/>
        </w:rPr>
        <w:t>’</w:t>
      </w:r>
      <w:r w:rsidRPr="008D2CC5">
        <w:rPr>
          <w:lang w:val="fr-FR"/>
        </w:rPr>
        <w:t>exécution d</w:t>
      </w:r>
      <w:r w:rsidR="000409D6" w:rsidRPr="008D2CC5">
        <w:rPr>
          <w:lang w:val="fr-FR"/>
        </w:rPr>
        <w:t>’</w:t>
      </w:r>
      <w:r w:rsidRPr="008D2CC5">
        <w:rPr>
          <w:lang w:val="fr-FR"/>
        </w:rPr>
        <w:t>activités visant à identifier, évaluer, classer par ordre de priorité, gérer et, s</w:t>
      </w:r>
      <w:r w:rsidR="000409D6" w:rsidRPr="008D2CC5">
        <w:rPr>
          <w:lang w:val="fr-FR"/>
        </w:rPr>
        <w:t>’</w:t>
      </w:r>
      <w:r w:rsidRPr="008D2CC5">
        <w:rPr>
          <w:lang w:val="fr-FR"/>
        </w:rPr>
        <w:t>il y a lieu, remettre en état les sites contaminés.</w:t>
      </w:r>
    </w:p>
    <w:p w14:paraId="4170FE52" w14:textId="62BD74E1" w:rsidR="00D31AFF" w:rsidRPr="008D2CC5" w:rsidRDefault="0061395F" w:rsidP="008E43CD">
      <w:pPr>
        <w:pStyle w:val="Normalnumber"/>
        <w:numPr>
          <w:ilvl w:val="0"/>
          <w:numId w:val="5"/>
        </w:numPr>
        <w:rPr>
          <w:lang w:val="fr-FR"/>
        </w:rPr>
      </w:pPr>
      <w:r w:rsidRPr="008D2CC5">
        <w:rPr>
          <w:lang w:val="fr-FR"/>
        </w:rPr>
        <w:t>Les présentes orientations ont été élaborées conformément</w:t>
      </w:r>
      <w:r w:rsidR="00AF7F22" w:rsidRPr="008D2CC5">
        <w:rPr>
          <w:lang w:val="fr-FR"/>
        </w:rPr>
        <w:t xml:space="preserve"> au paragraphe 3 de l</w:t>
      </w:r>
      <w:r w:rsidR="000409D6" w:rsidRPr="008D2CC5">
        <w:rPr>
          <w:lang w:val="fr-FR"/>
        </w:rPr>
        <w:t>’</w:t>
      </w:r>
      <w:r w:rsidR="00AF7F22" w:rsidRPr="008D2CC5">
        <w:rPr>
          <w:lang w:val="fr-FR"/>
        </w:rPr>
        <w:t>article 12 de la</w:t>
      </w:r>
      <w:r w:rsidR="00380F44" w:rsidRPr="008D2CC5">
        <w:rPr>
          <w:lang w:val="fr-FR"/>
        </w:rPr>
        <w:t> </w:t>
      </w:r>
      <w:r w:rsidR="00AF7F22" w:rsidRPr="008D2CC5">
        <w:rPr>
          <w:lang w:val="fr-FR"/>
        </w:rPr>
        <w:t>Convention</w:t>
      </w:r>
      <w:r w:rsidR="00D31AFF" w:rsidRPr="008D2CC5">
        <w:rPr>
          <w:lang w:val="fr-FR"/>
        </w:rPr>
        <w:t xml:space="preserve"> </w:t>
      </w:r>
      <w:r w:rsidR="00AD2C0E" w:rsidRPr="008D2CC5">
        <w:rPr>
          <w:lang w:val="fr-FR"/>
        </w:rPr>
        <w:t>(</w:t>
      </w:r>
      <w:r w:rsidR="00AF7F22" w:rsidRPr="008D2CC5">
        <w:rPr>
          <w:lang w:val="fr-FR"/>
        </w:rPr>
        <w:t>alinéa c) du paragraphe </w:t>
      </w:r>
      <w:r w:rsidR="00AD2C0E" w:rsidRPr="008D2CC5">
        <w:rPr>
          <w:lang w:val="fr-FR"/>
        </w:rPr>
        <w:t xml:space="preserve">16 </w:t>
      </w:r>
      <w:r w:rsidR="00AF7F22" w:rsidRPr="008D2CC5">
        <w:rPr>
          <w:lang w:val="fr-FR"/>
        </w:rPr>
        <w:t>ci-dessus</w:t>
      </w:r>
      <w:r w:rsidR="00AD2C0E" w:rsidRPr="008D2CC5">
        <w:rPr>
          <w:lang w:val="fr-FR"/>
        </w:rPr>
        <w:t xml:space="preserve">) </w:t>
      </w:r>
      <w:r w:rsidR="00AF7F22" w:rsidRPr="008D2CC5">
        <w:rPr>
          <w:lang w:val="fr-FR"/>
        </w:rPr>
        <w:t xml:space="preserve">et sont </w:t>
      </w:r>
      <w:r w:rsidR="00265E91" w:rsidRPr="008D2CC5">
        <w:rPr>
          <w:lang w:val="fr-FR"/>
        </w:rPr>
        <w:t xml:space="preserve">structurées </w:t>
      </w:r>
      <w:r w:rsidR="00AF7F22" w:rsidRPr="008D2CC5">
        <w:rPr>
          <w:lang w:val="fr-FR"/>
        </w:rPr>
        <w:t>autour des principales méthodes et approches qui y sont énoncées.</w:t>
      </w:r>
      <w:r w:rsidR="00D31AFF" w:rsidRPr="008D2CC5">
        <w:rPr>
          <w:lang w:val="fr-FR"/>
        </w:rPr>
        <w:t xml:space="preserve"> </w:t>
      </w:r>
      <w:r w:rsidR="00AF7F22" w:rsidRPr="008D2CC5">
        <w:rPr>
          <w:lang w:val="fr-FR"/>
        </w:rPr>
        <w:t>Elles mentionnent également des politiques nationales mises en</w:t>
      </w:r>
      <w:r w:rsidR="00380F44" w:rsidRPr="008D2CC5">
        <w:rPr>
          <w:lang w:val="fr-FR"/>
        </w:rPr>
        <w:t> </w:t>
      </w:r>
      <w:r w:rsidR="004850AB" w:rsidRPr="008D2CC5">
        <w:rPr>
          <w:lang w:val="fr-FR"/>
        </w:rPr>
        <w:t>place</w:t>
      </w:r>
      <w:r w:rsidR="00AF7F22" w:rsidRPr="008D2CC5">
        <w:rPr>
          <w:lang w:val="fr-FR"/>
        </w:rPr>
        <w:t xml:space="preserve"> dans un certain nombre de pays</w:t>
      </w:r>
      <w:r w:rsidR="00D31AFF" w:rsidRPr="008D2CC5">
        <w:rPr>
          <w:lang w:val="fr-FR"/>
        </w:rPr>
        <w:t xml:space="preserve">. </w:t>
      </w:r>
    </w:p>
    <w:p w14:paraId="26D966A2" w14:textId="7F75E766" w:rsidR="00D31AFF" w:rsidRPr="008D2CC5" w:rsidRDefault="00D31AFF" w:rsidP="00F93F76">
      <w:pPr>
        <w:pStyle w:val="CH2"/>
        <w:rPr>
          <w:lang w:val="fr-FR"/>
        </w:rPr>
      </w:pPr>
      <w:r w:rsidRPr="008D2CC5">
        <w:rPr>
          <w:lang w:val="fr-FR"/>
        </w:rPr>
        <w:tab/>
      </w:r>
      <w:bookmarkStart w:id="8" w:name="_Toc15920541"/>
      <w:r w:rsidRPr="008D2CC5">
        <w:rPr>
          <w:lang w:val="fr-FR"/>
        </w:rPr>
        <w:t>B.</w:t>
      </w:r>
      <w:r w:rsidRPr="008D2CC5">
        <w:rPr>
          <w:lang w:val="fr-FR"/>
        </w:rPr>
        <w:tab/>
      </w:r>
      <w:r w:rsidR="009E62FA" w:rsidRPr="008D2CC5">
        <w:rPr>
          <w:lang w:val="fr-FR"/>
        </w:rPr>
        <w:t>I</w:t>
      </w:r>
      <w:r w:rsidRPr="008D2CC5">
        <w:rPr>
          <w:lang w:val="fr-FR"/>
        </w:rPr>
        <w:t xml:space="preserve">dentification </w:t>
      </w:r>
      <w:r w:rsidR="009E62FA" w:rsidRPr="008D2CC5">
        <w:rPr>
          <w:lang w:val="fr-FR"/>
        </w:rPr>
        <w:t>et</w:t>
      </w:r>
      <w:r w:rsidRPr="008D2CC5">
        <w:rPr>
          <w:lang w:val="fr-FR"/>
        </w:rPr>
        <w:t xml:space="preserve"> caract</w:t>
      </w:r>
      <w:r w:rsidR="009E62FA" w:rsidRPr="008D2CC5">
        <w:rPr>
          <w:lang w:val="fr-FR"/>
        </w:rPr>
        <w:t>é</w:t>
      </w:r>
      <w:r w:rsidRPr="008D2CC5">
        <w:rPr>
          <w:lang w:val="fr-FR"/>
        </w:rPr>
        <w:t>ri</w:t>
      </w:r>
      <w:r w:rsidR="009E62FA" w:rsidRPr="008D2CC5">
        <w:rPr>
          <w:lang w:val="fr-FR"/>
        </w:rPr>
        <w:t>s</w:t>
      </w:r>
      <w:r w:rsidRPr="008D2CC5">
        <w:rPr>
          <w:lang w:val="fr-FR"/>
        </w:rPr>
        <w:t>ation</w:t>
      </w:r>
      <w:bookmarkEnd w:id="8"/>
      <w:r w:rsidR="009E62FA" w:rsidRPr="008D2CC5">
        <w:rPr>
          <w:lang w:val="fr-FR"/>
        </w:rPr>
        <w:t xml:space="preserve"> des sites</w:t>
      </w:r>
    </w:p>
    <w:p w14:paraId="7D431C54" w14:textId="4D53CF64" w:rsidR="00D31AFF" w:rsidRPr="008D2CC5" w:rsidRDefault="00D31AFF" w:rsidP="00F93F76">
      <w:pPr>
        <w:pStyle w:val="CH3"/>
        <w:rPr>
          <w:lang w:val="fr-FR"/>
        </w:rPr>
      </w:pPr>
      <w:r w:rsidRPr="008D2CC5">
        <w:rPr>
          <w:lang w:val="fr-FR"/>
        </w:rPr>
        <w:tab/>
      </w:r>
      <w:r w:rsidR="00152CD3" w:rsidRPr="008D2CC5">
        <w:rPr>
          <w:lang w:val="fr-FR"/>
        </w:rPr>
        <w:t>1.</w:t>
      </w:r>
      <w:r w:rsidRPr="008D2CC5">
        <w:rPr>
          <w:lang w:val="fr-FR"/>
        </w:rPr>
        <w:tab/>
      </w:r>
      <w:bookmarkStart w:id="9" w:name="_Toc15920542"/>
      <w:r w:rsidR="00290187" w:rsidRPr="008D2CC5">
        <w:rPr>
          <w:lang w:val="fr-FR"/>
        </w:rPr>
        <w:t>I</w:t>
      </w:r>
      <w:r w:rsidRPr="008D2CC5">
        <w:rPr>
          <w:lang w:val="fr-FR"/>
        </w:rPr>
        <w:t>dentification</w:t>
      </w:r>
      <w:bookmarkEnd w:id="9"/>
      <w:r w:rsidR="00290187" w:rsidRPr="008D2CC5">
        <w:rPr>
          <w:lang w:val="fr-FR"/>
        </w:rPr>
        <w:t xml:space="preserve"> des sites</w:t>
      </w:r>
    </w:p>
    <w:p w14:paraId="12A2CDA9" w14:textId="1B99153A" w:rsidR="00D31AFF" w:rsidRPr="008D2CC5" w:rsidRDefault="00290187" w:rsidP="008E43CD">
      <w:pPr>
        <w:pStyle w:val="Normalnumber"/>
        <w:numPr>
          <w:ilvl w:val="0"/>
          <w:numId w:val="5"/>
        </w:numPr>
        <w:rPr>
          <w:lang w:val="fr-FR"/>
        </w:rPr>
      </w:pPr>
      <w:r w:rsidRPr="008D2CC5">
        <w:rPr>
          <w:lang w:val="fr-FR"/>
        </w:rPr>
        <w:t>Le p</w:t>
      </w:r>
      <w:r w:rsidR="00D31AFF" w:rsidRPr="008D2CC5">
        <w:rPr>
          <w:lang w:val="fr-FR"/>
        </w:rPr>
        <w:t>aragraph</w:t>
      </w:r>
      <w:r w:rsidRPr="008D2CC5">
        <w:rPr>
          <w:lang w:val="fr-FR"/>
        </w:rPr>
        <w:t>e </w:t>
      </w:r>
      <w:r w:rsidR="00D31AFF" w:rsidRPr="008D2CC5">
        <w:rPr>
          <w:lang w:val="fr-FR"/>
        </w:rPr>
        <w:t xml:space="preserve">1 </w:t>
      </w:r>
      <w:r w:rsidRPr="008D2CC5">
        <w:rPr>
          <w:lang w:val="fr-FR"/>
        </w:rPr>
        <w:t>de l</w:t>
      </w:r>
      <w:r w:rsidR="000409D6" w:rsidRPr="008D2CC5">
        <w:rPr>
          <w:lang w:val="fr-FR"/>
        </w:rPr>
        <w:t>’</w:t>
      </w:r>
      <w:r w:rsidR="00D31AFF" w:rsidRPr="008D2CC5">
        <w:rPr>
          <w:lang w:val="fr-FR"/>
        </w:rPr>
        <w:t>article</w:t>
      </w:r>
      <w:r w:rsidRPr="008D2CC5">
        <w:rPr>
          <w:lang w:val="fr-FR"/>
        </w:rPr>
        <w:t> </w:t>
      </w:r>
      <w:r w:rsidR="00D31AFF" w:rsidRPr="008D2CC5">
        <w:rPr>
          <w:lang w:val="fr-FR"/>
        </w:rPr>
        <w:t xml:space="preserve">12 </w:t>
      </w:r>
      <w:r w:rsidRPr="008D2CC5">
        <w:rPr>
          <w:lang w:val="fr-FR"/>
        </w:rPr>
        <w:t>fait obligation aux Parties de</w:t>
      </w:r>
      <w:r w:rsidR="00D31AFF" w:rsidRPr="008D2CC5">
        <w:rPr>
          <w:lang w:val="fr-FR"/>
        </w:rPr>
        <w:t xml:space="preserve"> </w:t>
      </w:r>
      <w:r w:rsidRPr="008D2CC5">
        <w:rPr>
          <w:lang w:val="fr-FR"/>
        </w:rPr>
        <w:t>s</w:t>
      </w:r>
      <w:r w:rsidR="000409D6" w:rsidRPr="008D2CC5">
        <w:rPr>
          <w:lang w:val="fr-FR"/>
        </w:rPr>
        <w:t>’</w:t>
      </w:r>
      <w:r w:rsidRPr="008D2CC5">
        <w:rPr>
          <w:lang w:val="fr-FR"/>
        </w:rPr>
        <w:t>efforcer d</w:t>
      </w:r>
      <w:r w:rsidR="000409D6" w:rsidRPr="008D2CC5">
        <w:rPr>
          <w:lang w:val="fr-FR"/>
        </w:rPr>
        <w:t>’</w:t>
      </w:r>
      <w:r w:rsidRPr="008D2CC5">
        <w:rPr>
          <w:lang w:val="fr-FR"/>
        </w:rPr>
        <w:t>élaborer des stratégies appropriées pour identifier et évaluer les sites contaminés par du mercure ou des composés du mercure</w:t>
      </w:r>
      <w:r w:rsidR="00D31AFF" w:rsidRPr="008D2CC5">
        <w:rPr>
          <w:lang w:val="fr-FR"/>
        </w:rPr>
        <w:t xml:space="preserve">. </w:t>
      </w:r>
      <w:r w:rsidR="004A4058" w:rsidRPr="008D2CC5">
        <w:rPr>
          <w:lang w:val="fr-FR"/>
        </w:rPr>
        <w:t>Les termes utilisés</w:t>
      </w:r>
      <w:r w:rsidR="00D31AFF" w:rsidRPr="008D2CC5">
        <w:rPr>
          <w:lang w:val="fr-FR"/>
        </w:rPr>
        <w:t xml:space="preserve"> </w:t>
      </w:r>
      <w:r w:rsidR="004A4058" w:rsidRPr="008D2CC5">
        <w:rPr>
          <w:lang w:val="fr-FR"/>
        </w:rPr>
        <w:t>supposent l</w:t>
      </w:r>
      <w:r w:rsidR="000409D6" w:rsidRPr="008D2CC5">
        <w:rPr>
          <w:lang w:val="fr-FR"/>
        </w:rPr>
        <w:t>’</w:t>
      </w:r>
      <w:r w:rsidR="004A4058" w:rsidRPr="008D2CC5">
        <w:rPr>
          <w:lang w:val="fr-FR"/>
        </w:rPr>
        <w:t>adoption d</w:t>
      </w:r>
      <w:r w:rsidR="000409D6" w:rsidRPr="008D2CC5">
        <w:rPr>
          <w:lang w:val="fr-FR"/>
        </w:rPr>
        <w:t>’</w:t>
      </w:r>
      <w:r w:rsidR="004A4058" w:rsidRPr="008D2CC5">
        <w:rPr>
          <w:lang w:val="fr-FR"/>
        </w:rPr>
        <w:t xml:space="preserve">une approche </w:t>
      </w:r>
      <w:r w:rsidR="00722063" w:rsidRPr="008D2CC5">
        <w:rPr>
          <w:lang w:val="fr-FR"/>
        </w:rPr>
        <w:t>comprenant</w:t>
      </w:r>
      <w:r w:rsidR="004A4058" w:rsidRPr="008D2CC5">
        <w:rPr>
          <w:lang w:val="fr-FR"/>
        </w:rPr>
        <w:t xml:space="preserve"> un examen, par chaque Partie, sur l</w:t>
      </w:r>
      <w:r w:rsidR="000409D6" w:rsidRPr="008D2CC5">
        <w:rPr>
          <w:lang w:val="fr-FR"/>
        </w:rPr>
        <w:t>’</w:t>
      </w:r>
      <w:r w:rsidR="004A4058" w:rsidRPr="008D2CC5">
        <w:rPr>
          <w:lang w:val="fr-FR"/>
        </w:rPr>
        <w:t>ensemble de son territoire, de l</w:t>
      </w:r>
      <w:r w:rsidR="000409D6" w:rsidRPr="008D2CC5">
        <w:rPr>
          <w:lang w:val="fr-FR"/>
        </w:rPr>
        <w:t>’</w:t>
      </w:r>
      <w:r w:rsidR="004A4058" w:rsidRPr="008D2CC5">
        <w:rPr>
          <w:lang w:val="fr-FR"/>
        </w:rPr>
        <w:t>étendue du problème des sites contaminés</w:t>
      </w:r>
      <w:r w:rsidR="00D31AFF" w:rsidRPr="008D2CC5">
        <w:rPr>
          <w:lang w:val="fr-FR"/>
        </w:rPr>
        <w:t xml:space="preserve">. </w:t>
      </w:r>
      <w:r w:rsidR="00722063" w:rsidRPr="008D2CC5">
        <w:rPr>
          <w:lang w:val="fr-FR"/>
        </w:rPr>
        <w:t>Dans la plupart des cas, il conviendra de commencer par recueillir des informations permettant d</w:t>
      </w:r>
      <w:r w:rsidR="000409D6" w:rsidRPr="008D2CC5">
        <w:rPr>
          <w:lang w:val="fr-FR"/>
        </w:rPr>
        <w:t>’</w:t>
      </w:r>
      <w:r w:rsidR="00722063" w:rsidRPr="008D2CC5">
        <w:rPr>
          <w:lang w:val="fr-FR"/>
        </w:rPr>
        <w:t>identifier les installations qui ont pu entreprendre des activités susceptibles d</w:t>
      </w:r>
      <w:r w:rsidR="000409D6" w:rsidRPr="008D2CC5">
        <w:rPr>
          <w:lang w:val="fr-FR"/>
        </w:rPr>
        <w:t>’</w:t>
      </w:r>
      <w:r w:rsidR="00722063" w:rsidRPr="008D2CC5">
        <w:rPr>
          <w:lang w:val="fr-FR"/>
        </w:rPr>
        <w:t>engendrer des rejets de mercure</w:t>
      </w:r>
      <w:r w:rsidR="00D31AFF" w:rsidRPr="008D2CC5">
        <w:rPr>
          <w:lang w:val="fr-FR"/>
        </w:rPr>
        <w:t>,</w:t>
      </w:r>
      <w:r w:rsidR="00722063" w:rsidRPr="008D2CC5">
        <w:rPr>
          <w:lang w:val="fr-FR"/>
        </w:rPr>
        <w:t xml:space="preserve"> dans la mesure où une telle identification est juridiquement, techniquement et financièrement réalisable</w:t>
      </w:r>
      <w:r w:rsidR="00D31AFF" w:rsidRPr="008D2CC5">
        <w:rPr>
          <w:lang w:val="fr-FR"/>
        </w:rPr>
        <w:t xml:space="preserve">. </w:t>
      </w:r>
      <w:r w:rsidR="00722063" w:rsidRPr="008D2CC5">
        <w:rPr>
          <w:lang w:val="fr-FR"/>
        </w:rPr>
        <w:t>Il</w:t>
      </w:r>
      <w:r w:rsidR="00380F44" w:rsidRPr="008D2CC5">
        <w:rPr>
          <w:lang w:val="fr-FR"/>
        </w:rPr>
        <w:t> </w:t>
      </w:r>
      <w:r w:rsidR="00722063" w:rsidRPr="008D2CC5">
        <w:rPr>
          <w:lang w:val="fr-FR"/>
        </w:rPr>
        <w:t>pourrait s</w:t>
      </w:r>
      <w:r w:rsidR="000409D6" w:rsidRPr="008D2CC5">
        <w:rPr>
          <w:lang w:val="fr-FR"/>
        </w:rPr>
        <w:t>’</w:t>
      </w:r>
      <w:r w:rsidR="00722063" w:rsidRPr="008D2CC5">
        <w:rPr>
          <w:lang w:val="fr-FR"/>
        </w:rPr>
        <w:t>agir de sites aussi bien actifs qu</w:t>
      </w:r>
      <w:r w:rsidR="000409D6" w:rsidRPr="008D2CC5">
        <w:rPr>
          <w:lang w:val="fr-FR"/>
        </w:rPr>
        <w:t>’</w:t>
      </w:r>
      <w:r w:rsidR="00722063" w:rsidRPr="008D2CC5">
        <w:rPr>
          <w:lang w:val="fr-FR"/>
        </w:rPr>
        <w:t xml:space="preserve">abandonnés </w:t>
      </w:r>
      <w:proofErr w:type="spellStart"/>
      <w:r w:rsidR="009A3117" w:rsidRPr="008D2CC5">
        <w:rPr>
          <w:lang w:val="fr-FR"/>
        </w:rPr>
        <w:t>où</w:t>
      </w:r>
      <w:proofErr w:type="spellEnd"/>
      <w:r w:rsidR="00722063" w:rsidRPr="008D2CC5">
        <w:rPr>
          <w:lang w:val="fr-FR"/>
        </w:rPr>
        <w:t xml:space="preserve"> du mercure ou des composés du mercure</w:t>
      </w:r>
      <w:r w:rsidR="009A3117" w:rsidRPr="008D2CC5">
        <w:rPr>
          <w:lang w:val="fr-FR"/>
        </w:rPr>
        <w:t xml:space="preserve"> sont ou ont été utilisés</w:t>
      </w:r>
      <w:r w:rsidR="00722063" w:rsidRPr="008D2CC5">
        <w:rPr>
          <w:lang w:val="fr-FR"/>
        </w:rPr>
        <w:t xml:space="preserve"> dans </w:t>
      </w:r>
      <w:r w:rsidR="009A3117" w:rsidRPr="008D2CC5">
        <w:rPr>
          <w:lang w:val="fr-FR"/>
        </w:rPr>
        <w:t>des</w:t>
      </w:r>
      <w:r w:rsidR="00722063" w:rsidRPr="008D2CC5">
        <w:rPr>
          <w:lang w:val="fr-FR"/>
        </w:rPr>
        <w:t xml:space="preserve"> procédés ou produits, </w:t>
      </w:r>
      <w:r w:rsidR="00A057E8" w:rsidRPr="008D2CC5">
        <w:rPr>
          <w:lang w:val="fr-FR"/>
        </w:rPr>
        <w:t>d</w:t>
      </w:r>
      <w:r w:rsidR="00722063" w:rsidRPr="008D2CC5">
        <w:rPr>
          <w:lang w:val="fr-FR"/>
        </w:rPr>
        <w:t>e sites d</w:t>
      </w:r>
      <w:r w:rsidR="000409D6" w:rsidRPr="008D2CC5">
        <w:rPr>
          <w:lang w:val="fr-FR"/>
        </w:rPr>
        <w:t>’</w:t>
      </w:r>
      <w:r w:rsidR="00722063" w:rsidRPr="008D2CC5">
        <w:rPr>
          <w:lang w:val="fr-FR"/>
        </w:rPr>
        <w:t>extraction minière artisanale et à petite échelle d</w:t>
      </w:r>
      <w:r w:rsidR="000409D6" w:rsidRPr="008D2CC5">
        <w:rPr>
          <w:lang w:val="fr-FR"/>
        </w:rPr>
        <w:t>’</w:t>
      </w:r>
      <w:r w:rsidR="00722063" w:rsidRPr="008D2CC5">
        <w:rPr>
          <w:lang w:val="fr-FR"/>
        </w:rPr>
        <w:t xml:space="preserve">or </w:t>
      </w:r>
      <w:r w:rsidR="00135F62">
        <w:rPr>
          <w:lang w:val="fr-FR"/>
        </w:rPr>
        <w:t>ou</w:t>
      </w:r>
      <w:r w:rsidR="00722063" w:rsidRPr="008D2CC5">
        <w:rPr>
          <w:lang w:val="fr-FR"/>
        </w:rPr>
        <w:t xml:space="preserve"> d</w:t>
      </w:r>
      <w:r w:rsidR="000409D6" w:rsidRPr="008D2CC5">
        <w:rPr>
          <w:lang w:val="fr-FR"/>
        </w:rPr>
        <w:t>’</w:t>
      </w:r>
      <w:r w:rsidR="00722063" w:rsidRPr="008D2CC5">
        <w:rPr>
          <w:lang w:val="fr-FR"/>
        </w:rPr>
        <w:t>autres installations industrielles</w:t>
      </w:r>
      <w:r w:rsidR="00135F62">
        <w:rPr>
          <w:lang w:val="fr-FR"/>
        </w:rPr>
        <w:t>, ou encore</w:t>
      </w:r>
      <w:r w:rsidR="00722063" w:rsidRPr="008D2CC5">
        <w:rPr>
          <w:lang w:val="fr-FR"/>
        </w:rPr>
        <w:t xml:space="preserve"> d</w:t>
      </w:r>
      <w:r w:rsidR="000409D6" w:rsidRPr="008D2CC5">
        <w:rPr>
          <w:lang w:val="fr-FR"/>
        </w:rPr>
        <w:t>’</w:t>
      </w:r>
      <w:r w:rsidR="00612190" w:rsidRPr="008D2CC5">
        <w:rPr>
          <w:lang w:val="fr-FR"/>
        </w:rPr>
        <w:t>anciennes</w:t>
      </w:r>
      <w:r w:rsidR="00722063" w:rsidRPr="008D2CC5">
        <w:rPr>
          <w:lang w:val="fr-FR"/>
        </w:rPr>
        <w:t xml:space="preserve"> </w:t>
      </w:r>
      <w:r w:rsidR="00EE5A31" w:rsidRPr="008D2CC5">
        <w:rPr>
          <w:lang w:val="fr-FR"/>
        </w:rPr>
        <w:t>mines</w:t>
      </w:r>
      <w:r w:rsidR="00722063" w:rsidRPr="008D2CC5">
        <w:rPr>
          <w:lang w:val="fr-FR"/>
        </w:rPr>
        <w:t xml:space="preserve"> </w:t>
      </w:r>
      <w:r w:rsidR="00D25F9E" w:rsidRPr="008D2CC5">
        <w:rPr>
          <w:lang w:val="fr-FR"/>
        </w:rPr>
        <w:t>dont le fonctionnement n</w:t>
      </w:r>
      <w:r w:rsidR="000409D6" w:rsidRPr="008D2CC5">
        <w:rPr>
          <w:lang w:val="fr-FR"/>
        </w:rPr>
        <w:t>’</w:t>
      </w:r>
      <w:r w:rsidR="00D25F9E" w:rsidRPr="008D2CC5">
        <w:rPr>
          <w:lang w:val="fr-FR"/>
        </w:rPr>
        <w:t>était pas conforme aux normes modernes d</w:t>
      </w:r>
      <w:r w:rsidR="000409D6" w:rsidRPr="008D2CC5">
        <w:rPr>
          <w:lang w:val="fr-FR"/>
        </w:rPr>
        <w:t>’</w:t>
      </w:r>
      <w:r w:rsidR="00D25F9E" w:rsidRPr="008D2CC5">
        <w:rPr>
          <w:lang w:val="fr-FR"/>
        </w:rPr>
        <w:t>exploitation minière</w:t>
      </w:r>
      <w:r w:rsidR="00D31AFF" w:rsidRPr="008D2CC5">
        <w:rPr>
          <w:lang w:val="fr-FR"/>
        </w:rPr>
        <w:t xml:space="preserve">. </w:t>
      </w:r>
      <w:r w:rsidR="00EE5A31" w:rsidRPr="008D2CC5">
        <w:rPr>
          <w:lang w:val="fr-FR"/>
        </w:rPr>
        <w:t>Cette</w:t>
      </w:r>
      <w:r w:rsidR="00D31AFF" w:rsidRPr="008D2CC5">
        <w:rPr>
          <w:lang w:val="fr-FR"/>
        </w:rPr>
        <w:t xml:space="preserve"> </w:t>
      </w:r>
      <w:r w:rsidR="00EE5A31" w:rsidRPr="008D2CC5">
        <w:rPr>
          <w:lang w:val="fr-FR"/>
        </w:rPr>
        <w:t xml:space="preserve">première </w:t>
      </w:r>
      <w:r w:rsidR="00D31AFF" w:rsidRPr="008D2CC5">
        <w:rPr>
          <w:lang w:val="fr-FR"/>
        </w:rPr>
        <w:t xml:space="preserve">identification </w:t>
      </w:r>
      <w:r w:rsidR="00EE5A31" w:rsidRPr="008D2CC5">
        <w:rPr>
          <w:lang w:val="fr-FR"/>
        </w:rPr>
        <w:t>des</w:t>
      </w:r>
      <w:r w:rsidR="00D31AFF" w:rsidRPr="008D2CC5">
        <w:rPr>
          <w:lang w:val="fr-FR"/>
        </w:rPr>
        <w:t xml:space="preserve"> sites </w:t>
      </w:r>
      <w:r w:rsidR="00EE5A31" w:rsidRPr="008D2CC5">
        <w:rPr>
          <w:lang w:val="fr-FR"/>
        </w:rPr>
        <w:t>ainsi que les estimations initiales de l</w:t>
      </w:r>
      <w:r w:rsidR="000409D6" w:rsidRPr="008D2CC5">
        <w:rPr>
          <w:lang w:val="fr-FR"/>
        </w:rPr>
        <w:t>’</w:t>
      </w:r>
      <w:r w:rsidR="00EE5A31" w:rsidRPr="008D2CC5">
        <w:rPr>
          <w:lang w:val="fr-FR"/>
        </w:rPr>
        <w:t>ampleur de la contamination et du potentiel de rejet de mercure et d</w:t>
      </w:r>
      <w:r w:rsidR="000409D6" w:rsidRPr="008D2CC5">
        <w:rPr>
          <w:lang w:val="fr-FR"/>
        </w:rPr>
        <w:t>’</w:t>
      </w:r>
      <w:r w:rsidR="00EE5A31" w:rsidRPr="008D2CC5">
        <w:rPr>
          <w:lang w:val="fr-FR"/>
        </w:rPr>
        <w:t>exposition des populations à cette substance permettront aux pays de commencer à classer par ordre de priorité les mesures à prendre concernant leurs sites contaminés conformément aux cadres juridiques existants, le cas échéant</w:t>
      </w:r>
      <w:r w:rsidR="00D31AFF" w:rsidRPr="008D2CC5">
        <w:rPr>
          <w:lang w:val="fr-FR"/>
        </w:rPr>
        <w:t>.</w:t>
      </w:r>
    </w:p>
    <w:p w14:paraId="0AB88BB6" w14:textId="5075CA33" w:rsidR="00D31AFF" w:rsidRPr="008D2CC5" w:rsidRDefault="00D368FB" w:rsidP="008E43CD">
      <w:pPr>
        <w:pStyle w:val="Normalnumber"/>
        <w:numPr>
          <w:ilvl w:val="0"/>
          <w:numId w:val="5"/>
        </w:numPr>
        <w:rPr>
          <w:lang w:val="fr-FR"/>
        </w:rPr>
      </w:pPr>
      <w:r w:rsidRPr="008D2CC5">
        <w:rPr>
          <w:lang w:val="fr-FR"/>
        </w:rPr>
        <w:t>Une approche systématique peut être utilisée pour identifier et cataloguer les sites contaminés, en commençant par</w:t>
      </w:r>
      <w:r w:rsidR="002A4703" w:rsidRPr="008D2CC5">
        <w:rPr>
          <w:lang w:val="fr-FR"/>
        </w:rPr>
        <w:t xml:space="preserve"> un examen</w:t>
      </w:r>
      <w:r w:rsidR="00D31AFF" w:rsidRPr="008D2CC5">
        <w:rPr>
          <w:lang w:val="fr-FR"/>
        </w:rPr>
        <w:t xml:space="preserve"> </w:t>
      </w:r>
      <w:r w:rsidR="002A4703" w:rsidRPr="008D2CC5">
        <w:rPr>
          <w:lang w:val="fr-FR"/>
        </w:rPr>
        <w:t>de l</w:t>
      </w:r>
      <w:r w:rsidR="000409D6" w:rsidRPr="008D2CC5">
        <w:rPr>
          <w:lang w:val="fr-FR"/>
        </w:rPr>
        <w:t>’</w:t>
      </w:r>
      <w:r w:rsidR="002A4703" w:rsidRPr="008D2CC5">
        <w:rPr>
          <w:lang w:val="fr-FR"/>
        </w:rPr>
        <w:t>occupation passée et actuelle des sols dans l</w:t>
      </w:r>
      <w:r w:rsidR="000409D6" w:rsidRPr="008D2CC5">
        <w:rPr>
          <w:lang w:val="fr-FR"/>
        </w:rPr>
        <w:t>’</w:t>
      </w:r>
      <w:r w:rsidR="002A4703" w:rsidRPr="008D2CC5">
        <w:rPr>
          <w:lang w:val="fr-FR"/>
        </w:rPr>
        <w:t>ensemble du pays ainsi que l</w:t>
      </w:r>
      <w:r w:rsidR="000409D6" w:rsidRPr="008D2CC5">
        <w:rPr>
          <w:lang w:val="fr-FR"/>
        </w:rPr>
        <w:t>’</w:t>
      </w:r>
      <w:r w:rsidR="002A4703" w:rsidRPr="008D2CC5">
        <w:rPr>
          <w:lang w:val="fr-FR"/>
        </w:rPr>
        <w:t>établissement d</w:t>
      </w:r>
      <w:r w:rsidR="000409D6" w:rsidRPr="008D2CC5">
        <w:rPr>
          <w:lang w:val="fr-FR"/>
        </w:rPr>
        <w:t>’</w:t>
      </w:r>
      <w:r w:rsidR="002A4703" w:rsidRPr="008D2CC5">
        <w:rPr>
          <w:lang w:val="fr-FR"/>
        </w:rPr>
        <w:t>une première liste des sites potentiellement contaminés</w:t>
      </w:r>
      <w:r w:rsidR="00D31AFF" w:rsidRPr="008D2CC5">
        <w:rPr>
          <w:lang w:val="fr-FR"/>
        </w:rPr>
        <w:t xml:space="preserve">. </w:t>
      </w:r>
      <w:r w:rsidR="002A4703" w:rsidRPr="008D2CC5">
        <w:rPr>
          <w:lang w:val="fr-FR"/>
        </w:rPr>
        <w:t>Les éléments de la</w:t>
      </w:r>
      <w:r w:rsidR="00380F44" w:rsidRPr="008D2CC5">
        <w:rPr>
          <w:lang w:val="fr-FR"/>
        </w:rPr>
        <w:t> </w:t>
      </w:r>
      <w:r w:rsidR="002A4703" w:rsidRPr="008D2CC5">
        <w:rPr>
          <w:lang w:val="fr-FR"/>
        </w:rPr>
        <w:t>liste peuvent ensuite être classés par ordre de priorité et les sites requérant une documentation supplémentaire ainsi que des investigations plus approfondies sont identifiés</w:t>
      </w:r>
      <w:r w:rsidR="00D31AFF" w:rsidRPr="008D2CC5">
        <w:rPr>
          <w:lang w:val="fr-FR"/>
        </w:rPr>
        <w:t xml:space="preserve">. </w:t>
      </w:r>
      <w:r w:rsidR="0052751B" w:rsidRPr="008D2CC5">
        <w:rPr>
          <w:lang w:val="fr-FR"/>
        </w:rPr>
        <w:t>Cette approche peut être efficace dans le cadre de l</w:t>
      </w:r>
      <w:r w:rsidR="000409D6" w:rsidRPr="008D2CC5">
        <w:rPr>
          <w:lang w:val="fr-FR"/>
        </w:rPr>
        <w:t>’</w:t>
      </w:r>
      <w:r w:rsidR="0052751B" w:rsidRPr="008D2CC5">
        <w:rPr>
          <w:lang w:val="fr-FR"/>
        </w:rPr>
        <w:t>élaboration d</w:t>
      </w:r>
      <w:r w:rsidR="000409D6" w:rsidRPr="008D2CC5">
        <w:rPr>
          <w:lang w:val="fr-FR"/>
        </w:rPr>
        <w:t>’</w:t>
      </w:r>
      <w:r w:rsidR="0052751B" w:rsidRPr="008D2CC5">
        <w:rPr>
          <w:lang w:val="fr-FR"/>
        </w:rPr>
        <w:t>un plan national global visant à traiter les sites contaminés par du mercure</w:t>
      </w:r>
      <w:r w:rsidR="00D31AFF" w:rsidRPr="008D2CC5">
        <w:rPr>
          <w:lang w:val="fr-FR"/>
        </w:rPr>
        <w:t xml:space="preserve">. </w:t>
      </w:r>
      <w:r w:rsidR="00F75050" w:rsidRPr="008D2CC5">
        <w:rPr>
          <w:lang w:val="fr-FR"/>
        </w:rPr>
        <w:t>Un</w:t>
      </w:r>
      <w:r w:rsidR="0045240E" w:rsidRPr="008D2CC5">
        <w:rPr>
          <w:lang w:val="fr-FR"/>
        </w:rPr>
        <w:t>e</w:t>
      </w:r>
      <w:r w:rsidR="00F75050" w:rsidRPr="008D2CC5">
        <w:rPr>
          <w:lang w:val="fr-FR"/>
        </w:rPr>
        <w:t xml:space="preserve"> autre approche peut compléter l</w:t>
      </w:r>
      <w:r w:rsidR="000409D6" w:rsidRPr="008D2CC5">
        <w:rPr>
          <w:lang w:val="fr-FR"/>
        </w:rPr>
        <w:t>’</w:t>
      </w:r>
      <w:r w:rsidR="00F75050" w:rsidRPr="008D2CC5">
        <w:rPr>
          <w:lang w:val="fr-FR"/>
        </w:rPr>
        <w:t xml:space="preserve">approche systématique en identifiant </w:t>
      </w:r>
      <w:r w:rsidR="0045240E" w:rsidRPr="008D2CC5">
        <w:rPr>
          <w:lang w:val="fr-FR"/>
        </w:rPr>
        <w:t>de manière individuelle les</w:t>
      </w:r>
      <w:r w:rsidR="00F75050" w:rsidRPr="008D2CC5">
        <w:rPr>
          <w:lang w:val="fr-FR"/>
        </w:rPr>
        <w:t xml:space="preserve"> sites contaminés</w:t>
      </w:r>
      <w:r w:rsidR="0045240E" w:rsidRPr="008D2CC5">
        <w:rPr>
          <w:lang w:val="fr-FR"/>
        </w:rPr>
        <w:t xml:space="preserve"> lorsque des changements dans l</w:t>
      </w:r>
      <w:r w:rsidR="000409D6" w:rsidRPr="008D2CC5">
        <w:rPr>
          <w:lang w:val="fr-FR"/>
        </w:rPr>
        <w:t>’</w:t>
      </w:r>
      <w:r w:rsidR="0045240E" w:rsidRPr="008D2CC5">
        <w:rPr>
          <w:lang w:val="fr-FR"/>
        </w:rPr>
        <w:t>occupation des sols ou des opérations telles que des excavations ou des constructions ont lieu</w:t>
      </w:r>
      <w:r w:rsidR="00D31AFF" w:rsidRPr="008D2CC5">
        <w:rPr>
          <w:lang w:val="fr-FR"/>
        </w:rPr>
        <w:t>.</w:t>
      </w:r>
      <w:r w:rsidR="0045240E" w:rsidRPr="008D2CC5">
        <w:rPr>
          <w:lang w:val="fr-FR"/>
        </w:rPr>
        <w:t xml:space="preserve"> </w:t>
      </w:r>
      <w:r w:rsidR="00D25F9E" w:rsidRPr="008D2CC5">
        <w:rPr>
          <w:lang w:val="fr-FR"/>
        </w:rPr>
        <w:t>Bien</w:t>
      </w:r>
      <w:r w:rsidR="0045240E" w:rsidRPr="008D2CC5">
        <w:rPr>
          <w:lang w:val="fr-FR"/>
        </w:rPr>
        <w:t xml:space="preserve"> qu</w:t>
      </w:r>
      <w:r w:rsidR="000409D6" w:rsidRPr="008D2CC5">
        <w:rPr>
          <w:lang w:val="fr-FR"/>
        </w:rPr>
        <w:t>’</w:t>
      </w:r>
      <w:r w:rsidR="0045240E" w:rsidRPr="008D2CC5">
        <w:rPr>
          <w:lang w:val="fr-FR"/>
        </w:rPr>
        <w:t>une identification individuelle des sites contaminés ne constitue pas une solution adéquate pour remplacer l</w:t>
      </w:r>
      <w:r w:rsidR="000409D6" w:rsidRPr="008D2CC5">
        <w:rPr>
          <w:lang w:val="fr-FR"/>
        </w:rPr>
        <w:t>’</w:t>
      </w:r>
      <w:r w:rsidR="0045240E" w:rsidRPr="008D2CC5">
        <w:rPr>
          <w:lang w:val="fr-FR"/>
        </w:rPr>
        <w:t>approche systématique</w:t>
      </w:r>
      <w:r w:rsidR="003A6A35">
        <w:rPr>
          <w:lang w:val="fr-FR"/>
        </w:rPr>
        <w:t>, elle </w:t>
      </w:r>
      <w:r w:rsidR="0045240E" w:rsidRPr="008D2CC5">
        <w:rPr>
          <w:lang w:val="fr-FR"/>
        </w:rPr>
        <w:t xml:space="preserve">peut </w:t>
      </w:r>
      <w:r w:rsidR="0097068D">
        <w:rPr>
          <w:lang w:val="fr-FR"/>
        </w:rPr>
        <w:t xml:space="preserve">convenir </w:t>
      </w:r>
      <w:r w:rsidR="0045240E" w:rsidRPr="008D2CC5">
        <w:rPr>
          <w:lang w:val="fr-FR"/>
        </w:rPr>
        <w:t>pour les pays disposant d</w:t>
      </w:r>
      <w:r w:rsidR="000409D6" w:rsidRPr="008D2CC5">
        <w:rPr>
          <w:lang w:val="fr-FR"/>
        </w:rPr>
        <w:t>’</w:t>
      </w:r>
      <w:r w:rsidR="0045240E" w:rsidRPr="008D2CC5">
        <w:rPr>
          <w:lang w:val="fr-FR"/>
        </w:rPr>
        <w:t>une politique nationale de gestion des sites contaminés</w:t>
      </w:r>
      <w:r w:rsidR="00D31AFF" w:rsidRPr="008D2CC5">
        <w:rPr>
          <w:lang w:val="fr-FR"/>
        </w:rPr>
        <w:t xml:space="preserve">. </w:t>
      </w:r>
    </w:p>
    <w:p w14:paraId="64D48B40" w14:textId="0A4BF263" w:rsidR="00D31AFF" w:rsidRPr="008D2CC5" w:rsidRDefault="00AF159F" w:rsidP="008B22F8">
      <w:pPr>
        <w:pStyle w:val="Normalnumber"/>
        <w:keepNext/>
        <w:keepLines/>
        <w:numPr>
          <w:ilvl w:val="0"/>
          <w:numId w:val="5"/>
        </w:numPr>
        <w:rPr>
          <w:lang w:val="fr-FR"/>
        </w:rPr>
      </w:pPr>
      <w:r w:rsidRPr="008D2CC5">
        <w:rPr>
          <w:lang w:val="fr-FR"/>
        </w:rPr>
        <w:lastRenderedPageBreak/>
        <w:t>Un</w:t>
      </w:r>
      <w:r w:rsidR="00D31AFF" w:rsidRPr="008D2CC5">
        <w:rPr>
          <w:lang w:val="fr-FR"/>
        </w:rPr>
        <w:t xml:space="preserve"> </w:t>
      </w:r>
      <w:r w:rsidRPr="008D2CC5">
        <w:rPr>
          <w:lang w:val="fr-FR"/>
        </w:rPr>
        <w:t>examen de l</w:t>
      </w:r>
      <w:r w:rsidR="000409D6" w:rsidRPr="008D2CC5">
        <w:rPr>
          <w:lang w:val="fr-FR"/>
        </w:rPr>
        <w:t>’</w:t>
      </w:r>
      <w:r w:rsidRPr="008D2CC5">
        <w:rPr>
          <w:lang w:val="fr-FR"/>
        </w:rPr>
        <w:t>occupation passée et actuelle des sols est</w:t>
      </w:r>
      <w:r w:rsidR="00D31AFF" w:rsidRPr="008D2CC5">
        <w:rPr>
          <w:lang w:val="fr-FR"/>
        </w:rPr>
        <w:t xml:space="preserve"> important </w:t>
      </w:r>
      <w:r w:rsidRPr="008D2CC5">
        <w:rPr>
          <w:lang w:val="fr-FR"/>
        </w:rPr>
        <w:t xml:space="preserve">pour identifier </w:t>
      </w:r>
      <w:r w:rsidR="00327450" w:rsidRPr="008D2CC5">
        <w:rPr>
          <w:lang w:val="fr-FR"/>
        </w:rPr>
        <w:t>les sites potentiellement contaminés</w:t>
      </w:r>
      <w:r w:rsidR="00D31AFF" w:rsidRPr="008D2CC5">
        <w:rPr>
          <w:lang w:val="fr-FR"/>
        </w:rPr>
        <w:t xml:space="preserve"> (CCME, 2016). </w:t>
      </w:r>
      <w:r w:rsidR="00327450" w:rsidRPr="008D2CC5">
        <w:rPr>
          <w:lang w:val="fr-FR"/>
        </w:rPr>
        <w:t>Cet examen peut constituer la première étape pour identifier les sites pouvant nécessiter des investigations plus approfondies</w:t>
      </w:r>
      <w:r w:rsidR="00D31AFF" w:rsidRPr="008D2CC5">
        <w:rPr>
          <w:lang w:val="fr-FR"/>
        </w:rPr>
        <w:t xml:space="preserve">. </w:t>
      </w:r>
      <w:r w:rsidR="00327450" w:rsidRPr="008D2CC5">
        <w:rPr>
          <w:lang w:val="fr-FR"/>
        </w:rPr>
        <w:t>Jusqu</w:t>
      </w:r>
      <w:r w:rsidR="000409D6" w:rsidRPr="008D2CC5">
        <w:rPr>
          <w:lang w:val="fr-FR"/>
        </w:rPr>
        <w:t>’</w:t>
      </w:r>
      <w:r w:rsidR="00327450" w:rsidRPr="008D2CC5">
        <w:rPr>
          <w:lang w:val="fr-FR"/>
        </w:rPr>
        <w:t>à ce que la preuve de leur contamination ait été établie au moyen d</w:t>
      </w:r>
      <w:r w:rsidR="000409D6" w:rsidRPr="008D2CC5">
        <w:rPr>
          <w:lang w:val="fr-FR"/>
        </w:rPr>
        <w:t>’</w:t>
      </w:r>
      <w:r w:rsidR="00327450" w:rsidRPr="008D2CC5">
        <w:rPr>
          <w:lang w:val="fr-FR"/>
        </w:rPr>
        <w:t>investigations, ces sites peuvent être qualifiés de sites « présumés » contaminés</w:t>
      </w:r>
      <w:r w:rsidR="00D31AFF" w:rsidRPr="008D2CC5">
        <w:rPr>
          <w:lang w:val="fr-FR"/>
        </w:rPr>
        <w:t xml:space="preserve">. </w:t>
      </w:r>
      <w:r w:rsidR="00327450" w:rsidRPr="008D2CC5">
        <w:rPr>
          <w:lang w:val="fr-FR"/>
        </w:rPr>
        <w:t>Dans certaines juridictions, tous les sites présumés ou confirmés comme étant contaminés sont intégrés à une base de données en ligne</w:t>
      </w:r>
      <w:r w:rsidR="00D31AFF" w:rsidRPr="008D2CC5">
        <w:rPr>
          <w:lang w:val="fr-FR"/>
        </w:rPr>
        <w:t xml:space="preserve">. </w:t>
      </w:r>
    </w:p>
    <w:p w14:paraId="48EEF0B0" w14:textId="1017A8BB" w:rsidR="00D31AFF" w:rsidRPr="008D2CC5" w:rsidRDefault="00B55D23" w:rsidP="008E43CD">
      <w:pPr>
        <w:pStyle w:val="Normalnumber"/>
        <w:numPr>
          <w:ilvl w:val="0"/>
          <w:numId w:val="5"/>
        </w:numPr>
        <w:rPr>
          <w:lang w:val="fr-FR"/>
        </w:rPr>
      </w:pPr>
      <w:r w:rsidRPr="008D2CC5">
        <w:rPr>
          <w:lang w:val="fr-FR"/>
        </w:rPr>
        <w:t>Il existe diverses sources possibles de contamination des sites, notamment</w:t>
      </w:r>
      <w:r w:rsidR="000409D6" w:rsidRPr="008D2CC5">
        <w:rPr>
          <w:lang w:val="fr-FR"/>
        </w:rPr>
        <w:t> :</w:t>
      </w:r>
    </w:p>
    <w:p w14:paraId="119472FF" w14:textId="324E0EE3" w:rsidR="00D31AFF" w:rsidRPr="008D2CC5" w:rsidRDefault="00B55D23" w:rsidP="008E43CD">
      <w:pPr>
        <w:pStyle w:val="Normalnumber"/>
        <w:numPr>
          <w:ilvl w:val="1"/>
          <w:numId w:val="5"/>
        </w:numPr>
        <w:rPr>
          <w:lang w:val="fr-FR"/>
        </w:rPr>
      </w:pPr>
      <w:r w:rsidRPr="008D2CC5">
        <w:rPr>
          <w:lang w:val="fr-FR"/>
        </w:rPr>
        <w:t>Le stockage du mercure</w:t>
      </w:r>
      <w:r w:rsidR="000409D6" w:rsidRPr="008D2CC5">
        <w:rPr>
          <w:lang w:val="fr-FR"/>
        </w:rPr>
        <w:t> ;</w:t>
      </w:r>
    </w:p>
    <w:p w14:paraId="070C5910" w14:textId="7EB2A889" w:rsidR="00D31AFF" w:rsidRPr="008D2CC5" w:rsidRDefault="00B55D23" w:rsidP="008E43CD">
      <w:pPr>
        <w:pStyle w:val="Normalnumber"/>
        <w:numPr>
          <w:ilvl w:val="1"/>
          <w:numId w:val="5"/>
        </w:numPr>
        <w:rPr>
          <w:lang w:val="fr-FR"/>
        </w:rPr>
      </w:pPr>
      <w:r w:rsidRPr="008D2CC5">
        <w:rPr>
          <w:lang w:val="fr-FR"/>
        </w:rPr>
        <w:t>La fabrication de produits contenant du mercure ajouté</w:t>
      </w:r>
      <w:r w:rsidR="000409D6" w:rsidRPr="008D2CC5">
        <w:rPr>
          <w:lang w:val="fr-FR"/>
        </w:rPr>
        <w:t> ;</w:t>
      </w:r>
    </w:p>
    <w:p w14:paraId="7FC165AB" w14:textId="2DB6771B" w:rsidR="00D31AFF" w:rsidRPr="008D2CC5" w:rsidRDefault="00B55D23" w:rsidP="008E43CD">
      <w:pPr>
        <w:pStyle w:val="Normalnumber"/>
        <w:numPr>
          <w:ilvl w:val="1"/>
          <w:numId w:val="5"/>
        </w:numPr>
        <w:rPr>
          <w:lang w:val="fr-FR"/>
        </w:rPr>
      </w:pPr>
      <w:r w:rsidRPr="008D2CC5">
        <w:rPr>
          <w:lang w:val="fr-FR"/>
        </w:rPr>
        <w:t>L</w:t>
      </w:r>
      <w:r w:rsidR="000409D6" w:rsidRPr="008D2CC5">
        <w:rPr>
          <w:lang w:val="fr-FR"/>
        </w:rPr>
        <w:t>’</w:t>
      </w:r>
      <w:r w:rsidRPr="008D2CC5">
        <w:rPr>
          <w:lang w:val="fr-FR"/>
        </w:rPr>
        <w:t xml:space="preserve">utilisation de mercure dans </w:t>
      </w:r>
      <w:r w:rsidR="003C10FB">
        <w:rPr>
          <w:lang w:val="fr-FR"/>
        </w:rPr>
        <w:t>d</w:t>
      </w:r>
      <w:r w:rsidRPr="008D2CC5">
        <w:rPr>
          <w:lang w:val="fr-FR"/>
        </w:rPr>
        <w:t>es procédés de fabrication</w:t>
      </w:r>
      <w:r w:rsidR="000409D6" w:rsidRPr="008D2CC5">
        <w:rPr>
          <w:lang w:val="fr-FR"/>
        </w:rPr>
        <w:t> ;</w:t>
      </w:r>
    </w:p>
    <w:p w14:paraId="19E6B6AC" w14:textId="0C0502DB" w:rsidR="00D25F9E" w:rsidRPr="008D2CC5" w:rsidRDefault="00D25F9E" w:rsidP="008E43CD">
      <w:pPr>
        <w:pStyle w:val="Normalnumber"/>
        <w:numPr>
          <w:ilvl w:val="1"/>
          <w:numId w:val="5"/>
        </w:numPr>
        <w:rPr>
          <w:lang w:val="fr-FR"/>
        </w:rPr>
      </w:pPr>
      <w:r w:rsidRPr="008D2CC5">
        <w:rPr>
          <w:lang w:val="fr-FR"/>
        </w:rPr>
        <w:t>Les activités d</w:t>
      </w:r>
      <w:r w:rsidR="000409D6" w:rsidRPr="008D2CC5">
        <w:rPr>
          <w:lang w:val="fr-FR"/>
        </w:rPr>
        <w:t>’</w:t>
      </w:r>
      <w:r w:rsidRPr="008D2CC5">
        <w:rPr>
          <w:lang w:val="fr-FR"/>
        </w:rPr>
        <w:t>extraction minière artisanale et à petite échelle d</w:t>
      </w:r>
      <w:r w:rsidR="000409D6" w:rsidRPr="008D2CC5">
        <w:rPr>
          <w:lang w:val="fr-FR"/>
        </w:rPr>
        <w:t>’</w:t>
      </w:r>
      <w:r w:rsidRPr="008D2CC5">
        <w:rPr>
          <w:lang w:val="fr-FR"/>
        </w:rPr>
        <w:t xml:space="preserve">or </w:t>
      </w:r>
      <w:r w:rsidR="00E86CD2">
        <w:rPr>
          <w:lang w:val="fr-FR"/>
        </w:rPr>
        <w:t>utilisa</w:t>
      </w:r>
      <w:r w:rsidRPr="008D2CC5">
        <w:rPr>
          <w:lang w:val="fr-FR"/>
        </w:rPr>
        <w:t>nt du mercure ou un minerai primaire riche en mercure</w:t>
      </w:r>
      <w:r w:rsidR="00E86CD2">
        <w:rPr>
          <w:lang w:val="fr-FR"/>
        </w:rPr>
        <w:t xml:space="preserve"> qui peuvent en laisser échapper</w:t>
      </w:r>
      <w:r w:rsidR="000409D6" w:rsidRPr="008D2CC5">
        <w:rPr>
          <w:lang w:val="fr-FR"/>
        </w:rPr>
        <w:t> ;</w:t>
      </w:r>
    </w:p>
    <w:p w14:paraId="39664D6E" w14:textId="5B8D5BA6" w:rsidR="00D31AFF" w:rsidRPr="008D2CC5" w:rsidRDefault="00B55D23" w:rsidP="008E43CD">
      <w:pPr>
        <w:pStyle w:val="Normalnumber"/>
        <w:numPr>
          <w:ilvl w:val="1"/>
          <w:numId w:val="5"/>
        </w:numPr>
        <w:rPr>
          <w:lang w:val="fr-FR"/>
        </w:rPr>
      </w:pPr>
      <w:r w:rsidRPr="008D2CC5">
        <w:rPr>
          <w:lang w:val="fr-FR"/>
        </w:rPr>
        <w:t>L</w:t>
      </w:r>
      <w:r w:rsidR="000409D6" w:rsidRPr="008D2CC5">
        <w:rPr>
          <w:lang w:val="fr-FR"/>
        </w:rPr>
        <w:t>’</w:t>
      </w:r>
      <w:r w:rsidR="00D25F9E" w:rsidRPr="008D2CC5">
        <w:rPr>
          <w:lang w:val="fr-FR"/>
        </w:rPr>
        <w:t xml:space="preserve">extraction minière de mercure primaire </w:t>
      </w:r>
      <w:r w:rsidRPr="008D2CC5">
        <w:rPr>
          <w:lang w:val="fr-FR"/>
        </w:rPr>
        <w:t xml:space="preserve">et les </w:t>
      </w:r>
      <w:r w:rsidR="00D25F9E" w:rsidRPr="008D2CC5">
        <w:rPr>
          <w:lang w:val="fr-FR"/>
        </w:rPr>
        <w:t xml:space="preserve">anciennes </w:t>
      </w:r>
      <w:r w:rsidR="00CE54C6" w:rsidRPr="008D2CC5">
        <w:rPr>
          <w:lang w:val="fr-FR"/>
        </w:rPr>
        <w:t>mines</w:t>
      </w:r>
      <w:r w:rsidRPr="008D2CC5">
        <w:rPr>
          <w:lang w:val="fr-FR"/>
        </w:rPr>
        <w:t xml:space="preserve"> </w:t>
      </w:r>
      <w:r w:rsidR="00CE54C6" w:rsidRPr="008D2CC5">
        <w:rPr>
          <w:lang w:val="fr-FR"/>
        </w:rPr>
        <w:t>abandonnées</w:t>
      </w:r>
      <w:r w:rsidR="00D25F9E" w:rsidRPr="008D2CC5">
        <w:rPr>
          <w:lang w:val="fr-FR"/>
        </w:rPr>
        <w:t xml:space="preserve"> dont le fonctionnement n</w:t>
      </w:r>
      <w:r w:rsidR="000409D6" w:rsidRPr="008D2CC5">
        <w:rPr>
          <w:lang w:val="fr-FR"/>
        </w:rPr>
        <w:t>’</w:t>
      </w:r>
      <w:r w:rsidR="00D25F9E" w:rsidRPr="008D2CC5">
        <w:rPr>
          <w:lang w:val="fr-FR"/>
        </w:rPr>
        <w:t>était pas conforme aux pratiques modernes</w:t>
      </w:r>
      <w:r w:rsidR="000409D6" w:rsidRPr="008D2CC5">
        <w:rPr>
          <w:lang w:val="fr-FR"/>
        </w:rPr>
        <w:t> ;</w:t>
      </w:r>
    </w:p>
    <w:p w14:paraId="24B535A0" w14:textId="3EEF70DD" w:rsidR="00D31AFF" w:rsidRPr="008D2CC5" w:rsidRDefault="00CE54C6" w:rsidP="008E43CD">
      <w:pPr>
        <w:pStyle w:val="Normalnumber"/>
        <w:numPr>
          <w:ilvl w:val="1"/>
          <w:numId w:val="5"/>
        </w:numPr>
        <w:rPr>
          <w:lang w:val="fr-FR"/>
        </w:rPr>
      </w:pPr>
      <w:r w:rsidRPr="008D2CC5">
        <w:rPr>
          <w:lang w:val="fr-FR"/>
        </w:rPr>
        <w:t>Les sources ponctuelles d</w:t>
      </w:r>
      <w:r w:rsidR="000409D6" w:rsidRPr="008D2CC5">
        <w:rPr>
          <w:lang w:val="fr-FR"/>
        </w:rPr>
        <w:t>’</w:t>
      </w:r>
      <w:r w:rsidRPr="008D2CC5">
        <w:rPr>
          <w:lang w:val="fr-FR"/>
        </w:rPr>
        <w:t>émissions et de rejets</w:t>
      </w:r>
      <w:r w:rsidR="000409D6" w:rsidRPr="008D2CC5">
        <w:rPr>
          <w:lang w:val="fr-FR"/>
        </w:rPr>
        <w:t> ;</w:t>
      </w:r>
    </w:p>
    <w:p w14:paraId="56D70B99" w14:textId="0DB0E063" w:rsidR="00D31AFF" w:rsidRPr="008D2CC5" w:rsidRDefault="00CE54C6" w:rsidP="008E43CD">
      <w:pPr>
        <w:pStyle w:val="Normalnumber"/>
        <w:numPr>
          <w:ilvl w:val="1"/>
          <w:numId w:val="5"/>
        </w:numPr>
        <w:rPr>
          <w:lang w:val="fr-FR"/>
        </w:rPr>
      </w:pPr>
      <w:r w:rsidRPr="008D2CC5">
        <w:rPr>
          <w:lang w:val="fr-FR"/>
        </w:rPr>
        <w:t>Le traitement et l</w:t>
      </w:r>
      <w:r w:rsidR="000409D6" w:rsidRPr="008D2CC5">
        <w:rPr>
          <w:lang w:val="fr-FR"/>
        </w:rPr>
        <w:t>’</w:t>
      </w:r>
      <w:r w:rsidRPr="008D2CC5">
        <w:rPr>
          <w:lang w:val="fr-FR"/>
        </w:rPr>
        <w:t>élimination des déchets</w:t>
      </w:r>
      <w:r w:rsidR="000409D6" w:rsidRPr="008D2CC5">
        <w:rPr>
          <w:lang w:val="fr-FR"/>
        </w:rPr>
        <w:t> ;</w:t>
      </w:r>
    </w:p>
    <w:p w14:paraId="7B13F9EF" w14:textId="0C644BB4" w:rsidR="00D25F9E" w:rsidRPr="008D2CC5" w:rsidRDefault="00D25F9E" w:rsidP="008E43CD">
      <w:pPr>
        <w:pStyle w:val="Normalnumber"/>
        <w:numPr>
          <w:ilvl w:val="1"/>
          <w:numId w:val="5"/>
        </w:numPr>
        <w:rPr>
          <w:lang w:val="fr-FR"/>
        </w:rPr>
      </w:pPr>
      <w:r w:rsidRPr="008D2CC5">
        <w:rPr>
          <w:lang w:val="fr-FR"/>
        </w:rPr>
        <w:t>Les autres sources.</w:t>
      </w:r>
    </w:p>
    <w:p w14:paraId="12E4C992" w14:textId="042BC6AF" w:rsidR="00D31AFF" w:rsidRPr="008D2CC5" w:rsidRDefault="00FB142A" w:rsidP="008E43CD">
      <w:pPr>
        <w:pStyle w:val="Normalnumber"/>
        <w:numPr>
          <w:ilvl w:val="0"/>
          <w:numId w:val="5"/>
        </w:numPr>
        <w:rPr>
          <w:lang w:val="fr-FR"/>
        </w:rPr>
      </w:pPr>
      <w:r w:rsidRPr="008D2CC5">
        <w:rPr>
          <w:lang w:val="fr-FR"/>
        </w:rPr>
        <w:t>Les s</w:t>
      </w:r>
      <w:r w:rsidR="00D31AFF" w:rsidRPr="008D2CC5">
        <w:rPr>
          <w:lang w:val="fr-FR"/>
        </w:rPr>
        <w:t>ources</w:t>
      </w:r>
      <w:r w:rsidRPr="008D2CC5">
        <w:rPr>
          <w:lang w:val="fr-FR"/>
        </w:rPr>
        <w:t xml:space="preserve"> telles que la fabrication de produits contenant du mercure ajouté, l</w:t>
      </w:r>
      <w:r w:rsidR="000409D6" w:rsidRPr="008D2CC5">
        <w:rPr>
          <w:lang w:val="fr-FR"/>
        </w:rPr>
        <w:t>’</w:t>
      </w:r>
      <w:r w:rsidRPr="008D2CC5">
        <w:rPr>
          <w:lang w:val="fr-FR"/>
        </w:rPr>
        <w:t xml:space="preserve">utilisation de mercure dans </w:t>
      </w:r>
      <w:r w:rsidR="00E86CD2">
        <w:rPr>
          <w:lang w:val="fr-FR"/>
        </w:rPr>
        <w:t>d</w:t>
      </w:r>
      <w:r w:rsidRPr="008D2CC5">
        <w:rPr>
          <w:lang w:val="fr-FR"/>
        </w:rPr>
        <w:t>es procédés de fabrication et les</w:t>
      </w:r>
      <w:r w:rsidR="00D31AFF" w:rsidRPr="008D2CC5">
        <w:rPr>
          <w:lang w:val="fr-FR"/>
        </w:rPr>
        <w:t xml:space="preserve"> </w:t>
      </w:r>
      <w:r w:rsidRPr="008D2CC5">
        <w:rPr>
          <w:lang w:val="fr-FR"/>
        </w:rPr>
        <w:t>sources ponctuelles d</w:t>
      </w:r>
      <w:r w:rsidR="000409D6" w:rsidRPr="008D2CC5">
        <w:rPr>
          <w:lang w:val="fr-FR"/>
        </w:rPr>
        <w:t>’</w:t>
      </w:r>
      <w:r w:rsidRPr="008D2CC5">
        <w:rPr>
          <w:lang w:val="fr-FR"/>
        </w:rPr>
        <w:t>émissions et de rejets</w:t>
      </w:r>
      <w:r w:rsidR="007B7446" w:rsidRPr="008D2CC5">
        <w:rPr>
          <w:lang w:val="fr-FR"/>
        </w:rPr>
        <w:t xml:space="preserve"> de mercure</w:t>
      </w:r>
      <w:r w:rsidRPr="008D2CC5">
        <w:rPr>
          <w:lang w:val="fr-FR"/>
        </w:rPr>
        <w:t xml:space="preserve"> peuvent comprendre non seulement des activités citées dans les annexes de la Convention de Minamata mais également d</w:t>
      </w:r>
      <w:r w:rsidR="000409D6" w:rsidRPr="008D2CC5">
        <w:rPr>
          <w:lang w:val="fr-FR"/>
        </w:rPr>
        <w:t>’</w:t>
      </w:r>
      <w:r w:rsidRPr="008D2CC5">
        <w:rPr>
          <w:lang w:val="fr-FR"/>
        </w:rPr>
        <w:t xml:space="preserve">autres activités non réglementées </w:t>
      </w:r>
      <w:r w:rsidR="00C67FFA" w:rsidRPr="008D2CC5">
        <w:rPr>
          <w:lang w:val="fr-FR"/>
        </w:rPr>
        <w:t>au titre</w:t>
      </w:r>
      <w:r w:rsidRPr="008D2CC5">
        <w:rPr>
          <w:lang w:val="fr-FR"/>
        </w:rPr>
        <w:t xml:space="preserve"> de la Convention</w:t>
      </w:r>
      <w:r w:rsidR="00D31AFF" w:rsidRPr="008D2CC5">
        <w:rPr>
          <w:lang w:val="fr-FR"/>
        </w:rPr>
        <w:t xml:space="preserve">. </w:t>
      </w:r>
      <w:r w:rsidR="00C67FFA" w:rsidRPr="008D2CC5">
        <w:rPr>
          <w:lang w:val="fr-FR"/>
        </w:rPr>
        <w:t>Il convient de noter qu</w:t>
      </w:r>
      <w:r w:rsidR="00B05D92">
        <w:rPr>
          <w:lang w:val="fr-FR"/>
        </w:rPr>
        <w:t>e</w:t>
      </w:r>
      <w:r w:rsidR="00C67FFA" w:rsidRPr="008D2CC5">
        <w:rPr>
          <w:lang w:val="fr-FR"/>
        </w:rPr>
        <w:t xml:space="preserve"> </w:t>
      </w:r>
      <w:r w:rsidR="00B05D92">
        <w:rPr>
          <w:lang w:val="fr-FR"/>
        </w:rPr>
        <w:t>le</w:t>
      </w:r>
      <w:r w:rsidR="00C67FFA" w:rsidRPr="008D2CC5">
        <w:rPr>
          <w:lang w:val="fr-FR"/>
        </w:rPr>
        <w:t xml:space="preserve"> ruissellement, </w:t>
      </w:r>
      <w:r w:rsidR="00B05D92">
        <w:rPr>
          <w:lang w:val="fr-FR"/>
        </w:rPr>
        <w:t>le</w:t>
      </w:r>
      <w:r w:rsidR="00C67FFA" w:rsidRPr="008D2CC5">
        <w:rPr>
          <w:lang w:val="fr-FR"/>
        </w:rPr>
        <w:t xml:space="preserve"> lessivage ou </w:t>
      </w:r>
      <w:r w:rsidR="00B05D92">
        <w:rPr>
          <w:lang w:val="fr-FR"/>
        </w:rPr>
        <w:t>la</w:t>
      </w:r>
      <w:r w:rsidR="00C67FFA" w:rsidRPr="008D2CC5">
        <w:rPr>
          <w:lang w:val="fr-FR"/>
        </w:rPr>
        <w:t xml:space="preserve"> migration </w:t>
      </w:r>
      <w:r w:rsidR="00B05D92">
        <w:rPr>
          <w:lang w:val="fr-FR"/>
        </w:rPr>
        <w:t xml:space="preserve">de mercure </w:t>
      </w:r>
      <w:r w:rsidR="00C67FFA" w:rsidRPr="008D2CC5">
        <w:rPr>
          <w:lang w:val="fr-FR"/>
        </w:rPr>
        <w:t xml:space="preserve">à partir </w:t>
      </w:r>
      <w:r w:rsidR="00B05D92">
        <w:rPr>
          <w:lang w:val="fr-FR"/>
        </w:rPr>
        <w:t>d’</w:t>
      </w:r>
      <w:r w:rsidR="00B05D92" w:rsidRPr="00B05D92">
        <w:rPr>
          <w:lang w:val="fr-FR"/>
        </w:rPr>
        <w:t xml:space="preserve">un </w:t>
      </w:r>
      <w:r w:rsidR="00B05D92">
        <w:rPr>
          <w:lang w:val="fr-FR"/>
        </w:rPr>
        <w:t xml:space="preserve">premier </w:t>
      </w:r>
      <w:r w:rsidR="00B05D92" w:rsidRPr="00B05D92">
        <w:rPr>
          <w:lang w:val="fr-FR"/>
        </w:rPr>
        <w:t xml:space="preserve">site contaminé </w:t>
      </w:r>
      <w:r w:rsidR="00B05D92">
        <w:rPr>
          <w:lang w:val="fr-FR"/>
        </w:rPr>
        <w:t>en contamine</w:t>
      </w:r>
      <w:r w:rsidR="00DB0BCF">
        <w:rPr>
          <w:lang w:val="fr-FR"/>
        </w:rPr>
        <w:t xml:space="preserve"> parfois</w:t>
      </w:r>
      <w:r w:rsidR="00B05D92">
        <w:rPr>
          <w:lang w:val="fr-FR"/>
        </w:rPr>
        <w:t xml:space="preserve"> d’autres</w:t>
      </w:r>
      <w:r w:rsidR="00D31AFF" w:rsidRPr="008D2CC5">
        <w:rPr>
          <w:lang w:val="fr-FR"/>
        </w:rPr>
        <w:t xml:space="preserve">. </w:t>
      </w:r>
      <w:r w:rsidR="00C67FFA" w:rsidRPr="008D2CC5">
        <w:rPr>
          <w:lang w:val="fr-FR"/>
        </w:rPr>
        <w:t>Dans certains cas</w:t>
      </w:r>
      <w:r w:rsidR="00D31AFF" w:rsidRPr="008D2CC5">
        <w:rPr>
          <w:lang w:val="fr-FR"/>
        </w:rPr>
        <w:t xml:space="preserve">, </w:t>
      </w:r>
      <w:r w:rsidR="00C67FFA" w:rsidRPr="008D2CC5">
        <w:rPr>
          <w:lang w:val="fr-FR"/>
        </w:rPr>
        <w:t>notamment lorsque le mercure est transporté par ruissellement vers des</w:t>
      </w:r>
      <w:r w:rsidR="00380F44" w:rsidRPr="008D2CC5">
        <w:rPr>
          <w:lang w:val="fr-FR"/>
        </w:rPr>
        <w:t> </w:t>
      </w:r>
      <w:r w:rsidR="00C67FFA" w:rsidRPr="008D2CC5">
        <w:rPr>
          <w:lang w:val="fr-FR"/>
        </w:rPr>
        <w:t>zones humides ou d</w:t>
      </w:r>
      <w:r w:rsidR="000409D6" w:rsidRPr="008D2CC5">
        <w:rPr>
          <w:lang w:val="fr-FR"/>
        </w:rPr>
        <w:t>’</w:t>
      </w:r>
      <w:r w:rsidR="00C67FFA" w:rsidRPr="008D2CC5">
        <w:rPr>
          <w:lang w:val="fr-FR"/>
        </w:rPr>
        <w:t xml:space="preserve">autres écosystèmes </w:t>
      </w:r>
      <w:r w:rsidR="00BC4135" w:rsidRPr="008D2CC5">
        <w:rPr>
          <w:lang w:val="fr-FR"/>
        </w:rPr>
        <w:t>sensibles</w:t>
      </w:r>
      <w:r w:rsidR="00C67FFA" w:rsidRPr="008D2CC5">
        <w:rPr>
          <w:lang w:val="fr-FR"/>
        </w:rPr>
        <w:t>, les principaux contaminants du</w:t>
      </w:r>
      <w:r w:rsidR="00691735" w:rsidRPr="008D2CC5">
        <w:rPr>
          <w:lang w:val="fr-FR"/>
        </w:rPr>
        <w:t>(des)</w:t>
      </w:r>
      <w:r w:rsidR="00C67FFA" w:rsidRPr="008D2CC5">
        <w:rPr>
          <w:lang w:val="fr-FR"/>
        </w:rPr>
        <w:t xml:space="preserve"> site</w:t>
      </w:r>
      <w:r w:rsidR="00691735" w:rsidRPr="008D2CC5">
        <w:rPr>
          <w:lang w:val="fr-FR"/>
        </w:rPr>
        <w:t>(s)</w:t>
      </w:r>
      <w:r w:rsidR="00C67FFA" w:rsidRPr="008D2CC5">
        <w:rPr>
          <w:lang w:val="fr-FR"/>
        </w:rPr>
        <w:t xml:space="preserve"> secondaire</w:t>
      </w:r>
      <w:r w:rsidR="00691735" w:rsidRPr="008D2CC5">
        <w:rPr>
          <w:lang w:val="fr-FR"/>
        </w:rPr>
        <w:t>(s)</w:t>
      </w:r>
      <w:r w:rsidR="00C67FFA" w:rsidRPr="008D2CC5">
        <w:rPr>
          <w:lang w:val="fr-FR"/>
        </w:rPr>
        <w:t xml:space="preserve"> peuvent être du </w:t>
      </w:r>
      <w:proofErr w:type="spellStart"/>
      <w:r w:rsidR="00C67FFA" w:rsidRPr="008D2CC5">
        <w:rPr>
          <w:lang w:val="fr-FR"/>
        </w:rPr>
        <w:t>méthylmercure</w:t>
      </w:r>
      <w:proofErr w:type="spellEnd"/>
      <w:r w:rsidR="00C67FFA" w:rsidRPr="008D2CC5">
        <w:rPr>
          <w:lang w:val="fr-FR"/>
        </w:rPr>
        <w:t xml:space="preserve"> produit par transformation bactérienne ou d</w:t>
      </w:r>
      <w:r w:rsidR="000409D6" w:rsidRPr="008D2CC5">
        <w:rPr>
          <w:lang w:val="fr-FR"/>
        </w:rPr>
        <w:t>’</w:t>
      </w:r>
      <w:r w:rsidR="00C67FFA" w:rsidRPr="008D2CC5">
        <w:rPr>
          <w:lang w:val="fr-FR"/>
        </w:rPr>
        <w:t xml:space="preserve">autres composés, tels que le sulfure de mercure </w:t>
      </w:r>
      <w:r w:rsidR="00C03677" w:rsidRPr="008D2CC5">
        <w:rPr>
          <w:lang w:val="fr-FR"/>
        </w:rPr>
        <w:t xml:space="preserve">qui </w:t>
      </w:r>
      <w:r w:rsidR="00C67FFA" w:rsidRPr="008D2CC5">
        <w:rPr>
          <w:lang w:val="fr-FR"/>
        </w:rPr>
        <w:t xml:space="preserve">peut </w:t>
      </w:r>
      <w:r w:rsidR="00C03677" w:rsidRPr="008D2CC5">
        <w:rPr>
          <w:lang w:val="fr-FR"/>
        </w:rPr>
        <w:t xml:space="preserve">se </w:t>
      </w:r>
      <w:r w:rsidR="00C67FFA" w:rsidRPr="008D2CC5">
        <w:rPr>
          <w:lang w:val="fr-FR"/>
        </w:rPr>
        <w:t>former par réaction</w:t>
      </w:r>
      <w:r w:rsidR="00C03677" w:rsidRPr="008D2CC5">
        <w:rPr>
          <w:lang w:val="fr-FR"/>
        </w:rPr>
        <w:t xml:space="preserve"> du mercure</w:t>
      </w:r>
      <w:r w:rsidR="00C67FFA" w:rsidRPr="008D2CC5">
        <w:rPr>
          <w:lang w:val="fr-FR"/>
        </w:rPr>
        <w:t xml:space="preserve"> avec le soufre contenu dans le sol</w:t>
      </w:r>
      <w:r w:rsidR="00D31AFF" w:rsidRPr="008D2CC5">
        <w:rPr>
          <w:lang w:val="fr-FR"/>
        </w:rPr>
        <w:t xml:space="preserve">. </w:t>
      </w:r>
    </w:p>
    <w:p w14:paraId="6E15A979" w14:textId="2307E520" w:rsidR="00D31AFF" w:rsidRPr="008D2CC5" w:rsidRDefault="008E0D03" w:rsidP="008E43CD">
      <w:pPr>
        <w:pStyle w:val="Normalnumber"/>
        <w:numPr>
          <w:ilvl w:val="0"/>
          <w:numId w:val="5"/>
        </w:numPr>
        <w:rPr>
          <w:lang w:val="fr-FR"/>
        </w:rPr>
      </w:pPr>
      <w:r w:rsidRPr="008D2CC5">
        <w:rPr>
          <w:lang w:val="fr-FR"/>
        </w:rPr>
        <w:t>Dans le cas de l</w:t>
      </w:r>
      <w:r w:rsidR="000409D6" w:rsidRPr="008D2CC5">
        <w:rPr>
          <w:lang w:val="fr-FR"/>
        </w:rPr>
        <w:t>’</w:t>
      </w:r>
      <w:r w:rsidRPr="008D2CC5">
        <w:rPr>
          <w:lang w:val="fr-FR"/>
        </w:rPr>
        <w:t>extraction minière artisanale et à petite échelle d</w:t>
      </w:r>
      <w:r w:rsidR="000409D6" w:rsidRPr="008D2CC5">
        <w:rPr>
          <w:lang w:val="fr-FR"/>
        </w:rPr>
        <w:t>’</w:t>
      </w:r>
      <w:r w:rsidRPr="008D2CC5">
        <w:rPr>
          <w:lang w:val="fr-FR"/>
        </w:rPr>
        <w:t>or, l</w:t>
      </w:r>
      <w:r w:rsidR="000409D6" w:rsidRPr="008D2CC5">
        <w:rPr>
          <w:lang w:val="fr-FR"/>
        </w:rPr>
        <w:t>’</w:t>
      </w:r>
      <w:r w:rsidRPr="008D2CC5">
        <w:rPr>
          <w:lang w:val="fr-FR"/>
        </w:rPr>
        <w:t>identification des sites peut s</w:t>
      </w:r>
      <w:r w:rsidR="000409D6" w:rsidRPr="008D2CC5">
        <w:rPr>
          <w:lang w:val="fr-FR"/>
        </w:rPr>
        <w:t>’</w:t>
      </w:r>
      <w:r w:rsidRPr="008D2CC5">
        <w:rPr>
          <w:lang w:val="fr-FR"/>
        </w:rPr>
        <w:t>avérer particulièrement problématique, en raison du nombre de sites potentiellement contaminés, de la nature informelle (et parfois illégale) des activités menées et de l</w:t>
      </w:r>
      <w:r w:rsidR="000409D6" w:rsidRPr="008D2CC5">
        <w:rPr>
          <w:lang w:val="fr-FR"/>
        </w:rPr>
        <w:t>’</w:t>
      </w:r>
      <w:r w:rsidRPr="008D2CC5">
        <w:rPr>
          <w:lang w:val="fr-FR"/>
        </w:rPr>
        <w:t>absence de registres officiels</w:t>
      </w:r>
      <w:r w:rsidR="00D31AFF" w:rsidRPr="008D2CC5">
        <w:rPr>
          <w:lang w:val="fr-FR"/>
        </w:rPr>
        <w:t xml:space="preserve">. </w:t>
      </w:r>
      <w:r w:rsidRPr="008D2CC5">
        <w:rPr>
          <w:lang w:val="fr-FR"/>
        </w:rPr>
        <w:t>Il peut être nécessaire de définir un groupe de sites ou une région pouvant être touchés par des activités minières artisanales pour ensuite s</w:t>
      </w:r>
      <w:r w:rsidR="000409D6" w:rsidRPr="008D2CC5">
        <w:rPr>
          <w:lang w:val="fr-FR"/>
        </w:rPr>
        <w:t>’</w:t>
      </w:r>
      <w:r w:rsidRPr="008D2CC5">
        <w:rPr>
          <w:lang w:val="fr-FR"/>
        </w:rPr>
        <w:t>attacher à identifier individuellement les</w:t>
      </w:r>
      <w:r w:rsidR="00380F44" w:rsidRPr="008D2CC5">
        <w:rPr>
          <w:lang w:val="fr-FR"/>
        </w:rPr>
        <w:t> </w:t>
      </w:r>
      <w:r w:rsidRPr="008D2CC5">
        <w:rPr>
          <w:lang w:val="fr-FR"/>
        </w:rPr>
        <w:t>sites préoccupants au sein de la zone définie</w:t>
      </w:r>
      <w:r w:rsidR="00D31AFF" w:rsidRPr="008D2CC5">
        <w:rPr>
          <w:lang w:val="fr-FR"/>
        </w:rPr>
        <w:t>.</w:t>
      </w:r>
      <w:r w:rsidRPr="008D2CC5">
        <w:rPr>
          <w:lang w:val="fr-FR"/>
        </w:rPr>
        <w:t xml:space="preserve"> Les informations collectées aux fins de l</w:t>
      </w:r>
      <w:r w:rsidR="000409D6" w:rsidRPr="008D2CC5">
        <w:rPr>
          <w:lang w:val="fr-FR"/>
        </w:rPr>
        <w:t>’</w:t>
      </w:r>
      <w:r w:rsidRPr="008D2CC5">
        <w:rPr>
          <w:lang w:val="fr-FR"/>
        </w:rPr>
        <w:t>élaboration d</w:t>
      </w:r>
      <w:r w:rsidR="000409D6" w:rsidRPr="008D2CC5">
        <w:rPr>
          <w:lang w:val="fr-FR"/>
        </w:rPr>
        <w:t>’</w:t>
      </w:r>
      <w:r w:rsidRPr="008D2CC5">
        <w:rPr>
          <w:lang w:val="fr-FR"/>
        </w:rPr>
        <w:t>un plan d</w:t>
      </w:r>
      <w:r w:rsidR="000409D6" w:rsidRPr="008D2CC5">
        <w:rPr>
          <w:lang w:val="fr-FR"/>
        </w:rPr>
        <w:t>’</w:t>
      </w:r>
      <w:r w:rsidRPr="008D2CC5">
        <w:rPr>
          <w:lang w:val="fr-FR"/>
        </w:rPr>
        <w:t>action national en application de l</w:t>
      </w:r>
      <w:r w:rsidR="000409D6" w:rsidRPr="008D2CC5">
        <w:rPr>
          <w:lang w:val="fr-FR"/>
        </w:rPr>
        <w:t>’</w:t>
      </w:r>
      <w:r w:rsidR="00D31AFF" w:rsidRPr="008D2CC5">
        <w:rPr>
          <w:lang w:val="fr-FR"/>
        </w:rPr>
        <w:t>article</w:t>
      </w:r>
      <w:r w:rsidRPr="008D2CC5">
        <w:rPr>
          <w:lang w:val="fr-FR"/>
        </w:rPr>
        <w:t> </w:t>
      </w:r>
      <w:r w:rsidR="00D31AFF" w:rsidRPr="008D2CC5">
        <w:rPr>
          <w:lang w:val="fr-FR"/>
        </w:rPr>
        <w:t xml:space="preserve">7 </w:t>
      </w:r>
      <w:r w:rsidRPr="008D2CC5">
        <w:rPr>
          <w:lang w:val="fr-FR"/>
        </w:rPr>
        <w:t>peuvent être utiles pour l</w:t>
      </w:r>
      <w:r w:rsidR="000409D6" w:rsidRPr="008D2CC5">
        <w:rPr>
          <w:lang w:val="fr-FR"/>
        </w:rPr>
        <w:t>’</w:t>
      </w:r>
      <w:r w:rsidRPr="008D2CC5">
        <w:rPr>
          <w:lang w:val="fr-FR"/>
        </w:rPr>
        <w:t>identification des</w:t>
      </w:r>
      <w:r w:rsidR="00380F44" w:rsidRPr="008D2CC5">
        <w:rPr>
          <w:lang w:val="fr-FR"/>
        </w:rPr>
        <w:t> </w:t>
      </w:r>
      <w:r w:rsidRPr="008D2CC5">
        <w:rPr>
          <w:lang w:val="fr-FR"/>
        </w:rPr>
        <w:t>sites</w:t>
      </w:r>
      <w:r w:rsidR="00D31AFF" w:rsidRPr="008D2CC5">
        <w:rPr>
          <w:lang w:val="fr-FR"/>
        </w:rPr>
        <w:t xml:space="preserve"> </w:t>
      </w:r>
      <w:r w:rsidR="000563B1" w:rsidRPr="008D2CC5">
        <w:rPr>
          <w:lang w:val="fr-FR"/>
        </w:rPr>
        <w:t>d</w:t>
      </w:r>
      <w:r w:rsidR="000409D6" w:rsidRPr="008D2CC5">
        <w:rPr>
          <w:lang w:val="fr-FR"/>
        </w:rPr>
        <w:t>’</w:t>
      </w:r>
      <w:r w:rsidR="000563B1" w:rsidRPr="008D2CC5">
        <w:rPr>
          <w:lang w:val="fr-FR"/>
        </w:rPr>
        <w:t>extraction minière artisanale et à petite échelle d</w:t>
      </w:r>
      <w:r w:rsidR="000409D6" w:rsidRPr="008D2CC5">
        <w:rPr>
          <w:lang w:val="fr-FR"/>
        </w:rPr>
        <w:t>’</w:t>
      </w:r>
      <w:r w:rsidR="000563B1" w:rsidRPr="008D2CC5">
        <w:rPr>
          <w:lang w:val="fr-FR"/>
        </w:rPr>
        <w:t>or contaminés</w:t>
      </w:r>
      <w:r w:rsidR="00D31AFF" w:rsidRPr="008D2CC5">
        <w:rPr>
          <w:lang w:val="fr-FR"/>
        </w:rPr>
        <w:t>.</w:t>
      </w:r>
    </w:p>
    <w:p w14:paraId="50137314" w14:textId="253ED8BD" w:rsidR="00D31AFF" w:rsidRPr="008D2CC5" w:rsidRDefault="000563B1" w:rsidP="008E43CD">
      <w:pPr>
        <w:pStyle w:val="Normalnumber"/>
        <w:numPr>
          <w:ilvl w:val="0"/>
          <w:numId w:val="5"/>
        </w:numPr>
        <w:rPr>
          <w:lang w:val="fr-FR"/>
        </w:rPr>
      </w:pPr>
      <w:r w:rsidRPr="008D2CC5">
        <w:rPr>
          <w:lang w:val="fr-FR"/>
        </w:rPr>
        <w:t>Afin d</w:t>
      </w:r>
      <w:r w:rsidR="000409D6" w:rsidRPr="008D2CC5">
        <w:rPr>
          <w:lang w:val="fr-FR"/>
        </w:rPr>
        <w:t>’</w:t>
      </w:r>
      <w:r w:rsidRPr="008D2CC5">
        <w:rPr>
          <w:lang w:val="fr-FR"/>
        </w:rPr>
        <w:t>établir un inventaire national préliminaire des sites potentiellement contaminés, les</w:t>
      </w:r>
      <w:r w:rsidR="00380F44" w:rsidRPr="008D2CC5">
        <w:rPr>
          <w:lang w:val="fr-FR"/>
        </w:rPr>
        <w:t> </w:t>
      </w:r>
      <w:r w:rsidRPr="008D2CC5">
        <w:rPr>
          <w:lang w:val="fr-FR"/>
        </w:rPr>
        <w:t>organismes publics peuvent mettre en commun leurs registres des activités et des utilisations des</w:t>
      </w:r>
      <w:r w:rsidR="00380F44" w:rsidRPr="008D2CC5">
        <w:rPr>
          <w:lang w:val="fr-FR"/>
        </w:rPr>
        <w:t> </w:t>
      </w:r>
      <w:r w:rsidRPr="008D2CC5">
        <w:rPr>
          <w:lang w:val="fr-FR"/>
        </w:rPr>
        <w:t>sols actuelles et passées, telles que celles mentionnées plus haut, afin de servir de base aux</w:t>
      </w:r>
      <w:r w:rsidR="00380F44" w:rsidRPr="008D2CC5">
        <w:rPr>
          <w:lang w:val="fr-FR"/>
        </w:rPr>
        <w:t> </w:t>
      </w:r>
      <w:r w:rsidRPr="008D2CC5">
        <w:rPr>
          <w:lang w:val="fr-FR"/>
        </w:rPr>
        <w:t>investigations plus approfondies</w:t>
      </w:r>
      <w:r w:rsidR="00D31AFF" w:rsidRPr="008D2CC5">
        <w:rPr>
          <w:lang w:val="fr-FR"/>
        </w:rPr>
        <w:t xml:space="preserve">. </w:t>
      </w:r>
      <w:r w:rsidRPr="008D2CC5">
        <w:rPr>
          <w:lang w:val="fr-FR"/>
        </w:rPr>
        <w:t>Dans certaines juridictions, les organismes publics, les</w:t>
      </w:r>
      <w:r w:rsidR="00380F44" w:rsidRPr="008D2CC5">
        <w:rPr>
          <w:lang w:val="fr-FR"/>
        </w:rPr>
        <w:t> </w:t>
      </w:r>
      <w:r w:rsidRPr="008D2CC5">
        <w:rPr>
          <w:lang w:val="fr-FR"/>
        </w:rPr>
        <w:t>entreprises et les propriétaires fonciers privés sont tenus par la loi</w:t>
      </w:r>
      <w:r w:rsidR="00D31AFF" w:rsidRPr="008D2CC5">
        <w:rPr>
          <w:rStyle w:val="FootnoteReference"/>
          <w:lang w:val="fr-FR"/>
        </w:rPr>
        <w:footnoteReference w:id="2"/>
      </w:r>
      <w:r w:rsidR="00D31AFF" w:rsidRPr="008D2CC5">
        <w:rPr>
          <w:lang w:val="fr-FR"/>
        </w:rPr>
        <w:t xml:space="preserve"> </w:t>
      </w:r>
      <w:r w:rsidRPr="008D2CC5">
        <w:rPr>
          <w:lang w:val="fr-FR"/>
        </w:rPr>
        <w:t>de signaler à l</w:t>
      </w:r>
      <w:r w:rsidR="000409D6" w:rsidRPr="008D2CC5">
        <w:rPr>
          <w:lang w:val="fr-FR"/>
        </w:rPr>
        <w:t>’</w:t>
      </w:r>
      <w:r w:rsidRPr="008D2CC5">
        <w:rPr>
          <w:lang w:val="fr-FR"/>
        </w:rPr>
        <w:t>organisme environnemental compétent s</w:t>
      </w:r>
      <w:r w:rsidR="000409D6" w:rsidRPr="008D2CC5">
        <w:rPr>
          <w:lang w:val="fr-FR"/>
        </w:rPr>
        <w:t>’</w:t>
      </w:r>
      <w:r w:rsidRPr="008D2CC5">
        <w:rPr>
          <w:lang w:val="fr-FR"/>
        </w:rPr>
        <w:t>ils possèdent des terres présumées contaminées ou reconnues comme telles, faute de quoi ils s</w:t>
      </w:r>
      <w:r w:rsidR="000409D6" w:rsidRPr="008D2CC5">
        <w:rPr>
          <w:lang w:val="fr-FR"/>
        </w:rPr>
        <w:t>’</w:t>
      </w:r>
      <w:r w:rsidRPr="008D2CC5">
        <w:rPr>
          <w:lang w:val="fr-FR"/>
        </w:rPr>
        <w:t>exposent à des amendes</w:t>
      </w:r>
      <w:r w:rsidR="00D31AFF" w:rsidRPr="008D2CC5">
        <w:rPr>
          <w:lang w:val="fr-FR"/>
        </w:rPr>
        <w:t>.</w:t>
      </w:r>
    </w:p>
    <w:p w14:paraId="1532A44E" w14:textId="5F86CA07" w:rsidR="00D31AFF" w:rsidRPr="008D2CC5" w:rsidRDefault="004A47D9" w:rsidP="008E43CD">
      <w:pPr>
        <w:pStyle w:val="Normalnumber"/>
        <w:numPr>
          <w:ilvl w:val="0"/>
          <w:numId w:val="5"/>
        </w:numPr>
        <w:rPr>
          <w:lang w:val="fr-FR"/>
        </w:rPr>
      </w:pPr>
      <w:r w:rsidRPr="008D2CC5">
        <w:rPr>
          <w:lang w:val="fr-FR"/>
        </w:rPr>
        <w:t>Dans de nombreux cas, il est possible d</w:t>
      </w:r>
      <w:r w:rsidR="000409D6" w:rsidRPr="008D2CC5">
        <w:rPr>
          <w:lang w:val="fr-FR"/>
        </w:rPr>
        <w:t>’</w:t>
      </w:r>
      <w:r w:rsidRPr="008D2CC5">
        <w:rPr>
          <w:lang w:val="fr-FR"/>
        </w:rPr>
        <w:t xml:space="preserve">opérer une première identification des sites présumés contaminés par les moyens ci-après </w:t>
      </w:r>
      <w:r w:rsidR="00D31AFF" w:rsidRPr="008D2CC5">
        <w:rPr>
          <w:lang w:val="fr-FR"/>
        </w:rPr>
        <w:t>(</w:t>
      </w:r>
      <w:r w:rsidR="00F20C36" w:rsidRPr="008D2CC5">
        <w:rPr>
          <w:lang w:val="fr-FR"/>
        </w:rPr>
        <w:t>PNUE</w:t>
      </w:r>
      <w:r w:rsidR="00D31AFF" w:rsidRPr="008D2CC5">
        <w:rPr>
          <w:lang w:val="fr-FR"/>
        </w:rPr>
        <w:t>, 2015)</w:t>
      </w:r>
      <w:r w:rsidR="000409D6" w:rsidRPr="008D2CC5">
        <w:rPr>
          <w:lang w:val="fr-FR"/>
        </w:rPr>
        <w:t> :</w:t>
      </w:r>
      <w:r w:rsidR="00D31AFF" w:rsidRPr="008D2CC5">
        <w:rPr>
          <w:lang w:val="fr-FR"/>
        </w:rPr>
        <w:t xml:space="preserve"> </w:t>
      </w:r>
    </w:p>
    <w:p w14:paraId="52D5F63D" w14:textId="747EEF1F" w:rsidR="00D31AFF" w:rsidRPr="008D2CC5" w:rsidRDefault="00E44420" w:rsidP="008E43CD">
      <w:pPr>
        <w:pStyle w:val="Normalnumber"/>
        <w:numPr>
          <w:ilvl w:val="1"/>
          <w:numId w:val="5"/>
        </w:numPr>
        <w:rPr>
          <w:lang w:val="fr-FR"/>
        </w:rPr>
      </w:pPr>
      <w:r w:rsidRPr="008D2CC5">
        <w:rPr>
          <w:lang w:val="fr-FR"/>
        </w:rPr>
        <w:t>Documents faisant état des activités industrielles ou autres menées sur le site dans le</w:t>
      </w:r>
      <w:r w:rsidR="00380F44" w:rsidRPr="008D2CC5">
        <w:rPr>
          <w:lang w:val="fr-FR"/>
        </w:rPr>
        <w:t> </w:t>
      </w:r>
      <w:r w:rsidRPr="008D2CC5">
        <w:rPr>
          <w:lang w:val="fr-FR"/>
        </w:rPr>
        <w:t>passé</w:t>
      </w:r>
      <w:r w:rsidR="000409D6" w:rsidRPr="008D2CC5">
        <w:rPr>
          <w:lang w:val="fr-FR"/>
        </w:rPr>
        <w:t> ;</w:t>
      </w:r>
    </w:p>
    <w:p w14:paraId="75545AF2" w14:textId="3A175FB4" w:rsidR="00D31AFF" w:rsidRPr="008D2CC5" w:rsidRDefault="00E44420" w:rsidP="008E43CD">
      <w:pPr>
        <w:pStyle w:val="Normalnumber"/>
        <w:numPr>
          <w:ilvl w:val="1"/>
          <w:numId w:val="5"/>
        </w:numPr>
        <w:rPr>
          <w:lang w:val="fr-FR"/>
        </w:rPr>
      </w:pPr>
      <w:r w:rsidRPr="008D2CC5">
        <w:rPr>
          <w:lang w:val="fr-FR"/>
        </w:rPr>
        <w:t>Inspection visuelle de l</w:t>
      </w:r>
      <w:r w:rsidR="000409D6" w:rsidRPr="008D2CC5">
        <w:rPr>
          <w:lang w:val="fr-FR"/>
        </w:rPr>
        <w:t>’</w:t>
      </w:r>
      <w:r w:rsidRPr="008D2CC5">
        <w:rPr>
          <w:lang w:val="fr-FR"/>
        </w:rPr>
        <w:t>état du site ou des sources associées de contaminants</w:t>
      </w:r>
      <w:r w:rsidR="000409D6" w:rsidRPr="008D2CC5">
        <w:rPr>
          <w:lang w:val="fr-FR"/>
        </w:rPr>
        <w:t> ;</w:t>
      </w:r>
    </w:p>
    <w:p w14:paraId="4031FF7C" w14:textId="20956485" w:rsidR="00D31AFF" w:rsidRPr="008D2CC5" w:rsidRDefault="00E44420" w:rsidP="008E43CD">
      <w:pPr>
        <w:pStyle w:val="Normalnumber"/>
        <w:numPr>
          <w:ilvl w:val="1"/>
          <w:numId w:val="5"/>
        </w:numPr>
        <w:rPr>
          <w:lang w:val="fr-FR"/>
        </w:rPr>
      </w:pPr>
      <w:r w:rsidRPr="008D2CC5">
        <w:rPr>
          <w:lang w:val="fr-FR"/>
        </w:rPr>
        <w:t>Inspection visuelle des opérations de fabrication ou d</w:t>
      </w:r>
      <w:r w:rsidR="000409D6" w:rsidRPr="008D2CC5">
        <w:rPr>
          <w:lang w:val="fr-FR"/>
        </w:rPr>
        <w:t>’</w:t>
      </w:r>
      <w:r w:rsidRPr="008D2CC5">
        <w:rPr>
          <w:lang w:val="fr-FR"/>
        </w:rPr>
        <w:t>autres activités connues pour avoir utilisé ou émis un contaminant particulièrement dangereux</w:t>
      </w:r>
      <w:r w:rsidR="000409D6" w:rsidRPr="008D2CC5">
        <w:rPr>
          <w:lang w:val="fr-FR"/>
        </w:rPr>
        <w:t> ;</w:t>
      </w:r>
    </w:p>
    <w:p w14:paraId="5922FE67" w14:textId="09DFD37E" w:rsidR="00D31AFF" w:rsidRPr="008D2CC5" w:rsidRDefault="00E44420" w:rsidP="008E43CD">
      <w:pPr>
        <w:pStyle w:val="Normalnumber"/>
        <w:numPr>
          <w:ilvl w:val="1"/>
          <w:numId w:val="5"/>
        </w:numPr>
        <w:rPr>
          <w:lang w:val="fr-FR"/>
        </w:rPr>
      </w:pPr>
      <w:r w:rsidRPr="008D2CC5">
        <w:rPr>
          <w:lang w:val="fr-FR"/>
        </w:rPr>
        <w:lastRenderedPageBreak/>
        <w:t>Effets néfastes observés chez la population humaine, la flore et la faune, dont la cause est probablement la proximité du site</w:t>
      </w:r>
      <w:r w:rsidR="00B04DC7" w:rsidRPr="008D2CC5">
        <w:rPr>
          <w:vertAlign w:val="superscript"/>
          <w:lang w:val="fr-FR"/>
        </w:rPr>
        <w:footnoteReference w:id="3"/>
      </w:r>
      <w:r w:rsidR="000409D6" w:rsidRPr="008D2CC5">
        <w:rPr>
          <w:lang w:val="fr-FR"/>
        </w:rPr>
        <w:t> ;</w:t>
      </w:r>
    </w:p>
    <w:p w14:paraId="2E86A4C3" w14:textId="13D2022C" w:rsidR="00D31AFF" w:rsidRPr="008D2CC5" w:rsidRDefault="00A751A2" w:rsidP="008E43CD">
      <w:pPr>
        <w:pStyle w:val="Normalnumber"/>
        <w:numPr>
          <w:ilvl w:val="1"/>
          <w:numId w:val="5"/>
        </w:numPr>
        <w:rPr>
          <w:lang w:val="fr-FR"/>
        </w:rPr>
      </w:pPr>
      <w:r w:rsidRPr="008D2CC5">
        <w:rPr>
          <w:lang w:val="fr-FR"/>
        </w:rPr>
        <w:t>Résultats physiques ou analytiques existants montrant la présence de contaminants</w:t>
      </w:r>
      <w:r w:rsidR="000409D6" w:rsidRPr="008D2CC5">
        <w:rPr>
          <w:lang w:val="fr-FR"/>
        </w:rPr>
        <w:t> ;</w:t>
      </w:r>
    </w:p>
    <w:p w14:paraId="7E6BA387" w14:textId="6050B703" w:rsidR="00D31AFF" w:rsidRPr="008D2CC5" w:rsidRDefault="00A751A2" w:rsidP="008E43CD">
      <w:pPr>
        <w:pStyle w:val="Normalnumber"/>
        <w:numPr>
          <w:ilvl w:val="1"/>
          <w:numId w:val="5"/>
        </w:numPr>
        <w:rPr>
          <w:lang w:val="fr-FR"/>
        </w:rPr>
      </w:pPr>
      <w:r w:rsidRPr="008D2CC5">
        <w:rPr>
          <w:lang w:val="fr-FR"/>
        </w:rPr>
        <w:t>Présomptions de rejets signalées aux pouvoirs publics par la communauté</w:t>
      </w:r>
      <w:r w:rsidR="00A057E8" w:rsidRPr="008D2CC5">
        <w:rPr>
          <w:lang w:val="fr-FR"/>
        </w:rPr>
        <w:t>.</w:t>
      </w:r>
    </w:p>
    <w:p w14:paraId="026D7852" w14:textId="4EDF46CF" w:rsidR="00D31AFF" w:rsidRPr="008D2CC5" w:rsidRDefault="00D31AFF" w:rsidP="00F93F76">
      <w:pPr>
        <w:pStyle w:val="CH3"/>
        <w:rPr>
          <w:lang w:val="fr-FR"/>
        </w:rPr>
      </w:pPr>
      <w:r w:rsidRPr="008D2CC5">
        <w:rPr>
          <w:lang w:val="fr-FR"/>
        </w:rPr>
        <w:tab/>
      </w:r>
      <w:r w:rsidR="00152CD3" w:rsidRPr="008D2CC5">
        <w:rPr>
          <w:lang w:val="fr-FR"/>
        </w:rPr>
        <w:t>2.</w:t>
      </w:r>
      <w:r w:rsidR="00152CD3" w:rsidRPr="008D2CC5">
        <w:rPr>
          <w:lang w:val="fr-FR"/>
        </w:rPr>
        <w:tab/>
      </w:r>
      <w:r w:rsidR="00386ECF" w:rsidRPr="008D2CC5">
        <w:rPr>
          <w:lang w:val="fr-FR"/>
        </w:rPr>
        <w:t>Établissement d</w:t>
      </w:r>
      <w:r w:rsidR="000409D6" w:rsidRPr="008D2CC5">
        <w:rPr>
          <w:lang w:val="fr-FR"/>
        </w:rPr>
        <w:t>’</w:t>
      </w:r>
      <w:r w:rsidR="00386ECF" w:rsidRPr="008D2CC5">
        <w:rPr>
          <w:lang w:val="fr-FR"/>
        </w:rPr>
        <w:t>inventaires</w:t>
      </w:r>
    </w:p>
    <w:p w14:paraId="3CAD8215" w14:textId="32B797A4" w:rsidR="00D31AFF" w:rsidRPr="008D2CC5" w:rsidRDefault="00C03677" w:rsidP="008E43CD">
      <w:pPr>
        <w:pStyle w:val="Normalnumber"/>
        <w:numPr>
          <w:ilvl w:val="0"/>
          <w:numId w:val="5"/>
        </w:numPr>
        <w:rPr>
          <w:lang w:val="fr-FR"/>
        </w:rPr>
      </w:pPr>
      <w:r w:rsidRPr="008D2CC5">
        <w:rPr>
          <w:lang w:val="fr-FR"/>
        </w:rPr>
        <w:t>Au fur et à</w:t>
      </w:r>
      <w:r w:rsidR="00521967" w:rsidRPr="008D2CC5">
        <w:rPr>
          <w:lang w:val="fr-FR"/>
        </w:rPr>
        <w:t xml:space="preserve"> mesure que l</w:t>
      </w:r>
      <w:r w:rsidR="000409D6" w:rsidRPr="008D2CC5">
        <w:rPr>
          <w:lang w:val="fr-FR"/>
        </w:rPr>
        <w:t>’</w:t>
      </w:r>
      <w:r w:rsidR="00D31AFF" w:rsidRPr="008D2CC5">
        <w:rPr>
          <w:lang w:val="fr-FR"/>
        </w:rPr>
        <w:t xml:space="preserve">identification </w:t>
      </w:r>
      <w:r w:rsidR="00521967" w:rsidRPr="008D2CC5">
        <w:rPr>
          <w:lang w:val="fr-FR"/>
        </w:rPr>
        <w:t>des sites</w:t>
      </w:r>
      <w:r w:rsidR="00D31AFF" w:rsidRPr="008D2CC5">
        <w:rPr>
          <w:lang w:val="fr-FR"/>
        </w:rPr>
        <w:t xml:space="preserve"> </w:t>
      </w:r>
      <w:r w:rsidR="00521967" w:rsidRPr="008D2CC5">
        <w:rPr>
          <w:lang w:val="fr-FR"/>
        </w:rPr>
        <w:t>présumés ou confirmés comme étant contaminés au sein d</w:t>
      </w:r>
      <w:r w:rsidR="000409D6" w:rsidRPr="008D2CC5">
        <w:rPr>
          <w:lang w:val="fr-FR"/>
        </w:rPr>
        <w:t>’</w:t>
      </w:r>
      <w:r w:rsidR="00521967" w:rsidRPr="008D2CC5">
        <w:rPr>
          <w:lang w:val="fr-FR"/>
        </w:rPr>
        <w:t>une juridiction progresse</w:t>
      </w:r>
      <w:r w:rsidR="00D31AFF" w:rsidRPr="008D2CC5">
        <w:rPr>
          <w:lang w:val="fr-FR"/>
        </w:rPr>
        <w:t xml:space="preserve">, </w:t>
      </w:r>
      <w:r w:rsidR="00521967" w:rsidRPr="008D2CC5">
        <w:rPr>
          <w:lang w:val="fr-FR"/>
        </w:rPr>
        <w:t>il devient possible d</w:t>
      </w:r>
      <w:r w:rsidR="000409D6" w:rsidRPr="008D2CC5">
        <w:rPr>
          <w:lang w:val="fr-FR"/>
        </w:rPr>
        <w:t>’</w:t>
      </w:r>
      <w:r w:rsidR="00521967" w:rsidRPr="008D2CC5">
        <w:rPr>
          <w:lang w:val="fr-FR"/>
        </w:rPr>
        <w:t>établir un inventaire des sites</w:t>
      </w:r>
      <w:r w:rsidR="008E1531" w:rsidRPr="008D2CC5">
        <w:rPr>
          <w:lang w:val="fr-FR"/>
        </w:rPr>
        <w:t xml:space="preserve"> qui peut être utilisé pour suivre l</w:t>
      </w:r>
      <w:r w:rsidR="000409D6" w:rsidRPr="008D2CC5">
        <w:rPr>
          <w:lang w:val="fr-FR"/>
        </w:rPr>
        <w:t>’</w:t>
      </w:r>
      <w:r w:rsidR="008E1531" w:rsidRPr="008D2CC5">
        <w:rPr>
          <w:lang w:val="fr-FR"/>
        </w:rPr>
        <w:t>évaluation et la gestion des sites individuels au fil du temps</w:t>
      </w:r>
      <w:r w:rsidR="00D31AFF" w:rsidRPr="008D2CC5">
        <w:rPr>
          <w:lang w:val="fr-FR"/>
        </w:rPr>
        <w:t xml:space="preserve">. </w:t>
      </w:r>
      <w:r w:rsidR="008E1531" w:rsidRPr="008D2CC5">
        <w:rPr>
          <w:lang w:val="fr-FR"/>
        </w:rPr>
        <w:t>Dans ce contexte</w:t>
      </w:r>
      <w:r w:rsidR="00D31AFF" w:rsidRPr="008D2CC5">
        <w:rPr>
          <w:lang w:val="fr-FR"/>
        </w:rPr>
        <w:t>,</w:t>
      </w:r>
      <w:r w:rsidR="008E1531" w:rsidRPr="008D2CC5">
        <w:rPr>
          <w:lang w:val="fr-FR"/>
        </w:rPr>
        <w:t xml:space="preserve"> les</w:t>
      </w:r>
      <w:r w:rsidR="00D31AFF" w:rsidRPr="008D2CC5">
        <w:rPr>
          <w:lang w:val="fr-FR"/>
        </w:rPr>
        <w:t xml:space="preserve"> </w:t>
      </w:r>
      <w:r w:rsidR="008E1531" w:rsidRPr="008D2CC5">
        <w:rPr>
          <w:lang w:val="fr-FR"/>
        </w:rPr>
        <w:t>P</w:t>
      </w:r>
      <w:r w:rsidR="00D31AFF" w:rsidRPr="008D2CC5">
        <w:rPr>
          <w:lang w:val="fr-FR"/>
        </w:rPr>
        <w:t>arties</w:t>
      </w:r>
      <w:r w:rsidR="008E1531" w:rsidRPr="008D2CC5">
        <w:rPr>
          <w:lang w:val="fr-FR"/>
        </w:rPr>
        <w:t xml:space="preserve"> souhaiteront peut-être établir un inventaire </w:t>
      </w:r>
      <w:r w:rsidR="00AA1BE3" w:rsidRPr="008D2CC5">
        <w:rPr>
          <w:lang w:val="fr-FR"/>
        </w:rPr>
        <w:t>qui leur permettrait</w:t>
      </w:r>
      <w:r w:rsidR="008E1531" w:rsidRPr="008D2CC5">
        <w:rPr>
          <w:lang w:val="fr-FR"/>
        </w:rPr>
        <w:t xml:space="preserve"> d</w:t>
      </w:r>
      <w:r w:rsidR="000409D6" w:rsidRPr="008D2CC5">
        <w:rPr>
          <w:lang w:val="fr-FR"/>
        </w:rPr>
        <w:t>’</w:t>
      </w:r>
      <w:r w:rsidR="008E1531" w:rsidRPr="008D2CC5">
        <w:rPr>
          <w:lang w:val="fr-FR"/>
        </w:rPr>
        <w:t xml:space="preserve">adopter une approche fondée sur les risques </w:t>
      </w:r>
      <w:r w:rsidR="00AA1BE3" w:rsidRPr="008D2CC5">
        <w:rPr>
          <w:lang w:val="fr-FR"/>
        </w:rPr>
        <w:t xml:space="preserve">afin </w:t>
      </w:r>
      <w:r w:rsidR="006264DD" w:rsidRPr="008D2CC5">
        <w:rPr>
          <w:lang w:val="fr-FR"/>
        </w:rPr>
        <w:t>de fixer</w:t>
      </w:r>
      <w:r w:rsidR="00AA1BE3" w:rsidRPr="008D2CC5">
        <w:rPr>
          <w:lang w:val="fr-FR"/>
        </w:rPr>
        <w:t xml:space="preserve"> </w:t>
      </w:r>
      <w:r w:rsidR="0070655A" w:rsidRPr="008D2CC5">
        <w:rPr>
          <w:lang w:val="fr-FR"/>
        </w:rPr>
        <w:t xml:space="preserve">efficacement </w:t>
      </w:r>
      <w:r w:rsidR="00AA1BE3" w:rsidRPr="008D2CC5">
        <w:rPr>
          <w:lang w:val="fr-FR"/>
        </w:rPr>
        <w:t>des priorités dans</w:t>
      </w:r>
      <w:r w:rsidR="008E1531" w:rsidRPr="008D2CC5">
        <w:rPr>
          <w:lang w:val="fr-FR"/>
        </w:rPr>
        <w:t xml:space="preserve"> l</w:t>
      </w:r>
      <w:r w:rsidR="000409D6" w:rsidRPr="008D2CC5">
        <w:rPr>
          <w:lang w:val="fr-FR"/>
        </w:rPr>
        <w:t>’</w:t>
      </w:r>
      <w:r w:rsidR="008E1531" w:rsidRPr="008D2CC5">
        <w:rPr>
          <w:lang w:val="fr-FR"/>
        </w:rPr>
        <w:t>utilisation de</w:t>
      </w:r>
      <w:r w:rsidR="00AA1BE3" w:rsidRPr="008D2CC5">
        <w:rPr>
          <w:lang w:val="fr-FR"/>
        </w:rPr>
        <w:t>s</w:t>
      </w:r>
      <w:r w:rsidR="008E1531" w:rsidRPr="008D2CC5">
        <w:rPr>
          <w:lang w:val="fr-FR"/>
        </w:rPr>
        <w:t xml:space="preserve"> ressources</w:t>
      </w:r>
      <w:r w:rsidR="00AA1BE3" w:rsidRPr="008D2CC5">
        <w:rPr>
          <w:lang w:val="fr-FR"/>
        </w:rPr>
        <w:t xml:space="preserve"> dans le but de protéger les populations humaines et les niches environneme</w:t>
      </w:r>
      <w:r w:rsidR="0070655A" w:rsidRPr="008D2CC5">
        <w:rPr>
          <w:lang w:val="fr-FR"/>
        </w:rPr>
        <w:t>n</w:t>
      </w:r>
      <w:r w:rsidR="00AA1BE3" w:rsidRPr="008D2CC5">
        <w:rPr>
          <w:lang w:val="fr-FR"/>
        </w:rPr>
        <w:t>tales</w:t>
      </w:r>
      <w:r w:rsidR="0070655A" w:rsidRPr="008D2CC5">
        <w:rPr>
          <w:lang w:val="fr-FR"/>
        </w:rPr>
        <w:t xml:space="preserve"> les plus immédiatement menacées par un risque d</w:t>
      </w:r>
      <w:r w:rsidR="000409D6" w:rsidRPr="008D2CC5">
        <w:rPr>
          <w:lang w:val="fr-FR"/>
        </w:rPr>
        <w:t>’</w:t>
      </w:r>
      <w:r w:rsidR="0070655A" w:rsidRPr="008D2CC5">
        <w:rPr>
          <w:lang w:val="fr-FR"/>
        </w:rPr>
        <w:t>exposition au mercure provenant des sites les plus dangereux</w:t>
      </w:r>
      <w:r w:rsidR="00D31AFF" w:rsidRPr="008D2CC5">
        <w:rPr>
          <w:lang w:val="fr-FR"/>
        </w:rPr>
        <w:t>.</w:t>
      </w:r>
      <w:r w:rsidR="0070655A" w:rsidRPr="008D2CC5">
        <w:rPr>
          <w:lang w:val="fr-FR"/>
        </w:rPr>
        <w:t xml:space="preserve"> Les sites présentant les risques les plus élevés peuvent être gérés en priorité et les sites présentant des risques faibles peuvent se voir allouer des ressources ultérieurement</w:t>
      </w:r>
      <w:r w:rsidR="00D31AFF" w:rsidRPr="008D2CC5">
        <w:rPr>
          <w:lang w:val="fr-FR"/>
        </w:rPr>
        <w:t>.</w:t>
      </w:r>
    </w:p>
    <w:p w14:paraId="6764447C" w14:textId="1B4B6249" w:rsidR="00D31AFF" w:rsidRPr="008D2CC5" w:rsidRDefault="0070655A" w:rsidP="008E43CD">
      <w:pPr>
        <w:pStyle w:val="Normalnumber"/>
        <w:numPr>
          <w:ilvl w:val="0"/>
          <w:numId w:val="5"/>
        </w:numPr>
        <w:rPr>
          <w:lang w:val="fr-FR"/>
        </w:rPr>
      </w:pPr>
      <w:r w:rsidRPr="008D2CC5">
        <w:rPr>
          <w:lang w:val="fr-FR"/>
        </w:rPr>
        <w:t>Les inventaires peuvent servir de « base de données vivante », en ce sens que des sites</w:t>
      </w:r>
      <w:r w:rsidR="00485CE7" w:rsidRPr="008D2CC5">
        <w:rPr>
          <w:lang w:val="fr-FR"/>
        </w:rPr>
        <w:t xml:space="preserve"> (potentiellement) contaminés</w:t>
      </w:r>
      <w:r w:rsidRPr="008D2CC5">
        <w:rPr>
          <w:lang w:val="fr-FR"/>
        </w:rPr>
        <w:t xml:space="preserve"> peuvent</w:t>
      </w:r>
      <w:r w:rsidR="00C03677" w:rsidRPr="008D2CC5">
        <w:rPr>
          <w:lang w:val="fr-FR"/>
        </w:rPr>
        <w:t xml:space="preserve"> y</w:t>
      </w:r>
      <w:r w:rsidRPr="008D2CC5">
        <w:rPr>
          <w:lang w:val="fr-FR"/>
        </w:rPr>
        <w:t xml:space="preserve"> être ajoutés lorsqu</w:t>
      </w:r>
      <w:r w:rsidR="000409D6" w:rsidRPr="008D2CC5">
        <w:rPr>
          <w:lang w:val="fr-FR"/>
        </w:rPr>
        <w:t>’</w:t>
      </w:r>
      <w:r w:rsidRPr="008D2CC5">
        <w:rPr>
          <w:lang w:val="fr-FR"/>
        </w:rPr>
        <w:t xml:space="preserve">ils sont découverts </w:t>
      </w:r>
      <w:r w:rsidR="00D31AFF" w:rsidRPr="008D2CC5">
        <w:rPr>
          <w:lang w:val="fr-FR"/>
        </w:rPr>
        <w:t>(</w:t>
      </w:r>
      <w:r w:rsidRPr="008D2CC5">
        <w:rPr>
          <w:lang w:val="fr-FR"/>
        </w:rPr>
        <w:t>notamment d</w:t>
      </w:r>
      <w:r w:rsidR="000C34EA">
        <w:rPr>
          <w:lang w:val="fr-FR"/>
        </w:rPr>
        <w:t>’</w:t>
      </w:r>
      <w:r w:rsidRPr="008D2CC5">
        <w:rPr>
          <w:lang w:val="fr-FR"/>
        </w:rPr>
        <w:t xml:space="preserve">anciens sites qui peuvent </w:t>
      </w:r>
      <w:r w:rsidR="005F0B6B" w:rsidRPr="008D2CC5">
        <w:rPr>
          <w:lang w:val="fr-FR"/>
        </w:rPr>
        <w:t>être très vieux et</w:t>
      </w:r>
      <w:r w:rsidR="00C03677" w:rsidRPr="008D2CC5">
        <w:rPr>
          <w:lang w:val="fr-FR"/>
        </w:rPr>
        <w:t xml:space="preserve"> non documentés et qui ont été trouvés </w:t>
      </w:r>
      <w:r w:rsidR="005F0B6B" w:rsidRPr="008D2CC5">
        <w:rPr>
          <w:lang w:val="fr-FR"/>
        </w:rPr>
        <w:t>durant des travaux de construction sans rapport</w:t>
      </w:r>
      <w:r w:rsidR="00D31AFF" w:rsidRPr="008D2CC5">
        <w:rPr>
          <w:lang w:val="fr-FR"/>
        </w:rPr>
        <w:t>)</w:t>
      </w:r>
      <w:r w:rsidR="0082625D" w:rsidRPr="008D2CC5">
        <w:rPr>
          <w:lang w:val="fr-FR"/>
        </w:rPr>
        <w:t>.</w:t>
      </w:r>
      <w:r w:rsidR="005F0B6B" w:rsidRPr="008D2CC5">
        <w:rPr>
          <w:lang w:val="fr-FR"/>
        </w:rPr>
        <w:t xml:space="preserve"> Des sites peuvent également </w:t>
      </w:r>
      <w:r w:rsidR="000C34EA">
        <w:rPr>
          <w:lang w:val="fr-FR"/>
        </w:rPr>
        <w:t xml:space="preserve">en </w:t>
      </w:r>
      <w:r w:rsidR="005F0B6B" w:rsidRPr="008D2CC5">
        <w:rPr>
          <w:lang w:val="fr-FR"/>
        </w:rPr>
        <w:t>être supprimés</w:t>
      </w:r>
      <w:r w:rsidR="0082625D" w:rsidRPr="008D2CC5">
        <w:rPr>
          <w:lang w:val="fr-FR"/>
        </w:rPr>
        <w:t xml:space="preserve"> lorsqu</w:t>
      </w:r>
      <w:r w:rsidR="000409D6" w:rsidRPr="008D2CC5">
        <w:rPr>
          <w:lang w:val="fr-FR"/>
        </w:rPr>
        <w:t>’</w:t>
      </w:r>
      <w:r w:rsidR="0082625D" w:rsidRPr="008D2CC5">
        <w:rPr>
          <w:lang w:val="fr-FR"/>
        </w:rPr>
        <w:t>il a été établi qu</w:t>
      </w:r>
      <w:r w:rsidR="000409D6" w:rsidRPr="008D2CC5">
        <w:rPr>
          <w:lang w:val="fr-FR"/>
        </w:rPr>
        <w:t>’</w:t>
      </w:r>
      <w:r w:rsidR="0082625D" w:rsidRPr="008D2CC5">
        <w:rPr>
          <w:lang w:val="fr-FR"/>
        </w:rPr>
        <w:t>ils sont exempts de contamination ou ont été complètement remis en état</w:t>
      </w:r>
      <w:r w:rsidR="002A41F2" w:rsidRPr="008D2CC5">
        <w:rPr>
          <w:lang w:val="fr-FR"/>
        </w:rPr>
        <w:t>,</w:t>
      </w:r>
      <w:r w:rsidR="0082625D" w:rsidRPr="008D2CC5">
        <w:rPr>
          <w:lang w:val="fr-FR"/>
        </w:rPr>
        <w:t xml:space="preserve"> mais les Parties peuvent plutôt choisir de </w:t>
      </w:r>
      <w:r w:rsidR="00D033D6" w:rsidRPr="008D2CC5">
        <w:rPr>
          <w:lang w:val="fr-FR"/>
        </w:rPr>
        <w:t>qualifier</w:t>
      </w:r>
      <w:r w:rsidR="0082625D" w:rsidRPr="008D2CC5">
        <w:rPr>
          <w:lang w:val="fr-FR"/>
        </w:rPr>
        <w:t xml:space="preserve"> ces sites </w:t>
      </w:r>
      <w:r w:rsidR="00D033D6" w:rsidRPr="008D2CC5">
        <w:rPr>
          <w:lang w:val="fr-FR"/>
        </w:rPr>
        <w:t>de « remis en état » ou « non contaminés » et de les laisser dans la base de données au cas où les avancées scientifiques nécessiteraient une réévaluation ultérieure. Une telle situation pourrait se produire, par exemple, si les limites acceptables d</w:t>
      </w:r>
      <w:r w:rsidR="000409D6" w:rsidRPr="008D2CC5">
        <w:rPr>
          <w:lang w:val="fr-FR"/>
        </w:rPr>
        <w:t>’</w:t>
      </w:r>
      <w:r w:rsidR="00D033D6" w:rsidRPr="008D2CC5">
        <w:rPr>
          <w:lang w:val="fr-FR"/>
        </w:rPr>
        <w:t xml:space="preserve">un contaminant donné étaient fortement révisées à la </w:t>
      </w:r>
      <w:r w:rsidR="00AB1671" w:rsidRPr="008D2CC5">
        <w:rPr>
          <w:lang w:val="fr-FR"/>
        </w:rPr>
        <w:t>baisse</w:t>
      </w:r>
      <w:r w:rsidR="00D033D6" w:rsidRPr="008D2CC5">
        <w:rPr>
          <w:lang w:val="fr-FR"/>
        </w:rPr>
        <w:t xml:space="preserve">, rendant un site « remis en état » à nouveau « contaminé » en cas de </w:t>
      </w:r>
      <w:r w:rsidR="00AE22EE">
        <w:rPr>
          <w:lang w:val="fr-FR"/>
        </w:rPr>
        <w:br/>
      </w:r>
      <w:r w:rsidR="00D033D6" w:rsidRPr="008D2CC5">
        <w:rPr>
          <w:lang w:val="fr-FR"/>
        </w:rPr>
        <w:t>non-respect des nouveaux critères</w:t>
      </w:r>
      <w:r w:rsidR="00D31AFF" w:rsidRPr="008D2CC5">
        <w:rPr>
          <w:lang w:val="fr-FR"/>
        </w:rPr>
        <w:t>.</w:t>
      </w:r>
    </w:p>
    <w:p w14:paraId="0CA42643" w14:textId="16E272EB" w:rsidR="00D31AFF" w:rsidRPr="008D2CC5" w:rsidRDefault="00AB1671" w:rsidP="008E43CD">
      <w:pPr>
        <w:pStyle w:val="Normalnumber"/>
        <w:numPr>
          <w:ilvl w:val="0"/>
          <w:numId w:val="5"/>
        </w:numPr>
        <w:rPr>
          <w:lang w:val="fr-FR"/>
        </w:rPr>
      </w:pPr>
      <w:r w:rsidRPr="008D2CC5">
        <w:rPr>
          <w:lang w:val="fr-FR"/>
        </w:rPr>
        <w:t xml:space="preserve">Les inventaires peuvent disposer de systèmes de classification interne </w:t>
      </w:r>
      <w:r w:rsidR="0064406B" w:rsidRPr="008D2CC5">
        <w:rPr>
          <w:lang w:val="fr-FR"/>
        </w:rPr>
        <w:t xml:space="preserve">destinés à </w:t>
      </w:r>
      <w:r w:rsidRPr="008D2CC5">
        <w:rPr>
          <w:lang w:val="fr-FR"/>
        </w:rPr>
        <w:t>aider les</w:t>
      </w:r>
      <w:r w:rsidR="00380F44" w:rsidRPr="008D2CC5">
        <w:rPr>
          <w:lang w:val="fr-FR"/>
        </w:rPr>
        <w:t> </w:t>
      </w:r>
      <w:r w:rsidRPr="008D2CC5">
        <w:rPr>
          <w:lang w:val="fr-FR"/>
        </w:rPr>
        <w:t>autorités dans</w:t>
      </w:r>
      <w:r w:rsidR="0064406B" w:rsidRPr="008D2CC5">
        <w:rPr>
          <w:lang w:val="fr-FR"/>
        </w:rPr>
        <w:t xml:space="preserve"> l</w:t>
      </w:r>
      <w:r w:rsidR="000409D6" w:rsidRPr="008D2CC5">
        <w:rPr>
          <w:lang w:val="fr-FR"/>
        </w:rPr>
        <w:t>’</w:t>
      </w:r>
      <w:r w:rsidR="0064406B" w:rsidRPr="008D2CC5">
        <w:rPr>
          <w:lang w:val="fr-FR"/>
        </w:rPr>
        <w:t>octroi d</w:t>
      </w:r>
      <w:r w:rsidR="000409D6" w:rsidRPr="008D2CC5">
        <w:rPr>
          <w:lang w:val="fr-FR"/>
        </w:rPr>
        <w:t>’</w:t>
      </w:r>
      <w:r w:rsidR="0064406B" w:rsidRPr="008D2CC5">
        <w:rPr>
          <w:lang w:val="fr-FR"/>
        </w:rPr>
        <w:t>autorisations pour des projets de planification de l</w:t>
      </w:r>
      <w:r w:rsidR="000409D6" w:rsidRPr="008D2CC5">
        <w:rPr>
          <w:lang w:val="fr-FR"/>
        </w:rPr>
        <w:t>’</w:t>
      </w:r>
      <w:r w:rsidR="0064406B" w:rsidRPr="008D2CC5">
        <w:rPr>
          <w:lang w:val="fr-FR"/>
        </w:rPr>
        <w:t>occupation des sols et d</w:t>
      </w:r>
      <w:r w:rsidR="000409D6" w:rsidRPr="008D2CC5">
        <w:rPr>
          <w:lang w:val="fr-FR"/>
        </w:rPr>
        <w:t>’</w:t>
      </w:r>
      <w:r w:rsidR="0064406B" w:rsidRPr="008D2CC5">
        <w:rPr>
          <w:lang w:val="fr-FR"/>
        </w:rPr>
        <w:t>aménagement du territoire et à suivre l</w:t>
      </w:r>
      <w:r w:rsidR="000409D6" w:rsidRPr="008D2CC5">
        <w:rPr>
          <w:lang w:val="fr-FR"/>
        </w:rPr>
        <w:t>’</w:t>
      </w:r>
      <w:r w:rsidR="0064406B" w:rsidRPr="008D2CC5">
        <w:rPr>
          <w:lang w:val="fr-FR"/>
        </w:rPr>
        <w:t>évaluation et la gestion des sites.</w:t>
      </w:r>
      <w:r w:rsidR="00D31AFF" w:rsidRPr="008D2CC5">
        <w:rPr>
          <w:lang w:val="fr-FR"/>
        </w:rPr>
        <w:t xml:space="preserve"> </w:t>
      </w:r>
      <w:r w:rsidR="0064406B" w:rsidRPr="008D2CC5">
        <w:rPr>
          <w:lang w:val="fr-FR"/>
        </w:rPr>
        <w:t xml:space="preserve">Un exemple de système utilisé par une juridiction australienne </w:t>
      </w:r>
      <w:r w:rsidR="00372815" w:rsidRPr="008D2CC5">
        <w:rPr>
          <w:lang w:val="fr-FR"/>
        </w:rPr>
        <w:t>emploie les sept classifications ci-après</w:t>
      </w:r>
      <w:r w:rsidR="000409D6" w:rsidRPr="008D2CC5">
        <w:rPr>
          <w:lang w:val="fr-FR"/>
        </w:rPr>
        <w:t> :</w:t>
      </w:r>
      <w:r w:rsidR="00D31AFF" w:rsidRPr="008D2CC5">
        <w:rPr>
          <w:lang w:val="fr-FR"/>
        </w:rPr>
        <w:t xml:space="preserve"> </w:t>
      </w:r>
    </w:p>
    <w:p w14:paraId="105C8A52" w14:textId="69FED640" w:rsidR="00D31AFF" w:rsidRPr="008D2CC5" w:rsidRDefault="00D31AFF" w:rsidP="008E43CD">
      <w:pPr>
        <w:pStyle w:val="Normalnumber"/>
        <w:numPr>
          <w:ilvl w:val="1"/>
          <w:numId w:val="5"/>
        </w:numPr>
        <w:rPr>
          <w:lang w:val="fr-FR"/>
        </w:rPr>
      </w:pPr>
      <w:r w:rsidRPr="008D2CC5">
        <w:rPr>
          <w:lang w:val="fr-FR"/>
        </w:rPr>
        <w:t>Contamin</w:t>
      </w:r>
      <w:r w:rsidR="00372815" w:rsidRPr="008D2CC5">
        <w:rPr>
          <w:lang w:val="fr-FR"/>
        </w:rPr>
        <w:t>é</w:t>
      </w:r>
      <w:r w:rsidRPr="008D2CC5">
        <w:rPr>
          <w:lang w:val="fr-FR"/>
        </w:rPr>
        <w:t xml:space="preserve"> – </w:t>
      </w:r>
      <w:r w:rsidR="00372815" w:rsidRPr="008D2CC5">
        <w:rPr>
          <w:lang w:val="fr-FR"/>
        </w:rPr>
        <w:t>remise en état requise</w:t>
      </w:r>
      <w:r w:rsidR="000409D6" w:rsidRPr="008D2CC5">
        <w:rPr>
          <w:lang w:val="fr-FR"/>
        </w:rPr>
        <w:t> ;</w:t>
      </w:r>
    </w:p>
    <w:p w14:paraId="4933252F" w14:textId="4FEE818F" w:rsidR="00D31AFF" w:rsidRPr="008D2CC5" w:rsidRDefault="00D31AFF" w:rsidP="008E43CD">
      <w:pPr>
        <w:pStyle w:val="Normalnumber"/>
        <w:numPr>
          <w:ilvl w:val="1"/>
          <w:numId w:val="5"/>
        </w:numPr>
        <w:rPr>
          <w:lang w:val="fr-FR"/>
        </w:rPr>
      </w:pPr>
      <w:r w:rsidRPr="008D2CC5">
        <w:rPr>
          <w:lang w:val="fr-FR"/>
        </w:rPr>
        <w:t>Contamin</w:t>
      </w:r>
      <w:r w:rsidR="00372815" w:rsidRPr="008D2CC5">
        <w:rPr>
          <w:lang w:val="fr-FR"/>
        </w:rPr>
        <w:t>é</w:t>
      </w:r>
      <w:r w:rsidRPr="008D2CC5">
        <w:rPr>
          <w:lang w:val="fr-FR"/>
        </w:rPr>
        <w:t xml:space="preserve"> – </w:t>
      </w:r>
      <w:r w:rsidR="00372815" w:rsidRPr="008D2CC5">
        <w:rPr>
          <w:lang w:val="fr-FR"/>
        </w:rPr>
        <w:t>utilisation restreint</w:t>
      </w:r>
      <w:r w:rsidR="00FC50BD" w:rsidRPr="008D2CC5">
        <w:rPr>
          <w:lang w:val="fr-FR"/>
        </w:rPr>
        <w:t>e</w:t>
      </w:r>
      <w:r w:rsidR="000409D6" w:rsidRPr="008D2CC5">
        <w:rPr>
          <w:lang w:val="fr-FR"/>
        </w:rPr>
        <w:t> ;</w:t>
      </w:r>
    </w:p>
    <w:p w14:paraId="4A265B28" w14:textId="248F20B6" w:rsidR="00D31AFF" w:rsidRPr="008D2CC5" w:rsidRDefault="00372815" w:rsidP="008E43CD">
      <w:pPr>
        <w:pStyle w:val="Normalnumber"/>
        <w:numPr>
          <w:ilvl w:val="1"/>
          <w:numId w:val="5"/>
        </w:numPr>
        <w:rPr>
          <w:lang w:val="fr-FR"/>
        </w:rPr>
      </w:pPr>
      <w:r w:rsidRPr="008D2CC5">
        <w:rPr>
          <w:lang w:val="fr-FR"/>
        </w:rPr>
        <w:t>Remis en état pour une utilisation restreinte</w:t>
      </w:r>
      <w:r w:rsidR="000409D6" w:rsidRPr="008D2CC5">
        <w:rPr>
          <w:lang w:val="fr-FR"/>
        </w:rPr>
        <w:t> ;</w:t>
      </w:r>
    </w:p>
    <w:p w14:paraId="3C83FAA1" w14:textId="28E3D3C5" w:rsidR="00D31AFF" w:rsidRPr="008D2CC5" w:rsidRDefault="00372815" w:rsidP="008E43CD">
      <w:pPr>
        <w:pStyle w:val="Normalnumber"/>
        <w:numPr>
          <w:ilvl w:val="1"/>
          <w:numId w:val="5"/>
        </w:numPr>
        <w:rPr>
          <w:lang w:val="fr-FR"/>
        </w:rPr>
      </w:pPr>
      <w:r w:rsidRPr="008D2CC5">
        <w:rPr>
          <w:lang w:val="fr-FR"/>
        </w:rPr>
        <w:t>Potentiellement contaminé</w:t>
      </w:r>
      <w:r w:rsidR="00D31AFF" w:rsidRPr="008D2CC5">
        <w:rPr>
          <w:lang w:val="fr-FR"/>
        </w:rPr>
        <w:t xml:space="preserve"> – investigation</w:t>
      </w:r>
      <w:r w:rsidRPr="008D2CC5">
        <w:rPr>
          <w:lang w:val="fr-FR"/>
        </w:rPr>
        <w:t>s</w:t>
      </w:r>
      <w:r w:rsidR="00D31AFF" w:rsidRPr="008D2CC5">
        <w:rPr>
          <w:lang w:val="fr-FR"/>
        </w:rPr>
        <w:t xml:space="preserve"> </w:t>
      </w:r>
      <w:r w:rsidRPr="008D2CC5">
        <w:rPr>
          <w:lang w:val="fr-FR"/>
        </w:rPr>
        <w:t>requises</w:t>
      </w:r>
      <w:r w:rsidR="000409D6" w:rsidRPr="008D2CC5">
        <w:rPr>
          <w:lang w:val="fr-FR"/>
        </w:rPr>
        <w:t> ;</w:t>
      </w:r>
    </w:p>
    <w:p w14:paraId="2E32B7F3" w14:textId="7A2C4486" w:rsidR="00D31AFF" w:rsidRPr="008D2CC5" w:rsidRDefault="00372815" w:rsidP="008E43CD">
      <w:pPr>
        <w:pStyle w:val="Normalnumber"/>
        <w:numPr>
          <w:ilvl w:val="1"/>
          <w:numId w:val="5"/>
        </w:numPr>
        <w:rPr>
          <w:lang w:val="fr-FR"/>
        </w:rPr>
      </w:pPr>
      <w:r w:rsidRPr="008D2CC5">
        <w:rPr>
          <w:lang w:val="fr-FR"/>
        </w:rPr>
        <w:t>Décontaminé</w:t>
      </w:r>
      <w:r w:rsidR="000409D6" w:rsidRPr="008D2CC5">
        <w:rPr>
          <w:lang w:val="fr-FR"/>
        </w:rPr>
        <w:t> ;</w:t>
      </w:r>
    </w:p>
    <w:p w14:paraId="6AC7A75D" w14:textId="36A491E6" w:rsidR="00D31AFF" w:rsidRPr="008D2CC5" w:rsidRDefault="00D31AFF" w:rsidP="008E43CD">
      <w:pPr>
        <w:pStyle w:val="Normalnumber"/>
        <w:numPr>
          <w:ilvl w:val="1"/>
          <w:numId w:val="5"/>
        </w:numPr>
        <w:rPr>
          <w:lang w:val="fr-FR"/>
        </w:rPr>
      </w:pPr>
      <w:r w:rsidRPr="008D2CC5">
        <w:rPr>
          <w:lang w:val="fr-FR"/>
        </w:rPr>
        <w:t>No</w:t>
      </w:r>
      <w:r w:rsidR="00372815" w:rsidRPr="008D2CC5">
        <w:rPr>
          <w:lang w:val="fr-FR"/>
        </w:rPr>
        <w:t>n</w:t>
      </w:r>
      <w:r w:rsidRPr="008D2CC5">
        <w:rPr>
          <w:lang w:val="fr-FR"/>
        </w:rPr>
        <w:t xml:space="preserve"> contamin</w:t>
      </w:r>
      <w:r w:rsidR="00372815" w:rsidRPr="008D2CC5">
        <w:rPr>
          <w:lang w:val="fr-FR"/>
        </w:rPr>
        <w:t>é</w:t>
      </w:r>
      <w:r w:rsidRPr="008D2CC5">
        <w:rPr>
          <w:lang w:val="fr-FR"/>
        </w:rPr>
        <w:t xml:space="preserve"> </w:t>
      </w:r>
      <w:r w:rsidR="00A159B5" w:rsidRPr="008D2CC5">
        <w:rPr>
          <w:lang w:val="fr-FR"/>
        </w:rPr>
        <w:t xml:space="preserve">– </w:t>
      </w:r>
      <w:r w:rsidR="00372815" w:rsidRPr="008D2CC5">
        <w:rPr>
          <w:lang w:val="fr-FR"/>
        </w:rPr>
        <w:t>utilisation non restreinte</w:t>
      </w:r>
      <w:r w:rsidR="000409D6" w:rsidRPr="008D2CC5">
        <w:rPr>
          <w:lang w:val="fr-FR"/>
        </w:rPr>
        <w:t> ;</w:t>
      </w:r>
    </w:p>
    <w:p w14:paraId="086C7C92" w14:textId="17CA654B" w:rsidR="00D31AFF" w:rsidRPr="008D2CC5" w:rsidRDefault="006670A8" w:rsidP="008E43CD">
      <w:pPr>
        <w:pStyle w:val="Normalnumber"/>
        <w:numPr>
          <w:ilvl w:val="1"/>
          <w:numId w:val="5"/>
        </w:numPr>
        <w:rPr>
          <w:lang w:val="fr-FR"/>
        </w:rPr>
      </w:pPr>
      <w:r w:rsidRPr="008D2CC5">
        <w:rPr>
          <w:lang w:val="fr-FR"/>
        </w:rPr>
        <w:t>Rapport non étayé</w:t>
      </w:r>
      <w:r w:rsidR="00D31AFF" w:rsidRPr="008D2CC5">
        <w:rPr>
          <w:vertAlign w:val="superscript"/>
          <w:lang w:val="fr-FR"/>
        </w:rPr>
        <w:footnoteReference w:id="4"/>
      </w:r>
      <w:r w:rsidR="00A057E8" w:rsidRPr="008D2CC5">
        <w:rPr>
          <w:lang w:val="fr-FR"/>
        </w:rPr>
        <w:t>.</w:t>
      </w:r>
    </w:p>
    <w:p w14:paraId="44F3A22A" w14:textId="56BA405E" w:rsidR="00D31AFF" w:rsidRPr="008D2CC5" w:rsidRDefault="00EC2FAA" w:rsidP="008E43CD">
      <w:pPr>
        <w:pStyle w:val="Normalnumber"/>
        <w:numPr>
          <w:ilvl w:val="0"/>
          <w:numId w:val="5"/>
        </w:numPr>
        <w:rPr>
          <w:lang w:val="fr-FR"/>
        </w:rPr>
      </w:pPr>
      <w:r w:rsidRPr="008D2CC5">
        <w:rPr>
          <w:lang w:val="fr-FR"/>
        </w:rPr>
        <w:t>Une approche innovante en matière d</w:t>
      </w:r>
      <w:r w:rsidR="000409D6" w:rsidRPr="008D2CC5">
        <w:rPr>
          <w:lang w:val="fr-FR"/>
        </w:rPr>
        <w:t>’</w:t>
      </w:r>
      <w:r w:rsidRPr="008D2CC5">
        <w:rPr>
          <w:lang w:val="fr-FR"/>
        </w:rPr>
        <w:t>analyse des inventaires consiste à combiner des données d</w:t>
      </w:r>
      <w:r w:rsidR="000409D6" w:rsidRPr="008D2CC5">
        <w:rPr>
          <w:lang w:val="fr-FR"/>
        </w:rPr>
        <w:t>’</w:t>
      </w:r>
      <w:r w:rsidRPr="008D2CC5">
        <w:rPr>
          <w:lang w:val="fr-FR"/>
        </w:rPr>
        <w:t>inventaire avec un système d</w:t>
      </w:r>
      <w:r w:rsidR="000409D6" w:rsidRPr="008D2CC5">
        <w:rPr>
          <w:lang w:val="fr-FR"/>
        </w:rPr>
        <w:t>’</w:t>
      </w:r>
      <w:r w:rsidRPr="008D2CC5">
        <w:rPr>
          <w:lang w:val="fr-FR"/>
        </w:rPr>
        <w:t xml:space="preserve">information géographique afin de </w:t>
      </w:r>
      <w:r w:rsidR="0076398C" w:rsidRPr="008D2CC5">
        <w:rPr>
          <w:lang w:val="fr-FR"/>
        </w:rPr>
        <w:t>mettre à la disposition du public</w:t>
      </w:r>
      <w:r w:rsidRPr="008D2CC5">
        <w:rPr>
          <w:lang w:val="fr-FR"/>
        </w:rPr>
        <w:t xml:space="preserve"> une</w:t>
      </w:r>
      <w:r w:rsidR="00380F44" w:rsidRPr="008D2CC5">
        <w:rPr>
          <w:lang w:val="fr-FR"/>
        </w:rPr>
        <w:t> </w:t>
      </w:r>
      <w:r w:rsidRPr="008D2CC5">
        <w:rPr>
          <w:lang w:val="fr-FR"/>
        </w:rPr>
        <w:t xml:space="preserve">base de données en ligne </w:t>
      </w:r>
      <w:r w:rsidR="0076398C" w:rsidRPr="008D2CC5">
        <w:rPr>
          <w:lang w:val="fr-FR"/>
        </w:rPr>
        <w:t xml:space="preserve">montrant la </w:t>
      </w:r>
      <w:r w:rsidR="00234A50" w:rsidRPr="008D2CC5">
        <w:rPr>
          <w:lang w:val="fr-FR"/>
        </w:rPr>
        <w:t>situation géographique</w:t>
      </w:r>
      <w:r w:rsidR="0076398C" w:rsidRPr="008D2CC5">
        <w:rPr>
          <w:lang w:val="fr-FR"/>
        </w:rPr>
        <w:t xml:space="preserve"> des sites dont la contamination a été confirmée</w:t>
      </w:r>
      <w:r w:rsidR="00D31AFF" w:rsidRPr="008D2CC5">
        <w:rPr>
          <w:rStyle w:val="FootnoteReference"/>
          <w:lang w:val="fr-FR"/>
        </w:rPr>
        <w:footnoteReference w:id="5"/>
      </w:r>
      <w:r w:rsidR="0076398C" w:rsidRPr="008D2CC5">
        <w:rPr>
          <w:lang w:val="fr-FR"/>
        </w:rPr>
        <w:t>.</w:t>
      </w:r>
      <w:r w:rsidR="00D31AFF" w:rsidRPr="008D2CC5">
        <w:rPr>
          <w:lang w:val="fr-FR"/>
        </w:rPr>
        <w:t xml:space="preserve"> </w:t>
      </w:r>
    </w:p>
    <w:p w14:paraId="51A0F6C7" w14:textId="123402EF" w:rsidR="00D31AFF" w:rsidRPr="008D2CC5" w:rsidRDefault="00D31AFF" w:rsidP="00F93F76">
      <w:pPr>
        <w:pStyle w:val="CH3"/>
        <w:rPr>
          <w:bCs/>
          <w:lang w:val="fr-FR"/>
        </w:rPr>
      </w:pPr>
      <w:r w:rsidRPr="008D2CC5">
        <w:rPr>
          <w:lang w:val="fr-FR"/>
        </w:rPr>
        <w:tab/>
      </w:r>
      <w:r w:rsidR="00152CD3" w:rsidRPr="008D2CC5">
        <w:rPr>
          <w:lang w:val="fr-FR"/>
        </w:rPr>
        <w:t>3.</w:t>
      </w:r>
      <w:r w:rsidR="00152CD3" w:rsidRPr="008D2CC5">
        <w:rPr>
          <w:lang w:val="fr-FR"/>
        </w:rPr>
        <w:tab/>
      </w:r>
      <w:r w:rsidR="0076398C" w:rsidRPr="008D2CC5">
        <w:rPr>
          <w:lang w:val="fr-FR"/>
        </w:rPr>
        <w:t>Caractérisation des sites</w:t>
      </w:r>
    </w:p>
    <w:p w14:paraId="2728221C" w14:textId="4E9B3B71" w:rsidR="00D31AFF" w:rsidRPr="008D2CC5" w:rsidRDefault="00234A50" w:rsidP="008E43CD">
      <w:pPr>
        <w:pStyle w:val="Normalnumber"/>
        <w:numPr>
          <w:ilvl w:val="0"/>
          <w:numId w:val="5"/>
        </w:numPr>
        <w:rPr>
          <w:lang w:val="fr-FR"/>
        </w:rPr>
      </w:pPr>
      <w:r w:rsidRPr="008D2CC5">
        <w:rPr>
          <w:lang w:val="fr-FR"/>
        </w:rPr>
        <w:t>Une fois que des sites présumés contaminés ont été identifiés, des mesures peuvent être prises pour étudier plus avant ceux qui présentent le plus grand danger (en raison de facteurs liés à leur situation géographique, à des questions environnementales, etc.), afin de définir le niveau de contamination de chacun et les principaux risques qu</w:t>
      </w:r>
      <w:r w:rsidR="000409D6" w:rsidRPr="008D2CC5">
        <w:rPr>
          <w:lang w:val="fr-FR"/>
        </w:rPr>
        <w:t>’</w:t>
      </w:r>
      <w:r w:rsidRPr="008D2CC5">
        <w:rPr>
          <w:lang w:val="fr-FR"/>
        </w:rPr>
        <w:t>ils présentent</w:t>
      </w:r>
      <w:r w:rsidR="00D31AFF" w:rsidRPr="008D2CC5">
        <w:rPr>
          <w:lang w:val="fr-FR"/>
        </w:rPr>
        <w:t xml:space="preserve">. </w:t>
      </w:r>
    </w:p>
    <w:p w14:paraId="49B162A4" w14:textId="072AD733" w:rsidR="00D31AFF" w:rsidRPr="008D2CC5" w:rsidRDefault="009C1722" w:rsidP="008B22F8">
      <w:pPr>
        <w:pStyle w:val="Normalnumber"/>
        <w:keepNext/>
        <w:keepLines/>
        <w:rPr>
          <w:lang w:val="fr-FR"/>
        </w:rPr>
      </w:pPr>
      <w:r w:rsidRPr="008D2CC5">
        <w:rPr>
          <w:lang w:val="fr-FR"/>
        </w:rPr>
        <w:lastRenderedPageBreak/>
        <w:t>Les</w:t>
      </w:r>
      <w:r w:rsidR="00D31AFF" w:rsidRPr="008D2CC5">
        <w:rPr>
          <w:lang w:val="fr-FR"/>
        </w:rPr>
        <w:t xml:space="preserve"> </w:t>
      </w:r>
      <w:r w:rsidRPr="008D2CC5">
        <w:rPr>
          <w:lang w:val="fr-FR"/>
        </w:rPr>
        <w:t xml:space="preserve">sites présumés contaminés </w:t>
      </w:r>
      <w:r w:rsidR="00765CC3" w:rsidRPr="008D2CC5">
        <w:rPr>
          <w:lang w:val="fr-FR"/>
        </w:rPr>
        <w:t>qui ont été identifiés peuvent être caractérisés plus avant au moyen d</w:t>
      </w:r>
      <w:r w:rsidR="000409D6" w:rsidRPr="008D2CC5">
        <w:rPr>
          <w:lang w:val="fr-FR"/>
        </w:rPr>
        <w:t>’</w:t>
      </w:r>
      <w:r w:rsidR="00765CC3" w:rsidRPr="008D2CC5">
        <w:rPr>
          <w:lang w:val="fr-FR"/>
        </w:rPr>
        <w:t>investigations par étapes</w:t>
      </w:r>
      <w:r w:rsidR="00D31AFF" w:rsidRPr="008D2CC5">
        <w:rPr>
          <w:lang w:val="fr-FR"/>
        </w:rPr>
        <w:t>.</w:t>
      </w:r>
      <w:r w:rsidR="00765CC3" w:rsidRPr="008D2CC5">
        <w:rPr>
          <w:lang w:val="fr-FR"/>
        </w:rPr>
        <w:t xml:space="preserve"> Aux fins de la caractérisation des sites, les pays peuvent établir leurs priorités sur la base de l</w:t>
      </w:r>
      <w:r w:rsidR="000409D6" w:rsidRPr="008D2CC5">
        <w:rPr>
          <w:lang w:val="fr-FR"/>
        </w:rPr>
        <w:t>’</w:t>
      </w:r>
      <w:r w:rsidR="00765CC3" w:rsidRPr="008D2CC5">
        <w:rPr>
          <w:lang w:val="fr-FR"/>
        </w:rPr>
        <w:t>occupation passée des sols ou d</w:t>
      </w:r>
      <w:r w:rsidR="000409D6" w:rsidRPr="008D2CC5">
        <w:rPr>
          <w:lang w:val="fr-FR"/>
        </w:rPr>
        <w:t>’</w:t>
      </w:r>
      <w:r w:rsidR="00765CC3" w:rsidRPr="008D2CC5">
        <w:rPr>
          <w:lang w:val="fr-FR"/>
        </w:rPr>
        <w:t>autres indicateurs de contamination</w:t>
      </w:r>
      <w:r w:rsidR="00D31AFF" w:rsidRPr="008D2CC5">
        <w:rPr>
          <w:lang w:val="fr-FR"/>
        </w:rPr>
        <w:t xml:space="preserve">. </w:t>
      </w:r>
      <w:r w:rsidR="00765CC3" w:rsidRPr="008D2CC5">
        <w:rPr>
          <w:lang w:val="fr-FR"/>
        </w:rPr>
        <w:t>Les</w:t>
      </w:r>
      <w:r w:rsidR="00380F44" w:rsidRPr="008D2CC5">
        <w:rPr>
          <w:lang w:val="fr-FR"/>
        </w:rPr>
        <w:t> </w:t>
      </w:r>
      <w:r w:rsidR="00765CC3" w:rsidRPr="008D2CC5">
        <w:rPr>
          <w:lang w:val="fr-FR"/>
        </w:rPr>
        <w:t>pays ayant, sur leur territoire, d</w:t>
      </w:r>
      <w:r w:rsidR="000409D6" w:rsidRPr="008D2CC5">
        <w:rPr>
          <w:lang w:val="fr-FR"/>
        </w:rPr>
        <w:t>’</w:t>
      </w:r>
      <w:r w:rsidR="00765CC3" w:rsidRPr="008D2CC5">
        <w:rPr>
          <w:lang w:val="fr-FR"/>
        </w:rPr>
        <w:t>importantes activités</w:t>
      </w:r>
      <w:r w:rsidR="00D31AFF" w:rsidRPr="008D2CC5">
        <w:rPr>
          <w:lang w:val="fr-FR"/>
        </w:rPr>
        <w:t xml:space="preserve"> </w:t>
      </w:r>
      <w:r w:rsidR="00765CC3" w:rsidRPr="008D2CC5">
        <w:rPr>
          <w:lang w:val="fr-FR"/>
        </w:rPr>
        <w:t>d</w:t>
      </w:r>
      <w:r w:rsidR="000409D6" w:rsidRPr="008D2CC5">
        <w:rPr>
          <w:lang w:val="fr-FR"/>
        </w:rPr>
        <w:t>’</w:t>
      </w:r>
      <w:r w:rsidR="00765CC3" w:rsidRPr="008D2CC5">
        <w:rPr>
          <w:lang w:val="fr-FR"/>
        </w:rPr>
        <w:t>extraction minière artisanale et à petite échelle d</w:t>
      </w:r>
      <w:r w:rsidR="000409D6" w:rsidRPr="008D2CC5">
        <w:rPr>
          <w:lang w:val="fr-FR"/>
        </w:rPr>
        <w:t>’</w:t>
      </w:r>
      <w:r w:rsidR="00765CC3" w:rsidRPr="008D2CC5">
        <w:rPr>
          <w:lang w:val="fr-FR"/>
        </w:rPr>
        <w:t>or ou des</w:t>
      </w:r>
      <w:r w:rsidR="00B06929" w:rsidRPr="008D2CC5">
        <w:rPr>
          <w:lang w:val="fr-FR"/>
        </w:rPr>
        <w:t xml:space="preserve"> usines de production de chlore-alcali</w:t>
      </w:r>
      <w:r w:rsidR="00765CC3" w:rsidRPr="008D2CC5">
        <w:rPr>
          <w:lang w:val="fr-FR"/>
        </w:rPr>
        <w:t xml:space="preserve"> </w:t>
      </w:r>
      <w:r w:rsidR="00B06929" w:rsidRPr="008D2CC5">
        <w:rPr>
          <w:lang w:val="fr-FR"/>
        </w:rPr>
        <w:t>par électrolyse à cathode de mercure mises hors service peuvent, par exemple, choisir d</w:t>
      </w:r>
      <w:r w:rsidR="000409D6" w:rsidRPr="008D2CC5">
        <w:rPr>
          <w:lang w:val="fr-FR"/>
        </w:rPr>
        <w:t>’</w:t>
      </w:r>
      <w:r w:rsidR="00B06929" w:rsidRPr="008D2CC5">
        <w:rPr>
          <w:lang w:val="fr-FR"/>
        </w:rPr>
        <w:t>accorder la priorité à ces secteurs</w:t>
      </w:r>
      <w:r w:rsidR="00D31AFF" w:rsidRPr="008D2CC5">
        <w:rPr>
          <w:lang w:val="fr-FR"/>
        </w:rPr>
        <w:t xml:space="preserve">. </w:t>
      </w:r>
      <w:r w:rsidR="002631B1" w:rsidRPr="008D2CC5">
        <w:rPr>
          <w:lang w:val="fr-FR"/>
        </w:rPr>
        <w:t xml:space="preserve">Un examen préliminaire ou une évaluation initiale des sites, qui peut nécessiter des visites </w:t>
      </w:r>
      <w:r w:rsidR="00DF1CA7">
        <w:rPr>
          <w:lang w:val="fr-FR"/>
        </w:rPr>
        <w:t>sur les lieux</w:t>
      </w:r>
      <w:r w:rsidR="002631B1" w:rsidRPr="008D2CC5">
        <w:rPr>
          <w:lang w:val="fr-FR"/>
        </w:rPr>
        <w:t xml:space="preserve"> et un examen des informations disponibles, peut représenter un instrument utile pour classer </w:t>
      </w:r>
      <w:r w:rsidR="00DF1CA7">
        <w:rPr>
          <w:lang w:val="fr-FR"/>
        </w:rPr>
        <w:t xml:space="preserve">ces derniers </w:t>
      </w:r>
      <w:r w:rsidR="002631B1" w:rsidRPr="008D2CC5">
        <w:rPr>
          <w:lang w:val="fr-FR"/>
        </w:rPr>
        <w:t>par ordre de priorité</w:t>
      </w:r>
      <w:r w:rsidR="00D31AFF" w:rsidRPr="008D2CC5">
        <w:rPr>
          <w:lang w:val="fr-FR"/>
        </w:rPr>
        <w:t xml:space="preserve"> </w:t>
      </w:r>
      <w:r w:rsidR="002631B1" w:rsidRPr="008D2CC5">
        <w:rPr>
          <w:lang w:val="fr-FR"/>
        </w:rPr>
        <w:t>aux fins d</w:t>
      </w:r>
      <w:r w:rsidR="000409D6" w:rsidRPr="008D2CC5">
        <w:rPr>
          <w:lang w:val="fr-FR"/>
        </w:rPr>
        <w:t>’</w:t>
      </w:r>
      <w:r w:rsidR="002631B1" w:rsidRPr="008D2CC5">
        <w:rPr>
          <w:lang w:val="fr-FR"/>
        </w:rPr>
        <w:t>investigations plus approfondies</w:t>
      </w:r>
      <w:r w:rsidR="00D31AFF" w:rsidRPr="008D2CC5">
        <w:rPr>
          <w:rStyle w:val="FootnoteReference"/>
          <w:lang w:val="fr-FR"/>
        </w:rPr>
        <w:footnoteReference w:id="6"/>
      </w:r>
      <w:r w:rsidR="002631B1" w:rsidRPr="008D2CC5">
        <w:rPr>
          <w:lang w:val="fr-FR"/>
        </w:rPr>
        <w:t>.</w:t>
      </w:r>
      <w:r w:rsidR="00152CD3" w:rsidRPr="008D2CC5">
        <w:rPr>
          <w:lang w:val="fr-FR"/>
        </w:rPr>
        <w:t xml:space="preserve"> </w:t>
      </w:r>
    </w:p>
    <w:p w14:paraId="3521F895" w14:textId="1E816878" w:rsidR="00D31AFF" w:rsidRPr="008D2CC5" w:rsidRDefault="00F77EC2" w:rsidP="008E43CD">
      <w:pPr>
        <w:pStyle w:val="Normalnumber"/>
        <w:numPr>
          <w:ilvl w:val="0"/>
          <w:numId w:val="5"/>
        </w:numPr>
        <w:rPr>
          <w:lang w:val="fr-FR"/>
        </w:rPr>
      </w:pPr>
      <w:r w:rsidRPr="008D2CC5">
        <w:rPr>
          <w:lang w:val="fr-FR"/>
        </w:rPr>
        <w:t>L</w:t>
      </w:r>
      <w:r w:rsidR="000409D6" w:rsidRPr="008D2CC5">
        <w:rPr>
          <w:lang w:val="fr-FR"/>
        </w:rPr>
        <w:t>’</w:t>
      </w:r>
      <w:r w:rsidR="00885BC9" w:rsidRPr="008D2CC5">
        <w:rPr>
          <w:lang w:val="fr-FR"/>
        </w:rPr>
        <w:t>élabor</w:t>
      </w:r>
      <w:r w:rsidRPr="008D2CC5">
        <w:rPr>
          <w:lang w:val="fr-FR"/>
        </w:rPr>
        <w:t>ation</w:t>
      </w:r>
      <w:r w:rsidR="00885BC9" w:rsidRPr="008D2CC5">
        <w:rPr>
          <w:lang w:val="fr-FR"/>
        </w:rPr>
        <w:t xml:space="preserve"> </w:t>
      </w:r>
      <w:r w:rsidRPr="008D2CC5">
        <w:rPr>
          <w:lang w:val="fr-FR"/>
        </w:rPr>
        <w:t>d</w:t>
      </w:r>
      <w:r w:rsidR="000409D6" w:rsidRPr="008D2CC5">
        <w:rPr>
          <w:lang w:val="fr-FR"/>
        </w:rPr>
        <w:t>’</w:t>
      </w:r>
      <w:r w:rsidR="00885BC9" w:rsidRPr="008D2CC5">
        <w:rPr>
          <w:lang w:val="fr-FR"/>
        </w:rPr>
        <w:t xml:space="preserve">un </w:t>
      </w:r>
      <w:bookmarkStart w:id="10" w:name="_Hlk20822938"/>
      <w:r w:rsidR="00885BC9" w:rsidRPr="008D2CC5">
        <w:rPr>
          <w:lang w:val="fr-FR"/>
        </w:rPr>
        <w:t xml:space="preserve">modèle conceptuel </w:t>
      </w:r>
      <w:r w:rsidR="00B0611F" w:rsidRPr="008D2CC5">
        <w:rPr>
          <w:lang w:val="fr-FR"/>
        </w:rPr>
        <w:t>de</w:t>
      </w:r>
      <w:r w:rsidR="00885BC9" w:rsidRPr="008D2CC5">
        <w:rPr>
          <w:lang w:val="fr-FR"/>
        </w:rPr>
        <w:t xml:space="preserve"> site</w:t>
      </w:r>
      <w:bookmarkEnd w:id="10"/>
      <w:r w:rsidRPr="008D2CC5">
        <w:rPr>
          <w:lang w:val="fr-FR"/>
        </w:rPr>
        <w:t xml:space="preserve"> est une étape essentielle du processus de caractérisation et d</w:t>
      </w:r>
      <w:r w:rsidR="000409D6" w:rsidRPr="008D2CC5">
        <w:rPr>
          <w:lang w:val="fr-FR"/>
        </w:rPr>
        <w:t>’</w:t>
      </w:r>
      <w:r w:rsidRPr="008D2CC5">
        <w:rPr>
          <w:lang w:val="fr-FR"/>
        </w:rPr>
        <w:t>évaluation des sites</w:t>
      </w:r>
      <w:r w:rsidR="00D31AFF" w:rsidRPr="008D2CC5">
        <w:rPr>
          <w:rStyle w:val="FootnoteReference"/>
          <w:lang w:val="fr-FR"/>
        </w:rPr>
        <w:footnoteReference w:id="7"/>
      </w:r>
      <w:r w:rsidR="00885BC9" w:rsidRPr="008D2CC5">
        <w:rPr>
          <w:lang w:val="fr-FR"/>
        </w:rPr>
        <w:t>.</w:t>
      </w:r>
      <w:r w:rsidR="00D31AFF" w:rsidRPr="008D2CC5">
        <w:rPr>
          <w:lang w:val="fr-FR"/>
        </w:rPr>
        <w:t xml:space="preserve"> </w:t>
      </w:r>
      <w:r w:rsidR="00885BC9" w:rsidRPr="008D2CC5">
        <w:rPr>
          <w:lang w:val="fr-FR"/>
        </w:rPr>
        <w:t>Il s</w:t>
      </w:r>
      <w:r w:rsidR="000409D6" w:rsidRPr="008D2CC5">
        <w:rPr>
          <w:lang w:val="fr-FR"/>
        </w:rPr>
        <w:t>’</w:t>
      </w:r>
      <w:r w:rsidR="00885BC9" w:rsidRPr="008D2CC5">
        <w:rPr>
          <w:lang w:val="fr-FR"/>
        </w:rPr>
        <w:t>agit d</w:t>
      </w:r>
      <w:r w:rsidR="000409D6" w:rsidRPr="008D2CC5">
        <w:rPr>
          <w:lang w:val="fr-FR"/>
        </w:rPr>
        <w:t>’</w:t>
      </w:r>
      <w:r w:rsidR="00885BC9" w:rsidRPr="008D2CC5">
        <w:rPr>
          <w:lang w:val="fr-FR"/>
        </w:rPr>
        <w:t>une représentation visuelle et d</w:t>
      </w:r>
      <w:r w:rsidR="000409D6" w:rsidRPr="008D2CC5">
        <w:rPr>
          <w:lang w:val="fr-FR"/>
        </w:rPr>
        <w:t>’</w:t>
      </w:r>
      <w:r w:rsidR="00885BC9" w:rsidRPr="008D2CC5">
        <w:rPr>
          <w:lang w:val="fr-FR"/>
        </w:rPr>
        <w:t>une description narrative des processus physiques, chimiques et biologiques qui peuvent se</w:t>
      </w:r>
      <w:r w:rsidR="00BD0B37" w:rsidRPr="008D2CC5">
        <w:rPr>
          <w:lang w:val="fr-FR"/>
        </w:rPr>
        <w:t> </w:t>
      </w:r>
      <w:r w:rsidR="00885BC9" w:rsidRPr="008D2CC5">
        <w:rPr>
          <w:lang w:val="fr-FR"/>
        </w:rPr>
        <w:t>produire, se produisent ou se sont produits sur un site</w:t>
      </w:r>
      <w:r w:rsidR="00D31AFF" w:rsidRPr="008D2CC5">
        <w:rPr>
          <w:lang w:val="fr-FR"/>
        </w:rPr>
        <w:t>.</w:t>
      </w:r>
      <w:r w:rsidR="002E7CEF" w:rsidRPr="008D2CC5">
        <w:rPr>
          <w:lang w:val="fr-FR"/>
        </w:rPr>
        <w:t xml:space="preserve"> </w:t>
      </w:r>
      <w:r w:rsidR="00160399" w:rsidRPr="008D2CC5">
        <w:rPr>
          <w:lang w:val="fr-FR"/>
        </w:rPr>
        <w:t>Un tel</w:t>
      </w:r>
      <w:r w:rsidR="00885BC9" w:rsidRPr="008D2CC5">
        <w:rPr>
          <w:lang w:val="fr-FR"/>
        </w:rPr>
        <w:t xml:space="preserve"> modèle montre </w:t>
      </w:r>
      <w:r w:rsidR="00160399" w:rsidRPr="008D2CC5">
        <w:rPr>
          <w:lang w:val="fr-FR"/>
        </w:rPr>
        <w:t>les</w:t>
      </w:r>
      <w:r w:rsidR="002E7CEF" w:rsidRPr="008D2CC5">
        <w:rPr>
          <w:lang w:val="fr-FR"/>
        </w:rPr>
        <w:t xml:space="preserve"> sources </w:t>
      </w:r>
      <w:r w:rsidR="00160399" w:rsidRPr="008D2CC5">
        <w:rPr>
          <w:lang w:val="fr-FR"/>
        </w:rPr>
        <w:t>de</w:t>
      </w:r>
      <w:r w:rsidR="002E7CEF" w:rsidRPr="008D2CC5">
        <w:rPr>
          <w:lang w:val="fr-FR"/>
        </w:rPr>
        <w:t xml:space="preserve"> contamination (</w:t>
      </w:r>
      <w:r w:rsidR="00160399" w:rsidRPr="008D2CC5">
        <w:rPr>
          <w:lang w:val="fr-FR"/>
        </w:rPr>
        <w:t>potentielles et confirmées</w:t>
      </w:r>
      <w:r w:rsidR="002E7CEF" w:rsidRPr="008D2CC5">
        <w:rPr>
          <w:lang w:val="fr-FR"/>
        </w:rPr>
        <w:t>)</w:t>
      </w:r>
      <w:r w:rsidR="00E745D9" w:rsidRPr="008D2CC5">
        <w:rPr>
          <w:lang w:val="fr-FR"/>
        </w:rPr>
        <w:t xml:space="preserve"> </w:t>
      </w:r>
      <w:r w:rsidR="00160399" w:rsidRPr="008D2CC5">
        <w:rPr>
          <w:lang w:val="fr-FR"/>
        </w:rPr>
        <w:t>ainsi que les voies d</w:t>
      </w:r>
      <w:r w:rsidR="000409D6" w:rsidRPr="008D2CC5">
        <w:rPr>
          <w:lang w:val="fr-FR"/>
        </w:rPr>
        <w:t>’</w:t>
      </w:r>
      <w:r w:rsidR="00160399" w:rsidRPr="008D2CC5">
        <w:rPr>
          <w:lang w:val="fr-FR"/>
        </w:rPr>
        <w:t>exposition des récepteurs identifiés</w:t>
      </w:r>
      <w:r w:rsidR="002E7CEF" w:rsidRPr="008D2CC5">
        <w:rPr>
          <w:lang w:val="fr-FR"/>
        </w:rPr>
        <w:t xml:space="preserve"> (actu</w:t>
      </w:r>
      <w:r w:rsidR="00160399" w:rsidRPr="008D2CC5">
        <w:rPr>
          <w:lang w:val="fr-FR"/>
        </w:rPr>
        <w:t>e</w:t>
      </w:r>
      <w:r w:rsidR="002E7CEF" w:rsidRPr="008D2CC5">
        <w:rPr>
          <w:lang w:val="fr-FR"/>
        </w:rPr>
        <w:t>l</w:t>
      </w:r>
      <w:r w:rsidR="00160399" w:rsidRPr="008D2CC5">
        <w:rPr>
          <w:lang w:val="fr-FR"/>
        </w:rPr>
        <w:t>s</w:t>
      </w:r>
      <w:r w:rsidR="002E7CEF" w:rsidRPr="008D2CC5">
        <w:rPr>
          <w:lang w:val="fr-FR"/>
        </w:rPr>
        <w:t xml:space="preserve"> o</w:t>
      </w:r>
      <w:r w:rsidR="00160399" w:rsidRPr="008D2CC5">
        <w:rPr>
          <w:lang w:val="fr-FR"/>
        </w:rPr>
        <w:t>u</w:t>
      </w:r>
      <w:r w:rsidR="002E7CEF" w:rsidRPr="008D2CC5">
        <w:rPr>
          <w:lang w:val="fr-FR"/>
        </w:rPr>
        <w:t xml:space="preserve"> futur</w:t>
      </w:r>
      <w:r w:rsidR="00160399" w:rsidRPr="008D2CC5">
        <w:rPr>
          <w:lang w:val="fr-FR"/>
        </w:rPr>
        <w:t>s</w:t>
      </w:r>
      <w:r w:rsidR="002E7CEF" w:rsidRPr="008D2CC5">
        <w:rPr>
          <w:lang w:val="fr-FR"/>
        </w:rPr>
        <w:t>).</w:t>
      </w:r>
      <w:r w:rsidR="00D31AFF" w:rsidRPr="008D2CC5">
        <w:rPr>
          <w:lang w:val="fr-FR"/>
        </w:rPr>
        <w:t xml:space="preserve"> </w:t>
      </w:r>
      <w:r w:rsidR="00160399" w:rsidRPr="008D2CC5">
        <w:rPr>
          <w:lang w:val="fr-FR"/>
        </w:rPr>
        <w:t>Il peut comprendre les éléments spécifiques ci-après</w:t>
      </w:r>
      <w:r w:rsidR="00D31AFF" w:rsidRPr="008D2CC5">
        <w:rPr>
          <w:lang w:val="fr-FR"/>
        </w:rPr>
        <w:t xml:space="preserve"> (CCME, 2016)</w:t>
      </w:r>
      <w:r w:rsidR="00D31AFF" w:rsidRPr="008D2CC5">
        <w:rPr>
          <w:rStyle w:val="FootnoteReference"/>
          <w:lang w:val="fr-FR"/>
        </w:rPr>
        <w:footnoteReference w:id="8"/>
      </w:r>
      <w:r w:rsidR="000409D6" w:rsidRPr="008D2CC5">
        <w:rPr>
          <w:lang w:val="fr-FR"/>
        </w:rPr>
        <w:t> :</w:t>
      </w:r>
      <w:r w:rsidR="00D31AFF" w:rsidRPr="008D2CC5">
        <w:rPr>
          <w:lang w:val="fr-FR"/>
        </w:rPr>
        <w:t xml:space="preserve"> </w:t>
      </w:r>
    </w:p>
    <w:p w14:paraId="734A3F26" w14:textId="17E58B3C" w:rsidR="00D31AFF" w:rsidRPr="008D2CC5" w:rsidRDefault="00160399" w:rsidP="008E43CD">
      <w:pPr>
        <w:pStyle w:val="Normalnumber"/>
        <w:numPr>
          <w:ilvl w:val="1"/>
          <w:numId w:val="5"/>
        </w:numPr>
        <w:rPr>
          <w:lang w:val="fr-FR"/>
        </w:rPr>
      </w:pPr>
      <w:r w:rsidRPr="008D2CC5">
        <w:rPr>
          <w:lang w:val="fr-FR"/>
        </w:rPr>
        <w:t xml:space="preserve">Une </w:t>
      </w:r>
      <w:r w:rsidR="005A12F7" w:rsidRPr="008D2CC5">
        <w:rPr>
          <w:lang w:val="fr-FR"/>
        </w:rPr>
        <w:t>synthèse</w:t>
      </w:r>
      <w:r w:rsidRPr="008D2CC5">
        <w:rPr>
          <w:lang w:val="fr-FR"/>
        </w:rPr>
        <w:t xml:space="preserve"> des utilisations passées, actuelles et futures prévues des sols</w:t>
      </w:r>
      <w:r w:rsidR="000409D6" w:rsidRPr="008D2CC5">
        <w:rPr>
          <w:lang w:val="fr-FR"/>
        </w:rPr>
        <w:t> ;</w:t>
      </w:r>
    </w:p>
    <w:p w14:paraId="0265788A" w14:textId="1C81C34D" w:rsidR="00D31AFF" w:rsidRPr="008D2CC5" w:rsidRDefault="005A12F7" w:rsidP="008E43CD">
      <w:pPr>
        <w:pStyle w:val="Normalnumber"/>
        <w:numPr>
          <w:ilvl w:val="1"/>
          <w:numId w:val="5"/>
        </w:numPr>
        <w:rPr>
          <w:lang w:val="fr-FR"/>
        </w:rPr>
      </w:pPr>
      <w:r w:rsidRPr="008D2CC5">
        <w:rPr>
          <w:lang w:val="fr-FR"/>
        </w:rPr>
        <w:t>Une description détaillée du site et de son environnement physique, qui est utilisée pour</w:t>
      </w:r>
      <w:r w:rsidR="00D31AFF" w:rsidRPr="008D2CC5">
        <w:rPr>
          <w:lang w:val="fr-FR"/>
        </w:rPr>
        <w:t xml:space="preserve"> </w:t>
      </w:r>
      <w:r w:rsidRPr="008D2CC5">
        <w:rPr>
          <w:lang w:val="fr-FR"/>
        </w:rPr>
        <w:t>formuler des hypothèses concernant les rejets et</w:t>
      </w:r>
      <w:r w:rsidR="00D31AFF" w:rsidRPr="008D2CC5">
        <w:rPr>
          <w:lang w:val="fr-FR"/>
        </w:rPr>
        <w:t xml:space="preserve"> </w:t>
      </w:r>
      <w:r w:rsidRPr="008D2CC5">
        <w:rPr>
          <w:lang w:val="fr-FR"/>
        </w:rPr>
        <w:t>le devenir final de la contamination sur le site</w:t>
      </w:r>
      <w:r w:rsidR="000409D6" w:rsidRPr="008D2CC5">
        <w:rPr>
          <w:lang w:val="fr-FR"/>
        </w:rPr>
        <w:t> ;</w:t>
      </w:r>
    </w:p>
    <w:p w14:paraId="09CDF09F" w14:textId="37353890" w:rsidR="00D31AFF" w:rsidRPr="008D2CC5" w:rsidRDefault="005A12F7" w:rsidP="008E43CD">
      <w:pPr>
        <w:pStyle w:val="Normalnumber"/>
        <w:numPr>
          <w:ilvl w:val="1"/>
          <w:numId w:val="5"/>
        </w:numPr>
        <w:rPr>
          <w:lang w:val="fr-FR"/>
        </w:rPr>
      </w:pPr>
      <w:r w:rsidRPr="008D2CC5">
        <w:rPr>
          <w:lang w:val="fr-FR"/>
        </w:rPr>
        <w:t>Les s</w:t>
      </w:r>
      <w:r w:rsidR="00D31AFF" w:rsidRPr="008D2CC5">
        <w:rPr>
          <w:lang w:val="fr-FR"/>
        </w:rPr>
        <w:t xml:space="preserve">ources </w:t>
      </w:r>
      <w:r w:rsidRPr="008D2CC5">
        <w:rPr>
          <w:lang w:val="fr-FR"/>
        </w:rPr>
        <w:t>de</w:t>
      </w:r>
      <w:r w:rsidR="00D31AFF" w:rsidRPr="008D2CC5">
        <w:rPr>
          <w:lang w:val="fr-FR"/>
        </w:rPr>
        <w:t xml:space="preserve"> contamination </w:t>
      </w:r>
      <w:r w:rsidRPr="008D2CC5">
        <w:rPr>
          <w:lang w:val="fr-FR"/>
        </w:rPr>
        <w:t>sur le</w:t>
      </w:r>
      <w:r w:rsidR="00D31AFF" w:rsidRPr="008D2CC5">
        <w:rPr>
          <w:lang w:val="fr-FR"/>
        </w:rPr>
        <w:t xml:space="preserve"> site, </w:t>
      </w:r>
      <w:r w:rsidR="0013511F" w:rsidRPr="008D2CC5">
        <w:rPr>
          <w:lang w:val="fr-FR"/>
        </w:rPr>
        <w:t>les produits chimiques potentiellement préoccupants et les milieux</w:t>
      </w:r>
      <w:r w:rsidR="00D31AFF" w:rsidRPr="008D2CC5">
        <w:rPr>
          <w:lang w:val="fr-FR"/>
        </w:rPr>
        <w:t xml:space="preserve"> (</w:t>
      </w:r>
      <w:r w:rsidR="0013511F" w:rsidRPr="008D2CC5">
        <w:rPr>
          <w:lang w:val="fr-FR"/>
        </w:rPr>
        <w:t>sols, eaux souterraines, eaux de surface, sédiments, vapeurs émanant du sol, air intérieur et extérieur, aliments cultivés localement, biote</w:t>
      </w:r>
      <w:r w:rsidR="00D31AFF" w:rsidRPr="008D2CC5">
        <w:rPr>
          <w:lang w:val="fr-FR"/>
        </w:rPr>
        <w:t xml:space="preserve">) </w:t>
      </w:r>
      <w:r w:rsidR="0013511F" w:rsidRPr="008D2CC5">
        <w:rPr>
          <w:lang w:val="fr-FR"/>
        </w:rPr>
        <w:t>qui peuvent être touchés</w:t>
      </w:r>
      <w:r w:rsidR="000409D6" w:rsidRPr="008D2CC5">
        <w:rPr>
          <w:lang w:val="fr-FR"/>
        </w:rPr>
        <w:t> ;</w:t>
      </w:r>
    </w:p>
    <w:p w14:paraId="3C94B6DE" w14:textId="12F254FC" w:rsidR="00D31AFF" w:rsidRPr="008D2CC5" w:rsidRDefault="0013511F" w:rsidP="008E43CD">
      <w:pPr>
        <w:pStyle w:val="Normalnumber"/>
        <w:numPr>
          <w:ilvl w:val="1"/>
          <w:numId w:val="5"/>
        </w:numPr>
        <w:rPr>
          <w:lang w:val="fr-FR"/>
        </w:rPr>
      </w:pPr>
      <w:r w:rsidRPr="008D2CC5">
        <w:rPr>
          <w:lang w:val="fr-FR"/>
        </w:rPr>
        <w:t>La répartition</w:t>
      </w:r>
      <w:r w:rsidR="00D31AFF" w:rsidRPr="008D2CC5">
        <w:rPr>
          <w:lang w:val="fr-FR"/>
        </w:rPr>
        <w:t xml:space="preserve"> </w:t>
      </w:r>
      <w:r w:rsidRPr="008D2CC5">
        <w:rPr>
          <w:lang w:val="fr-FR"/>
        </w:rPr>
        <w:t>et la forme chimique</w:t>
      </w:r>
      <w:r w:rsidR="00B04DC7" w:rsidRPr="008D2CC5">
        <w:rPr>
          <w:lang w:val="fr-FR"/>
        </w:rPr>
        <w:t xml:space="preserve"> </w:t>
      </w:r>
      <w:r w:rsidRPr="008D2CC5">
        <w:rPr>
          <w:lang w:val="fr-FR"/>
        </w:rPr>
        <w:t>des</w:t>
      </w:r>
      <w:r w:rsidR="00D31AFF" w:rsidRPr="008D2CC5">
        <w:rPr>
          <w:lang w:val="fr-FR"/>
        </w:rPr>
        <w:t xml:space="preserve"> </w:t>
      </w:r>
      <w:r w:rsidR="00B04DC7" w:rsidRPr="008D2CC5">
        <w:rPr>
          <w:lang w:val="fr-FR"/>
        </w:rPr>
        <w:t xml:space="preserve">contaminants </w:t>
      </w:r>
      <w:r w:rsidRPr="008D2CC5">
        <w:rPr>
          <w:lang w:val="fr-FR"/>
        </w:rPr>
        <w:t>dans chaque milieu</w:t>
      </w:r>
      <w:r w:rsidR="00313017" w:rsidRPr="008D2CC5">
        <w:rPr>
          <w:lang w:val="fr-FR"/>
        </w:rPr>
        <w:t>,</w:t>
      </w:r>
      <w:r w:rsidRPr="008D2CC5">
        <w:rPr>
          <w:lang w:val="fr-FR"/>
        </w:rPr>
        <w:t xml:space="preserve"> y compris des</w:t>
      </w:r>
      <w:r w:rsidR="00BD0B37" w:rsidRPr="008D2CC5">
        <w:rPr>
          <w:lang w:val="fr-FR"/>
        </w:rPr>
        <w:t> </w:t>
      </w:r>
      <w:r w:rsidRPr="008D2CC5">
        <w:rPr>
          <w:lang w:val="fr-FR"/>
        </w:rPr>
        <w:t>informations sur l</w:t>
      </w:r>
      <w:r w:rsidR="00B530DC">
        <w:rPr>
          <w:lang w:val="fr-FR"/>
        </w:rPr>
        <w:t>eur</w:t>
      </w:r>
      <w:r w:rsidRPr="008D2CC5">
        <w:rPr>
          <w:lang w:val="fr-FR"/>
        </w:rPr>
        <w:t xml:space="preserve"> concentration, </w:t>
      </w:r>
      <w:r w:rsidR="009A0D37" w:rsidRPr="008D2CC5">
        <w:rPr>
          <w:lang w:val="fr-FR"/>
        </w:rPr>
        <w:t>quantité totale</w:t>
      </w:r>
      <w:r w:rsidRPr="008D2CC5">
        <w:rPr>
          <w:lang w:val="fr-FR"/>
        </w:rPr>
        <w:t xml:space="preserve"> et/ou </w:t>
      </w:r>
      <w:r w:rsidR="0049351D" w:rsidRPr="008D2CC5">
        <w:rPr>
          <w:lang w:val="fr-FR"/>
        </w:rPr>
        <w:t>propagation</w:t>
      </w:r>
      <w:r w:rsidR="009A0D37" w:rsidRPr="008D2CC5">
        <w:rPr>
          <w:lang w:val="fr-FR"/>
        </w:rPr>
        <w:t xml:space="preserve"> (</w:t>
      </w:r>
      <w:r w:rsidRPr="008D2CC5">
        <w:rPr>
          <w:lang w:val="fr-FR"/>
        </w:rPr>
        <w:t>flux</w:t>
      </w:r>
      <w:r w:rsidR="009A0D37" w:rsidRPr="008D2CC5">
        <w:rPr>
          <w:lang w:val="fr-FR"/>
        </w:rPr>
        <w:t>)</w:t>
      </w:r>
      <w:r w:rsidR="000409D6" w:rsidRPr="008D2CC5">
        <w:rPr>
          <w:lang w:val="fr-FR"/>
        </w:rPr>
        <w:t> ;</w:t>
      </w:r>
    </w:p>
    <w:p w14:paraId="30382879" w14:textId="1A374554" w:rsidR="00D31AFF" w:rsidRPr="008D2CC5" w:rsidRDefault="0013511F" w:rsidP="008E43CD">
      <w:pPr>
        <w:pStyle w:val="Normalnumber"/>
        <w:numPr>
          <w:ilvl w:val="1"/>
          <w:numId w:val="5"/>
        </w:numPr>
        <w:rPr>
          <w:lang w:val="fr-FR"/>
        </w:rPr>
      </w:pPr>
      <w:r w:rsidRPr="008D2CC5">
        <w:rPr>
          <w:lang w:val="fr-FR"/>
        </w:rPr>
        <w:t>La manière dont les</w:t>
      </w:r>
      <w:r w:rsidR="00D31AFF" w:rsidRPr="008D2CC5">
        <w:rPr>
          <w:lang w:val="fr-FR"/>
        </w:rPr>
        <w:t xml:space="preserve"> contaminants </w:t>
      </w:r>
      <w:r w:rsidRPr="008D2CC5">
        <w:rPr>
          <w:lang w:val="fr-FR"/>
        </w:rPr>
        <w:t>peuvent migrer</w:t>
      </w:r>
      <w:r w:rsidR="00515B37" w:rsidRPr="008D2CC5">
        <w:rPr>
          <w:lang w:val="fr-FR"/>
        </w:rPr>
        <w:t xml:space="preserve"> de la</w:t>
      </w:r>
      <w:r w:rsidR="005A1C6C" w:rsidRPr="008D2CC5">
        <w:rPr>
          <w:lang w:val="fr-FR"/>
        </w:rPr>
        <w:t xml:space="preserve"> </w:t>
      </w:r>
      <w:r w:rsidR="00515B37" w:rsidRPr="008D2CC5">
        <w:rPr>
          <w:lang w:val="fr-FR"/>
        </w:rPr>
        <w:t>(des) source(s), les milieux concernés et les voies</w:t>
      </w:r>
      <w:r w:rsidR="00D31AFF" w:rsidRPr="008D2CC5">
        <w:rPr>
          <w:lang w:val="fr-FR"/>
        </w:rPr>
        <w:t xml:space="preserve"> </w:t>
      </w:r>
      <w:r w:rsidR="00515B37" w:rsidRPr="008D2CC5">
        <w:rPr>
          <w:lang w:val="fr-FR"/>
        </w:rPr>
        <w:t>par lesquelles la migration et l</w:t>
      </w:r>
      <w:r w:rsidR="000409D6" w:rsidRPr="008D2CC5">
        <w:rPr>
          <w:lang w:val="fr-FR"/>
        </w:rPr>
        <w:t>’</w:t>
      </w:r>
      <w:r w:rsidR="00515B37" w:rsidRPr="008D2CC5">
        <w:rPr>
          <w:lang w:val="fr-FR"/>
        </w:rPr>
        <w:t>exposition des éventuels récepteurs humains ou écologiques pourraient se produire, ainsi que les informations nécessaires pour interpréter la migration des contaminants, notamment la géologie, l</w:t>
      </w:r>
      <w:r w:rsidR="000409D6" w:rsidRPr="008D2CC5">
        <w:rPr>
          <w:lang w:val="fr-FR"/>
        </w:rPr>
        <w:t>’</w:t>
      </w:r>
      <w:r w:rsidR="00515B37" w:rsidRPr="008D2CC5">
        <w:rPr>
          <w:lang w:val="fr-FR"/>
        </w:rPr>
        <w:t>hydrogéologie, l</w:t>
      </w:r>
      <w:r w:rsidR="000409D6" w:rsidRPr="008D2CC5">
        <w:rPr>
          <w:lang w:val="fr-FR"/>
        </w:rPr>
        <w:t>’</w:t>
      </w:r>
      <w:r w:rsidR="00515B37" w:rsidRPr="008D2CC5">
        <w:rPr>
          <w:lang w:val="fr-FR"/>
        </w:rPr>
        <w:t>hydrologie et les éventuelles voies préférentielles</w:t>
      </w:r>
      <w:r w:rsidR="000409D6" w:rsidRPr="008D2CC5">
        <w:rPr>
          <w:lang w:val="fr-FR"/>
        </w:rPr>
        <w:t> ;</w:t>
      </w:r>
    </w:p>
    <w:p w14:paraId="75757F99" w14:textId="472C10F0" w:rsidR="00D31AFF" w:rsidRPr="008D2CC5" w:rsidRDefault="00515B37" w:rsidP="008E43CD">
      <w:pPr>
        <w:pStyle w:val="Normalnumber"/>
        <w:numPr>
          <w:ilvl w:val="1"/>
          <w:numId w:val="5"/>
        </w:numPr>
        <w:rPr>
          <w:lang w:val="fr-FR"/>
        </w:rPr>
      </w:pPr>
      <w:r w:rsidRPr="008D2CC5">
        <w:rPr>
          <w:lang w:val="fr-FR"/>
        </w:rPr>
        <w:t xml:space="preserve">Des informations </w:t>
      </w:r>
      <w:r w:rsidR="00344420" w:rsidRPr="008D2CC5">
        <w:rPr>
          <w:lang w:val="fr-FR"/>
        </w:rPr>
        <w:t>concernant les conditions climatiques et météorologiques qui peuvent avoir une incidence sur la répartition et la migration des contaminants</w:t>
      </w:r>
      <w:r w:rsidR="000409D6" w:rsidRPr="008D2CC5">
        <w:rPr>
          <w:lang w:val="fr-FR"/>
        </w:rPr>
        <w:t> ;</w:t>
      </w:r>
    </w:p>
    <w:p w14:paraId="37AD0206" w14:textId="6727DCCC" w:rsidR="00D31AFF" w:rsidRPr="008D2CC5" w:rsidRDefault="000F71AA" w:rsidP="008E43CD">
      <w:pPr>
        <w:pStyle w:val="Normalnumber"/>
        <w:numPr>
          <w:ilvl w:val="1"/>
          <w:numId w:val="5"/>
        </w:numPr>
        <w:rPr>
          <w:lang w:val="fr-FR"/>
        </w:rPr>
      </w:pPr>
      <w:r w:rsidRPr="008D2CC5">
        <w:rPr>
          <w:lang w:val="fr-FR"/>
        </w:rPr>
        <w:t>S</w:t>
      </w:r>
      <w:r w:rsidR="000409D6" w:rsidRPr="008D2CC5">
        <w:rPr>
          <w:lang w:val="fr-FR"/>
        </w:rPr>
        <w:t>’</w:t>
      </w:r>
      <w:r w:rsidRPr="008D2CC5">
        <w:rPr>
          <w:lang w:val="fr-FR"/>
        </w:rPr>
        <w:t>il y a lieu</w:t>
      </w:r>
      <w:r w:rsidR="00D31AFF" w:rsidRPr="008D2CC5">
        <w:rPr>
          <w:lang w:val="fr-FR"/>
        </w:rPr>
        <w:t>,</w:t>
      </w:r>
      <w:r w:rsidRPr="008D2CC5">
        <w:rPr>
          <w:lang w:val="fr-FR"/>
        </w:rPr>
        <w:t xml:space="preserve"> des</w:t>
      </w:r>
      <w:r w:rsidR="00D31AFF" w:rsidRPr="008D2CC5">
        <w:rPr>
          <w:lang w:val="fr-FR"/>
        </w:rPr>
        <w:t xml:space="preserve"> information</w:t>
      </w:r>
      <w:r w:rsidR="004F1EDD" w:rsidRPr="008D2CC5">
        <w:rPr>
          <w:lang w:val="fr-FR"/>
        </w:rPr>
        <w:t>s</w:t>
      </w:r>
      <w:r w:rsidR="00D31AFF" w:rsidRPr="008D2CC5">
        <w:rPr>
          <w:lang w:val="fr-FR"/>
        </w:rPr>
        <w:t xml:space="preserve"> </w:t>
      </w:r>
      <w:r w:rsidR="004C684B" w:rsidRPr="008D2CC5">
        <w:rPr>
          <w:lang w:val="fr-FR"/>
        </w:rPr>
        <w:t>concernant l</w:t>
      </w:r>
      <w:r w:rsidR="000409D6" w:rsidRPr="008D2CC5">
        <w:rPr>
          <w:lang w:val="fr-FR"/>
        </w:rPr>
        <w:t>’</w:t>
      </w:r>
      <w:r w:rsidR="004C684B" w:rsidRPr="008D2CC5">
        <w:rPr>
          <w:lang w:val="fr-FR"/>
        </w:rPr>
        <w:t>intrusion de vapeurs émanant du sol dans les</w:t>
      </w:r>
      <w:r w:rsidR="00BD0B37" w:rsidRPr="008D2CC5">
        <w:rPr>
          <w:lang w:val="fr-FR"/>
        </w:rPr>
        <w:t> </w:t>
      </w:r>
      <w:r w:rsidR="004C684B" w:rsidRPr="008D2CC5">
        <w:rPr>
          <w:lang w:val="fr-FR"/>
        </w:rPr>
        <w:t>bâtiments</w:t>
      </w:r>
      <w:r w:rsidR="00313017" w:rsidRPr="008D2CC5">
        <w:rPr>
          <w:lang w:val="fr-FR"/>
        </w:rPr>
        <w:t>,</w:t>
      </w:r>
      <w:r w:rsidR="00D31AFF" w:rsidRPr="008D2CC5">
        <w:rPr>
          <w:lang w:val="fr-FR"/>
        </w:rPr>
        <w:t xml:space="preserve"> </w:t>
      </w:r>
      <w:r w:rsidR="004C684B" w:rsidRPr="008D2CC5">
        <w:rPr>
          <w:lang w:val="fr-FR"/>
        </w:rPr>
        <w:t>notamment les caractéristiques de</w:t>
      </w:r>
      <w:r w:rsidR="00D31AFF" w:rsidRPr="008D2CC5">
        <w:rPr>
          <w:lang w:val="fr-FR"/>
        </w:rPr>
        <w:t xml:space="preserve"> construction </w:t>
      </w:r>
      <w:r w:rsidR="004C684B" w:rsidRPr="008D2CC5">
        <w:rPr>
          <w:lang w:val="fr-FR"/>
        </w:rPr>
        <w:t>des bâtiments</w:t>
      </w:r>
      <w:r w:rsidR="00D31AFF" w:rsidRPr="008D2CC5">
        <w:rPr>
          <w:lang w:val="fr-FR"/>
        </w:rPr>
        <w:t xml:space="preserve"> (</w:t>
      </w:r>
      <w:r w:rsidR="004C684B" w:rsidRPr="008D2CC5">
        <w:rPr>
          <w:lang w:val="fr-FR"/>
        </w:rPr>
        <w:t>par exemple</w:t>
      </w:r>
      <w:r w:rsidR="00D31AFF" w:rsidRPr="008D2CC5">
        <w:rPr>
          <w:lang w:val="fr-FR"/>
        </w:rPr>
        <w:t xml:space="preserve">, </w:t>
      </w:r>
      <w:r w:rsidR="004C684B" w:rsidRPr="008D2CC5">
        <w:rPr>
          <w:lang w:val="fr-FR"/>
        </w:rPr>
        <w:t>taille</w:t>
      </w:r>
      <w:r w:rsidR="00D31AFF" w:rsidRPr="008D2CC5">
        <w:rPr>
          <w:lang w:val="fr-FR"/>
        </w:rPr>
        <w:t xml:space="preserve">, </w:t>
      </w:r>
      <w:r w:rsidR="004C684B" w:rsidRPr="008D2CC5">
        <w:rPr>
          <w:lang w:val="fr-FR"/>
        </w:rPr>
        <w:t>â</w:t>
      </w:r>
      <w:r w:rsidR="00D31AFF" w:rsidRPr="008D2CC5">
        <w:rPr>
          <w:lang w:val="fr-FR"/>
        </w:rPr>
        <w:t xml:space="preserve">ge, </w:t>
      </w:r>
      <w:r w:rsidR="00D71C0A" w:rsidRPr="008D2CC5">
        <w:rPr>
          <w:lang w:val="fr-FR"/>
        </w:rPr>
        <w:t>profondeur et type des fondations, présence de</w:t>
      </w:r>
      <w:r w:rsidR="00D31AFF" w:rsidRPr="008D2CC5">
        <w:rPr>
          <w:lang w:val="fr-FR"/>
        </w:rPr>
        <w:t xml:space="preserve"> </w:t>
      </w:r>
      <w:r w:rsidR="00D71C0A" w:rsidRPr="008D2CC5">
        <w:rPr>
          <w:lang w:val="fr-FR"/>
        </w:rPr>
        <w:t>fissures dans les fondations</w:t>
      </w:r>
      <w:r w:rsidR="00D31AFF" w:rsidRPr="008D2CC5">
        <w:rPr>
          <w:lang w:val="fr-FR"/>
        </w:rPr>
        <w:t xml:space="preserve">, </w:t>
      </w:r>
      <w:r w:rsidR="00D71C0A" w:rsidRPr="008D2CC5">
        <w:rPr>
          <w:lang w:val="fr-FR"/>
        </w:rPr>
        <w:t>points d</w:t>
      </w:r>
      <w:r w:rsidR="000409D6" w:rsidRPr="008D2CC5">
        <w:rPr>
          <w:lang w:val="fr-FR"/>
        </w:rPr>
        <w:t>’</w:t>
      </w:r>
      <w:r w:rsidR="00D71C0A" w:rsidRPr="008D2CC5">
        <w:rPr>
          <w:lang w:val="fr-FR"/>
        </w:rPr>
        <w:t>entrée des</w:t>
      </w:r>
      <w:r w:rsidR="00BD0B37" w:rsidRPr="008D2CC5">
        <w:rPr>
          <w:lang w:val="fr-FR"/>
        </w:rPr>
        <w:t> </w:t>
      </w:r>
      <w:r w:rsidR="004F1EDD" w:rsidRPr="008D2CC5">
        <w:rPr>
          <w:lang w:val="fr-FR"/>
        </w:rPr>
        <w:t>équipements</w:t>
      </w:r>
      <w:r w:rsidR="00D71C0A" w:rsidRPr="008D2CC5">
        <w:rPr>
          <w:lang w:val="fr-FR"/>
        </w:rPr>
        <w:t xml:space="preserve"> collectifs</w:t>
      </w:r>
      <w:r w:rsidR="00D31AFF" w:rsidRPr="008D2CC5">
        <w:rPr>
          <w:lang w:val="fr-FR"/>
        </w:rPr>
        <w:t xml:space="preserve">), </w:t>
      </w:r>
      <w:r w:rsidR="00C03677" w:rsidRPr="008D2CC5">
        <w:rPr>
          <w:lang w:val="fr-FR"/>
        </w:rPr>
        <w:t xml:space="preserve">la conception et le fonctionnement des systèmes </w:t>
      </w:r>
      <w:r w:rsidR="00D71C0A" w:rsidRPr="008D2CC5">
        <w:rPr>
          <w:lang w:val="fr-FR"/>
        </w:rPr>
        <w:t>de chauffage</w:t>
      </w:r>
      <w:r w:rsidR="00D31AFF" w:rsidRPr="008D2CC5">
        <w:rPr>
          <w:lang w:val="fr-FR"/>
        </w:rPr>
        <w:t>,</w:t>
      </w:r>
      <w:r w:rsidR="00D71C0A" w:rsidRPr="008D2CC5">
        <w:rPr>
          <w:lang w:val="fr-FR"/>
        </w:rPr>
        <w:t xml:space="preserve"> de</w:t>
      </w:r>
      <w:r w:rsidR="00BD0B37" w:rsidRPr="008D2CC5">
        <w:rPr>
          <w:lang w:val="fr-FR"/>
        </w:rPr>
        <w:t> </w:t>
      </w:r>
      <w:r w:rsidR="00D31AFF" w:rsidRPr="008D2CC5">
        <w:rPr>
          <w:lang w:val="fr-FR"/>
        </w:rPr>
        <w:t xml:space="preserve">ventilation </w:t>
      </w:r>
      <w:r w:rsidR="00D71C0A" w:rsidRPr="008D2CC5">
        <w:rPr>
          <w:lang w:val="fr-FR"/>
        </w:rPr>
        <w:t xml:space="preserve">et de climatisation </w:t>
      </w:r>
      <w:r w:rsidR="00C03677" w:rsidRPr="008D2CC5">
        <w:rPr>
          <w:lang w:val="fr-FR"/>
        </w:rPr>
        <w:t xml:space="preserve">des bâtiments </w:t>
      </w:r>
      <w:r w:rsidR="00D71C0A" w:rsidRPr="008D2CC5">
        <w:rPr>
          <w:lang w:val="fr-FR"/>
        </w:rPr>
        <w:t>ainsi que</w:t>
      </w:r>
      <w:r w:rsidR="004F1EDD" w:rsidRPr="008D2CC5">
        <w:rPr>
          <w:lang w:val="fr-FR"/>
        </w:rPr>
        <w:t xml:space="preserve"> les passages souterrains des équipements collectifs</w:t>
      </w:r>
      <w:r w:rsidR="000409D6" w:rsidRPr="008D2CC5">
        <w:rPr>
          <w:lang w:val="fr-FR"/>
        </w:rPr>
        <w:t> ;</w:t>
      </w:r>
    </w:p>
    <w:p w14:paraId="03337A53" w14:textId="78651C51" w:rsidR="00D31AFF" w:rsidRPr="008D2CC5" w:rsidRDefault="004F1EDD" w:rsidP="008E43CD">
      <w:pPr>
        <w:pStyle w:val="Normalnumber"/>
        <w:numPr>
          <w:ilvl w:val="1"/>
          <w:numId w:val="5"/>
        </w:numPr>
        <w:rPr>
          <w:lang w:val="fr-FR"/>
        </w:rPr>
      </w:pPr>
      <w:r w:rsidRPr="008D2CC5">
        <w:rPr>
          <w:lang w:val="fr-FR"/>
        </w:rPr>
        <w:t>Des informations concernant les récepteurs humains et écologiques ainsi que les</w:t>
      </w:r>
      <w:r w:rsidR="00BD0B37" w:rsidRPr="008D2CC5">
        <w:rPr>
          <w:lang w:val="fr-FR"/>
        </w:rPr>
        <w:t> </w:t>
      </w:r>
      <w:r w:rsidR="007242B5" w:rsidRPr="008D2CC5">
        <w:rPr>
          <w:lang w:val="fr-FR"/>
        </w:rPr>
        <w:t>caractéristiques des</w:t>
      </w:r>
      <w:r w:rsidRPr="008D2CC5">
        <w:rPr>
          <w:lang w:val="fr-FR"/>
        </w:rPr>
        <w:t xml:space="preserve"> activités </w:t>
      </w:r>
      <w:r w:rsidR="007242B5" w:rsidRPr="008D2CC5">
        <w:rPr>
          <w:lang w:val="fr-FR"/>
        </w:rPr>
        <w:t xml:space="preserve">menées </w:t>
      </w:r>
      <w:r w:rsidRPr="008D2CC5">
        <w:rPr>
          <w:lang w:val="fr-FR"/>
        </w:rPr>
        <w:t>sur le site ou dans les zones touchées par le site</w:t>
      </w:r>
      <w:r w:rsidR="00D31AFF" w:rsidRPr="008D2CC5">
        <w:rPr>
          <w:lang w:val="fr-FR"/>
        </w:rPr>
        <w:t>.</w:t>
      </w:r>
    </w:p>
    <w:p w14:paraId="68E862F8" w14:textId="2FF2C811" w:rsidR="00D31AFF" w:rsidRPr="008D2CC5" w:rsidRDefault="004F1EDD" w:rsidP="008E43CD">
      <w:pPr>
        <w:pStyle w:val="Normalnumber"/>
        <w:numPr>
          <w:ilvl w:val="0"/>
          <w:numId w:val="5"/>
        </w:numPr>
        <w:rPr>
          <w:lang w:val="fr-FR"/>
        </w:rPr>
      </w:pPr>
      <w:r w:rsidRPr="008D2CC5">
        <w:rPr>
          <w:lang w:val="fr-FR"/>
        </w:rPr>
        <w:t xml:space="preserve">Il convient de noter </w:t>
      </w:r>
      <w:r w:rsidR="00DC4840" w:rsidRPr="008D2CC5">
        <w:rPr>
          <w:lang w:val="fr-FR"/>
        </w:rPr>
        <w:t>qu</w:t>
      </w:r>
      <w:r w:rsidR="000409D6" w:rsidRPr="008D2CC5">
        <w:rPr>
          <w:lang w:val="fr-FR"/>
        </w:rPr>
        <w:t>’</w:t>
      </w:r>
      <w:r w:rsidR="00DC4840" w:rsidRPr="008D2CC5">
        <w:rPr>
          <w:lang w:val="fr-FR"/>
        </w:rPr>
        <w:t>il n</w:t>
      </w:r>
      <w:r w:rsidR="000409D6" w:rsidRPr="008D2CC5">
        <w:rPr>
          <w:lang w:val="fr-FR"/>
        </w:rPr>
        <w:t>’</w:t>
      </w:r>
      <w:r w:rsidR="00DC4840" w:rsidRPr="008D2CC5">
        <w:rPr>
          <w:lang w:val="fr-FR"/>
        </w:rPr>
        <w:t>est pas nécessaire de traiter l</w:t>
      </w:r>
      <w:r w:rsidR="000409D6" w:rsidRPr="008D2CC5">
        <w:rPr>
          <w:lang w:val="fr-FR"/>
        </w:rPr>
        <w:t>’</w:t>
      </w:r>
      <w:r w:rsidR="00DC4840" w:rsidRPr="008D2CC5">
        <w:rPr>
          <w:lang w:val="fr-FR"/>
        </w:rPr>
        <w:t>ensemble de</w:t>
      </w:r>
      <w:r w:rsidRPr="008D2CC5">
        <w:rPr>
          <w:lang w:val="fr-FR"/>
        </w:rPr>
        <w:t>s éléments énoncés ci</w:t>
      </w:r>
      <w:r w:rsidR="00BD0B37" w:rsidRPr="008D2CC5">
        <w:rPr>
          <w:lang w:val="fr-FR"/>
        </w:rPr>
        <w:noBreakHyphen/>
      </w:r>
      <w:r w:rsidRPr="008D2CC5">
        <w:rPr>
          <w:lang w:val="fr-FR"/>
        </w:rPr>
        <w:t>dessus</w:t>
      </w:r>
      <w:r w:rsidR="00D31AFF" w:rsidRPr="008D2CC5">
        <w:rPr>
          <w:lang w:val="fr-FR"/>
        </w:rPr>
        <w:t>.</w:t>
      </w:r>
      <w:r w:rsidR="00DC4840" w:rsidRPr="008D2CC5">
        <w:rPr>
          <w:lang w:val="fr-FR"/>
        </w:rPr>
        <w:t xml:space="preserve"> En particulier, les derniers éléments nécessitent une certaine expertise de la part du technicien effectuant l</w:t>
      </w:r>
      <w:r w:rsidR="000409D6" w:rsidRPr="008D2CC5">
        <w:rPr>
          <w:lang w:val="fr-FR"/>
        </w:rPr>
        <w:t>’</w:t>
      </w:r>
      <w:r w:rsidR="00DC4840" w:rsidRPr="008D2CC5">
        <w:rPr>
          <w:lang w:val="fr-FR"/>
        </w:rPr>
        <w:t>inspection et de l</w:t>
      </w:r>
      <w:r w:rsidR="000409D6" w:rsidRPr="008D2CC5">
        <w:rPr>
          <w:lang w:val="fr-FR"/>
        </w:rPr>
        <w:t>’</w:t>
      </w:r>
      <w:r w:rsidR="00DC4840" w:rsidRPr="008D2CC5">
        <w:rPr>
          <w:lang w:val="fr-FR"/>
        </w:rPr>
        <w:t>autorité chargée de déterminer la validité de l</w:t>
      </w:r>
      <w:r w:rsidR="000409D6" w:rsidRPr="008D2CC5">
        <w:rPr>
          <w:lang w:val="fr-FR"/>
        </w:rPr>
        <w:t>’</w:t>
      </w:r>
      <w:r w:rsidR="00DC4840" w:rsidRPr="008D2CC5">
        <w:rPr>
          <w:lang w:val="fr-FR"/>
        </w:rPr>
        <w:t>inspection</w:t>
      </w:r>
      <w:r w:rsidR="00D31AFF" w:rsidRPr="008D2CC5">
        <w:rPr>
          <w:lang w:val="fr-FR"/>
        </w:rPr>
        <w:t>.</w:t>
      </w:r>
      <w:r w:rsidR="00DC4840" w:rsidRPr="008D2CC5">
        <w:rPr>
          <w:lang w:val="fr-FR"/>
        </w:rPr>
        <w:t xml:space="preserve"> L</w:t>
      </w:r>
      <w:r w:rsidR="000409D6" w:rsidRPr="008D2CC5">
        <w:rPr>
          <w:lang w:val="fr-FR"/>
        </w:rPr>
        <w:t>’</w:t>
      </w:r>
      <w:r w:rsidR="00DC4840" w:rsidRPr="008D2CC5">
        <w:rPr>
          <w:lang w:val="fr-FR"/>
        </w:rPr>
        <w:t>utilisation d</w:t>
      </w:r>
      <w:r w:rsidR="000409D6" w:rsidRPr="008D2CC5">
        <w:rPr>
          <w:lang w:val="fr-FR"/>
        </w:rPr>
        <w:t>’</w:t>
      </w:r>
      <w:r w:rsidR="00DC4840" w:rsidRPr="008D2CC5">
        <w:rPr>
          <w:lang w:val="fr-FR"/>
        </w:rPr>
        <w:t>un</w:t>
      </w:r>
      <w:r w:rsidR="00D31AFF" w:rsidRPr="008D2CC5">
        <w:rPr>
          <w:lang w:val="fr-FR"/>
        </w:rPr>
        <w:t xml:space="preserve"> </w:t>
      </w:r>
      <w:r w:rsidR="00DC4840" w:rsidRPr="008D2CC5">
        <w:rPr>
          <w:lang w:val="fr-FR"/>
        </w:rPr>
        <w:t xml:space="preserve">modèle conceptuel </w:t>
      </w:r>
      <w:r w:rsidR="007242B5" w:rsidRPr="008D2CC5">
        <w:rPr>
          <w:lang w:val="fr-FR"/>
        </w:rPr>
        <w:t>de</w:t>
      </w:r>
      <w:r w:rsidR="00DC4840" w:rsidRPr="008D2CC5">
        <w:rPr>
          <w:lang w:val="fr-FR"/>
        </w:rPr>
        <w:t xml:space="preserve"> site dépend de la situation de </w:t>
      </w:r>
      <w:r w:rsidR="001B5845" w:rsidRPr="008D2CC5">
        <w:rPr>
          <w:lang w:val="fr-FR"/>
        </w:rPr>
        <w:t>chaque</w:t>
      </w:r>
      <w:r w:rsidR="00DC4840" w:rsidRPr="008D2CC5">
        <w:rPr>
          <w:lang w:val="fr-FR"/>
        </w:rPr>
        <w:t xml:space="preserve"> Partie</w:t>
      </w:r>
      <w:r w:rsidR="001B5845" w:rsidRPr="008D2CC5">
        <w:rPr>
          <w:lang w:val="fr-FR"/>
        </w:rPr>
        <w:t xml:space="preserve"> et du site</w:t>
      </w:r>
      <w:r w:rsidR="00D55EC0" w:rsidRPr="008D2CC5">
        <w:rPr>
          <w:lang w:val="fr-FR"/>
        </w:rPr>
        <w:t>.</w:t>
      </w:r>
      <w:r w:rsidR="00D31AFF" w:rsidRPr="008D2CC5">
        <w:rPr>
          <w:lang w:val="fr-FR"/>
        </w:rPr>
        <w:t xml:space="preserve"> </w:t>
      </w:r>
      <w:r w:rsidR="001B5845" w:rsidRPr="008D2CC5">
        <w:rPr>
          <w:lang w:val="fr-FR"/>
        </w:rPr>
        <w:t>D</w:t>
      </w:r>
      <w:r w:rsidR="000409D6" w:rsidRPr="008D2CC5">
        <w:rPr>
          <w:lang w:val="fr-FR"/>
        </w:rPr>
        <w:t>’</w:t>
      </w:r>
      <w:r w:rsidR="001B5845" w:rsidRPr="008D2CC5">
        <w:rPr>
          <w:lang w:val="fr-FR"/>
        </w:rPr>
        <w:t>autres méthodes peuvent également être utilisées</w:t>
      </w:r>
      <w:r w:rsidR="00D31AFF" w:rsidRPr="008D2CC5">
        <w:rPr>
          <w:lang w:val="fr-FR"/>
        </w:rPr>
        <w:t>.</w:t>
      </w:r>
    </w:p>
    <w:p w14:paraId="3629B35E" w14:textId="50FFC46E" w:rsidR="00D31AFF" w:rsidRPr="008D2CC5" w:rsidRDefault="001B5845" w:rsidP="008E43CD">
      <w:pPr>
        <w:pStyle w:val="Normalnumber"/>
        <w:numPr>
          <w:ilvl w:val="0"/>
          <w:numId w:val="5"/>
        </w:numPr>
        <w:rPr>
          <w:lang w:val="fr-FR"/>
        </w:rPr>
      </w:pPr>
      <w:r w:rsidRPr="008D2CC5">
        <w:rPr>
          <w:lang w:val="fr-FR"/>
        </w:rPr>
        <w:t>Il conviendrait de fixer les</w:t>
      </w:r>
      <w:r w:rsidR="00D31AFF" w:rsidRPr="008D2CC5">
        <w:rPr>
          <w:lang w:val="fr-FR"/>
        </w:rPr>
        <w:t xml:space="preserve"> objecti</w:t>
      </w:r>
      <w:r w:rsidRPr="008D2CC5">
        <w:rPr>
          <w:lang w:val="fr-FR"/>
        </w:rPr>
        <w:t>f</w:t>
      </w:r>
      <w:r w:rsidR="00D31AFF" w:rsidRPr="008D2CC5">
        <w:rPr>
          <w:lang w:val="fr-FR"/>
        </w:rPr>
        <w:t xml:space="preserve">s </w:t>
      </w:r>
      <w:r w:rsidRPr="008D2CC5">
        <w:rPr>
          <w:lang w:val="fr-FR"/>
        </w:rPr>
        <w:t>de l</w:t>
      </w:r>
      <w:r w:rsidR="000409D6" w:rsidRPr="008D2CC5">
        <w:rPr>
          <w:lang w:val="fr-FR"/>
        </w:rPr>
        <w:t>’</w:t>
      </w:r>
      <w:r w:rsidRPr="008D2CC5">
        <w:rPr>
          <w:lang w:val="fr-FR"/>
        </w:rPr>
        <w:t>étude, qui peuvent globalement comprendre</w:t>
      </w:r>
      <w:r w:rsidR="000409D6" w:rsidRPr="008D2CC5">
        <w:rPr>
          <w:lang w:val="fr-FR"/>
        </w:rPr>
        <w:t> :</w:t>
      </w:r>
      <w:r w:rsidR="00D31AFF" w:rsidRPr="008D2CC5">
        <w:rPr>
          <w:lang w:val="fr-FR"/>
        </w:rPr>
        <w:t xml:space="preserve"> </w:t>
      </w:r>
    </w:p>
    <w:p w14:paraId="78D2DD82" w14:textId="2C2336EE" w:rsidR="00D31AFF" w:rsidRPr="008D2CC5" w:rsidRDefault="001B5845" w:rsidP="008E43CD">
      <w:pPr>
        <w:pStyle w:val="Normalnumber"/>
        <w:numPr>
          <w:ilvl w:val="1"/>
          <w:numId w:val="5"/>
        </w:numPr>
        <w:rPr>
          <w:lang w:val="fr-FR"/>
        </w:rPr>
      </w:pPr>
      <w:r w:rsidRPr="008D2CC5">
        <w:rPr>
          <w:lang w:val="fr-FR"/>
        </w:rPr>
        <w:t>Une caractérisation des</w:t>
      </w:r>
      <w:r w:rsidR="00D31AFF" w:rsidRPr="008D2CC5">
        <w:rPr>
          <w:lang w:val="fr-FR"/>
        </w:rPr>
        <w:t xml:space="preserve"> types </w:t>
      </w:r>
      <w:r w:rsidRPr="008D2CC5">
        <w:rPr>
          <w:lang w:val="fr-FR"/>
        </w:rPr>
        <w:t>de</w:t>
      </w:r>
      <w:r w:rsidR="00D31AFF" w:rsidRPr="008D2CC5">
        <w:rPr>
          <w:lang w:val="fr-FR"/>
        </w:rPr>
        <w:t xml:space="preserve"> contaminants </w:t>
      </w:r>
      <w:r w:rsidRPr="008D2CC5">
        <w:rPr>
          <w:lang w:val="fr-FR"/>
        </w:rPr>
        <w:t>présents sur le</w:t>
      </w:r>
      <w:r w:rsidR="00D31AFF" w:rsidRPr="008D2CC5">
        <w:rPr>
          <w:lang w:val="fr-FR"/>
        </w:rPr>
        <w:t xml:space="preserve"> site</w:t>
      </w:r>
      <w:r w:rsidR="000409D6" w:rsidRPr="008D2CC5">
        <w:rPr>
          <w:lang w:val="fr-FR"/>
        </w:rPr>
        <w:t> ;</w:t>
      </w:r>
    </w:p>
    <w:p w14:paraId="4C88C58D" w14:textId="79C51A52" w:rsidR="00D31AFF" w:rsidRPr="008D2CC5" w:rsidRDefault="00B96FD4" w:rsidP="008E43CD">
      <w:pPr>
        <w:pStyle w:val="Normalnumber"/>
        <w:numPr>
          <w:ilvl w:val="1"/>
          <w:numId w:val="5"/>
        </w:numPr>
        <w:rPr>
          <w:lang w:val="fr-FR"/>
        </w:rPr>
      </w:pPr>
      <w:r w:rsidRPr="008D2CC5">
        <w:rPr>
          <w:lang w:val="fr-FR"/>
        </w:rPr>
        <w:t xml:space="preserve">Une </w:t>
      </w:r>
      <w:r w:rsidR="00472B3F" w:rsidRPr="008D2CC5">
        <w:rPr>
          <w:lang w:val="fr-FR"/>
        </w:rPr>
        <w:t xml:space="preserve">meilleure </w:t>
      </w:r>
      <w:r w:rsidRPr="008D2CC5">
        <w:rPr>
          <w:lang w:val="fr-FR"/>
        </w:rPr>
        <w:t>compréhension</w:t>
      </w:r>
      <w:r w:rsidR="001B5845" w:rsidRPr="008D2CC5">
        <w:rPr>
          <w:lang w:val="fr-FR"/>
        </w:rPr>
        <w:t xml:space="preserve"> de la géologie et de l</w:t>
      </w:r>
      <w:r w:rsidR="000409D6" w:rsidRPr="008D2CC5">
        <w:rPr>
          <w:lang w:val="fr-FR"/>
        </w:rPr>
        <w:t>’</w:t>
      </w:r>
      <w:r w:rsidR="001B5845" w:rsidRPr="008D2CC5">
        <w:rPr>
          <w:lang w:val="fr-FR"/>
        </w:rPr>
        <w:t>hydrogéologie du site</w:t>
      </w:r>
      <w:r w:rsidR="000409D6" w:rsidRPr="008D2CC5">
        <w:rPr>
          <w:lang w:val="fr-FR"/>
        </w:rPr>
        <w:t> ;</w:t>
      </w:r>
      <w:r w:rsidR="00D31AFF" w:rsidRPr="008D2CC5">
        <w:rPr>
          <w:lang w:val="fr-FR"/>
        </w:rPr>
        <w:t xml:space="preserve"> </w:t>
      </w:r>
    </w:p>
    <w:p w14:paraId="360F9FD8" w14:textId="386B6532" w:rsidR="00D31AFF" w:rsidRPr="008D2CC5" w:rsidRDefault="00B96FD4" w:rsidP="008E43CD">
      <w:pPr>
        <w:pStyle w:val="Normalnumber"/>
        <w:numPr>
          <w:ilvl w:val="1"/>
          <w:numId w:val="5"/>
        </w:numPr>
        <w:rPr>
          <w:lang w:val="fr-FR"/>
        </w:rPr>
      </w:pPr>
      <w:r w:rsidRPr="008D2CC5">
        <w:rPr>
          <w:lang w:val="fr-FR"/>
        </w:rPr>
        <w:lastRenderedPageBreak/>
        <w:t>Une détermination de l</w:t>
      </w:r>
      <w:r w:rsidR="000409D6" w:rsidRPr="008D2CC5">
        <w:rPr>
          <w:lang w:val="fr-FR"/>
        </w:rPr>
        <w:t>’</w:t>
      </w:r>
      <w:r w:rsidRPr="008D2CC5">
        <w:rPr>
          <w:lang w:val="fr-FR"/>
        </w:rPr>
        <w:t>ampleur et de la répartition</w:t>
      </w:r>
      <w:r w:rsidR="00D31AFF" w:rsidRPr="008D2CC5">
        <w:rPr>
          <w:lang w:val="fr-FR"/>
        </w:rPr>
        <w:t xml:space="preserve"> (vertical</w:t>
      </w:r>
      <w:r w:rsidRPr="008D2CC5">
        <w:rPr>
          <w:lang w:val="fr-FR"/>
        </w:rPr>
        <w:t>e</w:t>
      </w:r>
      <w:r w:rsidR="00D31AFF" w:rsidRPr="008D2CC5">
        <w:rPr>
          <w:lang w:val="fr-FR"/>
        </w:rPr>
        <w:t xml:space="preserve"> </w:t>
      </w:r>
      <w:r w:rsidRPr="008D2CC5">
        <w:rPr>
          <w:lang w:val="fr-FR"/>
        </w:rPr>
        <w:t>et</w:t>
      </w:r>
      <w:r w:rsidR="00D31AFF" w:rsidRPr="008D2CC5">
        <w:rPr>
          <w:lang w:val="fr-FR"/>
        </w:rPr>
        <w:t xml:space="preserve"> lat</w:t>
      </w:r>
      <w:r w:rsidRPr="008D2CC5">
        <w:rPr>
          <w:lang w:val="fr-FR"/>
        </w:rPr>
        <w:t>é</w:t>
      </w:r>
      <w:r w:rsidR="00D31AFF" w:rsidRPr="008D2CC5">
        <w:rPr>
          <w:lang w:val="fr-FR"/>
        </w:rPr>
        <w:t>ral</w:t>
      </w:r>
      <w:r w:rsidRPr="008D2CC5">
        <w:rPr>
          <w:lang w:val="fr-FR"/>
        </w:rPr>
        <w:t>e</w:t>
      </w:r>
      <w:r w:rsidR="00D31AFF" w:rsidRPr="008D2CC5">
        <w:rPr>
          <w:lang w:val="fr-FR"/>
        </w:rPr>
        <w:t xml:space="preserve">) </w:t>
      </w:r>
      <w:r w:rsidRPr="008D2CC5">
        <w:rPr>
          <w:lang w:val="fr-FR"/>
        </w:rPr>
        <w:t>de la</w:t>
      </w:r>
      <w:r w:rsidR="00D31AFF" w:rsidRPr="008D2CC5">
        <w:rPr>
          <w:lang w:val="fr-FR"/>
        </w:rPr>
        <w:t xml:space="preserve"> contamination</w:t>
      </w:r>
      <w:r w:rsidR="000409D6" w:rsidRPr="008D2CC5">
        <w:rPr>
          <w:lang w:val="fr-FR"/>
        </w:rPr>
        <w:t> ;</w:t>
      </w:r>
    </w:p>
    <w:p w14:paraId="1073F158" w14:textId="4AFF720A" w:rsidR="00D31AFF" w:rsidRPr="008D2CC5" w:rsidRDefault="00B96FD4" w:rsidP="008E43CD">
      <w:pPr>
        <w:pStyle w:val="Normalnumber"/>
        <w:numPr>
          <w:ilvl w:val="1"/>
          <w:numId w:val="5"/>
        </w:numPr>
        <w:rPr>
          <w:lang w:val="fr-FR"/>
        </w:rPr>
      </w:pPr>
      <w:r w:rsidRPr="008D2CC5">
        <w:rPr>
          <w:lang w:val="fr-FR"/>
        </w:rPr>
        <w:t xml:space="preserve">Une caractérisation de la </w:t>
      </w:r>
      <w:r w:rsidR="00D31AFF" w:rsidRPr="008D2CC5">
        <w:rPr>
          <w:lang w:val="fr-FR"/>
        </w:rPr>
        <w:t xml:space="preserve">migration </w:t>
      </w:r>
      <w:r w:rsidRPr="008D2CC5">
        <w:rPr>
          <w:lang w:val="fr-FR"/>
        </w:rPr>
        <w:t>effective des</w:t>
      </w:r>
      <w:r w:rsidR="00D31AFF" w:rsidRPr="008D2CC5">
        <w:rPr>
          <w:lang w:val="fr-FR"/>
        </w:rPr>
        <w:t xml:space="preserve"> contaminants </w:t>
      </w:r>
      <w:r w:rsidRPr="008D2CC5">
        <w:rPr>
          <w:lang w:val="fr-FR"/>
        </w:rPr>
        <w:t>et</w:t>
      </w:r>
      <w:r w:rsidR="00D31AFF" w:rsidRPr="008D2CC5">
        <w:rPr>
          <w:lang w:val="fr-FR"/>
        </w:rPr>
        <w:t xml:space="preserve"> </w:t>
      </w:r>
      <w:r w:rsidRPr="008D2CC5">
        <w:rPr>
          <w:lang w:val="fr-FR"/>
        </w:rPr>
        <w:t>des</w:t>
      </w:r>
      <w:r w:rsidR="00D31AFF" w:rsidRPr="008D2CC5">
        <w:rPr>
          <w:lang w:val="fr-FR"/>
        </w:rPr>
        <w:t xml:space="preserve"> transformations</w:t>
      </w:r>
      <w:r w:rsidRPr="008D2CC5">
        <w:rPr>
          <w:lang w:val="fr-FR"/>
        </w:rPr>
        <w:t xml:space="preserve"> potentielles</w:t>
      </w:r>
      <w:r w:rsidR="000409D6" w:rsidRPr="008D2CC5">
        <w:rPr>
          <w:lang w:val="fr-FR"/>
        </w:rPr>
        <w:t> ;</w:t>
      </w:r>
    </w:p>
    <w:p w14:paraId="4AFE8892" w14:textId="5FC23B55" w:rsidR="00D31AFF" w:rsidRPr="008D2CC5" w:rsidRDefault="00472B3F" w:rsidP="008E43CD">
      <w:pPr>
        <w:pStyle w:val="Normalnumber"/>
        <w:numPr>
          <w:ilvl w:val="1"/>
          <w:numId w:val="5"/>
        </w:numPr>
        <w:rPr>
          <w:lang w:val="fr-FR"/>
        </w:rPr>
      </w:pPr>
      <w:r w:rsidRPr="008D2CC5">
        <w:rPr>
          <w:lang w:val="fr-FR"/>
        </w:rPr>
        <w:t>L</w:t>
      </w:r>
      <w:r w:rsidR="000409D6" w:rsidRPr="008D2CC5">
        <w:rPr>
          <w:lang w:val="fr-FR"/>
        </w:rPr>
        <w:t>’</w:t>
      </w:r>
      <w:r w:rsidRPr="008D2CC5">
        <w:rPr>
          <w:lang w:val="fr-FR"/>
        </w:rPr>
        <w:t>obtention de données permettant d</w:t>
      </w:r>
      <w:r w:rsidR="000409D6" w:rsidRPr="008D2CC5">
        <w:rPr>
          <w:lang w:val="fr-FR"/>
        </w:rPr>
        <w:t>’</w:t>
      </w:r>
      <w:r w:rsidRPr="008D2CC5">
        <w:rPr>
          <w:lang w:val="fr-FR"/>
        </w:rPr>
        <w:t>identifier et d</w:t>
      </w:r>
      <w:r w:rsidR="000409D6" w:rsidRPr="008D2CC5">
        <w:rPr>
          <w:lang w:val="fr-FR"/>
        </w:rPr>
        <w:t>’</w:t>
      </w:r>
      <w:r w:rsidRPr="008D2CC5">
        <w:rPr>
          <w:lang w:val="fr-FR"/>
        </w:rPr>
        <w:t>évaluer les éventuels effets néfastes sur la santé</w:t>
      </w:r>
      <w:r w:rsidR="00D31AFF" w:rsidRPr="008D2CC5">
        <w:rPr>
          <w:lang w:val="fr-FR"/>
        </w:rPr>
        <w:t xml:space="preserve"> </w:t>
      </w:r>
      <w:r w:rsidRPr="008D2CC5">
        <w:rPr>
          <w:lang w:val="fr-FR"/>
        </w:rPr>
        <w:t>humaine et l</w:t>
      </w:r>
      <w:r w:rsidR="000409D6" w:rsidRPr="008D2CC5">
        <w:rPr>
          <w:lang w:val="fr-FR"/>
        </w:rPr>
        <w:t>’</w:t>
      </w:r>
      <w:r w:rsidRPr="008D2CC5">
        <w:rPr>
          <w:lang w:val="fr-FR"/>
        </w:rPr>
        <w:t>environnement</w:t>
      </w:r>
      <w:r w:rsidR="00D31AFF" w:rsidRPr="008D2CC5">
        <w:rPr>
          <w:lang w:val="fr-FR"/>
        </w:rPr>
        <w:t>.</w:t>
      </w:r>
    </w:p>
    <w:p w14:paraId="21CA2D72" w14:textId="1D2701CD" w:rsidR="00D31AFF" w:rsidRPr="008D2CC5" w:rsidRDefault="00F1047E" w:rsidP="008E43CD">
      <w:pPr>
        <w:pStyle w:val="Normalnumber"/>
        <w:numPr>
          <w:ilvl w:val="0"/>
          <w:numId w:val="5"/>
        </w:numPr>
        <w:rPr>
          <w:lang w:val="fr-FR"/>
        </w:rPr>
      </w:pPr>
      <w:r w:rsidRPr="008D2CC5">
        <w:rPr>
          <w:lang w:val="fr-FR"/>
        </w:rPr>
        <w:t>Une fois les objectifs de l</w:t>
      </w:r>
      <w:r w:rsidR="000409D6" w:rsidRPr="008D2CC5">
        <w:rPr>
          <w:lang w:val="fr-FR"/>
        </w:rPr>
        <w:t>’</w:t>
      </w:r>
      <w:r w:rsidRPr="008D2CC5">
        <w:rPr>
          <w:lang w:val="fr-FR"/>
        </w:rPr>
        <w:t>étude établis, un plan d</w:t>
      </w:r>
      <w:r w:rsidR="000409D6" w:rsidRPr="008D2CC5">
        <w:rPr>
          <w:lang w:val="fr-FR"/>
        </w:rPr>
        <w:t>’</w:t>
      </w:r>
      <w:r w:rsidRPr="008D2CC5">
        <w:rPr>
          <w:lang w:val="fr-FR"/>
        </w:rPr>
        <w:t>échantillonnage et d</w:t>
      </w:r>
      <w:r w:rsidR="000409D6" w:rsidRPr="008D2CC5">
        <w:rPr>
          <w:lang w:val="fr-FR"/>
        </w:rPr>
        <w:t>’</w:t>
      </w:r>
      <w:r w:rsidRPr="008D2CC5">
        <w:rPr>
          <w:lang w:val="fr-FR"/>
        </w:rPr>
        <w:t>analyse</w:t>
      </w:r>
      <w:r w:rsidR="00D31AFF" w:rsidRPr="008D2CC5">
        <w:rPr>
          <w:lang w:val="fr-FR"/>
        </w:rPr>
        <w:t xml:space="preserve"> </w:t>
      </w:r>
      <w:r w:rsidR="00F84101" w:rsidRPr="008D2CC5">
        <w:rPr>
          <w:lang w:val="fr-FR"/>
        </w:rPr>
        <w:t>devrait être élaboré.</w:t>
      </w:r>
      <w:r w:rsidR="00D31AFF" w:rsidRPr="008D2CC5">
        <w:rPr>
          <w:lang w:val="fr-FR"/>
        </w:rPr>
        <w:t xml:space="preserve"> </w:t>
      </w:r>
      <w:r w:rsidR="00F84101" w:rsidRPr="008D2CC5">
        <w:rPr>
          <w:lang w:val="fr-FR"/>
        </w:rPr>
        <w:t>Ce plan devrait s</w:t>
      </w:r>
      <w:r w:rsidR="000409D6" w:rsidRPr="008D2CC5">
        <w:rPr>
          <w:lang w:val="fr-FR"/>
        </w:rPr>
        <w:t>’</w:t>
      </w:r>
      <w:r w:rsidR="00F84101" w:rsidRPr="008D2CC5">
        <w:rPr>
          <w:lang w:val="fr-FR"/>
        </w:rPr>
        <w:t>appuyer sur les informations disponibles au sujet du site et les objectifs de l</w:t>
      </w:r>
      <w:r w:rsidR="000409D6" w:rsidRPr="008D2CC5">
        <w:rPr>
          <w:lang w:val="fr-FR"/>
        </w:rPr>
        <w:t>’</w:t>
      </w:r>
      <w:r w:rsidR="00F84101" w:rsidRPr="008D2CC5">
        <w:rPr>
          <w:lang w:val="fr-FR"/>
        </w:rPr>
        <w:t>étude</w:t>
      </w:r>
      <w:r w:rsidR="00D31AFF" w:rsidRPr="008D2CC5">
        <w:rPr>
          <w:lang w:val="fr-FR"/>
        </w:rPr>
        <w:t xml:space="preserve">. </w:t>
      </w:r>
      <w:r w:rsidR="00F84101" w:rsidRPr="008D2CC5">
        <w:rPr>
          <w:lang w:val="fr-FR"/>
        </w:rPr>
        <w:t>Il devrait comprendre les éléments ci-après</w:t>
      </w:r>
      <w:r w:rsidR="000409D6" w:rsidRPr="008D2CC5">
        <w:rPr>
          <w:lang w:val="fr-FR"/>
        </w:rPr>
        <w:t> :</w:t>
      </w:r>
      <w:r w:rsidR="00D31AFF" w:rsidRPr="008D2CC5">
        <w:rPr>
          <w:lang w:val="fr-FR"/>
        </w:rPr>
        <w:t xml:space="preserve"> </w:t>
      </w:r>
    </w:p>
    <w:p w14:paraId="643E312C" w14:textId="5C552B81" w:rsidR="00D31AFF" w:rsidRPr="008D2CC5" w:rsidRDefault="00FB7173" w:rsidP="008E43CD">
      <w:pPr>
        <w:pStyle w:val="Normalnumber"/>
        <w:numPr>
          <w:ilvl w:val="1"/>
          <w:numId w:val="5"/>
        </w:numPr>
        <w:rPr>
          <w:lang w:val="fr-FR"/>
        </w:rPr>
      </w:pPr>
      <w:r w:rsidRPr="008D2CC5">
        <w:rPr>
          <w:lang w:val="fr-FR"/>
        </w:rPr>
        <w:t>Examen des données existantes, y compris l</w:t>
      </w:r>
      <w:r w:rsidR="000409D6" w:rsidRPr="008D2CC5">
        <w:rPr>
          <w:lang w:val="fr-FR"/>
        </w:rPr>
        <w:t>’</w:t>
      </w:r>
      <w:r w:rsidRPr="008D2CC5">
        <w:rPr>
          <w:lang w:val="fr-FR"/>
        </w:rPr>
        <w:t>identification des sources réelles et potentielles, tant primaires que secondaires</w:t>
      </w:r>
      <w:r w:rsidR="000409D6" w:rsidRPr="008D2CC5">
        <w:rPr>
          <w:lang w:val="fr-FR"/>
        </w:rPr>
        <w:t> ;</w:t>
      </w:r>
      <w:r w:rsidR="00D31AFF" w:rsidRPr="008D2CC5">
        <w:rPr>
          <w:lang w:val="fr-FR"/>
        </w:rPr>
        <w:t xml:space="preserve"> </w:t>
      </w:r>
    </w:p>
    <w:p w14:paraId="40F15F1E" w14:textId="05631A13" w:rsidR="00D31AFF" w:rsidRPr="008D2CC5" w:rsidRDefault="00FB7173" w:rsidP="008E43CD">
      <w:pPr>
        <w:pStyle w:val="Normalnumber"/>
        <w:numPr>
          <w:ilvl w:val="1"/>
          <w:numId w:val="5"/>
        </w:numPr>
        <w:rPr>
          <w:lang w:val="fr-FR"/>
        </w:rPr>
      </w:pPr>
      <w:r w:rsidRPr="008D2CC5">
        <w:rPr>
          <w:lang w:val="fr-FR"/>
        </w:rPr>
        <w:t>Tâches préalables, y compris l</w:t>
      </w:r>
      <w:r w:rsidR="000409D6" w:rsidRPr="008D2CC5">
        <w:rPr>
          <w:lang w:val="fr-FR"/>
        </w:rPr>
        <w:t>’</w:t>
      </w:r>
      <w:r w:rsidRPr="008D2CC5">
        <w:rPr>
          <w:lang w:val="fr-FR"/>
        </w:rPr>
        <w:t>élaboration d</w:t>
      </w:r>
      <w:r w:rsidR="000409D6" w:rsidRPr="008D2CC5">
        <w:rPr>
          <w:lang w:val="fr-FR"/>
        </w:rPr>
        <w:t>’</w:t>
      </w:r>
      <w:r w:rsidRPr="008D2CC5">
        <w:rPr>
          <w:lang w:val="fr-FR"/>
        </w:rPr>
        <w:t xml:space="preserve">un plan de protection sanitaire et de sécurité et le repérage des équipements collectifs et structures qui pourraient perturber les études détaillées ou être </w:t>
      </w:r>
      <w:r w:rsidR="00645962" w:rsidRPr="008D2CC5">
        <w:rPr>
          <w:lang w:val="fr-FR"/>
        </w:rPr>
        <w:t>altérés</w:t>
      </w:r>
      <w:r w:rsidRPr="008D2CC5">
        <w:rPr>
          <w:lang w:val="fr-FR"/>
        </w:rPr>
        <w:t xml:space="preserve"> par ces dernières (cette étape est destinée à faire en sorte que les activités d</w:t>
      </w:r>
      <w:r w:rsidR="000409D6" w:rsidRPr="008D2CC5">
        <w:rPr>
          <w:lang w:val="fr-FR"/>
        </w:rPr>
        <w:t>’</w:t>
      </w:r>
      <w:r w:rsidRPr="008D2CC5">
        <w:rPr>
          <w:lang w:val="fr-FR"/>
        </w:rPr>
        <w:t>échantillonnage ou d</w:t>
      </w:r>
      <w:r w:rsidR="000409D6" w:rsidRPr="008D2CC5">
        <w:rPr>
          <w:lang w:val="fr-FR"/>
        </w:rPr>
        <w:t>’</w:t>
      </w:r>
      <w:r w:rsidRPr="008D2CC5">
        <w:rPr>
          <w:lang w:val="fr-FR"/>
        </w:rPr>
        <w:t>étude n</w:t>
      </w:r>
      <w:r w:rsidR="000409D6" w:rsidRPr="008D2CC5">
        <w:rPr>
          <w:lang w:val="fr-FR"/>
        </w:rPr>
        <w:t>’</w:t>
      </w:r>
      <w:r w:rsidRPr="008D2CC5">
        <w:rPr>
          <w:lang w:val="fr-FR"/>
        </w:rPr>
        <w:t>aient pas d</w:t>
      </w:r>
      <w:r w:rsidR="000409D6" w:rsidRPr="008D2CC5">
        <w:rPr>
          <w:lang w:val="fr-FR"/>
        </w:rPr>
        <w:t>’</w:t>
      </w:r>
      <w:r w:rsidRPr="008D2CC5">
        <w:rPr>
          <w:lang w:val="fr-FR"/>
        </w:rPr>
        <w:t>incidence</w:t>
      </w:r>
      <w:r w:rsidR="00107D04" w:rsidRPr="008D2CC5">
        <w:rPr>
          <w:lang w:val="fr-FR"/>
        </w:rPr>
        <w:t xml:space="preserve"> négative</w:t>
      </w:r>
      <w:r w:rsidRPr="008D2CC5">
        <w:rPr>
          <w:lang w:val="fr-FR"/>
        </w:rPr>
        <w:t xml:space="preserve"> sur la santé et la sécurité des</w:t>
      </w:r>
      <w:r w:rsidR="00BD0B37" w:rsidRPr="008D2CC5">
        <w:rPr>
          <w:lang w:val="fr-FR"/>
        </w:rPr>
        <w:t> </w:t>
      </w:r>
      <w:r w:rsidRPr="008D2CC5">
        <w:rPr>
          <w:lang w:val="fr-FR"/>
        </w:rPr>
        <w:t>travailleurs, de tierces personnes ou autres)</w:t>
      </w:r>
      <w:r w:rsidR="000409D6" w:rsidRPr="008D2CC5">
        <w:rPr>
          <w:lang w:val="fr-FR"/>
        </w:rPr>
        <w:t> ;</w:t>
      </w:r>
      <w:r w:rsidR="00D31AFF" w:rsidRPr="008D2CC5">
        <w:rPr>
          <w:lang w:val="fr-FR"/>
        </w:rPr>
        <w:t xml:space="preserve"> </w:t>
      </w:r>
    </w:p>
    <w:p w14:paraId="06DADE97" w14:textId="08EF67E6" w:rsidR="00D31AFF" w:rsidRPr="008D2CC5" w:rsidRDefault="00FB7173" w:rsidP="008E43CD">
      <w:pPr>
        <w:pStyle w:val="Normalnumber"/>
        <w:numPr>
          <w:ilvl w:val="1"/>
          <w:numId w:val="5"/>
        </w:numPr>
        <w:rPr>
          <w:lang w:val="fr-FR"/>
        </w:rPr>
      </w:pPr>
      <w:r w:rsidRPr="008D2CC5">
        <w:rPr>
          <w:lang w:val="fr-FR"/>
        </w:rPr>
        <w:t>Milieux d</w:t>
      </w:r>
      <w:r w:rsidR="000409D6" w:rsidRPr="008D2CC5">
        <w:rPr>
          <w:lang w:val="fr-FR"/>
        </w:rPr>
        <w:t>’</w:t>
      </w:r>
      <w:r w:rsidRPr="008D2CC5">
        <w:rPr>
          <w:lang w:val="fr-FR"/>
        </w:rPr>
        <w:t>échantillonnage, types de données et outils de recherche, y compris les</w:t>
      </w:r>
      <w:r w:rsidR="00BD0B37" w:rsidRPr="008D2CC5">
        <w:rPr>
          <w:lang w:val="fr-FR"/>
        </w:rPr>
        <w:t> </w:t>
      </w:r>
      <w:r w:rsidRPr="008D2CC5">
        <w:rPr>
          <w:lang w:val="fr-FR"/>
        </w:rPr>
        <w:t>décisions concernant les milieux qui seront échantillonnés (sols, sédiments, eaux souterraines, vapeurs émanant du sol, air, biote, eaux de surface, etc.)</w:t>
      </w:r>
      <w:r w:rsidR="000409D6" w:rsidRPr="008D2CC5">
        <w:rPr>
          <w:lang w:val="fr-FR"/>
        </w:rPr>
        <w:t> ;</w:t>
      </w:r>
      <w:r w:rsidR="00D31AFF" w:rsidRPr="008D2CC5">
        <w:rPr>
          <w:lang w:val="fr-FR"/>
        </w:rPr>
        <w:t xml:space="preserve"> </w:t>
      </w:r>
    </w:p>
    <w:p w14:paraId="1599EE6C" w14:textId="165F108C" w:rsidR="00D31AFF" w:rsidRPr="008D2CC5" w:rsidRDefault="00FB7173" w:rsidP="008E43CD">
      <w:pPr>
        <w:pStyle w:val="Normalnumber"/>
        <w:numPr>
          <w:ilvl w:val="1"/>
          <w:numId w:val="5"/>
        </w:numPr>
        <w:rPr>
          <w:lang w:val="fr-FR"/>
        </w:rPr>
      </w:pPr>
      <w:r w:rsidRPr="008D2CC5">
        <w:rPr>
          <w:lang w:val="fr-FR"/>
        </w:rPr>
        <w:t>Plan d</w:t>
      </w:r>
      <w:r w:rsidR="000409D6" w:rsidRPr="008D2CC5">
        <w:rPr>
          <w:lang w:val="fr-FR"/>
        </w:rPr>
        <w:t>’</w:t>
      </w:r>
      <w:r w:rsidRPr="008D2CC5">
        <w:rPr>
          <w:lang w:val="fr-FR"/>
        </w:rPr>
        <w:t>échantillonnage</w:t>
      </w:r>
      <w:r w:rsidR="000409D6" w:rsidRPr="008D2CC5">
        <w:rPr>
          <w:lang w:val="fr-FR"/>
        </w:rPr>
        <w:t> ;</w:t>
      </w:r>
      <w:r w:rsidR="00D31AFF" w:rsidRPr="008D2CC5">
        <w:rPr>
          <w:lang w:val="fr-FR"/>
        </w:rPr>
        <w:t xml:space="preserve"> </w:t>
      </w:r>
    </w:p>
    <w:p w14:paraId="4D5C551D" w14:textId="30F1005E" w:rsidR="00D31AFF" w:rsidRPr="008D2CC5" w:rsidRDefault="00FB7173" w:rsidP="008E43CD">
      <w:pPr>
        <w:pStyle w:val="Normalnumber"/>
        <w:numPr>
          <w:ilvl w:val="1"/>
          <w:numId w:val="5"/>
        </w:numPr>
        <w:rPr>
          <w:lang w:val="fr-FR"/>
        </w:rPr>
      </w:pPr>
      <w:r w:rsidRPr="008D2CC5">
        <w:rPr>
          <w:lang w:val="fr-FR"/>
        </w:rPr>
        <w:t>Méthodes d</w:t>
      </w:r>
      <w:r w:rsidR="000409D6" w:rsidRPr="008D2CC5">
        <w:rPr>
          <w:lang w:val="fr-FR"/>
        </w:rPr>
        <w:t>’</w:t>
      </w:r>
      <w:r w:rsidRPr="008D2CC5">
        <w:rPr>
          <w:lang w:val="fr-FR"/>
        </w:rPr>
        <w:t>échantillonnage et d</w:t>
      </w:r>
      <w:r w:rsidR="000409D6" w:rsidRPr="008D2CC5">
        <w:rPr>
          <w:lang w:val="fr-FR"/>
        </w:rPr>
        <w:t>’</w:t>
      </w:r>
      <w:r w:rsidRPr="008D2CC5">
        <w:rPr>
          <w:lang w:val="fr-FR"/>
        </w:rPr>
        <w:t>analyse et plan d</w:t>
      </w:r>
      <w:r w:rsidR="000409D6" w:rsidRPr="008D2CC5">
        <w:rPr>
          <w:lang w:val="fr-FR"/>
        </w:rPr>
        <w:t>’</w:t>
      </w:r>
      <w:r w:rsidRPr="008D2CC5">
        <w:rPr>
          <w:lang w:val="fr-FR"/>
        </w:rPr>
        <w:t>assurance de la qualité</w:t>
      </w:r>
      <w:r w:rsidR="004264DB" w:rsidRPr="008D2CC5">
        <w:rPr>
          <w:lang w:val="fr-FR"/>
        </w:rPr>
        <w:t>.</w:t>
      </w:r>
    </w:p>
    <w:p w14:paraId="6A3A15FF" w14:textId="0D947023" w:rsidR="00D31AFF" w:rsidRPr="008D2CC5" w:rsidRDefault="009E4DB0" w:rsidP="006D69D3">
      <w:pPr>
        <w:pStyle w:val="Normalnumber"/>
        <w:rPr>
          <w:lang w:val="fr-FR"/>
        </w:rPr>
      </w:pPr>
      <w:r w:rsidRPr="008D2CC5">
        <w:rPr>
          <w:lang w:val="fr-FR"/>
        </w:rPr>
        <w:t>L</w:t>
      </w:r>
      <w:r w:rsidR="000409D6" w:rsidRPr="008D2CC5">
        <w:rPr>
          <w:lang w:val="fr-FR"/>
        </w:rPr>
        <w:t>’</w:t>
      </w:r>
      <w:r w:rsidRPr="008D2CC5">
        <w:rPr>
          <w:lang w:val="fr-FR"/>
        </w:rPr>
        <w:t>échantillonnage devrait être conçu en vue de la réalisation des objectifs de l</w:t>
      </w:r>
      <w:r w:rsidR="000409D6" w:rsidRPr="008D2CC5">
        <w:rPr>
          <w:lang w:val="fr-FR"/>
        </w:rPr>
        <w:t>’</w:t>
      </w:r>
      <w:r w:rsidRPr="008D2CC5">
        <w:rPr>
          <w:lang w:val="fr-FR"/>
        </w:rPr>
        <w:t xml:space="preserve">évaluation, qui </w:t>
      </w:r>
      <w:r w:rsidR="00834E38">
        <w:rPr>
          <w:lang w:val="fr-FR"/>
        </w:rPr>
        <w:t>consist</w:t>
      </w:r>
      <w:r w:rsidRPr="008D2CC5">
        <w:rPr>
          <w:lang w:val="fr-FR"/>
        </w:rPr>
        <w:t>ent à identifier les contaminants préoccupants présents sur le site, à établir leur répartition au sein du site et à repérer les foyers susceptibles de faire courir un risque inacceptable à la santé humaine ou à l</w:t>
      </w:r>
      <w:r w:rsidR="000409D6" w:rsidRPr="008D2CC5">
        <w:rPr>
          <w:lang w:val="fr-FR"/>
        </w:rPr>
        <w:t>’</w:t>
      </w:r>
      <w:r w:rsidRPr="008D2CC5">
        <w:rPr>
          <w:lang w:val="fr-FR"/>
        </w:rPr>
        <w:t>environnement</w:t>
      </w:r>
      <w:r w:rsidR="00D31AFF" w:rsidRPr="008D2CC5">
        <w:rPr>
          <w:lang w:val="fr-FR"/>
        </w:rPr>
        <w:t xml:space="preserve">. </w:t>
      </w:r>
      <w:r w:rsidRPr="008D2CC5">
        <w:rPr>
          <w:lang w:val="fr-FR"/>
        </w:rPr>
        <w:t>Une stratégie d</w:t>
      </w:r>
      <w:r w:rsidR="000409D6" w:rsidRPr="008D2CC5">
        <w:rPr>
          <w:lang w:val="fr-FR"/>
        </w:rPr>
        <w:t>’</w:t>
      </w:r>
      <w:r w:rsidRPr="008D2CC5">
        <w:rPr>
          <w:lang w:val="fr-FR"/>
        </w:rPr>
        <w:t>échantillonnage est élaborée en s</w:t>
      </w:r>
      <w:r w:rsidR="000409D6" w:rsidRPr="008D2CC5">
        <w:rPr>
          <w:lang w:val="fr-FR"/>
        </w:rPr>
        <w:t>’</w:t>
      </w:r>
      <w:r w:rsidRPr="008D2CC5">
        <w:rPr>
          <w:lang w:val="fr-FR"/>
        </w:rPr>
        <w:t>appuyant sur les informations réunies</w:t>
      </w:r>
      <w:r w:rsidR="004264DB" w:rsidRPr="008D2CC5">
        <w:rPr>
          <w:lang w:val="fr-FR"/>
        </w:rPr>
        <w:t>.</w:t>
      </w:r>
      <w:r w:rsidR="00D31AFF" w:rsidRPr="008D2CC5">
        <w:rPr>
          <w:lang w:val="fr-FR"/>
        </w:rPr>
        <w:t xml:space="preserve"> </w:t>
      </w:r>
      <w:r w:rsidRPr="008D2CC5">
        <w:rPr>
          <w:lang w:val="fr-FR"/>
        </w:rPr>
        <w:t xml:space="preserve">Cette stratégie </w:t>
      </w:r>
      <w:r w:rsidR="009F7488" w:rsidRPr="008D2CC5">
        <w:rPr>
          <w:lang w:val="fr-FR"/>
        </w:rPr>
        <w:t>prend en</w:t>
      </w:r>
      <w:r w:rsidRPr="008D2CC5">
        <w:rPr>
          <w:lang w:val="fr-FR"/>
        </w:rPr>
        <w:t xml:space="preserve"> compte </w:t>
      </w:r>
      <w:r w:rsidR="009F7488" w:rsidRPr="008D2CC5">
        <w:rPr>
          <w:lang w:val="fr-FR"/>
        </w:rPr>
        <w:t>le</w:t>
      </w:r>
      <w:r w:rsidRPr="008D2CC5">
        <w:rPr>
          <w:lang w:val="fr-FR"/>
        </w:rPr>
        <w:t xml:space="preserve"> modèle conceptuel </w:t>
      </w:r>
      <w:r w:rsidR="007242B5" w:rsidRPr="008D2CC5">
        <w:rPr>
          <w:lang w:val="fr-FR"/>
        </w:rPr>
        <w:t>de</w:t>
      </w:r>
      <w:r w:rsidRPr="008D2CC5">
        <w:rPr>
          <w:lang w:val="fr-FR"/>
        </w:rPr>
        <w:t xml:space="preserve"> site afin de définir la grille d</w:t>
      </w:r>
      <w:r w:rsidR="000409D6" w:rsidRPr="008D2CC5">
        <w:rPr>
          <w:lang w:val="fr-FR"/>
        </w:rPr>
        <w:t>’</w:t>
      </w:r>
      <w:r w:rsidRPr="008D2CC5">
        <w:rPr>
          <w:lang w:val="fr-FR"/>
        </w:rPr>
        <w:t>échantillonnage (densité, nombre et répartition des points d</w:t>
      </w:r>
      <w:r w:rsidR="000409D6" w:rsidRPr="008D2CC5">
        <w:rPr>
          <w:lang w:val="fr-FR"/>
        </w:rPr>
        <w:t>’</w:t>
      </w:r>
      <w:r w:rsidRPr="008D2CC5">
        <w:rPr>
          <w:lang w:val="fr-FR"/>
        </w:rPr>
        <w:t xml:space="preserve">échantillonnage), </w:t>
      </w:r>
      <w:r w:rsidR="009F7488" w:rsidRPr="008D2CC5">
        <w:rPr>
          <w:lang w:val="fr-FR"/>
        </w:rPr>
        <w:t>le</w:t>
      </w:r>
      <w:r w:rsidRPr="008D2CC5">
        <w:rPr>
          <w:lang w:val="fr-FR"/>
        </w:rPr>
        <w:t xml:space="preserve"> type d</w:t>
      </w:r>
      <w:r w:rsidR="000409D6" w:rsidRPr="008D2CC5">
        <w:rPr>
          <w:lang w:val="fr-FR"/>
        </w:rPr>
        <w:t>’</w:t>
      </w:r>
      <w:r w:rsidRPr="008D2CC5">
        <w:rPr>
          <w:lang w:val="fr-FR"/>
        </w:rPr>
        <w:t xml:space="preserve">échantillonnage (un ou plusieurs degrés), </w:t>
      </w:r>
      <w:r w:rsidR="009F7488" w:rsidRPr="008D2CC5">
        <w:rPr>
          <w:lang w:val="fr-FR"/>
        </w:rPr>
        <w:t>le</w:t>
      </w:r>
      <w:r w:rsidRPr="008D2CC5">
        <w:rPr>
          <w:lang w:val="fr-FR"/>
        </w:rPr>
        <w:t xml:space="preserve"> type d</w:t>
      </w:r>
      <w:r w:rsidR="000409D6" w:rsidRPr="008D2CC5">
        <w:rPr>
          <w:lang w:val="fr-FR"/>
        </w:rPr>
        <w:t>’</w:t>
      </w:r>
      <w:r w:rsidRPr="008D2CC5">
        <w:rPr>
          <w:lang w:val="fr-FR"/>
        </w:rPr>
        <w:t xml:space="preserve">échantillon (simple ou composite), la profondeur et </w:t>
      </w:r>
      <w:r w:rsidR="009F7488" w:rsidRPr="008D2CC5">
        <w:rPr>
          <w:lang w:val="fr-FR"/>
        </w:rPr>
        <w:t>les</w:t>
      </w:r>
      <w:r w:rsidRPr="008D2CC5">
        <w:rPr>
          <w:lang w:val="fr-FR"/>
        </w:rPr>
        <w:t xml:space="preserve"> intervalles </w:t>
      </w:r>
      <w:r w:rsidR="009C1E93" w:rsidRPr="008D2CC5">
        <w:rPr>
          <w:lang w:val="fr-FR"/>
        </w:rPr>
        <w:t>de l</w:t>
      </w:r>
      <w:r w:rsidR="000409D6" w:rsidRPr="008D2CC5">
        <w:rPr>
          <w:lang w:val="fr-FR"/>
        </w:rPr>
        <w:t>’</w:t>
      </w:r>
      <w:r w:rsidR="009C1E93" w:rsidRPr="008D2CC5">
        <w:rPr>
          <w:lang w:val="fr-FR"/>
        </w:rPr>
        <w:t>échantillonnage</w:t>
      </w:r>
      <w:r w:rsidR="009F7488" w:rsidRPr="008D2CC5">
        <w:rPr>
          <w:lang w:val="fr-FR"/>
        </w:rPr>
        <w:t xml:space="preserve"> ainsi que</w:t>
      </w:r>
      <w:r w:rsidRPr="008D2CC5">
        <w:rPr>
          <w:lang w:val="fr-FR"/>
        </w:rPr>
        <w:t xml:space="preserve"> </w:t>
      </w:r>
      <w:r w:rsidR="009F7488" w:rsidRPr="008D2CC5">
        <w:rPr>
          <w:lang w:val="fr-FR"/>
        </w:rPr>
        <w:t>les</w:t>
      </w:r>
      <w:r w:rsidRPr="008D2CC5">
        <w:rPr>
          <w:lang w:val="fr-FR"/>
        </w:rPr>
        <w:t xml:space="preserve"> contaminants </w:t>
      </w:r>
      <w:r w:rsidR="009C1E93" w:rsidRPr="008D2CC5">
        <w:rPr>
          <w:lang w:val="fr-FR"/>
        </w:rPr>
        <w:t>préoccupants</w:t>
      </w:r>
      <w:r w:rsidRPr="008D2CC5">
        <w:rPr>
          <w:lang w:val="fr-FR"/>
        </w:rPr>
        <w:t xml:space="preserve"> (mercure, </w:t>
      </w:r>
      <w:proofErr w:type="spellStart"/>
      <w:r w:rsidRPr="008D2CC5">
        <w:rPr>
          <w:lang w:val="fr-FR"/>
        </w:rPr>
        <w:t>méthylmercure</w:t>
      </w:r>
      <w:proofErr w:type="spellEnd"/>
      <w:r w:rsidRPr="008D2CC5">
        <w:rPr>
          <w:lang w:val="fr-FR"/>
        </w:rPr>
        <w:t xml:space="preserve"> et</w:t>
      </w:r>
      <w:r w:rsidR="009C1E93" w:rsidRPr="008D2CC5">
        <w:rPr>
          <w:lang w:val="fr-FR"/>
        </w:rPr>
        <w:t>/ou</w:t>
      </w:r>
      <w:r w:rsidRPr="008D2CC5">
        <w:rPr>
          <w:lang w:val="fr-FR"/>
        </w:rPr>
        <w:t xml:space="preserve"> autres composés du mercure)</w:t>
      </w:r>
      <w:r w:rsidR="00D31AFF" w:rsidRPr="008D2CC5">
        <w:rPr>
          <w:lang w:val="fr-FR"/>
        </w:rPr>
        <w:t>.</w:t>
      </w:r>
      <w:r w:rsidR="00152CD3" w:rsidRPr="008D2CC5">
        <w:rPr>
          <w:lang w:val="fr-FR"/>
        </w:rPr>
        <w:t xml:space="preserve"> </w:t>
      </w:r>
      <w:r w:rsidR="009C1E93" w:rsidRPr="008D2CC5">
        <w:rPr>
          <w:lang w:val="fr-FR"/>
        </w:rPr>
        <w:t>Lors de l</w:t>
      </w:r>
      <w:r w:rsidR="000409D6" w:rsidRPr="008D2CC5">
        <w:rPr>
          <w:lang w:val="fr-FR"/>
        </w:rPr>
        <w:t>’</w:t>
      </w:r>
      <w:r w:rsidR="009C1E93" w:rsidRPr="008D2CC5">
        <w:rPr>
          <w:lang w:val="fr-FR"/>
        </w:rPr>
        <w:t>élaboration du plan d</w:t>
      </w:r>
      <w:r w:rsidR="000409D6" w:rsidRPr="008D2CC5">
        <w:rPr>
          <w:lang w:val="fr-FR"/>
        </w:rPr>
        <w:t>’</w:t>
      </w:r>
      <w:r w:rsidR="009C1E93" w:rsidRPr="008D2CC5">
        <w:rPr>
          <w:lang w:val="fr-FR"/>
        </w:rPr>
        <w:t>échantillonnage, des considérations pratiques telles que la logistique, le transport et la conservation des échantillons, la</w:t>
      </w:r>
      <w:r w:rsidR="00BD0B37" w:rsidRPr="008D2CC5">
        <w:rPr>
          <w:lang w:val="fr-FR"/>
        </w:rPr>
        <w:t> </w:t>
      </w:r>
      <w:r w:rsidR="009C1E93" w:rsidRPr="008D2CC5">
        <w:rPr>
          <w:lang w:val="fr-FR"/>
        </w:rPr>
        <w:t>disponibilité des équipements et les coûts devraient être prises en compte</w:t>
      </w:r>
      <w:r w:rsidR="00D31AFF" w:rsidRPr="008D2CC5">
        <w:rPr>
          <w:lang w:val="fr-FR"/>
        </w:rPr>
        <w:t>.</w:t>
      </w:r>
    </w:p>
    <w:p w14:paraId="516AB705" w14:textId="7FCE8146" w:rsidR="00D31AFF" w:rsidRPr="008D2CC5" w:rsidRDefault="00E06EAF" w:rsidP="008E43CD">
      <w:pPr>
        <w:pStyle w:val="Normalnumber"/>
        <w:numPr>
          <w:ilvl w:val="0"/>
          <w:numId w:val="5"/>
        </w:numPr>
        <w:rPr>
          <w:lang w:val="fr-FR"/>
        </w:rPr>
      </w:pPr>
      <w:r w:rsidRPr="008D2CC5">
        <w:rPr>
          <w:lang w:val="fr-FR"/>
        </w:rPr>
        <w:t>Certains pays</w:t>
      </w:r>
      <w:r w:rsidR="00D31AFF" w:rsidRPr="008D2CC5">
        <w:rPr>
          <w:lang w:val="fr-FR"/>
        </w:rPr>
        <w:t xml:space="preserve"> </w:t>
      </w:r>
      <w:r w:rsidRPr="008D2CC5">
        <w:rPr>
          <w:lang w:val="fr-FR"/>
        </w:rPr>
        <w:t>possèdent des méthodes d</w:t>
      </w:r>
      <w:r w:rsidR="000409D6" w:rsidRPr="008D2CC5">
        <w:rPr>
          <w:lang w:val="fr-FR"/>
        </w:rPr>
        <w:t>’</w:t>
      </w:r>
      <w:r w:rsidRPr="008D2CC5">
        <w:rPr>
          <w:lang w:val="fr-FR"/>
        </w:rPr>
        <w:t>échantillonnage et d</w:t>
      </w:r>
      <w:r w:rsidR="000409D6" w:rsidRPr="008D2CC5">
        <w:rPr>
          <w:lang w:val="fr-FR"/>
        </w:rPr>
        <w:t>’</w:t>
      </w:r>
      <w:r w:rsidRPr="008D2CC5">
        <w:rPr>
          <w:lang w:val="fr-FR"/>
        </w:rPr>
        <w:t>analyse normalisées pour d</w:t>
      </w:r>
      <w:r w:rsidR="000409D6" w:rsidRPr="008D2CC5">
        <w:rPr>
          <w:lang w:val="fr-FR"/>
        </w:rPr>
        <w:t>’</w:t>
      </w:r>
      <w:r w:rsidRPr="008D2CC5">
        <w:rPr>
          <w:lang w:val="fr-FR"/>
        </w:rPr>
        <w:t>autres milieux environnementaux</w:t>
      </w:r>
      <w:r w:rsidR="00D31AFF" w:rsidRPr="008D2CC5">
        <w:rPr>
          <w:rStyle w:val="FootnoteReference"/>
          <w:lang w:val="fr-FR"/>
        </w:rPr>
        <w:footnoteReference w:id="9"/>
      </w:r>
      <w:r w:rsidRPr="008D2CC5">
        <w:rPr>
          <w:lang w:val="fr-FR"/>
        </w:rPr>
        <w:t>.</w:t>
      </w:r>
      <w:r w:rsidR="00D31AFF" w:rsidRPr="008D2CC5">
        <w:rPr>
          <w:lang w:val="fr-FR"/>
        </w:rPr>
        <w:t xml:space="preserve"> </w:t>
      </w:r>
      <w:r w:rsidRPr="008D2CC5">
        <w:rPr>
          <w:lang w:val="fr-FR"/>
        </w:rPr>
        <w:t>L</w:t>
      </w:r>
      <w:r w:rsidR="000409D6" w:rsidRPr="008D2CC5">
        <w:rPr>
          <w:lang w:val="fr-FR"/>
        </w:rPr>
        <w:t>’</w:t>
      </w:r>
      <w:r w:rsidRPr="008D2CC5">
        <w:rPr>
          <w:lang w:val="fr-FR"/>
        </w:rPr>
        <w:t>Organisation internationale de normalisation dispose également des</w:t>
      </w:r>
      <w:r w:rsidR="00BD0B37" w:rsidRPr="008D2CC5">
        <w:rPr>
          <w:lang w:val="fr-FR"/>
        </w:rPr>
        <w:t> </w:t>
      </w:r>
      <w:r w:rsidRPr="008D2CC5">
        <w:rPr>
          <w:lang w:val="fr-FR"/>
        </w:rPr>
        <w:t xml:space="preserve">normes ci-après </w:t>
      </w:r>
      <w:r w:rsidR="00865FEC" w:rsidRPr="008D2CC5">
        <w:rPr>
          <w:lang w:val="fr-FR"/>
        </w:rPr>
        <w:t>concernant l</w:t>
      </w:r>
      <w:r w:rsidR="000409D6" w:rsidRPr="008D2CC5">
        <w:rPr>
          <w:lang w:val="fr-FR"/>
        </w:rPr>
        <w:t>’</w:t>
      </w:r>
      <w:r w:rsidR="00865FEC" w:rsidRPr="008D2CC5">
        <w:rPr>
          <w:lang w:val="fr-FR"/>
        </w:rPr>
        <w:t>échantillonnage pour le contrôle de la qualité des sols et de l</w:t>
      </w:r>
      <w:r w:rsidR="000409D6" w:rsidRPr="008D2CC5">
        <w:rPr>
          <w:lang w:val="fr-FR"/>
        </w:rPr>
        <w:t>’</w:t>
      </w:r>
      <w:r w:rsidR="00865FEC" w:rsidRPr="008D2CC5">
        <w:rPr>
          <w:lang w:val="fr-FR"/>
        </w:rPr>
        <w:t>eau</w:t>
      </w:r>
      <w:r w:rsidR="000409D6" w:rsidRPr="008D2CC5">
        <w:rPr>
          <w:lang w:val="fr-FR"/>
        </w:rPr>
        <w:t> :</w:t>
      </w:r>
      <w:r w:rsidR="00D31AFF" w:rsidRPr="008D2CC5">
        <w:rPr>
          <w:lang w:val="fr-FR"/>
        </w:rPr>
        <w:t xml:space="preserve"> </w:t>
      </w:r>
    </w:p>
    <w:p w14:paraId="05FC1D6D" w14:textId="018575FE" w:rsidR="00D31AFF" w:rsidRPr="008D2CC5" w:rsidRDefault="00062F27" w:rsidP="008E43CD">
      <w:pPr>
        <w:pStyle w:val="Normalnumber"/>
        <w:numPr>
          <w:ilvl w:val="1"/>
          <w:numId w:val="5"/>
        </w:numPr>
        <w:rPr>
          <w:lang w:val="fr-FR"/>
        </w:rPr>
      </w:pPr>
      <w:r w:rsidRPr="008D2CC5">
        <w:rPr>
          <w:lang w:val="fr-FR"/>
        </w:rPr>
        <w:t xml:space="preserve">ISO 18400-104, </w:t>
      </w:r>
      <w:r w:rsidR="00865FEC" w:rsidRPr="008D2CC5">
        <w:rPr>
          <w:lang w:val="fr-FR"/>
        </w:rPr>
        <w:t>Qualité du sol</w:t>
      </w:r>
      <w:r w:rsidRPr="008D2CC5">
        <w:rPr>
          <w:lang w:val="fr-FR"/>
        </w:rPr>
        <w:t xml:space="preserve"> — </w:t>
      </w:r>
      <w:bookmarkStart w:id="11" w:name="_Hlk20831488"/>
      <w:r w:rsidR="00865FEC" w:rsidRPr="008D2CC5">
        <w:rPr>
          <w:lang w:val="fr-FR"/>
        </w:rPr>
        <w:t xml:space="preserve">Échantillonnage </w:t>
      </w:r>
      <w:bookmarkEnd w:id="11"/>
      <w:r w:rsidRPr="008D2CC5">
        <w:rPr>
          <w:lang w:val="fr-FR"/>
        </w:rPr>
        <w:t>— Part</w:t>
      </w:r>
      <w:r w:rsidR="00865FEC" w:rsidRPr="008D2CC5">
        <w:rPr>
          <w:lang w:val="fr-FR"/>
        </w:rPr>
        <w:t>ie </w:t>
      </w:r>
      <w:r w:rsidRPr="008D2CC5">
        <w:rPr>
          <w:lang w:val="fr-FR"/>
        </w:rPr>
        <w:t>104</w:t>
      </w:r>
      <w:r w:rsidR="000409D6" w:rsidRPr="008D2CC5">
        <w:rPr>
          <w:lang w:val="fr-FR"/>
        </w:rPr>
        <w:t> :</w:t>
      </w:r>
      <w:r w:rsidRPr="008D2CC5">
        <w:rPr>
          <w:lang w:val="fr-FR"/>
        </w:rPr>
        <w:t xml:space="preserve"> </w:t>
      </w:r>
      <w:r w:rsidR="00865FEC" w:rsidRPr="008D2CC5">
        <w:rPr>
          <w:lang w:val="fr-FR"/>
        </w:rPr>
        <w:t>S</w:t>
      </w:r>
      <w:r w:rsidRPr="008D2CC5">
        <w:rPr>
          <w:lang w:val="fr-FR"/>
        </w:rPr>
        <w:t>trat</w:t>
      </w:r>
      <w:r w:rsidR="00865FEC" w:rsidRPr="008D2CC5">
        <w:rPr>
          <w:lang w:val="fr-FR"/>
        </w:rPr>
        <w:t>é</w:t>
      </w:r>
      <w:r w:rsidRPr="008D2CC5">
        <w:rPr>
          <w:lang w:val="fr-FR"/>
        </w:rPr>
        <w:t>gies</w:t>
      </w:r>
      <w:r w:rsidR="000409D6" w:rsidRPr="008D2CC5">
        <w:rPr>
          <w:lang w:val="fr-FR"/>
        </w:rPr>
        <w:t> ;</w:t>
      </w:r>
    </w:p>
    <w:p w14:paraId="34019393" w14:textId="06A58EBC" w:rsidR="00D31AFF" w:rsidRPr="008D2CC5" w:rsidRDefault="00062F27" w:rsidP="008E43CD">
      <w:pPr>
        <w:pStyle w:val="Normalnumber"/>
        <w:numPr>
          <w:ilvl w:val="1"/>
          <w:numId w:val="5"/>
        </w:numPr>
        <w:rPr>
          <w:lang w:val="fr-FR"/>
        </w:rPr>
      </w:pPr>
      <w:r w:rsidRPr="008D2CC5">
        <w:rPr>
          <w:lang w:val="fr-FR"/>
        </w:rPr>
        <w:t xml:space="preserve">ISO 18400-202, </w:t>
      </w:r>
      <w:r w:rsidR="00865FEC" w:rsidRPr="008D2CC5">
        <w:rPr>
          <w:lang w:val="fr-FR"/>
        </w:rPr>
        <w:t xml:space="preserve">Qualité du sol </w:t>
      </w:r>
      <w:r w:rsidRPr="008D2CC5">
        <w:rPr>
          <w:lang w:val="fr-FR"/>
        </w:rPr>
        <w:t xml:space="preserve">— </w:t>
      </w:r>
      <w:r w:rsidR="00865FEC" w:rsidRPr="008D2CC5">
        <w:rPr>
          <w:lang w:val="fr-FR"/>
        </w:rPr>
        <w:t xml:space="preserve">Échantillonnage </w:t>
      </w:r>
      <w:r w:rsidRPr="008D2CC5">
        <w:rPr>
          <w:lang w:val="fr-FR"/>
        </w:rPr>
        <w:t>— Part</w:t>
      </w:r>
      <w:r w:rsidR="00865FEC" w:rsidRPr="008D2CC5">
        <w:rPr>
          <w:lang w:val="fr-FR"/>
        </w:rPr>
        <w:t>ie </w:t>
      </w:r>
      <w:r w:rsidRPr="008D2CC5">
        <w:rPr>
          <w:lang w:val="fr-FR"/>
        </w:rPr>
        <w:t>202</w:t>
      </w:r>
      <w:r w:rsidR="000409D6" w:rsidRPr="008D2CC5">
        <w:rPr>
          <w:lang w:val="fr-FR"/>
        </w:rPr>
        <w:t> :</w:t>
      </w:r>
      <w:r w:rsidRPr="008D2CC5">
        <w:rPr>
          <w:lang w:val="fr-FR"/>
        </w:rPr>
        <w:t xml:space="preserve"> </w:t>
      </w:r>
      <w:r w:rsidR="00865FEC" w:rsidRPr="008D2CC5">
        <w:rPr>
          <w:lang w:val="fr-FR"/>
        </w:rPr>
        <w:t>I</w:t>
      </w:r>
      <w:r w:rsidRPr="008D2CC5">
        <w:rPr>
          <w:lang w:val="fr-FR"/>
        </w:rPr>
        <w:t>nvestigations</w:t>
      </w:r>
      <w:r w:rsidR="00865FEC" w:rsidRPr="008D2CC5">
        <w:rPr>
          <w:lang w:val="fr-FR"/>
        </w:rPr>
        <w:t xml:space="preserve"> préliminaires</w:t>
      </w:r>
      <w:r w:rsidR="000409D6" w:rsidRPr="008D2CC5">
        <w:rPr>
          <w:lang w:val="fr-FR"/>
        </w:rPr>
        <w:t> ;</w:t>
      </w:r>
    </w:p>
    <w:p w14:paraId="3B8731FD" w14:textId="79FE08CE" w:rsidR="00D31AFF" w:rsidRPr="008D2CC5" w:rsidRDefault="00D31AFF" w:rsidP="008E43CD">
      <w:pPr>
        <w:pStyle w:val="Normalnumber"/>
        <w:numPr>
          <w:ilvl w:val="1"/>
          <w:numId w:val="5"/>
        </w:numPr>
        <w:rPr>
          <w:lang w:val="fr-FR"/>
        </w:rPr>
      </w:pPr>
      <w:r w:rsidRPr="008D2CC5">
        <w:rPr>
          <w:lang w:val="fr-FR"/>
        </w:rPr>
        <w:t xml:space="preserve">ISO 18400-204, </w:t>
      </w:r>
      <w:r w:rsidR="00865FEC" w:rsidRPr="008D2CC5">
        <w:rPr>
          <w:lang w:val="fr-FR"/>
        </w:rPr>
        <w:t xml:space="preserve">Qualité du sol </w:t>
      </w:r>
      <w:r w:rsidRPr="008D2CC5">
        <w:rPr>
          <w:lang w:val="fr-FR"/>
        </w:rPr>
        <w:t xml:space="preserve">— </w:t>
      </w:r>
      <w:r w:rsidR="00865FEC" w:rsidRPr="008D2CC5">
        <w:rPr>
          <w:lang w:val="fr-FR"/>
        </w:rPr>
        <w:t xml:space="preserve">Échantillonnage </w:t>
      </w:r>
      <w:r w:rsidRPr="008D2CC5">
        <w:rPr>
          <w:lang w:val="fr-FR"/>
        </w:rPr>
        <w:t>— Part</w:t>
      </w:r>
      <w:r w:rsidR="00865FEC" w:rsidRPr="008D2CC5">
        <w:rPr>
          <w:lang w:val="fr-FR"/>
        </w:rPr>
        <w:t>ie </w:t>
      </w:r>
      <w:r w:rsidRPr="008D2CC5">
        <w:rPr>
          <w:lang w:val="fr-FR"/>
        </w:rPr>
        <w:t>204</w:t>
      </w:r>
      <w:r w:rsidR="000409D6" w:rsidRPr="008D2CC5">
        <w:rPr>
          <w:lang w:val="fr-FR"/>
        </w:rPr>
        <w:t> :</w:t>
      </w:r>
      <w:r w:rsidRPr="008D2CC5">
        <w:rPr>
          <w:lang w:val="fr-FR"/>
        </w:rPr>
        <w:t xml:space="preserve"> </w:t>
      </w:r>
      <w:r w:rsidR="00865FEC" w:rsidRPr="008D2CC5">
        <w:rPr>
          <w:lang w:val="fr-FR"/>
        </w:rPr>
        <w:t>Lignes directrices</w:t>
      </w:r>
      <w:r w:rsidR="002C4D56" w:rsidRPr="008D2CC5">
        <w:rPr>
          <w:lang w:val="fr-FR"/>
        </w:rPr>
        <w:t> </w:t>
      </w:r>
      <w:r w:rsidR="00865FEC" w:rsidRPr="008D2CC5">
        <w:rPr>
          <w:lang w:val="fr-FR"/>
        </w:rPr>
        <w:t>pour l</w:t>
      </w:r>
      <w:r w:rsidR="000409D6" w:rsidRPr="008D2CC5">
        <w:rPr>
          <w:lang w:val="fr-FR"/>
        </w:rPr>
        <w:t>’</w:t>
      </w:r>
      <w:r w:rsidR="00865FEC" w:rsidRPr="008D2CC5">
        <w:rPr>
          <w:lang w:val="fr-FR"/>
        </w:rPr>
        <w:t>échantillonnage des gaz de sol</w:t>
      </w:r>
      <w:r w:rsidR="000409D6" w:rsidRPr="008D2CC5">
        <w:rPr>
          <w:lang w:val="fr-FR"/>
        </w:rPr>
        <w:t> ;</w:t>
      </w:r>
    </w:p>
    <w:p w14:paraId="4C958A9B" w14:textId="0630724E" w:rsidR="00D31AFF" w:rsidRPr="008D2CC5" w:rsidRDefault="00D31AFF" w:rsidP="008E43CD">
      <w:pPr>
        <w:pStyle w:val="Normalnumber"/>
        <w:numPr>
          <w:ilvl w:val="1"/>
          <w:numId w:val="5"/>
        </w:numPr>
        <w:rPr>
          <w:lang w:val="fr-FR"/>
        </w:rPr>
      </w:pPr>
      <w:r w:rsidRPr="008D2CC5">
        <w:rPr>
          <w:lang w:val="fr-FR"/>
        </w:rPr>
        <w:t xml:space="preserve">ISO 5667-11, </w:t>
      </w:r>
      <w:r w:rsidR="00865FEC" w:rsidRPr="008D2CC5">
        <w:rPr>
          <w:lang w:val="fr-FR"/>
        </w:rPr>
        <w:t>Qualité de l</w:t>
      </w:r>
      <w:r w:rsidR="000409D6" w:rsidRPr="008D2CC5">
        <w:rPr>
          <w:lang w:val="fr-FR"/>
        </w:rPr>
        <w:t>’</w:t>
      </w:r>
      <w:r w:rsidR="00865FEC" w:rsidRPr="008D2CC5">
        <w:rPr>
          <w:lang w:val="fr-FR"/>
        </w:rPr>
        <w:t>eau</w:t>
      </w:r>
      <w:r w:rsidRPr="008D2CC5">
        <w:rPr>
          <w:lang w:val="fr-FR"/>
        </w:rPr>
        <w:t xml:space="preserve"> — </w:t>
      </w:r>
      <w:r w:rsidR="00865FEC" w:rsidRPr="008D2CC5">
        <w:rPr>
          <w:lang w:val="fr-FR"/>
        </w:rPr>
        <w:t xml:space="preserve">Échantillonnage </w:t>
      </w:r>
      <w:r w:rsidRPr="008D2CC5">
        <w:rPr>
          <w:lang w:val="fr-FR"/>
        </w:rPr>
        <w:t>— Part</w:t>
      </w:r>
      <w:r w:rsidR="00865FEC" w:rsidRPr="008D2CC5">
        <w:rPr>
          <w:lang w:val="fr-FR"/>
        </w:rPr>
        <w:t>ie </w:t>
      </w:r>
      <w:r w:rsidRPr="008D2CC5">
        <w:rPr>
          <w:lang w:val="fr-FR"/>
        </w:rPr>
        <w:t>11</w:t>
      </w:r>
      <w:r w:rsidR="000409D6" w:rsidRPr="008D2CC5">
        <w:rPr>
          <w:lang w:val="fr-FR"/>
        </w:rPr>
        <w:t> :</w:t>
      </w:r>
      <w:r w:rsidRPr="008D2CC5">
        <w:rPr>
          <w:lang w:val="fr-FR"/>
        </w:rPr>
        <w:t xml:space="preserve"> </w:t>
      </w:r>
      <w:r w:rsidR="00865FEC" w:rsidRPr="008D2CC5">
        <w:rPr>
          <w:lang w:val="fr-FR"/>
        </w:rPr>
        <w:t>Lignes directrices pour l</w:t>
      </w:r>
      <w:r w:rsidR="000409D6" w:rsidRPr="008D2CC5">
        <w:rPr>
          <w:lang w:val="fr-FR"/>
        </w:rPr>
        <w:t>’</w:t>
      </w:r>
      <w:r w:rsidR="00865FEC" w:rsidRPr="008D2CC5">
        <w:rPr>
          <w:lang w:val="fr-FR"/>
        </w:rPr>
        <w:t>échantillonnage des eaux souterraines</w:t>
      </w:r>
      <w:r w:rsidR="002C4D56" w:rsidRPr="008D2CC5">
        <w:rPr>
          <w:lang w:val="fr-FR"/>
        </w:rPr>
        <w:t>.</w:t>
      </w:r>
    </w:p>
    <w:p w14:paraId="1FF33207" w14:textId="261777CA" w:rsidR="00D31AFF" w:rsidRPr="008D2CC5" w:rsidRDefault="00FC1279" w:rsidP="008B22F8">
      <w:pPr>
        <w:pStyle w:val="Normalnumber"/>
        <w:keepNext/>
        <w:keepLines/>
        <w:numPr>
          <w:ilvl w:val="0"/>
          <w:numId w:val="5"/>
        </w:numPr>
        <w:rPr>
          <w:lang w:val="fr-FR"/>
        </w:rPr>
      </w:pPr>
      <w:r w:rsidRPr="008D2CC5">
        <w:rPr>
          <w:lang w:val="fr-FR"/>
        </w:rPr>
        <w:lastRenderedPageBreak/>
        <w:t>Si une biosurveillance humaine est entreprise</w:t>
      </w:r>
      <w:r w:rsidR="00D31AFF" w:rsidRPr="008D2CC5">
        <w:rPr>
          <w:lang w:val="fr-FR"/>
        </w:rPr>
        <w:t>,</w:t>
      </w:r>
      <w:r w:rsidR="00123ABB" w:rsidRPr="008D2CC5">
        <w:rPr>
          <w:lang w:val="fr-FR"/>
        </w:rPr>
        <w:t xml:space="preserve"> il peut s</w:t>
      </w:r>
      <w:r w:rsidR="000409D6" w:rsidRPr="008D2CC5">
        <w:rPr>
          <w:lang w:val="fr-FR"/>
        </w:rPr>
        <w:t>’</w:t>
      </w:r>
      <w:r w:rsidR="00123ABB" w:rsidRPr="008D2CC5">
        <w:rPr>
          <w:lang w:val="fr-FR"/>
        </w:rPr>
        <w:t>avérer utile d</w:t>
      </w:r>
      <w:r w:rsidR="000409D6" w:rsidRPr="008D2CC5">
        <w:rPr>
          <w:lang w:val="fr-FR"/>
        </w:rPr>
        <w:t>’</w:t>
      </w:r>
      <w:r w:rsidR="00123ABB" w:rsidRPr="008D2CC5">
        <w:rPr>
          <w:lang w:val="fr-FR"/>
        </w:rPr>
        <w:t>utiliser le protocole d</w:t>
      </w:r>
      <w:r w:rsidR="000409D6" w:rsidRPr="008D2CC5">
        <w:rPr>
          <w:lang w:val="fr-FR"/>
        </w:rPr>
        <w:t>’</w:t>
      </w:r>
      <w:r w:rsidR="00123ABB" w:rsidRPr="008D2CC5">
        <w:rPr>
          <w:lang w:val="fr-FR"/>
        </w:rPr>
        <w:t xml:space="preserve">étude </w:t>
      </w:r>
      <w:r w:rsidR="00A136A1" w:rsidRPr="008D2CC5">
        <w:rPr>
          <w:lang w:val="fr-FR"/>
        </w:rPr>
        <w:t xml:space="preserve">et les </w:t>
      </w:r>
      <w:bookmarkStart w:id="12" w:name="_Hlk20900261"/>
      <w:r w:rsidR="009F7488" w:rsidRPr="008D2CC5">
        <w:rPr>
          <w:lang w:val="fr-FR"/>
        </w:rPr>
        <w:t>procédures</w:t>
      </w:r>
      <w:r w:rsidR="00A136A1" w:rsidRPr="008D2CC5">
        <w:rPr>
          <w:lang w:val="fr-FR"/>
        </w:rPr>
        <w:t xml:space="preserve"> opératoires normalisé</w:t>
      </w:r>
      <w:r w:rsidR="009F7488" w:rsidRPr="008D2CC5">
        <w:rPr>
          <w:lang w:val="fr-FR"/>
        </w:rPr>
        <w:t>e</w:t>
      </w:r>
      <w:r w:rsidR="00A136A1" w:rsidRPr="008D2CC5">
        <w:rPr>
          <w:lang w:val="fr-FR"/>
        </w:rPr>
        <w:t>s pour la biosurveillance humaine aux fins de l</w:t>
      </w:r>
      <w:r w:rsidR="000409D6" w:rsidRPr="008D2CC5">
        <w:rPr>
          <w:lang w:val="fr-FR"/>
        </w:rPr>
        <w:t>’</w:t>
      </w:r>
      <w:r w:rsidR="00A136A1" w:rsidRPr="008D2CC5">
        <w:rPr>
          <w:lang w:val="fr-FR"/>
        </w:rPr>
        <w:t>évaluation de l</w:t>
      </w:r>
      <w:r w:rsidR="000409D6" w:rsidRPr="008D2CC5">
        <w:rPr>
          <w:lang w:val="fr-FR"/>
        </w:rPr>
        <w:t>’</w:t>
      </w:r>
      <w:r w:rsidR="00A136A1" w:rsidRPr="008D2CC5">
        <w:rPr>
          <w:lang w:val="fr-FR"/>
        </w:rPr>
        <w:t xml:space="preserve">exposition prénatale au mercure </w:t>
      </w:r>
      <w:r w:rsidR="00123ABB" w:rsidRPr="008D2CC5">
        <w:rPr>
          <w:lang w:val="fr-FR"/>
        </w:rPr>
        <w:t>de l</w:t>
      </w:r>
      <w:r w:rsidR="000409D6" w:rsidRPr="008D2CC5">
        <w:rPr>
          <w:lang w:val="fr-FR"/>
        </w:rPr>
        <w:t>’</w:t>
      </w:r>
      <w:r w:rsidR="00123ABB" w:rsidRPr="008D2CC5">
        <w:rPr>
          <w:lang w:val="fr-FR"/>
        </w:rPr>
        <w:t>Organisation mondiale de la Santé</w:t>
      </w:r>
      <w:bookmarkEnd w:id="12"/>
      <w:r w:rsidR="00D31AFF" w:rsidRPr="008D2CC5">
        <w:rPr>
          <w:lang w:val="fr-FR"/>
        </w:rPr>
        <w:t xml:space="preserve"> (</w:t>
      </w:r>
      <w:r w:rsidR="005A1C6C" w:rsidRPr="008D2CC5">
        <w:rPr>
          <w:lang w:val="fr-FR"/>
        </w:rPr>
        <w:t>OMS</w:t>
      </w:r>
      <w:r w:rsidR="005D7D61" w:rsidRPr="008D2CC5">
        <w:rPr>
          <w:lang w:val="fr-FR"/>
        </w:rPr>
        <w:t>,</w:t>
      </w:r>
      <w:r w:rsidR="00D31AFF" w:rsidRPr="008D2CC5">
        <w:rPr>
          <w:lang w:val="fr-FR"/>
        </w:rPr>
        <w:t xml:space="preserve"> 201</w:t>
      </w:r>
      <w:r w:rsidR="00062F27" w:rsidRPr="008D2CC5">
        <w:rPr>
          <w:lang w:val="fr-FR"/>
        </w:rPr>
        <w:t>8</w:t>
      </w:r>
      <w:r w:rsidR="00D31AFF" w:rsidRPr="008D2CC5">
        <w:rPr>
          <w:lang w:val="fr-FR"/>
        </w:rPr>
        <w:t xml:space="preserve">a </w:t>
      </w:r>
      <w:r w:rsidR="00A136A1" w:rsidRPr="008D2CC5">
        <w:rPr>
          <w:lang w:val="fr-FR"/>
        </w:rPr>
        <w:t>et</w:t>
      </w:r>
      <w:r w:rsidR="00D31AFF" w:rsidRPr="008D2CC5">
        <w:rPr>
          <w:lang w:val="fr-FR"/>
        </w:rPr>
        <w:t xml:space="preserve"> 201</w:t>
      </w:r>
      <w:r w:rsidR="00062F27" w:rsidRPr="008D2CC5">
        <w:rPr>
          <w:lang w:val="fr-FR"/>
        </w:rPr>
        <w:t>8</w:t>
      </w:r>
      <w:r w:rsidR="00D31AFF" w:rsidRPr="008D2CC5">
        <w:rPr>
          <w:lang w:val="fr-FR"/>
        </w:rPr>
        <w:t xml:space="preserve">b). </w:t>
      </w:r>
    </w:p>
    <w:p w14:paraId="4FD30897" w14:textId="7063EA10" w:rsidR="00D31AFF" w:rsidRPr="008D2CC5" w:rsidRDefault="00D31AFF" w:rsidP="00F93F76">
      <w:pPr>
        <w:pStyle w:val="CH2"/>
        <w:rPr>
          <w:lang w:val="fr-FR"/>
        </w:rPr>
      </w:pPr>
      <w:r w:rsidRPr="008D2CC5">
        <w:rPr>
          <w:lang w:val="fr-FR"/>
        </w:rPr>
        <w:tab/>
      </w:r>
      <w:bookmarkStart w:id="13" w:name="_Toc15920543"/>
      <w:r w:rsidRPr="008D2CC5">
        <w:rPr>
          <w:lang w:val="fr-FR"/>
        </w:rPr>
        <w:t>C.</w:t>
      </w:r>
      <w:r w:rsidRPr="008D2CC5">
        <w:rPr>
          <w:lang w:val="fr-FR"/>
        </w:rPr>
        <w:tab/>
      </w:r>
      <w:r w:rsidR="00125814" w:rsidRPr="008D2CC5">
        <w:rPr>
          <w:lang w:val="fr-FR"/>
        </w:rPr>
        <w:t>Mobilisation du</w:t>
      </w:r>
      <w:r w:rsidRPr="008D2CC5">
        <w:rPr>
          <w:lang w:val="fr-FR"/>
        </w:rPr>
        <w:t xml:space="preserve"> public</w:t>
      </w:r>
      <w:bookmarkEnd w:id="13"/>
    </w:p>
    <w:p w14:paraId="6DFD5EB9" w14:textId="4A28B201" w:rsidR="00D31AFF" w:rsidRPr="008D2CC5" w:rsidRDefault="00125814" w:rsidP="008E43CD">
      <w:pPr>
        <w:pStyle w:val="Normalnumber"/>
        <w:numPr>
          <w:ilvl w:val="0"/>
          <w:numId w:val="5"/>
        </w:numPr>
        <w:rPr>
          <w:lang w:val="fr-FR"/>
        </w:rPr>
      </w:pPr>
      <w:r w:rsidRPr="008D2CC5">
        <w:rPr>
          <w:lang w:val="fr-FR"/>
        </w:rPr>
        <w:t>Lorsqu</w:t>
      </w:r>
      <w:r w:rsidR="000409D6" w:rsidRPr="008D2CC5">
        <w:rPr>
          <w:lang w:val="fr-FR"/>
        </w:rPr>
        <w:t>’</w:t>
      </w:r>
      <w:r w:rsidRPr="008D2CC5">
        <w:rPr>
          <w:lang w:val="fr-FR"/>
        </w:rPr>
        <w:t>elles traitent le problème des sites contaminés, les Parties peuvent</w:t>
      </w:r>
      <w:r w:rsidR="00E86D97" w:rsidRPr="008D2CC5">
        <w:rPr>
          <w:lang w:val="fr-FR"/>
        </w:rPr>
        <w:t>, dans la mesure du possible,</w:t>
      </w:r>
      <w:r w:rsidRPr="008D2CC5">
        <w:rPr>
          <w:lang w:val="fr-FR"/>
        </w:rPr>
        <w:t xml:space="preserve"> envisager des</w:t>
      </w:r>
      <w:r w:rsidR="00BD0B37" w:rsidRPr="008D2CC5">
        <w:rPr>
          <w:lang w:val="fr-FR"/>
        </w:rPr>
        <w:t> </w:t>
      </w:r>
      <w:r w:rsidRPr="008D2CC5">
        <w:rPr>
          <w:lang w:val="fr-FR"/>
        </w:rPr>
        <w:t>stratégies visant à promouvoir la mobilisation du public</w:t>
      </w:r>
      <w:r w:rsidR="00D31AFF" w:rsidRPr="008D2CC5">
        <w:rPr>
          <w:lang w:val="fr-FR"/>
        </w:rPr>
        <w:t xml:space="preserve">, </w:t>
      </w:r>
      <w:r w:rsidR="00807063" w:rsidRPr="008D2CC5">
        <w:rPr>
          <w:lang w:val="fr-FR"/>
        </w:rPr>
        <w:t>en particulier</w:t>
      </w:r>
      <w:r w:rsidRPr="008D2CC5">
        <w:rPr>
          <w:lang w:val="fr-FR"/>
        </w:rPr>
        <w:t xml:space="preserve"> sur des questions délicates telles que la présence de sites contaminés dans le voisinage, </w:t>
      </w:r>
      <w:r w:rsidR="00807063" w:rsidRPr="008D2CC5">
        <w:rPr>
          <w:lang w:val="fr-FR"/>
        </w:rPr>
        <w:t>afin d</w:t>
      </w:r>
      <w:r w:rsidR="000409D6" w:rsidRPr="008D2CC5">
        <w:rPr>
          <w:lang w:val="fr-FR"/>
        </w:rPr>
        <w:t>’</w:t>
      </w:r>
      <w:r w:rsidR="00807063" w:rsidRPr="008D2CC5">
        <w:rPr>
          <w:lang w:val="fr-FR"/>
        </w:rPr>
        <w:t>assurer</w:t>
      </w:r>
      <w:r w:rsidRPr="008D2CC5">
        <w:rPr>
          <w:lang w:val="fr-FR"/>
        </w:rPr>
        <w:t xml:space="preserve"> une gestion réussie des</w:t>
      </w:r>
      <w:r w:rsidR="00BD0B37" w:rsidRPr="008D2CC5">
        <w:rPr>
          <w:lang w:val="fr-FR"/>
        </w:rPr>
        <w:t> </w:t>
      </w:r>
      <w:r w:rsidR="00834E38">
        <w:rPr>
          <w:lang w:val="fr-FR"/>
        </w:rPr>
        <w:t>problème</w:t>
      </w:r>
      <w:r w:rsidRPr="008D2CC5">
        <w:rPr>
          <w:lang w:val="fr-FR"/>
        </w:rPr>
        <w:t>s et des sites</w:t>
      </w:r>
      <w:r w:rsidR="00D31AFF" w:rsidRPr="008D2CC5">
        <w:rPr>
          <w:lang w:val="fr-FR"/>
        </w:rPr>
        <w:t xml:space="preserve">. </w:t>
      </w:r>
      <w:r w:rsidR="00807063" w:rsidRPr="008D2CC5">
        <w:rPr>
          <w:lang w:val="fr-FR"/>
        </w:rPr>
        <w:t>La mobilisation du public est souvent coordonnée par les organismes gouvernementaux chargés de la gestion des sites contaminés aux niveaux local, régional ou national</w:t>
      </w:r>
      <w:r w:rsidR="00D31AFF" w:rsidRPr="008D2CC5">
        <w:rPr>
          <w:lang w:val="fr-FR"/>
        </w:rPr>
        <w:t xml:space="preserve">. </w:t>
      </w:r>
      <w:r w:rsidR="00807063" w:rsidRPr="008D2CC5">
        <w:rPr>
          <w:lang w:val="fr-FR"/>
        </w:rPr>
        <w:t xml:space="preserve">De nombreux termes traduisent le concept de « mobilisation du public », notamment « participation du public », « participation de la communauté », « mobilisation de la communauté », « participation des parties prenantes » et « mobilisation des parties prenantes » (National </w:t>
      </w:r>
      <w:proofErr w:type="spellStart"/>
      <w:r w:rsidR="00807063" w:rsidRPr="008D2CC5">
        <w:rPr>
          <w:lang w:val="fr-FR"/>
        </w:rPr>
        <w:t>Environmental</w:t>
      </w:r>
      <w:proofErr w:type="spellEnd"/>
      <w:r w:rsidR="00807063" w:rsidRPr="008D2CC5">
        <w:rPr>
          <w:lang w:val="fr-FR"/>
        </w:rPr>
        <w:t xml:space="preserve"> Justice </w:t>
      </w:r>
      <w:proofErr w:type="spellStart"/>
      <w:r w:rsidR="00807063" w:rsidRPr="008D2CC5">
        <w:rPr>
          <w:lang w:val="fr-FR"/>
        </w:rPr>
        <w:t>Advisory</w:t>
      </w:r>
      <w:proofErr w:type="spellEnd"/>
      <w:r w:rsidR="00807063" w:rsidRPr="008D2CC5">
        <w:rPr>
          <w:lang w:val="fr-FR"/>
        </w:rPr>
        <w:t xml:space="preserve"> Council, 2013)</w:t>
      </w:r>
      <w:r w:rsidR="00D31AFF" w:rsidRPr="008D2CC5">
        <w:rPr>
          <w:lang w:val="fr-FR"/>
        </w:rPr>
        <w:t xml:space="preserve">. </w:t>
      </w:r>
      <w:r w:rsidR="00F77B3A" w:rsidRPr="008D2CC5">
        <w:rPr>
          <w:lang w:val="fr-FR"/>
        </w:rPr>
        <w:t xml:space="preserve">La consultation du public est </w:t>
      </w:r>
      <w:r w:rsidR="005C4957" w:rsidRPr="008D2CC5">
        <w:rPr>
          <w:lang w:val="fr-FR"/>
        </w:rPr>
        <w:t>exigée par la législation</w:t>
      </w:r>
      <w:r w:rsidR="00F77B3A" w:rsidRPr="008D2CC5">
        <w:rPr>
          <w:lang w:val="fr-FR"/>
        </w:rPr>
        <w:t xml:space="preserve"> dans certaines juridictions</w:t>
      </w:r>
      <w:r w:rsidR="00D31AFF" w:rsidRPr="008D2CC5">
        <w:rPr>
          <w:lang w:val="fr-FR"/>
        </w:rPr>
        <w:t xml:space="preserve">. </w:t>
      </w:r>
      <w:r w:rsidR="005C4957" w:rsidRPr="008D2CC5">
        <w:rPr>
          <w:lang w:val="fr-FR"/>
        </w:rPr>
        <w:t>L</w:t>
      </w:r>
      <w:r w:rsidR="000409D6" w:rsidRPr="008D2CC5">
        <w:rPr>
          <w:lang w:val="fr-FR"/>
        </w:rPr>
        <w:t>’</w:t>
      </w:r>
      <w:r w:rsidR="005C4957" w:rsidRPr="008D2CC5">
        <w:rPr>
          <w:lang w:val="fr-FR"/>
        </w:rPr>
        <w:t>objectif d</w:t>
      </w:r>
      <w:r w:rsidR="000409D6" w:rsidRPr="008D2CC5">
        <w:rPr>
          <w:lang w:val="fr-FR"/>
        </w:rPr>
        <w:t>’</w:t>
      </w:r>
      <w:r w:rsidR="005C4957" w:rsidRPr="008D2CC5">
        <w:rPr>
          <w:lang w:val="fr-FR"/>
        </w:rPr>
        <w:t>une mobilisation du public est de veiller à ce que les personnes ou les groupes qui pourraient être touchés par des mesures, y participer ou s</w:t>
      </w:r>
      <w:r w:rsidR="000409D6" w:rsidRPr="008D2CC5">
        <w:rPr>
          <w:lang w:val="fr-FR"/>
        </w:rPr>
        <w:t>’</w:t>
      </w:r>
      <w:r w:rsidR="005C4957" w:rsidRPr="008D2CC5">
        <w:rPr>
          <w:lang w:val="fr-FR"/>
        </w:rPr>
        <w:t>y intéresser soient informés et que leurs vues soient prises en compte dans le processus décisionnel</w:t>
      </w:r>
      <w:r w:rsidR="00D31AFF" w:rsidRPr="008D2CC5">
        <w:rPr>
          <w:lang w:val="fr-FR"/>
        </w:rPr>
        <w:t xml:space="preserve">. </w:t>
      </w:r>
      <w:r w:rsidR="005C4957" w:rsidRPr="008D2CC5">
        <w:rPr>
          <w:lang w:val="fr-FR"/>
        </w:rPr>
        <w:t xml:space="preserve">Par conséquent, </w:t>
      </w:r>
      <w:r w:rsidR="00AE22EE">
        <w:rPr>
          <w:lang w:val="fr-FR"/>
        </w:rPr>
        <w:br/>
      </w:r>
      <w:r w:rsidR="005C4957" w:rsidRPr="008D2CC5">
        <w:rPr>
          <w:lang w:val="fr-FR"/>
        </w:rPr>
        <w:t>il est important d</w:t>
      </w:r>
      <w:r w:rsidR="000409D6" w:rsidRPr="008D2CC5">
        <w:rPr>
          <w:lang w:val="fr-FR"/>
        </w:rPr>
        <w:t>’</w:t>
      </w:r>
      <w:r w:rsidR="005C4957" w:rsidRPr="008D2CC5">
        <w:rPr>
          <w:lang w:val="fr-FR"/>
        </w:rPr>
        <w:t>envisager la</w:t>
      </w:r>
      <w:r w:rsidR="00BD0B37" w:rsidRPr="008D2CC5">
        <w:rPr>
          <w:lang w:val="fr-FR"/>
        </w:rPr>
        <w:t> </w:t>
      </w:r>
      <w:r w:rsidR="005C4957" w:rsidRPr="008D2CC5">
        <w:rPr>
          <w:lang w:val="fr-FR"/>
        </w:rPr>
        <w:t>mobilisation du public dès le début du processus d</w:t>
      </w:r>
      <w:r w:rsidR="000409D6" w:rsidRPr="008D2CC5">
        <w:rPr>
          <w:lang w:val="fr-FR"/>
        </w:rPr>
        <w:t>’</w:t>
      </w:r>
      <w:r w:rsidR="005C4957" w:rsidRPr="008D2CC5">
        <w:rPr>
          <w:lang w:val="fr-FR"/>
        </w:rPr>
        <w:t>identification ou d</w:t>
      </w:r>
      <w:r w:rsidR="000409D6" w:rsidRPr="008D2CC5">
        <w:rPr>
          <w:lang w:val="fr-FR"/>
        </w:rPr>
        <w:t>’</w:t>
      </w:r>
      <w:r w:rsidR="005C4957" w:rsidRPr="008D2CC5">
        <w:rPr>
          <w:lang w:val="fr-FR"/>
        </w:rPr>
        <w:t>évaluation détaillée d</w:t>
      </w:r>
      <w:r w:rsidR="000409D6" w:rsidRPr="008D2CC5">
        <w:rPr>
          <w:lang w:val="fr-FR"/>
        </w:rPr>
        <w:t>’</w:t>
      </w:r>
      <w:r w:rsidR="005C4957" w:rsidRPr="008D2CC5">
        <w:rPr>
          <w:lang w:val="fr-FR"/>
        </w:rPr>
        <w:t>un site contaminé</w:t>
      </w:r>
      <w:r w:rsidR="00D31AFF" w:rsidRPr="008D2CC5">
        <w:rPr>
          <w:lang w:val="fr-FR"/>
        </w:rPr>
        <w:t xml:space="preserve">. </w:t>
      </w:r>
      <w:r w:rsidR="0042570A" w:rsidRPr="008D2CC5">
        <w:rPr>
          <w:lang w:val="fr-FR"/>
        </w:rPr>
        <w:t>Les Parties sont invitées à envisager d</w:t>
      </w:r>
      <w:r w:rsidR="000409D6" w:rsidRPr="008D2CC5">
        <w:rPr>
          <w:lang w:val="fr-FR"/>
        </w:rPr>
        <w:t>’</w:t>
      </w:r>
      <w:r w:rsidR="0042570A" w:rsidRPr="008D2CC5">
        <w:rPr>
          <w:lang w:val="fr-FR"/>
        </w:rPr>
        <w:t xml:space="preserve">élaborer une stratégie de communication pour transmettre les informations pertinentes. </w:t>
      </w:r>
      <w:r w:rsidR="005C4957" w:rsidRPr="008D2CC5">
        <w:rPr>
          <w:lang w:val="fr-FR"/>
        </w:rPr>
        <w:t>Les connaissances locales peuvent s</w:t>
      </w:r>
      <w:r w:rsidR="000409D6" w:rsidRPr="008D2CC5">
        <w:rPr>
          <w:lang w:val="fr-FR"/>
        </w:rPr>
        <w:t>’</w:t>
      </w:r>
      <w:r w:rsidR="005C4957" w:rsidRPr="008D2CC5">
        <w:rPr>
          <w:lang w:val="fr-FR"/>
        </w:rPr>
        <w:t>avérer cruciales pour l</w:t>
      </w:r>
      <w:r w:rsidR="000409D6" w:rsidRPr="008D2CC5">
        <w:rPr>
          <w:lang w:val="fr-FR"/>
        </w:rPr>
        <w:t>’</w:t>
      </w:r>
      <w:r w:rsidR="005C4957" w:rsidRPr="008D2CC5">
        <w:rPr>
          <w:lang w:val="fr-FR"/>
        </w:rPr>
        <w:t>identification des sites potentiellement contaminés et le choix de la stratégie d</w:t>
      </w:r>
      <w:r w:rsidR="000409D6" w:rsidRPr="008D2CC5">
        <w:rPr>
          <w:lang w:val="fr-FR"/>
        </w:rPr>
        <w:t>’</w:t>
      </w:r>
      <w:r w:rsidR="005C4957" w:rsidRPr="008D2CC5">
        <w:rPr>
          <w:lang w:val="fr-FR"/>
        </w:rPr>
        <w:t>échantillonnage</w:t>
      </w:r>
      <w:r w:rsidR="00D31AFF" w:rsidRPr="008D2CC5">
        <w:rPr>
          <w:lang w:val="fr-FR"/>
        </w:rPr>
        <w:t xml:space="preserve">. </w:t>
      </w:r>
    </w:p>
    <w:p w14:paraId="2C27BF31" w14:textId="0FC65256" w:rsidR="00D31AFF" w:rsidRPr="008D2CC5" w:rsidRDefault="00CB1CA0" w:rsidP="008E43CD">
      <w:pPr>
        <w:pStyle w:val="Normalnumber"/>
        <w:numPr>
          <w:ilvl w:val="0"/>
          <w:numId w:val="5"/>
        </w:numPr>
        <w:rPr>
          <w:lang w:val="fr-FR"/>
        </w:rPr>
      </w:pPr>
      <w:r w:rsidRPr="008D2CC5">
        <w:rPr>
          <w:lang w:val="fr-FR"/>
        </w:rPr>
        <w:t xml:space="preserve">Selon la phase dans laquelle le processus se trouve (identification, étude, remise en état, suivi ultérieur du site, etc.), </w:t>
      </w:r>
      <w:r w:rsidR="00EB0390" w:rsidRPr="008D2CC5">
        <w:rPr>
          <w:lang w:val="fr-FR"/>
        </w:rPr>
        <w:t>différentes</w:t>
      </w:r>
      <w:r w:rsidRPr="008D2CC5">
        <w:rPr>
          <w:lang w:val="fr-FR"/>
        </w:rPr>
        <w:t xml:space="preserve"> méthodes peuvent convenir pour mobiliser le public</w:t>
      </w:r>
      <w:r w:rsidR="00D31AFF" w:rsidRPr="008D2CC5">
        <w:rPr>
          <w:lang w:val="fr-FR"/>
        </w:rPr>
        <w:t xml:space="preserve">. </w:t>
      </w:r>
      <w:r w:rsidRPr="008D2CC5">
        <w:rPr>
          <w:lang w:val="fr-FR"/>
        </w:rPr>
        <w:t>L</w:t>
      </w:r>
      <w:r w:rsidR="0042570A" w:rsidRPr="008D2CC5">
        <w:rPr>
          <w:lang w:val="fr-FR"/>
        </w:rPr>
        <w:t>es Parties sont invitées à envisager de diffuser l</w:t>
      </w:r>
      <w:r w:rsidRPr="008D2CC5">
        <w:rPr>
          <w:lang w:val="fr-FR"/>
        </w:rPr>
        <w:t>es résultats du processus de consultation publique et les décisions prises au sujet des activités futures par des moyens semblables à ceux employés pour la communication des informations initiales au début du processus de mobilisation</w:t>
      </w:r>
      <w:r w:rsidR="00D31AFF" w:rsidRPr="008D2CC5">
        <w:rPr>
          <w:lang w:val="fr-FR"/>
        </w:rPr>
        <w:t xml:space="preserve">. </w:t>
      </w:r>
    </w:p>
    <w:p w14:paraId="76539F8C" w14:textId="1CB0D715" w:rsidR="002C4D56" w:rsidRPr="008D2CC5" w:rsidRDefault="003F3DDD" w:rsidP="00BD3697">
      <w:pPr>
        <w:pStyle w:val="Normalnumber"/>
        <w:numPr>
          <w:ilvl w:val="0"/>
          <w:numId w:val="5"/>
        </w:numPr>
        <w:rPr>
          <w:lang w:val="fr-FR"/>
        </w:rPr>
      </w:pPr>
      <w:r w:rsidRPr="008D2CC5">
        <w:rPr>
          <w:lang w:val="fr-FR"/>
        </w:rPr>
        <w:t>Une communication efficace ainsi qu</w:t>
      </w:r>
      <w:r w:rsidR="000409D6" w:rsidRPr="008D2CC5">
        <w:rPr>
          <w:lang w:val="fr-FR"/>
        </w:rPr>
        <w:t>’</w:t>
      </w:r>
      <w:r w:rsidRPr="008D2CC5">
        <w:rPr>
          <w:lang w:val="fr-FR"/>
        </w:rPr>
        <w:t>un processus à double sens pour transmettre et recevoir les informations sont indispensables pour améliorer la compréhension des parties prenantes</w:t>
      </w:r>
      <w:r w:rsidR="00D31AFF" w:rsidRPr="008D2CC5">
        <w:rPr>
          <w:lang w:val="fr-FR"/>
        </w:rPr>
        <w:t xml:space="preserve">. </w:t>
      </w:r>
      <w:r w:rsidRPr="008D2CC5">
        <w:rPr>
          <w:lang w:val="fr-FR"/>
        </w:rPr>
        <w:t>Les</w:t>
      </w:r>
      <w:r w:rsidR="00BD0B37" w:rsidRPr="008D2CC5">
        <w:rPr>
          <w:lang w:val="fr-FR"/>
        </w:rPr>
        <w:t> </w:t>
      </w:r>
      <w:r w:rsidRPr="008D2CC5">
        <w:rPr>
          <w:lang w:val="fr-FR"/>
        </w:rPr>
        <w:t>informations scientifiques</w:t>
      </w:r>
      <w:r w:rsidR="003A15DC" w:rsidRPr="008D2CC5">
        <w:rPr>
          <w:lang w:val="fr-FR"/>
        </w:rPr>
        <w:t xml:space="preserve"> disponibles</w:t>
      </w:r>
      <w:r w:rsidRPr="008D2CC5">
        <w:rPr>
          <w:lang w:val="fr-FR"/>
        </w:rPr>
        <w:t xml:space="preserve"> devraient être diffusées le plus efficacement possible</w:t>
      </w:r>
      <w:r w:rsidR="004A35E8" w:rsidRPr="008D2CC5">
        <w:rPr>
          <w:lang w:val="fr-FR"/>
        </w:rPr>
        <w:t xml:space="preserve"> au sein de la</w:t>
      </w:r>
      <w:r w:rsidR="00BD0B37" w:rsidRPr="008D2CC5">
        <w:rPr>
          <w:lang w:val="fr-FR"/>
        </w:rPr>
        <w:t> </w:t>
      </w:r>
      <w:r w:rsidRPr="008D2CC5">
        <w:rPr>
          <w:lang w:val="fr-FR"/>
        </w:rPr>
        <w:t xml:space="preserve">communauté visée </w:t>
      </w:r>
      <w:r w:rsidR="004A35E8" w:rsidRPr="008D2CC5">
        <w:rPr>
          <w:lang w:val="fr-FR"/>
        </w:rPr>
        <w:t xml:space="preserve">afin de </w:t>
      </w:r>
      <w:r w:rsidRPr="008D2CC5">
        <w:rPr>
          <w:lang w:val="fr-FR"/>
        </w:rPr>
        <w:t>rédui</w:t>
      </w:r>
      <w:r w:rsidR="00107D04" w:rsidRPr="008D2CC5">
        <w:rPr>
          <w:lang w:val="fr-FR"/>
        </w:rPr>
        <w:t>r</w:t>
      </w:r>
      <w:r w:rsidRPr="008D2CC5">
        <w:rPr>
          <w:lang w:val="fr-FR"/>
        </w:rPr>
        <w:t>e l</w:t>
      </w:r>
      <w:r w:rsidR="000409D6" w:rsidRPr="008D2CC5">
        <w:rPr>
          <w:lang w:val="fr-FR"/>
        </w:rPr>
        <w:t>’</w:t>
      </w:r>
      <w:r w:rsidRPr="008D2CC5">
        <w:rPr>
          <w:lang w:val="fr-FR"/>
        </w:rPr>
        <w:t>écart entre le risque perçu et le risque réel</w:t>
      </w:r>
      <w:r w:rsidR="00D31AFF" w:rsidRPr="008D2CC5">
        <w:rPr>
          <w:lang w:val="fr-FR"/>
        </w:rPr>
        <w:t>.</w:t>
      </w:r>
    </w:p>
    <w:p w14:paraId="73277E33" w14:textId="7EBF6E4A" w:rsidR="00D31AFF" w:rsidRPr="008D2CC5" w:rsidRDefault="004A35E8" w:rsidP="00BD3697">
      <w:pPr>
        <w:pStyle w:val="Normalnumber"/>
        <w:numPr>
          <w:ilvl w:val="0"/>
          <w:numId w:val="5"/>
        </w:numPr>
        <w:rPr>
          <w:lang w:val="fr-FR"/>
        </w:rPr>
      </w:pPr>
      <w:r w:rsidRPr="008D2CC5">
        <w:rPr>
          <w:lang w:val="fr-FR"/>
        </w:rPr>
        <w:t>La sensibilisation de la communauté cible différents niveaux</w:t>
      </w:r>
      <w:r w:rsidR="00D31AFF" w:rsidRPr="008D2CC5">
        <w:rPr>
          <w:lang w:val="fr-FR"/>
        </w:rPr>
        <w:t xml:space="preserve">. </w:t>
      </w:r>
      <w:r w:rsidRPr="008D2CC5">
        <w:rPr>
          <w:lang w:val="fr-FR"/>
        </w:rPr>
        <w:t>Les propriétaires fonciers ou les résidents habitant à proximité du site ou sur celui-ci, les communautés touchées par la pollution en provenance du site et les autres industries présentes dans la zone qui pourraient être touchées par la pollution peuvent tous être qualifiés de parties prenantes</w:t>
      </w:r>
      <w:r w:rsidR="00D31AFF" w:rsidRPr="008D2CC5">
        <w:rPr>
          <w:lang w:val="fr-FR"/>
        </w:rPr>
        <w:t xml:space="preserve">. </w:t>
      </w:r>
      <w:r w:rsidRPr="008D2CC5">
        <w:rPr>
          <w:lang w:val="fr-FR"/>
        </w:rPr>
        <w:t>Les</w:t>
      </w:r>
      <w:r w:rsidR="00BD0B37" w:rsidRPr="008D2CC5">
        <w:rPr>
          <w:lang w:val="fr-FR"/>
        </w:rPr>
        <w:t> </w:t>
      </w:r>
      <w:r w:rsidRPr="008D2CC5">
        <w:rPr>
          <w:lang w:val="fr-FR"/>
        </w:rPr>
        <w:t>gestionnaires de site et les travailleurs employés sur des sites encore actifs sont également des</w:t>
      </w:r>
      <w:r w:rsidR="00BD0B37" w:rsidRPr="008D2CC5">
        <w:rPr>
          <w:lang w:val="fr-FR"/>
        </w:rPr>
        <w:t> </w:t>
      </w:r>
      <w:r w:rsidRPr="008D2CC5">
        <w:rPr>
          <w:lang w:val="fr-FR"/>
        </w:rPr>
        <w:t>parties prenantes.</w:t>
      </w:r>
      <w:r w:rsidR="00D31AFF" w:rsidRPr="008D2CC5">
        <w:rPr>
          <w:lang w:val="fr-FR"/>
        </w:rPr>
        <w:t xml:space="preserve"> </w:t>
      </w:r>
      <w:r w:rsidRPr="008D2CC5">
        <w:rPr>
          <w:lang w:val="fr-FR"/>
        </w:rPr>
        <w:t xml:space="preserve">Il convient cependant de noter que si la contamination du site résulte, par exemple, de la mauvaise manipulation de déchets de mercure ou de produits en contenant, la question de la source de contamination devrait être réglée avant </w:t>
      </w:r>
      <w:r w:rsidR="00E93C3E" w:rsidRPr="008D2CC5">
        <w:rPr>
          <w:lang w:val="fr-FR"/>
        </w:rPr>
        <w:t>que toute autre mesure soit prise</w:t>
      </w:r>
      <w:r w:rsidR="00D31AFF" w:rsidRPr="008D2CC5">
        <w:rPr>
          <w:lang w:val="fr-FR"/>
        </w:rPr>
        <w:t xml:space="preserve">. </w:t>
      </w:r>
    </w:p>
    <w:p w14:paraId="4D21535A" w14:textId="334A0E55" w:rsidR="00D31AFF" w:rsidRPr="008D2CC5" w:rsidRDefault="00947814" w:rsidP="008E43CD">
      <w:pPr>
        <w:pStyle w:val="Normalnumber"/>
        <w:numPr>
          <w:ilvl w:val="0"/>
          <w:numId w:val="5"/>
        </w:numPr>
        <w:rPr>
          <w:lang w:val="fr-FR"/>
        </w:rPr>
      </w:pPr>
      <w:r w:rsidRPr="008D2CC5">
        <w:rPr>
          <w:lang w:val="fr-FR"/>
        </w:rPr>
        <w:t>La qualité des contributions devrait primer sur leur quantité et le processus de mobilisation devrait viser autant à recueillir des informations auprès de la communauté qu</w:t>
      </w:r>
      <w:r w:rsidR="000409D6" w:rsidRPr="008D2CC5">
        <w:rPr>
          <w:lang w:val="fr-FR"/>
        </w:rPr>
        <w:t>’</w:t>
      </w:r>
      <w:r w:rsidRPr="008D2CC5">
        <w:rPr>
          <w:lang w:val="fr-FR"/>
        </w:rPr>
        <w:t>à lui en fournir</w:t>
      </w:r>
      <w:r w:rsidR="00D31AFF" w:rsidRPr="008D2CC5">
        <w:rPr>
          <w:lang w:val="fr-FR"/>
        </w:rPr>
        <w:t xml:space="preserve">. </w:t>
      </w:r>
      <w:r w:rsidRPr="008D2CC5">
        <w:rPr>
          <w:lang w:val="fr-FR"/>
        </w:rPr>
        <w:t>Il</w:t>
      </w:r>
      <w:r w:rsidR="00BD0B37" w:rsidRPr="008D2CC5">
        <w:rPr>
          <w:lang w:val="fr-FR"/>
        </w:rPr>
        <w:t> </w:t>
      </w:r>
      <w:r w:rsidRPr="008D2CC5">
        <w:rPr>
          <w:lang w:val="fr-FR"/>
        </w:rPr>
        <w:t>est</w:t>
      </w:r>
      <w:r w:rsidR="00BD0B37" w:rsidRPr="008D2CC5">
        <w:rPr>
          <w:lang w:val="fr-FR"/>
        </w:rPr>
        <w:t> </w:t>
      </w:r>
      <w:r w:rsidRPr="008D2CC5">
        <w:rPr>
          <w:lang w:val="fr-FR"/>
        </w:rPr>
        <w:t>important que le processus de mobilisation de la communauté se poursuive tout au long des</w:t>
      </w:r>
      <w:r w:rsidR="00BD0B37" w:rsidRPr="008D2CC5">
        <w:rPr>
          <w:lang w:val="fr-FR"/>
        </w:rPr>
        <w:t> </w:t>
      </w:r>
      <w:r w:rsidRPr="008D2CC5">
        <w:rPr>
          <w:lang w:val="fr-FR"/>
        </w:rPr>
        <w:t>activités d</w:t>
      </w:r>
      <w:r w:rsidR="000409D6" w:rsidRPr="008D2CC5">
        <w:rPr>
          <w:lang w:val="fr-FR"/>
        </w:rPr>
        <w:t>’</w:t>
      </w:r>
      <w:r w:rsidRPr="008D2CC5">
        <w:rPr>
          <w:lang w:val="fr-FR"/>
        </w:rPr>
        <w:t>étude, de gestion et/ou de remise en état du site, la phase de gestion pouvant sensiblement augmenter les risques courus par les communautés voisines du site</w:t>
      </w:r>
      <w:r w:rsidR="00D31AFF" w:rsidRPr="008D2CC5">
        <w:rPr>
          <w:lang w:val="fr-FR"/>
        </w:rPr>
        <w:t xml:space="preserve">. </w:t>
      </w:r>
      <w:r w:rsidR="0034533A" w:rsidRPr="008D2CC5">
        <w:rPr>
          <w:lang w:val="fr-FR"/>
        </w:rPr>
        <w:t>Par exemple, l</w:t>
      </w:r>
      <w:r w:rsidR="000409D6" w:rsidRPr="008D2CC5">
        <w:rPr>
          <w:lang w:val="fr-FR"/>
        </w:rPr>
        <w:t>’</w:t>
      </w:r>
      <w:r w:rsidR="003C07C8" w:rsidRPr="008D2CC5">
        <w:rPr>
          <w:lang w:val="fr-FR"/>
        </w:rPr>
        <w:t>excavation de matériaux contaminés et les activités de traitement sur place peuvent dégager de la poussière, des</w:t>
      </w:r>
      <w:r w:rsidR="00BD0B37" w:rsidRPr="008D2CC5">
        <w:rPr>
          <w:lang w:val="fr-FR"/>
        </w:rPr>
        <w:t> </w:t>
      </w:r>
      <w:r w:rsidR="003C07C8" w:rsidRPr="008D2CC5">
        <w:rPr>
          <w:lang w:val="fr-FR"/>
        </w:rPr>
        <w:t>vapeurs et des odeurs</w:t>
      </w:r>
      <w:r w:rsidR="00D31AFF" w:rsidRPr="008D2CC5">
        <w:rPr>
          <w:lang w:val="fr-FR"/>
        </w:rPr>
        <w:t xml:space="preserve">. </w:t>
      </w:r>
      <w:r w:rsidR="0034533A" w:rsidRPr="008D2CC5">
        <w:rPr>
          <w:lang w:val="fr-FR"/>
        </w:rPr>
        <w:t>Lorsqu</w:t>
      </w:r>
      <w:r w:rsidR="000409D6" w:rsidRPr="008D2CC5">
        <w:rPr>
          <w:lang w:val="fr-FR"/>
        </w:rPr>
        <w:t>’</w:t>
      </w:r>
      <w:r w:rsidR="0034533A" w:rsidRPr="008D2CC5">
        <w:rPr>
          <w:lang w:val="fr-FR"/>
        </w:rPr>
        <w:t xml:space="preserve">elles sont disponibles, les compétences des membres des communautés </w:t>
      </w:r>
      <w:r w:rsidR="00D420A4" w:rsidRPr="008D2CC5">
        <w:rPr>
          <w:lang w:val="fr-FR"/>
        </w:rPr>
        <w:t>peuvent</w:t>
      </w:r>
      <w:r w:rsidR="0034533A" w:rsidRPr="008D2CC5">
        <w:rPr>
          <w:lang w:val="fr-FR"/>
        </w:rPr>
        <w:t xml:space="preserve"> contribuer à comprendre les </w:t>
      </w:r>
      <w:r w:rsidR="00E2592C">
        <w:rPr>
          <w:lang w:val="fr-FR"/>
        </w:rPr>
        <w:t>points</w:t>
      </w:r>
      <w:r w:rsidR="0034533A" w:rsidRPr="008D2CC5">
        <w:rPr>
          <w:lang w:val="fr-FR"/>
        </w:rPr>
        <w:t xml:space="preserve"> à évaluer. Les </w:t>
      </w:r>
      <w:r w:rsidR="00D420A4" w:rsidRPr="008D2CC5">
        <w:rPr>
          <w:lang w:val="fr-FR"/>
        </w:rPr>
        <w:t xml:space="preserve">dirigeant(e)s </w:t>
      </w:r>
      <w:r w:rsidR="0034533A" w:rsidRPr="008D2CC5">
        <w:rPr>
          <w:lang w:val="fr-FR"/>
        </w:rPr>
        <w:t xml:space="preserve">des communautés </w:t>
      </w:r>
      <w:r w:rsidR="00D420A4" w:rsidRPr="008D2CC5">
        <w:rPr>
          <w:lang w:val="fr-FR"/>
        </w:rPr>
        <w:t>peuvent contribuer de manière notable à assurer la mise en œuvre d</w:t>
      </w:r>
      <w:r w:rsidR="000409D6" w:rsidRPr="008D2CC5">
        <w:rPr>
          <w:lang w:val="fr-FR"/>
        </w:rPr>
        <w:t>’</w:t>
      </w:r>
      <w:r w:rsidR="00D420A4" w:rsidRPr="008D2CC5">
        <w:rPr>
          <w:lang w:val="fr-FR"/>
        </w:rPr>
        <w:t>une activité planifiée, étant donné l</w:t>
      </w:r>
      <w:r w:rsidR="000409D6" w:rsidRPr="008D2CC5">
        <w:rPr>
          <w:lang w:val="fr-FR"/>
        </w:rPr>
        <w:t>’</w:t>
      </w:r>
      <w:r w:rsidR="00D420A4" w:rsidRPr="008D2CC5">
        <w:rPr>
          <w:lang w:val="fr-FR"/>
        </w:rPr>
        <w:t xml:space="preserve">influence plus importante dont ils (elles) jouissent auprès des parties prenantes locales. </w:t>
      </w:r>
      <w:r w:rsidR="003F599B" w:rsidRPr="008D2CC5">
        <w:rPr>
          <w:lang w:val="fr-FR"/>
        </w:rPr>
        <w:t>La création d</w:t>
      </w:r>
      <w:r w:rsidR="000409D6" w:rsidRPr="008D2CC5">
        <w:rPr>
          <w:lang w:val="fr-FR"/>
        </w:rPr>
        <w:t>’</w:t>
      </w:r>
      <w:r w:rsidR="003F599B" w:rsidRPr="008D2CC5">
        <w:rPr>
          <w:lang w:val="fr-FR"/>
        </w:rPr>
        <w:t>un comité de consultation communautaire peut constituer un</w:t>
      </w:r>
      <w:r w:rsidR="00BD0B37" w:rsidRPr="008D2CC5">
        <w:rPr>
          <w:lang w:val="fr-FR"/>
        </w:rPr>
        <w:t> </w:t>
      </w:r>
      <w:r w:rsidR="003F599B" w:rsidRPr="008D2CC5">
        <w:rPr>
          <w:lang w:val="fr-FR"/>
        </w:rPr>
        <w:t>mécanisme utile de mobilisation par l</w:t>
      </w:r>
      <w:r w:rsidR="000409D6" w:rsidRPr="008D2CC5">
        <w:rPr>
          <w:lang w:val="fr-FR"/>
        </w:rPr>
        <w:t>’</w:t>
      </w:r>
      <w:r w:rsidR="003F599B" w:rsidRPr="008D2CC5">
        <w:rPr>
          <w:lang w:val="fr-FR"/>
        </w:rPr>
        <w:t>intermédiaire duquel les autorités, les entreprises chargées des travaux et la communauté peuvent échanger des informations techniques et pratiques ainsi que des</w:t>
      </w:r>
      <w:r w:rsidR="00BD0B37" w:rsidRPr="008D2CC5">
        <w:rPr>
          <w:lang w:val="fr-FR"/>
        </w:rPr>
        <w:t> </w:t>
      </w:r>
      <w:r w:rsidR="003F599B" w:rsidRPr="008D2CC5">
        <w:rPr>
          <w:lang w:val="fr-FR"/>
        </w:rPr>
        <w:t>données d</w:t>
      </w:r>
      <w:r w:rsidR="000409D6" w:rsidRPr="008D2CC5">
        <w:rPr>
          <w:lang w:val="fr-FR"/>
        </w:rPr>
        <w:t>’</w:t>
      </w:r>
      <w:r w:rsidR="003F599B" w:rsidRPr="008D2CC5">
        <w:rPr>
          <w:lang w:val="fr-FR"/>
        </w:rPr>
        <w:t xml:space="preserve">expérience, afin </w:t>
      </w:r>
      <w:r w:rsidR="00660D92" w:rsidRPr="008D2CC5">
        <w:rPr>
          <w:lang w:val="fr-FR"/>
        </w:rPr>
        <w:t>d</w:t>
      </w:r>
      <w:r w:rsidR="000409D6" w:rsidRPr="008D2CC5">
        <w:rPr>
          <w:lang w:val="fr-FR"/>
        </w:rPr>
        <w:t>’</w:t>
      </w:r>
      <w:r w:rsidR="00660D92" w:rsidRPr="008D2CC5">
        <w:rPr>
          <w:lang w:val="fr-FR"/>
        </w:rPr>
        <w:t xml:space="preserve">assurer </w:t>
      </w:r>
      <w:r w:rsidR="003F599B" w:rsidRPr="008D2CC5">
        <w:rPr>
          <w:lang w:val="fr-FR"/>
        </w:rPr>
        <w:t>une compréhension commune des activités proposées sur le</w:t>
      </w:r>
      <w:r w:rsidR="00AE49CF" w:rsidRPr="008D2CC5">
        <w:rPr>
          <w:lang w:val="fr-FR"/>
        </w:rPr>
        <w:t> </w:t>
      </w:r>
      <w:r w:rsidR="003F599B" w:rsidRPr="008D2CC5">
        <w:rPr>
          <w:lang w:val="fr-FR"/>
        </w:rPr>
        <w:t>site contaminé</w:t>
      </w:r>
      <w:r w:rsidR="00D31AFF" w:rsidRPr="008D2CC5">
        <w:rPr>
          <w:lang w:val="fr-FR"/>
        </w:rPr>
        <w:t xml:space="preserve">. </w:t>
      </w:r>
      <w:r w:rsidR="003F599B" w:rsidRPr="008D2CC5">
        <w:rPr>
          <w:lang w:val="fr-FR"/>
        </w:rPr>
        <w:t>Ce comité peut également servir d</w:t>
      </w:r>
      <w:r w:rsidR="000409D6" w:rsidRPr="008D2CC5">
        <w:rPr>
          <w:lang w:val="fr-FR"/>
        </w:rPr>
        <w:t>’</w:t>
      </w:r>
      <w:r w:rsidR="003F599B" w:rsidRPr="008D2CC5">
        <w:rPr>
          <w:lang w:val="fr-FR"/>
        </w:rPr>
        <w:t>espace de discussion pour examiner les</w:t>
      </w:r>
      <w:r w:rsidR="00AE49CF" w:rsidRPr="008D2CC5">
        <w:rPr>
          <w:lang w:val="fr-FR"/>
        </w:rPr>
        <w:t> </w:t>
      </w:r>
      <w:r w:rsidR="003F599B" w:rsidRPr="008D2CC5">
        <w:rPr>
          <w:lang w:val="fr-FR"/>
        </w:rPr>
        <w:t>programmes de surveillance (pour les vapeurs, la poussière, etc.) qui pourraient être mis en place sur le site et dans ses environs afin de répondre aux préoccupations de la communauté durant la phase de gestion</w:t>
      </w:r>
      <w:r w:rsidR="00D31AFF" w:rsidRPr="008D2CC5">
        <w:rPr>
          <w:lang w:val="fr-FR"/>
        </w:rPr>
        <w:t>.</w:t>
      </w:r>
    </w:p>
    <w:p w14:paraId="73943AAE" w14:textId="3C6E59FD" w:rsidR="00D31AFF" w:rsidRPr="008D2CC5" w:rsidRDefault="00660D92" w:rsidP="008E43CD">
      <w:pPr>
        <w:pStyle w:val="Normalnumber"/>
        <w:numPr>
          <w:ilvl w:val="0"/>
          <w:numId w:val="5"/>
        </w:numPr>
        <w:rPr>
          <w:lang w:val="fr-FR"/>
        </w:rPr>
      </w:pPr>
      <w:r w:rsidRPr="008D2CC5">
        <w:rPr>
          <w:lang w:val="fr-FR"/>
        </w:rPr>
        <w:t>Le processus de mobilisation du public pourrait commencer par la fourniture d</w:t>
      </w:r>
      <w:r w:rsidR="000409D6" w:rsidRPr="008D2CC5">
        <w:rPr>
          <w:lang w:val="fr-FR"/>
        </w:rPr>
        <w:t>’</w:t>
      </w:r>
      <w:r w:rsidRPr="008D2CC5">
        <w:rPr>
          <w:lang w:val="fr-FR"/>
        </w:rPr>
        <w:t xml:space="preserve">informations </w:t>
      </w:r>
      <w:r w:rsidR="00394E34" w:rsidRPr="008D2CC5">
        <w:rPr>
          <w:lang w:val="fr-FR"/>
        </w:rPr>
        <w:t>à la</w:t>
      </w:r>
      <w:r w:rsidRPr="008D2CC5">
        <w:rPr>
          <w:lang w:val="fr-FR"/>
        </w:rPr>
        <w:t xml:space="preserve"> communauté concernée</w:t>
      </w:r>
      <w:r w:rsidR="00D31AFF" w:rsidRPr="008D2CC5">
        <w:rPr>
          <w:lang w:val="fr-FR"/>
        </w:rPr>
        <w:t xml:space="preserve">. </w:t>
      </w:r>
      <w:r w:rsidRPr="008D2CC5">
        <w:rPr>
          <w:lang w:val="fr-FR"/>
        </w:rPr>
        <w:t>Les informations fournies à ce stade pourraient comprendre des</w:t>
      </w:r>
      <w:r w:rsidR="00AE49CF" w:rsidRPr="008D2CC5">
        <w:rPr>
          <w:lang w:val="fr-FR"/>
        </w:rPr>
        <w:t> </w:t>
      </w:r>
      <w:r w:rsidRPr="008D2CC5">
        <w:rPr>
          <w:lang w:val="fr-FR"/>
        </w:rPr>
        <w:t xml:space="preserve">informations générales sur le site, y compris ses utilisations passées et la nature de la </w:t>
      </w:r>
      <w:r w:rsidRPr="008D2CC5">
        <w:rPr>
          <w:lang w:val="fr-FR"/>
        </w:rPr>
        <w:lastRenderedPageBreak/>
        <w:t>contamination présumée</w:t>
      </w:r>
      <w:r w:rsidR="00D31AFF" w:rsidRPr="008D2CC5">
        <w:rPr>
          <w:lang w:val="fr-FR"/>
        </w:rPr>
        <w:t xml:space="preserve">. </w:t>
      </w:r>
      <w:r w:rsidRPr="008D2CC5">
        <w:rPr>
          <w:lang w:val="fr-FR"/>
        </w:rPr>
        <w:t>Ces informations peuvent être essentielles pour assurer la coopération de la</w:t>
      </w:r>
      <w:r w:rsidR="00AE49CF" w:rsidRPr="008D2CC5">
        <w:rPr>
          <w:lang w:val="fr-FR"/>
        </w:rPr>
        <w:t> </w:t>
      </w:r>
      <w:r w:rsidRPr="008D2CC5">
        <w:rPr>
          <w:lang w:val="fr-FR"/>
        </w:rPr>
        <w:t>communauté et le respect par cette dernière des mesures prévues, en particulier les mesures initiales qu</w:t>
      </w:r>
      <w:r w:rsidR="000409D6" w:rsidRPr="008D2CC5">
        <w:rPr>
          <w:lang w:val="fr-FR"/>
        </w:rPr>
        <w:t>’</w:t>
      </w:r>
      <w:r w:rsidRPr="008D2CC5">
        <w:rPr>
          <w:lang w:val="fr-FR"/>
        </w:rPr>
        <w:t>il peut être nécessaire de prendre (par ex</w:t>
      </w:r>
      <w:r w:rsidR="00AE22EE">
        <w:rPr>
          <w:lang w:val="fr-FR"/>
        </w:rPr>
        <w:t>.</w:t>
      </w:r>
      <w:r w:rsidRPr="008D2CC5">
        <w:rPr>
          <w:lang w:val="fr-FR"/>
        </w:rPr>
        <w:t>, l</w:t>
      </w:r>
      <w:r w:rsidR="000409D6" w:rsidRPr="008D2CC5">
        <w:rPr>
          <w:lang w:val="fr-FR"/>
        </w:rPr>
        <w:t>’</w:t>
      </w:r>
      <w:r w:rsidRPr="008D2CC5">
        <w:rPr>
          <w:lang w:val="fr-FR"/>
        </w:rPr>
        <w:t>installation de barrières pour empêcher l</w:t>
      </w:r>
      <w:r w:rsidR="000409D6" w:rsidRPr="008D2CC5">
        <w:rPr>
          <w:lang w:val="fr-FR"/>
        </w:rPr>
        <w:t>’</w:t>
      </w:r>
      <w:r w:rsidRPr="008D2CC5">
        <w:rPr>
          <w:lang w:val="fr-FR"/>
        </w:rPr>
        <w:t>entrée dans les zones contaminées</w:t>
      </w:r>
      <w:r w:rsidR="00394E34" w:rsidRPr="008D2CC5">
        <w:rPr>
          <w:lang w:val="fr-FR"/>
        </w:rPr>
        <w:t>, le recouvrement des sols contaminés</w:t>
      </w:r>
      <w:r w:rsidRPr="008D2CC5">
        <w:rPr>
          <w:lang w:val="fr-FR"/>
        </w:rPr>
        <w:t>) ainsi que les activités de remise en état du site</w:t>
      </w:r>
      <w:r w:rsidR="00D31AFF" w:rsidRPr="008D2CC5">
        <w:rPr>
          <w:lang w:val="fr-FR"/>
        </w:rPr>
        <w:t xml:space="preserve">. </w:t>
      </w:r>
      <w:r w:rsidR="005D4625" w:rsidRPr="008D2CC5">
        <w:rPr>
          <w:lang w:val="fr-FR"/>
        </w:rPr>
        <w:t>Le maintien de l</w:t>
      </w:r>
      <w:r w:rsidR="000409D6" w:rsidRPr="008D2CC5">
        <w:rPr>
          <w:lang w:val="fr-FR"/>
        </w:rPr>
        <w:t>’</w:t>
      </w:r>
      <w:r w:rsidR="005D4625" w:rsidRPr="008D2CC5">
        <w:rPr>
          <w:lang w:val="fr-FR"/>
        </w:rPr>
        <w:t>activité du site pourrait rendre une telle mobilisation plus difficile</w:t>
      </w:r>
      <w:r w:rsidR="00D31AFF" w:rsidRPr="008D2CC5">
        <w:rPr>
          <w:lang w:val="fr-FR"/>
        </w:rPr>
        <w:t>.</w:t>
      </w:r>
      <w:r w:rsidR="005D4625" w:rsidRPr="008D2CC5">
        <w:rPr>
          <w:lang w:val="fr-FR"/>
        </w:rPr>
        <w:t xml:space="preserve"> </w:t>
      </w:r>
      <w:r w:rsidR="00734108" w:rsidRPr="008D2CC5">
        <w:rPr>
          <w:lang w:val="fr-FR"/>
        </w:rPr>
        <w:t>Il peut également s</w:t>
      </w:r>
      <w:r w:rsidR="000409D6" w:rsidRPr="008D2CC5">
        <w:rPr>
          <w:lang w:val="fr-FR"/>
        </w:rPr>
        <w:t>’</w:t>
      </w:r>
      <w:r w:rsidR="00734108" w:rsidRPr="008D2CC5">
        <w:rPr>
          <w:lang w:val="fr-FR"/>
        </w:rPr>
        <w:t>avérer pertinent d</w:t>
      </w:r>
      <w:r w:rsidR="000409D6" w:rsidRPr="008D2CC5">
        <w:rPr>
          <w:lang w:val="fr-FR"/>
        </w:rPr>
        <w:t>’</w:t>
      </w:r>
      <w:r w:rsidR="00734108" w:rsidRPr="008D2CC5">
        <w:rPr>
          <w:lang w:val="fr-FR"/>
        </w:rPr>
        <w:t>ajouter u</w:t>
      </w:r>
      <w:r w:rsidR="00D547CD" w:rsidRPr="008D2CC5">
        <w:rPr>
          <w:lang w:val="fr-FR"/>
        </w:rPr>
        <w:t>ne</w:t>
      </w:r>
      <w:r w:rsidR="00AE49CF" w:rsidRPr="008D2CC5">
        <w:rPr>
          <w:lang w:val="fr-FR"/>
        </w:rPr>
        <w:t> </w:t>
      </w:r>
      <w:r w:rsidR="00D547CD" w:rsidRPr="008D2CC5">
        <w:rPr>
          <w:lang w:val="fr-FR"/>
        </w:rPr>
        <w:t>déclaration sur les modalités de la participation demandée à la communauté</w:t>
      </w:r>
      <w:r w:rsidR="005D4625" w:rsidRPr="008D2CC5">
        <w:rPr>
          <w:lang w:val="fr-FR"/>
        </w:rPr>
        <w:t xml:space="preserve">, </w:t>
      </w:r>
      <w:r w:rsidR="00D547CD" w:rsidRPr="008D2CC5">
        <w:rPr>
          <w:lang w:val="fr-FR"/>
        </w:rPr>
        <w:t>ce qui aiderait</w:t>
      </w:r>
      <w:r w:rsidR="005D4625" w:rsidRPr="008D2CC5">
        <w:rPr>
          <w:lang w:val="fr-FR"/>
        </w:rPr>
        <w:t xml:space="preserve"> à établir des attentes communes </w:t>
      </w:r>
      <w:r w:rsidR="00D547CD" w:rsidRPr="008D2CC5">
        <w:rPr>
          <w:lang w:val="fr-FR"/>
        </w:rPr>
        <w:t>concernant</w:t>
      </w:r>
      <w:r w:rsidR="005D4625" w:rsidRPr="008D2CC5">
        <w:rPr>
          <w:lang w:val="fr-FR"/>
        </w:rPr>
        <w:t xml:space="preserve"> les travaux</w:t>
      </w:r>
      <w:r w:rsidR="00D547CD" w:rsidRPr="008D2CC5">
        <w:rPr>
          <w:lang w:val="fr-FR"/>
        </w:rPr>
        <w:t xml:space="preserve"> à mener</w:t>
      </w:r>
      <w:r w:rsidR="00D31AFF" w:rsidRPr="008D2CC5">
        <w:rPr>
          <w:lang w:val="fr-FR"/>
        </w:rPr>
        <w:t xml:space="preserve">. </w:t>
      </w:r>
      <w:r w:rsidR="000801BD" w:rsidRPr="008D2CC5">
        <w:rPr>
          <w:lang w:val="fr-FR"/>
        </w:rPr>
        <w:t>Un</w:t>
      </w:r>
      <w:r w:rsidR="00AE49CF" w:rsidRPr="008D2CC5">
        <w:rPr>
          <w:lang w:val="fr-FR"/>
        </w:rPr>
        <w:t> </w:t>
      </w:r>
      <w:r w:rsidR="000801BD" w:rsidRPr="008D2CC5">
        <w:rPr>
          <w:lang w:val="fr-FR"/>
        </w:rPr>
        <w:t>calendrier initial pour les activités, comprenant des délais pour la communication d</w:t>
      </w:r>
      <w:r w:rsidR="000409D6" w:rsidRPr="008D2CC5">
        <w:rPr>
          <w:lang w:val="fr-FR"/>
        </w:rPr>
        <w:t>’</w:t>
      </w:r>
      <w:r w:rsidR="000801BD" w:rsidRPr="008D2CC5">
        <w:rPr>
          <w:lang w:val="fr-FR"/>
        </w:rPr>
        <w:t xml:space="preserve">informations ou </w:t>
      </w:r>
      <w:r w:rsidR="00D547CD" w:rsidRPr="008D2CC5">
        <w:rPr>
          <w:lang w:val="fr-FR"/>
        </w:rPr>
        <w:t>l</w:t>
      </w:r>
      <w:r w:rsidR="000409D6" w:rsidRPr="008D2CC5">
        <w:rPr>
          <w:lang w:val="fr-FR"/>
        </w:rPr>
        <w:t>’</w:t>
      </w:r>
      <w:r w:rsidR="00D547CD" w:rsidRPr="008D2CC5">
        <w:rPr>
          <w:lang w:val="fr-FR"/>
        </w:rPr>
        <w:t>établissement</w:t>
      </w:r>
      <w:r w:rsidR="000801BD" w:rsidRPr="008D2CC5">
        <w:rPr>
          <w:lang w:val="fr-FR"/>
        </w:rPr>
        <w:t xml:space="preserve"> de rapports, </w:t>
      </w:r>
      <w:r w:rsidR="001808D9" w:rsidRPr="008D2CC5">
        <w:rPr>
          <w:lang w:val="fr-FR"/>
        </w:rPr>
        <w:t>peut</w:t>
      </w:r>
      <w:r w:rsidR="00D547CD" w:rsidRPr="008D2CC5">
        <w:rPr>
          <w:lang w:val="fr-FR"/>
        </w:rPr>
        <w:t xml:space="preserve"> également être établi</w:t>
      </w:r>
      <w:r w:rsidR="00D31AFF" w:rsidRPr="008D2CC5">
        <w:rPr>
          <w:lang w:val="fr-FR"/>
        </w:rPr>
        <w:t xml:space="preserve">. </w:t>
      </w:r>
      <w:r w:rsidR="00D547CD" w:rsidRPr="008D2CC5">
        <w:rPr>
          <w:lang w:val="fr-FR"/>
        </w:rPr>
        <w:t>Les informations initiales peuvent être fournies</w:t>
      </w:r>
      <w:r w:rsidR="00D31AFF" w:rsidRPr="008D2CC5">
        <w:rPr>
          <w:lang w:val="fr-FR"/>
        </w:rPr>
        <w:t xml:space="preserve"> </w:t>
      </w:r>
      <w:r w:rsidR="00D547CD" w:rsidRPr="008D2CC5">
        <w:rPr>
          <w:lang w:val="fr-FR"/>
        </w:rPr>
        <w:t>par la distribution de</w:t>
      </w:r>
      <w:r w:rsidR="00D31AFF" w:rsidRPr="008D2CC5">
        <w:rPr>
          <w:lang w:val="fr-FR"/>
        </w:rPr>
        <w:t xml:space="preserve"> </w:t>
      </w:r>
      <w:r w:rsidR="00D547CD" w:rsidRPr="008D2CC5">
        <w:rPr>
          <w:lang w:val="fr-FR"/>
        </w:rPr>
        <w:t>documents imprimés</w:t>
      </w:r>
      <w:r w:rsidR="00D31AFF" w:rsidRPr="008D2CC5">
        <w:rPr>
          <w:lang w:val="fr-FR"/>
        </w:rPr>
        <w:t xml:space="preserve"> </w:t>
      </w:r>
      <w:r w:rsidR="00D547CD" w:rsidRPr="008D2CC5">
        <w:rPr>
          <w:lang w:val="fr-FR"/>
        </w:rPr>
        <w:t>(comme des prospectus) directement au sein de la</w:t>
      </w:r>
      <w:r w:rsidR="00AE49CF" w:rsidRPr="008D2CC5">
        <w:rPr>
          <w:lang w:val="fr-FR"/>
        </w:rPr>
        <w:t> </w:t>
      </w:r>
      <w:r w:rsidR="00D547CD" w:rsidRPr="008D2CC5">
        <w:rPr>
          <w:lang w:val="fr-FR"/>
        </w:rPr>
        <w:t>communauté</w:t>
      </w:r>
      <w:r w:rsidR="0085023E" w:rsidRPr="008D2CC5">
        <w:rPr>
          <w:lang w:val="fr-FR"/>
        </w:rPr>
        <w:t>,</w:t>
      </w:r>
      <w:r w:rsidR="00D547CD" w:rsidRPr="008D2CC5">
        <w:rPr>
          <w:lang w:val="fr-FR"/>
        </w:rPr>
        <w:t xml:space="preserve"> </w:t>
      </w:r>
      <w:r w:rsidR="001808D9" w:rsidRPr="008D2CC5">
        <w:rPr>
          <w:lang w:val="fr-FR"/>
        </w:rPr>
        <w:t>dans le cadre d</w:t>
      </w:r>
      <w:r w:rsidR="000409D6" w:rsidRPr="008D2CC5">
        <w:rPr>
          <w:lang w:val="fr-FR"/>
        </w:rPr>
        <w:t>’</w:t>
      </w:r>
      <w:r w:rsidR="001808D9" w:rsidRPr="008D2CC5">
        <w:rPr>
          <w:lang w:val="fr-FR"/>
        </w:rPr>
        <w:t xml:space="preserve">ateliers, </w:t>
      </w:r>
      <w:r w:rsidR="00D547CD" w:rsidRPr="008D2CC5">
        <w:rPr>
          <w:lang w:val="fr-FR"/>
        </w:rPr>
        <w:t>par une publication dans des journaux locaux ou communautaires ou sur les sites Web concernés</w:t>
      </w:r>
      <w:r w:rsidR="00D31AFF" w:rsidRPr="008D2CC5">
        <w:rPr>
          <w:lang w:val="fr-FR"/>
        </w:rPr>
        <w:t xml:space="preserve">. </w:t>
      </w:r>
      <w:r w:rsidR="00D547CD" w:rsidRPr="008D2CC5">
        <w:rPr>
          <w:lang w:val="fr-FR"/>
        </w:rPr>
        <w:t xml:space="preserve">Il est également possible de se servir des </w:t>
      </w:r>
      <w:r w:rsidR="001808D9" w:rsidRPr="008D2CC5">
        <w:rPr>
          <w:lang w:val="fr-FR"/>
        </w:rPr>
        <w:t>sites Web</w:t>
      </w:r>
      <w:r w:rsidR="00250718">
        <w:rPr>
          <w:lang w:val="fr-FR"/>
        </w:rPr>
        <w:t xml:space="preserve"> locaux et des</w:t>
      </w:r>
      <w:r w:rsidR="001808D9" w:rsidRPr="008D2CC5">
        <w:rPr>
          <w:lang w:val="fr-FR"/>
        </w:rPr>
        <w:t xml:space="preserve"> </w:t>
      </w:r>
      <w:r w:rsidR="00D547CD" w:rsidRPr="008D2CC5">
        <w:rPr>
          <w:lang w:val="fr-FR"/>
        </w:rPr>
        <w:t>stations de radio et chaînes de télévision locales pour communiquer des informations et faire connaître les principales activités</w:t>
      </w:r>
      <w:r w:rsidR="00D31AFF" w:rsidRPr="008D2CC5">
        <w:rPr>
          <w:lang w:val="fr-FR"/>
        </w:rPr>
        <w:t xml:space="preserve">. </w:t>
      </w:r>
    </w:p>
    <w:p w14:paraId="189C13E2" w14:textId="16E69FC1" w:rsidR="00D31AFF" w:rsidRPr="008D2CC5" w:rsidRDefault="002824FD" w:rsidP="006D69D3">
      <w:pPr>
        <w:pStyle w:val="Normalnumber"/>
        <w:rPr>
          <w:lang w:val="fr-FR"/>
        </w:rPr>
      </w:pPr>
      <w:r w:rsidRPr="008D2CC5">
        <w:rPr>
          <w:lang w:val="fr-FR"/>
        </w:rPr>
        <w:t xml:space="preserve">Il est conseillé </w:t>
      </w:r>
      <w:r w:rsidR="001808D9" w:rsidRPr="008D2CC5">
        <w:rPr>
          <w:lang w:val="fr-FR"/>
        </w:rPr>
        <w:t>d</w:t>
      </w:r>
      <w:r w:rsidR="000409D6" w:rsidRPr="008D2CC5">
        <w:rPr>
          <w:lang w:val="fr-FR"/>
        </w:rPr>
        <w:t>’</w:t>
      </w:r>
      <w:r w:rsidR="001808D9" w:rsidRPr="008D2CC5">
        <w:rPr>
          <w:lang w:val="fr-FR"/>
        </w:rPr>
        <w:t>élaborer</w:t>
      </w:r>
      <w:r w:rsidR="00D31AFF" w:rsidRPr="008D2CC5">
        <w:rPr>
          <w:lang w:val="fr-FR"/>
        </w:rPr>
        <w:t xml:space="preserve"> </w:t>
      </w:r>
      <w:r w:rsidRPr="008D2CC5">
        <w:rPr>
          <w:lang w:val="fr-FR"/>
        </w:rPr>
        <w:t>un</w:t>
      </w:r>
      <w:r w:rsidR="001F4E53">
        <w:rPr>
          <w:lang w:val="fr-FR"/>
        </w:rPr>
        <w:t xml:space="preserve"> projet de</w:t>
      </w:r>
      <w:r w:rsidRPr="008D2CC5">
        <w:rPr>
          <w:lang w:val="fr-FR"/>
        </w:rPr>
        <w:t xml:space="preserve"> plan initial détaillant les modalités de mobilisation du public</w:t>
      </w:r>
      <w:r w:rsidR="00834E38">
        <w:rPr>
          <w:lang w:val="fr-FR"/>
        </w:rPr>
        <w:t xml:space="preserve"> et</w:t>
      </w:r>
      <w:r w:rsidRPr="008D2CC5">
        <w:rPr>
          <w:lang w:val="fr-FR"/>
        </w:rPr>
        <w:t xml:space="preserve"> comprenant un calendrier pour les activités de mobilisation proposées</w:t>
      </w:r>
      <w:r w:rsidR="00D31AFF" w:rsidRPr="008D2CC5">
        <w:rPr>
          <w:lang w:val="fr-FR"/>
        </w:rPr>
        <w:t xml:space="preserve">. </w:t>
      </w:r>
      <w:r w:rsidRPr="008D2CC5">
        <w:rPr>
          <w:lang w:val="fr-FR"/>
        </w:rPr>
        <w:t>Lorsque des contributions sont demandées, des informations devraient être fournies sur leurs modalités de collecte et sur la façon dont elles seront utilisées</w:t>
      </w:r>
      <w:r w:rsidR="00D31AFF" w:rsidRPr="008D2CC5">
        <w:rPr>
          <w:lang w:val="fr-FR"/>
        </w:rPr>
        <w:t xml:space="preserve">. </w:t>
      </w:r>
      <w:r w:rsidRPr="008D2CC5">
        <w:rPr>
          <w:lang w:val="fr-FR"/>
        </w:rPr>
        <w:t xml:space="preserve">Les activités de mobilisation du public </w:t>
      </w:r>
      <w:r w:rsidR="001808D9" w:rsidRPr="008D2CC5">
        <w:rPr>
          <w:lang w:val="fr-FR"/>
        </w:rPr>
        <w:t>devraient</w:t>
      </w:r>
      <w:r w:rsidRPr="008D2CC5">
        <w:rPr>
          <w:lang w:val="fr-FR"/>
        </w:rPr>
        <w:t xml:space="preserve"> comprendre des réunions publiques, qui pourront se tenir dans des locaux communautaires centraux ou, parfois, sur le site touché</w:t>
      </w:r>
      <w:r w:rsidR="00D31AFF" w:rsidRPr="008D2CC5">
        <w:rPr>
          <w:lang w:val="fr-FR"/>
        </w:rPr>
        <w:t xml:space="preserve">. </w:t>
      </w:r>
      <w:r w:rsidRPr="008D2CC5">
        <w:rPr>
          <w:lang w:val="fr-FR"/>
        </w:rPr>
        <w:t>Les réunions publiques peuvent prendre diverses formes et il pourra s</w:t>
      </w:r>
      <w:r w:rsidR="000409D6" w:rsidRPr="008D2CC5">
        <w:rPr>
          <w:lang w:val="fr-FR"/>
        </w:rPr>
        <w:t>’</w:t>
      </w:r>
      <w:r w:rsidRPr="008D2CC5">
        <w:rPr>
          <w:lang w:val="fr-FR"/>
        </w:rPr>
        <w:t>avérer utile d</w:t>
      </w:r>
      <w:r w:rsidR="000409D6" w:rsidRPr="008D2CC5">
        <w:rPr>
          <w:lang w:val="fr-FR"/>
        </w:rPr>
        <w:t>’</w:t>
      </w:r>
      <w:r w:rsidRPr="008D2CC5">
        <w:rPr>
          <w:lang w:val="fr-FR"/>
        </w:rPr>
        <w:t xml:space="preserve">organiser </w:t>
      </w:r>
      <w:r w:rsidR="001A026A" w:rsidRPr="008D2CC5">
        <w:rPr>
          <w:lang w:val="fr-FR"/>
        </w:rPr>
        <w:t>différents</w:t>
      </w:r>
      <w:r w:rsidRPr="008D2CC5">
        <w:rPr>
          <w:lang w:val="fr-FR"/>
        </w:rPr>
        <w:t xml:space="preserve"> types de réunions </w:t>
      </w:r>
      <w:r w:rsidR="001A026A" w:rsidRPr="008D2CC5">
        <w:rPr>
          <w:lang w:val="fr-FR"/>
        </w:rPr>
        <w:t>aux</w:t>
      </w:r>
      <w:r w:rsidRPr="008D2CC5">
        <w:rPr>
          <w:lang w:val="fr-FR"/>
        </w:rPr>
        <w:t xml:space="preserve"> différentes étapes des travaux</w:t>
      </w:r>
      <w:r w:rsidR="00D31AFF" w:rsidRPr="008D2CC5">
        <w:rPr>
          <w:lang w:val="fr-FR"/>
        </w:rPr>
        <w:t xml:space="preserve">. </w:t>
      </w:r>
    </w:p>
    <w:p w14:paraId="36B38385" w14:textId="5DBA512E" w:rsidR="00D31AFF" w:rsidRPr="008D2CC5" w:rsidRDefault="00D31AFF" w:rsidP="00F93F76">
      <w:pPr>
        <w:pStyle w:val="CH2"/>
        <w:rPr>
          <w:lang w:val="fr-FR"/>
        </w:rPr>
      </w:pPr>
      <w:r w:rsidRPr="008D2CC5">
        <w:rPr>
          <w:rFonts w:ascii="Arial" w:hAnsi="Arial" w:cs="Arial"/>
          <w:color w:val="000000"/>
          <w:lang w:val="fr-FR"/>
        </w:rPr>
        <w:tab/>
      </w:r>
      <w:bookmarkStart w:id="14" w:name="_Toc15920544"/>
      <w:r w:rsidRPr="008D2CC5">
        <w:rPr>
          <w:lang w:val="fr-FR"/>
        </w:rPr>
        <w:t>D.</w:t>
      </w:r>
      <w:r w:rsidRPr="008D2CC5">
        <w:rPr>
          <w:lang w:val="fr-FR"/>
        </w:rPr>
        <w:tab/>
      </w:r>
      <w:r w:rsidR="000D2DF2" w:rsidRPr="008D2CC5">
        <w:rPr>
          <w:lang w:val="fr-FR"/>
        </w:rPr>
        <w:t>Évaluations des risques pour la santé humaine et l</w:t>
      </w:r>
      <w:r w:rsidR="000409D6" w:rsidRPr="008D2CC5">
        <w:rPr>
          <w:lang w:val="fr-FR"/>
        </w:rPr>
        <w:t>’</w:t>
      </w:r>
      <w:r w:rsidR="000D2DF2" w:rsidRPr="008D2CC5">
        <w:rPr>
          <w:lang w:val="fr-FR"/>
        </w:rPr>
        <w:t>environnement</w:t>
      </w:r>
      <w:bookmarkEnd w:id="14"/>
    </w:p>
    <w:p w14:paraId="1FC9448F" w14:textId="54A29589" w:rsidR="00D31AFF" w:rsidRPr="008D2CC5" w:rsidRDefault="00F6262D" w:rsidP="008E43CD">
      <w:pPr>
        <w:pStyle w:val="Normalnumber"/>
        <w:numPr>
          <w:ilvl w:val="0"/>
          <w:numId w:val="5"/>
        </w:numPr>
        <w:rPr>
          <w:lang w:val="fr-FR"/>
        </w:rPr>
      </w:pPr>
      <w:r w:rsidRPr="008D2CC5">
        <w:rPr>
          <w:lang w:val="fr-FR"/>
        </w:rPr>
        <w:t>Une évaluation des risques aidera à répondre aux questions ci-après</w:t>
      </w:r>
      <w:r w:rsidR="000409D6" w:rsidRPr="008D2CC5">
        <w:rPr>
          <w:lang w:val="fr-FR"/>
        </w:rPr>
        <w:t> :</w:t>
      </w:r>
    </w:p>
    <w:p w14:paraId="0757E11E" w14:textId="5D1D169C" w:rsidR="00D31AFF" w:rsidRPr="008D2CC5" w:rsidRDefault="00F6262D" w:rsidP="008E43CD">
      <w:pPr>
        <w:pStyle w:val="Normalnumber"/>
        <w:numPr>
          <w:ilvl w:val="1"/>
          <w:numId w:val="5"/>
        </w:numPr>
        <w:rPr>
          <w:lang w:val="fr-FR"/>
        </w:rPr>
      </w:pPr>
      <w:r w:rsidRPr="008D2CC5">
        <w:rPr>
          <w:lang w:val="fr-FR"/>
        </w:rPr>
        <w:t>Le site présente-t-il un risque pour la population humaine et/ou le</w:t>
      </w:r>
      <w:r w:rsidR="00BD0B37" w:rsidRPr="008D2CC5">
        <w:rPr>
          <w:lang w:val="fr-FR"/>
        </w:rPr>
        <w:t> </w:t>
      </w:r>
      <w:r w:rsidRPr="008D2CC5">
        <w:rPr>
          <w:lang w:val="fr-FR"/>
        </w:rPr>
        <w:t>biote </w:t>
      </w:r>
      <w:r w:rsidR="00D31AFF" w:rsidRPr="008D2CC5">
        <w:rPr>
          <w:lang w:val="fr-FR"/>
        </w:rPr>
        <w:t>?</w:t>
      </w:r>
    </w:p>
    <w:p w14:paraId="5163F418" w14:textId="49A3C257" w:rsidR="00D31AFF" w:rsidRPr="008D2CC5" w:rsidRDefault="00F6262D" w:rsidP="008E43CD">
      <w:pPr>
        <w:pStyle w:val="Normalnumber"/>
        <w:numPr>
          <w:ilvl w:val="1"/>
          <w:numId w:val="5"/>
        </w:numPr>
        <w:rPr>
          <w:lang w:val="fr-FR"/>
        </w:rPr>
      </w:pPr>
      <w:r w:rsidRPr="008D2CC5">
        <w:rPr>
          <w:lang w:val="fr-FR"/>
        </w:rPr>
        <w:t>Quelle est l</w:t>
      </w:r>
      <w:r w:rsidR="000409D6" w:rsidRPr="008D2CC5">
        <w:rPr>
          <w:lang w:val="fr-FR"/>
        </w:rPr>
        <w:t>’</w:t>
      </w:r>
      <w:r w:rsidRPr="008D2CC5">
        <w:rPr>
          <w:lang w:val="fr-FR"/>
        </w:rPr>
        <w:t>ampleur du risque </w:t>
      </w:r>
      <w:r w:rsidR="00D31AFF" w:rsidRPr="008D2CC5">
        <w:rPr>
          <w:lang w:val="fr-FR"/>
        </w:rPr>
        <w:t>?</w:t>
      </w:r>
    </w:p>
    <w:p w14:paraId="02981F67" w14:textId="6CC3ACC6" w:rsidR="00D31AFF" w:rsidRPr="008D2CC5" w:rsidRDefault="00F6262D" w:rsidP="008E43CD">
      <w:pPr>
        <w:pStyle w:val="Normalnumber"/>
        <w:numPr>
          <w:ilvl w:val="1"/>
          <w:numId w:val="5"/>
        </w:numPr>
        <w:rPr>
          <w:lang w:val="fr-FR"/>
        </w:rPr>
      </w:pPr>
      <w:r w:rsidRPr="008D2CC5">
        <w:rPr>
          <w:lang w:val="fr-FR"/>
        </w:rPr>
        <w:t xml:space="preserve">Le </w:t>
      </w:r>
      <w:r w:rsidR="001A026A" w:rsidRPr="008D2CC5">
        <w:rPr>
          <w:lang w:val="fr-FR"/>
        </w:rPr>
        <w:t xml:space="preserve">risque associé au </w:t>
      </w:r>
      <w:r w:rsidRPr="008D2CC5">
        <w:rPr>
          <w:lang w:val="fr-FR"/>
        </w:rPr>
        <w:t xml:space="preserve">site peut-il être géré de manière adéquate sans remise en état </w:t>
      </w:r>
      <w:r w:rsidR="00B04DC7" w:rsidRPr="008D2CC5">
        <w:rPr>
          <w:lang w:val="fr-FR"/>
        </w:rPr>
        <w:t>(</w:t>
      </w:r>
      <w:r w:rsidRPr="008D2CC5">
        <w:rPr>
          <w:lang w:val="fr-FR"/>
        </w:rPr>
        <w:t>à</w:t>
      </w:r>
      <w:r w:rsidR="00BD0B37" w:rsidRPr="008D2CC5">
        <w:rPr>
          <w:lang w:val="fr-FR"/>
        </w:rPr>
        <w:t> </w:t>
      </w:r>
      <w:r w:rsidRPr="008D2CC5">
        <w:rPr>
          <w:lang w:val="fr-FR"/>
        </w:rPr>
        <w:t>court terme </w:t>
      </w:r>
      <w:r w:rsidR="00AD7D57" w:rsidRPr="008D2CC5">
        <w:rPr>
          <w:lang w:val="fr-FR"/>
        </w:rPr>
        <w:t>ou s</w:t>
      </w:r>
      <w:r w:rsidRPr="008D2CC5">
        <w:rPr>
          <w:lang w:val="fr-FR"/>
        </w:rPr>
        <w:t>ur une plus longue période</w:t>
      </w:r>
      <w:r w:rsidR="00B04DC7" w:rsidRPr="008D2CC5">
        <w:rPr>
          <w:lang w:val="fr-FR"/>
        </w:rPr>
        <w:t xml:space="preserve">) </w:t>
      </w:r>
      <w:r w:rsidRPr="008D2CC5">
        <w:rPr>
          <w:lang w:val="fr-FR"/>
        </w:rPr>
        <w:t>ou le site devrait-il être remis en état afin de réduire le</w:t>
      </w:r>
      <w:r w:rsidR="00BD0B37" w:rsidRPr="008D2CC5">
        <w:rPr>
          <w:lang w:val="fr-FR"/>
        </w:rPr>
        <w:t> </w:t>
      </w:r>
      <w:r w:rsidRPr="008D2CC5">
        <w:rPr>
          <w:lang w:val="fr-FR"/>
        </w:rPr>
        <w:t>risqu</w:t>
      </w:r>
      <w:r w:rsidR="00AD7D57" w:rsidRPr="008D2CC5">
        <w:rPr>
          <w:lang w:val="fr-FR"/>
        </w:rPr>
        <w:t xml:space="preserve">e (à court </w:t>
      </w:r>
      <w:r w:rsidR="006E6E8E">
        <w:rPr>
          <w:lang w:val="fr-FR"/>
        </w:rPr>
        <w:t xml:space="preserve">ou long </w:t>
      </w:r>
      <w:r w:rsidR="00AD7D57" w:rsidRPr="008D2CC5">
        <w:rPr>
          <w:lang w:val="fr-FR"/>
        </w:rPr>
        <w:t>terme)</w:t>
      </w:r>
      <w:r w:rsidRPr="008D2CC5">
        <w:rPr>
          <w:lang w:val="fr-FR"/>
        </w:rPr>
        <w:t> </w:t>
      </w:r>
      <w:r w:rsidR="00D31AFF" w:rsidRPr="008D2CC5">
        <w:rPr>
          <w:lang w:val="fr-FR"/>
        </w:rPr>
        <w:t>?</w:t>
      </w:r>
    </w:p>
    <w:p w14:paraId="20F96E5D" w14:textId="41D3A6C6" w:rsidR="00D31AFF" w:rsidRPr="008D2CC5" w:rsidRDefault="00F6262D" w:rsidP="008E43CD">
      <w:pPr>
        <w:pStyle w:val="Normalnumber"/>
        <w:numPr>
          <w:ilvl w:val="1"/>
          <w:numId w:val="5"/>
        </w:numPr>
        <w:rPr>
          <w:lang w:val="fr-FR"/>
        </w:rPr>
      </w:pPr>
      <w:r w:rsidRPr="008D2CC5">
        <w:rPr>
          <w:lang w:val="fr-FR"/>
        </w:rPr>
        <w:t>Si le site n</w:t>
      </w:r>
      <w:r w:rsidR="000409D6" w:rsidRPr="008D2CC5">
        <w:rPr>
          <w:lang w:val="fr-FR"/>
        </w:rPr>
        <w:t>’</w:t>
      </w:r>
      <w:r w:rsidRPr="008D2CC5">
        <w:rPr>
          <w:lang w:val="fr-FR"/>
        </w:rPr>
        <w:t>est pas remis en état, le risque pourrait-il augmenter et/ou se propager </w:t>
      </w:r>
      <w:r w:rsidR="00D31AFF" w:rsidRPr="008D2CC5">
        <w:rPr>
          <w:lang w:val="fr-FR"/>
        </w:rPr>
        <w:t>?</w:t>
      </w:r>
    </w:p>
    <w:p w14:paraId="1C0BA541" w14:textId="132C84C7" w:rsidR="00D31AFF" w:rsidRPr="008D2CC5" w:rsidRDefault="00F6262D" w:rsidP="006D69D3">
      <w:pPr>
        <w:pStyle w:val="Normalnumber"/>
        <w:rPr>
          <w:lang w:val="fr-FR"/>
        </w:rPr>
      </w:pPr>
      <w:r w:rsidRPr="008D2CC5">
        <w:rPr>
          <w:lang w:val="fr-FR"/>
        </w:rPr>
        <w:t>L</w:t>
      </w:r>
      <w:r w:rsidR="000409D6" w:rsidRPr="008D2CC5">
        <w:rPr>
          <w:lang w:val="fr-FR"/>
        </w:rPr>
        <w:t>’</w:t>
      </w:r>
      <w:r w:rsidRPr="008D2CC5">
        <w:rPr>
          <w:lang w:val="fr-FR"/>
        </w:rPr>
        <w:t>évaluation des risques est un processus qui estime l</w:t>
      </w:r>
      <w:r w:rsidR="000409D6" w:rsidRPr="008D2CC5">
        <w:rPr>
          <w:lang w:val="fr-FR"/>
        </w:rPr>
        <w:t>’</w:t>
      </w:r>
      <w:r w:rsidRPr="008D2CC5">
        <w:rPr>
          <w:lang w:val="fr-FR"/>
        </w:rPr>
        <w:t>ampleur et la probabilité des effets néfastes d</w:t>
      </w:r>
      <w:r w:rsidR="000409D6" w:rsidRPr="008D2CC5">
        <w:rPr>
          <w:lang w:val="fr-FR"/>
        </w:rPr>
        <w:t>’</w:t>
      </w:r>
      <w:r w:rsidRPr="008D2CC5">
        <w:rPr>
          <w:lang w:val="fr-FR"/>
        </w:rPr>
        <w:t>une contamination</w:t>
      </w:r>
      <w:r w:rsidR="008A2DD1" w:rsidRPr="008D2CC5">
        <w:rPr>
          <w:lang w:val="fr-FR"/>
        </w:rPr>
        <w:t xml:space="preserve"> pour la santé humaine </w:t>
      </w:r>
      <w:r w:rsidR="00210BC6">
        <w:rPr>
          <w:lang w:val="fr-FR"/>
        </w:rPr>
        <w:t xml:space="preserve">et </w:t>
      </w:r>
      <w:r w:rsidR="008A2DD1" w:rsidRPr="008D2CC5">
        <w:rPr>
          <w:lang w:val="fr-FR"/>
        </w:rPr>
        <w:t>l</w:t>
      </w:r>
      <w:r w:rsidR="000409D6" w:rsidRPr="008D2CC5">
        <w:rPr>
          <w:lang w:val="fr-FR"/>
        </w:rPr>
        <w:t>’</w:t>
      </w:r>
      <w:r w:rsidR="008A2DD1" w:rsidRPr="008D2CC5">
        <w:rPr>
          <w:lang w:val="fr-FR"/>
        </w:rPr>
        <w:t>environnement</w:t>
      </w:r>
      <w:r w:rsidR="00D31AFF" w:rsidRPr="008D2CC5">
        <w:rPr>
          <w:lang w:val="fr-FR"/>
        </w:rPr>
        <w:t xml:space="preserve">. </w:t>
      </w:r>
      <w:r w:rsidRPr="008D2CC5">
        <w:rPr>
          <w:lang w:val="fr-FR"/>
        </w:rPr>
        <w:t>En conséquence</w:t>
      </w:r>
      <w:r w:rsidR="00D31AFF" w:rsidRPr="008D2CC5">
        <w:rPr>
          <w:lang w:val="fr-FR"/>
        </w:rPr>
        <w:t>,</w:t>
      </w:r>
      <w:r w:rsidRPr="008D2CC5">
        <w:rPr>
          <w:lang w:val="fr-FR"/>
        </w:rPr>
        <w:t xml:space="preserve"> il s</w:t>
      </w:r>
      <w:r w:rsidR="000409D6" w:rsidRPr="008D2CC5">
        <w:rPr>
          <w:lang w:val="fr-FR"/>
        </w:rPr>
        <w:t>’</w:t>
      </w:r>
      <w:r w:rsidRPr="008D2CC5">
        <w:rPr>
          <w:lang w:val="fr-FR"/>
        </w:rPr>
        <w:t>agit d</w:t>
      </w:r>
      <w:r w:rsidR="000409D6" w:rsidRPr="008D2CC5">
        <w:rPr>
          <w:lang w:val="fr-FR"/>
        </w:rPr>
        <w:t>’</w:t>
      </w:r>
      <w:r w:rsidRPr="008D2CC5">
        <w:rPr>
          <w:lang w:val="fr-FR"/>
        </w:rPr>
        <w:t>un</w:t>
      </w:r>
      <w:r w:rsidR="00D31AFF" w:rsidRPr="008D2CC5">
        <w:rPr>
          <w:lang w:val="fr-FR"/>
        </w:rPr>
        <w:t xml:space="preserve"> instrument </w:t>
      </w:r>
      <w:r w:rsidRPr="008D2CC5">
        <w:rPr>
          <w:lang w:val="fr-FR"/>
        </w:rPr>
        <w:t>pouvant aider à déterminer si</w:t>
      </w:r>
      <w:r w:rsidR="00BD0B37" w:rsidRPr="008D2CC5">
        <w:rPr>
          <w:lang w:val="fr-FR"/>
        </w:rPr>
        <w:t> </w:t>
      </w:r>
      <w:r w:rsidRPr="008D2CC5">
        <w:rPr>
          <w:lang w:val="fr-FR"/>
        </w:rPr>
        <w:t>des mesures environnementales peuvent être efficaces sur un site contaminé et, le cas échéant, quels types de mesure il convient d</w:t>
      </w:r>
      <w:r w:rsidR="000409D6" w:rsidRPr="008D2CC5">
        <w:rPr>
          <w:lang w:val="fr-FR"/>
        </w:rPr>
        <w:t>’</w:t>
      </w:r>
      <w:r w:rsidRPr="008D2CC5">
        <w:rPr>
          <w:lang w:val="fr-FR"/>
        </w:rPr>
        <w:t>envisager</w:t>
      </w:r>
      <w:r w:rsidR="00D31AFF" w:rsidRPr="008D2CC5">
        <w:rPr>
          <w:lang w:val="fr-FR"/>
        </w:rPr>
        <w:t xml:space="preserve">. </w:t>
      </w:r>
    </w:p>
    <w:p w14:paraId="05CF7354" w14:textId="1631210D" w:rsidR="00D31AFF" w:rsidRPr="008D2CC5" w:rsidRDefault="00083FFE" w:rsidP="008E43CD">
      <w:pPr>
        <w:pStyle w:val="Normalnumber"/>
        <w:numPr>
          <w:ilvl w:val="0"/>
          <w:numId w:val="5"/>
        </w:numPr>
        <w:rPr>
          <w:lang w:val="fr-FR"/>
        </w:rPr>
      </w:pPr>
      <w:r w:rsidRPr="008D2CC5">
        <w:rPr>
          <w:lang w:val="fr-FR"/>
        </w:rPr>
        <w:t>Une évaluation des risques peut être utilisée pour aider à définir des objectifs de remise en état ou de gestion pour un</w:t>
      </w:r>
      <w:r w:rsidR="00D31AFF" w:rsidRPr="008D2CC5">
        <w:rPr>
          <w:lang w:val="fr-FR"/>
        </w:rPr>
        <w:t xml:space="preserve"> site, </w:t>
      </w:r>
      <w:r w:rsidRPr="008D2CC5">
        <w:rPr>
          <w:lang w:val="fr-FR"/>
        </w:rPr>
        <w:t>comme</w:t>
      </w:r>
      <w:r w:rsidR="005712DE">
        <w:rPr>
          <w:lang w:val="fr-FR"/>
        </w:rPr>
        <w:t> :</w:t>
      </w:r>
      <w:r w:rsidRPr="008D2CC5">
        <w:rPr>
          <w:lang w:val="fr-FR"/>
        </w:rPr>
        <w:t xml:space="preserve"> </w:t>
      </w:r>
      <w:r w:rsidR="00D31AFF" w:rsidRPr="008D2CC5">
        <w:rPr>
          <w:lang w:val="fr-FR"/>
        </w:rPr>
        <w:t xml:space="preserve">a) </w:t>
      </w:r>
      <w:r w:rsidRPr="008D2CC5">
        <w:rPr>
          <w:lang w:val="fr-FR"/>
        </w:rPr>
        <w:t>atteindre les limites maximales acceptables établies soit par la</w:t>
      </w:r>
      <w:r w:rsidR="00BD0B37" w:rsidRPr="008D2CC5">
        <w:rPr>
          <w:lang w:val="fr-FR"/>
        </w:rPr>
        <w:t> </w:t>
      </w:r>
      <w:r w:rsidRPr="008D2CC5">
        <w:rPr>
          <w:lang w:val="fr-FR"/>
        </w:rPr>
        <w:t>législation nationale ou locale soit par des autorités compétentes</w:t>
      </w:r>
      <w:r w:rsidR="00202994">
        <w:rPr>
          <w:lang w:val="fr-FR"/>
        </w:rPr>
        <w:t> ;</w:t>
      </w:r>
      <w:r w:rsidRPr="008D2CC5">
        <w:rPr>
          <w:lang w:val="fr-FR"/>
        </w:rPr>
        <w:t xml:space="preserve"> ou</w:t>
      </w:r>
      <w:r w:rsidR="00D31AFF" w:rsidRPr="008D2CC5">
        <w:rPr>
          <w:lang w:val="fr-FR"/>
        </w:rPr>
        <w:t xml:space="preserve"> b) </w:t>
      </w:r>
      <w:r w:rsidRPr="008D2CC5">
        <w:rPr>
          <w:lang w:val="fr-FR"/>
        </w:rPr>
        <w:t xml:space="preserve">atteindre des limites spécifiques </w:t>
      </w:r>
      <w:r w:rsidR="00826977" w:rsidRPr="008D2CC5">
        <w:rPr>
          <w:lang w:val="fr-FR"/>
        </w:rPr>
        <w:t xml:space="preserve">fondées sur le risque et </w:t>
      </w:r>
      <w:r w:rsidRPr="008D2CC5">
        <w:rPr>
          <w:lang w:val="fr-FR"/>
        </w:rPr>
        <w:t>fixées pour le site sur la base de l</w:t>
      </w:r>
      <w:r w:rsidR="000409D6" w:rsidRPr="008D2CC5">
        <w:rPr>
          <w:lang w:val="fr-FR"/>
        </w:rPr>
        <w:t>’</w:t>
      </w:r>
      <w:r w:rsidRPr="008D2CC5">
        <w:rPr>
          <w:lang w:val="fr-FR"/>
        </w:rPr>
        <w:t>évaluation</w:t>
      </w:r>
      <w:r w:rsidR="00D31AFF" w:rsidRPr="008D2CC5">
        <w:rPr>
          <w:lang w:val="fr-FR"/>
        </w:rPr>
        <w:t>.</w:t>
      </w:r>
      <w:r w:rsidR="00826977" w:rsidRPr="008D2CC5">
        <w:rPr>
          <w:lang w:val="fr-FR"/>
        </w:rPr>
        <w:t xml:space="preserve"> </w:t>
      </w:r>
      <w:r w:rsidR="00F94A27" w:rsidRPr="008D2CC5">
        <w:rPr>
          <w:lang w:val="fr-FR"/>
        </w:rPr>
        <w:t xml:space="preserve">Afin </w:t>
      </w:r>
      <w:r w:rsidR="006E19C5" w:rsidRPr="008D2CC5">
        <w:rPr>
          <w:lang w:val="fr-FR"/>
        </w:rPr>
        <w:t>d</w:t>
      </w:r>
      <w:r w:rsidR="000409D6" w:rsidRPr="008D2CC5">
        <w:rPr>
          <w:lang w:val="fr-FR"/>
        </w:rPr>
        <w:t>’</w:t>
      </w:r>
      <w:r w:rsidR="006E19C5" w:rsidRPr="008D2CC5">
        <w:rPr>
          <w:lang w:val="fr-FR"/>
        </w:rPr>
        <w:t xml:space="preserve">appuyer la prise de décisions justifiées fondées sur le risque et </w:t>
      </w:r>
      <w:r w:rsidR="00202994">
        <w:rPr>
          <w:lang w:val="fr-FR"/>
        </w:rPr>
        <w:t>la</w:t>
      </w:r>
      <w:r w:rsidR="006E19C5" w:rsidRPr="008D2CC5">
        <w:rPr>
          <w:lang w:val="fr-FR"/>
        </w:rPr>
        <w:t xml:space="preserve"> gestion durable des risques</w:t>
      </w:r>
      <w:r w:rsidR="00010014" w:rsidRPr="008D2CC5">
        <w:rPr>
          <w:rStyle w:val="FootnoteReference"/>
          <w:lang w:val="fr-FR"/>
        </w:rPr>
        <w:footnoteReference w:id="10"/>
      </w:r>
      <w:r w:rsidR="006E19C5" w:rsidRPr="008D2CC5">
        <w:rPr>
          <w:lang w:val="fr-FR"/>
        </w:rPr>
        <w:t>, une évaluation propre au site</w:t>
      </w:r>
      <w:r w:rsidR="00202994">
        <w:rPr>
          <w:lang w:val="fr-FR"/>
        </w:rPr>
        <w:t>,</w:t>
      </w:r>
      <w:r w:rsidR="006E19C5" w:rsidRPr="008D2CC5">
        <w:rPr>
          <w:lang w:val="fr-FR"/>
        </w:rPr>
        <w:t xml:space="preserve"> reposant sur un modèle conceptuel de site bien défini (</w:t>
      </w:r>
      <w:r w:rsidR="0003344D" w:rsidRPr="008D2CC5">
        <w:rPr>
          <w:lang w:val="fr-FR"/>
        </w:rPr>
        <w:t>c</w:t>
      </w:r>
      <w:r w:rsidR="000409D6" w:rsidRPr="008D2CC5">
        <w:rPr>
          <w:lang w:val="fr-FR"/>
        </w:rPr>
        <w:t>’</w:t>
      </w:r>
      <w:r w:rsidR="0003344D" w:rsidRPr="008D2CC5">
        <w:rPr>
          <w:lang w:val="fr-FR"/>
        </w:rPr>
        <w:t>est-à-dire décrivant le lien entre sources, voies et récepteurs)</w:t>
      </w:r>
      <w:r w:rsidR="00202994">
        <w:rPr>
          <w:lang w:val="fr-FR"/>
        </w:rPr>
        <w:t xml:space="preserve"> et tenant compte des conditions locales du site et de ses valeurs de référence,</w:t>
      </w:r>
      <w:r w:rsidR="0003344D" w:rsidRPr="008D2CC5">
        <w:rPr>
          <w:lang w:val="fr-FR"/>
        </w:rPr>
        <w:t xml:space="preserve"> pourrait constituer l</w:t>
      </w:r>
      <w:r w:rsidR="000409D6" w:rsidRPr="008D2CC5">
        <w:rPr>
          <w:lang w:val="fr-FR"/>
        </w:rPr>
        <w:t>’</w:t>
      </w:r>
      <w:r w:rsidR="0003344D" w:rsidRPr="008D2CC5">
        <w:rPr>
          <w:lang w:val="fr-FR"/>
        </w:rPr>
        <w:t>outil principal pour déterminer la pertinence de la prise de mesures de gestion des risques.</w:t>
      </w:r>
    </w:p>
    <w:p w14:paraId="02880049" w14:textId="6AFD8B27" w:rsidR="00D31AFF" w:rsidRPr="008D2CC5" w:rsidRDefault="00E81129" w:rsidP="008E43CD">
      <w:pPr>
        <w:pStyle w:val="Normalnumber"/>
        <w:numPr>
          <w:ilvl w:val="0"/>
          <w:numId w:val="5"/>
        </w:numPr>
        <w:rPr>
          <w:lang w:val="fr-FR"/>
        </w:rPr>
      </w:pPr>
      <w:r w:rsidRPr="008D2CC5">
        <w:rPr>
          <w:lang w:val="fr-FR"/>
        </w:rPr>
        <w:t>Une évaluation des risques est</w:t>
      </w:r>
      <w:r w:rsidR="00D31AFF" w:rsidRPr="008D2CC5">
        <w:rPr>
          <w:lang w:val="fr-FR"/>
        </w:rPr>
        <w:t xml:space="preserve"> </w:t>
      </w:r>
      <w:r w:rsidRPr="008D2CC5">
        <w:rPr>
          <w:lang w:val="fr-FR"/>
        </w:rPr>
        <w:t>généralement composée de quatre étapes clairement définies et assorties d</w:t>
      </w:r>
      <w:r w:rsidR="000409D6" w:rsidRPr="008D2CC5">
        <w:rPr>
          <w:lang w:val="fr-FR"/>
        </w:rPr>
        <w:t>’</w:t>
      </w:r>
      <w:r w:rsidRPr="008D2CC5">
        <w:rPr>
          <w:lang w:val="fr-FR"/>
        </w:rPr>
        <w:t>objectifs spécifiques</w:t>
      </w:r>
      <w:r w:rsidR="007E444E" w:rsidRPr="008D2CC5">
        <w:rPr>
          <w:lang w:val="fr-FR"/>
        </w:rPr>
        <w:t>, afin de définir les dangers et la relation entre les doses et les risques</w:t>
      </w:r>
      <w:r w:rsidR="009E3F82">
        <w:rPr>
          <w:lang w:val="fr-FR"/>
        </w:rPr>
        <w:t xml:space="preserve"> posés</w:t>
      </w:r>
      <w:r w:rsidR="007E444E" w:rsidRPr="008D2CC5">
        <w:rPr>
          <w:lang w:val="fr-FR"/>
        </w:rPr>
        <w:t xml:space="preserve"> et de mesurer l</w:t>
      </w:r>
      <w:r w:rsidR="000409D6" w:rsidRPr="008D2CC5">
        <w:rPr>
          <w:lang w:val="fr-FR"/>
        </w:rPr>
        <w:t>’</w:t>
      </w:r>
      <w:r w:rsidR="007E444E" w:rsidRPr="008D2CC5">
        <w:rPr>
          <w:lang w:val="fr-FR"/>
        </w:rPr>
        <w:t>ampleur de l</w:t>
      </w:r>
      <w:r w:rsidR="000409D6" w:rsidRPr="008D2CC5">
        <w:rPr>
          <w:lang w:val="fr-FR"/>
        </w:rPr>
        <w:t>’</w:t>
      </w:r>
      <w:r w:rsidR="007E444E" w:rsidRPr="008D2CC5">
        <w:rPr>
          <w:lang w:val="fr-FR"/>
        </w:rPr>
        <w:t>exposition pour déterminer le niveau de risque et estimer l</w:t>
      </w:r>
      <w:r w:rsidR="000409D6" w:rsidRPr="008D2CC5">
        <w:rPr>
          <w:lang w:val="fr-FR"/>
        </w:rPr>
        <w:t>’</w:t>
      </w:r>
      <w:r w:rsidR="007E444E" w:rsidRPr="008D2CC5">
        <w:rPr>
          <w:lang w:val="fr-FR"/>
        </w:rPr>
        <w:t>impact sur les récepteurs exposés</w:t>
      </w:r>
      <w:r w:rsidR="000409D6" w:rsidRPr="008D2CC5">
        <w:rPr>
          <w:lang w:val="fr-FR"/>
        </w:rPr>
        <w:t> :</w:t>
      </w:r>
    </w:p>
    <w:p w14:paraId="367FAEC9" w14:textId="2E6D630C" w:rsidR="00D31AFF" w:rsidRPr="008D2CC5" w:rsidRDefault="00D31AFF" w:rsidP="008E43CD">
      <w:pPr>
        <w:pStyle w:val="Normalnumber"/>
        <w:numPr>
          <w:ilvl w:val="1"/>
          <w:numId w:val="5"/>
        </w:numPr>
        <w:rPr>
          <w:lang w:val="fr-FR"/>
        </w:rPr>
      </w:pPr>
      <w:r w:rsidRPr="008D2CC5">
        <w:rPr>
          <w:i/>
          <w:iCs/>
          <w:lang w:val="fr-FR"/>
        </w:rPr>
        <w:t xml:space="preserve">Identification </w:t>
      </w:r>
      <w:r w:rsidR="001861DD" w:rsidRPr="008D2CC5">
        <w:rPr>
          <w:i/>
          <w:iCs/>
          <w:lang w:val="fr-FR"/>
        </w:rPr>
        <w:t>et</w:t>
      </w:r>
      <w:r w:rsidRPr="008D2CC5">
        <w:rPr>
          <w:i/>
          <w:iCs/>
          <w:lang w:val="fr-FR"/>
        </w:rPr>
        <w:t xml:space="preserve"> caract</w:t>
      </w:r>
      <w:r w:rsidR="001861DD" w:rsidRPr="008D2CC5">
        <w:rPr>
          <w:i/>
          <w:iCs/>
          <w:lang w:val="fr-FR"/>
        </w:rPr>
        <w:t>é</w:t>
      </w:r>
      <w:r w:rsidRPr="008D2CC5">
        <w:rPr>
          <w:i/>
          <w:iCs/>
          <w:lang w:val="fr-FR"/>
        </w:rPr>
        <w:t>ri</w:t>
      </w:r>
      <w:r w:rsidR="001861DD" w:rsidRPr="008D2CC5">
        <w:rPr>
          <w:i/>
          <w:iCs/>
          <w:lang w:val="fr-FR"/>
        </w:rPr>
        <w:t>s</w:t>
      </w:r>
      <w:r w:rsidRPr="008D2CC5">
        <w:rPr>
          <w:i/>
          <w:iCs/>
          <w:lang w:val="fr-FR"/>
        </w:rPr>
        <w:t xml:space="preserve">ation </w:t>
      </w:r>
      <w:r w:rsidR="001861DD" w:rsidRPr="008D2CC5">
        <w:rPr>
          <w:i/>
          <w:iCs/>
          <w:lang w:val="fr-FR"/>
        </w:rPr>
        <w:t xml:space="preserve">de </w:t>
      </w:r>
      <w:r w:rsidR="00420A86" w:rsidRPr="008D2CC5">
        <w:rPr>
          <w:i/>
          <w:iCs/>
          <w:lang w:val="fr-FR"/>
        </w:rPr>
        <w:t>la portée</w:t>
      </w:r>
      <w:r w:rsidR="00C72BFB">
        <w:rPr>
          <w:i/>
          <w:iCs/>
          <w:lang w:val="fr-FR"/>
        </w:rPr>
        <w:t xml:space="preserve"> du risque</w:t>
      </w:r>
      <w:r w:rsidRPr="008D2CC5">
        <w:rPr>
          <w:i/>
          <w:iCs/>
          <w:lang w:val="fr-FR"/>
        </w:rPr>
        <w:t xml:space="preserve"> </w:t>
      </w:r>
      <w:r w:rsidR="00B94668" w:rsidRPr="00355EFB">
        <w:rPr>
          <w:iCs/>
          <w:lang w:val="fr-FR"/>
        </w:rPr>
        <w:t>(</w:t>
      </w:r>
      <w:r w:rsidR="001861DD" w:rsidRPr="00355EFB">
        <w:rPr>
          <w:iCs/>
          <w:lang w:val="fr-FR"/>
        </w:rPr>
        <w:t>par exemple</w:t>
      </w:r>
      <w:r w:rsidR="00B94668" w:rsidRPr="00355EFB">
        <w:rPr>
          <w:iCs/>
          <w:lang w:val="fr-FR"/>
        </w:rPr>
        <w:t>,</w:t>
      </w:r>
      <w:r w:rsidRPr="00355EFB">
        <w:rPr>
          <w:iCs/>
          <w:lang w:val="fr-FR"/>
        </w:rPr>
        <w:t xml:space="preserve"> </w:t>
      </w:r>
      <w:r w:rsidR="00FF64F4" w:rsidRPr="00355EFB">
        <w:rPr>
          <w:iCs/>
          <w:lang w:val="fr-FR"/>
        </w:rPr>
        <w:t>ampleur de la</w:t>
      </w:r>
      <w:r w:rsidRPr="00355EFB">
        <w:rPr>
          <w:iCs/>
          <w:lang w:val="fr-FR"/>
        </w:rPr>
        <w:t xml:space="preserve"> contamination</w:t>
      </w:r>
      <w:r w:rsidR="00B94668" w:rsidRPr="00355EFB">
        <w:rPr>
          <w:iCs/>
          <w:lang w:val="fr-FR"/>
        </w:rPr>
        <w:t>,</w:t>
      </w:r>
      <w:r w:rsidRPr="00355EFB">
        <w:rPr>
          <w:iCs/>
          <w:lang w:val="fr-FR"/>
        </w:rPr>
        <w:t xml:space="preserve"> proximit</w:t>
      </w:r>
      <w:r w:rsidR="00FF64F4" w:rsidRPr="00355EFB">
        <w:rPr>
          <w:iCs/>
          <w:lang w:val="fr-FR"/>
        </w:rPr>
        <w:t>é</w:t>
      </w:r>
      <w:r w:rsidRPr="00355EFB">
        <w:rPr>
          <w:iCs/>
          <w:lang w:val="fr-FR"/>
        </w:rPr>
        <w:t xml:space="preserve"> </w:t>
      </w:r>
      <w:r w:rsidR="00FF64F4" w:rsidRPr="00355EFB">
        <w:rPr>
          <w:iCs/>
          <w:lang w:val="fr-FR"/>
        </w:rPr>
        <w:t>des</w:t>
      </w:r>
      <w:r w:rsidRPr="00355EFB">
        <w:rPr>
          <w:iCs/>
          <w:lang w:val="fr-FR"/>
        </w:rPr>
        <w:t xml:space="preserve"> populations</w:t>
      </w:r>
      <w:r w:rsidR="00FF64F4" w:rsidRPr="00355EFB">
        <w:rPr>
          <w:iCs/>
          <w:lang w:val="fr-FR"/>
        </w:rPr>
        <w:t xml:space="preserve"> humaines</w:t>
      </w:r>
      <w:r w:rsidRPr="00355EFB">
        <w:rPr>
          <w:iCs/>
          <w:lang w:val="fr-FR"/>
        </w:rPr>
        <w:t xml:space="preserve">, </w:t>
      </w:r>
      <w:r w:rsidR="00FF64F4" w:rsidRPr="00355EFB">
        <w:rPr>
          <w:iCs/>
          <w:lang w:val="fr-FR"/>
        </w:rPr>
        <w:t>profondeur des eaux souterraines</w:t>
      </w:r>
      <w:r w:rsidRPr="00355EFB">
        <w:rPr>
          <w:iCs/>
          <w:lang w:val="fr-FR"/>
        </w:rPr>
        <w:t>, proximit</w:t>
      </w:r>
      <w:r w:rsidR="00FF64F4" w:rsidRPr="00355EFB">
        <w:rPr>
          <w:iCs/>
          <w:lang w:val="fr-FR"/>
        </w:rPr>
        <w:t>é</w:t>
      </w:r>
      <w:r w:rsidRPr="00355EFB">
        <w:rPr>
          <w:iCs/>
          <w:lang w:val="fr-FR"/>
        </w:rPr>
        <w:t xml:space="preserve"> </w:t>
      </w:r>
      <w:r w:rsidR="00FF64F4" w:rsidRPr="00355EFB">
        <w:rPr>
          <w:iCs/>
          <w:lang w:val="fr-FR"/>
        </w:rPr>
        <w:t>des eaux de</w:t>
      </w:r>
      <w:r w:rsidRPr="00355EFB">
        <w:rPr>
          <w:iCs/>
          <w:lang w:val="fr-FR"/>
        </w:rPr>
        <w:t xml:space="preserve"> surface </w:t>
      </w:r>
      <w:r w:rsidR="00FF64F4" w:rsidRPr="00355EFB">
        <w:rPr>
          <w:iCs/>
          <w:lang w:val="fr-FR"/>
        </w:rPr>
        <w:t>ou</w:t>
      </w:r>
      <w:r w:rsidRPr="00355EFB">
        <w:rPr>
          <w:iCs/>
          <w:lang w:val="fr-FR"/>
        </w:rPr>
        <w:t xml:space="preserve"> </w:t>
      </w:r>
      <w:r w:rsidR="00107D04" w:rsidRPr="00355EFB">
        <w:rPr>
          <w:iCs/>
          <w:lang w:val="fr-FR"/>
        </w:rPr>
        <w:t xml:space="preserve">des </w:t>
      </w:r>
      <w:r w:rsidRPr="00355EFB">
        <w:rPr>
          <w:iCs/>
          <w:lang w:val="fr-FR"/>
        </w:rPr>
        <w:t>habitats</w:t>
      </w:r>
      <w:r w:rsidR="00FF64F4" w:rsidRPr="00355EFB">
        <w:rPr>
          <w:iCs/>
          <w:lang w:val="fr-FR"/>
        </w:rPr>
        <w:t xml:space="preserve"> sensibles</w:t>
      </w:r>
      <w:r w:rsidR="00B94668" w:rsidRPr="00355EFB">
        <w:rPr>
          <w:iCs/>
          <w:lang w:val="fr-FR"/>
        </w:rPr>
        <w:t>)</w:t>
      </w:r>
      <w:r w:rsidR="000409D6" w:rsidRPr="008D2CC5">
        <w:rPr>
          <w:i/>
          <w:iCs/>
          <w:lang w:val="fr-FR"/>
        </w:rPr>
        <w:t> :</w:t>
      </w:r>
      <w:r w:rsidRPr="008D2CC5">
        <w:rPr>
          <w:lang w:val="fr-FR"/>
        </w:rPr>
        <w:t xml:space="preserve"> </w:t>
      </w:r>
      <w:r w:rsidR="00FF64F4" w:rsidRPr="008D2CC5">
        <w:rPr>
          <w:lang w:val="fr-FR"/>
        </w:rPr>
        <w:t>l</w:t>
      </w:r>
      <w:r w:rsidR="000409D6" w:rsidRPr="008D2CC5">
        <w:rPr>
          <w:lang w:val="fr-FR"/>
        </w:rPr>
        <w:t>’</w:t>
      </w:r>
      <w:r w:rsidR="00FF64F4" w:rsidRPr="008D2CC5">
        <w:rPr>
          <w:lang w:val="fr-FR"/>
        </w:rPr>
        <w:t>évaluation des risques peut viser les</w:t>
      </w:r>
      <w:r w:rsidR="00BD0B37" w:rsidRPr="008D2CC5">
        <w:rPr>
          <w:lang w:val="fr-FR"/>
        </w:rPr>
        <w:t> </w:t>
      </w:r>
      <w:r w:rsidR="00FF64F4" w:rsidRPr="008D2CC5">
        <w:rPr>
          <w:lang w:val="fr-FR"/>
        </w:rPr>
        <w:t>effets sur la santé humaine, les animaux terrestres et le biote aquatique du mercure élémentaire, des</w:t>
      </w:r>
      <w:r w:rsidR="00BD0B37" w:rsidRPr="008D2CC5">
        <w:rPr>
          <w:lang w:val="fr-FR"/>
        </w:rPr>
        <w:t> </w:t>
      </w:r>
      <w:r w:rsidR="00FF64F4" w:rsidRPr="008D2CC5">
        <w:rPr>
          <w:lang w:val="fr-FR"/>
        </w:rPr>
        <w:t xml:space="preserve">composés inorganiques du mercure et du </w:t>
      </w:r>
      <w:proofErr w:type="spellStart"/>
      <w:r w:rsidR="00FF64F4" w:rsidRPr="008D2CC5">
        <w:rPr>
          <w:lang w:val="fr-FR"/>
        </w:rPr>
        <w:t>méthylmercure</w:t>
      </w:r>
      <w:proofErr w:type="spellEnd"/>
      <w:r w:rsidR="00B94668" w:rsidRPr="008D2CC5">
        <w:rPr>
          <w:lang w:val="fr-FR"/>
        </w:rPr>
        <w:t>,</w:t>
      </w:r>
      <w:r w:rsidR="00FF64F4" w:rsidRPr="008D2CC5">
        <w:rPr>
          <w:lang w:val="fr-FR"/>
        </w:rPr>
        <w:t xml:space="preserve"> ainsi que d</w:t>
      </w:r>
      <w:r w:rsidR="000409D6" w:rsidRPr="008D2CC5">
        <w:rPr>
          <w:lang w:val="fr-FR"/>
        </w:rPr>
        <w:t>’</w:t>
      </w:r>
      <w:r w:rsidR="00FF64F4" w:rsidRPr="008D2CC5">
        <w:rPr>
          <w:lang w:val="fr-FR"/>
        </w:rPr>
        <w:t xml:space="preserve">autres </w:t>
      </w:r>
      <w:r w:rsidRPr="008D2CC5">
        <w:rPr>
          <w:lang w:val="fr-FR"/>
        </w:rPr>
        <w:t xml:space="preserve">contaminants. </w:t>
      </w:r>
      <w:r w:rsidR="00FF64F4" w:rsidRPr="008D2CC5">
        <w:rPr>
          <w:lang w:val="fr-FR"/>
        </w:rPr>
        <w:t>La</w:t>
      </w:r>
      <w:r w:rsidR="00BD0B37" w:rsidRPr="008D2CC5">
        <w:rPr>
          <w:lang w:val="fr-FR"/>
        </w:rPr>
        <w:t> </w:t>
      </w:r>
      <w:r w:rsidR="00FF64F4" w:rsidRPr="008D2CC5">
        <w:rPr>
          <w:lang w:val="fr-FR"/>
        </w:rPr>
        <w:t xml:space="preserve">santé humaine sera </w:t>
      </w:r>
      <w:r w:rsidR="00FF64F4" w:rsidRPr="008D2CC5">
        <w:rPr>
          <w:lang w:val="fr-FR"/>
        </w:rPr>
        <w:lastRenderedPageBreak/>
        <w:t>souvent la priorité</w:t>
      </w:r>
      <w:r w:rsidRPr="008D2CC5">
        <w:rPr>
          <w:lang w:val="fr-FR"/>
        </w:rPr>
        <w:t>.</w:t>
      </w:r>
      <w:r w:rsidR="00B94668" w:rsidRPr="008D2CC5">
        <w:rPr>
          <w:lang w:val="fr-FR"/>
        </w:rPr>
        <w:t xml:space="preserve"> </w:t>
      </w:r>
      <w:r w:rsidR="00FF64F4" w:rsidRPr="008D2CC5">
        <w:rPr>
          <w:lang w:val="fr-FR"/>
        </w:rPr>
        <w:t>La portée d</w:t>
      </w:r>
      <w:r w:rsidR="000409D6" w:rsidRPr="008D2CC5">
        <w:rPr>
          <w:lang w:val="fr-FR"/>
        </w:rPr>
        <w:t>’</w:t>
      </w:r>
      <w:r w:rsidR="00FF64F4" w:rsidRPr="008D2CC5">
        <w:rPr>
          <w:lang w:val="fr-FR"/>
        </w:rPr>
        <w:t>une évaluation des risques est déterminée par les besoins</w:t>
      </w:r>
      <w:r w:rsidR="00B94668" w:rsidRPr="008D2CC5">
        <w:rPr>
          <w:lang w:val="fr-FR"/>
        </w:rPr>
        <w:t xml:space="preserve"> </w:t>
      </w:r>
      <w:r w:rsidR="00FF64F4" w:rsidRPr="008D2CC5">
        <w:rPr>
          <w:lang w:val="fr-FR"/>
        </w:rPr>
        <w:t>propres au site</w:t>
      </w:r>
      <w:r w:rsidR="000409D6" w:rsidRPr="008D2CC5">
        <w:rPr>
          <w:lang w:val="fr-FR"/>
        </w:rPr>
        <w:t> ;</w:t>
      </w:r>
    </w:p>
    <w:p w14:paraId="5B612CB0" w14:textId="64475A59" w:rsidR="00D31AFF" w:rsidRPr="008D2CC5" w:rsidRDefault="00D31AFF" w:rsidP="008E43CD">
      <w:pPr>
        <w:pStyle w:val="Normalnumber"/>
        <w:numPr>
          <w:ilvl w:val="1"/>
          <w:numId w:val="5"/>
        </w:numPr>
        <w:rPr>
          <w:lang w:val="fr-FR"/>
        </w:rPr>
      </w:pPr>
      <w:r w:rsidRPr="008D2CC5">
        <w:rPr>
          <w:i/>
          <w:iCs/>
          <w:lang w:val="fr-FR"/>
        </w:rPr>
        <w:t>Analys</w:t>
      </w:r>
      <w:r w:rsidR="00FF64F4" w:rsidRPr="008D2CC5">
        <w:rPr>
          <w:i/>
          <w:iCs/>
          <w:lang w:val="fr-FR"/>
        </w:rPr>
        <w:t>e du niveau de danger et de la toxicité</w:t>
      </w:r>
      <w:r w:rsidR="000409D6" w:rsidRPr="008D2CC5">
        <w:rPr>
          <w:i/>
          <w:iCs/>
          <w:lang w:val="fr-FR"/>
        </w:rPr>
        <w:t> :</w:t>
      </w:r>
      <w:r w:rsidRPr="008D2CC5">
        <w:rPr>
          <w:lang w:val="fr-FR"/>
        </w:rPr>
        <w:t xml:space="preserve"> </w:t>
      </w:r>
      <w:r w:rsidR="00FF64F4" w:rsidRPr="008D2CC5">
        <w:rPr>
          <w:lang w:val="fr-FR"/>
        </w:rPr>
        <w:t xml:space="preserve">les dangers du mercure et des composés du mercure sont largement reconnus, </w:t>
      </w:r>
      <w:r w:rsidR="003D08BF" w:rsidRPr="008D2CC5">
        <w:rPr>
          <w:lang w:val="fr-FR"/>
        </w:rPr>
        <w:t>des informations scientifiques détaillées étant disponibles concernant les effets d</w:t>
      </w:r>
      <w:r w:rsidR="000409D6" w:rsidRPr="008D2CC5">
        <w:rPr>
          <w:lang w:val="fr-FR"/>
        </w:rPr>
        <w:t>’</w:t>
      </w:r>
      <w:r w:rsidR="003D08BF" w:rsidRPr="008D2CC5">
        <w:rPr>
          <w:lang w:val="fr-FR"/>
        </w:rPr>
        <w:t>une exposition au mercure</w:t>
      </w:r>
      <w:r w:rsidRPr="008D2CC5">
        <w:rPr>
          <w:lang w:val="fr-FR"/>
        </w:rPr>
        <w:t xml:space="preserve"> (</w:t>
      </w:r>
      <w:r w:rsidR="00F20C36" w:rsidRPr="008D2CC5">
        <w:rPr>
          <w:lang w:val="fr-FR"/>
        </w:rPr>
        <w:t>OMS</w:t>
      </w:r>
      <w:r w:rsidRPr="008D2CC5">
        <w:rPr>
          <w:lang w:val="fr-FR"/>
        </w:rPr>
        <w:t>, 2017).</w:t>
      </w:r>
      <w:r w:rsidR="00152CD3" w:rsidRPr="008D2CC5">
        <w:rPr>
          <w:lang w:val="fr-FR"/>
        </w:rPr>
        <w:t xml:space="preserve"> </w:t>
      </w:r>
      <w:r w:rsidR="003D08BF" w:rsidRPr="008D2CC5">
        <w:rPr>
          <w:lang w:val="fr-FR"/>
        </w:rPr>
        <w:t>Les effets environnementaux d</w:t>
      </w:r>
      <w:r w:rsidR="000409D6" w:rsidRPr="008D2CC5">
        <w:rPr>
          <w:lang w:val="fr-FR"/>
        </w:rPr>
        <w:t>’</w:t>
      </w:r>
      <w:r w:rsidR="003D08BF" w:rsidRPr="008D2CC5">
        <w:rPr>
          <w:lang w:val="fr-FR"/>
        </w:rPr>
        <w:t>une</w:t>
      </w:r>
      <w:r w:rsidR="00BD0B37" w:rsidRPr="008D2CC5">
        <w:rPr>
          <w:lang w:val="fr-FR"/>
        </w:rPr>
        <w:t> </w:t>
      </w:r>
      <w:r w:rsidR="003D08BF" w:rsidRPr="008D2CC5">
        <w:rPr>
          <w:lang w:val="fr-FR"/>
        </w:rPr>
        <w:t>exposition au mercure, notamment sur les grands prédateurs potentiellement soumis à une forte exposition du fait de leur alimentation, peuvent comprendre une baisse de la reproduction et de l</w:t>
      </w:r>
      <w:r w:rsidR="000409D6" w:rsidRPr="008D2CC5">
        <w:rPr>
          <w:lang w:val="fr-FR"/>
        </w:rPr>
        <w:t>’</w:t>
      </w:r>
      <w:r w:rsidR="003D08BF" w:rsidRPr="008D2CC5">
        <w:rPr>
          <w:lang w:val="fr-FR"/>
        </w:rPr>
        <w:t>aptitude à la chasse</w:t>
      </w:r>
      <w:r w:rsidR="000409D6" w:rsidRPr="008D2CC5">
        <w:rPr>
          <w:lang w:val="fr-FR"/>
        </w:rPr>
        <w:t> ;</w:t>
      </w:r>
    </w:p>
    <w:p w14:paraId="39FC3A59" w14:textId="69BD6835" w:rsidR="00D31AFF" w:rsidRPr="008D2CC5" w:rsidRDefault="00D31AFF" w:rsidP="008E43CD">
      <w:pPr>
        <w:pStyle w:val="Normalnumber"/>
        <w:numPr>
          <w:ilvl w:val="1"/>
          <w:numId w:val="5"/>
        </w:numPr>
        <w:rPr>
          <w:lang w:val="fr-FR"/>
        </w:rPr>
      </w:pPr>
      <w:r w:rsidRPr="008D2CC5">
        <w:rPr>
          <w:i/>
          <w:iCs/>
          <w:lang w:val="fr-FR"/>
        </w:rPr>
        <w:t>Analys</w:t>
      </w:r>
      <w:r w:rsidR="003D08BF" w:rsidRPr="008D2CC5">
        <w:rPr>
          <w:i/>
          <w:iCs/>
          <w:lang w:val="fr-FR"/>
        </w:rPr>
        <w:t>e de l</w:t>
      </w:r>
      <w:r w:rsidR="000409D6" w:rsidRPr="008D2CC5">
        <w:rPr>
          <w:i/>
          <w:iCs/>
          <w:lang w:val="fr-FR"/>
        </w:rPr>
        <w:t>’</w:t>
      </w:r>
      <w:r w:rsidR="003D08BF" w:rsidRPr="008D2CC5">
        <w:rPr>
          <w:i/>
          <w:iCs/>
          <w:lang w:val="fr-FR"/>
        </w:rPr>
        <w:t>exposition</w:t>
      </w:r>
      <w:r w:rsidR="000409D6" w:rsidRPr="008D2CC5">
        <w:rPr>
          <w:i/>
          <w:iCs/>
          <w:lang w:val="fr-FR"/>
        </w:rPr>
        <w:t> :</w:t>
      </w:r>
      <w:r w:rsidRPr="008D2CC5">
        <w:rPr>
          <w:lang w:val="fr-FR"/>
        </w:rPr>
        <w:t xml:space="preserve"> </w:t>
      </w:r>
      <w:r w:rsidR="003D08BF" w:rsidRPr="008D2CC5">
        <w:rPr>
          <w:lang w:val="fr-FR"/>
        </w:rPr>
        <w:t>l</w:t>
      </w:r>
      <w:r w:rsidR="000409D6" w:rsidRPr="008D2CC5">
        <w:rPr>
          <w:lang w:val="fr-FR"/>
        </w:rPr>
        <w:t>’</w:t>
      </w:r>
      <w:r w:rsidR="003D08BF" w:rsidRPr="008D2CC5">
        <w:rPr>
          <w:lang w:val="fr-FR"/>
        </w:rPr>
        <w:t>objectif est d</w:t>
      </w:r>
      <w:r w:rsidR="000409D6" w:rsidRPr="008D2CC5">
        <w:rPr>
          <w:lang w:val="fr-FR"/>
        </w:rPr>
        <w:t>’</w:t>
      </w:r>
      <w:r w:rsidR="003D08BF" w:rsidRPr="008D2CC5">
        <w:rPr>
          <w:lang w:val="fr-FR"/>
        </w:rPr>
        <w:t>estimer</w:t>
      </w:r>
      <w:r w:rsidRPr="008D2CC5">
        <w:rPr>
          <w:lang w:val="fr-FR"/>
        </w:rPr>
        <w:t xml:space="preserve"> </w:t>
      </w:r>
      <w:r w:rsidR="003D08BF" w:rsidRPr="008D2CC5">
        <w:rPr>
          <w:lang w:val="fr-FR"/>
        </w:rPr>
        <w:t>le taux de contact entre les</w:t>
      </w:r>
      <w:r w:rsidR="00BD0B37" w:rsidRPr="008D2CC5">
        <w:rPr>
          <w:lang w:val="fr-FR"/>
        </w:rPr>
        <w:t> </w:t>
      </w:r>
      <w:r w:rsidR="003D08BF" w:rsidRPr="008D2CC5">
        <w:rPr>
          <w:lang w:val="fr-FR"/>
        </w:rPr>
        <w:t>contaminants identifiés et les êtres humains ou l</w:t>
      </w:r>
      <w:r w:rsidR="000409D6" w:rsidRPr="008D2CC5">
        <w:rPr>
          <w:lang w:val="fr-FR"/>
        </w:rPr>
        <w:t>’</w:t>
      </w:r>
      <w:r w:rsidR="003D08BF" w:rsidRPr="008D2CC5">
        <w:rPr>
          <w:lang w:val="fr-FR"/>
        </w:rPr>
        <w:t>environnement</w:t>
      </w:r>
      <w:r w:rsidRPr="008D2CC5">
        <w:rPr>
          <w:lang w:val="fr-FR"/>
        </w:rPr>
        <w:t>.</w:t>
      </w:r>
      <w:r w:rsidR="003D08BF" w:rsidRPr="008D2CC5">
        <w:rPr>
          <w:lang w:val="fr-FR"/>
        </w:rPr>
        <w:t xml:space="preserve"> L</w:t>
      </w:r>
      <w:r w:rsidR="000409D6" w:rsidRPr="008D2CC5">
        <w:rPr>
          <w:lang w:val="fr-FR"/>
        </w:rPr>
        <w:t>’</w:t>
      </w:r>
      <w:r w:rsidR="003D08BF" w:rsidRPr="008D2CC5">
        <w:rPr>
          <w:lang w:val="fr-FR"/>
        </w:rPr>
        <w:t>analyse est fondée sur une</w:t>
      </w:r>
      <w:r w:rsidR="00BD0B37" w:rsidRPr="008D2CC5">
        <w:rPr>
          <w:lang w:val="fr-FR"/>
        </w:rPr>
        <w:t> </w:t>
      </w:r>
      <w:r w:rsidR="003D08BF" w:rsidRPr="008D2CC5">
        <w:rPr>
          <w:lang w:val="fr-FR"/>
        </w:rPr>
        <w:t>description des scénarios d</w:t>
      </w:r>
      <w:r w:rsidR="000409D6" w:rsidRPr="008D2CC5">
        <w:rPr>
          <w:lang w:val="fr-FR"/>
        </w:rPr>
        <w:t>’</w:t>
      </w:r>
      <w:r w:rsidR="003D08BF" w:rsidRPr="008D2CC5">
        <w:rPr>
          <w:lang w:val="fr-FR"/>
        </w:rPr>
        <w:t>exposition réels et possibles, ainsi que sur une caractérisation de la</w:t>
      </w:r>
      <w:r w:rsidR="00BD0B37" w:rsidRPr="008D2CC5">
        <w:rPr>
          <w:lang w:val="fr-FR"/>
        </w:rPr>
        <w:t> </w:t>
      </w:r>
      <w:r w:rsidR="003D08BF" w:rsidRPr="008D2CC5">
        <w:rPr>
          <w:lang w:val="fr-FR"/>
        </w:rPr>
        <w:t>nature et de l</w:t>
      </w:r>
      <w:r w:rsidR="000409D6" w:rsidRPr="008D2CC5">
        <w:rPr>
          <w:lang w:val="fr-FR"/>
        </w:rPr>
        <w:t>’</w:t>
      </w:r>
      <w:r w:rsidR="003D08BF" w:rsidRPr="008D2CC5">
        <w:rPr>
          <w:lang w:val="fr-FR"/>
        </w:rPr>
        <w:t>ampleur de la</w:t>
      </w:r>
      <w:r w:rsidRPr="008D2CC5">
        <w:rPr>
          <w:lang w:val="fr-FR"/>
        </w:rPr>
        <w:t xml:space="preserve"> contamination. </w:t>
      </w:r>
      <w:r w:rsidR="007740B9" w:rsidRPr="008D2CC5">
        <w:rPr>
          <w:lang w:val="fr-FR"/>
        </w:rPr>
        <w:t>Elle peut nécessiter des mesures de l</w:t>
      </w:r>
      <w:r w:rsidR="000409D6" w:rsidRPr="008D2CC5">
        <w:rPr>
          <w:lang w:val="fr-FR"/>
        </w:rPr>
        <w:t>’</w:t>
      </w:r>
      <w:r w:rsidR="007740B9" w:rsidRPr="008D2CC5">
        <w:rPr>
          <w:lang w:val="fr-FR"/>
        </w:rPr>
        <w:t>exposition, notamment des analyses des systèmes d</w:t>
      </w:r>
      <w:r w:rsidR="000409D6" w:rsidRPr="008D2CC5">
        <w:rPr>
          <w:lang w:val="fr-FR"/>
        </w:rPr>
        <w:t>’</w:t>
      </w:r>
      <w:r w:rsidR="007740B9" w:rsidRPr="008D2CC5">
        <w:rPr>
          <w:lang w:val="fr-FR"/>
        </w:rPr>
        <w:t>adduction d</w:t>
      </w:r>
      <w:r w:rsidR="000409D6" w:rsidRPr="008D2CC5">
        <w:rPr>
          <w:lang w:val="fr-FR"/>
        </w:rPr>
        <w:t>’</w:t>
      </w:r>
      <w:r w:rsidR="007740B9" w:rsidRPr="008D2CC5">
        <w:rPr>
          <w:lang w:val="fr-FR"/>
        </w:rPr>
        <w:t>eau, des aliments cultivés localement, des</w:t>
      </w:r>
      <w:r w:rsidR="00BD0B37" w:rsidRPr="008D2CC5">
        <w:rPr>
          <w:lang w:val="fr-FR"/>
        </w:rPr>
        <w:t> </w:t>
      </w:r>
      <w:r w:rsidR="007740B9" w:rsidRPr="008D2CC5">
        <w:rPr>
          <w:lang w:val="fr-FR"/>
        </w:rPr>
        <w:t>poissons et des fruits de mer ainsi que du cuir chevelu et de l</w:t>
      </w:r>
      <w:r w:rsidR="000409D6" w:rsidRPr="008D2CC5">
        <w:rPr>
          <w:lang w:val="fr-FR"/>
        </w:rPr>
        <w:t>’</w:t>
      </w:r>
      <w:r w:rsidR="007740B9" w:rsidRPr="008D2CC5">
        <w:rPr>
          <w:lang w:val="fr-FR"/>
        </w:rPr>
        <w:t>urine des êtres humains</w:t>
      </w:r>
      <w:r w:rsidRPr="008D2CC5">
        <w:rPr>
          <w:lang w:val="fr-FR"/>
        </w:rPr>
        <w:t>.</w:t>
      </w:r>
      <w:r w:rsidR="007740B9" w:rsidRPr="008D2CC5">
        <w:rPr>
          <w:lang w:val="fr-FR"/>
        </w:rPr>
        <w:t xml:space="preserve"> Les mesures des </w:t>
      </w:r>
      <w:r w:rsidR="007315D9" w:rsidRPr="008D2CC5">
        <w:rPr>
          <w:lang w:val="fr-FR"/>
        </w:rPr>
        <w:t>concentrations</w:t>
      </w:r>
      <w:r w:rsidR="007740B9" w:rsidRPr="008D2CC5">
        <w:rPr>
          <w:lang w:val="fr-FR"/>
        </w:rPr>
        <w:t xml:space="preserve"> de mercure dans les sédiments, les poissons et d</w:t>
      </w:r>
      <w:r w:rsidR="000409D6" w:rsidRPr="008D2CC5">
        <w:rPr>
          <w:lang w:val="fr-FR"/>
        </w:rPr>
        <w:t>’</w:t>
      </w:r>
      <w:r w:rsidR="007740B9" w:rsidRPr="008D2CC5">
        <w:rPr>
          <w:lang w:val="fr-FR"/>
        </w:rPr>
        <w:t>autres biotes peuvent révéler des</w:t>
      </w:r>
      <w:r w:rsidR="00AE49CF" w:rsidRPr="008D2CC5">
        <w:rPr>
          <w:lang w:val="fr-FR"/>
        </w:rPr>
        <w:t> </w:t>
      </w:r>
      <w:r w:rsidR="007740B9" w:rsidRPr="008D2CC5">
        <w:rPr>
          <w:lang w:val="fr-FR"/>
        </w:rPr>
        <w:t>effets écologiques potentiels</w:t>
      </w:r>
      <w:r w:rsidR="000409D6" w:rsidRPr="008D2CC5">
        <w:rPr>
          <w:lang w:val="fr-FR"/>
        </w:rPr>
        <w:t> ;</w:t>
      </w:r>
    </w:p>
    <w:p w14:paraId="1C573D14" w14:textId="01324CDA" w:rsidR="00D31AFF" w:rsidRPr="008D2CC5" w:rsidRDefault="00D31AFF" w:rsidP="008E43CD">
      <w:pPr>
        <w:pStyle w:val="Normalnumber"/>
        <w:numPr>
          <w:ilvl w:val="1"/>
          <w:numId w:val="5"/>
        </w:numPr>
        <w:rPr>
          <w:lang w:val="fr-FR"/>
        </w:rPr>
      </w:pPr>
      <w:r w:rsidRPr="008D2CC5">
        <w:rPr>
          <w:i/>
          <w:iCs/>
          <w:lang w:val="fr-FR"/>
        </w:rPr>
        <w:t>Analys</w:t>
      </w:r>
      <w:r w:rsidR="007A075B" w:rsidRPr="008D2CC5">
        <w:rPr>
          <w:i/>
          <w:iCs/>
          <w:lang w:val="fr-FR"/>
        </w:rPr>
        <w:t>e des risques</w:t>
      </w:r>
      <w:r w:rsidR="000409D6" w:rsidRPr="008D2CC5">
        <w:rPr>
          <w:i/>
          <w:iCs/>
          <w:lang w:val="fr-FR"/>
        </w:rPr>
        <w:t> :</w:t>
      </w:r>
      <w:r w:rsidRPr="008D2CC5">
        <w:rPr>
          <w:lang w:val="fr-FR"/>
        </w:rPr>
        <w:t xml:space="preserve"> </w:t>
      </w:r>
      <w:r w:rsidR="007A075B" w:rsidRPr="008D2CC5">
        <w:rPr>
          <w:lang w:val="fr-FR"/>
        </w:rPr>
        <w:t>les résultats des étapes précédentes sont combinés pour estimer de manière objective la probabilité d</w:t>
      </w:r>
      <w:r w:rsidR="000409D6" w:rsidRPr="008D2CC5">
        <w:rPr>
          <w:lang w:val="fr-FR"/>
        </w:rPr>
        <w:t>’</w:t>
      </w:r>
      <w:r w:rsidR="007A075B" w:rsidRPr="008D2CC5">
        <w:rPr>
          <w:lang w:val="fr-FR"/>
        </w:rPr>
        <w:t>effets néfastes sur les éléments protégés dans les conditions spécifiques du site</w:t>
      </w:r>
      <w:r w:rsidRPr="008D2CC5">
        <w:rPr>
          <w:lang w:val="fr-FR"/>
        </w:rPr>
        <w:t>.</w:t>
      </w:r>
    </w:p>
    <w:p w14:paraId="59CEEC73" w14:textId="47758FA5" w:rsidR="00D31AFF" w:rsidRPr="008D2CC5" w:rsidRDefault="00940CE5" w:rsidP="008E43CD">
      <w:pPr>
        <w:pStyle w:val="Normalnumber"/>
        <w:numPr>
          <w:ilvl w:val="0"/>
          <w:numId w:val="5"/>
        </w:numPr>
        <w:rPr>
          <w:lang w:val="fr-FR"/>
        </w:rPr>
      </w:pPr>
      <w:r w:rsidRPr="008D2CC5">
        <w:rPr>
          <w:lang w:val="fr-FR"/>
        </w:rPr>
        <w:t xml:space="preserve">Les sites contaminés </w:t>
      </w:r>
      <w:r w:rsidR="008A46B8" w:rsidRPr="008D2CC5">
        <w:rPr>
          <w:lang w:val="fr-FR"/>
        </w:rPr>
        <w:t>pourraient</w:t>
      </w:r>
      <w:r w:rsidRPr="008D2CC5">
        <w:rPr>
          <w:lang w:val="fr-FR"/>
        </w:rPr>
        <w:t xml:space="preserve"> causer une augmentation des concentrations locales de mercure, ce qui peut présenter des risques pour les êtres humains et l</w:t>
      </w:r>
      <w:r w:rsidR="000409D6" w:rsidRPr="008D2CC5">
        <w:rPr>
          <w:lang w:val="fr-FR"/>
        </w:rPr>
        <w:t>’</w:t>
      </w:r>
      <w:r w:rsidRPr="008D2CC5">
        <w:rPr>
          <w:lang w:val="fr-FR"/>
        </w:rPr>
        <w:t>environnement</w:t>
      </w:r>
      <w:r w:rsidR="00D31AFF" w:rsidRPr="008D2CC5">
        <w:rPr>
          <w:lang w:val="fr-FR"/>
        </w:rPr>
        <w:t xml:space="preserve">. </w:t>
      </w:r>
      <w:r w:rsidRPr="008D2CC5">
        <w:rPr>
          <w:lang w:val="fr-FR"/>
        </w:rPr>
        <w:t>L</w:t>
      </w:r>
      <w:r w:rsidR="000409D6" w:rsidRPr="008D2CC5">
        <w:rPr>
          <w:lang w:val="fr-FR"/>
        </w:rPr>
        <w:t>’</w:t>
      </w:r>
      <w:r w:rsidRPr="008D2CC5">
        <w:rPr>
          <w:lang w:val="fr-FR"/>
        </w:rPr>
        <w:t>utilisation d</w:t>
      </w:r>
      <w:r w:rsidR="000409D6" w:rsidRPr="008D2CC5">
        <w:rPr>
          <w:lang w:val="fr-FR"/>
        </w:rPr>
        <w:t>’</w:t>
      </w:r>
      <w:r w:rsidRPr="008D2CC5">
        <w:rPr>
          <w:lang w:val="fr-FR"/>
        </w:rPr>
        <w:t>eaux souterraines ou de surface contaminées comme sources d</w:t>
      </w:r>
      <w:r w:rsidR="000409D6" w:rsidRPr="008D2CC5">
        <w:rPr>
          <w:lang w:val="fr-FR"/>
        </w:rPr>
        <w:t>’</w:t>
      </w:r>
      <w:r w:rsidRPr="008D2CC5">
        <w:rPr>
          <w:lang w:val="fr-FR"/>
        </w:rPr>
        <w:t xml:space="preserve">eau de boisson peut entraîner </w:t>
      </w:r>
      <w:r w:rsidR="000C34EA">
        <w:rPr>
          <w:lang w:val="fr-FR"/>
        </w:rPr>
        <w:t xml:space="preserve">des </w:t>
      </w:r>
      <w:r w:rsidRPr="008D2CC5">
        <w:rPr>
          <w:lang w:val="fr-FR"/>
        </w:rPr>
        <w:t>exposition</w:t>
      </w:r>
      <w:r w:rsidR="000C34EA">
        <w:rPr>
          <w:lang w:val="fr-FR"/>
        </w:rPr>
        <w:t>s</w:t>
      </w:r>
      <w:r w:rsidRPr="008D2CC5">
        <w:rPr>
          <w:lang w:val="fr-FR"/>
        </w:rPr>
        <w:t xml:space="preserve"> à long terme, de même que la consommation de poissons et de fruits de mer provenant d</w:t>
      </w:r>
      <w:r w:rsidR="000409D6" w:rsidRPr="008D2CC5">
        <w:rPr>
          <w:lang w:val="fr-FR"/>
        </w:rPr>
        <w:t>’</w:t>
      </w:r>
      <w:r w:rsidRPr="008D2CC5">
        <w:rPr>
          <w:lang w:val="fr-FR"/>
        </w:rPr>
        <w:t>eaux de surface contaminées</w:t>
      </w:r>
      <w:r w:rsidR="00D31AFF" w:rsidRPr="008D2CC5">
        <w:rPr>
          <w:lang w:val="fr-FR"/>
        </w:rPr>
        <w:t xml:space="preserve">. </w:t>
      </w:r>
      <w:r w:rsidRPr="008D2CC5">
        <w:rPr>
          <w:lang w:val="fr-FR"/>
        </w:rPr>
        <w:t>Les aliments cultivés sur un site contaminé ou près d</w:t>
      </w:r>
      <w:r w:rsidR="000409D6" w:rsidRPr="008D2CC5">
        <w:rPr>
          <w:lang w:val="fr-FR"/>
        </w:rPr>
        <w:t>’</w:t>
      </w:r>
      <w:r w:rsidRPr="008D2CC5">
        <w:rPr>
          <w:lang w:val="fr-FR"/>
        </w:rPr>
        <w:t>un tel site peuvent également absorber des contaminants</w:t>
      </w:r>
      <w:r w:rsidR="00D31AFF" w:rsidRPr="008D2CC5">
        <w:rPr>
          <w:lang w:val="fr-FR"/>
        </w:rPr>
        <w:t xml:space="preserve">. </w:t>
      </w:r>
      <w:r w:rsidRPr="008D2CC5">
        <w:rPr>
          <w:lang w:val="fr-FR"/>
        </w:rPr>
        <w:t>Les sols contaminés par du mercure peuvent produire des vapeurs souterraines (également appelées vapeurs</w:t>
      </w:r>
      <w:r w:rsidR="005B7CFB" w:rsidRPr="008D2CC5">
        <w:rPr>
          <w:lang w:val="fr-FR"/>
        </w:rPr>
        <w:t xml:space="preserve"> émanant</w:t>
      </w:r>
      <w:r w:rsidRPr="008D2CC5">
        <w:rPr>
          <w:lang w:val="fr-FR"/>
        </w:rPr>
        <w:t xml:space="preserve"> du sol) qui peuvent remonter dans les bâtiments construits en surface, devenant ainsi des sources </w:t>
      </w:r>
      <w:r w:rsidR="005B7CFB" w:rsidRPr="008D2CC5">
        <w:rPr>
          <w:lang w:val="fr-FR"/>
        </w:rPr>
        <w:t>importantes</w:t>
      </w:r>
      <w:r w:rsidRPr="008D2CC5">
        <w:rPr>
          <w:lang w:val="fr-FR"/>
        </w:rPr>
        <w:t xml:space="preserve"> d</w:t>
      </w:r>
      <w:r w:rsidR="000409D6" w:rsidRPr="008D2CC5">
        <w:rPr>
          <w:lang w:val="fr-FR"/>
        </w:rPr>
        <w:t>’</w:t>
      </w:r>
      <w:r w:rsidRPr="008D2CC5">
        <w:rPr>
          <w:lang w:val="fr-FR"/>
        </w:rPr>
        <w:t xml:space="preserve">exposition en intérieur par inhalation dont il convient de tenir compte </w:t>
      </w:r>
      <w:r w:rsidR="00D31AFF" w:rsidRPr="008D2CC5">
        <w:rPr>
          <w:lang w:val="fr-FR"/>
        </w:rPr>
        <w:t xml:space="preserve">(Agency for </w:t>
      </w:r>
      <w:proofErr w:type="spellStart"/>
      <w:r w:rsidR="00D31AFF" w:rsidRPr="008D2CC5">
        <w:rPr>
          <w:lang w:val="fr-FR"/>
        </w:rPr>
        <w:t>Toxic</w:t>
      </w:r>
      <w:proofErr w:type="spellEnd"/>
      <w:r w:rsidR="00D31AFF" w:rsidRPr="008D2CC5">
        <w:rPr>
          <w:lang w:val="fr-FR"/>
        </w:rPr>
        <w:t xml:space="preserve"> Substances and </w:t>
      </w:r>
      <w:proofErr w:type="spellStart"/>
      <w:r w:rsidR="00D31AFF" w:rsidRPr="008D2CC5">
        <w:rPr>
          <w:lang w:val="fr-FR"/>
        </w:rPr>
        <w:t>Disease</w:t>
      </w:r>
      <w:proofErr w:type="spellEnd"/>
      <w:r w:rsidR="00D31AFF" w:rsidRPr="008D2CC5">
        <w:rPr>
          <w:lang w:val="fr-FR"/>
        </w:rPr>
        <w:t xml:space="preserve"> </w:t>
      </w:r>
      <w:proofErr w:type="spellStart"/>
      <w:r w:rsidR="00D31AFF" w:rsidRPr="008D2CC5">
        <w:rPr>
          <w:lang w:val="fr-FR"/>
        </w:rPr>
        <w:t>Registry</w:t>
      </w:r>
      <w:proofErr w:type="spellEnd"/>
      <w:r w:rsidR="00D31AFF" w:rsidRPr="008D2CC5">
        <w:rPr>
          <w:lang w:val="fr-FR"/>
        </w:rPr>
        <w:t xml:space="preserve">, </w:t>
      </w:r>
      <w:r w:rsidR="00E4739D" w:rsidRPr="008D2CC5">
        <w:rPr>
          <w:lang w:val="fr-FR"/>
        </w:rPr>
        <w:t>1999</w:t>
      </w:r>
      <w:r w:rsidR="00D31AFF" w:rsidRPr="008D2CC5">
        <w:rPr>
          <w:lang w:val="fr-FR"/>
        </w:rPr>
        <w:t xml:space="preserve">). </w:t>
      </w:r>
      <w:r w:rsidRPr="008D2CC5">
        <w:rPr>
          <w:lang w:val="fr-FR"/>
        </w:rPr>
        <w:t>Les sites contaminés peuvent, par suite d</w:t>
      </w:r>
      <w:r w:rsidR="000409D6" w:rsidRPr="008D2CC5">
        <w:rPr>
          <w:lang w:val="fr-FR"/>
        </w:rPr>
        <w:t>’</w:t>
      </w:r>
      <w:r w:rsidRPr="008D2CC5">
        <w:rPr>
          <w:lang w:val="fr-FR"/>
        </w:rPr>
        <w:t>un lessivage ou d</w:t>
      </w:r>
      <w:r w:rsidR="000409D6" w:rsidRPr="008D2CC5">
        <w:rPr>
          <w:lang w:val="fr-FR"/>
        </w:rPr>
        <w:t>’</w:t>
      </w:r>
      <w:r w:rsidRPr="008D2CC5">
        <w:rPr>
          <w:lang w:val="fr-FR"/>
        </w:rPr>
        <w:t>un ruissellement superficiel du mercure, contaminer les eaux souterraines ou de surface, ce qui peut faire courir le risque d</w:t>
      </w:r>
      <w:r w:rsidR="000409D6" w:rsidRPr="008D2CC5">
        <w:rPr>
          <w:lang w:val="fr-FR"/>
        </w:rPr>
        <w:t>’</w:t>
      </w:r>
      <w:r w:rsidRPr="008D2CC5">
        <w:rPr>
          <w:lang w:val="fr-FR"/>
        </w:rPr>
        <w:t xml:space="preserve">une exposition au mercure inorganique </w:t>
      </w:r>
      <w:r w:rsidR="00AE2FCF">
        <w:rPr>
          <w:lang w:val="fr-FR"/>
        </w:rPr>
        <w:t xml:space="preserve">via </w:t>
      </w:r>
      <w:r w:rsidRPr="008D2CC5">
        <w:rPr>
          <w:lang w:val="fr-FR"/>
        </w:rPr>
        <w:t>l</w:t>
      </w:r>
      <w:r w:rsidR="000409D6" w:rsidRPr="008D2CC5">
        <w:rPr>
          <w:lang w:val="fr-FR"/>
        </w:rPr>
        <w:t>’</w:t>
      </w:r>
      <w:r w:rsidRPr="008D2CC5">
        <w:rPr>
          <w:lang w:val="fr-FR"/>
        </w:rPr>
        <w:t xml:space="preserve">eau </w:t>
      </w:r>
      <w:r w:rsidR="008957D5" w:rsidRPr="008D2CC5">
        <w:rPr>
          <w:lang w:val="fr-FR"/>
        </w:rPr>
        <w:t>de boisson</w:t>
      </w:r>
      <w:r w:rsidR="00D31AFF" w:rsidRPr="008D2CC5">
        <w:rPr>
          <w:lang w:val="fr-FR"/>
        </w:rPr>
        <w:t xml:space="preserve">. </w:t>
      </w:r>
      <w:r w:rsidR="008957D5" w:rsidRPr="008D2CC5">
        <w:rPr>
          <w:lang w:val="fr-FR"/>
        </w:rPr>
        <w:t>Par conséquent, il convient également de tenir compte du potentiel de contamination des eaux souterraines, des eaux de surface ou des sédiments</w:t>
      </w:r>
      <w:r w:rsidR="00AE2FCF" w:rsidRPr="00AE2FCF">
        <w:rPr>
          <w:lang w:val="fr-FR"/>
        </w:rPr>
        <w:t xml:space="preserve"> par un site</w:t>
      </w:r>
      <w:r w:rsidR="00D31AFF" w:rsidRPr="008D2CC5">
        <w:rPr>
          <w:lang w:val="fr-FR"/>
        </w:rPr>
        <w:t xml:space="preserve">. </w:t>
      </w:r>
      <w:r w:rsidR="00564201" w:rsidRPr="008D2CC5">
        <w:rPr>
          <w:lang w:val="fr-FR"/>
        </w:rPr>
        <w:t>Dans des conditions anaérobies, une méthylation du mercure par des bactéries peut se produire dans l</w:t>
      </w:r>
      <w:r w:rsidR="000409D6" w:rsidRPr="008D2CC5">
        <w:rPr>
          <w:lang w:val="fr-FR"/>
        </w:rPr>
        <w:t>’</w:t>
      </w:r>
      <w:r w:rsidR="00564201" w:rsidRPr="008D2CC5">
        <w:rPr>
          <w:lang w:val="fr-FR"/>
        </w:rPr>
        <w:t>environnement, notamment dans les sédiments ou d</w:t>
      </w:r>
      <w:r w:rsidR="000409D6" w:rsidRPr="008D2CC5">
        <w:rPr>
          <w:lang w:val="fr-FR"/>
        </w:rPr>
        <w:t>’</w:t>
      </w:r>
      <w:r w:rsidR="00564201" w:rsidRPr="008D2CC5">
        <w:rPr>
          <w:lang w:val="fr-FR"/>
        </w:rPr>
        <w:t>autres milieux propices</w:t>
      </w:r>
      <w:r w:rsidR="00D31AFF" w:rsidRPr="008D2CC5">
        <w:rPr>
          <w:lang w:val="fr-FR"/>
        </w:rPr>
        <w:t xml:space="preserve">. </w:t>
      </w:r>
      <w:r w:rsidR="00564201" w:rsidRPr="008D2CC5">
        <w:rPr>
          <w:lang w:val="fr-FR"/>
        </w:rPr>
        <w:t>Du mercure méthylé peut alors pénétrer dans la chaîne alimentaire, ce qui entraîne une forte exposition des espèces prédatrices, y compris les êtres humains, par le biais de leur alimentation</w:t>
      </w:r>
      <w:r w:rsidR="00D31AFF" w:rsidRPr="008D2CC5">
        <w:rPr>
          <w:lang w:val="fr-FR"/>
        </w:rPr>
        <w:t xml:space="preserve">. </w:t>
      </w:r>
      <w:r w:rsidR="00564201" w:rsidRPr="008D2CC5">
        <w:rPr>
          <w:lang w:val="fr-FR"/>
        </w:rPr>
        <w:t>Cette situation particulièrement préoccupante pour les consommateurs de poissons a poussé plusieurs juridictions à mettre en place des programmes de surveillance des poissons et à publier des avis sur la consommation de poissons</w:t>
      </w:r>
      <w:r w:rsidR="00D31AFF" w:rsidRPr="008D2CC5">
        <w:rPr>
          <w:rStyle w:val="FootnoteReference"/>
          <w:lang w:val="fr-FR"/>
        </w:rPr>
        <w:footnoteReference w:id="11"/>
      </w:r>
      <w:r w:rsidR="00564201" w:rsidRPr="008D2CC5">
        <w:rPr>
          <w:lang w:val="fr-FR"/>
        </w:rPr>
        <w:t>, en particulier dans les alentours des sources ponctuelles connues, présumées ou historiques d</w:t>
      </w:r>
      <w:r w:rsidR="000409D6" w:rsidRPr="008D2CC5">
        <w:rPr>
          <w:lang w:val="fr-FR"/>
        </w:rPr>
        <w:t>’</w:t>
      </w:r>
      <w:r w:rsidR="00564201" w:rsidRPr="008D2CC5">
        <w:rPr>
          <w:lang w:val="fr-FR"/>
        </w:rPr>
        <w:t>émissions de mercure</w:t>
      </w:r>
      <w:r w:rsidR="00D31AFF" w:rsidRPr="008D2CC5">
        <w:rPr>
          <w:lang w:val="fr-FR"/>
        </w:rPr>
        <w:t>.</w:t>
      </w:r>
    </w:p>
    <w:p w14:paraId="7251DCDA" w14:textId="6C2280A7" w:rsidR="00D31AFF" w:rsidRPr="008D2CC5" w:rsidRDefault="00F95DC1" w:rsidP="008E43CD">
      <w:pPr>
        <w:pStyle w:val="Normalnumber"/>
        <w:numPr>
          <w:ilvl w:val="0"/>
          <w:numId w:val="5"/>
        </w:numPr>
        <w:rPr>
          <w:lang w:val="fr-FR"/>
        </w:rPr>
      </w:pPr>
      <w:r w:rsidRPr="008D2CC5">
        <w:rPr>
          <w:lang w:val="fr-FR"/>
        </w:rPr>
        <w:t>Les risques associés à un site donné dépendent de son niveau de contamination et de l</w:t>
      </w:r>
      <w:r w:rsidR="000409D6" w:rsidRPr="008D2CC5">
        <w:rPr>
          <w:lang w:val="fr-FR"/>
        </w:rPr>
        <w:t>’</w:t>
      </w:r>
      <w:r w:rsidRPr="008D2CC5">
        <w:rPr>
          <w:lang w:val="fr-FR"/>
        </w:rPr>
        <w:t xml:space="preserve">exposition causée dans la cadre de </w:t>
      </w:r>
      <w:r w:rsidR="002A757C" w:rsidRPr="008D2CC5">
        <w:rPr>
          <w:lang w:val="fr-FR"/>
        </w:rPr>
        <w:t xml:space="preserve">son </w:t>
      </w:r>
      <w:r w:rsidRPr="008D2CC5">
        <w:rPr>
          <w:lang w:val="fr-FR"/>
        </w:rPr>
        <w:t>utilisation</w:t>
      </w:r>
      <w:r w:rsidR="00D31AFF" w:rsidRPr="008D2CC5">
        <w:rPr>
          <w:lang w:val="fr-FR"/>
        </w:rPr>
        <w:t xml:space="preserve">. </w:t>
      </w:r>
      <w:r w:rsidR="008C30D4" w:rsidRPr="008D2CC5">
        <w:rPr>
          <w:lang w:val="fr-FR"/>
        </w:rPr>
        <w:t xml:space="preserve">Un site </w:t>
      </w:r>
      <w:r w:rsidR="0013215E" w:rsidRPr="008D2CC5">
        <w:rPr>
          <w:lang w:val="fr-FR"/>
        </w:rPr>
        <w:t>fortement</w:t>
      </w:r>
      <w:r w:rsidR="008C30D4" w:rsidRPr="008D2CC5">
        <w:rPr>
          <w:lang w:val="fr-FR"/>
        </w:rPr>
        <w:t xml:space="preserve"> contaminé mais éloigné des centres habités ou ne présentant pas de potentiel élevé de lessivage présente beaucoup moins de risque qu</w:t>
      </w:r>
      <w:r w:rsidR="000409D6" w:rsidRPr="008D2CC5">
        <w:rPr>
          <w:lang w:val="fr-FR"/>
        </w:rPr>
        <w:t>’</w:t>
      </w:r>
      <w:r w:rsidR="008C30D4" w:rsidRPr="008D2CC5">
        <w:rPr>
          <w:lang w:val="fr-FR"/>
        </w:rPr>
        <w:t>un site moins contaminé mais situé dans une zone urbaine ou plus étroitement connecté à des zones de méthylation active (zones humides, sols anaérobies, sédiments et eau) ou permettant une infiltration importante dans la nappe souterraine</w:t>
      </w:r>
      <w:r w:rsidR="00D31AFF" w:rsidRPr="008D2CC5">
        <w:rPr>
          <w:lang w:val="fr-FR"/>
        </w:rPr>
        <w:t xml:space="preserve">. </w:t>
      </w:r>
      <w:r w:rsidR="008C30D4" w:rsidRPr="008D2CC5">
        <w:rPr>
          <w:lang w:val="fr-FR"/>
        </w:rPr>
        <w:t>Par conséquent, les objectifs de nettoyage peuvent varier en fonction des niveaux d</w:t>
      </w:r>
      <w:r w:rsidR="000409D6" w:rsidRPr="008D2CC5">
        <w:rPr>
          <w:lang w:val="fr-FR"/>
        </w:rPr>
        <w:t>’</w:t>
      </w:r>
      <w:r w:rsidR="008C30D4" w:rsidRPr="008D2CC5">
        <w:rPr>
          <w:lang w:val="fr-FR"/>
        </w:rPr>
        <w:t>exposition réels ou prévus associés au site en question. L</w:t>
      </w:r>
      <w:r w:rsidR="000409D6" w:rsidRPr="008D2CC5">
        <w:rPr>
          <w:lang w:val="fr-FR"/>
        </w:rPr>
        <w:t>’</w:t>
      </w:r>
      <w:r w:rsidR="008C30D4" w:rsidRPr="008D2CC5">
        <w:rPr>
          <w:lang w:val="fr-FR"/>
        </w:rPr>
        <w:t>évaluation du niveau d</w:t>
      </w:r>
      <w:r w:rsidR="000409D6" w:rsidRPr="008D2CC5">
        <w:rPr>
          <w:lang w:val="fr-FR"/>
        </w:rPr>
        <w:t>’</w:t>
      </w:r>
      <w:r w:rsidR="008C30D4" w:rsidRPr="008D2CC5">
        <w:rPr>
          <w:lang w:val="fr-FR"/>
        </w:rPr>
        <w:t>exposition exige la prise en compte du niveau de mercure ou de composés du mercure sur le site et de la migration de mercure hors du site, ainsi que de la proximité des populations locales</w:t>
      </w:r>
      <w:r w:rsidR="00D31AFF" w:rsidRPr="008D2CC5">
        <w:rPr>
          <w:lang w:val="fr-FR"/>
        </w:rPr>
        <w:t xml:space="preserve">. </w:t>
      </w:r>
      <w:r w:rsidR="00C42706" w:rsidRPr="008D2CC5">
        <w:rPr>
          <w:lang w:val="fr-FR"/>
        </w:rPr>
        <w:t>Il est possible que ces informations aient été collectées au cours du processus d</w:t>
      </w:r>
      <w:r w:rsidR="000409D6" w:rsidRPr="008D2CC5">
        <w:rPr>
          <w:lang w:val="fr-FR"/>
        </w:rPr>
        <w:t>’</w:t>
      </w:r>
      <w:r w:rsidR="00C42706" w:rsidRPr="008D2CC5">
        <w:rPr>
          <w:lang w:val="fr-FR"/>
        </w:rPr>
        <w:t>identification et de caractérisation du site ou qu</w:t>
      </w:r>
      <w:r w:rsidR="000409D6" w:rsidRPr="008D2CC5">
        <w:rPr>
          <w:lang w:val="fr-FR"/>
        </w:rPr>
        <w:t>’</w:t>
      </w:r>
      <w:r w:rsidR="00C42706" w:rsidRPr="008D2CC5">
        <w:rPr>
          <w:lang w:val="fr-FR"/>
        </w:rPr>
        <w:t>un échantillonnage supplémentaire soit nécessaire.</w:t>
      </w:r>
      <w:r w:rsidR="00D31AFF" w:rsidRPr="008D2CC5">
        <w:rPr>
          <w:lang w:val="fr-FR"/>
        </w:rPr>
        <w:t xml:space="preserve"> </w:t>
      </w:r>
      <w:r w:rsidR="00C42706" w:rsidRPr="008D2CC5">
        <w:rPr>
          <w:lang w:val="fr-FR"/>
        </w:rPr>
        <w:t>Des modèles de transfert et d</w:t>
      </w:r>
      <w:r w:rsidR="000409D6" w:rsidRPr="008D2CC5">
        <w:rPr>
          <w:lang w:val="fr-FR"/>
        </w:rPr>
        <w:t>’</w:t>
      </w:r>
      <w:r w:rsidR="00C42706" w:rsidRPr="008D2CC5">
        <w:rPr>
          <w:lang w:val="fr-FR"/>
        </w:rPr>
        <w:t>exposition sont disponibles pour évaluer le risque et il convient de prélever régulièrement des échantillons afin de s</w:t>
      </w:r>
      <w:r w:rsidR="000409D6" w:rsidRPr="008D2CC5">
        <w:rPr>
          <w:lang w:val="fr-FR"/>
        </w:rPr>
        <w:t>’</w:t>
      </w:r>
      <w:r w:rsidR="00C42706" w:rsidRPr="008D2CC5">
        <w:rPr>
          <w:lang w:val="fr-FR"/>
        </w:rPr>
        <w:t>assurer que la situation ne se dégrade pas</w:t>
      </w:r>
      <w:r w:rsidR="00D31AFF" w:rsidRPr="008D2CC5">
        <w:rPr>
          <w:lang w:val="fr-FR"/>
        </w:rPr>
        <w:t>.</w:t>
      </w:r>
    </w:p>
    <w:p w14:paraId="499298AC" w14:textId="1B0BC9DE" w:rsidR="00D31AFF" w:rsidRPr="008D2CC5" w:rsidRDefault="00D31AFF" w:rsidP="00F93F76">
      <w:pPr>
        <w:pStyle w:val="CH2"/>
        <w:rPr>
          <w:lang w:val="fr-FR"/>
        </w:rPr>
      </w:pPr>
      <w:r w:rsidRPr="008D2CC5">
        <w:rPr>
          <w:lang w:val="fr-FR"/>
        </w:rPr>
        <w:lastRenderedPageBreak/>
        <w:tab/>
      </w:r>
      <w:bookmarkStart w:id="15" w:name="_Toc15920545"/>
      <w:r w:rsidRPr="008D2CC5">
        <w:rPr>
          <w:lang w:val="fr-FR"/>
        </w:rPr>
        <w:t>E.</w:t>
      </w:r>
      <w:r w:rsidRPr="008D2CC5">
        <w:rPr>
          <w:lang w:val="fr-FR"/>
        </w:rPr>
        <w:tab/>
      </w:r>
      <w:r w:rsidR="008A140E" w:rsidRPr="008D2CC5">
        <w:rPr>
          <w:lang w:val="fr-FR"/>
        </w:rPr>
        <w:t>Options de gestion des risques présentés par les sites contaminés</w:t>
      </w:r>
      <w:bookmarkEnd w:id="15"/>
    </w:p>
    <w:p w14:paraId="197AC21B" w14:textId="01309C8B" w:rsidR="00D31AFF" w:rsidRPr="008D2CC5" w:rsidRDefault="008A140E" w:rsidP="008E43CD">
      <w:pPr>
        <w:pStyle w:val="Normalnumber"/>
        <w:numPr>
          <w:ilvl w:val="0"/>
          <w:numId w:val="5"/>
        </w:numPr>
        <w:rPr>
          <w:lang w:val="fr-FR"/>
        </w:rPr>
      </w:pPr>
      <w:r w:rsidRPr="008D2CC5">
        <w:rPr>
          <w:lang w:val="fr-FR"/>
        </w:rPr>
        <w:t>Une fois qu</w:t>
      </w:r>
      <w:r w:rsidR="000409D6" w:rsidRPr="008D2CC5">
        <w:rPr>
          <w:lang w:val="fr-FR"/>
        </w:rPr>
        <w:t>’</w:t>
      </w:r>
      <w:r w:rsidRPr="008D2CC5">
        <w:rPr>
          <w:lang w:val="fr-FR"/>
        </w:rPr>
        <w:t>un site contaminé a été évalué, des décisions sont prises concernant les meilleurs moyens de gérer les risques qu</w:t>
      </w:r>
      <w:r w:rsidR="000409D6" w:rsidRPr="008D2CC5">
        <w:rPr>
          <w:lang w:val="fr-FR"/>
        </w:rPr>
        <w:t>’</w:t>
      </w:r>
      <w:r w:rsidRPr="008D2CC5">
        <w:rPr>
          <w:lang w:val="fr-FR"/>
        </w:rPr>
        <w:t>il présente</w:t>
      </w:r>
      <w:r w:rsidR="00D31AFF" w:rsidRPr="008D2CC5">
        <w:rPr>
          <w:lang w:val="fr-FR"/>
        </w:rPr>
        <w:t xml:space="preserve">. </w:t>
      </w:r>
      <w:r w:rsidRPr="008D2CC5">
        <w:rPr>
          <w:lang w:val="fr-FR"/>
        </w:rPr>
        <w:t xml:space="preserve">De telles décisions peuvent être prises aux niveaux national, régional ou local ou, dans certains cas, par </w:t>
      </w:r>
      <w:r w:rsidR="00920978" w:rsidRPr="008D2CC5">
        <w:rPr>
          <w:lang w:val="fr-FR"/>
        </w:rPr>
        <w:t>d</w:t>
      </w:r>
      <w:r w:rsidRPr="008D2CC5">
        <w:rPr>
          <w:lang w:val="fr-FR"/>
        </w:rPr>
        <w:t>es propriétaires fonciers ou d</w:t>
      </w:r>
      <w:r w:rsidR="000409D6" w:rsidRPr="008D2CC5">
        <w:rPr>
          <w:lang w:val="fr-FR"/>
        </w:rPr>
        <w:t>’</w:t>
      </w:r>
      <w:r w:rsidRPr="008D2CC5">
        <w:rPr>
          <w:lang w:val="fr-FR"/>
        </w:rPr>
        <w:t>autres entités</w:t>
      </w:r>
      <w:r w:rsidR="00D31AFF" w:rsidRPr="008D2CC5">
        <w:rPr>
          <w:lang w:val="fr-FR"/>
        </w:rPr>
        <w:t xml:space="preserve">. </w:t>
      </w:r>
      <w:r w:rsidR="00920978" w:rsidRPr="008D2CC5">
        <w:rPr>
          <w:lang w:val="fr-FR"/>
        </w:rPr>
        <w:t>L</w:t>
      </w:r>
      <w:r w:rsidR="000409D6" w:rsidRPr="008D2CC5">
        <w:rPr>
          <w:lang w:val="fr-FR"/>
        </w:rPr>
        <w:t>’</w:t>
      </w:r>
      <w:r w:rsidR="00920978" w:rsidRPr="008D2CC5">
        <w:rPr>
          <w:lang w:val="fr-FR"/>
        </w:rPr>
        <w:t>objectif de la gestion des risques devrait être convenu avant de prendre des mesures</w:t>
      </w:r>
      <w:r w:rsidR="00D034C2">
        <w:rPr>
          <w:lang w:val="fr-FR"/>
        </w:rPr>
        <w:t>. Il devrait</w:t>
      </w:r>
      <w:r w:rsidR="00920978" w:rsidRPr="008D2CC5">
        <w:rPr>
          <w:lang w:val="fr-FR"/>
        </w:rPr>
        <w:t xml:space="preserve"> cadrer avec celui de la Convention de Minamata visant à protéger la santé humaine et l</w:t>
      </w:r>
      <w:r w:rsidR="000409D6" w:rsidRPr="008D2CC5">
        <w:rPr>
          <w:lang w:val="fr-FR"/>
        </w:rPr>
        <w:t>’</w:t>
      </w:r>
      <w:r w:rsidR="00920978" w:rsidRPr="008D2CC5">
        <w:rPr>
          <w:lang w:val="fr-FR"/>
        </w:rPr>
        <w:t>environnement contre les émissions et rejets anthropiques de mercure et de composés du mercure</w:t>
      </w:r>
      <w:r w:rsidR="00D31AFF" w:rsidRPr="008D2CC5">
        <w:rPr>
          <w:lang w:val="fr-FR"/>
        </w:rPr>
        <w:t xml:space="preserve">. </w:t>
      </w:r>
      <w:r w:rsidR="00920978" w:rsidRPr="008D2CC5">
        <w:rPr>
          <w:lang w:val="fr-FR"/>
        </w:rPr>
        <w:t>Les obligations en matière de gestion des sites contaminés peuvent être définies dans la législation et les politiques nationales ou locales</w:t>
      </w:r>
      <w:r w:rsidR="00D31AFF" w:rsidRPr="008D2CC5">
        <w:rPr>
          <w:lang w:val="fr-FR"/>
        </w:rPr>
        <w:t xml:space="preserve">. </w:t>
      </w:r>
    </w:p>
    <w:p w14:paraId="1575340B" w14:textId="36316365" w:rsidR="00D31AFF" w:rsidRPr="008D2CC5" w:rsidRDefault="00D84323" w:rsidP="008E43CD">
      <w:pPr>
        <w:pStyle w:val="Normalnumber"/>
        <w:numPr>
          <w:ilvl w:val="0"/>
          <w:numId w:val="5"/>
        </w:numPr>
        <w:rPr>
          <w:lang w:val="fr-FR"/>
        </w:rPr>
      </w:pPr>
      <w:r w:rsidRPr="008D2CC5">
        <w:rPr>
          <w:lang w:val="fr-FR"/>
        </w:rPr>
        <w:t>Les principales</w:t>
      </w:r>
      <w:r w:rsidR="00A27101" w:rsidRPr="008D2CC5">
        <w:rPr>
          <w:lang w:val="fr-FR"/>
        </w:rPr>
        <w:t> </w:t>
      </w:r>
      <w:r w:rsidRPr="008D2CC5">
        <w:rPr>
          <w:lang w:val="fr-FR"/>
        </w:rPr>
        <w:t xml:space="preserve">techniques pour </w:t>
      </w:r>
      <w:r w:rsidR="00987A71">
        <w:rPr>
          <w:lang w:val="fr-FR"/>
        </w:rPr>
        <w:t>remédier à</w:t>
      </w:r>
      <w:r w:rsidR="00A27101" w:rsidRPr="008D2CC5">
        <w:rPr>
          <w:lang w:val="fr-FR"/>
        </w:rPr>
        <w:t xml:space="preserve"> la contamination d</w:t>
      </w:r>
      <w:r w:rsidR="000409D6" w:rsidRPr="008D2CC5">
        <w:rPr>
          <w:lang w:val="fr-FR"/>
        </w:rPr>
        <w:t>’</w:t>
      </w:r>
      <w:r w:rsidR="00A27101" w:rsidRPr="008D2CC5">
        <w:rPr>
          <w:lang w:val="fr-FR"/>
        </w:rPr>
        <w:t xml:space="preserve">un site </w:t>
      </w:r>
      <w:r w:rsidR="00CD231F" w:rsidRPr="008D2CC5">
        <w:rPr>
          <w:lang w:val="fr-FR"/>
        </w:rPr>
        <w:t>résultant</w:t>
      </w:r>
      <w:r w:rsidR="00A27101" w:rsidRPr="008D2CC5">
        <w:rPr>
          <w:lang w:val="fr-FR"/>
        </w:rPr>
        <w:t xml:space="preserve"> d</w:t>
      </w:r>
      <w:r w:rsidR="000409D6" w:rsidRPr="008D2CC5">
        <w:rPr>
          <w:lang w:val="fr-FR"/>
        </w:rPr>
        <w:t>’</w:t>
      </w:r>
      <w:r w:rsidR="00A27101" w:rsidRPr="008D2CC5">
        <w:rPr>
          <w:lang w:val="fr-FR"/>
        </w:rPr>
        <w:t xml:space="preserve">activités industrielles </w:t>
      </w:r>
      <w:r w:rsidR="00F34B2C" w:rsidRPr="008D2CC5">
        <w:rPr>
          <w:lang w:val="fr-FR"/>
        </w:rPr>
        <w:t xml:space="preserve">antérieures </w:t>
      </w:r>
      <w:r w:rsidR="00A27101" w:rsidRPr="008D2CC5">
        <w:rPr>
          <w:lang w:val="fr-FR"/>
        </w:rPr>
        <w:t>ou d</w:t>
      </w:r>
      <w:r w:rsidR="000409D6" w:rsidRPr="008D2CC5">
        <w:rPr>
          <w:lang w:val="fr-FR"/>
        </w:rPr>
        <w:t>’</w:t>
      </w:r>
      <w:r w:rsidR="00A27101" w:rsidRPr="008D2CC5">
        <w:rPr>
          <w:lang w:val="fr-FR"/>
        </w:rPr>
        <w:t>autres activités humaines</w:t>
      </w:r>
      <w:r w:rsidRPr="008D2CC5">
        <w:rPr>
          <w:lang w:val="fr-FR"/>
        </w:rPr>
        <w:t xml:space="preserve"> sont le confinement ou l</w:t>
      </w:r>
      <w:r w:rsidR="000409D6" w:rsidRPr="008D2CC5">
        <w:rPr>
          <w:lang w:val="fr-FR"/>
        </w:rPr>
        <w:t>’</w:t>
      </w:r>
      <w:r w:rsidRPr="008D2CC5">
        <w:rPr>
          <w:lang w:val="fr-FR"/>
        </w:rPr>
        <w:t>isolation des contaminants, l</w:t>
      </w:r>
      <w:r w:rsidR="000409D6" w:rsidRPr="008D2CC5">
        <w:rPr>
          <w:lang w:val="fr-FR"/>
        </w:rPr>
        <w:t>’</w:t>
      </w:r>
      <w:r w:rsidRPr="008D2CC5">
        <w:rPr>
          <w:lang w:val="fr-FR"/>
        </w:rPr>
        <w:t>immobilisation des contaminants et le nettoyage ou l</w:t>
      </w:r>
      <w:r w:rsidR="000409D6" w:rsidRPr="008D2CC5">
        <w:rPr>
          <w:lang w:val="fr-FR"/>
        </w:rPr>
        <w:t>’</w:t>
      </w:r>
      <w:r w:rsidRPr="008D2CC5">
        <w:rPr>
          <w:lang w:val="fr-FR"/>
        </w:rPr>
        <w:t>élimination des contaminants</w:t>
      </w:r>
      <w:r w:rsidR="00FE0180" w:rsidRPr="008D2CC5">
        <w:rPr>
          <w:lang w:val="fr-FR"/>
        </w:rPr>
        <w:t xml:space="preserve"> du site</w:t>
      </w:r>
      <w:r w:rsidRPr="008D2CC5">
        <w:rPr>
          <w:lang w:val="fr-FR"/>
        </w:rPr>
        <w:t xml:space="preserve">, sur </w:t>
      </w:r>
      <w:r w:rsidR="00FE0180" w:rsidRPr="008D2CC5">
        <w:rPr>
          <w:lang w:val="fr-FR"/>
        </w:rPr>
        <w:t>place</w:t>
      </w:r>
      <w:r w:rsidRPr="008D2CC5">
        <w:rPr>
          <w:lang w:val="fr-FR"/>
        </w:rPr>
        <w:t xml:space="preserve"> ou en dehors</w:t>
      </w:r>
      <w:r w:rsidR="00FE0180" w:rsidRPr="008D2CC5">
        <w:rPr>
          <w:lang w:val="fr-FR"/>
        </w:rPr>
        <w:t xml:space="preserve"> du site</w:t>
      </w:r>
      <w:r w:rsidR="00D31AFF" w:rsidRPr="008D2CC5">
        <w:rPr>
          <w:lang w:val="fr-FR"/>
        </w:rPr>
        <w:t xml:space="preserve">. </w:t>
      </w:r>
      <w:r w:rsidR="00CD231F" w:rsidRPr="008D2CC5">
        <w:rPr>
          <w:lang w:val="fr-FR"/>
        </w:rPr>
        <w:t>Que la remise en état du site soit entreprise ou non, il faudra probablement en premier lieu mettre en place une forme de gestion</w:t>
      </w:r>
      <w:r w:rsidR="00987A71">
        <w:rPr>
          <w:lang w:val="fr-FR"/>
        </w:rPr>
        <w:t>,</w:t>
      </w:r>
      <w:r w:rsidR="00CD231F" w:rsidRPr="008D2CC5">
        <w:rPr>
          <w:lang w:val="fr-FR"/>
        </w:rPr>
        <w:t xml:space="preserve"> après avoir identifié le site et les éventuelles voies de rejet et d</w:t>
      </w:r>
      <w:r w:rsidR="000409D6" w:rsidRPr="008D2CC5">
        <w:rPr>
          <w:lang w:val="fr-FR"/>
        </w:rPr>
        <w:t>’</w:t>
      </w:r>
      <w:r w:rsidR="00CD231F" w:rsidRPr="008D2CC5">
        <w:rPr>
          <w:lang w:val="fr-FR"/>
        </w:rPr>
        <w:t>exposition</w:t>
      </w:r>
      <w:r w:rsidR="00D31AFF" w:rsidRPr="008D2CC5">
        <w:rPr>
          <w:lang w:val="fr-FR"/>
        </w:rPr>
        <w:t>.</w:t>
      </w:r>
    </w:p>
    <w:p w14:paraId="168A7AC3" w14:textId="7796FA32" w:rsidR="00F06A9B" w:rsidRPr="008D2CC5" w:rsidRDefault="00F06A9B" w:rsidP="00F93F76">
      <w:pPr>
        <w:pStyle w:val="CH3"/>
        <w:rPr>
          <w:lang w:val="fr-FR"/>
        </w:rPr>
      </w:pPr>
      <w:r w:rsidRPr="008D2CC5">
        <w:rPr>
          <w:lang w:val="fr-FR"/>
        </w:rPr>
        <w:tab/>
      </w:r>
      <w:r w:rsidR="00152CD3" w:rsidRPr="008D2CC5">
        <w:rPr>
          <w:lang w:val="fr-FR"/>
        </w:rPr>
        <w:t>1.</w:t>
      </w:r>
      <w:r w:rsidRPr="008D2CC5">
        <w:rPr>
          <w:lang w:val="fr-FR"/>
        </w:rPr>
        <w:tab/>
      </w:r>
      <w:r w:rsidR="00CD231F" w:rsidRPr="008D2CC5">
        <w:rPr>
          <w:lang w:val="fr-FR"/>
        </w:rPr>
        <w:t>Gestion du site</w:t>
      </w:r>
      <w:r w:rsidRPr="008D2CC5">
        <w:rPr>
          <w:lang w:val="fr-FR"/>
        </w:rPr>
        <w:t xml:space="preserve"> </w:t>
      </w:r>
    </w:p>
    <w:p w14:paraId="4C5A403E" w14:textId="5FFBC7B8" w:rsidR="00D31AFF" w:rsidRPr="008D2CC5" w:rsidRDefault="00CD231F" w:rsidP="008E43CD">
      <w:pPr>
        <w:pStyle w:val="Normalnumber"/>
        <w:numPr>
          <w:ilvl w:val="0"/>
          <w:numId w:val="5"/>
        </w:numPr>
        <w:rPr>
          <w:lang w:val="fr-FR"/>
        </w:rPr>
      </w:pPr>
      <w:r w:rsidRPr="008D2CC5">
        <w:rPr>
          <w:lang w:val="fr-FR"/>
        </w:rPr>
        <w:t>La gestion du site comprend la prise de mesures visant à réduire l</w:t>
      </w:r>
      <w:r w:rsidR="000409D6" w:rsidRPr="008D2CC5">
        <w:rPr>
          <w:lang w:val="fr-FR"/>
        </w:rPr>
        <w:t>’</w:t>
      </w:r>
      <w:r w:rsidRPr="008D2CC5">
        <w:rPr>
          <w:lang w:val="fr-FR"/>
        </w:rPr>
        <w:t>exposition des êtres humains et de l</w:t>
      </w:r>
      <w:r w:rsidR="000409D6" w:rsidRPr="008D2CC5">
        <w:rPr>
          <w:lang w:val="fr-FR"/>
        </w:rPr>
        <w:t>’</w:t>
      </w:r>
      <w:r w:rsidRPr="008D2CC5">
        <w:rPr>
          <w:lang w:val="fr-FR"/>
        </w:rPr>
        <w:t>environnement au mercure ou aux composés du mercure qui s</w:t>
      </w:r>
      <w:r w:rsidR="000409D6" w:rsidRPr="008D2CC5">
        <w:rPr>
          <w:lang w:val="fr-FR"/>
        </w:rPr>
        <w:t>’</w:t>
      </w:r>
      <w:r w:rsidRPr="008D2CC5">
        <w:rPr>
          <w:lang w:val="fr-FR"/>
        </w:rPr>
        <w:t>y trouvent</w:t>
      </w:r>
      <w:r w:rsidR="00D31AFF" w:rsidRPr="008D2CC5">
        <w:rPr>
          <w:lang w:val="fr-FR"/>
        </w:rPr>
        <w:t xml:space="preserve">. </w:t>
      </w:r>
      <w:r w:rsidR="00BD4D9A" w:rsidRPr="008D2CC5">
        <w:rPr>
          <w:lang w:val="fr-FR"/>
        </w:rPr>
        <w:t>Des</w:t>
      </w:r>
      <w:r w:rsidR="00230572" w:rsidRPr="008D2CC5">
        <w:rPr>
          <w:lang w:val="fr-FR"/>
        </w:rPr>
        <w:t xml:space="preserve"> sources primaires et secondaires continues de contamination des eaux souterraines ou de surface</w:t>
      </w:r>
      <w:r w:rsidR="00BD4D9A" w:rsidRPr="008D2CC5">
        <w:rPr>
          <w:lang w:val="fr-FR"/>
        </w:rPr>
        <w:t xml:space="preserve"> devront </w:t>
      </w:r>
      <w:r w:rsidR="006071AE">
        <w:rPr>
          <w:lang w:val="fr-FR"/>
        </w:rPr>
        <w:br/>
      </w:r>
      <w:r w:rsidR="00BD4D9A" w:rsidRPr="008D2CC5">
        <w:rPr>
          <w:lang w:val="fr-FR"/>
        </w:rPr>
        <w:t>peut-être être prises en compte</w:t>
      </w:r>
      <w:r w:rsidR="00D31AFF" w:rsidRPr="008D2CC5">
        <w:rPr>
          <w:lang w:val="fr-FR"/>
        </w:rPr>
        <w:t xml:space="preserve">. </w:t>
      </w:r>
    </w:p>
    <w:p w14:paraId="3D5F77D8" w14:textId="207B2FBD" w:rsidR="00D31AFF" w:rsidRPr="008D2CC5" w:rsidRDefault="00036173" w:rsidP="008E43CD">
      <w:pPr>
        <w:pStyle w:val="Normalnumber"/>
        <w:numPr>
          <w:ilvl w:val="0"/>
          <w:numId w:val="5"/>
        </w:numPr>
        <w:rPr>
          <w:lang w:val="fr-FR"/>
        </w:rPr>
      </w:pPr>
      <w:r w:rsidRPr="008D2CC5">
        <w:rPr>
          <w:lang w:val="fr-FR"/>
        </w:rPr>
        <w:t xml:space="preserve">Dans les régions très peuplées, la terre est une ressource très précieuse et rare. Un site contaminé ou restauré inutilisé peut attirer </w:t>
      </w:r>
      <w:r w:rsidR="000C34EA">
        <w:rPr>
          <w:lang w:val="fr-FR"/>
        </w:rPr>
        <w:t>d</w:t>
      </w:r>
      <w:r w:rsidRPr="008D2CC5">
        <w:rPr>
          <w:lang w:val="fr-FR"/>
        </w:rPr>
        <w:t>es personnes</w:t>
      </w:r>
      <w:r w:rsidR="00BC7343" w:rsidRPr="008D2CC5">
        <w:rPr>
          <w:lang w:val="fr-FR"/>
        </w:rPr>
        <w:t xml:space="preserve"> qui cherchent à se loger ou à exercer une activité agricole, </w:t>
      </w:r>
      <w:r w:rsidR="009809D9">
        <w:rPr>
          <w:lang w:val="fr-FR"/>
        </w:rPr>
        <w:t>ou</w:t>
      </w:r>
      <w:r w:rsidR="00BC7343" w:rsidRPr="008D2CC5">
        <w:rPr>
          <w:lang w:val="fr-FR"/>
        </w:rPr>
        <w:t xml:space="preserve"> les deux. Les </w:t>
      </w:r>
      <w:r w:rsidR="00894628" w:rsidRPr="008D2CC5">
        <w:rPr>
          <w:lang w:val="fr-FR"/>
        </w:rPr>
        <w:t xml:space="preserve">Parties </w:t>
      </w:r>
      <w:r w:rsidR="00BC7343" w:rsidRPr="008D2CC5">
        <w:rPr>
          <w:lang w:val="fr-FR"/>
        </w:rPr>
        <w:t>peuvent souhaiter restreindre l</w:t>
      </w:r>
      <w:r w:rsidR="000409D6" w:rsidRPr="008D2CC5">
        <w:rPr>
          <w:lang w:val="fr-FR"/>
        </w:rPr>
        <w:t>’</w:t>
      </w:r>
      <w:r w:rsidR="00BC7343" w:rsidRPr="008D2CC5">
        <w:rPr>
          <w:lang w:val="fr-FR"/>
        </w:rPr>
        <w:t>utilisation du site et imposer des règles d</w:t>
      </w:r>
      <w:r w:rsidR="000409D6" w:rsidRPr="008D2CC5">
        <w:rPr>
          <w:lang w:val="fr-FR"/>
        </w:rPr>
        <w:t>’</w:t>
      </w:r>
      <w:r w:rsidR="00BC7343" w:rsidRPr="008D2CC5">
        <w:rPr>
          <w:lang w:val="fr-FR"/>
        </w:rPr>
        <w:t>aménagement du territoire en fonction du risque que présente le site. La décision relative à l</w:t>
      </w:r>
      <w:r w:rsidR="000409D6" w:rsidRPr="008D2CC5">
        <w:rPr>
          <w:lang w:val="fr-FR"/>
        </w:rPr>
        <w:t>’</w:t>
      </w:r>
      <w:r w:rsidR="00BC7343" w:rsidRPr="008D2CC5">
        <w:rPr>
          <w:lang w:val="fr-FR"/>
        </w:rPr>
        <w:t xml:space="preserve">utilisation de tels </w:t>
      </w:r>
      <w:r w:rsidR="00480278">
        <w:rPr>
          <w:lang w:val="fr-FR"/>
        </w:rPr>
        <w:t>espaces</w:t>
      </w:r>
      <w:r w:rsidR="00BC7343" w:rsidRPr="008D2CC5">
        <w:rPr>
          <w:lang w:val="fr-FR"/>
        </w:rPr>
        <w:t xml:space="preserve"> suppose une évaluation et une surveillance approfondies</w:t>
      </w:r>
      <w:r w:rsidR="000643EE">
        <w:rPr>
          <w:lang w:val="fr-FR"/>
        </w:rPr>
        <w:t>,</w:t>
      </w:r>
      <w:r w:rsidR="00BC7343" w:rsidRPr="008D2CC5">
        <w:rPr>
          <w:lang w:val="fr-FR"/>
        </w:rPr>
        <w:t xml:space="preserve"> afin de veiller à l</w:t>
      </w:r>
      <w:r w:rsidR="000409D6" w:rsidRPr="008D2CC5">
        <w:rPr>
          <w:lang w:val="fr-FR"/>
        </w:rPr>
        <w:t>’</w:t>
      </w:r>
      <w:r w:rsidR="00BC7343" w:rsidRPr="008D2CC5">
        <w:rPr>
          <w:lang w:val="fr-FR"/>
        </w:rPr>
        <w:t>absence de risque résiduel pour la santé humaine et l</w:t>
      </w:r>
      <w:r w:rsidR="000409D6" w:rsidRPr="008D2CC5">
        <w:rPr>
          <w:lang w:val="fr-FR"/>
        </w:rPr>
        <w:t>’</w:t>
      </w:r>
      <w:r w:rsidR="00BC7343" w:rsidRPr="008D2CC5">
        <w:rPr>
          <w:lang w:val="fr-FR"/>
        </w:rPr>
        <w:t xml:space="preserve">environnement. </w:t>
      </w:r>
      <w:r w:rsidR="00D45AA7" w:rsidRPr="008D2CC5">
        <w:rPr>
          <w:lang w:val="fr-FR"/>
        </w:rPr>
        <w:t>Les mesures prises peuvent comprendre la restriction de l</w:t>
      </w:r>
      <w:r w:rsidR="000409D6" w:rsidRPr="008D2CC5">
        <w:rPr>
          <w:lang w:val="fr-FR"/>
        </w:rPr>
        <w:t>’</w:t>
      </w:r>
      <w:r w:rsidR="00D45AA7" w:rsidRPr="008D2CC5">
        <w:rPr>
          <w:lang w:val="fr-FR"/>
        </w:rPr>
        <w:t>accès au site afin de limiter l</w:t>
      </w:r>
      <w:r w:rsidR="000409D6" w:rsidRPr="008D2CC5">
        <w:rPr>
          <w:lang w:val="fr-FR"/>
        </w:rPr>
        <w:t>’</w:t>
      </w:r>
      <w:r w:rsidR="00D45AA7" w:rsidRPr="008D2CC5">
        <w:rPr>
          <w:lang w:val="fr-FR"/>
        </w:rPr>
        <w:t>exposition directe (au moyen de clôtures et de panneaux d</w:t>
      </w:r>
      <w:r w:rsidR="000409D6" w:rsidRPr="008D2CC5">
        <w:rPr>
          <w:lang w:val="fr-FR"/>
        </w:rPr>
        <w:t>’</w:t>
      </w:r>
      <w:r w:rsidR="00D45AA7" w:rsidRPr="008D2CC5">
        <w:rPr>
          <w:lang w:val="fr-FR"/>
        </w:rPr>
        <w:t>avertissement) ou l</w:t>
      </w:r>
      <w:r w:rsidR="000409D6" w:rsidRPr="008D2CC5">
        <w:rPr>
          <w:lang w:val="fr-FR"/>
        </w:rPr>
        <w:t>’</w:t>
      </w:r>
      <w:r w:rsidR="00D45AA7" w:rsidRPr="008D2CC5">
        <w:rPr>
          <w:lang w:val="fr-FR"/>
        </w:rPr>
        <w:t xml:space="preserve">imposition de restrictions sur toute activité susceptible de causer une migration de la contamination </w:t>
      </w:r>
      <w:r w:rsidR="0004240A" w:rsidRPr="008D2CC5">
        <w:rPr>
          <w:lang w:val="fr-FR"/>
        </w:rPr>
        <w:t>sur le</w:t>
      </w:r>
      <w:r w:rsidR="00D31AFF" w:rsidRPr="008D2CC5">
        <w:rPr>
          <w:lang w:val="fr-FR"/>
        </w:rPr>
        <w:t xml:space="preserve"> site. </w:t>
      </w:r>
      <w:r w:rsidR="0004240A" w:rsidRPr="008D2CC5">
        <w:rPr>
          <w:lang w:val="fr-FR"/>
        </w:rPr>
        <w:t>Si le système d</w:t>
      </w:r>
      <w:r w:rsidR="000409D6" w:rsidRPr="008D2CC5">
        <w:rPr>
          <w:lang w:val="fr-FR"/>
        </w:rPr>
        <w:t>’</w:t>
      </w:r>
      <w:r w:rsidR="0004240A" w:rsidRPr="008D2CC5">
        <w:rPr>
          <w:lang w:val="fr-FR"/>
        </w:rPr>
        <w:t>adduction d</w:t>
      </w:r>
      <w:r w:rsidR="000409D6" w:rsidRPr="008D2CC5">
        <w:rPr>
          <w:lang w:val="fr-FR"/>
        </w:rPr>
        <w:t>’</w:t>
      </w:r>
      <w:r w:rsidR="0004240A" w:rsidRPr="008D2CC5">
        <w:rPr>
          <w:lang w:val="fr-FR"/>
        </w:rPr>
        <w:t>eau est contaminé, il peut être nécessaire de mettre en place un système de remplacement ou de traiter l</w:t>
      </w:r>
      <w:r w:rsidR="000409D6" w:rsidRPr="008D2CC5">
        <w:rPr>
          <w:lang w:val="fr-FR"/>
        </w:rPr>
        <w:t>’</w:t>
      </w:r>
      <w:r w:rsidR="0004240A" w:rsidRPr="008D2CC5">
        <w:rPr>
          <w:lang w:val="fr-FR"/>
        </w:rPr>
        <w:t>eau</w:t>
      </w:r>
      <w:r w:rsidR="00300DCA" w:rsidRPr="008D2CC5">
        <w:rPr>
          <w:lang w:val="fr-FR"/>
        </w:rPr>
        <w:t xml:space="preserve">. </w:t>
      </w:r>
      <w:r w:rsidR="0004240A" w:rsidRPr="008D2CC5">
        <w:rPr>
          <w:lang w:val="fr-FR"/>
        </w:rPr>
        <w:t>Si l</w:t>
      </w:r>
      <w:r w:rsidR="000409D6" w:rsidRPr="008D2CC5">
        <w:rPr>
          <w:lang w:val="fr-FR"/>
        </w:rPr>
        <w:t>’</w:t>
      </w:r>
      <w:r w:rsidR="0004240A" w:rsidRPr="008D2CC5">
        <w:rPr>
          <w:lang w:val="fr-FR"/>
        </w:rPr>
        <w:t>environnement ou la communauté locale ne coure</w:t>
      </w:r>
      <w:r w:rsidR="00D84323" w:rsidRPr="008D2CC5">
        <w:rPr>
          <w:lang w:val="fr-FR"/>
        </w:rPr>
        <w:t>nt</w:t>
      </w:r>
      <w:r w:rsidR="0004240A" w:rsidRPr="008D2CC5">
        <w:rPr>
          <w:lang w:val="fr-FR"/>
        </w:rPr>
        <w:t xml:space="preserve"> pas de danger immédiat, il peut être envisagé </w:t>
      </w:r>
      <w:r w:rsidR="00296365" w:rsidRPr="008D2CC5">
        <w:rPr>
          <w:lang w:val="fr-FR"/>
        </w:rPr>
        <w:t>d</w:t>
      </w:r>
      <w:r w:rsidR="000409D6" w:rsidRPr="008D2CC5">
        <w:rPr>
          <w:lang w:val="fr-FR"/>
        </w:rPr>
        <w:t>’</w:t>
      </w:r>
      <w:r w:rsidR="00296365" w:rsidRPr="008D2CC5">
        <w:rPr>
          <w:lang w:val="fr-FR"/>
        </w:rPr>
        <w:t>attendre, pour traiter</w:t>
      </w:r>
      <w:r w:rsidR="0004240A" w:rsidRPr="008D2CC5">
        <w:rPr>
          <w:lang w:val="fr-FR"/>
        </w:rPr>
        <w:t xml:space="preserve"> les matériaux contaminés</w:t>
      </w:r>
      <w:r w:rsidR="00296365" w:rsidRPr="008D2CC5">
        <w:rPr>
          <w:lang w:val="fr-FR"/>
        </w:rPr>
        <w:t>, que</w:t>
      </w:r>
      <w:r w:rsidR="0004240A" w:rsidRPr="008D2CC5">
        <w:rPr>
          <w:lang w:val="fr-FR"/>
        </w:rPr>
        <w:t xml:space="preserve"> d</w:t>
      </w:r>
      <w:r w:rsidR="000409D6" w:rsidRPr="008D2CC5">
        <w:rPr>
          <w:lang w:val="fr-FR"/>
        </w:rPr>
        <w:t>’</w:t>
      </w:r>
      <w:r w:rsidR="0004240A" w:rsidRPr="008D2CC5">
        <w:rPr>
          <w:lang w:val="fr-FR"/>
        </w:rPr>
        <w:t>autres sites présentant une priorité plus élevée</w:t>
      </w:r>
      <w:r w:rsidR="00296365" w:rsidRPr="008D2CC5">
        <w:rPr>
          <w:lang w:val="fr-FR"/>
        </w:rPr>
        <w:t xml:space="preserve"> </w:t>
      </w:r>
      <w:r w:rsidR="00585C9D" w:rsidRPr="008D2CC5">
        <w:rPr>
          <w:lang w:val="fr-FR"/>
        </w:rPr>
        <w:t>aient été</w:t>
      </w:r>
      <w:r w:rsidR="00296365" w:rsidRPr="008D2CC5">
        <w:rPr>
          <w:lang w:val="fr-FR"/>
        </w:rPr>
        <w:t xml:space="preserve"> traités</w:t>
      </w:r>
      <w:r w:rsidR="00D31AFF" w:rsidRPr="008D2CC5">
        <w:rPr>
          <w:lang w:val="fr-FR"/>
        </w:rPr>
        <w:t xml:space="preserve">. </w:t>
      </w:r>
      <w:r w:rsidR="00296365" w:rsidRPr="008D2CC5">
        <w:rPr>
          <w:lang w:val="fr-FR"/>
        </w:rPr>
        <w:t>En attendant une remise en état ultérieure du site, il est possible de recourir à une installation de confinement de la contamination</w:t>
      </w:r>
      <w:r w:rsidR="00585C9D" w:rsidRPr="008D2CC5">
        <w:rPr>
          <w:lang w:val="fr-FR"/>
        </w:rPr>
        <w:t xml:space="preserve"> sur le site</w:t>
      </w:r>
      <w:r w:rsidR="00D31AFF" w:rsidRPr="008D2CC5">
        <w:rPr>
          <w:lang w:val="fr-FR"/>
        </w:rPr>
        <w:t xml:space="preserve">. </w:t>
      </w:r>
      <w:r w:rsidR="00296365" w:rsidRPr="008D2CC5">
        <w:rPr>
          <w:lang w:val="fr-FR"/>
        </w:rPr>
        <w:t>Dans ce cas, il convient de veiller, en procédant à des contrôles réguliers de la contamination du site, à ce que le mercure ne s</w:t>
      </w:r>
      <w:r w:rsidR="000409D6" w:rsidRPr="008D2CC5">
        <w:rPr>
          <w:lang w:val="fr-FR"/>
        </w:rPr>
        <w:t>’</w:t>
      </w:r>
      <w:r w:rsidR="00296365" w:rsidRPr="008D2CC5">
        <w:rPr>
          <w:lang w:val="fr-FR"/>
        </w:rPr>
        <w:t xml:space="preserve">en échappe pas ou ne puisse </w:t>
      </w:r>
      <w:r w:rsidR="00585C9D" w:rsidRPr="008D2CC5">
        <w:rPr>
          <w:lang w:val="fr-FR"/>
        </w:rPr>
        <w:t xml:space="preserve">pas </w:t>
      </w:r>
      <w:r w:rsidR="00296365" w:rsidRPr="008D2CC5">
        <w:rPr>
          <w:lang w:val="fr-FR"/>
        </w:rPr>
        <w:t xml:space="preserve">avoir </w:t>
      </w:r>
      <w:r w:rsidR="00585C9D" w:rsidRPr="008D2CC5">
        <w:rPr>
          <w:lang w:val="fr-FR"/>
        </w:rPr>
        <w:t>d</w:t>
      </w:r>
      <w:r w:rsidR="000409D6" w:rsidRPr="008D2CC5">
        <w:rPr>
          <w:lang w:val="fr-FR"/>
        </w:rPr>
        <w:t>’</w:t>
      </w:r>
      <w:r w:rsidR="00296365" w:rsidRPr="008D2CC5">
        <w:rPr>
          <w:lang w:val="fr-FR"/>
        </w:rPr>
        <w:t>impact sur l</w:t>
      </w:r>
      <w:r w:rsidR="000409D6" w:rsidRPr="008D2CC5">
        <w:rPr>
          <w:lang w:val="fr-FR"/>
        </w:rPr>
        <w:t>’</w:t>
      </w:r>
      <w:r w:rsidR="00296365" w:rsidRPr="008D2CC5">
        <w:rPr>
          <w:lang w:val="fr-FR"/>
        </w:rPr>
        <w:t>environnement situé au-delà des limites du site</w:t>
      </w:r>
      <w:r w:rsidR="00D31AFF" w:rsidRPr="008D2CC5">
        <w:rPr>
          <w:lang w:val="fr-FR"/>
        </w:rPr>
        <w:t>.</w:t>
      </w:r>
      <w:r w:rsidR="009D3509" w:rsidRPr="008D2CC5">
        <w:rPr>
          <w:lang w:val="fr-FR"/>
        </w:rPr>
        <w:t xml:space="preserve"> L</w:t>
      </w:r>
      <w:r w:rsidR="000409D6" w:rsidRPr="008D2CC5">
        <w:rPr>
          <w:lang w:val="fr-FR"/>
        </w:rPr>
        <w:t>’</w:t>
      </w:r>
      <w:r w:rsidR="009D3509" w:rsidRPr="008D2CC5">
        <w:rPr>
          <w:lang w:val="fr-FR"/>
        </w:rPr>
        <w:t>échantillonnage des sols est probablement le meilleur indicateur du niveau de contamination du site. Cependant, la surveillance pourrait également comprendre la mesure des gaz de sol et des concentrations atmosphériques de mercure dans les environs du site. Si l</w:t>
      </w:r>
      <w:r w:rsidR="000409D6" w:rsidRPr="008D2CC5">
        <w:rPr>
          <w:lang w:val="fr-FR"/>
        </w:rPr>
        <w:t>’</w:t>
      </w:r>
      <w:r w:rsidR="009D3509" w:rsidRPr="008D2CC5">
        <w:rPr>
          <w:lang w:val="fr-FR"/>
        </w:rPr>
        <w:t>évaluation initiale du site révèle une contamination des eaux souterraines ou de surface, il peut être envisagé d</w:t>
      </w:r>
      <w:r w:rsidR="000409D6" w:rsidRPr="008D2CC5">
        <w:rPr>
          <w:lang w:val="fr-FR"/>
        </w:rPr>
        <w:t>’</w:t>
      </w:r>
      <w:r w:rsidR="009D3509" w:rsidRPr="008D2CC5">
        <w:rPr>
          <w:lang w:val="fr-FR"/>
        </w:rPr>
        <w:t>inclure un échantillonnage régulier de l</w:t>
      </w:r>
      <w:r w:rsidR="000409D6" w:rsidRPr="008D2CC5">
        <w:rPr>
          <w:lang w:val="fr-FR"/>
        </w:rPr>
        <w:t>’</w:t>
      </w:r>
      <w:r w:rsidR="009D3509" w:rsidRPr="008D2CC5">
        <w:rPr>
          <w:lang w:val="fr-FR"/>
        </w:rPr>
        <w:t>eau dans le plan de gestion. Il importe également que les futurs utilisateurs du site disposent d</w:t>
      </w:r>
      <w:r w:rsidR="000409D6" w:rsidRPr="008D2CC5">
        <w:rPr>
          <w:lang w:val="fr-FR"/>
        </w:rPr>
        <w:t>’</w:t>
      </w:r>
      <w:r w:rsidR="009D3509" w:rsidRPr="008D2CC5">
        <w:rPr>
          <w:lang w:val="fr-FR"/>
        </w:rPr>
        <w:t>un accès immédiat aux informations relatives à la qualité du sol et à d</w:t>
      </w:r>
      <w:r w:rsidR="000409D6" w:rsidRPr="008D2CC5">
        <w:rPr>
          <w:lang w:val="fr-FR"/>
        </w:rPr>
        <w:t>’</w:t>
      </w:r>
      <w:r w:rsidR="009D3509" w:rsidRPr="008D2CC5">
        <w:rPr>
          <w:lang w:val="fr-FR"/>
        </w:rPr>
        <w:t>autres informations sur l</w:t>
      </w:r>
      <w:r w:rsidR="000409D6" w:rsidRPr="008D2CC5">
        <w:rPr>
          <w:lang w:val="fr-FR"/>
        </w:rPr>
        <w:t>’</w:t>
      </w:r>
      <w:r w:rsidR="009D3509" w:rsidRPr="008D2CC5">
        <w:rPr>
          <w:lang w:val="fr-FR"/>
        </w:rPr>
        <w:t>état du site.</w:t>
      </w:r>
    </w:p>
    <w:p w14:paraId="24B98E78" w14:textId="04616EB1" w:rsidR="00D31AFF" w:rsidRPr="008D2CC5" w:rsidRDefault="00D31AFF" w:rsidP="00F93F76">
      <w:pPr>
        <w:pStyle w:val="CH3"/>
        <w:rPr>
          <w:lang w:val="fr-FR"/>
        </w:rPr>
      </w:pPr>
      <w:r w:rsidRPr="008D2CC5">
        <w:rPr>
          <w:lang w:val="fr-FR"/>
        </w:rPr>
        <w:tab/>
      </w:r>
      <w:r w:rsidR="00152CD3" w:rsidRPr="008D2CC5">
        <w:rPr>
          <w:lang w:val="fr-FR"/>
        </w:rPr>
        <w:t>2.</w:t>
      </w:r>
      <w:r w:rsidRPr="008D2CC5">
        <w:rPr>
          <w:lang w:val="fr-FR"/>
        </w:rPr>
        <w:tab/>
      </w:r>
      <w:r w:rsidR="00D033A6" w:rsidRPr="008D2CC5">
        <w:rPr>
          <w:lang w:val="fr-FR"/>
        </w:rPr>
        <w:t>Remise en état du site</w:t>
      </w:r>
      <w:r w:rsidRPr="008D2CC5">
        <w:rPr>
          <w:lang w:val="fr-FR"/>
        </w:rPr>
        <w:t xml:space="preserve"> </w:t>
      </w:r>
    </w:p>
    <w:p w14:paraId="7D9B4E22" w14:textId="0E71A592" w:rsidR="00D31AFF" w:rsidRPr="008D2CC5" w:rsidRDefault="0009031A" w:rsidP="008E43CD">
      <w:pPr>
        <w:pStyle w:val="Normalnumber"/>
        <w:numPr>
          <w:ilvl w:val="0"/>
          <w:numId w:val="5"/>
        </w:numPr>
        <w:rPr>
          <w:lang w:val="fr-FR"/>
        </w:rPr>
      </w:pPr>
      <w:r w:rsidRPr="008D2CC5">
        <w:rPr>
          <w:lang w:val="fr-FR"/>
        </w:rPr>
        <w:t>La remise en état du site constitue un autre moyen de rédu</w:t>
      </w:r>
      <w:r w:rsidR="00894628">
        <w:rPr>
          <w:lang w:val="fr-FR"/>
        </w:rPr>
        <w:t>ire l</w:t>
      </w:r>
      <w:r w:rsidRPr="008D2CC5">
        <w:rPr>
          <w:lang w:val="fr-FR"/>
        </w:rPr>
        <w:t>es risques liés aux sites contaminés</w:t>
      </w:r>
      <w:r w:rsidR="00D31AFF" w:rsidRPr="008D2CC5">
        <w:rPr>
          <w:lang w:val="fr-FR"/>
        </w:rPr>
        <w:t xml:space="preserve">. </w:t>
      </w:r>
      <w:r w:rsidR="00AA7D8F" w:rsidRPr="008D2CC5">
        <w:rPr>
          <w:lang w:val="fr-FR"/>
        </w:rPr>
        <w:t>Elle comprend la prise de mesures tendant à éliminer, contrôler, confiner ou réduire les</w:t>
      </w:r>
      <w:r w:rsidR="00AE49CF" w:rsidRPr="008D2CC5">
        <w:rPr>
          <w:lang w:val="fr-FR"/>
        </w:rPr>
        <w:t> </w:t>
      </w:r>
      <w:r w:rsidR="00AA7D8F" w:rsidRPr="008D2CC5">
        <w:rPr>
          <w:lang w:val="fr-FR"/>
        </w:rPr>
        <w:t>contaminants ou les voies d</w:t>
      </w:r>
      <w:r w:rsidR="000409D6" w:rsidRPr="008D2CC5">
        <w:rPr>
          <w:lang w:val="fr-FR"/>
        </w:rPr>
        <w:t>’</w:t>
      </w:r>
      <w:r w:rsidR="00AA7D8F" w:rsidRPr="008D2CC5">
        <w:rPr>
          <w:lang w:val="fr-FR"/>
        </w:rPr>
        <w:t>exposition</w:t>
      </w:r>
      <w:r w:rsidR="00D31AFF" w:rsidRPr="008D2CC5">
        <w:rPr>
          <w:lang w:val="fr-FR"/>
        </w:rPr>
        <w:t xml:space="preserve">. </w:t>
      </w:r>
      <w:r w:rsidR="00AA7D8F" w:rsidRPr="008D2CC5">
        <w:rPr>
          <w:lang w:val="fr-FR"/>
        </w:rPr>
        <w:t>L</w:t>
      </w:r>
      <w:r w:rsidR="000409D6" w:rsidRPr="008D2CC5">
        <w:rPr>
          <w:lang w:val="fr-FR"/>
        </w:rPr>
        <w:t>’</w:t>
      </w:r>
      <w:r w:rsidR="00AA7D8F" w:rsidRPr="008D2CC5">
        <w:rPr>
          <w:lang w:val="fr-FR"/>
        </w:rPr>
        <w:t xml:space="preserve">objectif de la remise en état est de rendre un site acceptable et sûr </w:t>
      </w:r>
      <w:r w:rsidR="00894628">
        <w:rPr>
          <w:lang w:val="fr-FR"/>
        </w:rPr>
        <w:t>aux fins</w:t>
      </w:r>
      <w:r w:rsidR="00AA7D8F" w:rsidRPr="008D2CC5">
        <w:rPr>
          <w:lang w:val="fr-FR"/>
        </w:rPr>
        <w:t xml:space="preserve"> de son utilisation actuelle et </w:t>
      </w:r>
      <w:r w:rsidR="00585C9D" w:rsidRPr="008D2CC5">
        <w:rPr>
          <w:lang w:val="fr-FR"/>
        </w:rPr>
        <w:t>d</w:t>
      </w:r>
      <w:r w:rsidR="000409D6" w:rsidRPr="008D2CC5">
        <w:rPr>
          <w:lang w:val="fr-FR"/>
        </w:rPr>
        <w:t>’</w:t>
      </w:r>
      <w:r w:rsidR="00585C9D" w:rsidRPr="008D2CC5">
        <w:rPr>
          <w:lang w:val="fr-FR"/>
        </w:rPr>
        <w:t>optimiser</w:t>
      </w:r>
      <w:r w:rsidR="00AA7D8F" w:rsidRPr="008D2CC5">
        <w:rPr>
          <w:lang w:val="fr-FR"/>
        </w:rPr>
        <w:t xml:space="preserve"> ses éventuelles utilisations futures</w:t>
      </w:r>
      <w:r w:rsidR="00D31AFF" w:rsidRPr="008D2CC5">
        <w:rPr>
          <w:lang w:val="fr-FR"/>
        </w:rPr>
        <w:t xml:space="preserve">. </w:t>
      </w:r>
      <w:r w:rsidR="00AA7D8F" w:rsidRPr="008D2CC5">
        <w:rPr>
          <w:lang w:val="fr-FR"/>
        </w:rPr>
        <w:t>Lors de la définition des objectifs de remise en état, il convient de prendre en compte le niveau de fond de mercure</w:t>
      </w:r>
      <w:r w:rsidR="00300DCA" w:rsidRPr="008D2CC5">
        <w:rPr>
          <w:lang w:val="fr-FR"/>
        </w:rPr>
        <w:t xml:space="preserve">. </w:t>
      </w:r>
      <w:r w:rsidR="00554919" w:rsidRPr="008D2CC5">
        <w:rPr>
          <w:lang w:val="fr-FR"/>
        </w:rPr>
        <w:t>La décision de remettre le site en état requiert l</w:t>
      </w:r>
      <w:r w:rsidR="000409D6" w:rsidRPr="008D2CC5">
        <w:rPr>
          <w:lang w:val="fr-FR"/>
        </w:rPr>
        <w:t>’</w:t>
      </w:r>
      <w:r w:rsidR="00554919" w:rsidRPr="008D2CC5">
        <w:rPr>
          <w:lang w:val="fr-FR"/>
        </w:rPr>
        <w:t>examen d</w:t>
      </w:r>
      <w:r w:rsidR="000409D6" w:rsidRPr="008D2CC5">
        <w:rPr>
          <w:lang w:val="fr-FR"/>
        </w:rPr>
        <w:t>’</w:t>
      </w:r>
      <w:r w:rsidR="00554919" w:rsidRPr="008D2CC5">
        <w:rPr>
          <w:lang w:val="fr-FR"/>
        </w:rPr>
        <w:t>u</w:t>
      </w:r>
      <w:r w:rsidR="006071AE">
        <w:rPr>
          <w:lang w:val="fr-FR"/>
        </w:rPr>
        <w:t>n certain nombre de facteurs, y </w:t>
      </w:r>
      <w:r w:rsidR="00554919" w:rsidRPr="008D2CC5">
        <w:rPr>
          <w:lang w:val="fr-FR"/>
        </w:rPr>
        <w:t>compris le résultat visé, le niveau de contamination, les expositions probables résultant de la contamination, la faisabilité des options de remise en état, l</w:t>
      </w:r>
      <w:r w:rsidR="00EE28BD">
        <w:rPr>
          <w:lang w:val="fr-FR"/>
        </w:rPr>
        <w:t>e rapport</w:t>
      </w:r>
      <w:r w:rsidR="00554919" w:rsidRPr="008D2CC5">
        <w:rPr>
          <w:lang w:val="fr-FR"/>
        </w:rPr>
        <w:t xml:space="preserve"> coûts</w:t>
      </w:r>
      <w:r w:rsidR="00EE28BD">
        <w:rPr>
          <w:lang w:val="fr-FR"/>
        </w:rPr>
        <w:t>-</w:t>
      </w:r>
      <w:r w:rsidR="00554919" w:rsidRPr="008D2CC5">
        <w:rPr>
          <w:lang w:val="fr-FR"/>
        </w:rPr>
        <w:t>avantages, les effets néfastes que peut entraîner la mise en œuvre de mesures (par ex</w:t>
      </w:r>
      <w:r w:rsidR="00AE22EE">
        <w:rPr>
          <w:lang w:val="fr-FR"/>
        </w:rPr>
        <w:t>.</w:t>
      </w:r>
      <w:r w:rsidR="00554919" w:rsidRPr="008D2CC5">
        <w:rPr>
          <w:lang w:val="fr-FR"/>
        </w:rPr>
        <w:t>, une</w:t>
      </w:r>
      <w:r w:rsidR="00AE49CF" w:rsidRPr="008D2CC5">
        <w:rPr>
          <w:lang w:val="fr-FR"/>
        </w:rPr>
        <w:t> </w:t>
      </w:r>
      <w:r w:rsidR="00554919" w:rsidRPr="008D2CC5">
        <w:rPr>
          <w:lang w:val="fr-FR"/>
        </w:rPr>
        <w:t>contamination de l</w:t>
      </w:r>
      <w:r w:rsidR="000409D6" w:rsidRPr="008D2CC5">
        <w:rPr>
          <w:lang w:val="fr-FR"/>
        </w:rPr>
        <w:t>’</w:t>
      </w:r>
      <w:r w:rsidR="00554919" w:rsidRPr="008D2CC5">
        <w:rPr>
          <w:lang w:val="fr-FR"/>
        </w:rPr>
        <w:t>environnement en raison de la perturbation des sols contaminés)</w:t>
      </w:r>
      <w:r w:rsidR="009D3509" w:rsidRPr="008D2CC5">
        <w:rPr>
          <w:lang w:val="fr-FR"/>
        </w:rPr>
        <w:t>, la disponibilité de technologies pertinentes</w:t>
      </w:r>
      <w:r w:rsidR="00554919" w:rsidRPr="008D2CC5">
        <w:rPr>
          <w:lang w:val="fr-FR"/>
        </w:rPr>
        <w:t xml:space="preserve"> et les ressources </w:t>
      </w:r>
      <w:r w:rsidR="009D3509" w:rsidRPr="008D2CC5">
        <w:rPr>
          <w:lang w:val="fr-FR"/>
        </w:rPr>
        <w:t xml:space="preserve">financières </w:t>
      </w:r>
      <w:r w:rsidR="00554919" w:rsidRPr="008D2CC5">
        <w:rPr>
          <w:lang w:val="fr-FR"/>
        </w:rPr>
        <w:t>disponibles pour une remise en état</w:t>
      </w:r>
      <w:r w:rsidR="00D31AFF" w:rsidRPr="008D2CC5">
        <w:rPr>
          <w:lang w:val="fr-FR"/>
        </w:rPr>
        <w:t xml:space="preserve">. </w:t>
      </w:r>
      <w:r w:rsidR="00554919" w:rsidRPr="008D2CC5">
        <w:rPr>
          <w:lang w:val="fr-FR"/>
        </w:rPr>
        <w:t>Les mesures de remise en état devraient également être entreprises en tenant dûment compte de la nécessité de mettre en œuvre de telles activités de manière durable</w:t>
      </w:r>
      <w:r w:rsidR="00DA72F5" w:rsidRPr="008D2CC5">
        <w:rPr>
          <w:lang w:val="fr-FR"/>
        </w:rPr>
        <w:t xml:space="preserve"> et conforme au principe de précaution</w:t>
      </w:r>
      <w:r w:rsidR="00D31AFF" w:rsidRPr="008D2CC5">
        <w:rPr>
          <w:lang w:val="fr-FR"/>
        </w:rPr>
        <w:t>.</w:t>
      </w:r>
    </w:p>
    <w:p w14:paraId="4A116590" w14:textId="592E9E4C" w:rsidR="00D31AFF" w:rsidRPr="008D2CC5" w:rsidRDefault="00C66A15" w:rsidP="006D69D3">
      <w:pPr>
        <w:pStyle w:val="Normalnumber"/>
        <w:rPr>
          <w:lang w:val="fr-FR"/>
        </w:rPr>
      </w:pPr>
      <w:r w:rsidRPr="008D2CC5">
        <w:rPr>
          <w:lang w:val="fr-FR"/>
        </w:rPr>
        <w:lastRenderedPageBreak/>
        <w:t>Il existe un certain nombre d</w:t>
      </w:r>
      <w:r w:rsidR="000409D6" w:rsidRPr="008D2CC5">
        <w:rPr>
          <w:lang w:val="fr-FR"/>
        </w:rPr>
        <w:t>’</w:t>
      </w:r>
      <w:r w:rsidRPr="008D2CC5">
        <w:rPr>
          <w:lang w:val="fr-FR"/>
        </w:rPr>
        <w:t>approches et de techniques de remise en état, qui présentent une</w:t>
      </w:r>
      <w:r w:rsidR="00AE49CF" w:rsidRPr="008D2CC5">
        <w:rPr>
          <w:lang w:val="fr-FR"/>
        </w:rPr>
        <w:t> </w:t>
      </w:r>
      <w:r w:rsidRPr="008D2CC5">
        <w:rPr>
          <w:lang w:val="fr-FR"/>
        </w:rPr>
        <w:t>efficacité et des coûts variés</w:t>
      </w:r>
      <w:r w:rsidR="00D31AFF" w:rsidRPr="008D2CC5">
        <w:rPr>
          <w:lang w:val="fr-FR"/>
        </w:rPr>
        <w:t xml:space="preserve">. </w:t>
      </w:r>
      <w:r w:rsidRPr="008D2CC5">
        <w:rPr>
          <w:lang w:val="fr-FR"/>
        </w:rPr>
        <w:t>Le choix de la méthode de remise en état devrait prendre en compte l</w:t>
      </w:r>
      <w:r w:rsidR="000409D6" w:rsidRPr="008D2CC5">
        <w:rPr>
          <w:lang w:val="fr-FR"/>
        </w:rPr>
        <w:t>’</w:t>
      </w:r>
      <w:r w:rsidRPr="008D2CC5">
        <w:rPr>
          <w:lang w:val="fr-FR"/>
        </w:rPr>
        <w:t>utilisation déclarée du site et les risques associés à cette utilisation</w:t>
      </w:r>
      <w:r w:rsidR="00D31AFF" w:rsidRPr="008D2CC5">
        <w:rPr>
          <w:lang w:val="fr-FR"/>
        </w:rPr>
        <w:t xml:space="preserve">. </w:t>
      </w:r>
      <w:r w:rsidR="00823E33" w:rsidRPr="008D2CC5">
        <w:rPr>
          <w:lang w:val="fr-FR"/>
        </w:rPr>
        <w:t>Il peut également dépendre de la</w:t>
      </w:r>
      <w:r w:rsidR="00AE49CF" w:rsidRPr="008D2CC5">
        <w:rPr>
          <w:lang w:val="fr-FR"/>
        </w:rPr>
        <w:t> </w:t>
      </w:r>
      <w:r w:rsidR="00823E33" w:rsidRPr="008D2CC5">
        <w:rPr>
          <w:lang w:val="fr-FR"/>
        </w:rPr>
        <w:t>présence d</w:t>
      </w:r>
      <w:r w:rsidR="000409D6" w:rsidRPr="008D2CC5">
        <w:rPr>
          <w:lang w:val="fr-FR"/>
        </w:rPr>
        <w:t>’</w:t>
      </w:r>
      <w:r w:rsidR="00823E33" w:rsidRPr="008D2CC5">
        <w:rPr>
          <w:lang w:val="fr-FR"/>
        </w:rPr>
        <w:t>autres contaminants ainsi que de facteurs tels que la perméabilité et la teneur en matière organique et en argile</w:t>
      </w:r>
      <w:r w:rsidR="00D31AFF" w:rsidRPr="008D2CC5">
        <w:rPr>
          <w:lang w:val="fr-FR"/>
        </w:rPr>
        <w:t xml:space="preserve">. </w:t>
      </w:r>
      <w:r w:rsidR="00D064E8" w:rsidRPr="008D2CC5">
        <w:rPr>
          <w:lang w:val="fr-FR"/>
        </w:rPr>
        <w:t>Une stratégie de remise en état doit souvent combiner plusieurs techniques afin d</w:t>
      </w:r>
      <w:r w:rsidR="000409D6" w:rsidRPr="008D2CC5">
        <w:rPr>
          <w:lang w:val="fr-FR"/>
        </w:rPr>
        <w:t>’</w:t>
      </w:r>
      <w:r w:rsidR="00D064E8" w:rsidRPr="008D2CC5">
        <w:rPr>
          <w:lang w:val="fr-FR"/>
        </w:rPr>
        <w:t xml:space="preserve">apporter une réponse </w:t>
      </w:r>
      <w:r w:rsidR="00103AB8" w:rsidRPr="008D2CC5">
        <w:rPr>
          <w:lang w:val="fr-FR"/>
        </w:rPr>
        <w:t>adéquate</w:t>
      </w:r>
      <w:r w:rsidR="00D064E8" w:rsidRPr="008D2CC5">
        <w:rPr>
          <w:lang w:val="fr-FR"/>
        </w:rPr>
        <w:t xml:space="preserve"> à la situation</w:t>
      </w:r>
      <w:r w:rsidR="00D31AFF" w:rsidRPr="008D2CC5">
        <w:rPr>
          <w:lang w:val="fr-FR"/>
        </w:rPr>
        <w:t xml:space="preserve">. </w:t>
      </w:r>
      <w:r w:rsidR="00103AB8" w:rsidRPr="008D2CC5">
        <w:rPr>
          <w:lang w:val="fr-FR"/>
        </w:rPr>
        <w:t>L</w:t>
      </w:r>
      <w:r w:rsidR="000409D6" w:rsidRPr="008D2CC5">
        <w:rPr>
          <w:lang w:val="fr-FR"/>
        </w:rPr>
        <w:t>’</w:t>
      </w:r>
      <w:r w:rsidR="00103AB8" w:rsidRPr="008D2CC5">
        <w:rPr>
          <w:lang w:val="fr-FR"/>
        </w:rPr>
        <w:t>évaluation et la comparaison des diverses options de remise en état afin de déterminer la solution la plus efficace sont cruciales</w:t>
      </w:r>
      <w:r w:rsidR="006F2092" w:rsidRPr="008D2CC5">
        <w:rPr>
          <w:rStyle w:val="FootnoteReference"/>
          <w:lang w:val="fr-FR"/>
        </w:rPr>
        <w:footnoteReference w:id="12"/>
      </w:r>
      <w:r w:rsidR="005C3F6F" w:rsidRPr="008D2CC5">
        <w:rPr>
          <w:lang w:val="fr-FR"/>
        </w:rPr>
        <w:t>.</w:t>
      </w:r>
      <w:r w:rsidR="00D31AFF" w:rsidRPr="008D2CC5">
        <w:rPr>
          <w:lang w:val="fr-FR"/>
        </w:rPr>
        <w:t xml:space="preserve"> </w:t>
      </w:r>
    </w:p>
    <w:p w14:paraId="18721EDB" w14:textId="7B446A8F" w:rsidR="00D31AFF" w:rsidRPr="008D2CC5" w:rsidRDefault="00D31AFF" w:rsidP="00F93F76">
      <w:pPr>
        <w:pStyle w:val="CH3"/>
        <w:rPr>
          <w:lang w:val="fr-FR"/>
        </w:rPr>
      </w:pPr>
      <w:r w:rsidRPr="008D2CC5">
        <w:rPr>
          <w:lang w:val="fr-FR"/>
        </w:rPr>
        <w:tab/>
      </w:r>
      <w:r w:rsidR="00152CD3" w:rsidRPr="008D2CC5">
        <w:rPr>
          <w:lang w:val="fr-FR"/>
        </w:rPr>
        <w:t>3.</w:t>
      </w:r>
      <w:r w:rsidRPr="008D2CC5">
        <w:rPr>
          <w:lang w:val="fr-FR"/>
        </w:rPr>
        <w:tab/>
      </w:r>
      <w:r w:rsidR="005C3F6F" w:rsidRPr="008D2CC5">
        <w:rPr>
          <w:lang w:val="fr-FR"/>
        </w:rPr>
        <w:t>Traitement des sols</w:t>
      </w:r>
    </w:p>
    <w:p w14:paraId="6D166D5B" w14:textId="01E0C9D1" w:rsidR="00D31AFF" w:rsidRPr="008D2CC5" w:rsidRDefault="00386FC0" w:rsidP="008E43CD">
      <w:pPr>
        <w:pStyle w:val="Normalnumber"/>
        <w:numPr>
          <w:ilvl w:val="0"/>
          <w:numId w:val="5"/>
        </w:numPr>
        <w:rPr>
          <w:lang w:val="fr-FR"/>
        </w:rPr>
      </w:pPr>
      <w:r w:rsidRPr="008D2CC5">
        <w:rPr>
          <w:lang w:val="fr-FR"/>
        </w:rPr>
        <w:t>Lorsque cela est faisable, il peut être préférable que le traitement en vue d</w:t>
      </w:r>
      <w:r w:rsidR="000409D6" w:rsidRPr="008D2CC5">
        <w:rPr>
          <w:lang w:val="fr-FR"/>
        </w:rPr>
        <w:t>’</w:t>
      </w:r>
      <w:r w:rsidRPr="008D2CC5">
        <w:rPr>
          <w:lang w:val="fr-FR"/>
        </w:rPr>
        <w:t>éliminer</w:t>
      </w:r>
      <w:r w:rsidR="00540E2F" w:rsidRPr="008D2CC5">
        <w:rPr>
          <w:lang w:val="fr-FR"/>
        </w:rPr>
        <w:t xml:space="preserve"> le contaminant</w:t>
      </w:r>
      <w:r w:rsidRPr="008D2CC5">
        <w:rPr>
          <w:lang w:val="fr-FR"/>
        </w:rPr>
        <w:t xml:space="preserve"> ou de réduire à un niveau acceptable le danger qu</w:t>
      </w:r>
      <w:r w:rsidR="000409D6" w:rsidRPr="008D2CC5">
        <w:rPr>
          <w:lang w:val="fr-FR"/>
        </w:rPr>
        <w:t>’</w:t>
      </w:r>
      <w:r w:rsidRPr="008D2CC5">
        <w:rPr>
          <w:lang w:val="fr-FR"/>
        </w:rPr>
        <w:t>il représente se fasse sur le site</w:t>
      </w:r>
      <w:r w:rsidR="00D31AFF" w:rsidRPr="008D2CC5">
        <w:rPr>
          <w:lang w:val="fr-FR"/>
        </w:rPr>
        <w:t xml:space="preserve">. </w:t>
      </w:r>
      <w:r w:rsidR="006071AE">
        <w:rPr>
          <w:lang w:val="fr-FR"/>
        </w:rPr>
        <w:t>Un tel </w:t>
      </w:r>
      <w:r w:rsidR="00540E2F" w:rsidRPr="008D2CC5">
        <w:rPr>
          <w:lang w:val="fr-FR"/>
        </w:rPr>
        <w:t xml:space="preserve">traitement devrait être mis en œuvre de manière à éviter, autant que faire se peut, tout effet néfaste </w:t>
      </w:r>
      <w:r w:rsidR="00456A4A" w:rsidRPr="008D2CC5">
        <w:rPr>
          <w:lang w:val="fr-FR"/>
        </w:rPr>
        <w:t>sur</w:t>
      </w:r>
      <w:r w:rsidR="00540E2F" w:rsidRPr="008D2CC5">
        <w:rPr>
          <w:lang w:val="fr-FR"/>
        </w:rPr>
        <w:t xml:space="preserve"> l</w:t>
      </w:r>
      <w:r w:rsidR="000409D6" w:rsidRPr="008D2CC5">
        <w:rPr>
          <w:lang w:val="fr-FR"/>
        </w:rPr>
        <w:t>’</w:t>
      </w:r>
      <w:r w:rsidR="00540E2F" w:rsidRPr="008D2CC5">
        <w:rPr>
          <w:lang w:val="fr-FR"/>
        </w:rPr>
        <w:t>environnement, les travailleurs, la communauté installée à proximité du site ou le grand public</w:t>
      </w:r>
      <w:r w:rsidR="00D31AFF" w:rsidRPr="008D2CC5">
        <w:rPr>
          <w:lang w:val="fr-FR"/>
        </w:rPr>
        <w:t xml:space="preserve">. </w:t>
      </w:r>
    </w:p>
    <w:p w14:paraId="106E25EF" w14:textId="027E6913" w:rsidR="00D31AFF" w:rsidRPr="008D2CC5" w:rsidRDefault="00154A4B" w:rsidP="008E43CD">
      <w:pPr>
        <w:pStyle w:val="Normalnumber"/>
        <w:numPr>
          <w:ilvl w:val="0"/>
          <w:numId w:val="5"/>
        </w:numPr>
        <w:rPr>
          <w:lang w:val="fr-FR"/>
        </w:rPr>
      </w:pPr>
      <w:r w:rsidRPr="008D2CC5">
        <w:rPr>
          <w:lang w:val="fr-FR"/>
        </w:rPr>
        <w:t xml:space="preserve">Dans certains cas, le confinement </w:t>
      </w:r>
      <w:r w:rsidR="00456A4A" w:rsidRPr="008D2CC5">
        <w:rPr>
          <w:lang w:val="fr-FR"/>
        </w:rPr>
        <w:t xml:space="preserve">sur site </w:t>
      </w:r>
      <w:r w:rsidRPr="008D2CC5">
        <w:rPr>
          <w:lang w:val="fr-FR"/>
        </w:rPr>
        <w:t xml:space="preserve">de la partie contaminée </w:t>
      </w:r>
      <w:r w:rsidR="00456A4A" w:rsidRPr="008D2CC5">
        <w:rPr>
          <w:lang w:val="fr-FR"/>
        </w:rPr>
        <w:t>au mercure</w:t>
      </w:r>
      <w:r w:rsidRPr="008D2CC5">
        <w:rPr>
          <w:lang w:val="fr-FR"/>
        </w:rPr>
        <w:t xml:space="preserve"> peut être une option viable.</w:t>
      </w:r>
      <w:r w:rsidR="00D31AFF" w:rsidRPr="008D2CC5">
        <w:rPr>
          <w:lang w:val="fr-FR"/>
        </w:rPr>
        <w:t xml:space="preserve"> </w:t>
      </w:r>
      <w:r w:rsidRPr="008D2CC5">
        <w:rPr>
          <w:lang w:val="fr-FR"/>
        </w:rPr>
        <w:t>Des barrières physiques peuvent être utilisées pour empêcher la migration du mercure dans le sol ou son passage dans l</w:t>
      </w:r>
      <w:r w:rsidR="000409D6" w:rsidRPr="008D2CC5">
        <w:rPr>
          <w:lang w:val="fr-FR"/>
        </w:rPr>
        <w:t>’</w:t>
      </w:r>
      <w:r w:rsidRPr="008D2CC5">
        <w:rPr>
          <w:lang w:val="fr-FR"/>
        </w:rPr>
        <w:t>air</w:t>
      </w:r>
      <w:r w:rsidR="00D31AFF" w:rsidRPr="008D2CC5">
        <w:rPr>
          <w:lang w:val="fr-FR"/>
        </w:rPr>
        <w:t xml:space="preserve">. </w:t>
      </w:r>
      <w:r w:rsidRPr="008D2CC5">
        <w:rPr>
          <w:lang w:val="fr-FR"/>
        </w:rPr>
        <w:t>Cela peut demander que des tranchées profondes soient creusées sur le pourtour de la zone contaminée et remplies de boues (mélanges de bentonite ou de ciment et de terre, par exemple)</w:t>
      </w:r>
      <w:r w:rsidR="00D31AFF" w:rsidRPr="008D2CC5">
        <w:rPr>
          <w:lang w:val="fr-FR"/>
        </w:rPr>
        <w:t xml:space="preserve">. </w:t>
      </w:r>
      <w:r w:rsidR="00FB3DF2" w:rsidRPr="008D2CC5">
        <w:rPr>
          <w:lang w:val="fr-FR"/>
        </w:rPr>
        <w:t>Il peut également être nécessaire d</w:t>
      </w:r>
      <w:r w:rsidR="000409D6" w:rsidRPr="008D2CC5">
        <w:rPr>
          <w:lang w:val="fr-FR"/>
        </w:rPr>
        <w:t>’</w:t>
      </w:r>
      <w:r w:rsidR="00FB3DF2" w:rsidRPr="008D2CC5">
        <w:rPr>
          <w:lang w:val="fr-FR"/>
        </w:rPr>
        <w:t>injecter des produits chimiques stabilisants dans le sol, en se servant de tarières conçues à cette fin</w:t>
      </w:r>
      <w:r w:rsidR="00D31AFF" w:rsidRPr="008D2CC5">
        <w:rPr>
          <w:lang w:val="fr-FR"/>
        </w:rPr>
        <w:t xml:space="preserve">. </w:t>
      </w:r>
      <w:r w:rsidR="00FB3DF2" w:rsidRPr="008D2CC5">
        <w:rPr>
          <w:lang w:val="fr-FR"/>
        </w:rPr>
        <w:t>Il convient de noter que de telles mesures ne réduisent pas les quantités de mercure présentes sur le site et que des matériaux contaminés risquent d</w:t>
      </w:r>
      <w:r w:rsidR="000409D6" w:rsidRPr="008D2CC5">
        <w:rPr>
          <w:lang w:val="fr-FR"/>
        </w:rPr>
        <w:t>’</w:t>
      </w:r>
      <w:r w:rsidR="00FB3DF2" w:rsidRPr="008D2CC5">
        <w:rPr>
          <w:lang w:val="fr-FR"/>
        </w:rPr>
        <w:t xml:space="preserve">être rejetés durant le processus </w:t>
      </w:r>
      <w:r w:rsidR="00D31AFF" w:rsidRPr="008D2CC5">
        <w:rPr>
          <w:lang w:val="fr-FR"/>
        </w:rPr>
        <w:t>(</w:t>
      </w:r>
      <w:proofErr w:type="spellStart"/>
      <w:r w:rsidR="00D31AFF" w:rsidRPr="008D2CC5">
        <w:rPr>
          <w:lang w:val="fr-FR"/>
        </w:rPr>
        <w:t>Merly</w:t>
      </w:r>
      <w:proofErr w:type="spellEnd"/>
      <w:r w:rsidR="00D31AFF" w:rsidRPr="008D2CC5">
        <w:rPr>
          <w:lang w:val="fr-FR"/>
        </w:rPr>
        <w:t xml:space="preserve"> and </w:t>
      </w:r>
      <w:proofErr w:type="spellStart"/>
      <w:r w:rsidR="00D31AFF" w:rsidRPr="008D2CC5">
        <w:rPr>
          <w:lang w:val="fr-FR"/>
        </w:rPr>
        <w:t>Hube</w:t>
      </w:r>
      <w:proofErr w:type="spellEnd"/>
      <w:r w:rsidR="00D31AFF" w:rsidRPr="008D2CC5">
        <w:rPr>
          <w:lang w:val="fr-FR"/>
        </w:rPr>
        <w:t xml:space="preserve">, 2014). </w:t>
      </w:r>
      <w:r w:rsidR="00FB3DF2" w:rsidRPr="008D2CC5">
        <w:rPr>
          <w:lang w:val="fr-FR"/>
        </w:rPr>
        <w:t xml:space="preserve">Des contrôles institutionnels, tels que des restrictions relatives aux actes de vente ou des avis </w:t>
      </w:r>
      <w:r w:rsidR="00E80C2A" w:rsidRPr="008D2CC5">
        <w:rPr>
          <w:lang w:val="fr-FR"/>
        </w:rPr>
        <w:t>dans</w:t>
      </w:r>
      <w:r w:rsidR="00FB3DF2" w:rsidRPr="008D2CC5">
        <w:rPr>
          <w:lang w:val="fr-FR"/>
        </w:rPr>
        <w:t xml:space="preserve"> les registres fonciers, peuvent venir renforcer les mesures visant à éviter la migration du mercure</w:t>
      </w:r>
      <w:r w:rsidR="00146856" w:rsidRPr="008D2CC5">
        <w:rPr>
          <w:lang w:val="fr-FR"/>
        </w:rPr>
        <w:t>.</w:t>
      </w:r>
    </w:p>
    <w:p w14:paraId="6CB20EA0" w14:textId="460C2722" w:rsidR="00D31AFF" w:rsidRPr="008D2CC5" w:rsidRDefault="00235086" w:rsidP="008E43CD">
      <w:pPr>
        <w:pStyle w:val="Normalnumber"/>
        <w:numPr>
          <w:ilvl w:val="0"/>
          <w:numId w:val="5"/>
        </w:numPr>
        <w:rPr>
          <w:lang w:val="fr-FR"/>
        </w:rPr>
      </w:pPr>
      <w:r w:rsidRPr="008D2CC5">
        <w:rPr>
          <w:lang w:val="fr-FR"/>
        </w:rPr>
        <w:t xml:space="preserve">Si le traitement sur site du sol contaminé pour </w:t>
      </w:r>
      <w:r w:rsidR="00BA1583">
        <w:rPr>
          <w:lang w:val="fr-FR"/>
        </w:rPr>
        <w:t xml:space="preserve">en </w:t>
      </w:r>
      <w:r w:rsidRPr="008D2CC5">
        <w:rPr>
          <w:lang w:val="fr-FR"/>
        </w:rPr>
        <w:t>éliminer les contaminants n</w:t>
      </w:r>
      <w:r w:rsidR="000409D6" w:rsidRPr="008D2CC5">
        <w:rPr>
          <w:lang w:val="fr-FR"/>
        </w:rPr>
        <w:t>’</w:t>
      </w:r>
      <w:r w:rsidRPr="008D2CC5">
        <w:rPr>
          <w:lang w:val="fr-FR"/>
        </w:rPr>
        <w:t>est pas possible, une autre option consiste à extraire le sol contaminé aux fins d</w:t>
      </w:r>
      <w:r w:rsidR="000409D6" w:rsidRPr="008D2CC5">
        <w:rPr>
          <w:lang w:val="fr-FR"/>
        </w:rPr>
        <w:t>’</w:t>
      </w:r>
      <w:r w:rsidRPr="008D2CC5">
        <w:rPr>
          <w:lang w:val="fr-FR"/>
        </w:rPr>
        <w:t>un traitement hors site</w:t>
      </w:r>
      <w:r w:rsidR="00D31AFF" w:rsidRPr="008D2CC5">
        <w:rPr>
          <w:lang w:val="fr-FR"/>
        </w:rPr>
        <w:t xml:space="preserve">. </w:t>
      </w:r>
      <w:r w:rsidRPr="008D2CC5">
        <w:rPr>
          <w:lang w:val="fr-FR"/>
        </w:rPr>
        <w:t>En attendant son traitement, il peut être envoyé à un site ou une installation de stockage agréé</w:t>
      </w:r>
      <w:r w:rsidR="00627267" w:rsidRPr="008D2CC5">
        <w:rPr>
          <w:lang w:val="fr-FR"/>
        </w:rPr>
        <w:t>s</w:t>
      </w:r>
      <w:r w:rsidR="00D31AFF" w:rsidRPr="008D2CC5">
        <w:rPr>
          <w:lang w:val="fr-FR"/>
        </w:rPr>
        <w:t>,</w:t>
      </w:r>
      <w:r w:rsidRPr="008D2CC5">
        <w:rPr>
          <w:lang w:val="fr-FR"/>
        </w:rPr>
        <w:t xml:space="preserve"> en veillant dûment à éviter toute pollution environnementale qui pourrait être causée par le transport du sol</w:t>
      </w:r>
      <w:r w:rsidR="00D31AFF" w:rsidRPr="008D2CC5">
        <w:rPr>
          <w:lang w:val="fr-FR"/>
        </w:rPr>
        <w:t xml:space="preserve">. </w:t>
      </w:r>
      <w:r w:rsidR="005F16D2" w:rsidRPr="008D2CC5">
        <w:rPr>
          <w:lang w:val="fr-FR"/>
        </w:rPr>
        <w:t xml:space="preserve">Si cette dernière option est retenue, la Partie </w:t>
      </w:r>
      <w:r w:rsidR="00456A4A" w:rsidRPr="008D2CC5">
        <w:rPr>
          <w:lang w:val="fr-FR"/>
        </w:rPr>
        <w:t xml:space="preserve">concernée </w:t>
      </w:r>
      <w:r w:rsidR="005F16D2" w:rsidRPr="008D2CC5">
        <w:rPr>
          <w:lang w:val="fr-FR"/>
        </w:rPr>
        <w:t>devrait veiller à ce que l</w:t>
      </w:r>
      <w:r w:rsidR="000409D6" w:rsidRPr="008D2CC5">
        <w:rPr>
          <w:lang w:val="fr-FR"/>
        </w:rPr>
        <w:t>’</w:t>
      </w:r>
      <w:r w:rsidR="005F16D2" w:rsidRPr="008D2CC5">
        <w:rPr>
          <w:lang w:val="fr-FR"/>
        </w:rPr>
        <w:t>installation qui recevra le sol contaminé soit en mesure de gérer les déchets conformément aux réglementations environnementales applicables</w:t>
      </w:r>
      <w:r w:rsidR="00D31AFF" w:rsidRPr="008D2CC5">
        <w:rPr>
          <w:lang w:val="fr-FR"/>
        </w:rPr>
        <w:t xml:space="preserve">. </w:t>
      </w:r>
      <w:r w:rsidR="005F16D2" w:rsidRPr="008D2CC5">
        <w:rPr>
          <w:lang w:val="fr-FR"/>
        </w:rPr>
        <w:t>De plus</w:t>
      </w:r>
      <w:r w:rsidR="00D31AFF" w:rsidRPr="008D2CC5">
        <w:rPr>
          <w:lang w:val="fr-FR"/>
        </w:rPr>
        <w:t>,</w:t>
      </w:r>
      <w:r w:rsidR="005F16D2" w:rsidRPr="008D2CC5">
        <w:rPr>
          <w:lang w:val="fr-FR"/>
        </w:rPr>
        <w:t xml:space="preserve"> les sols dépassant le seuil pour les déchets contaminés au mercure devraient être gérés conformément</w:t>
      </w:r>
      <w:r w:rsidR="00D31AFF" w:rsidRPr="008D2CC5">
        <w:rPr>
          <w:lang w:val="fr-FR"/>
        </w:rPr>
        <w:t xml:space="preserve"> </w:t>
      </w:r>
      <w:r w:rsidR="005F16D2" w:rsidRPr="008D2CC5">
        <w:rPr>
          <w:lang w:val="fr-FR"/>
        </w:rPr>
        <w:t>aux dispositions en matière de gestion écologiquement rationnelle des déchets de mercure en application de l</w:t>
      </w:r>
      <w:r w:rsidR="000409D6" w:rsidRPr="008D2CC5">
        <w:rPr>
          <w:lang w:val="fr-FR"/>
        </w:rPr>
        <w:t>’</w:t>
      </w:r>
      <w:r w:rsidR="00D31AFF" w:rsidRPr="008D2CC5">
        <w:rPr>
          <w:lang w:val="fr-FR"/>
        </w:rPr>
        <w:t>article</w:t>
      </w:r>
      <w:r w:rsidR="00DD7741" w:rsidRPr="008D2CC5">
        <w:rPr>
          <w:lang w:val="fr-FR"/>
        </w:rPr>
        <w:t> </w:t>
      </w:r>
      <w:r w:rsidR="00D31AFF" w:rsidRPr="008D2CC5">
        <w:rPr>
          <w:lang w:val="fr-FR"/>
        </w:rPr>
        <w:t xml:space="preserve">11 </w:t>
      </w:r>
      <w:r w:rsidR="005F16D2" w:rsidRPr="008D2CC5">
        <w:rPr>
          <w:lang w:val="fr-FR"/>
        </w:rPr>
        <w:t>de la</w:t>
      </w:r>
      <w:r w:rsidR="00D31AFF" w:rsidRPr="008D2CC5">
        <w:rPr>
          <w:lang w:val="fr-FR"/>
        </w:rPr>
        <w:t xml:space="preserve"> Convention. </w:t>
      </w:r>
      <w:r w:rsidR="005F16D2" w:rsidRPr="008D2CC5">
        <w:rPr>
          <w:lang w:val="fr-FR"/>
        </w:rPr>
        <w:t>Le traitement hors site du sol excavé vise à en éliminer les contaminants ou à ramener le danger posé par ceux-ci à un niveau acceptable</w:t>
      </w:r>
      <w:r w:rsidR="00D31AFF" w:rsidRPr="008D2CC5">
        <w:rPr>
          <w:lang w:val="fr-FR"/>
        </w:rPr>
        <w:t xml:space="preserve">. </w:t>
      </w:r>
      <w:r w:rsidR="00715747" w:rsidRPr="008D2CC5">
        <w:rPr>
          <w:lang w:val="fr-FR"/>
        </w:rPr>
        <w:t>Dans la mesure du possible, le sol traité est ensuite retourné au site initial ou envoyé à un autre site</w:t>
      </w:r>
      <w:r w:rsidR="00D31AFF" w:rsidRPr="008D2CC5">
        <w:rPr>
          <w:lang w:val="fr-FR"/>
        </w:rPr>
        <w:t xml:space="preserve">. </w:t>
      </w:r>
      <w:r w:rsidR="00D0209D">
        <w:rPr>
          <w:lang w:val="fr-FR"/>
        </w:rPr>
        <w:t>Les </w:t>
      </w:r>
      <w:r w:rsidR="00830B17" w:rsidRPr="008D2CC5">
        <w:rPr>
          <w:lang w:val="fr-FR"/>
        </w:rPr>
        <w:t>résidus issus du traitement du sol peuvent présenter des concentrations élevées de mercure et devraient être gérés comme des déchets de mercure</w:t>
      </w:r>
      <w:r w:rsidR="00146856" w:rsidRPr="008D2CC5">
        <w:rPr>
          <w:lang w:val="fr-FR"/>
        </w:rPr>
        <w:t>.</w:t>
      </w:r>
    </w:p>
    <w:p w14:paraId="05E7F0F0" w14:textId="6F6F9C56" w:rsidR="00D31AFF" w:rsidRPr="008D2CC5" w:rsidRDefault="00957F8A" w:rsidP="008E43CD">
      <w:pPr>
        <w:pStyle w:val="Normalnumber"/>
        <w:numPr>
          <w:ilvl w:val="0"/>
          <w:numId w:val="5"/>
        </w:numPr>
        <w:rPr>
          <w:lang w:val="fr-FR"/>
        </w:rPr>
      </w:pPr>
      <w:r w:rsidRPr="008D2CC5">
        <w:rPr>
          <w:lang w:val="fr-FR"/>
        </w:rPr>
        <w:t>Les excavations et autres activités qui perturbent le sol du site peuvent, dans certains cas, être réalisées à l</w:t>
      </w:r>
      <w:r w:rsidR="000409D6" w:rsidRPr="008D2CC5">
        <w:rPr>
          <w:lang w:val="fr-FR"/>
        </w:rPr>
        <w:t>’</w:t>
      </w:r>
      <w:r w:rsidRPr="008D2CC5">
        <w:rPr>
          <w:lang w:val="fr-FR"/>
        </w:rPr>
        <w:t>intérieur de structures temporaires rendues hermétiques par le biais de filtres au charbon et de systèmes de pressurisation négative</w:t>
      </w:r>
      <w:r w:rsidR="00D31AFF" w:rsidRPr="008D2CC5">
        <w:rPr>
          <w:lang w:val="fr-FR"/>
        </w:rPr>
        <w:t xml:space="preserve">. </w:t>
      </w:r>
      <w:r w:rsidRPr="008D2CC5">
        <w:rPr>
          <w:lang w:val="fr-FR"/>
        </w:rPr>
        <w:t>De cette manière, le risque que représentent les vapeurs et les rejets de particules susceptibles de nuire aux communautés locales et à l</w:t>
      </w:r>
      <w:r w:rsidR="000409D6" w:rsidRPr="008D2CC5">
        <w:rPr>
          <w:lang w:val="fr-FR"/>
        </w:rPr>
        <w:t>’</w:t>
      </w:r>
      <w:r w:rsidRPr="008D2CC5">
        <w:rPr>
          <w:lang w:val="fr-FR"/>
        </w:rPr>
        <w:t>environnement est atténué</w:t>
      </w:r>
      <w:r w:rsidR="00D31AFF" w:rsidRPr="008D2CC5">
        <w:rPr>
          <w:lang w:val="fr-FR"/>
        </w:rPr>
        <w:t xml:space="preserve">. </w:t>
      </w:r>
      <w:r w:rsidRPr="008D2CC5">
        <w:rPr>
          <w:lang w:val="fr-FR"/>
        </w:rPr>
        <w:t>De telles structures peuvent également remplacer des programmes coûteux de surveillance de l</w:t>
      </w:r>
      <w:r w:rsidR="000409D6" w:rsidRPr="008D2CC5">
        <w:rPr>
          <w:lang w:val="fr-FR"/>
        </w:rPr>
        <w:t>’</w:t>
      </w:r>
      <w:r w:rsidRPr="008D2CC5">
        <w:rPr>
          <w:lang w:val="fr-FR"/>
        </w:rPr>
        <w:t>air ambiant, étant plus à même de rassurer les travailleurs et la population locale au sujet des niveaux d</w:t>
      </w:r>
      <w:r w:rsidR="000409D6" w:rsidRPr="008D2CC5">
        <w:rPr>
          <w:lang w:val="fr-FR"/>
        </w:rPr>
        <w:t>’</w:t>
      </w:r>
      <w:r w:rsidRPr="008D2CC5">
        <w:rPr>
          <w:lang w:val="fr-FR"/>
        </w:rPr>
        <w:t>exposition</w:t>
      </w:r>
      <w:r w:rsidR="00D31AFF" w:rsidRPr="008D2CC5">
        <w:rPr>
          <w:lang w:val="fr-FR"/>
        </w:rPr>
        <w:t xml:space="preserve">. </w:t>
      </w:r>
    </w:p>
    <w:p w14:paraId="2E12CE60" w14:textId="047913DC" w:rsidR="00D31AFF" w:rsidRPr="008D2CC5" w:rsidRDefault="00957F8A" w:rsidP="008E43CD">
      <w:pPr>
        <w:pStyle w:val="Normalnumber"/>
        <w:numPr>
          <w:ilvl w:val="0"/>
          <w:numId w:val="5"/>
        </w:numPr>
        <w:rPr>
          <w:lang w:val="fr-FR"/>
        </w:rPr>
      </w:pPr>
      <w:r w:rsidRPr="008D2CC5">
        <w:rPr>
          <w:lang w:val="fr-FR"/>
        </w:rPr>
        <w:t>Parmi les méthodes dont l</w:t>
      </w:r>
      <w:r w:rsidR="000409D6" w:rsidRPr="008D2CC5">
        <w:rPr>
          <w:lang w:val="fr-FR"/>
        </w:rPr>
        <w:t>’</w:t>
      </w:r>
      <w:r w:rsidRPr="008D2CC5">
        <w:rPr>
          <w:lang w:val="fr-FR"/>
        </w:rPr>
        <w:t>efficacité a été prouvée pour le traite</w:t>
      </w:r>
      <w:r w:rsidR="0000101D">
        <w:rPr>
          <w:lang w:val="fr-FR"/>
        </w:rPr>
        <w:t>ment des sols contaminés par du </w:t>
      </w:r>
      <w:r w:rsidRPr="008D2CC5">
        <w:rPr>
          <w:lang w:val="fr-FR"/>
        </w:rPr>
        <w:t>mercure figurent la solidification et la stabilisation, le lavage des sols et l</w:t>
      </w:r>
      <w:r w:rsidR="000409D6" w:rsidRPr="008D2CC5">
        <w:rPr>
          <w:lang w:val="fr-FR"/>
        </w:rPr>
        <w:t>’</w:t>
      </w:r>
      <w:r w:rsidRPr="008D2CC5">
        <w:rPr>
          <w:lang w:val="fr-FR"/>
        </w:rPr>
        <w:t>extraction à l</w:t>
      </w:r>
      <w:r w:rsidR="000409D6" w:rsidRPr="008D2CC5">
        <w:rPr>
          <w:lang w:val="fr-FR"/>
        </w:rPr>
        <w:t>’</w:t>
      </w:r>
      <w:r w:rsidR="00462042">
        <w:rPr>
          <w:lang w:val="fr-FR"/>
        </w:rPr>
        <w:t>acide, le </w:t>
      </w:r>
      <w:r w:rsidRPr="008D2CC5">
        <w:rPr>
          <w:lang w:val="fr-FR"/>
        </w:rPr>
        <w:t xml:space="preserve">traitement thermique et la vitrification (US EPA, 2007), ainsi que la décontamination électrocinétique et la désorption thermique </w:t>
      </w:r>
      <w:r w:rsidRPr="0000101D">
        <w:rPr>
          <w:i/>
          <w:lang w:val="fr-FR"/>
        </w:rPr>
        <w:t>in situ</w:t>
      </w:r>
      <w:r w:rsidR="00D31AFF" w:rsidRPr="008D2CC5">
        <w:rPr>
          <w:lang w:val="fr-FR"/>
        </w:rPr>
        <w:t xml:space="preserve">. </w:t>
      </w:r>
      <w:r w:rsidR="00DD7741" w:rsidRPr="008D2CC5">
        <w:rPr>
          <w:lang w:val="fr-FR"/>
        </w:rPr>
        <w:t>L</w:t>
      </w:r>
      <w:r w:rsidR="000409D6" w:rsidRPr="008D2CC5">
        <w:rPr>
          <w:lang w:val="fr-FR"/>
        </w:rPr>
        <w:t>’</w:t>
      </w:r>
      <w:r w:rsidR="00DD7741" w:rsidRPr="008D2CC5">
        <w:rPr>
          <w:lang w:val="fr-FR"/>
        </w:rPr>
        <w:t>option la plus adaptée dépendra des concentrations de mercure et d</w:t>
      </w:r>
      <w:r w:rsidR="000409D6" w:rsidRPr="008D2CC5">
        <w:rPr>
          <w:lang w:val="fr-FR"/>
        </w:rPr>
        <w:t>’</w:t>
      </w:r>
      <w:r w:rsidR="00DD7741" w:rsidRPr="008D2CC5">
        <w:rPr>
          <w:lang w:val="fr-FR"/>
        </w:rPr>
        <w:t xml:space="preserve">autres contaminants dans le sol, de leur répartition et de </w:t>
      </w:r>
      <w:r w:rsidR="000C34EA">
        <w:rPr>
          <w:lang w:val="fr-FR"/>
        </w:rPr>
        <w:t xml:space="preserve">l’étendue de </w:t>
      </w:r>
      <w:r w:rsidR="00DD7741" w:rsidRPr="008D2CC5">
        <w:rPr>
          <w:lang w:val="fr-FR"/>
        </w:rPr>
        <w:t>la zone contaminée</w:t>
      </w:r>
      <w:r w:rsidR="00D31AFF" w:rsidRPr="008D2CC5">
        <w:rPr>
          <w:lang w:val="fr-FR"/>
        </w:rPr>
        <w:t xml:space="preserve">. </w:t>
      </w:r>
      <w:r w:rsidR="00DD7741" w:rsidRPr="008D2CC5">
        <w:rPr>
          <w:lang w:val="fr-FR"/>
        </w:rPr>
        <w:t>Par conséquent, le choix de la méthode de traitement devrait se faire en fonction des caractéristiques du site, en tenant compte des technologies disponibles aux niveaux local et national</w:t>
      </w:r>
      <w:r w:rsidR="00D31AFF" w:rsidRPr="008D2CC5">
        <w:rPr>
          <w:lang w:val="fr-FR"/>
        </w:rPr>
        <w:t>.</w:t>
      </w:r>
    </w:p>
    <w:p w14:paraId="228412A4" w14:textId="2CD9155F" w:rsidR="00D31AFF" w:rsidRPr="008D2CC5" w:rsidRDefault="004226A6" w:rsidP="00AA636A">
      <w:pPr>
        <w:pStyle w:val="Normalnumber"/>
        <w:keepNext/>
        <w:keepLines/>
        <w:rPr>
          <w:lang w:val="fr-FR"/>
        </w:rPr>
      </w:pPr>
      <w:r w:rsidRPr="008D2CC5">
        <w:rPr>
          <w:lang w:val="fr-FR"/>
        </w:rPr>
        <w:lastRenderedPageBreak/>
        <w:t xml:space="preserve">Le procédé de solidification consiste à mélanger le sol contaminé ou les déchets avec un liant </w:t>
      </w:r>
      <w:bookmarkStart w:id="16" w:name="_GoBack"/>
      <w:bookmarkEnd w:id="16"/>
      <w:r w:rsidRPr="008D2CC5">
        <w:rPr>
          <w:lang w:val="fr-FR"/>
        </w:rPr>
        <w:t>en vue d</w:t>
      </w:r>
      <w:r w:rsidR="000409D6" w:rsidRPr="008D2CC5">
        <w:rPr>
          <w:lang w:val="fr-FR"/>
        </w:rPr>
        <w:t>’</w:t>
      </w:r>
      <w:r w:rsidRPr="008D2CC5">
        <w:rPr>
          <w:lang w:val="fr-FR"/>
        </w:rPr>
        <w:t xml:space="preserve">obtenir une suspension ou une pâte plus ou moins épaisse qui se solidifiera au fil du temps </w:t>
      </w:r>
      <w:r w:rsidR="00D31AFF" w:rsidRPr="008D2CC5">
        <w:rPr>
          <w:lang w:val="fr-FR"/>
        </w:rPr>
        <w:t xml:space="preserve">(US EPA, 2007). </w:t>
      </w:r>
      <w:r w:rsidRPr="008D2CC5">
        <w:rPr>
          <w:lang w:val="fr-FR"/>
        </w:rPr>
        <w:t>La solidification et la stabilisation peuvent s</w:t>
      </w:r>
      <w:r w:rsidR="000409D6" w:rsidRPr="008D2CC5">
        <w:rPr>
          <w:lang w:val="fr-FR"/>
        </w:rPr>
        <w:t>’</w:t>
      </w:r>
      <w:r w:rsidRPr="008D2CC5">
        <w:rPr>
          <w:lang w:val="fr-FR"/>
        </w:rPr>
        <w:t>opérer directement sur le site ou en dehors de ce dernier</w:t>
      </w:r>
      <w:r w:rsidR="00D31AFF" w:rsidRPr="008D2CC5">
        <w:rPr>
          <w:lang w:val="fr-FR"/>
        </w:rPr>
        <w:t xml:space="preserve">. </w:t>
      </w:r>
      <w:r w:rsidRPr="008D2CC5">
        <w:rPr>
          <w:lang w:val="fr-FR"/>
        </w:rPr>
        <w:t>Cette technique a déjà été utilisée dans le cadre d</w:t>
      </w:r>
      <w:r w:rsidR="000409D6" w:rsidRPr="008D2CC5">
        <w:rPr>
          <w:lang w:val="fr-FR"/>
        </w:rPr>
        <w:t>’</w:t>
      </w:r>
      <w:r w:rsidR="00462042">
        <w:rPr>
          <w:lang w:val="fr-FR"/>
        </w:rPr>
        <w:t>opérations de nettoyage et est </w:t>
      </w:r>
      <w:r w:rsidR="0078581E" w:rsidRPr="008D2CC5">
        <w:rPr>
          <w:lang w:val="fr-FR"/>
        </w:rPr>
        <w:t>commercialisée</w:t>
      </w:r>
      <w:r w:rsidRPr="008D2CC5">
        <w:rPr>
          <w:lang w:val="fr-FR"/>
        </w:rPr>
        <w:t xml:space="preserve"> dans certains pays </w:t>
      </w:r>
      <w:r w:rsidR="00D31AFF" w:rsidRPr="008D2CC5">
        <w:rPr>
          <w:lang w:val="fr-FR"/>
        </w:rPr>
        <w:t xml:space="preserve">(US EPA, 2007). </w:t>
      </w:r>
      <w:r w:rsidRPr="008D2CC5">
        <w:rPr>
          <w:lang w:val="fr-FR"/>
        </w:rPr>
        <w:t>Plusieurs facteurs ont une incidence sur l</w:t>
      </w:r>
      <w:r w:rsidR="000409D6" w:rsidRPr="008D2CC5">
        <w:rPr>
          <w:lang w:val="fr-FR"/>
        </w:rPr>
        <w:t>’</w:t>
      </w:r>
      <w:r w:rsidRPr="008D2CC5">
        <w:rPr>
          <w:lang w:val="fr-FR"/>
        </w:rPr>
        <w:t>efficacité et le coût de cette technique de traitement, y compris le</w:t>
      </w:r>
      <w:r w:rsidR="00462042">
        <w:rPr>
          <w:lang w:val="fr-FR"/>
        </w:rPr>
        <w:t xml:space="preserve"> pH de la substance traitée, la </w:t>
      </w:r>
      <w:r w:rsidRPr="008D2CC5">
        <w:rPr>
          <w:lang w:val="fr-FR"/>
        </w:rPr>
        <w:t>présence de composés organiques, la taille des particules, la teneur en eau et l</w:t>
      </w:r>
      <w:r w:rsidR="000409D6" w:rsidRPr="008D2CC5">
        <w:rPr>
          <w:lang w:val="fr-FR"/>
        </w:rPr>
        <w:t>’</w:t>
      </w:r>
      <w:r w:rsidRPr="008D2CC5">
        <w:rPr>
          <w:lang w:val="fr-FR"/>
        </w:rPr>
        <w:t>état d</w:t>
      </w:r>
      <w:r w:rsidR="000409D6" w:rsidRPr="008D2CC5">
        <w:rPr>
          <w:lang w:val="fr-FR"/>
        </w:rPr>
        <w:t>’</w:t>
      </w:r>
      <w:r w:rsidRPr="008D2CC5">
        <w:rPr>
          <w:lang w:val="fr-FR"/>
        </w:rPr>
        <w:t>oxydation du mercure présent</w:t>
      </w:r>
      <w:r w:rsidR="00D31AFF" w:rsidRPr="008D2CC5">
        <w:rPr>
          <w:lang w:val="fr-FR"/>
        </w:rPr>
        <w:t xml:space="preserve">. </w:t>
      </w:r>
      <w:r w:rsidR="009913A7" w:rsidRPr="008D2CC5">
        <w:rPr>
          <w:lang w:val="fr-FR"/>
        </w:rPr>
        <w:t xml:space="preserve">Parmi les composés liants on trouve le ciment Portland, le ciment polymère sulfuré, les liants sulfurés et phosphatés, la poussière de four à ciment, les résines de polyester et les composés de </w:t>
      </w:r>
      <w:proofErr w:type="spellStart"/>
      <w:r w:rsidR="009913A7" w:rsidRPr="008D2CC5">
        <w:rPr>
          <w:lang w:val="fr-FR"/>
        </w:rPr>
        <w:t>polysiloxane</w:t>
      </w:r>
      <w:proofErr w:type="spellEnd"/>
      <w:r w:rsidR="00D31AFF" w:rsidRPr="008D2CC5">
        <w:rPr>
          <w:lang w:val="fr-FR"/>
        </w:rPr>
        <w:t xml:space="preserve">. </w:t>
      </w:r>
      <w:r w:rsidR="009913A7" w:rsidRPr="008D2CC5">
        <w:rPr>
          <w:lang w:val="fr-FR"/>
        </w:rPr>
        <w:t>Ces composés n</w:t>
      </w:r>
      <w:r w:rsidR="000409D6" w:rsidRPr="008D2CC5">
        <w:rPr>
          <w:lang w:val="fr-FR"/>
        </w:rPr>
        <w:t>’</w:t>
      </w:r>
      <w:r w:rsidR="009913A7" w:rsidRPr="008D2CC5">
        <w:rPr>
          <w:lang w:val="fr-FR"/>
        </w:rPr>
        <w:t>ont pas tous la même efficacité pour se lier au mercure</w:t>
      </w:r>
      <w:r w:rsidR="00D31AFF" w:rsidRPr="008D2CC5">
        <w:rPr>
          <w:lang w:val="fr-FR"/>
        </w:rPr>
        <w:t xml:space="preserve">. </w:t>
      </w:r>
      <w:r w:rsidR="009913A7" w:rsidRPr="008D2CC5">
        <w:rPr>
          <w:lang w:val="fr-FR"/>
        </w:rPr>
        <w:t>Mélangé au soufre, le mercure peut être stabilisé sous forme de sulfure de mercure, ce qui réduit son potentiel de lessivage et sa volatilité.</w:t>
      </w:r>
      <w:r w:rsidR="00D31AFF" w:rsidRPr="008D2CC5">
        <w:rPr>
          <w:lang w:val="fr-FR"/>
        </w:rPr>
        <w:t xml:space="preserve"> </w:t>
      </w:r>
      <w:r w:rsidR="009913A7" w:rsidRPr="008D2CC5">
        <w:rPr>
          <w:lang w:val="fr-FR"/>
        </w:rPr>
        <w:t>Cependant, le sulfure de mercure peut se transformer à nouveau en mercure élémentaire dans certaines conditions</w:t>
      </w:r>
      <w:r w:rsidR="00D31AFF" w:rsidRPr="008D2CC5">
        <w:rPr>
          <w:lang w:val="fr-FR"/>
        </w:rPr>
        <w:t xml:space="preserve">. </w:t>
      </w:r>
      <w:r w:rsidR="009913A7" w:rsidRPr="008D2CC5">
        <w:rPr>
          <w:lang w:val="fr-FR"/>
        </w:rPr>
        <w:t xml:space="preserve">Un procédé de stabilisation utilisant des polymères peut être employé pour microencapsuler le sulfure de mercure dans une matrice de polymère sulfuré formant des blocs solides </w:t>
      </w:r>
      <w:r w:rsidR="00D31AFF" w:rsidRPr="008D2CC5">
        <w:rPr>
          <w:lang w:val="fr-FR"/>
        </w:rPr>
        <w:t>(</w:t>
      </w:r>
      <w:r w:rsidR="00F20C36" w:rsidRPr="008D2CC5">
        <w:rPr>
          <w:lang w:val="fr-FR"/>
        </w:rPr>
        <w:t>PNUE</w:t>
      </w:r>
      <w:r w:rsidR="00D31AFF" w:rsidRPr="008D2CC5">
        <w:rPr>
          <w:lang w:val="fr-FR"/>
        </w:rPr>
        <w:t xml:space="preserve">, 2015). </w:t>
      </w:r>
      <w:r w:rsidR="009913A7" w:rsidRPr="008D2CC5">
        <w:rPr>
          <w:lang w:val="fr-FR"/>
        </w:rPr>
        <w:t>Ce procédé en deux étapes limite les risques pour l</w:t>
      </w:r>
      <w:r w:rsidR="000409D6" w:rsidRPr="008D2CC5">
        <w:rPr>
          <w:lang w:val="fr-FR"/>
        </w:rPr>
        <w:t>’</w:t>
      </w:r>
      <w:r w:rsidR="009913A7" w:rsidRPr="008D2CC5">
        <w:rPr>
          <w:lang w:val="fr-FR"/>
        </w:rPr>
        <w:t>environnement que pose le mercure mais également les possibilités d</w:t>
      </w:r>
      <w:r w:rsidR="000409D6" w:rsidRPr="008D2CC5">
        <w:rPr>
          <w:lang w:val="fr-FR"/>
        </w:rPr>
        <w:t>’</w:t>
      </w:r>
      <w:r w:rsidR="009913A7" w:rsidRPr="008D2CC5">
        <w:rPr>
          <w:lang w:val="fr-FR"/>
        </w:rPr>
        <w:t>extraire le mercure à un stade ultérieur</w:t>
      </w:r>
      <w:r w:rsidR="00D31AFF" w:rsidRPr="008D2CC5">
        <w:rPr>
          <w:lang w:val="fr-FR"/>
        </w:rPr>
        <w:t xml:space="preserve">. </w:t>
      </w:r>
    </w:p>
    <w:p w14:paraId="3FCBE848" w14:textId="159DF364" w:rsidR="00D31AFF" w:rsidRPr="008D2CC5" w:rsidRDefault="00114AB2" w:rsidP="006D69D3">
      <w:pPr>
        <w:pStyle w:val="Normalnumber"/>
        <w:rPr>
          <w:lang w:val="fr-FR"/>
        </w:rPr>
      </w:pPr>
      <w:r w:rsidRPr="008D2CC5">
        <w:rPr>
          <w:lang w:val="fr-FR"/>
        </w:rPr>
        <w:t>Les procédés de lavage des sols et d</w:t>
      </w:r>
      <w:r w:rsidR="000409D6" w:rsidRPr="008D2CC5">
        <w:rPr>
          <w:lang w:val="fr-FR"/>
        </w:rPr>
        <w:t>’</w:t>
      </w:r>
      <w:r w:rsidRPr="008D2CC5">
        <w:rPr>
          <w:lang w:val="fr-FR"/>
        </w:rPr>
        <w:t>extraction à l</w:t>
      </w:r>
      <w:r w:rsidR="000409D6" w:rsidRPr="008D2CC5">
        <w:rPr>
          <w:lang w:val="fr-FR"/>
        </w:rPr>
        <w:t>’</w:t>
      </w:r>
      <w:r w:rsidRPr="008D2CC5">
        <w:rPr>
          <w:lang w:val="fr-FR"/>
        </w:rPr>
        <w:t>acide peuvent être utilisés sur les sols contaminés enlevés du site et traités séparément</w:t>
      </w:r>
      <w:r w:rsidR="00D31AFF" w:rsidRPr="008D2CC5">
        <w:rPr>
          <w:lang w:val="fr-FR"/>
        </w:rPr>
        <w:t xml:space="preserve">. </w:t>
      </w:r>
      <w:r w:rsidRPr="008D2CC5">
        <w:rPr>
          <w:lang w:val="fr-FR"/>
        </w:rPr>
        <w:t>Comme l</w:t>
      </w:r>
      <w:r w:rsidR="000409D6" w:rsidRPr="008D2CC5">
        <w:rPr>
          <w:lang w:val="fr-FR"/>
        </w:rPr>
        <w:t>’</w:t>
      </w:r>
      <w:r w:rsidRPr="008D2CC5">
        <w:rPr>
          <w:lang w:val="fr-FR"/>
        </w:rPr>
        <w:t>indique son nom, le lavage des sols est un procédé consistant à nettoyer les sols avec un liquide pour en éliminer les contaminants</w:t>
      </w:r>
      <w:r w:rsidR="00D31AFF" w:rsidRPr="008D2CC5">
        <w:rPr>
          <w:lang w:val="fr-FR"/>
        </w:rPr>
        <w:t xml:space="preserve">. </w:t>
      </w:r>
      <w:r w:rsidRPr="008D2CC5">
        <w:rPr>
          <w:lang w:val="fr-FR"/>
        </w:rPr>
        <w:t>Le lavage des sols et l</w:t>
      </w:r>
      <w:r w:rsidR="000409D6" w:rsidRPr="008D2CC5">
        <w:rPr>
          <w:lang w:val="fr-FR"/>
        </w:rPr>
        <w:t>’</w:t>
      </w:r>
      <w:r w:rsidRPr="008D2CC5">
        <w:rPr>
          <w:lang w:val="fr-FR"/>
        </w:rPr>
        <w:t>extraction à l</w:t>
      </w:r>
      <w:r w:rsidR="000409D6" w:rsidRPr="008D2CC5">
        <w:rPr>
          <w:lang w:val="fr-FR"/>
        </w:rPr>
        <w:t>’</w:t>
      </w:r>
      <w:r w:rsidRPr="008D2CC5">
        <w:rPr>
          <w:lang w:val="fr-FR"/>
        </w:rPr>
        <w:t xml:space="preserve">acide servent principalement à traiter des sols présentant une teneur en argile relativement basse </w:t>
      </w:r>
      <w:r w:rsidR="001A4AA4" w:rsidRPr="008D2CC5">
        <w:rPr>
          <w:lang w:val="fr-FR"/>
        </w:rPr>
        <w:t xml:space="preserve">et </w:t>
      </w:r>
      <w:r w:rsidRPr="008D2CC5">
        <w:rPr>
          <w:lang w:val="fr-FR"/>
        </w:rPr>
        <w:t>pouvant être séparé</w:t>
      </w:r>
      <w:r w:rsidR="001A4AA4" w:rsidRPr="008D2CC5">
        <w:rPr>
          <w:lang w:val="fr-FR"/>
        </w:rPr>
        <w:t>s</w:t>
      </w:r>
      <w:r w:rsidRPr="008D2CC5">
        <w:rPr>
          <w:lang w:val="fr-FR"/>
        </w:rPr>
        <w:t xml:space="preserve"> en fractions</w:t>
      </w:r>
      <w:r w:rsidR="00D31AFF" w:rsidRPr="008D2CC5">
        <w:rPr>
          <w:lang w:val="fr-FR"/>
        </w:rPr>
        <w:t xml:space="preserve">. </w:t>
      </w:r>
      <w:r w:rsidR="00E80C2A" w:rsidRPr="008D2CC5">
        <w:rPr>
          <w:lang w:val="fr-FR"/>
        </w:rPr>
        <w:t>Les deux procédés</w:t>
      </w:r>
      <w:r w:rsidRPr="008D2CC5">
        <w:rPr>
          <w:lang w:val="fr-FR"/>
        </w:rPr>
        <w:t xml:space="preserve"> sont également moins efficaces sur les sols à forte teneur en matières organiques</w:t>
      </w:r>
      <w:r w:rsidR="00D31AFF" w:rsidRPr="008D2CC5">
        <w:rPr>
          <w:lang w:val="fr-FR"/>
        </w:rPr>
        <w:t xml:space="preserve">. </w:t>
      </w:r>
      <w:r w:rsidRPr="008D2CC5">
        <w:rPr>
          <w:lang w:val="fr-FR"/>
        </w:rPr>
        <w:t>De plus, l</w:t>
      </w:r>
      <w:r w:rsidR="000409D6" w:rsidRPr="008D2CC5">
        <w:rPr>
          <w:lang w:val="fr-FR"/>
        </w:rPr>
        <w:t>’</w:t>
      </w:r>
      <w:r w:rsidRPr="008D2CC5">
        <w:rPr>
          <w:lang w:val="fr-FR"/>
        </w:rPr>
        <w:t>efficacité et le coût de ces techniques peuvent varier en fonction de l</w:t>
      </w:r>
      <w:r w:rsidR="000409D6" w:rsidRPr="008D2CC5">
        <w:rPr>
          <w:lang w:val="fr-FR"/>
        </w:rPr>
        <w:t>’</w:t>
      </w:r>
      <w:r w:rsidRPr="008D2CC5">
        <w:rPr>
          <w:lang w:val="fr-FR"/>
        </w:rPr>
        <w:t>homogénéité du sol, de la taille des particules, du pH et de la teneur en eau</w:t>
      </w:r>
      <w:r w:rsidR="00D31AFF" w:rsidRPr="008D2CC5">
        <w:rPr>
          <w:lang w:val="fr-FR"/>
        </w:rPr>
        <w:t xml:space="preserve">. </w:t>
      </w:r>
    </w:p>
    <w:p w14:paraId="0C9AEFAC" w14:textId="3409E687" w:rsidR="00D31AFF" w:rsidRPr="008D2CC5" w:rsidRDefault="00306138" w:rsidP="006D69D3">
      <w:pPr>
        <w:pStyle w:val="Normalnumber"/>
        <w:rPr>
          <w:lang w:val="fr-FR"/>
        </w:rPr>
      </w:pPr>
      <w:bookmarkStart w:id="17" w:name="_Hlk21166549"/>
      <w:r w:rsidRPr="008D2CC5">
        <w:rPr>
          <w:lang w:val="fr-FR"/>
        </w:rPr>
        <w:t xml:space="preserve">Le traitement thermique </w:t>
      </w:r>
      <w:bookmarkEnd w:id="17"/>
      <w:r w:rsidRPr="008D2CC5">
        <w:rPr>
          <w:lang w:val="fr-FR"/>
        </w:rPr>
        <w:t>sert à traiter les déchets industriels et médicaux contenant du mercure mais n</w:t>
      </w:r>
      <w:r w:rsidR="000409D6" w:rsidRPr="008D2CC5">
        <w:rPr>
          <w:lang w:val="fr-FR"/>
        </w:rPr>
        <w:t>’</w:t>
      </w:r>
      <w:r w:rsidRPr="008D2CC5">
        <w:rPr>
          <w:lang w:val="fr-FR"/>
        </w:rPr>
        <w:t>est généralement pas adapté aux sols à forte teneur en argile ou en matières organiques</w:t>
      </w:r>
      <w:r w:rsidR="00D31AFF" w:rsidRPr="008D2CC5">
        <w:rPr>
          <w:lang w:val="fr-FR"/>
        </w:rPr>
        <w:t xml:space="preserve">. </w:t>
      </w:r>
      <w:r w:rsidR="003D3C21">
        <w:rPr>
          <w:lang w:val="fr-FR"/>
        </w:rPr>
        <w:t>L</w:t>
      </w:r>
      <w:r w:rsidR="00F62D46">
        <w:rPr>
          <w:lang w:val="fr-FR"/>
        </w:rPr>
        <w:t xml:space="preserve">’objectif de tout traitement </w:t>
      </w:r>
      <w:r w:rsidR="005F5977">
        <w:rPr>
          <w:lang w:val="fr-FR"/>
        </w:rPr>
        <w:t>thermique</w:t>
      </w:r>
      <w:r w:rsidR="00F62D46">
        <w:rPr>
          <w:lang w:val="fr-FR"/>
        </w:rPr>
        <w:t xml:space="preserve"> </w:t>
      </w:r>
      <w:r w:rsidR="005F5977">
        <w:rPr>
          <w:lang w:val="fr-FR"/>
        </w:rPr>
        <w:t xml:space="preserve">s’agissant </w:t>
      </w:r>
      <w:r w:rsidR="005F5977" w:rsidRPr="005F5977">
        <w:rPr>
          <w:lang w:val="fr-FR"/>
        </w:rPr>
        <w:t>des autres matrices (</w:t>
      </w:r>
      <w:r w:rsidR="005F5977">
        <w:rPr>
          <w:lang w:val="fr-FR"/>
        </w:rPr>
        <w:t xml:space="preserve">telles que </w:t>
      </w:r>
      <w:r w:rsidR="005F5977" w:rsidRPr="005F5977">
        <w:rPr>
          <w:lang w:val="fr-FR"/>
        </w:rPr>
        <w:t xml:space="preserve">les sols et les sédiments) </w:t>
      </w:r>
      <w:r w:rsidRPr="008D2CC5">
        <w:rPr>
          <w:lang w:val="fr-FR"/>
        </w:rPr>
        <w:t xml:space="preserve">devrait </w:t>
      </w:r>
      <w:r w:rsidR="00F62D46">
        <w:rPr>
          <w:lang w:val="fr-FR"/>
        </w:rPr>
        <w:t>être</w:t>
      </w:r>
      <w:r w:rsidRPr="008D2CC5">
        <w:rPr>
          <w:lang w:val="fr-FR"/>
        </w:rPr>
        <w:t xml:space="preserve"> d</w:t>
      </w:r>
      <w:r w:rsidR="003D3C21">
        <w:rPr>
          <w:lang w:val="fr-FR"/>
        </w:rPr>
        <w:t>’en extraire le mercure, qu’</w:t>
      </w:r>
      <w:r w:rsidR="003D3C21" w:rsidRPr="003D3C21">
        <w:rPr>
          <w:lang w:val="fr-FR"/>
        </w:rPr>
        <w:t>il ne permet pas de détruire</w:t>
      </w:r>
      <w:r w:rsidR="003D3C21">
        <w:rPr>
          <w:lang w:val="fr-FR"/>
        </w:rPr>
        <w:t>,</w:t>
      </w:r>
      <w:r w:rsidRPr="008D2CC5">
        <w:rPr>
          <w:lang w:val="fr-FR"/>
        </w:rPr>
        <w:t xml:space="preserve"> de manière à pouvoir </w:t>
      </w:r>
      <w:r w:rsidR="00F62D46">
        <w:rPr>
          <w:lang w:val="fr-FR"/>
        </w:rPr>
        <w:t xml:space="preserve">le </w:t>
      </w:r>
      <w:r w:rsidRPr="008D2CC5">
        <w:rPr>
          <w:lang w:val="fr-FR"/>
        </w:rPr>
        <w:t xml:space="preserve">gérer comme un déchet dangereux </w:t>
      </w:r>
      <w:r w:rsidR="005F5977">
        <w:rPr>
          <w:lang w:val="fr-FR"/>
        </w:rPr>
        <w:t>de</w:t>
      </w:r>
      <w:r w:rsidR="007369B9" w:rsidRPr="008D2CC5">
        <w:rPr>
          <w:lang w:val="fr-FR"/>
        </w:rPr>
        <w:t xml:space="preserve"> bien plus faible</w:t>
      </w:r>
      <w:r w:rsidR="005F5977">
        <w:rPr>
          <w:lang w:val="fr-FR"/>
        </w:rPr>
        <w:t xml:space="preserve"> volume</w:t>
      </w:r>
      <w:r w:rsidR="00F62D46">
        <w:rPr>
          <w:lang w:val="fr-FR"/>
        </w:rPr>
        <w:t>,</w:t>
      </w:r>
      <w:r w:rsidRPr="008D2CC5">
        <w:rPr>
          <w:lang w:val="fr-FR"/>
        </w:rPr>
        <w:t xml:space="preserve"> sous forme de mercure concentré</w:t>
      </w:r>
      <w:r w:rsidR="00267F2B" w:rsidRPr="008D2CC5">
        <w:rPr>
          <w:lang w:val="fr-FR"/>
        </w:rPr>
        <w:t>,</w:t>
      </w:r>
      <w:r w:rsidR="007369B9" w:rsidRPr="008D2CC5">
        <w:rPr>
          <w:lang w:val="fr-FR"/>
        </w:rPr>
        <w:t xml:space="preserve"> </w:t>
      </w:r>
      <w:r w:rsidR="00F62D46">
        <w:rPr>
          <w:lang w:val="fr-FR"/>
        </w:rPr>
        <w:t>et à pouvoir décontaminer</w:t>
      </w:r>
      <w:r w:rsidR="003D3C21">
        <w:rPr>
          <w:lang w:val="fr-FR"/>
        </w:rPr>
        <w:t xml:space="preserve"> la matrice</w:t>
      </w:r>
      <w:r w:rsidR="00D31AFF" w:rsidRPr="008D2CC5">
        <w:rPr>
          <w:lang w:val="fr-FR"/>
        </w:rPr>
        <w:t>.</w:t>
      </w:r>
      <w:r w:rsidR="00152CD3" w:rsidRPr="008D2CC5">
        <w:rPr>
          <w:lang w:val="fr-FR"/>
        </w:rPr>
        <w:t xml:space="preserve"> </w:t>
      </w:r>
      <w:r w:rsidR="003D3C21">
        <w:rPr>
          <w:lang w:val="fr-FR"/>
        </w:rPr>
        <w:t>L’</w:t>
      </w:r>
      <w:r w:rsidR="007369B9" w:rsidRPr="008D2CC5">
        <w:rPr>
          <w:lang w:val="fr-FR"/>
        </w:rPr>
        <w:t xml:space="preserve">efficacité et </w:t>
      </w:r>
      <w:r w:rsidR="003D3C21">
        <w:rPr>
          <w:lang w:val="fr-FR"/>
        </w:rPr>
        <w:t>le</w:t>
      </w:r>
      <w:r w:rsidR="007369B9" w:rsidRPr="008D2CC5">
        <w:rPr>
          <w:lang w:val="fr-FR"/>
        </w:rPr>
        <w:t xml:space="preserve"> coût </w:t>
      </w:r>
      <w:r w:rsidR="003D3C21">
        <w:rPr>
          <w:lang w:val="fr-FR"/>
        </w:rPr>
        <w:t xml:space="preserve">du traitement thermique </w:t>
      </w:r>
      <w:r w:rsidR="007369B9" w:rsidRPr="008D2CC5">
        <w:rPr>
          <w:lang w:val="fr-FR"/>
        </w:rPr>
        <w:t>varient en fonction, entre autres, de la forme du mercure présent</w:t>
      </w:r>
      <w:r w:rsidR="003D3C21">
        <w:rPr>
          <w:lang w:val="fr-FR"/>
        </w:rPr>
        <w:t xml:space="preserve"> et</w:t>
      </w:r>
      <w:r w:rsidR="007369B9" w:rsidRPr="008D2CC5">
        <w:rPr>
          <w:lang w:val="fr-FR"/>
        </w:rPr>
        <w:t xml:space="preserve"> de la taille </w:t>
      </w:r>
      <w:r w:rsidR="003D3C21">
        <w:rPr>
          <w:lang w:val="fr-FR"/>
        </w:rPr>
        <w:t xml:space="preserve">ainsi que </w:t>
      </w:r>
      <w:r w:rsidR="007369B9" w:rsidRPr="008D2CC5">
        <w:rPr>
          <w:lang w:val="fr-FR"/>
        </w:rPr>
        <w:t>de la teneur en eau</w:t>
      </w:r>
      <w:r w:rsidR="003D3C21" w:rsidRPr="003D3C21">
        <w:rPr>
          <w:lang w:val="fr-FR"/>
        </w:rPr>
        <w:t xml:space="preserve"> des particules</w:t>
      </w:r>
      <w:r w:rsidR="00D31AFF" w:rsidRPr="008D2CC5">
        <w:rPr>
          <w:lang w:val="fr-FR"/>
        </w:rPr>
        <w:t xml:space="preserve">. </w:t>
      </w:r>
      <w:r w:rsidR="003D3C21">
        <w:rPr>
          <w:lang w:val="fr-FR"/>
        </w:rPr>
        <w:t>Le</w:t>
      </w:r>
      <w:r w:rsidR="00E80C2A" w:rsidRPr="008D2CC5">
        <w:rPr>
          <w:lang w:val="fr-FR"/>
        </w:rPr>
        <w:t xml:space="preserve"> </w:t>
      </w:r>
      <w:r w:rsidR="007369B9" w:rsidRPr="008D2CC5">
        <w:rPr>
          <w:lang w:val="fr-FR"/>
        </w:rPr>
        <w:t xml:space="preserve">procédé </w:t>
      </w:r>
      <w:r w:rsidR="003D3C21">
        <w:rPr>
          <w:lang w:val="fr-FR"/>
        </w:rPr>
        <w:t xml:space="preserve">consiste à </w:t>
      </w:r>
      <w:r w:rsidR="007369B9" w:rsidRPr="008D2CC5">
        <w:rPr>
          <w:lang w:val="fr-FR"/>
        </w:rPr>
        <w:t>utilis</w:t>
      </w:r>
      <w:r w:rsidR="00F62D46">
        <w:rPr>
          <w:lang w:val="fr-FR"/>
        </w:rPr>
        <w:t>e</w:t>
      </w:r>
      <w:r w:rsidR="003D3C21">
        <w:rPr>
          <w:lang w:val="fr-FR"/>
        </w:rPr>
        <w:t>r</w:t>
      </w:r>
      <w:r w:rsidR="007369B9" w:rsidRPr="008D2CC5">
        <w:rPr>
          <w:lang w:val="fr-FR"/>
        </w:rPr>
        <w:t xml:space="preserve"> la chaleur pour volatiliser le mercure, </w:t>
      </w:r>
      <w:r w:rsidR="00F62D46">
        <w:rPr>
          <w:lang w:val="fr-FR"/>
        </w:rPr>
        <w:t xml:space="preserve">lequel </w:t>
      </w:r>
      <w:r w:rsidR="007369B9" w:rsidRPr="008D2CC5">
        <w:rPr>
          <w:lang w:val="fr-FR"/>
        </w:rPr>
        <w:t>est ensuite recueilli dans les effluents gazeux</w:t>
      </w:r>
      <w:r w:rsidR="00D31AFF" w:rsidRPr="008D2CC5">
        <w:rPr>
          <w:lang w:val="fr-FR"/>
        </w:rPr>
        <w:t xml:space="preserve">. </w:t>
      </w:r>
      <w:r w:rsidR="007369B9" w:rsidRPr="008D2CC5">
        <w:rPr>
          <w:lang w:val="fr-FR"/>
        </w:rPr>
        <w:t>Il est généralement réalisé en dehors du site</w:t>
      </w:r>
      <w:r w:rsidR="00D31AFF" w:rsidRPr="008D2CC5">
        <w:rPr>
          <w:lang w:val="fr-FR"/>
        </w:rPr>
        <w:t xml:space="preserve">. </w:t>
      </w:r>
      <w:r w:rsidR="007369B9" w:rsidRPr="008D2CC5">
        <w:rPr>
          <w:lang w:val="fr-FR"/>
        </w:rPr>
        <w:t>La réalisation de tout traitement thermique suppose des moyens de contrôle du mercure vaporisé durant le procédé. La désorption thermique peut se faire directement ou indirectement</w:t>
      </w:r>
      <w:r w:rsidR="00D31AFF" w:rsidRPr="008D2CC5">
        <w:rPr>
          <w:lang w:val="fr-FR"/>
        </w:rPr>
        <w:t xml:space="preserve">. </w:t>
      </w:r>
      <w:r w:rsidR="007369B9" w:rsidRPr="008D2CC5">
        <w:rPr>
          <w:lang w:val="fr-FR"/>
        </w:rPr>
        <w:t>La désorption directe consiste à appliquer la chaleur directement sur le matériau à traiter et n</w:t>
      </w:r>
      <w:r w:rsidR="000409D6" w:rsidRPr="008D2CC5">
        <w:rPr>
          <w:lang w:val="fr-FR"/>
        </w:rPr>
        <w:t>’</w:t>
      </w:r>
      <w:r w:rsidR="007369B9" w:rsidRPr="008D2CC5">
        <w:rPr>
          <w:lang w:val="fr-FR"/>
        </w:rPr>
        <w:t>est pas recommandée pour les sols et les sédiments contenant du mercure</w:t>
      </w:r>
      <w:r w:rsidR="00267F2B" w:rsidRPr="008D2CC5">
        <w:rPr>
          <w:lang w:val="fr-FR"/>
        </w:rPr>
        <w:t>,</w:t>
      </w:r>
      <w:r w:rsidR="00D31AFF" w:rsidRPr="008D2CC5">
        <w:rPr>
          <w:lang w:val="fr-FR"/>
        </w:rPr>
        <w:t xml:space="preserve"> </w:t>
      </w:r>
      <w:r w:rsidR="007369B9" w:rsidRPr="008D2CC5">
        <w:rPr>
          <w:lang w:val="fr-FR"/>
        </w:rPr>
        <w:t>le volume des vapeurs contaminées étant nettement plus élevé que dans le cas de la désorption thermique indirecte en raison du contact direct</w:t>
      </w:r>
      <w:r w:rsidR="00D31AFF" w:rsidRPr="008D2CC5">
        <w:rPr>
          <w:lang w:val="fr-FR"/>
        </w:rPr>
        <w:t xml:space="preserve"> </w:t>
      </w:r>
      <w:r w:rsidR="00EB6435" w:rsidRPr="008D2CC5">
        <w:rPr>
          <w:lang w:val="fr-FR"/>
        </w:rPr>
        <w:t>des gaz obtenus en sous-produit de la combustion de combustibles</w:t>
      </w:r>
      <w:r w:rsidR="00D31AFF" w:rsidRPr="008D2CC5">
        <w:rPr>
          <w:lang w:val="fr-FR"/>
        </w:rPr>
        <w:t xml:space="preserve"> (ga</w:t>
      </w:r>
      <w:r w:rsidR="00EB6435" w:rsidRPr="008D2CC5">
        <w:rPr>
          <w:lang w:val="fr-FR"/>
        </w:rPr>
        <w:t>z</w:t>
      </w:r>
      <w:r w:rsidR="00D31AFF" w:rsidRPr="008D2CC5">
        <w:rPr>
          <w:lang w:val="fr-FR"/>
        </w:rPr>
        <w:t xml:space="preserve">, </w:t>
      </w:r>
      <w:r w:rsidR="00EB6435" w:rsidRPr="008D2CC5">
        <w:rPr>
          <w:lang w:val="fr-FR"/>
        </w:rPr>
        <w:t>pétrole</w:t>
      </w:r>
      <w:r w:rsidR="00D31AFF" w:rsidRPr="008D2CC5">
        <w:rPr>
          <w:lang w:val="fr-FR"/>
        </w:rPr>
        <w:t xml:space="preserve">). </w:t>
      </w:r>
      <w:r w:rsidR="00EB6435" w:rsidRPr="008D2CC5">
        <w:rPr>
          <w:lang w:val="fr-FR"/>
        </w:rPr>
        <w:t>Il en résulte des coûts bien plus élevés pour les catalyseurs et les mécanismes de contrôle de la pollution de l</w:t>
      </w:r>
      <w:r w:rsidR="000409D6" w:rsidRPr="008D2CC5">
        <w:rPr>
          <w:lang w:val="fr-FR"/>
        </w:rPr>
        <w:t>’</w:t>
      </w:r>
      <w:r w:rsidR="00EB6435" w:rsidRPr="008D2CC5">
        <w:rPr>
          <w:lang w:val="fr-FR"/>
        </w:rPr>
        <w:t xml:space="preserve">air du fait </w:t>
      </w:r>
      <w:r w:rsidR="00094061" w:rsidRPr="008D2CC5">
        <w:rPr>
          <w:lang w:val="fr-FR"/>
        </w:rPr>
        <w:t>du</w:t>
      </w:r>
      <w:r w:rsidR="00EB6435" w:rsidRPr="008D2CC5">
        <w:rPr>
          <w:lang w:val="fr-FR"/>
        </w:rPr>
        <w:t xml:space="preserve"> volume</w:t>
      </w:r>
      <w:r w:rsidR="009C2C6F" w:rsidRPr="008D2CC5">
        <w:rPr>
          <w:lang w:val="fr-FR"/>
        </w:rPr>
        <w:t xml:space="preserve"> accru</w:t>
      </w:r>
      <w:r w:rsidR="00EB6435" w:rsidRPr="008D2CC5">
        <w:rPr>
          <w:lang w:val="fr-FR"/>
        </w:rPr>
        <w:t xml:space="preserve"> </w:t>
      </w:r>
      <w:r w:rsidR="00094061" w:rsidRPr="008D2CC5">
        <w:rPr>
          <w:lang w:val="fr-FR"/>
        </w:rPr>
        <w:t>des</w:t>
      </w:r>
      <w:r w:rsidR="00EB6435" w:rsidRPr="008D2CC5">
        <w:rPr>
          <w:lang w:val="fr-FR"/>
        </w:rPr>
        <w:t xml:space="preserve"> vapeurs qui </w:t>
      </w:r>
      <w:r w:rsidR="00094061" w:rsidRPr="008D2CC5">
        <w:rPr>
          <w:lang w:val="fr-FR"/>
        </w:rPr>
        <w:t>doivent</w:t>
      </w:r>
      <w:r w:rsidR="00EB6435" w:rsidRPr="008D2CC5">
        <w:rPr>
          <w:lang w:val="fr-FR"/>
        </w:rPr>
        <w:t xml:space="preserve"> être traité</w:t>
      </w:r>
      <w:r w:rsidR="00094061" w:rsidRPr="008D2CC5">
        <w:rPr>
          <w:lang w:val="fr-FR"/>
        </w:rPr>
        <w:t>es</w:t>
      </w:r>
      <w:r w:rsidR="00D31AFF" w:rsidRPr="008D2CC5">
        <w:rPr>
          <w:lang w:val="fr-FR"/>
        </w:rPr>
        <w:t xml:space="preserve">. </w:t>
      </w:r>
      <w:r w:rsidR="00094061" w:rsidRPr="008D2CC5">
        <w:rPr>
          <w:lang w:val="fr-FR"/>
        </w:rPr>
        <w:t xml:space="preserve">La désorption thermique indirecte consiste à appliquer la chaleur sur </w:t>
      </w:r>
      <w:r w:rsidR="007E0FAA" w:rsidRPr="008D2CC5">
        <w:rPr>
          <w:lang w:val="fr-FR"/>
        </w:rPr>
        <w:t>la paroi ex</w:t>
      </w:r>
      <w:r w:rsidR="00AE7D3C" w:rsidRPr="008D2CC5">
        <w:rPr>
          <w:lang w:val="fr-FR"/>
        </w:rPr>
        <w:t>t</w:t>
      </w:r>
      <w:r w:rsidR="007E0FAA" w:rsidRPr="008D2CC5">
        <w:rPr>
          <w:lang w:val="fr-FR"/>
        </w:rPr>
        <w:t>érieure</w:t>
      </w:r>
      <w:r w:rsidR="00094061" w:rsidRPr="008D2CC5">
        <w:rPr>
          <w:lang w:val="fr-FR"/>
        </w:rPr>
        <w:t xml:space="preserve"> d</w:t>
      </w:r>
      <w:r w:rsidR="000409D6" w:rsidRPr="008D2CC5">
        <w:rPr>
          <w:lang w:val="fr-FR"/>
        </w:rPr>
        <w:t>’</w:t>
      </w:r>
      <w:r w:rsidR="00094061" w:rsidRPr="008D2CC5">
        <w:rPr>
          <w:lang w:val="fr-FR"/>
        </w:rPr>
        <w:t xml:space="preserve">une chambre, afin de la transmettre au matériau à traiter </w:t>
      </w:r>
      <w:proofErr w:type="gramStart"/>
      <w:r w:rsidR="00094061" w:rsidRPr="008D2CC5">
        <w:rPr>
          <w:lang w:val="fr-FR"/>
        </w:rPr>
        <w:t>placé</w:t>
      </w:r>
      <w:proofErr w:type="gramEnd"/>
      <w:r w:rsidR="00094061" w:rsidRPr="008D2CC5">
        <w:rPr>
          <w:lang w:val="fr-FR"/>
        </w:rPr>
        <w:t xml:space="preserve"> à l</w:t>
      </w:r>
      <w:r w:rsidR="000409D6" w:rsidRPr="008D2CC5">
        <w:rPr>
          <w:lang w:val="fr-FR"/>
        </w:rPr>
        <w:t>’</w:t>
      </w:r>
      <w:r w:rsidR="00094061" w:rsidRPr="008D2CC5">
        <w:rPr>
          <w:lang w:val="fr-FR"/>
        </w:rPr>
        <w:t>intérieur</w:t>
      </w:r>
      <w:r w:rsidR="00D31AFF" w:rsidRPr="008D2CC5">
        <w:rPr>
          <w:lang w:val="fr-FR"/>
        </w:rPr>
        <w:t xml:space="preserve">. </w:t>
      </w:r>
      <w:r w:rsidR="00F62D46">
        <w:rPr>
          <w:lang w:val="fr-FR"/>
        </w:rPr>
        <w:t>Elle</w:t>
      </w:r>
      <w:r w:rsidR="00094061" w:rsidRPr="008D2CC5">
        <w:rPr>
          <w:lang w:val="fr-FR"/>
        </w:rPr>
        <w:t xml:space="preserve"> présente l</w:t>
      </w:r>
      <w:r w:rsidR="000409D6" w:rsidRPr="008D2CC5">
        <w:rPr>
          <w:lang w:val="fr-FR"/>
        </w:rPr>
        <w:t>’</w:t>
      </w:r>
      <w:r w:rsidR="00094061" w:rsidRPr="008D2CC5">
        <w:rPr>
          <w:lang w:val="fr-FR"/>
        </w:rPr>
        <w:t>avantage de séparer les effluents gazeux issus du matériau traité des gaz de combustion, réduisant considérablement le volume des gaz contaminés à traiter.</w:t>
      </w:r>
      <w:r w:rsidR="00D31AFF" w:rsidRPr="008D2CC5">
        <w:rPr>
          <w:lang w:val="fr-FR"/>
        </w:rPr>
        <w:t xml:space="preserve"> </w:t>
      </w:r>
      <w:r w:rsidR="00094061" w:rsidRPr="008D2CC5">
        <w:rPr>
          <w:lang w:val="fr-FR"/>
        </w:rPr>
        <w:t>Il est possible de récupérer</w:t>
      </w:r>
      <w:r w:rsidR="00F62D46" w:rsidRPr="00F62D46">
        <w:rPr>
          <w:lang w:val="fr-FR"/>
        </w:rPr>
        <w:t>, par exemple</w:t>
      </w:r>
      <w:r w:rsidR="00094061" w:rsidRPr="008D2CC5">
        <w:rPr>
          <w:lang w:val="fr-FR"/>
        </w:rPr>
        <w:t xml:space="preserve"> </w:t>
      </w:r>
      <w:r w:rsidR="00F62D46" w:rsidRPr="00F62D46">
        <w:rPr>
          <w:lang w:val="fr-FR"/>
        </w:rPr>
        <w:t>par condensation</w:t>
      </w:r>
      <w:r w:rsidR="00F62D46">
        <w:rPr>
          <w:lang w:val="fr-FR"/>
        </w:rPr>
        <w:t>,</w:t>
      </w:r>
      <w:r w:rsidR="00F62D46" w:rsidRPr="00F62D46">
        <w:rPr>
          <w:lang w:val="fr-FR"/>
        </w:rPr>
        <w:t xml:space="preserve"> </w:t>
      </w:r>
      <w:r w:rsidR="00094061" w:rsidRPr="008D2CC5">
        <w:rPr>
          <w:lang w:val="fr-FR"/>
        </w:rPr>
        <w:t xml:space="preserve">le mercure contenu dans les effluents gazeux issus du matériau traité </w:t>
      </w:r>
      <w:r w:rsidR="00D31AFF" w:rsidRPr="008D2CC5">
        <w:rPr>
          <w:lang w:val="fr-FR"/>
        </w:rPr>
        <w:t>(</w:t>
      </w:r>
      <w:proofErr w:type="spellStart"/>
      <w:r w:rsidR="00D31AFF" w:rsidRPr="008D2CC5">
        <w:rPr>
          <w:lang w:val="fr-FR"/>
        </w:rPr>
        <w:t>Environment</w:t>
      </w:r>
      <w:proofErr w:type="spellEnd"/>
      <w:r w:rsidR="00D31AFF" w:rsidRPr="008D2CC5">
        <w:rPr>
          <w:lang w:val="fr-FR"/>
        </w:rPr>
        <w:t xml:space="preserve"> Agency, 2012). </w:t>
      </w:r>
      <w:r w:rsidR="00094061" w:rsidRPr="008D2CC5">
        <w:rPr>
          <w:lang w:val="fr-FR"/>
        </w:rPr>
        <w:t xml:space="preserve">Les sols contaminés présentant une forte concentration de mercure peuvent être traités à haute température dans des fours à cornues atteignant </w:t>
      </w:r>
      <w:r w:rsidR="009C2C6F" w:rsidRPr="008D2CC5">
        <w:rPr>
          <w:lang w:val="fr-FR"/>
        </w:rPr>
        <w:t xml:space="preserve">des températures situées </w:t>
      </w:r>
      <w:r w:rsidR="00094061" w:rsidRPr="008D2CC5">
        <w:rPr>
          <w:lang w:val="fr-FR"/>
        </w:rPr>
        <w:t xml:space="preserve">entre 425 et 540 °C </w:t>
      </w:r>
      <w:r w:rsidR="00D31AFF" w:rsidRPr="008D2CC5">
        <w:rPr>
          <w:lang w:val="fr-FR"/>
        </w:rPr>
        <w:t xml:space="preserve">(US EPA, 2007). </w:t>
      </w:r>
      <w:r w:rsidR="00094061" w:rsidRPr="008D2CC5">
        <w:rPr>
          <w:lang w:val="fr-FR"/>
        </w:rPr>
        <w:t>L</w:t>
      </w:r>
      <w:r w:rsidR="000409D6" w:rsidRPr="008D2CC5">
        <w:rPr>
          <w:lang w:val="fr-FR"/>
        </w:rPr>
        <w:t>’</w:t>
      </w:r>
      <w:r w:rsidR="00094061" w:rsidRPr="008D2CC5">
        <w:rPr>
          <w:lang w:val="fr-FR"/>
        </w:rPr>
        <w:t>i</w:t>
      </w:r>
      <w:r w:rsidR="00D31AFF" w:rsidRPr="008D2CC5">
        <w:rPr>
          <w:lang w:val="fr-FR"/>
        </w:rPr>
        <w:t>ncin</w:t>
      </w:r>
      <w:r w:rsidR="00094061" w:rsidRPr="008D2CC5">
        <w:rPr>
          <w:lang w:val="fr-FR"/>
        </w:rPr>
        <w:t>é</w:t>
      </w:r>
      <w:r w:rsidR="00D31AFF" w:rsidRPr="008D2CC5">
        <w:rPr>
          <w:lang w:val="fr-FR"/>
        </w:rPr>
        <w:t xml:space="preserve">ration </w:t>
      </w:r>
      <w:r w:rsidR="00094061" w:rsidRPr="008D2CC5">
        <w:rPr>
          <w:lang w:val="fr-FR"/>
        </w:rPr>
        <w:t>est considérée comme inappropriée pour les volumes importants de matériaux contaminés par du mercure</w:t>
      </w:r>
      <w:r w:rsidR="00A4696E" w:rsidRPr="008D2CC5">
        <w:rPr>
          <w:lang w:val="fr-FR"/>
        </w:rPr>
        <w:t xml:space="preserve"> en raison du potentiel élevé d</w:t>
      </w:r>
      <w:r w:rsidR="000409D6" w:rsidRPr="008D2CC5">
        <w:rPr>
          <w:lang w:val="fr-FR"/>
        </w:rPr>
        <w:t>’</w:t>
      </w:r>
      <w:r w:rsidR="00A4696E" w:rsidRPr="008D2CC5">
        <w:rPr>
          <w:lang w:val="fr-FR"/>
        </w:rPr>
        <w:t>émissions et de rejets de mercure</w:t>
      </w:r>
      <w:r w:rsidR="00D31AFF" w:rsidRPr="008D2CC5">
        <w:rPr>
          <w:lang w:val="fr-FR"/>
        </w:rPr>
        <w:t xml:space="preserve"> (</w:t>
      </w:r>
      <w:proofErr w:type="spellStart"/>
      <w:r w:rsidR="00D31AFF" w:rsidRPr="008D2CC5">
        <w:rPr>
          <w:lang w:val="fr-FR"/>
        </w:rPr>
        <w:t>Merly</w:t>
      </w:r>
      <w:proofErr w:type="spellEnd"/>
      <w:r w:rsidR="00D31AFF" w:rsidRPr="008D2CC5">
        <w:rPr>
          <w:lang w:val="fr-FR"/>
        </w:rPr>
        <w:t xml:space="preserve"> </w:t>
      </w:r>
      <w:r w:rsidR="006411F5" w:rsidRPr="008D2CC5">
        <w:rPr>
          <w:lang w:val="fr-FR"/>
        </w:rPr>
        <w:t>and</w:t>
      </w:r>
      <w:r w:rsidR="00D31AFF" w:rsidRPr="008D2CC5">
        <w:rPr>
          <w:lang w:val="fr-FR"/>
        </w:rPr>
        <w:t xml:space="preserve"> </w:t>
      </w:r>
      <w:proofErr w:type="spellStart"/>
      <w:r w:rsidR="00D31AFF" w:rsidRPr="008D2CC5">
        <w:rPr>
          <w:lang w:val="fr-FR"/>
        </w:rPr>
        <w:t>Hube</w:t>
      </w:r>
      <w:proofErr w:type="spellEnd"/>
      <w:r w:rsidR="00267F2B" w:rsidRPr="008D2CC5">
        <w:rPr>
          <w:lang w:val="fr-FR"/>
        </w:rPr>
        <w:t>,</w:t>
      </w:r>
      <w:r w:rsidR="00D31AFF" w:rsidRPr="008D2CC5">
        <w:rPr>
          <w:lang w:val="fr-FR"/>
        </w:rPr>
        <w:t xml:space="preserve"> 2014)</w:t>
      </w:r>
      <w:r w:rsidR="00267F2B" w:rsidRPr="008D2CC5">
        <w:rPr>
          <w:lang w:val="fr-FR"/>
        </w:rPr>
        <w:t>.</w:t>
      </w:r>
    </w:p>
    <w:p w14:paraId="2EE940F9" w14:textId="2CF3EC59" w:rsidR="00D31AFF" w:rsidRPr="008D2CC5" w:rsidRDefault="00A4696E" w:rsidP="008E43CD">
      <w:pPr>
        <w:pStyle w:val="Normalnumber"/>
        <w:numPr>
          <w:ilvl w:val="0"/>
          <w:numId w:val="5"/>
        </w:numPr>
        <w:rPr>
          <w:lang w:val="fr-FR"/>
        </w:rPr>
      </w:pPr>
      <w:r w:rsidRPr="008D2CC5">
        <w:rPr>
          <w:lang w:val="fr-FR"/>
        </w:rPr>
        <w:t>La décontamination électrocinétique consiste à appliquer un courant électrique de faible intensité au sol contaminé.</w:t>
      </w:r>
      <w:r w:rsidR="00D31AFF" w:rsidRPr="008D2CC5">
        <w:rPr>
          <w:lang w:val="fr-FR"/>
        </w:rPr>
        <w:t xml:space="preserve"> </w:t>
      </w:r>
      <w:r w:rsidRPr="008D2CC5">
        <w:rPr>
          <w:lang w:val="fr-FR"/>
        </w:rPr>
        <w:t>Cette technique comprend généralement quatre procédés</w:t>
      </w:r>
      <w:r w:rsidR="000409D6" w:rsidRPr="008D2CC5">
        <w:rPr>
          <w:lang w:val="fr-FR"/>
        </w:rPr>
        <w:t> :</w:t>
      </w:r>
      <w:r w:rsidRPr="008D2CC5">
        <w:rPr>
          <w:lang w:val="fr-FR"/>
        </w:rPr>
        <w:t xml:space="preserve"> l</w:t>
      </w:r>
      <w:r w:rsidR="000409D6" w:rsidRPr="008D2CC5">
        <w:rPr>
          <w:lang w:val="fr-FR"/>
        </w:rPr>
        <w:t>’</w:t>
      </w:r>
      <w:r w:rsidRPr="008D2CC5">
        <w:rPr>
          <w:lang w:val="fr-FR"/>
        </w:rPr>
        <w:t>électromigration (propagation dans le fluide interstitiel d</w:t>
      </w:r>
      <w:r w:rsidR="000409D6" w:rsidRPr="008D2CC5">
        <w:rPr>
          <w:lang w:val="fr-FR"/>
        </w:rPr>
        <w:t>’</w:t>
      </w:r>
      <w:r w:rsidRPr="008D2CC5">
        <w:rPr>
          <w:lang w:val="fr-FR"/>
        </w:rPr>
        <w:t>espèces chimiques chargées), l</w:t>
      </w:r>
      <w:r w:rsidR="000409D6" w:rsidRPr="008D2CC5">
        <w:rPr>
          <w:lang w:val="fr-FR"/>
        </w:rPr>
        <w:t>’</w:t>
      </w:r>
      <w:r w:rsidRPr="008D2CC5">
        <w:rPr>
          <w:lang w:val="fr-FR"/>
        </w:rPr>
        <w:t>électro-osmose (propagation du fluide interstitiel), l</w:t>
      </w:r>
      <w:r w:rsidR="000409D6" w:rsidRPr="008D2CC5">
        <w:rPr>
          <w:lang w:val="fr-FR"/>
        </w:rPr>
        <w:t>’</w:t>
      </w:r>
      <w:r w:rsidRPr="008D2CC5">
        <w:rPr>
          <w:lang w:val="fr-FR"/>
        </w:rPr>
        <w:t>électrophorèse (migration de particules chargées) et l</w:t>
      </w:r>
      <w:r w:rsidR="000409D6" w:rsidRPr="008D2CC5">
        <w:rPr>
          <w:lang w:val="fr-FR"/>
        </w:rPr>
        <w:t>’</w:t>
      </w:r>
      <w:r w:rsidRPr="008D2CC5">
        <w:rPr>
          <w:lang w:val="fr-FR"/>
        </w:rPr>
        <w:t>électrolyse (réaction chimique causée par le passage d</w:t>
      </w:r>
      <w:r w:rsidR="000409D6" w:rsidRPr="008D2CC5">
        <w:rPr>
          <w:lang w:val="fr-FR"/>
        </w:rPr>
        <w:t>’</w:t>
      </w:r>
      <w:r w:rsidRPr="008D2CC5">
        <w:rPr>
          <w:lang w:val="fr-FR"/>
        </w:rPr>
        <w:t>un courant électrique)</w:t>
      </w:r>
      <w:r w:rsidR="00D31AFF" w:rsidRPr="008D2CC5">
        <w:rPr>
          <w:lang w:val="fr-FR"/>
        </w:rPr>
        <w:t xml:space="preserve">. </w:t>
      </w:r>
      <w:r w:rsidR="00E80C2A" w:rsidRPr="008D2CC5">
        <w:rPr>
          <w:lang w:val="fr-FR"/>
        </w:rPr>
        <w:t>Si tous ces</w:t>
      </w:r>
      <w:r w:rsidRPr="008D2CC5">
        <w:rPr>
          <w:lang w:val="fr-FR"/>
        </w:rPr>
        <w:t xml:space="preserve"> procédés </w:t>
      </w:r>
      <w:r w:rsidR="009C2C6F" w:rsidRPr="008D2CC5">
        <w:rPr>
          <w:lang w:val="fr-FR"/>
        </w:rPr>
        <w:t>peuvent</w:t>
      </w:r>
      <w:r w:rsidRPr="008D2CC5">
        <w:rPr>
          <w:lang w:val="fr-FR"/>
        </w:rPr>
        <w:t xml:space="preserve"> extraire des métaux de sols contaminés</w:t>
      </w:r>
      <w:r w:rsidR="00E80C2A" w:rsidRPr="008D2CC5">
        <w:rPr>
          <w:lang w:val="fr-FR"/>
        </w:rPr>
        <w:t>,</w:t>
      </w:r>
      <w:r w:rsidRPr="008D2CC5">
        <w:rPr>
          <w:lang w:val="fr-FR"/>
        </w:rPr>
        <w:t xml:space="preserve"> leur efficacité dépend de nombreux facteurs</w:t>
      </w:r>
      <w:r w:rsidR="00D31AFF" w:rsidRPr="008D2CC5">
        <w:rPr>
          <w:lang w:val="fr-FR"/>
        </w:rPr>
        <w:t xml:space="preserve">. </w:t>
      </w:r>
      <w:r w:rsidR="00462042">
        <w:rPr>
          <w:lang w:val="fr-FR"/>
        </w:rPr>
        <w:t>La </w:t>
      </w:r>
      <w:r w:rsidRPr="008D2CC5">
        <w:rPr>
          <w:lang w:val="fr-FR"/>
        </w:rPr>
        <w:t>décontamination électrocinétique peut s</w:t>
      </w:r>
      <w:r w:rsidR="000409D6" w:rsidRPr="008D2CC5">
        <w:rPr>
          <w:lang w:val="fr-FR"/>
        </w:rPr>
        <w:t>’</w:t>
      </w:r>
      <w:r w:rsidRPr="008D2CC5">
        <w:rPr>
          <w:lang w:val="fr-FR"/>
        </w:rPr>
        <w:t xml:space="preserve">avérer difficile en raison de la faible solubilité du mercure dans la plupart des sols naturels et du fait que la présence de mercure élémentaire peut freiner le procédé </w:t>
      </w:r>
      <w:r w:rsidR="00D31AFF" w:rsidRPr="008D2CC5">
        <w:rPr>
          <w:lang w:val="fr-FR"/>
        </w:rPr>
        <w:t xml:space="preserve">(Feng </w:t>
      </w:r>
      <w:r w:rsidRPr="008D2CC5">
        <w:rPr>
          <w:i/>
          <w:iCs/>
          <w:lang w:val="fr-FR"/>
        </w:rPr>
        <w:t>et al.</w:t>
      </w:r>
      <w:r w:rsidR="00D31AFF" w:rsidRPr="008D2CC5">
        <w:rPr>
          <w:lang w:val="fr-FR"/>
        </w:rPr>
        <w:t>, 2015).</w:t>
      </w:r>
    </w:p>
    <w:p w14:paraId="456E5FBB" w14:textId="633CE9F0" w:rsidR="00D31AFF" w:rsidRPr="008D2CC5" w:rsidRDefault="00D31AFF" w:rsidP="00462042">
      <w:pPr>
        <w:pStyle w:val="CH3"/>
        <w:rPr>
          <w:lang w:val="fr-FR"/>
        </w:rPr>
      </w:pPr>
      <w:r w:rsidRPr="008D2CC5">
        <w:rPr>
          <w:lang w:val="fr-FR"/>
        </w:rPr>
        <w:lastRenderedPageBreak/>
        <w:tab/>
      </w:r>
      <w:r w:rsidR="00152CD3" w:rsidRPr="008D2CC5">
        <w:rPr>
          <w:lang w:val="fr-FR"/>
        </w:rPr>
        <w:t>4.</w:t>
      </w:r>
      <w:r w:rsidRPr="008D2CC5">
        <w:rPr>
          <w:lang w:val="fr-FR"/>
        </w:rPr>
        <w:tab/>
      </w:r>
      <w:r w:rsidR="00A4696E" w:rsidRPr="008D2CC5">
        <w:rPr>
          <w:lang w:val="fr-FR"/>
        </w:rPr>
        <w:t>Techniques de traitement de l</w:t>
      </w:r>
      <w:r w:rsidR="000409D6" w:rsidRPr="008D2CC5">
        <w:rPr>
          <w:lang w:val="fr-FR"/>
        </w:rPr>
        <w:t>’</w:t>
      </w:r>
      <w:r w:rsidR="00A4696E" w:rsidRPr="008D2CC5">
        <w:rPr>
          <w:lang w:val="fr-FR"/>
        </w:rPr>
        <w:t>eau</w:t>
      </w:r>
    </w:p>
    <w:p w14:paraId="365B6984" w14:textId="197B3B67" w:rsidR="00D31AFF" w:rsidRPr="008D2CC5" w:rsidRDefault="00250A66" w:rsidP="00462042">
      <w:pPr>
        <w:pStyle w:val="Normalnumber"/>
        <w:keepNext/>
        <w:keepLines/>
        <w:numPr>
          <w:ilvl w:val="0"/>
          <w:numId w:val="5"/>
        </w:numPr>
        <w:rPr>
          <w:lang w:val="fr-FR"/>
        </w:rPr>
      </w:pPr>
      <w:r w:rsidRPr="008D2CC5">
        <w:rPr>
          <w:lang w:val="fr-FR"/>
        </w:rPr>
        <w:t xml:space="preserve">Les sites contaminés </w:t>
      </w:r>
      <w:r w:rsidR="00175B40" w:rsidRPr="008D2CC5">
        <w:rPr>
          <w:lang w:val="fr-FR"/>
        </w:rPr>
        <w:t>pourraient</w:t>
      </w:r>
      <w:r w:rsidRPr="008D2CC5">
        <w:rPr>
          <w:lang w:val="fr-FR"/>
        </w:rPr>
        <w:t xml:space="preserve"> être évalués </w:t>
      </w:r>
      <w:r w:rsidR="00175B40" w:rsidRPr="008D2CC5">
        <w:rPr>
          <w:lang w:val="fr-FR"/>
        </w:rPr>
        <w:t>en vue</w:t>
      </w:r>
      <w:r w:rsidRPr="008D2CC5">
        <w:rPr>
          <w:lang w:val="fr-FR"/>
        </w:rPr>
        <w:t xml:space="preserve"> de déterminer la probabilité d</w:t>
      </w:r>
      <w:r w:rsidR="000409D6" w:rsidRPr="008D2CC5">
        <w:rPr>
          <w:lang w:val="fr-FR"/>
        </w:rPr>
        <w:t>’</w:t>
      </w:r>
      <w:r w:rsidRPr="008D2CC5">
        <w:rPr>
          <w:lang w:val="fr-FR"/>
        </w:rPr>
        <w:t>une contamination des eaux souterraines ou de surface</w:t>
      </w:r>
      <w:r w:rsidR="00D31AFF" w:rsidRPr="008D2CC5">
        <w:rPr>
          <w:lang w:val="fr-FR"/>
        </w:rPr>
        <w:t xml:space="preserve">. </w:t>
      </w:r>
      <w:r w:rsidRPr="008D2CC5">
        <w:rPr>
          <w:lang w:val="fr-FR"/>
        </w:rPr>
        <w:t>L</w:t>
      </w:r>
      <w:r w:rsidR="000409D6" w:rsidRPr="008D2CC5">
        <w:rPr>
          <w:lang w:val="fr-FR"/>
        </w:rPr>
        <w:t>’</w:t>
      </w:r>
      <w:r w:rsidRPr="008D2CC5">
        <w:rPr>
          <w:lang w:val="fr-FR"/>
        </w:rPr>
        <w:t>évaluation des conditions hydrogéologiques peut contribuer à cette détermination</w:t>
      </w:r>
      <w:r w:rsidR="00D31AFF" w:rsidRPr="008D2CC5">
        <w:rPr>
          <w:lang w:val="fr-FR"/>
        </w:rPr>
        <w:t xml:space="preserve">. </w:t>
      </w:r>
      <w:r w:rsidRPr="008D2CC5">
        <w:rPr>
          <w:lang w:val="fr-FR"/>
        </w:rPr>
        <w:t xml:space="preserve">Si les eaux ayant un rapport avec un site contaminé se sont révélées contenir du mercure, plusieurs options sont possibles pour </w:t>
      </w:r>
      <w:r w:rsidR="003B66B7" w:rsidRPr="008D2CC5">
        <w:rPr>
          <w:lang w:val="fr-FR"/>
        </w:rPr>
        <w:t>gérer le problème, notamment le confinement et le traitement</w:t>
      </w:r>
      <w:r w:rsidR="00D31AFF" w:rsidRPr="008D2CC5">
        <w:rPr>
          <w:lang w:val="fr-FR"/>
        </w:rPr>
        <w:t xml:space="preserve">. </w:t>
      </w:r>
      <w:r w:rsidR="003B66B7" w:rsidRPr="008D2CC5">
        <w:rPr>
          <w:lang w:val="fr-FR"/>
        </w:rPr>
        <w:t>Parmi les techniques de traitement, on compte la précipitation/coprécipitation, l</w:t>
      </w:r>
      <w:r w:rsidR="000409D6" w:rsidRPr="008D2CC5">
        <w:rPr>
          <w:lang w:val="fr-FR"/>
        </w:rPr>
        <w:t>’</w:t>
      </w:r>
      <w:r w:rsidR="003B66B7" w:rsidRPr="008D2CC5">
        <w:rPr>
          <w:lang w:val="fr-FR"/>
        </w:rPr>
        <w:t xml:space="preserve">adsorption et la filtration membranaire </w:t>
      </w:r>
      <w:r w:rsidR="00D31AFF" w:rsidRPr="008D2CC5">
        <w:rPr>
          <w:lang w:val="fr-FR"/>
        </w:rPr>
        <w:t xml:space="preserve">(US EPA, 2007). </w:t>
      </w:r>
    </w:p>
    <w:p w14:paraId="6BEBCBF6" w14:textId="735485C5" w:rsidR="00D31AFF" w:rsidRPr="008D2CC5" w:rsidRDefault="00AB6223" w:rsidP="008E43CD">
      <w:pPr>
        <w:pStyle w:val="Normalnumber"/>
        <w:numPr>
          <w:ilvl w:val="0"/>
          <w:numId w:val="5"/>
        </w:numPr>
        <w:rPr>
          <w:lang w:val="fr-FR"/>
        </w:rPr>
      </w:pPr>
      <w:r w:rsidRPr="008D2CC5">
        <w:rPr>
          <w:lang w:val="fr-FR"/>
        </w:rPr>
        <w:t>La précipitation/coprécipitation est un traitement répandu mais pour lequel une installation de traitement des eaux usées et des opérateurs qualifiés sont indispensables</w:t>
      </w:r>
      <w:r w:rsidR="00D31AFF" w:rsidRPr="008D2CC5">
        <w:rPr>
          <w:lang w:val="fr-FR"/>
        </w:rPr>
        <w:t xml:space="preserve">. </w:t>
      </w:r>
      <w:r w:rsidRPr="008D2CC5">
        <w:rPr>
          <w:lang w:val="fr-FR"/>
        </w:rPr>
        <w:t>Son efficacité dépend du pH et de la présence d</w:t>
      </w:r>
      <w:r w:rsidR="000409D6" w:rsidRPr="008D2CC5">
        <w:rPr>
          <w:lang w:val="fr-FR"/>
        </w:rPr>
        <w:t>’</w:t>
      </w:r>
      <w:r w:rsidRPr="008D2CC5">
        <w:rPr>
          <w:lang w:val="fr-FR"/>
        </w:rPr>
        <w:t>autres contaminants</w:t>
      </w:r>
      <w:r w:rsidR="00D31AFF" w:rsidRPr="008D2CC5">
        <w:rPr>
          <w:lang w:val="fr-FR"/>
        </w:rPr>
        <w:t xml:space="preserve">. </w:t>
      </w:r>
      <w:r w:rsidRPr="008D2CC5">
        <w:rPr>
          <w:lang w:val="fr-FR"/>
        </w:rPr>
        <w:t>Le procédé consiste à utiliser des additifs chimiques qui transforment les contaminants dissous en particules solides insolubles (qui précipitent ensuite) ou qui forment des solides insolubles sur lesquels les contaminants dissous s</w:t>
      </w:r>
      <w:r w:rsidR="000409D6" w:rsidRPr="008D2CC5">
        <w:rPr>
          <w:lang w:val="fr-FR"/>
        </w:rPr>
        <w:t>’</w:t>
      </w:r>
      <w:r w:rsidRPr="008D2CC5">
        <w:rPr>
          <w:lang w:val="fr-FR"/>
        </w:rPr>
        <w:t>adsorbent</w:t>
      </w:r>
      <w:r w:rsidR="00D31AFF" w:rsidRPr="008D2CC5">
        <w:rPr>
          <w:lang w:val="fr-FR"/>
        </w:rPr>
        <w:t xml:space="preserve">. </w:t>
      </w:r>
      <w:r w:rsidRPr="008D2CC5">
        <w:rPr>
          <w:lang w:val="fr-FR"/>
        </w:rPr>
        <w:t>Le liquide est ensuite filtré ou clarifié afin d</w:t>
      </w:r>
      <w:r w:rsidR="000409D6" w:rsidRPr="008D2CC5">
        <w:rPr>
          <w:lang w:val="fr-FR"/>
        </w:rPr>
        <w:t>’</w:t>
      </w:r>
      <w:r w:rsidRPr="008D2CC5">
        <w:rPr>
          <w:lang w:val="fr-FR"/>
        </w:rPr>
        <w:t>en retirer les solides</w:t>
      </w:r>
      <w:r w:rsidR="00D31AFF" w:rsidRPr="008D2CC5">
        <w:rPr>
          <w:lang w:val="fr-FR"/>
        </w:rPr>
        <w:t>.</w:t>
      </w:r>
    </w:p>
    <w:p w14:paraId="4FFC827E" w14:textId="0C1C68BF" w:rsidR="00D31AFF" w:rsidRPr="008D2CC5" w:rsidRDefault="00734150" w:rsidP="008B22F8">
      <w:pPr>
        <w:pStyle w:val="Normalnumber"/>
        <w:keepNext/>
        <w:keepLines/>
        <w:numPr>
          <w:ilvl w:val="0"/>
          <w:numId w:val="5"/>
        </w:numPr>
        <w:rPr>
          <w:lang w:val="fr-FR"/>
        </w:rPr>
      </w:pPr>
      <w:r w:rsidRPr="008D2CC5">
        <w:rPr>
          <w:lang w:val="fr-FR"/>
        </w:rPr>
        <w:t>La plupart du temps, l</w:t>
      </w:r>
      <w:r w:rsidR="000409D6" w:rsidRPr="008D2CC5">
        <w:rPr>
          <w:lang w:val="fr-FR"/>
        </w:rPr>
        <w:t>’</w:t>
      </w:r>
      <w:r w:rsidRPr="008D2CC5">
        <w:rPr>
          <w:lang w:val="fr-FR"/>
        </w:rPr>
        <w:t>adsorption (souvent au charbon actif) est utilisée pour des petits systèmes où le mercure est le seul contaminant</w:t>
      </w:r>
      <w:r w:rsidR="00D31AFF" w:rsidRPr="008D2CC5">
        <w:rPr>
          <w:lang w:val="fr-FR"/>
        </w:rPr>
        <w:t xml:space="preserve">. </w:t>
      </w:r>
      <w:r w:rsidRPr="008D2CC5">
        <w:rPr>
          <w:lang w:val="fr-FR"/>
        </w:rPr>
        <w:t>Ce procédé concentre le mercure à la surface d</w:t>
      </w:r>
      <w:r w:rsidR="000409D6" w:rsidRPr="008D2CC5">
        <w:rPr>
          <w:lang w:val="fr-FR"/>
        </w:rPr>
        <w:t>’</w:t>
      </w:r>
      <w:r w:rsidRPr="008D2CC5">
        <w:rPr>
          <w:lang w:val="fr-FR"/>
        </w:rPr>
        <w:t xml:space="preserve">un </w:t>
      </w:r>
      <w:proofErr w:type="spellStart"/>
      <w:r w:rsidRPr="008D2CC5">
        <w:rPr>
          <w:lang w:val="fr-FR"/>
        </w:rPr>
        <w:t>sorbant</w:t>
      </w:r>
      <w:proofErr w:type="spellEnd"/>
      <w:r w:rsidRPr="008D2CC5">
        <w:rPr>
          <w:lang w:val="fr-FR"/>
        </w:rPr>
        <w:t>, ce qui réduit la concentration du contaminant dans le reste de la phase liquide</w:t>
      </w:r>
      <w:r w:rsidR="00D31AFF" w:rsidRPr="008D2CC5">
        <w:rPr>
          <w:lang w:val="fr-FR"/>
        </w:rPr>
        <w:t xml:space="preserve">. </w:t>
      </w:r>
      <w:r w:rsidRPr="008D2CC5">
        <w:rPr>
          <w:lang w:val="fr-FR"/>
        </w:rPr>
        <w:t xml:space="preserve">Généralement, le </w:t>
      </w:r>
      <w:proofErr w:type="spellStart"/>
      <w:r w:rsidRPr="008D2CC5">
        <w:rPr>
          <w:lang w:val="fr-FR"/>
        </w:rPr>
        <w:t>sorbant</w:t>
      </w:r>
      <w:proofErr w:type="spellEnd"/>
      <w:r w:rsidRPr="008D2CC5">
        <w:rPr>
          <w:lang w:val="fr-FR"/>
        </w:rPr>
        <w:t xml:space="preserve"> est placé dans une colonne à travers laquelle l</w:t>
      </w:r>
      <w:r w:rsidR="000409D6" w:rsidRPr="008D2CC5">
        <w:rPr>
          <w:lang w:val="fr-FR"/>
        </w:rPr>
        <w:t>’</w:t>
      </w:r>
      <w:r w:rsidRPr="008D2CC5">
        <w:rPr>
          <w:lang w:val="fr-FR"/>
        </w:rPr>
        <w:t>eau contaminée circule</w:t>
      </w:r>
      <w:r w:rsidR="00D31AFF" w:rsidRPr="008D2CC5">
        <w:rPr>
          <w:lang w:val="fr-FR"/>
        </w:rPr>
        <w:t xml:space="preserve">. </w:t>
      </w:r>
      <w:r w:rsidRPr="008D2CC5">
        <w:rPr>
          <w:lang w:val="fr-FR"/>
        </w:rPr>
        <w:t xml:space="preserve">Le </w:t>
      </w:r>
      <w:proofErr w:type="spellStart"/>
      <w:r w:rsidRPr="008D2CC5">
        <w:rPr>
          <w:lang w:val="fr-FR"/>
        </w:rPr>
        <w:t>sorbant</w:t>
      </w:r>
      <w:proofErr w:type="spellEnd"/>
      <w:r w:rsidRPr="008D2CC5">
        <w:rPr>
          <w:lang w:val="fr-FR"/>
        </w:rPr>
        <w:t xml:space="preserve"> usé devra ensuite être régénéré pour une utilisation ultérieure ou éliminé correctement</w:t>
      </w:r>
      <w:r w:rsidR="00D31AFF" w:rsidRPr="008D2CC5">
        <w:rPr>
          <w:lang w:val="fr-FR"/>
        </w:rPr>
        <w:t xml:space="preserve">. </w:t>
      </w:r>
      <w:r w:rsidRPr="008D2CC5">
        <w:rPr>
          <w:lang w:val="fr-FR"/>
        </w:rPr>
        <w:t>Ce procédé</w:t>
      </w:r>
      <w:r w:rsidR="00AD7E64" w:rsidRPr="008D2CC5">
        <w:rPr>
          <w:lang w:val="fr-FR"/>
        </w:rPr>
        <w:t>, en comparaison avec d</w:t>
      </w:r>
      <w:r w:rsidR="000409D6" w:rsidRPr="008D2CC5">
        <w:rPr>
          <w:lang w:val="fr-FR"/>
        </w:rPr>
        <w:t>’</w:t>
      </w:r>
      <w:r w:rsidR="00AD7E64" w:rsidRPr="008D2CC5">
        <w:rPr>
          <w:lang w:val="fr-FR"/>
        </w:rPr>
        <w:t>autres méthodes,</w:t>
      </w:r>
      <w:r w:rsidRPr="008D2CC5">
        <w:rPr>
          <w:lang w:val="fr-FR"/>
        </w:rPr>
        <w:t xml:space="preserve"> est plus susceptible d</w:t>
      </w:r>
      <w:r w:rsidR="000409D6" w:rsidRPr="008D2CC5">
        <w:rPr>
          <w:lang w:val="fr-FR"/>
        </w:rPr>
        <w:t>’</w:t>
      </w:r>
      <w:r w:rsidRPr="008D2CC5">
        <w:rPr>
          <w:lang w:val="fr-FR"/>
        </w:rPr>
        <w:t>être perturbé par la présence d</w:t>
      </w:r>
      <w:r w:rsidR="000409D6" w:rsidRPr="008D2CC5">
        <w:rPr>
          <w:lang w:val="fr-FR"/>
        </w:rPr>
        <w:t>’</w:t>
      </w:r>
      <w:r w:rsidRPr="008D2CC5">
        <w:rPr>
          <w:lang w:val="fr-FR"/>
        </w:rPr>
        <w:t>autres contaminants</w:t>
      </w:r>
      <w:r w:rsidR="00D31AFF" w:rsidRPr="008D2CC5">
        <w:rPr>
          <w:lang w:val="fr-FR"/>
        </w:rPr>
        <w:t xml:space="preserve">. </w:t>
      </w:r>
    </w:p>
    <w:p w14:paraId="25270BCB" w14:textId="253AEA0A" w:rsidR="00D31AFF" w:rsidRPr="008D2CC5" w:rsidRDefault="00AD7E64" w:rsidP="006D69D3">
      <w:pPr>
        <w:pStyle w:val="Normalnumber"/>
        <w:rPr>
          <w:lang w:val="fr-FR"/>
        </w:rPr>
      </w:pPr>
      <w:r w:rsidRPr="008D2CC5">
        <w:rPr>
          <w:lang w:val="fr-FR"/>
        </w:rPr>
        <w:t>La filtration membranaire est un procédé très efficace par lequel l</w:t>
      </w:r>
      <w:r w:rsidR="000409D6" w:rsidRPr="008D2CC5">
        <w:rPr>
          <w:lang w:val="fr-FR"/>
        </w:rPr>
        <w:t>’</w:t>
      </w:r>
      <w:r w:rsidRPr="008D2CC5">
        <w:rPr>
          <w:lang w:val="fr-FR"/>
        </w:rPr>
        <w:t>eau est débarrassée des contaminants en la faisant passer à travers une membrane semi-perméable</w:t>
      </w:r>
      <w:r w:rsidR="00D31AFF" w:rsidRPr="008D2CC5">
        <w:rPr>
          <w:lang w:val="fr-FR"/>
        </w:rPr>
        <w:t xml:space="preserve">. </w:t>
      </w:r>
      <w:r w:rsidRPr="008D2CC5">
        <w:rPr>
          <w:lang w:val="fr-FR"/>
        </w:rPr>
        <w:t>Cependant, la présence d</w:t>
      </w:r>
      <w:r w:rsidR="000409D6" w:rsidRPr="008D2CC5">
        <w:rPr>
          <w:lang w:val="fr-FR"/>
        </w:rPr>
        <w:t>’</w:t>
      </w:r>
      <w:r w:rsidRPr="008D2CC5">
        <w:rPr>
          <w:lang w:val="fr-FR"/>
        </w:rPr>
        <w:t xml:space="preserve">autres contaminants tels que </w:t>
      </w:r>
      <w:r w:rsidR="00D22377" w:rsidRPr="008D2CC5">
        <w:rPr>
          <w:lang w:val="fr-FR"/>
        </w:rPr>
        <w:t xml:space="preserve">des </w:t>
      </w:r>
      <w:r w:rsidRPr="008D2CC5">
        <w:rPr>
          <w:lang w:val="fr-FR"/>
        </w:rPr>
        <w:t>solides en suspension,</w:t>
      </w:r>
      <w:r w:rsidR="00D22377" w:rsidRPr="008D2CC5">
        <w:rPr>
          <w:lang w:val="fr-FR"/>
        </w:rPr>
        <w:t xml:space="preserve"> des</w:t>
      </w:r>
      <w:r w:rsidRPr="008D2CC5">
        <w:rPr>
          <w:lang w:val="fr-FR"/>
        </w:rPr>
        <w:t xml:space="preserve"> composés organiques</w:t>
      </w:r>
      <w:r w:rsidR="00D22377" w:rsidRPr="008D2CC5">
        <w:rPr>
          <w:lang w:val="fr-FR"/>
        </w:rPr>
        <w:t xml:space="preserve"> et autres</w:t>
      </w:r>
      <w:r w:rsidRPr="008D2CC5">
        <w:rPr>
          <w:lang w:val="fr-FR"/>
        </w:rPr>
        <w:t xml:space="preserve"> réduit l</w:t>
      </w:r>
      <w:r w:rsidR="000409D6" w:rsidRPr="008D2CC5">
        <w:rPr>
          <w:lang w:val="fr-FR"/>
        </w:rPr>
        <w:t>’</w:t>
      </w:r>
      <w:r w:rsidRPr="008D2CC5">
        <w:rPr>
          <w:lang w:val="fr-FR"/>
        </w:rPr>
        <w:t>efficacité de la membrane et peut même l</w:t>
      </w:r>
      <w:r w:rsidR="000409D6" w:rsidRPr="008D2CC5">
        <w:rPr>
          <w:lang w:val="fr-FR"/>
        </w:rPr>
        <w:t>’</w:t>
      </w:r>
      <w:r w:rsidRPr="008D2CC5">
        <w:rPr>
          <w:lang w:val="fr-FR"/>
        </w:rPr>
        <w:t>empêcher de fonctionner</w:t>
      </w:r>
      <w:r w:rsidR="00D31AFF" w:rsidRPr="008D2CC5">
        <w:rPr>
          <w:lang w:val="fr-FR"/>
        </w:rPr>
        <w:t xml:space="preserve">. </w:t>
      </w:r>
    </w:p>
    <w:p w14:paraId="65FC336D" w14:textId="7555FB2C" w:rsidR="00D31AFF" w:rsidRPr="008D2CC5" w:rsidRDefault="00D31AFF" w:rsidP="00F93F76">
      <w:pPr>
        <w:pStyle w:val="CH3"/>
        <w:rPr>
          <w:lang w:val="fr-FR"/>
        </w:rPr>
      </w:pPr>
      <w:r w:rsidRPr="008D2CC5">
        <w:rPr>
          <w:lang w:val="fr-FR"/>
        </w:rPr>
        <w:tab/>
      </w:r>
      <w:r w:rsidR="00152CD3" w:rsidRPr="008D2CC5">
        <w:rPr>
          <w:lang w:val="fr-FR"/>
        </w:rPr>
        <w:t>5.</w:t>
      </w:r>
      <w:r w:rsidRPr="008D2CC5">
        <w:rPr>
          <w:lang w:val="fr-FR"/>
        </w:rPr>
        <w:tab/>
      </w:r>
      <w:bookmarkStart w:id="18" w:name="_Toc15920550"/>
      <w:r w:rsidR="002E6028" w:rsidRPr="008D2CC5">
        <w:rPr>
          <w:lang w:val="fr-FR"/>
        </w:rPr>
        <w:t>Techniques de traitement des eaux souterraines</w:t>
      </w:r>
      <w:bookmarkEnd w:id="18"/>
    </w:p>
    <w:p w14:paraId="174DBDC8" w14:textId="5A01A542" w:rsidR="00D31AFF" w:rsidRPr="008D2CC5" w:rsidRDefault="009426D2" w:rsidP="006D69D3">
      <w:pPr>
        <w:pStyle w:val="Normalnumber"/>
        <w:rPr>
          <w:lang w:val="fr-FR"/>
        </w:rPr>
      </w:pPr>
      <w:r w:rsidRPr="008D2CC5">
        <w:rPr>
          <w:lang w:val="fr-FR"/>
        </w:rPr>
        <w:t>Pour les eaux souterraines</w:t>
      </w:r>
      <w:r w:rsidR="00D31AFF" w:rsidRPr="008D2CC5">
        <w:rPr>
          <w:lang w:val="fr-FR"/>
        </w:rPr>
        <w:t>,</w:t>
      </w:r>
      <w:r w:rsidRPr="008D2CC5">
        <w:rPr>
          <w:lang w:val="fr-FR"/>
        </w:rPr>
        <w:t xml:space="preserve"> des techniques</w:t>
      </w:r>
      <w:r w:rsidR="00D31AFF" w:rsidRPr="008D2CC5">
        <w:rPr>
          <w:lang w:val="fr-FR"/>
        </w:rPr>
        <w:t xml:space="preserve"> </w:t>
      </w:r>
      <w:r w:rsidR="00D31AFF" w:rsidRPr="008D2CC5">
        <w:rPr>
          <w:i/>
          <w:iCs/>
          <w:lang w:val="fr-FR"/>
        </w:rPr>
        <w:t>in-situ</w:t>
      </w:r>
      <w:r w:rsidR="00D31AFF" w:rsidRPr="008D2CC5">
        <w:rPr>
          <w:lang w:val="fr-FR"/>
        </w:rPr>
        <w:t xml:space="preserve"> </w:t>
      </w:r>
      <w:r w:rsidRPr="008D2CC5">
        <w:rPr>
          <w:lang w:val="fr-FR"/>
        </w:rPr>
        <w:t>peuvent être envisagées</w:t>
      </w:r>
      <w:r w:rsidR="00D31AFF" w:rsidRPr="008D2CC5">
        <w:rPr>
          <w:lang w:val="fr-FR"/>
        </w:rPr>
        <w:t>.</w:t>
      </w:r>
      <w:r w:rsidRPr="008D2CC5">
        <w:rPr>
          <w:lang w:val="fr-FR"/>
        </w:rPr>
        <w:t xml:space="preserve"> Les caractéristiques importantes à prendre en considération lors du choix d</w:t>
      </w:r>
      <w:r w:rsidR="000409D6" w:rsidRPr="008D2CC5">
        <w:rPr>
          <w:lang w:val="fr-FR"/>
        </w:rPr>
        <w:t>’</w:t>
      </w:r>
      <w:r w:rsidRPr="008D2CC5">
        <w:rPr>
          <w:lang w:val="fr-FR"/>
        </w:rPr>
        <w:t>une technique de remise en état pour des eaux souterraines sont le</w:t>
      </w:r>
      <w:r w:rsidR="00D31AFF" w:rsidRPr="008D2CC5">
        <w:rPr>
          <w:lang w:val="fr-FR"/>
        </w:rPr>
        <w:t xml:space="preserve"> pH, </w:t>
      </w:r>
      <w:r w:rsidR="0035274D" w:rsidRPr="008D2CC5">
        <w:rPr>
          <w:lang w:val="fr-FR"/>
        </w:rPr>
        <w:t>la présence d</w:t>
      </w:r>
      <w:r w:rsidR="000409D6" w:rsidRPr="008D2CC5">
        <w:rPr>
          <w:lang w:val="fr-FR"/>
        </w:rPr>
        <w:t>’</w:t>
      </w:r>
      <w:r w:rsidR="0035274D" w:rsidRPr="008D2CC5">
        <w:rPr>
          <w:lang w:val="fr-FR"/>
        </w:rPr>
        <w:t>autres</w:t>
      </w:r>
      <w:r w:rsidR="00D31AFF" w:rsidRPr="008D2CC5">
        <w:rPr>
          <w:lang w:val="fr-FR"/>
        </w:rPr>
        <w:t xml:space="preserve"> contaminants </w:t>
      </w:r>
      <w:r w:rsidR="0035274D" w:rsidRPr="008D2CC5">
        <w:rPr>
          <w:lang w:val="fr-FR"/>
        </w:rPr>
        <w:t xml:space="preserve">et des paramètres tels que la température et la teneur en chlorure </w:t>
      </w:r>
      <w:r w:rsidR="00D31AFF" w:rsidRPr="008D2CC5">
        <w:rPr>
          <w:lang w:val="fr-FR"/>
        </w:rPr>
        <w:t>(</w:t>
      </w:r>
      <w:proofErr w:type="spellStart"/>
      <w:r w:rsidR="00D31AFF" w:rsidRPr="008D2CC5">
        <w:rPr>
          <w:lang w:val="fr-FR"/>
        </w:rPr>
        <w:t>Merly</w:t>
      </w:r>
      <w:proofErr w:type="spellEnd"/>
      <w:r w:rsidR="00D31AFF" w:rsidRPr="008D2CC5">
        <w:rPr>
          <w:lang w:val="fr-FR"/>
        </w:rPr>
        <w:t xml:space="preserve"> and </w:t>
      </w:r>
      <w:proofErr w:type="spellStart"/>
      <w:r w:rsidR="00D31AFF" w:rsidRPr="008D2CC5">
        <w:rPr>
          <w:lang w:val="fr-FR"/>
        </w:rPr>
        <w:t>Hube</w:t>
      </w:r>
      <w:proofErr w:type="spellEnd"/>
      <w:r w:rsidR="00D31AFF" w:rsidRPr="008D2CC5">
        <w:rPr>
          <w:lang w:val="fr-FR"/>
        </w:rPr>
        <w:t>, 2014).</w:t>
      </w:r>
    </w:p>
    <w:p w14:paraId="1C766BB0" w14:textId="22571700" w:rsidR="00D31AFF" w:rsidRPr="008D2CC5" w:rsidRDefault="002414C2" w:rsidP="006D69D3">
      <w:pPr>
        <w:pStyle w:val="Normalnumber"/>
        <w:rPr>
          <w:lang w:val="fr-FR"/>
        </w:rPr>
      </w:pPr>
      <w:r w:rsidRPr="008D2CC5">
        <w:rPr>
          <w:lang w:val="fr-FR"/>
        </w:rPr>
        <w:t>Parmi les techniques de remise en état ayant fait leurs preuves pour les eaux souterraines contaminées par du mercure figurent</w:t>
      </w:r>
      <w:r w:rsidR="007E0FAA" w:rsidRPr="008D2CC5">
        <w:rPr>
          <w:lang w:val="fr-FR"/>
        </w:rPr>
        <w:t xml:space="preserve"> le pompage-traitement et les barrières perméable</w:t>
      </w:r>
      <w:r w:rsidR="00730266" w:rsidRPr="008D2CC5">
        <w:rPr>
          <w:lang w:val="fr-FR"/>
        </w:rPr>
        <w:t>s</w:t>
      </w:r>
      <w:r w:rsidR="007E0FAA" w:rsidRPr="008D2CC5">
        <w:rPr>
          <w:lang w:val="fr-FR"/>
        </w:rPr>
        <w:t xml:space="preserve"> réactives</w:t>
      </w:r>
      <w:r w:rsidR="00D31AFF" w:rsidRPr="008D2CC5">
        <w:rPr>
          <w:lang w:val="fr-FR"/>
        </w:rPr>
        <w:t xml:space="preserve"> (</w:t>
      </w:r>
      <w:proofErr w:type="spellStart"/>
      <w:r w:rsidR="00D31AFF" w:rsidRPr="008D2CC5">
        <w:rPr>
          <w:lang w:val="fr-FR"/>
        </w:rPr>
        <w:t>Merly</w:t>
      </w:r>
      <w:proofErr w:type="spellEnd"/>
      <w:r w:rsidR="00D31AFF" w:rsidRPr="008D2CC5">
        <w:rPr>
          <w:lang w:val="fr-FR"/>
        </w:rPr>
        <w:t xml:space="preserve"> and </w:t>
      </w:r>
      <w:proofErr w:type="spellStart"/>
      <w:r w:rsidR="00D31AFF" w:rsidRPr="008D2CC5">
        <w:rPr>
          <w:lang w:val="fr-FR"/>
        </w:rPr>
        <w:t>Hube</w:t>
      </w:r>
      <w:proofErr w:type="spellEnd"/>
      <w:r w:rsidR="00D31AFF" w:rsidRPr="008D2CC5">
        <w:rPr>
          <w:lang w:val="fr-FR"/>
        </w:rPr>
        <w:t xml:space="preserve">, 2014). </w:t>
      </w:r>
    </w:p>
    <w:p w14:paraId="060E041A" w14:textId="1C950573" w:rsidR="00D31AFF" w:rsidRPr="008D2CC5" w:rsidRDefault="007E0FAA" w:rsidP="006D69D3">
      <w:pPr>
        <w:pStyle w:val="Normalnumber"/>
        <w:rPr>
          <w:lang w:val="fr-FR"/>
        </w:rPr>
      </w:pPr>
      <w:r w:rsidRPr="008D2CC5">
        <w:rPr>
          <w:lang w:val="fr-FR"/>
        </w:rPr>
        <w:t>Les nouvelles techniques de remise en état pour les eaux souterraines contaminées au mercure visent à augmenter le milieu de sorption</w:t>
      </w:r>
      <w:r w:rsidR="008B06B8" w:rsidRPr="008D2CC5">
        <w:rPr>
          <w:lang w:val="fr-FR"/>
        </w:rPr>
        <w:t xml:space="preserve"> et à renforcer les capacités de filtration aux fins d</w:t>
      </w:r>
      <w:r w:rsidR="000409D6" w:rsidRPr="008D2CC5">
        <w:rPr>
          <w:lang w:val="fr-FR"/>
        </w:rPr>
        <w:t>’</w:t>
      </w:r>
      <w:r w:rsidR="008B06B8" w:rsidRPr="008D2CC5">
        <w:rPr>
          <w:lang w:val="fr-FR"/>
        </w:rPr>
        <w:t>une remise en état complète des sites contaminés au mercure</w:t>
      </w:r>
      <w:r w:rsidR="00D31AFF" w:rsidRPr="008D2CC5">
        <w:rPr>
          <w:lang w:val="fr-FR"/>
        </w:rPr>
        <w:t>.</w:t>
      </w:r>
      <w:r w:rsidR="008B06B8" w:rsidRPr="008D2CC5">
        <w:rPr>
          <w:lang w:val="fr-FR"/>
        </w:rPr>
        <w:t xml:space="preserve"> Le pompage et l</w:t>
      </w:r>
      <w:r w:rsidR="000409D6" w:rsidRPr="008D2CC5">
        <w:rPr>
          <w:lang w:val="fr-FR"/>
        </w:rPr>
        <w:t>’</w:t>
      </w:r>
      <w:r w:rsidR="008B06B8" w:rsidRPr="008D2CC5">
        <w:rPr>
          <w:lang w:val="fr-FR"/>
        </w:rPr>
        <w:t>extraction peuvent également être envisagés si l</w:t>
      </w:r>
      <w:r w:rsidR="000409D6" w:rsidRPr="008D2CC5">
        <w:rPr>
          <w:lang w:val="fr-FR"/>
        </w:rPr>
        <w:t>’</w:t>
      </w:r>
      <w:r w:rsidR="008B06B8" w:rsidRPr="008D2CC5">
        <w:rPr>
          <w:lang w:val="fr-FR"/>
        </w:rPr>
        <w:t>efficacité du traitement des effluents gazeux fortement contaminés est améliorée</w:t>
      </w:r>
      <w:r w:rsidR="00D31AFF" w:rsidRPr="008D2CC5">
        <w:rPr>
          <w:lang w:val="fr-FR"/>
        </w:rPr>
        <w:t>.</w:t>
      </w:r>
      <w:r w:rsidR="0000101D">
        <w:rPr>
          <w:lang w:val="fr-FR"/>
        </w:rPr>
        <w:t xml:space="preserve"> Des </w:t>
      </w:r>
      <w:r w:rsidR="008B06B8" w:rsidRPr="008D2CC5">
        <w:rPr>
          <w:lang w:val="fr-FR"/>
        </w:rPr>
        <w:t>activités de recherche et développement</w:t>
      </w:r>
      <w:r w:rsidR="00B2621D" w:rsidRPr="008D2CC5">
        <w:rPr>
          <w:lang w:val="fr-FR"/>
        </w:rPr>
        <w:t xml:space="preserve"> sont actuellement entreprises co</w:t>
      </w:r>
      <w:r w:rsidR="00462042">
        <w:rPr>
          <w:lang w:val="fr-FR"/>
        </w:rPr>
        <w:t xml:space="preserve">ncernant la </w:t>
      </w:r>
      <w:proofErr w:type="spellStart"/>
      <w:r w:rsidR="00462042">
        <w:rPr>
          <w:lang w:val="fr-FR"/>
        </w:rPr>
        <w:t>biodépollution</w:t>
      </w:r>
      <w:proofErr w:type="spellEnd"/>
      <w:r w:rsidR="00462042">
        <w:rPr>
          <w:lang w:val="fr-FR"/>
        </w:rPr>
        <w:t>, les </w:t>
      </w:r>
      <w:r w:rsidR="00B2621D" w:rsidRPr="008D2CC5">
        <w:rPr>
          <w:lang w:val="fr-FR"/>
        </w:rPr>
        <w:t xml:space="preserve">nanotechnologies ainsi que la mise au point de </w:t>
      </w:r>
      <w:proofErr w:type="spellStart"/>
      <w:r w:rsidR="00B2621D" w:rsidRPr="008D2CC5">
        <w:rPr>
          <w:lang w:val="fr-FR"/>
        </w:rPr>
        <w:t>sorbants</w:t>
      </w:r>
      <w:proofErr w:type="spellEnd"/>
      <w:r w:rsidR="00D31AFF" w:rsidRPr="008D2CC5">
        <w:rPr>
          <w:lang w:val="fr-FR"/>
        </w:rPr>
        <w:t xml:space="preserve"> (</w:t>
      </w:r>
      <w:proofErr w:type="spellStart"/>
      <w:r w:rsidR="00D31AFF" w:rsidRPr="008D2CC5">
        <w:rPr>
          <w:lang w:val="fr-FR"/>
        </w:rPr>
        <w:t>biosorb</w:t>
      </w:r>
      <w:r w:rsidR="00B2621D" w:rsidRPr="008D2CC5">
        <w:rPr>
          <w:lang w:val="fr-FR"/>
        </w:rPr>
        <w:t>a</w:t>
      </w:r>
      <w:r w:rsidR="00D31AFF" w:rsidRPr="008D2CC5">
        <w:rPr>
          <w:lang w:val="fr-FR"/>
        </w:rPr>
        <w:t>nt</w:t>
      </w:r>
      <w:r w:rsidR="003E521D" w:rsidRPr="008D2CC5">
        <w:rPr>
          <w:lang w:val="fr-FR"/>
        </w:rPr>
        <w:t>s</w:t>
      </w:r>
      <w:proofErr w:type="spellEnd"/>
      <w:r w:rsidR="00D31AFF" w:rsidRPr="008D2CC5">
        <w:rPr>
          <w:lang w:val="fr-FR"/>
        </w:rPr>
        <w:t xml:space="preserve">, </w:t>
      </w:r>
      <w:proofErr w:type="spellStart"/>
      <w:r w:rsidR="00D31AFF" w:rsidRPr="008D2CC5">
        <w:rPr>
          <w:lang w:val="fr-FR"/>
        </w:rPr>
        <w:t>sorb</w:t>
      </w:r>
      <w:r w:rsidR="00B2621D" w:rsidRPr="008D2CC5">
        <w:rPr>
          <w:lang w:val="fr-FR"/>
        </w:rPr>
        <w:t>a</w:t>
      </w:r>
      <w:r w:rsidR="00D31AFF" w:rsidRPr="008D2CC5">
        <w:rPr>
          <w:lang w:val="fr-FR"/>
        </w:rPr>
        <w:t>nt</w:t>
      </w:r>
      <w:r w:rsidR="003E521D" w:rsidRPr="008D2CC5">
        <w:rPr>
          <w:lang w:val="fr-FR"/>
        </w:rPr>
        <w:t>s</w:t>
      </w:r>
      <w:proofErr w:type="spellEnd"/>
      <w:r w:rsidR="00D31AFF" w:rsidRPr="008D2CC5">
        <w:rPr>
          <w:lang w:val="fr-FR"/>
        </w:rPr>
        <w:t xml:space="preserve"> </w:t>
      </w:r>
      <w:r w:rsidR="00B2621D" w:rsidRPr="008D2CC5">
        <w:rPr>
          <w:lang w:val="fr-FR"/>
        </w:rPr>
        <w:t>permettant</w:t>
      </w:r>
      <w:r w:rsidR="00D31AFF" w:rsidRPr="008D2CC5">
        <w:rPr>
          <w:lang w:val="fr-FR"/>
        </w:rPr>
        <w:t xml:space="preserve"> </w:t>
      </w:r>
      <w:r w:rsidR="00B2621D" w:rsidRPr="008D2CC5">
        <w:rPr>
          <w:lang w:val="fr-FR"/>
        </w:rPr>
        <w:t>l</w:t>
      </w:r>
      <w:r w:rsidR="000409D6" w:rsidRPr="008D2CC5">
        <w:rPr>
          <w:lang w:val="fr-FR"/>
        </w:rPr>
        <w:t>’</w:t>
      </w:r>
      <w:r w:rsidR="00D31AFF" w:rsidRPr="008D2CC5">
        <w:rPr>
          <w:lang w:val="fr-FR"/>
        </w:rPr>
        <w:t xml:space="preserve">adsorption </w:t>
      </w:r>
      <w:r w:rsidR="00B2621D" w:rsidRPr="008D2CC5">
        <w:rPr>
          <w:lang w:val="fr-FR"/>
        </w:rPr>
        <w:t>du mercure organique et inorgani</w:t>
      </w:r>
      <w:r w:rsidR="00AD2971" w:rsidRPr="008D2CC5">
        <w:rPr>
          <w:lang w:val="fr-FR"/>
        </w:rPr>
        <w:t>q</w:t>
      </w:r>
      <w:r w:rsidR="00B2621D" w:rsidRPr="008D2CC5">
        <w:rPr>
          <w:lang w:val="fr-FR"/>
        </w:rPr>
        <w:t>ue</w:t>
      </w:r>
      <w:r w:rsidR="00D31AFF" w:rsidRPr="008D2CC5">
        <w:rPr>
          <w:lang w:val="fr-FR"/>
        </w:rPr>
        <w:t xml:space="preserve">) </w:t>
      </w:r>
      <w:r w:rsidR="00B2621D" w:rsidRPr="008D2CC5">
        <w:rPr>
          <w:lang w:val="fr-FR"/>
        </w:rPr>
        <w:t xml:space="preserve">et de procédés de </w:t>
      </w:r>
      <w:r w:rsidR="00D31AFF" w:rsidRPr="008D2CC5">
        <w:rPr>
          <w:lang w:val="fr-FR"/>
        </w:rPr>
        <w:t>coagulation/floculation (</w:t>
      </w:r>
      <w:proofErr w:type="spellStart"/>
      <w:r w:rsidR="00D31AFF" w:rsidRPr="008D2CC5">
        <w:rPr>
          <w:lang w:val="fr-FR"/>
        </w:rPr>
        <w:t>Merly</w:t>
      </w:r>
      <w:proofErr w:type="spellEnd"/>
      <w:r w:rsidR="00146856" w:rsidRPr="008D2CC5">
        <w:rPr>
          <w:lang w:val="fr-FR"/>
        </w:rPr>
        <w:t> </w:t>
      </w:r>
      <w:r w:rsidR="00D31AFF" w:rsidRPr="008D2CC5">
        <w:rPr>
          <w:lang w:val="fr-FR"/>
        </w:rPr>
        <w:t>and</w:t>
      </w:r>
      <w:r w:rsidR="00146856" w:rsidRPr="008D2CC5">
        <w:rPr>
          <w:lang w:val="fr-FR"/>
        </w:rPr>
        <w:t> </w:t>
      </w:r>
      <w:proofErr w:type="spellStart"/>
      <w:r w:rsidR="00D31AFF" w:rsidRPr="008D2CC5">
        <w:rPr>
          <w:lang w:val="fr-FR"/>
        </w:rPr>
        <w:t>Hube</w:t>
      </w:r>
      <w:proofErr w:type="spellEnd"/>
      <w:r w:rsidR="00D31AFF" w:rsidRPr="008D2CC5">
        <w:rPr>
          <w:lang w:val="fr-FR"/>
        </w:rPr>
        <w:t>,</w:t>
      </w:r>
      <w:r w:rsidR="00146856" w:rsidRPr="008D2CC5">
        <w:rPr>
          <w:lang w:val="fr-FR"/>
        </w:rPr>
        <w:t> </w:t>
      </w:r>
      <w:r w:rsidR="00D31AFF" w:rsidRPr="008D2CC5">
        <w:rPr>
          <w:lang w:val="fr-FR"/>
        </w:rPr>
        <w:t>2014).</w:t>
      </w:r>
    </w:p>
    <w:p w14:paraId="62BFFFA8" w14:textId="1A348B71" w:rsidR="00D31AFF" w:rsidRPr="008D2CC5" w:rsidRDefault="00D31AFF" w:rsidP="00F93F76">
      <w:pPr>
        <w:pStyle w:val="CH3"/>
        <w:rPr>
          <w:lang w:val="fr-FR"/>
        </w:rPr>
      </w:pPr>
      <w:r w:rsidRPr="008D2CC5">
        <w:rPr>
          <w:lang w:val="fr-FR"/>
        </w:rPr>
        <w:tab/>
      </w:r>
      <w:r w:rsidR="00152CD3" w:rsidRPr="008D2CC5">
        <w:rPr>
          <w:lang w:val="fr-FR"/>
        </w:rPr>
        <w:t>6.</w:t>
      </w:r>
      <w:r w:rsidRPr="008D2CC5">
        <w:rPr>
          <w:lang w:val="fr-FR"/>
        </w:rPr>
        <w:tab/>
      </w:r>
      <w:r w:rsidR="00AD2971" w:rsidRPr="008D2CC5">
        <w:rPr>
          <w:lang w:val="fr-FR"/>
        </w:rPr>
        <w:t>Techniques de traitement des sédiments</w:t>
      </w:r>
    </w:p>
    <w:p w14:paraId="7ABFC24B" w14:textId="6556A982" w:rsidR="00D31AFF" w:rsidRPr="008D2CC5" w:rsidRDefault="008D2CC5" w:rsidP="006D69D3">
      <w:pPr>
        <w:pStyle w:val="Normalnumber"/>
        <w:rPr>
          <w:lang w:val="fr-FR"/>
        </w:rPr>
      </w:pPr>
      <w:r>
        <w:rPr>
          <w:lang w:val="fr-FR"/>
        </w:rPr>
        <w:t>Si</w:t>
      </w:r>
      <w:r w:rsidR="00AD2971" w:rsidRPr="008D2CC5">
        <w:rPr>
          <w:lang w:val="fr-FR"/>
        </w:rPr>
        <w:t xml:space="preserve"> les sédiments de fond sont contaminés par du mercure, l</w:t>
      </w:r>
      <w:r w:rsidR="000409D6" w:rsidRPr="008D2CC5">
        <w:rPr>
          <w:lang w:val="fr-FR"/>
        </w:rPr>
        <w:t>’</w:t>
      </w:r>
      <w:r w:rsidR="00AD2971" w:rsidRPr="008D2CC5">
        <w:rPr>
          <w:lang w:val="fr-FR"/>
        </w:rPr>
        <w:t>excavation, le recouvrement</w:t>
      </w:r>
      <w:r w:rsidR="0059533A" w:rsidRPr="008D2CC5">
        <w:rPr>
          <w:lang w:val="fr-FR"/>
        </w:rPr>
        <w:t xml:space="preserve"> ou </w:t>
      </w:r>
      <w:r w:rsidR="0000101D">
        <w:rPr>
          <w:lang w:val="fr-FR"/>
        </w:rPr>
        <w:t>la </w:t>
      </w:r>
      <w:r w:rsidR="00B843EF" w:rsidRPr="008D2CC5">
        <w:rPr>
          <w:lang w:val="fr-FR"/>
        </w:rPr>
        <w:t>limitation</w:t>
      </w:r>
      <w:r w:rsidR="0059533A" w:rsidRPr="008D2CC5">
        <w:rPr>
          <w:lang w:val="fr-FR"/>
        </w:rPr>
        <w:t xml:space="preserve"> des rejets de </w:t>
      </w:r>
      <w:proofErr w:type="spellStart"/>
      <w:r w:rsidR="0059533A" w:rsidRPr="008D2CC5">
        <w:rPr>
          <w:lang w:val="fr-FR"/>
        </w:rPr>
        <w:t>méthylmercure</w:t>
      </w:r>
      <w:proofErr w:type="spellEnd"/>
      <w:r w:rsidR="0059533A" w:rsidRPr="008D2CC5">
        <w:rPr>
          <w:lang w:val="fr-FR"/>
        </w:rPr>
        <w:t>, notamment</w:t>
      </w:r>
      <w:r w:rsidR="00AD2971" w:rsidRPr="008D2CC5">
        <w:rPr>
          <w:lang w:val="fr-FR"/>
        </w:rPr>
        <w:t xml:space="preserve"> </w:t>
      </w:r>
      <w:r w:rsidR="0059533A" w:rsidRPr="008D2CC5">
        <w:rPr>
          <w:lang w:val="fr-FR"/>
        </w:rPr>
        <w:t>par l</w:t>
      </w:r>
      <w:r w:rsidR="000409D6" w:rsidRPr="008D2CC5">
        <w:rPr>
          <w:lang w:val="fr-FR"/>
        </w:rPr>
        <w:t>’</w:t>
      </w:r>
      <w:r w:rsidR="0059533A" w:rsidRPr="008D2CC5">
        <w:rPr>
          <w:lang w:val="fr-FR"/>
        </w:rPr>
        <w:t>ajout de nitrates</w:t>
      </w:r>
      <w:r w:rsidR="00AD2971" w:rsidRPr="008D2CC5">
        <w:rPr>
          <w:lang w:val="fr-FR"/>
        </w:rPr>
        <w:t xml:space="preserve"> </w:t>
      </w:r>
      <w:r w:rsidR="00FE1916" w:rsidRPr="008D2CC5">
        <w:rPr>
          <w:lang w:val="fr-FR"/>
        </w:rPr>
        <w:t>(</w:t>
      </w:r>
      <w:proofErr w:type="spellStart"/>
      <w:r w:rsidR="00FE1916" w:rsidRPr="008D2CC5">
        <w:rPr>
          <w:lang w:val="fr-FR"/>
        </w:rPr>
        <w:t>Todorova</w:t>
      </w:r>
      <w:proofErr w:type="spellEnd"/>
      <w:r w:rsidR="00FE1916" w:rsidRPr="008D2CC5">
        <w:rPr>
          <w:lang w:val="fr-FR"/>
        </w:rPr>
        <w:t xml:space="preserve"> </w:t>
      </w:r>
      <w:r w:rsidR="00E66DF9" w:rsidRPr="008D2CC5">
        <w:rPr>
          <w:i/>
          <w:iCs/>
          <w:lang w:val="fr-FR"/>
        </w:rPr>
        <w:t>et al.</w:t>
      </w:r>
      <w:r w:rsidR="00FE1916" w:rsidRPr="008D2CC5">
        <w:rPr>
          <w:lang w:val="fr-FR"/>
        </w:rPr>
        <w:t>, 2009</w:t>
      </w:r>
      <w:r w:rsidR="000409D6" w:rsidRPr="008D2CC5">
        <w:rPr>
          <w:lang w:val="fr-FR"/>
        </w:rPr>
        <w:t> ;</w:t>
      </w:r>
      <w:r w:rsidR="00FE1916" w:rsidRPr="008D2CC5">
        <w:rPr>
          <w:lang w:val="fr-FR"/>
        </w:rPr>
        <w:t xml:space="preserve"> Matthews </w:t>
      </w:r>
      <w:r w:rsidR="00B843EF" w:rsidRPr="008D2CC5">
        <w:rPr>
          <w:i/>
          <w:iCs/>
          <w:lang w:val="fr-FR"/>
        </w:rPr>
        <w:t>et al.</w:t>
      </w:r>
      <w:r w:rsidR="00FE1916" w:rsidRPr="008D2CC5">
        <w:rPr>
          <w:lang w:val="fr-FR"/>
        </w:rPr>
        <w:t>, 2013)</w:t>
      </w:r>
      <w:r w:rsidR="00B843EF" w:rsidRPr="008D2CC5">
        <w:rPr>
          <w:lang w:val="fr-FR"/>
        </w:rPr>
        <w:t>, peuvent constituer des traitements adaptés</w:t>
      </w:r>
      <w:r w:rsidR="00FE1916" w:rsidRPr="008D2CC5">
        <w:rPr>
          <w:lang w:val="fr-FR"/>
        </w:rPr>
        <w:t>.</w:t>
      </w:r>
      <w:r w:rsidR="00D31AFF" w:rsidRPr="008D2CC5">
        <w:rPr>
          <w:lang w:val="fr-FR"/>
        </w:rPr>
        <w:t xml:space="preserve"> </w:t>
      </w:r>
      <w:r w:rsidR="00B843EF" w:rsidRPr="008D2CC5">
        <w:rPr>
          <w:lang w:val="fr-FR"/>
        </w:rPr>
        <w:t>Des orientations générales</w:t>
      </w:r>
      <w:r w:rsidR="006F2092" w:rsidRPr="008D2CC5">
        <w:rPr>
          <w:lang w:val="fr-FR"/>
        </w:rPr>
        <w:t xml:space="preserve"> </w:t>
      </w:r>
      <w:r w:rsidR="00B843EF" w:rsidRPr="008D2CC5">
        <w:rPr>
          <w:lang w:val="fr-FR"/>
        </w:rPr>
        <w:t>sur la décontamination des sédiments</w:t>
      </w:r>
      <w:r w:rsidR="00A6051F" w:rsidRPr="008D2CC5">
        <w:rPr>
          <w:lang w:val="fr-FR"/>
        </w:rPr>
        <w:t xml:space="preserve"> sont proposées par</w:t>
      </w:r>
      <w:r w:rsidR="00B843EF" w:rsidRPr="008D2CC5">
        <w:rPr>
          <w:lang w:val="fr-FR"/>
        </w:rPr>
        <w:t xml:space="preserve"> </w:t>
      </w:r>
      <w:r w:rsidR="00A6051F" w:rsidRPr="008D2CC5">
        <w:rPr>
          <w:lang w:val="fr-FR"/>
        </w:rPr>
        <w:t>l</w:t>
      </w:r>
      <w:r w:rsidR="000409D6" w:rsidRPr="008D2CC5">
        <w:rPr>
          <w:lang w:val="fr-FR"/>
        </w:rPr>
        <w:t>’</w:t>
      </w:r>
      <w:r w:rsidR="000C34EA">
        <w:rPr>
          <w:lang w:val="fr-FR"/>
        </w:rPr>
        <w:t xml:space="preserve">agence américaine pour la protection de l’environnement </w:t>
      </w:r>
      <w:r w:rsidR="00BA5A16" w:rsidRPr="008D2CC5">
        <w:rPr>
          <w:lang w:val="fr-FR"/>
        </w:rPr>
        <w:t>(</w:t>
      </w:r>
      <w:r w:rsidR="006F2092" w:rsidRPr="008D2CC5">
        <w:rPr>
          <w:lang w:val="fr-FR"/>
        </w:rPr>
        <w:t>US</w:t>
      </w:r>
      <w:r w:rsidR="00BA5A16" w:rsidRPr="008D2CC5">
        <w:rPr>
          <w:lang w:val="fr-FR"/>
        </w:rPr>
        <w:t xml:space="preserve"> </w:t>
      </w:r>
      <w:r w:rsidR="006F2092" w:rsidRPr="008D2CC5">
        <w:rPr>
          <w:lang w:val="fr-FR"/>
        </w:rPr>
        <w:t>EPA</w:t>
      </w:r>
      <w:r w:rsidR="00BA5A16" w:rsidRPr="008D2CC5">
        <w:rPr>
          <w:lang w:val="fr-FR"/>
        </w:rPr>
        <w:t>)</w:t>
      </w:r>
      <w:r w:rsidR="006F2092" w:rsidRPr="008D2CC5">
        <w:rPr>
          <w:rStyle w:val="FootnoteReference"/>
          <w:lang w:val="fr-FR"/>
        </w:rPr>
        <w:footnoteReference w:id="13"/>
      </w:r>
      <w:r w:rsidR="00A6051F" w:rsidRPr="008D2CC5">
        <w:rPr>
          <w:lang w:val="fr-FR"/>
        </w:rPr>
        <w:t>. Le potentiel de rejets de mercure en raison de la perturbation des sédiments devrait être évalué et des mesures d</w:t>
      </w:r>
      <w:r w:rsidR="000409D6" w:rsidRPr="008D2CC5">
        <w:rPr>
          <w:lang w:val="fr-FR"/>
        </w:rPr>
        <w:t>’</w:t>
      </w:r>
      <w:r w:rsidR="00A6051F" w:rsidRPr="008D2CC5">
        <w:rPr>
          <w:lang w:val="fr-FR"/>
        </w:rPr>
        <w:t>atténuation prises afin de veiller à ce que ces rejets soient réduits au minimum et n</w:t>
      </w:r>
      <w:r w:rsidR="000409D6" w:rsidRPr="008D2CC5">
        <w:rPr>
          <w:lang w:val="fr-FR"/>
        </w:rPr>
        <w:t>’</w:t>
      </w:r>
      <w:r w:rsidR="00A6051F" w:rsidRPr="008D2CC5">
        <w:rPr>
          <w:lang w:val="fr-FR"/>
        </w:rPr>
        <w:t>entraînent pas une exposition inacceptable pour les récepteurs aquatiques</w:t>
      </w:r>
      <w:r w:rsidR="00D31AFF" w:rsidRPr="008D2CC5">
        <w:rPr>
          <w:lang w:val="fr-FR"/>
        </w:rPr>
        <w:t>.</w:t>
      </w:r>
    </w:p>
    <w:p w14:paraId="298DB786" w14:textId="2549A7C8" w:rsidR="00D31AFF" w:rsidRPr="008D2CC5" w:rsidRDefault="00A6051F" w:rsidP="006D69D3">
      <w:pPr>
        <w:pStyle w:val="Normalnumber"/>
        <w:rPr>
          <w:lang w:val="fr-FR"/>
        </w:rPr>
      </w:pPr>
      <w:r w:rsidRPr="008D2CC5">
        <w:rPr>
          <w:lang w:val="fr-FR"/>
        </w:rPr>
        <w:t>En cas d</w:t>
      </w:r>
      <w:r w:rsidR="000409D6" w:rsidRPr="008D2CC5">
        <w:rPr>
          <w:lang w:val="fr-FR"/>
        </w:rPr>
        <w:t>’</w:t>
      </w:r>
      <w:r w:rsidR="00D31AFF" w:rsidRPr="008D2CC5">
        <w:rPr>
          <w:lang w:val="fr-FR"/>
        </w:rPr>
        <w:t xml:space="preserve">excavation, </w:t>
      </w:r>
      <w:r w:rsidR="00514669" w:rsidRPr="008D2CC5">
        <w:rPr>
          <w:lang w:val="fr-FR"/>
        </w:rPr>
        <w:t>des techniques connues comme étant efficaces pour les sols peuvent être utilisées pour les sédiments</w:t>
      </w:r>
      <w:r w:rsidR="00D31AFF" w:rsidRPr="008D2CC5">
        <w:rPr>
          <w:lang w:val="fr-FR"/>
        </w:rPr>
        <w:t xml:space="preserve">. </w:t>
      </w:r>
      <w:r w:rsidR="004B198F" w:rsidRPr="008D2CC5">
        <w:rPr>
          <w:lang w:val="fr-FR"/>
        </w:rPr>
        <w:t>Les principaux obstacles à l</w:t>
      </w:r>
      <w:r w:rsidR="000409D6" w:rsidRPr="008D2CC5">
        <w:rPr>
          <w:lang w:val="fr-FR"/>
        </w:rPr>
        <w:t>’</w:t>
      </w:r>
      <w:r w:rsidR="004B198F" w:rsidRPr="008D2CC5">
        <w:rPr>
          <w:lang w:val="fr-FR"/>
        </w:rPr>
        <w:t>efficacité seraient l</w:t>
      </w:r>
      <w:r w:rsidR="000409D6" w:rsidRPr="008D2CC5">
        <w:rPr>
          <w:lang w:val="fr-FR"/>
        </w:rPr>
        <w:t>’</w:t>
      </w:r>
      <w:r w:rsidR="004B198F" w:rsidRPr="008D2CC5">
        <w:rPr>
          <w:lang w:val="fr-FR"/>
        </w:rPr>
        <w:t>eau et les</w:t>
      </w:r>
      <w:r w:rsidR="00BA5A16" w:rsidRPr="008D2CC5">
        <w:rPr>
          <w:lang w:val="fr-FR"/>
        </w:rPr>
        <w:t xml:space="preserve"> </w:t>
      </w:r>
      <w:r w:rsidR="004B198F" w:rsidRPr="008D2CC5">
        <w:rPr>
          <w:lang w:val="fr-FR"/>
        </w:rPr>
        <w:t>matières organiques ainsi qu</w:t>
      </w:r>
      <w:r w:rsidR="000409D6" w:rsidRPr="008D2CC5">
        <w:rPr>
          <w:lang w:val="fr-FR"/>
        </w:rPr>
        <w:t>’</w:t>
      </w:r>
      <w:r w:rsidR="004B198F" w:rsidRPr="008D2CC5">
        <w:rPr>
          <w:lang w:val="fr-FR"/>
        </w:rPr>
        <w:t>une teneur élevée en sel dans le cas des sédiments marins</w:t>
      </w:r>
      <w:r w:rsidR="00D31AFF" w:rsidRPr="008D2CC5">
        <w:rPr>
          <w:lang w:val="fr-FR"/>
        </w:rPr>
        <w:t>.</w:t>
      </w:r>
    </w:p>
    <w:p w14:paraId="3CC66852" w14:textId="60813488" w:rsidR="00D31AFF" w:rsidRPr="008D2CC5" w:rsidRDefault="00D31AFF" w:rsidP="00F93F76">
      <w:pPr>
        <w:pStyle w:val="CH3"/>
        <w:rPr>
          <w:lang w:val="fr-FR"/>
        </w:rPr>
      </w:pPr>
      <w:r w:rsidRPr="008D2CC5">
        <w:rPr>
          <w:lang w:val="fr-FR"/>
        </w:rPr>
        <w:lastRenderedPageBreak/>
        <w:tab/>
      </w:r>
      <w:bookmarkStart w:id="19" w:name="_Toc15920552"/>
      <w:r w:rsidR="00152CD3" w:rsidRPr="008D2CC5">
        <w:rPr>
          <w:lang w:val="fr-FR"/>
        </w:rPr>
        <w:t>7.</w:t>
      </w:r>
      <w:r w:rsidRPr="008D2CC5">
        <w:rPr>
          <w:lang w:val="fr-FR"/>
        </w:rPr>
        <w:tab/>
      </w:r>
      <w:bookmarkEnd w:id="19"/>
      <w:r w:rsidR="002F1DA2" w:rsidRPr="008D2CC5">
        <w:rPr>
          <w:lang w:val="fr-FR"/>
        </w:rPr>
        <w:t>Solutions pour la gestion des risques propres aux s</w:t>
      </w:r>
      <w:r w:rsidR="004B198F" w:rsidRPr="008D2CC5">
        <w:rPr>
          <w:lang w:val="fr-FR"/>
        </w:rPr>
        <w:t>ites d</w:t>
      </w:r>
      <w:r w:rsidR="000409D6" w:rsidRPr="008D2CC5">
        <w:rPr>
          <w:lang w:val="fr-FR"/>
        </w:rPr>
        <w:t>’</w:t>
      </w:r>
      <w:r w:rsidR="004B198F" w:rsidRPr="008D2CC5">
        <w:rPr>
          <w:lang w:val="fr-FR"/>
        </w:rPr>
        <w:t>ext</w:t>
      </w:r>
      <w:r w:rsidR="008452C5">
        <w:rPr>
          <w:lang w:val="fr-FR"/>
        </w:rPr>
        <w:t>raction minière artisanale et à </w:t>
      </w:r>
      <w:r w:rsidR="004B198F" w:rsidRPr="008D2CC5">
        <w:rPr>
          <w:lang w:val="fr-FR"/>
        </w:rPr>
        <w:t>petite échelle d</w:t>
      </w:r>
      <w:r w:rsidR="000409D6" w:rsidRPr="008D2CC5">
        <w:rPr>
          <w:lang w:val="fr-FR"/>
        </w:rPr>
        <w:t>’</w:t>
      </w:r>
      <w:r w:rsidR="004B198F" w:rsidRPr="008D2CC5">
        <w:rPr>
          <w:lang w:val="fr-FR"/>
        </w:rPr>
        <w:t>or</w:t>
      </w:r>
      <w:r w:rsidR="002F1DA2" w:rsidRPr="008D2CC5">
        <w:rPr>
          <w:lang w:val="fr-FR"/>
        </w:rPr>
        <w:t xml:space="preserve"> </w:t>
      </w:r>
      <w:proofErr w:type="spellStart"/>
      <w:r w:rsidR="002F1DA2" w:rsidRPr="008D2CC5">
        <w:rPr>
          <w:lang w:val="fr-FR"/>
        </w:rPr>
        <w:t>où</w:t>
      </w:r>
      <w:proofErr w:type="spellEnd"/>
      <w:r w:rsidR="002F1DA2" w:rsidRPr="008D2CC5">
        <w:rPr>
          <w:lang w:val="fr-FR"/>
        </w:rPr>
        <w:t xml:space="preserve"> du mercure a été utilisé</w:t>
      </w:r>
    </w:p>
    <w:p w14:paraId="7858F90C" w14:textId="51BCD946" w:rsidR="00D31AFF" w:rsidRPr="008D2CC5" w:rsidRDefault="004B198F" w:rsidP="006D69D3">
      <w:pPr>
        <w:pStyle w:val="Normalnumber"/>
        <w:rPr>
          <w:lang w:val="fr-FR"/>
        </w:rPr>
      </w:pPr>
      <w:r w:rsidRPr="008D2CC5">
        <w:rPr>
          <w:lang w:val="fr-FR"/>
        </w:rPr>
        <w:t>L</w:t>
      </w:r>
      <w:r w:rsidR="002F63BB" w:rsidRPr="008D2CC5">
        <w:rPr>
          <w:lang w:val="fr-FR"/>
        </w:rPr>
        <w:t>a gestion et la remise en état d</w:t>
      </w:r>
      <w:r w:rsidRPr="008D2CC5">
        <w:rPr>
          <w:lang w:val="fr-FR"/>
        </w:rPr>
        <w:t xml:space="preserve">es sites </w:t>
      </w:r>
      <w:r w:rsidR="002F63BB" w:rsidRPr="008D2CC5">
        <w:rPr>
          <w:lang w:val="fr-FR"/>
        </w:rPr>
        <w:t>contaminés par du mercure en raison d</w:t>
      </w:r>
      <w:r w:rsidR="000409D6" w:rsidRPr="008D2CC5">
        <w:rPr>
          <w:lang w:val="fr-FR"/>
        </w:rPr>
        <w:t>’</w:t>
      </w:r>
      <w:r w:rsidR="002F63BB" w:rsidRPr="008D2CC5">
        <w:rPr>
          <w:lang w:val="fr-FR"/>
        </w:rPr>
        <w:t xml:space="preserve">acticités </w:t>
      </w:r>
      <w:r w:rsidRPr="008D2CC5">
        <w:rPr>
          <w:lang w:val="fr-FR"/>
        </w:rPr>
        <w:t>d</w:t>
      </w:r>
      <w:r w:rsidR="000409D6" w:rsidRPr="008D2CC5">
        <w:rPr>
          <w:lang w:val="fr-FR"/>
        </w:rPr>
        <w:t>’</w:t>
      </w:r>
      <w:r w:rsidRPr="008D2CC5">
        <w:rPr>
          <w:lang w:val="fr-FR"/>
        </w:rPr>
        <w:t>extraction minière artisanale et à petite échelle d</w:t>
      </w:r>
      <w:r w:rsidR="000409D6" w:rsidRPr="008D2CC5">
        <w:rPr>
          <w:lang w:val="fr-FR"/>
        </w:rPr>
        <w:t>’</w:t>
      </w:r>
      <w:r w:rsidRPr="008D2CC5">
        <w:rPr>
          <w:lang w:val="fr-FR"/>
        </w:rPr>
        <w:t>or</w:t>
      </w:r>
      <w:r w:rsidR="002F63BB" w:rsidRPr="008D2CC5">
        <w:rPr>
          <w:lang w:val="fr-FR"/>
        </w:rPr>
        <w:t xml:space="preserve"> présentent une difficulté </w:t>
      </w:r>
      <w:r w:rsidR="009C2339">
        <w:rPr>
          <w:lang w:val="fr-FR"/>
        </w:rPr>
        <w:t>particulière</w:t>
      </w:r>
      <w:r w:rsidR="00462042">
        <w:rPr>
          <w:lang w:val="fr-FR"/>
        </w:rPr>
        <w:t>, étant </w:t>
      </w:r>
      <w:r w:rsidRPr="008D2CC5">
        <w:rPr>
          <w:lang w:val="fr-FR"/>
        </w:rPr>
        <w:t>donné qu</w:t>
      </w:r>
      <w:r w:rsidR="00E80C2A" w:rsidRPr="008D2CC5">
        <w:rPr>
          <w:lang w:val="fr-FR"/>
        </w:rPr>
        <w:t>e</w:t>
      </w:r>
      <w:r w:rsidR="007772D7">
        <w:rPr>
          <w:lang w:val="fr-FR"/>
        </w:rPr>
        <w:t xml:space="preserve"> nombre de</w:t>
      </w:r>
      <w:r w:rsidRPr="008D2CC5">
        <w:rPr>
          <w:lang w:val="fr-FR"/>
        </w:rPr>
        <w:t xml:space="preserve"> ces sites peuvent </w:t>
      </w:r>
      <w:r w:rsidR="00562EA9" w:rsidRPr="008D2CC5">
        <w:rPr>
          <w:lang w:val="fr-FR"/>
        </w:rPr>
        <w:t xml:space="preserve">héberger des établissements occupés, ce qui limite les </w:t>
      </w:r>
      <w:r w:rsidR="008B5118">
        <w:rPr>
          <w:lang w:val="fr-FR"/>
        </w:rPr>
        <w:t>possibilités</w:t>
      </w:r>
      <w:r w:rsidR="00562EA9" w:rsidRPr="008D2CC5">
        <w:rPr>
          <w:lang w:val="fr-FR"/>
        </w:rPr>
        <w:t xml:space="preserve"> de gestion et de remise en état</w:t>
      </w:r>
      <w:r w:rsidR="00D31AFF" w:rsidRPr="008D2CC5">
        <w:rPr>
          <w:lang w:val="fr-FR"/>
        </w:rPr>
        <w:t>.</w:t>
      </w:r>
      <w:r w:rsidR="00562EA9" w:rsidRPr="008D2CC5">
        <w:rPr>
          <w:lang w:val="fr-FR"/>
        </w:rPr>
        <w:t xml:space="preserve"> Certains nouveaux sites d</w:t>
      </w:r>
      <w:r w:rsidR="000409D6" w:rsidRPr="008D2CC5">
        <w:rPr>
          <w:lang w:val="fr-FR"/>
        </w:rPr>
        <w:t>’</w:t>
      </w:r>
      <w:r w:rsidR="00562EA9" w:rsidRPr="008D2CC5">
        <w:rPr>
          <w:lang w:val="fr-FR"/>
        </w:rPr>
        <w:t>extraction minière artisanale et à petite échelle d</w:t>
      </w:r>
      <w:r w:rsidR="000409D6" w:rsidRPr="008D2CC5">
        <w:rPr>
          <w:lang w:val="fr-FR"/>
        </w:rPr>
        <w:t>’</w:t>
      </w:r>
      <w:r w:rsidR="00562EA9" w:rsidRPr="008D2CC5">
        <w:rPr>
          <w:lang w:val="fr-FR"/>
        </w:rPr>
        <w:t>or ne sont occupés que pour une courte période en raison d</w:t>
      </w:r>
      <w:r w:rsidR="000409D6" w:rsidRPr="008D2CC5">
        <w:rPr>
          <w:lang w:val="fr-FR"/>
        </w:rPr>
        <w:t>’</w:t>
      </w:r>
      <w:r w:rsidR="00562EA9" w:rsidRPr="008D2CC5">
        <w:rPr>
          <w:lang w:val="fr-FR"/>
        </w:rPr>
        <w:t>un phénomène de « ruée vers l</w:t>
      </w:r>
      <w:r w:rsidR="000409D6" w:rsidRPr="008D2CC5">
        <w:rPr>
          <w:lang w:val="fr-FR"/>
        </w:rPr>
        <w:t>’</w:t>
      </w:r>
      <w:r w:rsidR="00562EA9" w:rsidRPr="008D2CC5">
        <w:rPr>
          <w:lang w:val="fr-FR"/>
        </w:rPr>
        <w:t>or » et sont abandonnés une fois le</w:t>
      </w:r>
      <w:r w:rsidR="00D31AFF" w:rsidRPr="008D2CC5">
        <w:rPr>
          <w:lang w:val="fr-FR"/>
        </w:rPr>
        <w:t xml:space="preserve"> </w:t>
      </w:r>
      <w:r w:rsidR="00562EA9" w:rsidRPr="008D2CC5">
        <w:rPr>
          <w:lang w:val="fr-FR"/>
        </w:rPr>
        <w:t>gisement épuisé</w:t>
      </w:r>
      <w:r w:rsidR="00D31AFF" w:rsidRPr="008D2CC5">
        <w:rPr>
          <w:lang w:val="fr-FR"/>
        </w:rPr>
        <w:t>.</w:t>
      </w:r>
      <w:r w:rsidR="00562EA9" w:rsidRPr="008D2CC5">
        <w:rPr>
          <w:lang w:val="fr-FR"/>
        </w:rPr>
        <w:t xml:space="preserve"> D</w:t>
      </w:r>
      <w:r w:rsidR="000409D6" w:rsidRPr="008D2CC5">
        <w:rPr>
          <w:lang w:val="fr-FR"/>
        </w:rPr>
        <w:t>’</w:t>
      </w:r>
      <w:r w:rsidR="00562EA9" w:rsidRPr="008D2CC5">
        <w:rPr>
          <w:lang w:val="fr-FR"/>
        </w:rPr>
        <w:t xml:space="preserve">autres sites peuvent se caractériser par </w:t>
      </w:r>
      <w:r w:rsidR="00F92B75">
        <w:rPr>
          <w:lang w:val="fr-FR"/>
        </w:rPr>
        <w:t>la présence</w:t>
      </w:r>
      <w:r w:rsidR="00562EA9" w:rsidRPr="008D2CC5">
        <w:rPr>
          <w:lang w:val="fr-FR"/>
        </w:rPr>
        <w:t xml:space="preserve"> à long terme de groupes </w:t>
      </w:r>
      <w:r w:rsidR="00F92B75">
        <w:rPr>
          <w:lang w:val="fr-FR"/>
        </w:rPr>
        <w:t xml:space="preserve">d’occupants </w:t>
      </w:r>
      <w:r w:rsidR="00562EA9" w:rsidRPr="008D2CC5">
        <w:rPr>
          <w:lang w:val="fr-FR"/>
        </w:rPr>
        <w:t xml:space="preserve">qui exploitent un gisement depuis des générations comme </w:t>
      </w:r>
      <w:r w:rsidR="00730266" w:rsidRPr="008D2CC5">
        <w:rPr>
          <w:lang w:val="fr-FR"/>
        </w:rPr>
        <w:t>complément</w:t>
      </w:r>
      <w:r w:rsidR="00562EA9" w:rsidRPr="008D2CC5">
        <w:rPr>
          <w:lang w:val="fr-FR"/>
        </w:rPr>
        <w:t xml:space="preserve"> économique à des activités agricoles ou autres</w:t>
      </w:r>
      <w:r w:rsidR="00D31AFF" w:rsidRPr="008D2CC5">
        <w:rPr>
          <w:lang w:val="fr-FR"/>
        </w:rPr>
        <w:t>.</w:t>
      </w:r>
      <w:r w:rsidR="00562EA9" w:rsidRPr="008D2CC5">
        <w:rPr>
          <w:lang w:val="fr-FR"/>
        </w:rPr>
        <w:t xml:space="preserve"> Dans certains cas, l</w:t>
      </w:r>
      <w:r w:rsidR="000409D6" w:rsidRPr="008D2CC5">
        <w:rPr>
          <w:lang w:val="fr-FR"/>
        </w:rPr>
        <w:t>’</w:t>
      </w:r>
      <w:r w:rsidR="00562EA9" w:rsidRPr="008D2CC5">
        <w:rPr>
          <w:lang w:val="fr-FR"/>
        </w:rPr>
        <w:t>utilisation du mercure pour</w:t>
      </w:r>
      <w:r w:rsidR="00D31AFF" w:rsidRPr="008D2CC5">
        <w:rPr>
          <w:lang w:val="fr-FR"/>
        </w:rPr>
        <w:t xml:space="preserve"> </w:t>
      </w:r>
      <w:r w:rsidR="00955AEC" w:rsidRPr="008D2CC5">
        <w:rPr>
          <w:lang w:val="fr-FR"/>
        </w:rPr>
        <w:t>l</w:t>
      </w:r>
      <w:r w:rsidR="000409D6" w:rsidRPr="008D2CC5">
        <w:rPr>
          <w:lang w:val="fr-FR"/>
        </w:rPr>
        <w:t>’</w:t>
      </w:r>
      <w:r w:rsidR="00955AEC" w:rsidRPr="008D2CC5">
        <w:rPr>
          <w:lang w:val="fr-FR"/>
        </w:rPr>
        <w:t>extraction minière artisanale et à petite échelle d</w:t>
      </w:r>
      <w:r w:rsidR="000409D6" w:rsidRPr="008D2CC5">
        <w:rPr>
          <w:lang w:val="fr-FR"/>
        </w:rPr>
        <w:t>’</w:t>
      </w:r>
      <w:r w:rsidR="00955AEC" w:rsidRPr="008D2CC5">
        <w:rPr>
          <w:lang w:val="fr-FR"/>
        </w:rPr>
        <w:t xml:space="preserve">or est répartie entre le site minier et des établissements permanents situés à proximité, où </w:t>
      </w:r>
      <w:r w:rsidR="00F92B75">
        <w:rPr>
          <w:lang w:val="fr-FR"/>
        </w:rPr>
        <w:t>d</w:t>
      </w:r>
      <w:r w:rsidR="00955AEC" w:rsidRPr="008D2CC5">
        <w:rPr>
          <w:lang w:val="fr-FR"/>
        </w:rPr>
        <w:t>es broyeurs à boulets et d</w:t>
      </w:r>
      <w:r w:rsidR="000409D6" w:rsidRPr="008D2CC5">
        <w:rPr>
          <w:lang w:val="fr-FR"/>
        </w:rPr>
        <w:t>’</w:t>
      </w:r>
      <w:r w:rsidR="00955AEC" w:rsidRPr="008D2CC5">
        <w:rPr>
          <w:lang w:val="fr-FR"/>
        </w:rPr>
        <w:t>autres équipements extraient davantage d</w:t>
      </w:r>
      <w:r w:rsidR="000409D6" w:rsidRPr="008D2CC5">
        <w:rPr>
          <w:lang w:val="fr-FR"/>
        </w:rPr>
        <w:t>’</w:t>
      </w:r>
      <w:r w:rsidR="00955AEC" w:rsidRPr="008D2CC5">
        <w:rPr>
          <w:lang w:val="fr-FR"/>
        </w:rPr>
        <w:t xml:space="preserve">or </w:t>
      </w:r>
      <w:r w:rsidR="00F92B75">
        <w:rPr>
          <w:lang w:val="fr-FR"/>
        </w:rPr>
        <w:t xml:space="preserve">à partir </w:t>
      </w:r>
      <w:r w:rsidR="00955AEC" w:rsidRPr="008D2CC5">
        <w:rPr>
          <w:lang w:val="fr-FR"/>
        </w:rPr>
        <w:t>de minerais concentrés</w:t>
      </w:r>
      <w:r w:rsidR="00D31AFF" w:rsidRPr="008D2CC5">
        <w:rPr>
          <w:lang w:val="fr-FR"/>
        </w:rPr>
        <w:t xml:space="preserve">. </w:t>
      </w:r>
      <w:r w:rsidR="00955AEC" w:rsidRPr="008D2CC5">
        <w:rPr>
          <w:lang w:val="fr-FR"/>
        </w:rPr>
        <w:t>Dans de tels cas</w:t>
      </w:r>
      <w:r w:rsidR="00084334" w:rsidRPr="008D2CC5">
        <w:rPr>
          <w:lang w:val="fr-FR"/>
        </w:rPr>
        <w:t>,</w:t>
      </w:r>
      <w:r w:rsidR="00D31AFF" w:rsidRPr="008D2CC5">
        <w:rPr>
          <w:lang w:val="fr-FR"/>
        </w:rPr>
        <w:t xml:space="preserve"> </w:t>
      </w:r>
      <w:r w:rsidR="00955AEC" w:rsidRPr="008D2CC5">
        <w:rPr>
          <w:lang w:val="fr-FR"/>
        </w:rPr>
        <w:t>la</w:t>
      </w:r>
      <w:r w:rsidR="00D31AFF" w:rsidRPr="008D2CC5">
        <w:rPr>
          <w:lang w:val="fr-FR"/>
        </w:rPr>
        <w:t xml:space="preserve"> contamination</w:t>
      </w:r>
      <w:r w:rsidR="00955AEC" w:rsidRPr="008D2CC5">
        <w:rPr>
          <w:lang w:val="fr-FR"/>
        </w:rPr>
        <w:t xml:space="preserve"> au mercure peut se produire sur le site minier ainsi que dans les établissements associés, notamment les établissements résidentiels situés à une certaine distance du site</w:t>
      </w:r>
      <w:r w:rsidR="00D31AFF" w:rsidRPr="008D2CC5">
        <w:rPr>
          <w:lang w:val="fr-FR"/>
        </w:rPr>
        <w:t xml:space="preserve">. </w:t>
      </w:r>
    </w:p>
    <w:p w14:paraId="08572FF5" w14:textId="58F88D15" w:rsidR="00D31AFF" w:rsidRPr="008D2CC5" w:rsidRDefault="00D0007A" w:rsidP="006D69D3">
      <w:pPr>
        <w:pStyle w:val="Normalnumber"/>
        <w:rPr>
          <w:lang w:val="fr-FR"/>
        </w:rPr>
      </w:pPr>
      <w:r w:rsidRPr="008D2CC5">
        <w:rPr>
          <w:lang w:val="fr-FR"/>
        </w:rPr>
        <w:t>L</w:t>
      </w:r>
      <w:r w:rsidR="000409D6" w:rsidRPr="008D2CC5">
        <w:rPr>
          <w:lang w:val="fr-FR"/>
        </w:rPr>
        <w:t>’</w:t>
      </w:r>
      <w:r w:rsidR="00F92B75">
        <w:rPr>
          <w:lang w:val="fr-FR"/>
        </w:rPr>
        <w:t>i</w:t>
      </w:r>
      <w:r w:rsidR="00D31AFF" w:rsidRPr="008D2CC5">
        <w:rPr>
          <w:lang w:val="fr-FR"/>
        </w:rPr>
        <w:t xml:space="preserve">dentification </w:t>
      </w:r>
      <w:r w:rsidRPr="008D2CC5">
        <w:rPr>
          <w:lang w:val="fr-FR"/>
        </w:rPr>
        <w:t>des sites</w:t>
      </w:r>
      <w:r w:rsidR="00D31AFF" w:rsidRPr="008D2CC5">
        <w:rPr>
          <w:lang w:val="fr-FR"/>
        </w:rPr>
        <w:t xml:space="preserve"> </w:t>
      </w:r>
      <w:r w:rsidRPr="008D2CC5">
        <w:rPr>
          <w:lang w:val="fr-FR"/>
        </w:rPr>
        <w:t>d</w:t>
      </w:r>
      <w:r w:rsidR="000409D6" w:rsidRPr="008D2CC5">
        <w:rPr>
          <w:lang w:val="fr-FR"/>
        </w:rPr>
        <w:t>’</w:t>
      </w:r>
      <w:r w:rsidRPr="008D2CC5">
        <w:rPr>
          <w:lang w:val="fr-FR"/>
        </w:rPr>
        <w:t>extraction minière artisanale et à petite échelle d</w:t>
      </w:r>
      <w:r w:rsidR="000409D6" w:rsidRPr="008D2CC5">
        <w:rPr>
          <w:lang w:val="fr-FR"/>
        </w:rPr>
        <w:t>’</w:t>
      </w:r>
      <w:r w:rsidRPr="008D2CC5">
        <w:rPr>
          <w:lang w:val="fr-FR"/>
        </w:rPr>
        <w:t>or contaminés par du mercure peut suivre les mêmes procédures d</w:t>
      </w:r>
      <w:r w:rsidR="000409D6" w:rsidRPr="008D2CC5">
        <w:rPr>
          <w:lang w:val="fr-FR"/>
        </w:rPr>
        <w:t>’</w:t>
      </w:r>
      <w:r w:rsidRPr="008D2CC5">
        <w:rPr>
          <w:lang w:val="fr-FR"/>
        </w:rPr>
        <w:t>identification préliminaire des sites, d</w:t>
      </w:r>
      <w:r w:rsidR="000409D6" w:rsidRPr="008D2CC5">
        <w:rPr>
          <w:lang w:val="fr-FR"/>
        </w:rPr>
        <w:t>’</w:t>
      </w:r>
      <w:r w:rsidRPr="008D2CC5">
        <w:rPr>
          <w:lang w:val="fr-FR"/>
        </w:rPr>
        <w:t xml:space="preserve">identification détaillée des sites et de caractérisation des sites que </w:t>
      </w:r>
      <w:r w:rsidR="00C65E82" w:rsidRPr="008D2CC5">
        <w:rPr>
          <w:lang w:val="fr-FR"/>
        </w:rPr>
        <w:t xml:space="preserve">pour </w:t>
      </w:r>
      <w:r w:rsidRPr="008D2CC5">
        <w:rPr>
          <w:lang w:val="fr-FR"/>
        </w:rPr>
        <w:t>les autres sites contaminés par du mercure, mais cela peut s</w:t>
      </w:r>
      <w:r w:rsidR="000409D6" w:rsidRPr="008D2CC5">
        <w:rPr>
          <w:lang w:val="fr-FR"/>
        </w:rPr>
        <w:t>’</w:t>
      </w:r>
      <w:r w:rsidRPr="008D2CC5">
        <w:rPr>
          <w:lang w:val="fr-FR"/>
        </w:rPr>
        <w:t xml:space="preserve">avérer plus complexe lorsque le site est actif, occupé et dans un état dynamique de contamination </w:t>
      </w:r>
      <w:r w:rsidR="00D31AFF" w:rsidRPr="008D2CC5">
        <w:rPr>
          <w:lang w:val="fr-FR"/>
        </w:rPr>
        <w:t>(</w:t>
      </w:r>
      <w:r w:rsidRPr="008D2CC5">
        <w:rPr>
          <w:lang w:val="fr-FR"/>
        </w:rPr>
        <w:t>c</w:t>
      </w:r>
      <w:r w:rsidR="000409D6" w:rsidRPr="008D2CC5">
        <w:rPr>
          <w:lang w:val="fr-FR"/>
        </w:rPr>
        <w:t>’</w:t>
      </w:r>
      <w:r w:rsidRPr="008D2CC5">
        <w:rPr>
          <w:lang w:val="fr-FR"/>
        </w:rPr>
        <w:t>est-à-dire</w:t>
      </w:r>
      <w:r w:rsidR="00084334" w:rsidRPr="008D2CC5">
        <w:rPr>
          <w:lang w:val="fr-FR"/>
        </w:rPr>
        <w:t>,</w:t>
      </w:r>
      <w:r w:rsidRPr="008D2CC5">
        <w:rPr>
          <w:lang w:val="fr-FR"/>
        </w:rPr>
        <w:t xml:space="preserve"> de nouvelles</w:t>
      </w:r>
      <w:r w:rsidR="00D31AFF" w:rsidRPr="008D2CC5">
        <w:rPr>
          <w:lang w:val="fr-FR"/>
        </w:rPr>
        <w:t xml:space="preserve"> contamination</w:t>
      </w:r>
      <w:r w:rsidRPr="008D2CC5">
        <w:rPr>
          <w:lang w:val="fr-FR"/>
        </w:rPr>
        <w:t>s</w:t>
      </w:r>
      <w:r w:rsidR="00D31AFF" w:rsidRPr="008D2CC5">
        <w:rPr>
          <w:lang w:val="fr-FR"/>
        </w:rPr>
        <w:t xml:space="preserve"> </w:t>
      </w:r>
      <w:r w:rsidRPr="008D2CC5">
        <w:rPr>
          <w:lang w:val="fr-FR"/>
        </w:rPr>
        <w:t xml:space="preserve">se produisent constamment dans de nouveaux endroits de la zone en </w:t>
      </w:r>
      <w:r w:rsidR="00084334" w:rsidRPr="008D2CC5">
        <w:rPr>
          <w:lang w:val="fr-FR"/>
        </w:rPr>
        <w:t>question</w:t>
      </w:r>
      <w:r w:rsidR="00D31AFF" w:rsidRPr="008D2CC5">
        <w:rPr>
          <w:lang w:val="fr-FR"/>
        </w:rPr>
        <w:t>).</w:t>
      </w:r>
      <w:r w:rsidR="00153F79" w:rsidRPr="008D2CC5">
        <w:rPr>
          <w:lang w:val="fr-FR"/>
        </w:rPr>
        <w:t xml:space="preserve"> Cette situation diffère des sites inoccupés, où les foyers sont relativement stables et le site peut être caractérisé sans</w:t>
      </w:r>
      <w:r w:rsidR="00E80C2A" w:rsidRPr="008D2CC5">
        <w:rPr>
          <w:lang w:val="fr-FR"/>
        </w:rPr>
        <w:t xml:space="preserve"> </w:t>
      </w:r>
      <w:r w:rsidR="00FE4750" w:rsidRPr="008D2CC5">
        <w:rPr>
          <w:lang w:val="fr-FR"/>
        </w:rPr>
        <w:t>devoir s</w:t>
      </w:r>
      <w:r w:rsidR="000409D6" w:rsidRPr="008D2CC5">
        <w:rPr>
          <w:lang w:val="fr-FR"/>
        </w:rPr>
        <w:t>’</w:t>
      </w:r>
      <w:r w:rsidR="00FE4750" w:rsidRPr="008D2CC5">
        <w:rPr>
          <w:lang w:val="fr-FR"/>
        </w:rPr>
        <w:t xml:space="preserve">attendre à </w:t>
      </w:r>
      <w:r w:rsidR="00153F79" w:rsidRPr="008D2CC5">
        <w:rPr>
          <w:lang w:val="fr-FR"/>
        </w:rPr>
        <w:t xml:space="preserve">une </w:t>
      </w:r>
      <w:r w:rsidR="00E80C2A" w:rsidRPr="008D2CC5">
        <w:rPr>
          <w:lang w:val="fr-FR"/>
        </w:rPr>
        <w:t xml:space="preserve">nouvelle </w:t>
      </w:r>
      <w:r w:rsidR="00153F79" w:rsidRPr="008D2CC5">
        <w:rPr>
          <w:lang w:val="fr-FR"/>
        </w:rPr>
        <w:t xml:space="preserve">contamination dans </w:t>
      </w:r>
      <w:r w:rsidR="00E80C2A" w:rsidRPr="008D2CC5">
        <w:rPr>
          <w:lang w:val="fr-FR"/>
        </w:rPr>
        <w:t>d</w:t>
      </w:r>
      <w:r w:rsidR="000409D6" w:rsidRPr="008D2CC5">
        <w:rPr>
          <w:lang w:val="fr-FR"/>
        </w:rPr>
        <w:t>’</w:t>
      </w:r>
      <w:r w:rsidR="00E80C2A" w:rsidRPr="008D2CC5">
        <w:rPr>
          <w:lang w:val="fr-FR"/>
        </w:rPr>
        <w:t>autres</w:t>
      </w:r>
      <w:r w:rsidR="00153F79" w:rsidRPr="008D2CC5">
        <w:rPr>
          <w:lang w:val="fr-FR"/>
        </w:rPr>
        <w:t xml:space="preserve"> endroits au sein du site</w:t>
      </w:r>
      <w:r w:rsidR="00D31AFF" w:rsidRPr="008D2CC5">
        <w:rPr>
          <w:lang w:val="fr-FR"/>
        </w:rPr>
        <w:t>.</w:t>
      </w:r>
    </w:p>
    <w:p w14:paraId="1FFCBA39" w14:textId="15CC518D" w:rsidR="00DD0FCB" w:rsidRPr="008D2CC5" w:rsidRDefault="00F92B75" w:rsidP="006D69D3">
      <w:pPr>
        <w:pStyle w:val="Normalnumber"/>
        <w:rPr>
          <w:lang w:val="fr-FR"/>
        </w:rPr>
      </w:pPr>
      <w:r>
        <w:rPr>
          <w:lang w:val="fr-FR"/>
        </w:rPr>
        <w:t>Du</w:t>
      </w:r>
      <w:r w:rsidR="00153F79" w:rsidRPr="008D2CC5">
        <w:rPr>
          <w:lang w:val="fr-FR"/>
        </w:rPr>
        <w:t xml:space="preserve"> mercure</w:t>
      </w:r>
      <w:r w:rsidR="00C22B55" w:rsidRPr="008D2CC5">
        <w:rPr>
          <w:lang w:val="fr-FR"/>
        </w:rPr>
        <w:t xml:space="preserve"> </w:t>
      </w:r>
      <w:r>
        <w:rPr>
          <w:lang w:val="fr-FR"/>
        </w:rPr>
        <w:t xml:space="preserve">en provenance </w:t>
      </w:r>
      <w:r w:rsidR="00C22B55" w:rsidRPr="008D2CC5">
        <w:rPr>
          <w:lang w:val="fr-FR"/>
        </w:rPr>
        <w:t xml:space="preserve">des </w:t>
      </w:r>
      <w:r>
        <w:rPr>
          <w:lang w:val="fr-FR"/>
        </w:rPr>
        <w:t xml:space="preserve">anciens </w:t>
      </w:r>
      <w:r w:rsidR="00C22B55" w:rsidRPr="008D2CC5">
        <w:rPr>
          <w:lang w:val="fr-FR"/>
        </w:rPr>
        <w:t>sites de production à petite échelle d</w:t>
      </w:r>
      <w:r w:rsidR="000409D6" w:rsidRPr="008D2CC5">
        <w:rPr>
          <w:lang w:val="fr-FR"/>
        </w:rPr>
        <w:t>’</w:t>
      </w:r>
      <w:r w:rsidR="00C22B55" w:rsidRPr="008D2CC5">
        <w:rPr>
          <w:lang w:val="fr-FR"/>
        </w:rPr>
        <w:t>or et des sites d</w:t>
      </w:r>
      <w:r w:rsidR="000409D6" w:rsidRPr="008D2CC5">
        <w:rPr>
          <w:lang w:val="fr-FR"/>
        </w:rPr>
        <w:t>’</w:t>
      </w:r>
      <w:r w:rsidR="00C22B55" w:rsidRPr="008D2CC5">
        <w:rPr>
          <w:lang w:val="fr-FR"/>
        </w:rPr>
        <w:t>extraction minière artisanale et à petite échelle d</w:t>
      </w:r>
      <w:r w:rsidR="000409D6" w:rsidRPr="008D2CC5">
        <w:rPr>
          <w:lang w:val="fr-FR"/>
        </w:rPr>
        <w:t>’</w:t>
      </w:r>
      <w:r w:rsidR="00C22B55" w:rsidRPr="008D2CC5">
        <w:rPr>
          <w:lang w:val="fr-FR"/>
        </w:rPr>
        <w:t xml:space="preserve">or actuellement </w:t>
      </w:r>
      <w:r>
        <w:rPr>
          <w:lang w:val="fr-FR"/>
        </w:rPr>
        <w:t xml:space="preserve">en </w:t>
      </w:r>
      <w:r w:rsidR="00C22B55" w:rsidRPr="008D2CC5">
        <w:rPr>
          <w:lang w:val="fr-FR"/>
        </w:rPr>
        <w:t>exploit</w:t>
      </w:r>
      <w:r>
        <w:rPr>
          <w:lang w:val="fr-FR"/>
        </w:rPr>
        <w:t>ation</w:t>
      </w:r>
      <w:r w:rsidR="00C22B55" w:rsidRPr="008D2CC5">
        <w:rPr>
          <w:lang w:val="fr-FR"/>
        </w:rPr>
        <w:t xml:space="preserve"> peut pénétrer dans </w:t>
      </w:r>
      <w:r>
        <w:rPr>
          <w:lang w:val="fr-FR"/>
        </w:rPr>
        <w:t>l</w:t>
      </w:r>
      <w:r w:rsidR="00C22B55" w:rsidRPr="008D2CC5">
        <w:rPr>
          <w:lang w:val="fr-FR"/>
        </w:rPr>
        <w:t>es masses d</w:t>
      </w:r>
      <w:r w:rsidR="000409D6" w:rsidRPr="008D2CC5">
        <w:rPr>
          <w:lang w:val="fr-FR"/>
        </w:rPr>
        <w:t>’</w:t>
      </w:r>
      <w:r w:rsidR="00C22B55" w:rsidRPr="008D2CC5">
        <w:rPr>
          <w:lang w:val="fr-FR"/>
        </w:rPr>
        <w:t>eau telles que les rivières, les lacs et les</w:t>
      </w:r>
      <w:r w:rsidR="00DD0FCB" w:rsidRPr="008D2CC5">
        <w:rPr>
          <w:lang w:val="fr-FR"/>
        </w:rPr>
        <w:t xml:space="preserve"> </w:t>
      </w:r>
      <w:r w:rsidR="00F47825" w:rsidRPr="008D2CC5">
        <w:rPr>
          <w:lang w:val="fr-FR"/>
        </w:rPr>
        <w:t>bassins de retenue</w:t>
      </w:r>
      <w:r w:rsidR="00DD0FCB" w:rsidRPr="008D2CC5">
        <w:rPr>
          <w:lang w:val="fr-FR"/>
        </w:rPr>
        <w:t>,</w:t>
      </w:r>
      <w:r w:rsidR="00F47825" w:rsidRPr="008D2CC5">
        <w:rPr>
          <w:lang w:val="fr-FR"/>
        </w:rPr>
        <w:t xml:space="preserve"> et ensuite se recombiner pour former </w:t>
      </w:r>
      <w:r w:rsidR="00DF5867" w:rsidRPr="008D2CC5">
        <w:rPr>
          <w:lang w:val="fr-FR"/>
        </w:rPr>
        <w:t xml:space="preserve">des </w:t>
      </w:r>
      <w:r w:rsidR="0043011D">
        <w:rPr>
          <w:lang w:val="fr-FR"/>
        </w:rPr>
        <w:t>flaqu</w:t>
      </w:r>
      <w:r w:rsidR="00C65E82" w:rsidRPr="008D2CC5">
        <w:rPr>
          <w:lang w:val="fr-FR"/>
        </w:rPr>
        <w:t>es</w:t>
      </w:r>
      <w:r w:rsidR="00DF5867" w:rsidRPr="008D2CC5">
        <w:rPr>
          <w:lang w:val="fr-FR"/>
        </w:rPr>
        <w:t xml:space="preserve"> de</w:t>
      </w:r>
      <w:r w:rsidR="00F47825" w:rsidRPr="008D2CC5">
        <w:rPr>
          <w:lang w:val="fr-FR"/>
        </w:rPr>
        <w:t xml:space="preserve"> mercure élémentaire</w:t>
      </w:r>
      <w:r w:rsidR="00DD0FCB" w:rsidRPr="008D2CC5">
        <w:rPr>
          <w:lang w:val="fr-FR"/>
        </w:rPr>
        <w:t xml:space="preserve"> </w:t>
      </w:r>
      <w:r w:rsidR="00F47825" w:rsidRPr="008D2CC5">
        <w:rPr>
          <w:lang w:val="fr-FR"/>
        </w:rPr>
        <w:t>au fond des rivières et des lacs</w:t>
      </w:r>
      <w:r w:rsidR="00777A83" w:rsidRPr="008D2CC5">
        <w:rPr>
          <w:lang w:val="fr-FR"/>
        </w:rPr>
        <w:t xml:space="preserve">, créant </w:t>
      </w:r>
      <w:r w:rsidR="00F41926">
        <w:rPr>
          <w:lang w:val="fr-FR"/>
        </w:rPr>
        <w:t xml:space="preserve">ainsi </w:t>
      </w:r>
      <w:r w:rsidR="00777A83" w:rsidRPr="008D2CC5">
        <w:rPr>
          <w:lang w:val="fr-FR"/>
        </w:rPr>
        <w:t>une source de contamination à long terme</w:t>
      </w:r>
      <w:r w:rsidR="00DD0FCB" w:rsidRPr="008D2CC5">
        <w:rPr>
          <w:lang w:val="fr-FR"/>
        </w:rPr>
        <w:t xml:space="preserve">. </w:t>
      </w:r>
      <w:r w:rsidR="0043011D">
        <w:rPr>
          <w:lang w:val="fr-FR"/>
        </w:rPr>
        <w:t>Il est possible de</w:t>
      </w:r>
      <w:r w:rsidR="00721E61" w:rsidRPr="008D2CC5">
        <w:rPr>
          <w:lang w:val="fr-FR"/>
        </w:rPr>
        <w:t xml:space="preserve"> détecte</w:t>
      </w:r>
      <w:r w:rsidR="0043011D">
        <w:rPr>
          <w:lang w:val="fr-FR"/>
        </w:rPr>
        <w:t>r</w:t>
      </w:r>
      <w:r w:rsidR="00721E61" w:rsidRPr="008D2CC5">
        <w:rPr>
          <w:lang w:val="fr-FR"/>
        </w:rPr>
        <w:t xml:space="preserve"> </w:t>
      </w:r>
      <w:r w:rsidR="0043011D">
        <w:rPr>
          <w:lang w:val="fr-FR"/>
        </w:rPr>
        <w:t xml:space="preserve">ces flaques à l’aide </w:t>
      </w:r>
      <w:r w:rsidR="00721E61" w:rsidRPr="008D2CC5">
        <w:rPr>
          <w:lang w:val="fr-FR"/>
        </w:rPr>
        <w:t>de scann</w:t>
      </w:r>
      <w:r w:rsidR="0043011D">
        <w:rPr>
          <w:lang w:val="fr-FR"/>
        </w:rPr>
        <w:t>ers</w:t>
      </w:r>
      <w:r w:rsidR="00DD0FCB" w:rsidRPr="008D2CC5">
        <w:rPr>
          <w:lang w:val="fr-FR"/>
        </w:rPr>
        <w:t xml:space="preserve"> </w:t>
      </w:r>
      <w:proofErr w:type="spellStart"/>
      <w:r w:rsidR="00DD0FCB" w:rsidRPr="008D2CC5">
        <w:rPr>
          <w:lang w:val="fr-FR"/>
        </w:rPr>
        <w:t>LiDAR</w:t>
      </w:r>
      <w:proofErr w:type="spellEnd"/>
      <w:r w:rsidR="00DD0FCB" w:rsidRPr="008D2CC5">
        <w:rPr>
          <w:lang w:val="fr-FR"/>
        </w:rPr>
        <w:t xml:space="preserve"> </w:t>
      </w:r>
      <w:r w:rsidR="00721E61" w:rsidRPr="008D2CC5">
        <w:rPr>
          <w:lang w:val="fr-FR"/>
        </w:rPr>
        <w:t xml:space="preserve">et </w:t>
      </w:r>
      <w:r w:rsidR="00F41926">
        <w:rPr>
          <w:lang w:val="fr-FR"/>
        </w:rPr>
        <w:t xml:space="preserve">de les aspirer en se servant </w:t>
      </w:r>
      <w:r w:rsidR="00721E61" w:rsidRPr="008D2CC5">
        <w:rPr>
          <w:lang w:val="fr-FR"/>
        </w:rPr>
        <w:t>d</w:t>
      </w:r>
      <w:r w:rsidR="000409D6" w:rsidRPr="008D2CC5">
        <w:rPr>
          <w:lang w:val="fr-FR"/>
        </w:rPr>
        <w:t>’</w:t>
      </w:r>
      <w:r w:rsidR="00721E61" w:rsidRPr="008D2CC5">
        <w:rPr>
          <w:lang w:val="fr-FR"/>
        </w:rPr>
        <w:t xml:space="preserve">une unité de </w:t>
      </w:r>
      <w:r w:rsidR="0043011D">
        <w:rPr>
          <w:lang w:val="fr-FR"/>
        </w:rPr>
        <w:t>pompa</w:t>
      </w:r>
      <w:r w:rsidR="00721E61" w:rsidRPr="008D2CC5">
        <w:rPr>
          <w:lang w:val="fr-FR"/>
        </w:rPr>
        <w:t>ge sous vide montée sur véhicule</w:t>
      </w:r>
      <w:r w:rsidR="00686C08">
        <w:rPr>
          <w:lang w:val="fr-FR"/>
        </w:rPr>
        <w:t>,</w:t>
      </w:r>
      <w:r w:rsidR="00DD0FCB" w:rsidRPr="008D2CC5">
        <w:rPr>
          <w:lang w:val="fr-FR"/>
        </w:rPr>
        <w:t xml:space="preserve"> </w:t>
      </w:r>
      <w:r w:rsidR="00686C08">
        <w:rPr>
          <w:lang w:val="fr-FR"/>
        </w:rPr>
        <w:t>muni</w:t>
      </w:r>
      <w:r w:rsidR="00721E61" w:rsidRPr="008D2CC5">
        <w:rPr>
          <w:lang w:val="fr-FR"/>
        </w:rPr>
        <w:t>e de filtres à charbon afin d</w:t>
      </w:r>
      <w:r w:rsidR="000409D6" w:rsidRPr="008D2CC5">
        <w:rPr>
          <w:lang w:val="fr-FR"/>
        </w:rPr>
        <w:t>’</w:t>
      </w:r>
      <w:r w:rsidR="00721E61" w:rsidRPr="008D2CC5">
        <w:rPr>
          <w:lang w:val="fr-FR"/>
        </w:rPr>
        <w:t>éviter les rejets de vapeurs</w:t>
      </w:r>
      <w:r w:rsidR="00CE1B7C">
        <w:rPr>
          <w:lang w:val="fr-FR"/>
        </w:rPr>
        <w:t>.</w:t>
      </w:r>
      <w:r w:rsidR="002A4CA4">
        <w:rPr>
          <w:lang w:val="fr-FR"/>
        </w:rPr>
        <w:t xml:space="preserve"> </w:t>
      </w:r>
      <w:r w:rsidR="00CE1B7C">
        <w:rPr>
          <w:lang w:val="fr-FR"/>
        </w:rPr>
        <w:t xml:space="preserve">Le </w:t>
      </w:r>
      <w:r w:rsidR="00721E61" w:rsidRPr="008D2CC5">
        <w:rPr>
          <w:lang w:val="fr-FR"/>
        </w:rPr>
        <w:t>réservoir permet</w:t>
      </w:r>
      <w:r w:rsidR="00DD0FCB" w:rsidRPr="008D2CC5">
        <w:rPr>
          <w:lang w:val="fr-FR"/>
        </w:rPr>
        <w:t xml:space="preserve"> </w:t>
      </w:r>
      <w:r w:rsidR="002A4CA4">
        <w:rPr>
          <w:lang w:val="fr-FR"/>
        </w:rPr>
        <w:t xml:space="preserve">une élimination </w:t>
      </w:r>
      <w:r w:rsidR="00721E61" w:rsidRPr="008D2CC5">
        <w:rPr>
          <w:lang w:val="fr-FR"/>
        </w:rPr>
        <w:t>écologiquement rationnelle d</w:t>
      </w:r>
      <w:r w:rsidR="002A4CA4">
        <w:rPr>
          <w:lang w:val="fr-FR"/>
        </w:rPr>
        <w:t>u</w:t>
      </w:r>
      <w:r w:rsidR="00721E61" w:rsidRPr="008D2CC5">
        <w:rPr>
          <w:lang w:val="fr-FR"/>
        </w:rPr>
        <w:t xml:space="preserve"> mercure</w:t>
      </w:r>
      <w:r w:rsidR="002A4CA4">
        <w:rPr>
          <w:lang w:val="fr-FR"/>
        </w:rPr>
        <w:t xml:space="preserve"> </w:t>
      </w:r>
      <w:r w:rsidR="00CE1B7C">
        <w:rPr>
          <w:lang w:val="fr-FR"/>
        </w:rPr>
        <w:t>ramassé</w:t>
      </w:r>
      <w:r w:rsidR="00C46475" w:rsidRPr="008D2CC5">
        <w:rPr>
          <w:lang w:val="fr-FR"/>
        </w:rPr>
        <w:t xml:space="preserve">, </w:t>
      </w:r>
      <w:r w:rsidR="002A4CA4">
        <w:rPr>
          <w:lang w:val="fr-FR"/>
        </w:rPr>
        <w:t xml:space="preserve">qui peut ensuite </w:t>
      </w:r>
      <w:r w:rsidR="00CE1B7C">
        <w:rPr>
          <w:lang w:val="fr-FR"/>
        </w:rPr>
        <w:t xml:space="preserve">faire l’objet d’un traitement supplémentaire </w:t>
      </w:r>
      <w:r w:rsidR="00CE1B7C" w:rsidRPr="00596DE9">
        <w:rPr>
          <w:i/>
          <w:lang w:val="fr-FR"/>
        </w:rPr>
        <w:t>ex-situ</w:t>
      </w:r>
      <w:r w:rsidR="00C46475" w:rsidRPr="008D2CC5">
        <w:rPr>
          <w:lang w:val="fr-FR"/>
        </w:rPr>
        <w:t xml:space="preserve"> dans des installations de distillation sous vide</w:t>
      </w:r>
      <w:r w:rsidR="00DD0FCB" w:rsidRPr="008D2CC5">
        <w:rPr>
          <w:lang w:val="fr-FR"/>
        </w:rPr>
        <w:t xml:space="preserve"> </w:t>
      </w:r>
      <w:r w:rsidR="00C46475" w:rsidRPr="008D2CC5">
        <w:rPr>
          <w:lang w:val="fr-FR"/>
        </w:rPr>
        <w:t xml:space="preserve">et </w:t>
      </w:r>
      <w:r w:rsidR="00CE1B7C">
        <w:rPr>
          <w:lang w:val="fr-FR"/>
        </w:rPr>
        <w:t xml:space="preserve">être </w:t>
      </w:r>
      <w:r w:rsidR="00C46475" w:rsidRPr="008D2CC5">
        <w:rPr>
          <w:lang w:val="fr-FR"/>
        </w:rPr>
        <w:t>récupéré à des fins de stabilisation</w:t>
      </w:r>
      <w:r w:rsidR="00DD0FCB" w:rsidRPr="008D2CC5">
        <w:rPr>
          <w:lang w:val="fr-FR"/>
        </w:rPr>
        <w:t>.</w:t>
      </w:r>
    </w:p>
    <w:p w14:paraId="13D78161" w14:textId="71382E5C" w:rsidR="00D31AFF" w:rsidRPr="008D2CC5" w:rsidRDefault="00F87865" w:rsidP="006D69D3">
      <w:pPr>
        <w:pStyle w:val="Normalnumber"/>
        <w:rPr>
          <w:lang w:val="fr-FR"/>
        </w:rPr>
      </w:pPr>
      <w:r w:rsidRPr="008D2CC5">
        <w:rPr>
          <w:lang w:val="fr-FR"/>
        </w:rPr>
        <w:t xml:space="preserve">La complexité </w:t>
      </w:r>
      <w:r w:rsidR="003F6B95">
        <w:rPr>
          <w:lang w:val="fr-FR"/>
        </w:rPr>
        <w:t>résultant</w:t>
      </w:r>
      <w:r w:rsidR="001C3144" w:rsidRPr="008D2CC5">
        <w:rPr>
          <w:lang w:val="fr-FR"/>
        </w:rPr>
        <w:t xml:space="preserve"> d</w:t>
      </w:r>
      <w:r w:rsidR="003F6B95">
        <w:rPr>
          <w:lang w:val="fr-FR"/>
        </w:rPr>
        <w:t>e la superposition</w:t>
      </w:r>
      <w:r w:rsidR="001C3144" w:rsidRPr="008D2CC5">
        <w:rPr>
          <w:lang w:val="fr-FR"/>
        </w:rPr>
        <w:t xml:space="preserve"> </w:t>
      </w:r>
      <w:r w:rsidR="003F6B95">
        <w:rPr>
          <w:lang w:val="fr-FR"/>
        </w:rPr>
        <w:t xml:space="preserve">entre </w:t>
      </w:r>
      <w:r w:rsidR="001C3144" w:rsidRPr="008D2CC5">
        <w:rPr>
          <w:lang w:val="fr-FR"/>
        </w:rPr>
        <w:t>activités</w:t>
      </w:r>
      <w:r w:rsidR="00D31AFF" w:rsidRPr="008D2CC5">
        <w:rPr>
          <w:lang w:val="fr-FR"/>
        </w:rPr>
        <w:t xml:space="preserve"> </w:t>
      </w:r>
      <w:r w:rsidR="001C3144" w:rsidRPr="008D2CC5">
        <w:rPr>
          <w:lang w:val="fr-FR"/>
        </w:rPr>
        <w:t>d</w:t>
      </w:r>
      <w:r w:rsidR="000409D6" w:rsidRPr="008D2CC5">
        <w:rPr>
          <w:lang w:val="fr-FR"/>
        </w:rPr>
        <w:t>’</w:t>
      </w:r>
      <w:r w:rsidR="001C3144" w:rsidRPr="008D2CC5">
        <w:rPr>
          <w:lang w:val="fr-FR"/>
        </w:rPr>
        <w:t>extraction minière artisanale et à petite échelle d</w:t>
      </w:r>
      <w:r w:rsidR="000409D6" w:rsidRPr="008D2CC5">
        <w:rPr>
          <w:lang w:val="fr-FR"/>
        </w:rPr>
        <w:t>’</w:t>
      </w:r>
      <w:r w:rsidR="001C3144" w:rsidRPr="008D2CC5">
        <w:rPr>
          <w:lang w:val="fr-FR"/>
        </w:rPr>
        <w:t xml:space="preserve">or, contamination et </w:t>
      </w:r>
      <w:r w:rsidR="00CE1B7C">
        <w:rPr>
          <w:lang w:val="fr-FR"/>
        </w:rPr>
        <w:t>occupation</w:t>
      </w:r>
      <w:r w:rsidR="001C3144" w:rsidRPr="008D2CC5">
        <w:rPr>
          <w:lang w:val="fr-FR"/>
        </w:rPr>
        <w:t xml:space="preserve"> permanent</w:t>
      </w:r>
      <w:r w:rsidR="00CE1B7C">
        <w:rPr>
          <w:lang w:val="fr-FR"/>
        </w:rPr>
        <w:t>e</w:t>
      </w:r>
      <w:r w:rsidR="001C3144" w:rsidRPr="008D2CC5">
        <w:rPr>
          <w:lang w:val="fr-FR"/>
        </w:rPr>
        <w:t xml:space="preserve"> ou temporaire d</w:t>
      </w:r>
      <w:r w:rsidR="00CE1B7C">
        <w:rPr>
          <w:lang w:val="fr-FR"/>
        </w:rPr>
        <w:t>es</w:t>
      </w:r>
      <w:r w:rsidR="001C3144" w:rsidRPr="008D2CC5">
        <w:rPr>
          <w:lang w:val="fr-FR"/>
        </w:rPr>
        <w:t xml:space="preserve"> site</w:t>
      </w:r>
      <w:r w:rsidR="00CE1B7C">
        <w:rPr>
          <w:lang w:val="fr-FR"/>
        </w:rPr>
        <w:t>s</w:t>
      </w:r>
      <w:r w:rsidR="001C3144" w:rsidRPr="008D2CC5">
        <w:rPr>
          <w:lang w:val="fr-FR"/>
        </w:rPr>
        <w:t xml:space="preserve"> rend essentielles la mobilisation et la sensibilisation de</w:t>
      </w:r>
      <w:r w:rsidR="00CE1B7C">
        <w:rPr>
          <w:lang w:val="fr-FR"/>
        </w:rPr>
        <w:t>s</w:t>
      </w:r>
      <w:r w:rsidR="001C3144" w:rsidRPr="008D2CC5">
        <w:rPr>
          <w:lang w:val="fr-FR"/>
        </w:rPr>
        <w:t xml:space="preserve"> communauté</w:t>
      </w:r>
      <w:r w:rsidR="00CE1B7C">
        <w:rPr>
          <w:lang w:val="fr-FR"/>
        </w:rPr>
        <w:t>s</w:t>
      </w:r>
      <w:r w:rsidR="001C3144" w:rsidRPr="008D2CC5">
        <w:rPr>
          <w:lang w:val="fr-FR"/>
        </w:rPr>
        <w:t xml:space="preserve"> touchée</w:t>
      </w:r>
      <w:r w:rsidR="00CE1B7C">
        <w:rPr>
          <w:lang w:val="fr-FR"/>
        </w:rPr>
        <w:t>s</w:t>
      </w:r>
      <w:r w:rsidR="00D31AFF" w:rsidRPr="008D2CC5">
        <w:rPr>
          <w:lang w:val="fr-FR"/>
        </w:rPr>
        <w:t xml:space="preserve">. </w:t>
      </w:r>
      <w:r w:rsidR="001C3144" w:rsidRPr="008D2CC5">
        <w:rPr>
          <w:lang w:val="fr-FR"/>
        </w:rPr>
        <w:t>La s</w:t>
      </w:r>
      <w:r w:rsidR="00D31AFF" w:rsidRPr="008D2CC5">
        <w:rPr>
          <w:lang w:val="fr-FR"/>
        </w:rPr>
        <w:t>ection</w:t>
      </w:r>
      <w:r w:rsidR="001C3144" w:rsidRPr="008D2CC5">
        <w:rPr>
          <w:lang w:val="fr-FR"/>
        </w:rPr>
        <w:t> </w:t>
      </w:r>
      <w:r w:rsidR="00D31AFF" w:rsidRPr="008D2CC5">
        <w:rPr>
          <w:lang w:val="fr-FR"/>
        </w:rPr>
        <w:t xml:space="preserve">C </w:t>
      </w:r>
      <w:r w:rsidR="00520509" w:rsidRPr="008D2CC5">
        <w:rPr>
          <w:lang w:val="fr-FR"/>
        </w:rPr>
        <w:t>des présentes orientations</w:t>
      </w:r>
      <w:r w:rsidR="00D31AFF" w:rsidRPr="008D2CC5">
        <w:rPr>
          <w:lang w:val="fr-FR"/>
        </w:rPr>
        <w:t xml:space="preserve"> </w:t>
      </w:r>
      <w:r w:rsidR="007B11D0" w:rsidRPr="008D2CC5">
        <w:rPr>
          <w:lang w:val="fr-FR"/>
        </w:rPr>
        <w:t>fournit des informations sur la mise en place d</w:t>
      </w:r>
      <w:r w:rsidR="000409D6" w:rsidRPr="008D2CC5">
        <w:rPr>
          <w:lang w:val="fr-FR"/>
        </w:rPr>
        <w:t>’</w:t>
      </w:r>
      <w:r w:rsidR="007B11D0" w:rsidRPr="008D2CC5">
        <w:rPr>
          <w:lang w:val="fr-FR"/>
        </w:rPr>
        <w:t>une procédure</w:t>
      </w:r>
      <w:r w:rsidR="001F1734" w:rsidRPr="008D2CC5">
        <w:rPr>
          <w:lang w:val="fr-FR"/>
        </w:rPr>
        <w:t xml:space="preserve"> de mobilisation du public pour la remise en état et la gestion des sites contaminés</w:t>
      </w:r>
      <w:r w:rsidR="00903388" w:rsidRPr="008D2CC5">
        <w:rPr>
          <w:lang w:val="fr-FR"/>
        </w:rPr>
        <w:t>,</w:t>
      </w:r>
      <w:r w:rsidR="001F1734" w:rsidRPr="008D2CC5">
        <w:rPr>
          <w:lang w:val="fr-FR"/>
        </w:rPr>
        <w:t xml:space="preserve"> mais des mesures supplémentaires devront peut-être être envisagées dans le cadre du dialogue avec les communautés menant des activités</w:t>
      </w:r>
      <w:r w:rsidR="00903388" w:rsidRPr="008D2CC5">
        <w:rPr>
          <w:lang w:val="fr-FR"/>
        </w:rPr>
        <w:t xml:space="preserve"> </w:t>
      </w:r>
      <w:r w:rsidR="001F1734" w:rsidRPr="008D2CC5">
        <w:rPr>
          <w:lang w:val="fr-FR"/>
        </w:rPr>
        <w:t>d</w:t>
      </w:r>
      <w:r w:rsidR="000409D6" w:rsidRPr="008D2CC5">
        <w:rPr>
          <w:lang w:val="fr-FR"/>
        </w:rPr>
        <w:t>’</w:t>
      </w:r>
      <w:r w:rsidR="001F1734" w:rsidRPr="008D2CC5">
        <w:rPr>
          <w:lang w:val="fr-FR"/>
        </w:rPr>
        <w:t>extraction minière artisanale et à petite échelle d</w:t>
      </w:r>
      <w:r w:rsidR="000409D6" w:rsidRPr="008D2CC5">
        <w:rPr>
          <w:lang w:val="fr-FR"/>
        </w:rPr>
        <w:t>’</w:t>
      </w:r>
      <w:r w:rsidR="001F1734" w:rsidRPr="008D2CC5">
        <w:rPr>
          <w:lang w:val="fr-FR"/>
        </w:rPr>
        <w:t>or</w:t>
      </w:r>
      <w:r w:rsidR="00D31AFF" w:rsidRPr="008D2CC5">
        <w:rPr>
          <w:lang w:val="fr-FR"/>
        </w:rPr>
        <w:t>.</w:t>
      </w:r>
      <w:r w:rsidR="001F1734" w:rsidRPr="008D2CC5">
        <w:rPr>
          <w:lang w:val="fr-FR"/>
        </w:rPr>
        <w:t xml:space="preserve"> Les sites</w:t>
      </w:r>
      <w:r w:rsidR="00D31AFF" w:rsidRPr="008D2CC5">
        <w:rPr>
          <w:lang w:val="fr-FR"/>
        </w:rPr>
        <w:t xml:space="preserve"> </w:t>
      </w:r>
      <w:r w:rsidR="003F6B95">
        <w:rPr>
          <w:lang w:val="fr-FR"/>
        </w:rPr>
        <w:t>de ces activités</w:t>
      </w:r>
      <w:r w:rsidR="001F1734" w:rsidRPr="008D2CC5">
        <w:rPr>
          <w:lang w:val="fr-FR"/>
        </w:rPr>
        <w:t xml:space="preserve"> peuvent présenter</w:t>
      </w:r>
      <w:r w:rsidR="00D31AFF" w:rsidRPr="008D2CC5">
        <w:rPr>
          <w:lang w:val="fr-FR"/>
        </w:rPr>
        <w:t xml:space="preserve"> </w:t>
      </w:r>
      <w:r w:rsidR="001F1734" w:rsidRPr="008D2CC5">
        <w:rPr>
          <w:lang w:val="fr-FR"/>
        </w:rPr>
        <w:t>un mélange de travailleurs temporaires et permanents</w:t>
      </w:r>
      <w:r w:rsidR="00903388" w:rsidRPr="008D2CC5">
        <w:rPr>
          <w:lang w:val="fr-FR"/>
        </w:rPr>
        <w:t>.</w:t>
      </w:r>
      <w:r w:rsidR="00D31AFF" w:rsidRPr="008D2CC5">
        <w:rPr>
          <w:lang w:val="fr-FR"/>
        </w:rPr>
        <w:t xml:space="preserve"> </w:t>
      </w:r>
      <w:r w:rsidR="00B0315B" w:rsidRPr="008D2CC5">
        <w:rPr>
          <w:lang w:val="fr-FR"/>
        </w:rPr>
        <w:t>L</w:t>
      </w:r>
      <w:r w:rsidR="000409D6" w:rsidRPr="008D2CC5">
        <w:rPr>
          <w:lang w:val="fr-FR"/>
        </w:rPr>
        <w:t>’</w:t>
      </w:r>
      <w:r w:rsidR="00B0315B" w:rsidRPr="008D2CC5">
        <w:rPr>
          <w:lang w:val="fr-FR"/>
        </w:rPr>
        <w:t>extraction minière artisanale et à petite échelle d</w:t>
      </w:r>
      <w:r w:rsidR="000409D6" w:rsidRPr="008D2CC5">
        <w:rPr>
          <w:lang w:val="fr-FR"/>
        </w:rPr>
        <w:t>’</w:t>
      </w:r>
      <w:r w:rsidR="00B0315B" w:rsidRPr="008D2CC5">
        <w:rPr>
          <w:lang w:val="fr-FR"/>
        </w:rPr>
        <w:t xml:space="preserve">or </w:t>
      </w:r>
      <w:r w:rsidR="003F6B95">
        <w:rPr>
          <w:lang w:val="fr-FR"/>
        </w:rPr>
        <w:t>es</w:t>
      </w:r>
      <w:r w:rsidR="00B0315B" w:rsidRPr="008D2CC5">
        <w:rPr>
          <w:lang w:val="fr-FR"/>
        </w:rPr>
        <w:t>t également considérée comme illégale dans certains endroits, ce qui peut constituer un obstacle à une mobilisation effective</w:t>
      </w:r>
      <w:r w:rsidR="00D31AFF" w:rsidRPr="008D2CC5">
        <w:rPr>
          <w:lang w:val="fr-FR"/>
        </w:rPr>
        <w:t>.</w:t>
      </w:r>
      <w:r w:rsidR="00B0315B" w:rsidRPr="008D2CC5">
        <w:rPr>
          <w:lang w:val="fr-FR"/>
        </w:rPr>
        <w:t xml:space="preserve"> Le profil de</w:t>
      </w:r>
      <w:r w:rsidR="00412A63">
        <w:rPr>
          <w:lang w:val="fr-FR"/>
        </w:rPr>
        <w:t>s</w:t>
      </w:r>
      <w:r w:rsidR="00B0315B" w:rsidRPr="008D2CC5">
        <w:rPr>
          <w:lang w:val="fr-FR"/>
        </w:rPr>
        <w:t xml:space="preserve"> communauté</w:t>
      </w:r>
      <w:r w:rsidR="00412A63">
        <w:rPr>
          <w:lang w:val="fr-FR"/>
        </w:rPr>
        <w:t>s</w:t>
      </w:r>
      <w:r w:rsidR="00B0315B" w:rsidRPr="008D2CC5">
        <w:rPr>
          <w:lang w:val="fr-FR"/>
        </w:rPr>
        <w:t xml:space="preserve"> menacée</w:t>
      </w:r>
      <w:r w:rsidR="00412A63">
        <w:rPr>
          <w:lang w:val="fr-FR"/>
        </w:rPr>
        <w:t>s</w:t>
      </w:r>
      <w:r w:rsidR="00B0315B" w:rsidRPr="008D2CC5">
        <w:rPr>
          <w:lang w:val="fr-FR"/>
        </w:rPr>
        <w:t xml:space="preserve"> devrait être soigneusement examiné avant d</w:t>
      </w:r>
      <w:r w:rsidR="000409D6" w:rsidRPr="008D2CC5">
        <w:rPr>
          <w:lang w:val="fr-FR"/>
        </w:rPr>
        <w:t>’</w:t>
      </w:r>
      <w:r w:rsidR="00B0315B" w:rsidRPr="008D2CC5">
        <w:rPr>
          <w:lang w:val="fr-FR"/>
        </w:rPr>
        <w:t>entreprendre toute initiative visant à élaborer un programme de mobilisation</w:t>
      </w:r>
      <w:r w:rsidR="006E6221" w:rsidRPr="008D2CC5">
        <w:rPr>
          <w:lang w:val="fr-FR"/>
        </w:rPr>
        <w:t>,</w:t>
      </w:r>
      <w:r w:rsidR="00D31AFF" w:rsidRPr="008D2CC5">
        <w:rPr>
          <w:lang w:val="fr-FR"/>
        </w:rPr>
        <w:t xml:space="preserve"> </w:t>
      </w:r>
      <w:r w:rsidR="00B0315B" w:rsidRPr="008D2CC5">
        <w:rPr>
          <w:lang w:val="fr-FR"/>
        </w:rPr>
        <w:t>et d</w:t>
      </w:r>
      <w:r w:rsidR="000409D6" w:rsidRPr="008D2CC5">
        <w:rPr>
          <w:lang w:val="fr-FR"/>
        </w:rPr>
        <w:t>’</w:t>
      </w:r>
      <w:r w:rsidR="00B0315B" w:rsidRPr="008D2CC5">
        <w:rPr>
          <w:lang w:val="fr-FR"/>
        </w:rPr>
        <w:t>éventuels représentants des mineurs informels, des établissements locaux et des professionnels des soins de santé devraient être identifiés afin d</w:t>
      </w:r>
      <w:r w:rsidR="000409D6" w:rsidRPr="008D2CC5">
        <w:rPr>
          <w:lang w:val="fr-FR"/>
        </w:rPr>
        <w:t>’</w:t>
      </w:r>
      <w:r w:rsidR="00B0315B" w:rsidRPr="008D2CC5">
        <w:rPr>
          <w:lang w:val="fr-FR"/>
        </w:rPr>
        <w:t>aider à élaborer la procédure de mobilisation</w:t>
      </w:r>
      <w:r w:rsidR="00D31AFF" w:rsidRPr="008D2CC5">
        <w:rPr>
          <w:lang w:val="fr-FR"/>
        </w:rPr>
        <w:t>.</w:t>
      </w:r>
      <w:r w:rsidR="00B0315B" w:rsidRPr="008D2CC5">
        <w:rPr>
          <w:lang w:val="fr-FR"/>
        </w:rPr>
        <w:t xml:space="preserve"> Toutes ces activités devraient être entreprise</w:t>
      </w:r>
      <w:r w:rsidR="00B35EC8" w:rsidRPr="008D2CC5">
        <w:rPr>
          <w:lang w:val="fr-FR"/>
        </w:rPr>
        <w:t>s</w:t>
      </w:r>
      <w:r w:rsidR="00B0315B" w:rsidRPr="008D2CC5">
        <w:rPr>
          <w:lang w:val="fr-FR"/>
        </w:rPr>
        <w:t xml:space="preserve"> dans le contexte du plan d</w:t>
      </w:r>
      <w:r w:rsidR="000409D6" w:rsidRPr="008D2CC5">
        <w:rPr>
          <w:lang w:val="fr-FR"/>
        </w:rPr>
        <w:t>’</w:t>
      </w:r>
      <w:r w:rsidR="00B0315B" w:rsidRPr="008D2CC5">
        <w:rPr>
          <w:lang w:val="fr-FR"/>
        </w:rPr>
        <w:t>action national de la Partie</w:t>
      </w:r>
      <w:r w:rsidR="00B35EC8" w:rsidRPr="008D2CC5">
        <w:rPr>
          <w:lang w:val="fr-FR"/>
        </w:rPr>
        <w:t xml:space="preserve"> au titre de l</w:t>
      </w:r>
      <w:r w:rsidR="000409D6" w:rsidRPr="008D2CC5">
        <w:rPr>
          <w:lang w:val="fr-FR"/>
        </w:rPr>
        <w:t>’</w:t>
      </w:r>
      <w:r w:rsidR="00B35EC8" w:rsidRPr="008D2CC5">
        <w:rPr>
          <w:lang w:val="fr-FR"/>
        </w:rPr>
        <w:t xml:space="preserve">article 7 de la Convention de Minamata et être conformes </w:t>
      </w:r>
      <w:r w:rsidR="003F6B95">
        <w:rPr>
          <w:lang w:val="fr-FR"/>
        </w:rPr>
        <w:t xml:space="preserve">à ce </w:t>
      </w:r>
      <w:r w:rsidR="00B35EC8" w:rsidRPr="008D2CC5">
        <w:rPr>
          <w:lang w:val="fr-FR"/>
        </w:rPr>
        <w:t>plan</w:t>
      </w:r>
      <w:r w:rsidR="00DD0FCB" w:rsidRPr="008D2CC5">
        <w:rPr>
          <w:lang w:val="fr-FR"/>
        </w:rPr>
        <w:t>.</w:t>
      </w:r>
    </w:p>
    <w:p w14:paraId="4D8B22A1" w14:textId="22D7BAAB" w:rsidR="00D31AFF" w:rsidRPr="008D2CC5" w:rsidRDefault="00B35EC8" w:rsidP="006D69D3">
      <w:pPr>
        <w:pStyle w:val="Normalnumber"/>
        <w:rPr>
          <w:lang w:val="fr-FR"/>
        </w:rPr>
      </w:pPr>
      <w:r w:rsidRPr="008D2CC5">
        <w:rPr>
          <w:lang w:val="fr-FR"/>
        </w:rPr>
        <w:t>Dans la mesure où l</w:t>
      </w:r>
      <w:r w:rsidR="000409D6" w:rsidRPr="008D2CC5">
        <w:rPr>
          <w:lang w:val="fr-FR"/>
        </w:rPr>
        <w:t>’</w:t>
      </w:r>
      <w:r w:rsidRPr="008D2CC5">
        <w:rPr>
          <w:lang w:val="fr-FR"/>
        </w:rPr>
        <w:t>extraction minière artisanale et à petite échelle d</w:t>
      </w:r>
      <w:r w:rsidR="000409D6" w:rsidRPr="008D2CC5">
        <w:rPr>
          <w:lang w:val="fr-FR"/>
        </w:rPr>
        <w:t>’</w:t>
      </w:r>
      <w:r w:rsidRPr="008D2CC5">
        <w:rPr>
          <w:lang w:val="fr-FR"/>
        </w:rPr>
        <w:t>or peut être la seule activité économique dans certains endroits, un plan d</w:t>
      </w:r>
      <w:r w:rsidR="000409D6" w:rsidRPr="008D2CC5">
        <w:rPr>
          <w:lang w:val="fr-FR"/>
        </w:rPr>
        <w:t>’</w:t>
      </w:r>
      <w:r w:rsidRPr="008D2CC5">
        <w:rPr>
          <w:lang w:val="fr-FR"/>
        </w:rPr>
        <w:t xml:space="preserve">action local devra </w:t>
      </w:r>
      <w:r w:rsidR="00E976ED">
        <w:rPr>
          <w:lang w:val="fr-FR"/>
        </w:rPr>
        <w:t xml:space="preserve">éventuellement </w:t>
      </w:r>
      <w:r w:rsidRPr="008D2CC5">
        <w:rPr>
          <w:lang w:val="fr-FR"/>
        </w:rPr>
        <w:t xml:space="preserve">être élaboré en collaboration avec des représentants locaux </w:t>
      </w:r>
      <w:r w:rsidR="00E976ED">
        <w:rPr>
          <w:lang w:val="fr-FR"/>
        </w:rPr>
        <w:t>afin d’</w:t>
      </w:r>
      <w:r w:rsidRPr="008D2CC5">
        <w:rPr>
          <w:lang w:val="fr-FR"/>
        </w:rPr>
        <w:t xml:space="preserve">informer les mineurs </w:t>
      </w:r>
      <w:r w:rsidR="00412A63" w:rsidRPr="00412A63">
        <w:rPr>
          <w:lang w:val="fr-FR"/>
        </w:rPr>
        <w:t xml:space="preserve">et </w:t>
      </w:r>
      <w:r w:rsidR="00E976ED">
        <w:rPr>
          <w:lang w:val="fr-FR"/>
        </w:rPr>
        <w:t xml:space="preserve">de </w:t>
      </w:r>
      <w:r w:rsidR="00412A63">
        <w:rPr>
          <w:lang w:val="fr-FR"/>
        </w:rPr>
        <w:t xml:space="preserve">les </w:t>
      </w:r>
      <w:r w:rsidR="00412A63" w:rsidRPr="00412A63">
        <w:rPr>
          <w:lang w:val="fr-FR"/>
        </w:rPr>
        <w:t xml:space="preserve">aider </w:t>
      </w:r>
      <w:r w:rsidR="00412A63">
        <w:rPr>
          <w:lang w:val="fr-FR"/>
        </w:rPr>
        <w:t>à abandonner</w:t>
      </w:r>
      <w:r w:rsidR="000A2AD5" w:rsidRPr="008D2CC5">
        <w:rPr>
          <w:lang w:val="fr-FR"/>
        </w:rPr>
        <w:t xml:space="preserve"> rapide</w:t>
      </w:r>
      <w:r w:rsidR="00412A63">
        <w:rPr>
          <w:lang w:val="fr-FR"/>
        </w:rPr>
        <w:t>ment</w:t>
      </w:r>
      <w:r w:rsidR="000A2AD5" w:rsidRPr="008D2CC5">
        <w:rPr>
          <w:lang w:val="fr-FR"/>
        </w:rPr>
        <w:t xml:space="preserve"> l</w:t>
      </w:r>
      <w:r w:rsidR="000409D6" w:rsidRPr="008D2CC5">
        <w:rPr>
          <w:lang w:val="fr-FR"/>
        </w:rPr>
        <w:t>’</w:t>
      </w:r>
      <w:r w:rsidR="000A2AD5" w:rsidRPr="008D2CC5">
        <w:rPr>
          <w:lang w:val="fr-FR"/>
        </w:rPr>
        <w:t>utilisation d</w:t>
      </w:r>
      <w:r w:rsidR="00412A63">
        <w:rPr>
          <w:lang w:val="fr-FR"/>
        </w:rPr>
        <w:t>e</w:t>
      </w:r>
      <w:r w:rsidR="000A2AD5" w:rsidRPr="008D2CC5">
        <w:rPr>
          <w:lang w:val="fr-FR"/>
        </w:rPr>
        <w:t xml:space="preserve"> mercure, </w:t>
      </w:r>
      <w:r w:rsidR="00E976ED">
        <w:rPr>
          <w:lang w:val="fr-FR"/>
        </w:rPr>
        <w:t>d’</w:t>
      </w:r>
      <w:r w:rsidR="000A2AD5" w:rsidRPr="008D2CC5">
        <w:rPr>
          <w:lang w:val="fr-FR"/>
        </w:rPr>
        <w:t xml:space="preserve">identifier et </w:t>
      </w:r>
      <w:r w:rsidR="00E976ED">
        <w:rPr>
          <w:lang w:val="fr-FR"/>
        </w:rPr>
        <w:t>d’</w:t>
      </w:r>
      <w:r w:rsidR="000A2AD5" w:rsidRPr="008D2CC5">
        <w:rPr>
          <w:lang w:val="fr-FR"/>
        </w:rPr>
        <w:t xml:space="preserve">isoler les foyers contaminés, </w:t>
      </w:r>
      <w:r w:rsidR="00E976ED">
        <w:rPr>
          <w:lang w:val="fr-FR"/>
        </w:rPr>
        <w:t xml:space="preserve">de </w:t>
      </w:r>
      <w:r w:rsidR="000A2AD5" w:rsidRPr="008D2CC5">
        <w:rPr>
          <w:lang w:val="fr-FR"/>
        </w:rPr>
        <w:t>mettre en œuvre des mesures de surveillance et d</w:t>
      </w:r>
      <w:r w:rsidR="000409D6" w:rsidRPr="008D2CC5">
        <w:rPr>
          <w:lang w:val="fr-FR"/>
        </w:rPr>
        <w:t>’</w:t>
      </w:r>
      <w:r w:rsidR="000A2AD5" w:rsidRPr="008D2CC5">
        <w:rPr>
          <w:lang w:val="fr-FR"/>
        </w:rPr>
        <w:t xml:space="preserve">intervention en matière </w:t>
      </w:r>
      <w:r w:rsidR="00412A63">
        <w:rPr>
          <w:lang w:val="fr-FR"/>
        </w:rPr>
        <w:t xml:space="preserve">de </w:t>
      </w:r>
      <w:r w:rsidR="000A2AD5" w:rsidRPr="008D2CC5">
        <w:rPr>
          <w:lang w:val="fr-FR"/>
        </w:rPr>
        <w:t xml:space="preserve">santé et </w:t>
      </w:r>
      <w:r w:rsidR="00E976ED">
        <w:rPr>
          <w:lang w:val="fr-FR"/>
        </w:rPr>
        <w:t xml:space="preserve">de </w:t>
      </w:r>
      <w:r w:rsidR="000A2AD5" w:rsidRPr="008D2CC5">
        <w:rPr>
          <w:lang w:val="fr-FR"/>
        </w:rPr>
        <w:t>gérer les sites</w:t>
      </w:r>
      <w:r w:rsidR="00E976ED" w:rsidRPr="00E976ED">
        <w:rPr>
          <w:lang w:val="fr-FR"/>
        </w:rPr>
        <w:t xml:space="preserve"> ou </w:t>
      </w:r>
      <w:r w:rsidR="00E976ED">
        <w:rPr>
          <w:lang w:val="fr-FR"/>
        </w:rPr>
        <w:t xml:space="preserve">de les </w:t>
      </w:r>
      <w:r w:rsidR="00E976ED" w:rsidRPr="00E976ED">
        <w:rPr>
          <w:lang w:val="fr-FR"/>
        </w:rPr>
        <w:t>remettre en état</w:t>
      </w:r>
      <w:r w:rsidR="00D31AFF" w:rsidRPr="008D2CC5">
        <w:rPr>
          <w:lang w:val="fr-FR"/>
        </w:rPr>
        <w:t xml:space="preserve">. </w:t>
      </w:r>
      <w:r w:rsidR="000A2AD5" w:rsidRPr="008D2CC5">
        <w:rPr>
          <w:lang w:val="fr-FR"/>
        </w:rPr>
        <w:t>La réduction ou l</w:t>
      </w:r>
      <w:r w:rsidR="000409D6" w:rsidRPr="008D2CC5">
        <w:rPr>
          <w:lang w:val="fr-FR"/>
        </w:rPr>
        <w:t>’</w:t>
      </w:r>
      <w:r w:rsidR="000A2AD5" w:rsidRPr="008D2CC5">
        <w:rPr>
          <w:lang w:val="fr-FR"/>
        </w:rPr>
        <w:t>élimination de l</w:t>
      </w:r>
      <w:r w:rsidR="000409D6" w:rsidRPr="008D2CC5">
        <w:rPr>
          <w:lang w:val="fr-FR"/>
        </w:rPr>
        <w:t>’</w:t>
      </w:r>
      <w:r w:rsidR="000A2AD5" w:rsidRPr="008D2CC5">
        <w:rPr>
          <w:lang w:val="fr-FR"/>
        </w:rPr>
        <w:t>utilisation d</w:t>
      </w:r>
      <w:r w:rsidR="00412A63">
        <w:rPr>
          <w:lang w:val="fr-FR"/>
        </w:rPr>
        <w:t>e</w:t>
      </w:r>
      <w:r w:rsidR="000A2AD5" w:rsidRPr="008D2CC5">
        <w:rPr>
          <w:lang w:val="fr-FR"/>
        </w:rPr>
        <w:t xml:space="preserve"> mercure dans l</w:t>
      </w:r>
      <w:r w:rsidR="000409D6" w:rsidRPr="008D2CC5">
        <w:rPr>
          <w:lang w:val="fr-FR"/>
        </w:rPr>
        <w:t>’</w:t>
      </w:r>
      <w:r w:rsidR="000A2AD5" w:rsidRPr="008D2CC5">
        <w:rPr>
          <w:lang w:val="fr-FR"/>
        </w:rPr>
        <w:t>extraction minière artisanale et à petite échelle d</w:t>
      </w:r>
      <w:r w:rsidR="000409D6" w:rsidRPr="008D2CC5">
        <w:rPr>
          <w:lang w:val="fr-FR"/>
        </w:rPr>
        <w:t>’</w:t>
      </w:r>
      <w:r w:rsidR="000A2AD5" w:rsidRPr="008D2CC5">
        <w:rPr>
          <w:lang w:val="fr-FR"/>
        </w:rPr>
        <w:t>or représente l</w:t>
      </w:r>
      <w:r w:rsidR="000409D6" w:rsidRPr="008D2CC5">
        <w:rPr>
          <w:lang w:val="fr-FR"/>
        </w:rPr>
        <w:t>’</w:t>
      </w:r>
      <w:r w:rsidR="000A2AD5" w:rsidRPr="008D2CC5">
        <w:rPr>
          <w:lang w:val="fr-FR"/>
        </w:rPr>
        <w:t>approche privilégiée</w:t>
      </w:r>
      <w:r w:rsidR="00DD0FCB" w:rsidRPr="008D2CC5">
        <w:rPr>
          <w:lang w:val="fr-FR"/>
        </w:rPr>
        <w:t xml:space="preserve">, </w:t>
      </w:r>
      <w:r w:rsidR="000A2AD5" w:rsidRPr="008D2CC5">
        <w:rPr>
          <w:lang w:val="fr-FR"/>
        </w:rPr>
        <w:t xml:space="preserve">la prévention de la contamination étant </w:t>
      </w:r>
      <w:r w:rsidR="00E976ED">
        <w:rPr>
          <w:lang w:val="fr-FR"/>
        </w:rPr>
        <w:t>à chaque fois</w:t>
      </w:r>
      <w:r w:rsidR="000A2AD5" w:rsidRPr="008D2CC5">
        <w:rPr>
          <w:lang w:val="fr-FR"/>
        </w:rPr>
        <w:t xml:space="preserve"> moins coûteuse que la remise en état</w:t>
      </w:r>
      <w:r w:rsidR="00DD0FCB" w:rsidRPr="008D2CC5">
        <w:rPr>
          <w:lang w:val="fr-FR"/>
        </w:rPr>
        <w:t>.</w:t>
      </w:r>
      <w:r w:rsidR="00E4622F" w:rsidRPr="008D2CC5">
        <w:rPr>
          <w:lang w:val="fr-FR"/>
        </w:rPr>
        <w:t xml:space="preserve"> En adoptant cette approche holistique avec l</w:t>
      </w:r>
      <w:r w:rsidR="000409D6" w:rsidRPr="008D2CC5">
        <w:rPr>
          <w:lang w:val="fr-FR"/>
        </w:rPr>
        <w:t>’</w:t>
      </w:r>
      <w:r w:rsidR="00E4622F" w:rsidRPr="008D2CC5">
        <w:rPr>
          <w:lang w:val="fr-FR"/>
        </w:rPr>
        <w:t xml:space="preserve">appui de la communauté, </w:t>
      </w:r>
      <w:r w:rsidR="00E5787A">
        <w:rPr>
          <w:lang w:val="fr-FR"/>
        </w:rPr>
        <w:t xml:space="preserve">il est possible de </w:t>
      </w:r>
      <w:r w:rsidR="00E5787A" w:rsidRPr="00E5787A">
        <w:rPr>
          <w:lang w:val="fr-FR"/>
        </w:rPr>
        <w:t>rédui</w:t>
      </w:r>
      <w:r w:rsidR="00E5787A">
        <w:rPr>
          <w:lang w:val="fr-FR"/>
        </w:rPr>
        <w:t>re</w:t>
      </w:r>
      <w:r w:rsidR="00E5787A" w:rsidRPr="00E5787A">
        <w:rPr>
          <w:lang w:val="fr-FR"/>
        </w:rPr>
        <w:t xml:space="preserve"> ou même </w:t>
      </w:r>
      <w:r w:rsidR="00E5787A">
        <w:rPr>
          <w:lang w:val="fr-FR"/>
        </w:rPr>
        <w:t>d’</w:t>
      </w:r>
      <w:r w:rsidR="00E5787A" w:rsidRPr="00E5787A">
        <w:rPr>
          <w:lang w:val="fr-FR"/>
        </w:rPr>
        <w:t>élimin</w:t>
      </w:r>
      <w:r w:rsidR="00E5787A">
        <w:rPr>
          <w:lang w:val="fr-FR"/>
        </w:rPr>
        <w:t>er</w:t>
      </w:r>
      <w:r w:rsidR="00E5787A" w:rsidRPr="00E5787A">
        <w:rPr>
          <w:lang w:val="fr-FR"/>
        </w:rPr>
        <w:t xml:space="preserve"> </w:t>
      </w:r>
      <w:r w:rsidR="00E4622F" w:rsidRPr="008D2CC5">
        <w:rPr>
          <w:lang w:val="fr-FR"/>
        </w:rPr>
        <w:t xml:space="preserve">les problèmes liés à la contamination </w:t>
      </w:r>
      <w:r w:rsidR="00E4622F" w:rsidRPr="00E5787A">
        <w:rPr>
          <w:lang w:val="fr-FR"/>
        </w:rPr>
        <w:t xml:space="preserve">dynamique </w:t>
      </w:r>
      <w:r w:rsidR="00412A63" w:rsidRPr="00E5787A">
        <w:rPr>
          <w:lang w:val="fr-FR"/>
        </w:rPr>
        <w:t>par le</w:t>
      </w:r>
      <w:r w:rsidR="00E4622F" w:rsidRPr="00E5787A">
        <w:rPr>
          <w:lang w:val="fr-FR"/>
        </w:rPr>
        <w:t xml:space="preserve"> mercure</w:t>
      </w:r>
      <w:r w:rsidR="00E4622F" w:rsidRPr="008D2CC5">
        <w:rPr>
          <w:lang w:val="fr-FR"/>
        </w:rPr>
        <w:t xml:space="preserve">, permettant </w:t>
      </w:r>
      <w:r w:rsidR="00E5787A">
        <w:rPr>
          <w:lang w:val="fr-FR"/>
        </w:rPr>
        <w:t xml:space="preserve">ainsi </w:t>
      </w:r>
      <w:r w:rsidR="00E4622F" w:rsidRPr="008D2CC5">
        <w:rPr>
          <w:lang w:val="fr-FR"/>
        </w:rPr>
        <w:t>une gestion efficace de la contamination des sites</w:t>
      </w:r>
      <w:r w:rsidR="00D31AFF" w:rsidRPr="008D2CC5">
        <w:rPr>
          <w:lang w:val="fr-FR"/>
        </w:rPr>
        <w:t xml:space="preserve">. </w:t>
      </w:r>
      <w:r w:rsidR="00E4622F" w:rsidRPr="008D2CC5">
        <w:rPr>
          <w:lang w:val="fr-FR"/>
        </w:rPr>
        <w:t>Un plan d</w:t>
      </w:r>
      <w:r w:rsidR="000409D6" w:rsidRPr="008D2CC5">
        <w:rPr>
          <w:lang w:val="fr-FR"/>
        </w:rPr>
        <w:t>’</w:t>
      </w:r>
      <w:r w:rsidR="00E4622F" w:rsidRPr="008D2CC5">
        <w:rPr>
          <w:lang w:val="fr-FR"/>
        </w:rPr>
        <w:t>action</w:t>
      </w:r>
      <w:r w:rsidR="00D31AFF" w:rsidRPr="008D2CC5">
        <w:rPr>
          <w:lang w:val="fr-FR"/>
        </w:rPr>
        <w:t xml:space="preserve"> </w:t>
      </w:r>
      <w:r w:rsidR="006E6221" w:rsidRPr="008D2CC5">
        <w:rPr>
          <w:lang w:val="fr-FR"/>
        </w:rPr>
        <w:t>l</w:t>
      </w:r>
      <w:r w:rsidR="00D31AFF" w:rsidRPr="008D2CC5">
        <w:rPr>
          <w:lang w:val="fr-FR"/>
        </w:rPr>
        <w:t xml:space="preserve">ocal </w:t>
      </w:r>
      <w:r w:rsidR="00E4622F" w:rsidRPr="008D2CC5">
        <w:rPr>
          <w:lang w:val="fr-FR"/>
        </w:rPr>
        <w:t>appuyé par</w:t>
      </w:r>
      <w:r w:rsidR="003374B7" w:rsidRPr="008D2CC5">
        <w:rPr>
          <w:lang w:val="fr-FR"/>
        </w:rPr>
        <w:t xml:space="preserve"> des responsables gouvernementaux en coopération avec les communautés touchées peut également comprendre des scénarios pour des moyens de subsistance de remplacement </w:t>
      </w:r>
      <w:r w:rsidR="003374B7" w:rsidRPr="008D2CC5">
        <w:rPr>
          <w:lang w:val="fr-FR"/>
        </w:rPr>
        <w:lastRenderedPageBreak/>
        <w:t>pour les mineurs</w:t>
      </w:r>
      <w:r w:rsidR="006E6221" w:rsidRPr="008D2CC5">
        <w:rPr>
          <w:lang w:val="fr-FR"/>
        </w:rPr>
        <w:t>,</w:t>
      </w:r>
      <w:r w:rsidR="003374B7" w:rsidRPr="008D2CC5">
        <w:rPr>
          <w:lang w:val="fr-FR"/>
        </w:rPr>
        <w:t xml:space="preserve"> réduisant </w:t>
      </w:r>
      <w:r w:rsidR="00FE4750" w:rsidRPr="008D2CC5">
        <w:rPr>
          <w:lang w:val="fr-FR"/>
        </w:rPr>
        <w:t xml:space="preserve">ainsi </w:t>
      </w:r>
      <w:r w:rsidR="003374B7" w:rsidRPr="008D2CC5">
        <w:rPr>
          <w:lang w:val="fr-FR"/>
        </w:rPr>
        <w:t>l</w:t>
      </w:r>
      <w:r w:rsidR="000409D6" w:rsidRPr="008D2CC5">
        <w:rPr>
          <w:lang w:val="fr-FR"/>
        </w:rPr>
        <w:t>’</w:t>
      </w:r>
      <w:r w:rsidR="003374B7" w:rsidRPr="008D2CC5">
        <w:rPr>
          <w:lang w:val="fr-FR"/>
        </w:rPr>
        <w:t>opposition de la communauté à l</w:t>
      </w:r>
      <w:r w:rsidR="000409D6" w:rsidRPr="008D2CC5">
        <w:rPr>
          <w:lang w:val="fr-FR"/>
        </w:rPr>
        <w:t>’</w:t>
      </w:r>
      <w:r w:rsidR="003374B7" w:rsidRPr="008D2CC5">
        <w:rPr>
          <w:lang w:val="fr-FR"/>
        </w:rPr>
        <w:t>élimination de l</w:t>
      </w:r>
      <w:r w:rsidR="000409D6" w:rsidRPr="008D2CC5">
        <w:rPr>
          <w:lang w:val="fr-FR"/>
        </w:rPr>
        <w:t>’</w:t>
      </w:r>
      <w:r w:rsidR="003374B7" w:rsidRPr="008D2CC5">
        <w:rPr>
          <w:lang w:val="fr-FR"/>
        </w:rPr>
        <w:t>utilisation du mercure et le potentiel de contamination</w:t>
      </w:r>
      <w:r w:rsidR="00D31AFF" w:rsidRPr="008D2CC5">
        <w:rPr>
          <w:lang w:val="fr-FR"/>
        </w:rPr>
        <w:t xml:space="preserve"> </w:t>
      </w:r>
      <w:r w:rsidR="003374B7" w:rsidRPr="008D2CC5">
        <w:rPr>
          <w:lang w:val="fr-FR"/>
        </w:rPr>
        <w:t>continue</w:t>
      </w:r>
      <w:r w:rsidR="00D31AFF" w:rsidRPr="008D2CC5">
        <w:rPr>
          <w:lang w:val="fr-FR"/>
        </w:rPr>
        <w:t>.</w:t>
      </w:r>
    </w:p>
    <w:p w14:paraId="6DBC63C3" w14:textId="55F5631D" w:rsidR="00D31AFF" w:rsidRPr="008D2CC5" w:rsidRDefault="003374B7" w:rsidP="006D69D3">
      <w:pPr>
        <w:pStyle w:val="Normalnumber"/>
        <w:rPr>
          <w:lang w:val="fr-FR"/>
        </w:rPr>
      </w:pPr>
      <w:r w:rsidRPr="008D2CC5">
        <w:rPr>
          <w:lang w:val="fr-FR"/>
        </w:rPr>
        <w:t xml:space="preserve">Les mesures techniques </w:t>
      </w:r>
      <w:r w:rsidR="00BC38C0" w:rsidRPr="008D2CC5">
        <w:rPr>
          <w:lang w:val="fr-FR"/>
        </w:rPr>
        <w:t>de</w:t>
      </w:r>
      <w:r w:rsidRPr="008D2CC5">
        <w:rPr>
          <w:lang w:val="fr-FR"/>
        </w:rPr>
        <w:t xml:space="preserve"> gestion et </w:t>
      </w:r>
      <w:r w:rsidR="00BC38C0" w:rsidRPr="008D2CC5">
        <w:rPr>
          <w:lang w:val="fr-FR"/>
        </w:rPr>
        <w:t>de</w:t>
      </w:r>
      <w:r w:rsidRPr="008D2CC5">
        <w:rPr>
          <w:lang w:val="fr-FR"/>
        </w:rPr>
        <w:t xml:space="preserve"> remise en état des sites d</w:t>
      </w:r>
      <w:r w:rsidR="000409D6" w:rsidRPr="008D2CC5">
        <w:rPr>
          <w:lang w:val="fr-FR"/>
        </w:rPr>
        <w:t>’</w:t>
      </w:r>
      <w:r w:rsidRPr="008D2CC5">
        <w:rPr>
          <w:lang w:val="fr-FR"/>
        </w:rPr>
        <w:t>extraction minière artisanale et à petite échelle d</w:t>
      </w:r>
      <w:r w:rsidR="000409D6" w:rsidRPr="008D2CC5">
        <w:rPr>
          <w:lang w:val="fr-FR"/>
        </w:rPr>
        <w:t>’</w:t>
      </w:r>
      <w:r w:rsidRPr="008D2CC5">
        <w:rPr>
          <w:lang w:val="fr-FR"/>
        </w:rPr>
        <w:t xml:space="preserve">or contaminés </w:t>
      </w:r>
      <w:r w:rsidR="00547CE1" w:rsidRPr="008D2CC5">
        <w:rPr>
          <w:lang w:val="fr-FR"/>
        </w:rPr>
        <w:t>pourraient</w:t>
      </w:r>
      <w:r w:rsidRPr="008D2CC5">
        <w:rPr>
          <w:lang w:val="fr-FR"/>
        </w:rPr>
        <w:t xml:space="preserve"> tenir compte du fait que les sites </w:t>
      </w:r>
      <w:r w:rsidR="0087179B" w:rsidRPr="008D2CC5">
        <w:rPr>
          <w:lang w:val="fr-FR"/>
        </w:rPr>
        <w:t>peuvent</w:t>
      </w:r>
      <w:r w:rsidRPr="008D2CC5">
        <w:rPr>
          <w:lang w:val="fr-FR"/>
        </w:rPr>
        <w:t xml:space="preserve"> être situés dans des </w:t>
      </w:r>
      <w:r w:rsidR="00BC38C0" w:rsidRPr="008D2CC5">
        <w:rPr>
          <w:lang w:val="fr-FR"/>
        </w:rPr>
        <w:t>zones reculées difficilement accessibles</w:t>
      </w:r>
      <w:r w:rsidR="00D31AFF" w:rsidRPr="008D2CC5">
        <w:rPr>
          <w:lang w:val="fr-FR"/>
        </w:rPr>
        <w:t>.</w:t>
      </w:r>
      <w:r w:rsidR="00BC38C0" w:rsidRPr="008D2CC5">
        <w:rPr>
          <w:lang w:val="fr-FR"/>
        </w:rPr>
        <w:t xml:space="preserve"> Si l</w:t>
      </w:r>
      <w:r w:rsidR="000409D6" w:rsidRPr="008D2CC5">
        <w:rPr>
          <w:lang w:val="fr-FR"/>
        </w:rPr>
        <w:t>’</w:t>
      </w:r>
      <w:r w:rsidR="00BC38C0" w:rsidRPr="008D2CC5">
        <w:rPr>
          <w:lang w:val="fr-FR"/>
        </w:rPr>
        <w:t>objectif du plan de gestion est de traiter le milieu contaminé afin d</w:t>
      </w:r>
      <w:r w:rsidR="000409D6" w:rsidRPr="008D2CC5">
        <w:rPr>
          <w:lang w:val="fr-FR"/>
        </w:rPr>
        <w:t>’</w:t>
      </w:r>
      <w:r w:rsidR="00BC38C0" w:rsidRPr="008D2CC5">
        <w:rPr>
          <w:lang w:val="fr-FR"/>
        </w:rPr>
        <w:t xml:space="preserve">éliminer le mercure, </w:t>
      </w:r>
      <w:r w:rsidR="00E5787A">
        <w:rPr>
          <w:lang w:val="fr-FR"/>
        </w:rPr>
        <w:t xml:space="preserve">il faudra </w:t>
      </w:r>
      <w:r w:rsidR="00BC38C0" w:rsidRPr="008D2CC5">
        <w:rPr>
          <w:lang w:val="fr-FR"/>
        </w:rPr>
        <w:t xml:space="preserve">soit </w:t>
      </w:r>
      <w:r w:rsidR="00E5787A">
        <w:rPr>
          <w:lang w:val="fr-FR"/>
        </w:rPr>
        <w:t xml:space="preserve">amener </w:t>
      </w:r>
      <w:r w:rsidR="00BC38C0" w:rsidRPr="008D2CC5">
        <w:rPr>
          <w:lang w:val="fr-FR"/>
        </w:rPr>
        <w:t xml:space="preserve">des équipements sur le lieu touché, soit </w:t>
      </w:r>
      <w:r w:rsidR="00E5787A">
        <w:rPr>
          <w:lang w:val="fr-FR"/>
        </w:rPr>
        <w:t xml:space="preserve">envoyer </w:t>
      </w:r>
      <w:r w:rsidR="00BC38C0" w:rsidRPr="008D2CC5">
        <w:rPr>
          <w:lang w:val="fr-FR"/>
        </w:rPr>
        <w:t xml:space="preserve">les sols et les sédiments </w:t>
      </w:r>
      <w:r w:rsidR="00E5787A">
        <w:rPr>
          <w:lang w:val="fr-FR"/>
        </w:rPr>
        <w:t xml:space="preserve">à </w:t>
      </w:r>
      <w:r w:rsidR="00BC38C0" w:rsidRPr="008D2CC5">
        <w:rPr>
          <w:lang w:val="fr-FR"/>
        </w:rPr>
        <w:t>des installations de traitement existantes</w:t>
      </w:r>
      <w:r w:rsidR="00D31AFF" w:rsidRPr="008D2CC5">
        <w:rPr>
          <w:lang w:val="fr-FR"/>
        </w:rPr>
        <w:t>.</w:t>
      </w:r>
      <w:r w:rsidR="00BC38C0" w:rsidRPr="008D2CC5">
        <w:rPr>
          <w:lang w:val="fr-FR"/>
        </w:rPr>
        <w:t xml:space="preserve"> Dans la plupart des cas, le coût de ce dernier scénario s</w:t>
      </w:r>
      <w:r w:rsidR="000409D6" w:rsidRPr="008D2CC5">
        <w:rPr>
          <w:lang w:val="fr-FR"/>
        </w:rPr>
        <w:t>’</w:t>
      </w:r>
      <w:r w:rsidR="00BC38C0" w:rsidRPr="008D2CC5">
        <w:rPr>
          <w:lang w:val="fr-FR"/>
        </w:rPr>
        <w:t>avèrera prohibitif</w:t>
      </w:r>
      <w:r w:rsidR="00D31AFF" w:rsidRPr="008D2CC5">
        <w:rPr>
          <w:lang w:val="fr-FR"/>
        </w:rPr>
        <w:t>.</w:t>
      </w:r>
      <w:r w:rsidR="00BC38C0" w:rsidRPr="008D2CC5">
        <w:rPr>
          <w:lang w:val="fr-FR"/>
        </w:rPr>
        <w:t xml:space="preserve"> En conséquence, les méthodes et techniques standard </w:t>
      </w:r>
      <w:r w:rsidR="00E5787A">
        <w:rPr>
          <w:lang w:val="fr-FR"/>
        </w:rPr>
        <w:t>de</w:t>
      </w:r>
      <w:r w:rsidR="00BC38C0" w:rsidRPr="008D2CC5">
        <w:rPr>
          <w:lang w:val="fr-FR"/>
        </w:rPr>
        <w:t xml:space="preserve"> décontamination des sols, des sédiments et des boues</w:t>
      </w:r>
      <w:r w:rsidR="00F50B8C" w:rsidRPr="008D2CC5">
        <w:rPr>
          <w:lang w:val="fr-FR"/>
        </w:rPr>
        <w:t xml:space="preserve"> </w:t>
      </w:r>
      <w:r w:rsidR="00E5787A">
        <w:rPr>
          <w:lang w:val="fr-FR"/>
        </w:rPr>
        <w:t>utilisant</w:t>
      </w:r>
      <w:r w:rsidR="00F50B8C" w:rsidRPr="008D2CC5">
        <w:rPr>
          <w:lang w:val="fr-FR"/>
        </w:rPr>
        <w:t xml:space="preserve"> des techniques </w:t>
      </w:r>
      <w:r w:rsidR="00D31AFF" w:rsidRPr="00596DE9">
        <w:rPr>
          <w:i/>
          <w:lang w:val="fr-FR"/>
        </w:rPr>
        <w:t>ex-situ</w:t>
      </w:r>
      <w:r w:rsidR="00D31AFF" w:rsidRPr="008D2CC5">
        <w:rPr>
          <w:lang w:val="fr-FR"/>
        </w:rPr>
        <w:t xml:space="preserve"> (</w:t>
      </w:r>
      <w:r w:rsidR="00F50B8C" w:rsidRPr="008D2CC5">
        <w:rPr>
          <w:lang w:val="fr-FR"/>
        </w:rPr>
        <w:t>généralement sur des sites industriels</w:t>
      </w:r>
      <w:r w:rsidR="00D31AFF" w:rsidRPr="008D2CC5">
        <w:rPr>
          <w:lang w:val="fr-FR"/>
        </w:rPr>
        <w:t>)</w:t>
      </w:r>
      <w:r w:rsidR="00F50B8C" w:rsidRPr="008D2CC5">
        <w:rPr>
          <w:lang w:val="fr-FR"/>
        </w:rPr>
        <w:t xml:space="preserve"> devront peut-être être adaptées afin de permettre que des technologies plus petites, modulaires, transportables et écologiquement rationnelles soient </w:t>
      </w:r>
      <w:r w:rsidR="00FE4750" w:rsidRPr="008D2CC5">
        <w:rPr>
          <w:lang w:val="fr-FR"/>
        </w:rPr>
        <w:t>acheminées vers</w:t>
      </w:r>
      <w:r w:rsidR="00F50B8C" w:rsidRPr="008D2CC5">
        <w:rPr>
          <w:lang w:val="fr-FR"/>
        </w:rPr>
        <w:t xml:space="preserve"> le site contaminé </w:t>
      </w:r>
      <w:r w:rsidR="0087179B" w:rsidRPr="008D2CC5">
        <w:rPr>
          <w:lang w:val="fr-FR"/>
        </w:rPr>
        <w:t>pour</w:t>
      </w:r>
      <w:r w:rsidR="00F50B8C" w:rsidRPr="008D2CC5">
        <w:rPr>
          <w:lang w:val="fr-FR"/>
        </w:rPr>
        <w:t xml:space="preserve"> traiter les matériaux contaminés</w:t>
      </w:r>
      <w:r w:rsidR="00D31AFF" w:rsidRPr="008D2CC5">
        <w:rPr>
          <w:lang w:val="fr-FR"/>
        </w:rPr>
        <w:t xml:space="preserve">. </w:t>
      </w:r>
      <w:r w:rsidR="006468EB" w:rsidRPr="008D2CC5">
        <w:rPr>
          <w:lang w:val="fr-FR"/>
        </w:rPr>
        <w:t>Dans le cas de l</w:t>
      </w:r>
      <w:r w:rsidR="000409D6" w:rsidRPr="008D2CC5">
        <w:rPr>
          <w:lang w:val="fr-FR"/>
        </w:rPr>
        <w:t>’</w:t>
      </w:r>
      <w:r w:rsidR="006468EB" w:rsidRPr="008D2CC5">
        <w:rPr>
          <w:lang w:val="fr-FR"/>
        </w:rPr>
        <w:t>eau contaminée,</w:t>
      </w:r>
      <w:r w:rsidR="00D31AFF" w:rsidRPr="008D2CC5">
        <w:rPr>
          <w:lang w:val="fr-FR"/>
        </w:rPr>
        <w:t xml:space="preserve"> </w:t>
      </w:r>
      <w:r w:rsidR="006468EB" w:rsidRPr="008D2CC5">
        <w:rPr>
          <w:lang w:val="fr-FR"/>
        </w:rPr>
        <w:t>il s</w:t>
      </w:r>
      <w:r w:rsidR="000409D6" w:rsidRPr="008D2CC5">
        <w:rPr>
          <w:lang w:val="fr-FR"/>
        </w:rPr>
        <w:t>’</w:t>
      </w:r>
      <w:r w:rsidR="006468EB" w:rsidRPr="008D2CC5">
        <w:rPr>
          <w:lang w:val="fr-FR"/>
        </w:rPr>
        <w:t>agira probablement de la seule option possible</w:t>
      </w:r>
      <w:r w:rsidR="00D31AFF" w:rsidRPr="008D2CC5">
        <w:rPr>
          <w:lang w:val="fr-FR"/>
        </w:rPr>
        <w:t>.</w:t>
      </w:r>
    </w:p>
    <w:p w14:paraId="6F4C118B" w14:textId="4BA8A8AD" w:rsidR="00D31AFF" w:rsidRPr="008D2CC5" w:rsidRDefault="00315A66" w:rsidP="006D69D3">
      <w:pPr>
        <w:pStyle w:val="Normalnumber"/>
        <w:rPr>
          <w:lang w:val="fr-FR"/>
        </w:rPr>
      </w:pPr>
      <w:r w:rsidRPr="008D2CC5">
        <w:rPr>
          <w:lang w:val="fr-FR"/>
        </w:rPr>
        <w:t xml:space="preserve">Dans les cas où il est possible de détecter des </w:t>
      </w:r>
      <w:r w:rsidR="00E5787A">
        <w:rPr>
          <w:lang w:val="fr-FR"/>
        </w:rPr>
        <w:t>flaqu</w:t>
      </w:r>
      <w:r w:rsidR="00C65E82" w:rsidRPr="008D2CC5">
        <w:rPr>
          <w:lang w:val="fr-FR"/>
        </w:rPr>
        <w:t>es</w:t>
      </w:r>
      <w:r w:rsidRPr="008D2CC5">
        <w:rPr>
          <w:lang w:val="fr-FR"/>
        </w:rPr>
        <w:t xml:space="preserve"> de mercure provenant d</w:t>
      </w:r>
      <w:r w:rsidR="000409D6" w:rsidRPr="008D2CC5">
        <w:rPr>
          <w:lang w:val="fr-FR"/>
        </w:rPr>
        <w:t>’</w:t>
      </w:r>
      <w:r w:rsidRPr="008D2CC5">
        <w:rPr>
          <w:lang w:val="fr-FR"/>
        </w:rPr>
        <w:t>activités</w:t>
      </w:r>
      <w:r w:rsidR="00D31AFF" w:rsidRPr="008D2CC5">
        <w:rPr>
          <w:lang w:val="fr-FR"/>
        </w:rPr>
        <w:t xml:space="preserve"> </w:t>
      </w:r>
      <w:r w:rsidRPr="008D2CC5">
        <w:rPr>
          <w:lang w:val="fr-FR"/>
        </w:rPr>
        <w:t>d</w:t>
      </w:r>
      <w:r w:rsidR="000409D6" w:rsidRPr="008D2CC5">
        <w:rPr>
          <w:lang w:val="fr-FR"/>
        </w:rPr>
        <w:t>’</w:t>
      </w:r>
      <w:r w:rsidRPr="008D2CC5">
        <w:rPr>
          <w:lang w:val="fr-FR"/>
        </w:rPr>
        <w:t>extraction minière artisanale et à petite échelle d</w:t>
      </w:r>
      <w:r w:rsidR="000409D6" w:rsidRPr="008D2CC5">
        <w:rPr>
          <w:lang w:val="fr-FR"/>
        </w:rPr>
        <w:t>’</w:t>
      </w:r>
      <w:r w:rsidRPr="008D2CC5">
        <w:rPr>
          <w:lang w:val="fr-FR"/>
        </w:rPr>
        <w:t>or au fond de</w:t>
      </w:r>
      <w:r w:rsidR="00E5787A">
        <w:rPr>
          <w:lang w:val="fr-FR"/>
        </w:rPr>
        <w:t>s</w:t>
      </w:r>
      <w:r w:rsidRPr="008D2CC5">
        <w:rPr>
          <w:lang w:val="fr-FR"/>
        </w:rPr>
        <w:t xml:space="preserve"> </w:t>
      </w:r>
      <w:r w:rsidR="00E5787A">
        <w:rPr>
          <w:lang w:val="fr-FR"/>
        </w:rPr>
        <w:t>rivières</w:t>
      </w:r>
      <w:r w:rsidRPr="008D2CC5">
        <w:rPr>
          <w:lang w:val="fr-FR"/>
        </w:rPr>
        <w:t xml:space="preserve">, lacs </w:t>
      </w:r>
      <w:r w:rsidR="0087179B" w:rsidRPr="008D2CC5">
        <w:rPr>
          <w:lang w:val="fr-FR"/>
        </w:rPr>
        <w:t>ou</w:t>
      </w:r>
      <w:r w:rsidRPr="008D2CC5">
        <w:rPr>
          <w:lang w:val="fr-FR"/>
        </w:rPr>
        <w:t xml:space="preserve"> bassins de retenue en utilisant un système de télédétection comme </w:t>
      </w:r>
      <w:proofErr w:type="spellStart"/>
      <w:r w:rsidR="00D31AFF" w:rsidRPr="008D2CC5">
        <w:rPr>
          <w:lang w:val="fr-FR"/>
        </w:rPr>
        <w:t>LiDAR</w:t>
      </w:r>
      <w:proofErr w:type="spellEnd"/>
      <w:r w:rsidR="00D31AFF" w:rsidRPr="008D2CC5">
        <w:rPr>
          <w:lang w:val="fr-FR"/>
        </w:rPr>
        <w:t xml:space="preserve">, </w:t>
      </w:r>
      <w:r w:rsidRPr="008D2CC5">
        <w:rPr>
          <w:lang w:val="fr-FR"/>
        </w:rPr>
        <w:t xml:space="preserve">des techniques ont été mises au point pour éliminer ces </w:t>
      </w:r>
      <w:r w:rsidR="00E5787A">
        <w:rPr>
          <w:lang w:val="fr-FR"/>
        </w:rPr>
        <w:t>flaqu</w:t>
      </w:r>
      <w:r w:rsidR="00C65E82" w:rsidRPr="008D2CC5">
        <w:rPr>
          <w:lang w:val="fr-FR"/>
        </w:rPr>
        <w:t>es</w:t>
      </w:r>
      <w:r w:rsidRPr="008D2CC5">
        <w:rPr>
          <w:lang w:val="fr-FR"/>
        </w:rPr>
        <w:t xml:space="preserve"> sans que les sédiments ne subissent la perturbation significative qui peut se produire lorsqu</w:t>
      </w:r>
      <w:r w:rsidR="000409D6" w:rsidRPr="008D2CC5">
        <w:rPr>
          <w:lang w:val="fr-FR"/>
        </w:rPr>
        <w:t>’</w:t>
      </w:r>
      <w:r w:rsidR="0087179B" w:rsidRPr="008D2CC5">
        <w:rPr>
          <w:lang w:val="fr-FR"/>
        </w:rPr>
        <w:t>une</w:t>
      </w:r>
      <w:r w:rsidRPr="008D2CC5">
        <w:rPr>
          <w:lang w:val="fr-FR"/>
        </w:rPr>
        <w:t xml:space="preserve"> technique de dragage est appliquée</w:t>
      </w:r>
      <w:r w:rsidR="00D31AFF" w:rsidRPr="008D2CC5">
        <w:rPr>
          <w:lang w:val="fr-FR"/>
        </w:rPr>
        <w:t>.</w:t>
      </w:r>
    </w:p>
    <w:p w14:paraId="18CD679C" w14:textId="451E7B2D" w:rsidR="00AC6AEE" w:rsidRPr="008D2CC5" w:rsidRDefault="006F2CCA" w:rsidP="006D69D3">
      <w:pPr>
        <w:pStyle w:val="Normalnumber"/>
        <w:rPr>
          <w:lang w:val="fr-FR"/>
        </w:rPr>
      </w:pPr>
      <w:r w:rsidRPr="008D2CC5">
        <w:rPr>
          <w:lang w:val="fr-FR"/>
        </w:rPr>
        <w:t>Il convient de prendre des précautions lors</w:t>
      </w:r>
      <w:r w:rsidR="00F31484" w:rsidRPr="008D2CC5">
        <w:rPr>
          <w:lang w:val="fr-FR"/>
        </w:rPr>
        <w:t xml:space="preserve"> du réaménagement </w:t>
      </w:r>
      <w:r w:rsidR="00FE4750" w:rsidRPr="008D2CC5">
        <w:rPr>
          <w:lang w:val="fr-FR"/>
        </w:rPr>
        <w:t>d</w:t>
      </w:r>
      <w:r w:rsidR="000409D6" w:rsidRPr="008D2CC5">
        <w:rPr>
          <w:lang w:val="fr-FR"/>
        </w:rPr>
        <w:t>’</w:t>
      </w:r>
      <w:r w:rsidR="00FE4750" w:rsidRPr="008D2CC5">
        <w:rPr>
          <w:lang w:val="fr-FR"/>
        </w:rPr>
        <w:t>anciennes</w:t>
      </w:r>
      <w:r w:rsidR="00F31484" w:rsidRPr="008D2CC5">
        <w:rPr>
          <w:lang w:val="fr-FR"/>
        </w:rPr>
        <w:t xml:space="preserve"> zones contaminées, certaines mesures de réhabilitation pouvant accroître la mobilité du mercure </w:t>
      </w:r>
      <w:r w:rsidR="00AC6AEE" w:rsidRPr="008D2CC5">
        <w:rPr>
          <w:lang w:val="fr-FR"/>
        </w:rPr>
        <w:t>(</w:t>
      </w:r>
      <w:proofErr w:type="spellStart"/>
      <w:r w:rsidR="00AC6AEE" w:rsidRPr="008D2CC5">
        <w:rPr>
          <w:lang w:val="fr-FR"/>
        </w:rPr>
        <w:t>Laperche</w:t>
      </w:r>
      <w:proofErr w:type="spellEnd"/>
      <w:r w:rsidR="00626219" w:rsidRPr="008D2CC5">
        <w:rPr>
          <w:lang w:val="fr-FR"/>
        </w:rPr>
        <w:t> </w:t>
      </w:r>
      <w:r w:rsidR="00F31484" w:rsidRPr="008D2CC5">
        <w:rPr>
          <w:lang w:val="fr-FR"/>
        </w:rPr>
        <w:t>et</w:t>
      </w:r>
      <w:r w:rsidR="00626219" w:rsidRPr="008D2CC5">
        <w:rPr>
          <w:lang w:val="fr-FR"/>
        </w:rPr>
        <w:t> </w:t>
      </w:r>
      <w:proofErr w:type="spellStart"/>
      <w:r w:rsidR="00AC6AEE" w:rsidRPr="008D2CC5">
        <w:rPr>
          <w:lang w:val="fr-FR"/>
        </w:rPr>
        <w:t>Touzé</w:t>
      </w:r>
      <w:proofErr w:type="spellEnd"/>
      <w:r w:rsidR="00AC6AEE" w:rsidRPr="008D2CC5">
        <w:rPr>
          <w:lang w:val="fr-FR"/>
        </w:rPr>
        <w:t>,</w:t>
      </w:r>
      <w:r w:rsidR="00626219" w:rsidRPr="008D2CC5">
        <w:rPr>
          <w:lang w:val="fr-FR"/>
        </w:rPr>
        <w:t> </w:t>
      </w:r>
      <w:r w:rsidR="00AC6AEE" w:rsidRPr="008D2CC5">
        <w:rPr>
          <w:lang w:val="fr-FR"/>
        </w:rPr>
        <w:t>2014).</w:t>
      </w:r>
    </w:p>
    <w:p w14:paraId="5449FC4D" w14:textId="1336B1A2" w:rsidR="00D31AFF" w:rsidRPr="008D2CC5" w:rsidRDefault="00D31AFF" w:rsidP="00F93F76">
      <w:pPr>
        <w:pStyle w:val="CH2"/>
        <w:rPr>
          <w:lang w:val="fr-FR"/>
        </w:rPr>
      </w:pPr>
      <w:r w:rsidRPr="008D2CC5">
        <w:rPr>
          <w:lang w:val="fr-FR"/>
        </w:rPr>
        <w:tab/>
      </w:r>
      <w:bookmarkStart w:id="20" w:name="_Toc15920553"/>
      <w:r w:rsidRPr="008D2CC5">
        <w:rPr>
          <w:lang w:val="fr-FR"/>
        </w:rPr>
        <w:t>F.</w:t>
      </w:r>
      <w:r w:rsidRPr="008D2CC5">
        <w:rPr>
          <w:lang w:val="fr-FR"/>
        </w:rPr>
        <w:tab/>
      </w:r>
      <w:r w:rsidR="00F31484" w:rsidRPr="008D2CC5">
        <w:rPr>
          <w:lang w:val="fr-FR"/>
        </w:rPr>
        <w:t>É</w:t>
      </w:r>
      <w:r w:rsidRPr="008D2CC5">
        <w:rPr>
          <w:lang w:val="fr-FR"/>
        </w:rPr>
        <w:t xml:space="preserve">valuation </w:t>
      </w:r>
      <w:r w:rsidR="00F31484" w:rsidRPr="008D2CC5">
        <w:rPr>
          <w:lang w:val="fr-FR"/>
        </w:rPr>
        <w:t xml:space="preserve">des </w:t>
      </w:r>
      <w:r w:rsidR="005848C8" w:rsidRPr="008D2CC5">
        <w:rPr>
          <w:lang w:val="fr-FR"/>
        </w:rPr>
        <w:t>avantages</w:t>
      </w:r>
      <w:r w:rsidR="00F31484" w:rsidRPr="008D2CC5">
        <w:rPr>
          <w:lang w:val="fr-FR"/>
        </w:rPr>
        <w:t xml:space="preserve"> et des coûts</w:t>
      </w:r>
      <w:bookmarkEnd w:id="20"/>
    </w:p>
    <w:p w14:paraId="16FCA8D3" w14:textId="0DFB9463" w:rsidR="00DD0FCB" w:rsidRPr="008D2CC5" w:rsidRDefault="001C483D" w:rsidP="006D69D3">
      <w:pPr>
        <w:pStyle w:val="Normalnumber"/>
        <w:rPr>
          <w:lang w:val="fr-FR"/>
        </w:rPr>
      </w:pPr>
      <w:r w:rsidRPr="008D2CC5">
        <w:rPr>
          <w:lang w:val="fr-FR"/>
        </w:rPr>
        <w:t>Les coûts probables et les avantages escomptés de l</w:t>
      </w:r>
      <w:r w:rsidR="000409D6" w:rsidRPr="008D2CC5">
        <w:rPr>
          <w:lang w:val="fr-FR"/>
        </w:rPr>
        <w:t>’</w:t>
      </w:r>
      <w:r w:rsidRPr="008D2CC5">
        <w:rPr>
          <w:lang w:val="fr-FR"/>
        </w:rPr>
        <w:t>identification, de l</w:t>
      </w:r>
      <w:r w:rsidR="000409D6" w:rsidRPr="008D2CC5">
        <w:rPr>
          <w:lang w:val="fr-FR"/>
        </w:rPr>
        <w:t>’</w:t>
      </w:r>
      <w:r w:rsidRPr="008D2CC5">
        <w:rPr>
          <w:lang w:val="fr-FR"/>
        </w:rPr>
        <w:t>évaluation, de la gestion et/ou de la remise en état des sites contaminés peuvent fortement varier</w:t>
      </w:r>
      <w:r w:rsidR="00DD0FCB" w:rsidRPr="008D2CC5">
        <w:rPr>
          <w:lang w:val="fr-FR"/>
        </w:rPr>
        <w:t>.</w:t>
      </w:r>
      <w:r w:rsidRPr="008D2CC5">
        <w:rPr>
          <w:lang w:val="fr-FR"/>
        </w:rPr>
        <w:t xml:space="preserve"> Chaque site </w:t>
      </w:r>
      <w:r w:rsidR="00F633DE" w:rsidRPr="008D2CC5">
        <w:rPr>
          <w:lang w:val="fr-FR"/>
        </w:rPr>
        <w:t>engendrera des</w:t>
      </w:r>
      <w:r w:rsidRPr="008D2CC5">
        <w:rPr>
          <w:lang w:val="fr-FR"/>
        </w:rPr>
        <w:t xml:space="preserve"> coûts</w:t>
      </w:r>
      <w:r w:rsidR="0087179B" w:rsidRPr="008D2CC5">
        <w:rPr>
          <w:lang w:val="fr-FR"/>
        </w:rPr>
        <w:t xml:space="preserve"> et des avantages</w:t>
      </w:r>
      <w:r w:rsidRPr="008D2CC5">
        <w:rPr>
          <w:lang w:val="fr-FR"/>
        </w:rPr>
        <w:t xml:space="preserve"> directs et indirects ainsi que </w:t>
      </w:r>
      <w:r w:rsidR="00F633DE" w:rsidRPr="008D2CC5">
        <w:rPr>
          <w:lang w:val="fr-FR"/>
        </w:rPr>
        <w:t>des</w:t>
      </w:r>
      <w:r w:rsidRPr="008D2CC5">
        <w:rPr>
          <w:lang w:val="fr-FR"/>
        </w:rPr>
        <w:t xml:space="preserve"> coûts et </w:t>
      </w:r>
      <w:r w:rsidR="0087179B" w:rsidRPr="008D2CC5">
        <w:rPr>
          <w:lang w:val="fr-FR"/>
        </w:rPr>
        <w:t xml:space="preserve">des </w:t>
      </w:r>
      <w:r w:rsidRPr="008D2CC5">
        <w:rPr>
          <w:lang w:val="fr-FR"/>
        </w:rPr>
        <w:t xml:space="preserve">avantages non </w:t>
      </w:r>
      <w:r w:rsidR="00013A85" w:rsidRPr="008D2CC5">
        <w:rPr>
          <w:lang w:val="fr-FR"/>
        </w:rPr>
        <w:t>monétaires</w:t>
      </w:r>
      <w:r w:rsidR="00DD0FCB" w:rsidRPr="008D2CC5">
        <w:rPr>
          <w:lang w:val="fr-FR"/>
        </w:rPr>
        <w:t>.</w:t>
      </w:r>
      <w:r w:rsidR="00152CD3" w:rsidRPr="008D2CC5">
        <w:rPr>
          <w:lang w:val="fr-FR"/>
        </w:rPr>
        <w:t xml:space="preserve"> </w:t>
      </w:r>
      <w:r w:rsidR="00462042">
        <w:rPr>
          <w:lang w:val="fr-FR"/>
        </w:rPr>
        <w:t>Ces </w:t>
      </w:r>
      <w:r w:rsidR="00F633DE" w:rsidRPr="008D2CC5">
        <w:rPr>
          <w:lang w:val="fr-FR"/>
        </w:rPr>
        <w:t>facteurs, ainsi que la disponibilité de ressources financières et le nombre de sites pouvant se trouver sur le territoire national, seront des éléments clés pour l</w:t>
      </w:r>
      <w:r w:rsidR="000409D6" w:rsidRPr="008D2CC5">
        <w:rPr>
          <w:lang w:val="fr-FR"/>
        </w:rPr>
        <w:t>’</w:t>
      </w:r>
      <w:r w:rsidR="00F633DE" w:rsidRPr="008D2CC5">
        <w:rPr>
          <w:lang w:val="fr-FR"/>
        </w:rPr>
        <w:t xml:space="preserve">établissement des priorités </w:t>
      </w:r>
      <w:r w:rsidR="00E5787A">
        <w:rPr>
          <w:lang w:val="fr-FR"/>
        </w:rPr>
        <w:t>au niveau du pays</w:t>
      </w:r>
      <w:r w:rsidR="00DD0FCB" w:rsidRPr="008D2CC5">
        <w:rPr>
          <w:lang w:val="fr-FR"/>
        </w:rPr>
        <w:t>.</w:t>
      </w:r>
      <w:r w:rsidR="00F633DE" w:rsidRPr="008D2CC5">
        <w:rPr>
          <w:lang w:val="fr-FR"/>
        </w:rPr>
        <w:t xml:space="preserve"> La comparaison de sites très différents peut être difficile, mais les Parties devront inévitablement décider des sites qu</w:t>
      </w:r>
      <w:r w:rsidR="000409D6" w:rsidRPr="008D2CC5">
        <w:rPr>
          <w:lang w:val="fr-FR"/>
        </w:rPr>
        <w:t>’</w:t>
      </w:r>
      <w:r w:rsidR="00F633DE" w:rsidRPr="008D2CC5">
        <w:rPr>
          <w:lang w:val="fr-FR"/>
        </w:rPr>
        <w:t>elles vont examiner en premier</w:t>
      </w:r>
      <w:r w:rsidR="00DD0FCB" w:rsidRPr="008D2CC5">
        <w:rPr>
          <w:lang w:val="fr-FR"/>
        </w:rPr>
        <w:t>.</w:t>
      </w:r>
    </w:p>
    <w:p w14:paraId="35610B16" w14:textId="10A38D68" w:rsidR="00D31AFF" w:rsidRPr="008D2CC5" w:rsidRDefault="00AC5124" w:rsidP="006D69D3">
      <w:pPr>
        <w:pStyle w:val="Normalnumber"/>
        <w:rPr>
          <w:lang w:val="fr-FR"/>
        </w:rPr>
      </w:pPr>
      <w:r w:rsidRPr="008D2CC5">
        <w:rPr>
          <w:lang w:val="fr-FR"/>
        </w:rPr>
        <w:t>Toutes les activités en rapport avec l</w:t>
      </w:r>
      <w:r w:rsidR="000409D6" w:rsidRPr="008D2CC5">
        <w:rPr>
          <w:lang w:val="fr-FR"/>
        </w:rPr>
        <w:t>’</w:t>
      </w:r>
      <w:r w:rsidRPr="008D2CC5">
        <w:rPr>
          <w:lang w:val="fr-FR"/>
        </w:rPr>
        <w:t>identification et l</w:t>
      </w:r>
      <w:r w:rsidR="000409D6" w:rsidRPr="008D2CC5">
        <w:rPr>
          <w:lang w:val="fr-FR"/>
        </w:rPr>
        <w:t>’</w:t>
      </w:r>
      <w:r w:rsidRPr="008D2CC5">
        <w:rPr>
          <w:lang w:val="fr-FR"/>
        </w:rPr>
        <w:t>évaluation d</w:t>
      </w:r>
      <w:r w:rsidR="000409D6" w:rsidRPr="008D2CC5">
        <w:rPr>
          <w:lang w:val="fr-FR"/>
        </w:rPr>
        <w:t>’</w:t>
      </w:r>
      <w:r w:rsidRPr="008D2CC5">
        <w:rPr>
          <w:lang w:val="fr-FR"/>
        </w:rPr>
        <w:t>un site contaminé entraînent des coûts plus ou moins élevés. Ces coûts peuvent comprendre la rémunération du personnel chargé de l</w:t>
      </w:r>
      <w:r w:rsidR="000409D6" w:rsidRPr="008D2CC5">
        <w:rPr>
          <w:lang w:val="fr-FR"/>
        </w:rPr>
        <w:t>’</w:t>
      </w:r>
      <w:r w:rsidRPr="008D2CC5">
        <w:rPr>
          <w:lang w:val="fr-FR"/>
        </w:rPr>
        <w:t>identification initiale des sites potentiellement contaminés, des visites d</w:t>
      </w:r>
      <w:r w:rsidR="000409D6" w:rsidRPr="008D2CC5">
        <w:rPr>
          <w:lang w:val="fr-FR"/>
        </w:rPr>
        <w:t>’</w:t>
      </w:r>
      <w:r w:rsidRPr="008D2CC5">
        <w:rPr>
          <w:lang w:val="fr-FR"/>
        </w:rPr>
        <w:t>inspection des sites potentiels et du prélèvement des échantillons pour l</w:t>
      </w:r>
      <w:r w:rsidR="000409D6" w:rsidRPr="008D2CC5">
        <w:rPr>
          <w:lang w:val="fr-FR"/>
        </w:rPr>
        <w:t>’</w:t>
      </w:r>
      <w:r w:rsidRPr="008D2CC5">
        <w:rPr>
          <w:lang w:val="fr-FR"/>
        </w:rPr>
        <w:t>évaluation du niveau de contamination</w:t>
      </w:r>
      <w:r w:rsidR="00D31AFF" w:rsidRPr="008D2CC5">
        <w:rPr>
          <w:lang w:val="fr-FR"/>
        </w:rPr>
        <w:t xml:space="preserve">. </w:t>
      </w:r>
      <w:r w:rsidR="00A33A87" w:rsidRPr="008D2CC5">
        <w:rPr>
          <w:lang w:val="fr-FR"/>
        </w:rPr>
        <w:t>L</w:t>
      </w:r>
      <w:r w:rsidR="000409D6" w:rsidRPr="008D2CC5">
        <w:rPr>
          <w:lang w:val="fr-FR"/>
        </w:rPr>
        <w:t>’</w:t>
      </w:r>
      <w:r w:rsidR="00A33A87" w:rsidRPr="008D2CC5">
        <w:rPr>
          <w:lang w:val="fr-FR"/>
        </w:rPr>
        <w:t>analyse des échantillons, qu</w:t>
      </w:r>
      <w:r w:rsidR="000409D6" w:rsidRPr="008D2CC5">
        <w:rPr>
          <w:lang w:val="fr-FR"/>
        </w:rPr>
        <w:t>’</w:t>
      </w:r>
      <w:r w:rsidR="00A33A87" w:rsidRPr="008D2CC5">
        <w:rPr>
          <w:lang w:val="fr-FR"/>
        </w:rPr>
        <w:t>elle soit réalisée par des laboratoires gouvernementaux ou universitaires ou par des entreprises privées</w:t>
      </w:r>
      <w:r w:rsidR="004C4057" w:rsidRPr="008D2CC5">
        <w:rPr>
          <w:lang w:val="fr-FR"/>
        </w:rPr>
        <w:t xml:space="preserve"> engagées pour effectuer une telle analyse</w:t>
      </w:r>
      <w:r w:rsidR="00A33A87" w:rsidRPr="008D2CC5">
        <w:rPr>
          <w:lang w:val="fr-FR"/>
        </w:rPr>
        <w:t>, entraînera également des coûts</w:t>
      </w:r>
      <w:r w:rsidR="00D31AFF" w:rsidRPr="008D2CC5">
        <w:rPr>
          <w:lang w:val="fr-FR"/>
        </w:rPr>
        <w:t xml:space="preserve">. </w:t>
      </w:r>
      <w:r w:rsidR="00A33A87" w:rsidRPr="008D2CC5">
        <w:rPr>
          <w:lang w:val="fr-FR"/>
        </w:rPr>
        <w:t>Les consultations publiques peuvent également engendrer des coûts en raison du personnel dédié à ces tâches ou du recrutement d</w:t>
      </w:r>
      <w:r w:rsidR="000409D6" w:rsidRPr="008D2CC5">
        <w:rPr>
          <w:lang w:val="fr-FR"/>
        </w:rPr>
        <w:t>’</w:t>
      </w:r>
      <w:r w:rsidR="00A33A87" w:rsidRPr="008D2CC5">
        <w:rPr>
          <w:lang w:val="fr-FR"/>
        </w:rPr>
        <w:t>un consultant ou d</w:t>
      </w:r>
      <w:r w:rsidR="000409D6" w:rsidRPr="008D2CC5">
        <w:rPr>
          <w:lang w:val="fr-FR"/>
        </w:rPr>
        <w:t>’</w:t>
      </w:r>
      <w:r w:rsidR="004C4057" w:rsidRPr="008D2CC5">
        <w:rPr>
          <w:lang w:val="fr-FR"/>
        </w:rPr>
        <w:t xml:space="preserve">une </w:t>
      </w:r>
      <w:r w:rsidR="00A33A87" w:rsidRPr="008D2CC5">
        <w:rPr>
          <w:lang w:val="fr-FR"/>
        </w:rPr>
        <w:t>entreprise spécialisée</w:t>
      </w:r>
      <w:r w:rsidR="00D31AFF" w:rsidRPr="008D2CC5">
        <w:rPr>
          <w:lang w:val="fr-FR"/>
        </w:rPr>
        <w:t>.</w:t>
      </w:r>
    </w:p>
    <w:p w14:paraId="66F32128" w14:textId="761F5CAF" w:rsidR="00D31AFF" w:rsidRPr="008D2CC5" w:rsidRDefault="00A33A87" w:rsidP="006D69D3">
      <w:pPr>
        <w:pStyle w:val="Normalnumber"/>
        <w:rPr>
          <w:lang w:val="fr-FR"/>
        </w:rPr>
      </w:pPr>
      <w:bookmarkStart w:id="21" w:name="_Hlk10106261"/>
      <w:r w:rsidRPr="008D2CC5">
        <w:rPr>
          <w:lang w:val="fr-FR"/>
        </w:rPr>
        <w:t>La gestion ou la remise en état des sites contaminés entraîne des coûts, dont certains sont ponctuels (dépenses d</w:t>
      </w:r>
      <w:r w:rsidR="000409D6" w:rsidRPr="008D2CC5">
        <w:rPr>
          <w:lang w:val="fr-FR"/>
        </w:rPr>
        <w:t>’</w:t>
      </w:r>
      <w:r w:rsidRPr="008D2CC5">
        <w:rPr>
          <w:lang w:val="fr-FR"/>
        </w:rPr>
        <w:t>investissement) et d</w:t>
      </w:r>
      <w:r w:rsidR="000409D6" w:rsidRPr="008D2CC5">
        <w:rPr>
          <w:lang w:val="fr-FR"/>
        </w:rPr>
        <w:t>’</w:t>
      </w:r>
      <w:r w:rsidRPr="008D2CC5">
        <w:rPr>
          <w:lang w:val="fr-FR"/>
        </w:rPr>
        <w:t>autres récurrents (coûts de fonctionnement, de maintenance et de surveillance)</w:t>
      </w:r>
      <w:bookmarkEnd w:id="21"/>
      <w:r w:rsidR="00D31AFF" w:rsidRPr="008D2CC5">
        <w:rPr>
          <w:lang w:val="fr-FR"/>
        </w:rPr>
        <w:t xml:space="preserve">. </w:t>
      </w:r>
      <w:r w:rsidRPr="008D2CC5">
        <w:rPr>
          <w:lang w:val="fr-FR"/>
        </w:rPr>
        <w:t>Les coûts réels varient d</w:t>
      </w:r>
      <w:r w:rsidR="000409D6" w:rsidRPr="008D2CC5">
        <w:rPr>
          <w:lang w:val="fr-FR"/>
        </w:rPr>
        <w:t>’</w:t>
      </w:r>
      <w:r w:rsidRPr="008D2CC5">
        <w:rPr>
          <w:lang w:val="fr-FR"/>
        </w:rPr>
        <w:t>un site à l</w:t>
      </w:r>
      <w:r w:rsidR="000409D6" w:rsidRPr="008D2CC5">
        <w:rPr>
          <w:lang w:val="fr-FR"/>
        </w:rPr>
        <w:t>’</w:t>
      </w:r>
      <w:r w:rsidRPr="008D2CC5">
        <w:rPr>
          <w:lang w:val="fr-FR"/>
        </w:rPr>
        <w:t xml:space="preserve">autre et dépendent de la disponibilité de technologies adaptées au </w:t>
      </w:r>
      <w:r w:rsidR="0010502D">
        <w:rPr>
          <w:lang w:val="fr-FR"/>
        </w:rPr>
        <w:t>pays</w:t>
      </w:r>
      <w:r w:rsidRPr="008D2CC5">
        <w:rPr>
          <w:lang w:val="fr-FR"/>
        </w:rPr>
        <w:t xml:space="preserve"> </w:t>
      </w:r>
      <w:r w:rsidR="00E5787A">
        <w:rPr>
          <w:lang w:val="fr-FR"/>
        </w:rPr>
        <w:t xml:space="preserve">et </w:t>
      </w:r>
      <w:r w:rsidR="00E5787A" w:rsidRPr="00E5787A">
        <w:rPr>
          <w:lang w:val="fr-FR"/>
        </w:rPr>
        <w:t>d</w:t>
      </w:r>
      <w:r w:rsidR="00294E10">
        <w:rPr>
          <w:lang w:val="fr-FR"/>
        </w:rPr>
        <w:t>e leur</w:t>
      </w:r>
      <w:r w:rsidR="00E5787A" w:rsidRPr="00E5787A">
        <w:rPr>
          <w:lang w:val="fr-FR"/>
        </w:rPr>
        <w:t xml:space="preserve"> coût </w:t>
      </w:r>
      <w:r w:rsidR="00E5787A">
        <w:rPr>
          <w:lang w:val="fr-FR"/>
        </w:rPr>
        <w:t xml:space="preserve">ainsi que </w:t>
      </w:r>
      <w:r w:rsidRPr="008D2CC5">
        <w:rPr>
          <w:lang w:val="fr-FR"/>
        </w:rPr>
        <w:t>des coûts locaux des consommables et de la main-d</w:t>
      </w:r>
      <w:r w:rsidR="000409D6" w:rsidRPr="008D2CC5">
        <w:rPr>
          <w:lang w:val="fr-FR"/>
        </w:rPr>
        <w:t>’</w:t>
      </w:r>
      <w:r w:rsidRPr="008D2CC5">
        <w:rPr>
          <w:lang w:val="fr-FR"/>
        </w:rPr>
        <w:t>œuvre</w:t>
      </w:r>
      <w:r w:rsidR="00D31AFF" w:rsidRPr="008D2CC5">
        <w:rPr>
          <w:lang w:val="fr-FR"/>
        </w:rPr>
        <w:t xml:space="preserve">. </w:t>
      </w:r>
    </w:p>
    <w:p w14:paraId="184BF764" w14:textId="6DEB3B96" w:rsidR="00D31AFF" w:rsidRPr="008D2CC5" w:rsidRDefault="0010502D" w:rsidP="006D69D3">
      <w:pPr>
        <w:pStyle w:val="Normalnumber"/>
        <w:rPr>
          <w:lang w:val="fr-FR"/>
        </w:rPr>
      </w:pPr>
      <w:r>
        <w:rPr>
          <w:lang w:val="fr-FR"/>
        </w:rPr>
        <w:t>Bon nombre des technologies</w:t>
      </w:r>
      <w:r w:rsidR="00070221" w:rsidRPr="008D2CC5">
        <w:rPr>
          <w:lang w:val="fr-FR"/>
        </w:rPr>
        <w:t xml:space="preserve"> disponibles </w:t>
      </w:r>
      <w:r w:rsidR="003D7542">
        <w:rPr>
          <w:lang w:val="fr-FR"/>
        </w:rPr>
        <w:t>entraîn</w:t>
      </w:r>
      <w:r w:rsidR="00070221" w:rsidRPr="008D2CC5">
        <w:rPr>
          <w:lang w:val="fr-FR"/>
        </w:rPr>
        <w:t>ent à la fois des dépenses d</w:t>
      </w:r>
      <w:r w:rsidR="000409D6" w:rsidRPr="008D2CC5">
        <w:rPr>
          <w:lang w:val="fr-FR"/>
        </w:rPr>
        <w:t>’</w:t>
      </w:r>
      <w:r w:rsidR="00070221" w:rsidRPr="008D2CC5">
        <w:rPr>
          <w:lang w:val="fr-FR"/>
        </w:rPr>
        <w:t>investissement et des coûts récurrents de fonctionnement, de maintenance et de surveillance.</w:t>
      </w:r>
      <w:r w:rsidR="00AC6AEE" w:rsidRPr="008D2CC5">
        <w:rPr>
          <w:lang w:val="fr-FR"/>
        </w:rPr>
        <w:t xml:space="preserve"> </w:t>
      </w:r>
      <w:r w:rsidR="00070221" w:rsidRPr="008D2CC5">
        <w:rPr>
          <w:lang w:val="fr-FR"/>
        </w:rPr>
        <w:t>Certains pays publient les coûts associés aux techniques de remise en état mais ceux-ci ne peuvent être utilisés qu</w:t>
      </w:r>
      <w:r w:rsidR="000409D6" w:rsidRPr="008D2CC5">
        <w:rPr>
          <w:lang w:val="fr-FR"/>
        </w:rPr>
        <w:t>’</w:t>
      </w:r>
      <w:r w:rsidR="00070221" w:rsidRPr="008D2CC5">
        <w:rPr>
          <w:lang w:val="fr-FR"/>
        </w:rPr>
        <w:t>à titre indicatif,</w:t>
      </w:r>
      <w:r w:rsidR="00241383" w:rsidRPr="008D2CC5">
        <w:rPr>
          <w:lang w:val="fr-FR"/>
        </w:rPr>
        <w:t xml:space="preserve"> dans la mesure où</w:t>
      </w:r>
      <w:r w:rsidR="00070221" w:rsidRPr="008D2CC5">
        <w:rPr>
          <w:lang w:val="fr-FR"/>
        </w:rPr>
        <w:t xml:space="preserve"> certains </w:t>
      </w:r>
      <w:r w:rsidR="00241383" w:rsidRPr="008D2CC5">
        <w:rPr>
          <w:lang w:val="fr-FR"/>
        </w:rPr>
        <w:t>dépendent des pays</w:t>
      </w:r>
      <w:r w:rsidR="00AC6AEE" w:rsidRPr="008D2CC5">
        <w:rPr>
          <w:lang w:val="fr-FR"/>
        </w:rPr>
        <w:t xml:space="preserve"> (US EPA, 2007</w:t>
      </w:r>
      <w:r w:rsidR="000409D6" w:rsidRPr="008D2CC5">
        <w:rPr>
          <w:lang w:val="fr-FR"/>
        </w:rPr>
        <w:t> ;</w:t>
      </w:r>
      <w:r w:rsidR="00E86391" w:rsidRPr="008D2CC5">
        <w:rPr>
          <w:lang w:val="fr-FR"/>
        </w:rPr>
        <w:t xml:space="preserve"> ADEME </w:t>
      </w:r>
      <w:r w:rsidR="00241383" w:rsidRPr="008D2CC5">
        <w:rPr>
          <w:lang w:val="fr-FR"/>
        </w:rPr>
        <w:t>et</w:t>
      </w:r>
      <w:r w:rsidR="00E86391" w:rsidRPr="008D2CC5">
        <w:rPr>
          <w:lang w:val="fr-FR"/>
        </w:rPr>
        <w:t xml:space="preserve"> BRGM, 2013</w:t>
      </w:r>
      <w:r w:rsidR="00AC6AEE" w:rsidRPr="008D2CC5">
        <w:rPr>
          <w:lang w:val="fr-FR"/>
        </w:rPr>
        <w:t>)</w:t>
      </w:r>
      <w:r w:rsidR="00E86391" w:rsidRPr="008D2CC5">
        <w:rPr>
          <w:lang w:val="fr-FR"/>
        </w:rPr>
        <w:t>.</w:t>
      </w:r>
      <w:r w:rsidR="00152CD3" w:rsidRPr="008D2CC5">
        <w:rPr>
          <w:lang w:val="fr-FR"/>
        </w:rPr>
        <w:t xml:space="preserve"> </w:t>
      </w:r>
      <w:r w:rsidR="00013A85" w:rsidRPr="008D2CC5">
        <w:rPr>
          <w:lang w:val="fr-FR"/>
        </w:rPr>
        <w:t>Les Parties peuvent établir des priorités</w:t>
      </w:r>
      <w:r w:rsidR="004C4057" w:rsidRPr="008D2CC5">
        <w:rPr>
          <w:lang w:val="fr-FR"/>
        </w:rPr>
        <w:t xml:space="preserve"> nationales</w:t>
      </w:r>
      <w:r w:rsidR="00013A85" w:rsidRPr="008D2CC5">
        <w:rPr>
          <w:lang w:val="fr-FR"/>
        </w:rPr>
        <w:t xml:space="preserve"> afin de veiller à l</w:t>
      </w:r>
      <w:r w:rsidR="000409D6" w:rsidRPr="008D2CC5">
        <w:rPr>
          <w:lang w:val="fr-FR"/>
        </w:rPr>
        <w:t>’</w:t>
      </w:r>
      <w:r w:rsidR="00013A85" w:rsidRPr="008D2CC5">
        <w:rPr>
          <w:lang w:val="fr-FR"/>
        </w:rPr>
        <w:t>efficacité de l</w:t>
      </w:r>
      <w:r w:rsidR="000409D6" w:rsidRPr="008D2CC5">
        <w:rPr>
          <w:lang w:val="fr-FR"/>
        </w:rPr>
        <w:t>’</w:t>
      </w:r>
      <w:r w:rsidR="00013A85" w:rsidRPr="008D2CC5">
        <w:rPr>
          <w:lang w:val="fr-FR"/>
        </w:rPr>
        <w:t>utilisation des ressources disponibles</w:t>
      </w:r>
      <w:r w:rsidR="00D31AFF" w:rsidRPr="008D2CC5">
        <w:rPr>
          <w:lang w:val="fr-FR"/>
        </w:rPr>
        <w:t xml:space="preserve">. </w:t>
      </w:r>
      <w:r w:rsidR="00013A85" w:rsidRPr="008D2CC5">
        <w:rPr>
          <w:lang w:val="fr-FR"/>
        </w:rPr>
        <w:t>La détermination des priorités pourrait découler d</w:t>
      </w:r>
      <w:r w:rsidR="000409D6" w:rsidRPr="008D2CC5">
        <w:rPr>
          <w:lang w:val="fr-FR"/>
        </w:rPr>
        <w:t>’</w:t>
      </w:r>
      <w:r w:rsidR="00013A85" w:rsidRPr="008D2CC5">
        <w:rPr>
          <w:lang w:val="fr-FR"/>
        </w:rPr>
        <w:t>un classement des sites sur la base d</w:t>
      </w:r>
      <w:r w:rsidR="000409D6" w:rsidRPr="008D2CC5">
        <w:rPr>
          <w:lang w:val="fr-FR"/>
        </w:rPr>
        <w:t>’</w:t>
      </w:r>
      <w:r w:rsidR="00013A85" w:rsidRPr="008D2CC5">
        <w:rPr>
          <w:lang w:val="fr-FR"/>
        </w:rPr>
        <w:t>un système de notation convenu au niveau national pour identifier ceux dont le traitement est le plus urgent</w:t>
      </w:r>
      <w:r w:rsidR="00D31AFF" w:rsidRPr="008D2CC5">
        <w:rPr>
          <w:lang w:val="fr-FR"/>
        </w:rPr>
        <w:t>.</w:t>
      </w:r>
      <w:r w:rsidR="00013A85" w:rsidRPr="008D2CC5">
        <w:rPr>
          <w:lang w:val="fr-FR"/>
        </w:rPr>
        <w:t xml:space="preserve"> Un tel système nécessiterait que soit trouvé un équilibre entre les coûts estimés de la gestion ou de la remise en état et les avantages monétaires et non monétaires qui devraient découler d</w:t>
      </w:r>
      <w:r w:rsidR="000409D6" w:rsidRPr="008D2CC5">
        <w:rPr>
          <w:lang w:val="fr-FR"/>
        </w:rPr>
        <w:t>’</w:t>
      </w:r>
      <w:r w:rsidR="00013A85" w:rsidRPr="008D2CC5">
        <w:rPr>
          <w:lang w:val="fr-FR"/>
        </w:rPr>
        <w:t>une gestion efficace du site</w:t>
      </w:r>
      <w:r w:rsidR="00DD0FCB" w:rsidRPr="008D2CC5">
        <w:rPr>
          <w:lang w:val="fr-FR"/>
        </w:rPr>
        <w:t>.</w:t>
      </w:r>
      <w:r w:rsidR="00152CD3" w:rsidRPr="008D2CC5">
        <w:rPr>
          <w:lang w:val="fr-FR"/>
        </w:rPr>
        <w:t xml:space="preserve"> </w:t>
      </w:r>
      <w:r w:rsidR="00013A85" w:rsidRPr="008D2CC5">
        <w:rPr>
          <w:lang w:val="fr-FR"/>
        </w:rPr>
        <w:t xml:space="preserve">Il existe de nombreuses informations sur </w:t>
      </w:r>
      <w:r w:rsidR="007E299C" w:rsidRPr="008D2CC5">
        <w:rPr>
          <w:lang w:val="fr-FR"/>
        </w:rPr>
        <w:t>l</w:t>
      </w:r>
      <w:r w:rsidR="000409D6" w:rsidRPr="008D2CC5">
        <w:rPr>
          <w:lang w:val="fr-FR"/>
        </w:rPr>
        <w:t>’</w:t>
      </w:r>
      <w:r w:rsidR="007E299C" w:rsidRPr="008D2CC5">
        <w:rPr>
          <w:lang w:val="fr-FR"/>
        </w:rPr>
        <w:t>applicabilité</w:t>
      </w:r>
      <w:r w:rsidR="00013A85" w:rsidRPr="008D2CC5">
        <w:rPr>
          <w:lang w:val="fr-FR"/>
        </w:rPr>
        <w:t xml:space="preserve"> et </w:t>
      </w:r>
      <w:r w:rsidR="007E299C" w:rsidRPr="008D2CC5">
        <w:rPr>
          <w:lang w:val="fr-FR"/>
        </w:rPr>
        <w:t>l</w:t>
      </w:r>
      <w:r w:rsidR="000409D6" w:rsidRPr="008D2CC5">
        <w:rPr>
          <w:lang w:val="fr-FR"/>
        </w:rPr>
        <w:t>’</w:t>
      </w:r>
      <w:r w:rsidR="007E299C" w:rsidRPr="008D2CC5">
        <w:rPr>
          <w:lang w:val="fr-FR"/>
        </w:rPr>
        <w:t>efficacité potentielle de</w:t>
      </w:r>
      <w:r w:rsidR="00013A85" w:rsidRPr="008D2CC5">
        <w:rPr>
          <w:lang w:val="fr-FR"/>
        </w:rPr>
        <w:t xml:space="preserve"> certaines technologies disponibles mais peu d</w:t>
      </w:r>
      <w:r w:rsidR="000409D6" w:rsidRPr="008D2CC5">
        <w:rPr>
          <w:lang w:val="fr-FR"/>
        </w:rPr>
        <w:t>’</w:t>
      </w:r>
      <w:r w:rsidR="00013A85" w:rsidRPr="008D2CC5">
        <w:rPr>
          <w:lang w:val="fr-FR"/>
        </w:rPr>
        <w:t>informations sont disponibles concernant d</w:t>
      </w:r>
      <w:r w:rsidR="000409D6" w:rsidRPr="008D2CC5">
        <w:rPr>
          <w:lang w:val="fr-FR"/>
        </w:rPr>
        <w:t>’</w:t>
      </w:r>
      <w:r w:rsidR="00013A85" w:rsidRPr="008D2CC5">
        <w:rPr>
          <w:lang w:val="fr-FR"/>
        </w:rPr>
        <w:t>autres technologies moins matures</w:t>
      </w:r>
      <w:r w:rsidR="00D31AFF" w:rsidRPr="008D2CC5">
        <w:rPr>
          <w:lang w:val="fr-FR"/>
        </w:rPr>
        <w:t xml:space="preserve">. </w:t>
      </w:r>
    </w:p>
    <w:p w14:paraId="355E7478" w14:textId="225080FA" w:rsidR="00D31AFF" w:rsidRPr="008D2CC5" w:rsidRDefault="00F06BDA" w:rsidP="006D69D3">
      <w:pPr>
        <w:pStyle w:val="Normalnumber"/>
        <w:rPr>
          <w:lang w:val="fr-FR"/>
        </w:rPr>
      </w:pPr>
      <w:r w:rsidRPr="008D2CC5">
        <w:rPr>
          <w:lang w:val="fr-FR"/>
        </w:rPr>
        <w:t>L</w:t>
      </w:r>
      <w:r w:rsidR="00A82A69">
        <w:rPr>
          <w:lang w:val="fr-FR"/>
        </w:rPr>
        <w:t xml:space="preserve">es </w:t>
      </w:r>
      <w:r w:rsidRPr="008D2CC5">
        <w:rPr>
          <w:lang w:val="fr-FR"/>
        </w:rPr>
        <w:t>incidence</w:t>
      </w:r>
      <w:r w:rsidR="00A82A69">
        <w:rPr>
          <w:lang w:val="fr-FR"/>
        </w:rPr>
        <w:t>s</w:t>
      </w:r>
      <w:r w:rsidRPr="008D2CC5">
        <w:rPr>
          <w:lang w:val="fr-FR"/>
        </w:rPr>
        <w:t xml:space="preserve"> sur la population et l</w:t>
      </w:r>
      <w:r w:rsidR="000409D6" w:rsidRPr="008D2CC5">
        <w:rPr>
          <w:lang w:val="fr-FR"/>
        </w:rPr>
        <w:t>’</w:t>
      </w:r>
      <w:r w:rsidRPr="008D2CC5">
        <w:rPr>
          <w:lang w:val="fr-FR"/>
        </w:rPr>
        <w:t>environnement loca</w:t>
      </w:r>
      <w:r w:rsidR="00A82A69">
        <w:rPr>
          <w:lang w:val="fr-FR"/>
        </w:rPr>
        <w:t xml:space="preserve">ux </w:t>
      </w:r>
      <w:r w:rsidR="00A82A69" w:rsidRPr="00A82A69">
        <w:rPr>
          <w:lang w:val="fr-FR"/>
        </w:rPr>
        <w:t>d’une exposition au mercure liée au site</w:t>
      </w:r>
      <w:r w:rsidRPr="008D2CC5">
        <w:rPr>
          <w:lang w:val="fr-FR"/>
        </w:rPr>
        <w:t xml:space="preserve"> peu</w:t>
      </w:r>
      <w:r w:rsidR="003D7542">
        <w:rPr>
          <w:lang w:val="fr-FR"/>
        </w:rPr>
        <w:t>ven</w:t>
      </w:r>
      <w:r w:rsidRPr="008D2CC5">
        <w:rPr>
          <w:lang w:val="fr-FR"/>
        </w:rPr>
        <w:t xml:space="preserve">t également </w:t>
      </w:r>
      <w:r w:rsidR="003D7542">
        <w:rPr>
          <w:lang w:val="fr-FR"/>
        </w:rPr>
        <w:t>occasion</w:t>
      </w:r>
      <w:r w:rsidRPr="008D2CC5">
        <w:rPr>
          <w:lang w:val="fr-FR"/>
        </w:rPr>
        <w:t>ner des coûts, dont certains sont directs</w:t>
      </w:r>
      <w:r w:rsidR="00D31AFF" w:rsidRPr="008D2CC5">
        <w:rPr>
          <w:lang w:val="fr-FR"/>
        </w:rPr>
        <w:t xml:space="preserve"> (</w:t>
      </w:r>
      <w:r w:rsidRPr="008D2CC5">
        <w:rPr>
          <w:lang w:val="fr-FR"/>
        </w:rPr>
        <w:t>comme la surveillance médicale ou les soins apportés aux personnes présentant des effets néfastes sur leur santé</w:t>
      </w:r>
      <w:r w:rsidR="00D31AFF" w:rsidRPr="008D2CC5">
        <w:rPr>
          <w:lang w:val="fr-FR"/>
        </w:rPr>
        <w:t xml:space="preserve">) </w:t>
      </w:r>
      <w:r w:rsidRPr="008D2CC5">
        <w:rPr>
          <w:lang w:val="fr-FR"/>
        </w:rPr>
        <w:t>et d</w:t>
      </w:r>
      <w:r w:rsidR="000409D6" w:rsidRPr="008D2CC5">
        <w:rPr>
          <w:lang w:val="fr-FR"/>
        </w:rPr>
        <w:t>’</w:t>
      </w:r>
      <w:r w:rsidRPr="008D2CC5">
        <w:rPr>
          <w:lang w:val="fr-FR"/>
        </w:rPr>
        <w:t>autres indirects</w:t>
      </w:r>
      <w:r w:rsidR="00D31AFF" w:rsidRPr="008D2CC5">
        <w:rPr>
          <w:lang w:val="fr-FR"/>
        </w:rPr>
        <w:t xml:space="preserve"> (</w:t>
      </w:r>
      <w:r w:rsidRPr="008D2CC5">
        <w:rPr>
          <w:lang w:val="fr-FR"/>
        </w:rPr>
        <w:t xml:space="preserve">comme la perte de revenus associée </w:t>
      </w:r>
      <w:r w:rsidR="00FE4750" w:rsidRPr="008D2CC5">
        <w:rPr>
          <w:lang w:val="fr-FR"/>
        </w:rPr>
        <w:t>à la contamination de</w:t>
      </w:r>
      <w:r w:rsidRPr="008D2CC5">
        <w:rPr>
          <w:lang w:val="fr-FR"/>
        </w:rPr>
        <w:t xml:space="preserve"> poissons qui ne peuvent pas être </w:t>
      </w:r>
      <w:r w:rsidRPr="008D2CC5">
        <w:rPr>
          <w:lang w:val="fr-FR"/>
        </w:rPr>
        <w:lastRenderedPageBreak/>
        <w:t xml:space="preserve">pêchés ou vendus, ou </w:t>
      </w:r>
      <w:r w:rsidR="00FE4750" w:rsidRPr="008D2CC5">
        <w:rPr>
          <w:lang w:val="fr-FR"/>
        </w:rPr>
        <w:t xml:space="preserve">à </w:t>
      </w:r>
      <w:r w:rsidRPr="008D2CC5">
        <w:rPr>
          <w:lang w:val="fr-FR"/>
        </w:rPr>
        <w:t>la perte de terres cultivables</w:t>
      </w:r>
      <w:r w:rsidR="00D31AFF" w:rsidRPr="008D2CC5">
        <w:rPr>
          <w:lang w:val="fr-FR"/>
        </w:rPr>
        <w:t>).</w:t>
      </w:r>
      <w:r w:rsidRPr="008D2CC5">
        <w:rPr>
          <w:lang w:val="fr-FR"/>
        </w:rPr>
        <w:t xml:space="preserve"> La gestion </w:t>
      </w:r>
      <w:r w:rsidR="004C4057" w:rsidRPr="008D2CC5">
        <w:rPr>
          <w:lang w:val="fr-FR"/>
        </w:rPr>
        <w:t>ou</w:t>
      </w:r>
      <w:r w:rsidRPr="008D2CC5">
        <w:rPr>
          <w:lang w:val="fr-FR"/>
        </w:rPr>
        <w:t xml:space="preserve"> la remise en état des sites </w:t>
      </w:r>
      <w:r w:rsidR="004A0748" w:rsidRPr="008D2CC5">
        <w:rPr>
          <w:lang w:val="fr-FR"/>
        </w:rPr>
        <w:t>est destinée à réduire ces coûts dans le futur</w:t>
      </w:r>
      <w:r w:rsidR="006761F9" w:rsidRPr="008D2CC5">
        <w:rPr>
          <w:lang w:val="fr-FR"/>
        </w:rPr>
        <w:t>.</w:t>
      </w:r>
      <w:r w:rsidR="004A0748" w:rsidRPr="008D2CC5">
        <w:rPr>
          <w:lang w:val="fr-FR"/>
        </w:rPr>
        <w:t xml:space="preserve"> Les coûts engendrés par les conséquences de la contamination d</w:t>
      </w:r>
      <w:r w:rsidR="000409D6" w:rsidRPr="008D2CC5">
        <w:rPr>
          <w:lang w:val="fr-FR"/>
        </w:rPr>
        <w:t>’</w:t>
      </w:r>
      <w:r w:rsidR="004A0748" w:rsidRPr="008D2CC5">
        <w:rPr>
          <w:lang w:val="fr-FR"/>
        </w:rPr>
        <w:t>un site sur l</w:t>
      </w:r>
      <w:r w:rsidR="000409D6" w:rsidRPr="008D2CC5">
        <w:rPr>
          <w:lang w:val="fr-FR"/>
        </w:rPr>
        <w:t>’</w:t>
      </w:r>
      <w:r w:rsidR="004A0748" w:rsidRPr="008D2CC5">
        <w:rPr>
          <w:lang w:val="fr-FR"/>
        </w:rPr>
        <w:t>environnement local peuvent être ressentis à court ou long terme, mais les avantages découlant de la gestion réussie d</w:t>
      </w:r>
      <w:r w:rsidR="000409D6" w:rsidRPr="008D2CC5">
        <w:rPr>
          <w:lang w:val="fr-FR"/>
        </w:rPr>
        <w:t>’</w:t>
      </w:r>
      <w:r w:rsidR="004A0748" w:rsidRPr="008D2CC5">
        <w:rPr>
          <w:lang w:val="fr-FR"/>
        </w:rPr>
        <w:t xml:space="preserve">un site contaminé devraient être </w:t>
      </w:r>
      <w:r w:rsidR="00D725B5" w:rsidRPr="008D2CC5">
        <w:rPr>
          <w:lang w:val="fr-FR"/>
        </w:rPr>
        <w:t>considérés dans une perspective à très long terme</w:t>
      </w:r>
      <w:r w:rsidR="00D31AFF" w:rsidRPr="008D2CC5">
        <w:rPr>
          <w:lang w:val="fr-FR"/>
        </w:rPr>
        <w:t xml:space="preserve">. </w:t>
      </w:r>
      <w:r w:rsidR="00D725B5" w:rsidRPr="008D2CC5">
        <w:rPr>
          <w:lang w:val="fr-FR"/>
        </w:rPr>
        <w:t>Les coûts à court terme peuvent comprendre les incidences associées aux travaux de remise en état, tandis qu</w:t>
      </w:r>
      <w:r w:rsidR="000409D6" w:rsidRPr="008D2CC5">
        <w:rPr>
          <w:lang w:val="fr-FR"/>
        </w:rPr>
        <w:t>’</w:t>
      </w:r>
      <w:r w:rsidR="00D725B5" w:rsidRPr="008D2CC5">
        <w:rPr>
          <w:lang w:val="fr-FR"/>
        </w:rPr>
        <w:t>à plus long terme on peut observer une baisse de la valeur foncière aux alentours du site et une réduction de la production agricole ou d</w:t>
      </w:r>
      <w:r w:rsidR="000409D6" w:rsidRPr="008D2CC5">
        <w:rPr>
          <w:lang w:val="fr-FR"/>
        </w:rPr>
        <w:t>’</w:t>
      </w:r>
      <w:r w:rsidR="00D725B5" w:rsidRPr="008D2CC5">
        <w:rPr>
          <w:lang w:val="fr-FR"/>
        </w:rPr>
        <w:t>autres utilisations des terres</w:t>
      </w:r>
      <w:r w:rsidR="00D31AFF" w:rsidRPr="008D2CC5">
        <w:rPr>
          <w:lang w:val="fr-FR"/>
        </w:rPr>
        <w:t xml:space="preserve">. </w:t>
      </w:r>
      <w:r w:rsidR="00D725B5" w:rsidRPr="008D2CC5">
        <w:rPr>
          <w:lang w:val="fr-FR"/>
        </w:rPr>
        <w:t>Les coûts supportés par les communautés touchées en termes de conséquences non marchandes, tel</w:t>
      </w:r>
      <w:r w:rsidR="006868F5" w:rsidRPr="008D2CC5">
        <w:rPr>
          <w:lang w:val="fr-FR"/>
        </w:rPr>
        <w:t>le</w:t>
      </w:r>
      <w:r w:rsidR="00D725B5" w:rsidRPr="008D2CC5">
        <w:rPr>
          <w:lang w:val="fr-FR"/>
        </w:rPr>
        <w:t xml:space="preserve">s que la </w:t>
      </w:r>
      <w:r w:rsidR="00596DE9">
        <w:rPr>
          <w:lang w:val="fr-FR"/>
        </w:rPr>
        <w:t>morbidité</w:t>
      </w:r>
      <w:r w:rsidR="00D725B5" w:rsidRPr="008D2CC5">
        <w:rPr>
          <w:lang w:val="fr-FR"/>
        </w:rPr>
        <w:t xml:space="preserve">, les lésions cérébrales et la perte </w:t>
      </w:r>
      <w:r w:rsidR="004C4057" w:rsidRPr="008D2CC5">
        <w:rPr>
          <w:lang w:val="fr-FR"/>
        </w:rPr>
        <w:t>de</w:t>
      </w:r>
      <w:r w:rsidR="00D725B5" w:rsidRPr="008D2CC5">
        <w:rPr>
          <w:lang w:val="fr-FR"/>
        </w:rPr>
        <w:t xml:space="preserve"> ressources naturelles ou d</w:t>
      </w:r>
      <w:r w:rsidR="000409D6" w:rsidRPr="008D2CC5">
        <w:rPr>
          <w:lang w:val="fr-FR"/>
        </w:rPr>
        <w:t>’</w:t>
      </w:r>
      <w:r w:rsidR="00D725B5" w:rsidRPr="008D2CC5">
        <w:rPr>
          <w:lang w:val="fr-FR"/>
        </w:rPr>
        <w:t>eau salubre, peuvent être considérablement plus élevés</w:t>
      </w:r>
      <w:r w:rsidR="00D31AFF" w:rsidRPr="008D2CC5">
        <w:rPr>
          <w:lang w:val="fr-FR"/>
        </w:rPr>
        <w:t xml:space="preserve">. </w:t>
      </w:r>
      <w:r w:rsidR="006868F5" w:rsidRPr="008D2CC5">
        <w:rPr>
          <w:lang w:val="fr-FR"/>
        </w:rPr>
        <w:t>Toute évaluation économique devrait tenir compte de ces coûts</w:t>
      </w:r>
      <w:r w:rsidR="00D31AFF" w:rsidRPr="008D2CC5">
        <w:rPr>
          <w:lang w:val="fr-FR"/>
        </w:rPr>
        <w:t xml:space="preserve">. </w:t>
      </w:r>
      <w:r w:rsidR="006868F5" w:rsidRPr="008D2CC5">
        <w:rPr>
          <w:lang w:val="fr-FR"/>
        </w:rPr>
        <w:t>De nouvelles méthodes ont été élaborées pour estimer les coûts économiques associés à la perte de productivité causée par les incidences</w:t>
      </w:r>
      <w:r w:rsidR="00D31AFF" w:rsidRPr="008D2CC5">
        <w:rPr>
          <w:lang w:val="fr-FR"/>
        </w:rPr>
        <w:t xml:space="preserve"> </w:t>
      </w:r>
      <w:r w:rsidR="006868F5" w:rsidRPr="008D2CC5">
        <w:rPr>
          <w:lang w:val="fr-FR"/>
        </w:rPr>
        <w:t xml:space="preserve">du mercure sur les capacités cognitives et le développement de populations spécifiques </w:t>
      </w:r>
      <w:r w:rsidR="00D31AFF" w:rsidRPr="008D2CC5">
        <w:rPr>
          <w:lang w:val="fr-FR"/>
        </w:rPr>
        <w:t>(</w:t>
      </w:r>
      <w:proofErr w:type="spellStart"/>
      <w:r w:rsidR="00D31AFF" w:rsidRPr="008D2CC5">
        <w:rPr>
          <w:lang w:val="fr-FR"/>
        </w:rPr>
        <w:t>Trasande</w:t>
      </w:r>
      <w:proofErr w:type="spellEnd"/>
      <w:r w:rsidR="006868F5" w:rsidRPr="008D2CC5">
        <w:rPr>
          <w:i/>
          <w:iCs/>
          <w:lang w:val="fr-FR"/>
        </w:rPr>
        <w:t xml:space="preserve"> et al.</w:t>
      </w:r>
      <w:r w:rsidR="00E762A9" w:rsidRPr="008D2CC5">
        <w:rPr>
          <w:lang w:val="fr-FR"/>
        </w:rPr>
        <w:t>,</w:t>
      </w:r>
      <w:r w:rsidR="00D31AFF" w:rsidRPr="008D2CC5">
        <w:rPr>
          <w:lang w:val="fr-FR"/>
        </w:rPr>
        <w:t xml:space="preserve"> 2016)</w:t>
      </w:r>
      <w:r w:rsidR="006D0D19" w:rsidRPr="008D2CC5">
        <w:rPr>
          <w:lang w:val="fr-FR"/>
        </w:rPr>
        <w:t>,</w:t>
      </w:r>
      <w:r w:rsidR="00D31AFF" w:rsidRPr="008D2CC5">
        <w:rPr>
          <w:lang w:val="fr-FR"/>
        </w:rPr>
        <w:t xml:space="preserve"> </w:t>
      </w:r>
      <w:r w:rsidR="003D7542">
        <w:rPr>
          <w:lang w:val="fr-FR"/>
        </w:rPr>
        <w:t>qui</w:t>
      </w:r>
      <w:r w:rsidR="006868F5" w:rsidRPr="008D2CC5">
        <w:rPr>
          <w:lang w:val="fr-FR"/>
        </w:rPr>
        <w:t xml:space="preserve"> p</w:t>
      </w:r>
      <w:r w:rsidR="003D7542">
        <w:rPr>
          <w:lang w:val="fr-FR"/>
        </w:rPr>
        <w:t>euve</w:t>
      </w:r>
      <w:r w:rsidR="006868F5" w:rsidRPr="008D2CC5">
        <w:rPr>
          <w:lang w:val="fr-FR"/>
        </w:rPr>
        <w:t>nt être</w:t>
      </w:r>
      <w:r w:rsidR="00D31AFF" w:rsidRPr="008D2CC5">
        <w:rPr>
          <w:lang w:val="fr-FR"/>
        </w:rPr>
        <w:t xml:space="preserve"> </w:t>
      </w:r>
      <w:r w:rsidR="006868F5" w:rsidRPr="008D2CC5">
        <w:rPr>
          <w:lang w:val="fr-FR"/>
        </w:rPr>
        <w:t xml:space="preserve">intégrés dans une analyse des coûts et des avantages </w:t>
      </w:r>
      <w:r w:rsidR="00895CD2" w:rsidRPr="008D2CC5">
        <w:rPr>
          <w:lang w:val="fr-FR"/>
        </w:rPr>
        <w:t xml:space="preserve">à long terme </w:t>
      </w:r>
      <w:r w:rsidR="006868F5" w:rsidRPr="008D2CC5">
        <w:rPr>
          <w:lang w:val="fr-FR"/>
        </w:rPr>
        <w:t>de la gestion et de la remise en état des sites</w:t>
      </w:r>
      <w:r w:rsidR="00D31AFF" w:rsidRPr="008D2CC5">
        <w:rPr>
          <w:lang w:val="fr-FR"/>
        </w:rPr>
        <w:t>.</w:t>
      </w:r>
    </w:p>
    <w:p w14:paraId="03A701D4" w14:textId="4C9314D0" w:rsidR="00D31AFF" w:rsidRPr="008D2CC5" w:rsidRDefault="00895CD2" w:rsidP="006D69D3">
      <w:pPr>
        <w:pStyle w:val="Normalnumber"/>
        <w:rPr>
          <w:lang w:val="fr-FR"/>
        </w:rPr>
      </w:pPr>
      <w:r w:rsidRPr="008D2CC5">
        <w:rPr>
          <w:lang w:val="fr-FR"/>
        </w:rPr>
        <w:t>La mise sous gestion d</w:t>
      </w:r>
      <w:r w:rsidR="000409D6" w:rsidRPr="008D2CC5">
        <w:rPr>
          <w:lang w:val="fr-FR"/>
        </w:rPr>
        <w:t>’</w:t>
      </w:r>
      <w:r w:rsidRPr="008D2CC5">
        <w:rPr>
          <w:lang w:val="fr-FR"/>
        </w:rPr>
        <w:t>un site ne signifie pas que ce dernier n</w:t>
      </w:r>
      <w:r w:rsidR="000409D6" w:rsidRPr="008D2CC5">
        <w:rPr>
          <w:lang w:val="fr-FR"/>
        </w:rPr>
        <w:t>’</w:t>
      </w:r>
      <w:r w:rsidRPr="008D2CC5">
        <w:rPr>
          <w:lang w:val="fr-FR"/>
        </w:rPr>
        <w:t>a plus d</w:t>
      </w:r>
      <w:r w:rsidR="000409D6" w:rsidRPr="008D2CC5">
        <w:rPr>
          <w:lang w:val="fr-FR"/>
        </w:rPr>
        <w:t>’</w:t>
      </w:r>
      <w:r w:rsidRPr="008D2CC5">
        <w:rPr>
          <w:lang w:val="fr-FR"/>
        </w:rPr>
        <w:t>incidence sur l</w:t>
      </w:r>
      <w:r w:rsidR="000409D6" w:rsidRPr="008D2CC5">
        <w:rPr>
          <w:lang w:val="fr-FR"/>
        </w:rPr>
        <w:t>’</w:t>
      </w:r>
      <w:r w:rsidRPr="008D2CC5">
        <w:rPr>
          <w:lang w:val="fr-FR"/>
        </w:rPr>
        <w:t>environnement ou la santé humaine</w:t>
      </w:r>
      <w:r w:rsidR="00D31AFF" w:rsidRPr="008D2CC5">
        <w:rPr>
          <w:lang w:val="fr-FR"/>
        </w:rPr>
        <w:t xml:space="preserve">. </w:t>
      </w:r>
      <w:r w:rsidRPr="008D2CC5">
        <w:rPr>
          <w:lang w:val="fr-FR"/>
        </w:rPr>
        <w:t>La restriction de l</w:t>
      </w:r>
      <w:r w:rsidR="000409D6" w:rsidRPr="008D2CC5">
        <w:rPr>
          <w:lang w:val="fr-FR"/>
        </w:rPr>
        <w:t>’</w:t>
      </w:r>
      <w:r w:rsidRPr="008D2CC5">
        <w:rPr>
          <w:lang w:val="fr-FR"/>
        </w:rPr>
        <w:t>accès à un site contaminé par du mercure peut limiter l</w:t>
      </w:r>
      <w:r w:rsidR="000409D6" w:rsidRPr="008D2CC5">
        <w:rPr>
          <w:lang w:val="fr-FR"/>
        </w:rPr>
        <w:t>’</w:t>
      </w:r>
      <w:r w:rsidRPr="008D2CC5">
        <w:rPr>
          <w:lang w:val="fr-FR"/>
        </w:rPr>
        <w:t>exposition directe de la population humaine et animale à cette substance mais elle n</w:t>
      </w:r>
      <w:r w:rsidR="000409D6" w:rsidRPr="008D2CC5">
        <w:rPr>
          <w:lang w:val="fr-FR"/>
        </w:rPr>
        <w:t>’</w:t>
      </w:r>
      <w:r w:rsidRPr="008D2CC5">
        <w:rPr>
          <w:lang w:val="fr-FR"/>
        </w:rPr>
        <w:t>empêche pas forcément la contamination des eaux souterraines, la propagation hors site des poussières contaminées ou la contamination de l</w:t>
      </w:r>
      <w:r w:rsidR="000409D6" w:rsidRPr="008D2CC5">
        <w:rPr>
          <w:lang w:val="fr-FR"/>
        </w:rPr>
        <w:t>’</w:t>
      </w:r>
      <w:r w:rsidRPr="008D2CC5">
        <w:rPr>
          <w:lang w:val="fr-FR"/>
        </w:rPr>
        <w:t>air par des vapeurs de mercure</w:t>
      </w:r>
      <w:r w:rsidR="00D31AFF" w:rsidRPr="008D2CC5">
        <w:rPr>
          <w:lang w:val="fr-FR"/>
        </w:rPr>
        <w:t xml:space="preserve">. </w:t>
      </w:r>
      <w:r w:rsidR="005D59FD" w:rsidRPr="008D2CC5">
        <w:rPr>
          <w:lang w:val="fr-FR"/>
        </w:rPr>
        <w:t>Chacune de ces incidences engendre des coûts dont toute évaluation devrait tenir compte</w:t>
      </w:r>
      <w:r w:rsidR="00D31AFF" w:rsidRPr="008D2CC5">
        <w:rPr>
          <w:lang w:val="fr-FR"/>
        </w:rPr>
        <w:t>.</w:t>
      </w:r>
    </w:p>
    <w:p w14:paraId="38FDDA83" w14:textId="321798B9" w:rsidR="00D31AFF" w:rsidRPr="008D2CC5" w:rsidRDefault="005D59FD" w:rsidP="006D69D3">
      <w:pPr>
        <w:pStyle w:val="Normalnumber"/>
        <w:rPr>
          <w:lang w:val="fr-FR"/>
        </w:rPr>
      </w:pPr>
      <w:r w:rsidRPr="008D2CC5">
        <w:rPr>
          <w:lang w:val="fr-FR"/>
        </w:rPr>
        <w:t>L</w:t>
      </w:r>
      <w:r w:rsidR="000409D6" w:rsidRPr="008D2CC5">
        <w:rPr>
          <w:lang w:val="fr-FR"/>
        </w:rPr>
        <w:t>’</w:t>
      </w:r>
      <w:r w:rsidRPr="008D2CC5">
        <w:rPr>
          <w:lang w:val="fr-FR"/>
        </w:rPr>
        <w:t>évaluation des avantages d</w:t>
      </w:r>
      <w:r w:rsidR="000409D6" w:rsidRPr="008D2CC5">
        <w:rPr>
          <w:lang w:val="fr-FR"/>
        </w:rPr>
        <w:t>’</w:t>
      </w:r>
      <w:r w:rsidRPr="008D2CC5">
        <w:rPr>
          <w:lang w:val="fr-FR"/>
        </w:rPr>
        <w:t>une gestion ou d</w:t>
      </w:r>
      <w:r w:rsidR="000409D6" w:rsidRPr="008D2CC5">
        <w:rPr>
          <w:lang w:val="fr-FR"/>
        </w:rPr>
        <w:t>’</w:t>
      </w:r>
      <w:r w:rsidRPr="008D2CC5">
        <w:rPr>
          <w:lang w:val="fr-FR"/>
        </w:rPr>
        <w:t>une remise en état des sites devrait, dans toute la mesure du possible, tenir compte de</w:t>
      </w:r>
      <w:r w:rsidR="003D7542">
        <w:rPr>
          <w:lang w:val="fr-FR"/>
        </w:rPr>
        <w:t>s</w:t>
      </w:r>
      <w:r w:rsidRPr="008D2CC5">
        <w:rPr>
          <w:lang w:val="fr-FR"/>
        </w:rPr>
        <w:t xml:space="preserve"> valeurs culturelles et sociales</w:t>
      </w:r>
      <w:r w:rsidR="00D31AFF" w:rsidRPr="008D2CC5">
        <w:rPr>
          <w:lang w:val="fr-FR"/>
        </w:rPr>
        <w:t xml:space="preserve">. </w:t>
      </w:r>
      <w:r w:rsidRPr="008D2CC5">
        <w:rPr>
          <w:lang w:val="fr-FR"/>
        </w:rPr>
        <w:t>Dans de nombreuses cultures autochtones, les éléments naturels comme les rivières, les lacs et les paysages</w:t>
      </w:r>
      <w:r w:rsidR="00D31AFF" w:rsidRPr="008D2CC5">
        <w:rPr>
          <w:lang w:val="fr-FR"/>
        </w:rPr>
        <w:t xml:space="preserve"> (</w:t>
      </w:r>
      <w:r w:rsidRPr="008D2CC5">
        <w:rPr>
          <w:lang w:val="fr-FR"/>
        </w:rPr>
        <w:t>ainsi que les animaux qui y habitent) ont une grande valeur culturelle, religieuse et sociale qui n</w:t>
      </w:r>
      <w:r w:rsidR="000409D6" w:rsidRPr="008D2CC5">
        <w:rPr>
          <w:lang w:val="fr-FR"/>
        </w:rPr>
        <w:t>’</w:t>
      </w:r>
      <w:r w:rsidRPr="008D2CC5">
        <w:rPr>
          <w:lang w:val="fr-FR"/>
        </w:rPr>
        <w:t>apparaît pas dans les analyses coûts-avantages économiques</w:t>
      </w:r>
      <w:r w:rsidR="00D31AFF" w:rsidRPr="008D2CC5">
        <w:rPr>
          <w:lang w:val="fr-FR"/>
        </w:rPr>
        <w:t>.</w:t>
      </w:r>
      <w:r w:rsidR="00D7738D" w:rsidRPr="008D2CC5">
        <w:rPr>
          <w:lang w:val="fr-FR"/>
        </w:rPr>
        <w:t xml:space="preserve"> Or, l</w:t>
      </w:r>
      <w:r w:rsidR="000409D6" w:rsidRPr="008D2CC5">
        <w:rPr>
          <w:lang w:val="fr-FR"/>
        </w:rPr>
        <w:t>’</w:t>
      </w:r>
      <w:r w:rsidR="00D7738D" w:rsidRPr="008D2CC5">
        <w:rPr>
          <w:lang w:val="fr-FR"/>
        </w:rPr>
        <w:t>incapacité de mener des activités culturelles en raison d</w:t>
      </w:r>
      <w:r w:rsidR="000409D6" w:rsidRPr="008D2CC5">
        <w:rPr>
          <w:lang w:val="fr-FR"/>
        </w:rPr>
        <w:t>’</w:t>
      </w:r>
      <w:r w:rsidR="00D7738D" w:rsidRPr="008D2CC5">
        <w:rPr>
          <w:lang w:val="fr-FR"/>
        </w:rPr>
        <w:t>une contamination peut avoir un coût très élevé pour les communautés, conduisant à une détérioration de la cohésion sociale et à de graves incidences sanitaires</w:t>
      </w:r>
      <w:r w:rsidR="00D31AFF" w:rsidRPr="008D2CC5">
        <w:rPr>
          <w:lang w:val="fr-FR"/>
        </w:rPr>
        <w:t>.</w:t>
      </w:r>
      <w:r w:rsidR="00D7738D" w:rsidRPr="008D2CC5">
        <w:rPr>
          <w:lang w:val="fr-FR"/>
        </w:rPr>
        <w:t xml:space="preserve"> L</w:t>
      </w:r>
      <w:r w:rsidR="000409D6" w:rsidRPr="008D2CC5">
        <w:rPr>
          <w:lang w:val="fr-FR"/>
        </w:rPr>
        <w:t>’</w:t>
      </w:r>
      <w:r w:rsidR="00D7738D" w:rsidRPr="008D2CC5">
        <w:rPr>
          <w:lang w:val="fr-FR"/>
        </w:rPr>
        <w:t>établissement des priorités nationales devrait, dans la mesure du possible,</w:t>
      </w:r>
      <w:r w:rsidR="00D31AFF" w:rsidRPr="008D2CC5">
        <w:rPr>
          <w:lang w:val="fr-FR"/>
        </w:rPr>
        <w:t xml:space="preserve"> </w:t>
      </w:r>
      <w:r w:rsidR="00D7738D" w:rsidRPr="008D2CC5">
        <w:rPr>
          <w:lang w:val="fr-FR"/>
        </w:rPr>
        <w:t>intégrer des perspectives sociales et culturelles</w:t>
      </w:r>
      <w:r w:rsidR="00D31AFF" w:rsidRPr="008D2CC5">
        <w:rPr>
          <w:lang w:val="fr-FR"/>
        </w:rPr>
        <w:t>.</w:t>
      </w:r>
    </w:p>
    <w:p w14:paraId="7DB4ABC7" w14:textId="63E8443B" w:rsidR="00D31AFF" w:rsidRPr="008D2CC5" w:rsidRDefault="00CC6D13" w:rsidP="006D69D3">
      <w:pPr>
        <w:pStyle w:val="Normalnumber"/>
        <w:rPr>
          <w:lang w:val="fr-FR"/>
        </w:rPr>
      </w:pPr>
      <w:r w:rsidRPr="008D2CC5">
        <w:rPr>
          <w:lang w:val="fr-FR"/>
        </w:rPr>
        <w:t>Les calculs coûts-avantages devrai</w:t>
      </w:r>
      <w:r w:rsidR="00E65BB7" w:rsidRPr="008D2CC5">
        <w:rPr>
          <w:lang w:val="fr-FR"/>
        </w:rPr>
        <w:t>en</w:t>
      </w:r>
      <w:r w:rsidRPr="008D2CC5">
        <w:rPr>
          <w:lang w:val="fr-FR"/>
        </w:rPr>
        <w:t xml:space="preserve">t également </w:t>
      </w:r>
      <w:r w:rsidR="003D7542">
        <w:rPr>
          <w:lang w:val="fr-FR"/>
        </w:rPr>
        <w:t>tenir compte</w:t>
      </w:r>
      <w:r w:rsidRPr="008D2CC5">
        <w:rPr>
          <w:lang w:val="fr-FR"/>
        </w:rPr>
        <w:t xml:space="preserve"> </w:t>
      </w:r>
      <w:r w:rsidR="003D7542">
        <w:rPr>
          <w:lang w:val="fr-FR"/>
        </w:rPr>
        <w:t xml:space="preserve">aussi bien de </w:t>
      </w:r>
      <w:r w:rsidRPr="008D2CC5">
        <w:rPr>
          <w:lang w:val="fr-FR"/>
        </w:rPr>
        <w:t xml:space="preserve">la valeur écologique </w:t>
      </w:r>
      <w:r w:rsidR="003D7542">
        <w:rPr>
          <w:lang w:val="fr-FR"/>
        </w:rPr>
        <w:t>que d</w:t>
      </w:r>
      <w:r w:rsidR="003D7542" w:rsidRPr="003D7542">
        <w:rPr>
          <w:lang w:val="fr-FR"/>
        </w:rPr>
        <w:t xml:space="preserve">e la valeur économique </w:t>
      </w:r>
      <w:r w:rsidRPr="008D2CC5">
        <w:rPr>
          <w:lang w:val="fr-FR"/>
        </w:rPr>
        <w:t xml:space="preserve">de la remise en état des systèmes écologiques contaminés et </w:t>
      </w:r>
      <w:r w:rsidR="003D7542">
        <w:rPr>
          <w:lang w:val="fr-FR"/>
        </w:rPr>
        <w:t xml:space="preserve">de </w:t>
      </w:r>
      <w:r w:rsidRPr="008D2CC5">
        <w:rPr>
          <w:lang w:val="fr-FR"/>
        </w:rPr>
        <w:t>leur productivité</w:t>
      </w:r>
      <w:r w:rsidR="00D31AFF" w:rsidRPr="008D2CC5">
        <w:rPr>
          <w:lang w:val="fr-FR"/>
        </w:rPr>
        <w:t xml:space="preserve">. </w:t>
      </w:r>
      <w:r w:rsidRPr="008D2CC5">
        <w:rPr>
          <w:lang w:val="fr-FR"/>
        </w:rPr>
        <w:t>Par exemple</w:t>
      </w:r>
      <w:r w:rsidR="00D31AFF" w:rsidRPr="008D2CC5">
        <w:rPr>
          <w:lang w:val="fr-FR"/>
        </w:rPr>
        <w:t>,</w:t>
      </w:r>
      <w:r w:rsidRPr="008D2CC5">
        <w:rPr>
          <w:lang w:val="fr-FR"/>
        </w:rPr>
        <w:t xml:space="preserve"> un site contaminé qui a été remis en état peut présenter des caractéristiques qui contribuent à la survie d</w:t>
      </w:r>
      <w:r w:rsidR="000409D6" w:rsidRPr="008D2CC5">
        <w:rPr>
          <w:lang w:val="fr-FR"/>
        </w:rPr>
        <w:t>’</w:t>
      </w:r>
      <w:r w:rsidRPr="008D2CC5">
        <w:rPr>
          <w:lang w:val="fr-FR"/>
        </w:rPr>
        <w:t>espèces rares et menacées ou servir de bassin versant amont</w:t>
      </w:r>
      <w:r w:rsidR="0076624D" w:rsidRPr="008D2CC5">
        <w:rPr>
          <w:lang w:val="fr-FR"/>
        </w:rPr>
        <w:t xml:space="preserve"> pour des</w:t>
      </w:r>
      <w:r w:rsidR="00D31AFF" w:rsidRPr="008D2CC5">
        <w:rPr>
          <w:lang w:val="fr-FR"/>
        </w:rPr>
        <w:t xml:space="preserve"> </w:t>
      </w:r>
      <w:r w:rsidR="0076624D" w:rsidRPr="008D2CC5">
        <w:rPr>
          <w:lang w:val="fr-FR"/>
        </w:rPr>
        <w:t>voies fluviales majeures</w:t>
      </w:r>
      <w:r w:rsidR="00D31AFF" w:rsidRPr="008D2CC5">
        <w:rPr>
          <w:lang w:val="fr-FR"/>
        </w:rPr>
        <w:t>.</w:t>
      </w:r>
      <w:r w:rsidR="00152CD3" w:rsidRPr="008D2CC5">
        <w:rPr>
          <w:lang w:val="fr-FR"/>
        </w:rPr>
        <w:t xml:space="preserve"> </w:t>
      </w:r>
    </w:p>
    <w:p w14:paraId="172EE97B" w14:textId="193B98B5" w:rsidR="00D31AFF" w:rsidRPr="008D2CC5" w:rsidRDefault="003A0F06" w:rsidP="003A0F06">
      <w:pPr>
        <w:pStyle w:val="CH3"/>
        <w:rPr>
          <w:lang w:val="fr-FR"/>
        </w:rPr>
      </w:pPr>
      <w:r w:rsidRPr="008D2CC5">
        <w:rPr>
          <w:lang w:val="fr-FR"/>
        </w:rPr>
        <w:tab/>
      </w:r>
      <w:r w:rsidRPr="008D2CC5">
        <w:rPr>
          <w:lang w:val="fr-FR"/>
        </w:rPr>
        <w:tab/>
      </w:r>
      <w:r w:rsidR="00691457" w:rsidRPr="008D2CC5">
        <w:rPr>
          <w:lang w:val="fr-FR"/>
        </w:rPr>
        <w:t>O</w:t>
      </w:r>
      <w:r w:rsidR="00D31AFF" w:rsidRPr="008D2CC5">
        <w:rPr>
          <w:lang w:val="fr-FR"/>
        </w:rPr>
        <w:t>ptions</w:t>
      </w:r>
      <w:r w:rsidR="00691457" w:rsidRPr="008D2CC5">
        <w:rPr>
          <w:lang w:val="fr-FR"/>
        </w:rPr>
        <w:t xml:space="preserve"> de financement pour l</w:t>
      </w:r>
      <w:r w:rsidR="000409D6" w:rsidRPr="008D2CC5">
        <w:rPr>
          <w:lang w:val="fr-FR"/>
        </w:rPr>
        <w:t>’</w:t>
      </w:r>
      <w:r w:rsidR="00691457" w:rsidRPr="008D2CC5">
        <w:rPr>
          <w:lang w:val="fr-FR"/>
        </w:rPr>
        <w:t>étude et la gestion des sites contaminés</w:t>
      </w:r>
    </w:p>
    <w:p w14:paraId="7DBFD4A5" w14:textId="2982778F" w:rsidR="00D31AFF" w:rsidRPr="008D2CC5" w:rsidRDefault="00691457" w:rsidP="006D69D3">
      <w:pPr>
        <w:pStyle w:val="Normalnumber"/>
        <w:rPr>
          <w:lang w:val="fr-FR"/>
        </w:rPr>
      </w:pPr>
      <w:r w:rsidRPr="008D2CC5">
        <w:rPr>
          <w:lang w:val="fr-FR"/>
        </w:rPr>
        <w:t>À travers le monde, les juridictions utilisent une grande diversité de combinaisons d</w:t>
      </w:r>
      <w:r w:rsidR="000409D6" w:rsidRPr="008D2CC5">
        <w:rPr>
          <w:lang w:val="fr-FR"/>
        </w:rPr>
        <w:t>’</w:t>
      </w:r>
      <w:r w:rsidRPr="008D2CC5">
        <w:rPr>
          <w:lang w:val="fr-FR"/>
        </w:rPr>
        <w:t>options de financement afin de couvrir les coûts de l</w:t>
      </w:r>
      <w:r w:rsidR="000409D6" w:rsidRPr="008D2CC5">
        <w:rPr>
          <w:lang w:val="fr-FR"/>
        </w:rPr>
        <w:t>’</w:t>
      </w:r>
      <w:r w:rsidRPr="008D2CC5">
        <w:rPr>
          <w:lang w:val="fr-FR"/>
        </w:rPr>
        <w:t>étude et de la gestion des sites</w:t>
      </w:r>
      <w:r w:rsidR="00D31AFF" w:rsidRPr="008D2CC5">
        <w:rPr>
          <w:lang w:val="fr-FR"/>
        </w:rPr>
        <w:t>.</w:t>
      </w:r>
      <w:r w:rsidRPr="008D2CC5">
        <w:rPr>
          <w:lang w:val="fr-FR"/>
        </w:rPr>
        <w:t xml:space="preserve"> Certains pays disposent de techniciens</w:t>
      </w:r>
      <w:r w:rsidR="00972E14" w:rsidRPr="008D2CC5">
        <w:rPr>
          <w:lang w:val="fr-FR"/>
        </w:rPr>
        <w:t xml:space="preserve"> spécialisés au sein d</w:t>
      </w:r>
      <w:r w:rsidR="000409D6" w:rsidRPr="008D2CC5">
        <w:rPr>
          <w:lang w:val="fr-FR"/>
        </w:rPr>
        <w:t>’</w:t>
      </w:r>
      <w:r w:rsidR="00972E14" w:rsidRPr="008D2CC5">
        <w:rPr>
          <w:lang w:val="fr-FR"/>
        </w:rPr>
        <w:t>organismes publics chargés de mener de telles études, tandis que d</w:t>
      </w:r>
      <w:r w:rsidR="000409D6" w:rsidRPr="008D2CC5">
        <w:rPr>
          <w:lang w:val="fr-FR"/>
        </w:rPr>
        <w:t>’</w:t>
      </w:r>
      <w:r w:rsidR="00972E14" w:rsidRPr="008D2CC5">
        <w:rPr>
          <w:lang w:val="fr-FR"/>
        </w:rPr>
        <w:t>autres choisissent d</w:t>
      </w:r>
      <w:r w:rsidR="000409D6" w:rsidRPr="008D2CC5">
        <w:rPr>
          <w:lang w:val="fr-FR"/>
        </w:rPr>
        <w:t>’</w:t>
      </w:r>
      <w:r w:rsidR="00972E14" w:rsidRPr="008D2CC5">
        <w:rPr>
          <w:lang w:val="fr-FR"/>
        </w:rPr>
        <w:t>engager des consultants spécialisés ou de recourir aux services combinés du personnel des organismes et des consultants travaillant en collaboration</w:t>
      </w:r>
      <w:r w:rsidR="00D31AFF" w:rsidRPr="008D2CC5">
        <w:rPr>
          <w:lang w:val="fr-FR"/>
        </w:rPr>
        <w:t>.</w:t>
      </w:r>
      <w:r w:rsidR="00972E14" w:rsidRPr="008D2CC5">
        <w:rPr>
          <w:lang w:val="fr-FR"/>
        </w:rPr>
        <w:t xml:space="preserve"> Il peut s</w:t>
      </w:r>
      <w:r w:rsidR="000409D6" w:rsidRPr="008D2CC5">
        <w:rPr>
          <w:lang w:val="fr-FR"/>
        </w:rPr>
        <w:t>’</w:t>
      </w:r>
      <w:r w:rsidR="00972E14" w:rsidRPr="008D2CC5">
        <w:rPr>
          <w:lang w:val="fr-FR"/>
        </w:rPr>
        <w:t>avérer difficile de trouver les ressources nécessaires pour financer ces travaux mais il existe un certain nombre d</w:t>
      </w:r>
      <w:r w:rsidR="000409D6" w:rsidRPr="008D2CC5">
        <w:rPr>
          <w:lang w:val="fr-FR"/>
        </w:rPr>
        <w:t>’</w:t>
      </w:r>
      <w:r w:rsidR="00972E14" w:rsidRPr="008D2CC5">
        <w:rPr>
          <w:lang w:val="fr-FR"/>
        </w:rPr>
        <w:t xml:space="preserve">options faisant appel </w:t>
      </w:r>
      <w:r w:rsidR="00FE4750" w:rsidRPr="008D2CC5">
        <w:rPr>
          <w:lang w:val="fr-FR"/>
        </w:rPr>
        <w:t xml:space="preserve">à la fois </w:t>
      </w:r>
      <w:r w:rsidR="00972E14" w:rsidRPr="008D2CC5">
        <w:rPr>
          <w:lang w:val="fr-FR"/>
        </w:rPr>
        <w:t>au secteur privé et au secteur public</w:t>
      </w:r>
      <w:r w:rsidR="00D31AFF" w:rsidRPr="008D2CC5">
        <w:rPr>
          <w:lang w:val="fr-FR"/>
        </w:rPr>
        <w:t>.</w:t>
      </w:r>
    </w:p>
    <w:p w14:paraId="434DAA4A" w14:textId="03398BDE" w:rsidR="00D31AFF" w:rsidRPr="008D2CC5" w:rsidRDefault="004A1F91" w:rsidP="006D69D3">
      <w:pPr>
        <w:pStyle w:val="Normalnumber"/>
        <w:rPr>
          <w:lang w:val="fr-FR"/>
        </w:rPr>
      </w:pPr>
      <w:r w:rsidRPr="008D2CC5">
        <w:rPr>
          <w:lang w:val="fr-FR"/>
        </w:rPr>
        <w:t>Le financement de la gestion et de la remise en état des sites contaminés devrait, dans la mesure du possible, refléter le principe du pollueur-payeur</w:t>
      </w:r>
      <w:r w:rsidR="00D31AFF" w:rsidRPr="008D2CC5">
        <w:rPr>
          <w:lang w:val="fr-FR"/>
        </w:rPr>
        <w:t>.</w:t>
      </w:r>
      <w:r w:rsidR="008D4E40" w:rsidRPr="008D2CC5">
        <w:rPr>
          <w:lang w:val="fr-FR"/>
        </w:rPr>
        <w:t xml:space="preserve"> À cette fin, il </w:t>
      </w:r>
      <w:r w:rsidR="00547CE1" w:rsidRPr="008D2CC5">
        <w:rPr>
          <w:lang w:val="fr-FR"/>
        </w:rPr>
        <w:t>pourrait être</w:t>
      </w:r>
      <w:r w:rsidR="008D4E40" w:rsidRPr="008D2CC5">
        <w:rPr>
          <w:lang w:val="fr-FR"/>
        </w:rPr>
        <w:t xml:space="preserve"> nécessaire de disposer d</w:t>
      </w:r>
      <w:r w:rsidR="000409D6" w:rsidRPr="008D2CC5">
        <w:rPr>
          <w:lang w:val="fr-FR"/>
        </w:rPr>
        <w:t>’</w:t>
      </w:r>
      <w:r w:rsidR="008D4E40" w:rsidRPr="008D2CC5">
        <w:rPr>
          <w:lang w:val="fr-FR"/>
        </w:rPr>
        <w:t>un cadre juridique et réglementaire qui impose aux responsables de la pollution l</w:t>
      </w:r>
      <w:r w:rsidR="000409D6" w:rsidRPr="008D2CC5">
        <w:rPr>
          <w:lang w:val="fr-FR"/>
        </w:rPr>
        <w:t>’</w:t>
      </w:r>
      <w:r w:rsidR="008D4E40" w:rsidRPr="008D2CC5">
        <w:rPr>
          <w:lang w:val="fr-FR"/>
        </w:rPr>
        <w:t>obligation de prendre en charge les dépenses liées à l</w:t>
      </w:r>
      <w:r w:rsidR="000409D6" w:rsidRPr="008D2CC5">
        <w:rPr>
          <w:lang w:val="fr-FR"/>
        </w:rPr>
        <w:t>’</w:t>
      </w:r>
      <w:r w:rsidR="008D4E40" w:rsidRPr="008D2CC5">
        <w:rPr>
          <w:lang w:val="fr-FR"/>
        </w:rPr>
        <w:t>évaluation, à la gestion, à la remise en état ainsi qu</w:t>
      </w:r>
      <w:r w:rsidR="000409D6" w:rsidRPr="008D2CC5">
        <w:rPr>
          <w:lang w:val="fr-FR"/>
        </w:rPr>
        <w:t>’</w:t>
      </w:r>
      <w:r w:rsidR="008D4E40" w:rsidRPr="008D2CC5">
        <w:rPr>
          <w:lang w:val="fr-FR"/>
        </w:rPr>
        <w:t>au traitement et à l</w:t>
      </w:r>
      <w:r w:rsidR="000409D6" w:rsidRPr="008D2CC5">
        <w:rPr>
          <w:lang w:val="fr-FR"/>
        </w:rPr>
        <w:t>’</w:t>
      </w:r>
      <w:r w:rsidR="008D4E40" w:rsidRPr="008D2CC5">
        <w:rPr>
          <w:lang w:val="fr-FR"/>
        </w:rPr>
        <w:t>élimination</w:t>
      </w:r>
      <w:r w:rsidR="00D31AFF" w:rsidRPr="008D2CC5">
        <w:rPr>
          <w:lang w:val="fr-FR"/>
        </w:rPr>
        <w:t xml:space="preserve"> </w:t>
      </w:r>
      <w:r w:rsidR="008D4E40" w:rsidRPr="008D2CC5">
        <w:rPr>
          <w:lang w:val="fr-FR"/>
        </w:rPr>
        <w:t>des déchets du site</w:t>
      </w:r>
      <w:r w:rsidR="00D31AFF" w:rsidRPr="008D2CC5">
        <w:rPr>
          <w:lang w:val="fr-FR"/>
        </w:rPr>
        <w:t>.</w:t>
      </w:r>
      <w:r w:rsidR="008D4E40" w:rsidRPr="008D2CC5">
        <w:rPr>
          <w:lang w:val="fr-FR"/>
        </w:rPr>
        <w:t xml:space="preserve"> En l</w:t>
      </w:r>
      <w:r w:rsidR="000409D6" w:rsidRPr="008D2CC5">
        <w:rPr>
          <w:lang w:val="fr-FR"/>
        </w:rPr>
        <w:t>’</w:t>
      </w:r>
      <w:r w:rsidR="008D4E40" w:rsidRPr="008D2CC5">
        <w:rPr>
          <w:lang w:val="fr-FR"/>
        </w:rPr>
        <w:t>absence d</w:t>
      </w:r>
      <w:r w:rsidR="000409D6" w:rsidRPr="008D2CC5">
        <w:rPr>
          <w:lang w:val="fr-FR"/>
        </w:rPr>
        <w:t>’</w:t>
      </w:r>
      <w:r w:rsidR="008D4E40" w:rsidRPr="008D2CC5">
        <w:rPr>
          <w:lang w:val="fr-FR"/>
        </w:rPr>
        <w:t>un cadre juridique, les Parties devraient adopter une approche</w:t>
      </w:r>
      <w:r w:rsidR="00D31AFF" w:rsidRPr="008D2CC5">
        <w:rPr>
          <w:lang w:val="fr-FR"/>
        </w:rPr>
        <w:t xml:space="preserve"> </w:t>
      </w:r>
      <w:r w:rsidR="008D4E40" w:rsidRPr="008D2CC5">
        <w:rPr>
          <w:lang w:val="fr-FR"/>
        </w:rPr>
        <w:t>au cas-par-cas</w:t>
      </w:r>
      <w:r w:rsidR="00D31AFF" w:rsidRPr="008D2CC5">
        <w:rPr>
          <w:lang w:val="fr-FR"/>
        </w:rPr>
        <w:t xml:space="preserve">. </w:t>
      </w:r>
      <w:r w:rsidR="008D4E40" w:rsidRPr="008D2CC5">
        <w:rPr>
          <w:lang w:val="fr-FR"/>
        </w:rPr>
        <w:t>Dans certains cas</w:t>
      </w:r>
      <w:r w:rsidR="00D31AFF" w:rsidRPr="008D2CC5">
        <w:rPr>
          <w:lang w:val="fr-FR"/>
        </w:rPr>
        <w:t>,</w:t>
      </w:r>
      <w:r w:rsidR="008D4E40" w:rsidRPr="008D2CC5">
        <w:rPr>
          <w:lang w:val="fr-FR"/>
        </w:rPr>
        <w:t xml:space="preserve"> différents niveaux de gouvernement peuvent être re</w:t>
      </w:r>
      <w:r w:rsidR="00151BE5" w:rsidRPr="008D2CC5">
        <w:rPr>
          <w:lang w:val="fr-FR"/>
        </w:rPr>
        <w:t>s</w:t>
      </w:r>
      <w:r w:rsidR="008D4E40" w:rsidRPr="008D2CC5">
        <w:rPr>
          <w:lang w:val="fr-FR"/>
        </w:rPr>
        <w:t>ponsables</w:t>
      </w:r>
      <w:r w:rsidR="00151BE5" w:rsidRPr="008D2CC5">
        <w:rPr>
          <w:lang w:val="fr-FR"/>
        </w:rPr>
        <w:t xml:space="preserve"> du cadre de financement pour les sites contaminés</w:t>
      </w:r>
      <w:r w:rsidR="00D31AFF" w:rsidRPr="008D2CC5">
        <w:rPr>
          <w:lang w:val="fr-FR"/>
        </w:rPr>
        <w:t>.</w:t>
      </w:r>
    </w:p>
    <w:p w14:paraId="158AA58A" w14:textId="3B4CFBE1" w:rsidR="00D31AFF" w:rsidRPr="008D2CC5" w:rsidRDefault="00E42618" w:rsidP="006D69D3">
      <w:pPr>
        <w:pStyle w:val="Normalnumber"/>
        <w:rPr>
          <w:lang w:val="fr-FR"/>
        </w:rPr>
      </w:pPr>
      <w:r w:rsidRPr="008D2CC5">
        <w:rPr>
          <w:lang w:val="fr-FR"/>
        </w:rPr>
        <w:t>De nombreux modèles pollueur-payeur nationaux pour les sites contaminés comprennent des dispositions similaires aux dispositions du modèle des « sites orphelins » de l</w:t>
      </w:r>
      <w:r w:rsidR="000409D6" w:rsidRPr="008D2CC5">
        <w:rPr>
          <w:lang w:val="fr-FR"/>
        </w:rPr>
        <w:t>’</w:t>
      </w:r>
      <w:r w:rsidRPr="008D2CC5">
        <w:rPr>
          <w:lang w:val="fr-FR"/>
        </w:rPr>
        <w:t>Union européenne</w:t>
      </w:r>
      <w:r w:rsidR="00D31AFF" w:rsidRPr="008D2CC5">
        <w:rPr>
          <w:lang w:val="fr-FR"/>
        </w:rPr>
        <w:t>.</w:t>
      </w:r>
      <w:r w:rsidR="00462042">
        <w:rPr>
          <w:lang w:val="fr-FR"/>
        </w:rPr>
        <w:t xml:space="preserve"> Les </w:t>
      </w:r>
      <w:r w:rsidRPr="008D2CC5">
        <w:rPr>
          <w:lang w:val="fr-FR"/>
        </w:rPr>
        <w:t>sites orphelins sont des sites pour lesquels les pollueurs n</w:t>
      </w:r>
      <w:r w:rsidR="000409D6" w:rsidRPr="008D2CC5">
        <w:rPr>
          <w:lang w:val="fr-FR"/>
        </w:rPr>
        <w:t>’</w:t>
      </w:r>
      <w:r w:rsidRPr="008D2CC5">
        <w:rPr>
          <w:lang w:val="fr-FR"/>
        </w:rPr>
        <w:t>existent plus, ne peuvent pas être identifiés ou ne disposent pas de suffisamment de ressources pour couvrir les coûts de l</w:t>
      </w:r>
      <w:r w:rsidR="000409D6" w:rsidRPr="008D2CC5">
        <w:rPr>
          <w:lang w:val="fr-FR"/>
        </w:rPr>
        <w:t>’</w:t>
      </w:r>
      <w:r w:rsidRPr="008D2CC5">
        <w:rPr>
          <w:lang w:val="fr-FR"/>
        </w:rPr>
        <w:t>évaluation et de la remise en état</w:t>
      </w:r>
      <w:r w:rsidR="00D31AFF" w:rsidRPr="008D2CC5">
        <w:rPr>
          <w:lang w:val="fr-FR"/>
        </w:rPr>
        <w:t>.</w:t>
      </w:r>
      <w:r w:rsidRPr="008D2CC5">
        <w:rPr>
          <w:lang w:val="fr-FR"/>
        </w:rPr>
        <w:t xml:space="preserve"> Dans certaines juridictions, le cadre juridique ou administratif détermin</w:t>
      </w:r>
      <w:r w:rsidR="000D3408">
        <w:rPr>
          <w:lang w:val="fr-FR"/>
        </w:rPr>
        <w:t>ant</w:t>
      </w:r>
      <w:r w:rsidRPr="008D2CC5">
        <w:rPr>
          <w:lang w:val="fr-FR"/>
        </w:rPr>
        <w:t xml:space="preserve"> la responsabilité de la prise en charge des coûts de la gestion et de la remise en état des sites</w:t>
      </w:r>
      <w:r w:rsidR="00A664F6" w:rsidRPr="008D2CC5">
        <w:rPr>
          <w:lang w:val="fr-FR"/>
        </w:rPr>
        <w:t xml:space="preserve"> </w:t>
      </w:r>
      <w:r w:rsidR="00FE4750" w:rsidRPr="008D2CC5">
        <w:rPr>
          <w:lang w:val="fr-FR"/>
        </w:rPr>
        <w:t>comprend</w:t>
      </w:r>
      <w:r w:rsidR="00A664F6" w:rsidRPr="008D2CC5">
        <w:rPr>
          <w:lang w:val="fr-FR"/>
        </w:rPr>
        <w:t xml:space="preserve"> également de</w:t>
      </w:r>
      <w:r w:rsidR="00FE4750" w:rsidRPr="008D2CC5">
        <w:rPr>
          <w:lang w:val="fr-FR"/>
        </w:rPr>
        <w:t>s</w:t>
      </w:r>
      <w:r w:rsidR="00A664F6" w:rsidRPr="008D2CC5">
        <w:rPr>
          <w:lang w:val="fr-FR"/>
        </w:rPr>
        <w:t xml:space="preserve"> dispositions </w:t>
      </w:r>
      <w:r w:rsidR="00EE63A5">
        <w:rPr>
          <w:lang w:val="fr-FR"/>
        </w:rPr>
        <w:t xml:space="preserve">relatives aux </w:t>
      </w:r>
      <w:r w:rsidR="00A664F6" w:rsidRPr="008D2CC5">
        <w:rPr>
          <w:lang w:val="fr-FR"/>
        </w:rPr>
        <w:t>« propriétaire</w:t>
      </w:r>
      <w:r w:rsidR="00EE63A5">
        <w:rPr>
          <w:lang w:val="fr-FR"/>
        </w:rPr>
        <w:t>s</w:t>
      </w:r>
      <w:r w:rsidR="00A664F6" w:rsidRPr="008D2CC5">
        <w:rPr>
          <w:lang w:val="fr-FR"/>
        </w:rPr>
        <w:t xml:space="preserve"> </w:t>
      </w:r>
      <w:r w:rsidR="00EE63A5">
        <w:rPr>
          <w:lang w:val="fr-FR"/>
        </w:rPr>
        <w:t>innocents</w:t>
      </w:r>
      <w:r w:rsidR="00A664F6" w:rsidRPr="008D2CC5">
        <w:rPr>
          <w:lang w:val="fr-FR"/>
        </w:rPr>
        <w:t xml:space="preserve"> » </w:t>
      </w:r>
      <w:r w:rsidR="00EE63A5">
        <w:rPr>
          <w:lang w:val="fr-FR"/>
        </w:rPr>
        <w:t>permettant à</w:t>
      </w:r>
      <w:r w:rsidR="00A664F6" w:rsidRPr="008D2CC5">
        <w:rPr>
          <w:lang w:val="fr-FR"/>
        </w:rPr>
        <w:t xml:space="preserve"> un propriétaire foncier qui n</w:t>
      </w:r>
      <w:r w:rsidR="000409D6" w:rsidRPr="008D2CC5">
        <w:rPr>
          <w:lang w:val="fr-FR"/>
        </w:rPr>
        <w:t>’</w:t>
      </w:r>
      <w:r w:rsidR="00A664F6" w:rsidRPr="008D2CC5">
        <w:rPr>
          <w:lang w:val="fr-FR"/>
        </w:rPr>
        <w:t xml:space="preserve">a </w:t>
      </w:r>
      <w:r w:rsidR="00EE63A5">
        <w:rPr>
          <w:lang w:val="fr-FR"/>
        </w:rPr>
        <w:t>joué aucun rôle dans</w:t>
      </w:r>
      <w:r w:rsidR="00A664F6" w:rsidRPr="008D2CC5">
        <w:rPr>
          <w:lang w:val="fr-FR"/>
        </w:rPr>
        <w:t xml:space="preserve"> la contamination ou n</w:t>
      </w:r>
      <w:r w:rsidR="000409D6" w:rsidRPr="008D2CC5">
        <w:rPr>
          <w:lang w:val="fr-FR"/>
        </w:rPr>
        <w:t>’</w:t>
      </w:r>
      <w:r w:rsidR="000D3408">
        <w:rPr>
          <w:lang w:val="fr-FR"/>
        </w:rPr>
        <w:t xml:space="preserve">en </w:t>
      </w:r>
      <w:r w:rsidR="00A664F6" w:rsidRPr="008D2CC5">
        <w:rPr>
          <w:lang w:val="fr-FR"/>
        </w:rPr>
        <w:t xml:space="preserve">avait pas connaissance </w:t>
      </w:r>
      <w:r w:rsidR="00EE63A5">
        <w:rPr>
          <w:lang w:val="fr-FR"/>
        </w:rPr>
        <w:t xml:space="preserve">d’être dispensé </w:t>
      </w:r>
      <w:r w:rsidR="00A664F6" w:rsidRPr="008D2CC5">
        <w:rPr>
          <w:lang w:val="fr-FR"/>
        </w:rPr>
        <w:lastRenderedPageBreak/>
        <w:t>de contribuer aux coûts de décontamination</w:t>
      </w:r>
      <w:r w:rsidR="00D31AFF" w:rsidRPr="008D2CC5">
        <w:rPr>
          <w:lang w:val="fr-FR"/>
        </w:rPr>
        <w:t>.</w:t>
      </w:r>
      <w:r w:rsidR="00152CD3" w:rsidRPr="008D2CC5">
        <w:rPr>
          <w:lang w:val="fr-FR"/>
        </w:rPr>
        <w:t xml:space="preserve"> </w:t>
      </w:r>
      <w:r w:rsidR="00AD4B78" w:rsidRPr="008D2CC5">
        <w:rPr>
          <w:lang w:val="fr-FR"/>
        </w:rPr>
        <w:t>Le système</w:t>
      </w:r>
      <w:r w:rsidR="00D31AFF" w:rsidRPr="008D2CC5">
        <w:rPr>
          <w:lang w:val="fr-FR"/>
        </w:rPr>
        <w:t xml:space="preserve"> </w:t>
      </w:r>
      <w:r w:rsidR="00AD4B78" w:rsidRPr="008D2CC5">
        <w:rPr>
          <w:lang w:val="fr-FR"/>
        </w:rPr>
        <w:t>« </w:t>
      </w:r>
      <w:proofErr w:type="spellStart"/>
      <w:r w:rsidR="00D31AFF" w:rsidRPr="008D2CC5">
        <w:rPr>
          <w:lang w:val="fr-FR"/>
        </w:rPr>
        <w:t>Superfund</w:t>
      </w:r>
      <w:proofErr w:type="spellEnd"/>
      <w:r w:rsidR="00AD4B78" w:rsidRPr="008D2CC5">
        <w:rPr>
          <w:lang w:val="fr-FR"/>
        </w:rPr>
        <w:t> »</w:t>
      </w:r>
      <w:r w:rsidR="00D31AFF" w:rsidRPr="008D2CC5">
        <w:rPr>
          <w:rStyle w:val="FootnoteReference"/>
          <w:lang w:val="fr-FR"/>
        </w:rPr>
        <w:footnoteReference w:id="14"/>
      </w:r>
      <w:r w:rsidR="00D31AFF" w:rsidRPr="008D2CC5">
        <w:rPr>
          <w:lang w:val="fr-FR"/>
        </w:rPr>
        <w:t xml:space="preserve"> </w:t>
      </w:r>
      <w:r w:rsidR="009C789F">
        <w:rPr>
          <w:lang w:val="fr-FR"/>
        </w:rPr>
        <w:t>des</w:t>
      </w:r>
      <w:r w:rsidR="00AD4B78" w:rsidRPr="008D2CC5">
        <w:rPr>
          <w:lang w:val="fr-FR"/>
        </w:rPr>
        <w:t xml:space="preserve"> États-Unis et le cadre juridique</w:t>
      </w:r>
      <w:r w:rsidR="00B77F53" w:rsidRPr="008D2CC5">
        <w:rPr>
          <w:lang w:val="fr-FR"/>
        </w:rPr>
        <w:t xml:space="preserve"> </w:t>
      </w:r>
      <w:r w:rsidR="00AD4B78" w:rsidRPr="008D2CC5">
        <w:rPr>
          <w:lang w:val="fr-FR"/>
        </w:rPr>
        <w:t>d</w:t>
      </w:r>
      <w:r w:rsidR="000409D6" w:rsidRPr="008D2CC5">
        <w:rPr>
          <w:lang w:val="fr-FR"/>
        </w:rPr>
        <w:t>’</w:t>
      </w:r>
      <w:r w:rsidR="00AD4B78" w:rsidRPr="008D2CC5">
        <w:rPr>
          <w:lang w:val="fr-FR"/>
        </w:rPr>
        <w:t>Australie-Occidentale</w:t>
      </w:r>
      <w:r w:rsidR="00D31AFF" w:rsidRPr="008D2CC5">
        <w:rPr>
          <w:rStyle w:val="FootnoteReference"/>
          <w:lang w:val="fr-FR"/>
        </w:rPr>
        <w:footnoteReference w:id="15"/>
      </w:r>
      <w:r w:rsidR="00D31AFF" w:rsidRPr="008D2CC5">
        <w:rPr>
          <w:lang w:val="fr-FR"/>
        </w:rPr>
        <w:t xml:space="preserve"> </w:t>
      </w:r>
      <w:r w:rsidR="00AD4B78" w:rsidRPr="008D2CC5">
        <w:rPr>
          <w:lang w:val="fr-FR"/>
        </w:rPr>
        <w:t>intègrent ce concept</w:t>
      </w:r>
      <w:r w:rsidR="00D31AFF" w:rsidRPr="008D2CC5">
        <w:rPr>
          <w:lang w:val="fr-FR"/>
        </w:rPr>
        <w:t>.</w:t>
      </w:r>
      <w:r w:rsidR="00AD4B78" w:rsidRPr="008D2CC5">
        <w:rPr>
          <w:lang w:val="fr-FR"/>
        </w:rPr>
        <w:t xml:space="preserve"> Dans certaines juridictions, un propriétaire foncier ou un occupant d</w:t>
      </w:r>
      <w:r w:rsidR="000409D6" w:rsidRPr="008D2CC5">
        <w:rPr>
          <w:lang w:val="fr-FR"/>
        </w:rPr>
        <w:t>’</w:t>
      </w:r>
      <w:r w:rsidR="00AD4B78" w:rsidRPr="008D2CC5">
        <w:rPr>
          <w:lang w:val="fr-FR"/>
        </w:rPr>
        <w:t>une propriété peut être tenu de prendre en charge les coûts d</w:t>
      </w:r>
      <w:r w:rsidR="000409D6" w:rsidRPr="008D2CC5">
        <w:rPr>
          <w:lang w:val="fr-FR"/>
        </w:rPr>
        <w:t>’</w:t>
      </w:r>
      <w:r w:rsidR="00AD4B78" w:rsidRPr="008D2CC5">
        <w:rPr>
          <w:lang w:val="fr-FR"/>
        </w:rPr>
        <w:t>évaluation et de remise en état associés à une contamination causée par quelqu</w:t>
      </w:r>
      <w:r w:rsidR="000409D6" w:rsidRPr="008D2CC5">
        <w:rPr>
          <w:lang w:val="fr-FR"/>
        </w:rPr>
        <w:t>’</w:t>
      </w:r>
      <w:r w:rsidR="00AD4B78" w:rsidRPr="008D2CC5">
        <w:rPr>
          <w:lang w:val="fr-FR"/>
        </w:rPr>
        <w:t>un d</w:t>
      </w:r>
      <w:r w:rsidR="000409D6" w:rsidRPr="008D2CC5">
        <w:rPr>
          <w:lang w:val="fr-FR"/>
        </w:rPr>
        <w:t>’</w:t>
      </w:r>
      <w:r w:rsidR="00AD4B78" w:rsidRPr="008D2CC5">
        <w:rPr>
          <w:lang w:val="fr-FR"/>
        </w:rPr>
        <w:t>autre</w:t>
      </w:r>
      <w:r w:rsidR="00D31AFF" w:rsidRPr="008D2CC5">
        <w:rPr>
          <w:lang w:val="fr-FR"/>
        </w:rPr>
        <w:t>.</w:t>
      </w:r>
      <w:r w:rsidR="00547CE1" w:rsidRPr="008D2CC5">
        <w:rPr>
          <w:lang w:val="fr-FR"/>
        </w:rPr>
        <w:t xml:space="preserve"> Le registre des sites contaminés pourrait être mis à </w:t>
      </w:r>
      <w:r w:rsidR="00EE63A5">
        <w:rPr>
          <w:lang w:val="fr-FR"/>
        </w:rPr>
        <w:t xml:space="preserve">la </w:t>
      </w:r>
      <w:r w:rsidR="00547CE1" w:rsidRPr="008D2CC5">
        <w:rPr>
          <w:lang w:val="fr-FR"/>
        </w:rPr>
        <w:t>disposition du bureau ou du ministère chargé des transactions foncières, selon qu</w:t>
      </w:r>
      <w:r w:rsidR="000409D6" w:rsidRPr="008D2CC5">
        <w:rPr>
          <w:lang w:val="fr-FR"/>
        </w:rPr>
        <w:t>’</w:t>
      </w:r>
      <w:r w:rsidR="00547CE1" w:rsidRPr="008D2CC5">
        <w:rPr>
          <w:lang w:val="fr-FR"/>
        </w:rPr>
        <w:t>il convient, afin de faciliter l</w:t>
      </w:r>
      <w:r w:rsidR="000409D6" w:rsidRPr="008D2CC5">
        <w:rPr>
          <w:lang w:val="fr-FR"/>
        </w:rPr>
        <w:t>’</w:t>
      </w:r>
      <w:r w:rsidR="00547CE1" w:rsidRPr="008D2CC5">
        <w:rPr>
          <w:lang w:val="fr-FR"/>
        </w:rPr>
        <w:t>application du principe du pollueur-payeur.</w:t>
      </w:r>
    </w:p>
    <w:p w14:paraId="02FD4BA5" w14:textId="79827A6D" w:rsidR="00D31AFF" w:rsidRPr="008D2CC5" w:rsidRDefault="00D31AFF" w:rsidP="00F93F76">
      <w:pPr>
        <w:pStyle w:val="CH2"/>
        <w:rPr>
          <w:lang w:val="fr-FR"/>
        </w:rPr>
      </w:pPr>
      <w:r w:rsidRPr="008D2CC5">
        <w:rPr>
          <w:lang w:val="fr-FR"/>
        </w:rPr>
        <w:tab/>
      </w:r>
      <w:bookmarkStart w:id="22" w:name="_Toc15920555"/>
      <w:r w:rsidRPr="008D2CC5">
        <w:rPr>
          <w:lang w:val="fr-FR"/>
        </w:rPr>
        <w:t>G.</w:t>
      </w:r>
      <w:r w:rsidRPr="008D2CC5">
        <w:rPr>
          <w:lang w:val="fr-FR"/>
        </w:rPr>
        <w:tab/>
        <w:t xml:space="preserve">Validation </w:t>
      </w:r>
      <w:bookmarkEnd w:id="22"/>
      <w:r w:rsidR="000B0863" w:rsidRPr="008D2CC5">
        <w:rPr>
          <w:lang w:val="fr-FR"/>
        </w:rPr>
        <w:t>des résultats</w:t>
      </w:r>
    </w:p>
    <w:p w14:paraId="4A4BA85F" w14:textId="09C9E8E6" w:rsidR="00D31AFF" w:rsidRPr="008D2CC5" w:rsidRDefault="000B0863" w:rsidP="006D69D3">
      <w:pPr>
        <w:pStyle w:val="Normalnumber"/>
        <w:rPr>
          <w:lang w:val="fr-FR"/>
        </w:rPr>
      </w:pPr>
      <w:r w:rsidRPr="008D2CC5">
        <w:rPr>
          <w:lang w:val="fr-FR"/>
        </w:rPr>
        <w:t xml:space="preserve">Il </w:t>
      </w:r>
      <w:r w:rsidR="001C180C">
        <w:rPr>
          <w:lang w:val="fr-FR"/>
        </w:rPr>
        <w:t>importe</w:t>
      </w:r>
      <w:r w:rsidRPr="008D2CC5">
        <w:rPr>
          <w:lang w:val="fr-FR"/>
        </w:rPr>
        <w:t xml:space="preserve"> de pouvoir vérifier si les mesures de gestion ou de remise en état qui ont été prises ont contribué à la réalisation des objectifs </w:t>
      </w:r>
      <w:r w:rsidR="007C467A" w:rsidRPr="008D2CC5">
        <w:rPr>
          <w:lang w:val="fr-FR"/>
        </w:rPr>
        <w:t xml:space="preserve">de gestion des risques ou </w:t>
      </w:r>
      <w:r w:rsidR="006878DE" w:rsidRPr="008D2CC5">
        <w:rPr>
          <w:lang w:val="fr-FR"/>
        </w:rPr>
        <w:t xml:space="preserve">de remise en état </w:t>
      </w:r>
      <w:r w:rsidRPr="008D2CC5">
        <w:rPr>
          <w:lang w:val="fr-FR"/>
        </w:rPr>
        <w:t>fixés pour le site</w:t>
      </w:r>
      <w:r w:rsidR="00D31AFF" w:rsidRPr="008D2CC5">
        <w:rPr>
          <w:lang w:val="fr-FR"/>
        </w:rPr>
        <w:t xml:space="preserve">. </w:t>
      </w:r>
      <w:r w:rsidRPr="008D2CC5">
        <w:rPr>
          <w:lang w:val="fr-FR"/>
        </w:rPr>
        <w:t xml:space="preserve">Les moyens de vérification devraient être définis durant le processus initial de planification et les ressources indispensables à la </w:t>
      </w:r>
      <w:r w:rsidR="00A12740" w:rsidRPr="008D2CC5">
        <w:rPr>
          <w:lang w:val="fr-FR"/>
        </w:rPr>
        <w:t>mise en œuvre</w:t>
      </w:r>
      <w:r w:rsidRPr="008D2CC5">
        <w:rPr>
          <w:lang w:val="fr-FR"/>
        </w:rPr>
        <w:t xml:space="preserve"> des </w:t>
      </w:r>
      <w:r w:rsidR="00A12740" w:rsidRPr="008D2CC5">
        <w:rPr>
          <w:lang w:val="fr-FR"/>
        </w:rPr>
        <w:t>activités nécessaires</w:t>
      </w:r>
      <w:r w:rsidRPr="008D2CC5">
        <w:rPr>
          <w:lang w:val="fr-FR"/>
        </w:rPr>
        <w:t>, telles que la surveillance, devraient être intégrées au projet global</w:t>
      </w:r>
      <w:r w:rsidR="00D31AFF" w:rsidRPr="008D2CC5">
        <w:rPr>
          <w:lang w:val="fr-FR"/>
        </w:rPr>
        <w:t>.</w:t>
      </w:r>
      <w:r w:rsidR="00D75DEA" w:rsidRPr="008D2CC5">
        <w:rPr>
          <w:lang w:val="fr-FR"/>
        </w:rPr>
        <w:t xml:space="preserve"> Des techniques de mesure sur le terrain pourraient </w:t>
      </w:r>
      <w:r w:rsidR="00435B87">
        <w:rPr>
          <w:lang w:val="fr-FR"/>
        </w:rPr>
        <w:t>être utilisées</w:t>
      </w:r>
      <w:r w:rsidR="00D75DEA" w:rsidRPr="008D2CC5">
        <w:rPr>
          <w:lang w:val="fr-FR"/>
        </w:rPr>
        <w:t xml:space="preserve"> à cette fin, en vue de réduire les coûts liés à la détermination </w:t>
      </w:r>
      <w:r w:rsidR="00435B87">
        <w:rPr>
          <w:lang w:val="fr-FR"/>
        </w:rPr>
        <w:t xml:space="preserve">de la présence </w:t>
      </w:r>
      <w:r w:rsidR="00D75DEA" w:rsidRPr="008D2CC5">
        <w:rPr>
          <w:lang w:val="fr-FR"/>
        </w:rPr>
        <w:t>d</w:t>
      </w:r>
      <w:r w:rsidR="00435B87">
        <w:rPr>
          <w:lang w:val="fr-FR"/>
        </w:rPr>
        <w:t>e</w:t>
      </w:r>
      <w:r w:rsidR="00D75DEA" w:rsidRPr="008D2CC5">
        <w:rPr>
          <w:lang w:val="fr-FR"/>
        </w:rPr>
        <w:t xml:space="preserve"> mercure (par exemple, l</w:t>
      </w:r>
      <w:r w:rsidR="000409D6" w:rsidRPr="008D2CC5">
        <w:rPr>
          <w:lang w:val="fr-FR"/>
        </w:rPr>
        <w:t>’</w:t>
      </w:r>
      <w:r w:rsidR="00D75DEA" w:rsidRPr="008D2CC5">
        <w:rPr>
          <w:lang w:val="fr-FR"/>
        </w:rPr>
        <w:t>utilisation d</w:t>
      </w:r>
      <w:r w:rsidR="000409D6" w:rsidRPr="008D2CC5">
        <w:rPr>
          <w:lang w:val="fr-FR"/>
        </w:rPr>
        <w:t>’</w:t>
      </w:r>
      <w:r w:rsidR="00D75DEA" w:rsidRPr="008D2CC5">
        <w:rPr>
          <w:lang w:val="fr-FR"/>
        </w:rPr>
        <w:t xml:space="preserve">appareils </w:t>
      </w:r>
      <w:r w:rsidR="00841405" w:rsidRPr="008D2CC5">
        <w:rPr>
          <w:lang w:val="fr-FR"/>
        </w:rPr>
        <w:t xml:space="preserve">portables </w:t>
      </w:r>
      <w:r w:rsidR="00D75DEA" w:rsidRPr="008D2CC5">
        <w:rPr>
          <w:lang w:val="fr-FR"/>
        </w:rPr>
        <w:t xml:space="preserve">de </w:t>
      </w:r>
      <w:r w:rsidR="00841405" w:rsidRPr="008D2CC5">
        <w:rPr>
          <w:lang w:val="fr-FR"/>
        </w:rPr>
        <w:t xml:space="preserve">spectrométrie par fluorescence des </w:t>
      </w:r>
      <w:r w:rsidR="00D75DEA" w:rsidRPr="008D2CC5">
        <w:rPr>
          <w:lang w:val="fr-FR"/>
        </w:rPr>
        <w:t>rayons X)</w:t>
      </w:r>
      <w:r w:rsidR="00841405" w:rsidRPr="008D2CC5">
        <w:rPr>
          <w:lang w:val="fr-FR"/>
        </w:rPr>
        <w:t>.</w:t>
      </w:r>
    </w:p>
    <w:p w14:paraId="53871D87" w14:textId="15F992E3" w:rsidR="00D31AFF" w:rsidRPr="008D2CC5" w:rsidRDefault="00A12740" w:rsidP="006D69D3">
      <w:pPr>
        <w:pStyle w:val="Normalnumber"/>
        <w:rPr>
          <w:lang w:val="fr-FR"/>
        </w:rPr>
      </w:pPr>
      <w:r w:rsidRPr="008D2CC5">
        <w:rPr>
          <w:lang w:val="fr-FR"/>
        </w:rPr>
        <w:t>Les objectifs d</w:t>
      </w:r>
      <w:r w:rsidR="000409D6" w:rsidRPr="008D2CC5">
        <w:rPr>
          <w:lang w:val="fr-FR"/>
        </w:rPr>
        <w:t>’</w:t>
      </w:r>
      <w:r w:rsidRPr="008D2CC5">
        <w:rPr>
          <w:lang w:val="fr-FR"/>
        </w:rPr>
        <w:t>un programme de surveillance varient en fonction des mesures choisies pour la gestion du site</w:t>
      </w:r>
      <w:r w:rsidR="00D31AFF" w:rsidRPr="008D2CC5">
        <w:rPr>
          <w:lang w:val="fr-FR"/>
        </w:rPr>
        <w:t xml:space="preserve">. </w:t>
      </w:r>
      <w:r w:rsidRPr="008D2CC5">
        <w:rPr>
          <w:lang w:val="fr-FR"/>
        </w:rPr>
        <w:t>La réussite pourra s</w:t>
      </w:r>
      <w:r w:rsidR="000409D6" w:rsidRPr="008D2CC5">
        <w:rPr>
          <w:lang w:val="fr-FR"/>
        </w:rPr>
        <w:t>’</w:t>
      </w:r>
      <w:r w:rsidRPr="008D2CC5">
        <w:rPr>
          <w:lang w:val="fr-FR"/>
        </w:rPr>
        <w:t xml:space="preserve">apprécier </w:t>
      </w:r>
      <w:r w:rsidR="00590745" w:rsidRPr="008D2CC5">
        <w:rPr>
          <w:lang w:val="fr-FR"/>
        </w:rPr>
        <w:t>au regard</w:t>
      </w:r>
      <w:r w:rsidRPr="008D2CC5">
        <w:rPr>
          <w:lang w:val="fr-FR"/>
        </w:rPr>
        <w:t xml:space="preserve"> de la réduction des concentrations de mercure sur le site, de la quantité de mercure pénétrant dans l</w:t>
      </w:r>
      <w:r w:rsidR="000409D6" w:rsidRPr="008D2CC5">
        <w:rPr>
          <w:lang w:val="fr-FR"/>
        </w:rPr>
        <w:t>’</w:t>
      </w:r>
      <w:r w:rsidRPr="008D2CC5">
        <w:rPr>
          <w:lang w:val="fr-FR"/>
        </w:rPr>
        <w:t>environnement à partir du site ou de l</w:t>
      </w:r>
      <w:r w:rsidR="000409D6" w:rsidRPr="008D2CC5">
        <w:rPr>
          <w:lang w:val="fr-FR"/>
        </w:rPr>
        <w:t>’</w:t>
      </w:r>
      <w:r w:rsidRPr="008D2CC5">
        <w:rPr>
          <w:lang w:val="fr-FR"/>
        </w:rPr>
        <w:t>exposition des populations installées autour du site, ou bien du retour du site à une utilisation convenable</w:t>
      </w:r>
      <w:r w:rsidR="00D31AFF" w:rsidRPr="008D2CC5">
        <w:rPr>
          <w:lang w:val="fr-FR"/>
        </w:rPr>
        <w:t xml:space="preserve">. </w:t>
      </w:r>
      <w:r w:rsidR="00590745" w:rsidRPr="008D2CC5">
        <w:rPr>
          <w:lang w:val="fr-FR"/>
        </w:rPr>
        <w:t>S</w:t>
      </w:r>
      <w:r w:rsidR="000409D6" w:rsidRPr="008D2CC5">
        <w:rPr>
          <w:lang w:val="fr-FR"/>
        </w:rPr>
        <w:t>’</w:t>
      </w:r>
      <w:r w:rsidR="00590745" w:rsidRPr="008D2CC5">
        <w:rPr>
          <w:lang w:val="fr-FR"/>
        </w:rPr>
        <w:t>il apparaît que les mesures de gestion du site ne contribuent pas à la réalisation des objectifs du projet global, des mesures supplémentaires seront peut-être nécessaires</w:t>
      </w:r>
      <w:r w:rsidR="00D31AFF" w:rsidRPr="008D2CC5">
        <w:rPr>
          <w:lang w:val="fr-FR"/>
        </w:rPr>
        <w:t xml:space="preserve">. </w:t>
      </w:r>
      <w:r w:rsidR="00465A58" w:rsidRPr="008D2CC5">
        <w:rPr>
          <w:lang w:val="fr-FR"/>
        </w:rPr>
        <w:t>Le cycle de gestion de la planification, de la mise en œuvre, de l</w:t>
      </w:r>
      <w:r w:rsidR="000409D6" w:rsidRPr="008D2CC5">
        <w:rPr>
          <w:lang w:val="fr-FR"/>
        </w:rPr>
        <w:t>’</w:t>
      </w:r>
      <w:r w:rsidR="00465A58" w:rsidRPr="008D2CC5">
        <w:rPr>
          <w:lang w:val="fr-FR"/>
        </w:rPr>
        <w:t>évaluation, de la prise de décisions et de la réorganisation devra peut-être, dans certains cas, se répéter</w:t>
      </w:r>
      <w:r w:rsidR="00D31AFF" w:rsidRPr="008D2CC5">
        <w:rPr>
          <w:lang w:val="fr-FR"/>
        </w:rPr>
        <w:t xml:space="preserve">. </w:t>
      </w:r>
    </w:p>
    <w:p w14:paraId="0184ACCC" w14:textId="15C687B5" w:rsidR="00D31AFF" w:rsidRPr="008D2CC5" w:rsidRDefault="00465A58" w:rsidP="006D69D3">
      <w:pPr>
        <w:pStyle w:val="Normalnumber"/>
        <w:rPr>
          <w:lang w:val="fr-FR"/>
        </w:rPr>
      </w:pPr>
      <w:r w:rsidRPr="008D2CC5">
        <w:rPr>
          <w:lang w:val="fr-FR"/>
        </w:rPr>
        <w:t>L</w:t>
      </w:r>
      <w:r w:rsidR="000409D6" w:rsidRPr="008D2CC5">
        <w:rPr>
          <w:lang w:val="fr-FR"/>
        </w:rPr>
        <w:t>’</w:t>
      </w:r>
      <w:r w:rsidRPr="008D2CC5">
        <w:rPr>
          <w:lang w:val="fr-FR"/>
        </w:rPr>
        <w:t>échantillonnage est une forme répandue de validation</w:t>
      </w:r>
      <w:r w:rsidR="00D31AFF" w:rsidRPr="008D2CC5">
        <w:rPr>
          <w:lang w:val="fr-FR"/>
        </w:rPr>
        <w:t xml:space="preserve">. </w:t>
      </w:r>
      <w:r w:rsidR="0093330D" w:rsidRPr="008D2CC5">
        <w:rPr>
          <w:lang w:val="fr-FR"/>
        </w:rPr>
        <w:t>Par exemple, dans le cas où un foyer de mercure a été excavé, les taux de mercure mesurés dans des échantillons de sol prélevés sur les parois et à la base de la zone excavée devraient correspondre ou être inférieurs aux objectifs fixés pour la remise en état</w:t>
      </w:r>
      <w:r w:rsidR="00D31AFF" w:rsidRPr="008D2CC5">
        <w:rPr>
          <w:lang w:val="fr-FR"/>
        </w:rPr>
        <w:t xml:space="preserve">. </w:t>
      </w:r>
      <w:r w:rsidR="0093330D" w:rsidRPr="008D2CC5">
        <w:rPr>
          <w:lang w:val="fr-FR"/>
        </w:rPr>
        <w:t>Les concentrations dans les eaux de surface, les eaux souterraines, l</w:t>
      </w:r>
      <w:r w:rsidR="000409D6" w:rsidRPr="008D2CC5">
        <w:rPr>
          <w:lang w:val="fr-FR"/>
        </w:rPr>
        <w:t>’</w:t>
      </w:r>
      <w:r w:rsidR="0093330D" w:rsidRPr="008D2CC5">
        <w:rPr>
          <w:lang w:val="fr-FR"/>
        </w:rPr>
        <w:t xml:space="preserve">air et le biote peuvent également être mesurées afin de déterminer si les objectifs de gestion </w:t>
      </w:r>
      <w:r w:rsidR="00A849AE" w:rsidRPr="008D2CC5">
        <w:rPr>
          <w:lang w:val="fr-FR"/>
        </w:rPr>
        <w:t>et/</w:t>
      </w:r>
      <w:r w:rsidR="0093330D" w:rsidRPr="008D2CC5">
        <w:rPr>
          <w:lang w:val="fr-FR"/>
        </w:rPr>
        <w:t>ou de remise en état ont été atteints</w:t>
      </w:r>
      <w:r w:rsidR="00D31AFF" w:rsidRPr="008D2CC5">
        <w:rPr>
          <w:lang w:val="fr-FR"/>
        </w:rPr>
        <w:t>.</w:t>
      </w:r>
    </w:p>
    <w:p w14:paraId="59E5BF09" w14:textId="6351E1F9" w:rsidR="00D31AFF" w:rsidRPr="008D2CC5" w:rsidRDefault="00394EB3" w:rsidP="006D69D3">
      <w:pPr>
        <w:pStyle w:val="Normalnumber"/>
        <w:rPr>
          <w:lang w:val="fr-FR"/>
        </w:rPr>
      </w:pPr>
      <w:r w:rsidRPr="008D2CC5">
        <w:rPr>
          <w:lang w:val="fr-FR"/>
        </w:rPr>
        <w:t>Dans le cadre de l</w:t>
      </w:r>
      <w:r w:rsidR="000409D6" w:rsidRPr="008D2CC5">
        <w:rPr>
          <w:lang w:val="fr-FR"/>
        </w:rPr>
        <w:t>’</w:t>
      </w:r>
      <w:r w:rsidRPr="008D2CC5">
        <w:rPr>
          <w:lang w:val="fr-FR"/>
        </w:rPr>
        <w:t>évaluation globale des mesures initiales prises pour la gestion d</w:t>
      </w:r>
      <w:r w:rsidR="000409D6" w:rsidRPr="008D2CC5">
        <w:rPr>
          <w:lang w:val="fr-FR"/>
        </w:rPr>
        <w:t>’</w:t>
      </w:r>
      <w:r w:rsidRPr="008D2CC5">
        <w:rPr>
          <w:lang w:val="fr-FR"/>
        </w:rPr>
        <w:t xml:space="preserve">un site contaminé, des mesures supplémentaires telles que la remise en état </w:t>
      </w:r>
      <w:proofErr w:type="gramStart"/>
      <w:r w:rsidRPr="008D2CC5">
        <w:rPr>
          <w:lang w:val="fr-FR"/>
        </w:rPr>
        <w:t>peuvent</w:t>
      </w:r>
      <w:proofErr w:type="gramEnd"/>
      <w:r w:rsidRPr="008D2CC5">
        <w:rPr>
          <w:lang w:val="fr-FR"/>
        </w:rPr>
        <w:t xml:space="preserve"> être envisagées, notamment si des avancées technologiques survenues depuis l</w:t>
      </w:r>
      <w:r w:rsidR="000409D6" w:rsidRPr="008D2CC5">
        <w:rPr>
          <w:lang w:val="fr-FR"/>
        </w:rPr>
        <w:t>’</w:t>
      </w:r>
      <w:r w:rsidRPr="008D2CC5">
        <w:rPr>
          <w:lang w:val="fr-FR"/>
        </w:rPr>
        <w:t>évaluation initiale du site ont rendu une telle opération plus faisable</w:t>
      </w:r>
      <w:r w:rsidR="00D31AFF" w:rsidRPr="008D2CC5">
        <w:rPr>
          <w:lang w:val="fr-FR"/>
        </w:rPr>
        <w:t xml:space="preserve">. </w:t>
      </w:r>
      <w:r w:rsidRPr="008D2CC5">
        <w:rPr>
          <w:lang w:val="fr-FR"/>
        </w:rPr>
        <w:t xml:space="preserve">Le programme de surveillance devrait comprendre une surveillance continue appropriée des concentrations de mercure dans </w:t>
      </w:r>
      <w:r w:rsidR="008132A6" w:rsidRPr="008D2CC5">
        <w:rPr>
          <w:lang w:val="fr-FR"/>
        </w:rPr>
        <w:t>l</w:t>
      </w:r>
      <w:r w:rsidR="000409D6" w:rsidRPr="008D2CC5">
        <w:rPr>
          <w:lang w:val="fr-FR"/>
        </w:rPr>
        <w:t>’</w:t>
      </w:r>
      <w:r w:rsidR="008132A6" w:rsidRPr="008D2CC5">
        <w:rPr>
          <w:lang w:val="fr-FR"/>
        </w:rPr>
        <w:t>ensemble des</w:t>
      </w:r>
      <w:r w:rsidRPr="008D2CC5">
        <w:rPr>
          <w:lang w:val="fr-FR"/>
        </w:rPr>
        <w:t xml:space="preserve"> milieu</w:t>
      </w:r>
      <w:r w:rsidR="008132A6" w:rsidRPr="008D2CC5">
        <w:rPr>
          <w:lang w:val="fr-FR"/>
        </w:rPr>
        <w:t>x</w:t>
      </w:r>
      <w:r w:rsidRPr="008D2CC5">
        <w:rPr>
          <w:lang w:val="fr-FR"/>
        </w:rPr>
        <w:t xml:space="preserve"> préoccupant</w:t>
      </w:r>
      <w:r w:rsidR="008132A6" w:rsidRPr="008D2CC5">
        <w:rPr>
          <w:lang w:val="fr-FR"/>
        </w:rPr>
        <w:t>s</w:t>
      </w:r>
      <w:r w:rsidRPr="008D2CC5">
        <w:rPr>
          <w:lang w:val="fr-FR"/>
        </w:rPr>
        <w:t xml:space="preserve">, même après </w:t>
      </w:r>
      <w:r w:rsidR="008132A6" w:rsidRPr="008D2CC5">
        <w:rPr>
          <w:lang w:val="fr-FR"/>
        </w:rPr>
        <w:t>l</w:t>
      </w:r>
      <w:r w:rsidR="000409D6" w:rsidRPr="008D2CC5">
        <w:rPr>
          <w:lang w:val="fr-FR"/>
        </w:rPr>
        <w:t>’</w:t>
      </w:r>
      <w:r w:rsidR="008132A6" w:rsidRPr="008D2CC5">
        <w:rPr>
          <w:lang w:val="fr-FR"/>
        </w:rPr>
        <w:t>achèvement</w:t>
      </w:r>
      <w:r w:rsidRPr="008D2CC5">
        <w:rPr>
          <w:lang w:val="fr-FR"/>
        </w:rPr>
        <w:t xml:space="preserve"> </w:t>
      </w:r>
      <w:r w:rsidR="00A849AE" w:rsidRPr="008D2CC5">
        <w:rPr>
          <w:lang w:val="fr-FR"/>
        </w:rPr>
        <w:t xml:space="preserve">des </w:t>
      </w:r>
      <w:r w:rsidRPr="008D2CC5">
        <w:rPr>
          <w:lang w:val="fr-FR"/>
        </w:rPr>
        <w:t>activités de remise en état</w:t>
      </w:r>
      <w:r w:rsidR="008132A6" w:rsidRPr="008D2CC5">
        <w:rPr>
          <w:lang w:val="fr-FR"/>
        </w:rPr>
        <w:t>, afin de veiller à ce que ces dernières aient porté leurs fruits et qu</w:t>
      </w:r>
      <w:r w:rsidR="000409D6" w:rsidRPr="008D2CC5">
        <w:rPr>
          <w:lang w:val="fr-FR"/>
        </w:rPr>
        <w:t>’</w:t>
      </w:r>
      <w:r w:rsidR="008132A6" w:rsidRPr="008D2CC5">
        <w:rPr>
          <w:lang w:val="fr-FR"/>
        </w:rPr>
        <w:t>il n</w:t>
      </w:r>
      <w:r w:rsidR="000409D6" w:rsidRPr="008D2CC5">
        <w:rPr>
          <w:lang w:val="fr-FR"/>
        </w:rPr>
        <w:t>’</w:t>
      </w:r>
      <w:r w:rsidR="008132A6" w:rsidRPr="008D2CC5">
        <w:rPr>
          <w:lang w:val="fr-FR"/>
        </w:rPr>
        <w:t xml:space="preserve">y ait pas de sources </w:t>
      </w:r>
      <w:r w:rsidR="00A849AE" w:rsidRPr="008D2CC5">
        <w:rPr>
          <w:lang w:val="fr-FR"/>
        </w:rPr>
        <w:t xml:space="preserve">de contamination </w:t>
      </w:r>
      <w:r w:rsidR="008132A6" w:rsidRPr="008D2CC5">
        <w:rPr>
          <w:lang w:val="fr-FR"/>
        </w:rPr>
        <w:t>supplémentaires non identifiée</w:t>
      </w:r>
      <w:r w:rsidR="00A849AE" w:rsidRPr="008D2CC5">
        <w:rPr>
          <w:lang w:val="fr-FR"/>
        </w:rPr>
        <w:t>s</w:t>
      </w:r>
      <w:r w:rsidR="008132A6" w:rsidRPr="008D2CC5">
        <w:rPr>
          <w:lang w:val="fr-FR"/>
        </w:rPr>
        <w:t xml:space="preserve"> durant la caractérisation du site</w:t>
      </w:r>
      <w:r w:rsidR="00D31AFF" w:rsidRPr="008D2CC5">
        <w:rPr>
          <w:lang w:val="fr-FR"/>
        </w:rPr>
        <w:t xml:space="preserve">. </w:t>
      </w:r>
    </w:p>
    <w:p w14:paraId="5DDEAD90" w14:textId="1B29B977" w:rsidR="00D31AFF" w:rsidRPr="008D2CC5" w:rsidRDefault="00D31AFF" w:rsidP="00F93F76">
      <w:pPr>
        <w:pStyle w:val="CH2"/>
        <w:rPr>
          <w:lang w:val="fr-FR"/>
        </w:rPr>
      </w:pPr>
      <w:r w:rsidRPr="008D2CC5">
        <w:rPr>
          <w:lang w:val="fr-FR"/>
        </w:rPr>
        <w:tab/>
      </w:r>
      <w:bookmarkStart w:id="23" w:name="_Toc15920556"/>
      <w:r w:rsidRPr="008D2CC5">
        <w:rPr>
          <w:lang w:val="fr-FR"/>
        </w:rPr>
        <w:t>H.</w:t>
      </w:r>
      <w:r w:rsidRPr="008D2CC5">
        <w:rPr>
          <w:lang w:val="fr-FR"/>
        </w:rPr>
        <w:tab/>
      </w:r>
      <w:r w:rsidR="00063AF8" w:rsidRPr="008D2CC5">
        <w:rPr>
          <w:lang w:val="fr-FR"/>
        </w:rPr>
        <w:t>Coopération pour l</w:t>
      </w:r>
      <w:r w:rsidR="000409D6" w:rsidRPr="008D2CC5">
        <w:rPr>
          <w:lang w:val="fr-FR"/>
        </w:rPr>
        <w:t>’</w:t>
      </w:r>
      <w:r w:rsidR="00063AF8" w:rsidRPr="008D2CC5">
        <w:rPr>
          <w:lang w:val="fr-FR"/>
        </w:rPr>
        <w:t>élaboration de stratégies et l</w:t>
      </w:r>
      <w:r w:rsidR="000409D6" w:rsidRPr="008D2CC5">
        <w:rPr>
          <w:lang w:val="fr-FR"/>
        </w:rPr>
        <w:t>’</w:t>
      </w:r>
      <w:r w:rsidR="00063AF8" w:rsidRPr="008D2CC5">
        <w:rPr>
          <w:lang w:val="fr-FR"/>
        </w:rPr>
        <w:t>exécution d</w:t>
      </w:r>
      <w:r w:rsidR="000409D6" w:rsidRPr="008D2CC5">
        <w:rPr>
          <w:lang w:val="fr-FR"/>
        </w:rPr>
        <w:t>’</w:t>
      </w:r>
      <w:r w:rsidR="00063AF8" w:rsidRPr="008D2CC5">
        <w:rPr>
          <w:lang w:val="fr-FR"/>
        </w:rPr>
        <w:t>activités visant à identifier, évaluer, classer par ordre de priorité, gérer et, s</w:t>
      </w:r>
      <w:r w:rsidR="000409D6" w:rsidRPr="008D2CC5">
        <w:rPr>
          <w:lang w:val="fr-FR"/>
        </w:rPr>
        <w:t>’</w:t>
      </w:r>
      <w:r w:rsidR="00063AF8" w:rsidRPr="008D2CC5">
        <w:rPr>
          <w:lang w:val="fr-FR"/>
        </w:rPr>
        <w:t>il y a lieu, remettre en état les sites contaminés</w:t>
      </w:r>
      <w:bookmarkStart w:id="24" w:name="_Hlk10106485"/>
      <w:bookmarkEnd w:id="23"/>
      <w:r w:rsidRPr="008D2CC5">
        <w:rPr>
          <w:lang w:val="fr-FR"/>
        </w:rPr>
        <w:t xml:space="preserve"> </w:t>
      </w:r>
      <w:bookmarkEnd w:id="24"/>
    </w:p>
    <w:p w14:paraId="3F1E58D9" w14:textId="14F9F645" w:rsidR="00D31AFF" w:rsidRPr="008D2CC5" w:rsidRDefault="00063AF8" w:rsidP="008E43CD">
      <w:pPr>
        <w:pStyle w:val="Normalnumber"/>
        <w:numPr>
          <w:ilvl w:val="0"/>
          <w:numId w:val="5"/>
        </w:numPr>
        <w:rPr>
          <w:lang w:val="fr-FR"/>
        </w:rPr>
      </w:pPr>
      <w:r w:rsidRPr="008D2CC5">
        <w:rPr>
          <w:lang w:val="fr-FR"/>
        </w:rPr>
        <w:t>Le texte de la Convention encourage la coopération entre les Parties, notamment dans l</w:t>
      </w:r>
      <w:r w:rsidR="000409D6" w:rsidRPr="008D2CC5">
        <w:rPr>
          <w:lang w:val="fr-FR"/>
        </w:rPr>
        <w:t>’</w:t>
      </w:r>
      <w:r w:rsidRPr="008D2CC5">
        <w:rPr>
          <w:lang w:val="fr-FR"/>
        </w:rPr>
        <w:t>article 12 sur les sites contaminés et dans les dispositions de l</w:t>
      </w:r>
      <w:r w:rsidR="000409D6" w:rsidRPr="008D2CC5">
        <w:rPr>
          <w:lang w:val="fr-FR"/>
        </w:rPr>
        <w:t>’</w:t>
      </w:r>
      <w:r w:rsidRPr="008D2CC5">
        <w:rPr>
          <w:lang w:val="fr-FR"/>
        </w:rPr>
        <w:t>article 14 sur le renforcement des capacités, l</w:t>
      </w:r>
      <w:r w:rsidR="000409D6" w:rsidRPr="008D2CC5">
        <w:rPr>
          <w:lang w:val="fr-FR"/>
        </w:rPr>
        <w:t>’</w:t>
      </w:r>
      <w:r w:rsidRPr="008D2CC5">
        <w:rPr>
          <w:lang w:val="fr-FR"/>
        </w:rPr>
        <w:t>assistance technique et le transfert de technologies</w:t>
      </w:r>
      <w:r w:rsidR="00D31AFF" w:rsidRPr="008D2CC5">
        <w:rPr>
          <w:lang w:val="fr-FR"/>
        </w:rPr>
        <w:t>.</w:t>
      </w:r>
      <w:r w:rsidR="00835F3F" w:rsidRPr="008D2CC5">
        <w:rPr>
          <w:lang w:val="fr-FR"/>
        </w:rPr>
        <w:t xml:space="preserve"> </w:t>
      </w:r>
      <w:r w:rsidR="007C0AEB" w:rsidRPr="008D2CC5">
        <w:rPr>
          <w:lang w:val="fr-FR"/>
        </w:rPr>
        <w:t>La coopération pourrait comprendre, par exemple, des activités d</w:t>
      </w:r>
      <w:r w:rsidR="000409D6" w:rsidRPr="008D2CC5">
        <w:rPr>
          <w:lang w:val="fr-FR"/>
        </w:rPr>
        <w:t>’</w:t>
      </w:r>
      <w:r w:rsidR="007C0AEB" w:rsidRPr="008D2CC5">
        <w:rPr>
          <w:lang w:val="fr-FR"/>
        </w:rPr>
        <w:t>échange d</w:t>
      </w:r>
      <w:r w:rsidR="000409D6" w:rsidRPr="008D2CC5">
        <w:rPr>
          <w:lang w:val="fr-FR"/>
        </w:rPr>
        <w:t>’</w:t>
      </w:r>
      <w:r w:rsidR="007C0AEB" w:rsidRPr="008D2CC5">
        <w:rPr>
          <w:lang w:val="fr-FR"/>
        </w:rPr>
        <w:t>informations, l</w:t>
      </w:r>
      <w:r w:rsidR="000409D6" w:rsidRPr="008D2CC5">
        <w:rPr>
          <w:lang w:val="fr-FR"/>
        </w:rPr>
        <w:t>’</w:t>
      </w:r>
      <w:r w:rsidR="007C0AEB" w:rsidRPr="008D2CC5">
        <w:rPr>
          <w:lang w:val="fr-FR"/>
        </w:rPr>
        <w:t>examen des solutions possibles pour une évaluation conjointe des sites ou la coordination des plans de communication ayant trait aux sites</w:t>
      </w:r>
      <w:r w:rsidR="00D31AFF" w:rsidRPr="008D2CC5">
        <w:rPr>
          <w:lang w:val="fr-FR"/>
        </w:rPr>
        <w:t>.</w:t>
      </w:r>
    </w:p>
    <w:p w14:paraId="0A4362E3" w14:textId="4A3FB901" w:rsidR="00D31AFF" w:rsidRPr="008D2CC5" w:rsidRDefault="007C0AEB" w:rsidP="006D69D3">
      <w:pPr>
        <w:pStyle w:val="Normalnumber"/>
        <w:rPr>
          <w:lang w:val="fr-FR"/>
        </w:rPr>
      </w:pPr>
      <w:r w:rsidRPr="008D2CC5">
        <w:rPr>
          <w:lang w:val="fr-FR"/>
        </w:rPr>
        <w:t>Des possibilités d</w:t>
      </w:r>
      <w:r w:rsidR="000409D6" w:rsidRPr="008D2CC5">
        <w:rPr>
          <w:lang w:val="fr-FR"/>
        </w:rPr>
        <w:t>’</w:t>
      </w:r>
      <w:r w:rsidRPr="008D2CC5">
        <w:rPr>
          <w:lang w:val="fr-FR"/>
        </w:rPr>
        <w:t>échange d</w:t>
      </w:r>
      <w:r w:rsidR="000409D6" w:rsidRPr="008D2CC5">
        <w:rPr>
          <w:lang w:val="fr-FR"/>
        </w:rPr>
        <w:t>’</w:t>
      </w:r>
      <w:r w:rsidRPr="008D2CC5">
        <w:rPr>
          <w:lang w:val="fr-FR"/>
        </w:rPr>
        <w:t>informations peuvent apparaître durant le processus d</w:t>
      </w:r>
      <w:r w:rsidR="000409D6" w:rsidRPr="008D2CC5">
        <w:rPr>
          <w:lang w:val="fr-FR"/>
        </w:rPr>
        <w:t>’</w:t>
      </w:r>
      <w:r w:rsidRPr="008D2CC5">
        <w:rPr>
          <w:lang w:val="fr-FR"/>
        </w:rPr>
        <w:t>identification des sites contaminés, qui pourrait également s</w:t>
      </w:r>
      <w:r w:rsidR="000409D6" w:rsidRPr="008D2CC5">
        <w:rPr>
          <w:lang w:val="fr-FR"/>
        </w:rPr>
        <w:t>’</w:t>
      </w:r>
      <w:r w:rsidRPr="008D2CC5">
        <w:rPr>
          <w:lang w:val="fr-FR"/>
        </w:rPr>
        <w:t>avérer propice à une évaluation conjointe des sites</w:t>
      </w:r>
      <w:r w:rsidR="00D31AFF" w:rsidRPr="008D2CC5">
        <w:rPr>
          <w:lang w:val="fr-FR"/>
        </w:rPr>
        <w:t xml:space="preserve">. </w:t>
      </w:r>
      <w:r w:rsidRPr="008D2CC5">
        <w:rPr>
          <w:lang w:val="fr-FR"/>
        </w:rPr>
        <w:t>Une telle coopération pourrait être particulièrement judicieuse dans les cas où un certain nombre de sites se trouvant au sein d</w:t>
      </w:r>
      <w:r w:rsidR="000409D6" w:rsidRPr="008D2CC5">
        <w:rPr>
          <w:lang w:val="fr-FR"/>
        </w:rPr>
        <w:t>’</w:t>
      </w:r>
      <w:r w:rsidRPr="008D2CC5">
        <w:rPr>
          <w:lang w:val="fr-FR"/>
        </w:rPr>
        <w:t>une sous-région étaient précédemment détenus ou gérés par la même entreprise ou abritaient des activités semblables (telles que l</w:t>
      </w:r>
      <w:r w:rsidR="000409D6" w:rsidRPr="008D2CC5">
        <w:rPr>
          <w:lang w:val="fr-FR"/>
        </w:rPr>
        <w:t>’</w:t>
      </w:r>
      <w:r w:rsidRPr="008D2CC5">
        <w:rPr>
          <w:lang w:val="fr-FR"/>
        </w:rPr>
        <w:t>extraction minière artisanale et à petite échelle d</w:t>
      </w:r>
      <w:r w:rsidR="000409D6" w:rsidRPr="008D2CC5">
        <w:rPr>
          <w:lang w:val="fr-FR"/>
        </w:rPr>
        <w:t>’</w:t>
      </w:r>
      <w:r w:rsidRPr="008D2CC5">
        <w:rPr>
          <w:lang w:val="fr-FR"/>
        </w:rPr>
        <w:t>or, l</w:t>
      </w:r>
      <w:r w:rsidR="000409D6" w:rsidRPr="008D2CC5">
        <w:rPr>
          <w:lang w:val="fr-FR"/>
        </w:rPr>
        <w:t>’</w:t>
      </w:r>
      <w:r w:rsidRPr="008D2CC5">
        <w:rPr>
          <w:lang w:val="fr-FR"/>
        </w:rPr>
        <w:t>extraction minière de mercure primaire ou la production de chlore-alcali)</w:t>
      </w:r>
      <w:r w:rsidR="00D31AFF" w:rsidRPr="008D2CC5">
        <w:rPr>
          <w:lang w:val="fr-FR"/>
        </w:rPr>
        <w:t xml:space="preserve">. </w:t>
      </w:r>
    </w:p>
    <w:p w14:paraId="56356113" w14:textId="2ADDEE1C" w:rsidR="00D31AFF" w:rsidRPr="008D2CC5" w:rsidRDefault="00203CFB" w:rsidP="00462042">
      <w:pPr>
        <w:pStyle w:val="Normalnumber"/>
        <w:keepNext/>
        <w:keepLines/>
        <w:rPr>
          <w:lang w:val="fr-FR"/>
        </w:rPr>
      </w:pPr>
      <w:r w:rsidRPr="008D2CC5">
        <w:rPr>
          <w:lang w:val="fr-FR"/>
        </w:rPr>
        <w:lastRenderedPageBreak/>
        <w:t>Les activités de coopération menées durant l</w:t>
      </w:r>
      <w:r w:rsidR="000409D6" w:rsidRPr="008D2CC5">
        <w:rPr>
          <w:lang w:val="fr-FR"/>
        </w:rPr>
        <w:t>’</w:t>
      </w:r>
      <w:r w:rsidRPr="008D2CC5">
        <w:rPr>
          <w:lang w:val="fr-FR"/>
        </w:rPr>
        <w:t xml:space="preserve">évaluation des sites contaminés peuvent permettre de faire des économies et de gagner en </w:t>
      </w:r>
      <w:r w:rsidR="009D409D" w:rsidRPr="008D2CC5">
        <w:rPr>
          <w:lang w:val="fr-FR"/>
        </w:rPr>
        <w:t>efficacité</w:t>
      </w:r>
      <w:r w:rsidRPr="008D2CC5">
        <w:rPr>
          <w:lang w:val="fr-FR"/>
        </w:rPr>
        <w:t>, en particulier si les Parties parviennent à se partager les coûts de l</w:t>
      </w:r>
      <w:r w:rsidR="000409D6" w:rsidRPr="008D2CC5">
        <w:rPr>
          <w:lang w:val="fr-FR"/>
        </w:rPr>
        <w:t>’</w:t>
      </w:r>
      <w:r w:rsidRPr="008D2CC5">
        <w:rPr>
          <w:lang w:val="fr-FR"/>
        </w:rPr>
        <w:t>échantillonnage et des analyses</w:t>
      </w:r>
      <w:r w:rsidR="00D31AFF" w:rsidRPr="008D2CC5">
        <w:rPr>
          <w:lang w:val="fr-FR"/>
        </w:rPr>
        <w:t xml:space="preserve">. </w:t>
      </w:r>
      <w:r w:rsidR="0074206D" w:rsidRPr="008D2CC5">
        <w:rPr>
          <w:lang w:val="fr-FR"/>
        </w:rPr>
        <w:t>Il peut être envisageable, par exemple, qu</w:t>
      </w:r>
      <w:r w:rsidR="000409D6" w:rsidRPr="008D2CC5">
        <w:rPr>
          <w:lang w:val="fr-FR"/>
        </w:rPr>
        <w:t>’</w:t>
      </w:r>
      <w:r w:rsidR="0074206D" w:rsidRPr="008D2CC5">
        <w:rPr>
          <w:lang w:val="fr-FR"/>
        </w:rPr>
        <w:t>une Partie se charge du prélèvement des échantillons, qui seront</w:t>
      </w:r>
      <w:r w:rsidR="009D409D" w:rsidRPr="008D2CC5">
        <w:rPr>
          <w:lang w:val="fr-FR"/>
        </w:rPr>
        <w:t xml:space="preserve"> ensuite</w:t>
      </w:r>
      <w:r w:rsidR="0074206D" w:rsidRPr="008D2CC5">
        <w:rPr>
          <w:lang w:val="fr-FR"/>
        </w:rPr>
        <w:t xml:space="preserve"> analysés par une autre Partie dont les services de laboratoire sont plus développés</w:t>
      </w:r>
      <w:r w:rsidR="00D31AFF" w:rsidRPr="008D2CC5">
        <w:rPr>
          <w:lang w:val="fr-FR"/>
        </w:rPr>
        <w:t xml:space="preserve">. </w:t>
      </w:r>
    </w:p>
    <w:p w14:paraId="58DA0219" w14:textId="433C0A74" w:rsidR="00D31AFF" w:rsidRPr="008D2CC5" w:rsidRDefault="00C75E0A" w:rsidP="006D69D3">
      <w:pPr>
        <w:pStyle w:val="Normalnumber"/>
        <w:rPr>
          <w:lang w:val="fr-FR"/>
        </w:rPr>
      </w:pPr>
      <w:r w:rsidRPr="008D2CC5">
        <w:rPr>
          <w:lang w:val="fr-FR"/>
        </w:rPr>
        <w:t>S</w:t>
      </w:r>
      <w:r w:rsidR="000409D6" w:rsidRPr="008D2CC5">
        <w:rPr>
          <w:lang w:val="fr-FR"/>
        </w:rPr>
        <w:t>’</w:t>
      </w:r>
      <w:r w:rsidRPr="008D2CC5">
        <w:rPr>
          <w:lang w:val="fr-FR"/>
        </w:rPr>
        <w:t>agissant du classement par ordre de priorité des sites contaminés, les Parties peuvent prendre des décisions reflétant leurs priorités au niveau national. Cependant, une démarche coopérative comprenant un échange d</w:t>
      </w:r>
      <w:r w:rsidR="000409D6" w:rsidRPr="008D2CC5">
        <w:rPr>
          <w:lang w:val="fr-FR"/>
        </w:rPr>
        <w:t>’</w:t>
      </w:r>
      <w:r w:rsidRPr="008D2CC5">
        <w:rPr>
          <w:lang w:val="fr-FR"/>
        </w:rPr>
        <w:t>informations et un examen conjoint des priorités peut s</w:t>
      </w:r>
      <w:r w:rsidR="000409D6" w:rsidRPr="008D2CC5">
        <w:rPr>
          <w:lang w:val="fr-FR"/>
        </w:rPr>
        <w:t>’</w:t>
      </w:r>
      <w:r w:rsidRPr="008D2CC5">
        <w:rPr>
          <w:lang w:val="fr-FR"/>
        </w:rPr>
        <w:t>avérer utile, en particulier dans les situations où une contamination est susceptible d</w:t>
      </w:r>
      <w:r w:rsidR="000409D6" w:rsidRPr="008D2CC5">
        <w:rPr>
          <w:lang w:val="fr-FR"/>
        </w:rPr>
        <w:t>’</w:t>
      </w:r>
      <w:r w:rsidRPr="008D2CC5">
        <w:rPr>
          <w:lang w:val="fr-FR"/>
        </w:rPr>
        <w:t>avoir traversé les frontières nationales</w:t>
      </w:r>
      <w:r w:rsidR="00D31AFF" w:rsidRPr="008D2CC5">
        <w:rPr>
          <w:lang w:val="fr-FR"/>
        </w:rPr>
        <w:t xml:space="preserve">. </w:t>
      </w:r>
      <w:r w:rsidRPr="008D2CC5">
        <w:rPr>
          <w:lang w:val="fr-FR"/>
        </w:rPr>
        <w:t>La Partie la plus touchée par la pollution peut contribuer utilement au processus de classement par ordre de priorité.</w:t>
      </w:r>
      <w:r w:rsidR="00D31AFF" w:rsidRPr="008D2CC5">
        <w:rPr>
          <w:lang w:val="fr-FR"/>
        </w:rPr>
        <w:t xml:space="preserve"> </w:t>
      </w:r>
      <w:r w:rsidRPr="008D2CC5">
        <w:rPr>
          <w:lang w:val="fr-FR"/>
        </w:rPr>
        <w:t>Par ailleurs, les Parties souhaiteront peut-être coopérer dans les cas où plusieurs sites contaminés se trouvent à proximité les uns des autres</w:t>
      </w:r>
      <w:r w:rsidR="00D31AFF" w:rsidRPr="008D2CC5">
        <w:rPr>
          <w:lang w:val="fr-FR"/>
        </w:rPr>
        <w:t xml:space="preserve">. </w:t>
      </w:r>
      <w:r w:rsidRPr="008D2CC5">
        <w:rPr>
          <w:lang w:val="fr-FR"/>
        </w:rPr>
        <w:t>Les Parties devront peut-être coopérer pour restreindre l</w:t>
      </w:r>
      <w:r w:rsidR="000409D6" w:rsidRPr="008D2CC5">
        <w:rPr>
          <w:lang w:val="fr-FR"/>
        </w:rPr>
        <w:t>’</w:t>
      </w:r>
      <w:r w:rsidRPr="008D2CC5">
        <w:rPr>
          <w:lang w:val="fr-FR"/>
        </w:rPr>
        <w:t>accès à certains sites</w:t>
      </w:r>
      <w:r w:rsidR="00D31AFF" w:rsidRPr="008D2CC5">
        <w:rPr>
          <w:lang w:val="fr-FR"/>
        </w:rPr>
        <w:t xml:space="preserve">. </w:t>
      </w:r>
      <w:r w:rsidRPr="008D2CC5">
        <w:rPr>
          <w:lang w:val="fr-FR"/>
        </w:rPr>
        <w:t>Dans les cas où des activités de remise en état ont été planifiées, il est envisageable d</w:t>
      </w:r>
      <w:r w:rsidR="000409D6" w:rsidRPr="008D2CC5">
        <w:rPr>
          <w:lang w:val="fr-FR"/>
        </w:rPr>
        <w:t>’</w:t>
      </w:r>
      <w:r w:rsidRPr="008D2CC5">
        <w:rPr>
          <w:lang w:val="fr-FR"/>
        </w:rPr>
        <w:t>élaborer des plans conjoints pour le traitement des matériaux contaminés, ce qui pourrait engendrer des économies d</w:t>
      </w:r>
      <w:r w:rsidR="000409D6" w:rsidRPr="008D2CC5">
        <w:rPr>
          <w:lang w:val="fr-FR"/>
        </w:rPr>
        <w:t>’</w:t>
      </w:r>
      <w:r w:rsidRPr="008D2CC5">
        <w:rPr>
          <w:lang w:val="fr-FR"/>
        </w:rPr>
        <w:t>échelle ou permettre de confier le traitement à des installations spécialisées</w:t>
      </w:r>
      <w:r w:rsidR="00D31AFF" w:rsidRPr="008D2CC5">
        <w:rPr>
          <w:lang w:val="fr-FR"/>
        </w:rPr>
        <w:t>.</w:t>
      </w:r>
    </w:p>
    <w:p w14:paraId="3E8F5E03" w14:textId="549FB856" w:rsidR="00D31AFF" w:rsidRPr="008D2CC5" w:rsidRDefault="00F62601" w:rsidP="00E94D67">
      <w:pPr>
        <w:pStyle w:val="Normalnumber"/>
        <w:keepNext/>
        <w:keepLines/>
        <w:rPr>
          <w:lang w:val="fr-FR"/>
        </w:rPr>
      </w:pPr>
      <w:r w:rsidRPr="008D2CC5">
        <w:rPr>
          <w:lang w:val="fr-FR"/>
        </w:rPr>
        <w:t>I</w:t>
      </w:r>
      <w:r w:rsidR="00353E3E" w:rsidRPr="008D2CC5">
        <w:rPr>
          <w:lang w:val="fr-FR"/>
        </w:rPr>
        <w:t xml:space="preserve">l existe un certain nombre de réseaux de régulation établis de longue date pour la gestion des </w:t>
      </w:r>
      <w:r w:rsidRPr="008D2CC5">
        <w:rPr>
          <w:lang w:val="fr-FR"/>
        </w:rPr>
        <w:t>terres</w:t>
      </w:r>
      <w:r w:rsidR="00353E3E" w:rsidRPr="008D2CC5">
        <w:rPr>
          <w:lang w:val="fr-FR"/>
        </w:rPr>
        <w:t xml:space="preserve"> contaminé</w:t>
      </w:r>
      <w:r w:rsidRPr="008D2CC5">
        <w:rPr>
          <w:lang w:val="fr-FR"/>
        </w:rPr>
        <w:t>e</w:t>
      </w:r>
      <w:r w:rsidR="00353E3E" w:rsidRPr="008D2CC5">
        <w:rPr>
          <w:lang w:val="fr-FR"/>
        </w:rPr>
        <w:t>s</w:t>
      </w:r>
      <w:r w:rsidR="00D31AFF" w:rsidRPr="008D2CC5">
        <w:rPr>
          <w:lang w:val="fr-FR"/>
        </w:rPr>
        <w:t xml:space="preserve">. </w:t>
      </w:r>
      <w:r w:rsidRPr="008D2CC5">
        <w:rPr>
          <w:lang w:val="fr-FR"/>
        </w:rPr>
        <w:t>À l</w:t>
      </w:r>
      <w:r w:rsidR="000409D6" w:rsidRPr="008D2CC5">
        <w:rPr>
          <w:lang w:val="fr-FR"/>
        </w:rPr>
        <w:t>’</w:t>
      </w:r>
      <w:r w:rsidRPr="008D2CC5">
        <w:rPr>
          <w:lang w:val="fr-FR"/>
        </w:rPr>
        <w:t>échelle mondiale, l</w:t>
      </w:r>
      <w:r w:rsidR="000409D6" w:rsidRPr="008D2CC5">
        <w:rPr>
          <w:lang w:val="fr-FR"/>
        </w:rPr>
        <w:t>’</w:t>
      </w:r>
      <w:r w:rsidRPr="008D2CC5">
        <w:rPr>
          <w:lang w:val="fr-FR"/>
        </w:rPr>
        <w:t xml:space="preserve">International </w:t>
      </w:r>
      <w:proofErr w:type="spellStart"/>
      <w:r w:rsidRPr="008D2CC5">
        <w:rPr>
          <w:lang w:val="fr-FR"/>
        </w:rPr>
        <w:t>Committee</w:t>
      </w:r>
      <w:proofErr w:type="spellEnd"/>
      <w:r w:rsidRPr="008D2CC5">
        <w:rPr>
          <w:lang w:val="fr-FR"/>
        </w:rPr>
        <w:t xml:space="preserve"> on </w:t>
      </w:r>
      <w:proofErr w:type="spellStart"/>
      <w:r w:rsidRPr="008D2CC5">
        <w:rPr>
          <w:lang w:val="fr-FR"/>
        </w:rPr>
        <w:t>Contaminated</w:t>
      </w:r>
      <w:proofErr w:type="spellEnd"/>
      <w:r w:rsidRPr="008D2CC5">
        <w:rPr>
          <w:lang w:val="fr-FR"/>
        </w:rPr>
        <w:t xml:space="preserve"> Land a été créé en 1993</w:t>
      </w:r>
      <w:r w:rsidR="00D31AFF" w:rsidRPr="008D2CC5">
        <w:rPr>
          <w:lang w:val="fr-FR"/>
        </w:rPr>
        <w:t xml:space="preserve">. </w:t>
      </w:r>
      <w:r w:rsidRPr="008D2CC5">
        <w:rPr>
          <w:lang w:val="fr-FR"/>
        </w:rPr>
        <w:t>Dans l</w:t>
      </w:r>
      <w:r w:rsidR="000409D6" w:rsidRPr="008D2CC5">
        <w:rPr>
          <w:lang w:val="fr-FR"/>
        </w:rPr>
        <w:t>’</w:t>
      </w:r>
      <w:r w:rsidRPr="008D2CC5">
        <w:rPr>
          <w:lang w:val="fr-FR"/>
        </w:rPr>
        <w:t xml:space="preserve">Union européenne, les États membres et la Commission européenne collaborent depuis 1994 au sein du Common Forum on </w:t>
      </w:r>
      <w:proofErr w:type="spellStart"/>
      <w:r w:rsidRPr="008D2CC5">
        <w:rPr>
          <w:lang w:val="fr-FR"/>
        </w:rPr>
        <w:t>Contaminated</w:t>
      </w:r>
      <w:proofErr w:type="spellEnd"/>
      <w:r w:rsidRPr="008D2CC5">
        <w:rPr>
          <w:lang w:val="fr-FR"/>
        </w:rPr>
        <w:t xml:space="preserve"> Land, qui est à l</w:t>
      </w:r>
      <w:r w:rsidR="000409D6" w:rsidRPr="008D2CC5">
        <w:rPr>
          <w:lang w:val="fr-FR"/>
        </w:rPr>
        <w:t>’</w:t>
      </w:r>
      <w:r w:rsidRPr="008D2CC5">
        <w:rPr>
          <w:lang w:val="fr-FR"/>
        </w:rPr>
        <w:t xml:space="preserve">origine de deux </w:t>
      </w:r>
      <w:r w:rsidR="009D409D" w:rsidRPr="008D2CC5">
        <w:rPr>
          <w:lang w:val="fr-FR"/>
        </w:rPr>
        <w:t>initiatives</w:t>
      </w:r>
      <w:r w:rsidRPr="008D2CC5">
        <w:rPr>
          <w:lang w:val="fr-FR"/>
        </w:rPr>
        <w:t xml:space="preserve"> concertées relatives à l</w:t>
      </w:r>
      <w:r w:rsidR="000409D6" w:rsidRPr="008D2CC5">
        <w:rPr>
          <w:lang w:val="fr-FR"/>
        </w:rPr>
        <w:t>’</w:t>
      </w:r>
      <w:r w:rsidRPr="008D2CC5">
        <w:rPr>
          <w:lang w:val="fr-FR"/>
        </w:rPr>
        <w:t>évaluation et à la gestion des risques</w:t>
      </w:r>
      <w:r w:rsidR="00D31AFF" w:rsidRPr="008D2CC5">
        <w:rPr>
          <w:vertAlign w:val="superscript"/>
          <w:lang w:val="fr-FR"/>
        </w:rPr>
        <w:footnoteReference w:id="16"/>
      </w:r>
      <w:r w:rsidRPr="008D2CC5">
        <w:rPr>
          <w:lang w:val="fr-FR"/>
        </w:rPr>
        <w:t>. Ces</w:t>
      </w:r>
      <w:r w:rsidR="00D31AFF" w:rsidRPr="008D2CC5">
        <w:rPr>
          <w:lang w:val="fr-FR"/>
        </w:rPr>
        <w:t xml:space="preserve"> initiatives </w:t>
      </w:r>
      <w:r w:rsidRPr="008D2CC5">
        <w:rPr>
          <w:lang w:val="fr-FR"/>
        </w:rPr>
        <w:t>ont conduit à la publication de documents d</w:t>
      </w:r>
      <w:r w:rsidR="000409D6" w:rsidRPr="008D2CC5">
        <w:rPr>
          <w:lang w:val="fr-FR"/>
        </w:rPr>
        <w:t>’</w:t>
      </w:r>
      <w:r w:rsidRPr="008D2CC5">
        <w:rPr>
          <w:lang w:val="fr-FR"/>
        </w:rPr>
        <w:t xml:space="preserve">orientation sur la gestion durable des terres contaminées qui peuvent être téléchargés gratuitement </w:t>
      </w:r>
      <w:r w:rsidR="008521B2" w:rsidRPr="008D2CC5">
        <w:rPr>
          <w:lang w:val="fr-FR"/>
        </w:rPr>
        <w:t>depuis les</w:t>
      </w:r>
      <w:r w:rsidRPr="008D2CC5">
        <w:rPr>
          <w:lang w:val="fr-FR"/>
        </w:rPr>
        <w:t xml:space="preserve"> adresses suivantes</w:t>
      </w:r>
      <w:r w:rsidR="000409D6" w:rsidRPr="008D2CC5">
        <w:rPr>
          <w:lang w:val="fr-FR"/>
        </w:rPr>
        <w:t> :</w:t>
      </w:r>
      <w:r w:rsidR="00D31AFF" w:rsidRPr="008D2CC5">
        <w:rPr>
          <w:lang w:val="fr-FR"/>
        </w:rPr>
        <w:t xml:space="preserve"> http://www.iccl.ch/ </w:t>
      </w:r>
      <w:r w:rsidRPr="008D2CC5">
        <w:rPr>
          <w:lang w:val="fr-FR"/>
        </w:rPr>
        <w:t xml:space="preserve">et </w:t>
      </w:r>
      <w:hyperlink r:id="rId12" w:history="1">
        <w:r w:rsidR="00D31AFF" w:rsidRPr="008D2CC5">
          <w:rPr>
            <w:lang w:val="fr-FR"/>
          </w:rPr>
          <w:t>https://www.commonforum.eu/</w:t>
        </w:r>
      </w:hyperlink>
      <w:r w:rsidR="00D31AFF" w:rsidRPr="008D2CC5">
        <w:rPr>
          <w:lang w:val="fr-FR"/>
        </w:rPr>
        <w:t xml:space="preserve">. </w:t>
      </w:r>
    </w:p>
    <w:p w14:paraId="1D166645" w14:textId="77777777" w:rsidR="00D31AFF" w:rsidRPr="008D2CC5" w:rsidRDefault="00D31AFF" w:rsidP="00D31AFF">
      <w:r w:rsidRPr="008D2CC5">
        <w:br w:type="page"/>
      </w:r>
    </w:p>
    <w:p w14:paraId="7F5E1BFC" w14:textId="63D55B4A" w:rsidR="00D31AFF" w:rsidRPr="008D2CC5" w:rsidRDefault="00D31AFF" w:rsidP="00152CD3">
      <w:pPr>
        <w:pStyle w:val="CH1"/>
        <w:rPr>
          <w:lang w:val="fr-FR"/>
        </w:rPr>
      </w:pPr>
      <w:r w:rsidRPr="008D2CC5">
        <w:rPr>
          <w:lang w:val="fr-FR"/>
        </w:rPr>
        <w:lastRenderedPageBreak/>
        <w:tab/>
      </w:r>
      <w:r w:rsidRPr="008D2CC5">
        <w:rPr>
          <w:lang w:val="fr-FR"/>
        </w:rPr>
        <w:tab/>
      </w:r>
      <w:bookmarkStart w:id="25" w:name="_Toc15920557"/>
      <w:r w:rsidRPr="008D2CC5">
        <w:rPr>
          <w:lang w:val="fr-FR"/>
        </w:rPr>
        <w:t>R</w:t>
      </w:r>
      <w:r w:rsidR="00BC7B6D" w:rsidRPr="008D2CC5">
        <w:rPr>
          <w:lang w:val="fr-FR"/>
        </w:rPr>
        <w:t>é</w:t>
      </w:r>
      <w:r w:rsidRPr="008D2CC5">
        <w:rPr>
          <w:lang w:val="fr-FR"/>
        </w:rPr>
        <w:t>f</w:t>
      </w:r>
      <w:r w:rsidR="00BC7B6D" w:rsidRPr="008D2CC5">
        <w:rPr>
          <w:lang w:val="fr-FR"/>
        </w:rPr>
        <w:t>é</w:t>
      </w:r>
      <w:r w:rsidRPr="008D2CC5">
        <w:rPr>
          <w:lang w:val="fr-FR"/>
        </w:rPr>
        <w:t>rences</w:t>
      </w:r>
      <w:bookmarkEnd w:id="25"/>
    </w:p>
    <w:p w14:paraId="539E02ED" w14:textId="455F9FF2" w:rsidR="00BB7E57" w:rsidRPr="009864FD" w:rsidRDefault="00BB7E57" w:rsidP="00BB7E57">
      <w:pPr>
        <w:pStyle w:val="Normal-pool"/>
        <w:tabs>
          <w:tab w:val="left" w:pos="624"/>
        </w:tabs>
        <w:spacing w:after="80"/>
        <w:ind w:left="1247"/>
        <w:rPr>
          <w:rFonts w:asciiTheme="majorBidi" w:hAnsiTheme="majorBidi" w:cstheme="majorBidi"/>
          <w:lang w:val="fr-CH"/>
        </w:rPr>
      </w:pPr>
      <w:r w:rsidRPr="009864FD">
        <w:rPr>
          <w:rFonts w:asciiTheme="majorBidi" w:hAnsiTheme="majorBidi"/>
          <w:lang w:val="fr-CH"/>
        </w:rPr>
        <w:t>Agence de l'</w:t>
      </w:r>
      <w:r w:rsidR="002566AA">
        <w:rPr>
          <w:rFonts w:asciiTheme="majorBidi" w:hAnsiTheme="majorBidi"/>
          <w:lang w:val="fr-CH"/>
        </w:rPr>
        <w:t>e</w:t>
      </w:r>
      <w:r w:rsidRPr="009864FD">
        <w:rPr>
          <w:rFonts w:asciiTheme="majorBidi" w:hAnsiTheme="majorBidi"/>
          <w:lang w:val="fr-CH"/>
        </w:rPr>
        <w:t xml:space="preserve">nvironnement et de la </w:t>
      </w:r>
      <w:r w:rsidR="002566AA">
        <w:rPr>
          <w:rFonts w:asciiTheme="majorBidi" w:hAnsiTheme="majorBidi"/>
          <w:lang w:val="fr-CH"/>
        </w:rPr>
        <w:t>m</w:t>
      </w:r>
      <w:r w:rsidRPr="009864FD">
        <w:rPr>
          <w:rFonts w:asciiTheme="majorBidi" w:hAnsiTheme="majorBidi"/>
          <w:lang w:val="fr-CH"/>
        </w:rPr>
        <w:t>aîtrise de l'</w:t>
      </w:r>
      <w:r w:rsidR="002566AA">
        <w:rPr>
          <w:rFonts w:asciiTheme="majorBidi" w:hAnsiTheme="majorBidi"/>
          <w:lang w:val="fr-CH"/>
        </w:rPr>
        <w:t>é</w:t>
      </w:r>
      <w:r w:rsidRPr="009864FD">
        <w:rPr>
          <w:rFonts w:asciiTheme="majorBidi" w:hAnsiTheme="majorBidi"/>
          <w:lang w:val="fr-CH"/>
        </w:rPr>
        <w:t xml:space="preserve">nergie (ADEME) and Bureau de </w:t>
      </w:r>
      <w:r w:rsidR="002566AA">
        <w:rPr>
          <w:rFonts w:asciiTheme="majorBidi" w:hAnsiTheme="majorBidi"/>
          <w:lang w:val="fr-CH"/>
        </w:rPr>
        <w:t>r</w:t>
      </w:r>
      <w:r w:rsidRPr="009864FD">
        <w:rPr>
          <w:rFonts w:asciiTheme="majorBidi" w:hAnsiTheme="majorBidi"/>
          <w:lang w:val="fr-CH"/>
        </w:rPr>
        <w:t xml:space="preserve">echerches </w:t>
      </w:r>
      <w:r w:rsidR="002566AA">
        <w:rPr>
          <w:rFonts w:asciiTheme="majorBidi" w:hAnsiTheme="majorBidi"/>
          <w:lang w:val="fr-CH"/>
        </w:rPr>
        <w:t>g</w:t>
      </w:r>
      <w:r w:rsidRPr="009864FD">
        <w:rPr>
          <w:rFonts w:asciiTheme="majorBidi" w:hAnsiTheme="majorBidi"/>
          <w:lang w:val="fr-CH"/>
        </w:rPr>
        <w:t xml:space="preserve">éologiques et </w:t>
      </w:r>
      <w:r w:rsidR="002566AA">
        <w:rPr>
          <w:rFonts w:asciiTheme="majorBidi" w:hAnsiTheme="majorBidi"/>
          <w:lang w:val="fr-CH"/>
        </w:rPr>
        <w:t>m</w:t>
      </w:r>
      <w:r w:rsidRPr="009864FD">
        <w:rPr>
          <w:rFonts w:asciiTheme="majorBidi" w:hAnsiTheme="majorBidi"/>
          <w:lang w:val="fr-CH"/>
        </w:rPr>
        <w:t xml:space="preserve">inières (BRGM) (2013). </w:t>
      </w:r>
      <w:r w:rsidRPr="009864FD">
        <w:rPr>
          <w:rFonts w:asciiTheme="majorBidi" w:hAnsiTheme="majorBidi"/>
          <w:i/>
          <w:lang w:val="fr-CH"/>
        </w:rPr>
        <w:t>Comparaison des techniques par COÛTS</w:t>
      </w:r>
      <w:r w:rsidRPr="009864FD">
        <w:rPr>
          <w:rFonts w:asciiTheme="majorBidi" w:hAnsiTheme="majorBidi"/>
          <w:lang w:val="fr-CH"/>
        </w:rPr>
        <w:t xml:space="preserve">. </w:t>
      </w:r>
      <w:proofErr w:type="spellStart"/>
      <w:r w:rsidRPr="009864FD">
        <w:rPr>
          <w:rFonts w:asciiTheme="majorBidi" w:hAnsiTheme="majorBidi" w:cstheme="majorBidi"/>
          <w:lang w:val="fr-CH"/>
        </w:rPr>
        <w:t>Available</w:t>
      </w:r>
      <w:proofErr w:type="spellEnd"/>
      <w:r w:rsidRPr="009864FD">
        <w:rPr>
          <w:rFonts w:asciiTheme="majorBidi" w:hAnsiTheme="majorBidi" w:cstheme="majorBidi"/>
          <w:lang w:val="fr-CH"/>
        </w:rPr>
        <w:t xml:space="preserve"> at http://www.selecdepol.fr/sites/default/files/medias/Donnees%20comparatives/Comparaison_des_techniques_par_COUTS.pdf.</w:t>
      </w:r>
    </w:p>
    <w:p w14:paraId="6FE33096" w14:textId="77777777" w:rsidR="00BB7E57" w:rsidRPr="00B50B26" w:rsidRDefault="00BB7E57" w:rsidP="00BB7E57">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n-US"/>
        </w:rPr>
      </w:pPr>
      <w:r w:rsidRPr="00B50B26">
        <w:rPr>
          <w:rFonts w:asciiTheme="majorBidi" w:hAnsiTheme="majorBidi" w:cstheme="majorBidi"/>
          <w:lang w:val="en-US"/>
        </w:rPr>
        <w:t xml:space="preserve">Agency for Toxic Substances and Disease Registry (1999). </w:t>
      </w:r>
      <w:hyperlink r:id="rId13" w:history="1">
        <w:r w:rsidRPr="00B50B26">
          <w:rPr>
            <w:rFonts w:asciiTheme="majorBidi" w:hAnsiTheme="majorBidi" w:cstheme="majorBidi"/>
            <w:lang w:val="en-US"/>
          </w:rPr>
          <w:t>Toxic Substances Portal</w:t>
        </w:r>
      </w:hyperlink>
      <w:r w:rsidRPr="00B50B26">
        <w:rPr>
          <w:rFonts w:asciiTheme="majorBidi" w:hAnsiTheme="majorBidi" w:cstheme="majorBidi"/>
          <w:lang w:val="en-US"/>
        </w:rPr>
        <w:t xml:space="preserve"> - </w:t>
      </w:r>
      <w:hyperlink r:id="rId14" w:history="1">
        <w:r w:rsidRPr="00B50B26">
          <w:rPr>
            <w:rFonts w:asciiTheme="majorBidi" w:hAnsiTheme="majorBidi" w:cstheme="majorBidi"/>
            <w:lang w:val="en-US"/>
          </w:rPr>
          <w:t>Mercury</w:t>
        </w:r>
      </w:hyperlink>
      <w:r w:rsidRPr="00B50B26">
        <w:rPr>
          <w:rFonts w:asciiTheme="majorBidi" w:hAnsiTheme="majorBidi" w:cstheme="majorBidi"/>
          <w:lang w:val="en-US"/>
        </w:rPr>
        <w:t>: Public Health Statement for Mercury (</w:t>
      </w:r>
      <w:hyperlink r:id="rId15" w:history="1">
        <w:r w:rsidRPr="003F0842">
          <w:rPr>
            <w:rStyle w:val="Hyperlink"/>
            <w:lang w:val="en-GB"/>
          </w:rPr>
          <w:t>https://www.atsdr.cdc.gov/phs/phs.asp?id=112&amp;tid=24</w:t>
        </w:r>
      </w:hyperlink>
      <w:r w:rsidRPr="00B50B26">
        <w:rPr>
          <w:lang w:val="en-US"/>
        </w:rPr>
        <w:t>)</w:t>
      </w:r>
      <w:r w:rsidRPr="00B50B26">
        <w:rPr>
          <w:rFonts w:asciiTheme="majorBidi" w:hAnsiTheme="majorBidi" w:cstheme="majorBidi"/>
          <w:lang w:val="en-US"/>
        </w:rPr>
        <w:t xml:space="preserve"> and Mercury Quick Facts: Health Effects of Mercury Exposure (https://www.atsdr.cdc.gov/mercury/docs/11-229617-E-508_HealthEffects.pdf).</w:t>
      </w:r>
    </w:p>
    <w:p w14:paraId="79CBD94F" w14:textId="77777777" w:rsidR="00BB7E57" w:rsidRPr="00B50B26" w:rsidRDefault="00BB7E57" w:rsidP="00BB7E57">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n-US"/>
        </w:rPr>
      </w:pPr>
      <w:r w:rsidRPr="00B50B26">
        <w:rPr>
          <w:rFonts w:asciiTheme="majorBidi" w:hAnsiTheme="majorBidi" w:cstheme="majorBidi"/>
          <w:lang w:val="en-US"/>
        </w:rPr>
        <w:t xml:space="preserve">Canadian Council of Ministers of the Environment (CCME) (2016). </w:t>
      </w:r>
      <w:r w:rsidRPr="00B50B26">
        <w:rPr>
          <w:rFonts w:asciiTheme="majorBidi" w:hAnsiTheme="majorBidi" w:cstheme="majorBidi"/>
          <w:i/>
          <w:lang w:val="en-US"/>
        </w:rPr>
        <w:t>Guidance Manual for Environmental Site Characterization in Support of Environmental and Human Health Risk Assessment</w:t>
      </w:r>
      <w:r w:rsidRPr="00B50B26">
        <w:rPr>
          <w:rFonts w:asciiTheme="majorBidi" w:hAnsiTheme="majorBidi" w:cstheme="majorBidi"/>
          <w:lang w:val="en-US"/>
        </w:rPr>
        <w:t xml:space="preserve">. Available at </w:t>
      </w:r>
      <w:hyperlink r:id="rId16" w:history="1">
        <w:r w:rsidRPr="003F0842">
          <w:rPr>
            <w:rStyle w:val="Hyperlink"/>
            <w:rFonts w:asciiTheme="majorBidi" w:hAnsiTheme="majorBidi" w:cstheme="majorBidi"/>
            <w:lang w:val="en-GB"/>
          </w:rPr>
          <w:t>https://www.ccme.ca/en/resources/contaminated_site_management/assessment.html</w:t>
        </w:r>
      </w:hyperlink>
      <w:r w:rsidRPr="00B50B26">
        <w:rPr>
          <w:rFonts w:asciiTheme="majorBidi" w:hAnsiTheme="majorBidi" w:cstheme="majorBidi"/>
          <w:lang w:val="en-US"/>
        </w:rPr>
        <w:t>.</w:t>
      </w:r>
    </w:p>
    <w:p w14:paraId="1C5C9E6B" w14:textId="77777777" w:rsidR="00BB7E57" w:rsidRPr="00B50B26" w:rsidRDefault="00BB7E57" w:rsidP="00BB7E57">
      <w:pPr>
        <w:pStyle w:val="Normal-pool"/>
        <w:tabs>
          <w:tab w:val="clear" w:pos="1247"/>
          <w:tab w:val="clear" w:pos="1814"/>
          <w:tab w:val="clear" w:pos="2381"/>
          <w:tab w:val="clear" w:pos="2948"/>
          <w:tab w:val="clear" w:pos="3515"/>
          <w:tab w:val="left" w:pos="624"/>
        </w:tabs>
        <w:spacing w:after="80"/>
        <w:ind w:left="1247"/>
        <w:rPr>
          <w:rFonts w:asciiTheme="majorBidi" w:hAnsiTheme="majorBidi" w:cstheme="majorBidi"/>
          <w:lang w:val="en-US"/>
        </w:rPr>
      </w:pPr>
      <w:r w:rsidRPr="00B50B26">
        <w:rPr>
          <w:rFonts w:asciiTheme="majorBidi" w:hAnsiTheme="majorBidi" w:cstheme="majorBidi"/>
          <w:lang w:val="en-US"/>
        </w:rPr>
        <w:t xml:space="preserve">Environment Agency (2009). </w:t>
      </w:r>
      <w:r w:rsidRPr="00B50B26">
        <w:rPr>
          <w:rFonts w:asciiTheme="majorBidi" w:hAnsiTheme="majorBidi" w:cstheme="majorBidi"/>
          <w:i/>
          <w:iCs/>
          <w:lang w:val="en-US"/>
        </w:rPr>
        <w:t>Soil Guideline Values for Mercury in Soil Science Report SC050021 / Mercury SGV. Technical note.</w:t>
      </w:r>
      <w:r w:rsidRPr="00B50B26">
        <w:rPr>
          <w:rFonts w:asciiTheme="majorBidi" w:hAnsiTheme="majorBidi" w:cstheme="majorBidi"/>
          <w:lang w:val="en-US"/>
        </w:rPr>
        <w:t xml:space="preserve"> Environment Agency, Rio House, Almondsbury, Bristol BS32 4UD.</w:t>
      </w:r>
    </w:p>
    <w:p w14:paraId="283625F2" w14:textId="77777777" w:rsidR="00BB7E57" w:rsidRPr="00B50B26" w:rsidRDefault="00BB7E57" w:rsidP="00BB7E57">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n-US"/>
        </w:rPr>
      </w:pPr>
      <w:r w:rsidRPr="00B50B26">
        <w:rPr>
          <w:rFonts w:asciiTheme="majorBidi" w:hAnsiTheme="majorBidi" w:cstheme="majorBidi"/>
          <w:lang w:val="en-US"/>
        </w:rPr>
        <w:t xml:space="preserve">Environment Agency (2012). </w:t>
      </w:r>
      <w:r w:rsidRPr="00B50B26">
        <w:rPr>
          <w:rFonts w:asciiTheme="majorBidi" w:hAnsiTheme="majorBidi" w:cstheme="majorBidi"/>
          <w:i/>
          <w:lang w:val="en-US"/>
        </w:rPr>
        <w:t>How to comply with your environmental permit: additional guidance for treating waste by thermal desorption.</w:t>
      </w:r>
      <w:r w:rsidRPr="00B50B26">
        <w:rPr>
          <w:rFonts w:asciiTheme="majorBidi" w:hAnsiTheme="majorBidi" w:cstheme="majorBidi"/>
          <w:lang w:val="en-US"/>
        </w:rPr>
        <w:t xml:space="preserve"> Available at </w:t>
      </w:r>
      <w:hyperlink r:id="rId17" w:history="1">
        <w:r w:rsidRPr="003F0842">
          <w:rPr>
            <w:rStyle w:val="Hyperlink"/>
            <w:rFonts w:asciiTheme="majorBidi" w:hAnsiTheme="majorBidi" w:cstheme="majorBidi"/>
            <w:lang w:val="en-GB"/>
          </w:rPr>
          <w:t>https://assets.publishing.service.gov.uk/government/uploads/system/uploads/attachment_data/file/300893/geho0512bwir-e-e.pdf</w:t>
        </w:r>
      </w:hyperlink>
      <w:r w:rsidRPr="00B50B26">
        <w:rPr>
          <w:rFonts w:asciiTheme="majorBidi" w:hAnsiTheme="majorBidi" w:cstheme="majorBidi"/>
          <w:lang w:val="en-US"/>
        </w:rPr>
        <w:t xml:space="preserve">. </w:t>
      </w:r>
    </w:p>
    <w:p w14:paraId="405A7BCC" w14:textId="77777777" w:rsidR="00BB7E57" w:rsidRPr="00B50B26" w:rsidRDefault="00BB7E57" w:rsidP="00BB7E57">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n-US"/>
        </w:rPr>
      </w:pPr>
      <w:r w:rsidRPr="00B50B26">
        <w:rPr>
          <w:rFonts w:asciiTheme="majorBidi" w:hAnsiTheme="majorBidi" w:cstheme="majorBidi"/>
          <w:lang w:val="en-US"/>
        </w:rPr>
        <w:t>Feng, H., and others (2015). “In situ remediation technologies for mercury</w:t>
      </w:r>
      <w:r w:rsidRPr="00B50B26">
        <w:rPr>
          <w:rFonts w:asciiTheme="majorBidi" w:hAnsiTheme="majorBidi" w:cstheme="majorBidi"/>
          <w:lang w:val="en-US"/>
        </w:rPr>
        <w:noBreakHyphen/>
        <w:t xml:space="preserve">contaminated soil.” </w:t>
      </w:r>
      <w:r w:rsidRPr="00B50B26">
        <w:rPr>
          <w:rFonts w:asciiTheme="majorBidi" w:hAnsiTheme="majorBidi" w:cstheme="majorBidi"/>
          <w:i/>
          <w:lang w:val="en-US"/>
        </w:rPr>
        <w:t>Environmental Science and Pollution Research</w:t>
      </w:r>
      <w:r w:rsidRPr="00B50B26">
        <w:rPr>
          <w:rFonts w:asciiTheme="majorBidi" w:hAnsiTheme="majorBidi" w:cstheme="majorBidi"/>
          <w:lang w:val="en-US"/>
        </w:rPr>
        <w:t>, vol. 22, </w:t>
      </w:r>
      <w:hyperlink r:id="rId18" w:history="1">
        <w:r w:rsidRPr="003F0842">
          <w:rPr>
            <w:rStyle w:val="Hyperlink"/>
            <w:rFonts w:asciiTheme="majorBidi" w:hAnsiTheme="majorBidi" w:cstheme="majorBidi"/>
            <w:lang w:val="en-GB"/>
          </w:rPr>
          <w:t>no. 11</w:t>
        </w:r>
      </w:hyperlink>
      <w:r w:rsidRPr="00B50B26">
        <w:rPr>
          <w:rFonts w:asciiTheme="majorBidi" w:hAnsiTheme="majorBidi" w:cstheme="majorBidi"/>
          <w:lang w:val="en-US"/>
        </w:rPr>
        <w:t xml:space="preserve">, pp. 8124–8147. Available at </w:t>
      </w:r>
      <w:hyperlink r:id="rId19" w:history="1">
        <w:r w:rsidRPr="003F0842">
          <w:rPr>
            <w:rStyle w:val="Hyperlink"/>
            <w:rFonts w:asciiTheme="majorBidi" w:hAnsiTheme="majorBidi" w:cstheme="majorBidi"/>
            <w:lang w:val="en-GB"/>
          </w:rPr>
          <w:t>https://www.researchgate.net/publication/274729292_In_situ_remediation_technologies_for_mercury</w:t>
        </w:r>
        <w:r w:rsidRPr="003F0842">
          <w:rPr>
            <w:rStyle w:val="Hyperlink"/>
            <w:rFonts w:asciiTheme="majorBidi" w:hAnsiTheme="majorBidi" w:cstheme="majorBidi"/>
            <w:lang w:val="en-GB"/>
          </w:rPr>
          <w:noBreakHyphen/>
          <w:t>contaminated_soil</w:t>
        </w:r>
      </w:hyperlink>
      <w:r w:rsidRPr="00B50B26">
        <w:rPr>
          <w:rFonts w:asciiTheme="majorBidi" w:hAnsiTheme="majorBidi" w:cstheme="majorBidi"/>
          <w:lang w:val="en-US"/>
        </w:rPr>
        <w:t>.</w:t>
      </w:r>
      <w:r w:rsidRPr="00B50B26" w:rsidDel="005524DC">
        <w:rPr>
          <w:rFonts w:asciiTheme="majorBidi" w:hAnsiTheme="majorBidi" w:cstheme="majorBidi"/>
          <w:lang w:val="en-US"/>
        </w:rPr>
        <w:t xml:space="preserve"> </w:t>
      </w:r>
    </w:p>
    <w:p w14:paraId="03BB7913" w14:textId="77777777" w:rsidR="00BB7E57" w:rsidRPr="00B50B26" w:rsidRDefault="00BB7E57" w:rsidP="00BB7E57">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n-US"/>
        </w:rPr>
      </w:pPr>
      <w:proofErr w:type="spellStart"/>
      <w:r w:rsidRPr="00B50B26">
        <w:rPr>
          <w:rFonts w:asciiTheme="majorBidi" w:hAnsiTheme="majorBidi" w:cstheme="majorBidi"/>
          <w:lang w:val="en-US"/>
        </w:rPr>
        <w:t>Kocman</w:t>
      </w:r>
      <w:proofErr w:type="spellEnd"/>
      <w:r w:rsidRPr="00B50B26">
        <w:rPr>
          <w:rFonts w:asciiTheme="majorBidi" w:hAnsiTheme="majorBidi" w:cstheme="majorBidi"/>
          <w:lang w:val="en-US"/>
        </w:rPr>
        <w:t xml:space="preserve">, D., and others (2013). “Contribution of contaminated sites to the global mercury budget”, </w:t>
      </w:r>
      <w:r w:rsidRPr="00B50B26">
        <w:rPr>
          <w:rFonts w:asciiTheme="majorBidi" w:hAnsiTheme="majorBidi" w:cstheme="majorBidi"/>
          <w:i/>
          <w:lang w:val="en-US"/>
        </w:rPr>
        <w:t xml:space="preserve">Environmental Research, </w:t>
      </w:r>
      <w:r w:rsidRPr="00B50B26">
        <w:rPr>
          <w:rFonts w:asciiTheme="majorBidi" w:hAnsiTheme="majorBidi" w:cstheme="majorBidi"/>
          <w:lang w:val="en-US"/>
        </w:rPr>
        <w:t xml:space="preserve">vol. 125 (Aug. 2013), pp.160–170. Available at </w:t>
      </w:r>
      <w:hyperlink r:id="rId20" w:history="1">
        <w:r w:rsidRPr="003F0842">
          <w:rPr>
            <w:rStyle w:val="Hyperlink"/>
            <w:rFonts w:asciiTheme="majorBidi" w:hAnsiTheme="majorBidi" w:cstheme="majorBidi"/>
            <w:lang w:val="en-GB"/>
          </w:rPr>
          <w:t>http://citeseerx.ist.psu.edu/viewdoc/download?doi=10.1.1.362.1877&amp;rep=rep1&amp;type=pdf</w:t>
        </w:r>
      </w:hyperlink>
      <w:r w:rsidRPr="00B50B26">
        <w:rPr>
          <w:rFonts w:asciiTheme="majorBidi" w:hAnsiTheme="majorBidi" w:cstheme="majorBidi"/>
          <w:lang w:val="en-US"/>
        </w:rPr>
        <w:t>.</w:t>
      </w:r>
    </w:p>
    <w:p w14:paraId="4A208A12" w14:textId="0087D0B9" w:rsidR="00BB7E57" w:rsidRPr="00B50B26" w:rsidRDefault="00BB7E57" w:rsidP="00BB7E57">
      <w:pPr>
        <w:pStyle w:val="Normal-pool"/>
        <w:tabs>
          <w:tab w:val="clear" w:pos="1247"/>
          <w:tab w:val="clear" w:pos="1814"/>
          <w:tab w:val="clear" w:pos="2381"/>
          <w:tab w:val="clear" w:pos="2948"/>
          <w:tab w:val="clear" w:pos="3515"/>
          <w:tab w:val="clear" w:pos="4082"/>
          <w:tab w:val="left" w:pos="624"/>
        </w:tabs>
        <w:spacing w:after="80"/>
        <w:ind w:left="1247"/>
        <w:rPr>
          <w:lang w:val="en-US"/>
        </w:rPr>
      </w:pPr>
      <w:r w:rsidRPr="009864FD">
        <w:rPr>
          <w:rFonts w:asciiTheme="majorBidi" w:hAnsiTheme="majorBidi" w:cstheme="majorBidi"/>
          <w:lang w:val="fr-CH"/>
        </w:rPr>
        <w:t xml:space="preserve">Laperche, V., and </w:t>
      </w:r>
      <w:proofErr w:type="spellStart"/>
      <w:r w:rsidRPr="009864FD">
        <w:rPr>
          <w:rFonts w:asciiTheme="majorBidi" w:hAnsiTheme="majorBidi" w:cstheme="majorBidi"/>
          <w:lang w:val="fr-CH"/>
        </w:rPr>
        <w:t>Touzé</w:t>
      </w:r>
      <w:proofErr w:type="spellEnd"/>
      <w:r w:rsidRPr="009864FD">
        <w:rPr>
          <w:rFonts w:asciiTheme="majorBidi" w:hAnsiTheme="majorBidi" w:cstheme="majorBidi"/>
          <w:lang w:val="fr-CH"/>
        </w:rPr>
        <w:t xml:space="preserve">, S. (2014). </w:t>
      </w:r>
      <w:r w:rsidRPr="009864FD">
        <w:rPr>
          <w:rFonts w:asciiTheme="majorBidi" w:hAnsiTheme="majorBidi"/>
          <w:i/>
          <w:lang w:val="fr-CH"/>
        </w:rPr>
        <w:t>Restauration de l’état des masses d’eau de surface contaminée par le mercure – État de l’art des méthodes existantes et adaptabilité dans le contexte guyanais</w:t>
      </w:r>
      <w:r w:rsidRPr="009864FD">
        <w:rPr>
          <w:rFonts w:asciiTheme="majorBidi" w:hAnsiTheme="majorBidi"/>
          <w:lang w:val="fr-CH"/>
        </w:rPr>
        <w:t xml:space="preserve">. </w:t>
      </w:r>
      <w:r w:rsidRPr="00B50B26">
        <w:rPr>
          <w:rFonts w:asciiTheme="majorBidi" w:hAnsiTheme="majorBidi"/>
          <w:lang w:val="en-US"/>
        </w:rPr>
        <w:t xml:space="preserve">Rapport final. BRGM/RP-64032-FR. Available at </w:t>
      </w:r>
      <w:hyperlink r:id="rId21" w:history="1">
        <w:r w:rsidRPr="003F0842">
          <w:rPr>
            <w:rStyle w:val="Hyperlink"/>
            <w:lang w:val="en-GB"/>
          </w:rPr>
          <w:t>http://www.side.developpement-durable.gouv.fr/EXPLOITATION/DRGUYA/Infodoc/ged/viewportalpublished.ashx?eid=IFD_FICJOINT_0016486&amp;search=restauration</w:t>
        </w:r>
      </w:hyperlink>
      <w:r w:rsidRPr="00B50B26">
        <w:rPr>
          <w:rFonts w:asciiTheme="majorBidi" w:hAnsiTheme="majorBidi" w:cstheme="majorBidi"/>
          <w:lang w:val="en-US"/>
        </w:rPr>
        <w:t>.</w:t>
      </w:r>
    </w:p>
    <w:p w14:paraId="5D5DA8E8" w14:textId="67D2C1F1" w:rsidR="00BB7E57" w:rsidRPr="00B50B26" w:rsidRDefault="00BB7E57" w:rsidP="00BB7E57">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n-US"/>
        </w:rPr>
      </w:pPr>
      <w:r w:rsidRPr="00B50B26">
        <w:rPr>
          <w:rFonts w:asciiTheme="majorBidi" w:hAnsiTheme="majorBidi" w:cstheme="majorBidi"/>
          <w:lang w:val="en-US"/>
        </w:rPr>
        <w:t>Matthews, D., and others (2013). “Whole-lake nitrate addition for control of methylmercury in mercury</w:t>
      </w:r>
      <w:r w:rsidRPr="00B50B26">
        <w:rPr>
          <w:rFonts w:asciiTheme="majorBidi" w:hAnsiTheme="majorBidi" w:cstheme="majorBidi"/>
          <w:lang w:val="en-US"/>
        </w:rPr>
        <w:noBreakHyphen/>
        <w:t xml:space="preserve">contaminated Onondaga Lake, NY”, </w:t>
      </w:r>
      <w:r w:rsidRPr="00B50B26">
        <w:rPr>
          <w:rFonts w:asciiTheme="majorBidi" w:hAnsiTheme="majorBidi" w:cstheme="majorBidi"/>
          <w:i/>
          <w:iCs/>
          <w:lang w:val="en-US"/>
        </w:rPr>
        <w:t>Environmental Research</w:t>
      </w:r>
      <w:r w:rsidR="00355EFB" w:rsidRPr="00B50B26">
        <w:rPr>
          <w:rFonts w:asciiTheme="majorBidi" w:hAnsiTheme="majorBidi" w:cstheme="majorBidi"/>
          <w:lang w:val="en-US"/>
        </w:rPr>
        <w:t>, vol. 125 (Aug. 2013), pp. </w:t>
      </w:r>
      <w:r w:rsidRPr="00B50B26">
        <w:rPr>
          <w:rFonts w:asciiTheme="majorBidi" w:hAnsiTheme="majorBidi" w:cstheme="majorBidi"/>
          <w:lang w:val="en-US"/>
        </w:rPr>
        <w:t>52</w:t>
      </w:r>
      <w:r w:rsidRPr="003F0842">
        <w:rPr>
          <w:rFonts w:asciiTheme="majorBidi" w:hAnsiTheme="majorBidi" w:cstheme="majorBidi"/>
        </w:rPr>
        <w:sym w:font="Symbol" w:char="F02D"/>
      </w:r>
      <w:r w:rsidRPr="00B50B26">
        <w:rPr>
          <w:rFonts w:asciiTheme="majorBidi" w:hAnsiTheme="majorBidi" w:cstheme="majorBidi"/>
          <w:lang w:val="en-US"/>
        </w:rPr>
        <w:t>60.</w:t>
      </w:r>
    </w:p>
    <w:p w14:paraId="5B6AE204" w14:textId="77777777" w:rsidR="00BB7E57" w:rsidRPr="00B50B26" w:rsidRDefault="00BB7E57" w:rsidP="00BB7E57">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n-US"/>
        </w:rPr>
      </w:pPr>
      <w:proofErr w:type="spellStart"/>
      <w:r w:rsidRPr="00B50B26">
        <w:rPr>
          <w:rFonts w:asciiTheme="majorBidi" w:hAnsiTheme="majorBidi" w:cstheme="majorBidi"/>
          <w:lang w:val="en-US"/>
        </w:rPr>
        <w:t>Merly</w:t>
      </w:r>
      <w:proofErr w:type="spellEnd"/>
      <w:r w:rsidRPr="00B50B26">
        <w:rPr>
          <w:rFonts w:asciiTheme="majorBidi" w:hAnsiTheme="majorBidi" w:cstheme="majorBidi"/>
          <w:lang w:val="en-US"/>
        </w:rPr>
        <w:t xml:space="preserve">, C., and </w:t>
      </w:r>
      <w:proofErr w:type="spellStart"/>
      <w:r w:rsidRPr="00B50B26">
        <w:rPr>
          <w:rFonts w:asciiTheme="majorBidi" w:hAnsiTheme="majorBidi" w:cstheme="majorBidi"/>
          <w:lang w:val="en-US"/>
        </w:rPr>
        <w:t>Hube</w:t>
      </w:r>
      <w:proofErr w:type="spellEnd"/>
      <w:r w:rsidRPr="00B50B26">
        <w:rPr>
          <w:rFonts w:asciiTheme="majorBidi" w:hAnsiTheme="majorBidi" w:cstheme="majorBidi"/>
          <w:lang w:val="en-US"/>
        </w:rPr>
        <w:t xml:space="preserve">, D. (2014). </w:t>
      </w:r>
      <w:r w:rsidRPr="00B50B26">
        <w:rPr>
          <w:rFonts w:asciiTheme="majorBidi" w:hAnsiTheme="majorBidi" w:cstheme="majorBidi"/>
          <w:i/>
          <w:lang w:val="en-US"/>
        </w:rPr>
        <w:t>Remediation of Mercury</w:t>
      </w:r>
      <w:r w:rsidRPr="00B50B26">
        <w:rPr>
          <w:rFonts w:asciiTheme="majorBidi" w:hAnsiTheme="majorBidi" w:cstheme="majorBidi"/>
          <w:i/>
          <w:lang w:val="en-US"/>
        </w:rPr>
        <w:noBreakHyphen/>
        <w:t>contaminated Sites</w:t>
      </w:r>
      <w:r w:rsidRPr="00B50B26">
        <w:rPr>
          <w:rFonts w:asciiTheme="majorBidi" w:hAnsiTheme="majorBidi" w:cstheme="majorBidi"/>
          <w:lang w:val="en-US"/>
        </w:rPr>
        <w:t xml:space="preserve">. Project No. SN-03/08. Available at </w:t>
      </w:r>
      <w:hyperlink r:id="rId22" w:history="1">
        <w:r w:rsidRPr="003F0842">
          <w:rPr>
            <w:rStyle w:val="Hyperlink"/>
            <w:rFonts w:asciiTheme="majorBidi" w:hAnsiTheme="majorBidi" w:cstheme="majorBidi"/>
            <w:lang w:val="en-GB"/>
          </w:rPr>
          <w:t>https://docplayer.net/18898131-Remediation-of-mercury</w:t>
        </w:r>
        <w:r w:rsidRPr="003F0842">
          <w:rPr>
            <w:rStyle w:val="Hyperlink"/>
            <w:rFonts w:asciiTheme="majorBidi" w:hAnsiTheme="majorBidi" w:cstheme="majorBidi"/>
            <w:lang w:val="en-GB"/>
          </w:rPr>
          <w:noBreakHyphen/>
          <w:t>contaminated-sites.html</w:t>
        </w:r>
      </w:hyperlink>
      <w:r w:rsidRPr="00B50B26">
        <w:rPr>
          <w:rFonts w:asciiTheme="majorBidi" w:hAnsiTheme="majorBidi" w:cstheme="majorBidi"/>
          <w:lang w:val="en-US"/>
        </w:rPr>
        <w:t>.</w:t>
      </w:r>
    </w:p>
    <w:p w14:paraId="2E6D8CB2" w14:textId="77777777" w:rsidR="00BB7E57" w:rsidRPr="00B50B26" w:rsidRDefault="00BB7E57" w:rsidP="00BB7E57">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n-US"/>
        </w:rPr>
      </w:pPr>
      <w:bookmarkStart w:id="26" w:name="_Hlk506896386"/>
      <w:r w:rsidRPr="00B50B26">
        <w:rPr>
          <w:rFonts w:asciiTheme="majorBidi" w:hAnsiTheme="majorBidi" w:cstheme="majorBidi"/>
          <w:lang w:val="en-US"/>
        </w:rPr>
        <w:t>National Environmental Justice Advisory Council (2013</w:t>
      </w:r>
      <w:bookmarkEnd w:id="26"/>
      <w:r w:rsidRPr="00B50B26">
        <w:rPr>
          <w:rFonts w:asciiTheme="majorBidi" w:hAnsiTheme="majorBidi" w:cstheme="majorBidi"/>
          <w:lang w:val="en-US"/>
        </w:rPr>
        <w:t xml:space="preserve">). </w:t>
      </w:r>
      <w:r w:rsidRPr="00B50B26">
        <w:rPr>
          <w:rFonts w:asciiTheme="majorBidi" w:hAnsiTheme="majorBidi" w:cstheme="majorBidi"/>
          <w:i/>
          <w:lang w:val="en-US"/>
        </w:rPr>
        <w:t>Model Guidelines for Public Participation</w:t>
      </w:r>
      <w:r w:rsidRPr="00B50B26">
        <w:rPr>
          <w:rFonts w:asciiTheme="majorBidi" w:hAnsiTheme="majorBidi" w:cstheme="majorBidi"/>
          <w:lang w:val="en-US"/>
        </w:rPr>
        <w:t xml:space="preserve">. Available at </w:t>
      </w:r>
      <w:hyperlink r:id="rId23" w:history="1">
        <w:r w:rsidRPr="003F0842">
          <w:rPr>
            <w:rStyle w:val="Hyperlink"/>
            <w:rFonts w:asciiTheme="majorBidi" w:hAnsiTheme="majorBidi" w:cstheme="majorBidi"/>
            <w:lang w:val="en-GB"/>
          </w:rPr>
          <w:t>https://www.epa.gov/sites/production/files/2015-02/documents/recommendations-model-guide-pp-2013.pdf</w:t>
        </w:r>
      </w:hyperlink>
      <w:r w:rsidRPr="00B50B26">
        <w:rPr>
          <w:rFonts w:asciiTheme="majorBidi" w:hAnsiTheme="majorBidi" w:cstheme="majorBidi"/>
          <w:lang w:val="en-US"/>
        </w:rPr>
        <w:t>.</w:t>
      </w:r>
    </w:p>
    <w:p w14:paraId="3BBB48F4" w14:textId="7D6FD6E2" w:rsidR="00BB7E57" w:rsidRPr="00B50B26" w:rsidRDefault="00BB7E57" w:rsidP="00BB7E57">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lang w:val="en-US"/>
        </w:rPr>
      </w:pPr>
      <w:r w:rsidRPr="00B50B26">
        <w:rPr>
          <w:rFonts w:asciiTheme="majorBidi" w:hAnsiTheme="majorBidi" w:cstheme="majorBidi"/>
          <w:lang w:val="en-US"/>
        </w:rPr>
        <w:t xml:space="preserve">National Environmental Protection Council (NEPC) (1999). </w:t>
      </w:r>
      <w:r w:rsidRPr="00B50B26">
        <w:rPr>
          <w:rFonts w:asciiTheme="majorBidi" w:hAnsiTheme="majorBidi" w:cstheme="majorBidi"/>
          <w:i/>
          <w:lang w:val="en-US"/>
        </w:rPr>
        <w:t>Guideline on Investigation Levels for Soil and Groundwater</w:t>
      </w:r>
      <w:r w:rsidR="006F7227">
        <w:rPr>
          <w:rFonts w:asciiTheme="majorBidi" w:hAnsiTheme="majorBidi" w:cstheme="majorBidi"/>
          <w:i/>
          <w:lang w:val="en-US"/>
        </w:rPr>
        <w:t xml:space="preserve">; </w:t>
      </w:r>
      <w:r w:rsidR="006F7227" w:rsidRPr="006F7227">
        <w:rPr>
          <w:rFonts w:asciiTheme="majorBidi" w:hAnsiTheme="majorBidi" w:cstheme="majorBidi"/>
          <w:i/>
          <w:lang w:val="en-US"/>
        </w:rPr>
        <w:t>NEPM Schedule B (1)</w:t>
      </w:r>
      <w:r w:rsidRPr="00B50B26">
        <w:rPr>
          <w:rFonts w:asciiTheme="majorBidi" w:hAnsiTheme="majorBidi" w:cstheme="majorBidi"/>
          <w:lang w:val="en-US"/>
        </w:rPr>
        <w:t xml:space="preserve">. Available at </w:t>
      </w:r>
      <w:hyperlink r:id="rId24" w:history="1">
        <w:r w:rsidRPr="003F0842">
          <w:rPr>
            <w:rStyle w:val="Hyperlink"/>
            <w:rFonts w:asciiTheme="majorBidi" w:hAnsiTheme="majorBidi" w:cstheme="majorBidi"/>
            <w:lang w:val="en-GB"/>
          </w:rPr>
          <w:t>http://www.nepc.gov.au/system/files/resources/93ae0e77-e697-e494-656f-afaaf9fb4277/files/schedule-b1-guideline-investigation-levels-soil-and-groundwater-sep10.pdf</w:t>
        </w:r>
      </w:hyperlink>
      <w:r w:rsidRPr="00B50B26">
        <w:rPr>
          <w:rFonts w:asciiTheme="majorBidi" w:hAnsiTheme="majorBidi" w:cstheme="majorBidi"/>
          <w:lang w:val="en-US"/>
        </w:rPr>
        <w:t>.</w:t>
      </w:r>
      <w:r w:rsidRPr="00B50B26" w:rsidDel="00860510">
        <w:rPr>
          <w:lang w:val="en-US"/>
        </w:rPr>
        <w:t xml:space="preserve"> </w:t>
      </w:r>
    </w:p>
    <w:p w14:paraId="1AEA8CA3" w14:textId="0395D887" w:rsidR="00BB7E57" w:rsidRPr="00B50B26" w:rsidRDefault="00BB7E57" w:rsidP="00BB7E57">
      <w:pPr>
        <w:pStyle w:val="Normal-pool"/>
        <w:tabs>
          <w:tab w:val="clear" w:pos="1247"/>
          <w:tab w:val="clear" w:pos="1814"/>
          <w:tab w:val="clear" w:pos="2381"/>
          <w:tab w:val="clear" w:pos="2948"/>
          <w:tab w:val="clear" w:pos="3515"/>
          <w:tab w:val="left" w:pos="624"/>
        </w:tabs>
        <w:spacing w:after="80"/>
        <w:ind w:left="1247"/>
        <w:rPr>
          <w:lang w:val="en-US"/>
        </w:rPr>
      </w:pPr>
      <w:r w:rsidRPr="00B50B26">
        <w:rPr>
          <w:lang w:val="en-US"/>
        </w:rPr>
        <w:t>Network for Industrially Co</w:t>
      </w:r>
      <w:r w:rsidR="006F7227">
        <w:rPr>
          <w:lang w:val="en-US"/>
        </w:rPr>
        <w:t>ntaminated</w:t>
      </w:r>
      <w:r w:rsidRPr="00B50B26">
        <w:rPr>
          <w:lang w:val="en-US"/>
        </w:rPr>
        <w:t xml:space="preserve"> Land Management in Europe (NICOLE) (2015). </w:t>
      </w:r>
      <w:r w:rsidRPr="00B50B26">
        <w:rPr>
          <w:i/>
          <w:iCs/>
          <w:lang w:val="en-US"/>
        </w:rPr>
        <w:t>Risk-based Management of Mercury Impacted Sites</w:t>
      </w:r>
      <w:r w:rsidRPr="00B50B26">
        <w:rPr>
          <w:lang w:val="en-US"/>
        </w:rPr>
        <w:t xml:space="preserve">. Available at </w:t>
      </w:r>
      <w:hyperlink r:id="rId25" w:history="1">
        <w:r w:rsidRPr="003F0842">
          <w:rPr>
            <w:rStyle w:val="Hyperlink"/>
            <w:lang w:val="en-GB"/>
          </w:rPr>
          <w:t>http://www.nicole.org/uploadedfiles/WGM%202015-06-10%20NICOLE%20Risk%20based%20Management%20of%20Mercury%20Impacted%20Sites.pdf</w:t>
        </w:r>
      </w:hyperlink>
      <w:r w:rsidRPr="00B50B26">
        <w:rPr>
          <w:lang w:val="en-US"/>
        </w:rPr>
        <w:t>.</w:t>
      </w:r>
    </w:p>
    <w:p w14:paraId="33221472" w14:textId="77777777" w:rsidR="00BB7E57" w:rsidRPr="00B50B26" w:rsidRDefault="00BB7E57" w:rsidP="00BB7E57">
      <w:pPr>
        <w:pStyle w:val="Normal-pool"/>
        <w:tabs>
          <w:tab w:val="clear" w:pos="1247"/>
          <w:tab w:val="clear" w:pos="1814"/>
          <w:tab w:val="clear" w:pos="2381"/>
          <w:tab w:val="clear" w:pos="2948"/>
          <w:tab w:val="clear" w:pos="3515"/>
          <w:tab w:val="left" w:pos="624"/>
        </w:tabs>
        <w:spacing w:after="80"/>
        <w:ind w:left="1247"/>
        <w:rPr>
          <w:lang w:val="en-US"/>
        </w:rPr>
      </w:pPr>
      <w:r w:rsidRPr="00B50B26">
        <w:rPr>
          <w:lang w:val="en-US"/>
        </w:rPr>
        <w:t xml:space="preserve">Todorova, S., and others (2009). “Evidence for regulation of monomethyl mercury by nitrate in a seasonally stratified, eutrophic lake”, </w:t>
      </w:r>
      <w:r w:rsidRPr="00B50B26">
        <w:rPr>
          <w:i/>
          <w:iCs/>
          <w:lang w:val="en-US"/>
        </w:rPr>
        <w:t>Environmental Science and Technology</w:t>
      </w:r>
      <w:r w:rsidRPr="00B50B26">
        <w:rPr>
          <w:lang w:val="en-US"/>
        </w:rPr>
        <w:t>, vol. 43, no. 17 (September 2009), pp. 6572</w:t>
      </w:r>
      <w:r w:rsidRPr="003F0842">
        <w:sym w:font="Symbol" w:char="F02D"/>
      </w:r>
      <w:r w:rsidRPr="00B50B26">
        <w:rPr>
          <w:lang w:val="en-US"/>
        </w:rPr>
        <w:t xml:space="preserve">6578. Available at </w:t>
      </w:r>
      <w:hyperlink r:id="rId26" w:history="1">
        <w:r w:rsidRPr="003F0842">
          <w:rPr>
            <w:rStyle w:val="Hyperlink"/>
            <w:lang w:val="en-GB"/>
          </w:rPr>
          <w:t>https://experts.syr.edu/en/publications/evidence-for-regulation-of-monomethyl-mercury-by-nitrate-in-a-sea</w:t>
        </w:r>
      </w:hyperlink>
      <w:r w:rsidRPr="00B50B26">
        <w:rPr>
          <w:lang w:val="en-US"/>
        </w:rPr>
        <w:t>.</w:t>
      </w:r>
    </w:p>
    <w:p w14:paraId="3D771AFA" w14:textId="43610E51" w:rsidR="00BB7E57" w:rsidRPr="009864FD" w:rsidRDefault="00BB7E57" w:rsidP="00BB7E57">
      <w:pPr>
        <w:pStyle w:val="Normal-pool"/>
        <w:tabs>
          <w:tab w:val="clear" w:pos="1247"/>
          <w:tab w:val="clear" w:pos="1814"/>
          <w:tab w:val="clear" w:pos="2381"/>
          <w:tab w:val="clear" w:pos="2948"/>
          <w:tab w:val="clear" w:pos="3515"/>
          <w:tab w:val="left" w:pos="624"/>
        </w:tabs>
        <w:spacing w:after="80"/>
        <w:ind w:left="1247"/>
        <w:rPr>
          <w:rFonts w:asciiTheme="majorBidi" w:hAnsiTheme="majorBidi"/>
          <w:lang w:val="fr-CH"/>
        </w:rPr>
      </w:pPr>
      <w:proofErr w:type="spellStart"/>
      <w:r w:rsidRPr="00B50B26">
        <w:rPr>
          <w:rFonts w:asciiTheme="majorBidi" w:hAnsiTheme="majorBidi" w:cstheme="majorBidi"/>
          <w:lang w:val="en-US"/>
        </w:rPr>
        <w:t>Trasande</w:t>
      </w:r>
      <w:proofErr w:type="spellEnd"/>
      <w:r w:rsidRPr="00B50B26">
        <w:rPr>
          <w:rFonts w:asciiTheme="majorBidi" w:hAnsiTheme="majorBidi" w:cstheme="majorBidi"/>
          <w:lang w:val="en-US"/>
        </w:rPr>
        <w:t xml:space="preserve">, L., and others (2016). “Economic implications of mercury exposure in the context of the global mercury treaty: </w:t>
      </w:r>
      <w:r w:rsidR="006F7227">
        <w:rPr>
          <w:rFonts w:asciiTheme="majorBidi" w:hAnsiTheme="majorBidi" w:cstheme="majorBidi"/>
          <w:lang w:val="en-US"/>
        </w:rPr>
        <w:t>h</w:t>
      </w:r>
      <w:r w:rsidRPr="00B50B26">
        <w:rPr>
          <w:rFonts w:asciiTheme="majorBidi" w:hAnsiTheme="majorBidi" w:cstheme="majorBidi"/>
          <w:lang w:val="en-US"/>
        </w:rPr>
        <w:t xml:space="preserve">air mercury levels and estimated lost economic productivity in selected developing countries”, </w:t>
      </w:r>
      <w:r w:rsidRPr="00B50B26">
        <w:rPr>
          <w:rFonts w:asciiTheme="majorBidi" w:hAnsiTheme="majorBidi" w:cstheme="majorBidi"/>
          <w:i/>
          <w:iCs/>
          <w:lang w:val="en-US"/>
        </w:rPr>
        <w:t>Journal of Environmental Management</w:t>
      </w:r>
      <w:r w:rsidRPr="00B50B26">
        <w:rPr>
          <w:rFonts w:asciiTheme="majorBidi" w:hAnsiTheme="majorBidi" w:cstheme="majorBidi"/>
          <w:lang w:val="en-US"/>
        </w:rPr>
        <w:t>, vol. 183 (Sept. 2016), pp. 229</w:t>
      </w:r>
      <w:r w:rsidRPr="003F0842">
        <w:rPr>
          <w:rFonts w:asciiTheme="majorBidi" w:hAnsiTheme="majorBidi" w:cstheme="majorBidi"/>
        </w:rPr>
        <w:sym w:font="Symbol" w:char="F02D"/>
      </w:r>
      <w:r w:rsidRPr="00B50B26">
        <w:rPr>
          <w:rFonts w:asciiTheme="majorBidi" w:hAnsiTheme="majorBidi" w:cstheme="majorBidi"/>
          <w:lang w:val="en-US"/>
        </w:rPr>
        <w:t xml:space="preserve">235. </w:t>
      </w:r>
      <w:proofErr w:type="spellStart"/>
      <w:r w:rsidRPr="009864FD">
        <w:rPr>
          <w:rFonts w:asciiTheme="majorBidi" w:hAnsiTheme="majorBidi"/>
          <w:lang w:val="fr-CH"/>
        </w:rPr>
        <w:t>Available</w:t>
      </w:r>
      <w:proofErr w:type="spellEnd"/>
      <w:r w:rsidRPr="009864FD">
        <w:rPr>
          <w:rFonts w:asciiTheme="majorBidi" w:hAnsiTheme="majorBidi"/>
          <w:lang w:val="fr-CH"/>
        </w:rPr>
        <w:t xml:space="preserve"> at </w:t>
      </w:r>
      <w:hyperlink r:id="rId27" w:history="1">
        <w:r w:rsidRPr="009864FD">
          <w:rPr>
            <w:rStyle w:val="Hyperlink"/>
            <w:rFonts w:asciiTheme="majorBidi" w:hAnsiTheme="majorBidi"/>
            <w:lang w:val="fr-CH"/>
          </w:rPr>
          <w:t>https://www.ncbi.nlm.nih.gov/pubmed/27594689</w:t>
        </w:r>
      </w:hyperlink>
      <w:r w:rsidRPr="009864FD">
        <w:rPr>
          <w:rStyle w:val="Hyperlink"/>
          <w:rFonts w:asciiTheme="majorBidi" w:hAnsiTheme="majorBidi"/>
          <w:lang w:val="fr-CH"/>
        </w:rPr>
        <w:t>.</w:t>
      </w:r>
    </w:p>
    <w:p w14:paraId="1D52C030" w14:textId="77777777" w:rsidR="00BB7E57" w:rsidRPr="009864FD" w:rsidRDefault="00BB7E57" w:rsidP="00BB7E57">
      <w:pPr>
        <w:pStyle w:val="Normal-pool"/>
        <w:tabs>
          <w:tab w:val="clear" w:pos="1247"/>
          <w:tab w:val="clear" w:pos="1814"/>
          <w:tab w:val="clear" w:pos="2381"/>
          <w:tab w:val="clear" w:pos="2948"/>
          <w:tab w:val="clear" w:pos="3515"/>
          <w:tab w:val="clear" w:pos="4082"/>
          <w:tab w:val="left" w:pos="624"/>
        </w:tabs>
        <w:spacing w:after="80"/>
        <w:ind w:left="1247"/>
        <w:rPr>
          <w:lang w:val="fr-CH"/>
        </w:rPr>
      </w:pPr>
      <w:r w:rsidRPr="009864FD">
        <w:rPr>
          <w:lang w:val="fr-CH"/>
        </w:rPr>
        <w:lastRenderedPageBreak/>
        <w:t xml:space="preserve">United Nations </w:t>
      </w:r>
      <w:proofErr w:type="spellStart"/>
      <w:r w:rsidRPr="009864FD">
        <w:rPr>
          <w:lang w:val="fr-CH"/>
        </w:rPr>
        <w:t>Environment</w:t>
      </w:r>
      <w:proofErr w:type="spellEnd"/>
      <w:r w:rsidRPr="009864FD">
        <w:rPr>
          <w:lang w:val="fr-CH"/>
        </w:rPr>
        <w:t xml:space="preserve"> Programme (UNEP) (2013). </w:t>
      </w:r>
      <w:r w:rsidRPr="00B50B26">
        <w:rPr>
          <w:i/>
          <w:lang w:val="en-US"/>
        </w:rPr>
        <w:t>Global Mercury Assessment 2013: Sources, Emissions, Releases and Environmental Transport</w:t>
      </w:r>
      <w:r w:rsidRPr="00B50B26">
        <w:rPr>
          <w:lang w:val="en-US"/>
        </w:rPr>
        <w:t xml:space="preserve">. Geneva, UNEP Chemicals Branch. </w:t>
      </w:r>
      <w:proofErr w:type="spellStart"/>
      <w:r w:rsidRPr="009864FD">
        <w:rPr>
          <w:lang w:val="fr-CH"/>
        </w:rPr>
        <w:t>Available</w:t>
      </w:r>
      <w:proofErr w:type="spellEnd"/>
      <w:r w:rsidRPr="009864FD">
        <w:rPr>
          <w:lang w:val="fr-CH"/>
        </w:rPr>
        <w:t xml:space="preserve"> at </w:t>
      </w:r>
      <w:hyperlink r:id="rId28" w:history="1">
        <w:r w:rsidRPr="009864FD">
          <w:rPr>
            <w:rStyle w:val="Hyperlink"/>
            <w:lang w:val="fr-CH"/>
          </w:rPr>
          <w:t>http://wedocs.unep.org/handle/20.500.11822/7984</w:t>
        </w:r>
      </w:hyperlink>
      <w:r w:rsidRPr="009864FD">
        <w:rPr>
          <w:lang w:val="fr-CH"/>
        </w:rPr>
        <w:t>.</w:t>
      </w:r>
    </w:p>
    <w:p w14:paraId="0AA3C356" w14:textId="77777777" w:rsidR="00BB7E57" w:rsidRPr="00B50B26" w:rsidRDefault="00BB7E57" w:rsidP="00BB7E57">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n-US"/>
        </w:rPr>
      </w:pPr>
      <w:r w:rsidRPr="009864FD">
        <w:rPr>
          <w:rFonts w:asciiTheme="majorBidi" w:hAnsiTheme="majorBidi"/>
          <w:lang w:val="fr-CH"/>
        </w:rPr>
        <w:t xml:space="preserve">United Nations </w:t>
      </w:r>
      <w:proofErr w:type="spellStart"/>
      <w:r w:rsidRPr="009864FD">
        <w:rPr>
          <w:rFonts w:asciiTheme="majorBidi" w:hAnsiTheme="majorBidi"/>
          <w:lang w:val="fr-CH"/>
        </w:rPr>
        <w:t>Environment</w:t>
      </w:r>
      <w:proofErr w:type="spellEnd"/>
      <w:r w:rsidRPr="009864FD">
        <w:rPr>
          <w:rFonts w:asciiTheme="majorBidi" w:hAnsiTheme="majorBidi"/>
          <w:lang w:val="fr-CH"/>
        </w:rPr>
        <w:t xml:space="preserve"> Programme (UNEP) (2015). </w:t>
      </w:r>
      <w:r w:rsidRPr="00B50B26">
        <w:rPr>
          <w:rFonts w:asciiTheme="majorBidi" w:hAnsiTheme="majorBidi" w:cstheme="majorBidi"/>
          <w:i/>
          <w:lang w:val="en-US"/>
        </w:rPr>
        <w:t>Technical guidelines on the environmentally sound management of wastes consisting of, containing or contaminated with mercury or mercury compounds</w:t>
      </w:r>
      <w:r w:rsidRPr="00B50B26">
        <w:rPr>
          <w:rFonts w:asciiTheme="majorBidi" w:hAnsiTheme="majorBidi" w:cstheme="majorBidi"/>
          <w:lang w:val="en-US"/>
        </w:rPr>
        <w:t xml:space="preserve">. UNEP/CHW.12/5/Add.8/Rev.1. Available at </w:t>
      </w:r>
      <w:hyperlink r:id="rId29" w:history="1">
        <w:r w:rsidRPr="003F0842">
          <w:rPr>
            <w:rStyle w:val="Hyperlink"/>
            <w:rFonts w:asciiTheme="majorBidi" w:hAnsiTheme="majorBidi" w:cstheme="majorBidi"/>
            <w:lang w:val="en-GB"/>
          </w:rPr>
          <w:t>http://www.basel.int/TheConvention/ConferenceoftheParties/Meetings/COP12/tabid/4248/mctl/ViewDetails/EventModID/8051/EventID/542/xmid/13027/Default.aspx</w:t>
        </w:r>
      </w:hyperlink>
      <w:r w:rsidRPr="00B50B26">
        <w:rPr>
          <w:rFonts w:asciiTheme="majorBidi" w:hAnsiTheme="majorBidi" w:cstheme="majorBidi"/>
          <w:lang w:val="en-US"/>
        </w:rPr>
        <w:t>.</w:t>
      </w:r>
    </w:p>
    <w:p w14:paraId="7D6F1E93" w14:textId="4B3781E8" w:rsidR="006F7227" w:rsidRPr="006F7227" w:rsidRDefault="006F7227" w:rsidP="006F7227">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n-US"/>
        </w:rPr>
      </w:pPr>
      <w:bookmarkStart w:id="27" w:name="_Hlk31354024"/>
      <w:r w:rsidRPr="004A29DB">
        <w:rPr>
          <w:lang w:val="en-US"/>
        </w:rPr>
        <w:t xml:space="preserve">United Nations Environment </w:t>
      </w:r>
      <w:proofErr w:type="spellStart"/>
      <w:r w:rsidRPr="004A29DB">
        <w:rPr>
          <w:lang w:val="en-US"/>
        </w:rPr>
        <w:t>Programme</w:t>
      </w:r>
      <w:proofErr w:type="spellEnd"/>
      <w:r w:rsidRPr="004A29DB">
        <w:rPr>
          <w:lang w:val="en-US"/>
        </w:rPr>
        <w:t xml:space="preserve"> (UNEP) (2019). </w:t>
      </w:r>
      <w:r w:rsidRPr="006F7227">
        <w:rPr>
          <w:i/>
          <w:lang w:val="en-US"/>
        </w:rPr>
        <w:t>Global Mercury Assessment 2018</w:t>
      </w:r>
      <w:r w:rsidRPr="006F7227">
        <w:rPr>
          <w:lang w:val="en-US"/>
        </w:rPr>
        <w:t xml:space="preserve">. Geneva, UNEP Chemicals Branch. </w:t>
      </w:r>
      <w:r w:rsidRPr="004A29DB">
        <w:rPr>
          <w:lang w:val="en-US"/>
        </w:rPr>
        <w:t xml:space="preserve">Available at </w:t>
      </w:r>
      <w:hyperlink r:id="rId30" w:history="1">
        <w:r w:rsidRPr="00560843">
          <w:rPr>
            <w:rStyle w:val="Hyperlink"/>
            <w:lang w:val="en-US"/>
          </w:rPr>
          <w:t>https://wedocs.unep.org/bitstream/handle/20.500.11822/27579/GMA2018.pdf?sequence=1&amp;isAllowed=y</w:t>
        </w:r>
      </w:hyperlink>
      <w:r w:rsidRPr="006F7227">
        <w:rPr>
          <w:lang w:val="en-US"/>
        </w:rPr>
        <w:t>.</w:t>
      </w:r>
      <w:bookmarkEnd w:id="27"/>
    </w:p>
    <w:p w14:paraId="4789822C" w14:textId="77777777" w:rsidR="00BB7E57" w:rsidRPr="003F0842" w:rsidRDefault="00BB7E57" w:rsidP="00BB7E57">
      <w:pPr>
        <w:pStyle w:val="Normal-pool"/>
        <w:tabs>
          <w:tab w:val="clear" w:pos="1247"/>
          <w:tab w:val="clear" w:pos="1814"/>
          <w:tab w:val="clear" w:pos="2381"/>
          <w:tab w:val="clear" w:pos="2948"/>
          <w:tab w:val="clear" w:pos="3515"/>
          <w:tab w:val="clear" w:pos="4082"/>
          <w:tab w:val="left" w:pos="624"/>
        </w:tabs>
        <w:spacing w:after="80"/>
        <w:ind w:left="1247"/>
        <w:rPr>
          <w:rStyle w:val="Hyperlink"/>
          <w:rFonts w:asciiTheme="majorBidi" w:hAnsiTheme="majorBidi" w:cstheme="majorBidi"/>
          <w:lang w:val="en-GB"/>
        </w:rPr>
      </w:pPr>
      <w:r w:rsidRPr="00B50B26">
        <w:rPr>
          <w:lang w:val="en-US" w:eastAsia="ja-JP"/>
        </w:rPr>
        <w:t>United States Environment Protection Agency (</w:t>
      </w:r>
      <w:r w:rsidRPr="00B50B26">
        <w:rPr>
          <w:rFonts w:asciiTheme="majorBidi" w:hAnsiTheme="majorBidi" w:cstheme="majorBidi"/>
          <w:lang w:val="en-US"/>
        </w:rPr>
        <w:t xml:space="preserve">US EPA) (2007). </w:t>
      </w:r>
      <w:r w:rsidRPr="00B50B26">
        <w:rPr>
          <w:rFonts w:asciiTheme="majorBidi" w:hAnsiTheme="majorBidi" w:cstheme="majorBidi"/>
          <w:i/>
          <w:lang w:val="en-US"/>
        </w:rPr>
        <w:t>Treatment Technologies for Mercury in Soil, Waste, and Water</w:t>
      </w:r>
      <w:r w:rsidRPr="00B50B26">
        <w:rPr>
          <w:rFonts w:asciiTheme="majorBidi" w:hAnsiTheme="majorBidi" w:cstheme="majorBidi"/>
          <w:lang w:val="en-US"/>
        </w:rPr>
        <w:t xml:space="preserve">. Washington. Available at </w:t>
      </w:r>
      <w:hyperlink r:id="rId31" w:history="1">
        <w:r w:rsidRPr="003F0842">
          <w:rPr>
            <w:rStyle w:val="Hyperlink"/>
            <w:rFonts w:asciiTheme="majorBidi" w:hAnsiTheme="majorBidi" w:cstheme="majorBidi"/>
            <w:lang w:val="en-GB"/>
          </w:rPr>
          <w:t>https://clu-in.org/download/remed/542r07003.pdf</w:t>
        </w:r>
      </w:hyperlink>
      <w:r w:rsidRPr="003F0842">
        <w:rPr>
          <w:rStyle w:val="Hyperlink"/>
          <w:rFonts w:asciiTheme="majorBidi" w:hAnsiTheme="majorBidi" w:cstheme="majorBidi"/>
          <w:lang w:val="en-GB"/>
        </w:rPr>
        <w:t>.</w:t>
      </w:r>
    </w:p>
    <w:p w14:paraId="0153BA37" w14:textId="77777777" w:rsidR="00BB7E57" w:rsidRPr="003F0842" w:rsidRDefault="00BB7E57" w:rsidP="00BB7E57">
      <w:pPr>
        <w:pStyle w:val="Normal-pool"/>
        <w:tabs>
          <w:tab w:val="clear" w:pos="1247"/>
          <w:tab w:val="clear" w:pos="1814"/>
          <w:tab w:val="clear" w:pos="2381"/>
          <w:tab w:val="clear" w:pos="2948"/>
          <w:tab w:val="clear" w:pos="3515"/>
          <w:tab w:val="clear" w:pos="4082"/>
          <w:tab w:val="left" w:pos="624"/>
        </w:tabs>
        <w:spacing w:after="80"/>
        <w:ind w:left="1247"/>
        <w:rPr>
          <w:rStyle w:val="Hyperlink"/>
          <w:rFonts w:asciiTheme="majorBidi" w:hAnsiTheme="majorBidi" w:cstheme="majorBidi"/>
          <w:lang w:val="en-GB"/>
        </w:rPr>
      </w:pPr>
      <w:r w:rsidRPr="00B50B26">
        <w:rPr>
          <w:rFonts w:asciiTheme="majorBidi" w:hAnsiTheme="majorBidi" w:cstheme="majorBidi"/>
          <w:lang w:val="en-US"/>
        </w:rPr>
        <w:t xml:space="preserve">World Health Organization (WHO) (2017). “Mercury and health” (website). Available at </w:t>
      </w:r>
      <w:hyperlink r:id="rId32" w:history="1">
        <w:r w:rsidRPr="003F0842">
          <w:rPr>
            <w:rStyle w:val="Hyperlink"/>
            <w:rFonts w:asciiTheme="majorBidi" w:hAnsiTheme="majorBidi" w:cstheme="majorBidi"/>
            <w:lang w:val="en-GB"/>
          </w:rPr>
          <w:t>http://www.who.int/mediacentre/factsheets/fs361/en/</w:t>
        </w:r>
      </w:hyperlink>
      <w:r w:rsidRPr="003F0842">
        <w:rPr>
          <w:rStyle w:val="Hyperlink"/>
          <w:rFonts w:asciiTheme="majorBidi" w:hAnsiTheme="majorBidi" w:cstheme="majorBidi"/>
          <w:lang w:val="en-GB"/>
        </w:rPr>
        <w:t>.</w:t>
      </w:r>
    </w:p>
    <w:p w14:paraId="041B767F" w14:textId="77777777" w:rsidR="00BB7E57" w:rsidRPr="00B50B26" w:rsidRDefault="00BB7E57" w:rsidP="00BB7E57">
      <w:pPr>
        <w:pStyle w:val="Normal-pool"/>
        <w:tabs>
          <w:tab w:val="clear" w:pos="1247"/>
          <w:tab w:val="clear" w:pos="1814"/>
          <w:tab w:val="clear" w:pos="2381"/>
          <w:tab w:val="clear" w:pos="2948"/>
          <w:tab w:val="clear" w:pos="3515"/>
          <w:tab w:val="left" w:pos="624"/>
        </w:tabs>
        <w:spacing w:after="80"/>
        <w:ind w:left="1247"/>
        <w:rPr>
          <w:lang w:val="en-US"/>
        </w:rPr>
      </w:pPr>
      <w:r w:rsidRPr="00B50B26">
        <w:rPr>
          <w:lang w:val="en-US"/>
        </w:rPr>
        <w:t xml:space="preserve">World Health Organization (WHO) (2018a). </w:t>
      </w:r>
      <w:r w:rsidRPr="00B50B26">
        <w:rPr>
          <w:i/>
          <w:iCs/>
          <w:lang w:val="en-US"/>
        </w:rPr>
        <w:t>Assessment of prenatal exposure to mercury: standard operating procedures</w:t>
      </w:r>
      <w:r w:rsidRPr="00B50B26">
        <w:rPr>
          <w:lang w:val="en-US"/>
        </w:rPr>
        <w:t>. Available at https://www.who.int/ipcs/assessment/public_health/mercury/en/.</w:t>
      </w:r>
    </w:p>
    <w:p w14:paraId="2C9DA78D" w14:textId="77777777" w:rsidR="00BB7E57" w:rsidRPr="00B50B26" w:rsidRDefault="00BB7E57" w:rsidP="00BB7E57">
      <w:pPr>
        <w:pStyle w:val="Normal-pool"/>
        <w:tabs>
          <w:tab w:val="clear" w:pos="1247"/>
          <w:tab w:val="clear" w:pos="1814"/>
          <w:tab w:val="clear" w:pos="2381"/>
          <w:tab w:val="clear" w:pos="2948"/>
          <w:tab w:val="clear" w:pos="3515"/>
          <w:tab w:val="left" w:pos="624"/>
        </w:tabs>
        <w:spacing w:after="80"/>
        <w:ind w:left="1247"/>
        <w:rPr>
          <w:lang w:val="en-US"/>
        </w:rPr>
      </w:pPr>
      <w:r w:rsidRPr="00B50B26">
        <w:rPr>
          <w:lang w:val="en-US"/>
        </w:rPr>
        <w:t xml:space="preserve">World Health Organization (WHO) (2018b). </w:t>
      </w:r>
      <w:r w:rsidRPr="00B50B26">
        <w:rPr>
          <w:i/>
          <w:iCs/>
          <w:lang w:val="en-US"/>
        </w:rPr>
        <w:t>Assessment of prenatal exposure to mercury: human biomonitoring survey - the first survey protocol</w:t>
      </w:r>
      <w:r w:rsidRPr="00B50B26">
        <w:rPr>
          <w:lang w:val="en-US"/>
        </w:rPr>
        <w:t xml:space="preserve">. Available at </w:t>
      </w:r>
      <w:hyperlink r:id="rId33" w:history="1">
        <w:r w:rsidRPr="003F0842">
          <w:rPr>
            <w:rStyle w:val="Hyperlink"/>
            <w:lang w:val="en-GB"/>
          </w:rPr>
          <w:t>https://www.who.int/ipcs/assessment/public_health/mercury/en/</w:t>
        </w:r>
      </w:hyperlink>
      <w:r w:rsidRPr="00B50B26">
        <w:rPr>
          <w:lang w:val="en-U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BB7E57" w:rsidRPr="000C34EA" w14:paraId="30DDEEFC" w14:textId="77777777" w:rsidTr="00031D9D">
        <w:tc>
          <w:tcPr>
            <w:tcW w:w="1897" w:type="dxa"/>
          </w:tcPr>
          <w:p w14:paraId="3731A126" w14:textId="77777777" w:rsidR="00BB7E57" w:rsidRPr="00B50B26" w:rsidRDefault="00BB7E57" w:rsidP="00031D9D">
            <w:pPr>
              <w:pStyle w:val="Normal-pool"/>
              <w:spacing w:before="520"/>
              <w:rPr>
                <w:lang w:val="en-US"/>
              </w:rPr>
            </w:pPr>
          </w:p>
        </w:tc>
        <w:tc>
          <w:tcPr>
            <w:tcW w:w="1897" w:type="dxa"/>
          </w:tcPr>
          <w:p w14:paraId="06000FF4" w14:textId="77777777" w:rsidR="00BB7E57" w:rsidRPr="00B50B26" w:rsidRDefault="00BB7E57" w:rsidP="00031D9D">
            <w:pPr>
              <w:pStyle w:val="Normal-pool"/>
              <w:spacing w:before="520"/>
              <w:rPr>
                <w:lang w:val="en-US"/>
              </w:rPr>
            </w:pPr>
          </w:p>
        </w:tc>
        <w:tc>
          <w:tcPr>
            <w:tcW w:w="1897" w:type="dxa"/>
            <w:tcBorders>
              <w:bottom w:val="single" w:sz="4" w:space="0" w:color="auto"/>
            </w:tcBorders>
          </w:tcPr>
          <w:p w14:paraId="4B70B70B" w14:textId="77777777" w:rsidR="00BB7E57" w:rsidRPr="00B50B26" w:rsidRDefault="00BB7E57" w:rsidP="00031D9D">
            <w:pPr>
              <w:pStyle w:val="Normal-pool"/>
              <w:spacing w:before="520"/>
              <w:rPr>
                <w:lang w:val="en-US"/>
              </w:rPr>
            </w:pPr>
          </w:p>
        </w:tc>
        <w:tc>
          <w:tcPr>
            <w:tcW w:w="1897" w:type="dxa"/>
          </w:tcPr>
          <w:p w14:paraId="3E2AEBB3" w14:textId="77777777" w:rsidR="00BB7E57" w:rsidRPr="00B50B26" w:rsidRDefault="00BB7E57" w:rsidP="00031D9D">
            <w:pPr>
              <w:pStyle w:val="Normal-pool"/>
              <w:spacing w:before="520"/>
              <w:rPr>
                <w:lang w:val="en-US"/>
              </w:rPr>
            </w:pPr>
          </w:p>
        </w:tc>
        <w:tc>
          <w:tcPr>
            <w:tcW w:w="1898" w:type="dxa"/>
          </w:tcPr>
          <w:p w14:paraId="0FA10F8B" w14:textId="77777777" w:rsidR="00BB7E57" w:rsidRPr="00B50B26" w:rsidRDefault="00BB7E57" w:rsidP="00031D9D">
            <w:pPr>
              <w:pStyle w:val="Normal-pool"/>
              <w:spacing w:before="520"/>
              <w:rPr>
                <w:lang w:val="en-US"/>
              </w:rPr>
            </w:pPr>
          </w:p>
        </w:tc>
      </w:tr>
    </w:tbl>
    <w:p w14:paraId="4AB088DD" w14:textId="0B70F8DC" w:rsidR="00D31AFF" w:rsidRPr="00B50B26" w:rsidRDefault="00D31AFF" w:rsidP="00355EFB">
      <w:pPr>
        <w:pStyle w:val="Normal-pool"/>
        <w:tabs>
          <w:tab w:val="clear" w:pos="1247"/>
          <w:tab w:val="clear" w:pos="1814"/>
          <w:tab w:val="clear" w:pos="2381"/>
          <w:tab w:val="clear" w:pos="2948"/>
          <w:tab w:val="clear" w:pos="3515"/>
          <w:tab w:val="left" w:pos="624"/>
        </w:tabs>
        <w:spacing w:after="80"/>
        <w:ind w:left="1247"/>
        <w:rPr>
          <w:lang w:val="en-US"/>
        </w:rPr>
      </w:pPr>
    </w:p>
    <w:sectPr w:rsidR="00D31AFF" w:rsidRPr="00B50B26" w:rsidSect="00DC01F7">
      <w:headerReference w:type="even" r:id="rId34"/>
      <w:headerReference w:type="default" r:id="rId35"/>
      <w:footerReference w:type="even" r:id="rId36"/>
      <w:footerReference w:type="default" r:id="rId37"/>
      <w:headerReference w:type="first" r:id="rId38"/>
      <w:footerReference w:type="first" r:id="rId39"/>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3E7FF" w14:textId="77777777" w:rsidR="00796209" w:rsidRDefault="00796209">
      <w:r>
        <w:separator/>
      </w:r>
    </w:p>
  </w:endnote>
  <w:endnote w:type="continuationSeparator" w:id="0">
    <w:p w14:paraId="63DD6A27" w14:textId="77777777" w:rsidR="00796209" w:rsidRDefault="00796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3578811"/>
      <w:docPartObj>
        <w:docPartGallery w:val="Page Numbers (Bottom of Page)"/>
        <w:docPartUnique/>
      </w:docPartObj>
    </w:sdtPr>
    <w:sdtEndPr>
      <w:rPr>
        <w:noProof/>
      </w:rPr>
    </w:sdtEndPr>
    <w:sdtContent>
      <w:p w14:paraId="2607E8B3" w14:textId="11080A6B" w:rsidR="000C34EA" w:rsidRDefault="000C34EA">
        <w:pPr>
          <w:pStyle w:val="Footer"/>
        </w:pPr>
        <w:r>
          <w:fldChar w:fldCharType="begin"/>
        </w:r>
        <w:r>
          <w:instrText xml:space="preserve"> PAGE   \* MERGEFORMAT </w:instrText>
        </w:r>
        <w:r>
          <w:fldChar w:fldCharType="separate"/>
        </w:r>
        <w:r w:rsidR="00DC3403">
          <w:rPr>
            <w:noProof/>
          </w:rPr>
          <w:t>20</w:t>
        </w:r>
        <w:r>
          <w:rPr>
            <w:noProof/>
          </w:rPr>
          <w:fldChar w:fldCharType="end"/>
        </w:r>
      </w:p>
    </w:sdtContent>
  </w:sdt>
  <w:p w14:paraId="3B5BFC3C" w14:textId="77777777" w:rsidR="000C34EA" w:rsidRDefault="000C34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7D871" w14:textId="00A33B36" w:rsidR="000C34EA" w:rsidRDefault="000C34EA" w:rsidP="000855ED">
    <w:pPr>
      <w:pStyle w:val="Normal-pool"/>
      <w:jc w:val="right"/>
    </w:pPr>
    <w:r>
      <w:rPr>
        <w:rStyle w:val="PageNumber"/>
      </w:rPr>
      <w:fldChar w:fldCharType="begin"/>
    </w:r>
    <w:r>
      <w:rPr>
        <w:rStyle w:val="PageNumber"/>
      </w:rPr>
      <w:instrText xml:space="preserve"> PAGE </w:instrText>
    </w:r>
    <w:r>
      <w:rPr>
        <w:rStyle w:val="PageNumber"/>
      </w:rPr>
      <w:fldChar w:fldCharType="separate"/>
    </w:r>
    <w:r w:rsidR="00DC3403">
      <w:rPr>
        <w:rStyle w:val="PageNumber"/>
        <w:noProof/>
      </w:rPr>
      <w:t>19</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298441953"/>
      <w:docPartObj>
        <w:docPartGallery w:val="Page Numbers (Bottom of Page)"/>
        <w:docPartUnique/>
      </w:docPartObj>
    </w:sdtPr>
    <w:sdtEndPr>
      <w:rPr>
        <w:noProof/>
        <w:sz w:val="20"/>
        <w:szCs w:val="20"/>
      </w:rPr>
    </w:sdtEndPr>
    <w:sdtContent>
      <w:p w14:paraId="4D5DD8EC" w14:textId="7853224E" w:rsidR="000C34EA" w:rsidRPr="00681431" w:rsidRDefault="000C34EA" w:rsidP="000855ED">
        <w:pPr>
          <w:pStyle w:val="Normal-pool"/>
        </w:pPr>
        <w:r w:rsidRPr="00681431">
          <w:t>K1905054</w:t>
        </w:r>
        <w:r w:rsidRPr="00681431">
          <w:tab/>
        </w:r>
        <w:r w:rsidR="00681431" w:rsidRPr="00681431">
          <w:t>0302</w:t>
        </w:r>
        <w:r w:rsidRPr="00681431">
          <w:t>20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E45B0" w14:textId="77777777" w:rsidR="00796209" w:rsidRPr="000855ED" w:rsidRDefault="00796209" w:rsidP="00152CD3">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0855ED">
        <w:rPr>
          <w:sz w:val="18"/>
          <w:szCs w:val="18"/>
        </w:rPr>
        <w:separator/>
      </w:r>
    </w:p>
  </w:footnote>
  <w:footnote w:type="continuationSeparator" w:id="0">
    <w:p w14:paraId="794B7137" w14:textId="77777777" w:rsidR="00796209" w:rsidRDefault="00796209">
      <w:r>
        <w:continuationSeparator/>
      </w:r>
    </w:p>
  </w:footnote>
  <w:footnote w:id="1">
    <w:p w14:paraId="3AFDA117" w14:textId="77777777" w:rsidR="000C34EA" w:rsidRPr="00077B04" w:rsidRDefault="000C34EA" w:rsidP="003A0F06">
      <w:pPr>
        <w:tabs>
          <w:tab w:val="left" w:pos="624"/>
        </w:tabs>
        <w:spacing w:before="20" w:after="40"/>
        <w:ind w:left="1247"/>
        <w:rPr>
          <w:sz w:val="18"/>
          <w:szCs w:val="18"/>
        </w:rPr>
      </w:pPr>
      <w:r w:rsidRPr="00077B04">
        <w:rPr>
          <w:sz w:val="18"/>
          <w:szCs w:val="18"/>
        </w:rPr>
        <w:t>* UNEP/MC/COP.3/1.</w:t>
      </w:r>
    </w:p>
  </w:footnote>
  <w:footnote w:id="2">
    <w:p w14:paraId="22B4FED0" w14:textId="6EB4D6A5" w:rsidR="000C34EA" w:rsidRPr="00355EFB" w:rsidRDefault="000C34EA" w:rsidP="00F93F76">
      <w:pPr>
        <w:pStyle w:val="NormalNonumber"/>
        <w:tabs>
          <w:tab w:val="clear" w:pos="1247"/>
          <w:tab w:val="clear" w:pos="1814"/>
          <w:tab w:val="clear" w:pos="2381"/>
          <w:tab w:val="clear" w:pos="2948"/>
          <w:tab w:val="clear" w:pos="3515"/>
          <w:tab w:val="clear" w:pos="4082"/>
          <w:tab w:val="left" w:pos="624"/>
        </w:tabs>
        <w:spacing w:before="20" w:after="40"/>
        <w:rPr>
          <w:sz w:val="18"/>
          <w:szCs w:val="18"/>
          <w:lang w:val="fr-FR"/>
        </w:rPr>
      </w:pPr>
      <w:r w:rsidRPr="00355EFB">
        <w:rPr>
          <w:rStyle w:val="FootnoteReference"/>
          <w:sz w:val="18"/>
          <w:lang w:val="fr-FR"/>
        </w:rPr>
        <w:footnoteRef/>
      </w:r>
      <w:r w:rsidRPr="00355EFB">
        <w:rPr>
          <w:sz w:val="18"/>
          <w:szCs w:val="18"/>
          <w:lang w:val="fr-FR"/>
        </w:rPr>
        <w:t xml:space="preserve"> Voir, par exemple, la loi d’Australie-Occidentale sur les sites contaminés de 2003, partie 2, division 1, sect.11 (3), Gouvernement d’Australie-Occidentale, disponible à l’adresse suivante : </w:t>
      </w:r>
      <w:hyperlink r:id="rId1" w:history="1">
        <w:r w:rsidRPr="00355EFB">
          <w:rPr>
            <w:rStyle w:val="Hyperlink"/>
            <w:sz w:val="18"/>
            <w:szCs w:val="18"/>
          </w:rPr>
          <w:t>https://www.legislation.wa.gov.au</w:t>
        </w:r>
      </w:hyperlink>
      <w:r w:rsidRPr="00355EFB">
        <w:rPr>
          <w:sz w:val="18"/>
          <w:szCs w:val="18"/>
          <w:lang w:val="fr-FR"/>
        </w:rPr>
        <w:t>.</w:t>
      </w:r>
    </w:p>
  </w:footnote>
  <w:footnote w:id="3">
    <w:p w14:paraId="792DA3F8" w14:textId="2300CA4B" w:rsidR="000C34EA" w:rsidRPr="00355EFB" w:rsidRDefault="000C34EA" w:rsidP="00F93F76">
      <w:pPr>
        <w:pStyle w:val="NormalNonumber"/>
        <w:tabs>
          <w:tab w:val="clear" w:pos="1247"/>
          <w:tab w:val="clear" w:pos="1814"/>
          <w:tab w:val="clear" w:pos="2381"/>
          <w:tab w:val="clear" w:pos="2948"/>
          <w:tab w:val="clear" w:pos="3515"/>
          <w:tab w:val="clear" w:pos="4082"/>
          <w:tab w:val="left" w:pos="624"/>
        </w:tabs>
        <w:spacing w:before="20" w:after="40"/>
        <w:rPr>
          <w:sz w:val="18"/>
          <w:szCs w:val="18"/>
          <w:lang w:val="fr-FR"/>
        </w:rPr>
      </w:pPr>
      <w:r w:rsidRPr="00355EFB">
        <w:rPr>
          <w:rStyle w:val="FootnoteReference"/>
          <w:sz w:val="18"/>
          <w:lang w:val="fr-FR"/>
        </w:rPr>
        <w:footnoteRef/>
      </w:r>
      <w:r w:rsidRPr="00355EFB">
        <w:rPr>
          <w:sz w:val="18"/>
          <w:szCs w:val="18"/>
          <w:lang w:val="fr-FR"/>
        </w:rPr>
        <w:t xml:space="preserve"> Il convient de noter que des effets néfastes sur la santé humaine en tant qu’indicateur de la contamination d’un site seront probablement décelés uniquement dans les cas de contamination très élevée ou après que le site a été identifié comme contaminé. L’imputation d’effets sur la santé à des sites contaminés devrait être fondée sur une évaluation des sites et des informations concernant l’exposition.</w:t>
      </w:r>
    </w:p>
  </w:footnote>
  <w:footnote w:id="4">
    <w:p w14:paraId="14A02617" w14:textId="4B06E92B" w:rsidR="000C34EA" w:rsidRPr="00355EFB" w:rsidRDefault="000C34EA" w:rsidP="00F93F76">
      <w:pPr>
        <w:pStyle w:val="NormalNonumber"/>
        <w:tabs>
          <w:tab w:val="clear" w:pos="1247"/>
          <w:tab w:val="clear" w:pos="1814"/>
          <w:tab w:val="clear" w:pos="2381"/>
          <w:tab w:val="clear" w:pos="2948"/>
          <w:tab w:val="clear" w:pos="3515"/>
          <w:tab w:val="clear" w:pos="4082"/>
          <w:tab w:val="left" w:pos="624"/>
        </w:tabs>
        <w:spacing w:before="20" w:after="40"/>
        <w:rPr>
          <w:sz w:val="18"/>
          <w:szCs w:val="18"/>
          <w:lang w:val="fr-FR"/>
        </w:rPr>
      </w:pPr>
      <w:r w:rsidRPr="00355EFB">
        <w:rPr>
          <w:rStyle w:val="FootnoteReference"/>
          <w:sz w:val="18"/>
          <w:lang w:val="fr-FR"/>
        </w:rPr>
        <w:footnoteRef/>
      </w:r>
      <w:r w:rsidRPr="00355EFB">
        <w:rPr>
          <w:sz w:val="18"/>
          <w:szCs w:val="18"/>
          <w:lang w:val="fr-FR"/>
        </w:rPr>
        <w:t xml:space="preserve"> Cette juridiction permet à tout citoyen de signaler un site présumé contaminé au moyen d’un formulaire standard et étudie ensuite le site.</w:t>
      </w:r>
    </w:p>
  </w:footnote>
  <w:footnote w:id="5">
    <w:p w14:paraId="3CAF50AE" w14:textId="4CD2BC3B" w:rsidR="000C34EA" w:rsidRPr="00355EFB" w:rsidRDefault="000C34EA" w:rsidP="00075A04">
      <w:pPr>
        <w:pStyle w:val="NormalNonumber"/>
        <w:tabs>
          <w:tab w:val="clear" w:pos="1247"/>
          <w:tab w:val="clear" w:pos="1814"/>
          <w:tab w:val="clear" w:pos="2381"/>
          <w:tab w:val="clear" w:pos="2948"/>
          <w:tab w:val="clear" w:pos="3515"/>
          <w:tab w:val="clear" w:pos="4082"/>
          <w:tab w:val="left" w:pos="624"/>
        </w:tabs>
        <w:spacing w:before="20" w:after="40"/>
        <w:rPr>
          <w:sz w:val="18"/>
          <w:szCs w:val="18"/>
          <w:lang w:val="fr-FR"/>
        </w:rPr>
      </w:pPr>
      <w:r w:rsidRPr="00355EFB">
        <w:rPr>
          <w:rStyle w:val="FootnoteReference"/>
          <w:sz w:val="18"/>
          <w:lang w:val="fr-FR"/>
        </w:rPr>
        <w:footnoteRef/>
      </w:r>
      <w:r w:rsidRPr="00355EFB">
        <w:rPr>
          <w:sz w:val="18"/>
          <w:szCs w:val="18"/>
          <w:lang w:val="fr-FR"/>
        </w:rPr>
        <w:t xml:space="preserve"> Base de données des sites contaminés d’Australie-Occidentale, </w:t>
      </w:r>
      <w:hyperlink r:id="rId2" w:history="1">
        <w:r w:rsidRPr="00355EFB">
          <w:rPr>
            <w:rStyle w:val="Hyperlink"/>
            <w:sz w:val="18"/>
            <w:szCs w:val="18"/>
          </w:rPr>
          <w:t>https://dow.maps.arcgis.com/apps/webappviewer/index.html?id=c2ecb74291ae4da2ac32c441819c6d47</w:t>
        </w:r>
      </w:hyperlink>
      <w:r w:rsidRPr="00355EFB">
        <w:rPr>
          <w:sz w:val="18"/>
          <w:szCs w:val="18"/>
          <w:lang w:val="fr-FR"/>
        </w:rPr>
        <w:t>.</w:t>
      </w:r>
    </w:p>
  </w:footnote>
  <w:footnote w:id="6">
    <w:p w14:paraId="1F39CE32" w14:textId="76515D96" w:rsidR="000C34EA" w:rsidRPr="00355EFB" w:rsidRDefault="000C34EA" w:rsidP="00F93F76">
      <w:pPr>
        <w:pStyle w:val="NormalNonumber"/>
        <w:tabs>
          <w:tab w:val="clear" w:pos="1247"/>
          <w:tab w:val="clear" w:pos="1814"/>
          <w:tab w:val="clear" w:pos="2381"/>
          <w:tab w:val="clear" w:pos="2948"/>
          <w:tab w:val="clear" w:pos="3515"/>
          <w:tab w:val="clear" w:pos="4082"/>
          <w:tab w:val="left" w:pos="624"/>
        </w:tabs>
        <w:spacing w:before="20" w:after="40"/>
        <w:rPr>
          <w:sz w:val="18"/>
          <w:szCs w:val="18"/>
          <w:lang w:val="fr-FR"/>
        </w:rPr>
      </w:pPr>
      <w:r w:rsidRPr="00355EFB">
        <w:rPr>
          <w:rStyle w:val="FootnoteReference"/>
          <w:sz w:val="18"/>
          <w:lang w:val="fr-FR"/>
        </w:rPr>
        <w:footnoteRef/>
      </w:r>
      <w:r w:rsidRPr="00355EFB">
        <w:rPr>
          <w:sz w:val="18"/>
          <w:szCs w:val="18"/>
          <w:lang w:val="fr-FR"/>
        </w:rPr>
        <w:t xml:space="preserve"> Certains pays ont établi des valeurs de déclenchement pour l’évaluation initiale. Le Royaume-Uni a fixé des concentrations de 1 partie par million pour le mercure élémentaire dans le sol et de 11 parties par million pour le </w:t>
      </w:r>
      <w:proofErr w:type="spellStart"/>
      <w:r w:rsidRPr="00355EFB">
        <w:rPr>
          <w:sz w:val="18"/>
          <w:szCs w:val="18"/>
          <w:lang w:val="fr-FR"/>
        </w:rPr>
        <w:t>méthylmercure</w:t>
      </w:r>
      <w:proofErr w:type="spellEnd"/>
      <w:r w:rsidRPr="00355EFB">
        <w:rPr>
          <w:sz w:val="18"/>
          <w:szCs w:val="18"/>
          <w:lang w:val="fr-FR"/>
        </w:rPr>
        <w:t xml:space="preserve"> (</w:t>
      </w:r>
      <w:proofErr w:type="spellStart"/>
      <w:r w:rsidRPr="00355EFB">
        <w:rPr>
          <w:sz w:val="18"/>
          <w:szCs w:val="18"/>
          <w:lang w:val="fr-FR"/>
        </w:rPr>
        <w:t>Environment</w:t>
      </w:r>
      <w:proofErr w:type="spellEnd"/>
      <w:r w:rsidRPr="00355EFB">
        <w:rPr>
          <w:sz w:val="18"/>
          <w:szCs w:val="18"/>
          <w:lang w:val="fr-FR"/>
        </w:rPr>
        <w:t xml:space="preserve"> Agency, 2009). Les directives nationales australiennes pour les sites contaminés (NEPC, 1999) indiquent, aux fins de l’évaluation initiale, des concentrations de 10 parties par million de </w:t>
      </w:r>
      <w:proofErr w:type="spellStart"/>
      <w:r w:rsidRPr="00355EFB">
        <w:rPr>
          <w:sz w:val="18"/>
          <w:szCs w:val="18"/>
          <w:lang w:val="fr-FR"/>
        </w:rPr>
        <w:t>méthylmercure</w:t>
      </w:r>
      <w:proofErr w:type="spellEnd"/>
      <w:r w:rsidRPr="00355EFB">
        <w:rPr>
          <w:sz w:val="18"/>
          <w:szCs w:val="18"/>
          <w:lang w:val="fr-FR"/>
        </w:rPr>
        <w:t xml:space="preserve"> et de 15 parties par million de mercure élémentaire pour les bâtiments résidentiels.</w:t>
      </w:r>
    </w:p>
  </w:footnote>
  <w:footnote w:id="7">
    <w:p w14:paraId="07A827A3" w14:textId="7FC57D97" w:rsidR="000C34EA" w:rsidRPr="00355EFB" w:rsidRDefault="000C34EA" w:rsidP="00F93F76">
      <w:pPr>
        <w:pStyle w:val="NormalNonumber"/>
        <w:tabs>
          <w:tab w:val="clear" w:pos="1247"/>
          <w:tab w:val="clear" w:pos="1814"/>
          <w:tab w:val="clear" w:pos="2381"/>
          <w:tab w:val="clear" w:pos="2948"/>
          <w:tab w:val="clear" w:pos="3515"/>
          <w:tab w:val="clear" w:pos="4082"/>
          <w:tab w:val="left" w:pos="624"/>
        </w:tabs>
        <w:spacing w:before="20" w:after="40"/>
        <w:rPr>
          <w:sz w:val="18"/>
          <w:szCs w:val="18"/>
          <w:lang w:val="fr-FR"/>
        </w:rPr>
      </w:pPr>
      <w:r w:rsidRPr="00355EFB">
        <w:rPr>
          <w:rStyle w:val="FootnoteReference"/>
          <w:sz w:val="18"/>
          <w:lang w:val="fr-FR"/>
        </w:rPr>
        <w:footnoteRef/>
      </w:r>
      <w:r w:rsidRPr="00355EFB">
        <w:rPr>
          <w:sz w:val="18"/>
          <w:szCs w:val="18"/>
          <w:lang w:val="fr-FR"/>
        </w:rPr>
        <w:t xml:space="preserve"> ISO 21365 (2018). Qualité du sol - Schémas conceptuels de sites pour les sites potentiellement pollués.</w:t>
      </w:r>
    </w:p>
  </w:footnote>
  <w:footnote w:id="8">
    <w:p w14:paraId="59055907" w14:textId="1761B5BF" w:rsidR="000C34EA" w:rsidRPr="00AE7D3C" w:rsidRDefault="000C34EA" w:rsidP="00F93F76">
      <w:pPr>
        <w:pStyle w:val="NormalNonumber"/>
        <w:tabs>
          <w:tab w:val="clear" w:pos="1247"/>
          <w:tab w:val="clear" w:pos="1814"/>
          <w:tab w:val="clear" w:pos="2381"/>
          <w:tab w:val="clear" w:pos="2948"/>
          <w:tab w:val="clear" w:pos="3515"/>
          <w:tab w:val="clear" w:pos="4082"/>
          <w:tab w:val="left" w:pos="624"/>
        </w:tabs>
        <w:spacing w:before="20" w:after="40"/>
        <w:rPr>
          <w:sz w:val="18"/>
          <w:szCs w:val="18"/>
          <w:lang w:val="fr-FR"/>
        </w:rPr>
      </w:pPr>
      <w:r w:rsidRPr="00355EFB">
        <w:rPr>
          <w:rStyle w:val="FootnoteReference"/>
          <w:sz w:val="18"/>
          <w:lang w:val="fr-FR"/>
        </w:rPr>
        <w:footnoteRef/>
      </w:r>
      <w:r w:rsidRPr="00355EFB">
        <w:rPr>
          <w:sz w:val="18"/>
          <w:szCs w:val="18"/>
          <w:lang w:val="fr-FR"/>
        </w:rPr>
        <w:t xml:space="preserve"> Santé Canada a également mis en place un outil pour l’élaboration systématique d’un modèle conceptuel de site. Cet outil est disponible sur demande auprès de la Division des lieux contaminés de Santé Canada, à l’adresse suivante : </w:t>
      </w:r>
      <w:hyperlink r:id="rId3" w:history="1">
        <w:r w:rsidRPr="00355EFB">
          <w:rPr>
            <w:rStyle w:val="Hyperlink"/>
            <w:sz w:val="18"/>
            <w:szCs w:val="18"/>
          </w:rPr>
          <w:t>https://www.canada.ca/fr/sante-canada/organisation/contactez-nous/division-lieux-contamines.html</w:t>
        </w:r>
      </w:hyperlink>
      <w:r w:rsidRPr="00355EFB">
        <w:rPr>
          <w:sz w:val="18"/>
          <w:szCs w:val="18"/>
          <w:lang w:val="fr-FR"/>
        </w:rPr>
        <w:t>.</w:t>
      </w:r>
    </w:p>
  </w:footnote>
  <w:footnote w:id="9">
    <w:p w14:paraId="3D353FF4" w14:textId="35367A35" w:rsidR="000C34EA" w:rsidRPr="00AE7D3C" w:rsidRDefault="000C34EA" w:rsidP="00F93F76">
      <w:pPr>
        <w:pStyle w:val="NormalNonumber"/>
        <w:tabs>
          <w:tab w:val="clear" w:pos="1247"/>
          <w:tab w:val="clear" w:pos="1814"/>
          <w:tab w:val="clear" w:pos="2381"/>
          <w:tab w:val="clear" w:pos="2948"/>
          <w:tab w:val="clear" w:pos="3515"/>
          <w:tab w:val="clear" w:pos="4082"/>
          <w:tab w:val="left" w:pos="624"/>
        </w:tabs>
        <w:spacing w:before="20" w:after="40"/>
        <w:rPr>
          <w:szCs w:val="18"/>
          <w:lang w:val="fr-FR"/>
        </w:rPr>
      </w:pPr>
      <w:r w:rsidRPr="00AE7D3C">
        <w:rPr>
          <w:rStyle w:val="FootnoteReference"/>
          <w:sz w:val="18"/>
          <w:lang w:val="fr-FR"/>
        </w:rPr>
        <w:footnoteRef/>
      </w:r>
      <w:r w:rsidRPr="00AE7D3C">
        <w:rPr>
          <w:sz w:val="18"/>
          <w:szCs w:val="18"/>
          <w:lang w:val="fr-FR"/>
        </w:rPr>
        <w:t xml:space="preserve"> </w:t>
      </w:r>
      <w:r>
        <w:rPr>
          <w:sz w:val="18"/>
          <w:szCs w:val="18"/>
          <w:lang w:val="fr-FR"/>
        </w:rPr>
        <w:t>Voir, p</w:t>
      </w:r>
      <w:r w:rsidRPr="00AE7D3C">
        <w:rPr>
          <w:sz w:val="18"/>
          <w:szCs w:val="18"/>
          <w:lang w:val="fr-FR"/>
        </w:rPr>
        <w:t>ar exemple</w:t>
      </w:r>
      <w:r>
        <w:rPr>
          <w:sz w:val="18"/>
          <w:szCs w:val="18"/>
          <w:lang w:val="fr-FR"/>
        </w:rPr>
        <w:t> :</w:t>
      </w:r>
      <w:r w:rsidRPr="00AE7D3C">
        <w:rPr>
          <w:sz w:val="18"/>
          <w:szCs w:val="18"/>
          <w:lang w:val="fr-FR"/>
        </w:rPr>
        <w:t xml:space="preserve"> Agence de protection de l</w:t>
      </w:r>
      <w:r>
        <w:rPr>
          <w:sz w:val="18"/>
          <w:szCs w:val="18"/>
          <w:lang w:val="fr-FR"/>
        </w:rPr>
        <w:t>’</w:t>
      </w:r>
      <w:r w:rsidRPr="00AE7D3C">
        <w:rPr>
          <w:sz w:val="18"/>
          <w:szCs w:val="18"/>
          <w:lang w:val="fr-FR"/>
        </w:rPr>
        <w:t xml:space="preserve">environnement des États-Unis, Méthode 1669 « Sampling Ambient Water for Trace </w:t>
      </w:r>
      <w:proofErr w:type="spellStart"/>
      <w:r w:rsidRPr="00AE7D3C">
        <w:rPr>
          <w:sz w:val="18"/>
          <w:szCs w:val="18"/>
          <w:lang w:val="fr-FR"/>
        </w:rPr>
        <w:t>Metals</w:t>
      </w:r>
      <w:proofErr w:type="spellEnd"/>
      <w:r w:rsidRPr="00AE7D3C">
        <w:rPr>
          <w:sz w:val="18"/>
          <w:szCs w:val="18"/>
          <w:lang w:val="fr-FR"/>
        </w:rPr>
        <w:t xml:space="preserve"> at EPA Water </w:t>
      </w:r>
      <w:proofErr w:type="spellStart"/>
      <w:r w:rsidRPr="00AE7D3C">
        <w:rPr>
          <w:sz w:val="18"/>
          <w:szCs w:val="18"/>
          <w:lang w:val="fr-FR"/>
        </w:rPr>
        <w:t>Quality</w:t>
      </w:r>
      <w:proofErr w:type="spellEnd"/>
      <w:r w:rsidRPr="00AE7D3C">
        <w:rPr>
          <w:sz w:val="18"/>
          <w:szCs w:val="18"/>
          <w:lang w:val="fr-FR"/>
        </w:rPr>
        <w:t xml:space="preserve"> </w:t>
      </w:r>
      <w:proofErr w:type="spellStart"/>
      <w:r w:rsidRPr="00AE7D3C">
        <w:rPr>
          <w:sz w:val="18"/>
          <w:szCs w:val="18"/>
          <w:lang w:val="fr-FR"/>
        </w:rPr>
        <w:t>Criteria</w:t>
      </w:r>
      <w:proofErr w:type="spellEnd"/>
      <w:r w:rsidRPr="00AE7D3C">
        <w:rPr>
          <w:sz w:val="18"/>
          <w:szCs w:val="18"/>
          <w:lang w:val="fr-FR"/>
        </w:rPr>
        <w:t xml:space="preserve"> Levels » (Échantillonnage de l</w:t>
      </w:r>
      <w:r>
        <w:rPr>
          <w:sz w:val="18"/>
          <w:szCs w:val="18"/>
          <w:lang w:val="fr-FR"/>
        </w:rPr>
        <w:t>’</w:t>
      </w:r>
      <w:r w:rsidRPr="00AE7D3C">
        <w:rPr>
          <w:sz w:val="18"/>
          <w:szCs w:val="18"/>
          <w:lang w:val="fr-FR"/>
        </w:rPr>
        <w:t>eau ambiante pour les métaux traces selon les critères fixés par l</w:t>
      </w:r>
      <w:r>
        <w:rPr>
          <w:sz w:val="18"/>
          <w:szCs w:val="18"/>
          <w:lang w:val="fr-FR"/>
        </w:rPr>
        <w:t>’</w:t>
      </w:r>
      <w:r w:rsidRPr="00AE7D3C">
        <w:rPr>
          <w:sz w:val="18"/>
          <w:szCs w:val="18"/>
          <w:lang w:val="fr-FR"/>
        </w:rPr>
        <w:t>Agence de protection de l</w:t>
      </w:r>
      <w:r>
        <w:rPr>
          <w:sz w:val="18"/>
          <w:szCs w:val="18"/>
          <w:lang w:val="fr-FR"/>
        </w:rPr>
        <w:t>’</w:t>
      </w:r>
      <w:r w:rsidRPr="00AE7D3C">
        <w:rPr>
          <w:sz w:val="18"/>
          <w:szCs w:val="18"/>
          <w:lang w:val="fr-FR"/>
        </w:rPr>
        <w:t>environnement pour la qualité de l</w:t>
      </w:r>
      <w:r>
        <w:rPr>
          <w:sz w:val="18"/>
          <w:szCs w:val="18"/>
          <w:lang w:val="fr-FR"/>
        </w:rPr>
        <w:t>’</w:t>
      </w:r>
      <w:r w:rsidRPr="00AE7D3C">
        <w:rPr>
          <w:sz w:val="18"/>
          <w:szCs w:val="18"/>
          <w:lang w:val="fr-FR"/>
        </w:rPr>
        <w:t>eau)</w:t>
      </w:r>
      <w:r>
        <w:rPr>
          <w:sz w:val="18"/>
          <w:szCs w:val="18"/>
          <w:lang w:val="fr-FR"/>
        </w:rPr>
        <w:t> ;</w:t>
      </w:r>
      <w:r w:rsidRPr="00AE7D3C">
        <w:rPr>
          <w:sz w:val="18"/>
          <w:szCs w:val="18"/>
          <w:lang w:val="fr-FR"/>
        </w:rPr>
        <w:t xml:space="preserve"> Méthode 1630 « </w:t>
      </w:r>
      <w:proofErr w:type="spellStart"/>
      <w:r w:rsidRPr="00AE7D3C">
        <w:rPr>
          <w:sz w:val="18"/>
          <w:szCs w:val="18"/>
          <w:lang w:val="fr-FR"/>
        </w:rPr>
        <w:t>Methyl</w:t>
      </w:r>
      <w:proofErr w:type="spellEnd"/>
      <w:r w:rsidRPr="00AE7D3C">
        <w:rPr>
          <w:sz w:val="18"/>
          <w:szCs w:val="18"/>
          <w:lang w:val="fr-FR"/>
        </w:rPr>
        <w:t xml:space="preserve"> Mercury in Water by Distillation, </w:t>
      </w:r>
      <w:proofErr w:type="spellStart"/>
      <w:r w:rsidRPr="00AE7D3C">
        <w:rPr>
          <w:sz w:val="18"/>
          <w:szCs w:val="18"/>
          <w:lang w:val="fr-FR"/>
        </w:rPr>
        <w:t>Aqueous</w:t>
      </w:r>
      <w:proofErr w:type="spellEnd"/>
      <w:r w:rsidRPr="00AE7D3C">
        <w:rPr>
          <w:sz w:val="18"/>
          <w:szCs w:val="18"/>
          <w:lang w:val="fr-FR"/>
        </w:rPr>
        <w:t xml:space="preserve"> </w:t>
      </w:r>
      <w:proofErr w:type="spellStart"/>
      <w:r w:rsidRPr="00AE7D3C">
        <w:rPr>
          <w:sz w:val="18"/>
          <w:szCs w:val="18"/>
          <w:lang w:val="fr-FR"/>
        </w:rPr>
        <w:t>Ethylation</w:t>
      </w:r>
      <w:proofErr w:type="spellEnd"/>
      <w:r w:rsidRPr="00AE7D3C">
        <w:rPr>
          <w:sz w:val="18"/>
          <w:szCs w:val="18"/>
          <w:lang w:val="fr-FR"/>
        </w:rPr>
        <w:t xml:space="preserve">, Purge and </w:t>
      </w:r>
      <w:proofErr w:type="spellStart"/>
      <w:r w:rsidRPr="00AE7D3C">
        <w:rPr>
          <w:sz w:val="18"/>
          <w:szCs w:val="18"/>
          <w:lang w:val="fr-FR"/>
        </w:rPr>
        <w:t>Trap</w:t>
      </w:r>
      <w:proofErr w:type="spellEnd"/>
      <w:r w:rsidRPr="00AE7D3C">
        <w:rPr>
          <w:sz w:val="18"/>
          <w:szCs w:val="18"/>
          <w:lang w:val="fr-FR"/>
        </w:rPr>
        <w:t xml:space="preserve">, and Cold </w:t>
      </w:r>
      <w:proofErr w:type="spellStart"/>
      <w:r w:rsidRPr="00AE7D3C">
        <w:rPr>
          <w:sz w:val="18"/>
          <w:szCs w:val="18"/>
          <w:lang w:val="fr-FR"/>
        </w:rPr>
        <w:t>Vapor</w:t>
      </w:r>
      <w:proofErr w:type="spellEnd"/>
      <w:r w:rsidRPr="00AE7D3C">
        <w:rPr>
          <w:sz w:val="18"/>
          <w:szCs w:val="18"/>
          <w:lang w:val="fr-FR"/>
        </w:rPr>
        <w:t xml:space="preserve"> Atomic Fluorescence </w:t>
      </w:r>
      <w:proofErr w:type="spellStart"/>
      <w:r w:rsidRPr="00AE7D3C">
        <w:rPr>
          <w:sz w:val="18"/>
          <w:szCs w:val="18"/>
          <w:lang w:val="fr-FR"/>
        </w:rPr>
        <w:t>Spectrometry</w:t>
      </w:r>
      <w:proofErr w:type="spellEnd"/>
      <w:r w:rsidRPr="00AE7D3C">
        <w:rPr>
          <w:sz w:val="18"/>
          <w:szCs w:val="18"/>
          <w:lang w:val="fr-FR"/>
        </w:rPr>
        <w:t> » (</w:t>
      </w:r>
      <w:proofErr w:type="spellStart"/>
      <w:r w:rsidRPr="00AE7D3C">
        <w:rPr>
          <w:sz w:val="18"/>
          <w:szCs w:val="18"/>
          <w:lang w:val="fr-FR"/>
        </w:rPr>
        <w:t>Méthylmercure</w:t>
      </w:r>
      <w:proofErr w:type="spellEnd"/>
      <w:r w:rsidRPr="00AE7D3C">
        <w:rPr>
          <w:sz w:val="18"/>
          <w:szCs w:val="18"/>
          <w:lang w:val="fr-FR"/>
        </w:rPr>
        <w:t xml:space="preserve"> dans l</w:t>
      </w:r>
      <w:r>
        <w:rPr>
          <w:sz w:val="18"/>
          <w:szCs w:val="18"/>
          <w:lang w:val="fr-FR"/>
        </w:rPr>
        <w:t>’</w:t>
      </w:r>
      <w:r w:rsidRPr="00AE7D3C">
        <w:rPr>
          <w:sz w:val="18"/>
          <w:szCs w:val="18"/>
          <w:lang w:val="fr-FR"/>
        </w:rPr>
        <w:t xml:space="preserve">eau par distillation, </w:t>
      </w:r>
      <w:proofErr w:type="spellStart"/>
      <w:r w:rsidRPr="00AE7D3C">
        <w:rPr>
          <w:sz w:val="18"/>
          <w:szCs w:val="18"/>
          <w:lang w:val="fr-FR"/>
        </w:rPr>
        <w:t>éthylation</w:t>
      </w:r>
      <w:proofErr w:type="spellEnd"/>
      <w:r w:rsidRPr="00AE7D3C">
        <w:rPr>
          <w:sz w:val="18"/>
          <w:szCs w:val="18"/>
          <w:lang w:val="fr-FR"/>
        </w:rPr>
        <w:t xml:space="preserve"> aqueuse, purge et piégeage, et spectroscopie de fluorescence atomique par vapeur froide)</w:t>
      </w:r>
      <w:r>
        <w:rPr>
          <w:sz w:val="18"/>
          <w:szCs w:val="18"/>
          <w:lang w:val="fr-FR"/>
        </w:rPr>
        <w:t> ;</w:t>
      </w:r>
      <w:r w:rsidRPr="00AE7D3C">
        <w:rPr>
          <w:sz w:val="18"/>
          <w:szCs w:val="18"/>
          <w:lang w:val="fr-FR"/>
        </w:rPr>
        <w:t xml:space="preserve"> Méthode 1631 « Mercury in Water by </w:t>
      </w:r>
      <w:proofErr w:type="spellStart"/>
      <w:r w:rsidRPr="00AE7D3C">
        <w:rPr>
          <w:sz w:val="18"/>
          <w:szCs w:val="18"/>
          <w:lang w:val="fr-FR"/>
        </w:rPr>
        <w:t>Oxidation</w:t>
      </w:r>
      <w:proofErr w:type="spellEnd"/>
      <w:r w:rsidRPr="00AE7D3C">
        <w:rPr>
          <w:sz w:val="18"/>
          <w:szCs w:val="18"/>
          <w:lang w:val="fr-FR"/>
        </w:rPr>
        <w:t xml:space="preserve">, Purge and </w:t>
      </w:r>
      <w:proofErr w:type="spellStart"/>
      <w:r w:rsidRPr="00AE7D3C">
        <w:rPr>
          <w:sz w:val="18"/>
          <w:szCs w:val="18"/>
          <w:lang w:val="fr-FR"/>
        </w:rPr>
        <w:t>Trap</w:t>
      </w:r>
      <w:proofErr w:type="spellEnd"/>
      <w:r w:rsidRPr="00AE7D3C">
        <w:rPr>
          <w:sz w:val="18"/>
          <w:szCs w:val="18"/>
          <w:lang w:val="fr-FR"/>
        </w:rPr>
        <w:t xml:space="preserve">, and Cold </w:t>
      </w:r>
      <w:proofErr w:type="spellStart"/>
      <w:r w:rsidRPr="00AE7D3C">
        <w:rPr>
          <w:sz w:val="18"/>
          <w:szCs w:val="18"/>
          <w:lang w:val="fr-FR"/>
        </w:rPr>
        <w:t>Vapor</w:t>
      </w:r>
      <w:proofErr w:type="spellEnd"/>
      <w:r w:rsidRPr="00AE7D3C">
        <w:rPr>
          <w:sz w:val="18"/>
          <w:szCs w:val="18"/>
          <w:lang w:val="fr-FR"/>
        </w:rPr>
        <w:t xml:space="preserve"> Atomic Fluorescence </w:t>
      </w:r>
      <w:proofErr w:type="spellStart"/>
      <w:r w:rsidRPr="00AE7D3C">
        <w:rPr>
          <w:sz w:val="18"/>
          <w:szCs w:val="18"/>
          <w:lang w:val="fr-FR"/>
        </w:rPr>
        <w:t>Spectrometry</w:t>
      </w:r>
      <w:proofErr w:type="spellEnd"/>
      <w:r w:rsidRPr="00AE7D3C">
        <w:rPr>
          <w:sz w:val="18"/>
          <w:szCs w:val="18"/>
          <w:lang w:val="fr-FR"/>
        </w:rPr>
        <w:t> » (Mercure dans l</w:t>
      </w:r>
      <w:r>
        <w:rPr>
          <w:sz w:val="18"/>
          <w:szCs w:val="18"/>
          <w:lang w:val="fr-FR"/>
        </w:rPr>
        <w:t>’</w:t>
      </w:r>
      <w:r w:rsidRPr="00AE7D3C">
        <w:rPr>
          <w:sz w:val="18"/>
          <w:szCs w:val="18"/>
          <w:lang w:val="fr-FR"/>
        </w:rPr>
        <w:t>eau par oxydation, purge et piégeage, et spectroscopie de fluorescence atomique par vapeur froide)</w:t>
      </w:r>
      <w:r>
        <w:rPr>
          <w:sz w:val="18"/>
          <w:szCs w:val="18"/>
          <w:lang w:val="fr-FR"/>
        </w:rPr>
        <w:t> ;</w:t>
      </w:r>
      <w:r w:rsidRPr="00AE7D3C">
        <w:rPr>
          <w:sz w:val="18"/>
          <w:szCs w:val="18"/>
          <w:lang w:val="fr-FR"/>
        </w:rPr>
        <w:t xml:space="preserve"> et Méthode 7473 « Mercury in </w:t>
      </w:r>
      <w:proofErr w:type="spellStart"/>
      <w:r w:rsidRPr="00AE7D3C">
        <w:rPr>
          <w:sz w:val="18"/>
          <w:szCs w:val="18"/>
          <w:lang w:val="fr-FR"/>
        </w:rPr>
        <w:t>Solids</w:t>
      </w:r>
      <w:proofErr w:type="spellEnd"/>
      <w:r w:rsidRPr="00AE7D3C">
        <w:rPr>
          <w:sz w:val="18"/>
          <w:szCs w:val="18"/>
          <w:lang w:val="fr-FR"/>
        </w:rPr>
        <w:t xml:space="preserve"> and Solutions by Thermal </w:t>
      </w:r>
      <w:proofErr w:type="spellStart"/>
      <w:r w:rsidRPr="00AE7D3C">
        <w:rPr>
          <w:sz w:val="18"/>
          <w:szCs w:val="18"/>
          <w:lang w:val="fr-FR"/>
        </w:rPr>
        <w:t>Decomposition</w:t>
      </w:r>
      <w:proofErr w:type="spellEnd"/>
      <w:r w:rsidRPr="00AE7D3C">
        <w:rPr>
          <w:sz w:val="18"/>
          <w:szCs w:val="18"/>
          <w:lang w:val="fr-FR"/>
        </w:rPr>
        <w:t xml:space="preserve">, Amalgamation and Atomic Absorption </w:t>
      </w:r>
      <w:proofErr w:type="spellStart"/>
      <w:r w:rsidRPr="00AE7D3C">
        <w:rPr>
          <w:sz w:val="18"/>
          <w:szCs w:val="18"/>
          <w:lang w:val="fr-FR"/>
        </w:rPr>
        <w:t>Spectrophotometry</w:t>
      </w:r>
      <w:proofErr w:type="spellEnd"/>
      <w:r w:rsidRPr="00AE7D3C">
        <w:rPr>
          <w:sz w:val="18"/>
          <w:szCs w:val="18"/>
          <w:lang w:val="fr-FR"/>
        </w:rPr>
        <w:t> » (Mercure dans les solides et les solutions par décomposition thermale, amalgamation et spectrophotométrie d</w:t>
      </w:r>
      <w:r>
        <w:rPr>
          <w:sz w:val="18"/>
          <w:szCs w:val="18"/>
          <w:lang w:val="fr-FR"/>
        </w:rPr>
        <w:t>’</w:t>
      </w:r>
      <w:r w:rsidRPr="00AE7D3C">
        <w:rPr>
          <w:sz w:val="18"/>
          <w:szCs w:val="18"/>
          <w:lang w:val="fr-FR"/>
        </w:rPr>
        <w:t>absorption atomique).</w:t>
      </w:r>
    </w:p>
  </w:footnote>
  <w:footnote w:id="10">
    <w:p w14:paraId="5385433E" w14:textId="3C40C99F" w:rsidR="000C34EA" w:rsidRPr="00355EFB" w:rsidRDefault="000C34EA">
      <w:pPr>
        <w:pStyle w:val="FootnoteText"/>
        <w:rPr>
          <w:szCs w:val="18"/>
          <w:lang w:val="fr-FR"/>
        </w:rPr>
      </w:pPr>
      <w:r w:rsidRPr="00355EFB">
        <w:rPr>
          <w:rStyle w:val="FootnoteReference"/>
          <w:sz w:val="18"/>
        </w:rPr>
        <w:footnoteRef/>
      </w:r>
      <w:r w:rsidRPr="00355EFB">
        <w:rPr>
          <w:szCs w:val="18"/>
        </w:rPr>
        <w:t xml:space="preserve"> </w:t>
      </w:r>
      <w:r w:rsidRPr="00355EFB">
        <w:rPr>
          <w:szCs w:val="18"/>
          <w:lang w:val="fr-FR"/>
        </w:rPr>
        <w:t>La gestion durable des risques signifie « [l</w:t>
      </w:r>
      <w:proofErr w:type="gramStart"/>
      <w:r w:rsidRPr="00355EFB">
        <w:rPr>
          <w:szCs w:val="18"/>
          <w:lang w:val="fr-FR"/>
        </w:rPr>
        <w:t>’]élimination</w:t>
      </w:r>
      <w:proofErr w:type="gramEnd"/>
      <w:r w:rsidRPr="00355EFB">
        <w:rPr>
          <w:szCs w:val="18"/>
          <w:lang w:val="fr-FR"/>
        </w:rPr>
        <w:t xml:space="preserve"> et/ou [la] maîtrise des risques inacceptables de manière sûre et en temps raisonnable tout en optimisant la valeur environnementale, sociale et économique des actions de remédiation » [ISO18504:2017(</w:t>
      </w:r>
      <w:proofErr w:type="spellStart"/>
      <w:r w:rsidRPr="00355EFB">
        <w:rPr>
          <w:szCs w:val="18"/>
          <w:lang w:val="fr-FR"/>
        </w:rPr>
        <w:t>fr</w:t>
      </w:r>
      <w:proofErr w:type="spellEnd"/>
      <w:r w:rsidRPr="00355EFB">
        <w:rPr>
          <w:szCs w:val="18"/>
          <w:lang w:val="fr-FR"/>
        </w:rPr>
        <w:t>)].</w:t>
      </w:r>
    </w:p>
  </w:footnote>
  <w:footnote w:id="11">
    <w:p w14:paraId="3EE34863" w14:textId="5A7111E8" w:rsidR="000C34EA" w:rsidRPr="00355EFB" w:rsidRDefault="000C34EA" w:rsidP="00F93F76">
      <w:pPr>
        <w:pStyle w:val="NormalNonumber"/>
        <w:tabs>
          <w:tab w:val="clear" w:pos="1247"/>
          <w:tab w:val="clear" w:pos="1814"/>
          <w:tab w:val="clear" w:pos="2381"/>
          <w:tab w:val="clear" w:pos="2948"/>
          <w:tab w:val="clear" w:pos="3515"/>
          <w:tab w:val="clear" w:pos="4082"/>
          <w:tab w:val="left" w:pos="624"/>
        </w:tabs>
        <w:spacing w:before="20" w:after="40"/>
        <w:rPr>
          <w:sz w:val="18"/>
          <w:szCs w:val="18"/>
          <w:lang w:val="fr-FR"/>
        </w:rPr>
      </w:pPr>
      <w:r w:rsidRPr="00355EFB">
        <w:rPr>
          <w:rStyle w:val="FootnoteReference"/>
          <w:sz w:val="18"/>
          <w:lang w:val="fr-FR"/>
        </w:rPr>
        <w:footnoteRef/>
      </w:r>
      <w:r w:rsidRPr="00355EFB">
        <w:rPr>
          <w:sz w:val="18"/>
          <w:szCs w:val="18"/>
          <w:lang w:val="fr-FR"/>
        </w:rPr>
        <w:t xml:space="preserve"> Voir par exemple : États-Unis (https://www.fda.gov/food/metals/mercury-concentrations-fish-fda-monitoring-program-1990-2010 et https://www.fda.gov/food/consumers/advice-about-eating-fish), Canada (</w:t>
      </w:r>
      <w:hyperlink r:id="rId4" w:history="1">
        <w:r w:rsidRPr="00355EFB">
          <w:rPr>
            <w:rStyle w:val="Hyperlink"/>
            <w:sz w:val="18"/>
            <w:szCs w:val="18"/>
          </w:rPr>
          <w:t>http://ec.gc.ca/mercure-mercury/default.asp?lang=Fr&amp;n=DCBE5083-97AD-4C62-8862</w:t>
        </w:r>
      </w:hyperlink>
      <w:r w:rsidRPr="00355EFB">
        <w:rPr>
          <w:sz w:val="18"/>
          <w:szCs w:val="18"/>
          <w:lang w:val="fr-FR"/>
        </w:rPr>
        <w:t>) et Agence de santé de Guyane (http://gps.gf/doc/catalogue/301/mercure-dans-les-poissons-et-grossesse-fleuves-de-guyane/).</w:t>
      </w:r>
    </w:p>
  </w:footnote>
  <w:footnote w:id="12">
    <w:p w14:paraId="563DA964" w14:textId="11F3DFCE" w:rsidR="000C34EA" w:rsidRPr="00355EFB" w:rsidRDefault="000C34EA" w:rsidP="00F93F76">
      <w:pPr>
        <w:pStyle w:val="NormalNonumber"/>
        <w:tabs>
          <w:tab w:val="clear" w:pos="1247"/>
          <w:tab w:val="clear" w:pos="1814"/>
          <w:tab w:val="clear" w:pos="2381"/>
          <w:tab w:val="clear" w:pos="2948"/>
          <w:tab w:val="clear" w:pos="3515"/>
          <w:tab w:val="clear" w:pos="4082"/>
          <w:tab w:val="left" w:pos="624"/>
        </w:tabs>
        <w:spacing w:before="20" w:after="40"/>
        <w:rPr>
          <w:sz w:val="18"/>
          <w:szCs w:val="18"/>
          <w:lang w:val="fr-FR"/>
        </w:rPr>
      </w:pPr>
      <w:r w:rsidRPr="00355EFB">
        <w:rPr>
          <w:rStyle w:val="FootnoteReference"/>
          <w:sz w:val="18"/>
          <w:lang w:val="fr-FR"/>
        </w:rPr>
        <w:footnoteRef/>
      </w:r>
      <w:r w:rsidRPr="00355EFB">
        <w:rPr>
          <w:sz w:val="18"/>
          <w:szCs w:val="18"/>
          <w:lang w:val="fr-FR"/>
        </w:rPr>
        <w:t xml:space="preserve"> Le réseau NICOLE (2015) présente plusieurs études de cas et un résumé d’approches de remise en état appliquées à des sites touchés par du mercure. Il existe également des sites Web qui fournissent des orientations pour la sélection de techniques de remise en état. Veuillez consulter l’outil interactif de pré-sélection des techniques de dépollution de l’Agence de l’environnement et de la maîtrise de l’énergie et du Bureau de recherches géologiques et minières (</w:t>
      </w:r>
      <w:hyperlink r:id="rId5" w:history="1">
        <w:r w:rsidRPr="00355EFB">
          <w:rPr>
            <w:rStyle w:val="Hyperlink"/>
            <w:sz w:val="18"/>
            <w:szCs w:val="18"/>
          </w:rPr>
          <w:t>http://www.selecdepol.fr/</w:t>
        </w:r>
      </w:hyperlink>
      <w:r w:rsidRPr="00355EFB">
        <w:rPr>
          <w:sz w:val="18"/>
          <w:szCs w:val="18"/>
          <w:lang w:val="fr-FR"/>
        </w:rPr>
        <w:t xml:space="preserve">) ainsi que le Guide d’orientation pour la sélection de technologies de décontamination du Gouvernement </w:t>
      </w:r>
      <w:r>
        <w:rPr>
          <w:sz w:val="18"/>
          <w:szCs w:val="18"/>
          <w:lang w:val="fr-FR"/>
        </w:rPr>
        <w:t>c</w:t>
      </w:r>
      <w:r w:rsidRPr="00355EFB">
        <w:rPr>
          <w:sz w:val="18"/>
          <w:szCs w:val="18"/>
          <w:lang w:val="fr-FR"/>
        </w:rPr>
        <w:t>anad</w:t>
      </w:r>
      <w:r>
        <w:rPr>
          <w:sz w:val="18"/>
          <w:szCs w:val="18"/>
          <w:lang w:val="fr-FR"/>
        </w:rPr>
        <w:t>ien</w:t>
      </w:r>
      <w:r w:rsidRPr="00355EFB">
        <w:rPr>
          <w:sz w:val="18"/>
          <w:szCs w:val="18"/>
          <w:lang w:val="fr-FR"/>
        </w:rPr>
        <w:t xml:space="preserve"> (</w:t>
      </w:r>
      <w:hyperlink r:id="rId6" w:history="1">
        <w:r w:rsidRPr="00355EFB">
          <w:rPr>
            <w:rStyle w:val="Hyperlink"/>
            <w:sz w:val="18"/>
            <w:szCs w:val="18"/>
          </w:rPr>
          <w:t>http://gost.tpsgc-pwgsc.gc.ca/</w:t>
        </w:r>
      </w:hyperlink>
      <w:r w:rsidRPr="00355EFB">
        <w:rPr>
          <w:sz w:val="18"/>
          <w:szCs w:val="18"/>
          <w:lang w:val="fr-FR"/>
        </w:rPr>
        <w:t>).</w:t>
      </w:r>
    </w:p>
  </w:footnote>
  <w:footnote w:id="13">
    <w:p w14:paraId="74BFE278" w14:textId="624BC81D" w:rsidR="000C34EA" w:rsidRPr="00AE7D3C" w:rsidRDefault="000C34EA" w:rsidP="00F93F76">
      <w:pPr>
        <w:pStyle w:val="NormalNonumber"/>
        <w:tabs>
          <w:tab w:val="clear" w:pos="1247"/>
          <w:tab w:val="clear" w:pos="1814"/>
          <w:tab w:val="clear" w:pos="2381"/>
          <w:tab w:val="clear" w:pos="2948"/>
          <w:tab w:val="clear" w:pos="3515"/>
          <w:tab w:val="clear" w:pos="4082"/>
          <w:tab w:val="left" w:pos="624"/>
        </w:tabs>
        <w:spacing w:before="20" w:after="40"/>
        <w:rPr>
          <w:szCs w:val="18"/>
          <w:lang w:val="fr-FR"/>
        </w:rPr>
      </w:pPr>
      <w:r w:rsidRPr="00AE7D3C">
        <w:rPr>
          <w:rStyle w:val="FootnoteReference"/>
          <w:sz w:val="18"/>
          <w:lang w:val="fr-FR"/>
        </w:rPr>
        <w:footnoteRef/>
      </w:r>
      <w:r w:rsidRPr="00AE7D3C">
        <w:rPr>
          <w:sz w:val="18"/>
          <w:szCs w:val="18"/>
          <w:lang w:val="fr-FR"/>
        </w:rPr>
        <w:t xml:space="preserve"> Des orientations générales concernant l</w:t>
      </w:r>
      <w:r>
        <w:rPr>
          <w:sz w:val="18"/>
          <w:szCs w:val="18"/>
          <w:lang w:val="fr-FR"/>
        </w:rPr>
        <w:t>’</w:t>
      </w:r>
      <w:r w:rsidRPr="00AE7D3C">
        <w:rPr>
          <w:sz w:val="18"/>
          <w:szCs w:val="18"/>
          <w:lang w:val="fr-FR"/>
        </w:rPr>
        <w:t>évaluation et la remise en état des sédiments contaminés, notamment ceux contaminés par du mercure, sont fournies à l</w:t>
      </w:r>
      <w:r>
        <w:rPr>
          <w:sz w:val="18"/>
          <w:szCs w:val="18"/>
          <w:lang w:val="fr-FR"/>
        </w:rPr>
        <w:t>’</w:t>
      </w:r>
      <w:r w:rsidRPr="00AE7D3C">
        <w:rPr>
          <w:sz w:val="18"/>
          <w:szCs w:val="18"/>
          <w:lang w:val="fr-FR"/>
        </w:rPr>
        <w:t>adresse suivante</w:t>
      </w:r>
      <w:r>
        <w:rPr>
          <w:sz w:val="18"/>
          <w:szCs w:val="18"/>
          <w:lang w:val="fr-FR"/>
        </w:rPr>
        <w:t> :</w:t>
      </w:r>
      <w:r w:rsidRPr="00AE7D3C">
        <w:rPr>
          <w:sz w:val="18"/>
          <w:szCs w:val="18"/>
          <w:lang w:val="fr-FR"/>
        </w:rPr>
        <w:t xml:space="preserve"> https://www.epa.gov/superfund/superfund-contaminated-sediments-guidance-and-technical-support.</w:t>
      </w:r>
    </w:p>
  </w:footnote>
  <w:footnote w:id="14">
    <w:p w14:paraId="719110E1" w14:textId="6A684927" w:rsidR="000C34EA" w:rsidRPr="00355EFB" w:rsidRDefault="000C34EA" w:rsidP="00F93F76">
      <w:pPr>
        <w:pStyle w:val="NormalNonumber"/>
        <w:tabs>
          <w:tab w:val="clear" w:pos="1247"/>
          <w:tab w:val="clear" w:pos="1814"/>
          <w:tab w:val="clear" w:pos="2381"/>
          <w:tab w:val="clear" w:pos="2948"/>
          <w:tab w:val="clear" w:pos="3515"/>
          <w:tab w:val="clear" w:pos="4082"/>
          <w:tab w:val="left" w:pos="624"/>
        </w:tabs>
        <w:spacing w:before="20" w:after="40"/>
        <w:rPr>
          <w:rFonts w:eastAsia="MS Mincho"/>
          <w:sz w:val="18"/>
          <w:szCs w:val="18"/>
          <w:lang w:val="fr-FR" w:eastAsia="ja-JP"/>
        </w:rPr>
      </w:pPr>
      <w:r w:rsidRPr="00355EFB">
        <w:rPr>
          <w:rStyle w:val="FootnoteReference"/>
          <w:sz w:val="18"/>
          <w:lang w:val="fr-FR"/>
        </w:rPr>
        <w:footnoteRef/>
      </w:r>
      <w:r w:rsidRPr="00355EFB">
        <w:rPr>
          <w:sz w:val="18"/>
          <w:szCs w:val="18"/>
          <w:lang w:val="fr-FR"/>
        </w:rPr>
        <w:t xml:space="preserve"> </w:t>
      </w:r>
      <w:hyperlink r:id="rId7" w:history="1">
        <w:r w:rsidRPr="00355EFB">
          <w:rPr>
            <w:rStyle w:val="Hyperlink"/>
            <w:sz w:val="18"/>
            <w:szCs w:val="18"/>
          </w:rPr>
          <w:t>https://www.epa.gov/enforcement/landowner-liability-protections</w:t>
        </w:r>
      </w:hyperlink>
      <w:r w:rsidRPr="00355EFB">
        <w:rPr>
          <w:sz w:val="18"/>
          <w:szCs w:val="18"/>
          <w:lang w:val="fr-FR"/>
        </w:rPr>
        <w:t>.</w:t>
      </w:r>
    </w:p>
  </w:footnote>
  <w:footnote w:id="15">
    <w:p w14:paraId="65418936" w14:textId="55A689C7" w:rsidR="000C34EA" w:rsidRPr="00355EFB" w:rsidRDefault="000C34EA" w:rsidP="00F93F76">
      <w:pPr>
        <w:pStyle w:val="NormalNonumber"/>
        <w:tabs>
          <w:tab w:val="clear" w:pos="1247"/>
          <w:tab w:val="clear" w:pos="1814"/>
          <w:tab w:val="clear" w:pos="2381"/>
          <w:tab w:val="clear" w:pos="2948"/>
          <w:tab w:val="clear" w:pos="3515"/>
          <w:tab w:val="clear" w:pos="4082"/>
          <w:tab w:val="left" w:pos="624"/>
        </w:tabs>
        <w:spacing w:before="20" w:after="40"/>
        <w:rPr>
          <w:rFonts w:eastAsia="MS Mincho"/>
          <w:sz w:val="18"/>
          <w:szCs w:val="18"/>
          <w:lang w:val="fr-FR" w:eastAsia="ja-JP"/>
        </w:rPr>
      </w:pPr>
      <w:r w:rsidRPr="00355EFB">
        <w:rPr>
          <w:rStyle w:val="FootnoteReference"/>
          <w:sz w:val="18"/>
          <w:lang w:val="fr-FR"/>
        </w:rPr>
        <w:footnoteRef/>
      </w:r>
      <w:r w:rsidRPr="00355EFB">
        <w:rPr>
          <w:sz w:val="18"/>
          <w:szCs w:val="18"/>
          <w:lang w:val="fr-FR"/>
        </w:rPr>
        <w:t xml:space="preserve"> Gouvernement d’Australie-Occidentale (2003). Loi sur les sites contaminés de 2003, section 27 2) a).</w:t>
      </w:r>
    </w:p>
  </w:footnote>
  <w:footnote w:id="16">
    <w:p w14:paraId="1E39D807" w14:textId="3DCB4279" w:rsidR="000C34EA" w:rsidRPr="00355EFB" w:rsidRDefault="000C34EA" w:rsidP="00F93F76">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GB"/>
        </w:rPr>
      </w:pPr>
      <w:r w:rsidRPr="00355EFB">
        <w:rPr>
          <w:rStyle w:val="FootnoteReference"/>
          <w:sz w:val="18"/>
          <w:lang w:val="fr-FR"/>
        </w:rPr>
        <w:footnoteRef/>
      </w:r>
      <w:r w:rsidRPr="00355EFB">
        <w:rPr>
          <w:sz w:val="18"/>
          <w:szCs w:val="18"/>
          <w:lang w:val="en-GB"/>
        </w:rPr>
        <w:t xml:space="preserve"> CLARINET – Contaminated Land Rehabilitation Network for Environmental Technologies (</w:t>
      </w:r>
      <w:hyperlink r:id="rId8" w:history="1">
        <w:r w:rsidRPr="00355EFB">
          <w:rPr>
            <w:rStyle w:val="Hyperlink"/>
            <w:sz w:val="18"/>
            <w:szCs w:val="18"/>
            <w:lang w:val="en-GB"/>
          </w:rPr>
          <w:t>https://www.commonforum.eu/references_clarinet.asp</w:t>
        </w:r>
      </w:hyperlink>
      <w:r w:rsidRPr="00355EFB">
        <w:rPr>
          <w:sz w:val="18"/>
          <w:szCs w:val="18"/>
          <w:lang w:val="en-GB"/>
        </w:rPr>
        <w:t>), et CARACAS – Concerted Action for Risk Assessment for Contaminated Sites in Europe (https://www.commonforum.eu/references_caracas.asp).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BCAB9" w14:textId="5ADC6CC2" w:rsidR="000C34EA" w:rsidRPr="00B45535" w:rsidRDefault="000C34EA" w:rsidP="00B45535">
    <w:pPr>
      <w:pStyle w:val="Header"/>
      <w:rPr>
        <w:szCs w:val="18"/>
      </w:rPr>
    </w:pPr>
    <w:r>
      <w:rPr>
        <w:bCs/>
        <w:szCs w:val="18"/>
      </w:rPr>
      <w:t>U</w:t>
    </w:r>
    <w:r w:rsidRPr="00CA5CA9">
      <w:rPr>
        <w:bCs/>
        <w:szCs w:val="18"/>
      </w:rPr>
      <w:t>NEP</w:t>
    </w:r>
    <w:r w:rsidRPr="00CA5CA9">
      <w:rPr>
        <w:szCs w:val="18"/>
      </w:rPr>
      <w:t>/</w:t>
    </w:r>
    <w:r>
      <w:rPr>
        <w:szCs w:val="18"/>
      </w:rPr>
      <w:t>MC</w:t>
    </w:r>
    <w:r w:rsidRPr="00CA5CA9">
      <w:rPr>
        <w:szCs w:val="18"/>
      </w:rPr>
      <w:t>/</w:t>
    </w:r>
    <w:r>
      <w:rPr>
        <w:szCs w:val="18"/>
      </w:rPr>
      <w:t>COP.3/8/Rev.1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536B9" w14:textId="3981B8B5" w:rsidR="000C34EA" w:rsidRPr="00CA5CA9" w:rsidRDefault="000C34EA"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COP.3/8/Rev.1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48949" w14:textId="08135412" w:rsidR="000C34EA" w:rsidRPr="006D7114" w:rsidRDefault="000C34EA" w:rsidP="006D7114">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1E8650E4"/>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5571603"/>
    <w:multiLevelType w:val="singleLevel"/>
    <w:tmpl w:val="C9CACEF8"/>
    <w:lvl w:ilvl="0">
      <w:start w:val="6"/>
      <w:numFmt w:val="upperLetter"/>
      <w:pStyle w:val="Heading9"/>
      <w:lvlText w:val="%1."/>
      <w:lvlJc w:val="left"/>
      <w:pPr>
        <w:tabs>
          <w:tab w:val="num" w:pos="360"/>
        </w:tabs>
        <w:ind w:left="360" w:hanging="360"/>
      </w:pPr>
      <w:rPr>
        <w:rFonts w:hint="default"/>
      </w:rPr>
    </w:lvl>
  </w:abstractNum>
  <w:abstractNum w:abstractNumId="2"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15:restartNumberingAfterBreak="0">
    <w:nsid w:val="62291BF8"/>
    <w:multiLevelType w:val="multilevel"/>
    <w:tmpl w:val="F4ACF36E"/>
    <w:numStyleLink w:val="Normallist"/>
  </w:abstractNum>
  <w:num w:numId="1">
    <w:abstractNumId w:val="0"/>
  </w:num>
  <w:num w:numId="2">
    <w:abstractNumId w:val="1"/>
  </w:num>
  <w:num w:numId="3">
    <w:abstractNumId w:val="2"/>
  </w:num>
  <w:num w:numId="4">
    <w:abstractNumId w:val="3"/>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
    <w:abstractNumId w:val="3"/>
    <w:lvlOverride w:ilvl="0">
      <w:startOverride w:val="1"/>
      <w:lvl w:ilvl="0">
        <w:start w:val="1"/>
        <w:numFmt w:val="decimal"/>
        <w:pStyle w:val="Normalnumber"/>
        <w:lvlText w:val="%1."/>
        <w:lvlJc w:val="left"/>
        <w:pPr>
          <w:tabs>
            <w:tab w:val="num" w:pos="567"/>
          </w:tabs>
          <w:ind w:left="1247" w:firstLine="0"/>
        </w:pPr>
        <w:rPr>
          <w:rFonts w:hint="default"/>
        </w:rPr>
      </w:lvl>
    </w:lvlOverride>
  </w:num>
  <w:num w:numId="6">
    <w:abstractNumId w:val="3"/>
  </w:num>
  <w:num w:numId="7">
    <w:abstractNumId w:val="3"/>
  </w:num>
  <w:num w:numId="8">
    <w:abstractNumId w:val="3"/>
  </w:num>
  <w:num w:numId="9">
    <w:abstractNumId w:val="3"/>
  </w:num>
  <w:num w:numId="10">
    <w:abstractNumId w:val="3"/>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1">
    <w:abstractNumId w:val="3"/>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2">
    <w:abstractNumId w:val="3"/>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3">
    <w:abstractNumId w:val="3"/>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CH" w:vendorID="64" w:dllVersion="0" w:nlCheck="1" w:checkStyle="0"/>
  <w:activeWritingStyle w:appName="MSWord" w:lang="en-AU" w:vendorID="64" w:dllVersion="0" w:nlCheck="1" w:checkStyle="0"/>
  <w:activeWritingStyle w:appName="MSWord" w:lang="en-CA" w:vendorID="64" w:dllVersion="0" w:nlCheck="1" w:checkStyle="0"/>
  <w:activeWritingStyle w:appName="MSWord" w:lang="fr-CA"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101D"/>
    <w:rsid w:val="00001367"/>
    <w:rsid w:val="000017CC"/>
    <w:rsid w:val="000024A3"/>
    <w:rsid w:val="000057BB"/>
    <w:rsid w:val="00005AF9"/>
    <w:rsid w:val="00007100"/>
    <w:rsid w:val="000077AD"/>
    <w:rsid w:val="00010014"/>
    <w:rsid w:val="00011A16"/>
    <w:rsid w:val="00013A85"/>
    <w:rsid w:val="000149E6"/>
    <w:rsid w:val="00020884"/>
    <w:rsid w:val="00022E21"/>
    <w:rsid w:val="00023DA9"/>
    <w:rsid w:val="000247B0"/>
    <w:rsid w:val="00026997"/>
    <w:rsid w:val="00026A08"/>
    <w:rsid w:val="00031D9D"/>
    <w:rsid w:val="00032E4E"/>
    <w:rsid w:val="0003344D"/>
    <w:rsid w:val="00033733"/>
    <w:rsid w:val="00033E0B"/>
    <w:rsid w:val="000340A3"/>
    <w:rsid w:val="00035EDE"/>
    <w:rsid w:val="00036173"/>
    <w:rsid w:val="000403B8"/>
    <w:rsid w:val="000409D6"/>
    <w:rsid w:val="00041C61"/>
    <w:rsid w:val="0004240A"/>
    <w:rsid w:val="0004341B"/>
    <w:rsid w:val="000468F2"/>
    <w:rsid w:val="00050076"/>
    <w:rsid w:val="000509B4"/>
    <w:rsid w:val="00051622"/>
    <w:rsid w:val="000563B1"/>
    <w:rsid w:val="00056A07"/>
    <w:rsid w:val="0006035B"/>
    <w:rsid w:val="0006096F"/>
    <w:rsid w:val="00062C07"/>
    <w:rsid w:val="00062F27"/>
    <w:rsid w:val="00063AF8"/>
    <w:rsid w:val="000643EE"/>
    <w:rsid w:val="000649C5"/>
    <w:rsid w:val="00064B6B"/>
    <w:rsid w:val="00066CBE"/>
    <w:rsid w:val="00067420"/>
    <w:rsid w:val="00070221"/>
    <w:rsid w:val="00071886"/>
    <w:rsid w:val="000742BC"/>
    <w:rsid w:val="00074A93"/>
    <w:rsid w:val="00075A04"/>
    <w:rsid w:val="00075F0C"/>
    <w:rsid w:val="00076CC6"/>
    <w:rsid w:val="000801BD"/>
    <w:rsid w:val="00080C5C"/>
    <w:rsid w:val="00081FC8"/>
    <w:rsid w:val="00082A0C"/>
    <w:rsid w:val="00083504"/>
    <w:rsid w:val="0008379F"/>
    <w:rsid w:val="00083A38"/>
    <w:rsid w:val="00083FFE"/>
    <w:rsid w:val="00084334"/>
    <w:rsid w:val="000855ED"/>
    <w:rsid w:val="00086F81"/>
    <w:rsid w:val="000878AF"/>
    <w:rsid w:val="0009031A"/>
    <w:rsid w:val="000907DE"/>
    <w:rsid w:val="000934A6"/>
    <w:rsid w:val="0009389B"/>
    <w:rsid w:val="00094061"/>
    <w:rsid w:val="0009640C"/>
    <w:rsid w:val="0009703D"/>
    <w:rsid w:val="000975F7"/>
    <w:rsid w:val="000A2AD5"/>
    <w:rsid w:val="000A2B9C"/>
    <w:rsid w:val="000A3B42"/>
    <w:rsid w:val="000A581D"/>
    <w:rsid w:val="000B02EB"/>
    <w:rsid w:val="000B0863"/>
    <w:rsid w:val="000B2132"/>
    <w:rsid w:val="000B22A2"/>
    <w:rsid w:val="000B541B"/>
    <w:rsid w:val="000B73F9"/>
    <w:rsid w:val="000C2A52"/>
    <w:rsid w:val="000C2A88"/>
    <w:rsid w:val="000C34EA"/>
    <w:rsid w:val="000C65B1"/>
    <w:rsid w:val="000C6F9D"/>
    <w:rsid w:val="000C7F47"/>
    <w:rsid w:val="000D05FA"/>
    <w:rsid w:val="000D1969"/>
    <w:rsid w:val="000D2DF2"/>
    <w:rsid w:val="000D33C0"/>
    <w:rsid w:val="000D3408"/>
    <w:rsid w:val="000D4CF6"/>
    <w:rsid w:val="000D55A1"/>
    <w:rsid w:val="000D6941"/>
    <w:rsid w:val="000D76B1"/>
    <w:rsid w:val="000D7B38"/>
    <w:rsid w:val="000E0176"/>
    <w:rsid w:val="000E3787"/>
    <w:rsid w:val="000F0875"/>
    <w:rsid w:val="000F224E"/>
    <w:rsid w:val="000F4829"/>
    <w:rsid w:val="000F6B21"/>
    <w:rsid w:val="000F71AA"/>
    <w:rsid w:val="00100843"/>
    <w:rsid w:val="00101439"/>
    <w:rsid w:val="00102D6D"/>
    <w:rsid w:val="00102EFB"/>
    <w:rsid w:val="00103AB8"/>
    <w:rsid w:val="0010502D"/>
    <w:rsid w:val="00106103"/>
    <w:rsid w:val="00107CC0"/>
    <w:rsid w:val="00107D04"/>
    <w:rsid w:val="00113598"/>
    <w:rsid w:val="00114AB2"/>
    <w:rsid w:val="00120073"/>
    <w:rsid w:val="001202E3"/>
    <w:rsid w:val="001206DD"/>
    <w:rsid w:val="00123699"/>
    <w:rsid w:val="00123ABB"/>
    <w:rsid w:val="001241FB"/>
    <w:rsid w:val="0012529C"/>
    <w:rsid w:val="00125814"/>
    <w:rsid w:val="0013059D"/>
    <w:rsid w:val="0013072C"/>
    <w:rsid w:val="00131907"/>
    <w:rsid w:val="0013215E"/>
    <w:rsid w:val="0013246E"/>
    <w:rsid w:val="00133D50"/>
    <w:rsid w:val="0013511F"/>
    <w:rsid w:val="0013579E"/>
    <w:rsid w:val="00135F62"/>
    <w:rsid w:val="00136187"/>
    <w:rsid w:val="00141A55"/>
    <w:rsid w:val="0014293F"/>
    <w:rsid w:val="0014397D"/>
    <w:rsid w:val="001446A3"/>
    <w:rsid w:val="0014595C"/>
    <w:rsid w:val="00145A33"/>
    <w:rsid w:val="00146856"/>
    <w:rsid w:val="00146CD9"/>
    <w:rsid w:val="00151BE5"/>
    <w:rsid w:val="00152B6B"/>
    <w:rsid w:val="00152CD3"/>
    <w:rsid w:val="00153F79"/>
    <w:rsid w:val="00154A4B"/>
    <w:rsid w:val="00155075"/>
    <w:rsid w:val="00155395"/>
    <w:rsid w:val="00155A2F"/>
    <w:rsid w:val="00156B6B"/>
    <w:rsid w:val="001577EC"/>
    <w:rsid w:val="00160399"/>
    <w:rsid w:val="00160D74"/>
    <w:rsid w:val="001634FB"/>
    <w:rsid w:val="00163926"/>
    <w:rsid w:val="001646EA"/>
    <w:rsid w:val="00167D02"/>
    <w:rsid w:val="001759D8"/>
    <w:rsid w:val="00175B40"/>
    <w:rsid w:val="00177D7F"/>
    <w:rsid w:val="001808D9"/>
    <w:rsid w:val="00180C3F"/>
    <w:rsid w:val="00181EC8"/>
    <w:rsid w:val="00184349"/>
    <w:rsid w:val="00184612"/>
    <w:rsid w:val="001846B0"/>
    <w:rsid w:val="001850E5"/>
    <w:rsid w:val="001861DD"/>
    <w:rsid w:val="00186AD7"/>
    <w:rsid w:val="00195F33"/>
    <w:rsid w:val="00197383"/>
    <w:rsid w:val="00197FB6"/>
    <w:rsid w:val="001A026A"/>
    <w:rsid w:val="001A47E5"/>
    <w:rsid w:val="001A4AA4"/>
    <w:rsid w:val="001A4AAA"/>
    <w:rsid w:val="001B1617"/>
    <w:rsid w:val="001B3AE3"/>
    <w:rsid w:val="001B504B"/>
    <w:rsid w:val="001B5845"/>
    <w:rsid w:val="001B6F98"/>
    <w:rsid w:val="001C021A"/>
    <w:rsid w:val="001C180C"/>
    <w:rsid w:val="001C191A"/>
    <w:rsid w:val="001C3144"/>
    <w:rsid w:val="001C483D"/>
    <w:rsid w:val="001D06DC"/>
    <w:rsid w:val="001D06E5"/>
    <w:rsid w:val="001D3060"/>
    <w:rsid w:val="001D3874"/>
    <w:rsid w:val="001D47B1"/>
    <w:rsid w:val="001D7E75"/>
    <w:rsid w:val="001D7E85"/>
    <w:rsid w:val="001E0D73"/>
    <w:rsid w:val="001E2DD3"/>
    <w:rsid w:val="001E45BD"/>
    <w:rsid w:val="001E56D2"/>
    <w:rsid w:val="001E6929"/>
    <w:rsid w:val="001E6F70"/>
    <w:rsid w:val="001E7D56"/>
    <w:rsid w:val="001F0625"/>
    <w:rsid w:val="001F1734"/>
    <w:rsid w:val="001F4E53"/>
    <w:rsid w:val="001F5186"/>
    <w:rsid w:val="001F75DE"/>
    <w:rsid w:val="00200D58"/>
    <w:rsid w:val="002011C1"/>
    <w:rsid w:val="002013BE"/>
    <w:rsid w:val="00201EDC"/>
    <w:rsid w:val="00202994"/>
    <w:rsid w:val="00203CFB"/>
    <w:rsid w:val="00204E6B"/>
    <w:rsid w:val="002063A4"/>
    <w:rsid w:val="00207B14"/>
    <w:rsid w:val="00210BC6"/>
    <w:rsid w:val="0021145B"/>
    <w:rsid w:val="00215127"/>
    <w:rsid w:val="002153D3"/>
    <w:rsid w:val="002159D8"/>
    <w:rsid w:val="002162B3"/>
    <w:rsid w:val="002165C1"/>
    <w:rsid w:val="0021702C"/>
    <w:rsid w:val="002172B3"/>
    <w:rsid w:val="00220C23"/>
    <w:rsid w:val="00221F85"/>
    <w:rsid w:val="00222DF1"/>
    <w:rsid w:val="00224608"/>
    <w:rsid w:val="002247F6"/>
    <w:rsid w:val="0022584B"/>
    <w:rsid w:val="00225E21"/>
    <w:rsid w:val="00225E44"/>
    <w:rsid w:val="00230572"/>
    <w:rsid w:val="00230850"/>
    <w:rsid w:val="00234A50"/>
    <w:rsid w:val="00234E78"/>
    <w:rsid w:val="00235086"/>
    <w:rsid w:val="002359FC"/>
    <w:rsid w:val="00241383"/>
    <w:rsid w:val="002414C2"/>
    <w:rsid w:val="00243D36"/>
    <w:rsid w:val="00246151"/>
    <w:rsid w:val="00247707"/>
    <w:rsid w:val="00250718"/>
    <w:rsid w:val="00250A66"/>
    <w:rsid w:val="002517F2"/>
    <w:rsid w:val="00252456"/>
    <w:rsid w:val="002563D6"/>
    <w:rsid w:val="002566AA"/>
    <w:rsid w:val="00256B82"/>
    <w:rsid w:val="00260183"/>
    <w:rsid w:val="0026018E"/>
    <w:rsid w:val="00261542"/>
    <w:rsid w:val="002631B1"/>
    <w:rsid w:val="00264736"/>
    <w:rsid w:val="00264A9B"/>
    <w:rsid w:val="00265E91"/>
    <w:rsid w:val="00267F2B"/>
    <w:rsid w:val="00271321"/>
    <w:rsid w:val="00274F0E"/>
    <w:rsid w:val="002816A3"/>
    <w:rsid w:val="002824FD"/>
    <w:rsid w:val="0028615F"/>
    <w:rsid w:val="00286740"/>
    <w:rsid w:val="00290187"/>
    <w:rsid w:val="00291EAE"/>
    <w:rsid w:val="002929D8"/>
    <w:rsid w:val="00294509"/>
    <w:rsid w:val="00294E10"/>
    <w:rsid w:val="00296365"/>
    <w:rsid w:val="002A237D"/>
    <w:rsid w:val="002A41F2"/>
    <w:rsid w:val="002A4703"/>
    <w:rsid w:val="002A47EE"/>
    <w:rsid w:val="002A4C53"/>
    <w:rsid w:val="002A4C79"/>
    <w:rsid w:val="002A4CA4"/>
    <w:rsid w:val="002A70DC"/>
    <w:rsid w:val="002A757C"/>
    <w:rsid w:val="002B0672"/>
    <w:rsid w:val="002B247F"/>
    <w:rsid w:val="002B50D4"/>
    <w:rsid w:val="002B58BF"/>
    <w:rsid w:val="002B6892"/>
    <w:rsid w:val="002C145D"/>
    <w:rsid w:val="002C2C3E"/>
    <w:rsid w:val="002C4CC2"/>
    <w:rsid w:val="002C4D56"/>
    <w:rsid w:val="002C533E"/>
    <w:rsid w:val="002C7530"/>
    <w:rsid w:val="002C7856"/>
    <w:rsid w:val="002D027F"/>
    <w:rsid w:val="002D10C6"/>
    <w:rsid w:val="002D186B"/>
    <w:rsid w:val="002D2425"/>
    <w:rsid w:val="002D3E15"/>
    <w:rsid w:val="002D7A85"/>
    <w:rsid w:val="002D7B60"/>
    <w:rsid w:val="002E2861"/>
    <w:rsid w:val="002E3C14"/>
    <w:rsid w:val="002E6028"/>
    <w:rsid w:val="002E6038"/>
    <w:rsid w:val="002E7CEF"/>
    <w:rsid w:val="002F1440"/>
    <w:rsid w:val="002F1DA2"/>
    <w:rsid w:val="002F4761"/>
    <w:rsid w:val="002F5C79"/>
    <w:rsid w:val="002F63BB"/>
    <w:rsid w:val="002F68EE"/>
    <w:rsid w:val="00300DCA"/>
    <w:rsid w:val="003019E2"/>
    <w:rsid w:val="00301BC3"/>
    <w:rsid w:val="00302840"/>
    <w:rsid w:val="00304ED9"/>
    <w:rsid w:val="003053E8"/>
    <w:rsid w:val="00306138"/>
    <w:rsid w:val="00310BEB"/>
    <w:rsid w:val="00312DBF"/>
    <w:rsid w:val="00313017"/>
    <w:rsid w:val="00314018"/>
    <w:rsid w:val="0031413F"/>
    <w:rsid w:val="00314263"/>
    <w:rsid w:val="00314854"/>
    <w:rsid w:val="003148BB"/>
    <w:rsid w:val="00315A66"/>
    <w:rsid w:val="00317976"/>
    <w:rsid w:val="00320F2F"/>
    <w:rsid w:val="0032107E"/>
    <w:rsid w:val="0032457E"/>
    <w:rsid w:val="00325D38"/>
    <w:rsid w:val="00327450"/>
    <w:rsid w:val="00332550"/>
    <w:rsid w:val="003374B7"/>
    <w:rsid w:val="0034087A"/>
    <w:rsid w:val="003442D9"/>
    <w:rsid w:val="00344420"/>
    <w:rsid w:val="0034533A"/>
    <w:rsid w:val="0034540B"/>
    <w:rsid w:val="00350495"/>
    <w:rsid w:val="0035274D"/>
    <w:rsid w:val="0035277E"/>
    <w:rsid w:val="00353E3E"/>
    <w:rsid w:val="00353F18"/>
    <w:rsid w:val="0035462B"/>
    <w:rsid w:val="00355EA9"/>
    <w:rsid w:val="00355EFB"/>
    <w:rsid w:val="00356980"/>
    <w:rsid w:val="003578DE"/>
    <w:rsid w:val="00361688"/>
    <w:rsid w:val="00361B6B"/>
    <w:rsid w:val="00361C3B"/>
    <w:rsid w:val="003640BC"/>
    <w:rsid w:val="00366C54"/>
    <w:rsid w:val="00372815"/>
    <w:rsid w:val="00372EC0"/>
    <w:rsid w:val="00380921"/>
    <w:rsid w:val="00380F44"/>
    <w:rsid w:val="00383CA0"/>
    <w:rsid w:val="00383FB0"/>
    <w:rsid w:val="00386ECF"/>
    <w:rsid w:val="00386FC0"/>
    <w:rsid w:val="003877D5"/>
    <w:rsid w:val="00390AC0"/>
    <w:rsid w:val="003929B8"/>
    <w:rsid w:val="00393432"/>
    <w:rsid w:val="00394E34"/>
    <w:rsid w:val="00394EB3"/>
    <w:rsid w:val="00396257"/>
    <w:rsid w:val="00397EB8"/>
    <w:rsid w:val="003A0F06"/>
    <w:rsid w:val="003A11B3"/>
    <w:rsid w:val="003A15DC"/>
    <w:rsid w:val="003A28C0"/>
    <w:rsid w:val="003A4FD0"/>
    <w:rsid w:val="003A69D1"/>
    <w:rsid w:val="003A6A35"/>
    <w:rsid w:val="003A7705"/>
    <w:rsid w:val="003A77F1"/>
    <w:rsid w:val="003A7ACF"/>
    <w:rsid w:val="003B1545"/>
    <w:rsid w:val="003B21F8"/>
    <w:rsid w:val="003B406B"/>
    <w:rsid w:val="003B66B7"/>
    <w:rsid w:val="003C07C8"/>
    <w:rsid w:val="003C10FB"/>
    <w:rsid w:val="003C3219"/>
    <w:rsid w:val="003C409D"/>
    <w:rsid w:val="003C4544"/>
    <w:rsid w:val="003C4793"/>
    <w:rsid w:val="003C5583"/>
    <w:rsid w:val="003C5BA6"/>
    <w:rsid w:val="003C74CF"/>
    <w:rsid w:val="003D08BF"/>
    <w:rsid w:val="003D3752"/>
    <w:rsid w:val="003D3C21"/>
    <w:rsid w:val="003D4169"/>
    <w:rsid w:val="003D5B64"/>
    <w:rsid w:val="003D6B7D"/>
    <w:rsid w:val="003D7542"/>
    <w:rsid w:val="003E2E57"/>
    <w:rsid w:val="003E35DA"/>
    <w:rsid w:val="003E455D"/>
    <w:rsid w:val="003E521D"/>
    <w:rsid w:val="003F0E85"/>
    <w:rsid w:val="003F3DDD"/>
    <w:rsid w:val="003F4636"/>
    <w:rsid w:val="003F5208"/>
    <w:rsid w:val="003F599B"/>
    <w:rsid w:val="003F6B95"/>
    <w:rsid w:val="00401B2E"/>
    <w:rsid w:val="004062E6"/>
    <w:rsid w:val="00410C55"/>
    <w:rsid w:val="00412A63"/>
    <w:rsid w:val="004140FE"/>
    <w:rsid w:val="00414655"/>
    <w:rsid w:val="004147A8"/>
    <w:rsid w:val="00416854"/>
    <w:rsid w:val="00417725"/>
    <w:rsid w:val="004204C7"/>
    <w:rsid w:val="00420A86"/>
    <w:rsid w:val="0042266F"/>
    <w:rsid w:val="004226A6"/>
    <w:rsid w:val="00422BC3"/>
    <w:rsid w:val="004250FA"/>
    <w:rsid w:val="0042570A"/>
    <w:rsid w:val="004264DB"/>
    <w:rsid w:val="0043011D"/>
    <w:rsid w:val="00431E31"/>
    <w:rsid w:val="0043212F"/>
    <w:rsid w:val="00432A85"/>
    <w:rsid w:val="00434321"/>
    <w:rsid w:val="004349B9"/>
    <w:rsid w:val="00434EC2"/>
    <w:rsid w:val="00435B87"/>
    <w:rsid w:val="00437F26"/>
    <w:rsid w:val="00441018"/>
    <w:rsid w:val="004423D9"/>
    <w:rsid w:val="00443861"/>
    <w:rsid w:val="00444097"/>
    <w:rsid w:val="00445487"/>
    <w:rsid w:val="00447E0D"/>
    <w:rsid w:val="004504F2"/>
    <w:rsid w:val="00451526"/>
    <w:rsid w:val="0045240E"/>
    <w:rsid w:val="00452496"/>
    <w:rsid w:val="004524E0"/>
    <w:rsid w:val="00453EA8"/>
    <w:rsid w:val="00454769"/>
    <w:rsid w:val="00455209"/>
    <w:rsid w:val="00455A8E"/>
    <w:rsid w:val="00456A4A"/>
    <w:rsid w:val="00461ADC"/>
    <w:rsid w:val="00462042"/>
    <w:rsid w:val="00465A58"/>
    <w:rsid w:val="00466991"/>
    <w:rsid w:val="0047064C"/>
    <w:rsid w:val="00472B3F"/>
    <w:rsid w:val="00472F00"/>
    <w:rsid w:val="00480278"/>
    <w:rsid w:val="004822B7"/>
    <w:rsid w:val="0048269E"/>
    <w:rsid w:val="004850AB"/>
    <w:rsid w:val="00485CE7"/>
    <w:rsid w:val="0048787B"/>
    <w:rsid w:val="00491330"/>
    <w:rsid w:val="004929D9"/>
    <w:rsid w:val="0049351D"/>
    <w:rsid w:val="0049469E"/>
    <w:rsid w:val="004A0748"/>
    <w:rsid w:val="004A1F91"/>
    <w:rsid w:val="004A205D"/>
    <w:rsid w:val="004A2217"/>
    <w:rsid w:val="004A24F9"/>
    <w:rsid w:val="004A2A2D"/>
    <w:rsid w:val="004A35E8"/>
    <w:rsid w:val="004A4058"/>
    <w:rsid w:val="004A42E1"/>
    <w:rsid w:val="004A47D9"/>
    <w:rsid w:val="004A4B48"/>
    <w:rsid w:val="004A7825"/>
    <w:rsid w:val="004A7A97"/>
    <w:rsid w:val="004B0E3E"/>
    <w:rsid w:val="004B162C"/>
    <w:rsid w:val="004B198F"/>
    <w:rsid w:val="004B2ABE"/>
    <w:rsid w:val="004C10C8"/>
    <w:rsid w:val="004C3DBE"/>
    <w:rsid w:val="004C4057"/>
    <w:rsid w:val="004C4F80"/>
    <w:rsid w:val="004C5C96"/>
    <w:rsid w:val="004C684B"/>
    <w:rsid w:val="004C698D"/>
    <w:rsid w:val="004D06A4"/>
    <w:rsid w:val="004D339F"/>
    <w:rsid w:val="004E194D"/>
    <w:rsid w:val="004E5176"/>
    <w:rsid w:val="004E574D"/>
    <w:rsid w:val="004E5BC3"/>
    <w:rsid w:val="004E7675"/>
    <w:rsid w:val="004F1A81"/>
    <w:rsid w:val="004F1EDD"/>
    <w:rsid w:val="004F4923"/>
    <w:rsid w:val="004F5D88"/>
    <w:rsid w:val="004F607B"/>
    <w:rsid w:val="0050084A"/>
    <w:rsid w:val="00501354"/>
    <w:rsid w:val="00503ECC"/>
    <w:rsid w:val="005050D2"/>
    <w:rsid w:val="00514669"/>
    <w:rsid w:val="005146C2"/>
    <w:rsid w:val="00515B37"/>
    <w:rsid w:val="00515B41"/>
    <w:rsid w:val="00520509"/>
    <w:rsid w:val="005218D9"/>
    <w:rsid w:val="00521967"/>
    <w:rsid w:val="005228DC"/>
    <w:rsid w:val="00525448"/>
    <w:rsid w:val="0052575B"/>
    <w:rsid w:val="005269AD"/>
    <w:rsid w:val="0052751B"/>
    <w:rsid w:val="00536186"/>
    <w:rsid w:val="00536462"/>
    <w:rsid w:val="005408AE"/>
    <w:rsid w:val="00540E2F"/>
    <w:rsid w:val="00544A96"/>
    <w:rsid w:val="00544CBB"/>
    <w:rsid w:val="00547CE1"/>
    <w:rsid w:val="00551915"/>
    <w:rsid w:val="00551B65"/>
    <w:rsid w:val="00552A05"/>
    <w:rsid w:val="00553BED"/>
    <w:rsid w:val="00553D32"/>
    <w:rsid w:val="00554919"/>
    <w:rsid w:val="00555110"/>
    <w:rsid w:val="00556704"/>
    <w:rsid w:val="005568BD"/>
    <w:rsid w:val="005601BC"/>
    <w:rsid w:val="00560C3B"/>
    <w:rsid w:val="00560F6A"/>
    <w:rsid w:val="00562EA9"/>
    <w:rsid w:val="00564201"/>
    <w:rsid w:val="005656D7"/>
    <w:rsid w:val="005663BE"/>
    <w:rsid w:val="005712DE"/>
    <w:rsid w:val="00572298"/>
    <w:rsid w:val="0057315F"/>
    <w:rsid w:val="00574578"/>
    <w:rsid w:val="00576104"/>
    <w:rsid w:val="005840CD"/>
    <w:rsid w:val="005848C8"/>
    <w:rsid w:val="00584F08"/>
    <w:rsid w:val="00585C9D"/>
    <w:rsid w:val="00586418"/>
    <w:rsid w:val="00590614"/>
    <w:rsid w:val="00590745"/>
    <w:rsid w:val="00590F94"/>
    <w:rsid w:val="0059140A"/>
    <w:rsid w:val="00592B21"/>
    <w:rsid w:val="00594436"/>
    <w:rsid w:val="00594ACC"/>
    <w:rsid w:val="0059533A"/>
    <w:rsid w:val="00596DE9"/>
    <w:rsid w:val="005A12F7"/>
    <w:rsid w:val="005A1C6C"/>
    <w:rsid w:val="005A4D46"/>
    <w:rsid w:val="005A4DF9"/>
    <w:rsid w:val="005A4FC9"/>
    <w:rsid w:val="005B0CE7"/>
    <w:rsid w:val="005B25F1"/>
    <w:rsid w:val="005B2DF4"/>
    <w:rsid w:val="005B44BF"/>
    <w:rsid w:val="005B7CFB"/>
    <w:rsid w:val="005C3F6F"/>
    <w:rsid w:val="005C4911"/>
    <w:rsid w:val="005C4957"/>
    <w:rsid w:val="005C67C8"/>
    <w:rsid w:val="005D0249"/>
    <w:rsid w:val="005D0C34"/>
    <w:rsid w:val="005D18FA"/>
    <w:rsid w:val="005D322B"/>
    <w:rsid w:val="005D4625"/>
    <w:rsid w:val="005D4FD4"/>
    <w:rsid w:val="005D59FD"/>
    <w:rsid w:val="005D667D"/>
    <w:rsid w:val="005D6E8C"/>
    <w:rsid w:val="005D7D61"/>
    <w:rsid w:val="005E1625"/>
    <w:rsid w:val="005E252F"/>
    <w:rsid w:val="005E3004"/>
    <w:rsid w:val="005E45A8"/>
    <w:rsid w:val="005E4780"/>
    <w:rsid w:val="005F0B6B"/>
    <w:rsid w:val="005F100C"/>
    <w:rsid w:val="005F16D2"/>
    <w:rsid w:val="005F57B8"/>
    <w:rsid w:val="005F5977"/>
    <w:rsid w:val="005F68DA"/>
    <w:rsid w:val="005F7419"/>
    <w:rsid w:val="006018AE"/>
    <w:rsid w:val="00601BC9"/>
    <w:rsid w:val="0060610D"/>
    <w:rsid w:val="0060660D"/>
    <w:rsid w:val="006071AE"/>
    <w:rsid w:val="00607434"/>
    <w:rsid w:val="0060773B"/>
    <w:rsid w:val="00611BA7"/>
    <w:rsid w:val="00612190"/>
    <w:rsid w:val="0061395F"/>
    <w:rsid w:val="00613FD6"/>
    <w:rsid w:val="0061484F"/>
    <w:rsid w:val="006152A1"/>
    <w:rsid w:val="006157B5"/>
    <w:rsid w:val="00617224"/>
    <w:rsid w:val="006223B6"/>
    <w:rsid w:val="006231B8"/>
    <w:rsid w:val="00624B44"/>
    <w:rsid w:val="0062547B"/>
    <w:rsid w:val="00625DB3"/>
    <w:rsid w:val="00626219"/>
    <w:rsid w:val="006264DD"/>
    <w:rsid w:val="00626FC6"/>
    <w:rsid w:val="00627267"/>
    <w:rsid w:val="00627CBC"/>
    <w:rsid w:val="006303B4"/>
    <w:rsid w:val="006304C5"/>
    <w:rsid w:val="00630ADC"/>
    <w:rsid w:val="00630C64"/>
    <w:rsid w:val="006314E7"/>
    <w:rsid w:val="00632760"/>
    <w:rsid w:val="00633D3D"/>
    <w:rsid w:val="006352F6"/>
    <w:rsid w:val="006358EB"/>
    <w:rsid w:val="00637133"/>
    <w:rsid w:val="006411F5"/>
    <w:rsid w:val="00641703"/>
    <w:rsid w:val="006431A6"/>
    <w:rsid w:val="00643372"/>
    <w:rsid w:val="00643E3A"/>
    <w:rsid w:val="0064406B"/>
    <w:rsid w:val="00645962"/>
    <w:rsid w:val="006459F6"/>
    <w:rsid w:val="006468EB"/>
    <w:rsid w:val="006501AD"/>
    <w:rsid w:val="00651BFA"/>
    <w:rsid w:val="00653D2C"/>
    <w:rsid w:val="00654475"/>
    <w:rsid w:val="00655B3F"/>
    <w:rsid w:val="00656DF0"/>
    <w:rsid w:val="00657C6A"/>
    <w:rsid w:val="00660D92"/>
    <w:rsid w:val="0066320B"/>
    <w:rsid w:val="00665A4B"/>
    <w:rsid w:val="006663FA"/>
    <w:rsid w:val="006670A8"/>
    <w:rsid w:val="00670FAE"/>
    <w:rsid w:val="006749B3"/>
    <w:rsid w:val="006761F9"/>
    <w:rsid w:val="00676224"/>
    <w:rsid w:val="00681431"/>
    <w:rsid w:val="006828AE"/>
    <w:rsid w:val="0068560A"/>
    <w:rsid w:val="006862EF"/>
    <w:rsid w:val="006868F5"/>
    <w:rsid w:val="00686C08"/>
    <w:rsid w:val="006878DE"/>
    <w:rsid w:val="00691457"/>
    <w:rsid w:val="00691735"/>
    <w:rsid w:val="00692C11"/>
    <w:rsid w:val="00692C30"/>
    <w:rsid w:val="00692E2A"/>
    <w:rsid w:val="006937BE"/>
    <w:rsid w:val="0069496A"/>
    <w:rsid w:val="00696087"/>
    <w:rsid w:val="00696C1C"/>
    <w:rsid w:val="006A05E4"/>
    <w:rsid w:val="006A4AFA"/>
    <w:rsid w:val="006A57CF"/>
    <w:rsid w:val="006A60AB"/>
    <w:rsid w:val="006A76F2"/>
    <w:rsid w:val="006B0683"/>
    <w:rsid w:val="006B1FEE"/>
    <w:rsid w:val="006B493C"/>
    <w:rsid w:val="006B6BA2"/>
    <w:rsid w:val="006B7D29"/>
    <w:rsid w:val="006C05B6"/>
    <w:rsid w:val="006C1129"/>
    <w:rsid w:val="006C1555"/>
    <w:rsid w:val="006C3F5D"/>
    <w:rsid w:val="006C55BA"/>
    <w:rsid w:val="006C7106"/>
    <w:rsid w:val="006D0D19"/>
    <w:rsid w:val="006D1646"/>
    <w:rsid w:val="006D19D4"/>
    <w:rsid w:val="006D41BA"/>
    <w:rsid w:val="006D5644"/>
    <w:rsid w:val="006D69D3"/>
    <w:rsid w:val="006D7016"/>
    <w:rsid w:val="006D7114"/>
    <w:rsid w:val="006D7EFB"/>
    <w:rsid w:val="006E0455"/>
    <w:rsid w:val="006E19C5"/>
    <w:rsid w:val="006E4D45"/>
    <w:rsid w:val="006E4FFC"/>
    <w:rsid w:val="006E6221"/>
    <w:rsid w:val="006E6672"/>
    <w:rsid w:val="006E6722"/>
    <w:rsid w:val="006E6E8E"/>
    <w:rsid w:val="006E7C37"/>
    <w:rsid w:val="006F08F1"/>
    <w:rsid w:val="006F1381"/>
    <w:rsid w:val="006F2092"/>
    <w:rsid w:val="006F2CCA"/>
    <w:rsid w:val="006F46BD"/>
    <w:rsid w:val="006F4DE1"/>
    <w:rsid w:val="006F718B"/>
    <w:rsid w:val="006F7227"/>
    <w:rsid w:val="006F7AFF"/>
    <w:rsid w:val="00701D32"/>
    <w:rsid w:val="007027B9"/>
    <w:rsid w:val="0070404E"/>
    <w:rsid w:val="00704AF9"/>
    <w:rsid w:val="007064D1"/>
    <w:rsid w:val="0070655A"/>
    <w:rsid w:val="007066B5"/>
    <w:rsid w:val="00707B18"/>
    <w:rsid w:val="00711A0D"/>
    <w:rsid w:val="007122F2"/>
    <w:rsid w:val="007145DA"/>
    <w:rsid w:val="00715747"/>
    <w:rsid w:val="00715E88"/>
    <w:rsid w:val="00716D8B"/>
    <w:rsid w:val="00721E61"/>
    <w:rsid w:val="00722063"/>
    <w:rsid w:val="00722778"/>
    <w:rsid w:val="007242B5"/>
    <w:rsid w:val="00730266"/>
    <w:rsid w:val="00731576"/>
    <w:rsid w:val="007315D9"/>
    <w:rsid w:val="00734108"/>
    <w:rsid w:val="00734150"/>
    <w:rsid w:val="00734CAA"/>
    <w:rsid w:val="00736661"/>
    <w:rsid w:val="007369B9"/>
    <w:rsid w:val="00740343"/>
    <w:rsid w:val="00740ADB"/>
    <w:rsid w:val="00740EE2"/>
    <w:rsid w:val="0074206D"/>
    <w:rsid w:val="00742680"/>
    <w:rsid w:val="00750153"/>
    <w:rsid w:val="0075022F"/>
    <w:rsid w:val="007511C3"/>
    <w:rsid w:val="00752A37"/>
    <w:rsid w:val="0075533C"/>
    <w:rsid w:val="00755A18"/>
    <w:rsid w:val="00757581"/>
    <w:rsid w:val="007602F5"/>
    <w:rsid w:val="00760D36"/>
    <w:rsid w:val="007611A0"/>
    <w:rsid w:val="0076398C"/>
    <w:rsid w:val="00765CC3"/>
    <w:rsid w:val="0076624D"/>
    <w:rsid w:val="00772574"/>
    <w:rsid w:val="00772F55"/>
    <w:rsid w:val="00773E54"/>
    <w:rsid w:val="007740B9"/>
    <w:rsid w:val="0077642E"/>
    <w:rsid w:val="007768F8"/>
    <w:rsid w:val="007772D7"/>
    <w:rsid w:val="00777A83"/>
    <w:rsid w:val="00777CCD"/>
    <w:rsid w:val="00784A03"/>
    <w:rsid w:val="007856CE"/>
    <w:rsid w:val="0078581E"/>
    <w:rsid w:val="00786843"/>
    <w:rsid w:val="00787688"/>
    <w:rsid w:val="0078781A"/>
    <w:rsid w:val="007935E6"/>
    <w:rsid w:val="0079503F"/>
    <w:rsid w:val="00796209"/>
    <w:rsid w:val="00796D3F"/>
    <w:rsid w:val="00797A0D"/>
    <w:rsid w:val="00797DDD"/>
    <w:rsid w:val="007A075B"/>
    <w:rsid w:val="007A1683"/>
    <w:rsid w:val="007A3522"/>
    <w:rsid w:val="007A5017"/>
    <w:rsid w:val="007A5C12"/>
    <w:rsid w:val="007A6EAF"/>
    <w:rsid w:val="007A7CB0"/>
    <w:rsid w:val="007B11D0"/>
    <w:rsid w:val="007B23A4"/>
    <w:rsid w:val="007B68A3"/>
    <w:rsid w:val="007B7446"/>
    <w:rsid w:val="007C0AEB"/>
    <w:rsid w:val="007C20A0"/>
    <w:rsid w:val="007C2541"/>
    <w:rsid w:val="007C467A"/>
    <w:rsid w:val="007C6842"/>
    <w:rsid w:val="007C75F5"/>
    <w:rsid w:val="007D0C96"/>
    <w:rsid w:val="007D66A8"/>
    <w:rsid w:val="007E003F"/>
    <w:rsid w:val="007E0FAA"/>
    <w:rsid w:val="007E2691"/>
    <w:rsid w:val="007E299C"/>
    <w:rsid w:val="007E3447"/>
    <w:rsid w:val="007E444E"/>
    <w:rsid w:val="007E65A8"/>
    <w:rsid w:val="007F0CF8"/>
    <w:rsid w:val="007F3807"/>
    <w:rsid w:val="007F41C2"/>
    <w:rsid w:val="007F5E1B"/>
    <w:rsid w:val="007F5E7D"/>
    <w:rsid w:val="007F62CB"/>
    <w:rsid w:val="007F74EA"/>
    <w:rsid w:val="00804A22"/>
    <w:rsid w:val="00806D74"/>
    <w:rsid w:val="00807063"/>
    <w:rsid w:val="008132A6"/>
    <w:rsid w:val="00813586"/>
    <w:rsid w:val="00813DBB"/>
    <w:rsid w:val="00813FA0"/>
    <w:rsid w:val="008142EC"/>
    <w:rsid w:val="008164F2"/>
    <w:rsid w:val="00816847"/>
    <w:rsid w:val="008207A5"/>
    <w:rsid w:val="00821395"/>
    <w:rsid w:val="00822418"/>
    <w:rsid w:val="00823E33"/>
    <w:rsid w:val="0082625D"/>
    <w:rsid w:val="00826977"/>
    <w:rsid w:val="00827BCD"/>
    <w:rsid w:val="00827C43"/>
    <w:rsid w:val="00830B17"/>
    <w:rsid w:val="00830E26"/>
    <w:rsid w:val="00834368"/>
    <w:rsid w:val="0083441A"/>
    <w:rsid w:val="00834E38"/>
    <w:rsid w:val="00835F3F"/>
    <w:rsid w:val="00841405"/>
    <w:rsid w:val="00843576"/>
    <w:rsid w:val="00843B64"/>
    <w:rsid w:val="00845261"/>
    <w:rsid w:val="008452C5"/>
    <w:rsid w:val="00846B84"/>
    <w:rsid w:val="008478FC"/>
    <w:rsid w:val="0085023E"/>
    <w:rsid w:val="00851C51"/>
    <w:rsid w:val="008521B2"/>
    <w:rsid w:val="008538F7"/>
    <w:rsid w:val="00856712"/>
    <w:rsid w:val="008613F7"/>
    <w:rsid w:val="00863367"/>
    <w:rsid w:val="00865FEC"/>
    <w:rsid w:val="00867BFF"/>
    <w:rsid w:val="00870345"/>
    <w:rsid w:val="00871542"/>
    <w:rsid w:val="0087179B"/>
    <w:rsid w:val="00872BF6"/>
    <w:rsid w:val="0088480A"/>
    <w:rsid w:val="00885BC9"/>
    <w:rsid w:val="00886660"/>
    <w:rsid w:val="0088757A"/>
    <w:rsid w:val="00891311"/>
    <w:rsid w:val="00891A8C"/>
    <w:rsid w:val="00893590"/>
    <w:rsid w:val="0089431B"/>
    <w:rsid w:val="00894628"/>
    <w:rsid w:val="0089564B"/>
    <w:rsid w:val="00895668"/>
    <w:rsid w:val="008957D5"/>
    <w:rsid w:val="008957DD"/>
    <w:rsid w:val="00895CD2"/>
    <w:rsid w:val="008961AE"/>
    <w:rsid w:val="00897D98"/>
    <w:rsid w:val="008A09FE"/>
    <w:rsid w:val="008A140E"/>
    <w:rsid w:val="008A17EB"/>
    <w:rsid w:val="008A27F7"/>
    <w:rsid w:val="008A2DD1"/>
    <w:rsid w:val="008A35CE"/>
    <w:rsid w:val="008A4317"/>
    <w:rsid w:val="008A46B8"/>
    <w:rsid w:val="008A4FE9"/>
    <w:rsid w:val="008A59AD"/>
    <w:rsid w:val="008A6DF2"/>
    <w:rsid w:val="008A7807"/>
    <w:rsid w:val="008B06B8"/>
    <w:rsid w:val="008B22F8"/>
    <w:rsid w:val="008B3944"/>
    <w:rsid w:val="008B4CC9"/>
    <w:rsid w:val="008B5118"/>
    <w:rsid w:val="008B7990"/>
    <w:rsid w:val="008C0B15"/>
    <w:rsid w:val="008C30D4"/>
    <w:rsid w:val="008C3940"/>
    <w:rsid w:val="008C4869"/>
    <w:rsid w:val="008C5893"/>
    <w:rsid w:val="008D06F3"/>
    <w:rsid w:val="008D2CC5"/>
    <w:rsid w:val="008D4E40"/>
    <w:rsid w:val="008D5190"/>
    <w:rsid w:val="008D5CB8"/>
    <w:rsid w:val="008D75E4"/>
    <w:rsid w:val="008D7C99"/>
    <w:rsid w:val="008E02A6"/>
    <w:rsid w:val="008E0D03"/>
    <w:rsid w:val="008E0FCB"/>
    <w:rsid w:val="008E1531"/>
    <w:rsid w:val="008E2E94"/>
    <w:rsid w:val="008E3B94"/>
    <w:rsid w:val="008E43CD"/>
    <w:rsid w:val="008E6D31"/>
    <w:rsid w:val="008E79A6"/>
    <w:rsid w:val="008F0AE9"/>
    <w:rsid w:val="008F412D"/>
    <w:rsid w:val="008F46A2"/>
    <w:rsid w:val="008F4B16"/>
    <w:rsid w:val="008F6567"/>
    <w:rsid w:val="008F6DFE"/>
    <w:rsid w:val="00903388"/>
    <w:rsid w:val="0090529F"/>
    <w:rsid w:val="00907E2F"/>
    <w:rsid w:val="009106DB"/>
    <w:rsid w:val="00912C2C"/>
    <w:rsid w:val="00915D85"/>
    <w:rsid w:val="009167E5"/>
    <w:rsid w:val="009176E4"/>
    <w:rsid w:val="00917D95"/>
    <w:rsid w:val="00920978"/>
    <w:rsid w:val="0092178C"/>
    <w:rsid w:val="009234B0"/>
    <w:rsid w:val="00924744"/>
    <w:rsid w:val="009308A1"/>
    <w:rsid w:val="00930B88"/>
    <w:rsid w:val="009319C5"/>
    <w:rsid w:val="0093330D"/>
    <w:rsid w:val="00935376"/>
    <w:rsid w:val="00935824"/>
    <w:rsid w:val="00940CE5"/>
    <w:rsid w:val="00940DCC"/>
    <w:rsid w:val="0094179A"/>
    <w:rsid w:val="009426D2"/>
    <w:rsid w:val="0094459E"/>
    <w:rsid w:val="00944DBC"/>
    <w:rsid w:val="00947814"/>
    <w:rsid w:val="00950221"/>
    <w:rsid w:val="00950977"/>
    <w:rsid w:val="00951962"/>
    <w:rsid w:val="00951A7B"/>
    <w:rsid w:val="00955512"/>
    <w:rsid w:val="00955AEC"/>
    <w:rsid w:val="009564A6"/>
    <w:rsid w:val="00956611"/>
    <w:rsid w:val="00957EF8"/>
    <w:rsid w:val="00957F8A"/>
    <w:rsid w:val="00962EE4"/>
    <w:rsid w:val="00966A53"/>
    <w:rsid w:val="00967621"/>
    <w:rsid w:val="00967E6A"/>
    <w:rsid w:val="0097068D"/>
    <w:rsid w:val="0097109D"/>
    <w:rsid w:val="00972E14"/>
    <w:rsid w:val="009746B0"/>
    <w:rsid w:val="00974F45"/>
    <w:rsid w:val="00975042"/>
    <w:rsid w:val="00976677"/>
    <w:rsid w:val="009809D9"/>
    <w:rsid w:val="009813AA"/>
    <w:rsid w:val="00985027"/>
    <w:rsid w:val="00987A71"/>
    <w:rsid w:val="009907B9"/>
    <w:rsid w:val="00990918"/>
    <w:rsid w:val="009913A7"/>
    <w:rsid w:val="009A041A"/>
    <w:rsid w:val="009A0D37"/>
    <w:rsid w:val="009A3117"/>
    <w:rsid w:val="009A399C"/>
    <w:rsid w:val="009A3A83"/>
    <w:rsid w:val="009A3EAF"/>
    <w:rsid w:val="009A5946"/>
    <w:rsid w:val="009B377E"/>
    <w:rsid w:val="009B3EB2"/>
    <w:rsid w:val="009B4A0F"/>
    <w:rsid w:val="009B4AD7"/>
    <w:rsid w:val="009B62AE"/>
    <w:rsid w:val="009B660B"/>
    <w:rsid w:val="009C0FFD"/>
    <w:rsid w:val="009C11D2"/>
    <w:rsid w:val="009C1722"/>
    <w:rsid w:val="009C1E93"/>
    <w:rsid w:val="009C2339"/>
    <w:rsid w:val="009C2C6F"/>
    <w:rsid w:val="009C5C60"/>
    <w:rsid w:val="009C6595"/>
    <w:rsid w:val="009C6C70"/>
    <w:rsid w:val="009C789F"/>
    <w:rsid w:val="009C7B0A"/>
    <w:rsid w:val="009D0B63"/>
    <w:rsid w:val="009D3509"/>
    <w:rsid w:val="009D409D"/>
    <w:rsid w:val="009D5CB8"/>
    <w:rsid w:val="009D5EC9"/>
    <w:rsid w:val="009E307E"/>
    <w:rsid w:val="009E3F82"/>
    <w:rsid w:val="009E40F6"/>
    <w:rsid w:val="009E4DB0"/>
    <w:rsid w:val="009E62FA"/>
    <w:rsid w:val="009E669D"/>
    <w:rsid w:val="009E7DE9"/>
    <w:rsid w:val="009F4FAD"/>
    <w:rsid w:val="009F7488"/>
    <w:rsid w:val="00A01FF6"/>
    <w:rsid w:val="00A0326C"/>
    <w:rsid w:val="00A03890"/>
    <w:rsid w:val="00A057E8"/>
    <w:rsid w:val="00A06058"/>
    <w:rsid w:val="00A07870"/>
    <w:rsid w:val="00A07C54"/>
    <w:rsid w:val="00A07F19"/>
    <w:rsid w:val="00A109BC"/>
    <w:rsid w:val="00A10ABB"/>
    <w:rsid w:val="00A12113"/>
    <w:rsid w:val="00A12740"/>
    <w:rsid w:val="00A12C70"/>
    <w:rsid w:val="00A1348D"/>
    <w:rsid w:val="00A136A1"/>
    <w:rsid w:val="00A13971"/>
    <w:rsid w:val="00A13C99"/>
    <w:rsid w:val="00A13ED1"/>
    <w:rsid w:val="00A15920"/>
    <w:rsid w:val="00A159B5"/>
    <w:rsid w:val="00A219F7"/>
    <w:rsid w:val="00A232EE"/>
    <w:rsid w:val="00A27101"/>
    <w:rsid w:val="00A279A1"/>
    <w:rsid w:val="00A33A87"/>
    <w:rsid w:val="00A33D00"/>
    <w:rsid w:val="00A34322"/>
    <w:rsid w:val="00A361E9"/>
    <w:rsid w:val="00A36549"/>
    <w:rsid w:val="00A37E4B"/>
    <w:rsid w:val="00A37E8A"/>
    <w:rsid w:val="00A41418"/>
    <w:rsid w:val="00A4175F"/>
    <w:rsid w:val="00A436CC"/>
    <w:rsid w:val="00A44411"/>
    <w:rsid w:val="00A46724"/>
    <w:rsid w:val="00A4673D"/>
    <w:rsid w:val="00A4696E"/>
    <w:rsid w:val="00A469FA"/>
    <w:rsid w:val="00A50C65"/>
    <w:rsid w:val="00A51A7B"/>
    <w:rsid w:val="00A5364D"/>
    <w:rsid w:val="00A53662"/>
    <w:rsid w:val="00A55B01"/>
    <w:rsid w:val="00A56B5B"/>
    <w:rsid w:val="00A57921"/>
    <w:rsid w:val="00A603FF"/>
    <w:rsid w:val="00A6051F"/>
    <w:rsid w:val="00A60DC8"/>
    <w:rsid w:val="00A619B6"/>
    <w:rsid w:val="00A648CA"/>
    <w:rsid w:val="00A65304"/>
    <w:rsid w:val="00A657DD"/>
    <w:rsid w:val="00A66339"/>
    <w:rsid w:val="00A66494"/>
    <w:rsid w:val="00A664F6"/>
    <w:rsid w:val="00A666A6"/>
    <w:rsid w:val="00A675FD"/>
    <w:rsid w:val="00A70242"/>
    <w:rsid w:val="00A72437"/>
    <w:rsid w:val="00A7489D"/>
    <w:rsid w:val="00A751A2"/>
    <w:rsid w:val="00A76DB8"/>
    <w:rsid w:val="00A8048B"/>
    <w:rsid w:val="00A80611"/>
    <w:rsid w:val="00A82A69"/>
    <w:rsid w:val="00A8341E"/>
    <w:rsid w:val="00A84118"/>
    <w:rsid w:val="00A845B6"/>
    <w:rsid w:val="00A849AE"/>
    <w:rsid w:val="00A91944"/>
    <w:rsid w:val="00A91D90"/>
    <w:rsid w:val="00A95971"/>
    <w:rsid w:val="00AA1BE3"/>
    <w:rsid w:val="00AA5BF4"/>
    <w:rsid w:val="00AA636A"/>
    <w:rsid w:val="00AA6B30"/>
    <w:rsid w:val="00AA7D8F"/>
    <w:rsid w:val="00AB1671"/>
    <w:rsid w:val="00AB5340"/>
    <w:rsid w:val="00AB6223"/>
    <w:rsid w:val="00AC0A89"/>
    <w:rsid w:val="00AC3761"/>
    <w:rsid w:val="00AC5124"/>
    <w:rsid w:val="00AC6AEE"/>
    <w:rsid w:val="00AC7C96"/>
    <w:rsid w:val="00AD25B8"/>
    <w:rsid w:val="00AD2971"/>
    <w:rsid w:val="00AD2C0E"/>
    <w:rsid w:val="00AD3593"/>
    <w:rsid w:val="00AD4B78"/>
    <w:rsid w:val="00AD4EC9"/>
    <w:rsid w:val="00AD7D57"/>
    <w:rsid w:val="00AD7E64"/>
    <w:rsid w:val="00AE0812"/>
    <w:rsid w:val="00AE22EE"/>
    <w:rsid w:val="00AE237D"/>
    <w:rsid w:val="00AE2FCF"/>
    <w:rsid w:val="00AE49CF"/>
    <w:rsid w:val="00AE502A"/>
    <w:rsid w:val="00AE7D3C"/>
    <w:rsid w:val="00AF0010"/>
    <w:rsid w:val="00AF01E5"/>
    <w:rsid w:val="00AF159F"/>
    <w:rsid w:val="00AF1AA8"/>
    <w:rsid w:val="00AF2C1F"/>
    <w:rsid w:val="00AF6FAD"/>
    <w:rsid w:val="00AF7C07"/>
    <w:rsid w:val="00AF7C25"/>
    <w:rsid w:val="00AF7F22"/>
    <w:rsid w:val="00B0315B"/>
    <w:rsid w:val="00B04DC7"/>
    <w:rsid w:val="00B05D92"/>
    <w:rsid w:val="00B0611F"/>
    <w:rsid w:val="00B06929"/>
    <w:rsid w:val="00B06C64"/>
    <w:rsid w:val="00B076F2"/>
    <w:rsid w:val="00B07D8E"/>
    <w:rsid w:val="00B102C7"/>
    <w:rsid w:val="00B11CAC"/>
    <w:rsid w:val="00B15A29"/>
    <w:rsid w:val="00B22C93"/>
    <w:rsid w:val="00B24F2A"/>
    <w:rsid w:val="00B258CF"/>
    <w:rsid w:val="00B259B2"/>
    <w:rsid w:val="00B2621D"/>
    <w:rsid w:val="00B27589"/>
    <w:rsid w:val="00B3204F"/>
    <w:rsid w:val="00B32DE1"/>
    <w:rsid w:val="00B33D74"/>
    <w:rsid w:val="00B35EC8"/>
    <w:rsid w:val="00B4048A"/>
    <w:rsid w:val="00B405B7"/>
    <w:rsid w:val="00B45535"/>
    <w:rsid w:val="00B45A84"/>
    <w:rsid w:val="00B468C0"/>
    <w:rsid w:val="00B50B26"/>
    <w:rsid w:val="00B52222"/>
    <w:rsid w:val="00B530DC"/>
    <w:rsid w:val="00B531DA"/>
    <w:rsid w:val="00B540C1"/>
    <w:rsid w:val="00B54895"/>
    <w:rsid w:val="00B54FE7"/>
    <w:rsid w:val="00B557F6"/>
    <w:rsid w:val="00B55D23"/>
    <w:rsid w:val="00B56125"/>
    <w:rsid w:val="00B626D3"/>
    <w:rsid w:val="00B646AE"/>
    <w:rsid w:val="00B647C6"/>
    <w:rsid w:val="00B655F9"/>
    <w:rsid w:val="00B65CDF"/>
    <w:rsid w:val="00B66901"/>
    <w:rsid w:val="00B66F60"/>
    <w:rsid w:val="00B6796F"/>
    <w:rsid w:val="00B6798F"/>
    <w:rsid w:val="00B71E6D"/>
    <w:rsid w:val="00B72070"/>
    <w:rsid w:val="00B7210F"/>
    <w:rsid w:val="00B7285B"/>
    <w:rsid w:val="00B73405"/>
    <w:rsid w:val="00B759BB"/>
    <w:rsid w:val="00B779E1"/>
    <w:rsid w:val="00B77F53"/>
    <w:rsid w:val="00B81E3A"/>
    <w:rsid w:val="00B843EF"/>
    <w:rsid w:val="00B84F2C"/>
    <w:rsid w:val="00B85CFB"/>
    <w:rsid w:val="00B914E9"/>
    <w:rsid w:val="00B91DCA"/>
    <w:rsid w:val="00B91EE1"/>
    <w:rsid w:val="00B942FF"/>
    <w:rsid w:val="00B94602"/>
    <w:rsid w:val="00B94668"/>
    <w:rsid w:val="00B94787"/>
    <w:rsid w:val="00B96FD4"/>
    <w:rsid w:val="00BA0090"/>
    <w:rsid w:val="00BA076D"/>
    <w:rsid w:val="00BA1583"/>
    <w:rsid w:val="00BA1A67"/>
    <w:rsid w:val="00BA3733"/>
    <w:rsid w:val="00BA5A16"/>
    <w:rsid w:val="00BA6A80"/>
    <w:rsid w:val="00BB1DFD"/>
    <w:rsid w:val="00BB396B"/>
    <w:rsid w:val="00BB4998"/>
    <w:rsid w:val="00BB4A71"/>
    <w:rsid w:val="00BB4ABB"/>
    <w:rsid w:val="00BB7E57"/>
    <w:rsid w:val="00BC0FF1"/>
    <w:rsid w:val="00BC38C0"/>
    <w:rsid w:val="00BC4135"/>
    <w:rsid w:val="00BC62BA"/>
    <w:rsid w:val="00BC7343"/>
    <w:rsid w:val="00BC7B6D"/>
    <w:rsid w:val="00BD0B37"/>
    <w:rsid w:val="00BD3697"/>
    <w:rsid w:val="00BD4D9A"/>
    <w:rsid w:val="00BD5573"/>
    <w:rsid w:val="00BD6959"/>
    <w:rsid w:val="00BE0048"/>
    <w:rsid w:val="00BE0E42"/>
    <w:rsid w:val="00BE2E9A"/>
    <w:rsid w:val="00BE2F41"/>
    <w:rsid w:val="00BE5B5F"/>
    <w:rsid w:val="00BE6349"/>
    <w:rsid w:val="00BE6976"/>
    <w:rsid w:val="00BE7993"/>
    <w:rsid w:val="00BF2760"/>
    <w:rsid w:val="00BF4CF4"/>
    <w:rsid w:val="00BF67A2"/>
    <w:rsid w:val="00C0032B"/>
    <w:rsid w:val="00C03677"/>
    <w:rsid w:val="00C055B1"/>
    <w:rsid w:val="00C11971"/>
    <w:rsid w:val="00C126D5"/>
    <w:rsid w:val="00C14585"/>
    <w:rsid w:val="00C152D1"/>
    <w:rsid w:val="00C1592A"/>
    <w:rsid w:val="00C15BF4"/>
    <w:rsid w:val="00C179DE"/>
    <w:rsid w:val="00C2189F"/>
    <w:rsid w:val="00C22B55"/>
    <w:rsid w:val="00C2437C"/>
    <w:rsid w:val="00C26999"/>
    <w:rsid w:val="00C26F55"/>
    <w:rsid w:val="00C27140"/>
    <w:rsid w:val="00C30C63"/>
    <w:rsid w:val="00C30FF3"/>
    <w:rsid w:val="00C31006"/>
    <w:rsid w:val="00C31CD0"/>
    <w:rsid w:val="00C32AE2"/>
    <w:rsid w:val="00C34D5C"/>
    <w:rsid w:val="00C36B8B"/>
    <w:rsid w:val="00C36DDC"/>
    <w:rsid w:val="00C415C1"/>
    <w:rsid w:val="00C42706"/>
    <w:rsid w:val="00C44630"/>
    <w:rsid w:val="00C45C74"/>
    <w:rsid w:val="00C46475"/>
    <w:rsid w:val="00C47DBF"/>
    <w:rsid w:val="00C54468"/>
    <w:rsid w:val="00C54622"/>
    <w:rsid w:val="00C552FF"/>
    <w:rsid w:val="00C558DA"/>
    <w:rsid w:val="00C55AF3"/>
    <w:rsid w:val="00C55C3F"/>
    <w:rsid w:val="00C56F63"/>
    <w:rsid w:val="00C638F1"/>
    <w:rsid w:val="00C63A90"/>
    <w:rsid w:val="00C65E82"/>
    <w:rsid w:val="00C66A15"/>
    <w:rsid w:val="00C67FFA"/>
    <w:rsid w:val="00C70F90"/>
    <w:rsid w:val="00C72BFB"/>
    <w:rsid w:val="00C730D3"/>
    <w:rsid w:val="00C745B8"/>
    <w:rsid w:val="00C75E0A"/>
    <w:rsid w:val="00C76513"/>
    <w:rsid w:val="00C771A9"/>
    <w:rsid w:val="00C77439"/>
    <w:rsid w:val="00C82943"/>
    <w:rsid w:val="00C84329"/>
    <w:rsid w:val="00C846B1"/>
    <w:rsid w:val="00C84759"/>
    <w:rsid w:val="00C86F5A"/>
    <w:rsid w:val="00C9267D"/>
    <w:rsid w:val="00C92B2B"/>
    <w:rsid w:val="00C93096"/>
    <w:rsid w:val="00C96761"/>
    <w:rsid w:val="00C96A49"/>
    <w:rsid w:val="00CA3C08"/>
    <w:rsid w:val="00CA5CA9"/>
    <w:rsid w:val="00CA6C7F"/>
    <w:rsid w:val="00CB007D"/>
    <w:rsid w:val="00CB1A4C"/>
    <w:rsid w:val="00CB1CA0"/>
    <w:rsid w:val="00CB292C"/>
    <w:rsid w:val="00CB30C3"/>
    <w:rsid w:val="00CB60CA"/>
    <w:rsid w:val="00CC0FC7"/>
    <w:rsid w:val="00CC10A6"/>
    <w:rsid w:val="00CC227D"/>
    <w:rsid w:val="00CC2E1A"/>
    <w:rsid w:val="00CC6D13"/>
    <w:rsid w:val="00CC75DF"/>
    <w:rsid w:val="00CC7633"/>
    <w:rsid w:val="00CD231F"/>
    <w:rsid w:val="00CD3224"/>
    <w:rsid w:val="00CD5230"/>
    <w:rsid w:val="00CD5EB8"/>
    <w:rsid w:val="00CD6121"/>
    <w:rsid w:val="00CD7044"/>
    <w:rsid w:val="00CE08B9"/>
    <w:rsid w:val="00CE0D4B"/>
    <w:rsid w:val="00CE1B7C"/>
    <w:rsid w:val="00CE1BED"/>
    <w:rsid w:val="00CE3515"/>
    <w:rsid w:val="00CE4E08"/>
    <w:rsid w:val="00CE524C"/>
    <w:rsid w:val="00CE54C6"/>
    <w:rsid w:val="00CF141F"/>
    <w:rsid w:val="00CF1C83"/>
    <w:rsid w:val="00CF4777"/>
    <w:rsid w:val="00CF65C8"/>
    <w:rsid w:val="00D0007A"/>
    <w:rsid w:val="00D013F5"/>
    <w:rsid w:val="00D0209D"/>
    <w:rsid w:val="00D033A6"/>
    <w:rsid w:val="00D033D6"/>
    <w:rsid w:val="00D034C2"/>
    <w:rsid w:val="00D045FB"/>
    <w:rsid w:val="00D04CA2"/>
    <w:rsid w:val="00D05E3F"/>
    <w:rsid w:val="00D064E8"/>
    <w:rsid w:val="00D067BB"/>
    <w:rsid w:val="00D113E2"/>
    <w:rsid w:val="00D12B51"/>
    <w:rsid w:val="00D12E43"/>
    <w:rsid w:val="00D1352A"/>
    <w:rsid w:val="00D1638E"/>
    <w:rsid w:val="00D169AF"/>
    <w:rsid w:val="00D16EE3"/>
    <w:rsid w:val="00D200EF"/>
    <w:rsid w:val="00D22377"/>
    <w:rsid w:val="00D25175"/>
    <w:rsid w:val="00D25249"/>
    <w:rsid w:val="00D25F9E"/>
    <w:rsid w:val="00D26854"/>
    <w:rsid w:val="00D26D63"/>
    <w:rsid w:val="00D319AD"/>
    <w:rsid w:val="00D31AFF"/>
    <w:rsid w:val="00D324EE"/>
    <w:rsid w:val="00D34389"/>
    <w:rsid w:val="00D368FB"/>
    <w:rsid w:val="00D37CDE"/>
    <w:rsid w:val="00D420A4"/>
    <w:rsid w:val="00D436F6"/>
    <w:rsid w:val="00D44172"/>
    <w:rsid w:val="00D455C4"/>
    <w:rsid w:val="00D45AA7"/>
    <w:rsid w:val="00D47BE3"/>
    <w:rsid w:val="00D506C4"/>
    <w:rsid w:val="00D547CD"/>
    <w:rsid w:val="00D55EC0"/>
    <w:rsid w:val="00D63B8C"/>
    <w:rsid w:val="00D71C0A"/>
    <w:rsid w:val="00D725B5"/>
    <w:rsid w:val="00D7358E"/>
    <w:rsid w:val="00D739CC"/>
    <w:rsid w:val="00D75DEA"/>
    <w:rsid w:val="00D76205"/>
    <w:rsid w:val="00D7738D"/>
    <w:rsid w:val="00D77FE8"/>
    <w:rsid w:val="00D806F9"/>
    <w:rsid w:val="00D8093D"/>
    <w:rsid w:val="00D80A24"/>
    <w:rsid w:val="00D8108C"/>
    <w:rsid w:val="00D842AE"/>
    <w:rsid w:val="00D84323"/>
    <w:rsid w:val="00D86FCB"/>
    <w:rsid w:val="00D9211C"/>
    <w:rsid w:val="00D92DE0"/>
    <w:rsid w:val="00D92FEF"/>
    <w:rsid w:val="00D931F9"/>
    <w:rsid w:val="00D93A0F"/>
    <w:rsid w:val="00D9494F"/>
    <w:rsid w:val="00D954FE"/>
    <w:rsid w:val="00DA1BCA"/>
    <w:rsid w:val="00DA3663"/>
    <w:rsid w:val="00DA72F5"/>
    <w:rsid w:val="00DB0BCF"/>
    <w:rsid w:val="00DB24F4"/>
    <w:rsid w:val="00DB295A"/>
    <w:rsid w:val="00DB56BA"/>
    <w:rsid w:val="00DC01F7"/>
    <w:rsid w:val="00DC0625"/>
    <w:rsid w:val="00DC153D"/>
    <w:rsid w:val="00DC274A"/>
    <w:rsid w:val="00DC3403"/>
    <w:rsid w:val="00DC3B48"/>
    <w:rsid w:val="00DC46FF"/>
    <w:rsid w:val="00DC4840"/>
    <w:rsid w:val="00DC5254"/>
    <w:rsid w:val="00DC569D"/>
    <w:rsid w:val="00DC61F4"/>
    <w:rsid w:val="00DD0FCB"/>
    <w:rsid w:val="00DD1A4F"/>
    <w:rsid w:val="00DD1CF9"/>
    <w:rsid w:val="00DD3107"/>
    <w:rsid w:val="00DD4C70"/>
    <w:rsid w:val="00DD68AD"/>
    <w:rsid w:val="00DD7407"/>
    <w:rsid w:val="00DD7741"/>
    <w:rsid w:val="00DD7C2C"/>
    <w:rsid w:val="00DE0E4E"/>
    <w:rsid w:val="00DE5BDA"/>
    <w:rsid w:val="00DE5C2A"/>
    <w:rsid w:val="00DE7FFB"/>
    <w:rsid w:val="00DF1CA7"/>
    <w:rsid w:val="00DF3B4D"/>
    <w:rsid w:val="00DF433C"/>
    <w:rsid w:val="00DF519F"/>
    <w:rsid w:val="00DF5867"/>
    <w:rsid w:val="00DF6921"/>
    <w:rsid w:val="00E0035A"/>
    <w:rsid w:val="00E06797"/>
    <w:rsid w:val="00E06A20"/>
    <w:rsid w:val="00E06EAF"/>
    <w:rsid w:val="00E1265B"/>
    <w:rsid w:val="00E12E09"/>
    <w:rsid w:val="00E13B48"/>
    <w:rsid w:val="00E1404F"/>
    <w:rsid w:val="00E1739A"/>
    <w:rsid w:val="00E21C83"/>
    <w:rsid w:val="00E243AB"/>
    <w:rsid w:val="00E24ADA"/>
    <w:rsid w:val="00E24EBE"/>
    <w:rsid w:val="00E2592C"/>
    <w:rsid w:val="00E32F59"/>
    <w:rsid w:val="00E377E9"/>
    <w:rsid w:val="00E406DE"/>
    <w:rsid w:val="00E41908"/>
    <w:rsid w:val="00E41E77"/>
    <w:rsid w:val="00E4254D"/>
    <w:rsid w:val="00E42618"/>
    <w:rsid w:val="00E44420"/>
    <w:rsid w:val="00E458AD"/>
    <w:rsid w:val="00E45B1B"/>
    <w:rsid w:val="00E4622F"/>
    <w:rsid w:val="00E46D9A"/>
    <w:rsid w:val="00E4739D"/>
    <w:rsid w:val="00E51206"/>
    <w:rsid w:val="00E565FF"/>
    <w:rsid w:val="00E5693F"/>
    <w:rsid w:val="00E56D12"/>
    <w:rsid w:val="00E5787A"/>
    <w:rsid w:val="00E63DCE"/>
    <w:rsid w:val="00E65388"/>
    <w:rsid w:val="00E65BB7"/>
    <w:rsid w:val="00E66DF9"/>
    <w:rsid w:val="00E70089"/>
    <w:rsid w:val="00E70784"/>
    <w:rsid w:val="00E70C13"/>
    <w:rsid w:val="00E745D9"/>
    <w:rsid w:val="00E762A9"/>
    <w:rsid w:val="00E768D1"/>
    <w:rsid w:val="00E7741D"/>
    <w:rsid w:val="00E808CD"/>
    <w:rsid w:val="00E80C2A"/>
    <w:rsid w:val="00E81129"/>
    <w:rsid w:val="00E8302A"/>
    <w:rsid w:val="00E8348F"/>
    <w:rsid w:val="00E85B7D"/>
    <w:rsid w:val="00E86391"/>
    <w:rsid w:val="00E86CD2"/>
    <w:rsid w:val="00E86D97"/>
    <w:rsid w:val="00E9121B"/>
    <w:rsid w:val="00E9302E"/>
    <w:rsid w:val="00E93C3E"/>
    <w:rsid w:val="00E94D67"/>
    <w:rsid w:val="00E976AB"/>
    <w:rsid w:val="00E976ED"/>
    <w:rsid w:val="00EA0AE2"/>
    <w:rsid w:val="00EA2C29"/>
    <w:rsid w:val="00EA39E5"/>
    <w:rsid w:val="00EA3BAC"/>
    <w:rsid w:val="00EA549D"/>
    <w:rsid w:val="00EA57A3"/>
    <w:rsid w:val="00EB0390"/>
    <w:rsid w:val="00EB3A9B"/>
    <w:rsid w:val="00EB4597"/>
    <w:rsid w:val="00EB532F"/>
    <w:rsid w:val="00EB6435"/>
    <w:rsid w:val="00EC166C"/>
    <w:rsid w:val="00EC2813"/>
    <w:rsid w:val="00EC2FAA"/>
    <w:rsid w:val="00EC4D79"/>
    <w:rsid w:val="00EC5A46"/>
    <w:rsid w:val="00EC63E2"/>
    <w:rsid w:val="00EC693E"/>
    <w:rsid w:val="00ED0225"/>
    <w:rsid w:val="00ED0C40"/>
    <w:rsid w:val="00ED325C"/>
    <w:rsid w:val="00ED366A"/>
    <w:rsid w:val="00ED6BB7"/>
    <w:rsid w:val="00ED7780"/>
    <w:rsid w:val="00EE0FBF"/>
    <w:rsid w:val="00EE2807"/>
    <w:rsid w:val="00EE28BD"/>
    <w:rsid w:val="00EE3A9B"/>
    <w:rsid w:val="00EE5A31"/>
    <w:rsid w:val="00EE63A5"/>
    <w:rsid w:val="00EF22B3"/>
    <w:rsid w:val="00EF4140"/>
    <w:rsid w:val="00F00C81"/>
    <w:rsid w:val="00F03B69"/>
    <w:rsid w:val="00F06453"/>
    <w:rsid w:val="00F06A9B"/>
    <w:rsid w:val="00F06BDA"/>
    <w:rsid w:val="00F07A50"/>
    <w:rsid w:val="00F103CF"/>
    <w:rsid w:val="00F1047E"/>
    <w:rsid w:val="00F113DA"/>
    <w:rsid w:val="00F2047D"/>
    <w:rsid w:val="00F20C36"/>
    <w:rsid w:val="00F22911"/>
    <w:rsid w:val="00F24167"/>
    <w:rsid w:val="00F266FC"/>
    <w:rsid w:val="00F3037A"/>
    <w:rsid w:val="00F31484"/>
    <w:rsid w:val="00F33009"/>
    <w:rsid w:val="00F3465A"/>
    <w:rsid w:val="00F34B2C"/>
    <w:rsid w:val="00F35F13"/>
    <w:rsid w:val="00F37BF0"/>
    <w:rsid w:val="00F37DC8"/>
    <w:rsid w:val="00F41926"/>
    <w:rsid w:val="00F42179"/>
    <w:rsid w:val="00F439B3"/>
    <w:rsid w:val="00F47825"/>
    <w:rsid w:val="00F50B8C"/>
    <w:rsid w:val="00F523FD"/>
    <w:rsid w:val="00F5283D"/>
    <w:rsid w:val="00F6061C"/>
    <w:rsid w:val="00F61AB4"/>
    <w:rsid w:val="00F623C9"/>
    <w:rsid w:val="00F62601"/>
    <w:rsid w:val="00F6262D"/>
    <w:rsid w:val="00F62D46"/>
    <w:rsid w:val="00F633DE"/>
    <w:rsid w:val="00F635CE"/>
    <w:rsid w:val="00F64C39"/>
    <w:rsid w:val="00F650C3"/>
    <w:rsid w:val="00F65B84"/>
    <w:rsid w:val="00F65D85"/>
    <w:rsid w:val="00F6700B"/>
    <w:rsid w:val="00F6760B"/>
    <w:rsid w:val="00F707A6"/>
    <w:rsid w:val="00F7137B"/>
    <w:rsid w:val="00F71C73"/>
    <w:rsid w:val="00F71DF1"/>
    <w:rsid w:val="00F73346"/>
    <w:rsid w:val="00F75050"/>
    <w:rsid w:val="00F77B3A"/>
    <w:rsid w:val="00F77EC2"/>
    <w:rsid w:val="00F8038D"/>
    <w:rsid w:val="00F8091E"/>
    <w:rsid w:val="00F84101"/>
    <w:rsid w:val="00F8431A"/>
    <w:rsid w:val="00F84AFE"/>
    <w:rsid w:val="00F8581C"/>
    <w:rsid w:val="00F8615C"/>
    <w:rsid w:val="00F86EED"/>
    <w:rsid w:val="00F872E5"/>
    <w:rsid w:val="00F87865"/>
    <w:rsid w:val="00F92B75"/>
    <w:rsid w:val="00F93C0E"/>
    <w:rsid w:val="00F93F76"/>
    <w:rsid w:val="00F94A27"/>
    <w:rsid w:val="00F95DC1"/>
    <w:rsid w:val="00F969E5"/>
    <w:rsid w:val="00F96EDC"/>
    <w:rsid w:val="00FA2E2E"/>
    <w:rsid w:val="00FA4221"/>
    <w:rsid w:val="00FA4972"/>
    <w:rsid w:val="00FA6BB0"/>
    <w:rsid w:val="00FB142A"/>
    <w:rsid w:val="00FB1B29"/>
    <w:rsid w:val="00FB1B51"/>
    <w:rsid w:val="00FB2DBD"/>
    <w:rsid w:val="00FB3DF2"/>
    <w:rsid w:val="00FB7173"/>
    <w:rsid w:val="00FC05A8"/>
    <w:rsid w:val="00FC1279"/>
    <w:rsid w:val="00FC289C"/>
    <w:rsid w:val="00FC50BD"/>
    <w:rsid w:val="00FC57DA"/>
    <w:rsid w:val="00FC65A0"/>
    <w:rsid w:val="00FD11B4"/>
    <w:rsid w:val="00FD48DF"/>
    <w:rsid w:val="00FD492A"/>
    <w:rsid w:val="00FD5860"/>
    <w:rsid w:val="00FD6376"/>
    <w:rsid w:val="00FD6D4F"/>
    <w:rsid w:val="00FE0180"/>
    <w:rsid w:val="00FE1916"/>
    <w:rsid w:val="00FE1C3B"/>
    <w:rsid w:val="00FE20B2"/>
    <w:rsid w:val="00FE352D"/>
    <w:rsid w:val="00FE40EB"/>
    <w:rsid w:val="00FE4750"/>
    <w:rsid w:val="00FE4D02"/>
    <w:rsid w:val="00FE58E1"/>
    <w:rsid w:val="00FE703C"/>
    <w:rsid w:val="00FE7D62"/>
    <w:rsid w:val="00FF0DA0"/>
    <w:rsid w:val="00FF0F5E"/>
    <w:rsid w:val="00FF2B7A"/>
    <w:rsid w:val="00FF3819"/>
    <w:rsid w:val="00FF64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3BB233"/>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8A35CE"/>
    <w:pPr>
      <w:tabs>
        <w:tab w:val="left" w:pos="1247"/>
        <w:tab w:val="left" w:pos="1814"/>
        <w:tab w:val="left" w:pos="2381"/>
        <w:tab w:val="left" w:pos="2948"/>
        <w:tab w:val="left" w:pos="3515"/>
      </w:tabs>
    </w:pPr>
    <w:rPr>
      <w:lang w:val="fr-FR" w:eastAsia="en-US"/>
    </w:rPr>
  </w:style>
  <w:style w:type="paragraph" w:styleId="Heading1">
    <w:name w:val="heading 1"/>
    <w:basedOn w:val="Normal"/>
    <w:next w:val="Normal"/>
    <w:link w:val="Heading1Char"/>
    <w:qFormat/>
    <w:rsid w:val="008A35CE"/>
    <w:pPr>
      <w:keepNext/>
      <w:spacing w:before="240" w:after="120"/>
      <w:ind w:left="1247" w:hanging="680"/>
      <w:outlineLvl w:val="0"/>
    </w:pPr>
    <w:rPr>
      <w:b/>
      <w:sz w:val="28"/>
    </w:rPr>
  </w:style>
  <w:style w:type="paragraph" w:styleId="Heading2">
    <w:name w:val="heading 2"/>
    <w:basedOn w:val="Normal"/>
    <w:next w:val="Normal"/>
    <w:link w:val="Heading2Char"/>
    <w:qFormat/>
    <w:rsid w:val="008A35CE"/>
    <w:pPr>
      <w:keepNext/>
      <w:spacing w:before="240" w:after="120"/>
      <w:ind w:left="1247" w:hanging="680"/>
      <w:outlineLvl w:val="1"/>
    </w:pPr>
    <w:rPr>
      <w:b/>
      <w:sz w:val="24"/>
      <w:szCs w:val="24"/>
    </w:rPr>
  </w:style>
  <w:style w:type="paragraph" w:styleId="Heading3">
    <w:name w:val="heading 3"/>
    <w:basedOn w:val="Normal"/>
    <w:next w:val="Normal"/>
    <w:link w:val="Heading3Char"/>
    <w:qFormat/>
    <w:rsid w:val="008A35CE"/>
    <w:pPr>
      <w:spacing w:after="120"/>
      <w:ind w:left="1247" w:hanging="680"/>
      <w:outlineLvl w:val="2"/>
    </w:pPr>
    <w:rPr>
      <w:b/>
    </w:rPr>
  </w:style>
  <w:style w:type="paragraph" w:styleId="Heading4">
    <w:name w:val="heading 4"/>
    <w:basedOn w:val="Heading3"/>
    <w:next w:val="Normal"/>
    <w:link w:val="Heading4Char"/>
    <w:qFormat/>
    <w:rsid w:val="008A35CE"/>
    <w:pPr>
      <w:keepNext/>
      <w:outlineLvl w:val="3"/>
    </w:pPr>
  </w:style>
  <w:style w:type="paragraph" w:styleId="Heading5">
    <w:name w:val="heading 5"/>
    <w:basedOn w:val="Normal"/>
    <w:next w:val="Normal"/>
    <w:link w:val="Heading5Char"/>
    <w:qFormat/>
    <w:rsid w:val="008A35CE"/>
    <w:pPr>
      <w:keepNext/>
      <w:outlineLvl w:val="4"/>
    </w:pPr>
    <w:rPr>
      <w:rFonts w:ascii="Univers" w:hAnsi="Univers"/>
      <w:b/>
      <w:sz w:val="24"/>
    </w:rPr>
  </w:style>
  <w:style w:type="paragraph" w:styleId="Heading6">
    <w:name w:val="heading 6"/>
    <w:basedOn w:val="Normal"/>
    <w:next w:val="Normal"/>
    <w:link w:val="Heading6Char"/>
    <w:qFormat/>
    <w:rsid w:val="008A35CE"/>
    <w:pPr>
      <w:keepNext/>
      <w:ind w:left="578"/>
      <w:outlineLvl w:val="5"/>
    </w:pPr>
    <w:rPr>
      <w:b/>
      <w:bCs/>
      <w:sz w:val="24"/>
    </w:rPr>
  </w:style>
  <w:style w:type="paragraph" w:styleId="Heading7">
    <w:name w:val="heading 7"/>
    <w:basedOn w:val="Normal"/>
    <w:next w:val="Normal"/>
    <w:link w:val="Heading7Char"/>
    <w:qFormat/>
    <w:rsid w:val="008A35CE"/>
    <w:pPr>
      <w:keepNext/>
      <w:widowControl w:val="0"/>
      <w:jc w:val="center"/>
      <w:outlineLvl w:val="6"/>
    </w:pPr>
    <w:rPr>
      <w:snapToGrid w:val="0"/>
      <w:u w:val="single"/>
      <w:lang w:val="en-US"/>
    </w:rPr>
  </w:style>
  <w:style w:type="paragraph" w:styleId="Heading8">
    <w:name w:val="heading 8"/>
    <w:basedOn w:val="Normal"/>
    <w:next w:val="Normal"/>
    <w:link w:val="Heading8Char"/>
    <w:qFormat/>
    <w:rsid w:val="008A35CE"/>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8A35CE"/>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8A35CE"/>
    <w:rPr>
      <w:rFonts w:ascii="Times New Roman" w:hAnsi="Times New Roman"/>
      <w:b/>
      <w:sz w:val="18"/>
    </w:rPr>
  </w:style>
  <w:style w:type="table" w:customStyle="1" w:styleId="Tabledocright">
    <w:name w:val="Table_doc_right"/>
    <w:basedOn w:val="TableNormal"/>
    <w:rsid w:val="008A35CE"/>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8A35CE"/>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8A35CE"/>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8A35CE"/>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8A35CE"/>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8A35CE"/>
    <w:rPr>
      <w:bCs w:val="0"/>
    </w:rPr>
  </w:style>
  <w:style w:type="paragraph" w:styleId="TableofFigures">
    <w:name w:val="table of figures"/>
    <w:basedOn w:val="Normal"/>
    <w:next w:val="Normal"/>
    <w:autoRedefine/>
    <w:semiHidden/>
    <w:rsid w:val="008A35CE"/>
    <w:pPr>
      <w:tabs>
        <w:tab w:val="clear" w:pos="1814"/>
        <w:tab w:val="clear" w:pos="2381"/>
        <w:tab w:val="clear" w:pos="2948"/>
        <w:tab w:val="clear" w:pos="3515"/>
      </w:tabs>
      <w:ind w:left="1814" w:hanging="567"/>
    </w:pPr>
  </w:style>
  <w:style w:type="paragraph" w:customStyle="1" w:styleId="CH1">
    <w:name w:val="CH1"/>
    <w:basedOn w:val="Normalpool"/>
    <w:next w:val="Normal"/>
    <w:rsid w:val="008A35CE"/>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
    <w:link w:val="CH2Char"/>
    <w:rsid w:val="008A35CE"/>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
    <w:link w:val="CH3Char"/>
    <w:rsid w:val="008A35CE"/>
    <w:pPr>
      <w:keepNext/>
      <w:keepLines/>
      <w:tabs>
        <w:tab w:val="right" w:pos="851"/>
      </w:tabs>
      <w:suppressAutoHyphens/>
      <w:spacing w:after="120"/>
      <w:ind w:left="1247" w:right="284" w:hanging="1247"/>
    </w:pPr>
    <w:rPr>
      <w:b/>
    </w:rPr>
  </w:style>
  <w:style w:type="paragraph" w:customStyle="1" w:styleId="CH4">
    <w:name w:val="CH4"/>
    <w:basedOn w:val="Normalpool"/>
    <w:next w:val="Normal"/>
    <w:rsid w:val="008A35CE"/>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8A35CE"/>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
    <w:rsid w:val="008A35CE"/>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8A35CE"/>
    <w:pPr>
      <w:tabs>
        <w:tab w:val="left" w:pos="4321"/>
        <w:tab w:val="right" w:pos="8641"/>
      </w:tabs>
      <w:spacing w:before="60" w:after="120"/>
    </w:pPr>
    <w:rPr>
      <w:b/>
      <w:sz w:val="18"/>
    </w:rPr>
  </w:style>
  <w:style w:type="paragraph" w:customStyle="1" w:styleId="Headerpool">
    <w:name w:val="Header_pool"/>
    <w:basedOn w:val="Normal"/>
    <w:next w:val="Normal"/>
    <w:semiHidden/>
    <w:rsid w:val="008A35CE"/>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8A35CE"/>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8A35CE"/>
    <w:pPr>
      <w:tabs>
        <w:tab w:val="left" w:pos="4321"/>
        <w:tab w:val="right" w:pos="8641"/>
      </w:tabs>
      <w:spacing w:before="60" w:after="120"/>
    </w:pPr>
    <w:rPr>
      <w:b/>
      <w:sz w:val="18"/>
    </w:rPr>
  </w:style>
  <w:style w:type="paragraph" w:customStyle="1" w:styleId="Header-pool">
    <w:name w:val="Header-pool"/>
    <w:basedOn w:val="Normal-pool"/>
    <w:next w:val="Normal-pool"/>
    <w:rsid w:val="008A35CE"/>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8A35CE"/>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rsid w:val="008A35CE"/>
    <w:rPr>
      <w:rFonts w:ascii="Times New Roman" w:hAnsi="Times New Roman"/>
      <w:color w:val="auto"/>
      <w:sz w:val="20"/>
      <w:szCs w:val="18"/>
      <w:vertAlign w:val="superscript"/>
    </w:rPr>
  </w:style>
  <w:style w:type="paragraph" w:styleId="FootnoteText">
    <w:name w:val="footnote text"/>
    <w:basedOn w:val="Normalpool"/>
    <w:link w:val="FootnoteTextChar"/>
    <w:rsid w:val="008A35CE"/>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link w:val="FootnoteText"/>
    <w:locked/>
    <w:rsid w:val="008A35CE"/>
    <w:rPr>
      <w:sz w:val="18"/>
      <w:lang w:val="fr-CA"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8A35CE"/>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8A35CE"/>
    <w:pPr>
      <w:keepNext/>
      <w:keepLines/>
      <w:suppressAutoHyphens/>
      <w:ind w:right="5103"/>
    </w:pPr>
    <w:rPr>
      <w:b/>
    </w:rPr>
  </w:style>
  <w:style w:type="paragraph" w:customStyle="1" w:styleId="AATitle2">
    <w:name w:val="AA_Title2"/>
    <w:basedOn w:val="AATitle"/>
    <w:rsid w:val="008A35CE"/>
    <w:pPr>
      <w:tabs>
        <w:tab w:val="clear" w:pos="4082"/>
      </w:tabs>
      <w:spacing w:before="120" w:after="120"/>
      <w:ind w:right="4536"/>
    </w:pPr>
  </w:style>
  <w:style w:type="paragraph" w:customStyle="1" w:styleId="BBTitle">
    <w:name w:val="BB_Title"/>
    <w:basedOn w:val="Normalpool"/>
    <w:link w:val="BBTitleChar"/>
    <w:rsid w:val="008A35CE"/>
    <w:pPr>
      <w:keepNext/>
      <w:keepLines/>
      <w:suppressAutoHyphens/>
      <w:spacing w:before="320" w:after="240"/>
      <w:ind w:left="1247" w:right="567"/>
    </w:pPr>
    <w:rPr>
      <w:b/>
      <w:sz w:val="28"/>
      <w:szCs w:val="28"/>
    </w:rPr>
  </w:style>
  <w:style w:type="paragraph" w:styleId="Footer">
    <w:name w:val="footer"/>
    <w:basedOn w:val="Normal"/>
    <w:link w:val="FooterChar"/>
    <w:uiPriority w:val="99"/>
    <w:rsid w:val="008A35CE"/>
    <w:pPr>
      <w:tabs>
        <w:tab w:val="center" w:pos="4320"/>
        <w:tab w:val="right" w:pos="8640"/>
      </w:tabs>
      <w:spacing w:before="60" w:after="120"/>
    </w:pPr>
    <w:rPr>
      <w:sz w:val="18"/>
    </w:rPr>
  </w:style>
  <w:style w:type="paragraph" w:styleId="Header">
    <w:name w:val="header"/>
    <w:basedOn w:val="Normal"/>
    <w:link w:val="HeaderChar"/>
    <w:rsid w:val="008A35CE"/>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8A35CE"/>
    <w:rPr>
      <w:rFonts w:ascii="Times New Roman" w:hAnsi="Times New Roman"/>
      <w:color w:val="auto"/>
      <w:sz w:val="20"/>
      <w:szCs w:val="20"/>
      <w:u w:val="none"/>
      <w:lang w:val="fr-FR"/>
    </w:rPr>
  </w:style>
  <w:style w:type="numbering" w:customStyle="1" w:styleId="Normallist">
    <w:name w:val="Normal_list"/>
    <w:basedOn w:val="NoList"/>
    <w:rsid w:val="008A35CE"/>
    <w:pPr>
      <w:numPr>
        <w:numId w:val="3"/>
      </w:numPr>
    </w:pPr>
  </w:style>
  <w:style w:type="paragraph" w:customStyle="1" w:styleId="NormalNonumber">
    <w:name w:val="Normal_No_number"/>
    <w:basedOn w:val="Normalpool"/>
    <w:link w:val="NormalNonumberChar"/>
    <w:rsid w:val="008A35CE"/>
    <w:pPr>
      <w:spacing w:after="120"/>
      <w:ind w:left="1247"/>
    </w:pPr>
  </w:style>
  <w:style w:type="paragraph" w:customStyle="1" w:styleId="Normalnumber">
    <w:name w:val="Normal_number"/>
    <w:basedOn w:val="Normalpool"/>
    <w:link w:val="NormalnumberChar"/>
    <w:rsid w:val="008A35CE"/>
    <w:pPr>
      <w:numPr>
        <w:numId w:val="4"/>
      </w:numPr>
      <w:spacing w:after="120"/>
    </w:pPr>
  </w:style>
  <w:style w:type="paragraph" w:customStyle="1" w:styleId="Titletable">
    <w:name w:val="Title_table"/>
    <w:basedOn w:val="Normalpool"/>
    <w:rsid w:val="008A35CE"/>
    <w:pPr>
      <w:keepNext/>
      <w:keepLines/>
      <w:suppressAutoHyphens/>
      <w:spacing w:after="60"/>
      <w:ind w:left="1247"/>
    </w:pPr>
    <w:rPr>
      <w:b/>
      <w:bCs/>
    </w:rPr>
  </w:style>
  <w:style w:type="paragraph" w:styleId="TOC1">
    <w:name w:val="toc 1"/>
    <w:basedOn w:val="Normalpool"/>
    <w:next w:val="Normalpool"/>
    <w:rsid w:val="008A35CE"/>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8A35CE"/>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8A35CE"/>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8A35CE"/>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8A35CE"/>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8A35CE"/>
    <w:rPr>
      <w:b/>
      <w:bCs/>
      <w:sz w:val="28"/>
      <w:szCs w:val="22"/>
    </w:rPr>
  </w:style>
  <w:style w:type="paragraph" w:customStyle="1" w:styleId="ZZAnxtitle">
    <w:name w:val="ZZ_Anx_title"/>
    <w:basedOn w:val="Normalpool"/>
    <w:link w:val="ZZAnxtitleChar"/>
    <w:rsid w:val="008A35CE"/>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BBTitleChar">
    <w:name w:val="BB_Title Char"/>
    <w:link w:val="BBTitle"/>
    <w:rsid w:val="000C65B1"/>
    <w:rPr>
      <w:b/>
      <w:sz w:val="28"/>
      <w:szCs w:val="28"/>
      <w:lang w:val="fr-CA" w:eastAsia="en-US"/>
    </w:rPr>
  </w:style>
  <w:style w:type="character" w:customStyle="1" w:styleId="CH2Char">
    <w:name w:val="CH2 Char"/>
    <w:link w:val="CH2"/>
    <w:locked/>
    <w:rsid w:val="000C65B1"/>
    <w:rPr>
      <w:b/>
      <w:sz w:val="24"/>
      <w:szCs w:val="24"/>
      <w:lang w:val="fr-CA" w:eastAsia="en-US"/>
    </w:rPr>
  </w:style>
  <w:style w:type="character" w:customStyle="1" w:styleId="Normal-poolChar">
    <w:name w:val="Normal-pool Char"/>
    <w:link w:val="Normal-pool"/>
    <w:rsid w:val="000C65B1"/>
    <w:rPr>
      <w:lang w:val="fr-CA" w:eastAsia="en-US"/>
    </w:rPr>
  </w:style>
  <w:style w:type="character" w:customStyle="1" w:styleId="NormalnumberChar">
    <w:name w:val="Normal_number Char"/>
    <w:link w:val="Normalnumber"/>
    <w:locked/>
    <w:rsid w:val="00C32AE2"/>
    <w:rPr>
      <w:lang w:val="fr-CA" w:eastAsia="en-US"/>
    </w:rPr>
  </w:style>
  <w:style w:type="character" w:customStyle="1" w:styleId="FooterChar">
    <w:name w:val="Footer Char"/>
    <w:link w:val="Footer"/>
    <w:uiPriority w:val="99"/>
    <w:rsid w:val="008A35CE"/>
    <w:rPr>
      <w:sz w:val="18"/>
      <w:lang w:val="fr-FR" w:eastAsia="en-US"/>
    </w:rPr>
  </w:style>
  <w:style w:type="paragraph" w:styleId="Title">
    <w:name w:val="Title"/>
    <w:basedOn w:val="Normal"/>
    <w:link w:val="TitleChar"/>
    <w:autoRedefine/>
    <w:qFormat/>
    <w:rsid w:val="000C65B1"/>
    <w:pPr>
      <w:tabs>
        <w:tab w:val="clear" w:pos="1247"/>
        <w:tab w:val="clear" w:pos="1814"/>
        <w:tab w:val="clear" w:pos="2381"/>
        <w:tab w:val="clear" w:pos="2948"/>
        <w:tab w:val="clear" w:pos="3515"/>
      </w:tabs>
      <w:spacing w:before="360" w:after="240"/>
      <w:ind w:left="1247" w:right="567"/>
      <w:outlineLvl w:val="0"/>
    </w:pPr>
    <w:rPr>
      <w:rFonts w:eastAsia="Yu Mincho"/>
      <w:b/>
      <w:bCs/>
      <w:kern w:val="28"/>
      <w:sz w:val="28"/>
      <w:szCs w:val="28"/>
      <w:lang w:val="en-US"/>
    </w:rPr>
  </w:style>
  <w:style w:type="character" w:customStyle="1" w:styleId="TitleChar">
    <w:name w:val="Title Char"/>
    <w:basedOn w:val="DefaultParagraphFont"/>
    <w:link w:val="Title"/>
    <w:rsid w:val="000C65B1"/>
    <w:rPr>
      <w:rFonts w:eastAsia="Yu Mincho"/>
      <w:b/>
      <w:bCs/>
      <w:kern w:val="28"/>
      <w:sz w:val="28"/>
      <w:szCs w:val="28"/>
      <w:lang w:val="en-US" w:eastAsia="en-US"/>
    </w:rPr>
  </w:style>
  <w:style w:type="character" w:customStyle="1" w:styleId="HeaderChar">
    <w:name w:val="Header Char"/>
    <w:link w:val="Header"/>
    <w:rsid w:val="008A35CE"/>
    <w:rPr>
      <w:b/>
      <w:sz w:val="18"/>
      <w:lang w:val="fr-FR" w:eastAsia="en-US"/>
    </w:rPr>
  </w:style>
  <w:style w:type="character" w:customStyle="1" w:styleId="ZZAnxtitleChar">
    <w:name w:val="ZZ_Anx_title Char"/>
    <w:link w:val="ZZAnxtitle"/>
    <w:rsid w:val="009E40F6"/>
    <w:rPr>
      <w:b/>
      <w:bCs/>
      <w:sz w:val="28"/>
      <w:szCs w:val="26"/>
      <w:lang w:val="fr-CA" w:eastAsia="en-US"/>
    </w:rPr>
  </w:style>
  <w:style w:type="character" w:customStyle="1" w:styleId="UnresolvedMention1">
    <w:name w:val="Unresolved Mention1"/>
    <w:basedOn w:val="DefaultParagraphFont"/>
    <w:uiPriority w:val="99"/>
    <w:semiHidden/>
    <w:unhideWhenUsed/>
    <w:rsid w:val="003053E8"/>
    <w:rPr>
      <w:color w:val="605E5C"/>
      <w:shd w:val="clear" w:color="auto" w:fill="E1DFDD"/>
    </w:rPr>
  </w:style>
  <w:style w:type="character" w:customStyle="1" w:styleId="ZZAnxheaderChar">
    <w:name w:val="ZZ_Anx_header Char"/>
    <w:link w:val="ZZAnxheader"/>
    <w:rsid w:val="00064B6B"/>
    <w:rPr>
      <w:b/>
      <w:bCs/>
      <w:sz w:val="28"/>
      <w:szCs w:val="22"/>
      <w:lang w:val="fr-CA" w:eastAsia="en-US"/>
    </w:rPr>
  </w:style>
  <w:style w:type="character" w:customStyle="1" w:styleId="NormalNonumberChar">
    <w:name w:val="Normal_No_number Char"/>
    <w:link w:val="NormalNonumber"/>
    <w:locked/>
    <w:rsid w:val="00D31AFF"/>
    <w:rPr>
      <w:lang w:val="fr-CA" w:eastAsia="en-US"/>
    </w:rPr>
  </w:style>
  <w:style w:type="paragraph" w:styleId="TOCHeading">
    <w:name w:val="TOC Heading"/>
    <w:basedOn w:val="Heading1"/>
    <w:next w:val="Normal"/>
    <w:uiPriority w:val="39"/>
    <w:unhideWhenUsed/>
    <w:qFormat/>
    <w:rsid w:val="00D31AFF"/>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customStyle="1" w:styleId="CH3Char">
    <w:name w:val="CH3 Char"/>
    <w:link w:val="CH3"/>
    <w:rsid w:val="00D31AFF"/>
    <w:rPr>
      <w:b/>
      <w:lang w:val="fr-CA" w:eastAsia="en-US"/>
    </w:rPr>
  </w:style>
  <w:style w:type="paragraph" w:styleId="Subtitle">
    <w:name w:val="Subtitle"/>
    <w:basedOn w:val="Normal"/>
    <w:next w:val="Normal"/>
    <w:link w:val="SubtitleChar"/>
    <w:qFormat/>
    <w:rsid w:val="00D31AFF"/>
    <w:pPr>
      <w:spacing w:after="60"/>
      <w:jc w:val="center"/>
      <w:outlineLvl w:val="1"/>
    </w:pPr>
    <w:rPr>
      <w:rFonts w:ascii="Cambria" w:eastAsia="SimSun" w:hAnsi="Cambria"/>
      <w:sz w:val="24"/>
      <w:szCs w:val="24"/>
    </w:rPr>
  </w:style>
  <w:style w:type="character" w:customStyle="1" w:styleId="SubtitleChar">
    <w:name w:val="Subtitle Char"/>
    <w:basedOn w:val="DefaultParagraphFont"/>
    <w:link w:val="Subtitle"/>
    <w:rsid w:val="00D31AFF"/>
    <w:rPr>
      <w:rFonts w:ascii="Cambria" w:eastAsia="SimSun" w:hAnsi="Cambria"/>
      <w:sz w:val="24"/>
      <w:szCs w:val="24"/>
      <w:lang w:eastAsia="en-US"/>
    </w:rPr>
  </w:style>
  <w:style w:type="character" w:customStyle="1" w:styleId="UnresolvedMention2">
    <w:name w:val="Unresolved Mention2"/>
    <w:basedOn w:val="DefaultParagraphFont"/>
    <w:uiPriority w:val="99"/>
    <w:semiHidden/>
    <w:unhideWhenUsed/>
    <w:rsid w:val="00D31AFF"/>
    <w:rPr>
      <w:color w:val="808080"/>
      <w:shd w:val="clear" w:color="auto" w:fill="E6E6E6"/>
    </w:rPr>
  </w:style>
  <w:style w:type="character" w:customStyle="1" w:styleId="Mencinsinresolver1">
    <w:name w:val="Mención sin resolver1"/>
    <w:basedOn w:val="DefaultParagraphFont"/>
    <w:uiPriority w:val="99"/>
    <w:semiHidden/>
    <w:unhideWhenUsed/>
    <w:rsid w:val="00D31AFF"/>
    <w:rPr>
      <w:color w:val="808080"/>
      <w:shd w:val="clear" w:color="auto" w:fill="E6E6E6"/>
    </w:rPr>
  </w:style>
  <w:style w:type="paragraph" w:styleId="NormalWeb">
    <w:name w:val="Normal (Web)"/>
    <w:basedOn w:val="Normal"/>
    <w:uiPriority w:val="99"/>
    <w:semiHidden/>
    <w:unhideWhenUsed/>
    <w:rsid w:val="00D31AFF"/>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s-CL" w:eastAsia="es-ES_tradnl"/>
    </w:rPr>
  </w:style>
  <w:style w:type="character" w:customStyle="1" w:styleId="UnresolvedMention3">
    <w:name w:val="Unresolved Mention3"/>
    <w:basedOn w:val="DefaultParagraphFont"/>
    <w:uiPriority w:val="99"/>
    <w:semiHidden/>
    <w:unhideWhenUsed/>
    <w:rsid w:val="00D31AFF"/>
    <w:rPr>
      <w:color w:val="605E5C"/>
      <w:shd w:val="clear" w:color="auto" w:fill="E1DFDD"/>
    </w:rPr>
  </w:style>
  <w:style w:type="character" w:customStyle="1" w:styleId="Mencinsinresolver2">
    <w:name w:val="Mención sin resolver2"/>
    <w:basedOn w:val="DefaultParagraphFont"/>
    <w:uiPriority w:val="99"/>
    <w:semiHidden/>
    <w:unhideWhenUsed/>
    <w:rsid w:val="00D31AFF"/>
    <w:rPr>
      <w:color w:val="605E5C"/>
      <w:shd w:val="clear" w:color="auto" w:fill="E1DFDD"/>
    </w:rPr>
  </w:style>
  <w:style w:type="character" w:customStyle="1" w:styleId="UnresolvedMention4">
    <w:name w:val="Unresolved Mention4"/>
    <w:basedOn w:val="DefaultParagraphFont"/>
    <w:uiPriority w:val="99"/>
    <w:semiHidden/>
    <w:unhideWhenUsed/>
    <w:rsid w:val="00300DCA"/>
    <w:rPr>
      <w:color w:val="605E5C"/>
      <w:shd w:val="clear" w:color="auto" w:fill="E1DFDD"/>
    </w:rPr>
  </w:style>
  <w:style w:type="character" w:customStyle="1" w:styleId="UnresolvedMention5">
    <w:name w:val="Unresolved Mention5"/>
    <w:basedOn w:val="DefaultParagraphFont"/>
    <w:uiPriority w:val="99"/>
    <w:semiHidden/>
    <w:unhideWhenUsed/>
    <w:rsid w:val="00F2047D"/>
    <w:rPr>
      <w:color w:val="605E5C"/>
      <w:shd w:val="clear" w:color="auto" w:fill="E1DFDD"/>
    </w:rPr>
  </w:style>
  <w:style w:type="character" w:styleId="FollowedHyperlink">
    <w:name w:val="FollowedHyperlink"/>
    <w:basedOn w:val="DefaultParagraphFont"/>
    <w:semiHidden/>
    <w:unhideWhenUsed/>
    <w:rsid w:val="00F2047D"/>
    <w:rPr>
      <w:color w:val="800080" w:themeColor="followedHyperlink"/>
      <w:u w:val="single"/>
    </w:rPr>
  </w:style>
  <w:style w:type="character" w:customStyle="1" w:styleId="UnresolvedMention6">
    <w:name w:val="Unresolved Mention6"/>
    <w:basedOn w:val="DefaultParagraphFont"/>
    <w:uiPriority w:val="99"/>
    <w:semiHidden/>
    <w:unhideWhenUsed/>
    <w:rsid w:val="007E3447"/>
    <w:rPr>
      <w:color w:val="605E5C"/>
      <w:shd w:val="clear" w:color="auto" w:fill="E1DFDD"/>
    </w:rPr>
  </w:style>
  <w:style w:type="character" w:customStyle="1" w:styleId="Heading1Char">
    <w:name w:val="Heading 1 Char"/>
    <w:link w:val="Heading1"/>
    <w:rsid w:val="008A35CE"/>
    <w:rPr>
      <w:b/>
      <w:sz w:val="28"/>
      <w:lang w:val="fr-FR" w:eastAsia="en-US"/>
    </w:rPr>
  </w:style>
  <w:style w:type="character" w:customStyle="1" w:styleId="Heading2Char">
    <w:name w:val="Heading 2 Char"/>
    <w:link w:val="Heading2"/>
    <w:rsid w:val="008A35CE"/>
    <w:rPr>
      <w:b/>
      <w:sz w:val="24"/>
      <w:szCs w:val="24"/>
      <w:lang w:val="fr-FR" w:eastAsia="en-US"/>
    </w:rPr>
  </w:style>
  <w:style w:type="character" w:customStyle="1" w:styleId="Heading3Char">
    <w:name w:val="Heading 3 Char"/>
    <w:link w:val="Heading3"/>
    <w:rsid w:val="008A35CE"/>
    <w:rPr>
      <w:b/>
      <w:lang w:val="fr-FR" w:eastAsia="en-US"/>
    </w:rPr>
  </w:style>
  <w:style w:type="character" w:customStyle="1" w:styleId="Heading4Char">
    <w:name w:val="Heading 4 Char"/>
    <w:link w:val="Heading4"/>
    <w:rsid w:val="008A35CE"/>
    <w:rPr>
      <w:b/>
      <w:lang w:val="fr-FR" w:eastAsia="en-US"/>
    </w:rPr>
  </w:style>
  <w:style w:type="character" w:customStyle="1" w:styleId="Heading5Char">
    <w:name w:val="Heading 5 Char"/>
    <w:link w:val="Heading5"/>
    <w:rsid w:val="008A35CE"/>
    <w:rPr>
      <w:rFonts w:ascii="Univers" w:hAnsi="Univers"/>
      <w:b/>
      <w:sz w:val="24"/>
      <w:lang w:val="fr-FR" w:eastAsia="en-US"/>
    </w:rPr>
  </w:style>
  <w:style w:type="character" w:customStyle="1" w:styleId="Heading6Char">
    <w:name w:val="Heading 6 Char"/>
    <w:link w:val="Heading6"/>
    <w:rsid w:val="008A35CE"/>
    <w:rPr>
      <w:b/>
      <w:bCs/>
      <w:sz w:val="24"/>
      <w:lang w:val="fr-FR" w:eastAsia="en-US"/>
    </w:rPr>
  </w:style>
  <w:style w:type="character" w:customStyle="1" w:styleId="Heading7Char">
    <w:name w:val="Heading 7 Char"/>
    <w:link w:val="Heading7"/>
    <w:rsid w:val="008A35CE"/>
    <w:rPr>
      <w:snapToGrid w:val="0"/>
      <w:u w:val="single"/>
      <w:lang w:val="en-US" w:eastAsia="en-US"/>
    </w:rPr>
  </w:style>
  <w:style w:type="character" w:customStyle="1" w:styleId="Heading8Char">
    <w:name w:val="Heading 8 Char"/>
    <w:link w:val="Heading8"/>
    <w:rsid w:val="008A35CE"/>
    <w:rPr>
      <w:snapToGrid w:val="0"/>
      <w:u w:val="single"/>
      <w:lang w:val="en-US" w:eastAsia="en-US"/>
    </w:rPr>
  </w:style>
  <w:style w:type="character" w:customStyle="1" w:styleId="Heading9Char">
    <w:name w:val="Heading 9 Char"/>
    <w:link w:val="Heading9"/>
    <w:rsid w:val="008A35CE"/>
    <w:rPr>
      <w:snapToGrid w:val="0"/>
      <w:u w:val="single"/>
      <w:lang w:val="en-US" w:eastAsia="en-US"/>
    </w:rPr>
  </w:style>
  <w:style w:type="character" w:customStyle="1" w:styleId="UnresolvedMention">
    <w:name w:val="Unresolved Mention"/>
    <w:basedOn w:val="DefaultParagraphFont"/>
    <w:uiPriority w:val="99"/>
    <w:semiHidden/>
    <w:unhideWhenUsed/>
    <w:rsid w:val="006F72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05729">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044809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721487">
      <w:bodyDiv w:val="1"/>
      <w:marLeft w:val="0"/>
      <w:marRight w:val="0"/>
      <w:marTop w:val="0"/>
      <w:marBottom w:val="0"/>
      <w:divBdr>
        <w:top w:val="none" w:sz="0" w:space="0" w:color="auto"/>
        <w:left w:val="none" w:sz="0" w:space="0" w:color="auto"/>
        <w:bottom w:val="none" w:sz="0" w:space="0" w:color="auto"/>
        <w:right w:val="none" w:sz="0" w:space="0" w:color="auto"/>
      </w:divBdr>
    </w:div>
    <w:div w:id="1805348543">
      <w:bodyDiv w:val="1"/>
      <w:marLeft w:val="0"/>
      <w:marRight w:val="0"/>
      <w:marTop w:val="0"/>
      <w:marBottom w:val="0"/>
      <w:divBdr>
        <w:top w:val="none" w:sz="0" w:space="0" w:color="auto"/>
        <w:left w:val="none" w:sz="0" w:space="0" w:color="auto"/>
        <w:bottom w:val="none" w:sz="0" w:space="0" w:color="auto"/>
        <w:right w:val="none" w:sz="0" w:space="0" w:color="auto"/>
      </w:divBdr>
    </w:div>
    <w:div w:id="182315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atsdr.cdc.gov/substances/index.asp" TargetMode="External"/><Relationship Id="rId18" Type="http://schemas.openxmlformats.org/officeDocument/2006/relationships/hyperlink" Target="https://link.springer.com/journal/11356/22/11/page/1" TargetMode="External"/><Relationship Id="rId26" Type="http://schemas.openxmlformats.org/officeDocument/2006/relationships/hyperlink" Target="https://experts.syr.edu/en/publications/evidence-for-regulation-of-monomethyl-mercury-by-nitrate-in-a-sea"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side.developpement-durable.gouv.fr/EXPLOITATION/DRGUYA/Infodoc/ged/viewportalpublished.ashx?eid=IFD_FICJOINT_0016486&amp;search=restauration"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commonforum.eu/" TargetMode="External"/><Relationship Id="rId17" Type="http://schemas.openxmlformats.org/officeDocument/2006/relationships/hyperlink" Target="https://assets.publishing.service.gov.uk/government/uploads/system/uploads/attachment_data/file/300893/geho0512bwir-e-e.pdf" TargetMode="External"/><Relationship Id="rId25" Type="http://schemas.openxmlformats.org/officeDocument/2006/relationships/hyperlink" Target="http://www.nicole.org/uploadedfiles/WGM%202015-06-10%20NICOLE%20Risk%20based%20Management%20of%20Mercury%20Impacted%20Sites.pdf" TargetMode="External"/><Relationship Id="rId33" Type="http://schemas.openxmlformats.org/officeDocument/2006/relationships/hyperlink" Target="https://www.who.int/ipcs/assessment/public_health/mercury/en/"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ccme.ca/en/resources/contaminated_site_management/assessment.html" TargetMode="External"/><Relationship Id="rId20" Type="http://schemas.openxmlformats.org/officeDocument/2006/relationships/hyperlink" Target="http://citeseerx.ist.psu.edu/viewdoc/download?doi=10.1.1.362.1877&amp;rep=rep1&amp;type=pdf" TargetMode="External"/><Relationship Id="rId29" Type="http://schemas.openxmlformats.org/officeDocument/2006/relationships/hyperlink" Target="http://www.basel.int/TheConvention/ConferenceoftheParties/Meetings/COP12/tabid/4248/mctl/ViewDetails/EventModID/8051/EventID/542/xmid/13027/Default.aspx"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nepc.gov.au/system/files/resources/93ae0e77-e697-e494-656f-afaaf9fb4277/files/schedule-b1-guideline-investigation-levels-soil-and-groundwater-sep10.pdf" TargetMode="External"/><Relationship Id="rId32" Type="http://schemas.openxmlformats.org/officeDocument/2006/relationships/hyperlink" Target="http://www.who.int/mediacentre/factsheets/fs361/en/"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tsdr.cdc.gov/phs/phs.asp?id=112&amp;tid=24" TargetMode="External"/><Relationship Id="rId23" Type="http://schemas.openxmlformats.org/officeDocument/2006/relationships/hyperlink" Target="https://www.epa.gov/sites/production/files/2015-02/documents/recommendations-model-guide-pp-2013.pdf" TargetMode="External"/><Relationship Id="rId28" Type="http://schemas.openxmlformats.org/officeDocument/2006/relationships/hyperlink" Target="http://wedocs.unep.org/handle/20.500.11822/7984" TargetMode="External"/><Relationship Id="rId36"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www.researchgate.net/publication/274729292_In_situ_remediation_technologies_for_mercury-contaminated_soil" TargetMode="External"/><Relationship Id="rId31" Type="http://schemas.openxmlformats.org/officeDocument/2006/relationships/hyperlink" Target="https://clu-in.org/download/remed/542r07003.pdf"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ww.atsdr.cdc.gov/substances/toxsubstance.asp?toxid=24" TargetMode="External"/><Relationship Id="rId22" Type="http://schemas.openxmlformats.org/officeDocument/2006/relationships/hyperlink" Target="https://docplayer.net/18898131-Remediation-of-mercury-contaminated-sites.html" TargetMode="External"/><Relationship Id="rId27" Type="http://schemas.openxmlformats.org/officeDocument/2006/relationships/hyperlink" Target="https://www.ncbi.nlm.nih.gov/pubmed/27594689" TargetMode="External"/><Relationship Id="rId30" Type="http://schemas.openxmlformats.org/officeDocument/2006/relationships/hyperlink" Target="https://wedocs.unep.org/bitstream/handle/20.500.11822/27579/GMA2018.pdf?sequence=1&amp;isAllowed=y" TargetMode="External"/><Relationship Id="rId35"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commonforum.eu/references_clarinet.asp" TargetMode="External"/><Relationship Id="rId3" Type="http://schemas.openxmlformats.org/officeDocument/2006/relationships/hyperlink" Target="https://www.canada.ca/fr/sante-canada/organisation/contactez-nous/division-lieux-contamines.html" TargetMode="External"/><Relationship Id="rId7" Type="http://schemas.openxmlformats.org/officeDocument/2006/relationships/hyperlink" Target="https://www.epa.gov/enforcement/landowner-liability-protections" TargetMode="External"/><Relationship Id="rId2" Type="http://schemas.openxmlformats.org/officeDocument/2006/relationships/hyperlink" Target="https://dow.maps.arcgis.com/apps/webappviewer/index.html?id=c2ecb74291ae4da2ac32c441819c6d47" TargetMode="External"/><Relationship Id="rId1" Type="http://schemas.openxmlformats.org/officeDocument/2006/relationships/hyperlink" Target="https://www.legislation.wa.gov.au" TargetMode="External"/><Relationship Id="rId6" Type="http://schemas.openxmlformats.org/officeDocument/2006/relationships/hyperlink" Target="http://gost.tpsgc-pwgsc.gc.ca/" TargetMode="External"/><Relationship Id="rId5" Type="http://schemas.openxmlformats.org/officeDocument/2006/relationships/hyperlink" Target="http://www.selecdepol.fr/" TargetMode="External"/><Relationship Id="rId4" Type="http://schemas.openxmlformats.org/officeDocument/2006/relationships/hyperlink" Target="http://ec.gc.ca/mercure-mercury/default.asp?lang=Fr&amp;n=DCBE5083-97AD-4C62-88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FD4AD-3714-429C-93E1-226B888FC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15665</Words>
  <Characters>86162</Characters>
  <Application>Microsoft Office Word</Application>
  <DocSecurity>0</DocSecurity>
  <Lines>718</Lines>
  <Paragraphs>203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101624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Esther Nzigiye</cp:lastModifiedBy>
  <cp:revision>2</cp:revision>
  <cp:lastPrinted>2020-01-30T11:54:00Z</cp:lastPrinted>
  <dcterms:created xsi:type="dcterms:W3CDTF">2020-02-03T08:55:00Z</dcterms:created>
  <dcterms:modified xsi:type="dcterms:W3CDTF">2020-02-03T08:55:00Z</dcterms:modified>
</cp:coreProperties>
</file>