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5003"/>
        <w:gridCol w:w="2975"/>
      </w:tblGrid>
      <w:tr w:rsidR="003A0F06" w:rsidRPr="00FA2E2E" w14:paraId="08C28060" w14:textId="77777777" w:rsidTr="003A0F06">
        <w:trPr>
          <w:cantSplit/>
          <w:trHeight w:val="57"/>
          <w:jc w:val="right"/>
        </w:trPr>
        <w:tc>
          <w:tcPr>
            <w:tcW w:w="1518" w:type="dxa"/>
          </w:tcPr>
          <w:p w14:paraId="2CFDCE70" w14:textId="77777777" w:rsidR="003A0F06" w:rsidRPr="00FA2E2E" w:rsidRDefault="003A0F06" w:rsidP="003A0F06">
            <w:pPr>
              <w:rPr>
                <w:rFonts w:ascii="Arial" w:hAnsi="Arial" w:cs="Arial"/>
                <w:b/>
                <w:noProof/>
                <w:sz w:val="27"/>
                <w:szCs w:val="27"/>
              </w:rPr>
            </w:pPr>
            <w:r w:rsidRPr="00FA2E2E">
              <w:rPr>
                <w:rFonts w:ascii="Arial" w:hAnsi="Arial" w:cs="Arial"/>
                <w:b/>
                <w:bCs/>
                <w:sz w:val="27"/>
                <w:szCs w:val="27"/>
              </w:rPr>
              <w:t>NATIONS UNIES</w:t>
            </w:r>
          </w:p>
        </w:tc>
        <w:tc>
          <w:tcPr>
            <w:tcW w:w="5003" w:type="dxa"/>
          </w:tcPr>
          <w:p w14:paraId="1FE55A08" w14:textId="77777777" w:rsidR="003A0F06" w:rsidRPr="00FA2E2E" w:rsidRDefault="003A0F06" w:rsidP="003A0F06">
            <w:pPr>
              <w:rPr>
                <w:rFonts w:ascii="Univers" w:hAnsi="Univers"/>
                <w:b/>
                <w:sz w:val="27"/>
                <w:szCs w:val="27"/>
              </w:rPr>
            </w:pPr>
          </w:p>
        </w:tc>
        <w:tc>
          <w:tcPr>
            <w:tcW w:w="2975" w:type="dxa"/>
          </w:tcPr>
          <w:p w14:paraId="3CBBB95A" w14:textId="77777777" w:rsidR="003A0F06" w:rsidRPr="00FA2E2E" w:rsidRDefault="003A0F06" w:rsidP="003A0F06">
            <w:pPr>
              <w:jc w:val="right"/>
              <w:rPr>
                <w:rFonts w:ascii="Arial" w:hAnsi="Arial" w:cs="Arial"/>
                <w:b/>
                <w:sz w:val="64"/>
                <w:szCs w:val="64"/>
              </w:rPr>
            </w:pPr>
            <w:r w:rsidRPr="00FA2E2E">
              <w:rPr>
                <w:rFonts w:ascii="Arial" w:hAnsi="Arial" w:cs="Arial"/>
                <w:b/>
                <w:bCs/>
                <w:sz w:val="64"/>
                <w:szCs w:val="64"/>
              </w:rPr>
              <w:t>MC</w:t>
            </w:r>
          </w:p>
        </w:tc>
      </w:tr>
      <w:tr w:rsidR="003A0F06" w:rsidRPr="00FA2E2E" w14:paraId="3F4EFEA4" w14:textId="77777777" w:rsidTr="003A0F06">
        <w:trPr>
          <w:cantSplit/>
          <w:trHeight w:val="57"/>
          <w:jc w:val="right"/>
        </w:trPr>
        <w:tc>
          <w:tcPr>
            <w:tcW w:w="1518" w:type="dxa"/>
            <w:tcBorders>
              <w:bottom w:val="single" w:sz="4" w:space="0" w:color="auto"/>
            </w:tcBorders>
          </w:tcPr>
          <w:p w14:paraId="28C38BB6" w14:textId="77777777" w:rsidR="003A0F06" w:rsidRPr="00FA2E2E" w:rsidRDefault="003A0F06" w:rsidP="003A0F06">
            <w:pPr>
              <w:rPr>
                <w:noProof/>
                <w:sz w:val="18"/>
                <w:szCs w:val="18"/>
              </w:rPr>
            </w:pPr>
          </w:p>
        </w:tc>
        <w:tc>
          <w:tcPr>
            <w:tcW w:w="5003" w:type="dxa"/>
            <w:tcBorders>
              <w:bottom w:val="single" w:sz="4" w:space="0" w:color="auto"/>
            </w:tcBorders>
          </w:tcPr>
          <w:p w14:paraId="70D39EBB" w14:textId="77777777" w:rsidR="003A0F06" w:rsidRPr="00FA2E2E" w:rsidRDefault="003A0F06" w:rsidP="003A0F06">
            <w:pPr>
              <w:rPr>
                <w:rFonts w:ascii="Univers" w:hAnsi="Univers"/>
                <w:b/>
                <w:sz w:val="18"/>
                <w:szCs w:val="18"/>
              </w:rPr>
            </w:pPr>
          </w:p>
        </w:tc>
        <w:tc>
          <w:tcPr>
            <w:tcW w:w="2975" w:type="dxa"/>
            <w:tcBorders>
              <w:bottom w:val="single" w:sz="4" w:space="0" w:color="auto"/>
            </w:tcBorders>
          </w:tcPr>
          <w:p w14:paraId="017D4F11" w14:textId="0CDDA29B" w:rsidR="003A0F06" w:rsidRPr="00FA2E2E" w:rsidRDefault="003A0F06" w:rsidP="003A0F06">
            <w:pPr>
              <w:rPr>
                <w:noProof/>
                <w:sz w:val="18"/>
                <w:szCs w:val="18"/>
              </w:rPr>
            </w:pPr>
            <w:r w:rsidRPr="00FA2E2E">
              <w:rPr>
                <w:b/>
                <w:sz w:val="28"/>
                <w:szCs w:val="28"/>
              </w:rPr>
              <w:t>UNEP</w:t>
            </w:r>
            <w:r w:rsidRPr="00FA2E2E">
              <w:t>/MC/COP.3/8</w:t>
            </w:r>
          </w:p>
        </w:tc>
      </w:tr>
      <w:bookmarkStart w:id="0" w:name="_MON_1021710510"/>
      <w:bookmarkEnd w:id="0"/>
      <w:bookmarkStart w:id="1" w:name="_MON_1021710482"/>
      <w:bookmarkEnd w:id="1"/>
      <w:tr w:rsidR="003A0F06" w:rsidRPr="00FA2E2E" w14:paraId="078C3ACD" w14:textId="77777777" w:rsidTr="003A0F06">
        <w:trPr>
          <w:cantSplit/>
          <w:trHeight w:val="57"/>
          <w:jc w:val="right"/>
        </w:trPr>
        <w:tc>
          <w:tcPr>
            <w:tcW w:w="1518" w:type="dxa"/>
            <w:tcBorders>
              <w:top w:val="single" w:sz="4" w:space="0" w:color="auto"/>
              <w:bottom w:val="single" w:sz="24" w:space="0" w:color="auto"/>
            </w:tcBorders>
          </w:tcPr>
          <w:p w14:paraId="548BADA6" w14:textId="77777777" w:rsidR="003A0F06" w:rsidRPr="00FA2E2E" w:rsidRDefault="003A0F06" w:rsidP="003A0F06">
            <w:pPr>
              <w:rPr>
                <w:noProof/>
              </w:rPr>
            </w:pPr>
            <w:r w:rsidRPr="00FA2E2E">
              <w:rPr>
                <w:noProof/>
              </w:rPr>
              <w:object w:dxaOrig="1831" w:dyaOrig="1726" w14:anchorId="5568B5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6.1pt;height:56.4pt;mso-width-percent:0;mso-height-percent:0;mso-width-percent:0;mso-height-percent:0" o:ole="" fillcolor="window">
                  <v:imagedata r:id="rId8" o:title=""/>
                </v:shape>
                <o:OLEObject Type="Embed" ProgID="Word.Picture.8" ShapeID="_x0000_i1025" DrawAspect="Content" ObjectID="_1632910331" r:id="rId9"/>
              </w:object>
            </w:r>
            <w:r w:rsidRPr="00FA2E2E">
              <w:rPr>
                <w:noProof/>
                <w:lang w:eastAsia="en-GB"/>
              </w:rPr>
              <w:drawing>
                <wp:inline distT="0" distB="0" distL="0" distR="0" wp14:anchorId="30BED2B5" wp14:editId="23A639A1">
                  <wp:extent cx="723900" cy="769620"/>
                  <wp:effectExtent l="0" t="0" r="0" b="0"/>
                  <wp:docPr id="3" name="Picture 3"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5003" w:type="dxa"/>
            <w:tcBorders>
              <w:top w:val="single" w:sz="4" w:space="0" w:color="auto"/>
              <w:bottom w:val="single" w:sz="24" w:space="0" w:color="auto"/>
            </w:tcBorders>
          </w:tcPr>
          <w:p w14:paraId="0D9196F8" w14:textId="1F8A41A5" w:rsidR="003A0F06" w:rsidRPr="00FA2E2E" w:rsidRDefault="003A0F06" w:rsidP="003A0F06">
            <w:pPr>
              <w:spacing w:before="1200"/>
              <w:rPr>
                <w:rFonts w:ascii="Arial" w:hAnsi="Arial" w:cs="Arial"/>
                <w:b/>
                <w:sz w:val="32"/>
                <w:szCs w:val="32"/>
              </w:rPr>
            </w:pPr>
            <w:r w:rsidRPr="00FA2E2E">
              <w:rPr>
                <w:rFonts w:ascii="Arial" w:hAnsi="Arial" w:cs="Arial"/>
                <w:b/>
                <w:bCs/>
                <w:sz w:val="32"/>
                <w:szCs w:val="32"/>
              </w:rPr>
              <w:t xml:space="preserve">Programme </w:t>
            </w:r>
            <w:r w:rsidR="00C56F63" w:rsidRPr="00FA2E2E">
              <w:rPr>
                <w:rFonts w:ascii="Arial" w:hAnsi="Arial" w:cs="Arial"/>
                <w:b/>
                <w:bCs/>
                <w:sz w:val="32"/>
                <w:szCs w:val="32"/>
              </w:rPr>
              <w:br/>
            </w:r>
            <w:r w:rsidRPr="00FA2E2E">
              <w:rPr>
                <w:rFonts w:ascii="Arial" w:hAnsi="Arial" w:cs="Arial"/>
                <w:b/>
                <w:bCs/>
                <w:sz w:val="32"/>
                <w:szCs w:val="32"/>
              </w:rPr>
              <w:t xml:space="preserve">des Nations Unies </w:t>
            </w:r>
            <w:r w:rsidR="00C56F63" w:rsidRPr="00FA2E2E">
              <w:rPr>
                <w:rFonts w:ascii="Arial" w:hAnsi="Arial" w:cs="Arial"/>
                <w:b/>
                <w:bCs/>
                <w:sz w:val="32"/>
                <w:szCs w:val="32"/>
              </w:rPr>
              <w:br/>
            </w:r>
            <w:r w:rsidRPr="00FA2E2E">
              <w:rPr>
                <w:rFonts w:ascii="Arial" w:hAnsi="Arial" w:cs="Arial"/>
                <w:b/>
                <w:bCs/>
                <w:sz w:val="32"/>
                <w:szCs w:val="32"/>
              </w:rPr>
              <w:t>pour l</w:t>
            </w:r>
            <w:r w:rsidR="00FE58E1" w:rsidRPr="00FA2E2E">
              <w:rPr>
                <w:rFonts w:ascii="Arial" w:hAnsi="Arial" w:cs="Arial"/>
                <w:b/>
                <w:bCs/>
                <w:sz w:val="32"/>
                <w:szCs w:val="32"/>
              </w:rPr>
              <w:t>’</w:t>
            </w:r>
            <w:r w:rsidRPr="00FA2E2E">
              <w:rPr>
                <w:rFonts w:ascii="Arial" w:hAnsi="Arial" w:cs="Arial"/>
                <w:b/>
                <w:bCs/>
                <w:sz w:val="32"/>
                <w:szCs w:val="32"/>
              </w:rPr>
              <w:t>environnement</w:t>
            </w:r>
          </w:p>
        </w:tc>
        <w:tc>
          <w:tcPr>
            <w:tcW w:w="2975" w:type="dxa"/>
            <w:tcBorders>
              <w:top w:val="single" w:sz="4" w:space="0" w:color="auto"/>
              <w:bottom w:val="single" w:sz="24" w:space="0" w:color="auto"/>
            </w:tcBorders>
            <w:shd w:val="clear" w:color="auto" w:fill="auto"/>
          </w:tcPr>
          <w:p w14:paraId="25595D85" w14:textId="2DB3C1B7" w:rsidR="003A0F06" w:rsidRPr="00FA2E2E" w:rsidRDefault="003A0F06" w:rsidP="003A0F06">
            <w:pPr>
              <w:spacing w:before="120"/>
            </w:pPr>
            <w:r w:rsidRPr="00FA2E2E">
              <w:t xml:space="preserve">Distr. générale </w:t>
            </w:r>
            <w:r w:rsidRPr="00FA2E2E">
              <w:br/>
              <w:t>13 août 2019</w:t>
            </w:r>
          </w:p>
          <w:p w14:paraId="00ACFDAB" w14:textId="0A2B4D8D" w:rsidR="003A0F06" w:rsidRPr="00FA2E2E" w:rsidRDefault="003A0F06" w:rsidP="003A0F06">
            <w:pPr>
              <w:spacing w:before="120"/>
            </w:pPr>
            <w:r w:rsidRPr="00FA2E2E">
              <w:t xml:space="preserve">Français </w:t>
            </w:r>
            <w:r w:rsidRPr="00FA2E2E">
              <w:br/>
              <w:t>Original : anglais</w:t>
            </w:r>
          </w:p>
        </w:tc>
      </w:tr>
    </w:tbl>
    <w:p w14:paraId="29B88E5C" w14:textId="77777777" w:rsidR="003A0F06" w:rsidRPr="00FA2E2E" w:rsidRDefault="003A0F06" w:rsidP="003A0F06">
      <w:pPr>
        <w:pStyle w:val="AATitle"/>
        <w:keepNext w:val="0"/>
        <w:keepLines w:val="0"/>
        <w:rPr>
          <w:lang w:val="fr-FR"/>
        </w:rPr>
      </w:pPr>
      <w:r w:rsidRPr="00FA2E2E">
        <w:rPr>
          <w:bCs/>
          <w:lang w:val="fr-FR"/>
        </w:rPr>
        <w:t xml:space="preserve">Conférence des Parties à la Convention </w:t>
      </w:r>
      <w:bookmarkStart w:id="2" w:name="_GoBack"/>
      <w:bookmarkEnd w:id="2"/>
      <w:r w:rsidRPr="00FA2E2E">
        <w:rPr>
          <w:bCs/>
          <w:lang w:val="fr-FR"/>
        </w:rPr>
        <w:t>de Minamata sur le mercure</w:t>
      </w:r>
    </w:p>
    <w:p w14:paraId="283A3421" w14:textId="77777777" w:rsidR="003A0F06" w:rsidRPr="00FA2E2E" w:rsidRDefault="003A0F06" w:rsidP="003A0F06">
      <w:pPr>
        <w:pStyle w:val="AATitle"/>
        <w:keepNext w:val="0"/>
        <w:keepLines w:val="0"/>
        <w:rPr>
          <w:lang w:val="fr-FR"/>
        </w:rPr>
      </w:pPr>
      <w:r w:rsidRPr="00FA2E2E">
        <w:rPr>
          <w:bCs/>
          <w:lang w:val="fr-FR"/>
        </w:rPr>
        <w:t>Troisième réunion</w:t>
      </w:r>
    </w:p>
    <w:p w14:paraId="5BEEA9DE" w14:textId="77777777" w:rsidR="003A0F06" w:rsidRPr="00FA2E2E" w:rsidRDefault="003A0F06" w:rsidP="003A0F06">
      <w:pPr>
        <w:pStyle w:val="AATitle"/>
        <w:rPr>
          <w:b w:val="0"/>
          <w:lang w:val="fr-FR"/>
        </w:rPr>
      </w:pPr>
      <w:r w:rsidRPr="00FA2E2E">
        <w:rPr>
          <w:b w:val="0"/>
          <w:lang w:val="fr-FR"/>
        </w:rPr>
        <w:t>Genève, 25–29 novembre 2019</w:t>
      </w:r>
    </w:p>
    <w:p w14:paraId="6DF7A3F7" w14:textId="7C1A31C1" w:rsidR="003A0F06" w:rsidRPr="00FA2E2E" w:rsidRDefault="003A0F06" w:rsidP="003A0F06">
      <w:pPr>
        <w:pStyle w:val="AATitle"/>
        <w:keepNext w:val="0"/>
        <w:keepLines w:val="0"/>
        <w:rPr>
          <w:b w:val="0"/>
          <w:lang w:val="fr-FR"/>
        </w:rPr>
      </w:pPr>
      <w:r w:rsidRPr="00FA2E2E">
        <w:rPr>
          <w:b w:val="0"/>
          <w:lang w:val="fr-FR"/>
        </w:rPr>
        <w:t>Point</w:t>
      </w:r>
      <w:r w:rsidR="00C63A90" w:rsidRPr="00FA2E2E">
        <w:rPr>
          <w:b w:val="0"/>
          <w:lang w:val="fr-FR"/>
        </w:rPr>
        <w:t> </w:t>
      </w:r>
      <w:r w:rsidRPr="00FA2E2E">
        <w:rPr>
          <w:b w:val="0"/>
          <w:lang w:val="fr-FR"/>
        </w:rPr>
        <w:t>5</w:t>
      </w:r>
      <w:r w:rsidR="00C63A90" w:rsidRPr="00FA2E2E">
        <w:rPr>
          <w:b w:val="0"/>
          <w:lang w:val="fr-FR"/>
        </w:rPr>
        <w:t> d</w:t>
      </w:r>
      <w:r w:rsidRPr="00FA2E2E">
        <w:rPr>
          <w:b w:val="0"/>
          <w:lang w:val="fr-FR"/>
        </w:rPr>
        <w:t>) de l</w:t>
      </w:r>
      <w:r w:rsidR="00FE58E1" w:rsidRPr="00FA2E2E">
        <w:rPr>
          <w:b w:val="0"/>
          <w:lang w:val="fr-FR"/>
        </w:rPr>
        <w:t>’</w:t>
      </w:r>
      <w:r w:rsidRPr="00FA2E2E">
        <w:rPr>
          <w:b w:val="0"/>
          <w:lang w:val="fr-FR"/>
        </w:rPr>
        <w:t>ordre du jour provisoire</w:t>
      </w:r>
      <w:r w:rsidRPr="00FA2E2E">
        <w:rPr>
          <w:b w:val="0"/>
          <w:lang w:val="fr-FR"/>
        </w:rPr>
        <w:footnoteReference w:customMarkFollows="1" w:id="1"/>
        <w:t>*</w:t>
      </w:r>
    </w:p>
    <w:p w14:paraId="505A3C0E" w14:textId="0FA890D2" w:rsidR="003A0F06" w:rsidRPr="00FA2E2E" w:rsidRDefault="00C63A90" w:rsidP="00C63A90">
      <w:pPr>
        <w:pStyle w:val="AATitle2"/>
        <w:rPr>
          <w:lang w:val="fr-FR"/>
        </w:rPr>
      </w:pPr>
      <w:r w:rsidRPr="00FA2E2E">
        <w:rPr>
          <w:lang w:val="fr-FR"/>
        </w:rPr>
        <w:t>Questions soumises à la Conférence des Parties pour</w:t>
      </w:r>
      <w:r w:rsidR="00C56F63" w:rsidRPr="00FA2E2E">
        <w:rPr>
          <w:lang w:val="fr-FR"/>
        </w:rPr>
        <w:t> </w:t>
      </w:r>
      <w:r w:rsidRPr="00FA2E2E">
        <w:rPr>
          <w:lang w:val="fr-FR"/>
        </w:rPr>
        <w:t>examen ou décision : orientations</w:t>
      </w:r>
      <w:r w:rsidR="00256B82" w:rsidRPr="00FA2E2E">
        <w:rPr>
          <w:lang w:val="fr-FR"/>
        </w:rPr>
        <w:br/>
      </w:r>
      <w:r w:rsidRPr="00FA2E2E">
        <w:rPr>
          <w:lang w:val="fr-FR"/>
        </w:rPr>
        <w:t>sur la gestion des</w:t>
      </w:r>
      <w:r w:rsidR="00C56F63" w:rsidRPr="00FA2E2E">
        <w:rPr>
          <w:lang w:val="fr-FR"/>
        </w:rPr>
        <w:t> </w:t>
      </w:r>
      <w:r w:rsidRPr="00FA2E2E">
        <w:rPr>
          <w:lang w:val="fr-FR"/>
        </w:rPr>
        <w:t>sites contaminés</w:t>
      </w:r>
    </w:p>
    <w:p w14:paraId="14044654" w14:textId="2E2438D0" w:rsidR="00064B6B" w:rsidRPr="00FA2E2E" w:rsidRDefault="008B7990" w:rsidP="008A35CE">
      <w:pPr>
        <w:pStyle w:val="BBTitle"/>
        <w:rPr>
          <w:lang w:val="fr-FR"/>
        </w:rPr>
      </w:pPr>
      <w:r w:rsidRPr="00FA2E2E">
        <w:rPr>
          <w:lang w:val="fr-FR"/>
        </w:rPr>
        <w:t>Orientations sur la gestion des sites contaminés</w:t>
      </w:r>
    </w:p>
    <w:p w14:paraId="030AB599" w14:textId="21AB548A" w:rsidR="00064B6B" w:rsidRPr="00FA2E2E" w:rsidRDefault="00064B6B" w:rsidP="008A35CE">
      <w:pPr>
        <w:pStyle w:val="CH2"/>
        <w:rPr>
          <w:lang w:val="fr-FR"/>
        </w:rPr>
      </w:pPr>
      <w:r w:rsidRPr="00FA2E2E">
        <w:rPr>
          <w:lang w:val="fr-FR"/>
        </w:rPr>
        <w:tab/>
      </w:r>
      <w:r w:rsidRPr="00FA2E2E">
        <w:rPr>
          <w:lang w:val="fr-FR"/>
        </w:rPr>
        <w:tab/>
      </w:r>
      <w:bookmarkStart w:id="3" w:name="_Toc524355392"/>
      <w:r w:rsidRPr="00FA2E2E">
        <w:rPr>
          <w:lang w:val="fr-FR"/>
        </w:rPr>
        <w:t xml:space="preserve">Note </w:t>
      </w:r>
      <w:bookmarkEnd w:id="3"/>
      <w:r w:rsidR="008B7990" w:rsidRPr="00FA2E2E">
        <w:rPr>
          <w:lang w:val="fr-FR"/>
        </w:rPr>
        <w:t>du secrétariat</w:t>
      </w:r>
    </w:p>
    <w:p w14:paraId="3F596C34" w14:textId="0904DF92" w:rsidR="00064B6B" w:rsidRPr="00FA2E2E" w:rsidRDefault="008B7990" w:rsidP="0066320B">
      <w:pPr>
        <w:pStyle w:val="Normalnumber"/>
        <w:rPr>
          <w:lang w:val="fr-FR"/>
        </w:rPr>
      </w:pPr>
      <w:r w:rsidRPr="00FA2E2E">
        <w:rPr>
          <w:lang w:val="fr-FR"/>
        </w:rPr>
        <w:t>Le p</w:t>
      </w:r>
      <w:r w:rsidR="00064B6B" w:rsidRPr="00FA2E2E">
        <w:rPr>
          <w:lang w:val="fr-FR"/>
        </w:rPr>
        <w:t>aragraph</w:t>
      </w:r>
      <w:r w:rsidRPr="00FA2E2E">
        <w:rPr>
          <w:lang w:val="fr-FR"/>
        </w:rPr>
        <w:t>e </w:t>
      </w:r>
      <w:r w:rsidR="00064B6B" w:rsidRPr="00FA2E2E">
        <w:rPr>
          <w:lang w:val="fr-FR"/>
        </w:rPr>
        <w:t xml:space="preserve">3 </w:t>
      </w:r>
      <w:r w:rsidRPr="00FA2E2E">
        <w:rPr>
          <w:lang w:val="fr-FR"/>
        </w:rPr>
        <w:t>de l</w:t>
      </w:r>
      <w:r w:rsidR="00FE58E1" w:rsidRPr="00FA2E2E">
        <w:rPr>
          <w:lang w:val="fr-FR"/>
        </w:rPr>
        <w:t>’</w:t>
      </w:r>
      <w:r w:rsidR="00064B6B" w:rsidRPr="00FA2E2E">
        <w:rPr>
          <w:lang w:val="fr-FR"/>
        </w:rPr>
        <w:t>article</w:t>
      </w:r>
      <w:r w:rsidRPr="00FA2E2E">
        <w:rPr>
          <w:lang w:val="fr-FR"/>
        </w:rPr>
        <w:t> </w:t>
      </w:r>
      <w:r w:rsidR="00064B6B" w:rsidRPr="00FA2E2E">
        <w:rPr>
          <w:lang w:val="fr-FR"/>
        </w:rPr>
        <w:t xml:space="preserve">12 </w:t>
      </w:r>
      <w:r w:rsidRPr="00FA2E2E">
        <w:rPr>
          <w:lang w:val="fr-FR"/>
        </w:rPr>
        <w:t>de la Convention de</w:t>
      </w:r>
      <w:r w:rsidR="00461ADC" w:rsidRPr="00FA2E2E">
        <w:rPr>
          <w:lang w:val="fr-FR"/>
        </w:rPr>
        <w:t xml:space="preserve"> Minamata </w:t>
      </w:r>
      <w:r w:rsidRPr="00FA2E2E">
        <w:rPr>
          <w:lang w:val="fr-FR"/>
        </w:rPr>
        <w:t>sur le mercure dispose que la</w:t>
      </w:r>
      <w:r w:rsidR="008A35CE" w:rsidRPr="00FA2E2E">
        <w:rPr>
          <w:lang w:val="fr-FR"/>
        </w:rPr>
        <w:t> </w:t>
      </w:r>
      <w:r w:rsidRPr="00FA2E2E">
        <w:rPr>
          <w:lang w:val="fr-FR"/>
        </w:rPr>
        <w:t>Conférence des Parties à la Convention de Minamata</w:t>
      </w:r>
      <w:r w:rsidR="00461ADC" w:rsidRPr="00FA2E2E">
        <w:rPr>
          <w:lang w:val="fr-FR"/>
        </w:rPr>
        <w:t xml:space="preserve"> </w:t>
      </w:r>
      <w:r w:rsidRPr="00FA2E2E">
        <w:rPr>
          <w:lang w:val="fr-FR"/>
        </w:rPr>
        <w:t xml:space="preserve">adopte des </w:t>
      </w:r>
      <w:bookmarkStart w:id="4" w:name="_Hlk20476532"/>
      <w:r w:rsidRPr="00FA2E2E">
        <w:rPr>
          <w:lang w:val="fr-FR"/>
        </w:rPr>
        <w:t>orientations sur la gestion des sites contaminés</w:t>
      </w:r>
      <w:bookmarkEnd w:id="4"/>
      <w:r w:rsidR="00D31AFF" w:rsidRPr="00FA2E2E">
        <w:rPr>
          <w:lang w:val="fr-FR"/>
        </w:rPr>
        <w:t>.</w:t>
      </w:r>
    </w:p>
    <w:p w14:paraId="685A7136" w14:textId="2FC0950A" w:rsidR="008A17EB" w:rsidRPr="00FA2E2E" w:rsidRDefault="008A09FE" w:rsidP="00F93F76">
      <w:pPr>
        <w:pStyle w:val="Normalnumber"/>
        <w:rPr>
          <w:lang w:val="fr-FR"/>
        </w:rPr>
      </w:pPr>
      <w:r w:rsidRPr="00FA2E2E">
        <w:rPr>
          <w:lang w:val="fr-FR"/>
        </w:rPr>
        <w:t>D</w:t>
      </w:r>
      <w:r w:rsidRPr="00FA2E2E">
        <w:rPr>
          <w:lang w:val="fr-FR"/>
        </w:rPr>
        <w:t>ans sa décision MC</w:t>
      </w:r>
      <w:r w:rsidRPr="00FA2E2E">
        <w:rPr>
          <w:lang w:val="fr-FR"/>
        </w:rPr>
        <w:noBreakHyphen/>
        <w:t xml:space="preserve">1/20, </w:t>
      </w:r>
      <w:r w:rsidRPr="00FA2E2E">
        <w:rPr>
          <w:lang w:val="fr-FR"/>
        </w:rPr>
        <w:t>l</w:t>
      </w:r>
      <w:r w:rsidR="008B7990" w:rsidRPr="00FA2E2E">
        <w:rPr>
          <w:lang w:val="fr-FR"/>
        </w:rPr>
        <w:t>a Conférence des Parties a prié le secrétariat d</w:t>
      </w:r>
      <w:r w:rsidR="00FE58E1" w:rsidRPr="00FA2E2E">
        <w:rPr>
          <w:lang w:val="fr-FR"/>
        </w:rPr>
        <w:t>’</w:t>
      </w:r>
      <w:r w:rsidR="008B7990" w:rsidRPr="00FA2E2E">
        <w:rPr>
          <w:lang w:val="fr-FR"/>
        </w:rPr>
        <w:t>élaborer un projet d</w:t>
      </w:r>
      <w:r w:rsidR="00FE58E1" w:rsidRPr="00FA2E2E">
        <w:rPr>
          <w:lang w:val="fr-FR"/>
        </w:rPr>
        <w:t>’</w:t>
      </w:r>
      <w:r w:rsidR="008B7990" w:rsidRPr="00FA2E2E">
        <w:rPr>
          <w:lang w:val="fr-FR"/>
        </w:rPr>
        <w:t xml:space="preserve">orientations, </w:t>
      </w:r>
      <w:r w:rsidR="00CD5230" w:rsidRPr="00FA2E2E">
        <w:rPr>
          <w:lang w:val="fr-FR"/>
        </w:rPr>
        <w:t>e</w:t>
      </w:r>
      <w:r w:rsidR="008A17EB" w:rsidRPr="00FA2E2E">
        <w:rPr>
          <w:lang w:val="fr-FR"/>
        </w:rPr>
        <w:t xml:space="preserve">n </w:t>
      </w:r>
      <w:r w:rsidR="00893590" w:rsidRPr="00FA2E2E">
        <w:rPr>
          <w:lang w:val="fr-FR"/>
        </w:rPr>
        <w:t>concertation</w:t>
      </w:r>
      <w:r w:rsidR="008A17EB" w:rsidRPr="00FA2E2E">
        <w:rPr>
          <w:lang w:val="fr-FR"/>
        </w:rPr>
        <w:t xml:space="preserve"> </w:t>
      </w:r>
      <w:r w:rsidR="00CD5230" w:rsidRPr="00FA2E2E">
        <w:rPr>
          <w:lang w:val="fr-FR"/>
        </w:rPr>
        <w:t xml:space="preserve">avec </w:t>
      </w:r>
      <w:r w:rsidR="00893590" w:rsidRPr="00FA2E2E">
        <w:rPr>
          <w:lang w:val="fr-FR"/>
        </w:rPr>
        <w:t>d</w:t>
      </w:r>
      <w:r w:rsidR="00CD5230" w:rsidRPr="00FA2E2E">
        <w:rPr>
          <w:lang w:val="fr-FR"/>
        </w:rPr>
        <w:t>es</w:t>
      </w:r>
      <w:r w:rsidR="008A17EB" w:rsidRPr="00FA2E2E">
        <w:rPr>
          <w:lang w:val="fr-FR"/>
        </w:rPr>
        <w:t xml:space="preserve"> </w:t>
      </w:r>
      <w:r w:rsidR="00064B6B" w:rsidRPr="00FA2E2E">
        <w:rPr>
          <w:lang w:val="fr-FR"/>
        </w:rPr>
        <w:t>experts</w:t>
      </w:r>
      <w:r w:rsidR="008A17EB" w:rsidRPr="00FA2E2E">
        <w:rPr>
          <w:lang w:val="fr-FR"/>
        </w:rPr>
        <w:t xml:space="preserve"> </w:t>
      </w:r>
      <w:r w:rsidR="00CD5230" w:rsidRPr="00FA2E2E">
        <w:rPr>
          <w:lang w:val="fr-FR"/>
        </w:rPr>
        <w:t>désignés par les gouvernements et d</w:t>
      </w:r>
      <w:r w:rsidR="00FE58E1" w:rsidRPr="00FA2E2E">
        <w:rPr>
          <w:lang w:val="fr-FR"/>
        </w:rPr>
        <w:t>’</w:t>
      </w:r>
      <w:r w:rsidR="00CD5230" w:rsidRPr="00FA2E2E">
        <w:rPr>
          <w:lang w:val="fr-FR"/>
        </w:rPr>
        <w:t>autres parties prenantes, et de soumettre ce projet à la Conférence des Parties à sa deuxième réunion</w:t>
      </w:r>
      <w:r w:rsidR="008A17EB" w:rsidRPr="00FA2E2E">
        <w:rPr>
          <w:lang w:val="fr-FR"/>
        </w:rPr>
        <w:t>.</w:t>
      </w:r>
    </w:p>
    <w:p w14:paraId="4CE56115" w14:textId="436153F3" w:rsidR="00064B6B" w:rsidRPr="00FA2E2E" w:rsidRDefault="00CD5230" w:rsidP="00F93F76">
      <w:pPr>
        <w:pStyle w:val="Normalnumber"/>
        <w:rPr>
          <w:lang w:val="fr-FR"/>
        </w:rPr>
      </w:pPr>
      <w:r w:rsidRPr="00FA2E2E">
        <w:rPr>
          <w:lang w:val="fr-FR"/>
        </w:rPr>
        <w:t>La Conférence des</w:t>
      </w:r>
      <w:r w:rsidR="00BE0E42" w:rsidRPr="00FA2E2E">
        <w:rPr>
          <w:lang w:val="fr-FR"/>
        </w:rPr>
        <w:t xml:space="preserve"> Parties </w:t>
      </w:r>
      <w:r w:rsidRPr="00FA2E2E">
        <w:rPr>
          <w:lang w:val="fr-FR"/>
        </w:rPr>
        <w:t>a examiné le projet à sa deuxième réunion et</w:t>
      </w:r>
      <w:r w:rsidR="00893590" w:rsidRPr="00FA2E2E">
        <w:rPr>
          <w:lang w:val="fr-FR"/>
        </w:rPr>
        <w:t>,</w:t>
      </w:r>
      <w:r w:rsidRPr="00FA2E2E">
        <w:rPr>
          <w:lang w:val="fr-FR"/>
        </w:rPr>
        <w:t xml:space="preserve"> dans sa</w:t>
      </w:r>
      <w:r w:rsidR="008A35CE" w:rsidRPr="00FA2E2E">
        <w:rPr>
          <w:lang w:val="fr-FR"/>
        </w:rPr>
        <w:t> </w:t>
      </w:r>
      <w:r w:rsidR="008A17EB" w:rsidRPr="00FA2E2E">
        <w:rPr>
          <w:lang w:val="fr-FR"/>
        </w:rPr>
        <w:t>d</w:t>
      </w:r>
      <w:r w:rsidRPr="00FA2E2E">
        <w:rPr>
          <w:lang w:val="fr-FR"/>
        </w:rPr>
        <w:t>é</w:t>
      </w:r>
      <w:r w:rsidR="008A17EB" w:rsidRPr="00FA2E2E">
        <w:rPr>
          <w:lang w:val="fr-FR"/>
        </w:rPr>
        <w:t>cision</w:t>
      </w:r>
      <w:r w:rsidRPr="00FA2E2E">
        <w:rPr>
          <w:lang w:val="fr-FR"/>
        </w:rPr>
        <w:t> </w:t>
      </w:r>
      <w:r w:rsidR="008A17EB" w:rsidRPr="00FA2E2E">
        <w:rPr>
          <w:lang w:val="fr-FR"/>
        </w:rPr>
        <w:t>MC</w:t>
      </w:r>
      <w:r w:rsidRPr="00FA2E2E">
        <w:rPr>
          <w:lang w:val="fr-FR"/>
        </w:rPr>
        <w:noBreakHyphen/>
      </w:r>
      <w:r w:rsidR="008A17EB" w:rsidRPr="00FA2E2E">
        <w:rPr>
          <w:lang w:val="fr-FR"/>
        </w:rPr>
        <w:t>2/8</w:t>
      </w:r>
      <w:r w:rsidR="008D06F3" w:rsidRPr="00FA2E2E">
        <w:rPr>
          <w:lang w:val="fr-FR"/>
        </w:rPr>
        <w:t>,</w:t>
      </w:r>
      <w:r w:rsidR="008A17EB" w:rsidRPr="00FA2E2E">
        <w:rPr>
          <w:lang w:val="fr-FR"/>
        </w:rPr>
        <w:t xml:space="preserve"> </w:t>
      </w:r>
      <w:r w:rsidR="00893590" w:rsidRPr="00FA2E2E">
        <w:rPr>
          <w:lang w:val="fr-FR"/>
        </w:rPr>
        <w:t>prié le secrétariat</w:t>
      </w:r>
      <w:r w:rsidR="008A17EB" w:rsidRPr="00FA2E2E">
        <w:rPr>
          <w:lang w:val="fr-FR"/>
        </w:rPr>
        <w:t xml:space="preserve"> </w:t>
      </w:r>
      <w:r w:rsidR="00893590" w:rsidRPr="00FA2E2E">
        <w:rPr>
          <w:lang w:val="fr-FR"/>
        </w:rPr>
        <w:t>de réviser plus avant le projet d</w:t>
      </w:r>
      <w:r w:rsidR="00FE58E1" w:rsidRPr="00FA2E2E">
        <w:rPr>
          <w:lang w:val="fr-FR"/>
        </w:rPr>
        <w:t>’</w:t>
      </w:r>
      <w:r w:rsidR="00893590" w:rsidRPr="00FA2E2E">
        <w:rPr>
          <w:lang w:val="fr-FR"/>
        </w:rPr>
        <w:t>orientations, en tenant compte des</w:t>
      </w:r>
      <w:r w:rsidR="008A35CE" w:rsidRPr="00FA2E2E">
        <w:rPr>
          <w:lang w:val="fr-FR"/>
        </w:rPr>
        <w:t> </w:t>
      </w:r>
      <w:r w:rsidR="00893590" w:rsidRPr="00FA2E2E">
        <w:rPr>
          <w:lang w:val="fr-FR"/>
        </w:rPr>
        <w:t>observations et des informations communiquées par les Parties et les parties prenantes et en</w:t>
      </w:r>
      <w:r w:rsidR="008A35CE" w:rsidRPr="00FA2E2E">
        <w:rPr>
          <w:lang w:val="fr-FR"/>
        </w:rPr>
        <w:t> </w:t>
      </w:r>
      <w:r w:rsidR="00893590" w:rsidRPr="00FA2E2E">
        <w:rPr>
          <w:lang w:val="fr-FR"/>
        </w:rPr>
        <w:t>concertation avec les experts désignés, et de soumettre le projet révisé à la Conférence des Parties afin que celle-ci l</w:t>
      </w:r>
      <w:r w:rsidR="00FE58E1" w:rsidRPr="00FA2E2E">
        <w:rPr>
          <w:lang w:val="fr-FR"/>
        </w:rPr>
        <w:t>’</w:t>
      </w:r>
      <w:r w:rsidR="00893590" w:rsidRPr="00FA2E2E">
        <w:rPr>
          <w:lang w:val="fr-FR"/>
        </w:rPr>
        <w:t>examine à sa troisième réunion</w:t>
      </w:r>
      <w:r w:rsidR="00260183" w:rsidRPr="00FA2E2E">
        <w:rPr>
          <w:lang w:val="fr-FR"/>
        </w:rPr>
        <w:t>.</w:t>
      </w:r>
    </w:p>
    <w:p w14:paraId="25744D81" w14:textId="0732D80A" w:rsidR="00260183" w:rsidRPr="00FA2E2E" w:rsidRDefault="00893590" w:rsidP="00F93F76">
      <w:pPr>
        <w:pStyle w:val="Normalnumber"/>
        <w:rPr>
          <w:lang w:val="fr-FR"/>
        </w:rPr>
      </w:pPr>
      <w:r w:rsidRPr="00FA2E2E">
        <w:rPr>
          <w:lang w:val="fr-FR"/>
        </w:rPr>
        <w:t xml:space="preserve">Des observations et des informations ont été communiquées par le </w:t>
      </w:r>
      <w:r w:rsidR="00260183" w:rsidRPr="00FA2E2E">
        <w:rPr>
          <w:lang w:val="fr-FR"/>
        </w:rPr>
        <w:t xml:space="preserve">Canada, </w:t>
      </w:r>
      <w:r w:rsidRPr="00FA2E2E">
        <w:rPr>
          <w:lang w:val="fr-FR"/>
        </w:rPr>
        <w:t xml:space="preserve">le </w:t>
      </w:r>
      <w:r w:rsidR="00260183" w:rsidRPr="00FA2E2E">
        <w:rPr>
          <w:lang w:val="fr-FR"/>
        </w:rPr>
        <w:t>Chil</w:t>
      </w:r>
      <w:r w:rsidRPr="00FA2E2E">
        <w:rPr>
          <w:lang w:val="fr-FR"/>
        </w:rPr>
        <w:t>i</w:t>
      </w:r>
      <w:r w:rsidR="00260183" w:rsidRPr="00FA2E2E">
        <w:rPr>
          <w:lang w:val="fr-FR"/>
        </w:rPr>
        <w:t>,</w:t>
      </w:r>
      <w:r w:rsidRPr="00FA2E2E">
        <w:rPr>
          <w:lang w:val="fr-FR"/>
        </w:rPr>
        <w:t xml:space="preserve"> la</w:t>
      </w:r>
      <w:r w:rsidR="00260183" w:rsidRPr="00FA2E2E">
        <w:rPr>
          <w:lang w:val="fr-FR"/>
        </w:rPr>
        <w:t xml:space="preserve"> France, </w:t>
      </w:r>
      <w:r w:rsidRPr="00FA2E2E">
        <w:rPr>
          <w:lang w:val="fr-FR"/>
        </w:rPr>
        <w:t xml:space="preserve">le </w:t>
      </w:r>
      <w:r w:rsidR="00260183" w:rsidRPr="00FA2E2E">
        <w:rPr>
          <w:lang w:val="fr-FR"/>
        </w:rPr>
        <w:t>Jap</w:t>
      </w:r>
      <w:r w:rsidRPr="00FA2E2E">
        <w:rPr>
          <w:lang w:val="fr-FR"/>
        </w:rPr>
        <w:t>o</w:t>
      </w:r>
      <w:r w:rsidR="00260183" w:rsidRPr="00FA2E2E">
        <w:rPr>
          <w:lang w:val="fr-FR"/>
        </w:rPr>
        <w:t xml:space="preserve">n, </w:t>
      </w:r>
      <w:r w:rsidRPr="00FA2E2E">
        <w:rPr>
          <w:lang w:val="fr-FR"/>
        </w:rPr>
        <w:t>la Suisse</w:t>
      </w:r>
      <w:r w:rsidR="00260183" w:rsidRPr="00FA2E2E">
        <w:rPr>
          <w:lang w:val="fr-FR"/>
        </w:rPr>
        <w:t>,</w:t>
      </w:r>
      <w:r w:rsidR="00E458AD" w:rsidRPr="00FA2E2E">
        <w:rPr>
          <w:lang w:val="fr-FR"/>
        </w:rPr>
        <w:t xml:space="preserve"> </w:t>
      </w:r>
      <w:r w:rsidRPr="00FA2E2E">
        <w:rPr>
          <w:lang w:val="fr-FR"/>
        </w:rPr>
        <w:t>l</w:t>
      </w:r>
      <w:r w:rsidR="00FE58E1" w:rsidRPr="00FA2E2E">
        <w:rPr>
          <w:lang w:val="fr-FR"/>
        </w:rPr>
        <w:t>’</w:t>
      </w:r>
      <w:r w:rsidR="00260183" w:rsidRPr="00FA2E2E">
        <w:rPr>
          <w:lang w:val="fr-FR"/>
        </w:rPr>
        <w:t xml:space="preserve">Uruguay, </w:t>
      </w:r>
      <w:r w:rsidR="00E458AD" w:rsidRPr="00FA2E2E">
        <w:rPr>
          <w:lang w:val="fr-FR"/>
        </w:rPr>
        <w:t>le secrétariat de la</w:t>
      </w:r>
      <w:r w:rsidR="00260183" w:rsidRPr="00FA2E2E">
        <w:rPr>
          <w:lang w:val="fr-FR"/>
        </w:rPr>
        <w:t xml:space="preserve"> </w:t>
      </w:r>
      <w:r w:rsidR="00E458AD" w:rsidRPr="00FA2E2E">
        <w:rPr>
          <w:lang w:val="fr-FR"/>
        </w:rPr>
        <w:t>Convention pour la protection du milieu marin et du</w:t>
      </w:r>
      <w:r w:rsidR="008A35CE" w:rsidRPr="00FA2E2E">
        <w:rPr>
          <w:lang w:val="fr-FR"/>
        </w:rPr>
        <w:t> </w:t>
      </w:r>
      <w:r w:rsidR="00E458AD" w:rsidRPr="00FA2E2E">
        <w:rPr>
          <w:lang w:val="fr-FR"/>
        </w:rPr>
        <w:t>littoral de la Méditerranée</w:t>
      </w:r>
      <w:r w:rsidR="00260183" w:rsidRPr="00FA2E2E">
        <w:rPr>
          <w:lang w:val="fr-FR"/>
        </w:rPr>
        <w:t xml:space="preserve">, </w:t>
      </w:r>
      <w:r w:rsidR="00E458AD" w:rsidRPr="00FA2E2E">
        <w:rPr>
          <w:lang w:val="fr-FR"/>
        </w:rPr>
        <w:t>le</w:t>
      </w:r>
      <w:r w:rsidR="00C846B1" w:rsidRPr="00FA2E2E">
        <w:rPr>
          <w:lang w:val="fr-FR"/>
        </w:rPr>
        <w:t xml:space="preserve"> </w:t>
      </w:r>
      <w:r w:rsidR="00260183" w:rsidRPr="00FA2E2E">
        <w:rPr>
          <w:lang w:val="fr-FR"/>
        </w:rPr>
        <w:t xml:space="preserve">Common Forum on Contaminated Land in Europe, </w:t>
      </w:r>
      <w:r w:rsidR="00DD7407" w:rsidRPr="00FA2E2E">
        <w:rPr>
          <w:lang w:val="fr-FR"/>
        </w:rPr>
        <w:t>le Conseil international des mines et métaux</w:t>
      </w:r>
      <w:r w:rsidR="00260183" w:rsidRPr="00FA2E2E">
        <w:rPr>
          <w:lang w:val="fr-FR"/>
        </w:rPr>
        <w:t xml:space="preserve">, </w:t>
      </w:r>
      <w:r w:rsidR="003F5208" w:rsidRPr="00FA2E2E">
        <w:rPr>
          <w:lang w:val="fr-FR"/>
        </w:rPr>
        <w:t>le</w:t>
      </w:r>
      <w:r w:rsidR="005A4FC9" w:rsidRPr="00FA2E2E">
        <w:rPr>
          <w:lang w:val="fr-FR"/>
        </w:rPr>
        <w:t xml:space="preserve"> </w:t>
      </w:r>
      <w:r w:rsidR="003F5208" w:rsidRPr="00FA2E2E">
        <w:rPr>
          <w:lang w:val="fr-FR"/>
        </w:rPr>
        <w:t>Réseau international pour l</w:t>
      </w:r>
      <w:r w:rsidR="00FE58E1" w:rsidRPr="00FA2E2E">
        <w:rPr>
          <w:lang w:val="fr-FR"/>
        </w:rPr>
        <w:t>’</w:t>
      </w:r>
      <w:r w:rsidR="003F5208" w:rsidRPr="00FA2E2E">
        <w:rPr>
          <w:lang w:val="fr-FR"/>
        </w:rPr>
        <w:t>élimination des POP et</w:t>
      </w:r>
      <w:r w:rsidR="00260183" w:rsidRPr="00FA2E2E">
        <w:rPr>
          <w:lang w:val="fr-FR"/>
        </w:rPr>
        <w:t xml:space="preserve"> </w:t>
      </w:r>
      <w:r w:rsidR="000F224E" w:rsidRPr="00FA2E2E">
        <w:rPr>
          <w:lang w:val="fr-FR"/>
        </w:rPr>
        <w:t>M</w:t>
      </w:r>
      <w:r w:rsidR="003F5208" w:rsidRPr="00FA2E2E">
        <w:rPr>
          <w:lang w:val="fr-FR"/>
        </w:rPr>
        <w:t>me </w:t>
      </w:r>
      <w:r w:rsidR="000F224E" w:rsidRPr="00FA2E2E">
        <w:rPr>
          <w:lang w:val="fr-FR"/>
        </w:rPr>
        <w:t>Svetoslava</w:t>
      </w:r>
      <w:r w:rsidR="003F5208" w:rsidRPr="00FA2E2E">
        <w:rPr>
          <w:lang w:val="fr-FR"/>
        </w:rPr>
        <w:t> </w:t>
      </w:r>
      <w:r w:rsidR="00260183" w:rsidRPr="00FA2E2E">
        <w:rPr>
          <w:lang w:val="fr-FR"/>
        </w:rPr>
        <w:t>Todorova</w:t>
      </w:r>
      <w:r w:rsidR="000F224E" w:rsidRPr="00FA2E2E">
        <w:rPr>
          <w:lang w:val="fr-FR"/>
        </w:rPr>
        <w:t xml:space="preserve"> </w:t>
      </w:r>
      <w:r w:rsidR="003F5208" w:rsidRPr="00FA2E2E">
        <w:rPr>
          <w:lang w:val="fr-FR"/>
        </w:rPr>
        <w:t>de l</w:t>
      </w:r>
      <w:r w:rsidR="00FE58E1" w:rsidRPr="00FA2E2E">
        <w:rPr>
          <w:lang w:val="fr-FR"/>
        </w:rPr>
        <w:t>’</w:t>
      </w:r>
      <w:r w:rsidR="003F5208" w:rsidRPr="00FA2E2E">
        <w:rPr>
          <w:lang w:val="fr-FR"/>
        </w:rPr>
        <w:t xml:space="preserve">Université de </w:t>
      </w:r>
      <w:r w:rsidR="00260183" w:rsidRPr="00FA2E2E">
        <w:rPr>
          <w:lang w:val="fr-FR"/>
        </w:rPr>
        <w:t xml:space="preserve">Syracuse. </w:t>
      </w:r>
      <w:r w:rsidR="003F5208" w:rsidRPr="00FA2E2E">
        <w:rPr>
          <w:lang w:val="fr-FR"/>
        </w:rPr>
        <w:t>Le projet d</w:t>
      </w:r>
      <w:r w:rsidR="00FE58E1" w:rsidRPr="00FA2E2E">
        <w:rPr>
          <w:lang w:val="fr-FR"/>
        </w:rPr>
        <w:t>’</w:t>
      </w:r>
      <w:r w:rsidR="003F5208" w:rsidRPr="00FA2E2E">
        <w:rPr>
          <w:lang w:val="fr-FR"/>
        </w:rPr>
        <w:t>orientations révisé a été publié</w:t>
      </w:r>
      <w:r w:rsidR="00491330" w:rsidRPr="00FA2E2E">
        <w:rPr>
          <w:lang w:val="fr-FR"/>
        </w:rPr>
        <w:t xml:space="preserve"> le</w:t>
      </w:r>
      <w:r w:rsidR="008A35CE" w:rsidRPr="00FA2E2E">
        <w:rPr>
          <w:lang w:val="fr-FR"/>
        </w:rPr>
        <w:t> </w:t>
      </w:r>
      <w:r w:rsidR="00491330" w:rsidRPr="00FA2E2E">
        <w:rPr>
          <w:lang w:val="fr-FR"/>
        </w:rPr>
        <w:t>17 mai 2019</w:t>
      </w:r>
      <w:r w:rsidR="003F5208" w:rsidRPr="00FA2E2E">
        <w:rPr>
          <w:lang w:val="fr-FR"/>
        </w:rPr>
        <w:t xml:space="preserve"> sur le site Web de la Convention </w:t>
      </w:r>
      <w:r w:rsidR="00491330" w:rsidRPr="00FA2E2E">
        <w:rPr>
          <w:lang w:val="fr-FR"/>
        </w:rPr>
        <w:t>afin que des observations puissent être formulées jusqu</w:t>
      </w:r>
      <w:r w:rsidR="00FE58E1" w:rsidRPr="00FA2E2E">
        <w:rPr>
          <w:lang w:val="fr-FR"/>
        </w:rPr>
        <w:t>’</w:t>
      </w:r>
      <w:r w:rsidR="00491330" w:rsidRPr="00FA2E2E">
        <w:rPr>
          <w:lang w:val="fr-FR"/>
        </w:rPr>
        <w:t>au</w:t>
      </w:r>
      <w:r w:rsidR="00260183" w:rsidRPr="00FA2E2E">
        <w:rPr>
          <w:lang w:val="fr-FR"/>
        </w:rPr>
        <w:t xml:space="preserve"> 21</w:t>
      </w:r>
      <w:r w:rsidR="00491330" w:rsidRPr="00FA2E2E">
        <w:rPr>
          <w:lang w:val="fr-FR"/>
        </w:rPr>
        <w:t> juin </w:t>
      </w:r>
      <w:r w:rsidR="00260183" w:rsidRPr="00FA2E2E">
        <w:rPr>
          <w:lang w:val="fr-FR"/>
        </w:rPr>
        <w:t xml:space="preserve">2019. </w:t>
      </w:r>
      <w:r w:rsidR="00491330" w:rsidRPr="00FA2E2E">
        <w:rPr>
          <w:lang w:val="fr-FR"/>
        </w:rPr>
        <w:t>Des observations supplémentaires ont été communiquées par l</w:t>
      </w:r>
      <w:r w:rsidR="00FE58E1" w:rsidRPr="00FA2E2E">
        <w:rPr>
          <w:lang w:val="fr-FR"/>
        </w:rPr>
        <w:t>’</w:t>
      </w:r>
      <w:r w:rsidR="00260183" w:rsidRPr="00FA2E2E">
        <w:rPr>
          <w:lang w:val="fr-FR"/>
        </w:rPr>
        <w:t>Argentin</w:t>
      </w:r>
      <w:r w:rsidR="00491330" w:rsidRPr="00FA2E2E">
        <w:rPr>
          <w:lang w:val="fr-FR"/>
        </w:rPr>
        <w:t>e</w:t>
      </w:r>
      <w:r w:rsidR="00260183" w:rsidRPr="00FA2E2E">
        <w:rPr>
          <w:lang w:val="fr-FR"/>
        </w:rPr>
        <w:t xml:space="preserve">, </w:t>
      </w:r>
      <w:r w:rsidR="00491330" w:rsidRPr="00FA2E2E">
        <w:rPr>
          <w:lang w:val="fr-FR"/>
        </w:rPr>
        <w:t>le</w:t>
      </w:r>
      <w:r w:rsidR="008A35CE" w:rsidRPr="00FA2E2E">
        <w:rPr>
          <w:lang w:val="fr-FR"/>
        </w:rPr>
        <w:t> </w:t>
      </w:r>
      <w:r w:rsidR="00260183" w:rsidRPr="00FA2E2E">
        <w:rPr>
          <w:lang w:val="fr-FR"/>
        </w:rPr>
        <w:t xml:space="preserve">Canada, </w:t>
      </w:r>
      <w:r w:rsidR="00491330" w:rsidRPr="00FA2E2E">
        <w:rPr>
          <w:lang w:val="fr-FR"/>
        </w:rPr>
        <w:t xml:space="preserve">le </w:t>
      </w:r>
      <w:r w:rsidR="00260183" w:rsidRPr="00FA2E2E">
        <w:rPr>
          <w:lang w:val="fr-FR"/>
        </w:rPr>
        <w:t>Chil</w:t>
      </w:r>
      <w:r w:rsidR="00491330" w:rsidRPr="00FA2E2E">
        <w:rPr>
          <w:lang w:val="fr-FR"/>
        </w:rPr>
        <w:t>i</w:t>
      </w:r>
      <w:r w:rsidR="00260183" w:rsidRPr="00FA2E2E">
        <w:rPr>
          <w:lang w:val="fr-FR"/>
        </w:rPr>
        <w:t xml:space="preserve">, </w:t>
      </w:r>
      <w:r w:rsidR="00491330" w:rsidRPr="00FA2E2E">
        <w:rPr>
          <w:lang w:val="fr-FR"/>
        </w:rPr>
        <w:t xml:space="preserve">la </w:t>
      </w:r>
      <w:r w:rsidR="00260183" w:rsidRPr="00FA2E2E">
        <w:rPr>
          <w:lang w:val="fr-FR"/>
        </w:rPr>
        <w:t>Chin</w:t>
      </w:r>
      <w:r w:rsidR="00491330" w:rsidRPr="00FA2E2E">
        <w:rPr>
          <w:lang w:val="fr-FR"/>
        </w:rPr>
        <w:t>e</w:t>
      </w:r>
      <w:r w:rsidR="00260183" w:rsidRPr="00FA2E2E">
        <w:rPr>
          <w:lang w:val="fr-FR"/>
        </w:rPr>
        <w:t xml:space="preserve">, </w:t>
      </w:r>
      <w:r w:rsidR="00491330" w:rsidRPr="00FA2E2E">
        <w:rPr>
          <w:lang w:val="fr-FR"/>
        </w:rPr>
        <w:t>l</w:t>
      </w:r>
      <w:r w:rsidR="00FE58E1" w:rsidRPr="00FA2E2E">
        <w:rPr>
          <w:lang w:val="fr-FR"/>
        </w:rPr>
        <w:t>’</w:t>
      </w:r>
      <w:r w:rsidR="00491330" w:rsidRPr="00FA2E2E">
        <w:rPr>
          <w:lang w:val="fr-FR"/>
        </w:rPr>
        <w:t>Espagne, les États-Unis d</w:t>
      </w:r>
      <w:r w:rsidR="00FE58E1" w:rsidRPr="00FA2E2E">
        <w:rPr>
          <w:lang w:val="fr-FR"/>
        </w:rPr>
        <w:t>’</w:t>
      </w:r>
      <w:r w:rsidR="00491330" w:rsidRPr="00FA2E2E">
        <w:rPr>
          <w:lang w:val="fr-FR"/>
        </w:rPr>
        <w:t xml:space="preserve">Amérique, la </w:t>
      </w:r>
      <w:r w:rsidR="00260183" w:rsidRPr="00FA2E2E">
        <w:rPr>
          <w:lang w:val="fr-FR"/>
        </w:rPr>
        <w:t xml:space="preserve">France, </w:t>
      </w:r>
      <w:r w:rsidR="00491330" w:rsidRPr="00FA2E2E">
        <w:rPr>
          <w:lang w:val="fr-FR"/>
        </w:rPr>
        <w:t>l</w:t>
      </w:r>
      <w:r w:rsidR="00FE58E1" w:rsidRPr="00FA2E2E">
        <w:rPr>
          <w:lang w:val="fr-FR"/>
        </w:rPr>
        <w:t>’</w:t>
      </w:r>
      <w:r w:rsidR="00260183" w:rsidRPr="00FA2E2E">
        <w:rPr>
          <w:lang w:val="fr-FR"/>
        </w:rPr>
        <w:t>Iran (</w:t>
      </w:r>
      <w:r w:rsidR="00491330" w:rsidRPr="00FA2E2E">
        <w:rPr>
          <w:lang w:val="fr-FR"/>
        </w:rPr>
        <w:t>République islamique d</w:t>
      </w:r>
      <w:r w:rsidR="00FE58E1" w:rsidRPr="00FA2E2E">
        <w:rPr>
          <w:lang w:val="fr-FR"/>
        </w:rPr>
        <w:t>’</w:t>
      </w:r>
      <w:r w:rsidR="00260183" w:rsidRPr="00FA2E2E">
        <w:rPr>
          <w:lang w:val="fr-FR"/>
        </w:rPr>
        <w:t xml:space="preserve">), </w:t>
      </w:r>
      <w:r w:rsidR="00491330" w:rsidRPr="00FA2E2E">
        <w:rPr>
          <w:lang w:val="fr-FR"/>
        </w:rPr>
        <w:t xml:space="preserve">le </w:t>
      </w:r>
      <w:r w:rsidR="00260183" w:rsidRPr="00FA2E2E">
        <w:rPr>
          <w:lang w:val="fr-FR"/>
        </w:rPr>
        <w:t>Jap</w:t>
      </w:r>
      <w:r w:rsidR="00491330" w:rsidRPr="00FA2E2E">
        <w:rPr>
          <w:lang w:val="fr-FR"/>
        </w:rPr>
        <w:t>o</w:t>
      </w:r>
      <w:r w:rsidR="00260183" w:rsidRPr="00FA2E2E">
        <w:rPr>
          <w:lang w:val="fr-FR"/>
        </w:rPr>
        <w:t xml:space="preserve">n, </w:t>
      </w:r>
      <w:r w:rsidR="00491330" w:rsidRPr="00FA2E2E">
        <w:rPr>
          <w:lang w:val="fr-FR"/>
        </w:rPr>
        <w:t>le Conseil international des mines et métaux</w:t>
      </w:r>
      <w:r w:rsidR="00260183" w:rsidRPr="00FA2E2E">
        <w:rPr>
          <w:lang w:val="fr-FR"/>
        </w:rPr>
        <w:t xml:space="preserve">, </w:t>
      </w:r>
      <w:r w:rsidR="00491330" w:rsidRPr="00FA2E2E">
        <w:rPr>
          <w:lang w:val="fr-FR"/>
        </w:rPr>
        <w:t>le Réseau international pour l</w:t>
      </w:r>
      <w:r w:rsidR="00FE58E1" w:rsidRPr="00FA2E2E">
        <w:rPr>
          <w:lang w:val="fr-FR"/>
        </w:rPr>
        <w:t>’</w:t>
      </w:r>
      <w:r w:rsidR="00491330" w:rsidRPr="00FA2E2E">
        <w:rPr>
          <w:lang w:val="fr-FR"/>
        </w:rPr>
        <w:t>élimination des POP et</w:t>
      </w:r>
      <w:r w:rsidR="00260183" w:rsidRPr="00FA2E2E">
        <w:rPr>
          <w:lang w:val="fr-FR"/>
        </w:rPr>
        <w:t xml:space="preserve"> </w:t>
      </w:r>
      <w:r w:rsidR="000F224E" w:rsidRPr="00FA2E2E">
        <w:rPr>
          <w:lang w:val="fr-FR"/>
        </w:rPr>
        <w:t>M</w:t>
      </w:r>
      <w:r w:rsidR="00491330" w:rsidRPr="00FA2E2E">
        <w:rPr>
          <w:lang w:val="fr-FR"/>
        </w:rPr>
        <w:t>me </w:t>
      </w:r>
      <w:r w:rsidR="00260183" w:rsidRPr="00FA2E2E">
        <w:rPr>
          <w:lang w:val="fr-FR"/>
        </w:rPr>
        <w:t xml:space="preserve">Todorova. </w:t>
      </w:r>
      <w:r w:rsidR="00491330" w:rsidRPr="00FA2E2E">
        <w:rPr>
          <w:lang w:val="fr-FR"/>
        </w:rPr>
        <w:t>Le secrétariat a organisé le 1</w:t>
      </w:r>
      <w:r w:rsidR="00491330" w:rsidRPr="00FA2E2E">
        <w:rPr>
          <w:vertAlign w:val="superscript"/>
          <w:lang w:val="fr-FR"/>
        </w:rPr>
        <w:t>er</w:t>
      </w:r>
      <w:r w:rsidR="00491330" w:rsidRPr="00FA2E2E">
        <w:rPr>
          <w:lang w:val="fr-FR"/>
        </w:rPr>
        <w:t> juillet 2019 une</w:t>
      </w:r>
      <w:r w:rsidR="008A35CE" w:rsidRPr="00FA2E2E">
        <w:rPr>
          <w:lang w:val="fr-FR"/>
        </w:rPr>
        <w:t> </w:t>
      </w:r>
      <w:r w:rsidR="00491330" w:rsidRPr="00FA2E2E">
        <w:rPr>
          <w:lang w:val="fr-FR"/>
        </w:rPr>
        <w:t>téléconférence avec les experts désignés</w:t>
      </w:r>
      <w:r w:rsidR="00260183" w:rsidRPr="00FA2E2E">
        <w:rPr>
          <w:lang w:val="fr-FR"/>
        </w:rPr>
        <w:t xml:space="preserve"> </w:t>
      </w:r>
      <w:r w:rsidR="00491330" w:rsidRPr="00FA2E2E">
        <w:rPr>
          <w:lang w:val="fr-FR"/>
        </w:rPr>
        <w:t xml:space="preserve">et ensuite élaboré le </w:t>
      </w:r>
      <w:r w:rsidR="00F37BF0" w:rsidRPr="00FA2E2E">
        <w:rPr>
          <w:lang w:val="fr-FR"/>
        </w:rPr>
        <w:t xml:space="preserve">nouveau </w:t>
      </w:r>
      <w:r w:rsidR="00491330" w:rsidRPr="00FA2E2E">
        <w:rPr>
          <w:lang w:val="fr-FR"/>
        </w:rPr>
        <w:t>projet</w:t>
      </w:r>
      <w:r w:rsidR="0008379F" w:rsidRPr="00FA2E2E">
        <w:rPr>
          <w:lang w:val="fr-FR"/>
        </w:rPr>
        <w:t xml:space="preserve"> </w:t>
      </w:r>
      <w:r w:rsidR="00491330" w:rsidRPr="00FA2E2E">
        <w:rPr>
          <w:lang w:val="fr-FR"/>
        </w:rPr>
        <w:t xml:space="preserve">révisé </w:t>
      </w:r>
      <w:r w:rsidR="00F37BF0" w:rsidRPr="00FA2E2E">
        <w:rPr>
          <w:lang w:val="fr-FR"/>
        </w:rPr>
        <w:t>qui est contenu dans l</w:t>
      </w:r>
      <w:r w:rsidR="00FE58E1" w:rsidRPr="00FA2E2E">
        <w:rPr>
          <w:lang w:val="fr-FR"/>
        </w:rPr>
        <w:t>’</w:t>
      </w:r>
      <w:r w:rsidR="00F37BF0" w:rsidRPr="00FA2E2E">
        <w:rPr>
          <w:lang w:val="fr-FR"/>
        </w:rPr>
        <w:t>a</w:t>
      </w:r>
      <w:r w:rsidR="001D3060" w:rsidRPr="00FA2E2E">
        <w:rPr>
          <w:lang w:val="fr-FR"/>
        </w:rPr>
        <w:t>nnex</w:t>
      </w:r>
      <w:r w:rsidR="00F37BF0" w:rsidRPr="00FA2E2E">
        <w:rPr>
          <w:lang w:val="fr-FR"/>
        </w:rPr>
        <w:t>e </w:t>
      </w:r>
      <w:r w:rsidR="001D3060" w:rsidRPr="00FA2E2E">
        <w:rPr>
          <w:lang w:val="fr-FR"/>
        </w:rPr>
        <w:t>II</w:t>
      </w:r>
      <w:r w:rsidR="008D06F3" w:rsidRPr="00FA2E2E">
        <w:rPr>
          <w:lang w:val="fr-FR"/>
        </w:rPr>
        <w:t xml:space="preserve"> </w:t>
      </w:r>
      <w:r w:rsidR="00924744" w:rsidRPr="00FA2E2E">
        <w:rPr>
          <w:lang w:val="fr-FR"/>
        </w:rPr>
        <w:t xml:space="preserve">à </w:t>
      </w:r>
      <w:r w:rsidR="00F37BF0" w:rsidRPr="00FA2E2E">
        <w:rPr>
          <w:lang w:val="fr-FR"/>
        </w:rPr>
        <w:t>la présente note</w:t>
      </w:r>
      <w:r w:rsidR="00260183" w:rsidRPr="00FA2E2E">
        <w:rPr>
          <w:lang w:val="fr-FR"/>
        </w:rPr>
        <w:t>.</w:t>
      </w:r>
      <w:r w:rsidR="00064B6B" w:rsidRPr="00FA2E2E">
        <w:rPr>
          <w:lang w:val="fr-FR"/>
        </w:rPr>
        <w:t xml:space="preserve"> </w:t>
      </w:r>
    </w:p>
    <w:p w14:paraId="49F616FD" w14:textId="2EB3D711" w:rsidR="003A7ACF" w:rsidRPr="00FA2E2E" w:rsidRDefault="004A7825" w:rsidP="00F93F76">
      <w:pPr>
        <w:pStyle w:val="Normalnumber"/>
        <w:rPr>
          <w:lang w:val="fr-FR"/>
        </w:rPr>
      </w:pPr>
      <w:r w:rsidRPr="00FA2E2E">
        <w:rPr>
          <w:lang w:val="fr-FR"/>
        </w:rPr>
        <w:t>Lors de leur téléconférence</w:t>
      </w:r>
      <w:r w:rsidR="0008379F" w:rsidRPr="00FA2E2E">
        <w:rPr>
          <w:lang w:val="fr-FR"/>
        </w:rPr>
        <w:t>,</w:t>
      </w:r>
      <w:r w:rsidRPr="00FA2E2E">
        <w:rPr>
          <w:lang w:val="fr-FR"/>
        </w:rPr>
        <w:t xml:space="preserve"> les experts désignés ont convenu que certaines des informations étaient trop techniques pour figurer dans les orientations mais devraient être mises à la disposition des</w:t>
      </w:r>
      <w:r w:rsidR="008A35CE" w:rsidRPr="00FA2E2E">
        <w:rPr>
          <w:lang w:val="fr-FR"/>
        </w:rPr>
        <w:t> </w:t>
      </w:r>
      <w:r w:rsidRPr="00FA2E2E">
        <w:rPr>
          <w:lang w:val="fr-FR"/>
        </w:rPr>
        <w:t>Parties afin d</w:t>
      </w:r>
      <w:r w:rsidR="00FE58E1" w:rsidRPr="00FA2E2E">
        <w:rPr>
          <w:lang w:val="fr-FR"/>
        </w:rPr>
        <w:t>’</w:t>
      </w:r>
      <w:r w:rsidRPr="00FA2E2E">
        <w:rPr>
          <w:lang w:val="fr-FR"/>
        </w:rPr>
        <w:t>appuyer la mise en œuvre de l</w:t>
      </w:r>
      <w:r w:rsidR="00FE58E1" w:rsidRPr="00FA2E2E">
        <w:rPr>
          <w:lang w:val="fr-FR"/>
        </w:rPr>
        <w:t>’</w:t>
      </w:r>
      <w:r w:rsidR="0008379F" w:rsidRPr="00FA2E2E">
        <w:rPr>
          <w:lang w:val="fr-FR"/>
        </w:rPr>
        <w:t>article</w:t>
      </w:r>
      <w:r w:rsidRPr="00FA2E2E">
        <w:rPr>
          <w:lang w:val="fr-FR"/>
        </w:rPr>
        <w:t> </w:t>
      </w:r>
      <w:r w:rsidR="0008379F" w:rsidRPr="00FA2E2E">
        <w:rPr>
          <w:lang w:val="fr-FR"/>
        </w:rPr>
        <w:t xml:space="preserve">12. </w:t>
      </w:r>
      <w:r w:rsidRPr="00FA2E2E">
        <w:rPr>
          <w:lang w:val="fr-FR"/>
        </w:rPr>
        <w:t>Ces</w:t>
      </w:r>
      <w:r w:rsidR="0008379F" w:rsidRPr="00FA2E2E">
        <w:rPr>
          <w:lang w:val="fr-FR"/>
        </w:rPr>
        <w:t xml:space="preserve"> information</w:t>
      </w:r>
      <w:r w:rsidRPr="00FA2E2E">
        <w:rPr>
          <w:lang w:val="fr-FR"/>
        </w:rPr>
        <w:t>s figurent en annexe au</w:t>
      </w:r>
      <w:r w:rsidR="008A35CE" w:rsidRPr="00FA2E2E">
        <w:rPr>
          <w:lang w:val="fr-FR"/>
        </w:rPr>
        <w:t> </w:t>
      </w:r>
      <w:r w:rsidR="002F1440" w:rsidRPr="00FA2E2E">
        <w:rPr>
          <w:lang w:val="fr-FR"/>
        </w:rPr>
        <w:t xml:space="preserve">document </w:t>
      </w:r>
      <w:r w:rsidR="0008379F" w:rsidRPr="00FA2E2E">
        <w:rPr>
          <w:lang w:val="fr-FR"/>
        </w:rPr>
        <w:t>UNEP/MC/COP.3/INF/13</w:t>
      </w:r>
      <w:r w:rsidR="00F523FD" w:rsidRPr="00FA2E2E">
        <w:rPr>
          <w:lang w:val="fr-FR"/>
        </w:rPr>
        <w:t>.</w:t>
      </w:r>
    </w:p>
    <w:p w14:paraId="69F15413" w14:textId="6F057E66" w:rsidR="00064B6B" w:rsidRPr="00FA2E2E" w:rsidRDefault="00064B6B" w:rsidP="00064B6B">
      <w:pPr>
        <w:pStyle w:val="CH2"/>
        <w:rPr>
          <w:lang w:val="fr-FR"/>
        </w:rPr>
      </w:pPr>
      <w:r w:rsidRPr="00FA2E2E">
        <w:rPr>
          <w:lang w:val="fr-FR"/>
        </w:rPr>
        <w:lastRenderedPageBreak/>
        <w:tab/>
      </w:r>
      <w:r w:rsidRPr="00FA2E2E">
        <w:rPr>
          <w:lang w:val="fr-FR"/>
        </w:rPr>
        <w:tab/>
      </w:r>
      <w:r w:rsidR="00314263" w:rsidRPr="00FA2E2E">
        <w:rPr>
          <w:lang w:val="fr-FR"/>
        </w:rPr>
        <w:t>Mesures que pourrait prendre la Conférence des Parties</w:t>
      </w:r>
    </w:p>
    <w:p w14:paraId="282468A5" w14:textId="7056E72A" w:rsidR="005A4D46" w:rsidRPr="00FA2E2E" w:rsidRDefault="00314263" w:rsidP="003A0F06">
      <w:pPr>
        <w:pStyle w:val="Normalnumber"/>
        <w:rPr>
          <w:lang w:val="fr-FR"/>
        </w:rPr>
        <w:sectPr w:rsidR="005A4D46" w:rsidRPr="00FA2E2E" w:rsidSect="006D1646">
          <w:headerReference w:type="even" r:id="rId11"/>
          <w:headerReference w:type="default" r:id="rId12"/>
          <w:footerReference w:type="even" r:id="rId13"/>
          <w:footerReference w:type="first" r:id="rId14"/>
          <w:pgSz w:w="11906" w:h="16838" w:code="9"/>
          <w:pgMar w:top="907" w:right="992" w:bottom="1418" w:left="1418" w:header="539" w:footer="975" w:gutter="0"/>
          <w:cols w:space="539"/>
          <w:titlePg/>
          <w:docGrid w:linePitch="360"/>
        </w:sectPr>
      </w:pPr>
      <w:r w:rsidRPr="00FA2E2E">
        <w:rPr>
          <w:lang w:val="fr-FR"/>
        </w:rPr>
        <w:t>La</w:t>
      </w:r>
      <w:r w:rsidR="00064B6B" w:rsidRPr="00FA2E2E">
        <w:rPr>
          <w:lang w:val="fr-FR"/>
        </w:rPr>
        <w:t xml:space="preserve"> Conf</w:t>
      </w:r>
      <w:r w:rsidRPr="00FA2E2E">
        <w:rPr>
          <w:lang w:val="fr-FR"/>
        </w:rPr>
        <w:t>é</w:t>
      </w:r>
      <w:r w:rsidR="00064B6B" w:rsidRPr="00FA2E2E">
        <w:rPr>
          <w:lang w:val="fr-FR"/>
        </w:rPr>
        <w:t xml:space="preserve">rence </w:t>
      </w:r>
      <w:r w:rsidRPr="00FA2E2E">
        <w:rPr>
          <w:lang w:val="fr-FR"/>
        </w:rPr>
        <w:t>des</w:t>
      </w:r>
      <w:r w:rsidR="00064B6B" w:rsidRPr="00FA2E2E">
        <w:rPr>
          <w:lang w:val="fr-FR"/>
        </w:rPr>
        <w:t xml:space="preserve"> Parties</w:t>
      </w:r>
      <w:r w:rsidRPr="00FA2E2E">
        <w:rPr>
          <w:lang w:val="fr-FR"/>
        </w:rPr>
        <w:t xml:space="preserve"> souhaitera peut-être examiner le projet d</w:t>
      </w:r>
      <w:r w:rsidR="00FE58E1" w:rsidRPr="00FA2E2E">
        <w:rPr>
          <w:lang w:val="fr-FR"/>
        </w:rPr>
        <w:t>’</w:t>
      </w:r>
      <w:r w:rsidRPr="00FA2E2E">
        <w:rPr>
          <w:lang w:val="fr-FR"/>
        </w:rPr>
        <w:t>orientations pour adoption éventuelle</w:t>
      </w:r>
      <w:r w:rsidR="00064B6B" w:rsidRPr="00FA2E2E">
        <w:rPr>
          <w:lang w:val="fr-FR"/>
        </w:rPr>
        <w:t xml:space="preserve">. </w:t>
      </w:r>
      <w:r w:rsidRPr="00FA2E2E">
        <w:rPr>
          <w:lang w:val="fr-FR"/>
        </w:rPr>
        <w:t>Un projet de décision sur le sujet</w:t>
      </w:r>
      <w:r w:rsidR="00A436CC" w:rsidRPr="00FA2E2E">
        <w:rPr>
          <w:lang w:val="fr-FR"/>
        </w:rPr>
        <w:t xml:space="preserve"> </w:t>
      </w:r>
      <w:r w:rsidRPr="00FA2E2E">
        <w:rPr>
          <w:lang w:val="fr-FR"/>
        </w:rPr>
        <w:t>figure dans l</w:t>
      </w:r>
      <w:r w:rsidR="00FE58E1" w:rsidRPr="00FA2E2E">
        <w:rPr>
          <w:lang w:val="fr-FR"/>
        </w:rPr>
        <w:t>’</w:t>
      </w:r>
      <w:r w:rsidRPr="00FA2E2E">
        <w:rPr>
          <w:lang w:val="fr-FR"/>
        </w:rPr>
        <w:t>annexe </w:t>
      </w:r>
      <w:r w:rsidR="00A436CC" w:rsidRPr="00FA2E2E">
        <w:rPr>
          <w:lang w:val="fr-FR"/>
        </w:rPr>
        <w:t xml:space="preserve">I. </w:t>
      </w:r>
      <w:bookmarkStart w:id="5" w:name="_Toc524355394"/>
    </w:p>
    <w:p w14:paraId="3E3F895B" w14:textId="4AE2E793" w:rsidR="00064B6B" w:rsidRPr="00FA2E2E" w:rsidRDefault="00064B6B" w:rsidP="0066320B">
      <w:pPr>
        <w:pStyle w:val="ZZAnxheader"/>
        <w:rPr>
          <w:lang w:val="fr-FR"/>
        </w:rPr>
      </w:pPr>
      <w:r w:rsidRPr="00FA2E2E">
        <w:rPr>
          <w:lang w:val="fr-FR"/>
        </w:rPr>
        <w:lastRenderedPageBreak/>
        <w:t>Annex</w:t>
      </w:r>
      <w:r w:rsidR="00A76DB8" w:rsidRPr="00FA2E2E">
        <w:rPr>
          <w:lang w:val="fr-FR"/>
        </w:rPr>
        <w:t>e </w:t>
      </w:r>
      <w:r w:rsidRPr="00FA2E2E">
        <w:rPr>
          <w:lang w:val="fr-FR"/>
        </w:rPr>
        <w:t>I</w:t>
      </w:r>
      <w:bookmarkEnd w:id="5"/>
    </w:p>
    <w:p w14:paraId="26854FFC" w14:textId="40465680" w:rsidR="00064B6B" w:rsidRPr="00FA2E2E" w:rsidRDefault="00CC2E1A" w:rsidP="0066320B">
      <w:pPr>
        <w:pStyle w:val="ZZAnxtitle"/>
        <w:rPr>
          <w:lang w:val="fr-FR"/>
        </w:rPr>
      </w:pPr>
      <w:bookmarkStart w:id="6" w:name="_Toc524355395"/>
      <w:r w:rsidRPr="00FA2E2E">
        <w:rPr>
          <w:lang w:val="fr-FR"/>
        </w:rPr>
        <w:t>Projet de décision </w:t>
      </w:r>
      <w:r w:rsidR="00064B6B" w:rsidRPr="00FA2E2E">
        <w:rPr>
          <w:lang w:val="fr-FR"/>
        </w:rPr>
        <w:t>MC</w:t>
      </w:r>
      <w:r w:rsidRPr="00FA2E2E">
        <w:rPr>
          <w:lang w:val="fr-FR"/>
        </w:rPr>
        <w:noBreakHyphen/>
      </w:r>
      <w:r w:rsidR="00EB532F" w:rsidRPr="00FA2E2E">
        <w:rPr>
          <w:lang w:val="fr-FR"/>
        </w:rPr>
        <w:t>3</w:t>
      </w:r>
      <w:r w:rsidR="00064B6B" w:rsidRPr="00FA2E2E">
        <w:rPr>
          <w:lang w:val="fr-FR"/>
        </w:rPr>
        <w:t>/[</w:t>
      </w:r>
      <w:r w:rsidR="00E377E9" w:rsidRPr="00FA2E2E">
        <w:rPr>
          <w:lang w:val="fr-FR"/>
        </w:rPr>
        <w:t>--</w:t>
      </w:r>
      <w:r w:rsidR="00064B6B" w:rsidRPr="00FA2E2E">
        <w:rPr>
          <w:lang w:val="fr-FR"/>
        </w:rPr>
        <w:t>]</w:t>
      </w:r>
      <w:r w:rsidRPr="00FA2E2E">
        <w:rPr>
          <w:lang w:val="fr-FR"/>
        </w:rPr>
        <w:t> </w:t>
      </w:r>
      <w:r w:rsidR="00064B6B" w:rsidRPr="00FA2E2E">
        <w:rPr>
          <w:lang w:val="fr-FR"/>
        </w:rPr>
        <w:t xml:space="preserve">: </w:t>
      </w:r>
      <w:r w:rsidRPr="00FA2E2E">
        <w:rPr>
          <w:lang w:val="fr-FR"/>
        </w:rPr>
        <w:t>Orientations sur la gestion des sites contaminés</w:t>
      </w:r>
      <w:bookmarkEnd w:id="6"/>
      <w:r w:rsidR="00152CD3" w:rsidRPr="00FA2E2E">
        <w:rPr>
          <w:lang w:val="fr-FR"/>
        </w:rPr>
        <w:t xml:space="preserve"> </w:t>
      </w:r>
    </w:p>
    <w:p w14:paraId="635A4DE9" w14:textId="798FC934" w:rsidR="00064B6B" w:rsidRPr="00FA2E2E" w:rsidRDefault="005A4D46" w:rsidP="005A4D46">
      <w:pPr>
        <w:pStyle w:val="NormalNonumber"/>
        <w:rPr>
          <w:i/>
          <w:lang w:val="fr-FR"/>
        </w:rPr>
      </w:pPr>
      <w:r w:rsidRPr="00FA2E2E">
        <w:rPr>
          <w:lang w:val="fr-FR"/>
        </w:rPr>
        <w:tab/>
      </w:r>
      <w:r w:rsidR="00CC2E1A" w:rsidRPr="00FA2E2E">
        <w:rPr>
          <w:i/>
          <w:lang w:val="fr-FR"/>
        </w:rPr>
        <w:t>La</w:t>
      </w:r>
      <w:r w:rsidR="00064B6B" w:rsidRPr="00FA2E2E">
        <w:rPr>
          <w:i/>
          <w:lang w:val="fr-FR"/>
        </w:rPr>
        <w:t xml:space="preserve"> Conf</w:t>
      </w:r>
      <w:r w:rsidR="00CC2E1A" w:rsidRPr="00FA2E2E">
        <w:rPr>
          <w:i/>
          <w:lang w:val="fr-FR"/>
        </w:rPr>
        <w:t>é</w:t>
      </w:r>
      <w:r w:rsidR="00064B6B" w:rsidRPr="00FA2E2E">
        <w:rPr>
          <w:i/>
          <w:lang w:val="fr-FR"/>
        </w:rPr>
        <w:t xml:space="preserve">rence </w:t>
      </w:r>
      <w:r w:rsidR="00CC2E1A" w:rsidRPr="00FA2E2E">
        <w:rPr>
          <w:i/>
          <w:lang w:val="fr-FR"/>
        </w:rPr>
        <w:t>des</w:t>
      </w:r>
      <w:r w:rsidR="00064B6B" w:rsidRPr="00FA2E2E">
        <w:rPr>
          <w:i/>
          <w:lang w:val="fr-FR"/>
        </w:rPr>
        <w:t xml:space="preserve"> Parties,</w:t>
      </w:r>
    </w:p>
    <w:p w14:paraId="1A6BDBE8" w14:textId="0248B2CB" w:rsidR="00064B6B" w:rsidRPr="00FA2E2E" w:rsidRDefault="005A4D46" w:rsidP="005A4D46">
      <w:pPr>
        <w:pStyle w:val="NormalNonumber"/>
        <w:rPr>
          <w:i/>
          <w:lang w:val="fr-FR"/>
        </w:rPr>
      </w:pPr>
      <w:r w:rsidRPr="00FA2E2E">
        <w:rPr>
          <w:i/>
          <w:lang w:val="fr-FR"/>
        </w:rPr>
        <w:tab/>
      </w:r>
      <w:r w:rsidR="00CC2E1A" w:rsidRPr="00FA2E2E">
        <w:rPr>
          <w:i/>
          <w:lang w:val="fr-FR"/>
        </w:rPr>
        <w:t xml:space="preserve">Consciente </w:t>
      </w:r>
      <w:r w:rsidR="00CC2E1A" w:rsidRPr="00FA2E2E">
        <w:rPr>
          <w:iCs/>
          <w:lang w:val="fr-FR"/>
        </w:rPr>
        <w:t>de la nécessité d</w:t>
      </w:r>
      <w:r w:rsidR="00FE58E1" w:rsidRPr="00FA2E2E">
        <w:rPr>
          <w:iCs/>
          <w:lang w:val="fr-FR"/>
        </w:rPr>
        <w:t>’</w:t>
      </w:r>
      <w:r w:rsidR="00CC2E1A" w:rsidRPr="00FA2E2E">
        <w:rPr>
          <w:iCs/>
          <w:lang w:val="fr-FR"/>
        </w:rPr>
        <w:t>aider les Parties à instaurer une gestion écologiquement rationnelle des sites contaminés en leur donnant des orientations</w:t>
      </w:r>
      <w:r w:rsidR="00064B6B" w:rsidRPr="00FA2E2E">
        <w:rPr>
          <w:i/>
          <w:lang w:val="fr-FR"/>
        </w:rPr>
        <w:t>,</w:t>
      </w:r>
    </w:p>
    <w:p w14:paraId="4C3596D1" w14:textId="16D4386A" w:rsidR="001C021A" w:rsidRPr="00FA2E2E" w:rsidRDefault="005A4D46" w:rsidP="005A4D46">
      <w:pPr>
        <w:pStyle w:val="NormalNonumber"/>
        <w:rPr>
          <w:i/>
          <w:lang w:val="fr-FR"/>
        </w:rPr>
      </w:pPr>
      <w:r w:rsidRPr="00FA2E2E">
        <w:rPr>
          <w:i/>
          <w:lang w:val="fr-FR"/>
        </w:rPr>
        <w:tab/>
      </w:r>
      <w:r w:rsidR="00CC2E1A" w:rsidRPr="00FA2E2E">
        <w:rPr>
          <w:i/>
          <w:lang w:val="fr-FR"/>
        </w:rPr>
        <w:t xml:space="preserve">Prenant note </w:t>
      </w:r>
      <w:r w:rsidR="00CC2E1A" w:rsidRPr="00FA2E2E">
        <w:rPr>
          <w:iCs/>
          <w:lang w:val="fr-FR"/>
        </w:rPr>
        <w:t>du projet d</w:t>
      </w:r>
      <w:r w:rsidR="00FE58E1" w:rsidRPr="00FA2E2E">
        <w:rPr>
          <w:iCs/>
          <w:lang w:val="fr-FR"/>
        </w:rPr>
        <w:t>’</w:t>
      </w:r>
      <w:r w:rsidR="00CC2E1A" w:rsidRPr="00FA2E2E">
        <w:rPr>
          <w:iCs/>
          <w:lang w:val="fr-FR"/>
        </w:rPr>
        <w:t>orientations sur la gestion des sites contaminés établi par le secrétariat en concertation avec les experts désignés et figurant dans l</w:t>
      </w:r>
      <w:r w:rsidR="00FE58E1" w:rsidRPr="00FA2E2E">
        <w:rPr>
          <w:iCs/>
          <w:lang w:val="fr-FR"/>
        </w:rPr>
        <w:t>’</w:t>
      </w:r>
      <w:r w:rsidR="00EB532F" w:rsidRPr="00FA2E2E">
        <w:rPr>
          <w:lang w:val="fr-FR"/>
        </w:rPr>
        <w:t>a</w:t>
      </w:r>
      <w:r w:rsidR="001C021A" w:rsidRPr="00FA2E2E">
        <w:rPr>
          <w:lang w:val="fr-FR"/>
        </w:rPr>
        <w:t>nnex</w:t>
      </w:r>
      <w:r w:rsidR="00CC2E1A" w:rsidRPr="00FA2E2E">
        <w:rPr>
          <w:lang w:val="fr-FR"/>
        </w:rPr>
        <w:t>e </w:t>
      </w:r>
      <w:r w:rsidR="001C021A" w:rsidRPr="00FA2E2E">
        <w:rPr>
          <w:lang w:val="fr-FR"/>
        </w:rPr>
        <w:t xml:space="preserve">II </w:t>
      </w:r>
      <w:r w:rsidR="00924744" w:rsidRPr="00FA2E2E">
        <w:rPr>
          <w:lang w:val="fr-FR"/>
        </w:rPr>
        <w:t>a</w:t>
      </w:r>
      <w:r w:rsidR="00CC2E1A" w:rsidRPr="00FA2E2E">
        <w:rPr>
          <w:lang w:val="fr-FR"/>
        </w:rPr>
        <w:t>u</w:t>
      </w:r>
      <w:r w:rsidR="00EB532F" w:rsidRPr="00FA2E2E">
        <w:rPr>
          <w:lang w:val="fr-FR"/>
        </w:rPr>
        <w:t xml:space="preserve"> document</w:t>
      </w:r>
      <w:r w:rsidRPr="00FA2E2E">
        <w:rPr>
          <w:lang w:val="fr-FR"/>
        </w:rPr>
        <w:t> </w:t>
      </w:r>
      <w:r w:rsidR="001C021A" w:rsidRPr="00FA2E2E">
        <w:rPr>
          <w:lang w:val="fr-FR"/>
        </w:rPr>
        <w:t>UNEP/MC/COP.3/8</w:t>
      </w:r>
      <w:r w:rsidR="001C021A" w:rsidRPr="00FA2E2E">
        <w:rPr>
          <w:iCs/>
          <w:lang w:val="fr-FR"/>
        </w:rPr>
        <w:t>,</w:t>
      </w:r>
    </w:p>
    <w:p w14:paraId="672CD81D" w14:textId="298943B7" w:rsidR="00D31AFF" w:rsidRPr="00FA2E2E" w:rsidRDefault="005A4D46" w:rsidP="005A4D46">
      <w:pPr>
        <w:pStyle w:val="NormalNonumber"/>
        <w:rPr>
          <w:lang w:val="fr-FR"/>
        </w:rPr>
      </w:pPr>
      <w:r w:rsidRPr="00FA2E2E">
        <w:rPr>
          <w:i/>
          <w:lang w:val="fr-FR"/>
        </w:rPr>
        <w:tab/>
      </w:r>
      <w:r w:rsidR="008D06F3" w:rsidRPr="00FA2E2E">
        <w:rPr>
          <w:i/>
          <w:lang w:val="fr-FR"/>
        </w:rPr>
        <w:t>A</w:t>
      </w:r>
      <w:r w:rsidR="001C021A" w:rsidRPr="00FA2E2E">
        <w:rPr>
          <w:i/>
          <w:lang w:val="fr-FR"/>
        </w:rPr>
        <w:t>dopt</w:t>
      </w:r>
      <w:r w:rsidR="00A0326C" w:rsidRPr="00FA2E2E">
        <w:rPr>
          <w:i/>
          <w:lang w:val="fr-FR"/>
        </w:rPr>
        <w:t>e</w:t>
      </w:r>
      <w:r w:rsidR="001C021A" w:rsidRPr="00FA2E2E">
        <w:rPr>
          <w:i/>
          <w:lang w:val="fr-FR"/>
        </w:rPr>
        <w:t xml:space="preserve"> </w:t>
      </w:r>
      <w:r w:rsidR="00A0326C" w:rsidRPr="00FA2E2E">
        <w:rPr>
          <w:lang w:val="fr-FR"/>
        </w:rPr>
        <w:t>les</w:t>
      </w:r>
      <w:r w:rsidR="00D31AFF" w:rsidRPr="00FA2E2E">
        <w:rPr>
          <w:lang w:val="fr-FR"/>
        </w:rPr>
        <w:t xml:space="preserve"> </w:t>
      </w:r>
      <w:r w:rsidR="00A0326C" w:rsidRPr="00FA2E2E">
        <w:rPr>
          <w:lang w:val="fr-FR"/>
        </w:rPr>
        <w:t>orientations sur la gestion des sites contaminés figurant dans l</w:t>
      </w:r>
      <w:r w:rsidR="00FE58E1" w:rsidRPr="00FA2E2E">
        <w:rPr>
          <w:lang w:val="fr-FR"/>
        </w:rPr>
        <w:t>’</w:t>
      </w:r>
      <w:r w:rsidR="00EB532F" w:rsidRPr="00FA2E2E">
        <w:rPr>
          <w:lang w:val="fr-FR"/>
        </w:rPr>
        <w:t>a</w:t>
      </w:r>
      <w:r w:rsidR="00D31AFF" w:rsidRPr="00FA2E2E">
        <w:rPr>
          <w:lang w:val="fr-FR"/>
        </w:rPr>
        <w:t>nnex</w:t>
      </w:r>
      <w:r w:rsidR="00A0326C" w:rsidRPr="00FA2E2E">
        <w:rPr>
          <w:lang w:val="fr-FR"/>
        </w:rPr>
        <w:t>e </w:t>
      </w:r>
      <w:r w:rsidR="00D31AFF" w:rsidRPr="00FA2E2E">
        <w:rPr>
          <w:lang w:val="fr-FR"/>
        </w:rPr>
        <w:t xml:space="preserve">II </w:t>
      </w:r>
      <w:r w:rsidR="00924744" w:rsidRPr="00FA2E2E">
        <w:rPr>
          <w:lang w:val="fr-FR"/>
        </w:rPr>
        <w:t>a</w:t>
      </w:r>
      <w:r w:rsidR="00A0326C" w:rsidRPr="00FA2E2E">
        <w:rPr>
          <w:lang w:val="fr-FR"/>
        </w:rPr>
        <w:t>u</w:t>
      </w:r>
      <w:r w:rsidR="00EB532F" w:rsidRPr="00FA2E2E">
        <w:rPr>
          <w:lang w:val="fr-FR"/>
        </w:rPr>
        <w:t xml:space="preserve"> document</w:t>
      </w:r>
      <w:r w:rsidR="00D31AFF" w:rsidRPr="00FA2E2E">
        <w:rPr>
          <w:lang w:val="fr-FR"/>
        </w:rPr>
        <w:t xml:space="preserve"> UNEP/MC/COP.3/8</w:t>
      </w:r>
      <w:r w:rsidR="00163926" w:rsidRPr="00FA2E2E">
        <w:rPr>
          <w:lang w:val="fr-FR"/>
        </w:rPr>
        <w:t>,</w:t>
      </w:r>
    </w:p>
    <w:p w14:paraId="7E4ACBBD" w14:textId="00273299" w:rsidR="00D31AFF" w:rsidRPr="00FA2E2E" w:rsidRDefault="005A4D46" w:rsidP="005A4D46">
      <w:pPr>
        <w:pStyle w:val="NormalNonumber"/>
        <w:rPr>
          <w:lang w:val="fr-FR"/>
        </w:rPr>
      </w:pPr>
      <w:r w:rsidRPr="00FA2E2E">
        <w:rPr>
          <w:i/>
          <w:iCs/>
          <w:lang w:val="fr-FR"/>
        </w:rPr>
        <w:tab/>
      </w:r>
      <w:r w:rsidR="006C05B6" w:rsidRPr="00FA2E2E">
        <w:rPr>
          <w:i/>
          <w:iCs/>
          <w:lang w:val="fr-FR"/>
        </w:rPr>
        <w:t>Engage</w:t>
      </w:r>
      <w:r w:rsidR="00D31AFF" w:rsidRPr="00FA2E2E">
        <w:rPr>
          <w:lang w:val="fr-FR"/>
        </w:rPr>
        <w:t xml:space="preserve"> </w:t>
      </w:r>
      <w:r w:rsidR="006C05B6" w:rsidRPr="00FA2E2E">
        <w:rPr>
          <w:lang w:val="fr-FR"/>
        </w:rPr>
        <w:t>les</w:t>
      </w:r>
      <w:r w:rsidR="00D31AFF" w:rsidRPr="00FA2E2E">
        <w:rPr>
          <w:lang w:val="fr-FR"/>
        </w:rPr>
        <w:t xml:space="preserve"> </w:t>
      </w:r>
      <w:r w:rsidR="006C05B6" w:rsidRPr="00FA2E2E">
        <w:rPr>
          <w:lang w:val="fr-FR"/>
        </w:rPr>
        <w:t>P</w:t>
      </w:r>
      <w:r w:rsidR="00D31AFF" w:rsidRPr="00FA2E2E">
        <w:rPr>
          <w:lang w:val="fr-FR"/>
        </w:rPr>
        <w:t xml:space="preserve">arties </w:t>
      </w:r>
      <w:r w:rsidR="006C05B6" w:rsidRPr="00FA2E2E">
        <w:rPr>
          <w:lang w:val="fr-FR"/>
        </w:rPr>
        <w:t>à tenir compte des orientations lors de l</w:t>
      </w:r>
      <w:r w:rsidR="00FE58E1" w:rsidRPr="00FA2E2E">
        <w:rPr>
          <w:lang w:val="fr-FR"/>
        </w:rPr>
        <w:t>’</w:t>
      </w:r>
      <w:r w:rsidR="006C05B6" w:rsidRPr="00FA2E2E">
        <w:rPr>
          <w:lang w:val="fr-FR"/>
        </w:rPr>
        <w:t>identification, de l</w:t>
      </w:r>
      <w:r w:rsidR="00FE58E1" w:rsidRPr="00FA2E2E">
        <w:rPr>
          <w:lang w:val="fr-FR"/>
        </w:rPr>
        <w:t>’</w:t>
      </w:r>
      <w:r w:rsidR="006C05B6" w:rsidRPr="00FA2E2E">
        <w:rPr>
          <w:lang w:val="fr-FR"/>
        </w:rPr>
        <w:t>évaluation et de</w:t>
      </w:r>
      <w:r w:rsidR="00FE58E1" w:rsidRPr="00FA2E2E">
        <w:rPr>
          <w:lang w:val="fr-FR"/>
        </w:rPr>
        <w:t> </w:t>
      </w:r>
      <w:r w:rsidR="006C05B6" w:rsidRPr="00FA2E2E">
        <w:rPr>
          <w:lang w:val="fr-FR"/>
        </w:rPr>
        <w:t xml:space="preserve">la gestion des sites contaminés par du mercure ou des composés </w:t>
      </w:r>
      <w:r w:rsidR="00163926" w:rsidRPr="00FA2E2E">
        <w:rPr>
          <w:lang w:val="fr-FR"/>
        </w:rPr>
        <w:t>du mercure,</w:t>
      </w:r>
    </w:p>
    <w:p w14:paraId="7D4E2A05" w14:textId="3672B412" w:rsidR="00D31AFF" w:rsidRPr="00FA2E2E" w:rsidRDefault="005A4D46" w:rsidP="005A4D46">
      <w:pPr>
        <w:pStyle w:val="NormalNonumber"/>
        <w:rPr>
          <w:lang w:val="fr-FR"/>
        </w:rPr>
      </w:pPr>
      <w:r w:rsidRPr="00FA2E2E">
        <w:rPr>
          <w:i/>
          <w:iCs/>
          <w:lang w:val="fr-FR"/>
        </w:rPr>
        <w:tab/>
      </w:r>
      <w:r w:rsidR="006C05B6" w:rsidRPr="00FA2E2E">
        <w:rPr>
          <w:i/>
          <w:iCs/>
          <w:lang w:val="fr-FR"/>
        </w:rPr>
        <w:t>Prie</w:t>
      </w:r>
      <w:r w:rsidR="00D31AFF" w:rsidRPr="00FA2E2E">
        <w:rPr>
          <w:lang w:val="fr-FR"/>
        </w:rPr>
        <w:t xml:space="preserve"> </w:t>
      </w:r>
      <w:r w:rsidR="006C05B6" w:rsidRPr="00FA2E2E">
        <w:rPr>
          <w:lang w:val="fr-FR"/>
        </w:rPr>
        <w:t>le secrétariat</w:t>
      </w:r>
      <w:r w:rsidR="00155075" w:rsidRPr="00FA2E2E">
        <w:rPr>
          <w:lang w:val="fr-FR"/>
        </w:rPr>
        <w:t xml:space="preserve"> de continuer à rassembler des informations techniques à l</w:t>
      </w:r>
      <w:r w:rsidR="00FE58E1" w:rsidRPr="00FA2E2E">
        <w:rPr>
          <w:lang w:val="fr-FR"/>
        </w:rPr>
        <w:t>’</w:t>
      </w:r>
      <w:r w:rsidR="00155075" w:rsidRPr="00FA2E2E">
        <w:rPr>
          <w:lang w:val="fr-FR"/>
        </w:rPr>
        <w:t>appui des</w:t>
      </w:r>
      <w:r w:rsidR="00FE58E1" w:rsidRPr="00FA2E2E">
        <w:rPr>
          <w:lang w:val="fr-FR"/>
        </w:rPr>
        <w:t> </w:t>
      </w:r>
      <w:r w:rsidR="00155075" w:rsidRPr="00FA2E2E">
        <w:rPr>
          <w:lang w:val="fr-FR"/>
        </w:rPr>
        <w:t>orientations, en coopération avec les</w:t>
      </w:r>
      <w:r w:rsidR="00D31AFF" w:rsidRPr="00FA2E2E">
        <w:rPr>
          <w:lang w:val="fr-FR"/>
        </w:rPr>
        <w:t xml:space="preserve"> experts </w:t>
      </w:r>
      <w:r w:rsidR="00155075" w:rsidRPr="00FA2E2E">
        <w:rPr>
          <w:lang w:val="fr-FR"/>
        </w:rPr>
        <w:t>désignés par les gouvernements et</w:t>
      </w:r>
      <w:r w:rsidR="00D31AFF" w:rsidRPr="00FA2E2E">
        <w:rPr>
          <w:lang w:val="fr-FR"/>
        </w:rPr>
        <w:t xml:space="preserve"> </w:t>
      </w:r>
      <w:r w:rsidR="00155075" w:rsidRPr="00FA2E2E">
        <w:rPr>
          <w:lang w:val="fr-FR"/>
        </w:rPr>
        <w:t>d</w:t>
      </w:r>
      <w:r w:rsidR="00FE58E1" w:rsidRPr="00FA2E2E">
        <w:rPr>
          <w:lang w:val="fr-FR"/>
        </w:rPr>
        <w:t>’</w:t>
      </w:r>
      <w:r w:rsidR="00155075" w:rsidRPr="00FA2E2E">
        <w:rPr>
          <w:lang w:val="fr-FR"/>
        </w:rPr>
        <w:t>autres parties prenantes</w:t>
      </w:r>
      <w:r w:rsidR="00D31AFF" w:rsidRPr="00FA2E2E">
        <w:rPr>
          <w:lang w:val="fr-FR"/>
        </w:rPr>
        <w:t>,</w:t>
      </w:r>
      <w:r w:rsidR="00155075" w:rsidRPr="00FA2E2E">
        <w:rPr>
          <w:lang w:val="fr-FR"/>
        </w:rPr>
        <w:t xml:space="preserve"> et de mettre ces informations à la disposition</w:t>
      </w:r>
      <w:r w:rsidR="00163926" w:rsidRPr="00FA2E2E">
        <w:rPr>
          <w:lang w:val="fr-FR"/>
        </w:rPr>
        <w:t xml:space="preserve"> des Parties,</w:t>
      </w:r>
    </w:p>
    <w:p w14:paraId="1B9055F9" w14:textId="77777777" w:rsidR="00BE0048" w:rsidRPr="00FA2E2E" w:rsidRDefault="005A4D46" w:rsidP="005A4D46">
      <w:pPr>
        <w:pStyle w:val="NormalNonumber"/>
        <w:rPr>
          <w:lang w:val="fr-FR"/>
        </w:rPr>
        <w:sectPr w:rsidR="00BE0048" w:rsidRPr="00FA2E2E" w:rsidSect="0066320B">
          <w:headerReference w:type="even" r:id="rId15"/>
          <w:headerReference w:type="default" r:id="rId16"/>
          <w:footerReference w:type="default" r:id="rId17"/>
          <w:headerReference w:type="first" r:id="rId18"/>
          <w:footerReference w:type="first" r:id="rId19"/>
          <w:pgSz w:w="11906" w:h="16838" w:code="9"/>
          <w:pgMar w:top="907" w:right="992" w:bottom="1418" w:left="1418" w:header="539" w:footer="975" w:gutter="0"/>
          <w:cols w:space="539"/>
          <w:docGrid w:linePitch="360"/>
        </w:sectPr>
      </w:pPr>
      <w:r w:rsidRPr="00FA2E2E">
        <w:rPr>
          <w:i/>
          <w:lang w:val="fr-FR"/>
        </w:rPr>
        <w:tab/>
      </w:r>
      <w:r w:rsidR="00D31AFF" w:rsidRPr="00FA2E2E">
        <w:rPr>
          <w:i/>
          <w:lang w:val="fr-FR"/>
        </w:rPr>
        <w:t>Note</w:t>
      </w:r>
      <w:r w:rsidR="00D31AFF" w:rsidRPr="00FA2E2E">
        <w:rPr>
          <w:lang w:val="fr-FR"/>
        </w:rPr>
        <w:t xml:space="preserve"> </w:t>
      </w:r>
      <w:r w:rsidR="00155075" w:rsidRPr="00FA2E2E">
        <w:rPr>
          <w:lang w:val="fr-FR"/>
        </w:rPr>
        <w:t>que les orientations</w:t>
      </w:r>
      <w:r w:rsidR="00D31AFF" w:rsidRPr="00FA2E2E">
        <w:rPr>
          <w:lang w:val="fr-FR"/>
        </w:rPr>
        <w:t xml:space="preserve"> </w:t>
      </w:r>
      <w:r w:rsidR="00155075" w:rsidRPr="00FA2E2E">
        <w:rPr>
          <w:lang w:val="fr-FR"/>
        </w:rPr>
        <w:t>pourraient devoir faire l</w:t>
      </w:r>
      <w:r w:rsidR="00FE58E1" w:rsidRPr="00FA2E2E">
        <w:rPr>
          <w:lang w:val="fr-FR"/>
        </w:rPr>
        <w:t>’</w:t>
      </w:r>
      <w:r w:rsidR="00155075" w:rsidRPr="00FA2E2E">
        <w:rPr>
          <w:lang w:val="fr-FR"/>
        </w:rPr>
        <w:t>objet d</w:t>
      </w:r>
      <w:r w:rsidR="00FE58E1" w:rsidRPr="00FA2E2E">
        <w:rPr>
          <w:lang w:val="fr-FR"/>
        </w:rPr>
        <w:t>’</w:t>
      </w:r>
      <w:r w:rsidR="00155075" w:rsidRPr="00FA2E2E">
        <w:rPr>
          <w:lang w:val="fr-FR"/>
        </w:rPr>
        <w:t>une révision future à la lumière de</w:t>
      </w:r>
      <w:r w:rsidR="00FE58E1" w:rsidRPr="00FA2E2E">
        <w:rPr>
          <w:lang w:val="fr-FR"/>
        </w:rPr>
        <w:t> </w:t>
      </w:r>
      <w:r w:rsidR="00155075" w:rsidRPr="00FA2E2E">
        <w:rPr>
          <w:lang w:val="fr-FR"/>
        </w:rPr>
        <w:t>l</w:t>
      </w:r>
      <w:r w:rsidR="00FE58E1" w:rsidRPr="00FA2E2E">
        <w:rPr>
          <w:lang w:val="fr-FR"/>
        </w:rPr>
        <w:t>’</w:t>
      </w:r>
      <w:r w:rsidR="00155075" w:rsidRPr="00FA2E2E">
        <w:rPr>
          <w:lang w:val="fr-FR"/>
        </w:rPr>
        <w:t xml:space="preserve">expérience acquise </w:t>
      </w:r>
      <w:r w:rsidR="009A3117" w:rsidRPr="00FA2E2E">
        <w:rPr>
          <w:lang w:val="fr-FR"/>
        </w:rPr>
        <w:t>au cours de leur</w:t>
      </w:r>
      <w:r w:rsidR="00155075" w:rsidRPr="00FA2E2E">
        <w:rPr>
          <w:lang w:val="fr-FR"/>
        </w:rPr>
        <w:t xml:space="preserve"> utilisation afin de veiller à ce que celles-ci continuent de</w:t>
      </w:r>
      <w:r w:rsidR="00FE58E1" w:rsidRPr="00FA2E2E">
        <w:rPr>
          <w:lang w:val="fr-FR"/>
        </w:rPr>
        <w:t> </w:t>
      </w:r>
      <w:r w:rsidR="00155075" w:rsidRPr="00FA2E2E">
        <w:rPr>
          <w:lang w:val="fr-FR"/>
        </w:rPr>
        <w:t>correspondre aux meilleures pratiques</w:t>
      </w:r>
      <w:r w:rsidR="00D31AFF" w:rsidRPr="00FA2E2E">
        <w:rPr>
          <w:lang w:val="fr-FR"/>
        </w:rPr>
        <w:t>.</w:t>
      </w:r>
    </w:p>
    <w:p w14:paraId="3AAEFB03" w14:textId="0DB60952" w:rsidR="00D31AFF" w:rsidRPr="00FA2E2E" w:rsidRDefault="00D31AFF" w:rsidP="005A4D46">
      <w:pPr>
        <w:pStyle w:val="NormalNonumber"/>
        <w:rPr>
          <w:lang w:val="fr-FR"/>
        </w:rPr>
      </w:pPr>
    </w:p>
    <w:p w14:paraId="556B7F12" w14:textId="77777777" w:rsidR="005A4D46" w:rsidRPr="00FA2E2E" w:rsidRDefault="005A4D46" w:rsidP="005A4D46">
      <w:pPr>
        <w:pStyle w:val="Normal-pool"/>
        <w:rPr>
          <w:lang w:val="fr-FR"/>
        </w:rPr>
      </w:pPr>
      <w:r w:rsidRPr="00FA2E2E">
        <w:rPr>
          <w:lang w:val="fr-FR"/>
        </w:rPr>
        <w:br w:type="page"/>
      </w:r>
    </w:p>
    <w:p w14:paraId="226388EB" w14:textId="37658116" w:rsidR="006D1646" w:rsidRPr="00FA2E2E" w:rsidRDefault="005A4D46" w:rsidP="0066320B">
      <w:pPr>
        <w:pStyle w:val="ZZAnxheader"/>
        <w:rPr>
          <w:lang w:val="fr-FR"/>
        </w:rPr>
      </w:pPr>
      <w:r w:rsidRPr="00FA2E2E">
        <w:rPr>
          <w:lang w:val="fr-FR"/>
        </w:rPr>
        <w:t>A</w:t>
      </w:r>
      <w:r w:rsidR="000C65B1" w:rsidRPr="00FA2E2E">
        <w:rPr>
          <w:lang w:val="fr-FR"/>
        </w:rPr>
        <w:t>nnex</w:t>
      </w:r>
      <w:r w:rsidR="002C4CC2" w:rsidRPr="00FA2E2E">
        <w:rPr>
          <w:lang w:val="fr-FR"/>
        </w:rPr>
        <w:t>e </w:t>
      </w:r>
      <w:r w:rsidR="003053E8" w:rsidRPr="00FA2E2E">
        <w:rPr>
          <w:lang w:val="fr-FR"/>
        </w:rPr>
        <w:t>II</w:t>
      </w:r>
      <w:bookmarkStart w:id="7" w:name="_Toc524355397"/>
      <w:bookmarkStart w:id="8" w:name="_Toc8937573"/>
      <w:bookmarkStart w:id="9" w:name="_Toc15920532"/>
    </w:p>
    <w:bookmarkEnd w:id="7"/>
    <w:bookmarkEnd w:id="8"/>
    <w:bookmarkEnd w:id="9"/>
    <w:p w14:paraId="785C9593" w14:textId="79645DBE" w:rsidR="00D31AFF" w:rsidRPr="00FA2E2E" w:rsidRDefault="00A33D00" w:rsidP="0066320B">
      <w:pPr>
        <w:pStyle w:val="ZZAnxtitle"/>
        <w:rPr>
          <w:lang w:val="fr-FR"/>
        </w:rPr>
      </w:pPr>
      <w:r w:rsidRPr="00FA2E2E">
        <w:rPr>
          <w:lang w:val="fr-FR"/>
        </w:rPr>
        <w:t>Orientations sur la gestion des sites contaminés</w:t>
      </w:r>
    </w:p>
    <w:p w14:paraId="1C4CC52D" w14:textId="68236C8D" w:rsidR="00D31AFF" w:rsidRPr="00FA2E2E" w:rsidRDefault="00D31AFF" w:rsidP="0066320B">
      <w:pPr>
        <w:pStyle w:val="CH2"/>
        <w:rPr>
          <w:lang w:val="fr-FR"/>
        </w:rPr>
      </w:pPr>
      <w:r w:rsidRPr="00FA2E2E">
        <w:rPr>
          <w:lang w:val="fr-FR"/>
        </w:rPr>
        <w:tab/>
      </w:r>
      <w:bookmarkStart w:id="10" w:name="_Toc15920534"/>
      <w:r w:rsidRPr="00FA2E2E">
        <w:rPr>
          <w:lang w:val="fr-FR"/>
        </w:rPr>
        <w:t>A.</w:t>
      </w:r>
      <w:r w:rsidRPr="00FA2E2E">
        <w:rPr>
          <w:lang w:val="fr-FR"/>
        </w:rPr>
        <w:tab/>
        <w:t>Introduction</w:t>
      </w:r>
      <w:bookmarkEnd w:id="10"/>
    </w:p>
    <w:p w14:paraId="483510E9" w14:textId="2FEBD4C9" w:rsidR="00D31AFF" w:rsidRPr="00FA2E2E" w:rsidRDefault="00A33D00" w:rsidP="008E43CD">
      <w:pPr>
        <w:pStyle w:val="Normalnumber"/>
        <w:numPr>
          <w:ilvl w:val="0"/>
          <w:numId w:val="5"/>
        </w:numPr>
        <w:rPr>
          <w:lang w:val="fr-FR"/>
        </w:rPr>
      </w:pPr>
      <w:r w:rsidRPr="00FA2E2E">
        <w:rPr>
          <w:lang w:val="fr-FR"/>
        </w:rPr>
        <w:t>La Convention de</w:t>
      </w:r>
      <w:r w:rsidR="00D31AFF" w:rsidRPr="00FA2E2E">
        <w:rPr>
          <w:lang w:val="fr-FR"/>
        </w:rPr>
        <w:t xml:space="preserve"> Minamata </w:t>
      </w:r>
      <w:r w:rsidRPr="00FA2E2E">
        <w:rPr>
          <w:lang w:val="fr-FR"/>
        </w:rPr>
        <w:t>sur le mercure contient des dispositions relatives aux sites contaminés</w:t>
      </w:r>
      <w:r w:rsidR="00D31AFF" w:rsidRPr="00FA2E2E">
        <w:rPr>
          <w:lang w:val="fr-FR"/>
        </w:rPr>
        <w:t>,</w:t>
      </w:r>
      <w:r w:rsidRPr="00FA2E2E">
        <w:rPr>
          <w:lang w:val="fr-FR"/>
        </w:rPr>
        <w:t xml:space="preserve"> y compris l</w:t>
      </w:r>
      <w:r w:rsidR="00FE58E1" w:rsidRPr="00FA2E2E">
        <w:rPr>
          <w:lang w:val="fr-FR"/>
        </w:rPr>
        <w:t>’</w:t>
      </w:r>
      <w:r w:rsidRPr="00FA2E2E">
        <w:rPr>
          <w:lang w:val="fr-FR"/>
        </w:rPr>
        <w:t>identification et l</w:t>
      </w:r>
      <w:r w:rsidR="00FE58E1" w:rsidRPr="00FA2E2E">
        <w:rPr>
          <w:lang w:val="fr-FR"/>
        </w:rPr>
        <w:t>’</w:t>
      </w:r>
      <w:r w:rsidRPr="00FA2E2E">
        <w:rPr>
          <w:lang w:val="fr-FR"/>
        </w:rPr>
        <w:t>évaluation des sites ainsi que l</w:t>
      </w:r>
      <w:r w:rsidR="00FE58E1" w:rsidRPr="00FA2E2E">
        <w:rPr>
          <w:lang w:val="fr-FR"/>
        </w:rPr>
        <w:t>’</w:t>
      </w:r>
      <w:r w:rsidRPr="00FA2E2E">
        <w:rPr>
          <w:lang w:val="fr-FR"/>
        </w:rPr>
        <w:t>adoption</w:t>
      </w:r>
      <w:r w:rsidR="00D31AFF" w:rsidRPr="00FA2E2E">
        <w:rPr>
          <w:lang w:val="fr-FR"/>
        </w:rPr>
        <w:t xml:space="preserve"> </w:t>
      </w:r>
      <w:r w:rsidRPr="00FA2E2E">
        <w:rPr>
          <w:lang w:val="fr-FR"/>
        </w:rPr>
        <w:t>par la Conférence des Parties d</w:t>
      </w:r>
      <w:r w:rsidR="00FE58E1" w:rsidRPr="00FA2E2E">
        <w:rPr>
          <w:lang w:val="fr-FR"/>
        </w:rPr>
        <w:t>’</w:t>
      </w:r>
      <w:r w:rsidRPr="00FA2E2E">
        <w:rPr>
          <w:lang w:val="fr-FR"/>
        </w:rPr>
        <w:t>orientations sur la gestion des sites contaminés</w:t>
      </w:r>
      <w:r w:rsidR="00D31AFF" w:rsidRPr="00FA2E2E">
        <w:rPr>
          <w:lang w:val="fr-FR"/>
        </w:rPr>
        <w:t xml:space="preserve">. </w:t>
      </w:r>
      <w:r w:rsidRPr="00FA2E2E">
        <w:rPr>
          <w:lang w:val="fr-FR"/>
        </w:rPr>
        <w:t>Le</w:t>
      </w:r>
      <w:r w:rsidR="00D31AFF" w:rsidRPr="00FA2E2E">
        <w:rPr>
          <w:lang w:val="fr-FR"/>
        </w:rPr>
        <w:t xml:space="preserve"> pr</w:t>
      </w:r>
      <w:r w:rsidRPr="00FA2E2E">
        <w:rPr>
          <w:lang w:val="fr-FR"/>
        </w:rPr>
        <w:t>é</w:t>
      </w:r>
      <w:r w:rsidR="00D31AFF" w:rsidRPr="00FA2E2E">
        <w:rPr>
          <w:lang w:val="fr-FR"/>
        </w:rPr>
        <w:t xml:space="preserve">sent document </w:t>
      </w:r>
      <w:r w:rsidRPr="00FA2E2E">
        <w:rPr>
          <w:lang w:val="fr-FR"/>
        </w:rPr>
        <w:t>fournit des orientations sur les principaux éléments permettant l</w:t>
      </w:r>
      <w:r w:rsidR="00FE58E1" w:rsidRPr="00FA2E2E">
        <w:rPr>
          <w:lang w:val="fr-FR"/>
        </w:rPr>
        <w:t>’</w:t>
      </w:r>
      <w:r w:rsidRPr="00FA2E2E">
        <w:rPr>
          <w:lang w:val="fr-FR"/>
        </w:rPr>
        <w:t>identification et la gestion des sites contaminés,</w:t>
      </w:r>
      <w:r w:rsidR="00D31AFF" w:rsidRPr="00FA2E2E">
        <w:rPr>
          <w:lang w:val="fr-FR"/>
        </w:rPr>
        <w:t xml:space="preserve"> </w:t>
      </w:r>
      <w:r w:rsidRPr="00FA2E2E">
        <w:rPr>
          <w:lang w:val="fr-FR"/>
        </w:rPr>
        <w:t xml:space="preserve">à </w:t>
      </w:r>
      <w:r w:rsidR="009A3117" w:rsidRPr="00FA2E2E">
        <w:rPr>
          <w:lang w:val="fr-FR"/>
        </w:rPr>
        <w:t>l</w:t>
      </w:r>
      <w:r w:rsidR="00FE58E1" w:rsidRPr="00FA2E2E">
        <w:rPr>
          <w:lang w:val="fr-FR"/>
        </w:rPr>
        <w:t>’</w:t>
      </w:r>
      <w:r w:rsidR="009A3117" w:rsidRPr="00FA2E2E">
        <w:rPr>
          <w:lang w:val="fr-FR"/>
        </w:rPr>
        <w:t>intention</w:t>
      </w:r>
      <w:r w:rsidRPr="00FA2E2E">
        <w:rPr>
          <w:lang w:val="fr-FR"/>
        </w:rPr>
        <w:t xml:space="preserve"> des Parties qui prennent des mesures pour gérer de tels sites</w:t>
      </w:r>
      <w:r w:rsidR="00D31AFF" w:rsidRPr="00FA2E2E">
        <w:rPr>
          <w:lang w:val="fr-FR"/>
        </w:rPr>
        <w:t xml:space="preserve">. </w:t>
      </w:r>
      <w:r w:rsidRPr="00FA2E2E">
        <w:rPr>
          <w:lang w:val="fr-FR"/>
        </w:rPr>
        <w:t>Ce document s</w:t>
      </w:r>
      <w:r w:rsidR="00FE58E1" w:rsidRPr="00FA2E2E">
        <w:rPr>
          <w:lang w:val="fr-FR"/>
        </w:rPr>
        <w:t>’</w:t>
      </w:r>
      <w:r w:rsidRPr="00FA2E2E">
        <w:rPr>
          <w:lang w:val="fr-FR"/>
        </w:rPr>
        <w:t>adresse à divers utilisateurs possibles</w:t>
      </w:r>
      <w:r w:rsidR="008D06F3" w:rsidRPr="00FA2E2E">
        <w:rPr>
          <w:lang w:val="fr-FR"/>
        </w:rPr>
        <w:t>,</w:t>
      </w:r>
      <w:r w:rsidR="00624B44" w:rsidRPr="00FA2E2E">
        <w:rPr>
          <w:lang w:val="fr-FR"/>
        </w:rPr>
        <w:t xml:space="preserve"> notamment les responsables gouvernementaux et les</w:t>
      </w:r>
      <w:r w:rsidR="00D31AFF" w:rsidRPr="00FA2E2E">
        <w:rPr>
          <w:lang w:val="fr-FR"/>
        </w:rPr>
        <w:t xml:space="preserve"> </w:t>
      </w:r>
      <w:r w:rsidR="00624B44" w:rsidRPr="00FA2E2E">
        <w:rPr>
          <w:lang w:val="fr-FR"/>
        </w:rPr>
        <w:t>praticiens</w:t>
      </w:r>
      <w:r w:rsidR="00D31AFF" w:rsidRPr="00FA2E2E">
        <w:rPr>
          <w:lang w:val="fr-FR"/>
        </w:rPr>
        <w:t xml:space="preserve">. </w:t>
      </w:r>
      <w:r w:rsidR="00624B44" w:rsidRPr="00FA2E2E">
        <w:rPr>
          <w:lang w:val="fr-FR"/>
        </w:rPr>
        <w:t>Il fournit des orientations sur</w:t>
      </w:r>
      <w:r w:rsidR="00D31AFF" w:rsidRPr="00FA2E2E">
        <w:rPr>
          <w:lang w:val="fr-FR"/>
        </w:rPr>
        <w:t xml:space="preserve"> </w:t>
      </w:r>
      <w:r w:rsidR="00624B44" w:rsidRPr="00FA2E2E">
        <w:rPr>
          <w:lang w:val="fr-FR"/>
        </w:rPr>
        <w:t>la gestion des sites couvrant aussi bien leur identification et les examens approfondis à mener sur place que le processus de décision pour leur gestion et, s</w:t>
      </w:r>
      <w:r w:rsidR="00FE58E1" w:rsidRPr="00FA2E2E">
        <w:rPr>
          <w:lang w:val="fr-FR"/>
        </w:rPr>
        <w:t>’</w:t>
      </w:r>
      <w:r w:rsidR="00624B44" w:rsidRPr="00FA2E2E">
        <w:rPr>
          <w:lang w:val="fr-FR"/>
        </w:rPr>
        <w:t>il y a lieu, leur</w:t>
      </w:r>
      <w:r w:rsidR="00FE58E1" w:rsidRPr="00FA2E2E">
        <w:rPr>
          <w:lang w:val="fr-FR"/>
        </w:rPr>
        <w:t> </w:t>
      </w:r>
      <w:r w:rsidR="00624B44" w:rsidRPr="00FA2E2E">
        <w:rPr>
          <w:lang w:val="fr-FR"/>
        </w:rPr>
        <w:t>remise en état</w:t>
      </w:r>
      <w:r w:rsidR="00D31AFF" w:rsidRPr="00FA2E2E">
        <w:rPr>
          <w:lang w:val="fr-FR"/>
        </w:rPr>
        <w:t>.</w:t>
      </w:r>
      <w:r w:rsidR="00624B44" w:rsidRPr="00FA2E2E">
        <w:rPr>
          <w:lang w:val="fr-FR"/>
        </w:rPr>
        <w:t xml:space="preserve"> </w:t>
      </w:r>
      <w:r w:rsidR="005568BD" w:rsidRPr="00FA2E2E">
        <w:rPr>
          <w:lang w:val="fr-FR"/>
        </w:rPr>
        <w:t xml:space="preserve">Rédigé dans un langage non prescriptif, il </w:t>
      </w:r>
      <w:r w:rsidR="00624B44" w:rsidRPr="00FA2E2E">
        <w:rPr>
          <w:lang w:val="fr-FR"/>
        </w:rPr>
        <w:t xml:space="preserve">est destiné à </w:t>
      </w:r>
      <w:r w:rsidR="005568BD" w:rsidRPr="00FA2E2E">
        <w:rPr>
          <w:lang w:val="fr-FR"/>
        </w:rPr>
        <w:t>donner</w:t>
      </w:r>
      <w:r w:rsidR="00BE6976" w:rsidRPr="00FA2E2E">
        <w:rPr>
          <w:lang w:val="fr-FR"/>
        </w:rPr>
        <w:t xml:space="preserve"> aux Parties</w:t>
      </w:r>
      <w:r w:rsidR="00D31AFF" w:rsidRPr="00FA2E2E">
        <w:rPr>
          <w:lang w:val="fr-FR"/>
        </w:rPr>
        <w:t xml:space="preserve"> </w:t>
      </w:r>
      <w:r w:rsidR="00BE6976" w:rsidRPr="00FA2E2E">
        <w:rPr>
          <w:lang w:val="fr-FR"/>
        </w:rPr>
        <w:t>des conseils d</w:t>
      </w:r>
      <w:r w:rsidR="00FE58E1" w:rsidRPr="00FA2E2E">
        <w:rPr>
          <w:lang w:val="fr-FR"/>
        </w:rPr>
        <w:t>’</w:t>
      </w:r>
      <w:r w:rsidR="00BE6976" w:rsidRPr="00FA2E2E">
        <w:rPr>
          <w:lang w:val="fr-FR"/>
        </w:rPr>
        <w:t>ordre général</w:t>
      </w:r>
      <w:r w:rsidR="005568BD" w:rsidRPr="00FA2E2E">
        <w:rPr>
          <w:lang w:val="fr-FR"/>
        </w:rPr>
        <w:t>,</w:t>
      </w:r>
      <w:r w:rsidR="00D31AFF" w:rsidRPr="00FA2E2E">
        <w:rPr>
          <w:lang w:val="fr-FR"/>
        </w:rPr>
        <w:t xml:space="preserve"> </w:t>
      </w:r>
      <w:r w:rsidR="005568BD" w:rsidRPr="00FA2E2E">
        <w:rPr>
          <w:lang w:val="fr-FR"/>
        </w:rPr>
        <w:t>prenant en compte la diversité de leurs contextes nationaux</w:t>
      </w:r>
      <w:r w:rsidR="00D31AFF" w:rsidRPr="00FA2E2E">
        <w:rPr>
          <w:lang w:val="fr-FR"/>
        </w:rPr>
        <w:t>.</w:t>
      </w:r>
      <w:r w:rsidR="005568BD" w:rsidRPr="00FA2E2E">
        <w:rPr>
          <w:lang w:val="fr-FR"/>
        </w:rPr>
        <w:t xml:space="preserve"> Une distinction est établie entre les sites miniers qui sont gérés d</w:t>
      </w:r>
      <w:r w:rsidR="00FE58E1" w:rsidRPr="00FA2E2E">
        <w:rPr>
          <w:lang w:val="fr-FR"/>
        </w:rPr>
        <w:t>’</w:t>
      </w:r>
      <w:r w:rsidR="005568BD" w:rsidRPr="00FA2E2E">
        <w:rPr>
          <w:lang w:val="fr-FR"/>
        </w:rPr>
        <w:t>une manière écologiquement rationnelle et les sites contaminés traités dans les présentes orientations</w:t>
      </w:r>
      <w:r w:rsidR="00D31AFF" w:rsidRPr="00FA2E2E">
        <w:rPr>
          <w:lang w:val="fr-FR"/>
        </w:rPr>
        <w:t>.</w:t>
      </w:r>
      <w:r w:rsidR="005568BD" w:rsidRPr="00FA2E2E">
        <w:rPr>
          <w:lang w:val="fr-FR"/>
        </w:rPr>
        <w:t xml:space="preserve"> </w:t>
      </w:r>
      <w:r w:rsidR="009A3117" w:rsidRPr="00FA2E2E">
        <w:rPr>
          <w:lang w:val="fr-FR"/>
        </w:rPr>
        <w:t>Pour des personnes qui envisagent</w:t>
      </w:r>
      <w:r w:rsidR="00C36DDC" w:rsidRPr="00FA2E2E">
        <w:rPr>
          <w:lang w:val="fr-FR"/>
        </w:rPr>
        <w:t xml:space="preserve"> de planifier la</w:t>
      </w:r>
      <w:r w:rsidR="00FE58E1" w:rsidRPr="00FA2E2E">
        <w:rPr>
          <w:lang w:val="fr-FR"/>
        </w:rPr>
        <w:t> </w:t>
      </w:r>
      <w:r w:rsidR="00C36DDC" w:rsidRPr="00FA2E2E">
        <w:rPr>
          <w:lang w:val="fr-FR"/>
        </w:rPr>
        <w:t>gestion approfondie d</w:t>
      </w:r>
      <w:r w:rsidR="00FE58E1" w:rsidRPr="00FA2E2E">
        <w:rPr>
          <w:lang w:val="fr-FR"/>
        </w:rPr>
        <w:t>’</w:t>
      </w:r>
      <w:r w:rsidR="00C36DDC" w:rsidRPr="00FA2E2E">
        <w:rPr>
          <w:lang w:val="fr-FR"/>
        </w:rPr>
        <w:t>un site donné, les références reproduites à la suite des orientations fournissent des informations techniques supplémentaires</w:t>
      </w:r>
      <w:r w:rsidR="00D31AFF" w:rsidRPr="00FA2E2E">
        <w:rPr>
          <w:lang w:val="fr-FR"/>
        </w:rPr>
        <w:t xml:space="preserve">. </w:t>
      </w:r>
    </w:p>
    <w:p w14:paraId="36D69203" w14:textId="30FFAB89" w:rsidR="00D31AFF" w:rsidRPr="00FA2E2E" w:rsidRDefault="007511C3" w:rsidP="008E43CD">
      <w:pPr>
        <w:pStyle w:val="Normalnumber"/>
        <w:numPr>
          <w:ilvl w:val="0"/>
          <w:numId w:val="5"/>
        </w:numPr>
        <w:rPr>
          <w:lang w:val="fr-FR"/>
        </w:rPr>
      </w:pPr>
      <w:r w:rsidRPr="00FA2E2E">
        <w:rPr>
          <w:lang w:val="fr-FR"/>
        </w:rPr>
        <w:t>Les orientations ont été élaborées conformément à l</w:t>
      </w:r>
      <w:r w:rsidR="00FE58E1" w:rsidRPr="00FA2E2E">
        <w:rPr>
          <w:lang w:val="fr-FR"/>
        </w:rPr>
        <w:t>’</w:t>
      </w:r>
      <w:r w:rsidR="00D31AFF" w:rsidRPr="00FA2E2E">
        <w:rPr>
          <w:lang w:val="fr-FR"/>
        </w:rPr>
        <w:t>article</w:t>
      </w:r>
      <w:r w:rsidRPr="00FA2E2E">
        <w:rPr>
          <w:lang w:val="fr-FR"/>
        </w:rPr>
        <w:t> </w:t>
      </w:r>
      <w:r w:rsidR="00D31AFF" w:rsidRPr="00FA2E2E">
        <w:rPr>
          <w:lang w:val="fr-FR"/>
        </w:rPr>
        <w:t xml:space="preserve">12 </w:t>
      </w:r>
      <w:r w:rsidRPr="00FA2E2E">
        <w:rPr>
          <w:lang w:val="fr-FR"/>
        </w:rPr>
        <w:t>de la</w:t>
      </w:r>
      <w:r w:rsidR="00D31AFF" w:rsidRPr="00FA2E2E">
        <w:rPr>
          <w:lang w:val="fr-FR"/>
        </w:rPr>
        <w:t xml:space="preserve"> Convention. </w:t>
      </w:r>
      <w:r w:rsidRPr="00FA2E2E">
        <w:rPr>
          <w:lang w:val="fr-FR"/>
        </w:rPr>
        <w:t>La f</w:t>
      </w:r>
      <w:r w:rsidR="00D31AFF" w:rsidRPr="00FA2E2E">
        <w:rPr>
          <w:lang w:val="fr-FR"/>
        </w:rPr>
        <w:t>igure</w:t>
      </w:r>
      <w:r w:rsidRPr="00FA2E2E">
        <w:rPr>
          <w:lang w:val="fr-FR"/>
        </w:rPr>
        <w:t> </w:t>
      </w:r>
      <w:r w:rsidR="00D31AFF" w:rsidRPr="00FA2E2E">
        <w:rPr>
          <w:lang w:val="fr-FR"/>
        </w:rPr>
        <w:t>1</w:t>
      </w:r>
      <w:r w:rsidRPr="00FA2E2E">
        <w:rPr>
          <w:lang w:val="fr-FR"/>
        </w:rPr>
        <w:t xml:space="preserve"> présente un schéma décisionnel pour la gestion des sites contaminés</w:t>
      </w:r>
      <w:r w:rsidR="00D31AFF" w:rsidRPr="00FA2E2E">
        <w:rPr>
          <w:lang w:val="fr-FR"/>
        </w:rPr>
        <w:t xml:space="preserve">. </w:t>
      </w:r>
      <w:r w:rsidR="0009389B" w:rsidRPr="00FA2E2E">
        <w:rPr>
          <w:lang w:val="fr-FR"/>
        </w:rPr>
        <w:t>Chaque étape du schéma décisionnel est explicitée dans la section des orientations spécifiée</w:t>
      </w:r>
      <w:r w:rsidR="00D31AFF" w:rsidRPr="00FA2E2E">
        <w:rPr>
          <w:lang w:val="fr-FR"/>
        </w:rPr>
        <w:t>.</w:t>
      </w:r>
    </w:p>
    <w:p w14:paraId="60AC4EFC" w14:textId="5F6C4944" w:rsidR="00D31AFF" w:rsidRPr="00FA2E2E" w:rsidRDefault="00DE7FFB" w:rsidP="008E43CD">
      <w:pPr>
        <w:pStyle w:val="Normalnumber"/>
        <w:numPr>
          <w:ilvl w:val="0"/>
          <w:numId w:val="5"/>
        </w:numPr>
        <w:rPr>
          <w:lang w:val="fr-FR"/>
        </w:rPr>
      </w:pPr>
      <w:r w:rsidRPr="00FA2E2E">
        <w:rPr>
          <w:lang w:val="fr-FR"/>
        </w:rPr>
        <w:t>Les orientations</w:t>
      </w:r>
      <w:r w:rsidR="00632760" w:rsidRPr="00FA2E2E">
        <w:rPr>
          <w:lang w:val="fr-FR"/>
        </w:rPr>
        <w:t xml:space="preserve"> </w:t>
      </w:r>
      <w:r w:rsidRPr="00FA2E2E">
        <w:rPr>
          <w:lang w:val="fr-FR"/>
        </w:rPr>
        <w:t xml:space="preserve">ne créent pas </w:t>
      </w:r>
      <w:r w:rsidR="009A3117" w:rsidRPr="00FA2E2E">
        <w:rPr>
          <w:lang w:val="fr-FR"/>
        </w:rPr>
        <w:t>des exigences contraignantes</w:t>
      </w:r>
      <w:r w:rsidRPr="00FA2E2E">
        <w:rPr>
          <w:lang w:val="fr-FR"/>
        </w:rPr>
        <w:t xml:space="preserve"> et n</w:t>
      </w:r>
      <w:r w:rsidR="00FE58E1" w:rsidRPr="00FA2E2E">
        <w:rPr>
          <w:lang w:val="fr-FR"/>
        </w:rPr>
        <w:t>’</w:t>
      </w:r>
      <w:r w:rsidRPr="00FA2E2E">
        <w:rPr>
          <w:lang w:val="fr-FR"/>
        </w:rPr>
        <w:t>ajoutent ni ne soustraient aux</w:t>
      </w:r>
      <w:r w:rsidR="00FE58E1" w:rsidRPr="00FA2E2E">
        <w:rPr>
          <w:lang w:val="fr-FR"/>
        </w:rPr>
        <w:t> </w:t>
      </w:r>
      <w:r w:rsidRPr="00FA2E2E">
        <w:rPr>
          <w:lang w:val="fr-FR"/>
        </w:rPr>
        <w:t>obligations faites aux Parties par l</w:t>
      </w:r>
      <w:r w:rsidR="00FE58E1" w:rsidRPr="00FA2E2E">
        <w:rPr>
          <w:lang w:val="fr-FR"/>
        </w:rPr>
        <w:t>’</w:t>
      </w:r>
      <w:r w:rsidRPr="00FA2E2E">
        <w:rPr>
          <w:lang w:val="fr-FR"/>
        </w:rPr>
        <w:t>article 12</w:t>
      </w:r>
      <w:r w:rsidR="00D31AFF" w:rsidRPr="00FA2E2E">
        <w:rPr>
          <w:lang w:val="fr-FR"/>
        </w:rPr>
        <w:t xml:space="preserve">. </w:t>
      </w:r>
      <w:r w:rsidRPr="00FA2E2E">
        <w:rPr>
          <w:lang w:val="fr-FR"/>
        </w:rPr>
        <w:t>Il est admis que, pour des raisons techniques, économiques ou juridiques, certaines des mesures décrites dans les présentes orientations peuvent ne</w:t>
      </w:r>
      <w:r w:rsidR="00FE58E1" w:rsidRPr="00FA2E2E">
        <w:rPr>
          <w:lang w:val="fr-FR"/>
        </w:rPr>
        <w:t> </w:t>
      </w:r>
      <w:r w:rsidRPr="00FA2E2E">
        <w:rPr>
          <w:lang w:val="fr-FR"/>
        </w:rPr>
        <w:t>pas être à la disposition de toutes les Parties</w:t>
      </w:r>
      <w:r w:rsidR="00D31AFF" w:rsidRPr="00FA2E2E">
        <w:rPr>
          <w:lang w:val="fr-FR"/>
        </w:rPr>
        <w:t xml:space="preserve">. </w:t>
      </w:r>
    </w:p>
    <w:p w14:paraId="4D5F07D7" w14:textId="04725773" w:rsidR="00D31AFF" w:rsidRPr="00FA2E2E" w:rsidRDefault="00DE7FFB" w:rsidP="002172B3">
      <w:pPr>
        <w:pStyle w:val="Normalnumber"/>
        <w:rPr>
          <w:strike/>
          <w:lang w:val="fr-FR"/>
        </w:rPr>
      </w:pPr>
      <w:r w:rsidRPr="00FA2E2E">
        <w:rPr>
          <w:lang w:val="fr-FR"/>
        </w:rPr>
        <w:t>Le texte de la Convention ne définit pas explicitement le</w:t>
      </w:r>
      <w:r w:rsidR="00924744" w:rsidRPr="00FA2E2E">
        <w:rPr>
          <w:lang w:val="fr-FR"/>
        </w:rPr>
        <w:t>s</w:t>
      </w:r>
      <w:r w:rsidRPr="00FA2E2E">
        <w:rPr>
          <w:lang w:val="fr-FR"/>
        </w:rPr>
        <w:t xml:space="preserve"> terme</w:t>
      </w:r>
      <w:r w:rsidR="00924744" w:rsidRPr="00FA2E2E">
        <w:rPr>
          <w:lang w:val="fr-FR"/>
        </w:rPr>
        <w:t>s</w:t>
      </w:r>
      <w:r w:rsidRPr="00FA2E2E">
        <w:rPr>
          <w:lang w:val="fr-FR"/>
        </w:rPr>
        <w:t xml:space="preserve"> « site contaminé »</w:t>
      </w:r>
      <w:r w:rsidR="00D31AFF" w:rsidRPr="00FA2E2E">
        <w:rPr>
          <w:lang w:val="fr-FR"/>
        </w:rPr>
        <w:t>.</w:t>
      </w:r>
      <w:r w:rsidRPr="00FA2E2E">
        <w:rPr>
          <w:lang w:val="fr-FR"/>
        </w:rPr>
        <w:t xml:space="preserve"> Les pays peuvent avoir leur propre définition dans leur législation</w:t>
      </w:r>
      <w:r w:rsidR="00D31AFF" w:rsidRPr="00FA2E2E">
        <w:rPr>
          <w:lang w:val="fr-FR"/>
        </w:rPr>
        <w:t xml:space="preserve">. </w:t>
      </w:r>
      <w:r w:rsidR="00D12E43" w:rsidRPr="00FA2E2E">
        <w:rPr>
          <w:lang w:val="fr-FR"/>
        </w:rPr>
        <w:t>La norme </w:t>
      </w:r>
      <w:r w:rsidR="00261542" w:rsidRPr="00FA2E2E">
        <w:rPr>
          <w:lang w:val="fr-FR"/>
        </w:rPr>
        <w:t>ISO</w:t>
      </w:r>
      <w:r w:rsidR="00D12E43" w:rsidRPr="00FA2E2E">
        <w:rPr>
          <w:lang w:val="fr-FR"/>
        </w:rPr>
        <w:t> </w:t>
      </w:r>
      <w:r w:rsidR="00261542" w:rsidRPr="00FA2E2E">
        <w:rPr>
          <w:lang w:val="fr-FR"/>
        </w:rPr>
        <w:t>11074</w:t>
      </w:r>
      <w:r w:rsidR="005D7D61" w:rsidRPr="00FA2E2E">
        <w:rPr>
          <w:lang w:val="fr-FR"/>
        </w:rPr>
        <w:t xml:space="preserve"> </w:t>
      </w:r>
      <w:r w:rsidR="00D12E43" w:rsidRPr="00FA2E2E">
        <w:rPr>
          <w:lang w:val="fr-FR"/>
        </w:rPr>
        <w:t>de</w:t>
      </w:r>
      <w:r w:rsidR="00261542" w:rsidRPr="00FA2E2E">
        <w:rPr>
          <w:lang w:val="fr-FR"/>
        </w:rPr>
        <w:t xml:space="preserve"> </w:t>
      </w:r>
      <w:r w:rsidR="00D12E43" w:rsidRPr="00FA2E2E">
        <w:rPr>
          <w:lang w:val="fr-FR"/>
        </w:rPr>
        <w:t>l</w:t>
      </w:r>
      <w:r w:rsidR="00FE58E1" w:rsidRPr="00FA2E2E">
        <w:rPr>
          <w:lang w:val="fr-FR"/>
        </w:rPr>
        <w:t>’</w:t>
      </w:r>
      <w:r w:rsidR="00D12E43" w:rsidRPr="00FA2E2E">
        <w:rPr>
          <w:lang w:val="fr-FR"/>
        </w:rPr>
        <w:t>Organisation internationale de normalisation définit un site contaminé comme un sol où existe une contamination, cette définition ne présupposant pas l</w:t>
      </w:r>
      <w:r w:rsidR="00FE58E1" w:rsidRPr="00FA2E2E">
        <w:rPr>
          <w:lang w:val="fr-FR"/>
        </w:rPr>
        <w:t>’</w:t>
      </w:r>
      <w:r w:rsidR="00D12E43" w:rsidRPr="00FA2E2E">
        <w:rPr>
          <w:lang w:val="fr-FR"/>
        </w:rPr>
        <w:t>existence d</w:t>
      </w:r>
      <w:r w:rsidR="00FE58E1" w:rsidRPr="00FA2E2E">
        <w:rPr>
          <w:lang w:val="fr-FR"/>
        </w:rPr>
        <w:t>’</w:t>
      </w:r>
      <w:r w:rsidR="00D12E43" w:rsidRPr="00FA2E2E">
        <w:rPr>
          <w:lang w:val="fr-FR"/>
        </w:rPr>
        <w:t xml:space="preserve">un danger dû à </w:t>
      </w:r>
      <w:r w:rsidR="00924744" w:rsidRPr="00FA2E2E">
        <w:rPr>
          <w:lang w:val="fr-FR"/>
        </w:rPr>
        <w:t xml:space="preserve">la présence </w:t>
      </w:r>
      <w:r w:rsidR="00D12E43" w:rsidRPr="00FA2E2E">
        <w:rPr>
          <w:lang w:val="fr-FR"/>
        </w:rPr>
        <w:t>de la contamination</w:t>
      </w:r>
      <w:r w:rsidR="00B759BB" w:rsidRPr="00FA2E2E">
        <w:rPr>
          <w:lang w:val="fr-FR"/>
        </w:rPr>
        <w:t>, cette</w:t>
      </w:r>
      <w:r w:rsidR="00FE58E1" w:rsidRPr="00FA2E2E">
        <w:rPr>
          <w:lang w:val="fr-FR"/>
        </w:rPr>
        <w:t> </w:t>
      </w:r>
      <w:r w:rsidR="00B759BB" w:rsidRPr="00FA2E2E">
        <w:rPr>
          <w:lang w:val="fr-FR"/>
        </w:rPr>
        <w:t>dernière étant définie comme substance(s) ou agent(s) présent(s) dans le sol du fait de l</w:t>
      </w:r>
      <w:r w:rsidR="00FE58E1" w:rsidRPr="00FA2E2E">
        <w:rPr>
          <w:lang w:val="fr-FR"/>
        </w:rPr>
        <w:t>’</w:t>
      </w:r>
      <w:r w:rsidR="00B759BB" w:rsidRPr="00FA2E2E">
        <w:rPr>
          <w:lang w:val="fr-FR"/>
        </w:rPr>
        <w:t>activité humaine</w:t>
      </w:r>
      <w:r w:rsidR="00261542" w:rsidRPr="00FA2E2E">
        <w:rPr>
          <w:lang w:val="fr-FR"/>
        </w:rPr>
        <w:t>.</w:t>
      </w:r>
      <w:r w:rsidR="0008379F" w:rsidRPr="00FA2E2E">
        <w:rPr>
          <w:lang w:val="fr-FR"/>
        </w:rPr>
        <w:t xml:space="preserve"> </w:t>
      </w:r>
      <w:r w:rsidR="00B759BB" w:rsidRPr="00FA2E2E">
        <w:rPr>
          <w:lang w:val="fr-FR"/>
        </w:rPr>
        <w:t>La proposition de directive de l</w:t>
      </w:r>
      <w:r w:rsidR="00FE58E1" w:rsidRPr="00FA2E2E">
        <w:rPr>
          <w:lang w:val="fr-FR"/>
        </w:rPr>
        <w:t>’</w:t>
      </w:r>
      <w:r w:rsidR="00B759BB" w:rsidRPr="00FA2E2E">
        <w:rPr>
          <w:lang w:val="fr-FR"/>
        </w:rPr>
        <w:t>Union européenne définissant un cadre pour la protection des sols définit</w:t>
      </w:r>
      <w:r w:rsidR="0070404E" w:rsidRPr="00FA2E2E">
        <w:rPr>
          <w:lang w:val="fr-FR"/>
        </w:rPr>
        <w:t xml:space="preserve"> les </w:t>
      </w:r>
      <w:r w:rsidR="0012529C" w:rsidRPr="00FA2E2E">
        <w:rPr>
          <w:lang w:val="fr-FR"/>
        </w:rPr>
        <w:t>sites</w:t>
      </w:r>
      <w:r w:rsidR="0070404E" w:rsidRPr="00FA2E2E">
        <w:rPr>
          <w:lang w:val="fr-FR"/>
        </w:rPr>
        <w:t xml:space="preserve"> contaminés comme « les sites sur lesquels a été confirmée la présence de substances dangereuses découlant de l</w:t>
      </w:r>
      <w:r w:rsidR="00FE58E1" w:rsidRPr="00FA2E2E">
        <w:rPr>
          <w:lang w:val="fr-FR"/>
        </w:rPr>
        <w:t>’</w:t>
      </w:r>
      <w:r w:rsidR="0070404E" w:rsidRPr="00FA2E2E">
        <w:rPr>
          <w:lang w:val="fr-FR"/>
        </w:rPr>
        <w:t>activité humaine, dans des concentrations telles que les États membres considèrent qu</w:t>
      </w:r>
      <w:r w:rsidR="00FE58E1" w:rsidRPr="00FA2E2E">
        <w:rPr>
          <w:lang w:val="fr-FR"/>
        </w:rPr>
        <w:t>’</w:t>
      </w:r>
      <w:r w:rsidR="0070404E" w:rsidRPr="00FA2E2E">
        <w:rPr>
          <w:lang w:val="fr-FR"/>
        </w:rPr>
        <w:t>il en résulte un risque important pour la santé humaine ou pour l</w:t>
      </w:r>
      <w:r w:rsidR="00FE58E1" w:rsidRPr="00FA2E2E">
        <w:rPr>
          <w:lang w:val="fr-FR"/>
        </w:rPr>
        <w:t>’</w:t>
      </w:r>
      <w:r w:rsidR="0070404E" w:rsidRPr="00FA2E2E">
        <w:rPr>
          <w:lang w:val="fr-FR"/>
        </w:rPr>
        <w:t>environnement »</w:t>
      </w:r>
      <w:r w:rsidR="00261542" w:rsidRPr="00FA2E2E">
        <w:rPr>
          <w:rStyle w:val="FootnoteReference"/>
          <w:szCs w:val="20"/>
          <w:lang w:val="fr-FR"/>
        </w:rPr>
        <w:footnoteReference w:id="2"/>
      </w:r>
      <w:r w:rsidR="0070404E" w:rsidRPr="00FA2E2E">
        <w:rPr>
          <w:lang w:val="fr-FR"/>
        </w:rPr>
        <w:t>.</w:t>
      </w:r>
      <w:r w:rsidR="00261542" w:rsidRPr="00FA2E2E">
        <w:rPr>
          <w:lang w:val="fr-FR"/>
        </w:rPr>
        <w:t xml:space="preserve"> </w:t>
      </w:r>
      <w:r w:rsidR="008C5893" w:rsidRPr="00FA2E2E">
        <w:rPr>
          <w:lang w:val="fr-FR"/>
        </w:rPr>
        <w:t>Un « </w:t>
      </w:r>
      <w:r w:rsidR="00D31AFF" w:rsidRPr="00FA2E2E">
        <w:rPr>
          <w:lang w:val="fr-FR"/>
        </w:rPr>
        <w:t>site</w:t>
      </w:r>
      <w:r w:rsidR="008C5893" w:rsidRPr="00FA2E2E">
        <w:rPr>
          <w:lang w:val="fr-FR"/>
        </w:rPr>
        <w:t> » ne se limite pas toujours obligatoirement à une surface terrestre, telle</w:t>
      </w:r>
      <w:r w:rsidR="00FE58E1" w:rsidRPr="00FA2E2E">
        <w:rPr>
          <w:lang w:val="fr-FR"/>
        </w:rPr>
        <w:t> </w:t>
      </w:r>
      <w:r w:rsidR="008C5893" w:rsidRPr="00FA2E2E">
        <w:rPr>
          <w:lang w:val="fr-FR"/>
        </w:rPr>
        <w:t>qu</w:t>
      </w:r>
      <w:r w:rsidR="00FE58E1" w:rsidRPr="00FA2E2E">
        <w:rPr>
          <w:lang w:val="fr-FR"/>
        </w:rPr>
        <w:t>’</w:t>
      </w:r>
      <w:r w:rsidR="008C5893" w:rsidRPr="00FA2E2E">
        <w:rPr>
          <w:lang w:val="fr-FR"/>
        </w:rPr>
        <w:t>un champ, une forêt ou une colline, mais peut également inclure des milieux aquatiques, tels</w:t>
      </w:r>
      <w:r w:rsidR="00FE58E1" w:rsidRPr="00FA2E2E">
        <w:rPr>
          <w:lang w:val="fr-FR"/>
        </w:rPr>
        <w:t> </w:t>
      </w:r>
      <w:r w:rsidR="008C5893" w:rsidRPr="00FA2E2E">
        <w:rPr>
          <w:lang w:val="fr-FR"/>
        </w:rPr>
        <w:t>que cours d</w:t>
      </w:r>
      <w:r w:rsidR="00FE58E1" w:rsidRPr="00FA2E2E">
        <w:rPr>
          <w:lang w:val="fr-FR"/>
        </w:rPr>
        <w:t>’</w:t>
      </w:r>
      <w:r w:rsidR="008C5893" w:rsidRPr="00FA2E2E">
        <w:rPr>
          <w:lang w:val="fr-FR"/>
        </w:rPr>
        <w:t>eau, rivières, lacs, marais, terres humides, estuaires et baies qui peuvent recevoir des</w:t>
      </w:r>
      <w:r w:rsidR="00FE58E1" w:rsidRPr="00FA2E2E">
        <w:rPr>
          <w:lang w:val="fr-FR"/>
        </w:rPr>
        <w:t> </w:t>
      </w:r>
      <w:r w:rsidR="008C5893" w:rsidRPr="00FA2E2E">
        <w:rPr>
          <w:lang w:val="fr-FR"/>
        </w:rPr>
        <w:t xml:space="preserve">flux contaminés </w:t>
      </w:r>
      <w:r w:rsidR="00A03890" w:rsidRPr="00FA2E2E">
        <w:rPr>
          <w:lang w:val="fr-FR"/>
        </w:rPr>
        <w:t xml:space="preserve">par du mercure </w:t>
      </w:r>
      <w:r w:rsidR="008C5893" w:rsidRPr="00FA2E2E">
        <w:rPr>
          <w:lang w:val="fr-FR"/>
        </w:rPr>
        <w:t xml:space="preserve">provenant, par exemple, de </w:t>
      </w:r>
      <w:bookmarkStart w:id="11" w:name="_Hlk21332651"/>
      <w:r w:rsidR="008C5893" w:rsidRPr="00FA2E2E">
        <w:rPr>
          <w:lang w:val="fr-FR"/>
        </w:rPr>
        <w:t>sites d</w:t>
      </w:r>
      <w:r w:rsidR="00FE58E1" w:rsidRPr="00FA2E2E">
        <w:rPr>
          <w:lang w:val="fr-FR"/>
        </w:rPr>
        <w:t>’</w:t>
      </w:r>
      <w:r w:rsidR="008C5893" w:rsidRPr="00FA2E2E">
        <w:rPr>
          <w:lang w:val="fr-FR"/>
        </w:rPr>
        <w:t>extraction</w:t>
      </w:r>
      <w:r w:rsidR="00A03890" w:rsidRPr="00FA2E2E">
        <w:rPr>
          <w:lang w:val="fr-FR"/>
        </w:rPr>
        <w:t xml:space="preserve"> minière</w:t>
      </w:r>
      <w:r w:rsidR="008C5893" w:rsidRPr="00FA2E2E">
        <w:rPr>
          <w:lang w:val="fr-FR"/>
        </w:rPr>
        <w:t xml:space="preserve"> artisanale et</w:t>
      </w:r>
      <w:r w:rsidR="00FE58E1" w:rsidRPr="00FA2E2E">
        <w:rPr>
          <w:lang w:val="fr-FR"/>
        </w:rPr>
        <w:t> </w:t>
      </w:r>
      <w:r w:rsidR="008C5893" w:rsidRPr="00FA2E2E">
        <w:rPr>
          <w:lang w:val="fr-FR"/>
        </w:rPr>
        <w:t>à petite échelle d</w:t>
      </w:r>
      <w:r w:rsidR="00FE58E1" w:rsidRPr="00FA2E2E">
        <w:rPr>
          <w:lang w:val="fr-FR"/>
        </w:rPr>
        <w:t>’</w:t>
      </w:r>
      <w:r w:rsidR="008C5893" w:rsidRPr="00FA2E2E">
        <w:rPr>
          <w:lang w:val="fr-FR"/>
        </w:rPr>
        <w:t>or</w:t>
      </w:r>
      <w:bookmarkEnd w:id="11"/>
      <w:r w:rsidR="008C5893" w:rsidRPr="00FA2E2E">
        <w:rPr>
          <w:lang w:val="fr-FR"/>
        </w:rPr>
        <w:t xml:space="preserve"> (Réseau international pour l</w:t>
      </w:r>
      <w:r w:rsidR="00FE58E1" w:rsidRPr="00FA2E2E">
        <w:rPr>
          <w:lang w:val="fr-FR"/>
        </w:rPr>
        <w:t>’</w:t>
      </w:r>
      <w:r w:rsidR="008C5893" w:rsidRPr="00FA2E2E">
        <w:rPr>
          <w:lang w:val="fr-FR"/>
        </w:rPr>
        <w:t>élimination des POP, 2016)</w:t>
      </w:r>
      <w:r w:rsidR="00D31AFF" w:rsidRPr="00FA2E2E">
        <w:rPr>
          <w:lang w:val="fr-FR"/>
        </w:rPr>
        <w:t>.</w:t>
      </w:r>
    </w:p>
    <w:p w14:paraId="1A66EDBE" w14:textId="63510EAE" w:rsidR="006D69D3" w:rsidRPr="00FA2E2E" w:rsidRDefault="006D69D3">
      <w:pPr>
        <w:tabs>
          <w:tab w:val="clear" w:pos="1247"/>
          <w:tab w:val="clear" w:pos="1814"/>
          <w:tab w:val="clear" w:pos="2381"/>
          <w:tab w:val="clear" w:pos="2948"/>
          <w:tab w:val="clear" w:pos="3515"/>
        </w:tabs>
      </w:pPr>
      <w:r w:rsidRPr="00FA2E2E">
        <w:br w:type="page"/>
      </w:r>
    </w:p>
    <w:p w14:paraId="180FF97C" w14:textId="1BA8BDEC" w:rsidR="00D31AFF" w:rsidRPr="00FA2E2E" w:rsidRDefault="00D31AFF" w:rsidP="003A0F06">
      <w:pPr>
        <w:pStyle w:val="Titlefigure"/>
        <w:rPr>
          <w:lang w:val="fr-FR"/>
        </w:rPr>
      </w:pPr>
      <w:bookmarkStart w:id="12" w:name="_Toc15920535"/>
      <w:r w:rsidRPr="00FA2E2E">
        <w:rPr>
          <w:b w:val="0"/>
          <w:lang w:val="fr-FR"/>
        </w:rPr>
        <w:t>Figure</w:t>
      </w:r>
      <w:r w:rsidR="00EB3A9B" w:rsidRPr="00FA2E2E">
        <w:rPr>
          <w:b w:val="0"/>
          <w:lang w:val="fr-FR"/>
        </w:rPr>
        <w:t> </w:t>
      </w:r>
      <w:r w:rsidRPr="00FA2E2E">
        <w:rPr>
          <w:b w:val="0"/>
          <w:lang w:val="fr-FR"/>
        </w:rPr>
        <w:t>1</w:t>
      </w:r>
      <w:r w:rsidR="00F96EDC" w:rsidRPr="00FA2E2E">
        <w:rPr>
          <w:b w:val="0"/>
          <w:lang w:val="fr-FR"/>
        </w:rPr>
        <w:t xml:space="preserve"> </w:t>
      </w:r>
      <w:r w:rsidR="00F96EDC" w:rsidRPr="00FA2E2E">
        <w:rPr>
          <w:b w:val="0"/>
          <w:lang w:val="fr-FR"/>
        </w:rPr>
        <w:br/>
      </w:r>
      <w:r w:rsidR="00EB3A9B" w:rsidRPr="00FA2E2E">
        <w:rPr>
          <w:lang w:val="fr-FR"/>
        </w:rPr>
        <w:t>Cadre et schéma décisionnel initial pour la gestion des sites contaminés</w:t>
      </w:r>
      <w:bookmarkEnd w:id="12"/>
    </w:p>
    <w:p w14:paraId="240DAEFA" w14:textId="136A8946" w:rsidR="006D69D3" w:rsidRPr="00FA2E2E" w:rsidRDefault="00106103" w:rsidP="006D69D3">
      <w:pPr>
        <w:pStyle w:val="Normal-pool"/>
        <w:rPr>
          <w:lang w:val="fr-FR"/>
        </w:rPr>
      </w:pPr>
      <w:r w:rsidRPr="00FA2E2E">
        <w:rPr>
          <w:noProof/>
          <w:lang w:val="fr-FR" w:eastAsia="en-GB"/>
        </w:rPr>
        <mc:AlternateContent>
          <mc:Choice Requires="wps">
            <w:drawing>
              <wp:anchor distT="0" distB="0" distL="114300" distR="114300" simplePos="0" relativeHeight="251638272" behindDoc="0" locked="0" layoutInCell="1" allowOverlap="1" wp14:anchorId="7920FFB8" wp14:editId="5E001597">
                <wp:simplePos x="0" y="0"/>
                <wp:positionH relativeFrom="column">
                  <wp:posOffset>1169002</wp:posOffset>
                </wp:positionH>
                <wp:positionV relativeFrom="paragraph">
                  <wp:posOffset>143099</wp:posOffset>
                </wp:positionV>
                <wp:extent cx="4833205" cy="4322388"/>
                <wp:effectExtent l="0" t="0" r="24765" b="21590"/>
                <wp:wrapNone/>
                <wp:docPr id="80" name="Rectangle 80"/>
                <wp:cNvGraphicFramePr/>
                <a:graphic xmlns:a="http://schemas.openxmlformats.org/drawingml/2006/main">
                  <a:graphicData uri="http://schemas.microsoft.com/office/word/2010/wordprocessingShape">
                    <wps:wsp>
                      <wps:cNvSpPr/>
                      <wps:spPr>
                        <a:xfrm>
                          <a:off x="0" y="0"/>
                          <a:ext cx="4833205" cy="4322388"/>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73A74965" w14:textId="4849C157" w:rsidR="00C56F63" w:rsidRDefault="00C56F63" w:rsidP="006D69D3">
                            <w:pPr>
                              <w:jc w:val="right"/>
                              <w:rPr>
                                <w:sz w:val="24"/>
                                <w:szCs w:val="24"/>
                              </w:rPr>
                            </w:pPr>
                            <w:r>
                              <w:rPr>
                                <w:rFonts w:asciiTheme="minorHAnsi" w:hAnsi="Calibri" w:cstheme="minorBidi"/>
                                <w:color w:val="000000"/>
                                <w:sz w:val="22"/>
                                <w:szCs w:val="22"/>
                              </w:rPr>
                              <w:t>(section B)</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7920FFB8" id="Rectangle 80" o:spid="_x0000_s1026" style="position:absolute;margin-left:92.05pt;margin-top:11.25pt;width:380.55pt;height:340.35pt;z-index:251638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" filled="f" strokecolor="#243f60 [1604]" strokeweight="2pt">
                <v:stroke dashstyle="dash"/>
                <v:textbox>
                  <w:txbxContent>
                    <w:p w14:paraId="73A74965" w14:textId="4849C157" w:rsidR="00C56F63" w:rsidRDefault="00C56F63" w:rsidP="006D69D3">
                      <w:pPr>
                        <w:jc w:val="right"/>
                        <w:rPr>
                          <w:sz w:val="24"/>
                          <w:szCs w:val="24"/>
                        </w:rPr>
                      </w:pPr>
                      <w:r>
                        <w:rPr>
                          <w:rFonts w:asciiTheme="minorHAnsi" w:hAnsi="Calibri" w:cstheme="minorBidi"/>
                          <w:color w:val="000000"/>
                          <w:sz w:val="22"/>
                          <w:szCs w:val="22"/>
                        </w:rPr>
                        <w:t>(section B)</w:t>
                      </w:r>
                    </w:p>
                  </w:txbxContent>
                </v:textbox>
              </v:rect>
            </w:pict>
          </mc:Fallback>
        </mc:AlternateContent>
      </w:r>
    </w:p>
    <w:p w14:paraId="6C158CD7" w14:textId="1C2491AD" w:rsidR="00AD4EC9" w:rsidRPr="00FA2E2E" w:rsidRDefault="00AD4EC9" w:rsidP="006D69D3">
      <w:pPr>
        <w:pStyle w:val="Normal-pool"/>
        <w:rPr>
          <w:lang w:val="fr-FR"/>
        </w:rPr>
      </w:pPr>
    </w:p>
    <w:p w14:paraId="37E2B655" w14:textId="0AC21F57" w:rsidR="00D31AFF" w:rsidRPr="00FA2E2E" w:rsidRDefault="00106103" w:rsidP="006D69D3">
      <w:pPr>
        <w:pStyle w:val="Normal-pool"/>
        <w:rPr>
          <w:strike/>
          <w:lang w:val="fr-FR"/>
        </w:rPr>
      </w:pPr>
      <w:r w:rsidRPr="00FA2E2E">
        <w:rPr>
          <w:strike/>
          <w:noProof/>
          <w:lang w:val="fr-FR" w:eastAsia="en-GB"/>
        </w:rPr>
        <mc:AlternateContent>
          <mc:Choice Requires="wps">
            <w:drawing>
              <wp:anchor distT="0" distB="0" distL="114300" distR="114300" simplePos="0" relativeHeight="251639296" behindDoc="0" locked="0" layoutInCell="1" allowOverlap="1" wp14:anchorId="54390207" wp14:editId="44493ADD">
                <wp:simplePos x="0" y="0"/>
                <wp:positionH relativeFrom="column">
                  <wp:posOffset>1334240</wp:posOffset>
                </wp:positionH>
                <wp:positionV relativeFrom="paragraph">
                  <wp:posOffset>23895</wp:posOffset>
                </wp:positionV>
                <wp:extent cx="2726423" cy="406813"/>
                <wp:effectExtent l="0" t="0" r="17145" b="12700"/>
                <wp:wrapNone/>
                <wp:docPr id="4" name="Rectangle 4"/>
                <wp:cNvGraphicFramePr/>
                <a:graphic xmlns:a="http://schemas.openxmlformats.org/drawingml/2006/main">
                  <a:graphicData uri="http://schemas.microsoft.com/office/word/2010/wordprocessingShape">
                    <wps:wsp>
                      <wps:cNvSpPr/>
                      <wps:spPr>
                        <a:xfrm>
                          <a:off x="0" y="0"/>
                          <a:ext cx="2726423" cy="406813"/>
                        </a:xfrm>
                        <a:prstGeom prst="rect">
                          <a:avLst/>
                        </a:prstGeom>
                      </wps:spPr>
                      <wps:style>
                        <a:lnRef idx="2">
                          <a:schemeClr val="accent6"/>
                        </a:lnRef>
                        <a:fillRef idx="1">
                          <a:schemeClr val="lt1"/>
                        </a:fillRef>
                        <a:effectRef idx="0">
                          <a:schemeClr val="accent6"/>
                        </a:effectRef>
                        <a:fontRef idx="minor">
                          <a:schemeClr val="dk1"/>
                        </a:fontRef>
                      </wps:style>
                      <wps:txbx>
                        <w:txbxContent>
                          <w:p w14:paraId="1313C503" w14:textId="2C42CF0F" w:rsidR="00C56F63" w:rsidRPr="00FE703C" w:rsidRDefault="00C56F63" w:rsidP="006D69D3">
                            <w:pPr>
                              <w:jc w:val="center"/>
                              <w:rPr>
                                <w:sz w:val="24"/>
                                <w:szCs w:val="24"/>
                              </w:rPr>
                            </w:pPr>
                            <w:r w:rsidRPr="00FE703C">
                              <w:rPr>
                                <w:rFonts w:ascii="Calibri" w:hAnsi="Calibri" w:cs="Calibri"/>
                                <w:color w:val="000000" w:themeColor="dark1"/>
                                <w:sz w:val="22"/>
                                <w:szCs w:val="22"/>
                              </w:rPr>
                              <w:t>É</w:t>
                            </w:r>
                            <w:r w:rsidRPr="00FE703C">
                              <w:rPr>
                                <w:rFonts w:asciiTheme="minorHAnsi" w:hAnsi="Calibri" w:cstheme="minorBidi"/>
                                <w:color w:val="000000" w:themeColor="dark1"/>
                                <w:sz w:val="22"/>
                                <w:szCs w:val="22"/>
                              </w:rPr>
                              <w:t>tude rétrospective de l</w:t>
                            </w:r>
                            <w:r>
                              <w:rPr>
                                <w:rFonts w:asciiTheme="minorHAnsi" w:hAnsi="Calibri" w:cstheme="minorBidi"/>
                                <w:color w:val="000000" w:themeColor="dark1"/>
                                <w:sz w:val="22"/>
                                <w:szCs w:val="22"/>
                              </w:rPr>
                              <w:t>’</w:t>
                            </w:r>
                            <w:r w:rsidRPr="00FE703C">
                              <w:rPr>
                                <w:rFonts w:asciiTheme="minorHAnsi" w:hAnsi="Calibri" w:cstheme="minorBidi"/>
                                <w:color w:val="000000" w:themeColor="dark1"/>
                                <w:sz w:val="22"/>
                                <w:szCs w:val="22"/>
                              </w:rPr>
                              <w:t>occupation des sols</w:t>
                            </w:r>
                          </w:p>
                        </w:txbxContent>
                      </wps:txbx>
                      <wps:bodyPr tIns="0" bIns="0" rtlCol="0" anchor="ctr"/>
                    </wps:wsp>
                  </a:graphicData>
                </a:graphic>
              </wp:anchor>
            </w:drawing>
          </mc:Choice>
          <mc:Fallback>
            <w:pict>
              <v:rect w14:anchorId="54390207" id="Rectangle 4" o:spid="_x0000_s1027" style="position:absolute;margin-left:105.05pt;margin-top:1.9pt;width:214.7pt;height:32.05pt;z-index:251639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" fillcolor="white [3201]" strokecolor="#f79646 [3209]" strokeweight="2pt">
                <v:textbox inset=",0,,0">
                  <w:txbxContent>
                    <w:p w14:paraId="1313C503" w14:textId="2C42CF0F" w:rsidR="00C56F63" w:rsidRPr="00FE703C" w:rsidRDefault="00C56F63" w:rsidP="006D69D3">
                      <w:pPr>
                        <w:jc w:val="center"/>
                        <w:rPr>
                          <w:sz w:val="24"/>
                          <w:szCs w:val="24"/>
                        </w:rPr>
                      </w:pPr>
                      <w:r w:rsidRPr="00FE703C">
                        <w:rPr>
                          <w:rFonts w:ascii="Calibri" w:hAnsi="Calibri" w:cs="Calibri"/>
                          <w:color w:val="000000" w:themeColor="dark1"/>
                          <w:sz w:val="22"/>
                          <w:szCs w:val="22"/>
                        </w:rPr>
                        <w:t>É</w:t>
                      </w:r>
                      <w:r w:rsidRPr="00FE703C">
                        <w:rPr>
                          <w:rFonts w:asciiTheme="minorHAnsi" w:hAnsi="Calibri" w:cstheme="minorBidi"/>
                          <w:color w:val="000000" w:themeColor="dark1"/>
                          <w:sz w:val="22"/>
                          <w:szCs w:val="22"/>
                        </w:rPr>
                        <w:t>tude rétrospective de l</w:t>
                      </w:r>
                      <w:r>
                        <w:rPr>
                          <w:rFonts w:asciiTheme="minorHAnsi" w:hAnsi="Calibri" w:cstheme="minorBidi"/>
                          <w:color w:val="000000" w:themeColor="dark1"/>
                          <w:sz w:val="22"/>
                          <w:szCs w:val="22"/>
                        </w:rPr>
                        <w:t>’</w:t>
                      </w:r>
                      <w:r w:rsidRPr="00FE703C">
                        <w:rPr>
                          <w:rFonts w:asciiTheme="minorHAnsi" w:hAnsi="Calibri" w:cstheme="minorBidi"/>
                          <w:color w:val="000000" w:themeColor="dark1"/>
                          <w:sz w:val="22"/>
                          <w:szCs w:val="22"/>
                        </w:rPr>
                        <w:t>occupation des sols</w:t>
                      </w:r>
                    </w:p>
                  </w:txbxContent>
                </v:textbox>
              </v:rect>
            </w:pict>
          </mc:Fallback>
        </mc:AlternateContent>
      </w:r>
    </w:p>
    <w:p w14:paraId="0F799BC5" w14:textId="4EA233E0" w:rsidR="00D31AFF" w:rsidRPr="00FA2E2E" w:rsidRDefault="00D31AFF" w:rsidP="006D69D3">
      <w:pPr>
        <w:pStyle w:val="Normal-pool"/>
        <w:rPr>
          <w:strike/>
          <w:lang w:val="fr-FR"/>
        </w:rPr>
      </w:pPr>
    </w:p>
    <w:p w14:paraId="3FACE51A" w14:textId="7795C22D" w:rsidR="006D69D3" w:rsidRPr="00FA2E2E" w:rsidRDefault="00106103" w:rsidP="006D69D3">
      <w:pPr>
        <w:pStyle w:val="Normal-pool"/>
        <w:rPr>
          <w:strike/>
          <w:lang w:val="fr-FR"/>
        </w:rPr>
      </w:pPr>
      <w:r w:rsidRPr="00FA2E2E">
        <w:rPr>
          <w:strike/>
          <w:noProof/>
          <w:lang w:val="fr-FR" w:eastAsia="en-GB"/>
        </w:rPr>
        <mc:AlternateContent>
          <mc:Choice Requires="wps">
            <w:drawing>
              <wp:anchor distT="0" distB="0" distL="114300" distR="114300" simplePos="0" relativeHeight="251642368" behindDoc="0" locked="0" layoutInCell="1" allowOverlap="1" wp14:anchorId="474741C4" wp14:editId="0EC68286">
                <wp:simplePos x="0" y="0"/>
                <wp:positionH relativeFrom="column">
                  <wp:posOffset>2697452</wp:posOffset>
                </wp:positionH>
                <wp:positionV relativeFrom="paragraph">
                  <wp:posOffset>138608</wp:posOffset>
                </wp:positionV>
                <wp:extent cx="0" cy="406814"/>
                <wp:effectExtent l="76200" t="0" r="57150" b="50800"/>
                <wp:wrapNone/>
                <wp:docPr id="8" name="Straight Arrow Connector 8"/>
                <wp:cNvGraphicFramePr/>
                <a:graphic xmlns:a="http://schemas.openxmlformats.org/drawingml/2006/main">
                  <a:graphicData uri="http://schemas.microsoft.com/office/word/2010/wordprocessingShape">
                    <wps:wsp>
                      <wps:cNvCnPr/>
                      <wps:spPr>
                        <a:xfrm>
                          <a:off x="0" y="0"/>
                          <a:ext cx="0" cy="40681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type w14:anchorId="7977A79A" id="_x0000_t32" coordsize="21600,21600" o:spt="32" o:oned="t" path="m,l21600,21600e" filled="f">
                <v:path arrowok="t" fillok="f" o:connecttype="none"/>
                <o:lock v:ext="edit" shapetype="t"/>
              </v:shapetype>
              <v:shape id="Straight Arrow Connector 8" o:spid="_x0000_s1026" type="#_x0000_t32" style="position:absolute;margin-left:212.4pt;margin-top:10.9pt;width:0;height:32.05pt;z-index:251625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" strokecolor="#4579b8 [3044]">
                <v:stroke endarrow="block"/>
              </v:shape>
            </w:pict>
          </mc:Fallback>
        </mc:AlternateContent>
      </w:r>
    </w:p>
    <w:p w14:paraId="07C49965" w14:textId="20105005" w:rsidR="006D69D3" w:rsidRPr="00FA2E2E" w:rsidRDefault="006D69D3" w:rsidP="006D69D3">
      <w:pPr>
        <w:pStyle w:val="Normal-pool"/>
        <w:rPr>
          <w:strike/>
          <w:lang w:val="fr-FR"/>
        </w:rPr>
      </w:pPr>
    </w:p>
    <w:p w14:paraId="2CDA8A56" w14:textId="5DDAD720" w:rsidR="006D69D3" w:rsidRPr="00FA2E2E" w:rsidRDefault="006D69D3" w:rsidP="006D69D3">
      <w:pPr>
        <w:pStyle w:val="Normal-pool"/>
        <w:rPr>
          <w:strike/>
          <w:lang w:val="fr-FR"/>
        </w:rPr>
      </w:pPr>
    </w:p>
    <w:p w14:paraId="2F7BC09D" w14:textId="035BB271" w:rsidR="006D69D3" w:rsidRPr="00FA2E2E" w:rsidRDefault="00106103" w:rsidP="006D69D3">
      <w:pPr>
        <w:pStyle w:val="Normal-pool"/>
        <w:rPr>
          <w:strike/>
          <w:lang w:val="fr-FR"/>
        </w:rPr>
      </w:pPr>
      <w:r w:rsidRPr="00FA2E2E">
        <w:rPr>
          <w:strike/>
          <w:noProof/>
          <w:lang w:val="fr-FR" w:eastAsia="en-GB"/>
        </w:rPr>
        <mc:AlternateContent>
          <mc:Choice Requires="wps">
            <w:drawing>
              <wp:anchor distT="0" distB="0" distL="114300" distR="114300" simplePos="0" relativeHeight="251640320" behindDoc="0" locked="0" layoutInCell="1" allowOverlap="1" wp14:anchorId="6FD94003" wp14:editId="48641789">
                <wp:simplePos x="0" y="0"/>
                <wp:positionH relativeFrom="column">
                  <wp:posOffset>1334240</wp:posOffset>
                </wp:positionH>
                <wp:positionV relativeFrom="paragraph">
                  <wp:posOffset>107272</wp:posOffset>
                </wp:positionV>
                <wp:extent cx="2726422" cy="406812"/>
                <wp:effectExtent l="0" t="0" r="17145" b="12700"/>
                <wp:wrapNone/>
                <wp:docPr id="5" name="Rectangle 5"/>
                <wp:cNvGraphicFramePr/>
                <a:graphic xmlns:a="http://schemas.openxmlformats.org/drawingml/2006/main">
                  <a:graphicData uri="http://schemas.microsoft.com/office/word/2010/wordprocessingShape">
                    <wps:wsp>
                      <wps:cNvSpPr/>
                      <wps:spPr>
                        <a:xfrm>
                          <a:off x="0" y="0"/>
                          <a:ext cx="2726422" cy="406812"/>
                        </a:xfrm>
                        <a:prstGeom prst="rect">
                          <a:avLst/>
                        </a:prstGeom>
                      </wps:spPr>
                      <wps:style>
                        <a:lnRef idx="2">
                          <a:schemeClr val="accent6"/>
                        </a:lnRef>
                        <a:fillRef idx="1">
                          <a:schemeClr val="lt1"/>
                        </a:fillRef>
                        <a:effectRef idx="0">
                          <a:schemeClr val="accent6"/>
                        </a:effectRef>
                        <a:fontRef idx="minor">
                          <a:schemeClr val="dk1"/>
                        </a:fontRef>
                      </wps:style>
                      <wps:txbx>
                        <w:txbxContent>
                          <w:p w14:paraId="7879CDF7" w14:textId="6BF18D67" w:rsidR="00C56F63" w:rsidRPr="00FE703C" w:rsidRDefault="00C56F63" w:rsidP="006D69D3">
                            <w:pPr>
                              <w:jc w:val="center"/>
                              <w:rPr>
                                <w:sz w:val="24"/>
                                <w:szCs w:val="24"/>
                              </w:rPr>
                            </w:pPr>
                            <w:r w:rsidRPr="00FE703C">
                              <w:rPr>
                                <w:rFonts w:asciiTheme="minorHAnsi" w:hAnsi="Calibri" w:cstheme="minorBidi"/>
                                <w:color w:val="000000" w:themeColor="dark1"/>
                                <w:sz w:val="22"/>
                                <w:szCs w:val="22"/>
                              </w:rPr>
                              <w:t>Inventaire préliminaire</w:t>
                            </w:r>
                          </w:p>
                        </w:txbxContent>
                      </wps:txbx>
                      <wps:bodyPr tIns="0" bIns="0" rtlCol="0" anchor="ctr"/>
                    </wps:wsp>
                  </a:graphicData>
                </a:graphic>
              </wp:anchor>
            </w:drawing>
          </mc:Choice>
          <mc:Fallback>
            <w:pict>
              <v:rect w14:anchorId="6FD94003" id="Rectangle 5" o:spid="_x0000_s1028" style="position:absolute;margin-left:105.05pt;margin-top:8.45pt;width:214.7pt;height:32.05pt;z-index:251640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" fillcolor="white [3201]" strokecolor="#f79646 [3209]" strokeweight="2pt">
                <v:textbox inset=",0,,0">
                  <w:txbxContent>
                    <w:p w14:paraId="7879CDF7" w14:textId="6BF18D67" w:rsidR="00C56F63" w:rsidRPr="00FE703C" w:rsidRDefault="00C56F63" w:rsidP="006D69D3">
                      <w:pPr>
                        <w:jc w:val="center"/>
                        <w:rPr>
                          <w:sz w:val="24"/>
                          <w:szCs w:val="24"/>
                        </w:rPr>
                      </w:pPr>
                      <w:r w:rsidRPr="00FE703C">
                        <w:rPr>
                          <w:rFonts w:asciiTheme="minorHAnsi" w:hAnsi="Calibri" w:cstheme="minorBidi"/>
                          <w:color w:val="000000" w:themeColor="dark1"/>
                          <w:sz w:val="22"/>
                          <w:szCs w:val="22"/>
                        </w:rPr>
                        <w:t>Inventaire préliminaire</w:t>
                      </w:r>
                    </w:p>
                  </w:txbxContent>
                </v:textbox>
              </v:rect>
            </w:pict>
          </mc:Fallback>
        </mc:AlternateContent>
      </w:r>
    </w:p>
    <w:p w14:paraId="2E6DFF97" w14:textId="501B0A03" w:rsidR="006D69D3" w:rsidRPr="00FA2E2E" w:rsidRDefault="006D69D3" w:rsidP="006D69D3">
      <w:pPr>
        <w:pStyle w:val="Normal-pool"/>
        <w:rPr>
          <w:strike/>
          <w:lang w:val="fr-FR"/>
        </w:rPr>
      </w:pPr>
    </w:p>
    <w:p w14:paraId="385C02DC" w14:textId="7FF31808" w:rsidR="006D69D3" w:rsidRPr="00FA2E2E" w:rsidRDefault="00106103" w:rsidP="006D69D3">
      <w:pPr>
        <w:pStyle w:val="Normal-pool"/>
        <w:rPr>
          <w:strike/>
          <w:lang w:val="fr-FR"/>
        </w:rPr>
      </w:pPr>
      <w:r w:rsidRPr="00FA2E2E">
        <w:rPr>
          <w:strike/>
          <w:noProof/>
          <w:lang w:val="fr-FR" w:eastAsia="en-GB"/>
        </w:rPr>
        <mc:AlternateContent>
          <mc:Choice Requires="wps">
            <w:drawing>
              <wp:anchor distT="0" distB="0" distL="114300" distR="114300" simplePos="0" relativeHeight="251658752" behindDoc="0" locked="0" layoutInCell="1" allowOverlap="1" wp14:anchorId="3818FFB9" wp14:editId="5DAE8C99">
                <wp:simplePos x="0" y="0"/>
                <wp:positionH relativeFrom="column">
                  <wp:posOffset>4060662</wp:posOffset>
                </wp:positionH>
                <wp:positionV relativeFrom="paragraph">
                  <wp:posOffset>8663</wp:posOffset>
                </wp:positionV>
                <wp:extent cx="1600742" cy="9915"/>
                <wp:effectExtent l="0" t="0" r="19050" b="28575"/>
                <wp:wrapNone/>
                <wp:docPr id="30" name="Straight Connector 30"/>
                <wp:cNvGraphicFramePr/>
                <a:graphic xmlns:a="http://schemas.openxmlformats.org/drawingml/2006/main">
                  <a:graphicData uri="http://schemas.microsoft.com/office/word/2010/wordprocessingShape">
                    <wps:wsp>
                      <wps:cNvCnPr/>
                      <wps:spPr>
                        <a:xfrm flipV="1">
                          <a:off x="0" y="0"/>
                          <a:ext cx="1600742" cy="991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line w14:anchorId="6C61843A" id="Straight Connector 30" o:spid="_x0000_s1026" style="position:absolute;flip:y;z-index:251648000;visibility:visible;mso-wrap-style:square;mso-wrap-distance-left:9pt;mso-wrap-distance-top:0;mso-wrap-distance-right:9pt;mso-wrap-distance-bottom:0;mso-position-horizontal:absolute;mso-position-horizontal-relative:text;mso-position-vertical:absolute;mso-position-vertical-relative:text" from="319.75pt,.7pt" to="445.8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" strokecolor="#4579b8 [3044]"/>
            </w:pict>
          </mc:Fallback>
        </mc:AlternateContent>
      </w:r>
      <w:r w:rsidRPr="00FA2E2E">
        <w:rPr>
          <w:strike/>
          <w:noProof/>
          <w:lang w:val="fr-FR" w:eastAsia="en-GB"/>
        </w:rPr>
        <mc:AlternateContent>
          <mc:Choice Requires="wps">
            <w:drawing>
              <wp:anchor distT="0" distB="0" distL="114300" distR="114300" simplePos="0" relativeHeight="251659776" behindDoc="0" locked="0" layoutInCell="1" allowOverlap="1" wp14:anchorId="2BEDDF1F" wp14:editId="0C54BA5A">
                <wp:simplePos x="0" y="0"/>
                <wp:positionH relativeFrom="column">
                  <wp:posOffset>5640749</wp:posOffset>
                </wp:positionH>
                <wp:positionV relativeFrom="paragraph">
                  <wp:posOffset>28747</wp:posOffset>
                </wp:positionV>
                <wp:extent cx="10327" cy="1566230"/>
                <wp:effectExtent l="76200" t="0" r="66040" b="53340"/>
                <wp:wrapNone/>
                <wp:docPr id="31" name="Straight Arrow Connector 31"/>
                <wp:cNvGraphicFramePr/>
                <a:graphic xmlns:a="http://schemas.openxmlformats.org/drawingml/2006/main">
                  <a:graphicData uri="http://schemas.microsoft.com/office/word/2010/wordprocessingShape">
                    <wps:wsp>
                      <wps:cNvCnPr/>
                      <wps:spPr>
                        <a:xfrm flipH="1">
                          <a:off x="0" y="0"/>
                          <a:ext cx="10327" cy="156623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 w14:anchorId="40B31408" id="Straight Arrow Connector 31" o:spid="_x0000_s1026" type="#_x0000_t32" style="position:absolute;margin-left:444.15pt;margin-top:2.25pt;width:.8pt;height:123.35pt;flip:x;z-index:2516490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" strokecolor="#4579b8 [3044]">
                <v:stroke endarrow="block"/>
              </v:shape>
            </w:pict>
          </mc:Fallback>
        </mc:AlternateContent>
      </w:r>
    </w:p>
    <w:p w14:paraId="2863E94F" w14:textId="57FA34C1" w:rsidR="006D69D3" w:rsidRPr="00FA2E2E" w:rsidRDefault="00106103" w:rsidP="006D69D3">
      <w:pPr>
        <w:pStyle w:val="Normal-pool"/>
        <w:rPr>
          <w:strike/>
          <w:lang w:val="fr-FR"/>
        </w:rPr>
      </w:pPr>
      <w:r w:rsidRPr="00FA2E2E">
        <w:rPr>
          <w:strike/>
          <w:noProof/>
          <w:lang w:val="fr-FR" w:eastAsia="en-GB"/>
        </w:rPr>
        <mc:AlternateContent>
          <mc:Choice Requires="wps">
            <w:drawing>
              <wp:anchor distT="0" distB="0" distL="114300" distR="114300" simplePos="0" relativeHeight="251643392" behindDoc="0" locked="0" layoutInCell="1" allowOverlap="1" wp14:anchorId="34C6AF33" wp14:editId="708A09DF">
                <wp:simplePos x="0" y="0"/>
                <wp:positionH relativeFrom="column">
                  <wp:posOffset>2697452</wp:posOffset>
                </wp:positionH>
                <wp:positionV relativeFrom="paragraph">
                  <wp:posOffset>75934</wp:posOffset>
                </wp:positionV>
                <wp:extent cx="0" cy="406813"/>
                <wp:effectExtent l="76200" t="0" r="57150" b="50800"/>
                <wp:wrapNone/>
                <wp:docPr id="9" name="Straight Arrow Connector 9"/>
                <wp:cNvGraphicFramePr/>
                <a:graphic xmlns:a="http://schemas.openxmlformats.org/drawingml/2006/main">
                  <a:graphicData uri="http://schemas.microsoft.com/office/word/2010/wordprocessingShape">
                    <wps:wsp>
                      <wps:cNvCnPr/>
                      <wps:spPr>
                        <a:xfrm>
                          <a:off x="0" y="0"/>
                          <a:ext cx="0" cy="40681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 w14:anchorId="2982CF33" id="Straight Arrow Connector 9" o:spid="_x0000_s1026" type="#_x0000_t32" style="position:absolute;margin-left:212.4pt;margin-top:6pt;width:0;height:32.05pt;z-index:251626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" strokecolor="#4579b8 [3044]">
                <v:stroke endarrow="block"/>
              </v:shape>
            </w:pict>
          </mc:Fallback>
        </mc:AlternateContent>
      </w:r>
    </w:p>
    <w:p w14:paraId="31FB4D11" w14:textId="30ABE7E1" w:rsidR="006D69D3" w:rsidRPr="00FA2E2E" w:rsidRDefault="006D69D3" w:rsidP="006D69D3">
      <w:pPr>
        <w:pStyle w:val="Normal-pool"/>
        <w:rPr>
          <w:strike/>
          <w:lang w:val="fr-FR"/>
        </w:rPr>
      </w:pPr>
    </w:p>
    <w:p w14:paraId="4DEB8139" w14:textId="3F91B710" w:rsidR="006D69D3" w:rsidRPr="00FA2E2E" w:rsidRDefault="006D69D3" w:rsidP="006D69D3">
      <w:pPr>
        <w:pStyle w:val="Normal-pool"/>
        <w:rPr>
          <w:strike/>
          <w:lang w:val="fr-FR"/>
        </w:rPr>
      </w:pPr>
    </w:p>
    <w:p w14:paraId="5428B867" w14:textId="185EFBC6" w:rsidR="006D69D3" w:rsidRPr="00FA2E2E" w:rsidRDefault="00106103" w:rsidP="006D69D3">
      <w:pPr>
        <w:pStyle w:val="Normal-pool"/>
        <w:rPr>
          <w:strike/>
          <w:lang w:val="fr-FR"/>
        </w:rPr>
      </w:pPr>
      <w:r w:rsidRPr="00FA2E2E">
        <w:rPr>
          <w:strike/>
          <w:noProof/>
          <w:lang w:val="fr-FR" w:eastAsia="en-GB"/>
        </w:rPr>
        <mc:AlternateContent>
          <mc:Choice Requires="wps">
            <w:drawing>
              <wp:anchor distT="0" distB="0" distL="114300" distR="114300" simplePos="0" relativeHeight="251641344" behindDoc="0" locked="0" layoutInCell="1" allowOverlap="1" wp14:anchorId="4FB1498B" wp14:editId="42E7C826">
                <wp:simplePos x="0" y="0"/>
                <wp:positionH relativeFrom="column">
                  <wp:posOffset>1334240</wp:posOffset>
                </wp:positionH>
                <wp:positionV relativeFrom="paragraph">
                  <wp:posOffset>44597</wp:posOffset>
                </wp:positionV>
                <wp:extent cx="2726423" cy="406813"/>
                <wp:effectExtent l="0" t="0" r="17145" b="12700"/>
                <wp:wrapNone/>
                <wp:docPr id="6" name="Rectangle 6"/>
                <wp:cNvGraphicFramePr/>
                <a:graphic xmlns:a="http://schemas.openxmlformats.org/drawingml/2006/main">
                  <a:graphicData uri="http://schemas.microsoft.com/office/word/2010/wordprocessingShape">
                    <wps:wsp>
                      <wps:cNvSpPr/>
                      <wps:spPr>
                        <a:xfrm>
                          <a:off x="0" y="0"/>
                          <a:ext cx="2726423" cy="406813"/>
                        </a:xfrm>
                        <a:prstGeom prst="rect">
                          <a:avLst/>
                        </a:prstGeom>
                      </wps:spPr>
                      <wps:style>
                        <a:lnRef idx="2">
                          <a:schemeClr val="accent6"/>
                        </a:lnRef>
                        <a:fillRef idx="1">
                          <a:schemeClr val="lt1"/>
                        </a:fillRef>
                        <a:effectRef idx="0">
                          <a:schemeClr val="accent6"/>
                        </a:effectRef>
                        <a:fontRef idx="minor">
                          <a:schemeClr val="dk1"/>
                        </a:fontRef>
                      </wps:style>
                      <wps:txbx>
                        <w:txbxContent>
                          <w:p w14:paraId="73DF80AD" w14:textId="2F54510B" w:rsidR="00C56F63" w:rsidRPr="00FE703C" w:rsidRDefault="00C56F63" w:rsidP="006D69D3">
                            <w:pPr>
                              <w:jc w:val="center"/>
                              <w:rPr>
                                <w:sz w:val="24"/>
                                <w:szCs w:val="24"/>
                              </w:rPr>
                            </w:pPr>
                            <w:r>
                              <w:rPr>
                                <w:rFonts w:asciiTheme="minorHAnsi" w:hAnsi="Calibri" w:cstheme="minorBidi"/>
                                <w:color w:val="000000" w:themeColor="dark1"/>
                                <w:sz w:val="22"/>
                                <w:szCs w:val="22"/>
                              </w:rPr>
                              <w:t>Examen préliminaire du site</w:t>
                            </w:r>
                            <w:r w:rsidRPr="00FE703C">
                              <w:rPr>
                                <w:rFonts w:asciiTheme="minorHAnsi" w:hAnsi="Calibri" w:cstheme="minorBidi"/>
                                <w:color w:val="000000" w:themeColor="dark1"/>
                                <w:sz w:val="22"/>
                                <w:szCs w:val="22"/>
                              </w:rPr>
                              <w:t>/</w:t>
                            </w:r>
                            <w:r w:rsidRPr="00FE703C">
                              <w:rPr>
                                <w:rFonts w:asciiTheme="minorHAnsi" w:hAnsi="Calibri" w:cstheme="minorBidi"/>
                                <w:color w:val="000000" w:themeColor="dark1"/>
                                <w:sz w:val="22"/>
                                <w:szCs w:val="22"/>
                              </w:rPr>
                              <w:br/>
                            </w:r>
                            <w:r>
                              <w:rPr>
                                <w:rFonts w:asciiTheme="minorHAnsi" w:hAnsi="Calibri" w:cstheme="minorBidi"/>
                                <w:color w:val="000000" w:themeColor="dark1"/>
                                <w:sz w:val="22"/>
                                <w:szCs w:val="22"/>
                              </w:rPr>
                              <w:t>évaluation initiale du site</w:t>
                            </w:r>
                          </w:p>
                        </w:txbxContent>
                      </wps:txbx>
                      <wps:bodyPr tIns="0" bIns="0" rtlCol="0" anchor="ctr"/>
                    </wps:wsp>
                  </a:graphicData>
                </a:graphic>
              </wp:anchor>
            </w:drawing>
          </mc:Choice>
          <mc:Fallback>
            <w:pict>
              <v:rect w14:anchorId="4FB1498B" id="Rectangle 6" o:spid="_x0000_s1029" style="position:absolute;margin-left:105.05pt;margin-top:3.5pt;width:214.7pt;height:32.05pt;z-index:251641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" fillcolor="white [3201]" strokecolor="#f79646 [3209]" strokeweight="2pt">
                <v:textbox inset=",0,,0">
                  <w:txbxContent>
                    <w:p w14:paraId="73DF80AD" w14:textId="2F54510B" w:rsidR="00C56F63" w:rsidRPr="00FE703C" w:rsidRDefault="00C56F63" w:rsidP="006D69D3">
                      <w:pPr>
                        <w:jc w:val="center"/>
                        <w:rPr>
                          <w:sz w:val="24"/>
                          <w:szCs w:val="24"/>
                        </w:rPr>
                      </w:pPr>
                      <w:r>
                        <w:rPr>
                          <w:rFonts w:asciiTheme="minorHAnsi" w:hAnsi="Calibri" w:cstheme="minorBidi"/>
                          <w:color w:val="000000" w:themeColor="dark1"/>
                          <w:sz w:val="22"/>
                          <w:szCs w:val="22"/>
                        </w:rPr>
                        <w:t>Examen préliminaire du site</w:t>
                      </w:r>
                      <w:r w:rsidRPr="00FE703C">
                        <w:rPr>
                          <w:rFonts w:asciiTheme="minorHAnsi" w:hAnsi="Calibri" w:cstheme="minorBidi"/>
                          <w:color w:val="000000" w:themeColor="dark1"/>
                          <w:sz w:val="22"/>
                          <w:szCs w:val="22"/>
                        </w:rPr>
                        <w:t>/</w:t>
                      </w:r>
                      <w:r w:rsidRPr="00FE703C">
                        <w:rPr>
                          <w:rFonts w:asciiTheme="minorHAnsi" w:hAnsi="Calibri" w:cstheme="minorBidi"/>
                          <w:color w:val="000000" w:themeColor="dark1"/>
                          <w:sz w:val="22"/>
                          <w:szCs w:val="22"/>
                        </w:rPr>
                        <w:br/>
                      </w:r>
                      <w:r>
                        <w:rPr>
                          <w:rFonts w:asciiTheme="minorHAnsi" w:hAnsi="Calibri" w:cstheme="minorBidi"/>
                          <w:color w:val="000000" w:themeColor="dark1"/>
                          <w:sz w:val="22"/>
                          <w:szCs w:val="22"/>
                        </w:rPr>
                        <w:t>évaluation initiale du site</w:t>
                      </w:r>
                    </w:p>
                  </w:txbxContent>
                </v:textbox>
              </v:rect>
            </w:pict>
          </mc:Fallback>
        </mc:AlternateContent>
      </w:r>
      <w:r w:rsidRPr="00FA2E2E">
        <w:rPr>
          <w:strike/>
          <w:noProof/>
          <w:lang w:val="fr-FR" w:eastAsia="en-GB"/>
        </w:rPr>
        <mc:AlternateContent>
          <mc:Choice Requires="wps">
            <w:drawing>
              <wp:anchor distT="0" distB="0" distL="114300" distR="114300" simplePos="0" relativeHeight="251661824" behindDoc="0" locked="0" layoutInCell="1" allowOverlap="1" wp14:anchorId="0EED8FD5" wp14:editId="6EEF9CC8">
                <wp:simplePos x="0" y="0"/>
                <wp:positionH relativeFrom="column">
                  <wp:posOffset>4287865</wp:posOffset>
                </wp:positionH>
                <wp:positionV relativeFrom="paragraph">
                  <wp:posOffset>44597</wp:posOffset>
                </wp:positionV>
                <wp:extent cx="1146337" cy="406813"/>
                <wp:effectExtent l="0" t="0" r="15875" b="12700"/>
                <wp:wrapNone/>
                <wp:docPr id="35" name="Rectangle 35"/>
                <wp:cNvGraphicFramePr/>
                <a:graphic xmlns:a="http://schemas.openxmlformats.org/drawingml/2006/main">
                  <a:graphicData uri="http://schemas.microsoft.com/office/word/2010/wordprocessingShape">
                    <wps:wsp>
                      <wps:cNvSpPr/>
                      <wps:spPr>
                        <a:xfrm>
                          <a:off x="0" y="0"/>
                          <a:ext cx="1146337" cy="406813"/>
                        </a:xfrm>
                        <a:prstGeom prst="rect">
                          <a:avLst/>
                        </a:prstGeom>
                      </wps:spPr>
                      <wps:style>
                        <a:lnRef idx="2">
                          <a:schemeClr val="accent6"/>
                        </a:lnRef>
                        <a:fillRef idx="1">
                          <a:schemeClr val="lt1"/>
                        </a:fillRef>
                        <a:effectRef idx="0">
                          <a:schemeClr val="accent6"/>
                        </a:effectRef>
                        <a:fontRef idx="minor">
                          <a:schemeClr val="dk1"/>
                        </a:fontRef>
                      </wps:style>
                      <wps:txbx>
                        <w:txbxContent>
                          <w:p w14:paraId="1F90089E" w14:textId="20861E60" w:rsidR="00C56F63" w:rsidRPr="00B33D74" w:rsidRDefault="00C56F63" w:rsidP="006D69D3">
                            <w:pPr>
                              <w:jc w:val="center"/>
                              <w:rPr>
                                <w:sz w:val="24"/>
                                <w:szCs w:val="24"/>
                              </w:rPr>
                            </w:pPr>
                            <w:r w:rsidRPr="00B33D74">
                              <w:rPr>
                                <w:rFonts w:asciiTheme="minorHAnsi" w:hAnsi="Calibri" w:cstheme="minorBidi"/>
                                <w:color w:val="000000" w:themeColor="dark1"/>
                                <w:sz w:val="22"/>
                                <w:szCs w:val="22"/>
                              </w:rPr>
                              <w:t>Sites prioritaires connus</w:t>
                            </w:r>
                          </w:p>
                        </w:txbxContent>
                      </wps:txbx>
                      <wps:bodyPr tIns="0" bIns="0" rtlCol="0" anchor="ctr"/>
                    </wps:wsp>
                  </a:graphicData>
                </a:graphic>
              </wp:anchor>
            </w:drawing>
          </mc:Choice>
          <mc:Fallback>
            <w:pict>
              <v:rect w14:anchorId="0EED8FD5" id="Rectangle 35" o:spid="_x0000_s1030" style="position:absolute;margin-left:337.65pt;margin-top:3.5pt;width:90.25pt;height:32.05pt;z-index:251661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" fillcolor="white [3201]" strokecolor="#f79646 [3209]" strokeweight="2pt">
                <v:textbox inset=",0,,0">
                  <w:txbxContent>
                    <w:p w14:paraId="1F90089E" w14:textId="20861E60" w:rsidR="00C56F63" w:rsidRPr="00B33D74" w:rsidRDefault="00C56F63" w:rsidP="006D69D3">
                      <w:pPr>
                        <w:jc w:val="center"/>
                        <w:rPr>
                          <w:sz w:val="24"/>
                          <w:szCs w:val="24"/>
                        </w:rPr>
                      </w:pPr>
                      <w:r w:rsidRPr="00B33D74">
                        <w:rPr>
                          <w:rFonts w:asciiTheme="minorHAnsi" w:hAnsi="Calibri" w:cstheme="minorBidi"/>
                          <w:color w:val="000000" w:themeColor="dark1"/>
                          <w:sz w:val="22"/>
                          <w:szCs w:val="22"/>
                        </w:rPr>
                        <w:t>Sites prioritaires connus</w:t>
                      </w:r>
                    </w:p>
                  </w:txbxContent>
                </v:textbox>
              </v:rect>
            </w:pict>
          </mc:Fallback>
        </mc:AlternateContent>
      </w:r>
    </w:p>
    <w:p w14:paraId="4234A4F8" w14:textId="198AC27D" w:rsidR="006D69D3" w:rsidRPr="00FA2E2E" w:rsidRDefault="006D69D3" w:rsidP="006D69D3">
      <w:pPr>
        <w:pStyle w:val="Normal-pool"/>
        <w:rPr>
          <w:strike/>
          <w:lang w:val="fr-FR"/>
        </w:rPr>
      </w:pPr>
    </w:p>
    <w:p w14:paraId="7B540162" w14:textId="1A587236" w:rsidR="006D69D3" w:rsidRPr="00FA2E2E" w:rsidRDefault="006D69D3" w:rsidP="006D69D3">
      <w:pPr>
        <w:pStyle w:val="Normal-pool"/>
        <w:rPr>
          <w:strike/>
          <w:lang w:val="fr-FR"/>
        </w:rPr>
      </w:pPr>
    </w:p>
    <w:p w14:paraId="4E224893" w14:textId="2DC11C31" w:rsidR="006D69D3" w:rsidRPr="00FA2E2E" w:rsidRDefault="00106103" w:rsidP="006D69D3">
      <w:pPr>
        <w:pStyle w:val="Normal-pool"/>
        <w:rPr>
          <w:strike/>
          <w:lang w:val="fr-FR"/>
        </w:rPr>
      </w:pPr>
      <w:r w:rsidRPr="00FA2E2E">
        <w:rPr>
          <w:strike/>
          <w:noProof/>
          <w:lang w:val="fr-FR" w:eastAsia="en-GB"/>
        </w:rPr>
        <mc:AlternateContent>
          <mc:Choice Requires="wps">
            <w:drawing>
              <wp:anchor distT="0" distB="0" distL="114300" distR="114300" simplePos="0" relativeHeight="251644416" behindDoc="0" locked="0" layoutInCell="1" allowOverlap="1" wp14:anchorId="4E38F884" wp14:editId="7AA99CE1">
                <wp:simplePos x="0" y="0"/>
                <wp:positionH relativeFrom="column">
                  <wp:posOffset>2697452</wp:posOffset>
                </wp:positionH>
                <wp:positionV relativeFrom="paragraph">
                  <wp:posOffset>13260</wp:posOffset>
                </wp:positionV>
                <wp:extent cx="0" cy="416983"/>
                <wp:effectExtent l="76200" t="0" r="57150" b="59690"/>
                <wp:wrapNone/>
                <wp:docPr id="10" name="Straight Arrow Connector 10"/>
                <wp:cNvGraphicFramePr/>
                <a:graphic xmlns:a="http://schemas.openxmlformats.org/drawingml/2006/main">
                  <a:graphicData uri="http://schemas.microsoft.com/office/word/2010/wordprocessingShape">
                    <wps:wsp>
                      <wps:cNvCnPr/>
                      <wps:spPr>
                        <a:xfrm>
                          <a:off x="0" y="0"/>
                          <a:ext cx="0" cy="41698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 w14:anchorId="293BA644" id="Straight Arrow Connector 10" o:spid="_x0000_s1026" type="#_x0000_t32" style="position:absolute;margin-left:212.4pt;margin-top:1.05pt;width:0;height:32.85pt;z-index:2516275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" strokecolor="#4579b8 [3044]">
                <v:stroke endarrow="block"/>
              </v:shape>
            </w:pict>
          </mc:Fallback>
        </mc:AlternateContent>
      </w:r>
      <w:r w:rsidRPr="00FA2E2E">
        <w:rPr>
          <w:strike/>
          <w:noProof/>
          <w:lang w:val="fr-FR" w:eastAsia="en-GB"/>
        </w:rPr>
        <mc:AlternateContent>
          <mc:Choice Requires="wps">
            <w:drawing>
              <wp:anchor distT="0" distB="0" distL="114300" distR="114300" simplePos="0" relativeHeight="251660800" behindDoc="0" locked="0" layoutInCell="1" allowOverlap="1" wp14:anchorId="010ADA31" wp14:editId="297DD056">
                <wp:simplePos x="0" y="0"/>
                <wp:positionH relativeFrom="column">
                  <wp:posOffset>-290830</wp:posOffset>
                </wp:positionH>
                <wp:positionV relativeFrom="paragraph">
                  <wp:posOffset>135303</wp:posOffset>
                </wp:positionV>
                <wp:extent cx="1387425" cy="4352899"/>
                <wp:effectExtent l="0" t="0" r="22860" b="10160"/>
                <wp:wrapNone/>
                <wp:docPr id="32" name="Oval 32"/>
                <wp:cNvGraphicFramePr/>
                <a:graphic xmlns:a="http://schemas.openxmlformats.org/drawingml/2006/main">
                  <a:graphicData uri="http://schemas.microsoft.com/office/word/2010/wordprocessingShape">
                    <wps:wsp>
                      <wps:cNvSpPr/>
                      <wps:spPr>
                        <a:xfrm>
                          <a:off x="0" y="0"/>
                          <a:ext cx="1387425" cy="4352899"/>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4DF3DDC7" w14:textId="1A6310AA" w:rsidR="00C56F63" w:rsidRPr="00B33D74" w:rsidRDefault="00C56F63" w:rsidP="006D69D3">
                            <w:pPr>
                              <w:jc w:val="center"/>
                              <w:rPr>
                                <w:sz w:val="24"/>
                                <w:szCs w:val="24"/>
                              </w:rPr>
                            </w:pPr>
                            <w:r w:rsidRPr="00B33D74">
                              <w:rPr>
                                <w:rFonts w:asciiTheme="minorHAnsi" w:hAnsi="Calibri" w:cstheme="minorBidi"/>
                                <w:color w:val="000000" w:themeColor="dark1"/>
                                <w:sz w:val="22"/>
                                <w:szCs w:val="22"/>
                              </w:rPr>
                              <w:t>Participation du public (par ex., partage des informations, comité de consultation communautaire)</w:t>
                            </w:r>
                            <w:r w:rsidRPr="00B33D74">
                              <w:rPr>
                                <w:rFonts w:asciiTheme="minorHAnsi" w:hAnsi="Calibri" w:cstheme="minorBidi"/>
                                <w:color w:val="000000" w:themeColor="dark1"/>
                                <w:sz w:val="22"/>
                                <w:szCs w:val="22"/>
                              </w:rPr>
                              <w:br/>
                              <w:t>(section C)</w:t>
                            </w:r>
                          </w:p>
                        </w:txbxContent>
                      </wps:txbx>
                      <wps:bodyPr lIns="0" tIns="0" rIns="0" bIns="0" rtlCol="0" anchor="ctr" anchorCtr="0"/>
                    </wps:wsp>
                  </a:graphicData>
                </a:graphic>
              </wp:anchor>
            </w:drawing>
          </mc:Choice>
          <mc:Fallback>
            <w:pict>
              <v:oval w14:anchorId="010ADA31" id="Oval 32" o:spid="_x0000_s1031" style="position:absolute;margin-left:-22.9pt;margin-top:10.65pt;width:109.25pt;height:342.75pt;z-index:25166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" fillcolor="white [3201]" strokecolor="#f79646 [3209]" strokeweight="2pt">
                <v:textbox inset="0,0,0,0">
                  <w:txbxContent>
                    <w:p w14:paraId="4DF3DDC7" w14:textId="1A6310AA" w:rsidR="00C56F63" w:rsidRPr="00B33D74" w:rsidRDefault="00C56F63" w:rsidP="006D69D3">
                      <w:pPr>
                        <w:jc w:val="center"/>
                        <w:rPr>
                          <w:sz w:val="24"/>
                          <w:szCs w:val="24"/>
                        </w:rPr>
                      </w:pPr>
                      <w:r w:rsidRPr="00B33D74">
                        <w:rPr>
                          <w:rFonts w:asciiTheme="minorHAnsi" w:hAnsi="Calibri" w:cstheme="minorBidi"/>
                          <w:color w:val="000000" w:themeColor="dark1"/>
                          <w:sz w:val="22"/>
                          <w:szCs w:val="22"/>
                        </w:rPr>
                        <w:t>Participation du public (par ex., partage des informations, comité de consultation communautaire)</w:t>
                      </w:r>
                      <w:r w:rsidRPr="00B33D74">
                        <w:rPr>
                          <w:rFonts w:asciiTheme="minorHAnsi" w:hAnsi="Calibri" w:cstheme="minorBidi"/>
                          <w:color w:val="000000" w:themeColor="dark1"/>
                          <w:sz w:val="22"/>
                          <w:szCs w:val="22"/>
                        </w:rPr>
                        <w:br/>
                        <w:t>(section C)</w:t>
                      </w:r>
                    </w:p>
                  </w:txbxContent>
                </v:textbox>
              </v:oval>
            </w:pict>
          </mc:Fallback>
        </mc:AlternateContent>
      </w:r>
      <w:r w:rsidRPr="00FA2E2E">
        <w:rPr>
          <w:strike/>
          <w:noProof/>
          <w:lang w:val="fr-FR" w:eastAsia="en-GB"/>
        </w:rPr>
        <mc:AlternateContent>
          <mc:Choice Requires="wps">
            <w:drawing>
              <wp:anchor distT="0" distB="0" distL="114300" distR="114300" simplePos="0" relativeHeight="251662848" behindDoc="0" locked="0" layoutInCell="1" allowOverlap="1" wp14:anchorId="64635E63" wp14:editId="795E895B">
                <wp:simplePos x="0" y="0"/>
                <wp:positionH relativeFrom="column">
                  <wp:posOffset>4855870</wp:posOffset>
                </wp:positionH>
                <wp:positionV relativeFrom="paragraph">
                  <wp:posOffset>13260</wp:posOffset>
                </wp:positionV>
                <wp:extent cx="5164" cy="396643"/>
                <wp:effectExtent l="0" t="0" r="33020" b="22860"/>
                <wp:wrapNone/>
                <wp:docPr id="36" name="Straight Connector 36"/>
                <wp:cNvGraphicFramePr/>
                <a:graphic xmlns:a="http://schemas.openxmlformats.org/drawingml/2006/main">
                  <a:graphicData uri="http://schemas.microsoft.com/office/word/2010/wordprocessingShape">
                    <wps:wsp>
                      <wps:cNvCnPr/>
                      <wps:spPr>
                        <a:xfrm flipV="1">
                          <a:off x="0" y="0"/>
                          <a:ext cx="5164" cy="39664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line w14:anchorId="1E692C29" id="Straight Connector 36" o:spid="_x0000_s1026" style="position:absolute;flip:y;z-index:251654144;visibility:visible;mso-wrap-style:square;mso-wrap-distance-left:9pt;mso-wrap-distance-top:0;mso-wrap-distance-right:9pt;mso-wrap-distance-bottom:0;mso-position-horizontal:absolute;mso-position-horizontal-relative:text;mso-position-vertical:absolute;mso-position-vertical-relative:text" from="382.35pt,1.05pt" to="382.75pt,3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" strokecolor="#4579b8 [3044]"/>
            </w:pict>
          </mc:Fallback>
        </mc:AlternateContent>
      </w:r>
    </w:p>
    <w:p w14:paraId="57F90B3B" w14:textId="26BC07CF" w:rsidR="006D69D3" w:rsidRPr="00FA2E2E" w:rsidRDefault="00106103" w:rsidP="006D69D3">
      <w:pPr>
        <w:pStyle w:val="Normal-pool"/>
        <w:rPr>
          <w:strike/>
          <w:lang w:val="fr-FR"/>
        </w:rPr>
      </w:pPr>
      <w:r w:rsidRPr="00FA2E2E">
        <w:rPr>
          <w:strike/>
          <w:noProof/>
          <w:lang w:val="fr-FR" w:eastAsia="en-GB"/>
        </w:rPr>
        <mc:AlternateContent>
          <mc:Choice Requires="wps">
            <w:drawing>
              <wp:anchor distT="0" distB="0" distL="114300" distR="114300" simplePos="0" relativeHeight="251663872" behindDoc="0" locked="0" layoutInCell="1" allowOverlap="1" wp14:anchorId="16844CE5" wp14:editId="66BCAAC1">
                <wp:simplePos x="0" y="0"/>
                <wp:positionH relativeFrom="column">
                  <wp:posOffset>899413</wp:posOffset>
                </wp:positionH>
                <wp:positionV relativeFrom="paragraph">
                  <wp:posOffset>39438</wp:posOffset>
                </wp:positionV>
                <wp:extent cx="454404" cy="203407"/>
                <wp:effectExtent l="0" t="76200" r="0" b="82550"/>
                <wp:wrapNone/>
                <wp:docPr id="34" name="Arrow: Left-Right 34"/>
                <wp:cNvGraphicFramePr/>
                <a:graphic xmlns:a="http://schemas.openxmlformats.org/drawingml/2006/main">
                  <a:graphicData uri="http://schemas.microsoft.com/office/word/2010/wordprocessingShape">
                    <wps:wsp>
                      <wps:cNvSpPr/>
                      <wps:spPr>
                        <a:xfrm rot="19110630">
                          <a:off x="0" y="0"/>
                          <a:ext cx="454404" cy="203407"/>
                        </a:xfrm>
                        <a:prstGeom prst="lef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t"/>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type w14:anchorId="5A47EA05"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rrow: Left-Right 34" o:spid="_x0000_s1026" type="#_x0000_t69" style="position:absolute;margin-left:70.8pt;margin-top:3.1pt;width:35.8pt;height:16pt;rotation:-2719056fd;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" adj="4834" filled="f" strokecolor="#243f60 [1604]" strokeweight="2pt"/>
            </w:pict>
          </mc:Fallback>
        </mc:AlternateContent>
      </w:r>
    </w:p>
    <w:p w14:paraId="0A0BCBF5" w14:textId="2966FEB2" w:rsidR="006D69D3" w:rsidRPr="00FA2E2E" w:rsidRDefault="00106103" w:rsidP="006D69D3">
      <w:pPr>
        <w:pStyle w:val="Normal-pool"/>
        <w:rPr>
          <w:strike/>
          <w:lang w:val="fr-FR"/>
        </w:rPr>
      </w:pPr>
      <w:r w:rsidRPr="00FA2E2E">
        <w:rPr>
          <w:strike/>
          <w:noProof/>
          <w:lang w:val="fr-FR" w:eastAsia="en-GB"/>
        </w:rPr>
        <mc:AlternateContent>
          <mc:Choice Requires="wps">
            <w:drawing>
              <wp:anchor distT="0" distB="0" distL="114300" distR="114300" simplePos="0" relativeHeight="251645440" behindDoc="0" locked="0" layoutInCell="1" allowOverlap="1" wp14:anchorId="1E84D91D" wp14:editId="50F62A6D">
                <wp:simplePos x="0" y="0"/>
                <wp:positionH relativeFrom="column">
                  <wp:posOffset>1334240</wp:posOffset>
                </wp:positionH>
                <wp:positionV relativeFrom="paragraph">
                  <wp:posOffset>138143</wp:posOffset>
                </wp:positionV>
                <wp:extent cx="2726423" cy="406813"/>
                <wp:effectExtent l="0" t="0" r="17145" b="12700"/>
                <wp:wrapNone/>
                <wp:docPr id="7" name="Rectangle 7"/>
                <wp:cNvGraphicFramePr/>
                <a:graphic xmlns:a="http://schemas.openxmlformats.org/drawingml/2006/main">
                  <a:graphicData uri="http://schemas.microsoft.com/office/word/2010/wordprocessingShape">
                    <wps:wsp>
                      <wps:cNvSpPr/>
                      <wps:spPr>
                        <a:xfrm>
                          <a:off x="0" y="0"/>
                          <a:ext cx="2726423" cy="406813"/>
                        </a:xfrm>
                        <a:prstGeom prst="rect">
                          <a:avLst/>
                        </a:prstGeom>
                      </wps:spPr>
                      <wps:style>
                        <a:lnRef idx="2">
                          <a:schemeClr val="accent6"/>
                        </a:lnRef>
                        <a:fillRef idx="1">
                          <a:schemeClr val="lt1"/>
                        </a:fillRef>
                        <a:effectRef idx="0">
                          <a:schemeClr val="accent6"/>
                        </a:effectRef>
                        <a:fontRef idx="minor">
                          <a:schemeClr val="dk1"/>
                        </a:fontRef>
                      </wps:style>
                      <wps:txbx>
                        <w:txbxContent>
                          <w:p w14:paraId="6058681A" w14:textId="31102A60" w:rsidR="00C56F63" w:rsidRPr="00B33D74" w:rsidRDefault="00C56F63" w:rsidP="006D69D3">
                            <w:pPr>
                              <w:jc w:val="center"/>
                              <w:rPr>
                                <w:sz w:val="24"/>
                                <w:szCs w:val="24"/>
                              </w:rPr>
                            </w:pPr>
                            <w:r>
                              <w:rPr>
                                <w:rFonts w:asciiTheme="minorHAnsi" w:hAnsiTheme="minorHAnsi" w:cstheme="minorHAnsi"/>
                                <w:color w:val="000000" w:themeColor="dark1"/>
                                <w:sz w:val="22"/>
                                <w:szCs w:val="22"/>
                              </w:rPr>
                              <w:t>É</w:t>
                            </w:r>
                            <w:r>
                              <w:rPr>
                                <w:rFonts w:asciiTheme="minorHAnsi" w:hAnsi="Calibri" w:cstheme="minorBidi"/>
                                <w:color w:val="000000" w:themeColor="dark1"/>
                                <w:sz w:val="22"/>
                                <w:szCs w:val="22"/>
                              </w:rPr>
                              <w:t>tablissement des objectifs de l’examen</w:t>
                            </w:r>
                          </w:p>
                        </w:txbxContent>
                      </wps:txbx>
                      <wps:bodyPr tIns="0" bIns="0" rtlCol="0" anchor="ctr"/>
                    </wps:wsp>
                  </a:graphicData>
                </a:graphic>
              </wp:anchor>
            </w:drawing>
          </mc:Choice>
          <mc:Fallback>
            <w:pict>
              <v:rect w14:anchorId="1E84D91D" id="Rectangle 7" o:spid="_x0000_s1032" style="position:absolute;margin-left:105.05pt;margin-top:10.9pt;width:214.7pt;height:32.05pt;z-index:251645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" fillcolor="white [3201]" strokecolor="#f79646 [3209]" strokeweight="2pt">
                <v:textbox inset=",0,,0">
                  <w:txbxContent>
                    <w:p w14:paraId="6058681A" w14:textId="31102A60" w:rsidR="00C56F63" w:rsidRPr="00B33D74" w:rsidRDefault="00C56F63" w:rsidP="006D69D3">
                      <w:pPr>
                        <w:jc w:val="center"/>
                        <w:rPr>
                          <w:sz w:val="24"/>
                          <w:szCs w:val="24"/>
                        </w:rPr>
                      </w:pPr>
                      <w:r>
                        <w:rPr>
                          <w:rFonts w:asciiTheme="minorHAnsi" w:hAnsiTheme="minorHAnsi" w:cstheme="minorHAnsi"/>
                          <w:color w:val="000000" w:themeColor="dark1"/>
                          <w:sz w:val="22"/>
                          <w:szCs w:val="22"/>
                        </w:rPr>
                        <w:t>É</w:t>
                      </w:r>
                      <w:r>
                        <w:rPr>
                          <w:rFonts w:asciiTheme="minorHAnsi" w:hAnsi="Calibri" w:cstheme="minorBidi"/>
                          <w:color w:val="000000" w:themeColor="dark1"/>
                          <w:sz w:val="22"/>
                          <w:szCs w:val="22"/>
                        </w:rPr>
                        <w:t>tablissement des objectifs de l’examen</w:t>
                      </w:r>
                    </w:p>
                  </w:txbxContent>
                </v:textbox>
              </v:rect>
            </w:pict>
          </mc:Fallback>
        </mc:AlternateContent>
      </w:r>
      <w:r w:rsidRPr="00FA2E2E">
        <w:rPr>
          <w:strike/>
          <w:noProof/>
          <w:lang w:val="fr-FR" w:eastAsia="en-GB"/>
        </w:rPr>
        <mc:AlternateContent>
          <mc:Choice Requires="wps">
            <w:drawing>
              <wp:anchor distT="0" distB="0" distL="114300" distR="114300" simplePos="0" relativeHeight="251664896" behindDoc="0" locked="0" layoutInCell="1" allowOverlap="1" wp14:anchorId="6F45C9E1" wp14:editId="7A689BBD">
                <wp:simplePos x="0" y="0"/>
                <wp:positionH relativeFrom="column">
                  <wp:posOffset>4060664</wp:posOffset>
                </wp:positionH>
                <wp:positionV relativeFrom="paragraph">
                  <wp:posOffset>138144</wp:posOffset>
                </wp:positionV>
                <wp:extent cx="805533" cy="0"/>
                <wp:effectExtent l="38100" t="76200" r="0" b="95250"/>
                <wp:wrapNone/>
                <wp:docPr id="37" name="Straight Arrow Connector 37"/>
                <wp:cNvGraphicFramePr/>
                <a:graphic xmlns:a="http://schemas.openxmlformats.org/drawingml/2006/main">
                  <a:graphicData uri="http://schemas.microsoft.com/office/word/2010/wordprocessingShape">
                    <wps:wsp>
                      <wps:cNvCnPr/>
                      <wps:spPr>
                        <a:xfrm flipH="1">
                          <a:off x="0" y="0"/>
                          <a:ext cx="805533"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 w14:anchorId="4C849110" id="Straight Arrow Connector 37" o:spid="_x0000_s1026" type="#_x0000_t32" style="position:absolute;margin-left:319.75pt;margin-top:10.9pt;width:63.45pt;height:0;flip:x;z-index:2516561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" strokecolor="#4579b8 [3044]">
                <v:stroke endarrow="block"/>
              </v:shape>
            </w:pict>
          </mc:Fallback>
        </mc:AlternateContent>
      </w:r>
    </w:p>
    <w:p w14:paraId="71523832" w14:textId="41774588" w:rsidR="006D69D3" w:rsidRPr="00FA2E2E" w:rsidRDefault="006D69D3" w:rsidP="006D69D3">
      <w:pPr>
        <w:pStyle w:val="Normal-pool"/>
        <w:rPr>
          <w:strike/>
          <w:lang w:val="fr-FR"/>
        </w:rPr>
      </w:pPr>
    </w:p>
    <w:p w14:paraId="17B3474E" w14:textId="5E821011" w:rsidR="006D69D3" w:rsidRPr="00FA2E2E" w:rsidRDefault="00106103" w:rsidP="006D69D3">
      <w:pPr>
        <w:pStyle w:val="Normal-pool"/>
        <w:rPr>
          <w:strike/>
          <w:lang w:val="fr-FR"/>
        </w:rPr>
      </w:pPr>
      <w:r w:rsidRPr="00FA2E2E">
        <w:rPr>
          <w:strike/>
          <w:noProof/>
          <w:lang w:val="fr-FR" w:eastAsia="en-GB"/>
        </w:rPr>
        <mc:AlternateContent>
          <mc:Choice Requires="wps">
            <w:drawing>
              <wp:anchor distT="0" distB="0" distL="114300" distR="114300" simplePos="0" relativeHeight="251646464" behindDoc="0" locked="0" layoutInCell="1" allowOverlap="1" wp14:anchorId="3EAF5257" wp14:editId="57F46118">
                <wp:simplePos x="0" y="0"/>
                <wp:positionH relativeFrom="column">
                  <wp:posOffset>4546049</wp:posOffset>
                </wp:positionH>
                <wp:positionV relativeFrom="paragraph">
                  <wp:posOffset>39279</wp:posOffset>
                </wp:positionV>
                <wp:extent cx="1363212" cy="1220439"/>
                <wp:effectExtent l="0" t="0" r="27940" b="18415"/>
                <wp:wrapNone/>
                <wp:docPr id="11" name="Flowchart: Magnetic Disk 11"/>
                <wp:cNvGraphicFramePr/>
                <a:graphic xmlns:a="http://schemas.openxmlformats.org/drawingml/2006/main">
                  <a:graphicData uri="http://schemas.microsoft.com/office/word/2010/wordprocessingShape">
                    <wps:wsp>
                      <wps:cNvSpPr/>
                      <wps:spPr>
                        <a:xfrm>
                          <a:off x="0" y="0"/>
                          <a:ext cx="1363212" cy="1220439"/>
                        </a:xfrm>
                        <a:prstGeom prst="flowChartMagneticDisk">
                          <a:avLst/>
                        </a:prstGeom>
                      </wps:spPr>
                      <wps:style>
                        <a:lnRef idx="2">
                          <a:schemeClr val="accent6"/>
                        </a:lnRef>
                        <a:fillRef idx="1">
                          <a:schemeClr val="lt1"/>
                        </a:fillRef>
                        <a:effectRef idx="0">
                          <a:schemeClr val="accent6"/>
                        </a:effectRef>
                        <a:fontRef idx="minor">
                          <a:schemeClr val="dk1"/>
                        </a:fontRef>
                      </wps:style>
                      <wps:txbx>
                        <w:txbxContent>
                          <w:p w14:paraId="3A9EA601" w14:textId="721FCA40" w:rsidR="00C56F63" w:rsidRPr="00B33D74" w:rsidRDefault="00C56F63" w:rsidP="006D69D3">
                            <w:pPr>
                              <w:jc w:val="center"/>
                              <w:rPr>
                                <w:sz w:val="24"/>
                                <w:szCs w:val="24"/>
                              </w:rPr>
                            </w:pPr>
                            <w:r>
                              <w:rPr>
                                <w:rFonts w:asciiTheme="minorHAnsi" w:hAnsi="Calibri" w:cstheme="minorBidi"/>
                                <w:color w:val="000000" w:themeColor="dark1"/>
                                <w:sz w:val="22"/>
                                <w:szCs w:val="22"/>
                              </w:rPr>
                              <w:t>Inventaire des sites contaminés</w:t>
                            </w:r>
                          </w:p>
                        </w:txbxContent>
                      </wps:txbx>
                      <wps:bodyPr lIns="0" tIns="0" rIns="0" bIns="0" rtlCol="0" anchor="ctr" anchorCtr="0"/>
                    </wps:wsp>
                  </a:graphicData>
                </a:graphic>
              </wp:anchor>
            </w:drawing>
          </mc:Choice>
          <mc:Fallback>
            <w:pict>
              <v:shapetype w14:anchorId="3EAF5257"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11" o:spid="_x0000_s1033" type="#_x0000_t132" style="position:absolute;margin-left:357.95pt;margin-top:3.1pt;width:107.35pt;height:96.1pt;z-index:251646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" fillcolor="white [3201]" strokecolor="#f79646 [3209]" strokeweight="2pt">
                <v:textbox inset="0,0,0,0">
                  <w:txbxContent>
                    <w:p w14:paraId="3A9EA601" w14:textId="721FCA40" w:rsidR="00C56F63" w:rsidRPr="00B33D74" w:rsidRDefault="00C56F63" w:rsidP="006D69D3">
                      <w:pPr>
                        <w:jc w:val="center"/>
                        <w:rPr>
                          <w:sz w:val="24"/>
                          <w:szCs w:val="24"/>
                        </w:rPr>
                      </w:pPr>
                      <w:r>
                        <w:rPr>
                          <w:rFonts w:asciiTheme="minorHAnsi" w:hAnsi="Calibri" w:cstheme="minorBidi"/>
                          <w:color w:val="000000" w:themeColor="dark1"/>
                          <w:sz w:val="22"/>
                          <w:szCs w:val="22"/>
                        </w:rPr>
                        <w:t>Inventaire des sites contaminés</w:t>
                      </w:r>
                    </w:p>
                  </w:txbxContent>
                </v:textbox>
              </v:shape>
            </w:pict>
          </mc:Fallback>
        </mc:AlternateContent>
      </w:r>
    </w:p>
    <w:p w14:paraId="774B60C7" w14:textId="663B135D" w:rsidR="006D69D3" w:rsidRPr="00FA2E2E" w:rsidRDefault="00106103" w:rsidP="006D69D3">
      <w:pPr>
        <w:pStyle w:val="Normal-pool"/>
        <w:rPr>
          <w:strike/>
          <w:lang w:val="fr-FR"/>
        </w:rPr>
      </w:pPr>
      <w:r w:rsidRPr="00FA2E2E">
        <w:rPr>
          <w:strike/>
          <w:noProof/>
          <w:lang w:val="fr-FR" w:eastAsia="en-GB"/>
        </w:rPr>
        <mc:AlternateContent>
          <mc:Choice Requires="wps">
            <w:drawing>
              <wp:anchor distT="0" distB="0" distL="114300" distR="114300" simplePos="0" relativeHeight="251651584" behindDoc="0" locked="0" layoutInCell="1" allowOverlap="1" wp14:anchorId="31C9EC8E" wp14:editId="0E1F879A">
                <wp:simplePos x="0" y="0"/>
                <wp:positionH relativeFrom="column">
                  <wp:posOffset>2697452</wp:posOffset>
                </wp:positionH>
                <wp:positionV relativeFrom="paragraph">
                  <wp:posOffset>106806</wp:posOffset>
                </wp:positionV>
                <wp:extent cx="10327" cy="396643"/>
                <wp:effectExtent l="57150" t="0" r="66040" b="60960"/>
                <wp:wrapNone/>
                <wp:docPr id="19" name="Straight Arrow Connector 19"/>
                <wp:cNvGraphicFramePr/>
                <a:graphic xmlns:a="http://schemas.openxmlformats.org/drawingml/2006/main">
                  <a:graphicData uri="http://schemas.microsoft.com/office/word/2010/wordprocessingShape">
                    <wps:wsp>
                      <wps:cNvCnPr/>
                      <wps:spPr>
                        <a:xfrm>
                          <a:off x="0" y="0"/>
                          <a:ext cx="10327" cy="39664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 w14:anchorId="71F0BC0B" id="Straight Arrow Connector 19" o:spid="_x0000_s1026" type="#_x0000_t32" style="position:absolute;margin-left:212.4pt;margin-top:8.4pt;width:.8pt;height:31.25pt;z-index:2516367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" strokecolor="#4579b8 [3044]">
                <v:stroke endarrow="block"/>
              </v:shape>
            </w:pict>
          </mc:Fallback>
        </mc:AlternateContent>
      </w:r>
      <w:r w:rsidRPr="00FA2E2E">
        <w:rPr>
          <w:strike/>
          <w:noProof/>
          <w:lang w:val="fr-FR" w:eastAsia="en-GB"/>
        </w:rPr>
        <mc:AlternateContent>
          <mc:Choice Requires="wps">
            <w:drawing>
              <wp:anchor distT="0" distB="0" distL="114300" distR="114300" simplePos="0" relativeHeight="251665920" behindDoc="0" locked="0" layoutInCell="1" allowOverlap="1" wp14:anchorId="0362D56B" wp14:editId="1CC2395B">
                <wp:simplePos x="0" y="0"/>
                <wp:positionH relativeFrom="column">
                  <wp:posOffset>4060664</wp:posOffset>
                </wp:positionH>
                <wp:positionV relativeFrom="paragraph">
                  <wp:posOffset>96636</wp:posOffset>
                </wp:positionV>
                <wp:extent cx="423421" cy="1"/>
                <wp:effectExtent l="38100" t="76200" r="0" b="95250"/>
                <wp:wrapNone/>
                <wp:docPr id="79" name="Straight Arrow Connector 79"/>
                <wp:cNvGraphicFramePr/>
                <a:graphic xmlns:a="http://schemas.openxmlformats.org/drawingml/2006/main">
                  <a:graphicData uri="http://schemas.microsoft.com/office/word/2010/wordprocessingShape">
                    <wps:wsp>
                      <wps:cNvCnPr/>
                      <wps:spPr>
                        <a:xfrm flipH="1">
                          <a:off x="0" y="0"/>
                          <a:ext cx="423421" cy="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 w14:anchorId="4F16D096" id="Straight Arrow Connector 79" o:spid="_x0000_s1026" type="#_x0000_t32" style="position:absolute;margin-left:319.75pt;margin-top:7.6pt;width:33.35pt;height:0;flip:x;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" strokecolor="#4579b8 [3044]">
                <v:stroke endarrow="block"/>
              </v:shape>
            </w:pict>
          </mc:Fallback>
        </mc:AlternateContent>
      </w:r>
    </w:p>
    <w:p w14:paraId="5FF8FA4D" w14:textId="0AC53922" w:rsidR="006D69D3" w:rsidRPr="00FA2E2E" w:rsidRDefault="006D69D3" w:rsidP="006D69D3">
      <w:pPr>
        <w:pStyle w:val="Normal-pool"/>
        <w:rPr>
          <w:strike/>
          <w:lang w:val="fr-FR"/>
        </w:rPr>
      </w:pPr>
    </w:p>
    <w:p w14:paraId="4B2D88FE" w14:textId="60F085D7" w:rsidR="006D69D3" w:rsidRPr="00FA2E2E" w:rsidRDefault="006D69D3" w:rsidP="006D69D3">
      <w:pPr>
        <w:pStyle w:val="Normal-pool"/>
        <w:rPr>
          <w:strike/>
          <w:lang w:val="fr-FR"/>
        </w:rPr>
      </w:pPr>
    </w:p>
    <w:p w14:paraId="064B7B00" w14:textId="602DAC83" w:rsidR="006D69D3" w:rsidRPr="00FA2E2E" w:rsidRDefault="00106103" w:rsidP="006D69D3">
      <w:pPr>
        <w:pStyle w:val="Normal-pool"/>
        <w:rPr>
          <w:strike/>
          <w:lang w:val="fr-FR"/>
        </w:rPr>
      </w:pPr>
      <w:r w:rsidRPr="00FA2E2E">
        <w:rPr>
          <w:strike/>
          <w:noProof/>
          <w:lang w:val="fr-FR" w:eastAsia="en-GB"/>
        </w:rPr>
        <mc:AlternateContent>
          <mc:Choice Requires="wps">
            <w:drawing>
              <wp:anchor distT="0" distB="0" distL="114300" distR="114300" simplePos="0" relativeHeight="251647488" behindDoc="0" locked="0" layoutInCell="1" allowOverlap="1" wp14:anchorId="53401A0B" wp14:editId="553DAB36">
                <wp:simplePos x="0" y="0"/>
                <wp:positionH relativeFrom="column">
                  <wp:posOffset>1344518</wp:posOffset>
                </wp:positionH>
                <wp:positionV relativeFrom="paragraph">
                  <wp:posOffset>65934</wp:posOffset>
                </wp:positionV>
                <wp:extent cx="2787240" cy="813626"/>
                <wp:effectExtent l="0" t="0" r="13335" b="24765"/>
                <wp:wrapNone/>
                <wp:docPr id="12" name="Rectangle 12"/>
                <wp:cNvGraphicFramePr/>
                <a:graphic xmlns:a="http://schemas.openxmlformats.org/drawingml/2006/main">
                  <a:graphicData uri="http://schemas.microsoft.com/office/word/2010/wordprocessingShape">
                    <wps:wsp>
                      <wps:cNvSpPr/>
                      <wps:spPr>
                        <a:xfrm>
                          <a:off x="0" y="0"/>
                          <a:ext cx="2787240" cy="813626"/>
                        </a:xfrm>
                        <a:prstGeom prst="rect">
                          <a:avLst/>
                        </a:prstGeom>
                      </wps:spPr>
                      <wps:style>
                        <a:lnRef idx="2">
                          <a:schemeClr val="accent6"/>
                        </a:lnRef>
                        <a:fillRef idx="1">
                          <a:schemeClr val="lt1"/>
                        </a:fillRef>
                        <a:effectRef idx="0">
                          <a:schemeClr val="accent6"/>
                        </a:effectRef>
                        <a:fontRef idx="minor">
                          <a:schemeClr val="dk1"/>
                        </a:fontRef>
                      </wps:style>
                      <wps:txbx>
                        <w:txbxContent>
                          <w:p w14:paraId="7353582A" w14:textId="11CF27CC" w:rsidR="00C56F63" w:rsidRPr="00B33D74" w:rsidRDefault="00C56F63" w:rsidP="006D69D3">
                            <w:pPr>
                              <w:jc w:val="center"/>
                              <w:rPr>
                                <w:sz w:val="24"/>
                                <w:szCs w:val="24"/>
                              </w:rPr>
                            </w:pPr>
                            <w:r>
                              <w:rPr>
                                <w:rFonts w:asciiTheme="minorHAnsi" w:hAnsi="Calibri" w:cstheme="minorBidi"/>
                                <w:color w:val="000000" w:themeColor="dark1"/>
                                <w:sz w:val="22"/>
                                <w:szCs w:val="22"/>
                              </w:rPr>
                              <w:t>Examen du site</w:t>
                            </w:r>
                          </w:p>
                          <w:p w14:paraId="5F6A415C" w14:textId="6B599C10" w:rsidR="00C56F63" w:rsidRPr="00B33D74" w:rsidRDefault="00C56F63" w:rsidP="006D69D3">
                            <w:r w:rsidRPr="00B33D74">
                              <w:rPr>
                                <w:rFonts w:asciiTheme="minorHAnsi" w:hAnsi="Calibri" w:cstheme="minorBidi"/>
                                <w:color w:val="000000" w:themeColor="dark1"/>
                                <w:sz w:val="22"/>
                                <w:szCs w:val="22"/>
                              </w:rPr>
                              <w:t xml:space="preserve">- </w:t>
                            </w:r>
                            <w:r>
                              <w:rPr>
                                <w:rFonts w:asciiTheme="minorHAnsi" w:hAnsiTheme="minorHAnsi" w:cstheme="minorHAnsi"/>
                                <w:color w:val="000000" w:themeColor="dark1"/>
                                <w:sz w:val="22"/>
                                <w:szCs w:val="22"/>
                              </w:rPr>
                              <w:t>É</w:t>
                            </w:r>
                            <w:r>
                              <w:rPr>
                                <w:rFonts w:asciiTheme="minorHAnsi" w:hAnsi="Calibri" w:cstheme="minorBidi"/>
                                <w:color w:val="000000" w:themeColor="dark1"/>
                                <w:sz w:val="22"/>
                                <w:szCs w:val="22"/>
                              </w:rPr>
                              <w:t>tablir un modèle de site conceptuel</w:t>
                            </w:r>
                          </w:p>
                          <w:p w14:paraId="0A5A5B3D" w14:textId="41D47A47" w:rsidR="00C56F63" w:rsidRPr="00B33D74" w:rsidRDefault="00C56F63" w:rsidP="006D69D3">
                            <w:r w:rsidRPr="00B33D74">
                              <w:rPr>
                                <w:rFonts w:asciiTheme="minorHAnsi" w:hAnsi="Calibri" w:cstheme="minorBidi"/>
                                <w:color w:val="000000" w:themeColor="dark1"/>
                                <w:sz w:val="22"/>
                                <w:szCs w:val="22"/>
                              </w:rPr>
                              <w:t xml:space="preserve">- </w:t>
                            </w:r>
                            <w:r>
                              <w:rPr>
                                <w:rFonts w:asciiTheme="minorHAnsi" w:hAnsi="Calibri" w:cstheme="minorBidi"/>
                                <w:color w:val="000000" w:themeColor="dark1"/>
                                <w:sz w:val="22"/>
                                <w:szCs w:val="22"/>
                              </w:rPr>
                              <w:t>Examiner les informations existantes</w:t>
                            </w:r>
                          </w:p>
                          <w:p w14:paraId="476AED74" w14:textId="0DD8B827" w:rsidR="00C56F63" w:rsidRPr="00B33D74" w:rsidRDefault="00C56F63" w:rsidP="006D69D3">
                            <w:r w:rsidRPr="00B33D74">
                              <w:rPr>
                                <w:rFonts w:asciiTheme="minorHAnsi" w:hAnsi="Calibri" w:cstheme="minorBidi"/>
                                <w:color w:val="000000" w:themeColor="dark1"/>
                                <w:sz w:val="22"/>
                                <w:szCs w:val="22"/>
                              </w:rPr>
                              <w:t xml:space="preserve">- </w:t>
                            </w:r>
                            <w:r>
                              <w:rPr>
                                <w:rFonts w:asciiTheme="minorHAnsi" w:hAnsi="Calibri" w:cstheme="minorBidi"/>
                                <w:color w:val="000000" w:themeColor="dark1"/>
                                <w:sz w:val="22"/>
                                <w:szCs w:val="22"/>
                              </w:rPr>
                              <w:t>Effectuer un échantillonnage et une analyse</w:t>
                            </w:r>
                          </w:p>
                        </w:txbxContent>
                      </wps:txbx>
                      <wps:bodyPr tIns="0" bIns="0" rtlCol="0" anchor="ctr"/>
                    </wps:wsp>
                  </a:graphicData>
                </a:graphic>
              </wp:anchor>
            </w:drawing>
          </mc:Choice>
          <mc:Fallback>
            <w:pict>
              <v:rect w14:anchorId="53401A0B" id="Rectangle 12" o:spid="_x0000_s1034" style="position:absolute;margin-left:105.85pt;margin-top:5.2pt;width:219.45pt;height:64.05pt;z-index:251647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" fillcolor="white [3201]" strokecolor="#f79646 [3209]" strokeweight="2pt">
                <v:textbox inset=",0,,0">
                  <w:txbxContent>
                    <w:p w14:paraId="7353582A" w14:textId="11CF27CC" w:rsidR="00C56F63" w:rsidRPr="00B33D74" w:rsidRDefault="00C56F63" w:rsidP="006D69D3">
                      <w:pPr>
                        <w:jc w:val="center"/>
                        <w:rPr>
                          <w:sz w:val="24"/>
                          <w:szCs w:val="24"/>
                        </w:rPr>
                      </w:pPr>
                      <w:r>
                        <w:rPr>
                          <w:rFonts w:asciiTheme="minorHAnsi" w:hAnsi="Calibri" w:cstheme="minorBidi"/>
                          <w:color w:val="000000" w:themeColor="dark1"/>
                          <w:sz w:val="22"/>
                          <w:szCs w:val="22"/>
                        </w:rPr>
                        <w:t>Examen du site</w:t>
                      </w:r>
                    </w:p>
                    <w:p w14:paraId="5F6A415C" w14:textId="6B599C10" w:rsidR="00C56F63" w:rsidRPr="00B33D74" w:rsidRDefault="00C56F63" w:rsidP="006D69D3">
                      <w:r w:rsidRPr="00B33D74">
                        <w:rPr>
                          <w:rFonts w:asciiTheme="minorHAnsi" w:hAnsi="Calibri" w:cstheme="minorBidi"/>
                          <w:color w:val="000000" w:themeColor="dark1"/>
                          <w:sz w:val="22"/>
                          <w:szCs w:val="22"/>
                        </w:rPr>
                        <w:t xml:space="preserve">- </w:t>
                      </w:r>
                      <w:r>
                        <w:rPr>
                          <w:rFonts w:asciiTheme="minorHAnsi" w:hAnsiTheme="minorHAnsi" w:cstheme="minorHAnsi"/>
                          <w:color w:val="000000" w:themeColor="dark1"/>
                          <w:sz w:val="22"/>
                          <w:szCs w:val="22"/>
                        </w:rPr>
                        <w:t>É</w:t>
                      </w:r>
                      <w:r>
                        <w:rPr>
                          <w:rFonts w:asciiTheme="minorHAnsi" w:hAnsi="Calibri" w:cstheme="minorBidi"/>
                          <w:color w:val="000000" w:themeColor="dark1"/>
                          <w:sz w:val="22"/>
                          <w:szCs w:val="22"/>
                        </w:rPr>
                        <w:t>tablir un modèle de site conceptuel</w:t>
                      </w:r>
                    </w:p>
                    <w:p w14:paraId="0A5A5B3D" w14:textId="41D47A47" w:rsidR="00C56F63" w:rsidRPr="00B33D74" w:rsidRDefault="00C56F63" w:rsidP="006D69D3">
                      <w:r w:rsidRPr="00B33D74">
                        <w:rPr>
                          <w:rFonts w:asciiTheme="minorHAnsi" w:hAnsi="Calibri" w:cstheme="minorBidi"/>
                          <w:color w:val="000000" w:themeColor="dark1"/>
                          <w:sz w:val="22"/>
                          <w:szCs w:val="22"/>
                        </w:rPr>
                        <w:t xml:space="preserve">- </w:t>
                      </w:r>
                      <w:r>
                        <w:rPr>
                          <w:rFonts w:asciiTheme="minorHAnsi" w:hAnsi="Calibri" w:cstheme="minorBidi"/>
                          <w:color w:val="000000" w:themeColor="dark1"/>
                          <w:sz w:val="22"/>
                          <w:szCs w:val="22"/>
                        </w:rPr>
                        <w:t>Examiner les informations existantes</w:t>
                      </w:r>
                    </w:p>
                    <w:p w14:paraId="476AED74" w14:textId="0DD8B827" w:rsidR="00C56F63" w:rsidRPr="00B33D74" w:rsidRDefault="00C56F63" w:rsidP="006D69D3">
                      <w:r w:rsidRPr="00B33D74">
                        <w:rPr>
                          <w:rFonts w:asciiTheme="minorHAnsi" w:hAnsi="Calibri" w:cstheme="minorBidi"/>
                          <w:color w:val="000000" w:themeColor="dark1"/>
                          <w:sz w:val="22"/>
                          <w:szCs w:val="22"/>
                        </w:rPr>
                        <w:t xml:space="preserve">- </w:t>
                      </w:r>
                      <w:r>
                        <w:rPr>
                          <w:rFonts w:asciiTheme="minorHAnsi" w:hAnsi="Calibri" w:cstheme="minorBidi"/>
                          <w:color w:val="000000" w:themeColor="dark1"/>
                          <w:sz w:val="22"/>
                          <w:szCs w:val="22"/>
                        </w:rPr>
                        <w:t>Effectuer un échantillonnage et une analyse</w:t>
                      </w:r>
                    </w:p>
                  </w:txbxContent>
                </v:textbox>
              </v:rect>
            </w:pict>
          </mc:Fallback>
        </mc:AlternateContent>
      </w:r>
    </w:p>
    <w:p w14:paraId="6F9D81B7" w14:textId="7B52AD71" w:rsidR="006D69D3" w:rsidRPr="00FA2E2E" w:rsidRDefault="006D69D3" w:rsidP="006D69D3">
      <w:pPr>
        <w:pStyle w:val="Normal-pool"/>
        <w:rPr>
          <w:strike/>
          <w:lang w:val="fr-FR"/>
        </w:rPr>
      </w:pPr>
    </w:p>
    <w:p w14:paraId="2DD4BD9D" w14:textId="2B4CD9F8" w:rsidR="006D69D3" w:rsidRPr="00FA2E2E" w:rsidRDefault="006D69D3" w:rsidP="006D69D3">
      <w:pPr>
        <w:pStyle w:val="Normal-pool"/>
        <w:rPr>
          <w:strike/>
          <w:lang w:val="fr-FR"/>
        </w:rPr>
      </w:pPr>
    </w:p>
    <w:p w14:paraId="3E52CCA5" w14:textId="2B5FCF04" w:rsidR="006D69D3" w:rsidRPr="00FA2E2E" w:rsidRDefault="006D69D3" w:rsidP="006D69D3">
      <w:pPr>
        <w:pStyle w:val="Normal-pool"/>
        <w:rPr>
          <w:strike/>
          <w:lang w:val="fr-FR"/>
        </w:rPr>
      </w:pPr>
    </w:p>
    <w:p w14:paraId="15959A4E" w14:textId="472FDFB4" w:rsidR="006D69D3" w:rsidRPr="00FA2E2E" w:rsidRDefault="00106103" w:rsidP="006D69D3">
      <w:pPr>
        <w:pStyle w:val="Normal-pool"/>
        <w:rPr>
          <w:strike/>
          <w:lang w:val="fr-FR"/>
        </w:rPr>
      </w:pPr>
      <w:r w:rsidRPr="00FA2E2E">
        <w:rPr>
          <w:strike/>
          <w:noProof/>
          <w:lang w:val="fr-FR" w:eastAsia="en-GB"/>
        </w:rPr>
        <mc:AlternateContent>
          <mc:Choice Requires="wps">
            <w:drawing>
              <wp:anchor distT="0" distB="0" distL="114300" distR="114300" simplePos="0" relativeHeight="251657728" behindDoc="0" locked="0" layoutInCell="1" allowOverlap="1" wp14:anchorId="65CCD606" wp14:editId="60D8285B">
                <wp:simplePos x="0" y="0"/>
                <wp:positionH relativeFrom="column">
                  <wp:posOffset>4742269</wp:posOffset>
                </wp:positionH>
                <wp:positionV relativeFrom="paragraph">
                  <wp:posOffset>102124</wp:posOffset>
                </wp:positionV>
                <wp:extent cx="10327" cy="600048"/>
                <wp:effectExtent l="76200" t="38100" r="66040" b="10160"/>
                <wp:wrapNone/>
                <wp:docPr id="27" name="Straight Arrow Connector 27"/>
                <wp:cNvGraphicFramePr/>
                <a:graphic xmlns:a="http://schemas.openxmlformats.org/drawingml/2006/main">
                  <a:graphicData uri="http://schemas.microsoft.com/office/word/2010/wordprocessingShape">
                    <wps:wsp>
                      <wps:cNvCnPr/>
                      <wps:spPr>
                        <a:xfrm flipH="1" flipV="1">
                          <a:off x="0" y="0"/>
                          <a:ext cx="10327" cy="60004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 w14:anchorId="275A362C" id="Straight Arrow Connector 27" o:spid="_x0000_s1026" type="#_x0000_t32" style="position:absolute;margin-left:373.4pt;margin-top:8.05pt;width:.8pt;height:47.25pt;flip:x y;z-index:251644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" strokecolor="#4579b8 [3044]">
                <v:stroke endarrow="block"/>
              </v:shape>
            </w:pict>
          </mc:Fallback>
        </mc:AlternateContent>
      </w:r>
      <w:r w:rsidRPr="00FA2E2E">
        <w:rPr>
          <w:strike/>
          <w:noProof/>
          <w:lang w:val="fr-FR" w:eastAsia="en-GB"/>
        </w:rPr>
        <mc:AlternateContent>
          <mc:Choice Requires="wps">
            <w:drawing>
              <wp:anchor distT="0" distB="0" distL="114300" distR="114300" simplePos="0" relativeHeight="251666944" behindDoc="0" locked="0" layoutInCell="1" allowOverlap="1" wp14:anchorId="12A5CEAA" wp14:editId="5F912112">
                <wp:simplePos x="0" y="0"/>
                <wp:positionH relativeFrom="column">
                  <wp:posOffset>5420286</wp:posOffset>
                </wp:positionH>
                <wp:positionV relativeFrom="paragraph">
                  <wp:posOffset>102123</wp:posOffset>
                </wp:positionV>
                <wp:extent cx="3589" cy="3254505"/>
                <wp:effectExtent l="76200" t="38100" r="73025" b="22225"/>
                <wp:wrapNone/>
                <wp:docPr id="29" name="Straight Arrow Connector 29"/>
                <wp:cNvGraphicFramePr/>
                <a:graphic xmlns:a="http://schemas.openxmlformats.org/drawingml/2006/main">
                  <a:graphicData uri="http://schemas.microsoft.com/office/word/2010/wordprocessingShape">
                    <wps:wsp>
                      <wps:cNvCnPr/>
                      <wps:spPr>
                        <a:xfrm flipV="1">
                          <a:off x="0" y="0"/>
                          <a:ext cx="3589" cy="32545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 w14:anchorId="570CDBB2" id="Straight Arrow Connector 29" o:spid="_x0000_s1026" type="#_x0000_t32" style="position:absolute;margin-left:426.8pt;margin-top:8.05pt;width:.3pt;height:256.25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" strokecolor="#4579b8 [3044]">
                <v:stroke endarrow="block"/>
              </v:shape>
            </w:pict>
          </mc:Fallback>
        </mc:AlternateContent>
      </w:r>
    </w:p>
    <w:p w14:paraId="47C2A3E4" w14:textId="0C3BE2DD" w:rsidR="006D69D3" w:rsidRPr="00FA2E2E" w:rsidRDefault="006D69D3" w:rsidP="006D69D3">
      <w:pPr>
        <w:pStyle w:val="Normal-pool"/>
        <w:rPr>
          <w:strike/>
          <w:lang w:val="fr-FR"/>
        </w:rPr>
      </w:pPr>
    </w:p>
    <w:p w14:paraId="707B01F0" w14:textId="54F01763" w:rsidR="006D69D3" w:rsidRPr="00FA2E2E" w:rsidRDefault="00106103" w:rsidP="006D69D3">
      <w:pPr>
        <w:pStyle w:val="Normal-pool"/>
        <w:rPr>
          <w:strike/>
          <w:lang w:val="fr-FR"/>
        </w:rPr>
      </w:pPr>
      <w:r w:rsidRPr="00FA2E2E">
        <w:rPr>
          <w:strike/>
          <w:noProof/>
          <w:lang w:val="fr-FR" w:eastAsia="en-GB"/>
        </w:rPr>
        <mc:AlternateContent>
          <mc:Choice Requires="wps">
            <w:drawing>
              <wp:anchor distT="0" distB="0" distL="114300" distR="114300" simplePos="0" relativeHeight="251652608" behindDoc="0" locked="0" layoutInCell="1" allowOverlap="1" wp14:anchorId="4864B274" wp14:editId="6AA1C515">
                <wp:simplePos x="0" y="0"/>
                <wp:positionH relativeFrom="column">
                  <wp:posOffset>2707779</wp:posOffset>
                </wp:positionH>
                <wp:positionV relativeFrom="paragraph">
                  <wp:posOffset>3260</wp:posOffset>
                </wp:positionV>
                <wp:extent cx="0" cy="396643"/>
                <wp:effectExtent l="76200" t="0" r="57150" b="60960"/>
                <wp:wrapNone/>
                <wp:docPr id="20" name="Straight Arrow Connector 20"/>
                <wp:cNvGraphicFramePr/>
                <a:graphic xmlns:a="http://schemas.openxmlformats.org/drawingml/2006/main">
                  <a:graphicData uri="http://schemas.microsoft.com/office/word/2010/wordprocessingShape">
                    <wps:wsp>
                      <wps:cNvCnPr/>
                      <wps:spPr>
                        <a:xfrm>
                          <a:off x="0" y="0"/>
                          <a:ext cx="0" cy="39664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 w14:anchorId="24225D8D" id="Straight Arrow Connector 20" o:spid="_x0000_s1026" type="#_x0000_t32" style="position:absolute;margin-left:213.2pt;margin-top:.25pt;width:0;height:31.25pt;z-index:2516377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" strokecolor="#4579b8 [3044]">
                <v:stroke endarrow="block"/>
              </v:shape>
            </w:pict>
          </mc:Fallback>
        </mc:AlternateContent>
      </w:r>
      <w:r w:rsidRPr="00FA2E2E">
        <w:rPr>
          <w:strike/>
          <w:noProof/>
          <w:lang w:val="fr-FR" w:eastAsia="en-GB"/>
        </w:rPr>
        <mc:AlternateContent>
          <mc:Choice Requires="wps">
            <w:drawing>
              <wp:anchor distT="0" distB="0" distL="114300" distR="114300" simplePos="0" relativeHeight="251667968" behindDoc="0" locked="0" layoutInCell="1" allowOverlap="1" wp14:anchorId="19BE1F0A" wp14:editId="360C9BD0">
                <wp:simplePos x="0" y="0"/>
                <wp:positionH relativeFrom="column">
                  <wp:posOffset>1135863</wp:posOffset>
                </wp:positionH>
                <wp:positionV relativeFrom="paragraph">
                  <wp:posOffset>119556</wp:posOffset>
                </wp:positionV>
                <wp:extent cx="404925" cy="229495"/>
                <wp:effectExtent l="0" t="0" r="14605" b="18415"/>
                <wp:wrapNone/>
                <wp:docPr id="39" name="Arrow: Left-Right 39"/>
                <wp:cNvGraphicFramePr/>
                <a:graphic xmlns:a="http://schemas.openxmlformats.org/drawingml/2006/main">
                  <a:graphicData uri="http://schemas.microsoft.com/office/word/2010/wordprocessingShape">
                    <wps:wsp>
                      <wps:cNvSpPr/>
                      <wps:spPr>
                        <a:xfrm rot="10800000" flipH="1" flipV="1">
                          <a:off x="0" y="0"/>
                          <a:ext cx="404925" cy="229495"/>
                        </a:xfrm>
                        <a:prstGeom prst="leftRightArrow">
                          <a:avLst>
                            <a:gd name="adj1" fmla="val 42472"/>
                            <a:gd name="adj2" fmla="val 50000"/>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t"/>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 w14:anchorId="61E8942D" id="Arrow: Left-Right 39" o:spid="_x0000_s1026" type="#_x0000_t69" style="position:absolute;margin-left:89.45pt;margin-top:9.4pt;width:31.9pt;height:18.05pt;rotation:180;flip:x y;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" adj="6121,6213" filled="f" strokecolor="#243f60 [1604]" strokeweight="2pt"/>
            </w:pict>
          </mc:Fallback>
        </mc:AlternateContent>
      </w:r>
    </w:p>
    <w:p w14:paraId="11F016E7" w14:textId="7A332873" w:rsidR="006D69D3" w:rsidRPr="00FA2E2E" w:rsidRDefault="006D69D3" w:rsidP="006D69D3">
      <w:pPr>
        <w:pStyle w:val="Normal-pool"/>
        <w:rPr>
          <w:strike/>
          <w:lang w:val="fr-FR"/>
        </w:rPr>
      </w:pPr>
    </w:p>
    <w:p w14:paraId="17A3C688" w14:textId="4E63EF74" w:rsidR="006D69D3" w:rsidRPr="00FA2E2E" w:rsidRDefault="00106103" w:rsidP="006D69D3">
      <w:pPr>
        <w:pStyle w:val="Normal-pool"/>
        <w:rPr>
          <w:strike/>
          <w:lang w:val="fr-FR"/>
        </w:rPr>
      </w:pPr>
      <w:r w:rsidRPr="00FA2E2E">
        <w:rPr>
          <w:strike/>
          <w:noProof/>
          <w:lang w:val="fr-FR" w:eastAsia="en-GB"/>
        </w:rPr>
        <mc:AlternateContent>
          <mc:Choice Requires="wps">
            <w:drawing>
              <wp:anchor distT="0" distB="0" distL="114300" distR="114300" simplePos="0" relativeHeight="251648512" behindDoc="0" locked="0" layoutInCell="1" allowOverlap="1" wp14:anchorId="2CA942E7" wp14:editId="39DE1A1F">
                <wp:simplePos x="0" y="0"/>
                <wp:positionH relativeFrom="column">
                  <wp:posOffset>1344567</wp:posOffset>
                </wp:positionH>
                <wp:positionV relativeFrom="paragraph">
                  <wp:posOffset>107802</wp:posOffset>
                </wp:positionV>
                <wp:extent cx="2726423" cy="406813"/>
                <wp:effectExtent l="0" t="0" r="17145" b="12700"/>
                <wp:wrapNone/>
                <wp:docPr id="13" name="Rectangle 13"/>
                <wp:cNvGraphicFramePr/>
                <a:graphic xmlns:a="http://schemas.openxmlformats.org/drawingml/2006/main">
                  <a:graphicData uri="http://schemas.microsoft.com/office/word/2010/wordprocessingShape">
                    <wps:wsp>
                      <wps:cNvSpPr/>
                      <wps:spPr>
                        <a:xfrm>
                          <a:off x="0" y="0"/>
                          <a:ext cx="2726423" cy="406813"/>
                        </a:xfrm>
                        <a:prstGeom prst="rect">
                          <a:avLst/>
                        </a:prstGeom>
                      </wps:spPr>
                      <wps:style>
                        <a:lnRef idx="2">
                          <a:schemeClr val="accent6"/>
                        </a:lnRef>
                        <a:fillRef idx="1">
                          <a:schemeClr val="lt1"/>
                        </a:fillRef>
                        <a:effectRef idx="0">
                          <a:schemeClr val="accent6"/>
                        </a:effectRef>
                        <a:fontRef idx="minor">
                          <a:schemeClr val="dk1"/>
                        </a:fontRef>
                      </wps:style>
                      <wps:txbx>
                        <w:txbxContent>
                          <w:p w14:paraId="6C24611E" w14:textId="727ADE9B" w:rsidR="00C56F63" w:rsidRPr="00B33D74" w:rsidRDefault="00C56F63" w:rsidP="006D69D3">
                            <w:pPr>
                              <w:jc w:val="center"/>
                              <w:rPr>
                                <w:sz w:val="24"/>
                                <w:szCs w:val="24"/>
                              </w:rPr>
                            </w:pPr>
                            <w:r w:rsidRPr="00B33D74">
                              <w:rPr>
                                <w:rFonts w:asciiTheme="minorHAnsi" w:hAnsiTheme="minorHAnsi" w:cstheme="minorBidi"/>
                                <w:color w:val="000000" w:themeColor="dark1"/>
                                <w:sz w:val="22"/>
                                <w:szCs w:val="22"/>
                              </w:rPr>
                              <w:t>É</w:t>
                            </w:r>
                            <w:r w:rsidRPr="00B33D74">
                              <w:rPr>
                                <w:rFonts w:asciiTheme="minorHAnsi" w:hAnsi="Calibri" w:cstheme="minorBidi"/>
                                <w:color w:val="000000" w:themeColor="dark1"/>
                                <w:sz w:val="22"/>
                                <w:szCs w:val="22"/>
                              </w:rPr>
                              <w:t>valuation des risques (section</w:t>
                            </w:r>
                            <w:r>
                              <w:rPr>
                                <w:rFonts w:asciiTheme="minorHAnsi" w:hAnsi="Calibri" w:cstheme="minorBidi"/>
                                <w:color w:val="000000" w:themeColor="dark1"/>
                                <w:sz w:val="22"/>
                                <w:szCs w:val="22"/>
                              </w:rPr>
                              <w:t> </w:t>
                            </w:r>
                            <w:r w:rsidRPr="00B33D74">
                              <w:rPr>
                                <w:rFonts w:asciiTheme="minorHAnsi" w:hAnsi="Calibri" w:cstheme="minorBidi"/>
                                <w:color w:val="000000" w:themeColor="dark1"/>
                                <w:sz w:val="22"/>
                                <w:szCs w:val="22"/>
                              </w:rPr>
                              <w:t>D)</w:t>
                            </w:r>
                          </w:p>
                        </w:txbxContent>
                      </wps:txbx>
                      <wps:bodyPr tIns="0" bIns="0" rtlCol="0" anchor="ctr"/>
                    </wps:wsp>
                  </a:graphicData>
                </a:graphic>
              </wp:anchor>
            </w:drawing>
          </mc:Choice>
          <mc:Fallback>
            <w:pict>
              <v:rect w14:anchorId="2CA942E7" id="Rectangle 13" o:spid="_x0000_s1035" style="position:absolute;margin-left:105.85pt;margin-top:8.5pt;width:214.7pt;height:32.05pt;z-index:251648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" fillcolor="white [3201]" strokecolor="#f79646 [3209]" strokeweight="2pt">
                <v:textbox inset=",0,,0">
                  <w:txbxContent>
                    <w:p w14:paraId="6C24611E" w14:textId="727ADE9B" w:rsidR="00C56F63" w:rsidRPr="00B33D74" w:rsidRDefault="00C56F63" w:rsidP="006D69D3">
                      <w:pPr>
                        <w:jc w:val="center"/>
                        <w:rPr>
                          <w:sz w:val="24"/>
                          <w:szCs w:val="24"/>
                        </w:rPr>
                      </w:pPr>
                      <w:r w:rsidRPr="00B33D74">
                        <w:rPr>
                          <w:rFonts w:asciiTheme="minorHAnsi" w:hAnsiTheme="minorHAnsi" w:cstheme="minorBidi"/>
                          <w:color w:val="000000" w:themeColor="dark1"/>
                          <w:sz w:val="22"/>
                          <w:szCs w:val="22"/>
                        </w:rPr>
                        <w:t>É</w:t>
                      </w:r>
                      <w:r w:rsidRPr="00B33D74">
                        <w:rPr>
                          <w:rFonts w:asciiTheme="minorHAnsi" w:hAnsi="Calibri" w:cstheme="minorBidi"/>
                          <w:color w:val="000000" w:themeColor="dark1"/>
                          <w:sz w:val="22"/>
                          <w:szCs w:val="22"/>
                        </w:rPr>
                        <w:t>valuation des risques (section</w:t>
                      </w:r>
                      <w:r>
                        <w:rPr>
                          <w:rFonts w:asciiTheme="minorHAnsi" w:hAnsi="Calibri" w:cstheme="minorBidi"/>
                          <w:color w:val="000000" w:themeColor="dark1"/>
                          <w:sz w:val="22"/>
                          <w:szCs w:val="22"/>
                        </w:rPr>
                        <w:t> </w:t>
                      </w:r>
                      <w:r w:rsidRPr="00B33D74">
                        <w:rPr>
                          <w:rFonts w:asciiTheme="minorHAnsi" w:hAnsi="Calibri" w:cstheme="minorBidi"/>
                          <w:color w:val="000000" w:themeColor="dark1"/>
                          <w:sz w:val="22"/>
                          <w:szCs w:val="22"/>
                        </w:rPr>
                        <w:t>D)</w:t>
                      </w:r>
                    </w:p>
                  </w:txbxContent>
                </v:textbox>
              </v:rect>
            </w:pict>
          </mc:Fallback>
        </mc:AlternateContent>
      </w:r>
      <w:r w:rsidRPr="00FA2E2E">
        <w:rPr>
          <w:strike/>
          <w:noProof/>
          <w:lang w:val="fr-FR" w:eastAsia="en-GB"/>
        </w:rPr>
        <mc:AlternateContent>
          <mc:Choice Requires="wps">
            <w:drawing>
              <wp:anchor distT="0" distB="0" distL="114300" distR="114300" simplePos="0" relativeHeight="251653632" behindDoc="0" locked="0" layoutInCell="1" allowOverlap="1" wp14:anchorId="6AE60D7B" wp14:editId="6414D440">
                <wp:simplePos x="0" y="0"/>
                <wp:positionH relativeFrom="column">
                  <wp:posOffset>4298193</wp:posOffset>
                </wp:positionH>
                <wp:positionV relativeFrom="paragraph">
                  <wp:posOffset>117973</wp:posOffset>
                </wp:positionV>
                <wp:extent cx="908808" cy="406813"/>
                <wp:effectExtent l="0" t="0" r="24765" b="12700"/>
                <wp:wrapNone/>
                <wp:docPr id="18" name="Rectangle 18"/>
                <wp:cNvGraphicFramePr/>
                <a:graphic xmlns:a="http://schemas.openxmlformats.org/drawingml/2006/main">
                  <a:graphicData uri="http://schemas.microsoft.com/office/word/2010/wordprocessingShape">
                    <wps:wsp>
                      <wps:cNvSpPr/>
                      <wps:spPr>
                        <a:xfrm>
                          <a:off x="0" y="0"/>
                          <a:ext cx="908808" cy="406813"/>
                        </a:xfrm>
                        <a:prstGeom prst="rect">
                          <a:avLst/>
                        </a:prstGeom>
                      </wps:spPr>
                      <wps:style>
                        <a:lnRef idx="2">
                          <a:schemeClr val="accent6"/>
                        </a:lnRef>
                        <a:fillRef idx="1">
                          <a:schemeClr val="lt1"/>
                        </a:fillRef>
                        <a:effectRef idx="0">
                          <a:schemeClr val="accent6"/>
                        </a:effectRef>
                        <a:fontRef idx="minor">
                          <a:schemeClr val="dk1"/>
                        </a:fontRef>
                      </wps:style>
                      <wps:txbx>
                        <w:txbxContent>
                          <w:p w14:paraId="77B74C37" w14:textId="7E6FAD4C" w:rsidR="00C56F63" w:rsidRPr="00B33D74" w:rsidRDefault="00C56F63" w:rsidP="006D69D3">
                            <w:pPr>
                              <w:jc w:val="center"/>
                              <w:rPr>
                                <w:sz w:val="24"/>
                                <w:szCs w:val="24"/>
                              </w:rPr>
                            </w:pPr>
                            <w:r w:rsidRPr="00B33D74">
                              <w:rPr>
                                <w:rFonts w:asciiTheme="minorHAnsi" w:hAnsi="Calibri" w:cstheme="minorBidi"/>
                                <w:color w:val="000000" w:themeColor="dark1"/>
                                <w:sz w:val="22"/>
                                <w:szCs w:val="22"/>
                              </w:rPr>
                              <w:t>Aucune mesure</w:t>
                            </w:r>
                          </w:p>
                        </w:txbxContent>
                      </wps:txbx>
                      <wps:bodyPr tIns="0" bIns="0" rtlCol="0" anchor="ctr"/>
                    </wps:wsp>
                  </a:graphicData>
                </a:graphic>
              </wp:anchor>
            </w:drawing>
          </mc:Choice>
          <mc:Fallback>
            <w:pict>
              <v:rect w14:anchorId="6AE60D7B" id="Rectangle 18" o:spid="_x0000_s1036" style="position:absolute;margin-left:338.45pt;margin-top:9.3pt;width:71.55pt;height:32.05pt;z-index:251653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" fillcolor="white [3201]" strokecolor="#f79646 [3209]" strokeweight="2pt">
                <v:textbox inset=",0,,0">
                  <w:txbxContent>
                    <w:p w14:paraId="77B74C37" w14:textId="7E6FAD4C" w:rsidR="00C56F63" w:rsidRPr="00B33D74" w:rsidRDefault="00C56F63" w:rsidP="006D69D3">
                      <w:pPr>
                        <w:jc w:val="center"/>
                        <w:rPr>
                          <w:sz w:val="24"/>
                          <w:szCs w:val="24"/>
                        </w:rPr>
                      </w:pPr>
                      <w:r w:rsidRPr="00B33D74">
                        <w:rPr>
                          <w:rFonts w:asciiTheme="minorHAnsi" w:hAnsi="Calibri" w:cstheme="minorBidi"/>
                          <w:color w:val="000000" w:themeColor="dark1"/>
                          <w:sz w:val="22"/>
                          <w:szCs w:val="22"/>
                        </w:rPr>
                        <w:t>Aucune mesure</w:t>
                      </w:r>
                    </w:p>
                  </w:txbxContent>
                </v:textbox>
              </v:rect>
            </w:pict>
          </mc:Fallback>
        </mc:AlternateContent>
      </w:r>
    </w:p>
    <w:p w14:paraId="3A6A41DE" w14:textId="7AA24FB6" w:rsidR="006D69D3" w:rsidRPr="00FA2E2E" w:rsidRDefault="006D69D3" w:rsidP="006D69D3">
      <w:pPr>
        <w:pStyle w:val="Normal-pool"/>
        <w:rPr>
          <w:strike/>
          <w:lang w:val="fr-FR"/>
        </w:rPr>
      </w:pPr>
    </w:p>
    <w:p w14:paraId="3FD8FA5E" w14:textId="4F12DFB8" w:rsidR="006D69D3" w:rsidRPr="00FA2E2E" w:rsidRDefault="00106103" w:rsidP="006D69D3">
      <w:pPr>
        <w:pStyle w:val="Normal-pool"/>
        <w:rPr>
          <w:strike/>
          <w:lang w:val="fr-FR"/>
        </w:rPr>
      </w:pPr>
      <w:r w:rsidRPr="00FA2E2E">
        <w:rPr>
          <w:strike/>
          <w:noProof/>
          <w:lang w:val="fr-FR" w:eastAsia="en-GB"/>
        </w:rPr>
        <mc:AlternateContent>
          <mc:Choice Requires="wps">
            <w:drawing>
              <wp:anchor distT="0" distB="0" distL="114300" distR="114300" simplePos="0" relativeHeight="251668992" behindDoc="0" locked="0" layoutInCell="1" allowOverlap="1" wp14:anchorId="221D73CE" wp14:editId="3AD38D15">
                <wp:simplePos x="0" y="0"/>
                <wp:positionH relativeFrom="column">
                  <wp:posOffset>4070991</wp:posOffset>
                </wp:positionH>
                <wp:positionV relativeFrom="paragraph">
                  <wp:posOffset>29279</wp:posOffset>
                </wp:positionV>
                <wp:extent cx="227202" cy="0"/>
                <wp:effectExtent l="0" t="76200" r="20955" b="95250"/>
                <wp:wrapNone/>
                <wp:docPr id="26" name="Straight Arrow Connector 26"/>
                <wp:cNvGraphicFramePr/>
                <a:graphic xmlns:a="http://schemas.openxmlformats.org/drawingml/2006/main">
                  <a:graphicData uri="http://schemas.microsoft.com/office/word/2010/wordprocessingShape">
                    <wps:wsp>
                      <wps:cNvCnPr/>
                      <wps:spPr>
                        <a:xfrm>
                          <a:off x="0" y="0"/>
                          <a:ext cx="227202"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 w14:anchorId="1EBA2F33" id="Straight Arrow Connector 26" o:spid="_x0000_s1026" type="#_x0000_t32" style="position:absolute;margin-left:320.55pt;margin-top:2.3pt;width:17.9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" strokecolor="#4579b8 [3044]">
                <v:stroke endarrow="block"/>
              </v:shape>
            </w:pict>
          </mc:Fallback>
        </mc:AlternateContent>
      </w:r>
    </w:p>
    <w:p w14:paraId="70200703" w14:textId="5CFE0C35" w:rsidR="006D69D3" w:rsidRPr="00FA2E2E" w:rsidRDefault="00106103" w:rsidP="006D69D3">
      <w:pPr>
        <w:pStyle w:val="Normal-pool"/>
        <w:rPr>
          <w:strike/>
          <w:lang w:val="fr-FR"/>
        </w:rPr>
      </w:pPr>
      <w:r w:rsidRPr="00FA2E2E">
        <w:rPr>
          <w:strike/>
          <w:noProof/>
          <w:lang w:val="fr-FR" w:eastAsia="en-GB"/>
        </w:rPr>
        <mc:AlternateContent>
          <mc:Choice Requires="wps">
            <w:drawing>
              <wp:anchor distT="0" distB="0" distL="114300" distR="114300" simplePos="0" relativeHeight="251654656" behindDoc="0" locked="0" layoutInCell="1" allowOverlap="1" wp14:anchorId="192738B4" wp14:editId="5B12A1ED">
                <wp:simplePos x="0" y="0"/>
                <wp:positionH relativeFrom="column">
                  <wp:posOffset>2697452</wp:posOffset>
                </wp:positionH>
                <wp:positionV relativeFrom="paragraph">
                  <wp:posOffset>76465</wp:posOffset>
                </wp:positionV>
                <wp:extent cx="10327" cy="416983"/>
                <wp:effectExtent l="76200" t="0" r="66040" b="59690"/>
                <wp:wrapNone/>
                <wp:docPr id="21" name="Straight Arrow Connector 21"/>
                <wp:cNvGraphicFramePr/>
                <a:graphic xmlns:a="http://schemas.openxmlformats.org/drawingml/2006/main">
                  <a:graphicData uri="http://schemas.microsoft.com/office/word/2010/wordprocessingShape">
                    <wps:wsp>
                      <wps:cNvCnPr/>
                      <wps:spPr>
                        <a:xfrm flipH="1">
                          <a:off x="0" y="0"/>
                          <a:ext cx="10327" cy="41698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 w14:anchorId="049BDCD2" id="Straight Arrow Connector 21" o:spid="_x0000_s1026" type="#_x0000_t32" style="position:absolute;margin-left:212.4pt;margin-top:6pt;width:.8pt;height:32.85pt;flip:x;z-index:2516398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" strokecolor="#4579b8 [3044]">
                <v:stroke endarrow="block"/>
              </v:shape>
            </w:pict>
          </mc:Fallback>
        </mc:AlternateContent>
      </w:r>
    </w:p>
    <w:p w14:paraId="5665455E" w14:textId="2C16D2D0" w:rsidR="006D69D3" w:rsidRPr="00FA2E2E" w:rsidRDefault="006D69D3" w:rsidP="006D69D3">
      <w:pPr>
        <w:pStyle w:val="Normal-pool"/>
        <w:rPr>
          <w:strike/>
          <w:lang w:val="fr-FR"/>
        </w:rPr>
      </w:pPr>
    </w:p>
    <w:p w14:paraId="02A2436B" w14:textId="14508B2D" w:rsidR="006D69D3" w:rsidRPr="00FA2E2E" w:rsidRDefault="006D69D3" w:rsidP="006D69D3">
      <w:pPr>
        <w:pStyle w:val="Normal-pool"/>
        <w:rPr>
          <w:strike/>
          <w:lang w:val="fr-FR"/>
        </w:rPr>
      </w:pPr>
    </w:p>
    <w:p w14:paraId="76773CEA" w14:textId="70F7E7D4" w:rsidR="006D69D3" w:rsidRPr="00FA2E2E" w:rsidRDefault="00C56F63" w:rsidP="006D69D3">
      <w:pPr>
        <w:pStyle w:val="Normal-pool"/>
        <w:rPr>
          <w:strike/>
          <w:lang w:val="fr-FR"/>
        </w:rPr>
      </w:pPr>
      <w:r w:rsidRPr="00FA2E2E">
        <w:rPr>
          <w:strike/>
          <w:noProof/>
          <w:lang w:val="fr-FR" w:eastAsia="en-GB"/>
        </w:rPr>
        <mc:AlternateContent>
          <mc:Choice Requires="wps">
            <w:drawing>
              <wp:anchor distT="0" distB="0" distL="114300" distR="114300" simplePos="0" relativeHeight="251670016" behindDoc="0" locked="0" layoutInCell="1" allowOverlap="1" wp14:anchorId="3C07B101" wp14:editId="6155910C">
                <wp:simplePos x="0" y="0"/>
                <wp:positionH relativeFrom="column">
                  <wp:posOffset>1187677</wp:posOffset>
                </wp:positionH>
                <wp:positionV relativeFrom="paragraph">
                  <wp:posOffset>6805</wp:posOffset>
                </wp:positionV>
                <wp:extent cx="3555242" cy="1348304"/>
                <wp:effectExtent l="0" t="0" r="26670" b="23495"/>
                <wp:wrapNone/>
                <wp:docPr id="81" name="Rectangle 81"/>
                <wp:cNvGraphicFramePr/>
                <a:graphic xmlns:a="http://schemas.openxmlformats.org/drawingml/2006/main">
                  <a:graphicData uri="http://schemas.microsoft.com/office/word/2010/wordprocessingShape">
                    <wps:wsp>
                      <wps:cNvSpPr/>
                      <wps:spPr>
                        <a:xfrm>
                          <a:off x="0" y="0"/>
                          <a:ext cx="3555242" cy="1348304"/>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73B7AA24" w14:textId="7FCF1F55" w:rsidR="00C56F63" w:rsidRDefault="00163926" w:rsidP="006D69D3">
                            <w:pPr>
                              <w:jc w:val="right"/>
                              <w:rPr>
                                <w:sz w:val="24"/>
                                <w:szCs w:val="24"/>
                              </w:rPr>
                            </w:pPr>
                            <w:r>
                              <w:rPr>
                                <w:rFonts w:asciiTheme="minorHAnsi" w:hAnsi="Calibri" w:cstheme="minorBidi"/>
                                <w:color w:val="000000"/>
                                <w:sz w:val="22"/>
                                <w:szCs w:val="22"/>
                              </w:rPr>
                              <w:t xml:space="preserve">          </w:t>
                            </w:r>
                            <w:r w:rsidR="00C56F63">
                              <w:rPr>
                                <w:rFonts w:asciiTheme="minorHAnsi" w:hAnsi="Calibri" w:cstheme="minorBidi"/>
                                <w:color w:val="000000"/>
                                <w:sz w:val="22"/>
                                <w:szCs w:val="22"/>
                              </w:rPr>
                              <w:t>(</w:t>
                            </w:r>
                            <w:r w:rsidR="00C56F63" w:rsidRPr="00163926">
                              <w:rPr>
                                <w:rFonts w:asciiTheme="minorHAnsi" w:hAnsi="Calibri" w:cstheme="minorBidi"/>
                                <w:color w:val="000000"/>
                                <w:sz w:val="16"/>
                                <w:szCs w:val="16"/>
                              </w:rPr>
                              <w:t>sections E et F</w:t>
                            </w:r>
                            <w:r w:rsidR="00C56F63">
                              <w:rPr>
                                <w:rFonts w:asciiTheme="minorHAnsi" w:hAnsi="Calibri" w:cstheme="minorBidi"/>
                                <w:color w:val="000000"/>
                                <w:sz w:val="22"/>
                                <w:szCs w:val="22"/>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07B101" id="Rectangle 81" o:spid="_x0000_s1037" style="position:absolute;margin-left:93.5pt;margin-top:.55pt;width:279.95pt;height:106.1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" filled="f" strokecolor="#243f60 [1604]" strokeweight="2pt">
                <v:stroke dashstyle="dash"/>
                <v:textbox>
                  <w:txbxContent>
                    <w:p w14:paraId="73B7AA24" w14:textId="7FCF1F55" w:rsidR="00C56F63" w:rsidRDefault="00163926" w:rsidP="006D69D3">
                      <w:pPr>
                        <w:jc w:val="right"/>
                        <w:rPr>
                          <w:sz w:val="24"/>
                          <w:szCs w:val="24"/>
                        </w:rPr>
                      </w:pPr>
                      <w:r>
                        <w:rPr>
                          <w:rFonts w:asciiTheme="minorHAnsi" w:hAnsi="Calibri" w:cstheme="minorBidi"/>
                          <w:color w:val="000000"/>
                          <w:sz w:val="22"/>
                          <w:szCs w:val="22"/>
                        </w:rPr>
                        <w:t xml:space="preserve">          </w:t>
                      </w:r>
                      <w:r w:rsidR="00C56F63">
                        <w:rPr>
                          <w:rFonts w:asciiTheme="minorHAnsi" w:hAnsi="Calibri" w:cstheme="minorBidi"/>
                          <w:color w:val="000000"/>
                          <w:sz w:val="22"/>
                          <w:szCs w:val="22"/>
                        </w:rPr>
                        <w:t>(</w:t>
                      </w:r>
                      <w:r w:rsidR="00C56F63" w:rsidRPr="00163926">
                        <w:rPr>
                          <w:rFonts w:asciiTheme="minorHAnsi" w:hAnsi="Calibri" w:cstheme="minorBidi"/>
                          <w:color w:val="000000"/>
                          <w:sz w:val="16"/>
                          <w:szCs w:val="16"/>
                        </w:rPr>
                        <w:t>sections E et F</w:t>
                      </w:r>
                      <w:r w:rsidR="00C56F63">
                        <w:rPr>
                          <w:rFonts w:asciiTheme="minorHAnsi" w:hAnsi="Calibri" w:cstheme="minorBidi"/>
                          <w:color w:val="000000"/>
                          <w:sz w:val="22"/>
                          <w:szCs w:val="22"/>
                        </w:rPr>
                        <w:t>)</w:t>
                      </w:r>
                    </w:p>
                  </w:txbxContent>
                </v:textbox>
              </v:rect>
            </w:pict>
          </mc:Fallback>
        </mc:AlternateContent>
      </w:r>
      <w:r w:rsidR="00106103" w:rsidRPr="00FA2E2E">
        <w:rPr>
          <w:strike/>
          <w:noProof/>
          <w:lang w:val="fr-FR" w:eastAsia="en-GB"/>
        </w:rPr>
        <mc:AlternateContent>
          <mc:Choice Requires="wps">
            <w:drawing>
              <wp:anchor distT="0" distB="0" distL="114300" distR="114300" simplePos="0" relativeHeight="251649536" behindDoc="0" locked="0" layoutInCell="1" allowOverlap="1" wp14:anchorId="0FE7C1CC" wp14:editId="4AFC0F37">
                <wp:simplePos x="0" y="0"/>
                <wp:positionH relativeFrom="column">
                  <wp:posOffset>1334240</wp:posOffset>
                </wp:positionH>
                <wp:positionV relativeFrom="paragraph">
                  <wp:posOffset>55299</wp:posOffset>
                </wp:positionV>
                <wp:extent cx="2726423" cy="406813"/>
                <wp:effectExtent l="0" t="0" r="17145" b="12700"/>
                <wp:wrapNone/>
                <wp:docPr id="14" name="Rectangle 14"/>
                <wp:cNvGraphicFramePr/>
                <a:graphic xmlns:a="http://schemas.openxmlformats.org/drawingml/2006/main">
                  <a:graphicData uri="http://schemas.microsoft.com/office/word/2010/wordprocessingShape">
                    <wps:wsp>
                      <wps:cNvSpPr/>
                      <wps:spPr>
                        <a:xfrm>
                          <a:off x="0" y="0"/>
                          <a:ext cx="2726423" cy="406813"/>
                        </a:xfrm>
                        <a:prstGeom prst="rect">
                          <a:avLst/>
                        </a:prstGeom>
                      </wps:spPr>
                      <wps:style>
                        <a:lnRef idx="2">
                          <a:schemeClr val="accent6"/>
                        </a:lnRef>
                        <a:fillRef idx="1">
                          <a:schemeClr val="lt1"/>
                        </a:fillRef>
                        <a:effectRef idx="0">
                          <a:schemeClr val="accent6"/>
                        </a:effectRef>
                        <a:fontRef idx="minor">
                          <a:schemeClr val="dk1"/>
                        </a:fontRef>
                      </wps:style>
                      <wps:txbx>
                        <w:txbxContent>
                          <w:p w14:paraId="4AAE9DE8" w14:textId="54D395BC" w:rsidR="00C56F63" w:rsidRPr="00515B41" w:rsidRDefault="00C56F63" w:rsidP="006D69D3">
                            <w:pPr>
                              <w:jc w:val="center"/>
                              <w:rPr>
                                <w:sz w:val="24"/>
                                <w:szCs w:val="24"/>
                              </w:rPr>
                            </w:pPr>
                            <w:r>
                              <w:rPr>
                                <w:rFonts w:asciiTheme="minorHAnsi" w:hAnsiTheme="minorHAnsi" w:cstheme="minorHAnsi"/>
                                <w:color w:val="000000" w:themeColor="dark1"/>
                                <w:sz w:val="22"/>
                                <w:szCs w:val="22"/>
                              </w:rPr>
                              <w:t>É</w:t>
                            </w:r>
                            <w:r>
                              <w:rPr>
                                <w:rFonts w:asciiTheme="minorHAnsi" w:hAnsi="Calibri" w:cstheme="minorBidi"/>
                                <w:color w:val="000000" w:themeColor="dark1"/>
                                <w:sz w:val="22"/>
                                <w:szCs w:val="22"/>
                              </w:rPr>
                              <w:t>valuation des options</w:t>
                            </w:r>
                          </w:p>
                        </w:txbxContent>
                      </wps:txbx>
                      <wps:bodyPr tIns="0" bIns="0" rtlCol="0" anchor="ctr"/>
                    </wps:wsp>
                  </a:graphicData>
                </a:graphic>
              </wp:anchor>
            </w:drawing>
          </mc:Choice>
          <mc:Fallback>
            <w:pict>
              <v:rect w14:anchorId="0FE7C1CC" id="Rectangle 14" o:spid="_x0000_s1038" style="position:absolute;margin-left:105.05pt;margin-top:4.35pt;width:214.7pt;height:32.05pt;z-index:251649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" fillcolor="white [3201]" strokecolor="#f79646 [3209]" strokeweight="2pt">
                <v:textbox inset=",0,,0">
                  <w:txbxContent>
                    <w:p w14:paraId="4AAE9DE8" w14:textId="54D395BC" w:rsidR="00C56F63" w:rsidRPr="00515B41" w:rsidRDefault="00C56F63" w:rsidP="006D69D3">
                      <w:pPr>
                        <w:jc w:val="center"/>
                        <w:rPr>
                          <w:sz w:val="24"/>
                          <w:szCs w:val="24"/>
                        </w:rPr>
                      </w:pPr>
                      <w:r>
                        <w:rPr>
                          <w:rFonts w:asciiTheme="minorHAnsi" w:hAnsiTheme="minorHAnsi" w:cstheme="minorHAnsi"/>
                          <w:color w:val="000000" w:themeColor="dark1"/>
                          <w:sz w:val="22"/>
                          <w:szCs w:val="22"/>
                        </w:rPr>
                        <w:t>É</w:t>
                      </w:r>
                      <w:r>
                        <w:rPr>
                          <w:rFonts w:asciiTheme="minorHAnsi" w:hAnsi="Calibri" w:cstheme="minorBidi"/>
                          <w:color w:val="000000" w:themeColor="dark1"/>
                          <w:sz w:val="22"/>
                          <w:szCs w:val="22"/>
                        </w:rPr>
                        <w:t>valuation des options</w:t>
                      </w:r>
                    </w:p>
                  </w:txbxContent>
                </v:textbox>
              </v:rect>
            </w:pict>
          </mc:Fallback>
        </mc:AlternateContent>
      </w:r>
    </w:p>
    <w:p w14:paraId="5734E9E7" w14:textId="3E75EF32" w:rsidR="006D69D3" w:rsidRPr="00FA2E2E" w:rsidRDefault="006D69D3" w:rsidP="006D69D3">
      <w:pPr>
        <w:pStyle w:val="Normal-pool"/>
        <w:rPr>
          <w:strike/>
          <w:lang w:val="fr-FR"/>
        </w:rPr>
      </w:pPr>
    </w:p>
    <w:p w14:paraId="4D661B45" w14:textId="36C74DB7" w:rsidR="006D69D3" w:rsidRPr="00FA2E2E" w:rsidRDefault="006D69D3" w:rsidP="006D69D3">
      <w:pPr>
        <w:pStyle w:val="Normal-pool"/>
        <w:rPr>
          <w:strike/>
          <w:lang w:val="fr-FR"/>
        </w:rPr>
      </w:pPr>
    </w:p>
    <w:p w14:paraId="16FD4085" w14:textId="61260331" w:rsidR="006D69D3" w:rsidRPr="00FA2E2E" w:rsidRDefault="00106103" w:rsidP="006D69D3">
      <w:pPr>
        <w:pStyle w:val="Normal-pool"/>
        <w:rPr>
          <w:strike/>
          <w:lang w:val="fr-FR"/>
        </w:rPr>
      </w:pPr>
      <w:r w:rsidRPr="00FA2E2E">
        <w:rPr>
          <w:strike/>
          <w:noProof/>
          <w:lang w:val="fr-FR" w:eastAsia="en-GB"/>
        </w:rPr>
        <mc:AlternateContent>
          <mc:Choice Requires="wps">
            <w:drawing>
              <wp:anchor distT="0" distB="0" distL="114300" distR="114300" simplePos="0" relativeHeight="251655680" behindDoc="0" locked="0" layoutInCell="1" allowOverlap="1" wp14:anchorId="1138B492" wp14:editId="74DADF21">
                <wp:simplePos x="0" y="0"/>
                <wp:positionH relativeFrom="column">
                  <wp:posOffset>1902245</wp:posOffset>
                </wp:positionH>
                <wp:positionV relativeFrom="paragraph">
                  <wp:posOffset>34132</wp:posOffset>
                </wp:positionV>
                <wp:extent cx="4" cy="406813"/>
                <wp:effectExtent l="76200" t="0" r="57150" b="50800"/>
                <wp:wrapNone/>
                <wp:docPr id="22" name="Straight Arrow Connector 22"/>
                <wp:cNvGraphicFramePr/>
                <a:graphic xmlns:a="http://schemas.openxmlformats.org/drawingml/2006/main">
                  <a:graphicData uri="http://schemas.microsoft.com/office/word/2010/wordprocessingShape">
                    <wps:wsp>
                      <wps:cNvCnPr/>
                      <wps:spPr>
                        <a:xfrm flipH="1">
                          <a:off x="0" y="0"/>
                          <a:ext cx="4" cy="40681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 w14:anchorId="42BE45E8" id="Straight Arrow Connector 22" o:spid="_x0000_s1026" type="#_x0000_t32" style="position:absolute;margin-left:149.8pt;margin-top:2.7pt;width:0;height:32.05pt;flip:x;z-index:2516408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" strokecolor="#4579b8 [3044]">
                <v:stroke endarrow="block"/>
              </v:shape>
            </w:pict>
          </mc:Fallback>
        </mc:AlternateContent>
      </w:r>
      <w:r w:rsidRPr="00FA2E2E">
        <w:rPr>
          <w:strike/>
          <w:noProof/>
          <w:lang w:val="fr-FR" w:eastAsia="en-GB"/>
        </w:rPr>
        <mc:AlternateContent>
          <mc:Choice Requires="wps">
            <w:drawing>
              <wp:anchor distT="0" distB="0" distL="114300" distR="114300" simplePos="0" relativeHeight="251656704" behindDoc="0" locked="0" layoutInCell="1" allowOverlap="1" wp14:anchorId="0A554B44" wp14:editId="0BAEF39F">
                <wp:simplePos x="0" y="0"/>
                <wp:positionH relativeFrom="column">
                  <wp:posOffset>3492658</wp:posOffset>
                </wp:positionH>
                <wp:positionV relativeFrom="paragraph">
                  <wp:posOffset>23962</wp:posOffset>
                </wp:positionV>
                <wp:extent cx="0" cy="406813"/>
                <wp:effectExtent l="76200" t="0" r="57150" b="50800"/>
                <wp:wrapNone/>
                <wp:docPr id="23" name="Straight Arrow Connector 23"/>
                <wp:cNvGraphicFramePr/>
                <a:graphic xmlns:a="http://schemas.openxmlformats.org/drawingml/2006/main">
                  <a:graphicData uri="http://schemas.microsoft.com/office/word/2010/wordprocessingShape">
                    <wps:wsp>
                      <wps:cNvCnPr/>
                      <wps:spPr>
                        <a:xfrm>
                          <a:off x="0" y="0"/>
                          <a:ext cx="0" cy="40681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 w14:anchorId="1E8C7449" id="Straight Arrow Connector 23" o:spid="_x0000_s1026" type="#_x0000_t32" style="position:absolute;margin-left:275pt;margin-top:1.9pt;width:0;height:32.05pt;z-index:251641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" strokecolor="#4579b8 [3044]">
                <v:stroke endarrow="block"/>
              </v:shape>
            </w:pict>
          </mc:Fallback>
        </mc:AlternateContent>
      </w:r>
    </w:p>
    <w:p w14:paraId="233554BE" w14:textId="6E040158" w:rsidR="006D69D3" w:rsidRPr="00FA2E2E" w:rsidRDefault="006D69D3" w:rsidP="006D69D3">
      <w:pPr>
        <w:pStyle w:val="Normal-pool"/>
        <w:rPr>
          <w:strike/>
          <w:lang w:val="fr-FR"/>
        </w:rPr>
      </w:pPr>
    </w:p>
    <w:p w14:paraId="2AB47A84" w14:textId="5A3648D2" w:rsidR="006D69D3" w:rsidRPr="00FA2E2E" w:rsidRDefault="00106103" w:rsidP="006D69D3">
      <w:pPr>
        <w:pStyle w:val="Normal-pool"/>
        <w:rPr>
          <w:strike/>
          <w:lang w:val="fr-FR"/>
        </w:rPr>
      </w:pPr>
      <w:r w:rsidRPr="00FA2E2E">
        <w:rPr>
          <w:strike/>
          <w:noProof/>
          <w:lang w:val="fr-FR" w:eastAsia="en-GB"/>
        </w:rPr>
        <mc:AlternateContent>
          <mc:Choice Requires="wps">
            <w:drawing>
              <wp:anchor distT="0" distB="0" distL="114300" distR="114300" simplePos="0" relativeHeight="251650560" behindDoc="0" locked="0" layoutInCell="1" allowOverlap="1" wp14:anchorId="6F948870" wp14:editId="598B003E">
                <wp:simplePos x="0" y="0"/>
                <wp:positionH relativeFrom="column">
                  <wp:posOffset>2924652</wp:posOffset>
                </wp:positionH>
                <wp:positionV relativeFrom="paragraph">
                  <wp:posOffset>138675</wp:posOffset>
                </wp:positionV>
                <wp:extent cx="1136011" cy="406813"/>
                <wp:effectExtent l="0" t="0" r="26670" b="12700"/>
                <wp:wrapNone/>
                <wp:docPr id="16" name="Rectangle 16"/>
                <wp:cNvGraphicFramePr/>
                <a:graphic xmlns:a="http://schemas.openxmlformats.org/drawingml/2006/main">
                  <a:graphicData uri="http://schemas.microsoft.com/office/word/2010/wordprocessingShape">
                    <wps:wsp>
                      <wps:cNvSpPr/>
                      <wps:spPr>
                        <a:xfrm>
                          <a:off x="0" y="0"/>
                          <a:ext cx="1136011" cy="406813"/>
                        </a:xfrm>
                        <a:prstGeom prst="rect">
                          <a:avLst/>
                        </a:prstGeom>
                      </wps:spPr>
                      <wps:style>
                        <a:lnRef idx="2">
                          <a:schemeClr val="accent6"/>
                        </a:lnRef>
                        <a:fillRef idx="1">
                          <a:schemeClr val="lt1"/>
                        </a:fillRef>
                        <a:effectRef idx="0">
                          <a:schemeClr val="accent6"/>
                        </a:effectRef>
                        <a:fontRef idx="minor">
                          <a:schemeClr val="dk1"/>
                        </a:fontRef>
                      </wps:style>
                      <wps:txbx>
                        <w:txbxContent>
                          <w:p w14:paraId="3A72BD5A" w14:textId="122725E8" w:rsidR="00C56F63" w:rsidRDefault="00C56F63" w:rsidP="006D69D3">
                            <w:pPr>
                              <w:jc w:val="center"/>
                              <w:rPr>
                                <w:sz w:val="24"/>
                                <w:szCs w:val="24"/>
                              </w:rPr>
                            </w:pPr>
                            <w:r>
                              <w:rPr>
                                <w:rFonts w:asciiTheme="minorHAnsi" w:hAnsi="Calibri" w:cstheme="minorBidi"/>
                                <w:color w:val="000000" w:themeColor="dark1"/>
                                <w:sz w:val="22"/>
                                <w:szCs w:val="22"/>
                              </w:rPr>
                              <w:t>Gestion du site</w:t>
                            </w:r>
                          </w:p>
                        </w:txbxContent>
                      </wps:txbx>
                      <wps:bodyPr tIns="0" bIns="0" rtlCol="0" anchor="ctr"/>
                    </wps:wsp>
                  </a:graphicData>
                </a:graphic>
              </wp:anchor>
            </w:drawing>
          </mc:Choice>
          <mc:Fallback>
            <w:pict>
              <v:rect w14:anchorId="6F948870" id="Rectangle 16" o:spid="_x0000_s1039" style="position:absolute;margin-left:230.3pt;margin-top:10.9pt;width:89.45pt;height:32.05pt;z-index:251650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" fillcolor="white [3201]" strokecolor="#f79646 [3209]" strokeweight="2pt">
                <v:textbox inset=",0,,0">
                  <w:txbxContent>
                    <w:p w14:paraId="3A72BD5A" w14:textId="122725E8" w:rsidR="00C56F63" w:rsidRDefault="00C56F63" w:rsidP="006D69D3">
                      <w:pPr>
                        <w:jc w:val="center"/>
                        <w:rPr>
                          <w:sz w:val="24"/>
                          <w:szCs w:val="24"/>
                        </w:rPr>
                      </w:pPr>
                      <w:r>
                        <w:rPr>
                          <w:rFonts w:asciiTheme="minorHAnsi" w:hAnsi="Calibri" w:cstheme="minorBidi"/>
                          <w:color w:val="000000" w:themeColor="dark1"/>
                          <w:sz w:val="22"/>
                          <w:szCs w:val="22"/>
                        </w:rPr>
                        <w:t>Gestion du site</w:t>
                      </w:r>
                    </w:p>
                  </w:txbxContent>
                </v:textbox>
              </v:rect>
            </w:pict>
          </mc:Fallback>
        </mc:AlternateContent>
      </w:r>
    </w:p>
    <w:p w14:paraId="1D82B384" w14:textId="19B5B7B0" w:rsidR="006D69D3" w:rsidRPr="00FA2E2E" w:rsidRDefault="00106103" w:rsidP="006D69D3">
      <w:pPr>
        <w:pStyle w:val="Normal-pool"/>
        <w:rPr>
          <w:strike/>
          <w:lang w:val="fr-FR"/>
        </w:rPr>
      </w:pPr>
      <w:r w:rsidRPr="00FA2E2E">
        <w:rPr>
          <w:strike/>
          <w:noProof/>
          <w:lang w:val="fr-FR" w:eastAsia="en-GB"/>
        </w:rPr>
        <mc:AlternateContent>
          <mc:Choice Requires="wps">
            <w:drawing>
              <wp:anchor distT="0" distB="0" distL="114300" distR="114300" simplePos="0" relativeHeight="251671040" behindDoc="0" locked="0" layoutInCell="1" allowOverlap="1" wp14:anchorId="6B548E69" wp14:editId="591C35A2">
                <wp:simplePos x="0" y="0"/>
                <wp:positionH relativeFrom="column">
                  <wp:posOffset>1334240</wp:posOffset>
                </wp:positionH>
                <wp:positionV relativeFrom="paragraph">
                  <wp:posOffset>2795</wp:posOffset>
                </wp:positionV>
                <wp:extent cx="1136010" cy="406813"/>
                <wp:effectExtent l="0" t="0" r="26670" b="12700"/>
                <wp:wrapNone/>
                <wp:docPr id="15" name="Rectangle 15"/>
                <wp:cNvGraphicFramePr/>
                <a:graphic xmlns:a="http://schemas.openxmlformats.org/drawingml/2006/main">
                  <a:graphicData uri="http://schemas.microsoft.com/office/word/2010/wordprocessingShape">
                    <wps:wsp>
                      <wps:cNvSpPr/>
                      <wps:spPr>
                        <a:xfrm>
                          <a:off x="0" y="0"/>
                          <a:ext cx="1136010" cy="406813"/>
                        </a:xfrm>
                        <a:prstGeom prst="rect">
                          <a:avLst/>
                        </a:prstGeom>
                      </wps:spPr>
                      <wps:style>
                        <a:lnRef idx="2">
                          <a:schemeClr val="accent6"/>
                        </a:lnRef>
                        <a:fillRef idx="1">
                          <a:schemeClr val="lt1"/>
                        </a:fillRef>
                        <a:effectRef idx="0">
                          <a:schemeClr val="accent6"/>
                        </a:effectRef>
                        <a:fontRef idx="minor">
                          <a:schemeClr val="dk1"/>
                        </a:fontRef>
                      </wps:style>
                      <wps:txbx>
                        <w:txbxContent>
                          <w:p w14:paraId="27EC973D" w14:textId="276DDB5B" w:rsidR="00C56F63" w:rsidRPr="00515B41" w:rsidRDefault="00C56F63" w:rsidP="006D69D3">
                            <w:pPr>
                              <w:jc w:val="center"/>
                              <w:rPr>
                                <w:sz w:val="24"/>
                                <w:szCs w:val="24"/>
                              </w:rPr>
                            </w:pPr>
                            <w:r w:rsidRPr="00515B41">
                              <w:rPr>
                                <w:rFonts w:asciiTheme="minorHAnsi" w:hAnsi="Calibri" w:cstheme="minorBidi"/>
                                <w:color w:val="000000" w:themeColor="dark1"/>
                                <w:sz w:val="22"/>
                                <w:szCs w:val="22"/>
                              </w:rPr>
                              <w:t>Remise en état du site</w:t>
                            </w:r>
                          </w:p>
                        </w:txbxContent>
                      </wps:txbx>
                      <wps:bodyPr tIns="0" bIns="0" rtlCol="0" anchor="ctr"/>
                    </wps:wsp>
                  </a:graphicData>
                </a:graphic>
              </wp:anchor>
            </w:drawing>
          </mc:Choice>
          <mc:Fallback>
            <w:pict>
              <v:rect w14:anchorId="6B548E69" id="Rectangle 15" o:spid="_x0000_s1040" style="position:absolute;margin-left:105.05pt;margin-top:.2pt;width:89.45pt;height:32.05pt;z-index:251671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" fillcolor="white [3201]" strokecolor="#f79646 [3209]" strokeweight="2pt">
                <v:textbox inset=",0,,0">
                  <w:txbxContent>
                    <w:p w14:paraId="27EC973D" w14:textId="276DDB5B" w:rsidR="00C56F63" w:rsidRPr="00515B41" w:rsidRDefault="00C56F63" w:rsidP="006D69D3">
                      <w:pPr>
                        <w:jc w:val="center"/>
                        <w:rPr>
                          <w:sz w:val="24"/>
                          <w:szCs w:val="24"/>
                        </w:rPr>
                      </w:pPr>
                      <w:r w:rsidRPr="00515B41">
                        <w:rPr>
                          <w:rFonts w:asciiTheme="minorHAnsi" w:hAnsi="Calibri" w:cstheme="minorBidi"/>
                          <w:color w:val="000000" w:themeColor="dark1"/>
                          <w:sz w:val="22"/>
                          <w:szCs w:val="22"/>
                        </w:rPr>
                        <w:t>Remise en état du site</w:t>
                      </w:r>
                    </w:p>
                  </w:txbxContent>
                </v:textbox>
              </v:rect>
            </w:pict>
          </mc:Fallback>
        </mc:AlternateContent>
      </w:r>
    </w:p>
    <w:p w14:paraId="48362C6F" w14:textId="6EF5A9DE" w:rsidR="006D69D3" w:rsidRPr="00FA2E2E" w:rsidRDefault="00106103" w:rsidP="006D69D3">
      <w:pPr>
        <w:pStyle w:val="Normal-pool"/>
        <w:rPr>
          <w:strike/>
          <w:lang w:val="fr-FR"/>
        </w:rPr>
      </w:pPr>
      <w:r w:rsidRPr="00FA2E2E">
        <w:rPr>
          <w:strike/>
          <w:noProof/>
          <w:lang w:val="fr-FR" w:eastAsia="en-GB"/>
        </w:rPr>
        <mc:AlternateContent>
          <mc:Choice Requires="wps">
            <w:drawing>
              <wp:anchor distT="0" distB="0" distL="114300" distR="114300" simplePos="0" relativeHeight="251672064" behindDoc="0" locked="0" layoutInCell="1" allowOverlap="1" wp14:anchorId="6182A295" wp14:editId="3AC86D0F">
                <wp:simplePos x="0" y="0"/>
                <wp:positionH relativeFrom="column">
                  <wp:posOffset>2470250</wp:posOffset>
                </wp:positionH>
                <wp:positionV relativeFrom="paragraph">
                  <wp:posOffset>49981</wp:posOffset>
                </wp:positionV>
                <wp:extent cx="454403" cy="10170"/>
                <wp:effectExtent l="38100" t="76200" r="22225" b="85090"/>
                <wp:wrapNone/>
                <wp:docPr id="38" name="Straight Arrow Connector 38"/>
                <wp:cNvGraphicFramePr/>
                <a:graphic xmlns:a="http://schemas.openxmlformats.org/drawingml/2006/main">
                  <a:graphicData uri="http://schemas.microsoft.com/office/word/2010/wordprocessingShape">
                    <wps:wsp>
                      <wps:cNvCnPr/>
                      <wps:spPr>
                        <a:xfrm flipV="1">
                          <a:off x="0" y="0"/>
                          <a:ext cx="454403" cy="1017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 w14:anchorId="47710F05" id="Straight Arrow Connector 38" o:spid="_x0000_s1026" type="#_x0000_t32" style="position:absolute;margin-left:194.5pt;margin-top:3.95pt;width:35.8pt;height:.8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" strokecolor="#4579b8 [3044]">
                <v:stroke startarrow="block" endarrow="block"/>
              </v:shape>
            </w:pict>
          </mc:Fallback>
        </mc:AlternateContent>
      </w:r>
    </w:p>
    <w:p w14:paraId="122306EC" w14:textId="2A6644F0" w:rsidR="006D69D3" w:rsidRPr="00FA2E2E" w:rsidRDefault="00106103" w:rsidP="006D69D3">
      <w:pPr>
        <w:pStyle w:val="Normal-pool"/>
        <w:rPr>
          <w:strike/>
          <w:lang w:val="fr-FR"/>
        </w:rPr>
      </w:pPr>
      <w:r w:rsidRPr="00FA2E2E">
        <w:rPr>
          <w:strike/>
          <w:noProof/>
          <w:lang w:val="fr-FR" w:eastAsia="en-GB"/>
        </w:rPr>
        <mc:AlternateContent>
          <mc:Choice Requires="wps">
            <w:drawing>
              <wp:anchor distT="0" distB="0" distL="114300" distR="114300" simplePos="0" relativeHeight="251673088" behindDoc="0" locked="0" layoutInCell="1" allowOverlap="1" wp14:anchorId="46007CB7" wp14:editId="51C4CD56">
                <wp:simplePos x="0" y="0"/>
                <wp:positionH relativeFrom="column">
                  <wp:posOffset>1902245</wp:posOffset>
                </wp:positionH>
                <wp:positionV relativeFrom="paragraph">
                  <wp:posOffset>117508</wp:posOffset>
                </wp:positionV>
                <wp:extent cx="0" cy="406813"/>
                <wp:effectExtent l="76200" t="0" r="57150" b="50800"/>
                <wp:wrapNone/>
                <wp:docPr id="24" name="Straight Arrow Connector 24"/>
                <wp:cNvGraphicFramePr/>
                <a:graphic xmlns:a="http://schemas.openxmlformats.org/drawingml/2006/main">
                  <a:graphicData uri="http://schemas.microsoft.com/office/word/2010/wordprocessingShape">
                    <wps:wsp>
                      <wps:cNvCnPr/>
                      <wps:spPr>
                        <a:xfrm>
                          <a:off x="0" y="0"/>
                          <a:ext cx="0" cy="40681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 w14:anchorId="2F23D4C7" id="Straight Arrow Connector 24" o:spid="_x0000_s1026" type="#_x0000_t32" style="position:absolute;margin-left:149.8pt;margin-top:9.25pt;width:0;height:32.0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" strokecolor="#4579b8 [3044]">
                <v:stroke endarrow="block"/>
              </v:shape>
            </w:pict>
          </mc:Fallback>
        </mc:AlternateContent>
      </w:r>
      <w:r w:rsidRPr="00FA2E2E">
        <w:rPr>
          <w:strike/>
          <w:noProof/>
          <w:lang w:val="fr-FR" w:eastAsia="en-GB"/>
        </w:rPr>
        <mc:AlternateContent>
          <mc:Choice Requires="wps">
            <w:drawing>
              <wp:anchor distT="0" distB="0" distL="114300" distR="114300" simplePos="0" relativeHeight="251674112" behindDoc="0" locked="0" layoutInCell="1" allowOverlap="1" wp14:anchorId="306F7957" wp14:editId="06064D63">
                <wp:simplePos x="0" y="0"/>
                <wp:positionH relativeFrom="column">
                  <wp:posOffset>3492658</wp:posOffset>
                </wp:positionH>
                <wp:positionV relativeFrom="paragraph">
                  <wp:posOffset>107338</wp:posOffset>
                </wp:positionV>
                <wp:extent cx="0" cy="406813"/>
                <wp:effectExtent l="76200" t="0" r="57150" b="50800"/>
                <wp:wrapNone/>
                <wp:docPr id="25" name="Straight Arrow Connector 25"/>
                <wp:cNvGraphicFramePr/>
                <a:graphic xmlns:a="http://schemas.openxmlformats.org/drawingml/2006/main">
                  <a:graphicData uri="http://schemas.microsoft.com/office/word/2010/wordprocessingShape">
                    <wps:wsp>
                      <wps:cNvCnPr/>
                      <wps:spPr>
                        <a:xfrm>
                          <a:off x="0" y="0"/>
                          <a:ext cx="0" cy="40681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 w14:anchorId="398FA1EB" id="Straight Arrow Connector 25" o:spid="_x0000_s1026" type="#_x0000_t32" style="position:absolute;margin-left:275pt;margin-top:8.45pt;width:0;height:32.0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" strokecolor="#4579b8 [3044]">
                <v:stroke endarrow="block"/>
              </v:shape>
            </w:pict>
          </mc:Fallback>
        </mc:AlternateContent>
      </w:r>
    </w:p>
    <w:p w14:paraId="285AF96C" w14:textId="40D5F9C9" w:rsidR="006D69D3" w:rsidRPr="00FA2E2E" w:rsidRDefault="00106103" w:rsidP="006D69D3">
      <w:pPr>
        <w:pStyle w:val="Normal-pool"/>
        <w:rPr>
          <w:strike/>
          <w:lang w:val="fr-FR"/>
        </w:rPr>
      </w:pPr>
      <w:r w:rsidRPr="00FA2E2E">
        <w:rPr>
          <w:strike/>
          <w:noProof/>
          <w:lang w:val="fr-FR" w:eastAsia="en-GB"/>
        </w:rPr>
        <mc:AlternateContent>
          <mc:Choice Requires="wps">
            <w:drawing>
              <wp:anchor distT="0" distB="0" distL="114300" distR="114300" simplePos="0" relativeHeight="251675136" behindDoc="0" locked="0" layoutInCell="1" allowOverlap="1" wp14:anchorId="6BDC6FBB" wp14:editId="5AAE2B36">
                <wp:simplePos x="0" y="0"/>
                <wp:positionH relativeFrom="column">
                  <wp:posOffset>838527</wp:posOffset>
                </wp:positionH>
                <wp:positionV relativeFrom="paragraph">
                  <wp:posOffset>12139</wp:posOffset>
                </wp:positionV>
                <wp:extent cx="454404" cy="203407"/>
                <wp:effectExtent l="0" t="76200" r="0" b="82550"/>
                <wp:wrapNone/>
                <wp:docPr id="33" name="Arrow: Left-Right 33"/>
                <wp:cNvGraphicFramePr/>
                <a:graphic xmlns:a="http://schemas.openxmlformats.org/drawingml/2006/main">
                  <a:graphicData uri="http://schemas.microsoft.com/office/word/2010/wordprocessingShape">
                    <wps:wsp>
                      <wps:cNvSpPr/>
                      <wps:spPr>
                        <a:xfrm rot="2491632">
                          <a:off x="0" y="0"/>
                          <a:ext cx="454404" cy="203407"/>
                        </a:xfrm>
                        <a:prstGeom prst="lef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t"/>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 w14:anchorId="535CFF61" id="Arrow: Left-Right 33" o:spid="_x0000_s1026" type="#_x0000_t69" style="position:absolute;margin-left:66.05pt;margin-top:.95pt;width:35.8pt;height:16pt;rotation:2721527fd;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" adj="4834" filled="f" strokecolor="#243f60 [1604]" strokeweight="2pt"/>
            </w:pict>
          </mc:Fallback>
        </mc:AlternateContent>
      </w:r>
    </w:p>
    <w:p w14:paraId="0D989A1F" w14:textId="27A3AE8F" w:rsidR="006D69D3" w:rsidRPr="00FA2E2E" w:rsidRDefault="006D69D3" w:rsidP="006D69D3">
      <w:pPr>
        <w:pStyle w:val="Normal-pool"/>
        <w:rPr>
          <w:strike/>
          <w:lang w:val="fr-FR"/>
        </w:rPr>
      </w:pPr>
    </w:p>
    <w:p w14:paraId="4D6C734C" w14:textId="3549E909" w:rsidR="006D69D3" w:rsidRPr="00FA2E2E" w:rsidRDefault="00106103" w:rsidP="006D69D3">
      <w:pPr>
        <w:pStyle w:val="Normal-pool"/>
        <w:rPr>
          <w:strike/>
          <w:lang w:val="fr-FR"/>
        </w:rPr>
      </w:pPr>
      <w:r w:rsidRPr="00FA2E2E">
        <w:rPr>
          <w:strike/>
          <w:noProof/>
          <w:lang w:val="fr-FR" w:eastAsia="en-GB"/>
        </w:rPr>
        <mc:AlternateContent>
          <mc:Choice Requires="wps">
            <w:drawing>
              <wp:anchor distT="0" distB="0" distL="114300" distR="114300" simplePos="0" relativeHeight="251676160" behindDoc="0" locked="0" layoutInCell="1" allowOverlap="1" wp14:anchorId="6F7DC8BF" wp14:editId="4F6B57D1">
                <wp:simplePos x="0" y="0"/>
                <wp:positionH relativeFrom="column">
                  <wp:posOffset>1334240</wp:posOffset>
                </wp:positionH>
                <wp:positionV relativeFrom="paragraph">
                  <wp:posOffset>86171</wp:posOffset>
                </wp:positionV>
                <wp:extent cx="2726423" cy="406813"/>
                <wp:effectExtent l="0" t="0" r="17145" b="12700"/>
                <wp:wrapNone/>
                <wp:docPr id="17" name="Rectangle 17"/>
                <wp:cNvGraphicFramePr/>
                <a:graphic xmlns:a="http://schemas.openxmlformats.org/drawingml/2006/main">
                  <a:graphicData uri="http://schemas.microsoft.com/office/word/2010/wordprocessingShape">
                    <wps:wsp>
                      <wps:cNvSpPr/>
                      <wps:spPr>
                        <a:xfrm>
                          <a:off x="0" y="0"/>
                          <a:ext cx="2726423" cy="406813"/>
                        </a:xfrm>
                        <a:prstGeom prst="rect">
                          <a:avLst/>
                        </a:prstGeom>
                      </wps:spPr>
                      <wps:style>
                        <a:lnRef idx="2">
                          <a:schemeClr val="accent6"/>
                        </a:lnRef>
                        <a:fillRef idx="1">
                          <a:schemeClr val="lt1"/>
                        </a:fillRef>
                        <a:effectRef idx="0">
                          <a:schemeClr val="accent6"/>
                        </a:effectRef>
                        <a:fontRef idx="minor">
                          <a:schemeClr val="dk1"/>
                        </a:fontRef>
                      </wps:style>
                      <wps:txbx>
                        <w:txbxContent>
                          <w:p w14:paraId="5ED6F664" w14:textId="315028BF" w:rsidR="00C56F63" w:rsidRPr="00312DBF" w:rsidRDefault="00C56F63" w:rsidP="006D69D3">
                            <w:pPr>
                              <w:jc w:val="center"/>
                              <w:rPr>
                                <w:sz w:val="24"/>
                                <w:szCs w:val="24"/>
                              </w:rPr>
                            </w:pPr>
                            <w:r w:rsidRPr="00312DBF">
                              <w:rPr>
                                <w:rFonts w:asciiTheme="minorHAnsi" w:hAnsi="Calibri" w:cstheme="minorBidi"/>
                                <w:color w:val="000000" w:themeColor="dark1"/>
                                <w:sz w:val="22"/>
                                <w:szCs w:val="22"/>
                              </w:rPr>
                              <w:t xml:space="preserve">Validation </w:t>
                            </w:r>
                            <w:r>
                              <w:rPr>
                                <w:rFonts w:asciiTheme="minorHAnsi" w:hAnsi="Calibri" w:cstheme="minorBidi"/>
                                <w:color w:val="000000" w:themeColor="dark1"/>
                                <w:sz w:val="22"/>
                                <w:szCs w:val="22"/>
                              </w:rPr>
                              <w:t>et surveillance</w:t>
                            </w:r>
                            <w:r w:rsidRPr="00312DBF">
                              <w:rPr>
                                <w:rFonts w:asciiTheme="minorHAnsi" w:hAnsi="Calibri" w:cstheme="minorBidi"/>
                                <w:color w:val="000000" w:themeColor="dark1"/>
                                <w:sz w:val="22"/>
                                <w:szCs w:val="22"/>
                              </w:rPr>
                              <w:t xml:space="preserve"> (section G)</w:t>
                            </w:r>
                          </w:p>
                        </w:txbxContent>
                      </wps:txbx>
                      <wps:bodyPr tIns="0" bIns="0" rtlCol="0" anchor="ctr"/>
                    </wps:wsp>
                  </a:graphicData>
                </a:graphic>
              </wp:anchor>
            </w:drawing>
          </mc:Choice>
          <mc:Fallback>
            <w:pict>
              <v:rect w14:anchorId="6F7DC8BF" id="Rectangle 17" o:spid="_x0000_s1041" style="position:absolute;margin-left:105.05pt;margin-top:6.8pt;width:214.7pt;height:32.05pt;z-index:251676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" fillcolor="white [3201]" strokecolor="#f79646 [3209]" strokeweight="2pt">
                <v:textbox inset=",0,,0">
                  <w:txbxContent>
                    <w:p w14:paraId="5ED6F664" w14:textId="315028BF" w:rsidR="00C56F63" w:rsidRPr="00312DBF" w:rsidRDefault="00C56F63" w:rsidP="006D69D3">
                      <w:pPr>
                        <w:jc w:val="center"/>
                        <w:rPr>
                          <w:sz w:val="24"/>
                          <w:szCs w:val="24"/>
                        </w:rPr>
                      </w:pPr>
                      <w:r w:rsidRPr="00312DBF">
                        <w:rPr>
                          <w:rFonts w:asciiTheme="minorHAnsi" w:hAnsi="Calibri" w:cstheme="minorBidi"/>
                          <w:color w:val="000000" w:themeColor="dark1"/>
                          <w:sz w:val="22"/>
                          <w:szCs w:val="22"/>
                        </w:rPr>
                        <w:t xml:space="preserve">Validation </w:t>
                      </w:r>
                      <w:r>
                        <w:rPr>
                          <w:rFonts w:asciiTheme="minorHAnsi" w:hAnsi="Calibri" w:cstheme="minorBidi"/>
                          <w:color w:val="000000" w:themeColor="dark1"/>
                          <w:sz w:val="22"/>
                          <w:szCs w:val="22"/>
                        </w:rPr>
                        <w:t>et surveillance</w:t>
                      </w:r>
                      <w:r w:rsidRPr="00312DBF">
                        <w:rPr>
                          <w:rFonts w:asciiTheme="minorHAnsi" w:hAnsi="Calibri" w:cstheme="minorBidi"/>
                          <w:color w:val="000000" w:themeColor="dark1"/>
                          <w:sz w:val="22"/>
                          <w:szCs w:val="22"/>
                        </w:rPr>
                        <w:t xml:space="preserve"> (section G)</w:t>
                      </w:r>
                    </w:p>
                  </w:txbxContent>
                </v:textbox>
              </v:rect>
            </w:pict>
          </mc:Fallback>
        </mc:AlternateContent>
      </w:r>
    </w:p>
    <w:p w14:paraId="0E6C0E1B" w14:textId="4EFB5BA5" w:rsidR="006D69D3" w:rsidRPr="00FA2E2E" w:rsidRDefault="00106103" w:rsidP="006D69D3">
      <w:pPr>
        <w:pStyle w:val="Normal-pool"/>
        <w:rPr>
          <w:strike/>
          <w:lang w:val="fr-FR"/>
        </w:rPr>
      </w:pPr>
      <w:r w:rsidRPr="00FA2E2E">
        <w:rPr>
          <w:strike/>
          <w:noProof/>
          <w:lang w:val="fr-FR" w:eastAsia="en-GB"/>
        </w:rPr>
        <mc:AlternateContent>
          <mc:Choice Requires="wps">
            <w:drawing>
              <wp:anchor distT="0" distB="0" distL="114300" distR="114300" simplePos="0" relativeHeight="251677184" behindDoc="0" locked="0" layoutInCell="1" allowOverlap="1" wp14:anchorId="1BF7A628" wp14:editId="5E39D7D2">
                <wp:simplePos x="0" y="0"/>
                <wp:positionH relativeFrom="column">
                  <wp:posOffset>4060663</wp:posOffset>
                </wp:positionH>
                <wp:positionV relativeFrom="paragraph">
                  <wp:posOffset>143527</wp:posOffset>
                </wp:positionV>
                <wp:extent cx="1363212" cy="0"/>
                <wp:effectExtent l="0" t="0" r="0" b="0"/>
                <wp:wrapNone/>
                <wp:docPr id="28" name="Straight Connector 28"/>
                <wp:cNvGraphicFramePr/>
                <a:graphic xmlns:a="http://schemas.openxmlformats.org/drawingml/2006/main">
                  <a:graphicData uri="http://schemas.microsoft.com/office/word/2010/wordprocessingShape">
                    <wps:wsp>
                      <wps:cNvCnPr/>
                      <wps:spPr>
                        <a:xfrm>
                          <a:off x="0" y="0"/>
                          <a:ext cx="1363212"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line w14:anchorId="2D0004EF" id="Straight Connector 28"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19.75pt,11.3pt" to="427.1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" strokecolor="#4579b8 [3044]"/>
            </w:pict>
          </mc:Fallback>
        </mc:AlternateContent>
      </w:r>
    </w:p>
    <w:p w14:paraId="2021D69A" w14:textId="239A9778" w:rsidR="006D69D3" w:rsidRPr="00FA2E2E" w:rsidRDefault="006D69D3" w:rsidP="006D69D3">
      <w:pPr>
        <w:pStyle w:val="Normal-pool"/>
        <w:rPr>
          <w:strike/>
          <w:lang w:val="fr-FR"/>
        </w:rPr>
      </w:pPr>
    </w:p>
    <w:p w14:paraId="7CB1A8F0" w14:textId="4B8CB48C" w:rsidR="006D69D3" w:rsidRPr="00FA2E2E" w:rsidRDefault="006D69D3" w:rsidP="006D69D3">
      <w:pPr>
        <w:pStyle w:val="Normal-pool"/>
        <w:rPr>
          <w:strike/>
          <w:lang w:val="fr-FR"/>
        </w:rPr>
      </w:pPr>
    </w:p>
    <w:p w14:paraId="6FF74F40" w14:textId="2A935C13" w:rsidR="006D69D3" w:rsidRPr="00FA2E2E" w:rsidRDefault="006D69D3" w:rsidP="006D69D3">
      <w:pPr>
        <w:pStyle w:val="Normal-pool"/>
        <w:rPr>
          <w:strike/>
          <w:lang w:val="fr-FR"/>
        </w:rPr>
      </w:pPr>
    </w:p>
    <w:p w14:paraId="3B70F8B2" w14:textId="63654E62" w:rsidR="009B3EB2" w:rsidRPr="00FA2E2E" w:rsidRDefault="009B3EB2" w:rsidP="00163926">
      <w:pPr>
        <w:pStyle w:val="CH3"/>
        <w:rPr>
          <w:lang w:val="fr-FR"/>
        </w:rPr>
      </w:pPr>
      <w:r w:rsidRPr="00FA2E2E">
        <w:rPr>
          <w:lang w:val="fr-FR"/>
        </w:rPr>
        <w:tab/>
      </w:r>
      <w:r w:rsidR="00152CD3" w:rsidRPr="00FA2E2E">
        <w:rPr>
          <w:lang w:val="fr-FR"/>
        </w:rPr>
        <w:t>1.</w:t>
      </w:r>
      <w:r w:rsidRPr="00FA2E2E">
        <w:rPr>
          <w:lang w:val="fr-FR"/>
        </w:rPr>
        <w:tab/>
      </w:r>
      <w:r w:rsidR="00106103" w:rsidRPr="00FA2E2E">
        <w:rPr>
          <w:lang w:val="fr-FR"/>
        </w:rPr>
        <w:t>Risques pour la santé humaine et l</w:t>
      </w:r>
      <w:r w:rsidR="00FE58E1" w:rsidRPr="00FA2E2E">
        <w:rPr>
          <w:lang w:val="fr-FR"/>
        </w:rPr>
        <w:t>’</w:t>
      </w:r>
      <w:r w:rsidR="00106103" w:rsidRPr="00FA2E2E">
        <w:rPr>
          <w:lang w:val="fr-FR"/>
        </w:rPr>
        <w:t>environnement</w:t>
      </w:r>
    </w:p>
    <w:p w14:paraId="4DFBB052" w14:textId="3DC260D8" w:rsidR="009B3EB2" w:rsidRPr="00FA2E2E" w:rsidRDefault="00E24EBE" w:rsidP="00163926">
      <w:pPr>
        <w:pStyle w:val="Normalnumber"/>
        <w:keepNext/>
        <w:keepLines/>
        <w:numPr>
          <w:ilvl w:val="0"/>
          <w:numId w:val="5"/>
        </w:numPr>
        <w:rPr>
          <w:lang w:val="fr-FR"/>
        </w:rPr>
      </w:pPr>
      <w:r w:rsidRPr="00FA2E2E">
        <w:rPr>
          <w:lang w:val="fr-FR"/>
        </w:rPr>
        <w:t>Le mercure est un élément chimique naturel présent dans l</w:t>
      </w:r>
      <w:r w:rsidR="00FE58E1" w:rsidRPr="00FA2E2E">
        <w:rPr>
          <w:lang w:val="fr-FR"/>
        </w:rPr>
        <w:t>’</w:t>
      </w:r>
      <w:r w:rsidRPr="00FA2E2E">
        <w:rPr>
          <w:lang w:val="fr-FR"/>
        </w:rPr>
        <w:t>air, l</w:t>
      </w:r>
      <w:r w:rsidR="00FE58E1" w:rsidRPr="00FA2E2E">
        <w:rPr>
          <w:lang w:val="fr-FR"/>
        </w:rPr>
        <w:t>’</w:t>
      </w:r>
      <w:r w:rsidRPr="00FA2E2E">
        <w:rPr>
          <w:lang w:val="fr-FR"/>
        </w:rPr>
        <w:t>eau et les sols</w:t>
      </w:r>
      <w:r w:rsidR="009B3EB2" w:rsidRPr="00FA2E2E">
        <w:rPr>
          <w:lang w:val="fr-FR"/>
        </w:rPr>
        <w:t>.</w:t>
      </w:r>
      <w:r w:rsidRPr="00FA2E2E">
        <w:rPr>
          <w:lang w:val="fr-FR"/>
        </w:rPr>
        <w:t xml:space="preserve"> Ses</w:t>
      </w:r>
      <w:r w:rsidR="009B3EB2" w:rsidRPr="00FA2E2E">
        <w:rPr>
          <w:lang w:val="fr-FR"/>
        </w:rPr>
        <w:t xml:space="preserve"> </w:t>
      </w:r>
      <w:r w:rsidRPr="00FA2E2E">
        <w:rPr>
          <w:lang w:val="fr-FR"/>
        </w:rPr>
        <w:t>niveaux de fond naturels varient d</w:t>
      </w:r>
      <w:r w:rsidR="00FE58E1" w:rsidRPr="00FA2E2E">
        <w:rPr>
          <w:lang w:val="fr-FR"/>
        </w:rPr>
        <w:t>’</w:t>
      </w:r>
      <w:r w:rsidRPr="00FA2E2E">
        <w:rPr>
          <w:lang w:val="fr-FR"/>
        </w:rPr>
        <w:t>un endroit à un autre et dépendent de la géologie locale</w:t>
      </w:r>
      <w:r w:rsidR="009B3EB2" w:rsidRPr="00FA2E2E">
        <w:rPr>
          <w:lang w:val="fr-FR"/>
        </w:rPr>
        <w:t>.</w:t>
      </w:r>
      <w:r w:rsidRPr="00FA2E2E">
        <w:rPr>
          <w:lang w:val="fr-FR"/>
        </w:rPr>
        <w:t xml:space="preserve"> Le mercure est émis et rejeté dans l</w:t>
      </w:r>
      <w:r w:rsidR="00FE58E1" w:rsidRPr="00FA2E2E">
        <w:rPr>
          <w:lang w:val="fr-FR"/>
        </w:rPr>
        <w:t>’</w:t>
      </w:r>
      <w:r w:rsidRPr="00FA2E2E">
        <w:rPr>
          <w:lang w:val="fr-FR"/>
        </w:rPr>
        <w:t>environnement par les activités volcaniques</w:t>
      </w:r>
      <w:r w:rsidR="00C14585" w:rsidRPr="00FA2E2E">
        <w:rPr>
          <w:lang w:val="fr-FR"/>
        </w:rPr>
        <w:t>,</w:t>
      </w:r>
      <w:r w:rsidRPr="00FA2E2E">
        <w:rPr>
          <w:lang w:val="fr-FR"/>
        </w:rPr>
        <w:t xml:space="preserve"> l</w:t>
      </w:r>
      <w:r w:rsidR="00FE58E1" w:rsidRPr="00FA2E2E">
        <w:rPr>
          <w:lang w:val="fr-FR"/>
        </w:rPr>
        <w:t>’</w:t>
      </w:r>
      <w:r w:rsidRPr="00FA2E2E">
        <w:rPr>
          <w:lang w:val="fr-FR"/>
        </w:rPr>
        <w:t>altération des roches</w:t>
      </w:r>
      <w:r w:rsidR="00C14585" w:rsidRPr="00FA2E2E">
        <w:rPr>
          <w:lang w:val="fr-FR"/>
        </w:rPr>
        <w:t xml:space="preserve"> et les activités humaines</w:t>
      </w:r>
      <w:r w:rsidR="009B3EB2" w:rsidRPr="00FA2E2E">
        <w:rPr>
          <w:lang w:val="fr-FR"/>
        </w:rPr>
        <w:t>.</w:t>
      </w:r>
      <w:r w:rsidR="00C14585" w:rsidRPr="00FA2E2E">
        <w:rPr>
          <w:lang w:val="fr-FR"/>
        </w:rPr>
        <w:t xml:space="preserve"> Les principales sources anthropiques d</w:t>
      </w:r>
      <w:r w:rsidR="00FE58E1" w:rsidRPr="00FA2E2E">
        <w:rPr>
          <w:lang w:val="fr-FR"/>
        </w:rPr>
        <w:t>’</w:t>
      </w:r>
      <w:r w:rsidR="00C14585" w:rsidRPr="00FA2E2E">
        <w:rPr>
          <w:lang w:val="fr-FR"/>
        </w:rPr>
        <w:t>émissions et de rejets de mercure comprennent l</w:t>
      </w:r>
      <w:r w:rsidR="00FE58E1" w:rsidRPr="00FA2E2E">
        <w:rPr>
          <w:lang w:val="fr-FR"/>
        </w:rPr>
        <w:t>’</w:t>
      </w:r>
      <w:r w:rsidR="00C14585" w:rsidRPr="00FA2E2E">
        <w:rPr>
          <w:lang w:val="fr-FR"/>
        </w:rPr>
        <w:t>extraction minière (notamment l</w:t>
      </w:r>
      <w:r w:rsidR="00FE58E1" w:rsidRPr="00FA2E2E">
        <w:rPr>
          <w:lang w:val="fr-FR"/>
        </w:rPr>
        <w:t>’</w:t>
      </w:r>
      <w:r w:rsidR="00C14585" w:rsidRPr="00FA2E2E">
        <w:rPr>
          <w:lang w:val="fr-FR"/>
        </w:rPr>
        <w:t>extraction minière artisanale et à petite échelle d</w:t>
      </w:r>
      <w:r w:rsidR="00FE58E1" w:rsidRPr="00FA2E2E">
        <w:rPr>
          <w:lang w:val="fr-FR"/>
        </w:rPr>
        <w:t>’</w:t>
      </w:r>
      <w:r w:rsidR="00C14585" w:rsidRPr="00FA2E2E">
        <w:rPr>
          <w:lang w:val="fr-FR"/>
        </w:rPr>
        <w:t>or), la combustion du charbon, les procédés industriels et l</w:t>
      </w:r>
      <w:r w:rsidR="00FE58E1" w:rsidRPr="00FA2E2E">
        <w:rPr>
          <w:lang w:val="fr-FR"/>
        </w:rPr>
        <w:t>’</w:t>
      </w:r>
      <w:r w:rsidR="00C14585" w:rsidRPr="00FA2E2E">
        <w:rPr>
          <w:lang w:val="fr-FR"/>
        </w:rPr>
        <w:t>incinération des déchets</w:t>
      </w:r>
      <w:r w:rsidR="009B3EB2" w:rsidRPr="00FA2E2E">
        <w:rPr>
          <w:lang w:val="fr-FR"/>
        </w:rPr>
        <w:t>.</w:t>
      </w:r>
    </w:p>
    <w:p w14:paraId="23B97F46" w14:textId="118BD4C3" w:rsidR="009B3EB2" w:rsidRPr="00FA2E2E" w:rsidRDefault="00C14585" w:rsidP="008E43CD">
      <w:pPr>
        <w:pStyle w:val="Normalnumber"/>
        <w:numPr>
          <w:ilvl w:val="0"/>
          <w:numId w:val="5"/>
        </w:numPr>
        <w:rPr>
          <w:lang w:val="fr-FR"/>
        </w:rPr>
      </w:pPr>
      <w:r w:rsidRPr="00FA2E2E">
        <w:rPr>
          <w:lang w:val="fr-FR"/>
        </w:rPr>
        <w:t>Une fois rejeté dans l</w:t>
      </w:r>
      <w:r w:rsidR="00FE58E1" w:rsidRPr="00FA2E2E">
        <w:rPr>
          <w:lang w:val="fr-FR"/>
        </w:rPr>
        <w:t>’</w:t>
      </w:r>
      <w:r w:rsidRPr="00FA2E2E">
        <w:rPr>
          <w:lang w:val="fr-FR"/>
        </w:rPr>
        <w:t>environnement, le mercure peut y rester, transporté sur de grandes distances par l</w:t>
      </w:r>
      <w:r w:rsidR="00FE58E1" w:rsidRPr="00FA2E2E">
        <w:rPr>
          <w:lang w:val="fr-FR"/>
        </w:rPr>
        <w:t>’</w:t>
      </w:r>
      <w:r w:rsidRPr="00FA2E2E">
        <w:rPr>
          <w:lang w:val="fr-FR"/>
        </w:rPr>
        <w:t>air, l</w:t>
      </w:r>
      <w:r w:rsidR="00FE58E1" w:rsidRPr="00FA2E2E">
        <w:rPr>
          <w:lang w:val="fr-FR"/>
        </w:rPr>
        <w:t>’</w:t>
      </w:r>
      <w:r w:rsidRPr="00FA2E2E">
        <w:rPr>
          <w:lang w:val="fr-FR"/>
        </w:rPr>
        <w:t>eau, les sédiments, le sol et les organismes vivants, aboutissant en fin de parcours dans les sédiments marins des grands fonds ou dans les sols minéraux</w:t>
      </w:r>
      <w:r w:rsidR="009B3EB2" w:rsidRPr="00FA2E2E">
        <w:rPr>
          <w:lang w:val="fr-FR"/>
        </w:rPr>
        <w:t xml:space="preserve">. </w:t>
      </w:r>
      <w:r w:rsidRPr="00FA2E2E">
        <w:rPr>
          <w:lang w:val="fr-FR"/>
        </w:rPr>
        <w:t>Le mercure existe sous des formes diverses </w:t>
      </w:r>
      <w:r w:rsidR="009B3EB2" w:rsidRPr="00FA2E2E">
        <w:rPr>
          <w:lang w:val="fr-FR"/>
        </w:rPr>
        <w:t xml:space="preserve">: </w:t>
      </w:r>
      <w:r w:rsidRPr="00FA2E2E">
        <w:rPr>
          <w:lang w:val="fr-FR"/>
        </w:rPr>
        <w:t>mercure (métallique) élémentaire et composés mercuriels organiques et inorganiques</w:t>
      </w:r>
      <w:r w:rsidR="009B3EB2" w:rsidRPr="00FA2E2E">
        <w:rPr>
          <w:lang w:val="fr-FR"/>
        </w:rPr>
        <w:t xml:space="preserve">. </w:t>
      </w:r>
      <w:r w:rsidR="00A95971" w:rsidRPr="00FA2E2E">
        <w:rPr>
          <w:lang w:val="fr-FR"/>
        </w:rPr>
        <w:t xml:space="preserve">Le comportement environnemental et les propriétés toxicologiques des </w:t>
      </w:r>
      <w:r w:rsidR="002C7530" w:rsidRPr="00FA2E2E">
        <w:rPr>
          <w:lang w:val="fr-FR"/>
        </w:rPr>
        <w:t xml:space="preserve">différents </w:t>
      </w:r>
      <w:r w:rsidR="00A95971" w:rsidRPr="00FA2E2E">
        <w:rPr>
          <w:lang w:val="fr-FR"/>
        </w:rPr>
        <w:t>composés du mercure varient de l</w:t>
      </w:r>
      <w:r w:rsidR="00FE58E1" w:rsidRPr="00FA2E2E">
        <w:rPr>
          <w:lang w:val="fr-FR"/>
        </w:rPr>
        <w:t>’</w:t>
      </w:r>
      <w:r w:rsidR="00A95971" w:rsidRPr="00FA2E2E">
        <w:rPr>
          <w:lang w:val="fr-FR"/>
        </w:rPr>
        <w:t>un à l</w:t>
      </w:r>
      <w:r w:rsidR="00FE58E1" w:rsidRPr="00FA2E2E">
        <w:rPr>
          <w:lang w:val="fr-FR"/>
        </w:rPr>
        <w:t>’</w:t>
      </w:r>
      <w:r w:rsidR="00A95971" w:rsidRPr="00FA2E2E">
        <w:rPr>
          <w:lang w:val="fr-FR"/>
        </w:rPr>
        <w:t>autre</w:t>
      </w:r>
      <w:r w:rsidR="009B3EB2" w:rsidRPr="00FA2E2E">
        <w:rPr>
          <w:lang w:val="fr-FR"/>
        </w:rPr>
        <w:t>.</w:t>
      </w:r>
    </w:p>
    <w:p w14:paraId="6D8DBF75" w14:textId="0E00F123" w:rsidR="009B3EB2" w:rsidRPr="00FA2E2E" w:rsidRDefault="00B7210F" w:rsidP="008E43CD">
      <w:pPr>
        <w:pStyle w:val="Normalnumber"/>
        <w:numPr>
          <w:ilvl w:val="0"/>
          <w:numId w:val="5"/>
        </w:numPr>
        <w:rPr>
          <w:lang w:val="fr-FR"/>
        </w:rPr>
      </w:pPr>
      <w:r w:rsidRPr="00FA2E2E">
        <w:rPr>
          <w:lang w:val="fr-FR"/>
        </w:rPr>
        <w:t xml:space="preserve">Sur les lieux de travail où </w:t>
      </w:r>
      <w:r w:rsidR="002C7530" w:rsidRPr="00FA2E2E">
        <w:rPr>
          <w:lang w:val="fr-FR"/>
        </w:rPr>
        <w:t>du</w:t>
      </w:r>
      <w:r w:rsidRPr="00FA2E2E">
        <w:rPr>
          <w:lang w:val="fr-FR"/>
        </w:rPr>
        <w:t xml:space="preserve"> mercure est utilisé, les personnes risquent d</w:t>
      </w:r>
      <w:r w:rsidR="00FE58E1" w:rsidRPr="00FA2E2E">
        <w:rPr>
          <w:lang w:val="fr-FR"/>
        </w:rPr>
        <w:t>’</w:t>
      </w:r>
      <w:r w:rsidRPr="00FA2E2E">
        <w:rPr>
          <w:lang w:val="fr-FR"/>
        </w:rPr>
        <w:t>inhaler des vapeurs de mercure ou d</w:t>
      </w:r>
      <w:r w:rsidR="00FE58E1" w:rsidRPr="00FA2E2E">
        <w:rPr>
          <w:lang w:val="fr-FR"/>
        </w:rPr>
        <w:t>’</w:t>
      </w:r>
      <w:r w:rsidRPr="00FA2E2E">
        <w:rPr>
          <w:lang w:val="fr-FR"/>
        </w:rPr>
        <w:t>y être exposées par voie cutanée en raison de leurs pratiques de travail habituelles (dans les secteurs industriel, médical ou dentaire ou celui de l</w:t>
      </w:r>
      <w:r w:rsidR="00FE58E1" w:rsidRPr="00FA2E2E">
        <w:rPr>
          <w:lang w:val="fr-FR"/>
        </w:rPr>
        <w:t>’</w:t>
      </w:r>
      <w:r w:rsidRPr="00FA2E2E">
        <w:rPr>
          <w:lang w:val="fr-FR"/>
        </w:rPr>
        <w:t>extraction minière artisanale et à petite échelle d</w:t>
      </w:r>
      <w:r w:rsidR="00FE58E1" w:rsidRPr="00FA2E2E">
        <w:rPr>
          <w:lang w:val="fr-FR"/>
        </w:rPr>
        <w:t>’</w:t>
      </w:r>
      <w:r w:rsidRPr="00FA2E2E">
        <w:rPr>
          <w:lang w:val="fr-FR"/>
        </w:rPr>
        <w:t>or) ou par suite de déversements</w:t>
      </w:r>
      <w:r w:rsidR="009B3EB2" w:rsidRPr="00FA2E2E">
        <w:rPr>
          <w:lang w:val="fr-FR"/>
        </w:rPr>
        <w:t xml:space="preserve">. </w:t>
      </w:r>
      <w:r w:rsidRPr="00FA2E2E">
        <w:rPr>
          <w:lang w:val="fr-FR"/>
        </w:rPr>
        <w:t xml:space="preserve">En revanche, </w:t>
      </w:r>
      <w:r w:rsidR="002C7530" w:rsidRPr="00FA2E2E">
        <w:rPr>
          <w:lang w:val="fr-FR"/>
        </w:rPr>
        <w:t>pour ce qui est</w:t>
      </w:r>
      <w:r w:rsidRPr="00FA2E2E">
        <w:rPr>
          <w:lang w:val="fr-FR"/>
        </w:rPr>
        <w:t xml:space="preserve"> de la population </w:t>
      </w:r>
      <w:r w:rsidR="002C7530" w:rsidRPr="00FA2E2E">
        <w:rPr>
          <w:lang w:val="fr-FR"/>
        </w:rPr>
        <w:t>en général</w:t>
      </w:r>
      <w:r w:rsidRPr="00FA2E2E">
        <w:rPr>
          <w:lang w:val="fr-FR"/>
        </w:rPr>
        <w:t>, la forme la plus courante d</w:t>
      </w:r>
      <w:r w:rsidR="00FE58E1" w:rsidRPr="00FA2E2E">
        <w:rPr>
          <w:lang w:val="fr-FR"/>
        </w:rPr>
        <w:t>’</w:t>
      </w:r>
      <w:r w:rsidRPr="00FA2E2E">
        <w:rPr>
          <w:lang w:val="fr-FR"/>
        </w:rPr>
        <w:t>exposition directe est la consommation de poissons et de fruits de mer contaminés par du méthylmercure</w:t>
      </w:r>
      <w:r w:rsidR="009B3EB2" w:rsidRPr="00FA2E2E">
        <w:rPr>
          <w:lang w:val="fr-FR"/>
        </w:rPr>
        <w:t>,</w:t>
      </w:r>
      <w:r w:rsidRPr="00FA2E2E">
        <w:rPr>
          <w:lang w:val="fr-FR"/>
        </w:rPr>
        <w:t xml:space="preserve"> la forme de mercure la plus toxique</w:t>
      </w:r>
      <w:r w:rsidR="009B3EB2" w:rsidRPr="00FA2E2E">
        <w:rPr>
          <w:lang w:val="fr-FR"/>
        </w:rPr>
        <w:t>.</w:t>
      </w:r>
      <w:r w:rsidRPr="00FA2E2E">
        <w:rPr>
          <w:lang w:val="fr-FR"/>
        </w:rPr>
        <w:t xml:space="preserve"> Le</w:t>
      </w:r>
      <w:r w:rsidR="009B3EB2" w:rsidRPr="00FA2E2E">
        <w:rPr>
          <w:lang w:val="fr-FR"/>
        </w:rPr>
        <w:t xml:space="preserve"> </w:t>
      </w:r>
      <w:r w:rsidRPr="00FA2E2E">
        <w:rPr>
          <w:lang w:val="fr-FR"/>
        </w:rPr>
        <w:t xml:space="preserve">méthylmercure se bioaccumule et se bioamplifie en se concentrant </w:t>
      </w:r>
      <w:r w:rsidR="009A3117" w:rsidRPr="00FA2E2E">
        <w:rPr>
          <w:lang w:val="fr-FR"/>
        </w:rPr>
        <w:t xml:space="preserve">au fur et </w:t>
      </w:r>
      <w:r w:rsidRPr="00FA2E2E">
        <w:rPr>
          <w:lang w:val="fr-FR"/>
        </w:rPr>
        <w:t>à mesure qu</w:t>
      </w:r>
      <w:r w:rsidR="00FE58E1" w:rsidRPr="00FA2E2E">
        <w:rPr>
          <w:lang w:val="fr-FR"/>
        </w:rPr>
        <w:t>’</w:t>
      </w:r>
      <w:r w:rsidRPr="00FA2E2E">
        <w:rPr>
          <w:lang w:val="fr-FR"/>
        </w:rPr>
        <w:t>il progresse vers le sommet de la chaîne alimentaire, ce qui explique qu</w:t>
      </w:r>
      <w:r w:rsidR="00FE58E1" w:rsidRPr="00FA2E2E">
        <w:rPr>
          <w:lang w:val="fr-FR"/>
        </w:rPr>
        <w:t>’</w:t>
      </w:r>
      <w:r w:rsidRPr="00FA2E2E">
        <w:rPr>
          <w:lang w:val="fr-FR"/>
        </w:rPr>
        <w:t>on en trouve les taux les plus élevés dans les espèces prédatrices telles que le thon, le makaire, l</w:t>
      </w:r>
      <w:r w:rsidR="00FE58E1" w:rsidRPr="00FA2E2E">
        <w:rPr>
          <w:lang w:val="fr-FR"/>
        </w:rPr>
        <w:t>’</w:t>
      </w:r>
      <w:r w:rsidRPr="00FA2E2E">
        <w:rPr>
          <w:lang w:val="fr-FR"/>
        </w:rPr>
        <w:t>espadon, les requins, les mammifères marins et les êtres humains</w:t>
      </w:r>
      <w:r w:rsidR="009B3EB2" w:rsidRPr="00FA2E2E">
        <w:rPr>
          <w:lang w:val="fr-FR"/>
        </w:rPr>
        <w:t xml:space="preserve">. </w:t>
      </w:r>
      <w:r w:rsidRPr="00FA2E2E">
        <w:rPr>
          <w:lang w:val="fr-FR"/>
        </w:rPr>
        <w:t>Il peut avoir de graves conséquences pour les écosystèmes, y compris sur la reproduction des oiseaux et des mammifères prédateurs</w:t>
      </w:r>
      <w:r w:rsidR="009B3EB2" w:rsidRPr="00FA2E2E">
        <w:rPr>
          <w:lang w:val="fr-FR"/>
        </w:rPr>
        <w:t xml:space="preserve">. </w:t>
      </w:r>
      <w:r w:rsidRPr="00FA2E2E">
        <w:rPr>
          <w:lang w:val="fr-FR"/>
        </w:rPr>
        <w:t xml:space="preserve">Une exposition aiguë ou chronique </w:t>
      </w:r>
      <w:r w:rsidR="009A3117" w:rsidRPr="00FA2E2E">
        <w:rPr>
          <w:lang w:val="fr-FR"/>
        </w:rPr>
        <w:t xml:space="preserve">élevée </w:t>
      </w:r>
      <w:r w:rsidRPr="00FA2E2E">
        <w:rPr>
          <w:lang w:val="fr-FR"/>
        </w:rPr>
        <w:t>au mercure et aux composés du mercure constitue un risque grave pour la santé humaine et l</w:t>
      </w:r>
      <w:r w:rsidR="00FE58E1" w:rsidRPr="00FA2E2E">
        <w:rPr>
          <w:lang w:val="fr-FR"/>
        </w:rPr>
        <w:t>’</w:t>
      </w:r>
      <w:r w:rsidRPr="00FA2E2E">
        <w:rPr>
          <w:lang w:val="fr-FR"/>
        </w:rPr>
        <w:t>environnement</w:t>
      </w:r>
      <w:r w:rsidR="00856712" w:rsidRPr="00FA2E2E">
        <w:rPr>
          <w:lang w:val="fr-FR"/>
        </w:rPr>
        <w:t>.</w:t>
      </w:r>
    </w:p>
    <w:p w14:paraId="02212FAD" w14:textId="44A75AA4" w:rsidR="00D31AFF" w:rsidRPr="00FA2E2E" w:rsidRDefault="000E0176" w:rsidP="006D69D3">
      <w:pPr>
        <w:pStyle w:val="Normalnumber"/>
        <w:rPr>
          <w:lang w:val="fr-FR"/>
        </w:rPr>
      </w:pPr>
      <w:r w:rsidRPr="00FA2E2E">
        <w:rPr>
          <w:lang w:val="fr-FR"/>
        </w:rPr>
        <w:t>Du point de vue de la santé humaine, il peut avoir des effets sur le cerveau, le cœur, les reins, les poumons et le système immunitaire chez des individus de tous âges. Des taux élevés de méthylmercure dans le système sanguin des fœtus et des jeunes enfants peuvent nuire au développement du système nerveux</w:t>
      </w:r>
      <w:r w:rsidR="00D31AFF" w:rsidRPr="00FA2E2E">
        <w:rPr>
          <w:lang w:val="fr-FR"/>
        </w:rPr>
        <w:t xml:space="preserve">. </w:t>
      </w:r>
    </w:p>
    <w:p w14:paraId="77588C6A" w14:textId="1D59E801" w:rsidR="00816847" w:rsidRPr="00FA2E2E" w:rsidRDefault="00816847" w:rsidP="00E1739A">
      <w:pPr>
        <w:pStyle w:val="Titlefigure"/>
        <w:rPr>
          <w:lang w:val="fr-FR"/>
        </w:rPr>
      </w:pPr>
      <w:r w:rsidRPr="00FA2E2E">
        <w:rPr>
          <w:b w:val="0"/>
          <w:lang w:val="fr-FR"/>
        </w:rPr>
        <w:t>Figure</w:t>
      </w:r>
      <w:r w:rsidR="009234B0" w:rsidRPr="00FA2E2E">
        <w:rPr>
          <w:b w:val="0"/>
          <w:lang w:val="fr-FR"/>
        </w:rPr>
        <w:t> </w:t>
      </w:r>
      <w:r w:rsidRPr="00FA2E2E">
        <w:rPr>
          <w:b w:val="0"/>
          <w:lang w:val="fr-FR"/>
        </w:rPr>
        <w:t>2</w:t>
      </w:r>
      <w:r w:rsidR="00E1739A" w:rsidRPr="00FA2E2E">
        <w:rPr>
          <w:lang w:val="fr-FR"/>
        </w:rPr>
        <w:t xml:space="preserve"> </w:t>
      </w:r>
      <w:r w:rsidR="00E1739A" w:rsidRPr="00FA2E2E">
        <w:rPr>
          <w:lang w:val="fr-FR"/>
        </w:rPr>
        <w:br/>
      </w:r>
      <w:r w:rsidR="009308A1" w:rsidRPr="00FA2E2E">
        <w:rPr>
          <w:lang w:val="fr-FR"/>
        </w:rPr>
        <w:t>Sources</w:t>
      </w:r>
      <w:r w:rsidR="009234B0" w:rsidRPr="00FA2E2E">
        <w:rPr>
          <w:lang w:val="fr-FR"/>
        </w:rPr>
        <w:t xml:space="preserve"> de mercure et voies d</w:t>
      </w:r>
      <w:r w:rsidR="00FE58E1" w:rsidRPr="00FA2E2E">
        <w:rPr>
          <w:lang w:val="fr-FR"/>
        </w:rPr>
        <w:t>’</w:t>
      </w:r>
      <w:r w:rsidR="009234B0" w:rsidRPr="00FA2E2E">
        <w:rPr>
          <w:lang w:val="fr-FR"/>
        </w:rPr>
        <w:t>exposition au mercure</w:t>
      </w:r>
    </w:p>
    <w:p w14:paraId="4E2EBB0A" w14:textId="0AA7BED6" w:rsidR="008B22F8" w:rsidRPr="00FA2E2E" w:rsidRDefault="00D31AFF" w:rsidP="00D31AFF">
      <w:pPr>
        <w:pStyle w:val="Normalnumber"/>
        <w:numPr>
          <w:ilvl w:val="0"/>
          <w:numId w:val="0"/>
        </w:numPr>
        <w:ind w:left="1418"/>
        <w:rPr>
          <w:lang w:val="fr-FR"/>
        </w:rPr>
      </w:pPr>
      <w:r w:rsidRPr="00FA2E2E">
        <w:rPr>
          <w:noProof/>
          <w:lang w:val="fr-FR" w:eastAsia="en-GB"/>
        </w:rPr>
        <w:drawing>
          <wp:inline distT="0" distB="0" distL="0" distR="0" wp14:anchorId="341C9105" wp14:editId="46F43C2A">
            <wp:extent cx="4909663" cy="360045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49239" cy="3629473"/>
                    </a:xfrm>
                    <a:prstGeom prst="rect">
                      <a:avLst/>
                    </a:prstGeom>
                    <a:noFill/>
                  </pic:spPr>
                </pic:pic>
              </a:graphicData>
            </a:graphic>
          </wp:inline>
        </w:drawing>
      </w:r>
    </w:p>
    <w:p w14:paraId="6050D21C" w14:textId="77777777" w:rsidR="008B22F8" w:rsidRPr="00FA2E2E" w:rsidRDefault="008B22F8">
      <w:pPr>
        <w:tabs>
          <w:tab w:val="clear" w:pos="1247"/>
          <w:tab w:val="clear" w:pos="1814"/>
          <w:tab w:val="clear" w:pos="2381"/>
          <w:tab w:val="clear" w:pos="2948"/>
          <w:tab w:val="clear" w:pos="3515"/>
        </w:tabs>
      </w:pPr>
      <w:r w:rsidRPr="00FA2E2E">
        <w:br w:type="page"/>
      </w:r>
    </w:p>
    <w:p w14:paraId="79C4B6DA" w14:textId="77777777" w:rsidR="00D31AFF" w:rsidRPr="00FA2E2E" w:rsidRDefault="00D31AFF" w:rsidP="00D31AFF">
      <w:pPr>
        <w:pStyle w:val="Normalnumber"/>
        <w:numPr>
          <w:ilvl w:val="0"/>
          <w:numId w:val="0"/>
        </w:numPr>
        <w:ind w:left="1418"/>
        <w:rPr>
          <w:lang w:val="fr-FR"/>
        </w:rPr>
      </w:pPr>
    </w:p>
    <w:tbl>
      <w:tblPr>
        <w:tblStyle w:val="TableGrid"/>
        <w:tblW w:w="0" w:type="auto"/>
        <w:tblLook w:val="04A0" w:firstRow="1" w:lastRow="0" w:firstColumn="1" w:lastColumn="0" w:noHBand="0" w:noVBand="1"/>
      </w:tblPr>
      <w:tblGrid>
        <w:gridCol w:w="4743"/>
        <w:gridCol w:w="4743"/>
      </w:tblGrid>
      <w:tr w:rsidR="00C56F63" w:rsidRPr="00FA2E2E" w14:paraId="6E6CB954" w14:textId="77777777" w:rsidTr="00C56F63">
        <w:tc>
          <w:tcPr>
            <w:tcW w:w="4743" w:type="dxa"/>
          </w:tcPr>
          <w:p w14:paraId="5458D0B7" w14:textId="0414288C" w:rsidR="00C56F63" w:rsidRPr="00FA2E2E" w:rsidRDefault="00C56F63" w:rsidP="008B22F8">
            <w:pPr>
              <w:rPr>
                <w:sz w:val="16"/>
                <w:szCs w:val="16"/>
              </w:rPr>
            </w:pPr>
            <w:r w:rsidRPr="00FA2E2E">
              <w:rPr>
                <w:sz w:val="16"/>
                <w:szCs w:val="16"/>
              </w:rPr>
              <w:t>ENGLISH</w:t>
            </w:r>
          </w:p>
        </w:tc>
        <w:tc>
          <w:tcPr>
            <w:tcW w:w="4743" w:type="dxa"/>
          </w:tcPr>
          <w:p w14:paraId="6E4BD664" w14:textId="295D5EAA" w:rsidR="00C56F63" w:rsidRPr="00FA2E2E" w:rsidRDefault="00C56F63" w:rsidP="008B22F8">
            <w:pPr>
              <w:rPr>
                <w:sz w:val="16"/>
                <w:szCs w:val="16"/>
              </w:rPr>
            </w:pPr>
            <w:r w:rsidRPr="00FA2E2E">
              <w:rPr>
                <w:sz w:val="16"/>
                <w:szCs w:val="16"/>
              </w:rPr>
              <w:t>TRANSLATION</w:t>
            </w:r>
          </w:p>
        </w:tc>
      </w:tr>
      <w:tr w:rsidR="00C56F63" w:rsidRPr="00FA2E2E" w14:paraId="47A366C6" w14:textId="77777777" w:rsidTr="00C56F63">
        <w:tc>
          <w:tcPr>
            <w:tcW w:w="4743" w:type="dxa"/>
          </w:tcPr>
          <w:p w14:paraId="5C0EC739" w14:textId="3A29C4CC" w:rsidR="00C56F63" w:rsidRPr="00FA2E2E" w:rsidRDefault="00C56F63" w:rsidP="008B22F8">
            <w:pPr>
              <w:rPr>
                <w:sz w:val="16"/>
                <w:szCs w:val="16"/>
              </w:rPr>
            </w:pPr>
            <w:r w:rsidRPr="00FA2E2E">
              <w:rPr>
                <w:sz w:val="16"/>
                <w:szCs w:val="16"/>
              </w:rPr>
              <w:t>How mercury can enter our bodies :</w:t>
            </w:r>
          </w:p>
        </w:tc>
        <w:tc>
          <w:tcPr>
            <w:tcW w:w="4743" w:type="dxa"/>
          </w:tcPr>
          <w:p w14:paraId="5B97FFE5" w14:textId="77777777" w:rsidR="00C56F63" w:rsidRPr="00FA2E2E" w:rsidRDefault="00C56F63" w:rsidP="008B22F8">
            <w:pPr>
              <w:rPr>
                <w:sz w:val="16"/>
                <w:szCs w:val="16"/>
              </w:rPr>
            </w:pPr>
            <w:r w:rsidRPr="00FA2E2E">
              <w:rPr>
                <w:sz w:val="16"/>
                <w:szCs w:val="16"/>
              </w:rPr>
              <w:t>Comment le mercure peut pénétrer dans nos corps</w:t>
            </w:r>
          </w:p>
          <w:p w14:paraId="3DFDAB5A" w14:textId="77777777" w:rsidR="00C56F63" w:rsidRPr="00FA2E2E" w:rsidRDefault="00C56F63" w:rsidP="008B22F8">
            <w:pPr>
              <w:rPr>
                <w:sz w:val="16"/>
                <w:szCs w:val="16"/>
              </w:rPr>
            </w:pPr>
          </w:p>
        </w:tc>
      </w:tr>
      <w:tr w:rsidR="00C56F63" w:rsidRPr="00FA2E2E" w14:paraId="3262D755" w14:textId="77777777" w:rsidTr="00C56F63">
        <w:tc>
          <w:tcPr>
            <w:tcW w:w="4743" w:type="dxa"/>
          </w:tcPr>
          <w:p w14:paraId="62AA93EB" w14:textId="59992C07" w:rsidR="00C56F63" w:rsidRPr="00FA2E2E" w:rsidRDefault="00C56F63" w:rsidP="008B22F8">
            <w:pPr>
              <w:rPr>
                <w:sz w:val="16"/>
                <w:szCs w:val="16"/>
              </w:rPr>
            </w:pPr>
            <w:r w:rsidRPr="00FA2E2E">
              <w:rPr>
                <w:sz w:val="16"/>
                <w:szCs w:val="16"/>
              </w:rPr>
              <w:t>Volcanoes and other natural sources :</w:t>
            </w:r>
          </w:p>
        </w:tc>
        <w:tc>
          <w:tcPr>
            <w:tcW w:w="4743" w:type="dxa"/>
          </w:tcPr>
          <w:p w14:paraId="5C5AB8ED" w14:textId="77777777" w:rsidR="00C56F63" w:rsidRPr="00FA2E2E" w:rsidRDefault="00C56F63" w:rsidP="008B22F8">
            <w:pPr>
              <w:rPr>
                <w:sz w:val="16"/>
                <w:szCs w:val="16"/>
              </w:rPr>
            </w:pPr>
            <w:r w:rsidRPr="00FA2E2E">
              <w:rPr>
                <w:sz w:val="16"/>
                <w:szCs w:val="16"/>
              </w:rPr>
              <w:t>Volcans et autres sources naturelles</w:t>
            </w:r>
          </w:p>
          <w:p w14:paraId="44F97DFB" w14:textId="77777777" w:rsidR="00C56F63" w:rsidRPr="00FA2E2E" w:rsidRDefault="00C56F63" w:rsidP="008B22F8">
            <w:pPr>
              <w:rPr>
                <w:sz w:val="16"/>
                <w:szCs w:val="16"/>
              </w:rPr>
            </w:pPr>
          </w:p>
        </w:tc>
      </w:tr>
      <w:tr w:rsidR="00C56F63" w:rsidRPr="00FA2E2E" w14:paraId="7F7DF431" w14:textId="77777777" w:rsidTr="00C56F63">
        <w:tc>
          <w:tcPr>
            <w:tcW w:w="4743" w:type="dxa"/>
          </w:tcPr>
          <w:p w14:paraId="14EBA6DB" w14:textId="3F11A6BB" w:rsidR="00C56F63" w:rsidRPr="00FA2E2E" w:rsidRDefault="00C56F63" w:rsidP="008B22F8">
            <w:pPr>
              <w:rPr>
                <w:sz w:val="16"/>
                <w:szCs w:val="16"/>
              </w:rPr>
            </w:pPr>
            <w:r w:rsidRPr="00FA2E2E">
              <w:rPr>
                <w:sz w:val="16"/>
                <w:szCs w:val="16"/>
              </w:rPr>
              <w:t>Artisanal and small scale gold mining :</w:t>
            </w:r>
          </w:p>
        </w:tc>
        <w:tc>
          <w:tcPr>
            <w:tcW w:w="4743" w:type="dxa"/>
          </w:tcPr>
          <w:p w14:paraId="6B8445F1" w14:textId="77777777" w:rsidR="00C56F63" w:rsidRPr="00FA2E2E" w:rsidRDefault="00C56F63" w:rsidP="008B22F8">
            <w:pPr>
              <w:rPr>
                <w:sz w:val="16"/>
                <w:szCs w:val="16"/>
              </w:rPr>
            </w:pPr>
            <w:r w:rsidRPr="00FA2E2E">
              <w:rPr>
                <w:sz w:val="16"/>
                <w:szCs w:val="16"/>
              </w:rPr>
              <w:t>Extraction minière artisanale et à petite échelle d’or</w:t>
            </w:r>
          </w:p>
          <w:p w14:paraId="2F6CE445" w14:textId="77777777" w:rsidR="00C56F63" w:rsidRPr="00FA2E2E" w:rsidRDefault="00C56F63" w:rsidP="008B22F8">
            <w:pPr>
              <w:rPr>
                <w:sz w:val="16"/>
                <w:szCs w:val="16"/>
              </w:rPr>
            </w:pPr>
          </w:p>
        </w:tc>
      </w:tr>
      <w:tr w:rsidR="00C56F63" w:rsidRPr="00FA2E2E" w14:paraId="533996C9" w14:textId="77777777" w:rsidTr="00C56F63">
        <w:tc>
          <w:tcPr>
            <w:tcW w:w="4743" w:type="dxa"/>
          </w:tcPr>
          <w:p w14:paraId="1E0E06CC" w14:textId="449B7326" w:rsidR="00C56F63" w:rsidRPr="00FA2E2E" w:rsidRDefault="00C56F63" w:rsidP="008B22F8">
            <w:pPr>
              <w:rPr>
                <w:sz w:val="16"/>
                <w:szCs w:val="16"/>
              </w:rPr>
            </w:pPr>
            <w:r w:rsidRPr="00FA2E2E">
              <w:rPr>
                <w:sz w:val="16"/>
                <w:szCs w:val="16"/>
              </w:rPr>
              <w:t>Urban sewage system :</w:t>
            </w:r>
          </w:p>
        </w:tc>
        <w:tc>
          <w:tcPr>
            <w:tcW w:w="4743" w:type="dxa"/>
          </w:tcPr>
          <w:p w14:paraId="134D38B7" w14:textId="77777777" w:rsidR="00C56F63" w:rsidRPr="00FA2E2E" w:rsidRDefault="00C56F63" w:rsidP="008B22F8">
            <w:pPr>
              <w:rPr>
                <w:sz w:val="16"/>
                <w:szCs w:val="16"/>
              </w:rPr>
            </w:pPr>
            <w:r w:rsidRPr="00FA2E2E">
              <w:rPr>
                <w:sz w:val="16"/>
                <w:szCs w:val="16"/>
              </w:rPr>
              <w:t>Réseau d’assainissement urbain</w:t>
            </w:r>
          </w:p>
          <w:p w14:paraId="1B27717D" w14:textId="77777777" w:rsidR="00C56F63" w:rsidRPr="00FA2E2E" w:rsidRDefault="00C56F63" w:rsidP="008B22F8">
            <w:pPr>
              <w:rPr>
                <w:sz w:val="16"/>
                <w:szCs w:val="16"/>
              </w:rPr>
            </w:pPr>
          </w:p>
        </w:tc>
      </w:tr>
      <w:tr w:rsidR="00C56F63" w:rsidRPr="00FA2E2E" w14:paraId="3F3377D4" w14:textId="77777777" w:rsidTr="00C56F63">
        <w:tc>
          <w:tcPr>
            <w:tcW w:w="4743" w:type="dxa"/>
          </w:tcPr>
          <w:p w14:paraId="635A76B5" w14:textId="3037BC91" w:rsidR="00C56F63" w:rsidRPr="00FA2E2E" w:rsidRDefault="00C56F63" w:rsidP="008B22F8">
            <w:pPr>
              <w:rPr>
                <w:sz w:val="16"/>
                <w:szCs w:val="16"/>
              </w:rPr>
            </w:pPr>
            <w:r w:rsidRPr="00FA2E2E">
              <w:rPr>
                <w:sz w:val="16"/>
                <w:szCs w:val="16"/>
              </w:rPr>
              <w:t>Products :</w:t>
            </w:r>
          </w:p>
        </w:tc>
        <w:tc>
          <w:tcPr>
            <w:tcW w:w="4743" w:type="dxa"/>
          </w:tcPr>
          <w:p w14:paraId="7D961BA3" w14:textId="77777777" w:rsidR="00C56F63" w:rsidRPr="00FA2E2E" w:rsidRDefault="00C56F63" w:rsidP="008B22F8">
            <w:pPr>
              <w:rPr>
                <w:sz w:val="16"/>
                <w:szCs w:val="16"/>
              </w:rPr>
            </w:pPr>
            <w:r w:rsidRPr="00FA2E2E">
              <w:rPr>
                <w:sz w:val="16"/>
                <w:szCs w:val="16"/>
              </w:rPr>
              <w:t>Produits</w:t>
            </w:r>
          </w:p>
          <w:p w14:paraId="2088E7DB" w14:textId="77777777" w:rsidR="00C56F63" w:rsidRPr="00FA2E2E" w:rsidRDefault="00C56F63" w:rsidP="008B22F8">
            <w:pPr>
              <w:rPr>
                <w:sz w:val="16"/>
                <w:szCs w:val="16"/>
              </w:rPr>
            </w:pPr>
          </w:p>
        </w:tc>
      </w:tr>
      <w:tr w:rsidR="00C56F63" w:rsidRPr="00FA2E2E" w14:paraId="5C2108DD" w14:textId="77777777" w:rsidTr="00C56F63">
        <w:tc>
          <w:tcPr>
            <w:tcW w:w="4743" w:type="dxa"/>
          </w:tcPr>
          <w:p w14:paraId="3488CD7E" w14:textId="076F8A2C" w:rsidR="00C56F63" w:rsidRPr="00FA2E2E" w:rsidRDefault="00C56F63" w:rsidP="008B22F8">
            <w:pPr>
              <w:rPr>
                <w:sz w:val="16"/>
                <w:szCs w:val="16"/>
              </w:rPr>
            </w:pPr>
            <w:r w:rsidRPr="00FA2E2E">
              <w:rPr>
                <w:sz w:val="16"/>
                <w:szCs w:val="16"/>
              </w:rPr>
              <w:t>Waste incineration and cremation :</w:t>
            </w:r>
          </w:p>
        </w:tc>
        <w:tc>
          <w:tcPr>
            <w:tcW w:w="4743" w:type="dxa"/>
          </w:tcPr>
          <w:p w14:paraId="356B75A1" w14:textId="77777777" w:rsidR="00C56F63" w:rsidRPr="00FA2E2E" w:rsidRDefault="00C56F63" w:rsidP="008B22F8">
            <w:pPr>
              <w:rPr>
                <w:sz w:val="16"/>
                <w:szCs w:val="16"/>
              </w:rPr>
            </w:pPr>
            <w:r w:rsidRPr="00FA2E2E">
              <w:rPr>
                <w:sz w:val="16"/>
                <w:szCs w:val="16"/>
              </w:rPr>
              <w:t>Incinération de déchets et crémation</w:t>
            </w:r>
          </w:p>
          <w:p w14:paraId="7F402D91" w14:textId="77777777" w:rsidR="00C56F63" w:rsidRPr="00FA2E2E" w:rsidRDefault="00C56F63" w:rsidP="008B22F8">
            <w:pPr>
              <w:rPr>
                <w:sz w:val="16"/>
                <w:szCs w:val="16"/>
              </w:rPr>
            </w:pPr>
          </w:p>
        </w:tc>
      </w:tr>
      <w:tr w:rsidR="00C56F63" w:rsidRPr="00FA2E2E" w14:paraId="03FB5958" w14:textId="77777777" w:rsidTr="00C56F63">
        <w:tc>
          <w:tcPr>
            <w:tcW w:w="4743" w:type="dxa"/>
          </w:tcPr>
          <w:p w14:paraId="7A5DE36B" w14:textId="09E5B950" w:rsidR="00C56F63" w:rsidRPr="00FA2E2E" w:rsidRDefault="00C56F63" w:rsidP="008B22F8">
            <w:pPr>
              <w:rPr>
                <w:sz w:val="16"/>
                <w:szCs w:val="16"/>
              </w:rPr>
            </w:pPr>
            <w:r w:rsidRPr="00FA2E2E">
              <w:rPr>
                <w:sz w:val="16"/>
                <w:szCs w:val="16"/>
              </w:rPr>
              <w:t>Landfill :</w:t>
            </w:r>
          </w:p>
        </w:tc>
        <w:tc>
          <w:tcPr>
            <w:tcW w:w="4743" w:type="dxa"/>
          </w:tcPr>
          <w:p w14:paraId="6293C648" w14:textId="77777777" w:rsidR="00C56F63" w:rsidRPr="00FA2E2E" w:rsidRDefault="00C56F63" w:rsidP="008B22F8">
            <w:pPr>
              <w:rPr>
                <w:sz w:val="16"/>
                <w:szCs w:val="16"/>
              </w:rPr>
            </w:pPr>
            <w:r w:rsidRPr="00FA2E2E">
              <w:rPr>
                <w:sz w:val="16"/>
                <w:szCs w:val="16"/>
              </w:rPr>
              <w:t>Décharges</w:t>
            </w:r>
          </w:p>
          <w:p w14:paraId="7EEA779A" w14:textId="77777777" w:rsidR="00C56F63" w:rsidRPr="00FA2E2E" w:rsidRDefault="00C56F63" w:rsidP="008B22F8">
            <w:pPr>
              <w:rPr>
                <w:sz w:val="16"/>
                <w:szCs w:val="16"/>
              </w:rPr>
            </w:pPr>
          </w:p>
        </w:tc>
      </w:tr>
      <w:tr w:rsidR="00C56F63" w:rsidRPr="00FA2E2E" w14:paraId="656CB68A" w14:textId="77777777" w:rsidTr="00C56F63">
        <w:tc>
          <w:tcPr>
            <w:tcW w:w="4743" w:type="dxa"/>
          </w:tcPr>
          <w:p w14:paraId="2EEC5646" w14:textId="5B8042C1" w:rsidR="00C56F63" w:rsidRPr="00FA2E2E" w:rsidRDefault="00C56F63" w:rsidP="008B22F8">
            <w:pPr>
              <w:rPr>
                <w:sz w:val="16"/>
                <w:szCs w:val="16"/>
              </w:rPr>
            </w:pPr>
            <w:r w:rsidRPr="00FA2E2E">
              <w:rPr>
                <w:sz w:val="16"/>
                <w:szCs w:val="16"/>
              </w:rPr>
              <w:t>Coal power plants :</w:t>
            </w:r>
          </w:p>
        </w:tc>
        <w:tc>
          <w:tcPr>
            <w:tcW w:w="4743" w:type="dxa"/>
          </w:tcPr>
          <w:p w14:paraId="1B6830CB" w14:textId="77777777" w:rsidR="00C56F63" w:rsidRPr="00FA2E2E" w:rsidRDefault="00C56F63" w:rsidP="008B22F8">
            <w:pPr>
              <w:rPr>
                <w:sz w:val="16"/>
                <w:szCs w:val="16"/>
              </w:rPr>
            </w:pPr>
            <w:r w:rsidRPr="00FA2E2E">
              <w:rPr>
                <w:sz w:val="16"/>
                <w:szCs w:val="16"/>
              </w:rPr>
              <w:t>Centrales électriques au charbon</w:t>
            </w:r>
          </w:p>
          <w:p w14:paraId="3BB68DDA" w14:textId="77777777" w:rsidR="00C56F63" w:rsidRPr="00FA2E2E" w:rsidRDefault="00C56F63" w:rsidP="008B22F8">
            <w:pPr>
              <w:rPr>
                <w:sz w:val="16"/>
                <w:szCs w:val="16"/>
              </w:rPr>
            </w:pPr>
          </w:p>
        </w:tc>
      </w:tr>
      <w:tr w:rsidR="00C56F63" w:rsidRPr="00FA2E2E" w14:paraId="49C25CB1" w14:textId="77777777" w:rsidTr="00C56F63">
        <w:tc>
          <w:tcPr>
            <w:tcW w:w="4743" w:type="dxa"/>
          </w:tcPr>
          <w:p w14:paraId="095FA581" w14:textId="6833261C" w:rsidR="00C56F63" w:rsidRPr="00FA2E2E" w:rsidRDefault="00C56F63" w:rsidP="008B22F8">
            <w:pPr>
              <w:rPr>
                <w:sz w:val="16"/>
                <w:szCs w:val="16"/>
              </w:rPr>
            </w:pPr>
            <w:r w:rsidRPr="00FA2E2E">
              <w:rPr>
                <w:sz w:val="16"/>
                <w:szCs w:val="16"/>
              </w:rPr>
              <w:t>Deposition to water :</w:t>
            </w:r>
          </w:p>
        </w:tc>
        <w:tc>
          <w:tcPr>
            <w:tcW w:w="4743" w:type="dxa"/>
          </w:tcPr>
          <w:p w14:paraId="70EF2196" w14:textId="77777777" w:rsidR="00C56F63" w:rsidRPr="00FA2E2E" w:rsidRDefault="00C56F63" w:rsidP="008B22F8">
            <w:pPr>
              <w:rPr>
                <w:sz w:val="16"/>
                <w:szCs w:val="16"/>
              </w:rPr>
            </w:pPr>
            <w:r w:rsidRPr="00FA2E2E">
              <w:rPr>
                <w:sz w:val="16"/>
                <w:szCs w:val="16"/>
              </w:rPr>
              <w:t>Dépôts dans l’eau</w:t>
            </w:r>
          </w:p>
          <w:p w14:paraId="355CF226" w14:textId="77777777" w:rsidR="00C56F63" w:rsidRPr="00FA2E2E" w:rsidRDefault="00C56F63" w:rsidP="008B22F8">
            <w:pPr>
              <w:rPr>
                <w:sz w:val="16"/>
                <w:szCs w:val="16"/>
              </w:rPr>
            </w:pPr>
          </w:p>
        </w:tc>
      </w:tr>
      <w:tr w:rsidR="00C56F63" w:rsidRPr="00FA2E2E" w14:paraId="22E902EA" w14:textId="77777777" w:rsidTr="00C56F63">
        <w:tc>
          <w:tcPr>
            <w:tcW w:w="4743" w:type="dxa"/>
          </w:tcPr>
          <w:p w14:paraId="1B9D1C4E" w14:textId="5FC0CBBF" w:rsidR="00C56F63" w:rsidRPr="00FA2E2E" w:rsidRDefault="00C56F63" w:rsidP="008B22F8">
            <w:pPr>
              <w:rPr>
                <w:sz w:val="16"/>
                <w:szCs w:val="16"/>
              </w:rPr>
            </w:pPr>
            <w:r w:rsidRPr="00FA2E2E">
              <w:rPr>
                <w:sz w:val="16"/>
                <w:szCs w:val="16"/>
              </w:rPr>
              <w:t>Landfill leachate :</w:t>
            </w:r>
          </w:p>
        </w:tc>
        <w:tc>
          <w:tcPr>
            <w:tcW w:w="4743" w:type="dxa"/>
          </w:tcPr>
          <w:p w14:paraId="681EB682" w14:textId="77777777" w:rsidR="00C56F63" w:rsidRPr="00FA2E2E" w:rsidRDefault="00C56F63" w:rsidP="008B22F8">
            <w:pPr>
              <w:rPr>
                <w:sz w:val="16"/>
                <w:szCs w:val="16"/>
              </w:rPr>
            </w:pPr>
            <w:r w:rsidRPr="00FA2E2E">
              <w:rPr>
                <w:sz w:val="16"/>
                <w:szCs w:val="16"/>
              </w:rPr>
              <w:t>Lixiviats de décharges</w:t>
            </w:r>
          </w:p>
          <w:p w14:paraId="75539787" w14:textId="77777777" w:rsidR="00C56F63" w:rsidRPr="00FA2E2E" w:rsidRDefault="00C56F63" w:rsidP="008B22F8">
            <w:pPr>
              <w:rPr>
                <w:sz w:val="16"/>
                <w:szCs w:val="16"/>
              </w:rPr>
            </w:pPr>
          </w:p>
        </w:tc>
      </w:tr>
      <w:tr w:rsidR="00C56F63" w:rsidRPr="00FA2E2E" w14:paraId="08DF3AD7" w14:textId="77777777" w:rsidTr="00C56F63">
        <w:tc>
          <w:tcPr>
            <w:tcW w:w="4743" w:type="dxa"/>
          </w:tcPr>
          <w:p w14:paraId="03667869" w14:textId="68BB4AB2" w:rsidR="00C56F63" w:rsidRPr="00FA2E2E" w:rsidRDefault="00C56F63" w:rsidP="008B22F8">
            <w:pPr>
              <w:rPr>
                <w:sz w:val="16"/>
                <w:szCs w:val="16"/>
              </w:rPr>
            </w:pPr>
            <w:r w:rsidRPr="00FA2E2E">
              <w:rPr>
                <w:sz w:val="16"/>
                <w:szCs w:val="16"/>
              </w:rPr>
              <w:t>Cement plants :</w:t>
            </w:r>
          </w:p>
        </w:tc>
        <w:tc>
          <w:tcPr>
            <w:tcW w:w="4743" w:type="dxa"/>
          </w:tcPr>
          <w:p w14:paraId="234DC545" w14:textId="77777777" w:rsidR="00C56F63" w:rsidRPr="00FA2E2E" w:rsidRDefault="00C56F63" w:rsidP="008B22F8">
            <w:pPr>
              <w:rPr>
                <w:sz w:val="16"/>
                <w:szCs w:val="16"/>
              </w:rPr>
            </w:pPr>
            <w:r w:rsidRPr="00FA2E2E">
              <w:rPr>
                <w:sz w:val="16"/>
                <w:szCs w:val="16"/>
              </w:rPr>
              <w:t>Cimenteries</w:t>
            </w:r>
          </w:p>
          <w:p w14:paraId="0D261423" w14:textId="77777777" w:rsidR="00C56F63" w:rsidRPr="00FA2E2E" w:rsidRDefault="00C56F63" w:rsidP="008B22F8">
            <w:pPr>
              <w:rPr>
                <w:sz w:val="16"/>
                <w:szCs w:val="16"/>
              </w:rPr>
            </w:pPr>
          </w:p>
        </w:tc>
      </w:tr>
      <w:tr w:rsidR="00C56F63" w:rsidRPr="00FA2E2E" w14:paraId="3D25BA75" w14:textId="77777777" w:rsidTr="00C56F63">
        <w:tc>
          <w:tcPr>
            <w:tcW w:w="4743" w:type="dxa"/>
          </w:tcPr>
          <w:p w14:paraId="27BDFF35" w14:textId="16E2B278" w:rsidR="00C56F63" w:rsidRPr="00FA2E2E" w:rsidRDefault="00C56F63" w:rsidP="008B22F8">
            <w:pPr>
              <w:rPr>
                <w:sz w:val="16"/>
                <w:szCs w:val="16"/>
              </w:rPr>
            </w:pPr>
            <w:r w:rsidRPr="00FA2E2E">
              <w:rPr>
                <w:sz w:val="16"/>
                <w:szCs w:val="16"/>
              </w:rPr>
              <w:t>Chlor-alkali plants :</w:t>
            </w:r>
          </w:p>
        </w:tc>
        <w:tc>
          <w:tcPr>
            <w:tcW w:w="4743" w:type="dxa"/>
          </w:tcPr>
          <w:p w14:paraId="492A0801" w14:textId="77777777" w:rsidR="00C56F63" w:rsidRPr="00FA2E2E" w:rsidRDefault="00C56F63" w:rsidP="008B22F8">
            <w:pPr>
              <w:rPr>
                <w:sz w:val="16"/>
                <w:szCs w:val="16"/>
              </w:rPr>
            </w:pPr>
            <w:r w:rsidRPr="00FA2E2E">
              <w:rPr>
                <w:sz w:val="16"/>
                <w:szCs w:val="16"/>
              </w:rPr>
              <w:t>Usines de chlore-alcali</w:t>
            </w:r>
          </w:p>
          <w:p w14:paraId="3EF44C73" w14:textId="77777777" w:rsidR="00C56F63" w:rsidRPr="00FA2E2E" w:rsidRDefault="00C56F63" w:rsidP="008B22F8">
            <w:pPr>
              <w:rPr>
                <w:sz w:val="16"/>
                <w:szCs w:val="16"/>
              </w:rPr>
            </w:pPr>
          </w:p>
        </w:tc>
      </w:tr>
      <w:tr w:rsidR="00C56F63" w:rsidRPr="00FA2E2E" w14:paraId="1D096B6B" w14:textId="77777777" w:rsidTr="00C56F63">
        <w:tc>
          <w:tcPr>
            <w:tcW w:w="4743" w:type="dxa"/>
          </w:tcPr>
          <w:p w14:paraId="4D0B499B" w14:textId="385CF4B5" w:rsidR="00C56F63" w:rsidRPr="00FA2E2E" w:rsidRDefault="00C56F63" w:rsidP="008B22F8">
            <w:pPr>
              <w:rPr>
                <w:sz w:val="16"/>
                <w:szCs w:val="16"/>
              </w:rPr>
            </w:pPr>
            <w:r w:rsidRPr="00FA2E2E">
              <w:rPr>
                <w:sz w:val="16"/>
                <w:szCs w:val="16"/>
              </w:rPr>
              <w:t>Vinyl chloride monomer plants :</w:t>
            </w:r>
          </w:p>
        </w:tc>
        <w:tc>
          <w:tcPr>
            <w:tcW w:w="4743" w:type="dxa"/>
          </w:tcPr>
          <w:p w14:paraId="0B852D79" w14:textId="77777777" w:rsidR="00C56F63" w:rsidRPr="00FA2E2E" w:rsidRDefault="00C56F63" w:rsidP="008B22F8">
            <w:pPr>
              <w:rPr>
                <w:sz w:val="16"/>
                <w:szCs w:val="16"/>
              </w:rPr>
            </w:pPr>
            <w:r w:rsidRPr="00FA2E2E">
              <w:rPr>
                <w:sz w:val="16"/>
                <w:szCs w:val="16"/>
              </w:rPr>
              <w:t>Usines de chlorure de vinyle monomère</w:t>
            </w:r>
          </w:p>
          <w:p w14:paraId="4513A0B7" w14:textId="77777777" w:rsidR="00C56F63" w:rsidRPr="00FA2E2E" w:rsidRDefault="00C56F63" w:rsidP="008B22F8">
            <w:pPr>
              <w:rPr>
                <w:sz w:val="16"/>
                <w:szCs w:val="16"/>
              </w:rPr>
            </w:pPr>
          </w:p>
        </w:tc>
      </w:tr>
      <w:tr w:rsidR="00C56F63" w:rsidRPr="00FA2E2E" w14:paraId="3F19AC8F" w14:textId="77777777" w:rsidTr="00C56F63">
        <w:tc>
          <w:tcPr>
            <w:tcW w:w="4743" w:type="dxa"/>
          </w:tcPr>
          <w:p w14:paraId="4D2798FD" w14:textId="2CE6D78F" w:rsidR="00C56F63" w:rsidRPr="00FA2E2E" w:rsidRDefault="00C56F63" w:rsidP="008B22F8">
            <w:pPr>
              <w:rPr>
                <w:sz w:val="16"/>
                <w:szCs w:val="16"/>
              </w:rPr>
            </w:pPr>
            <w:r w:rsidRPr="00FA2E2E">
              <w:rPr>
                <w:sz w:val="16"/>
                <w:szCs w:val="16"/>
              </w:rPr>
              <w:t>Larger fish :</w:t>
            </w:r>
          </w:p>
        </w:tc>
        <w:tc>
          <w:tcPr>
            <w:tcW w:w="4743" w:type="dxa"/>
          </w:tcPr>
          <w:p w14:paraId="5A5A9FFF" w14:textId="77777777" w:rsidR="00C56F63" w:rsidRPr="00FA2E2E" w:rsidRDefault="00C56F63" w:rsidP="008B22F8">
            <w:pPr>
              <w:rPr>
                <w:sz w:val="16"/>
                <w:szCs w:val="16"/>
              </w:rPr>
            </w:pPr>
            <w:r w:rsidRPr="00FA2E2E">
              <w:rPr>
                <w:sz w:val="16"/>
                <w:szCs w:val="16"/>
              </w:rPr>
              <w:t>Poissons de grande taille</w:t>
            </w:r>
          </w:p>
          <w:p w14:paraId="03250ABD" w14:textId="77777777" w:rsidR="00C56F63" w:rsidRPr="00FA2E2E" w:rsidRDefault="00C56F63" w:rsidP="008B22F8">
            <w:pPr>
              <w:rPr>
                <w:sz w:val="16"/>
                <w:szCs w:val="16"/>
              </w:rPr>
            </w:pPr>
          </w:p>
        </w:tc>
      </w:tr>
      <w:tr w:rsidR="00C56F63" w:rsidRPr="00FA2E2E" w14:paraId="6E75EB22" w14:textId="77777777" w:rsidTr="00C56F63">
        <w:tc>
          <w:tcPr>
            <w:tcW w:w="4743" w:type="dxa"/>
          </w:tcPr>
          <w:p w14:paraId="1BEAD08C" w14:textId="5E0623EE" w:rsidR="00C56F63" w:rsidRPr="00FA2E2E" w:rsidRDefault="00C56F63" w:rsidP="008B22F8">
            <w:pPr>
              <w:rPr>
                <w:sz w:val="16"/>
                <w:szCs w:val="16"/>
              </w:rPr>
            </w:pPr>
            <w:r w:rsidRPr="00FA2E2E">
              <w:rPr>
                <w:sz w:val="16"/>
                <w:szCs w:val="16"/>
              </w:rPr>
              <w:t>Humans :</w:t>
            </w:r>
          </w:p>
        </w:tc>
        <w:tc>
          <w:tcPr>
            <w:tcW w:w="4743" w:type="dxa"/>
          </w:tcPr>
          <w:p w14:paraId="713FB917" w14:textId="77777777" w:rsidR="00C56F63" w:rsidRPr="00FA2E2E" w:rsidRDefault="00C56F63" w:rsidP="008B22F8">
            <w:pPr>
              <w:rPr>
                <w:sz w:val="16"/>
                <w:szCs w:val="16"/>
              </w:rPr>
            </w:pPr>
            <w:r w:rsidRPr="00FA2E2E">
              <w:rPr>
                <w:rFonts w:cstheme="minorHAnsi"/>
                <w:sz w:val="16"/>
                <w:szCs w:val="16"/>
              </w:rPr>
              <w:t>Ê</w:t>
            </w:r>
            <w:r w:rsidRPr="00FA2E2E">
              <w:rPr>
                <w:sz w:val="16"/>
                <w:szCs w:val="16"/>
              </w:rPr>
              <w:t>tres humains</w:t>
            </w:r>
          </w:p>
          <w:p w14:paraId="1A4F477B" w14:textId="77777777" w:rsidR="00C56F63" w:rsidRPr="00FA2E2E" w:rsidRDefault="00C56F63" w:rsidP="008B22F8">
            <w:pPr>
              <w:rPr>
                <w:sz w:val="16"/>
                <w:szCs w:val="16"/>
              </w:rPr>
            </w:pPr>
          </w:p>
        </w:tc>
      </w:tr>
      <w:tr w:rsidR="00C56F63" w:rsidRPr="00FA2E2E" w14:paraId="3613E1B1" w14:textId="77777777" w:rsidTr="00C56F63">
        <w:tc>
          <w:tcPr>
            <w:tcW w:w="4743" w:type="dxa"/>
          </w:tcPr>
          <w:p w14:paraId="2B844FCC" w14:textId="3954DB6B" w:rsidR="00C56F63" w:rsidRPr="00FA2E2E" w:rsidRDefault="00C56F63" w:rsidP="008B22F8">
            <w:pPr>
              <w:rPr>
                <w:sz w:val="16"/>
                <w:szCs w:val="16"/>
              </w:rPr>
            </w:pPr>
            <w:r w:rsidRPr="00FA2E2E">
              <w:rPr>
                <w:sz w:val="16"/>
                <w:szCs w:val="16"/>
              </w:rPr>
              <w:t>Soil contamination :</w:t>
            </w:r>
          </w:p>
        </w:tc>
        <w:tc>
          <w:tcPr>
            <w:tcW w:w="4743" w:type="dxa"/>
          </w:tcPr>
          <w:p w14:paraId="75D936D4" w14:textId="77777777" w:rsidR="00C56F63" w:rsidRPr="00FA2E2E" w:rsidRDefault="00C56F63" w:rsidP="008B22F8">
            <w:pPr>
              <w:rPr>
                <w:sz w:val="16"/>
                <w:szCs w:val="16"/>
              </w:rPr>
            </w:pPr>
            <w:r w:rsidRPr="00FA2E2E">
              <w:rPr>
                <w:sz w:val="16"/>
                <w:szCs w:val="16"/>
              </w:rPr>
              <w:t>Contamination des sols</w:t>
            </w:r>
          </w:p>
          <w:p w14:paraId="0DF61F1A" w14:textId="77777777" w:rsidR="00C56F63" w:rsidRPr="00FA2E2E" w:rsidRDefault="00C56F63" w:rsidP="008B22F8">
            <w:pPr>
              <w:rPr>
                <w:sz w:val="16"/>
                <w:szCs w:val="16"/>
              </w:rPr>
            </w:pPr>
          </w:p>
        </w:tc>
      </w:tr>
      <w:tr w:rsidR="00C56F63" w:rsidRPr="00FA2E2E" w14:paraId="3069FE49" w14:textId="77777777" w:rsidTr="00C56F63">
        <w:tc>
          <w:tcPr>
            <w:tcW w:w="4743" w:type="dxa"/>
          </w:tcPr>
          <w:p w14:paraId="39D906D3" w14:textId="08B314A4" w:rsidR="00C56F63" w:rsidRPr="00FA2E2E" w:rsidRDefault="00C56F63" w:rsidP="008B22F8">
            <w:pPr>
              <w:rPr>
                <w:sz w:val="16"/>
                <w:szCs w:val="16"/>
              </w:rPr>
            </w:pPr>
            <w:r w:rsidRPr="00FA2E2E">
              <w:rPr>
                <w:sz w:val="16"/>
                <w:szCs w:val="16"/>
              </w:rPr>
              <w:t>Smaller fish :</w:t>
            </w:r>
          </w:p>
        </w:tc>
        <w:tc>
          <w:tcPr>
            <w:tcW w:w="4743" w:type="dxa"/>
          </w:tcPr>
          <w:p w14:paraId="0715C7CB" w14:textId="77777777" w:rsidR="00C56F63" w:rsidRPr="00FA2E2E" w:rsidRDefault="00C56F63" w:rsidP="008B22F8">
            <w:pPr>
              <w:rPr>
                <w:sz w:val="16"/>
                <w:szCs w:val="16"/>
              </w:rPr>
            </w:pPr>
            <w:r w:rsidRPr="00FA2E2E">
              <w:rPr>
                <w:sz w:val="16"/>
                <w:szCs w:val="16"/>
              </w:rPr>
              <w:t>Poissons de petite taille</w:t>
            </w:r>
          </w:p>
          <w:p w14:paraId="55E795C8" w14:textId="77777777" w:rsidR="00C56F63" w:rsidRPr="00FA2E2E" w:rsidRDefault="00C56F63" w:rsidP="008B22F8">
            <w:pPr>
              <w:rPr>
                <w:sz w:val="16"/>
                <w:szCs w:val="16"/>
              </w:rPr>
            </w:pPr>
          </w:p>
        </w:tc>
      </w:tr>
      <w:tr w:rsidR="00C56F63" w:rsidRPr="00FA2E2E" w14:paraId="53640F1A" w14:textId="77777777" w:rsidTr="00C56F63">
        <w:tc>
          <w:tcPr>
            <w:tcW w:w="4743" w:type="dxa"/>
          </w:tcPr>
          <w:p w14:paraId="629B4F57" w14:textId="1200FD9F" w:rsidR="00C56F63" w:rsidRPr="00FA2E2E" w:rsidRDefault="00C56F63" w:rsidP="008B22F8">
            <w:pPr>
              <w:rPr>
                <w:sz w:val="16"/>
                <w:szCs w:val="16"/>
              </w:rPr>
            </w:pPr>
            <w:r w:rsidRPr="00FA2E2E">
              <w:rPr>
                <w:sz w:val="16"/>
                <w:szCs w:val="16"/>
              </w:rPr>
              <w:t>Biomagnification :</w:t>
            </w:r>
          </w:p>
        </w:tc>
        <w:tc>
          <w:tcPr>
            <w:tcW w:w="4743" w:type="dxa"/>
          </w:tcPr>
          <w:p w14:paraId="7B3FA32E" w14:textId="6E086A26" w:rsidR="00C56F63" w:rsidRPr="00FA2E2E" w:rsidRDefault="00C56F63" w:rsidP="008B22F8">
            <w:pPr>
              <w:rPr>
                <w:sz w:val="16"/>
                <w:szCs w:val="16"/>
              </w:rPr>
            </w:pPr>
            <w:r w:rsidRPr="00FA2E2E">
              <w:rPr>
                <w:sz w:val="16"/>
                <w:szCs w:val="16"/>
              </w:rPr>
              <w:t>Bioamplification</w:t>
            </w:r>
          </w:p>
        </w:tc>
      </w:tr>
      <w:tr w:rsidR="00C56F63" w:rsidRPr="00FA2E2E" w14:paraId="1C49D396" w14:textId="77777777" w:rsidTr="00C56F63">
        <w:tc>
          <w:tcPr>
            <w:tcW w:w="4743" w:type="dxa"/>
          </w:tcPr>
          <w:p w14:paraId="72D5047F" w14:textId="7BBE4841" w:rsidR="00C56F63" w:rsidRPr="00FA2E2E" w:rsidRDefault="00C56F63" w:rsidP="008B22F8">
            <w:pPr>
              <w:rPr>
                <w:sz w:val="16"/>
                <w:szCs w:val="16"/>
              </w:rPr>
            </w:pPr>
            <w:r w:rsidRPr="00FA2E2E">
              <w:rPr>
                <w:sz w:val="16"/>
                <w:szCs w:val="16"/>
              </w:rPr>
              <w:t>Anaerobic bacteria convert mercury :</w:t>
            </w:r>
          </w:p>
        </w:tc>
        <w:tc>
          <w:tcPr>
            <w:tcW w:w="4743" w:type="dxa"/>
          </w:tcPr>
          <w:p w14:paraId="711A62B6" w14:textId="293FDE98" w:rsidR="00C56F63" w:rsidRPr="00FA2E2E" w:rsidRDefault="00C56F63" w:rsidP="008B22F8">
            <w:pPr>
              <w:rPr>
                <w:sz w:val="16"/>
                <w:szCs w:val="16"/>
              </w:rPr>
            </w:pPr>
            <w:r w:rsidRPr="00FA2E2E">
              <w:rPr>
                <w:sz w:val="16"/>
                <w:szCs w:val="16"/>
              </w:rPr>
              <w:t>Les bactéries anaérobies transforment le mercure</w:t>
            </w:r>
          </w:p>
        </w:tc>
      </w:tr>
      <w:tr w:rsidR="00C56F63" w:rsidRPr="00FA2E2E" w14:paraId="0AF14232" w14:textId="77777777" w:rsidTr="00C56F63">
        <w:tc>
          <w:tcPr>
            <w:tcW w:w="4743" w:type="dxa"/>
          </w:tcPr>
          <w:p w14:paraId="140DD4A0" w14:textId="59E8DBC3" w:rsidR="00C56F63" w:rsidRPr="00FA2E2E" w:rsidRDefault="00C56F63" w:rsidP="008B22F8">
            <w:pPr>
              <w:rPr>
                <w:sz w:val="16"/>
                <w:szCs w:val="16"/>
              </w:rPr>
            </w:pPr>
            <w:r w:rsidRPr="00FA2E2E">
              <w:rPr>
                <w:sz w:val="16"/>
                <w:szCs w:val="16"/>
              </w:rPr>
              <w:t>Bioaccumulation over time :</w:t>
            </w:r>
          </w:p>
        </w:tc>
        <w:tc>
          <w:tcPr>
            <w:tcW w:w="4743" w:type="dxa"/>
          </w:tcPr>
          <w:p w14:paraId="71A2BB1D" w14:textId="622B40E5" w:rsidR="00C56F63" w:rsidRPr="00FA2E2E" w:rsidRDefault="00C56F63" w:rsidP="008B22F8">
            <w:pPr>
              <w:rPr>
                <w:sz w:val="16"/>
                <w:szCs w:val="16"/>
              </w:rPr>
            </w:pPr>
            <w:r w:rsidRPr="00FA2E2E">
              <w:rPr>
                <w:sz w:val="16"/>
                <w:szCs w:val="16"/>
              </w:rPr>
              <w:t>Bioaccumulation au fil du temps</w:t>
            </w:r>
          </w:p>
        </w:tc>
      </w:tr>
      <w:tr w:rsidR="00C56F63" w:rsidRPr="00FA2E2E" w14:paraId="07F1AB46" w14:textId="77777777" w:rsidTr="00C56F63">
        <w:tc>
          <w:tcPr>
            <w:tcW w:w="4743" w:type="dxa"/>
          </w:tcPr>
          <w:p w14:paraId="03ED852E" w14:textId="65E07E25" w:rsidR="00C56F63" w:rsidRPr="00FA2E2E" w:rsidRDefault="00C56F63" w:rsidP="008B22F8">
            <w:pPr>
              <w:rPr>
                <w:sz w:val="16"/>
                <w:szCs w:val="16"/>
              </w:rPr>
            </w:pPr>
            <w:r w:rsidRPr="00FA2E2E">
              <w:rPr>
                <w:sz w:val="16"/>
                <w:szCs w:val="16"/>
              </w:rPr>
              <w:t>Tiny plants and animals :</w:t>
            </w:r>
          </w:p>
        </w:tc>
        <w:tc>
          <w:tcPr>
            <w:tcW w:w="4743" w:type="dxa"/>
          </w:tcPr>
          <w:p w14:paraId="78CAFC70" w14:textId="77777777" w:rsidR="00C56F63" w:rsidRPr="00FA2E2E" w:rsidRDefault="00C56F63" w:rsidP="008B22F8">
            <w:pPr>
              <w:rPr>
                <w:sz w:val="16"/>
                <w:szCs w:val="16"/>
              </w:rPr>
            </w:pPr>
            <w:r w:rsidRPr="00FA2E2E">
              <w:rPr>
                <w:sz w:val="16"/>
                <w:szCs w:val="16"/>
              </w:rPr>
              <w:t>Végétaux et animaux de très petite taille</w:t>
            </w:r>
          </w:p>
          <w:p w14:paraId="4A1AF9E5" w14:textId="77777777" w:rsidR="00C56F63" w:rsidRPr="00FA2E2E" w:rsidRDefault="00C56F63" w:rsidP="008B22F8">
            <w:pPr>
              <w:rPr>
                <w:sz w:val="16"/>
                <w:szCs w:val="16"/>
              </w:rPr>
            </w:pPr>
          </w:p>
        </w:tc>
      </w:tr>
      <w:tr w:rsidR="00C56F63" w:rsidRPr="00FA2E2E" w14:paraId="3C8A00A2" w14:textId="77777777" w:rsidTr="00C56F63">
        <w:tc>
          <w:tcPr>
            <w:tcW w:w="4743" w:type="dxa"/>
          </w:tcPr>
          <w:p w14:paraId="73D974AB" w14:textId="030469DA" w:rsidR="00C56F63" w:rsidRPr="00FA2E2E" w:rsidRDefault="00C56F63" w:rsidP="008B22F8">
            <w:pPr>
              <w:rPr>
                <w:sz w:val="16"/>
                <w:szCs w:val="16"/>
              </w:rPr>
            </w:pPr>
            <w:r w:rsidRPr="00FA2E2E">
              <w:rPr>
                <w:sz w:val="16"/>
                <w:szCs w:val="16"/>
              </w:rPr>
              <w:t>wich is taken up by :</w:t>
            </w:r>
          </w:p>
        </w:tc>
        <w:tc>
          <w:tcPr>
            <w:tcW w:w="4743" w:type="dxa"/>
          </w:tcPr>
          <w:p w14:paraId="1BFD9DF1" w14:textId="77777777" w:rsidR="00C56F63" w:rsidRPr="00FA2E2E" w:rsidRDefault="00C56F63" w:rsidP="008B22F8">
            <w:pPr>
              <w:rPr>
                <w:sz w:val="16"/>
                <w:szCs w:val="16"/>
              </w:rPr>
            </w:pPr>
            <w:r w:rsidRPr="00FA2E2E">
              <w:rPr>
                <w:sz w:val="16"/>
                <w:szCs w:val="16"/>
              </w:rPr>
              <w:t>qui est absorbé par</w:t>
            </w:r>
          </w:p>
          <w:p w14:paraId="785DAB85" w14:textId="77777777" w:rsidR="00C56F63" w:rsidRPr="00FA2E2E" w:rsidRDefault="00C56F63" w:rsidP="008B22F8">
            <w:pPr>
              <w:rPr>
                <w:sz w:val="16"/>
                <w:szCs w:val="16"/>
              </w:rPr>
            </w:pPr>
          </w:p>
        </w:tc>
      </w:tr>
      <w:tr w:rsidR="00C56F63" w:rsidRPr="00FA2E2E" w14:paraId="226A0899" w14:textId="77777777" w:rsidTr="00C56F63">
        <w:tc>
          <w:tcPr>
            <w:tcW w:w="4743" w:type="dxa"/>
          </w:tcPr>
          <w:p w14:paraId="770EEE36" w14:textId="105FA33C" w:rsidR="00C56F63" w:rsidRPr="00FA2E2E" w:rsidRDefault="00C56F63" w:rsidP="008B22F8">
            <w:pPr>
              <w:rPr>
                <w:sz w:val="16"/>
                <w:szCs w:val="16"/>
              </w:rPr>
            </w:pPr>
            <w:r w:rsidRPr="00FA2E2E">
              <w:rPr>
                <w:sz w:val="16"/>
                <w:szCs w:val="16"/>
              </w:rPr>
              <w:t>to methylmercury :</w:t>
            </w:r>
          </w:p>
        </w:tc>
        <w:tc>
          <w:tcPr>
            <w:tcW w:w="4743" w:type="dxa"/>
          </w:tcPr>
          <w:p w14:paraId="29EABA35" w14:textId="77777777" w:rsidR="00C56F63" w:rsidRPr="00FA2E2E" w:rsidRDefault="00C56F63" w:rsidP="008B22F8">
            <w:pPr>
              <w:rPr>
                <w:sz w:val="16"/>
                <w:szCs w:val="16"/>
              </w:rPr>
            </w:pPr>
            <w:r w:rsidRPr="00FA2E2E">
              <w:rPr>
                <w:sz w:val="16"/>
                <w:szCs w:val="16"/>
              </w:rPr>
              <w:t>en méthylmercure</w:t>
            </w:r>
          </w:p>
          <w:p w14:paraId="12D57805" w14:textId="77777777" w:rsidR="00C56F63" w:rsidRPr="00FA2E2E" w:rsidRDefault="00C56F63" w:rsidP="008B22F8">
            <w:pPr>
              <w:rPr>
                <w:sz w:val="16"/>
                <w:szCs w:val="16"/>
              </w:rPr>
            </w:pPr>
          </w:p>
        </w:tc>
      </w:tr>
      <w:tr w:rsidR="00C56F63" w:rsidRPr="00FA2E2E" w14:paraId="236C14CF" w14:textId="77777777" w:rsidTr="00C56F63">
        <w:tc>
          <w:tcPr>
            <w:tcW w:w="4743" w:type="dxa"/>
          </w:tcPr>
          <w:p w14:paraId="3727C4C4" w14:textId="667370FB" w:rsidR="00C56F63" w:rsidRPr="00FA2E2E" w:rsidRDefault="00C56F63" w:rsidP="008B22F8">
            <w:pPr>
              <w:rPr>
                <w:sz w:val="16"/>
                <w:szCs w:val="16"/>
              </w:rPr>
            </w:pPr>
            <w:r w:rsidRPr="00FA2E2E">
              <w:rPr>
                <w:sz w:val="16"/>
                <w:szCs w:val="16"/>
              </w:rPr>
              <w:t>Methylmercury :</w:t>
            </w:r>
          </w:p>
        </w:tc>
        <w:tc>
          <w:tcPr>
            <w:tcW w:w="4743" w:type="dxa"/>
          </w:tcPr>
          <w:p w14:paraId="7F247E04" w14:textId="77777777" w:rsidR="00C56F63" w:rsidRPr="00FA2E2E" w:rsidRDefault="00C56F63" w:rsidP="008B22F8">
            <w:pPr>
              <w:rPr>
                <w:sz w:val="16"/>
                <w:szCs w:val="16"/>
              </w:rPr>
            </w:pPr>
            <w:r w:rsidRPr="00FA2E2E">
              <w:rPr>
                <w:sz w:val="16"/>
                <w:szCs w:val="16"/>
              </w:rPr>
              <w:t>Méthylmercure</w:t>
            </w:r>
          </w:p>
          <w:p w14:paraId="0BB46AA6" w14:textId="77777777" w:rsidR="00C56F63" w:rsidRPr="00FA2E2E" w:rsidRDefault="00C56F63" w:rsidP="008B22F8">
            <w:pPr>
              <w:rPr>
                <w:sz w:val="16"/>
                <w:szCs w:val="16"/>
              </w:rPr>
            </w:pPr>
          </w:p>
        </w:tc>
      </w:tr>
      <w:tr w:rsidR="00C56F63" w:rsidRPr="00FA2E2E" w14:paraId="7129A4E0" w14:textId="77777777" w:rsidTr="00C56F63">
        <w:tc>
          <w:tcPr>
            <w:tcW w:w="4743" w:type="dxa"/>
          </w:tcPr>
          <w:p w14:paraId="2145D5DF" w14:textId="3011AEB2" w:rsidR="00C56F63" w:rsidRPr="00FA2E2E" w:rsidRDefault="00C56F63" w:rsidP="008B22F8">
            <w:pPr>
              <w:rPr>
                <w:sz w:val="16"/>
                <w:szCs w:val="16"/>
              </w:rPr>
            </w:pPr>
            <w:r w:rsidRPr="00FA2E2E">
              <w:rPr>
                <w:sz w:val="16"/>
                <w:szCs w:val="16"/>
              </w:rPr>
              <w:t>Causes majority of harmful mercury exposures :</w:t>
            </w:r>
          </w:p>
        </w:tc>
        <w:tc>
          <w:tcPr>
            <w:tcW w:w="4743" w:type="dxa"/>
          </w:tcPr>
          <w:p w14:paraId="60EFD3CA" w14:textId="77777777" w:rsidR="00C56F63" w:rsidRPr="00FA2E2E" w:rsidRDefault="00C56F63" w:rsidP="008B22F8">
            <w:pPr>
              <w:rPr>
                <w:sz w:val="16"/>
                <w:szCs w:val="16"/>
              </w:rPr>
            </w:pPr>
            <w:r w:rsidRPr="00FA2E2E">
              <w:rPr>
                <w:sz w:val="16"/>
                <w:szCs w:val="16"/>
              </w:rPr>
              <w:t>Est à l’origine de la majorité des expositions nocives au mercure</w:t>
            </w:r>
          </w:p>
          <w:p w14:paraId="0F2A9F30" w14:textId="77777777" w:rsidR="00C56F63" w:rsidRPr="00FA2E2E" w:rsidRDefault="00C56F63" w:rsidP="008B22F8">
            <w:pPr>
              <w:rPr>
                <w:sz w:val="16"/>
                <w:szCs w:val="16"/>
              </w:rPr>
            </w:pPr>
          </w:p>
        </w:tc>
      </w:tr>
      <w:tr w:rsidR="00C56F63" w:rsidRPr="00FA2E2E" w14:paraId="394CE751" w14:textId="77777777" w:rsidTr="00C56F63">
        <w:tc>
          <w:tcPr>
            <w:tcW w:w="4743" w:type="dxa"/>
          </w:tcPr>
          <w:p w14:paraId="0F3D36B0" w14:textId="5A7BCC52" w:rsidR="00C56F63" w:rsidRPr="00FA2E2E" w:rsidRDefault="00C56F63" w:rsidP="008B22F8">
            <w:pPr>
              <w:rPr>
                <w:sz w:val="16"/>
                <w:szCs w:val="16"/>
              </w:rPr>
            </w:pPr>
            <w:r w:rsidRPr="00FA2E2E">
              <w:rPr>
                <w:sz w:val="16"/>
                <w:szCs w:val="16"/>
              </w:rPr>
              <w:t>Easily absorbed by the gut :</w:t>
            </w:r>
          </w:p>
        </w:tc>
        <w:tc>
          <w:tcPr>
            <w:tcW w:w="4743" w:type="dxa"/>
          </w:tcPr>
          <w:p w14:paraId="1064293D" w14:textId="77777777" w:rsidR="00C56F63" w:rsidRPr="00FA2E2E" w:rsidRDefault="00C56F63" w:rsidP="008B22F8">
            <w:pPr>
              <w:rPr>
                <w:sz w:val="16"/>
                <w:szCs w:val="16"/>
              </w:rPr>
            </w:pPr>
            <w:r w:rsidRPr="00FA2E2E">
              <w:rPr>
                <w:sz w:val="16"/>
                <w:szCs w:val="16"/>
              </w:rPr>
              <w:t>Facilement absorbé par les intestins</w:t>
            </w:r>
          </w:p>
          <w:p w14:paraId="3A67C066" w14:textId="77777777" w:rsidR="00C56F63" w:rsidRPr="00FA2E2E" w:rsidRDefault="00C56F63" w:rsidP="008B22F8">
            <w:pPr>
              <w:rPr>
                <w:sz w:val="16"/>
                <w:szCs w:val="16"/>
              </w:rPr>
            </w:pPr>
          </w:p>
        </w:tc>
      </w:tr>
      <w:tr w:rsidR="00C56F63" w:rsidRPr="00FA2E2E" w14:paraId="6C619A7C" w14:textId="77777777" w:rsidTr="00C56F63">
        <w:tc>
          <w:tcPr>
            <w:tcW w:w="4743" w:type="dxa"/>
          </w:tcPr>
          <w:p w14:paraId="07460E0A" w14:textId="25C74D83" w:rsidR="00C56F63" w:rsidRPr="00FA2E2E" w:rsidRDefault="00C56F63" w:rsidP="008B22F8">
            <w:pPr>
              <w:rPr>
                <w:sz w:val="16"/>
                <w:szCs w:val="16"/>
              </w:rPr>
            </w:pPr>
            <w:r w:rsidRPr="00FA2E2E">
              <w:rPr>
                <w:sz w:val="16"/>
                <w:szCs w:val="16"/>
              </w:rPr>
              <w:t>Binds strongly to proteins in fat, nerves and brain :</w:t>
            </w:r>
          </w:p>
        </w:tc>
        <w:tc>
          <w:tcPr>
            <w:tcW w:w="4743" w:type="dxa"/>
          </w:tcPr>
          <w:p w14:paraId="535ED5A3" w14:textId="77777777" w:rsidR="00C56F63" w:rsidRPr="00FA2E2E" w:rsidRDefault="00C56F63" w:rsidP="008B22F8">
            <w:pPr>
              <w:rPr>
                <w:sz w:val="16"/>
                <w:szCs w:val="16"/>
              </w:rPr>
            </w:pPr>
            <w:r w:rsidRPr="00FA2E2E">
              <w:rPr>
                <w:sz w:val="16"/>
                <w:szCs w:val="16"/>
              </w:rPr>
              <w:t>Se lie fortement aux protéines dans les tissus adipeux, les nerfs et le cerveau</w:t>
            </w:r>
          </w:p>
          <w:p w14:paraId="2595516D" w14:textId="77777777" w:rsidR="00C56F63" w:rsidRPr="00FA2E2E" w:rsidRDefault="00C56F63" w:rsidP="008B22F8">
            <w:pPr>
              <w:rPr>
                <w:sz w:val="16"/>
                <w:szCs w:val="16"/>
              </w:rPr>
            </w:pPr>
          </w:p>
        </w:tc>
      </w:tr>
      <w:tr w:rsidR="00C56F63" w:rsidRPr="00FA2E2E" w14:paraId="3A9FA704" w14:textId="77777777" w:rsidTr="00C56F63">
        <w:tc>
          <w:tcPr>
            <w:tcW w:w="4743" w:type="dxa"/>
          </w:tcPr>
          <w:p w14:paraId="10DCA498" w14:textId="32A4F472" w:rsidR="00C56F63" w:rsidRPr="00FA2E2E" w:rsidRDefault="00C56F63" w:rsidP="008B22F8">
            <w:pPr>
              <w:rPr>
                <w:sz w:val="16"/>
                <w:szCs w:val="16"/>
              </w:rPr>
            </w:pPr>
            <w:r w:rsidRPr="00FA2E2E">
              <w:rPr>
                <w:sz w:val="16"/>
                <w:szCs w:val="16"/>
              </w:rPr>
              <w:t>Too much can build up and cause neurological damage :</w:t>
            </w:r>
          </w:p>
        </w:tc>
        <w:tc>
          <w:tcPr>
            <w:tcW w:w="4743" w:type="dxa"/>
          </w:tcPr>
          <w:p w14:paraId="6BB6963A" w14:textId="77777777" w:rsidR="00C56F63" w:rsidRPr="00FA2E2E" w:rsidRDefault="00C56F63" w:rsidP="008B22F8">
            <w:pPr>
              <w:rPr>
                <w:sz w:val="16"/>
                <w:szCs w:val="16"/>
              </w:rPr>
            </w:pPr>
            <w:r w:rsidRPr="00FA2E2E">
              <w:rPr>
                <w:sz w:val="16"/>
                <w:szCs w:val="16"/>
              </w:rPr>
              <w:t>Une quantité trop importante peut s’accumuler et causer des dommages neurologiques</w:t>
            </w:r>
          </w:p>
          <w:p w14:paraId="7BA31669" w14:textId="77777777" w:rsidR="00C56F63" w:rsidRPr="00FA2E2E" w:rsidRDefault="00C56F63" w:rsidP="008B22F8">
            <w:pPr>
              <w:rPr>
                <w:sz w:val="16"/>
                <w:szCs w:val="16"/>
              </w:rPr>
            </w:pPr>
          </w:p>
        </w:tc>
      </w:tr>
      <w:tr w:rsidR="00C56F63" w:rsidRPr="00FA2E2E" w14:paraId="41271EC7" w14:textId="77777777" w:rsidTr="00C56F63">
        <w:tc>
          <w:tcPr>
            <w:tcW w:w="4743" w:type="dxa"/>
          </w:tcPr>
          <w:p w14:paraId="2399FCEB" w14:textId="3C914F1C" w:rsidR="00C56F63" w:rsidRPr="00FA2E2E" w:rsidRDefault="008B22F8" w:rsidP="008B22F8">
            <w:pPr>
              <w:rPr>
                <w:sz w:val="16"/>
                <w:szCs w:val="16"/>
              </w:rPr>
            </w:pPr>
            <w:r w:rsidRPr="00FA2E2E">
              <w:rPr>
                <w:sz w:val="16"/>
                <w:szCs w:val="16"/>
              </w:rPr>
              <w:t>For more information on mercury, read the Science For Environment Policy In-Depth Report, Tackling mercury pollution in the EU and worldwide :</w:t>
            </w:r>
          </w:p>
        </w:tc>
        <w:tc>
          <w:tcPr>
            <w:tcW w:w="4743" w:type="dxa"/>
          </w:tcPr>
          <w:p w14:paraId="45B96EF6" w14:textId="77777777" w:rsidR="008B22F8" w:rsidRPr="00FA2E2E" w:rsidRDefault="008B22F8" w:rsidP="008B22F8">
            <w:pPr>
              <w:rPr>
                <w:sz w:val="16"/>
                <w:szCs w:val="16"/>
              </w:rPr>
            </w:pPr>
            <w:r w:rsidRPr="00FA2E2E">
              <w:rPr>
                <w:sz w:val="16"/>
                <w:szCs w:val="16"/>
              </w:rPr>
              <w:t>Pour de plus amples informations sur le mercure, veuillez consulter le Science For Environment Policy In-Depth Report, Tackling mercury pollution in the EU and worldwide (Rapport détaillé de Science For Environment Policy, « Lutter contre la pollution au mercure dans l’UE et le monde entier »)</w:t>
            </w:r>
          </w:p>
          <w:p w14:paraId="6588836F" w14:textId="77777777" w:rsidR="00C56F63" w:rsidRPr="00FA2E2E" w:rsidRDefault="00C56F63" w:rsidP="008B22F8">
            <w:pPr>
              <w:rPr>
                <w:sz w:val="16"/>
                <w:szCs w:val="16"/>
              </w:rPr>
            </w:pPr>
          </w:p>
        </w:tc>
      </w:tr>
    </w:tbl>
    <w:p w14:paraId="1D6218D3" w14:textId="6EFFFFE2" w:rsidR="00C56F63" w:rsidRPr="00FA2E2E" w:rsidRDefault="00C56F63" w:rsidP="00C56F63"/>
    <w:p w14:paraId="71CA5B81" w14:textId="46A589C9" w:rsidR="00D31AFF" w:rsidRPr="00FA2E2E" w:rsidRDefault="00D31AFF" w:rsidP="00F93F76">
      <w:pPr>
        <w:pStyle w:val="CH3"/>
        <w:rPr>
          <w:lang w:val="fr-FR"/>
        </w:rPr>
      </w:pPr>
      <w:r w:rsidRPr="00FA2E2E">
        <w:rPr>
          <w:lang w:val="fr-FR"/>
        </w:rPr>
        <w:tab/>
      </w:r>
      <w:r w:rsidR="00152CD3" w:rsidRPr="00FA2E2E">
        <w:rPr>
          <w:lang w:val="fr-FR"/>
        </w:rPr>
        <w:t>2.</w:t>
      </w:r>
      <w:r w:rsidRPr="00FA2E2E">
        <w:rPr>
          <w:lang w:val="fr-FR"/>
        </w:rPr>
        <w:tab/>
      </w:r>
      <w:bookmarkStart w:id="13" w:name="_Toc15920537"/>
      <w:r w:rsidR="006828AE" w:rsidRPr="00FA2E2E">
        <w:rPr>
          <w:lang w:val="fr-FR"/>
        </w:rPr>
        <w:t>Utilisation du mercure au niveau mondial</w:t>
      </w:r>
      <w:bookmarkEnd w:id="13"/>
    </w:p>
    <w:p w14:paraId="7B2551C8" w14:textId="308E76D6" w:rsidR="00D31AFF" w:rsidRPr="00FA2E2E" w:rsidRDefault="00D436F6" w:rsidP="008E43CD">
      <w:pPr>
        <w:pStyle w:val="Normalnumber"/>
        <w:numPr>
          <w:ilvl w:val="0"/>
          <w:numId w:val="5"/>
        </w:numPr>
        <w:rPr>
          <w:lang w:val="fr-FR"/>
        </w:rPr>
      </w:pPr>
      <w:r w:rsidRPr="00FA2E2E">
        <w:rPr>
          <w:lang w:val="fr-FR"/>
        </w:rPr>
        <w:t>Le mercure est un métal dont les propriétés uniques ont conduit à une série d</w:t>
      </w:r>
      <w:r w:rsidR="00FE58E1" w:rsidRPr="00FA2E2E">
        <w:rPr>
          <w:lang w:val="fr-FR"/>
        </w:rPr>
        <w:t>’</w:t>
      </w:r>
      <w:r w:rsidRPr="00FA2E2E">
        <w:rPr>
          <w:lang w:val="fr-FR"/>
        </w:rPr>
        <w:t>utilisations</w:t>
      </w:r>
      <w:r w:rsidR="00D31AFF" w:rsidRPr="00FA2E2E">
        <w:rPr>
          <w:lang w:val="fr-FR"/>
        </w:rPr>
        <w:t>.</w:t>
      </w:r>
      <w:r w:rsidRPr="00FA2E2E">
        <w:rPr>
          <w:lang w:val="fr-FR"/>
        </w:rPr>
        <w:t xml:space="preserve"> Liquide à température ambiante, il a été utilisé dans les</w:t>
      </w:r>
      <w:r w:rsidR="00D31AFF" w:rsidRPr="00FA2E2E">
        <w:rPr>
          <w:lang w:val="fr-FR"/>
        </w:rPr>
        <w:t xml:space="preserve"> </w:t>
      </w:r>
      <w:r w:rsidRPr="00FA2E2E">
        <w:rPr>
          <w:lang w:val="fr-FR"/>
        </w:rPr>
        <w:t>commutateurs et les relais ainsi que dans les</w:t>
      </w:r>
      <w:r w:rsidR="00380F44" w:rsidRPr="00FA2E2E">
        <w:rPr>
          <w:lang w:val="fr-FR"/>
        </w:rPr>
        <w:t> </w:t>
      </w:r>
      <w:r w:rsidRPr="00FA2E2E">
        <w:rPr>
          <w:lang w:val="fr-FR"/>
        </w:rPr>
        <w:t>appareils de mesure</w:t>
      </w:r>
      <w:r w:rsidR="00D31AFF" w:rsidRPr="00FA2E2E">
        <w:rPr>
          <w:lang w:val="fr-FR"/>
        </w:rPr>
        <w:t>,</w:t>
      </w:r>
      <w:r w:rsidRPr="00FA2E2E">
        <w:rPr>
          <w:lang w:val="fr-FR"/>
        </w:rPr>
        <w:t xml:space="preserve"> permettant de déterminer avec précision les changements de température</w:t>
      </w:r>
      <w:r w:rsidR="00D31AFF" w:rsidRPr="00FA2E2E">
        <w:rPr>
          <w:lang w:val="fr-FR"/>
        </w:rPr>
        <w:t>.</w:t>
      </w:r>
      <w:r w:rsidRPr="00FA2E2E">
        <w:rPr>
          <w:lang w:val="fr-FR"/>
        </w:rPr>
        <w:t xml:space="preserve"> Il</w:t>
      </w:r>
      <w:r w:rsidR="00380F44" w:rsidRPr="00FA2E2E">
        <w:rPr>
          <w:lang w:val="fr-FR"/>
        </w:rPr>
        <w:t> </w:t>
      </w:r>
      <w:r w:rsidRPr="00FA2E2E">
        <w:rPr>
          <w:lang w:val="fr-FR"/>
        </w:rPr>
        <w:t>a</w:t>
      </w:r>
      <w:r w:rsidR="00380F44" w:rsidRPr="00FA2E2E">
        <w:rPr>
          <w:lang w:val="fr-FR"/>
        </w:rPr>
        <w:t> </w:t>
      </w:r>
      <w:r w:rsidRPr="00FA2E2E">
        <w:rPr>
          <w:lang w:val="fr-FR"/>
        </w:rPr>
        <w:t>été utilisé dans un certain nombre de procédés industriels</w:t>
      </w:r>
      <w:r w:rsidR="00D31AFF" w:rsidRPr="00FA2E2E">
        <w:rPr>
          <w:lang w:val="fr-FR"/>
        </w:rPr>
        <w:t>.</w:t>
      </w:r>
      <w:r w:rsidRPr="00FA2E2E">
        <w:rPr>
          <w:lang w:val="fr-FR"/>
        </w:rPr>
        <w:t xml:space="preserve"> La capacité du mercure à </w:t>
      </w:r>
      <w:r w:rsidR="00CC227D" w:rsidRPr="00FA2E2E">
        <w:rPr>
          <w:lang w:val="fr-FR"/>
        </w:rPr>
        <w:t>s’</w:t>
      </w:r>
      <w:r w:rsidRPr="00FA2E2E">
        <w:rPr>
          <w:lang w:val="fr-FR"/>
        </w:rPr>
        <w:t>amalgame</w:t>
      </w:r>
      <w:r w:rsidR="00CC227D" w:rsidRPr="00FA2E2E">
        <w:rPr>
          <w:lang w:val="fr-FR"/>
        </w:rPr>
        <w:t>r</w:t>
      </w:r>
      <w:r w:rsidRPr="00FA2E2E">
        <w:rPr>
          <w:lang w:val="fr-FR"/>
        </w:rPr>
        <w:t xml:space="preserve"> avec d</w:t>
      </w:r>
      <w:r w:rsidR="00FE58E1" w:rsidRPr="00FA2E2E">
        <w:rPr>
          <w:lang w:val="fr-FR"/>
        </w:rPr>
        <w:t>’</w:t>
      </w:r>
      <w:r w:rsidRPr="00FA2E2E">
        <w:rPr>
          <w:lang w:val="fr-FR"/>
        </w:rPr>
        <w:t>autres métaux a conduit à son utilisation dans des procédés et des produits tels que l</w:t>
      </w:r>
      <w:r w:rsidR="00FE58E1" w:rsidRPr="00FA2E2E">
        <w:rPr>
          <w:lang w:val="fr-FR"/>
        </w:rPr>
        <w:t>’</w:t>
      </w:r>
      <w:r w:rsidRPr="00FA2E2E">
        <w:rPr>
          <w:lang w:val="fr-FR"/>
        </w:rPr>
        <w:t>extraction minière artisanale et à petite échelle d</w:t>
      </w:r>
      <w:r w:rsidR="00FE58E1" w:rsidRPr="00FA2E2E">
        <w:rPr>
          <w:lang w:val="fr-FR"/>
        </w:rPr>
        <w:t>’</w:t>
      </w:r>
      <w:r w:rsidRPr="00FA2E2E">
        <w:rPr>
          <w:lang w:val="fr-FR"/>
        </w:rPr>
        <w:t>or et la dentisterie</w:t>
      </w:r>
      <w:r w:rsidR="00D31AFF" w:rsidRPr="00FA2E2E">
        <w:rPr>
          <w:lang w:val="fr-FR"/>
        </w:rPr>
        <w:t xml:space="preserve">. </w:t>
      </w:r>
    </w:p>
    <w:p w14:paraId="03A59DD9" w14:textId="4A7A14A8" w:rsidR="00D31AFF" w:rsidRPr="00FA2E2E" w:rsidRDefault="00FB1B51" w:rsidP="008E43CD">
      <w:pPr>
        <w:pStyle w:val="Normalnumber"/>
        <w:numPr>
          <w:ilvl w:val="0"/>
          <w:numId w:val="5"/>
        </w:numPr>
        <w:rPr>
          <w:lang w:val="fr-FR"/>
        </w:rPr>
      </w:pPr>
      <w:r w:rsidRPr="00FA2E2E">
        <w:rPr>
          <w:lang w:val="fr-FR"/>
        </w:rPr>
        <w:t>Un large éventail de produits contenant du mercure ajouté</w:t>
      </w:r>
      <w:r w:rsidR="00C31006" w:rsidRPr="00FA2E2E">
        <w:rPr>
          <w:lang w:val="fr-FR"/>
        </w:rPr>
        <w:t xml:space="preserve"> sont encore produits au niveau mondial, notamment des</w:t>
      </w:r>
      <w:r w:rsidR="00D31AFF" w:rsidRPr="00FA2E2E">
        <w:rPr>
          <w:lang w:val="fr-FR"/>
        </w:rPr>
        <w:t xml:space="preserve"> </w:t>
      </w:r>
      <w:r w:rsidR="00C31006" w:rsidRPr="00FA2E2E">
        <w:rPr>
          <w:lang w:val="fr-FR"/>
        </w:rPr>
        <w:t xml:space="preserve">piles, des lampes, des appareils de mesure </w:t>
      </w:r>
      <w:r w:rsidR="00D31AFF" w:rsidRPr="00FA2E2E">
        <w:rPr>
          <w:lang w:val="fr-FR"/>
        </w:rPr>
        <w:t>(</w:t>
      </w:r>
      <w:r w:rsidR="00C31006" w:rsidRPr="00FA2E2E">
        <w:rPr>
          <w:lang w:val="fr-FR"/>
        </w:rPr>
        <w:t>par exemple, thermomètres</w:t>
      </w:r>
      <w:r w:rsidR="00D31AFF" w:rsidRPr="00FA2E2E">
        <w:rPr>
          <w:lang w:val="fr-FR"/>
        </w:rPr>
        <w:t xml:space="preserve">), </w:t>
      </w:r>
      <w:r w:rsidR="00C31006" w:rsidRPr="00FA2E2E">
        <w:rPr>
          <w:lang w:val="fr-FR"/>
        </w:rPr>
        <w:t>des</w:t>
      </w:r>
      <w:r w:rsidR="00380F44" w:rsidRPr="00FA2E2E">
        <w:rPr>
          <w:lang w:val="fr-FR"/>
        </w:rPr>
        <w:t> </w:t>
      </w:r>
      <w:r w:rsidR="00C31006" w:rsidRPr="00FA2E2E">
        <w:rPr>
          <w:lang w:val="fr-FR"/>
        </w:rPr>
        <w:t>cosmétiques et des</w:t>
      </w:r>
      <w:r w:rsidR="00D31AFF" w:rsidRPr="00FA2E2E">
        <w:rPr>
          <w:lang w:val="fr-FR"/>
        </w:rPr>
        <w:t xml:space="preserve"> pesticides. </w:t>
      </w:r>
      <w:r w:rsidR="00443861" w:rsidRPr="00FA2E2E">
        <w:rPr>
          <w:lang w:val="fr-FR"/>
        </w:rPr>
        <w:t>La concentration ou la quantité de mercure dans ces produits est généralement très faible, mais une mauvaise manipulation de grandes quantités de ces matériaux sous</w:t>
      </w:r>
      <w:r w:rsidR="00380F44" w:rsidRPr="00FA2E2E">
        <w:rPr>
          <w:lang w:val="fr-FR"/>
        </w:rPr>
        <w:t> </w:t>
      </w:r>
      <w:r w:rsidR="00443861" w:rsidRPr="00FA2E2E">
        <w:rPr>
          <w:lang w:val="fr-FR"/>
        </w:rPr>
        <w:t>forme de produits ou de déchets peut entraîner des rejets dans l</w:t>
      </w:r>
      <w:r w:rsidR="00FE58E1" w:rsidRPr="00FA2E2E">
        <w:rPr>
          <w:lang w:val="fr-FR"/>
        </w:rPr>
        <w:t>’</w:t>
      </w:r>
      <w:r w:rsidR="00443861" w:rsidRPr="00FA2E2E">
        <w:rPr>
          <w:lang w:val="fr-FR"/>
        </w:rPr>
        <w:t>environnement</w:t>
      </w:r>
      <w:r w:rsidR="00D31AFF" w:rsidRPr="00FA2E2E">
        <w:rPr>
          <w:lang w:val="fr-FR"/>
        </w:rPr>
        <w:t xml:space="preserve">. </w:t>
      </w:r>
      <w:r w:rsidR="00443861" w:rsidRPr="00FA2E2E">
        <w:rPr>
          <w:lang w:val="fr-FR"/>
        </w:rPr>
        <w:t>Les amalgames au mercure sont encore largement utilisés dans la dentisterie, ce qui peut causer des rejets de mercure dans les eaux usées des cabinets dentaires et dans les effluents gazeux des fours crématoires</w:t>
      </w:r>
      <w:r w:rsidR="00D31AFF" w:rsidRPr="00FA2E2E">
        <w:rPr>
          <w:lang w:val="fr-FR"/>
        </w:rPr>
        <w:t xml:space="preserve">. </w:t>
      </w:r>
    </w:p>
    <w:p w14:paraId="03A55039" w14:textId="0A135A3F" w:rsidR="00D31AFF" w:rsidRPr="00FA2E2E" w:rsidRDefault="00A361E9" w:rsidP="008E43CD">
      <w:pPr>
        <w:pStyle w:val="Normalnumber"/>
        <w:numPr>
          <w:ilvl w:val="0"/>
          <w:numId w:val="5"/>
        </w:numPr>
        <w:rPr>
          <w:lang w:val="fr-FR"/>
        </w:rPr>
      </w:pPr>
      <w:r w:rsidRPr="00FA2E2E">
        <w:rPr>
          <w:lang w:val="fr-FR"/>
        </w:rPr>
        <w:t>De même, des procédés industriels faisant appel au mercure comme catalyseur ou élément de circuits électriques sont encore utilisés dans le monde</w:t>
      </w:r>
      <w:r w:rsidR="009A3117" w:rsidRPr="00FA2E2E">
        <w:rPr>
          <w:lang w:val="fr-FR"/>
        </w:rPr>
        <w:t xml:space="preserve"> entier</w:t>
      </w:r>
      <w:r w:rsidR="00D31AFF" w:rsidRPr="00FA2E2E">
        <w:rPr>
          <w:lang w:val="fr-FR"/>
        </w:rPr>
        <w:t xml:space="preserve">. </w:t>
      </w:r>
      <w:r w:rsidRPr="00FA2E2E">
        <w:rPr>
          <w:lang w:val="fr-FR"/>
        </w:rPr>
        <w:t>Ces procédés comprennent la production de chlore-alcali</w:t>
      </w:r>
      <w:r w:rsidR="00D31AFF" w:rsidRPr="00FA2E2E">
        <w:rPr>
          <w:lang w:val="fr-FR"/>
        </w:rPr>
        <w:t>,</w:t>
      </w:r>
      <w:r w:rsidR="00C2437C" w:rsidRPr="00FA2E2E">
        <w:rPr>
          <w:lang w:val="fr-FR"/>
        </w:rPr>
        <w:t xml:space="preserve"> dans le cadre de laquelle d</w:t>
      </w:r>
      <w:r w:rsidR="00FE58E1" w:rsidRPr="00FA2E2E">
        <w:rPr>
          <w:lang w:val="fr-FR"/>
        </w:rPr>
        <w:t>’</w:t>
      </w:r>
      <w:r w:rsidR="00C2437C" w:rsidRPr="00FA2E2E">
        <w:rPr>
          <w:lang w:val="fr-FR"/>
        </w:rPr>
        <w:t>importants volumes de mercure sont parfois utilisés sur les</w:t>
      </w:r>
      <w:r w:rsidR="00380F44" w:rsidRPr="00FA2E2E">
        <w:rPr>
          <w:lang w:val="fr-FR"/>
        </w:rPr>
        <w:t> </w:t>
      </w:r>
      <w:r w:rsidR="00C2437C" w:rsidRPr="00FA2E2E">
        <w:rPr>
          <w:lang w:val="fr-FR"/>
        </w:rPr>
        <w:t>sites de production</w:t>
      </w:r>
      <w:r w:rsidR="00D31AFF" w:rsidRPr="00FA2E2E">
        <w:rPr>
          <w:lang w:val="fr-FR"/>
        </w:rPr>
        <w:t xml:space="preserve">, </w:t>
      </w:r>
      <w:r w:rsidR="00C2437C" w:rsidRPr="00FA2E2E">
        <w:rPr>
          <w:lang w:val="fr-FR"/>
        </w:rPr>
        <w:t>conduisant à l</w:t>
      </w:r>
      <w:r w:rsidR="00FE58E1" w:rsidRPr="00FA2E2E">
        <w:rPr>
          <w:lang w:val="fr-FR"/>
        </w:rPr>
        <w:t>’</w:t>
      </w:r>
      <w:r w:rsidR="00C2437C" w:rsidRPr="00FA2E2E">
        <w:rPr>
          <w:lang w:val="fr-FR"/>
        </w:rPr>
        <w:t>existence d</w:t>
      </w:r>
      <w:r w:rsidR="00FE58E1" w:rsidRPr="00FA2E2E">
        <w:rPr>
          <w:lang w:val="fr-FR"/>
        </w:rPr>
        <w:t>’</w:t>
      </w:r>
      <w:r w:rsidR="00C2437C" w:rsidRPr="00FA2E2E">
        <w:rPr>
          <w:lang w:val="fr-FR"/>
        </w:rPr>
        <w:t>usines qui peuvent être lourdement contaminées au mercure</w:t>
      </w:r>
      <w:r w:rsidR="00D31AFF" w:rsidRPr="00FA2E2E">
        <w:rPr>
          <w:lang w:val="fr-FR"/>
        </w:rPr>
        <w:t xml:space="preserve">. </w:t>
      </w:r>
      <w:r w:rsidR="00C2437C" w:rsidRPr="00FA2E2E">
        <w:rPr>
          <w:lang w:val="fr-FR"/>
        </w:rPr>
        <w:t>Le mercure a également été utilisé dans la production d</w:t>
      </w:r>
      <w:r w:rsidR="00FE58E1" w:rsidRPr="00FA2E2E">
        <w:rPr>
          <w:lang w:val="fr-FR"/>
        </w:rPr>
        <w:t>’</w:t>
      </w:r>
      <w:r w:rsidR="00C2437C" w:rsidRPr="00FA2E2E">
        <w:rPr>
          <w:lang w:val="fr-FR"/>
        </w:rPr>
        <w:t>acétaldéhyde</w:t>
      </w:r>
      <w:r w:rsidR="00D31AFF" w:rsidRPr="00FA2E2E">
        <w:rPr>
          <w:lang w:val="fr-FR"/>
        </w:rPr>
        <w:t>.</w:t>
      </w:r>
      <w:r w:rsidR="00C2437C" w:rsidRPr="00FA2E2E">
        <w:rPr>
          <w:lang w:val="fr-FR"/>
        </w:rPr>
        <w:t xml:space="preserve"> Parmi les autres procédés </w:t>
      </w:r>
      <w:r w:rsidR="00133D50" w:rsidRPr="00FA2E2E">
        <w:rPr>
          <w:lang w:val="fr-FR"/>
        </w:rPr>
        <w:t xml:space="preserve">industriels </w:t>
      </w:r>
      <w:r w:rsidR="00C2437C" w:rsidRPr="00FA2E2E">
        <w:rPr>
          <w:lang w:val="fr-FR"/>
        </w:rPr>
        <w:t>pouvant utiliser du mercure figurent la production de</w:t>
      </w:r>
      <w:r w:rsidR="00D31AFF" w:rsidRPr="00FA2E2E">
        <w:rPr>
          <w:lang w:val="fr-FR"/>
        </w:rPr>
        <w:t xml:space="preserve"> </w:t>
      </w:r>
      <w:r w:rsidR="00C2437C" w:rsidRPr="00FA2E2E">
        <w:rPr>
          <w:lang w:val="fr-FR"/>
        </w:rPr>
        <w:t xml:space="preserve">chlorure de vinyle monomère </w:t>
      </w:r>
      <w:r w:rsidR="00D31AFF" w:rsidRPr="00FA2E2E">
        <w:rPr>
          <w:lang w:val="fr-FR"/>
        </w:rPr>
        <w:t>(</w:t>
      </w:r>
      <w:r w:rsidR="00C2437C" w:rsidRPr="00FA2E2E">
        <w:rPr>
          <w:lang w:val="fr-FR"/>
        </w:rPr>
        <w:t>pour la fabrication de polychlorure de vinyle</w:t>
      </w:r>
      <w:r w:rsidR="00D31AFF" w:rsidRPr="00FA2E2E">
        <w:rPr>
          <w:lang w:val="fr-FR"/>
        </w:rPr>
        <w:t>),</w:t>
      </w:r>
      <w:r w:rsidR="00C2437C" w:rsidRPr="00FA2E2E">
        <w:rPr>
          <w:lang w:val="fr-FR"/>
        </w:rPr>
        <w:t xml:space="preserve"> la production</w:t>
      </w:r>
      <w:r w:rsidR="00D31AFF" w:rsidRPr="00FA2E2E">
        <w:rPr>
          <w:lang w:val="fr-FR"/>
        </w:rPr>
        <w:t xml:space="preserve"> </w:t>
      </w:r>
      <w:r w:rsidR="00C2437C" w:rsidRPr="00FA2E2E">
        <w:rPr>
          <w:lang w:val="fr-FR"/>
        </w:rPr>
        <w:t>de méthylate ou d</w:t>
      </w:r>
      <w:r w:rsidR="00FE58E1" w:rsidRPr="00FA2E2E">
        <w:rPr>
          <w:lang w:val="fr-FR"/>
        </w:rPr>
        <w:t>’</w:t>
      </w:r>
      <w:r w:rsidR="00C2437C" w:rsidRPr="00FA2E2E">
        <w:rPr>
          <w:lang w:val="fr-FR"/>
        </w:rPr>
        <w:t>éthylate de sodium ou de potassium et la production de polyuréthane</w:t>
      </w:r>
      <w:r w:rsidR="00D31AFF" w:rsidRPr="00FA2E2E">
        <w:rPr>
          <w:lang w:val="fr-FR"/>
        </w:rPr>
        <w:t>.</w:t>
      </w:r>
      <w:r w:rsidR="00C2437C" w:rsidRPr="00FA2E2E">
        <w:rPr>
          <w:lang w:val="fr-FR"/>
        </w:rPr>
        <w:t xml:space="preserve"> Chacun de ces procédés de fabrication</w:t>
      </w:r>
      <w:r w:rsidR="00D31AFF" w:rsidRPr="00FA2E2E">
        <w:rPr>
          <w:lang w:val="fr-FR"/>
        </w:rPr>
        <w:t xml:space="preserve"> </w:t>
      </w:r>
      <w:r w:rsidR="00131907" w:rsidRPr="00FA2E2E">
        <w:rPr>
          <w:lang w:val="fr-FR"/>
        </w:rPr>
        <w:t>peut contaminer le site de production en raison du procédé lui-même, de déversements résultant d</w:t>
      </w:r>
      <w:r w:rsidR="00FE58E1" w:rsidRPr="00FA2E2E">
        <w:rPr>
          <w:lang w:val="fr-FR"/>
        </w:rPr>
        <w:t>’</w:t>
      </w:r>
      <w:r w:rsidR="00131907" w:rsidRPr="00FA2E2E">
        <w:rPr>
          <w:lang w:val="fr-FR"/>
        </w:rPr>
        <w:t>une</w:t>
      </w:r>
      <w:r w:rsidR="00380F44" w:rsidRPr="00FA2E2E">
        <w:rPr>
          <w:lang w:val="fr-FR"/>
        </w:rPr>
        <w:t> </w:t>
      </w:r>
      <w:r w:rsidR="00131907" w:rsidRPr="00FA2E2E">
        <w:rPr>
          <w:lang w:val="fr-FR"/>
        </w:rPr>
        <w:t>mauvaise manipulation ou d</w:t>
      </w:r>
      <w:r w:rsidR="00FE58E1" w:rsidRPr="00FA2E2E">
        <w:rPr>
          <w:lang w:val="fr-FR"/>
        </w:rPr>
        <w:t>’</w:t>
      </w:r>
      <w:r w:rsidR="00131907" w:rsidRPr="00FA2E2E">
        <w:rPr>
          <w:lang w:val="fr-FR"/>
        </w:rPr>
        <w:t>accidents ou d</w:t>
      </w:r>
      <w:r w:rsidR="00FE58E1" w:rsidRPr="00FA2E2E">
        <w:rPr>
          <w:lang w:val="fr-FR"/>
        </w:rPr>
        <w:t>’</w:t>
      </w:r>
      <w:r w:rsidR="00131907" w:rsidRPr="00FA2E2E">
        <w:rPr>
          <w:lang w:val="fr-FR"/>
        </w:rPr>
        <w:t>une mauvaise gestion des déchets de mercure qu</w:t>
      </w:r>
      <w:r w:rsidR="00FE58E1" w:rsidRPr="00FA2E2E">
        <w:rPr>
          <w:lang w:val="fr-FR"/>
        </w:rPr>
        <w:t>’</w:t>
      </w:r>
      <w:r w:rsidR="00131907" w:rsidRPr="00FA2E2E">
        <w:rPr>
          <w:lang w:val="fr-FR"/>
        </w:rPr>
        <w:t>il</w:t>
      </w:r>
      <w:r w:rsidR="00380F44" w:rsidRPr="00FA2E2E">
        <w:rPr>
          <w:lang w:val="fr-FR"/>
        </w:rPr>
        <w:t> </w:t>
      </w:r>
      <w:r w:rsidR="00131907" w:rsidRPr="00FA2E2E">
        <w:rPr>
          <w:lang w:val="fr-FR"/>
        </w:rPr>
        <w:t>génère</w:t>
      </w:r>
      <w:r w:rsidR="00D31AFF" w:rsidRPr="00FA2E2E">
        <w:rPr>
          <w:lang w:val="fr-FR"/>
        </w:rPr>
        <w:t>.</w:t>
      </w:r>
    </w:p>
    <w:p w14:paraId="78034BA2" w14:textId="5E60AC53" w:rsidR="00D31AFF" w:rsidRPr="00FA2E2E" w:rsidRDefault="00E768D1" w:rsidP="008E43CD">
      <w:pPr>
        <w:pStyle w:val="Normalnumber"/>
        <w:numPr>
          <w:ilvl w:val="0"/>
          <w:numId w:val="5"/>
        </w:numPr>
        <w:rPr>
          <w:lang w:val="fr-FR"/>
        </w:rPr>
      </w:pPr>
      <w:r w:rsidRPr="00FA2E2E">
        <w:rPr>
          <w:lang w:val="fr-FR"/>
        </w:rPr>
        <w:t>Le mercure est largement utilisé dans l</w:t>
      </w:r>
      <w:r w:rsidR="00FE58E1" w:rsidRPr="00FA2E2E">
        <w:rPr>
          <w:lang w:val="fr-FR"/>
        </w:rPr>
        <w:t>’</w:t>
      </w:r>
      <w:r w:rsidRPr="00FA2E2E">
        <w:rPr>
          <w:lang w:val="fr-FR"/>
        </w:rPr>
        <w:t>extraction minière artisanale et à petite échelle d</w:t>
      </w:r>
      <w:r w:rsidR="00FE58E1" w:rsidRPr="00FA2E2E">
        <w:rPr>
          <w:lang w:val="fr-FR"/>
        </w:rPr>
        <w:t>’</w:t>
      </w:r>
      <w:r w:rsidRPr="00FA2E2E">
        <w:rPr>
          <w:lang w:val="fr-FR"/>
        </w:rPr>
        <w:t>or, où</w:t>
      </w:r>
      <w:r w:rsidR="00380F44" w:rsidRPr="00FA2E2E">
        <w:rPr>
          <w:lang w:val="fr-FR"/>
        </w:rPr>
        <w:t> </w:t>
      </w:r>
      <w:r w:rsidRPr="00FA2E2E">
        <w:rPr>
          <w:lang w:val="fr-FR"/>
        </w:rPr>
        <w:t>il est mélangé au minerai aurifère</w:t>
      </w:r>
      <w:r w:rsidR="00D31AFF" w:rsidRPr="00FA2E2E">
        <w:rPr>
          <w:lang w:val="fr-FR"/>
        </w:rPr>
        <w:t xml:space="preserve">. </w:t>
      </w:r>
      <w:r w:rsidRPr="00FA2E2E">
        <w:rPr>
          <w:lang w:val="fr-FR"/>
        </w:rPr>
        <w:t>Le mercure se lie à l</w:t>
      </w:r>
      <w:r w:rsidR="00FE58E1" w:rsidRPr="00FA2E2E">
        <w:rPr>
          <w:lang w:val="fr-FR"/>
        </w:rPr>
        <w:t>’</w:t>
      </w:r>
      <w:r w:rsidRPr="00FA2E2E">
        <w:rPr>
          <w:lang w:val="fr-FR"/>
        </w:rPr>
        <w:t>or, formant un amalgame qui est ensuite chauffé afin de rejeter le mercure sous forme de vapeur et de ne laisser que l</w:t>
      </w:r>
      <w:r w:rsidR="00FE58E1" w:rsidRPr="00FA2E2E">
        <w:rPr>
          <w:lang w:val="fr-FR"/>
        </w:rPr>
        <w:t>’</w:t>
      </w:r>
      <w:r w:rsidRPr="00FA2E2E">
        <w:rPr>
          <w:lang w:val="fr-FR"/>
        </w:rPr>
        <w:t>or</w:t>
      </w:r>
      <w:r w:rsidR="00D31AFF" w:rsidRPr="00FA2E2E">
        <w:rPr>
          <w:lang w:val="fr-FR"/>
        </w:rPr>
        <w:t xml:space="preserve">. </w:t>
      </w:r>
      <w:r w:rsidRPr="00FA2E2E">
        <w:rPr>
          <w:lang w:val="fr-FR"/>
        </w:rPr>
        <w:t>Les contrôles de l</w:t>
      </w:r>
      <w:r w:rsidR="00FE58E1" w:rsidRPr="00FA2E2E">
        <w:rPr>
          <w:lang w:val="fr-FR"/>
        </w:rPr>
        <w:t>’</w:t>
      </w:r>
      <w:r w:rsidRPr="00FA2E2E">
        <w:rPr>
          <w:lang w:val="fr-FR"/>
        </w:rPr>
        <w:t>utilisation et des rejets de mercure sont peu nombreux, voire inexistants, en raison de la nature informelle de nombreuses opérations d</w:t>
      </w:r>
      <w:r w:rsidR="00FE58E1" w:rsidRPr="00FA2E2E">
        <w:rPr>
          <w:lang w:val="fr-FR"/>
        </w:rPr>
        <w:t>’</w:t>
      </w:r>
      <w:r w:rsidRPr="00FA2E2E">
        <w:rPr>
          <w:lang w:val="fr-FR"/>
        </w:rPr>
        <w:t>extraction minière artisanale et à petite échelle d</w:t>
      </w:r>
      <w:r w:rsidR="00FE58E1" w:rsidRPr="00FA2E2E">
        <w:rPr>
          <w:lang w:val="fr-FR"/>
        </w:rPr>
        <w:t>’</w:t>
      </w:r>
      <w:r w:rsidRPr="00FA2E2E">
        <w:rPr>
          <w:lang w:val="fr-FR"/>
        </w:rPr>
        <w:t>or, ce qui conduit souvent à d</w:t>
      </w:r>
      <w:r w:rsidR="00FE58E1" w:rsidRPr="00FA2E2E">
        <w:rPr>
          <w:lang w:val="fr-FR"/>
        </w:rPr>
        <w:t>’</w:t>
      </w:r>
      <w:r w:rsidRPr="00FA2E2E">
        <w:rPr>
          <w:lang w:val="fr-FR"/>
        </w:rPr>
        <w:t>importants niveaux d</w:t>
      </w:r>
      <w:r w:rsidR="00FE58E1" w:rsidRPr="00FA2E2E">
        <w:rPr>
          <w:lang w:val="fr-FR"/>
        </w:rPr>
        <w:t>’</w:t>
      </w:r>
      <w:r w:rsidRPr="00FA2E2E">
        <w:rPr>
          <w:lang w:val="fr-FR"/>
        </w:rPr>
        <w:t>exposition pour les travailleurs et à une contamination élevée des sites</w:t>
      </w:r>
      <w:r w:rsidR="00D31AFF" w:rsidRPr="00FA2E2E">
        <w:rPr>
          <w:lang w:val="fr-FR"/>
        </w:rPr>
        <w:t xml:space="preserve">. </w:t>
      </w:r>
      <w:r w:rsidRPr="00FA2E2E">
        <w:rPr>
          <w:lang w:val="fr-FR"/>
        </w:rPr>
        <w:t>De plus, des familles ou des groupes de personnes entiers peuvent être exposés aux</w:t>
      </w:r>
      <w:r w:rsidR="00380F44" w:rsidRPr="00FA2E2E">
        <w:rPr>
          <w:lang w:val="fr-FR"/>
        </w:rPr>
        <w:t> </w:t>
      </w:r>
      <w:r w:rsidRPr="00FA2E2E">
        <w:rPr>
          <w:lang w:val="fr-FR"/>
        </w:rPr>
        <w:t xml:space="preserve">vapeurs de mercure </w:t>
      </w:r>
      <w:r w:rsidR="00133D50" w:rsidRPr="00FA2E2E">
        <w:rPr>
          <w:lang w:val="fr-FR"/>
        </w:rPr>
        <w:t>à l</w:t>
      </w:r>
      <w:r w:rsidR="00FE58E1" w:rsidRPr="00FA2E2E">
        <w:rPr>
          <w:lang w:val="fr-FR"/>
        </w:rPr>
        <w:t>’</w:t>
      </w:r>
      <w:r w:rsidR="00133D50" w:rsidRPr="00FA2E2E">
        <w:rPr>
          <w:lang w:val="fr-FR"/>
        </w:rPr>
        <w:t>intérieur</w:t>
      </w:r>
      <w:r w:rsidRPr="00FA2E2E">
        <w:rPr>
          <w:lang w:val="fr-FR"/>
        </w:rPr>
        <w:t xml:space="preserve"> ou autour de l</w:t>
      </w:r>
      <w:r w:rsidR="00FE58E1" w:rsidRPr="00FA2E2E">
        <w:rPr>
          <w:lang w:val="fr-FR"/>
        </w:rPr>
        <w:t>’</w:t>
      </w:r>
      <w:r w:rsidRPr="00FA2E2E">
        <w:rPr>
          <w:lang w:val="fr-FR"/>
        </w:rPr>
        <w:t xml:space="preserve">habitation ou </w:t>
      </w:r>
      <w:r w:rsidR="00133D50" w:rsidRPr="00FA2E2E">
        <w:rPr>
          <w:lang w:val="fr-FR"/>
        </w:rPr>
        <w:t xml:space="preserve">de </w:t>
      </w:r>
      <w:r w:rsidRPr="00FA2E2E">
        <w:rPr>
          <w:lang w:val="fr-FR"/>
        </w:rPr>
        <w:t>l</w:t>
      </w:r>
      <w:r w:rsidR="00FE58E1" w:rsidRPr="00FA2E2E">
        <w:rPr>
          <w:lang w:val="fr-FR"/>
        </w:rPr>
        <w:t>’</w:t>
      </w:r>
      <w:r w:rsidRPr="00FA2E2E">
        <w:rPr>
          <w:lang w:val="fr-FR"/>
        </w:rPr>
        <w:t>entrepôt où le procédé de</w:t>
      </w:r>
      <w:r w:rsidR="00380F44" w:rsidRPr="00FA2E2E">
        <w:rPr>
          <w:lang w:val="fr-FR"/>
        </w:rPr>
        <w:t> </w:t>
      </w:r>
      <w:r w:rsidRPr="00FA2E2E">
        <w:rPr>
          <w:lang w:val="fr-FR"/>
        </w:rPr>
        <w:t>fabrication a lieu</w:t>
      </w:r>
      <w:r w:rsidR="00D31AFF" w:rsidRPr="00FA2E2E">
        <w:rPr>
          <w:lang w:val="fr-FR"/>
        </w:rPr>
        <w:t xml:space="preserve">. </w:t>
      </w:r>
    </w:p>
    <w:p w14:paraId="31797725" w14:textId="2184BF8B" w:rsidR="00D31AFF" w:rsidRPr="00FA2E2E" w:rsidRDefault="006A05E4" w:rsidP="008E43CD">
      <w:pPr>
        <w:pStyle w:val="Normalnumber"/>
        <w:numPr>
          <w:ilvl w:val="0"/>
          <w:numId w:val="5"/>
        </w:numPr>
        <w:rPr>
          <w:lang w:val="fr-FR"/>
        </w:rPr>
      </w:pPr>
      <w:r w:rsidRPr="00FA2E2E">
        <w:rPr>
          <w:lang w:val="fr-FR"/>
        </w:rPr>
        <w:t>Il convient de noter que les rejets de mercure ne se limitent pas aux rejets résultant d</w:t>
      </w:r>
      <w:r w:rsidR="00FE58E1" w:rsidRPr="00FA2E2E">
        <w:rPr>
          <w:lang w:val="fr-FR"/>
        </w:rPr>
        <w:t>’</w:t>
      </w:r>
      <w:r w:rsidRPr="00FA2E2E">
        <w:rPr>
          <w:lang w:val="fr-FR"/>
        </w:rPr>
        <w:t>une</w:t>
      </w:r>
      <w:r w:rsidR="00380F44" w:rsidRPr="00FA2E2E">
        <w:rPr>
          <w:lang w:val="fr-FR"/>
        </w:rPr>
        <w:t> </w:t>
      </w:r>
      <w:r w:rsidRPr="00FA2E2E">
        <w:rPr>
          <w:lang w:val="fr-FR"/>
        </w:rPr>
        <w:t>utilisation intentionnelle</w:t>
      </w:r>
      <w:r w:rsidR="00813FA0" w:rsidRPr="00FA2E2E">
        <w:rPr>
          <w:lang w:val="fr-FR"/>
        </w:rPr>
        <w:t>.</w:t>
      </w:r>
      <w:r w:rsidRPr="00FA2E2E">
        <w:rPr>
          <w:lang w:val="fr-FR"/>
        </w:rPr>
        <w:t xml:space="preserve"> Une mauvaise gestion des déchets et des eaux usées, notamment dans</w:t>
      </w:r>
      <w:r w:rsidR="00380F44" w:rsidRPr="00FA2E2E">
        <w:rPr>
          <w:lang w:val="fr-FR"/>
        </w:rPr>
        <w:t> </w:t>
      </w:r>
      <w:r w:rsidRPr="00FA2E2E">
        <w:rPr>
          <w:lang w:val="fr-FR"/>
        </w:rPr>
        <w:t>le</w:t>
      </w:r>
      <w:r w:rsidR="00380F44" w:rsidRPr="00FA2E2E">
        <w:rPr>
          <w:lang w:val="fr-FR"/>
        </w:rPr>
        <w:t> </w:t>
      </w:r>
      <w:r w:rsidRPr="00FA2E2E">
        <w:rPr>
          <w:lang w:val="fr-FR"/>
        </w:rPr>
        <w:t>cadre de mesures de lutte contre la pollution,</w:t>
      </w:r>
      <w:r w:rsidR="00813FA0" w:rsidRPr="00FA2E2E">
        <w:rPr>
          <w:lang w:val="fr-FR"/>
        </w:rPr>
        <w:t xml:space="preserve"> </w:t>
      </w:r>
      <w:r w:rsidRPr="00FA2E2E">
        <w:rPr>
          <w:lang w:val="fr-FR"/>
        </w:rPr>
        <w:t>peut conduire à des rejets de mercure dans l</w:t>
      </w:r>
      <w:r w:rsidR="00FE58E1" w:rsidRPr="00FA2E2E">
        <w:rPr>
          <w:lang w:val="fr-FR"/>
        </w:rPr>
        <w:t>’</w:t>
      </w:r>
      <w:r w:rsidRPr="00FA2E2E">
        <w:rPr>
          <w:lang w:val="fr-FR"/>
        </w:rPr>
        <w:t>eau, les</w:t>
      </w:r>
      <w:r w:rsidR="00380F44" w:rsidRPr="00FA2E2E">
        <w:rPr>
          <w:lang w:val="fr-FR"/>
        </w:rPr>
        <w:t> </w:t>
      </w:r>
      <w:r w:rsidRPr="00FA2E2E">
        <w:rPr>
          <w:lang w:val="fr-FR"/>
        </w:rPr>
        <w:t>terres et les sols</w:t>
      </w:r>
      <w:r w:rsidR="00D31AFF" w:rsidRPr="00FA2E2E">
        <w:rPr>
          <w:lang w:val="fr-FR"/>
        </w:rPr>
        <w:t>.</w:t>
      </w:r>
      <w:r w:rsidR="00152CD3" w:rsidRPr="00FA2E2E">
        <w:rPr>
          <w:lang w:val="fr-FR"/>
        </w:rPr>
        <w:t xml:space="preserve"> </w:t>
      </w:r>
      <w:r w:rsidRPr="00FA2E2E">
        <w:rPr>
          <w:lang w:val="fr-FR"/>
        </w:rPr>
        <w:t>Les activités minières à l</w:t>
      </w:r>
      <w:r w:rsidR="00FE58E1" w:rsidRPr="00FA2E2E">
        <w:rPr>
          <w:lang w:val="fr-FR"/>
        </w:rPr>
        <w:t>’</w:t>
      </w:r>
      <w:r w:rsidRPr="00FA2E2E">
        <w:rPr>
          <w:lang w:val="fr-FR"/>
        </w:rPr>
        <w:t>échelle industrielle peuvent également conduire à des</w:t>
      </w:r>
      <w:r w:rsidR="00380F44" w:rsidRPr="00FA2E2E">
        <w:rPr>
          <w:lang w:val="fr-FR"/>
        </w:rPr>
        <w:t> </w:t>
      </w:r>
      <w:r w:rsidRPr="00FA2E2E">
        <w:rPr>
          <w:lang w:val="fr-FR"/>
        </w:rPr>
        <w:t>rejets de mercure dans la terre et l</w:t>
      </w:r>
      <w:r w:rsidR="00FE58E1" w:rsidRPr="00FA2E2E">
        <w:rPr>
          <w:lang w:val="fr-FR"/>
        </w:rPr>
        <w:t>’</w:t>
      </w:r>
      <w:r w:rsidRPr="00FA2E2E">
        <w:rPr>
          <w:lang w:val="fr-FR"/>
        </w:rPr>
        <w:t>eau</w:t>
      </w:r>
      <w:r w:rsidR="009A3117" w:rsidRPr="00FA2E2E">
        <w:rPr>
          <w:lang w:val="fr-FR"/>
        </w:rPr>
        <w:t xml:space="preserve"> lorsque le minerai contient un taux élevé de mercure ou lorsque du pétrole et du gaz sont extraits</w:t>
      </w:r>
      <w:r w:rsidR="00D31AFF" w:rsidRPr="00FA2E2E">
        <w:rPr>
          <w:lang w:val="fr-FR"/>
        </w:rPr>
        <w:t xml:space="preserve">. </w:t>
      </w:r>
    </w:p>
    <w:p w14:paraId="1BDC927F" w14:textId="43C575D2" w:rsidR="00D31AFF" w:rsidRPr="00FA2E2E" w:rsidRDefault="00D31AFF" w:rsidP="00F93F76">
      <w:pPr>
        <w:pStyle w:val="CH3"/>
        <w:rPr>
          <w:lang w:val="fr-FR"/>
        </w:rPr>
      </w:pPr>
      <w:r w:rsidRPr="00FA2E2E">
        <w:rPr>
          <w:lang w:val="fr-FR"/>
        </w:rPr>
        <w:tab/>
      </w:r>
      <w:r w:rsidR="00152CD3" w:rsidRPr="00FA2E2E">
        <w:rPr>
          <w:lang w:val="fr-FR"/>
        </w:rPr>
        <w:t>3.</w:t>
      </w:r>
      <w:r w:rsidRPr="00FA2E2E">
        <w:rPr>
          <w:lang w:val="fr-FR"/>
        </w:rPr>
        <w:tab/>
      </w:r>
      <w:bookmarkStart w:id="14" w:name="_Toc15920538"/>
      <w:r w:rsidR="00B540C1" w:rsidRPr="00FA2E2E">
        <w:rPr>
          <w:lang w:val="fr-FR"/>
        </w:rPr>
        <w:t>É</w:t>
      </w:r>
      <w:r w:rsidRPr="00FA2E2E">
        <w:rPr>
          <w:lang w:val="fr-FR"/>
        </w:rPr>
        <w:t xml:space="preserve">missions </w:t>
      </w:r>
      <w:r w:rsidR="00B540C1" w:rsidRPr="00FA2E2E">
        <w:rPr>
          <w:lang w:val="fr-FR"/>
        </w:rPr>
        <w:t>et rejets de mercure</w:t>
      </w:r>
      <w:r w:rsidRPr="00FA2E2E">
        <w:rPr>
          <w:lang w:val="fr-FR"/>
        </w:rPr>
        <w:t xml:space="preserve"> </w:t>
      </w:r>
      <w:bookmarkEnd w:id="14"/>
      <w:r w:rsidR="00B540C1" w:rsidRPr="00FA2E2E">
        <w:rPr>
          <w:lang w:val="fr-FR"/>
        </w:rPr>
        <w:t>provenant de sites contaminés</w:t>
      </w:r>
    </w:p>
    <w:p w14:paraId="77ECD39F" w14:textId="72269572" w:rsidR="00D31AFF" w:rsidRPr="00FA2E2E" w:rsidRDefault="00B540C1" w:rsidP="008E43CD">
      <w:pPr>
        <w:pStyle w:val="Normalnumber"/>
        <w:numPr>
          <w:ilvl w:val="0"/>
          <w:numId w:val="5"/>
        </w:numPr>
        <w:rPr>
          <w:lang w:val="fr-FR"/>
        </w:rPr>
      </w:pPr>
      <w:r w:rsidRPr="00FA2E2E">
        <w:rPr>
          <w:lang w:val="fr-FR"/>
        </w:rPr>
        <w:t>Les risques pour l</w:t>
      </w:r>
      <w:r w:rsidR="00FE58E1" w:rsidRPr="00FA2E2E">
        <w:rPr>
          <w:lang w:val="fr-FR"/>
        </w:rPr>
        <w:t>’</w:t>
      </w:r>
      <w:r w:rsidRPr="00FA2E2E">
        <w:rPr>
          <w:lang w:val="fr-FR"/>
        </w:rPr>
        <w:t>environnement que présentent les sites contaminés sont doubles :</w:t>
      </w:r>
      <w:r w:rsidR="00AE7D3C" w:rsidRPr="00FA2E2E">
        <w:rPr>
          <w:lang w:val="fr-FR"/>
        </w:rPr>
        <w:t xml:space="preserve"> </w:t>
      </w:r>
      <w:r w:rsidRPr="00FA2E2E">
        <w:rPr>
          <w:lang w:val="fr-FR"/>
        </w:rPr>
        <w:t>d</w:t>
      </w:r>
      <w:r w:rsidR="00FE58E1" w:rsidRPr="00FA2E2E">
        <w:rPr>
          <w:lang w:val="fr-FR"/>
        </w:rPr>
        <w:t>’</w:t>
      </w:r>
      <w:r w:rsidRPr="00FA2E2E">
        <w:rPr>
          <w:lang w:val="fr-FR"/>
        </w:rPr>
        <w:t>une part, le site contaminé lui-même (par exemple, usine ou site de déversement local) peut conduire à l</w:t>
      </w:r>
      <w:r w:rsidR="00FE58E1" w:rsidRPr="00FA2E2E">
        <w:rPr>
          <w:lang w:val="fr-FR"/>
        </w:rPr>
        <w:t>’</w:t>
      </w:r>
      <w:r w:rsidRPr="00FA2E2E">
        <w:rPr>
          <w:lang w:val="fr-FR"/>
        </w:rPr>
        <w:t>exposition de quiconque y pénètre et, d</w:t>
      </w:r>
      <w:r w:rsidR="00FE58E1" w:rsidRPr="00FA2E2E">
        <w:rPr>
          <w:lang w:val="fr-FR"/>
        </w:rPr>
        <w:t>’</w:t>
      </w:r>
      <w:r w:rsidRPr="00FA2E2E">
        <w:rPr>
          <w:lang w:val="fr-FR"/>
        </w:rPr>
        <w:t>autre part, il peut laisser échapper du mercure dans son environnement immédiat</w:t>
      </w:r>
      <w:r w:rsidR="00D31AFF" w:rsidRPr="00FA2E2E">
        <w:rPr>
          <w:lang w:val="fr-FR"/>
        </w:rPr>
        <w:t xml:space="preserve">. </w:t>
      </w:r>
      <w:r w:rsidRPr="00FA2E2E">
        <w:rPr>
          <w:lang w:val="fr-FR"/>
        </w:rPr>
        <w:t xml:space="preserve">Dans un tel cas, la remise en état inclut </w:t>
      </w:r>
      <w:r w:rsidR="00863367" w:rsidRPr="00FA2E2E">
        <w:rPr>
          <w:lang w:val="fr-FR"/>
        </w:rPr>
        <w:t xml:space="preserve">généralement </w:t>
      </w:r>
      <w:r w:rsidRPr="00FA2E2E">
        <w:rPr>
          <w:lang w:val="fr-FR"/>
        </w:rPr>
        <w:t>l</w:t>
      </w:r>
      <w:r w:rsidR="00FE58E1" w:rsidRPr="00FA2E2E">
        <w:rPr>
          <w:lang w:val="fr-FR"/>
        </w:rPr>
        <w:t>’</w:t>
      </w:r>
      <w:r w:rsidRPr="00FA2E2E">
        <w:rPr>
          <w:lang w:val="fr-FR"/>
        </w:rPr>
        <w:t>enlèvement du mercure présent non seulement sur le site</w:t>
      </w:r>
      <w:r w:rsidR="00863367" w:rsidRPr="00FA2E2E">
        <w:rPr>
          <w:lang w:val="fr-FR"/>
        </w:rPr>
        <w:t xml:space="preserve"> de contamination initiale</w:t>
      </w:r>
      <w:r w:rsidRPr="00FA2E2E">
        <w:rPr>
          <w:lang w:val="fr-FR"/>
        </w:rPr>
        <w:t>, mais aussi dans les milieux environnementaux vers lesquels il a pu migrer (</w:t>
      </w:r>
      <w:r w:rsidR="00863367" w:rsidRPr="00FA2E2E">
        <w:rPr>
          <w:lang w:val="fr-FR"/>
        </w:rPr>
        <w:t xml:space="preserve">par exemple, </w:t>
      </w:r>
      <w:r w:rsidRPr="00FA2E2E">
        <w:rPr>
          <w:lang w:val="fr-FR"/>
        </w:rPr>
        <w:t>eaux souterraines, eaux de surface, sédiments</w:t>
      </w:r>
      <w:r w:rsidR="00D31AFF" w:rsidRPr="00FA2E2E">
        <w:rPr>
          <w:lang w:val="fr-FR"/>
        </w:rPr>
        <w:t>).</w:t>
      </w:r>
    </w:p>
    <w:p w14:paraId="537F7186" w14:textId="3C2776AB" w:rsidR="00D31AFF" w:rsidRPr="00FA2E2E" w:rsidRDefault="00A37E4B" w:rsidP="008E43CD">
      <w:pPr>
        <w:pStyle w:val="Normalnumber"/>
        <w:numPr>
          <w:ilvl w:val="0"/>
          <w:numId w:val="5"/>
        </w:numPr>
        <w:rPr>
          <w:lang w:val="fr-FR"/>
        </w:rPr>
      </w:pPr>
      <w:r w:rsidRPr="00FA2E2E">
        <w:rPr>
          <w:lang w:val="fr-FR"/>
        </w:rPr>
        <w:t>L</w:t>
      </w:r>
      <w:r w:rsidR="00FE58E1" w:rsidRPr="00FA2E2E">
        <w:rPr>
          <w:lang w:val="fr-FR"/>
        </w:rPr>
        <w:t>’</w:t>
      </w:r>
      <w:r w:rsidR="00265E91" w:rsidRPr="00FA2E2E">
        <w:rPr>
          <w:lang w:val="fr-FR"/>
        </w:rPr>
        <w:t>É</w:t>
      </w:r>
      <w:r w:rsidRPr="00FA2E2E">
        <w:rPr>
          <w:lang w:val="fr-FR"/>
        </w:rPr>
        <w:t xml:space="preserve">valuation mondiale du mercure 2013 </w:t>
      </w:r>
      <w:r w:rsidR="00D31AFF" w:rsidRPr="00FA2E2E">
        <w:rPr>
          <w:lang w:val="fr-FR"/>
        </w:rPr>
        <w:t>(</w:t>
      </w:r>
      <w:r w:rsidR="00265E91" w:rsidRPr="00FA2E2E">
        <w:rPr>
          <w:lang w:val="fr-FR"/>
        </w:rPr>
        <w:t>PNUE</w:t>
      </w:r>
      <w:r w:rsidR="00D31AFF" w:rsidRPr="00FA2E2E">
        <w:rPr>
          <w:lang w:val="fr-FR"/>
        </w:rPr>
        <w:t xml:space="preserve">, </w:t>
      </w:r>
      <w:r w:rsidR="00B102C7" w:rsidRPr="00FA2E2E">
        <w:rPr>
          <w:lang w:val="fr-FR"/>
        </w:rPr>
        <w:t>2013</w:t>
      </w:r>
      <w:r w:rsidR="00D31AFF" w:rsidRPr="00FA2E2E">
        <w:rPr>
          <w:lang w:val="fr-FR"/>
        </w:rPr>
        <w:t xml:space="preserve">) </w:t>
      </w:r>
      <w:r w:rsidRPr="00FA2E2E">
        <w:rPr>
          <w:lang w:val="fr-FR"/>
        </w:rPr>
        <w:t>a évalué</w:t>
      </w:r>
      <w:r w:rsidR="00D31AFF" w:rsidRPr="00FA2E2E">
        <w:rPr>
          <w:lang w:val="fr-FR"/>
        </w:rPr>
        <w:t xml:space="preserve">, </w:t>
      </w:r>
      <w:r w:rsidRPr="00FA2E2E">
        <w:rPr>
          <w:lang w:val="fr-FR"/>
        </w:rPr>
        <w:t>entre autres</w:t>
      </w:r>
      <w:r w:rsidR="00D31AFF" w:rsidRPr="00FA2E2E">
        <w:rPr>
          <w:lang w:val="fr-FR"/>
        </w:rPr>
        <w:t xml:space="preserve">, </w:t>
      </w:r>
      <w:r w:rsidRPr="00FA2E2E">
        <w:rPr>
          <w:lang w:val="fr-FR"/>
        </w:rPr>
        <w:t>les rejets dans l</w:t>
      </w:r>
      <w:r w:rsidR="00FE58E1" w:rsidRPr="00FA2E2E">
        <w:rPr>
          <w:lang w:val="fr-FR"/>
        </w:rPr>
        <w:t>’</w:t>
      </w:r>
      <w:r w:rsidRPr="00FA2E2E">
        <w:rPr>
          <w:lang w:val="fr-FR"/>
        </w:rPr>
        <w:t>eau de mercure provenant des sources ponctuelles d</w:t>
      </w:r>
      <w:r w:rsidR="00FE58E1" w:rsidRPr="00FA2E2E">
        <w:rPr>
          <w:lang w:val="fr-FR"/>
        </w:rPr>
        <w:t>’</w:t>
      </w:r>
      <w:r w:rsidRPr="00FA2E2E">
        <w:rPr>
          <w:lang w:val="fr-FR"/>
        </w:rPr>
        <w:t>émissions, des sites contaminés et des sites d</w:t>
      </w:r>
      <w:r w:rsidR="00FE58E1" w:rsidRPr="00FA2E2E">
        <w:rPr>
          <w:lang w:val="fr-FR"/>
        </w:rPr>
        <w:t>’</w:t>
      </w:r>
      <w:r w:rsidRPr="00FA2E2E">
        <w:rPr>
          <w:lang w:val="fr-FR"/>
        </w:rPr>
        <w:t>extraction minière artisanale et à petite échelle d</w:t>
      </w:r>
      <w:r w:rsidR="00FE58E1" w:rsidRPr="00FA2E2E">
        <w:rPr>
          <w:lang w:val="fr-FR"/>
        </w:rPr>
        <w:t>’</w:t>
      </w:r>
      <w:r w:rsidRPr="00FA2E2E">
        <w:rPr>
          <w:lang w:val="fr-FR"/>
        </w:rPr>
        <w:t>or</w:t>
      </w:r>
      <w:r w:rsidR="00D31AFF" w:rsidRPr="00FA2E2E">
        <w:rPr>
          <w:lang w:val="fr-FR"/>
        </w:rPr>
        <w:t xml:space="preserve">. </w:t>
      </w:r>
      <w:r w:rsidR="001634FB" w:rsidRPr="00FA2E2E">
        <w:rPr>
          <w:lang w:val="fr-FR"/>
        </w:rPr>
        <w:t>Selon les estimations, les sites contaminés rejetteraient entre 8 et 33 tonnes métriques de mercure par an dans l</w:t>
      </w:r>
      <w:r w:rsidR="00FE58E1" w:rsidRPr="00FA2E2E">
        <w:rPr>
          <w:lang w:val="fr-FR"/>
        </w:rPr>
        <w:t>’</w:t>
      </w:r>
      <w:r w:rsidR="001634FB" w:rsidRPr="00FA2E2E">
        <w:rPr>
          <w:lang w:val="fr-FR"/>
        </w:rPr>
        <w:t>eau et entre 70 et 95 tonnes métriques de mercure dans l</w:t>
      </w:r>
      <w:r w:rsidR="00FE58E1" w:rsidRPr="00FA2E2E">
        <w:rPr>
          <w:lang w:val="fr-FR"/>
        </w:rPr>
        <w:t>’</w:t>
      </w:r>
      <w:r w:rsidR="001634FB" w:rsidRPr="00FA2E2E">
        <w:rPr>
          <w:lang w:val="fr-FR"/>
        </w:rPr>
        <w:t>air</w:t>
      </w:r>
      <w:r w:rsidR="00452496" w:rsidRPr="00FA2E2E">
        <w:rPr>
          <w:lang w:val="fr-FR"/>
        </w:rPr>
        <w:t>.</w:t>
      </w:r>
      <w:r w:rsidR="00D31AFF" w:rsidRPr="00FA2E2E">
        <w:rPr>
          <w:lang w:val="fr-FR"/>
        </w:rPr>
        <w:t xml:space="preserve"> </w:t>
      </w:r>
      <w:r w:rsidR="001634FB" w:rsidRPr="00FA2E2E">
        <w:rPr>
          <w:lang w:val="fr-FR"/>
        </w:rPr>
        <w:t>D</w:t>
      </w:r>
      <w:r w:rsidR="00FE58E1" w:rsidRPr="00FA2E2E">
        <w:rPr>
          <w:lang w:val="fr-FR"/>
        </w:rPr>
        <w:t>’</w:t>
      </w:r>
      <w:r w:rsidR="001634FB" w:rsidRPr="00FA2E2E">
        <w:rPr>
          <w:lang w:val="fr-FR"/>
        </w:rPr>
        <w:t xml:space="preserve">autres études (Kocman </w:t>
      </w:r>
      <w:r w:rsidR="001634FB" w:rsidRPr="00FA2E2E">
        <w:rPr>
          <w:i/>
          <w:iCs/>
          <w:lang w:val="fr-FR"/>
        </w:rPr>
        <w:t>et al.</w:t>
      </w:r>
      <w:r w:rsidR="001634FB" w:rsidRPr="00FA2E2E">
        <w:rPr>
          <w:lang w:val="fr-FR"/>
        </w:rPr>
        <w:t>, 2013) ont estimé que les quantités de mercure rejetées par ces sites dans l</w:t>
      </w:r>
      <w:r w:rsidR="00FE58E1" w:rsidRPr="00FA2E2E">
        <w:rPr>
          <w:lang w:val="fr-FR"/>
        </w:rPr>
        <w:t>’</w:t>
      </w:r>
      <w:r w:rsidR="001634FB" w:rsidRPr="00FA2E2E">
        <w:rPr>
          <w:lang w:val="fr-FR"/>
        </w:rPr>
        <w:t>eau étaient plus élevées et se situaient entre 67 et 165 tonnes métriques de mercure par an</w:t>
      </w:r>
      <w:r w:rsidR="00D31AFF" w:rsidRPr="00FA2E2E">
        <w:rPr>
          <w:lang w:val="fr-FR"/>
        </w:rPr>
        <w:t xml:space="preserve">. </w:t>
      </w:r>
      <w:r w:rsidR="004504F2" w:rsidRPr="00FA2E2E">
        <w:rPr>
          <w:lang w:val="fr-FR"/>
        </w:rPr>
        <w:t>L</w:t>
      </w:r>
      <w:r w:rsidR="00FE58E1" w:rsidRPr="00FA2E2E">
        <w:rPr>
          <w:lang w:val="fr-FR"/>
        </w:rPr>
        <w:t>’</w:t>
      </w:r>
      <w:r w:rsidR="00265E91" w:rsidRPr="00FA2E2E">
        <w:rPr>
          <w:lang w:val="fr-FR"/>
        </w:rPr>
        <w:t>É</w:t>
      </w:r>
      <w:r w:rsidR="004504F2" w:rsidRPr="00FA2E2E">
        <w:rPr>
          <w:lang w:val="fr-FR"/>
        </w:rPr>
        <w:t xml:space="preserve">valuation mondiale du mercure </w:t>
      </w:r>
      <w:r w:rsidR="00452496" w:rsidRPr="00FA2E2E">
        <w:rPr>
          <w:lang w:val="fr-FR"/>
        </w:rPr>
        <w:t>2018 (</w:t>
      </w:r>
      <w:r w:rsidR="00265E91" w:rsidRPr="00FA2E2E">
        <w:rPr>
          <w:lang w:val="fr-FR"/>
        </w:rPr>
        <w:t>PNUE</w:t>
      </w:r>
      <w:r w:rsidR="00452496" w:rsidRPr="00FA2E2E">
        <w:rPr>
          <w:lang w:val="fr-FR"/>
        </w:rPr>
        <w:t>, 2019)</w:t>
      </w:r>
      <w:r w:rsidR="0089564B" w:rsidRPr="00FA2E2E">
        <w:rPr>
          <w:lang w:val="fr-FR"/>
        </w:rPr>
        <w:t xml:space="preserve"> considère les sites contaminés comme une source anthropique pour laquelle les émissions ne peuvent pas encore être estimées de manière fiable et conclut également qu</w:t>
      </w:r>
      <w:r w:rsidR="00FE58E1" w:rsidRPr="00FA2E2E">
        <w:rPr>
          <w:lang w:val="fr-FR"/>
        </w:rPr>
        <w:t>’</w:t>
      </w:r>
      <w:r w:rsidR="0089564B" w:rsidRPr="00FA2E2E">
        <w:rPr>
          <w:lang w:val="fr-FR"/>
        </w:rPr>
        <w:t>il n</w:t>
      </w:r>
      <w:r w:rsidR="00FE58E1" w:rsidRPr="00FA2E2E">
        <w:rPr>
          <w:lang w:val="fr-FR"/>
        </w:rPr>
        <w:t>’</w:t>
      </w:r>
      <w:r w:rsidR="0089564B" w:rsidRPr="00FA2E2E">
        <w:rPr>
          <w:lang w:val="fr-FR"/>
        </w:rPr>
        <w:t>existe pas de connaissances détaillées sur</w:t>
      </w:r>
      <w:r w:rsidR="00503ECC" w:rsidRPr="00FA2E2E">
        <w:rPr>
          <w:lang w:val="fr-FR"/>
        </w:rPr>
        <w:t xml:space="preserve"> les processus de rejets secondaires résultant de rejets initiaux de mercure dans le milieu terrestre</w:t>
      </w:r>
      <w:r w:rsidR="00452496" w:rsidRPr="00FA2E2E">
        <w:rPr>
          <w:lang w:val="fr-FR"/>
        </w:rPr>
        <w:t>.</w:t>
      </w:r>
    </w:p>
    <w:p w14:paraId="4D583574" w14:textId="38A4902F" w:rsidR="00D31AFF" w:rsidRPr="00FA2E2E" w:rsidRDefault="00D31AFF" w:rsidP="008B22F8">
      <w:pPr>
        <w:pStyle w:val="CH3"/>
        <w:rPr>
          <w:lang w:val="fr-FR"/>
        </w:rPr>
      </w:pPr>
      <w:r w:rsidRPr="00FA2E2E">
        <w:rPr>
          <w:lang w:val="fr-FR"/>
        </w:rPr>
        <w:tab/>
      </w:r>
      <w:r w:rsidR="00152CD3" w:rsidRPr="00FA2E2E">
        <w:rPr>
          <w:lang w:val="fr-FR"/>
        </w:rPr>
        <w:t>4.</w:t>
      </w:r>
      <w:r w:rsidRPr="00FA2E2E">
        <w:rPr>
          <w:lang w:val="fr-FR"/>
        </w:rPr>
        <w:tab/>
      </w:r>
      <w:bookmarkStart w:id="15" w:name="_Toc15920540"/>
      <w:r w:rsidRPr="00FA2E2E">
        <w:rPr>
          <w:lang w:val="fr-FR"/>
        </w:rPr>
        <w:t xml:space="preserve">Obligations </w:t>
      </w:r>
      <w:r w:rsidR="002E3C14" w:rsidRPr="00FA2E2E">
        <w:rPr>
          <w:lang w:val="fr-FR"/>
        </w:rPr>
        <w:t>au titre de la Convention de</w:t>
      </w:r>
      <w:r w:rsidRPr="00FA2E2E">
        <w:rPr>
          <w:lang w:val="fr-FR"/>
        </w:rPr>
        <w:t xml:space="preserve"> Minamata </w:t>
      </w:r>
      <w:bookmarkEnd w:id="15"/>
      <w:r w:rsidR="002E3C14" w:rsidRPr="00FA2E2E">
        <w:rPr>
          <w:lang w:val="fr-FR"/>
        </w:rPr>
        <w:t>sur le mercure</w:t>
      </w:r>
    </w:p>
    <w:p w14:paraId="4C078AC4" w14:textId="018D3837" w:rsidR="00D31AFF" w:rsidRPr="00FA2E2E" w:rsidRDefault="002E3C14" w:rsidP="008B22F8">
      <w:pPr>
        <w:pStyle w:val="Normalnumber"/>
        <w:keepNext/>
        <w:keepLines/>
        <w:numPr>
          <w:ilvl w:val="0"/>
          <w:numId w:val="5"/>
        </w:numPr>
        <w:rPr>
          <w:lang w:val="fr-FR"/>
        </w:rPr>
      </w:pPr>
      <w:r w:rsidRPr="00FA2E2E">
        <w:rPr>
          <w:lang w:val="fr-FR"/>
        </w:rPr>
        <w:t>L</w:t>
      </w:r>
      <w:r w:rsidR="00FE58E1" w:rsidRPr="00FA2E2E">
        <w:rPr>
          <w:lang w:val="fr-FR"/>
        </w:rPr>
        <w:t>’</w:t>
      </w:r>
      <w:r w:rsidRPr="00FA2E2E">
        <w:rPr>
          <w:lang w:val="fr-FR"/>
        </w:rPr>
        <w:t>a</w:t>
      </w:r>
      <w:r w:rsidR="00D31AFF" w:rsidRPr="00FA2E2E">
        <w:rPr>
          <w:lang w:val="fr-FR"/>
        </w:rPr>
        <w:t>rticle</w:t>
      </w:r>
      <w:r w:rsidRPr="00FA2E2E">
        <w:rPr>
          <w:lang w:val="fr-FR"/>
        </w:rPr>
        <w:t> </w:t>
      </w:r>
      <w:r w:rsidR="00D31AFF" w:rsidRPr="00FA2E2E">
        <w:rPr>
          <w:lang w:val="fr-FR"/>
        </w:rPr>
        <w:t xml:space="preserve">12 </w:t>
      </w:r>
      <w:r w:rsidRPr="00FA2E2E">
        <w:rPr>
          <w:lang w:val="fr-FR"/>
        </w:rPr>
        <w:t xml:space="preserve">de la Convention de </w:t>
      </w:r>
      <w:r w:rsidR="00D31AFF" w:rsidRPr="00FA2E2E">
        <w:rPr>
          <w:lang w:val="fr-FR"/>
        </w:rPr>
        <w:t xml:space="preserve">Minamata </w:t>
      </w:r>
      <w:r w:rsidRPr="00FA2E2E">
        <w:rPr>
          <w:lang w:val="fr-FR"/>
        </w:rPr>
        <w:t>définit les obligations ci-après en ce qui concerne les sites contaminés </w:t>
      </w:r>
      <w:r w:rsidR="00D31AFF" w:rsidRPr="00FA2E2E">
        <w:rPr>
          <w:lang w:val="fr-FR"/>
        </w:rPr>
        <w:t xml:space="preserve">: </w:t>
      </w:r>
    </w:p>
    <w:p w14:paraId="5863630F" w14:textId="7B48F122" w:rsidR="00D31AFF" w:rsidRPr="00FA2E2E" w:rsidRDefault="002E3C14" w:rsidP="008B22F8">
      <w:pPr>
        <w:pStyle w:val="Normalnumber"/>
        <w:keepNext/>
        <w:keepLines/>
        <w:numPr>
          <w:ilvl w:val="1"/>
          <w:numId w:val="5"/>
        </w:numPr>
        <w:rPr>
          <w:lang w:val="fr-FR"/>
        </w:rPr>
      </w:pPr>
      <w:r w:rsidRPr="00FA2E2E">
        <w:rPr>
          <w:lang w:val="fr-FR"/>
        </w:rPr>
        <w:t>Chaque Partie s</w:t>
      </w:r>
      <w:r w:rsidR="00FE58E1" w:rsidRPr="00FA2E2E">
        <w:rPr>
          <w:lang w:val="fr-FR"/>
        </w:rPr>
        <w:t>’</w:t>
      </w:r>
      <w:r w:rsidRPr="00FA2E2E">
        <w:rPr>
          <w:lang w:val="fr-FR"/>
        </w:rPr>
        <w:t>efforce d</w:t>
      </w:r>
      <w:r w:rsidR="00FE58E1" w:rsidRPr="00FA2E2E">
        <w:rPr>
          <w:lang w:val="fr-FR"/>
        </w:rPr>
        <w:t>’</w:t>
      </w:r>
      <w:r w:rsidRPr="00FA2E2E">
        <w:rPr>
          <w:lang w:val="fr-FR"/>
        </w:rPr>
        <w:t>élaborer des stratégies appropriées pour identifier et évaluer les sites contaminés par du mercure ou des composés du mercure</w:t>
      </w:r>
      <w:r w:rsidR="00D31AFF" w:rsidRPr="00FA2E2E">
        <w:rPr>
          <w:lang w:val="fr-FR"/>
        </w:rPr>
        <w:t>.</w:t>
      </w:r>
    </w:p>
    <w:p w14:paraId="77DC18D4" w14:textId="57F64997" w:rsidR="00D31AFF" w:rsidRPr="00FA2E2E" w:rsidRDefault="002E3C14" w:rsidP="008B22F8">
      <w:pPr>
        <w:pStyle w:val="Normalnumber"/>
        <w:keepNext/>
        <w:keepLines/>
        <w:numPr>
          <w:ilvl w:val="1"/>
          <w:numId w:val="5"/>
        </w:numPr>
        <w:rPr>
          <w:lang w:val="fr-FR"/>
        </w:rPr>
      </w:pPr>
      <w:r w:rsidRPr="00FA2E2E">
        <w:rPr>
          <w:lang w:val="fr-FR"/>
        </w:rPr>
        <w:t>Les actions visant à réduire les risques présentés par ces sites sont menées d</w:t>
      </w:r>
      <w:r w:rsidR="00FE58E1" w:rsidRPr="00FA2E2E">
        <w:rPr>
          <w:lang w:val="fr-FR"/>
        </w:rPr>
        <w:t>’</w:t>
      </w:r>
      <w:r w:rsidRPr="00FA2E2E">
        <w:rPr>
          <w:lang w:val="fr-FR"/>
        </w:rPr>
        <w:t>une</w:t>
      </w:r>
      <w:r w:rsidR="00380F44" w:rsidRPr="00FA2E2E">
        <w:rPr>
          <w:lang w:val="fr-FR"/>
        </w:rPr>
        <w:t> </w:t>
      </w:r>
      <w:r w:rsidRPr="00FA2E2E">
        <w:rPr>
          <w:lang w:val="fr-FR"/>
        </w:rPr>
        <w:t>manière écologiquement rationnelle comprenant, au besoin, une évaluation des risques pour la</w:t>
      </w:r>
      <w:r w:rsidR="00380F44" w:rsidRPr="00FA2E2E">
        <w:rPr>
          <w:lang w:val="fr-FR"/>
        </w:rPr>
        <w:t> </w:t>
      </w:r>
      <w:r w:rsidRPr="00FA2E2E">
        <w:rPr>
          <w:lang w:val="fr-FR"/>
        </w:rPr>
        <w:t>santé humaine et l</w:t>
      </w:r>
      <w:r w:rsidR="00FE58E1" w:rsidRPr="00FA2E2E">
        <w:rPr>
          <w:lang w:val="fr-FR"/>
        </w:rPr>
        <w:t>’</w:t>
      </w:r>
      <w:r w:rsidRPr="00FA2E2E">
        <w:rPr>
          <w:lang w:val="fr-FR"/>
        </w:rPr>
        <w:t>environnement posés par le mercure ou les composés du mercure qu</w:t>
      </w:r>
      <w:r w:rsidR="00FE58E1" w:rsidRPr="00FA2E2E">
        <w:rPr>
          <w:lang w:val="fr-FR"/>
        </w:rPr>
        <w:t>’</w:t>
      </w:r>
      <w:r w:rsidRPr="00FA2E2E">
        <w:rPr>
          <w:lang w:val="fr-FR"/>
        </w:rPr>
        <w:t>ils recèlent</w:t>
      </w:r>
      <w:r w:rsidR="00D31AFF" w:rsidRPr="00FA2E2E">
        <w:rPr>
          <w:lang w:val="fr-FR"/>
        </w:rPr>
        <w:t xml:space="preserve">. </w:t>
      </w:r>
    </w:p>
    <w:p w14:paraId="51B169D0" w14:textId="041C3C5B" w:rsidR="00D31AFF" w:rsidRPr="00FA2E2E" w:rsidRDefault="002E3C14" w:rsidP="008E43CD">
      <w:pPr>
        <w:pStyle w:val="Normalnumber"/>
        <w:numPr>
          <w:ilvl w:val="1"/>
          <w:numId w:val="5"/>
        </w:numPr>
        <w:rPr>
          <w:lang w:val="fr-FR"/>
        </w:rPr>
      </w:pPr>
      <w:r w:rsidRPr="00FA2E2E">
        <w:rPr>
          <w:lang w:val="fr-FR"/>
        </w:rPr>
        <w:t>La Conférence des Parties adopte des orientations sur la gestion des sites contaminés qui peuvent inclure des méthodes et des approches pour </w:t>
      </w:r>
      <w:r w:rsidR="00D31AFF" w:rsidRPr="00FA2E2E">
        <w:rPr>
          <w:lang w:val="fr-FR"/>
        </w:rPr>
        <w:t xml:space="preserve">: </w:t>
      </w:r>
    </w:p>
    <w:p w14:paraId="1E352083" w14:textId="71816173" w:rsidR="00D31AFF" w:rsidRPr="00FA2E2E" w:rsidRDefault="002E3C14" w:rsidP="008E43CD">
      <w:pPr>
        <w:pStyle w:val="Normalnumber"/>
        <w:numPr>
          <w:ilvl w:val="2"/>
          <w:numId w:val="5"/>
        </w:numPr>
        <w:rPr>
          <w:lang w:val="fr-FR"/>
        </w:rPr>
      </w:pPr>
      <w:r w:rsidRPr="00FA2E2E">
        <w:rPr>
          <w:lang w:val="fr-FR"/>
        </w:rPr>
        <w:t>L</w:t>
      </w:r>
      <w:r w:rsidR="00FE58E1" w:rsidRPr="00FA2E2E">
        <w:rPr>
          <w:lang w:val="fr-FR"/>
        </w:rPr>
        <w:t>’</w:t>
      </w:r>
      <w:r w:rsidRPr="00FA2E2E">
        <w:rPr>
          <w:lang w:val="fr-FR"/>
        </w:rPr>
        <w:t>identification et la caractérisation des sites contaminés</w:t>
      </w:r>
      <w:r w:rsidR="00265E91" w:rsidRPr="00FA2E2E">
        <w:rPr>
          <w:lang w:val="fr-FR"/>
        </w:rPr>
        <w:t> ;</w:t>
      </w:r>
    </w:p>
    <w:p w14:paraId="772D1428" w14:textId="2C1C2561" w:rsidR="00D31AFF" w:rsidRPr="00FA2E2E" w:rsidRDefault="002E3C14" w:rsidP="008E43CD">
      <w:pPr>
        <w:pStyle w:val="Normalnumber"/>
        <w:numPr>
          <w:ilvl w:val="2"/>
          <w:numId w:val="5"/>
        </w:numPr>
        <w:rPr>
          <w:lang w:val="fr-FR"/>
        </w:rPr>
      </w:pPr>
      <w:r w:rsidRPr="00FA2E2E">
        <w:rPr>
          <w:lang w:val="fr-FR"/>
        </w:rPr>
        <w:t>La mobilisation du public</w:t>
      </w:r>
      <w:r w:rsidR="00265E91" w:rsidRPr="00FA2E2E">
        <w:rPr>
          <w:lang w:val="fr-FR"/>
        </w:rPr>
        <w:t> ;</w:t>
      </w:r>
    </w:p>
    <w:p w14:paraId="176B492E" w14:textId="120B0BEC" w:rsidR="00D31AFF" w:rsidRPr="00FA2E2E" w:rsidRDefault="002E3C14" w:rsidP="008E43CD">
      <w:pPr>
        <w:pStyle w:val="Normalnumber"/>
        <w:numPr>
          <w:ilvl w:val="2"/>
          <w:numId w:val="5"/>
        </w:numPr>
        <w:rPr>
          <w:lang w:val="fr-FR"/>
        </w:rPr>
      </w:pPr>
      <w:r w:rsidRPr="00FA2E2E">
        <w:rPr>
          <w:lang w:val="fr-FR"/>
        </w:rPr>
        <w:t>Les évaluations des risques pour la santé humaine et l</w:t>
      </w:r>
      <w:r w:rsidR="00FE58E1" w:rsidRPr="00FA2E2E">
        <w:rPr>
          <w:lang w:val="fr-FR"/>
        </w:rPr>
        <w:t>’</w:t>
      </w:r>
      <w:r w:rsidRPr="00FA2E2E">
        <w:rPr>
          <w:lang w:val="fr-FR"/>
        </w:rPr>
        <w:t>environnement</w:t>
      </w:r>
      <w:r w:rsidR="00265E91" w:rsidRPr="00FA2E2E">
        <w:rPr>
          <w:lang w:val="fr-FR"/>
        </w:rPr>
        <w:t> ;</w:t>
      </w:r>
    </w:p>
    <w:p w14:paraId="09E32CED" w14:textId="1D86C32A" w:rsidR="00D31AFF" w:rsidRPr="00FA2E2E" w:rsidRDefault="002E3C14" w:rsidP="008E43CD">
      <w:pPr>
        <w:pStyle w:val="Normalnumber"/>
        <w:numPr>
          <w:ilvl w:val="2"/>
          <w:numId w:val="5"/>
        </w:numPr>
        <w:rPr>
          <w:lang w:val="fr-FR"/>
        </w:rPr>
      </w:pPr>
      <w:r w:rsidRPr="00FA2E2E">
        <w:rPr>
          <w:lang w:val="fr-FR"/>
        </w:rPr>
        <w:t>Les options de gestion des risques présentés par les sites contaminés</w:t>
      </w:r>
      <w:r w:rsidR="00265E91" w:rsidRPr="00FA2E2E">
        <w:rPr>
          <w:lang w:val="fr-FR"/>
        </w:rPr>
        <w:t> ;</w:t>
      </w:r>
    </w:p>
    <w:p w14:paraId="6B3F30F3" w14:textId="79C2B090" w:rsidR="00D31AFF" w:rsidRPr="00FA2E2E" w:rsidRDefault="002E3C14" w:rsidP="008E43CD">
      <w:pPr>
        <w:pStyle w:val="Normalnumber"/>
        <w:numPr>
          <w:ilvl w:val="2"/>
          <w:numId w:val="5"/>
        </w:numPr>
        <w:rPr>
          <w:lang w:val="fr-FR"/>
        </w:rPr>
      </w:pPr>
      <w:r w:rsidRPr="00FA2E2E">
        <w:rPr>
          <w:lang w:val="fr-FR"/>
        </w:rPr>
        <w:t>L</w:t>
      </w:r>
      <w:r w:rsidR="00FE58E1" w:rsidRPr="00FA2E2E">
        <w:rPr>
          <w:lang w:val="fr-FR"/>
        </w:rPr>
        <w:t>’</w:t>
      </w:r>
      <w:r w:rsidRPr="00FA2E2E">
        <w:rPr>
          <w:lang w:val="fr-FR"/>
        </w:rPr>
        <w:t>évaluation des avantages et des coûts</w:t>
      </w:r>
      <w:r w:rsidR="00265E91" w:rsidRPr="00FA2E2E">
        <w:rPr>
          <w:lang w:val="fr-FR"/>
        </w:rPr>
        <w:t> ;</w:t>
      </w:r>
    </w:p>
    <w:p w14:paraId="7245C499" w14:textId="7F258912" w:rsidR="00D31AFF" w:rsidRPr="00FA2E2E" w:rsidRDefault="002E3C14" w:rsidP="008E43CD">
      <w:pPr>
        <w:pStyle w:val="Normalnumber"/>
        <w:numPr>
          <w:ilvl w:val="2"/>
          <w:numId w:val="5"/>
        </w:numPr>
        <w:rPr>
          <w:lang w:val="fr-FR"/>
        </w:rPr>
      </w:pPr>
      <w:r w:rsidRPr="00FA2E2E">
        <w:rPr>
          <w:lang w:val="fr-FR"/>
        </w:rPr>
        <w:t>La validation des résultats</w:t>
      </w:r>
      <w:r w:rsidR="00265E91" w:rsidRPr="00FA2E2E">
        <w:rPr>
          <w:lang w:val="fr-FR"/>
        </w:rPr>
        <w:t>.</w:t>
      </w:r>
    </w:p>
    <w:p w14:paraId="79941831" w14:textId="31401A68" w:rsidR="00D31AFF" w:rsidRPr="00FA2E2E" w:rsidRDefault="002E3C14" w:rsidP="003A0F06">
      <w:pPr>
        <w:pStyle w:val="NormalNonumber"/>
        <w:rPr>
          <w:lang w:val="fr-FR"/>
        </w:rPr>
      </w:pPr>
      <w:r w:rsidRPr="00FA2E2E">
        <w:rPr>
          <w:lang w:val="fr-FR"/>
        </w:rPr>
        <w:t>Dans l</w:t>
      </w:r>
      <w:r w:rsidR="00FE58E1" w:rsidRPr="00FA2E2E">
        <w:rPr>
          <w:lang w:val="fr-FR"/>
        </w:rPr>
        <w:t>’</w:t>
      </w:r>
      <w:r w:rsidR="00451526" w:rsidRPr="00FA2E2E">
        <w:rPr>
          <w:lang w:val="fr-FR"/>
        </w:rPr>
        <w:t>article</w:t>
      </w:r>
      <w:r w:rsidRPr="00FA2E2E">
        <w:rPr>
          <w:lang w:val="fr-FR"/>
        </w:rPr>
        <w:t> </w:t>
      </w:r>
      <w:r w:rsidR="00451526" w:rsidRPr="00FA2E2E">
        <w:rPr>
          <w:lang w:val="fr-FR"/>
        </w:rPr>
        <w:t xml:space="preserve">12, </w:t>
      </w:r>
      <w:r w:rsidRPr="00FA2E2E">
        <w:rPr>
          <w:lang w:val="fr-FR"/>
        </w:rPr>
        <w:t xml:space="preserve">les </w:t>
      </w:r>
      <w:r w:rsidR="00D31AFF" w:rsidRPr="00FA2E2E">
        <w:rPr>
          <w:lang w:val="fr-FR"/>
        </w:rPr>
        <w:t xml:space="preserve">Parties </w:t>
      </w:r>
      <w:r w:rsidRPr="00FA2E2E">
        <w:rPr>
          <w:lang w:val="fr-FR"/>
        </w:rPr>
        <w:t>sont également encouragées à coopérer à l</w:t>
      </w:r>
      <w:r w:rsidR="00FE58E1" w:rsidRPr="00FA2E2E">
        <w:rPr>
          <w:lang w:val="fr-FR"/>
        </w:rPr>
        <w:t>’</w:t>
      </w:r>
      <w:r w:rsidRPr="00FA2E2E">
        <w:rPr>
          <w:lang w:val="fr-FR"/>
        </w:rPr>
        <w:t>élaboration de stratégies et à l</w:t>
      </w:r>
      <w:r w:rsidR="00FE58E1" w:rsidRPr="00FA2E2E">
        <w:rPr>
          <w:lang w:val="fr-FR"/>
        </w:rPr>
        <w:t>’</w:t>
      </w:r>
      <w:r w:rsidRPr="00FA2E2E">
        <w:rPr>
          <w:lang w:val="fr-FR"/>
        </w:rPr>
        <w:t>exécution d</w:t>
      </w:r>
      <w:r w:rsidR="00FE58E1" w:rsidRPr="00FA2E2E">
        <w:rPr>
          <w:lang w:val="fr-FR"/>
        </w:rPr>
        <w:t>’</w:t>
      </w:r>
      <w:r w:rsidRPr="00FA2E2E">
        <w:rPr>
          <w:lang w:val="fr-FR"/>
        </w:rPr>
        <w:t>activités visant à identifier, évaluer, classer par ordre de priorité, gérer et, s</w:t>
      </w:r>
      <w:r w:rsidR="00FE58E1" w:rsidRPr="00FA2E2E">
        <w:rPr>
          <w:lang w:val="fr-FR"/>
        </w:rPr>
        <w:t>’</w:t>
      </w:r>
      <w:r w:rsidRPr="00FA2E2E">
        <w:rPr>
          <w:lang w:val="fr-FR"/>
        </w:rPr>
        <w:t>il y a lieu, remettre en état les sites contaminés</w:t>
      </w:r>
      <w:r w:rsidR="00D31AFF" w:rsidRPr="00FA2E2E">
        <w:rPr>
          <w:lang w:val="fr-FR"/>
        </w:rPr>
        <w:t xml:space="preserve">. </w:t>
      </w:r>
    </w:p>
    <w:p w14:paraId="4170FE52" w14:textId="1E83C324" w:rsidR="00D31AFF" w:rsidRPr="00FA2E2E" w:rsidRDefault="0061395F" w:rsidP="008E43CD">
      <w:pPr>
        <w:pStyle w:val="Normalnumber"/>
        <w:numPr>
          <w:ilvl w:val="0"/>
          <w:numId w:val="5"/>
        </w:numPr>
        <w:rPr>
          <w:lang w:val="fr-FR"/>
        </w:rPr>
      </w:pPr>
      <w:r w:rsidRPr="00FA2E2E">
        <w:rPr>
          <w:lang w:val="fr-FR"/>
        </w:rPr>
        <w:t>Les présentes orientations ont été élaborées conformément</w:t>
      </w:r>
      <w:r w:rsidR="00AF7F22" w:rsidRPr="00FA2E2E">
        <w:rPr>
          <w:lang w:val="fr-FR"/>
        </w:rPr>
        <w:t xml:space="preserve"> au paragraphe 3 de l</w:t>
      </w:r>
      <w:r w:rsidR="00FE58E1" w:rsidRPr="00FA2E2E">
        <w:rPr>
          <w:lang w:val="fr-FR"/>
        </w:rPr>
        <w:t>’</w:t>
      </w:r>
      <w:r w:rsidR="00AF7F22" w:rsidRPr="00FA2E2E">
        <w:rPr>
          <w:lang w:val="fr-FR"/>
        </w:rPr>
        <w:t>article 12 de la</w:t>
      </w:r>
      <w:r w:rsidR="00380F44" w:rsidRPr="00FA2E2E">
        <w:rPr>
          <w:lang w:val="fr-FR"/>
        </w:rPr>
        <w:t> </w:t>
      </w:r>
      <w:r w:rsidR="00AF7F22" w:rsidRPr="00FA2E2E">
        <w:rPr>
          <w:lang w:val="fr-FR"/>
        </w:rPr>
        <w:t>Convention</w:t>
      </w:r>
      <w:r w:rsidR="00D31AFF" w:rsidRPr="00FA2E2E">
        <w:rPr>
          <w:lang w:val="fr-FR"/>
        </w:rPr>
        <w:t xml:space="preserve"> </w:t>
      </w:r>
      <w:r w:rsidR="00AD2C0E" w:rsidRPr="00FA2E2E">
        <w:rPr>
          <w:lang w:val="fr-FR"/>
        </w:rPr>
        <w:t>(</w:t>
      </w:r>
      <w:r w:rsidR="00AF7F22" w:rsidRPr="00FA2E2E">
        <w:rPr>
          <w:lang w:val="fr-FR"/>
        </w:rPr>
        <w:t>alinéa c) du paragraphe </w:t>
      </w:r>
      <w:r w:rsidR="00AD2C0E" w:rsidRPr="00FA2E2E">
        <w:rPr>
          <w:lang w:val="fr-FR"/>
        </w:rPr>
        <w:t xml:space="preserve">16 </w:t>
      </w:r>
      <w:r w:rsidR="00AF7F22" w:rsidRPr="00FA2E2E">
        <w:rPr>
          <w:lang w:val="fr-FR"/>
        </w:rPr>
        <w:t>ci-dessus</w:t>
      </w:r>
      <w:r w:rsidR="00AD2C0E" w:rsidRPr="00FA2E2E">
        <w:rPr>
          <w:lang w:val="fr-FR"/>
        </w:rPr>
        <w:t xml:space="preserve">) </w:t>
      </w:r>
      <w:r w:rsidR="00AF7F22" w:rsidRPr="00FA2E2E">
        <w:rPr>
          <w:lang w:val="fr-FR"/>
        </w:rPr>
        <w:t xml:space="preserve">et sont </w:t>
      </w:r>
      <w:r w:rsidR="00265E91" w:rsidRPr="00FA2E2E">
        <w:rPr>
          <w:lang w:val="fr-FR"/>
        </w:rPr>
        <w:t xml:space="preserve">structurées </w:t>
      </w:r>
      <w:r w:rsidR="00AF7F22" w:rsidRPr="00FA2E2E">
        <w:rPr>
          <w:lang w:val="fr-FR"/>
        </w:rPr>
        <w:t>autour des principales méthodes et approches qui y sont énoncées.</w:t>
      </w:r>
      <w:r w:rsidR="00D31AFF" w:rsidRPr="00FA2E2E">
        <w:rPr>
          <w:lang w:val="fr-FR"/>
        </w:rPr>
        <w:t xml:space="preserve"> </w:t>
      </w:r>
      <w:r w:rsidR="00AF7F22" w:rsidRPr="00FA2E2E">
        <w:rPr>
          <w:lang w:val="fr-FR"/>
        </w:rPr>
        <w:t>Elles mentionnent également des politiques nationales mises en</w:t>
      </w:r>
      <w:r w:rsidR="00380F44" w:rsidRPr="00FA2E2E">
        <w:rPr>
          <w:lang w:val="fr-FR"/>
        </w:rPr>
        <w:t> </w:t>
      </w:r>
      <w:r w:rsidR="004850AB" w:rsidRPr="00FA2E2E">
        <w:rPr>
          <w:lang w:val="fr-FR"/>
        </w:rPr>
        <w:t>place</w:t>
      </w:r>
      <w:r w:rsidR="00AF7F22" w:rsidRPr="00FA2E2E">
        <w:rPr>
          <w:lang w:val="fr-FR"/>
        </w:rPr>
        <w:t xml:space="preserve"> dans un certain nombre de pays</w:t>
      </w:r>
      <w:r w:rsidR="00D31AFF" w:rsidRPr="00FA2E2E">
        <w:rPr>
          <w:lang w:val="fr-FR"/>
        </w:rPr>
        <w:t xml:space="preserve">. </w:t>
      </w:r>
    </w:p>
    <w:p w14:paraId="26D966A2" w14:textId="7F75E766" w:rsidR="00D31AFF" w:rsidRPr="00FA2E2E" w:rsidRDefault="00D31AFF" w:rsidP="00F93F76">
      <w:pPr>
        <w:pStyle w:val="CH2"/>
        <w:rPr>
          <w:lang w:val="fr-FR"/>
        </w:rPr>
      </w:pPr>
      <w:r w:rsidRPr="00FA2E2E">
        <w:rPr>
          <w:lang w:val="fr-FR"/>
        </w:rPr>
        <w:tab/>
      </w:r>
      <w:bookmarkStart w:id="16" w:name="_Toc15920541"/>
      <w:r w:rsidRPr="00FA2E2E">
        <w:rPr>
          <w:lang w:val="fr-FR"/>
        </w:rPr>
        <w:t>B.</w:t>
      </w:r>
      <w:r w:rsidRPr="00FA2E2E">
        <w:rPr>
          <w:lang w:val="fr-FR"/>
        </w:rPr>
        <w:tab/>
      </w:r>
      <w:r w:rsidR="009E62FA" w:rsidRPr="00FA2E2E">
        <w:rPr>
          <w:lang w:val="fr-FR"/>
        </w:rPr>
        <w:t>I</w:t>
      </w:r>
      <w:r w:rsidRPr="00FA2E2E">
        <w:rPr>
          <w:lang w:val="fr-FR"/>
        </w:rPr>
        <w:t xml:space="preserve">dentification </w:t>
      </w:r>
      <w:r w:rsidR="009E62FA" w:rsidRPr="00FA2E2E">
        <w:rPr>
          <w:lang w:val="fr-FR"/>
        </w:rPr>
        <w:t>et</w:t>
      </w:r>
      <w:r w:rsidRPr="00FA2E2E">
        <w:rPr>
          <w:lang w:val="fr-FR"/>
        </w:rPr>
        <w:t xml:space="preserve"> caract</w:t>
      </w:r>
      <w:r w:rsidR="009E62FA" w:rsidRPr="00FA2E2E">
        <w:rPr>
          <w:lang w:val="fr-FR"/>
        </w:rPr>
        <w:t>é</w:t>
      </w:r>
      <w:r w:rsidRPr="00FA2E2E">
        <w:rPr>
          <w:lang w:val="fr-FR"/>
        </w:rPr>
        <w:t>ri</w:t>
      </w:r>
      <w:r w:rsidR="009E62FA" w:rsidRPr="00FA2E2E">
        <w:rPr>
          <w:lang w:val="fr-FR"/>
        </w:rPr>
        <w:t>s</w:t>
      </w:r>
      <w:r w:rsidRPr="00FA2E2E">
        <w:rPr>
          <w:lang w:val="fr-FR"/>
        </w:rPr>
        <w:t>ation</w:t>
      </w:r>
      <w:bookmarkEnd w:id="16"/>
      <w:r w:rsidR="009E62FA" w:rsidRPr="00FA2E2E">
        <w:rPr>
          <w:lang w:val="fr-FR"/>
        </w:rPr>
        <w:t xml:space="preserve"> des sites</w:t>
      </w:r>
    </w:p>
    <w:p w14:paraId="7D431C54" w14:textId="4D53CF64" w:rsidR="00D31AFF" w:rsidRPr="00FA2E2E" w:rsidRDefault="00D31AFF" w:rsidP="00F93F76">
      <w:pPr>
        <w:pStyle w:val="CH3"/>
        <w:rPr>
          <w:lang w:val="fr-FR"/>
        </w:rPr>
      </w:pPr>
      <w:r w:rsidRPr="00FA2E2E">
        <w:rPr>
          <w:lang w:val="fr-FR"/>
        </w:rPr>
        <w:tab/>
      </w:r>
      <w:r w:rsidR="00152CD3" w:rsidRPr="00FA2E2E">
        <w:rPr>
          <w:lang w:val="fr-FR"/>
        </w:rPr>
        <w:t>1.</w:t>
      </w:r>
      <w:r w:rsidRPr="00FA2E2E">
        <w:rPr>
          <w:lang w:val="fr-FR"/>
        </w:rPr>
        <w:tab/>
      </w:r>
      <w:bookmarkStart w:id="17" w:name="_Toc15920542"/>
      <w:r w:rsidR="00290187" w:rsidRPr="00FA2E2E">
        <w:rPr>
          <w:lang w:val="fr-FR"/>
        </w:rPr>
        <w:t>I</w:t>
      </w:r>
      <w:r w:rsidRPr="00FA2E2E">
        <w:rPr>
          <w:lang w:val="fr-FR"/>
        </w:rPr>
        <w:t>dentification</w:t>
      </w:r>
      <w:bookmarkEnd w:id="17"/>
      <w:r w:rsidR="00290187" w:rsidRPr="00FA2E2E">
        <w:rPr>
          <w:lang w:val="fr-FR"/>
        </w:rPr>
        <w:t xml:space="preserve"> des sites</w:t>
      </w:r>
    </w:p>
    <w:p w14:paraId="12A2CDA9" w14:textId="330A9371" w:rsidR="00D31AFF" w:rsidRPr="00FA2E2E" w:rsidRDefault="00290187" w:rsidP="008E43CD">
      <w:pPr>
        <w:pStyle w:val="Normalnumber"/>
        <w:numPr>
          <w:ilvl w:val="0"/>
          <w:numId w:val="5"/>
        </w:numPr>
        <w:rPr>
          <w:lang w:val="fr-FR"/>
        </w:rPr>
      </w:pPr>
      <w:r w:rsidRPr="00FA2E2E">
        <w:rPr>
          <w:lang w:val="fr-FR"/>
        </w:rPr>
        <w:t>Le p</w:t>
      </w:r>
      <w:r w:rsidR="00D31AFF" w:rsidRPr="00FA2E2E">
        <w:rPr>
          <w:lang w:val="fr-FR"/>
        </w:rPr>
        <w:t>aragraph</w:t>
      </w:r>
      <w:r w:rsidRPr="00FA2E2E">
        <w:rPr>
          <w:lang w:val="fr-FR"/>
        </w:rPr>
        <w:t>e </w:t>
      </w:r>
      <w:r w:rsidR="00D31AFF" w:rsidRPr="00FA2E2E">
        <w:rPr>
          <w:lang w:val="fr-FR"/>
        </w:rPr>
        <w:t xml:space="preserve">1 </w:t>
      </w:r>
      <w:r w:rsidRPr="00FA2E2E">
        <w:rPr>
          <w:lang w:val="fr-FR"/>
        </w:rPr>
        <w:t>de l</w:t>
      </w:r>
      <w:r w:rsidR="00FE58E1" w:rsidRPr="00FA2E2E">
        <w:rPr>
          <w:lang w:val="fr-FR"/>
        </w:rPr>
        <w:t>’</w:t>
      </w:r>
      <w:r w:rsidR="00D31AFF" w:rsidRPr="00FA2E2E">
        <w:rPr>
          <w:lang w:val="fr-FR"/>
        </w:rPr>
        <w:t>article</w:t>
      </w:r>
      <w:r w:rsidRPr="00FA2E2E">
        <w:rPr>
          <w:lang w:val="fr-FR"/>
        </w:rPr>
        <w:t> </w:t>
      </w:r>
      <w:r w:rsidR="00D31AFF" w:rsidRPr="00FA2E2E">
        <w:rPr>
          <w:lang w:val="fr-FR"/>
        </w:rPr>
        <w:t xml:space="preserve">12 </w:t>
      </w:r>
      <w:r w:rsidRPr="00FA2E2E">
        <w:rPr>
          <w:lang w:val="fr-FR"/>
        </w:rPr>
        <w:t>fait obligation aux Parties de</w:t>
      </w:r>
      <w:r w:rsidR="00D31AFF" w:rsidRPr="00FA2E2E">
        <w:rPr>
          <w:lang w:val="fr-FR"/>
        </w:rPr>
        <w:t xml:space="preserve"> </w:t>
      </w:r>
      <w:r w:rsidRPr="00FA2E2E">
        <w:rPr>
          <w:lang w:val="fr-FR"/>
        </w:rPr>
        <w:t>s</w:t>
      </w:r>
      <w:r w:rsidR="00FE58E1" w:rsidRPr="00FA2E2E">
        <w:rPr>
          <w:lang w:val="fr-FR"/>
        </w:rPr>
        <w:t>’</w:t>
      </w:r>
      <w:r w:rsidRPr="00FA2E2E">
        <w:rPr>
          <w:lang w:val="fr-FR"/>
        </w:rPr>
        <w:t>efforcer d</w:t>
      </w:r>
      <w:r w:rsidR="00FE58E1" w:rsidRPr="00FA2E2E">
        <w:rPr>
          <w:lang w:val="fr-FR"/>
        </w:rPr>
        <w:t>’</w:t>
      </w:r>
      <w:r w:rsidRPr="00FA2E2E">
        <w:rPr>
          <w:lang w:val="fr-FR"/>
        </w:rPr>
        <w:t>élaborer des stratégies appropriées pour identifier et évaluer les sites contaminés par du mercure ou des composés du mercure</w:t>
      </w:r>
      <w:r w:rsidR="00D31AFF" w:rsidRPr="00FA2E2E">
        <w:rPr>
          <w:lang w:val="fr-FR"/>
        </w:rPr>
        <w:t xml:space="preserve">. </w:t>
      </w:r>
      <w:r w:rsidR="004A4058" w:rsidRPr="00FA2E2E">
        <w:rPr>
          <w:lang w:val="fr-FR"/>
        </w:rPr>
        <w:t>Les termes utilisés</w:t>
      </w:r>
      <w:r w:rsidR="00D31AFF" w:rsidRPr="00FA2E2E">
        <w:rPr>
          <w:lang w:val="fr-FR"/>
        </w:rPr>
        <w:t xml:space="preserve"> </w:t>
      </w:r>
      <w:r w:rsidR="004A4058" w:rsidRPr="00FA2E2E">
        <w:rPr>
          <w:lang w:val="fr-FR"/>
        </w:rPr>
        <w:t>supposent l</w:t>
      </w:r>
      <w:r w:rsidR="00FE58E1" w:rsidRPr="00FA2E2E">
        <w:rPr>
          <w:lang w:val="fr-FR"/>
        </w:rPr>
        <w:t>’</w:t>
      </w:r>
      <w:r w:rsidR="004A4058" w:rsidRPr="00FA2E2E">
        <w:rPr>
          <w:lang w:val="fr-FR"/>
        </w:rPr>
        <w:t>adoption d</w:t>
      </w:r>
      <w:r w:rsidR="00FE58E1" w:rsidRPr="00FA2E2E">
        <w:rPr>
          <w:lang w:val="fr-FR"/>
        </w:rPr>
        <w:t>’</w:t>
      </w:r>
      <w:r w:rsidR="004A4058" w:rsidRPr="00FA2E2E">
        <w:rPr>
          <w:lang w:val="fr-FR"/>
        </w:rPr>
        <w:t xml:space="preserve">une approche </w:t>
      </w:r>
      <w:r w:rsidR="00722063" w:rsidRPr="00FA2E2E">
        <w:rPr>
          <w:lang w:val="fr-FR"/>
        </w:rPr>
        <w:t>comprenant</w:t>
      </w:r>
      <w:r w:rsidR="004A4058" w:rsidRPr="00FA2E2E">
        <w:rPr>
          <w:lang w:val="fr-FR"/>
        </w:rPr>
        <w:t xml:space="preserve"> un examen, par chaque Partie, sur l</w:t>
      </w:r>
      <w:r w:rsidR="00FE58E1" w:rsidRPr="00FA2E2E">
        <w:rPr>
          <w:lang w:val="fr-FR"/>
        </w:rPr>
        <w:t>’</w:t>
      </w:r>
      <w:r w:rsidR="004A4058" w:rsidRPr="00FA2E2E">
        <w:rPr>
          <w:lang w:val="fr-FR"/>
        </w:rPr>
        <w:t>ensemble de son territoire, de l</w:t>
      </w:r>
      <w:r w:rsidR="00FE58E1" w:rsidRPr="00FA2E2E">
        <w:rPr>
          <w:lang w:val="fr-FR"/>
        </w:rPr>
        <w:t>’</w:t>
      </w:r>
      <w:r w:rsidR="004A4058" w:rsidRPr="00FA2E2E">
        <w:rPr>
          <w:lang w:val="fr-FR"/>
        </w:rPr>
        <w:t>étendue du problème des sites contaminés</w:t>
      </w:r>
      <w:r w:rsidR="00D31AFF" w:rsidRPr="00FA2E2E">
        <w:rPr>
          <w:lang w:val="fr-FR"/>
        </w:rPr>
        <w:t xml:space="preserve">. </w:t>
      </w:r>
      <w:r w:rsidR="00722063" w:rsidRPr="00FA2E2E">
        <w:rPr>
          <w:lang w:val="fr-FR"/>
        </w:rPr>
        <w:t>Dans la plupart des cas, il conviendra de commencer par recueillir des informations permettant d</w:t>
      </w:r>
      <w:r w:rsidR="00FE58E1" w:rsidRPr="00FA2E2E">
        <w:rPr>
          <w:lang w:val="fr-FR"/>
        </w:rPr>
        <w:t>’</w:t>
      </w:r>
      <w:r w:rsidR="00722063" w:rsidRPr="00FA2E2E">
        <w:rPr>
          <w:lang w:val="fr-FR"/>
        </w:rPr>
        <w:t>identifier les installations qui ont pu entreprendre des activités susceptibles d</w:t>
      </w:r>
      <w:r w:rsidR="00FE58E1" w:rsidRPr="00FA2E2E">
        <w:rPr>
          <w:lang w:val="fr-FR"/>
        </w:rPr>
        <w:t>’</w:t>
      </w:r>
      <w:r w:rsidR="00722063" w:rsidRPr="00FA2E2E">
        <w:rPr>
          <w:lang w:val="fr-FR"/>
        </w:rPr>
        <w:t>engendrer des rejets de mercure</w:t>
      </w:r>
      <w:r w:rsidR="00D31AFF" w:rsidRPr="00FA2E2E">
        <w:rPr>
          <w:lang w:val="fr-FR"/>
        </w:rPr>
        <w:t>,</w:t>
      </w:r>
      <w:r w:rsidR="00722063" w:rsidRPr="00FA2E2E">
        <w:rPr>
          <w:lang w:val="fr-FR"/>
        </w:rPr>
        <w:t xml:space="preserve"> dans la mesure où une telle identification est juridiquement, techniquement et financièrement réalisable</w:t>
      </w:r>
      <w:r w:rsidR="00D31AFF" w:rsidRPr="00FA2E2E">
        <w:rPr>
          <w:lang w:val="fr-FR"/>
        </w:rPr>
        <w:t xml:space="preserve">. </w:t>
      </w:r>
      <w:r w:rsidR="00722063" w:rsidRPr="00FA2E2E">
        <w:rPr>
          <w:lang w:val="fr-FR"/>
        </w:rPr>
        <w:t>Il</w:t>
      </w:r>
      <w:r w:rsidR="00380F44" w:rsidRPr="00FA2E2E">
        <w:rPr>
          <w:lang w:val="fr-FR"/>
        </w:rPr>
        <w:t> </w:t>
      </w:r>
      <w:r w:rsidR="00722063" w:rsidRPr="00FA2E2E">
        <w:rPr>
          <w:lang w:val="fr-FR"/>
        </w:rPr>
        <w:t>pourrait s</w:t>
      </w:r>
      <w:r w:rsidR="00FE58E1" w:rsidRPr="00FA2E2E">
        <w:rPr>
          <w:lang w:val="fr-FR"/>
        </w:rPr>
        <w:t>’</w:t>
      </w:r>
      <w:r w:rsidR="00722063" w:rsidRPr="00FA2E2E">
        <w:rPr>
          <w:lang w:val="fr-FR"/>
        </w:rPr>
        <w:t>agir de sites aussi bien actifs qu</w:t>
      </w:r>
      <w:r w:rsidR="00FE58E1" w:rsidRPr="00FA2E2E">
        <w:rPr>
          <w:lang w:val="fr-FR"/>
        </w:rPr>
        <w:t>’</w:t>
      </w:r>
      <w:r w:rsidR="00722063" w:rsidRPr="00FA2E2E">
        <w:rPr>
          <w:lang w:val="fr-FR"/>
        </w:rPr>
        <w:t xml:space="preserve">abandonnés </w:t>
      </w:r>
      <w:r w:rsidR="009A3117" w:rsidRPr="00FA2E2E">
        <w:rPr>
          <w:lang w:val="fr-FR"/>
        </w:rPr>
        <w:t>où</w:t>
      </w:r>
      <w:r w:rsidR="00722063" w:rsidRPr="00FA2E2E">
        <w:rPr>
          <w:lang w:val="fr-FR"/>
        </w:rPr>
        <w:t xml:space="preserve"> du mercure ou des composés du mercure</w:t>
      </w:r>
      <w:r w:rsidR="009A3117" w:rsidRPr="00FA2E2E">
        <w:rPr>
          <w:lang w:val="fr-FR"/>
        </w:rPr>
        <w:t xml:space="preserve"> sont ou ont été utilisés</w:t>
      </w:r>
      <w:r w:rsidR="00722063" w:rsidRPr="00FA2E2E">
        <w:rPr>
          <w:lang w:val="fr-FR"/>
        </w:rPr>
        <w:t xml:space="preserve"> dans </w:t>
      </w:r>
      <w:r w:rsidR="009A3117" w:rsidRPr="00FA2E2E">
        <w:rPr>
          <w:lang w:val="fr-FR"/>
        </w:rPr>
        <w:t>des</w:t>
      </w:r>
      <w:r w:rsidR="00722063" w:rsidRPr="00FA2E2E">
        <w:rPr>
          <w:lang w:val="fr-FR"/>
        </w:rPr>
        <w:t xml:space="preserve"> procédés ou produits, </w:t>
      </w:r>
      <w:r w:rsidR="00A057E8" w:rsidRPr="00FA2E2E">
        <w:rPr>
          <w:lang w:val="fr-FR"/>
        </w:rPr>
        <w:t>d</w:t>
      </w:r>
      <w:r w:rsidR="00722063" w:rsidRPr="00FA2E2E">
        <w:rPr>
          <w:lang w:val="fr-FR"/>
        </w:rPr>
        <w:t>es sites d</w:t>
      </w:r>
      <w:r w:rsidR="00FE58E1" w:rsidRPr="00FA2E2E">
        <w:rPr>
          <w:lang w:val="fr-FR"/>
        </w:rPr>
        <w:t>’</w:t>
      </w:r>
      <w:r w:rsidR="00722063" w:rsidRPr="00FA2E2E">
        <w:rPr>
          <w:lang w:val="fr-FR"/>
        </w:rPr>
        <w:t>extraction minière artisanale et à petite échelle d</w:t>
      </w:r>
      <w:r w:rsidR="00FE58E1" w:rsidRPr="00FA2E2E">
        <w:rPr>
          <w:lang w:val="fr-FR"/>
        </w:rPr>
        <w:t>’</w:t>
      </w:r>
      <w:r w:rsidR="00722063" w:rsidRPr="00FA2E2E">
        <w:rPr>
          <w:lang w:val="fr-FR"/>
        </w:rPr>
        <w:t>or et d</w:t>
      </w:r>
      <w:r w:rsidR="00FE58E1" w:rsidRPr="00FA2E2E">
        <w:rPr>
          <w:lang w:val="fr-FR"/>
        </w:rPr>
        <w:t>’</w:t>
      </w:r>
      <w:r w:rsidR="00722063" w:rsidRPr="00FA2E2E">
        <w:rPr>
          <w:lang w:val="fr-FR"/>
        </w:rPr>
        <w:t>autres installations industrielles</w:t>
      </w:r>
      <w:r w:rsidR="00D31AFF" w:rsidRPr="00FA2E2E">
        <w:rPr>
          <w:lang w:val="fr-FR"/>
        </w:rPr>
        <w:t xml:space="preserve">. </w:t>
      </w:r>
      <w:r w:rsidR="00722063" w:rsidRPr="00FA2E2E">
        <w:rPr>
          <w:lang w:val="fr-FR"/>
        </w:rPr>
        <w:t>Il peut également s</w:t>
      </w:r>
      <w:r w:rsidR="00FE58E1" w:rsidRPr="00FA2E2E">
        <w:rPr>
          <w:lang w:val="fr-FR"/>
        </w:rPr>
        <w:t>’</w:t>
      </w:r>
      <w:r w:rsidR="00722063" w:rsidRPr="00FA2E2E">
        <w:rPr>
          <w:lang w:val="fr-FR"/>
        </w:rPr>
        <w:t xml:space="preserve">agir de </w:t>
      </w:r>
      <w:r w:rsidR="00EE5A31" w:rsidRPr="00FA2E2E">
        <w:rPr>
          <w:lang w:val="fr-FR"/>
        </w:rPr>
        <w:t>mines</w:t>
      </w:r>
      <w:r w:rsidR="00722063" w:rsidRPr="00FA2E2E">
        <w:rPr>
          <w:lang w:val="fr-FR"/>
        </w:rPr>
        <w:t xml:space="preserve"> abandonné</w:t>
      </w:r>
      <w:r w:rsidR="00EE5A31" w:rsidRPr="00FA2E2E">
        <w:rPr>
          <w:lang w:val="fr-FR"/>
        </w:rPr>
        <w:t>e</w:t>
      </w:r>
      <w:r w:rsidR="00722063" w:rsidRPr="00FA2E2E">
        <w:rPr>
          <w:lang w:val="fr-FR"/>
        </w:rPr>
        <w:t>s</w:t>
      </w:r>
      <w:r w:rsidR="00D31AFF" w:rsidRPr="00FA2E2E">
        <w:rPr>
          <w:lang w:val="fr-FR"/>
        </w:rPr>
        <w:t xml:space="preserve">. </w:t>
      </w:r>
      <w:r w:rsidR="00EE5A31" w:rsidRPr="00FA2E2E">
        <w:rPr>
          <w:lang w:val="fr-FR"/>
        </w:rPr>
        <w:t>Cette</w:t>
      </w:r>
      <w:r w:rsidR="00D31AFF" w:rsidRPr="00FA2E2E">
        <w:rPr>
          <w:lang w:val="fr-FR"/>
        </w:rPr>
        <w:t xml:space="preserve"> </w:t>
      </w:r>
      <w:r w:rsidR="00EE5A31" w:rsidRPr="00FA2E2E">
        <w:rPr>
          <w:lang w:val="fr-FR"/>
        </w:rPr>
        <w:t xml:space="preserve">première </w:t>
      </w:r>
      <w:r w:rsidR="00D31AFF" w:rsidRPr="00FA2E2E">
        <w:rPr>
          <w:lang w:val="fr-FR"/>
        </w:rPr>
        <w:t xml:space="preserve">identification </w:t>
      </w:r>
      <w:r w:rsidR="00EE5A31" w:rsidRPr="00FA2E2E">
        <w:rPr>
          <w:lang w:val="fr-FR"/>
        </w:rPr>
        <w:t>des</w:t>
      </w:r>
      <w:r w:rsidR="00D31AFF" w:rsidRPr="00FA2E2E">
        <w:rPr>
          <w:lang w:val="fr-FR"/>
        </w:rPr>
        <w:t xml:space="preserve"> sites </w:t>
      </w:r>
      <w:r w:rsidR="00EE5A31" w:rsidRPr="00FA2E2E">
        <w:rPr>
          <w:lang w:val="fr-FR"/>
        </w:rPr>
        <w:t>ainsi que les estimations initiales de l</w:t>
      </w:r>
      <w:r w:rsidR="00FE58E1" w:rsidRPr="00FA2E2E">
        <w:rPr>
          <w:lang w:val="fr-FR"/>
        </w:rPr>
        <w:t>’</w:t>
      </w:r>
      <w:r w:rsidR="00EE5A31" w:rsidRPr="00FA2E2E">
        <w:rPr>
          <w:lang w:val="fr-FR"/>
        </w:rPr>
        <w:t>ampleur de la contamination et du potentiel de rejet de mercure et d</w:t>
      </w:r>
      <w:r w:rsidR="00FE58E1" w:rsidRPr="00FA2E2E">
        <w:rPr>
          <w:lang w:val="fr-FR"/>
        </w:rPr>
        <w:t>’</w:t>
      </w:r>
      <w:r w:rsidR="00EE5A31" w:rsidRPr="00FA2E2E">
        <w:rPr>
          <w:lang w:val="fr-FR"/>
        </w:rPr>
        <w:t>exposition des populations à cette substance permettront aux pays de commencer à classer par ordre de priorité les mesures à prendre concernant leurs sites contaminés conformément aux cadres juridiques existants, le cas échéant</w:t>
      </w:r>
      <w:r w:rsidR="00D31AFF" w:rsidRPr="00FA2E2E">
        <w:rPr>
          <w:lang w:val="fr-FR"/>
        </w:rPr>
        <w:t>.</w:t>
      </w:r>
    </w:p>
    <w:p w14:paraId="0AB88BB6" w14:textId="5362BF83" w:rsidR="00D31AFF" w:rsidRPr="00FA2E2E" w:rsidRDefault="00D368FB" w:rsidP="008E43CD">
      <w:pPr>
        <w:pStyle w:val="Normalnumber"/>
        <w:numPr>
          <w:ilvl w:val="0"/>
          <w:numId w:val="5"/>
        </w:numPr>
        <w:rPr>
          <w:lang w:val="fr-FR"/>
        </w:rPr>
      </w:pPr>
      <w:r w:rsidRPr="00FA2E2E">
        <w:rPr>
          <w:lang w:val="fr-FR"/>
        </w:rPr>
        <w:t>Une approche systématique peut être utilisée pour identifier et cataloguer les sites contaminés, en commençant par</w:t>
      </w:r>
      <w:r w:rsidR="002A4703" w:rsidRPr="00FA2E2E">
        <w:rPr>
          <w:lang w:val="fr-FR"/>
        </w:rPr>
        <w:t xml:space="preserve"> un examen</w:t>
      </w:r>
      <w:r w:rsidR="00D31AFF" w:rsidRPr="00FA2E2E">
        <w:rPr>
          <w:lang w:val="fr-FR"/>
        </w:rPr>
        <w:t xml:space="preserve"> </w:t>
      </w:r>
      <w:r w:rsidR="002A4703" w:rsidRPr="00FA2E2E">
        <w:rPr>
          <w:lang w:val="fr-FR"/>
        </w:rPr>
        <w:t>de l</w:t>
      </w:r>
      <w:r w:rsidR="00FE58E1" w:rsidRPr="00FA2E2E">
        <w:rPr>
          <w:lang w:val="fr-FR"/>
        </w:rPr>
        <w:t>’</w:t>
      </w:r>
      <w:r w:rsidR="002A4703" w:rsidRPr="00FA2E2E">
        <w:rPr>
          <w:lang w:val="fr-FR"/>
        </w:rPr>
        <w:t>occupation passée et actuelle des sols dans l</w:t>
      </w:r>
      <w:r w:rsidR="00FE58E1" w:rsidRPr="00FA2E2E">
        <w:rPr>
          <w:lang w:val="fr-FR"/>
        </w:rPr>
        <w:t>’</w:t>
      </w:r>
      <w:r w:rsidR="002A4703" w:rsidRPr="00FA2E2E">
        <w:rPr>
          <w:lang w:val="fr-FR"/>
        </w:rPr>
        <w:t>ensemble du pays ainsi que l</w:t>
      </w:r>
      <w:r w:rsidR="00FE58E1" w:rsidRPr="00FA2E2E">
        <w:rPr>
          <w:lang w:val="fr-FR"/>
        </w:rPr>
        <w:t>’</w:t>
      </w:r>
      <w:r w:rsidR="002A4703" w:rsidRPr="00FA2E2E">
        <w:rPr>
          <w:lang w:val="fr-FR"/>
        </w:rPr>
        <w:t>établissement d</w:t>
      </w:r>
      <w:r w:rsidR="00FE58E1" w:rsidRPr="00FA2E2E">
        <w:rPr>
          <w:lang w:val="fr-FR"/>
        </w:rPr>
        <w:t>’</w:t>
      </w:r>
      <w:r w:rsidR="002A4703" w:rsidRPr="00FA2E2E">
        <w:rPr>
          <w:lang w:val="fr-FR"/>
        </w:rPr>
        <w:t>une première liste des sites potentiellement contaminés</w:t>
      </w:r>
      <w:r w:rsidR="00D31AFF" w:rsidRPr="00FA2E2E">
        <w:rPr>
          <w:lang w:val="fr-FR"/>
        </w:rPr>
        <w:t xml:space="preserve">. </w:t>
      </w:r>
      <w:r w:rsidR="002A4703" w:rsidRPr="00FA2E2E">
        <w:rPr>
          <w:lang w:val="fr-FR"/>
        </w:rPr>
        <w:t>Les éléments de la</w:t>
      </w:r>
      <w:r w:rsidR="00380F44" w:rsidRPr="00FA2E2E">
        <w:rPr>
          <w:lang w:val="fr-FR"/>
        </w:rPr>
        <w:t> </w:t>
      </w:r>
      <w:r w:rsidR="002A4703" w:rsidRPr="00FA2E2E">
        <w:rPr>
          <w:lang w:val="fr-FR"/>
        </w:rPr>
        <w:t>liste peuvent ensuite être classés par ordre de priorité et les sites requérant une documentation supplémentaire ainsi que des investigations plus approfondies sont identifiés</w:t>
      </w:r>
      <w:r w:rsidR="00D31AFF" w:rsidRPr="00FA2E2E">
        <w:rPr>
          <w:lang w:val="fr-FR"/>
        </w:rPr>
        <w:t xml:space="preserve">. </w:t>
      </w:r>
      <w:r w:rsidR="0052751B" w:rsidRPr="00FA2E2E">
        <w:rPr>
          <w:lang w:val="fr-FR"/>
        </w:rPr>
        <w:t>Cette approche peut être efficace dans le cadre de l</w:t>
      </w:r>
      <w:r w:rsidR="00FE58E1" w:rsidRPr="00FA2E2E">
        <w:rPr>
          <w:lang w:val="fr-FR"/>
        </w:rPr>
        <w:t>’</w:t>
      </w:r>
      <w:r w:rsidR="0052751B" w:rsidRPr="00FA2E2E">
        <w:rPr>
          <w:lang w:val="fr-FR"/>
        </w:rPr>
        <w:t>élaboration d</w:t>
      </w:r>
      <w:r w:rsidR="00FE58E1" w:rsidRPr="00FA2E2E">
        <w:rPr>
          <w:lang w:val="fr-FR"/>
        </w:rPr>
        <w:t>’</w:t>
      </w:r>
      <w:r w:rsidR="0052751B" w:rsidRPr="00FA2E2E">
        <w:rPr>
          <w:lang w:val="fr-FR"/>
        </w:rPr>
        <w:t>un plan national global visant à traiter les sites contaminés par du mercure</w:t>
      </w:r>
      <w:r w:rsidR="00D31AFF" w:rsidRPr="00FA2E2E">
        <w:rPr>
          <w:lang w:val="fr-FR"/>
        </w:rPr>
        <w:t xml:space="preserve">. </w:t>
      </w:r>
      <w:r w:rsidR="00F75050" w:rsidRPr="00FA2E2E">
        <w:rPr>
          <w:lang w:val="fr-FR"/>
        </w:rPr>
        <w:t>Un</w:t>
      </w:r>
      <w:r w:rsidR="0045240E" w:rsidRPr="00FA2E2E">
        <w:rPr>
          <w:lang w:val="fr-FR"/>
        </w:rPr>
        <w:t>e</w:t>
      </w:r>
      <w:r w:rsidR="00F75050" w:rsidRPr="00FA2E2E">
        <w:rPr>
          <w:lang w:val="fr-FR"/>
        </w:rPr>
        <w:t xml:space="preserve"> autre approche peut compléter l</w:t>
      </w:r>
      <w:r w:rsidR="00FE58E1" w:rsidRPr="00FA2E2E">
        <w:rPr>
          <w:lang w:val="fr-FR"/>
        </w:rPr>
        <w:t>’</w:t>
      </w:r>
      <w:r w:rsidR="00F75050" w:rsidRPr="00FA2E2E">
        <w:rPr>
          <w:lang w:val="fr-FR"/>
        </w:rPr>
        <w:t xml:space="preserve">approche systématique en identifiant </w:t>
      </w:r>
      <w:r w:rsidR="0045240E" w:rsidRPr="00FA2E2E">
        <w:rPr>
          <w:lang w:val="fr-FR"/>
        </w:rPr>
        <w:t>de manière individuelle les</w:t>
      </w:r>
      <w:r w:rsidR="00F75050" w:rsidRPr="00FA2E2E">
        <w:rPr>
          <w:lang w:val="fr-FR"/>
        </w:rPr>
        <w:t xml:space="preserve"> sites contaminés</w:t>
      </w:r>
      <w:r w:rsidR="0045240E" w:rsidRPr="00FA2E2E">
        <w:rPr>
          <w:lang w:val="fr-FR"/>
        </w:rPr>
        <w:t xml:space="preserve"> lorsque des changements dans l</w:t>
      </w:r>
      <w:r w:rsidR="00FE58E1" w:rsidRPr="00FA2E2E">
        <w:rPr>
          <w:lang w:val="fr-FR"/>
        </w:rPr>
        <w:t>’</w:t>
      </w:r>
      <w:r w:rsidR="0045240E" w:rsidRPr="00FA2E2E">
        <w:rPr>
          <w:lang w:val="fr-FR"/>
        </w:rPr>
        <w:t>occupation des sols ou des opérations telles que des excavations ou des constructions ont lieu</w:t>
      </w:r>
      <w:r w:rsidR="00D31AFF" w:rsidRPr="00FA2E2E">
        <w:rPr>
          <w:lang w:val="fr-FR"/>
        </w:rPr>
        <w:t>.</w:t>
      </w:r>
      <w:r w:rsidR="0045240E" w:rsidRPr="00FA2E2E">
        <w:rPr>
          <w:lang w:val="fr-FR"/>
        </w:rPr>
        <w:t xml:space="preserve"> Il convient de noter qu</w:t>
      </w:r>
      <w:r w:rsidR="00FE58E1" w:rsidRPr="00FA2E2E">
        <w:rPr>
          <w:lang w:val="fr-FR"/>
        </w:rPr>
        <w:t>’</w:t>
      </w:r>
      <w:r w:rsidR="0045240E" w:rsidRPr="00FA2E2E">
        <w:rPr>
          <w:lang w:val="fr-FR"/>
        </w:rPr>
        <w:t>une identification individuelle des sites contaminés ne constitue pas une solution adéquate pour remplacer l</w:t>
      </w:r>
      <w:r w:rsidR="00FE58E1" w:rsidRPr="00FA2E2E">
        <w:rPr>
          <w:lang w:val="fr-FR"/>
        </w:rPr>
        <w:t>’</w:t>
      </w:r>
      <w:r w:rsidR="0045240E" w:rsidRPr="00FA2E2E">
        <w:rPr>
          <w:lang w:val="fr-FR"/>
        </w:rPr>
        <w:t>approche systématique mais peut être appropriée pour les pays disposant d</w:t>
      </w:r>
      <w:r w:rsidR="00FE58E1" w:rsidRPr="00FA2E2E">
        <w:rPr>
          <w:lang w:val="fr-FR"/>
        </w:rPr>
        <w:t>’</w:t>
      </w:r>
      <w:r w:rsidR="0045240E" w:rsidRPr="00FA2E2E">
        <w:rPr>
          <w:lang w:val="fr-FR"/>
        </w:rPr>
        <w:t>une politique nationale de gestion des sites contaminés</w:t>
      </w:r>
      <w:r w:rsidR="00D31AFF" w:rsidRPr="00FA2E2E">
        <w:rPr>
          <w:lang w:val="fr-FR"/>
        </w:rPr>
        <w:t xml:space="preserve">. </w:t>
      </w:r>
    </w:p>
    <w:p w14:paraId="64D48B40" w14:textId="2D13416F" w:rsidR="00D31AFF" w:rsidRPr="00FA2E2E" w:rsidRDefault="00AF159F" w:rsidP="008B22F8">
      <w:pPr>
        <w:pStyle w:val="Normalnumber"/>
        <w:keepNext/>
        <w:keepLines/>
        <w:numPr>
          <w:ilvl w:val="0"/>
          <w:numId w:val="5"/>
        </w:numPr>
        <w:rPr>
          <w:lang w:val="fr-FR"/>
        </w:rPr>
      </w:pPr>
      <w:r w:rsidRPr="00FA2E2E">
        <w:rPr>
          <w:lang w:val="fr-FR"/>
        </w:rPr>
        <w:t>Un</w:t>
      </w:r>
      <w:r w:rsidR="00D31AFF" w:rsidRPr="00FA2E2E">
        <w:rPr>
          <w:lang w:val="fr-FR"/>
        </w:rPr>
        <w:t xml:space="preserve"> </w:t>
      </w:r>
      <w:r w:rsidRPr="00FA2E2E">
        <w:rPr>
          <w:lang w:val="fr-FR"/>
        </w:rPr>
        <w:t>examen de l</w:t>
      </w:r>
      <w:r w:rsidR="00FE58E1" w:rsidRPr="00FA2E2E">
        <w:rPr>
          <w:lang w:val="fr-FR"/>
        </w:rPr>
        <w:t>’</w:t>
      </w:r>
      <w:r w:rsidRPr="00FA2E2E">
        <w:rPr>
          <w:lang w:val="fr-FR"/>
        </w:rPr>
        <w:t>occupation passée et actuelle des sols est</w:t>
      </w:r>
      <w:r w:rsidR="00D31AFF" w:rsidRPr="00FA2E2E">
        <w:rPr>
          <w:lang w:val="fr-FR"/>
        </w:rPr>
        <w:t xml:space="preserve"> important </w:t>
      </w:r>
      <w:r w:rsidRPr="00FA2E2E">
        <w:rPr>
          <w:lang w:val="fr-FR"/>
        </w:rPr>
        <w:t xml:space="preserve">pour identifier </w:t>
      </w:r>
      <w:r w:rsidR="00327450" w:rsidRPr="00FA2E2E">
        <w:rPr>
          <w:lang w:val="fr-FR"/>
        </w:rPr>
        <w:t>les sites potentiellement contaminés</w:t>
      </w:r>
      <w:r w:rsidR="00D31AFF" w:rsidRPr="00FA2E2E">
        <w:rPr>
          <w:lang w:val="fr-FR"/>
        </w:rPr>
        <w:t xml:space="preserve"> (CCME, 2016). </w:t>
      </w:r>
      <w:r w:rsidR="00327450" w:rsidRPr="00FA2E2E">
        <w:rPr>
          <w:lang w:val="fr-FR"/>
        </w:rPr>
        <w:t>Cet examen peut constituer la première étape pour identifier les sites pouvant nécessiter des investigations plus approfondies</w:t>
      </w:r>
      <w:r w:rsidR="00D31AFF" w:rsidRPr="00FA2E2E">
        <w:rPr>
          <w:lang w:val="fr-FR"/>
        </w:rPr>
        <w:t xml:space="preserve">. </w:t>
      </w:r>
      <w:r w:rsidR="00327450" w:rsidRPr="00FA2E2E">
        <w:rPr>
          <w:lang w:val="fr-FR"/>
        </w:rPr>
        <w:t>Jusqu</w:t>
      </w:r>
      <w:r w:rsidR="00FE58E1" w:rsidRPr="00FA2E2E">
        <w:rPr>
          <w:lang w:val="fr-FR"/>
        </w:rPr>
        <w:t>’</w:t>
      </w:r>
      <w:r w:rsidR="00327450" w:rsidRPr="00FA2E2E">
        <w:rPr>
          <w:lang w:val="fr-FR"/>
        </w:rPr>
        <w:t>à ce que la preuve de leur contamination ait été établie au moyen d</w:t>
      </w:r>
      <w:r w:rsidR="00FE58E1" w:rsidRPr="00FA2E2E">
        <w:rPr>
          <w:lang w:val="fr-FR"/>
        </w:rPr>
        <w:t>’</w:t>
      </w:r>
      <w:r w:rsidR="00327450" w:rsidRPr="00FA2E2E">
        <w:rPr>
          <w:lang w:val="fr-FR"/>
        </w:rPr>
        <w:t>investigations, ces sites peuvent être qualifiés de sites « présumés » contaminés</w:t>
      </w:r>
      <w:r w:rsidR="00D31AFF" w:rsidRPr="00FA2E2E">
        <w:rPr>
          <w:lang w:val="fr-FR"/>
        </w:rPr>
        <w:t xml:space="preserve">. </w:t>
      </w:r>
      <w:r w:rsidR="00327450" w:rsidRPr="00FA2E2E">
        <w:rPr>
          <w:lang w:val="fr-FR"/>
        </w:rPr>
        <w:t>Dans certaines juridictions, tous les sites présumés ou confirmés comme étant contaminés sont intégrés à une base de données en ligne</w:t>
      </w:r>
      <w:r w:rsidR="00D31AFF" w:rsidRPr="00FA2E2E">
        <w:rPr>
          <w:lang w:val="fr-FR"/>
        </w:rPr>
        <w:t xml:space="preserve">. </w:t>
      </w:r>
    </w:p>
    <w:p w14:paraId="48EEF0B0" w14:textId="74BA0E1D" w:rsidR="00D31AFF" w:rsidRPr="00FA2E2E" w:rsidRDefault="00B55D23" w:rsidP="008E43CD">
      <w:pPr>
        <w:pStyle w:val="Normalnumber"/>
        <w:numPr>
          <w:ilvl w:val="0"/>
          <w:numId w:val="5"/>
        </w:numPr>
        <w:rPr>
          <w:lang w:val="fr-FR"/>
        </w:rPr>
      </w:pPr>
      <w:r w:rsidRPr="00FA2E2E">
        <w:rPr>
          <w:lang w:val="fr-FR"/>
        </w:rPr>
        <w:t>Il existe diverses sources possibles de contamination des sites, notamment </w:t>
      </w:r>
      <w:r w:rsidR="00D31AFF" w:rsidRPr="00FA2E2E">
        <w:rPr>
          <w:lang w:val="fr-FR"/>
        </w:rPr>
        <w:t>:</w:t>
      </w:r>
    </w:p>
    <w:p w14:paraId="119472FF" w14:textId="0428599E" w:rsidR="00D31AFF" w:rsidRPr="00FA2E2E" w:rsidRDefault="00B55D23" w:rsidP="008E43CD">
      <w:pPr>
        <w:pStyle w:val="Normalnumber"/>
        <w:numPr>
          <w:ilvl w:val="1"/>
          <w:numId w:val="5"/>
        </w:numPr>
        <w:rPr>
          <w:lang w:val="fr-FR"/>
        </w:rPr>
      </w:pPr>
      <w:r w:rsidRPr="00FA2E2E">
        <w:rPr>
          <w:lang w:val="fr-FR"/>
        </w:rPr>
        <w:t>Le stockage du mercure</w:t>
      </w:r>
      <w:r w:rsidR="00A057E8" w:rsidRPr="00FA2E2E">
        <w:rPr>
          <w:lang w:val="fr-FR"/>
        </w:rPr>
        <w:t> ;</w:t>
      </w:r>
    </w:p>
    <w:p w14:paraId="070C5910" w14:textId="751ACAD3" w:rsidR="00D31AFF" w:rsidRPr="00FA2E2E" w:rsidRDefault="00B55D23" w:rsidP="008E43CD">
      <w:pPr>
        <w:pStyle w:val="Normalnumber"/>
        <w:numPr>
          <w:ilvl w:val="1"/>
          <w:numId w:val="5"/>
        </w:numPr>
        <w:rPr>
          <w:lang w:val="fr-FR"/>
        </w:rPr>
      </w:pPr>
      <w:r w:rsidRPr="00FA2E2E">
        <w:rPr>
          <w:lang w:val="fr-FR"/>
        </w:rPr>
        <w:t>La fabrication de produits contenant du mercure ajouté</w:t>
      </w:r>
      <w:r w:rsidR="00A057E8" w:rsidRPr="00FA2E2E">
        <w:rPr>
          <w:lang w:val="fr-FR"/>
        </w:rPr>
        <w:t> ;</w:t>
      </w:r>
    </w:p>
    <w:p w14:paraId="7FC165AB" w14:textId="5AB7E953" w:rsidR="00D31AFF" w:rsidRPr="00FA2E2E" w:rsidRDefault="00B55D23" w:rsidP="008E43CD">
      <w:pPr>
        <w:pStyle w:val="Normalnumber"/>
        <w:numPr>
          <w:ilvl w:val="1"/>
          <w:numId w:val="5"/>
        </w:numPr>
        <w:rPr>
          <w:lang w:val="fr-FR"/>
        </w:rPr>
      </w:pPr>
      <w:r w:rsidRPr="00FA2E2E">
        <w:rPr>
          <w:lang w:val="fr-FR"/>
        </w:rPr>
        <w:t>L</w:t>
      </w:r>
      <w:r w:rsidR="00FE58E1" w:rsidRPr="00FA2E2E">
        <w:rPr>
          <w:lang w:val="fr-FR"/>
        </w:rPr>
        <w:t>’</w:t>
      </w:r>
      <w:r w:rsidRPr="00FA2E2E">
        <w:rPr>
          <w:lang w:val="fr-FR"/>
        </w:rPr>
        <w:t>utilisation de mercure dans les procédés de fabrication</w:t>
      </w:r>
      <w:r w:rsidR="00A057E8" w:rsidRPr="00FA2E2E">
        <w:rPr>
          <w:lang w:val="fr-FR"/>
        </w:rPr>
        <w:t> ;</w:t>
      </w:r>
    </w:p>
    <w:p w14:paraId="39664D6E" w14:textId="72B25956" w:rsidR="00D31AFF" w:rsidRPr="00FA2E2E" w:rsidRDefault="00B55D23" w:rsidP="008E43CD">
      <w:pPr>
        <w:pStyle w:val="Normalnumber"/>
        <w:numPr>
          <w:ilvl w:val="1"/>
          <w:numId w:val="5"/>
        </w:numPr>
        <w:rPr>
          <w:lang w:val="fr-FR"/>
        </w:rPr>
      </w:pPr>
      <w:r w:rsidRPr="00FA2E2E">
        <w:rPr>
          <w:lang w:val="fr-FR"/>
        </w:rPr>
        <w:t>Les activités minières (</w:t>
      </w:r>
      <w:r w:rsidR="00CE54C6" w:rsidRPr="00FA2E2E">
        <w:rPr>
          <w:lang w:val="fr-FR"/>
        </w:rPr>
        <w:t>y compris</w:t>
      </w:r>
      <w:r w:rsidRPr="00FA2E2E">
        <w:rPr>
          <w:lang w:val="fr-FR"/>
        </w:rPr>
        <w:t xml:space="preserve"> l</w:t>
      </w:r>
      <w:r w:rsidR="00FE58E1" w:rsidRPr="00FA2E2E">
        <w:rPr>
          <w:lang w:val="fr-FR"/>
        </w:rPr>
        <w:t>’</w:t>
      </w:r>
      <w:r w:rsidRPr="00FA2E2E">
        <w:rPr>
          <w:lang w:val="fr-FR"/>
        </w:rPr>
        <w:t xml:space="preserve">extraction </w:t>
      </w:r>
      <w:r w:rsidR="00CE54C6" w:rsidRPr="00FA2E2E">
        <w:rPr>
          <w:lang w:val="fr-FR"/>
        </w:rPr>
        <w:t xml:space="preserve">minière </w:t>
      </w:r>
      <w:r w:rsidRPr="00FA2E2E">
        <w:rPr>
          <w:lang w:val="fr-FR"/>
        </w:rPr>
        <w:t>artisanale et à petite échelle d</w:t>
      </w:r>
      <w:r w:rsidR="00FE58E1" w:rsidRPr="00FA2E2E">
        <w:rPr>
          <w:lang w:val="fr-FR"/>
        </w:rPr>
        <w:t>’</w:t>
      </w:r>
      <w:r w:rsidRPr="00FA2E2E">
        <w:rPr>
          <w:lang w:val="fr-FR"/>
        </w:rPr>
        <w:t xml:space="preserve">or et les </w:t>
      </w:r>
      <w:r w:rsidR="00CE54C6" w:rsidRPr="00FA2E2E">
        <w:rPr>
          <w:lang w:val="fr-FR"/>
        </w:rPr>
        <w:t>mines</w:t>
      </w:r>
      <w:r w:rsidRPr="00FA2E2E">
        <w:rPr>
          <w:lang w:val="fr-FR"/>
        </w:rPr>
        <w:t xml:space="preserve"> industrielle</w:t>
      </w:r>
      <w:r w:rsidR="00CE54C6" w:rsidRPr="00FA2E2E">
        <w:rPr>
          <w:lang w:val="fr-FR"/>
        </w:rPr>
        <w:t>s abandonnées</w:t>
      </w:r>
      <w:r w:rsidR="00D31AFF" w:rsidRPr="00FA2E2E">
        <w:rPr>
          <w:lang w:val="fr-FR"/>
        </w:rPr>
        <w:t>)</w:t>
      </w:r>
      <w:r w:rsidR="00A057E8" w:rsidRPr="00FA2E2E">
        <w:rPr>
          <w:lang w:val="fr-FR"/>
        </w:rPr>
        <w:t> ;</w:t>
      </w:r>
    </w:p>
    <w:p w14:paraId="24B535A0" w14:textId="54A9533A" w:rsidR="00D31AFF" w:rsidRPr="00FA2E2E" w:rsidRDefault="00CE54C6" w:rsidP="008E43CD">
      <w:pPr>
        <w:pStyle w:val="Normalnumber"/>
        <w:numPr>
          <w:ilvl w:val="1"/>
          <w:numId w:val="5"/>
        </w:numPr>
        <w:rPr>
          <w:lang w:val="fr-FR"/>
        </w:rPr>
      </w:pPr>
      <w:r w:rsidRPr="00FA2E2E">
        <w:rPr>
          <w:lang w:val="fr-FR"/>
        </w:rPr>
        <w:t>Les sources ponctuelles d</w:t>
      </w:r>
      <w:r w:rsidR="00FE58E1" w:rsidRPr="00FA2E2E">
        <w:rPr>
          <w:lang w:val="fr-FR"/>
        </w:rPr>
        <w:t>’</w:t>
      </w:r>
      <w:r w:rsidRPr="00FA2E2E">
        <w:rPr>
          <w:lang w:val="fr-FR"/>
        </w:rPr>
        <w:t>émissions et de rejets</w:t>
      </w:r>
      <w:r w:rsidR="00A057E8" w:rsidRPr="00FA2E2E">
        <w:rPr>
          <w:lang w:val="fr-FR"/>
        </w:rPr>
        <w:t> ;</w:t>
      </w:r>
    </w:p>
    <w:p w14:paraId="56D70B99" w14:textId="5A130D38" w:rsidR="00D31AFF" w:rsidRPr="00FA2E2E" w:rsidRDefault="00CE54C6" w:rsidP="008E43CD">
      <w:pPr>
        <w:pStyle w:val="Normalnumber"/>
        <w:numPr>
          <w:ilvl w:val="1"/>
          <w:numId w:val="5"/>
        </w:numPr>
        <w:rPr>
          <w:lang w:val="fr-FR"/>
        </w:rPr>
      </w:pPr>
      <w:r w:rsidRPr="00FA2E2E">
        <w:rPr>
          <w:lang w:val="fr-FR"/>
        </w:rPr>
        <w:t>Le traitement et l</w:t>
      </w:r>
      <w:r w:rsidR="00FE58E1" w:rsidRPr="00FA2E2E">
        <w:rPr>
          <w:lang w:val="fr-FR"/>
        </w:rPr>
        <w:t>’</w:t>
      </w:r>
      <w:r w:rsidRPr="00FA2E2E">
        <w:rPr>
          <w:lang w:val="fr-FR"/>
        </w:rPr>
        <w:t>élimination des déchets</w:t>
      </w:r>
      <w:r w:rsidR="00A057E8" w:rsidRPr="00FA2E2E">
        <w:rPr>
          <w:lang w:val="fr-FR"/>
        </w:rPr>
        <w:t>.</w:t>
      </w:r>
    </w:p>
    <w:p w14:paraId="12E4C992" w14:textId="1E863995" w:rsidR="00D31AFF" w:rsidRPr="00FA2E2E" w:rsidRDefault="00FB142A" w:rsidP="008E43CD">
      <w:pPr>
        <w:pStyle w:val="Normalnumber"/>
        <w:numPr>
          <w:ilvl w:val="0"/>
          <w:numId w:val="5"/>
        </w:numPr>
        <w:rPr>
          <w:lang w:val="fr-FR"/>
        </w:rPr>
      </w:pPr>
      <w:r w:rsidRPr="00FA2E2E">
        <w:rPr>
          <w:lang w:val="fr-FR"/>
        </w:rPr>
        <w:t>Les s</w:t>
      </w:r>
      <w:r w:rsidR="00D31AFF" w:rsidRPr="00FA2E2E">
        <w:rPr>
          <w:lang w:val="fr-FR"/>
        </w:rPr>
        <w:t>ources</w:t>
      </w:r>
      <w:r w:rsidRPr="00FA2E2E">
        <w:rPr>
          <w:lang w:val="fr-FR"/>
        </w:rPr>
        <w:t xml:space="preserve"> telles que la fabrication de produits contenant du mercure ajouté, l</w:t>
      </w:r>
      <w:r w:rsidR="00FE58E1" w:rsidRPr="00FA2E2E">
        <w:rPr>
          <w:lang w:val="fr-FR"/>
        </w:rPr>
        <w:t>’</w:t>
      </w:r>
      <w:r w:rsidRPr="00FA2E2E">
        <w:rPr>
          <w:lang w:val="fr-FR"/>
        </w:rPr>
        <w:t>utilisation de mercure dans les procédés de fabrication et les</w:t>
      </w:r>
      <w:r w:rsidR="00D31AFF" w:rsidRPr="00FA2E2E">
        <w:rPr>
          <w:lang w:val="fr-FR"/>
        </w:rPr>
        <w:t xml:space="preserve"> </w:t>
      </w:r>
      <w:r w:rsidRPr="00FA2E2E">
        <w:rPr>
          <w:lang w:val="fr-FR"/>
        </w:rPr>
        <w:t>sources ponctuelles d</w:t>
      </w:r>
      <w:r w:rsidR="00FE58E1" w:rsidRPr="00FA2E2E">
        <w:rPr>
          <w:lang w:val="fr-FR"/>
        </w:rPr>
        <w:t>’</w:t>
      </w:r>
      <w:r w:rsidRPr="00FA2E2E">
        <w:rPr>
          <w:lang w:val="fr-FR"/>
        </w:rPr>
        <w:t>émissions et de rejets</w:t>
      </w:r>
      <w:r w:rsidR="007B7446" w:rsidRPr="00FA2E2E">
        <w:rPr>
          <w:lang w:val="fr-FR"/>
        </w:rPr>
        <w:t xml:space="preserve"> de mercure</w:t>
      </w:r>
      <w:r w:rsidRPr="00FA2E2E">
        <w:rPr>
          <w:lang w:val="fr-FR"/>
        </w:rPr>
        <w:t xml:space="preserve"> peuvent comprendre non seulement des activités citées dans les annexes de la Convention de Minamata mais également d</w:t>
      </w:r>
      <w:r w:rsidR="00FE58E1" w:rsidRPr="00FA2E2E">
        <w:rPr>
          <w:lang w:val="fr-FR"/>
        </w:rPr>
        <w:t>’</w:t>
      </w:r>
      <w:r w:rsidRPr="00FA2E2E">
        <w:rPr>
          <w:lang w:val="fr-FR"/>
        </w:rPr>
        <w:t xml:space="preserve">autres activités non réglementées </w:t>
      </w:r>
      <w:r w:rsidR="00C67FFA" w:rsidRPr="00FA2E2E">
        <w:rPr>
          <w:lang w:val="fr-FR"/>
        </w:rPr>
        <w:t>au titre</w:t>
      </w:r>
      <w:r w:rsidRPr="00FA2E2E">
        <w:rPr>
          <w:lang w:val="fr-FR"/>
        </w:rPr>
        <w:t xml:space="preserve"> de la Convention</w:t>
      </w:r>
      <w:r w:rsidR="00D31AFF" w:rsidRPr="00FA2E2E">
        <w:rPr>
          <w:lang w:val="fr-FR"/>
        </w:rPr>
        <w:t xml:space="preserve">. </w:t>
      </w:r>
      <w:r w:rsidR="00C67FFA" w:rsidRPr="00FA2E2E">
        <w:rPr>
          <w:lang w:val="fr-FR"/>
        </w:rPr>
        <w:t>Il convient de noter qu</w:t>
      </w:r>
      <w:r w:rsidR="00FE58E1" w:rsidRPr="00FA2E2E">
        <w:rPr>
          <w:lang w:val="fr-FR"/>
        </w:rPr>
        <w:t>’</w:t>
      </w:r>
      <w:r w:rsidR="00C67FFA" w:rsidRPr="00FA2E2E">
        <w:rPr>
          <w:lang w:val="fr-FR"/>
        </w:rPr>
        <w:t>un site contaminé primaire peut parfois s</w:t>
      </w:r>
      <w:r w:rsidR="00FE58E1" w:rsidRPr="00FA2E2E">
        <w:rPr>
          <w:lang w:val="fr-FR"/>
        </w:rPr>
        <w:t>’</w:t>
      </w:r>
      <w:r w:rsidR="00C67FFA" w:rsidRPr="00FA2E2E">
        <w:rPr>
          <w:lang w:val="fr-FR"/>
        </w:rPr>
        <w:t>accompagner de sites contaminés secondaires dont la contamination résulte d</w:t>
      </w:r>
      <w:r w:rsidR="00FE58E1" w:rsidRPr="00FA2E2E">
        <w:rPr>
          <w:lang w:val="fr-FR"/>
        </w:rPr>
        <w:t>’</w:t>
      </w:r>
      <w:r w:rsidR="00C67FFA" w:rsidRPr="00FA2E2E">
        <w:rPr>
          <w:lang w:val="fr-FR"/>
        </w:rPr>
        <w:t>un ruissellement, d</w:t>
      </w:r>
      <w:r w:rsidR="00FE58E1" w:rsidRPr="00FA2E2E">
        <w:rPr>
          <w:lang w:val="fr-FR"/>
        </w:rPr>
        <w:t>’</w:t>
      </w:r>
      <w:r w:rsidR="00C67FFA" w:rsidRPr="00FA2E2E">
        <w:rPr>
          <w:lang w:val="fr-FR"/>
        </w:rPr>
        <w:t>un lessivage ou d</w:t>
      </w:r>
      <w:r w:rsidR="00FE58E1" w:rsidRPr="00FA2E2E">
        <w:rPr>
          <w:lang w:val="fr-FR"/>
        </w:rPr>
        <w:t>’</w:t>
      </w:r>
      <w:r w:rsidR="00C67FFA" w:rsidRPr="00FA2E2E">
        <w:rPr>
          <w:lang w:val="fr-FR"/>
        </w:rPr>
        <w:t>une migration à partir du site primaire</w:t>
      </w:r>
      <w:r w:rsidR="00D31AFF" w:rsidRPr="00FA2E2E">
        <w:rPr>
          <w:lang w:val="fr-FR"/>
        </w:rPr>
        <w:t xml:space="preserve">. </w:t>
      </w:r>
      <w:r w:rsidR="00C67FFA" w:rsidRPr="00FA2E2E">
        <w:rPr>
          <w:lang w:val="fr-FR"/>
        </w:rPr>
        <w:t>Dans certains cas</w:t>
      </w:r>
      <w:r w:rsidR="00D31AFF" w:rsidRPr="00FA2E2E">
        <w:rPr>
          <w:lang w:val="fr-FR"/>
        </w:rPr>
        <w:t xml:space="preserve">, </w:t>
      </w:r>
      <w:r w:rsidR="00C67FFA" w:rsidRPr="00FA2E2E">
        <w:rPr>
          <w:lang w:val="fr-FR"/>
        </w:rPr>
        <w:t>notamment lorsque le mercure est transporté par ruissellement vers des</w:t>
      </w:r>
      <w:r w:rsidR="00380F44" w:rsidRPr="00FA2E2E">
        <w:rPr>
          <w:lang w:val="fr-FR"/>
        </w:rPr>
        <w:t> </w:t>
      </w:r>
      <w:r w:rsidR="00C67FFA" w:rsidRPr="00FA2E2E">
        <w:rPr>
          <w:lang w:val="fr-FR"/>
        </w:rPr>
        <w:t>zones humides ou d</w:t>
      </w:r>
      <w:r w:rsidR="00FE58E1" w:rsidRPr="00FA2E2E">
        <w:rPr>
          <w:lang w:val="fr-FR"/>
        </w:rPr>
        <w:t>’</w:t>
      </w:r>
      <w:r w:rsidR="00C67FFA" w:rsidRPr="00FA2E2E">
        <w:rPr>
          <w:lang w:val="fr-FR"/>
        </w:rPr>
        <w:t xml:space="preserve">autres écosystèmes </w:t>
      </w:r>
      <w:r w:rsidR="00BC4135" w:rsidRPr="00FA2E2E">
        <w:rPr>
          <w:lang w:val="fr-FR"/>
        </w:rPr>
        <w:t>sensibles</w:t>
      </w:r>
      <w:r w:rsidR="00C67FFA" w:rsidRPr="00FA2E2E">
        <w:rPr>
          <w:lang w:val="fr-FR"/>
        </w:rPr>
        <w:t>, les principaux contaminants du</w:t>
      </w:r>
      <w:r w:rsidR="00691735" w:rsidRPr="00FA2E2E">
        <w:rPr>
          <w:lang w:val="fr-FR"/>
        </w:rPr>
        <w:t>(des)</w:t>
      </w:r>
      <w:r w:rsidR="00C67FFA" w:rsidRPr="00FA2E2E">
        <w:rPr>
          <w:lang w:val="fr-FR"/>
        </w:rPr>
        <w:t xml:space="preserve"> site</w:t>
      </w:r>
      <w:r w:rsidR="00691735" w:rsidRPr="00FA2E2E">
        <w:rPr>
          <w:lang w:val="fr-FR"/>
        </w:rPr>
        <w:t>(s)</w:t>
      </w:r>
      <w:r w:rsidR="00C67FFA" w:rsidRPr="00FA2E2E">
        <w:rPr>
          <w:lang w:val="fr-FR"/>
        </w:rPr>
        <w:t xml:space="preserve"> secondaire</w:t>
      </w:r>
      <w:r w:rsidR="00691735" w:rsidRPr="00FA2E2E">
        <w:rPr>
          <w:lang w:val="fr-FR"/>
        </w:rPr>
        <w:t>(s)</w:t>
      </w:r>
      <w:r w:rsidR="00C67FFA" w:rsidRPr="00FA2E2E">
        <w:rPr>
          <w:lang w:val="fr-FR"/>
        </w:rPr>
        <w:t xml:space="preserve"> peuvent être du méthylmercure produit par transformation bactérienne ou d</w:t>
      </w:r>
      <w:r w:rsidR="00FE58E1" w:rsidRPr="00FA2E2E">
        <w:rPr>
          <w:lang w:val="fr-FR"/>
        </w:rPr>
        <w:t>’</w:t>
      </w:r>
      <w:r w:rsidR="00C67FFA" w:rsidRPr="00FA2E2E">
        <w:rPr>
          <w:lang w:val="fr-FR"/>
        </w:rPr>
        <w:t xml:space="preserve">autres composés, tels que le sulfure de mercure </w:t>
      </w:r>
      <w:r w:rsidR="00C03677" w:rsidRPr="00FA2E2E">
        <w:rPr>
          <w:lang w:val="fr-FR"/>
        </w:rPr>
        <w:t xml:space="preserve">qui </w:t>
      </w:r>
      <w:r w:rsidR="00C67FFA" w:rsidRPr="00FA2E2E">
        <w:rPr>
          <w:lang w:val="fr-FR"/>
        </w:rPr>
        <w:t xml:space="preserve">peut </w:t>
      </w:r>
      <w:r w:rsidR="00C03677" w:rsidRPr="00FA2E2E">
        <w:rPr>
          <w:lang w:val="fr-FR"/>
        </w:rPr>
        <w:t xml:space="preserve">se </w:t>
      </w:r>
      <w:r w:rsidR="00C67FFA" w:rsidRPr="00FA2E2E">
        <w:rPr>
          <w:lang w:val="fr-FR"/>
        </w:rPr>
        <w:t>former par réaction</w:t>
      </w:r>
      <w:r w:rsidR="00C03677" w:rsidRPr="00FA2E2E">
        <w:rPr>
          <w:lang w:val="fr-FR"/>
        </w:rPr>
        <w:t xml:space="preserve"> du mercure</w:t>
      </w:r>
      <w:r w:rsidR="00C67FFA" w:rsidRPr="00FA2E2E">
        <w:rPr>
          <w:lang w:val="fr-FR"/>
        </w:rPr>
        <w:t xml:space="preserve"> avec le soufre contenu dans le sol</w:t>
      </w:r>
      <w:r w:rsidR="00D31AFF" w:rsidRPr="00FA2E2E">
        <w:rPr>
          <w:lang w:val="fr-FR"/>
        </w:rPr>
        <w:t xml:space="preserve">. </w:t>
      </w:r>
    </w:p>
    <w:p w14:paraId="6E15A979" w14:textId="3D1CE8C0" w:rsidR="00D31AFF" w:rsidRPr="00FA2E2E" w:rsidRDefault="008E0D03" w:rsidP="008E43CD">
      <w:pPr>
        <w:pStyle w:val="Normalnumber"/>
        <w:numPr>
          <w:ilvl w:val="0"/>
          <w:numId w:val="5"/>
        </w:numPr>
        <w:rPr>
          <w:lang w:val="fr-FR"/>
        </w:rPr>
      </w:pPr>
      <w:r w:rsidRPr="00FA2E2E">
        <w:rPr>
          <w:lang w:val="fr-FR"/>
        </w:rPr>
        <w:t>Dans le cas de l</w:t>
      </w:r>
      <w:r w:rsidR="00FE58E1" w:rsidRPr="00FA2E2E">
        <w:rPr>
          <w:lang w:val="fr-FR"/>
        </w:rPr>
        <w:t>’</w:t>
      </w:r>
      <w:r w:rsidRPr="00FA2E2E">
        <w:rPr>
          <w:lang w:val="fr-FR"/>
        </w:rPr>
        <w:t>extraction minière artisanale et à petite échelle d</w:t>
      </w:r>
      <w:r w:rsidR="00FE58E1" w:rsidRPr="00FA2E2E">
        <w:rPr>
          <w:lang w:val="fr-FR"/>
        </w:rPr>
        <w:t>’</w:t>
      </w:r>
      <w:r w:rsidRPr="00FA2E2E">
        <w:rPr>
          <w:lang w:val="fr-FR"/>
        </w:rPr>
        <w:t>or, l</w:t>
      </w:r>
      <w:r w:rsidR="00FE58E1" w:rsidRPr="00FA2E2E">
        <w:rPr>
          <w:lang w:val="fr-FR"/>
        </w:rPr>
        <w:t>’</w:t>
      </w:r>
      <w:r w:rsidRPr="00FA2E2E">
        <w:rPr>
          <w:lang w:val="fr-FR"/>
        </w:rPr>
        <w:t>identification des sites peut s</w:t>
      </w:r>
      <w:r w:rsidR="00FE58E1" w:rsidRPr="00FA2E2E">
        <w:rPr>
          <w:lang w:val="fr-FR"/>
        </w:rPr>
        <w:t>’</w:t>
      </w:r>
      <w:r w:rsidRPr="00FA2E2E">
        <w:rPr>
          <w:lang w:val="fr-FR"/>
        </w:rPr>
        <w:t>avérer particulièrement problématique, en raison du nombre de sites potentiellement contaminés, de la nature informelle (et parfois illégale) des activités menées et de l</w:t>
      </w:r>
      <w:r w:rsidR="00FE58E1" w:rsidRPr="00FA2E2E">
        <w:rPr>
          <w:lang w:val="fr-FR"/>
        </w:rPr>
        <w:t>’</w:t>
      </w:r>
      <w:r w:rsidRPr="00FA2E2E">
        <w:rPr>
          <w:lang w:val="fr-FR"/>
        </w:rPr>
        <w:t>absence de registres officiels</w:t>
      </w:r>
      <w:r w:rsidR="00D31AFF" w:rsidRPr="00FA2E2E">
        <w:rPr>
          <w:lang w:val="fr-FR"/>
        </w:rPr>
        <w:t xml:space="preserve">. </w:t>
      </w:r>
      <w:r w:rsidRPr="00FA2E2E">
        <w:rPr>
          <w:lang w:val="fr-FR"/>
        </w:rPr>
        <w:t>Il peut être nécessaire de définir un groupe de sites ou une région pouvant être touchés par des activités minières artisanales pour ensuite s</w:t>
      </w:r>
      <w:r w:rsidR="00FE58E1" w:rsidRPr="00FA2E2E">
        <w:rPr>
          <w:lang w:val="fr-FR"/>
        </w:rPr>
        <w:t>’</w:t>
      </w:r>
      <w:r w:rsidRPr="00FA2E2E">
        <w:rPr>
          <w:lang w:val="fr-FR"/>
        </w:rPr>
        <w:t>attacher à identifier individuellement les</w:t>
      </w:r>
      <w:r w:rsidR="00380F44" w:rsidRPr="00FA2E2E">
        <w:rPr>
          <w:lang w:val="fr-FR"/>
        </w:rPr>
        <w:t> </w:t>
      </w:r>
      <w:r w:rsidRPr="00FA2E2E">
        <w:rPr>
          <w:lang w:val="fr-FR"/>
        </w:rPr>
        <w:t>sites préoccupants au sein de la zone définie</w:t>
      </w:r>
      <w:r w:rsidR="00D31AFF" w:rsidRPr="00FA2E2E">
        <w:rPr>
          <w:lang w:val="fr-FR"/>
        </w:rPr>
        <w:t>.</w:t>
      </w:r>
      <w:r w:rsidRPr="00FA2E2E">
        <w:rPr>
          <w:lang w:val="fr-FR"/>
        </w:rPr>
        <w:t xml:space="preserve"> Les informations collectées aux fins de l</w:t>
      </w:r>
      <w:r w:rsidR="00FE58E1" w:rsidRPr="00FA2E2E">
        <w:rPr>
          <w:lang w:val="fr-FR"/>
        </w:rPr>
        <w:t>’</w:t>
      </w:r>
      <w:r w:rsidRPr="00FA2E2E">
        <w:rPr>
          <w:lang w:val="fr-FR"/>
        </w:rPr>
        <w:t>élaboration d</w:t>
      </w:r>
      <w:r w:rsidR="00FE58E1" w:rsidRPr="00FA2E2E">
        <w:rPr>
          <w:lang w:val="fr-FR"/>
        </w:rPr>
        <w:t>’</w:t>
      </w:r>
      <w:r w:rsidRPr="00FA2E2E">
        <w:rPr>
          <w:lang w:val="fr-FR"/>
        </w:rPr>
        <w:t>un plan d</w:t>
      </w:r>
      <w:r w:rsidR="00FE58E1" w:rsidRPr="00FA2E2E">
        <w:rPr>
          <w:lang w:val="fr-FR"/>
        </w:rPr>
        <w:t>’</w:t>
      </w:r>
      <w:r w:rsidRPr="00FA2E2E">
        <w:rPr>
          <w:lang w:val="fr-FR"/>
        </w:rPr>
        <w:t>action national en application de l</w:t>
      </w:r>
      <w:r w:rsidR="00FE58E1" w:rsidRPr="00FA2E2E">
        <w:rPr>
          <w:lang w:val="fr-FR"/>
        </w:rPr>
        <w:t>’</w:t>
      </w:r>
      <w:r w:rsidR="00D31AFF" w:rsidRPr="00FA2E2E">
        <w:rPr>
          <w:lang w:val="fr-FR"/>
        </w:rPr>
        <w:t>article</w:t>
      </w:r>
      <w:r w:rsidRPr="00FA2E2E">
        <w:rPr>
          <w:lang w:val="fr-FR"/>
        </w:rPr>
        <w:t> </w:t>
      </w:r>
      <w:r w:rsidR="00D31AFF" w:rsidRPr="00FA2E2E">
        <w:rPr>
          <w:lang w:val="fr-FR"/>
        </w:rPr>
        <w:t xml:space="preserve">7 </w:t>
      </w:r>
      <w:r w:rsidRPr="00FA2E2E">
        <w:rPr>
          <w:lang w:val="fr-FR"/>
        </w:rPr>
        <w:t>peuvent être utiles pour l</w:t>
      </w:r>
      <w:r w:rsidR="00FE58E1" w:rsidRPr="00FA2E2E">
        <w:rPr>
          <w:lang w:val="fr-FR"/>
        </w:rPr>
        <w:t>’</w:t>
      </w:r>
      <w:r w:rsidRPr="00FA2E2E">
        <w:rPr>
          <w:lang w:val="fr-FR"/>
        </w:rPr>
        <w:t>identification des</w:t>
      </w:r>
      <w:r w:rsidR="00380F44" w:rsidRPr="00FA2E2E">
        <w:rPr>
          <w:lang w:val="fr-FR"/>
        </w:rPr>
        <w:t> </w:t>
      </w:r>
      <w:r w:rsidRPr="00FA2E2E">
        <w:rPr>
          <w:lang w:val="fr-FR"/>
        </w:rPr>
        <w:t>sites</w:t>
      </w:r>
      <w:r w:rsidR="00D31AFF" w:rsidRPr="00FA2E2E">
        <w:rPr>
          <w:lang w:val="fr-FR"/>
        </w:rPr>
        <w:t xml:space="preserve"> </w:t>
      </w:r>
      <w:r w:rsidR="000563B1" w:rsidRPr="00FA2E2E">
        <w:rPr>
          <w:lang w:val="fr-FR"/>
        </w:rPr>
        <w:t>d</w:t>
      </w:r>
      <w:r w:rsidR="00FE58E1" w:rsidRPr="00FA2E2E">
        <w:rPr>
          <w:lang w:val="fr-FR"/>
        </w:rPr>
        <w:t>’</w:t>
      </w:r>
      <w:r w:rsidR="000563B1" w:rsidRPr="00FA2E2E">
        <w:rPr>
          <w:lang w:val="fr-FR"/>
        </w:rPr>
        <w:t>extraction minière artisanale et à petite échelle d</w:t>
      </w:r>
      <w:r w:rsidR="00FE58E1" w:rsidRPr="00FA2E2E">
        <w:rPr>
          <w:lang w:val="fr-FR"/>
        </w:rPr>
        <w:t>’</w:t>
      </w:r>
      <w:r w:rsidR="000563B1" w:rsidRPr="00FA2E2E">
        <w:rPr>
          <w:lang w:val="fr-FR"/>
        </w:rPr>
        <w:t>or contaminés</w:t>
      </w:r>
      <w:r w:rsidR="00D31AFF" w:rsidRPr="00FA2E2E">
        <w:rPr>
          <w:lang w:val="fr-FR"/>
        </w:rPr>
        <w:t>.</w:t>
      </w:r>
    </w:p>
    <w:p w14:paraId="50137314" w14:textId="36D16D5A" w:rsidR="00D31AFF" w:rsidRPr="00FA2E2E" w:rsidRDefault="000563B1" w:rsidP="008E43CD">
      <w:pPr>
        <w:pStyle w:val="Normalnumber"/>
        <w:numPr>
          <w:ilvl w:val="0"/>
          <w:numId w:val="5"/>
        </w:numPr>
        <w:rPr>
          <w:lang w:val="fr-FR"/>
        </w:rPr>
      </w:pPr>
      <w:r w:rsidRPr="00FA2E2E">
        <w:rPr>
          <w:lang w:val="fr-FR"/>
        </w:rPr>
        <w:t>Afin d</w:t>
      </w:r>
      <w:r w:rsidR="00FE58E1" w:rsidRPr="00FA2E2E">
        <w:rPr>
          <w:lang w:val="fr-FR"/>
        </w:rPr>
        <w:t>’</w:t>
      </w:r>
      <w:r w:rsidRPr="00FA2E2E">
        <w:rPr>
          <w:lang w:val="fr-FR"/>
        </w:rPr>
        <w:t>établir un inventaire national préliminaire des sites potentiellement contaminés, les</w:t>
      </w:r>
      <w:r w:rsidR="00380F44" w:rsidRPr="00FA2E2E">
        <w:rPr>
          <w:lang w:val="fr-FR"/>
        </w:rPr>
        <w:t> </w:t>
      </w:r>
      <w:r w:rsidRPr="00FA2E2E">
        <w:rPr>
          <w:lang w:val="fr-FR"/>
        </w:rPr>
        <w:t>organismes publics peuvent mettre en commun leurs registres des activités et des utilisations des</w:t>
      </w:r>
      <w:r w:rsidR="00380F44" w:rsidRPr="00FA2E2E">
        <w:rPr>
          <w:lang w:val="fr-FR"/>
        </w:rPr>
        <w:t> </w:t>
      </w:r>
      <w:r w:rsidRPr="00FA2E2E">
        <w:rPr>
          <w:lang w:val="fr-FR"/>
        </w:rPr>
        <w:t>sols actuelles et passées, telles que celles mentionnées plus haut, afin de servir de base aux</w:t>
      </w:r>
      <w:r w:rsidR="00380F44" w:rsidRPr="00FA2E2E">
        <w:rPr>
          <w:lang w:val="fr-FR"/>
        </w:rPr>
        <w:t> </w:t>
      </w:r>
      <w:r w:rsidRPr="00FA2E2E">
        <w:rPr>
          <w:lang w:val="fr-FR"/>
        </w:rPr>
        <w:t>investigations plus approfondies</w:t>
      </w:r>
      <w:r w:rsidR="00D31AFF" w:rsidRPr="00FA2E2E">
        <w:rPr>
          <w:lang w:val="fr-FR"/>
        </w:rPr>
        <w:t xml:space="preserve">. </w:t>
      </w:r>
      <w:r w:rsidRPr="00FA2E2E">
        <w:rPr>
          <w:lang w:val="fr-FR"/>
        </w:rPr>
        <w:t>Dans certaines juridictions, les organismes publics, les</w:t>
      </w:r>
      <w:r w:rsidR="00380F44" w:rsidRPr="00FA2E2E">
        <w:rPr>
          <w:lang w:val="fr-FR"/>
        </w:rPr>
        <w:t> </w:t>
      </w:r>
      <w:r w:rsidRPr="00FA2E2E">
        <w:rPr>
          <w:lang w:val="fr-FR"/>
        </w:rPr>
        <w:t>entreprises et les propriétaires fonciers privés sont tenus par la loi</w:t>
      </w:r>
      <w:r w:rsidR="00D31AFF" w:rsidRPr="00FA2E2E">
        <w:rPr>
          <w:rStyle w:val="FootnoteReference"/>
          <w:lang w:val="fr-FR"/>
        </w:rPr>
        <w:footnoteReference w:id="3"/>
      </w:r>
      <w:r w:rsidR="00D31AFF" w:rsidRPr="00FA2E2E">
        <w:rPr>
          <w:lang w:val="fr-FR"/>
        </w:rPr>
        <w:t xml:space="preserve"> </w:t>
      </w:r>
      <w:r w:rsidRPr="00FA2E2E">
        <w:rPr>
          <w:lang w:val="fr-FR"/>
        </w:rPr>
        <w:t>de signaler à l</w:t>
      </w:r>
      <w:r w:rsidR="00FE58E1" w:rsidRPr="00FA2E2E">
        <w:rPr>
          <w:lang w:val="fr-FR"/>
        </w:rPr>
        <w:t>’</w:t>
      </w:r>
      <w:r w:rsidRPr="00FA2E2E">
        <w:rPr>
          <w:lang w:val="fr-FR"/>
        </w:rPr>
        <w:t>organisme environnemental compétent s</w:t>
      </w:r>
      <w:r w:rsidR="00FE58E1" w:rsidRPr="00FA2E2E">
        <w:rPr>
          <w:lang w:val="fr-FR"/>
        </w:rPr>
        <w:t>’</w:t>
      </w:r>
      <w:r w:rsidRPr="00FA2E2E">
        <w:rPr>
          <w:lang w:val="fr-FR"/>
        </w:rPr>
        <w:t>ils possèdent des terres présumées contaminées ou reconnues comme telles, faute de quoi ils s</w:t>
      </w:r>
      <w:r w:rsidR="00FE58E1" w:rsidRPr="00FA2E2E">
        <w:rPr>
          <w:lang w:val="fr-FR"/>
        </w:rPr>
        <w:t>’</w:t>
      </w:r>
      <w:r w:rsidRPr="00FA2E2E">
        <w:rPr>
          <w:lang w:val="fr-FR"/>
        </w:rPr>
        <w:t>exposent à des amendes</w:t>
      </w:r>
      <w:r w:rsidR="00D31AFF" w:rsidRPr="00FA2E2E">
        <w:rPr>
          <w:lang w:val="fr-FR"/>
        </w:rPr>
        <w:t>.</w:t>
      </w:r>
    </w:p>
    <w:p w14:paraId="1532A44E" w14:textId="346012D4" w:rsidR="00D31AFF" w:rsidRPr="00FA2E2E" w:rsidRDefault="004A47D9" w:rsidP="008E43CD">
      <w:pPr>
        <w:pStyle w:val="Normalnumber"/>
        <w:numPr>
          <w:ilvl w:val="0"/>
          <w:numId w:val="5"/>
        </w:numPr>
        <w:rPr>
          <w:lang w:val="fr-FR"/>
        </w:rPr>
      </w:pPr>
      <w:r w:rsidRPr="00FA2E2E">
        <w:rPr>
          <w:lang w:val="fr-FR"/>
        </w:rPr>
        <w:t>Dans de nombreux cas, il est possible d</w:t>
      </w:r>
      <w:r w:rsidR="00FE58E1" w:rsidRPr="00FA2E2E">
        <w:rPr>
          <w:lang w:val="fr-FR"/>
        </w:rPr>
        <w:t>’</w:t>
      </w:r>
      <w:r w:rsidRPr="00FA2E2E">
        <w:rPr>
          <w:lang w:val="fr-FR"/>
        </w:rPr>
        <w:t xml:space="preserve">opérer une première identification des sites présumés contaminés par les moyens ci-après </w:t>
      </w:r>
      <w:r w:rsidR="00D31AFF" w:rsidRPr="00FA2E2E">
        <w:rPr>
          <w:lang w:val="fr-FR"/>
        </w:rPr>
        <w:t>(</w:t>
      </w:r>
      <w:r w:rsidR="00F20C36" w:rsidRPr="00FA2E2E">
        <w:rPr>
          <w:lang w:val="fr-FR"/>
        </w:rPr>
        <w:t>PNUE</w:t>
      </w:r>
      <w:r w:rsidR="00D31AFF" w:rsidRPr="00FA2E2E">
        <w:rPr>
          <w:lang w:val="fr-FR"/>
        </w:rPr>
        <w:t>, 2015)</w:t>
      </w:r>
      <w:r w:rsidRPr="00FA2E2E">
        <w:rPr>
          <w:lang w:val="fr-FR"/>
        </w:rPr>
        <w:t> </w:t>
      </w:r>
      <w:r w:rsidR="00D31AFF" w:rsidRPr="00FA2E2E">
        <w:rPr>
          <w:lang w:val="fr-FR"/>
        </w:rPr>
        <w:t xml:space="preserve">: </w:t>
      </w:r>
    </w:p>
    <w:p w14:paraId="52D5F63D" w14:textId="7F617AF2" w:rsidR="00D31AFF" w:rsidRPr="00FA2E2E" w:rsidRDefault="00E44420" w:rsidP="008E43CD">
      <w:pPr>
        <w:pStyle w:val="Normalnumber"/>
        <w:numPr>
          <w:ilvl w:val="1"/>
          <w:numId w:val="5"/>
        </w:numPr>
        <w:rPr>
          <w:lang w:val="fr-FR"/>
        </w:rPr>
      </w:pPr>
      <w:r w:rsidRPr="00FA2E2E">
        <w:rPr>
          <w:lang w:val="fr-FR"/>
        </w:rPr>
        <w:t>Documents faisant état des activités industrielles ou autres menées sur le site dans le</w:t>
      </w:r>
      <w:r w:rsidR="00380F44" w:rsidRPr="00FA2E2E">
        <w:rPr>
          <w:lang w:val="fr-FR"/>
        </w:rPr>
        <w:t> </w:t>
      </w:r>
      <w:r w:rsidRPr="00FA2E2E">
        <w:rPr>
          <w:lang w:val="fr-FR"/>
        </w:rPr>
        <w:t>passé</w:t>
      </w:r>
      <w:r w:rsidR="00BE0048" w:rsidRPr="00FA2E2E">
        <w:rPr>
          <w:lang w:val="fr-FR"/>
        </w:rPr>
        <w:t> ;</w:t>
      </w:r>
    </w:p>
    <w:p w14:paraId="75545AF2" w14:textId="78FEDE57" w:rsidR="00D31AFF" w:rsidRPr="00FA2E2E" w:rsidRDefault="00E44420" w:rsidP="008E43CD">
      <w:pPr>
        <w:pStyle w:val="Normalnumber"/>
        <w:numPr>
          <w:ilvl w:val="1"/>
          <w:numId w:val="5"/>
        </w:numPr>
        <w:rPr>
          <w:lang w:val="fr-FR"/>
        </w:rPr>
      </w:pPr>
      <w:r w:rsidRPr="00FA2E2E">
        <w:rPr>
          <w:lang w:val="fr-FR"/>
        </w:rPr>
        <w:t>Inspection visuelle de l</w:t>
      </w:r>
      <w:r w:rsidR="00FE58E1" w:rsidRPr="00FA2E2E">
        <w:rPr>
          <w:lang w:val="fr-FR"/>
        </w:rPr>
        <w:t>’</w:t>
      </w:r>
      <w:r w:rsidRPr="00FA2E2E">
        <w:rPr>
          <w:lang w:val="fr-FR"/>
        </w:rPr>
        <w:t>état du site ou des sources associées de contaminants</w:t>
      </w:r>
      <w:r w:rsidR="00BE0048" w:rsidRPr="00FA2E2E">
        <w:rPr>
          <w:lang w:val="fr-FR"/>
        </w:rPr>
        <w:t> ;</w:t>
      </w:r>
    </w:p>
    <w:p w14:paraId="4031FF7C" w14:textId="1DB66F42" w:rsidR="00D31AFF" w:rsidRPr="00FA2E2E" w:rsidRDefault="00E44420" w:rsidP="008E43CD">
      <w:pPr>
        <w:pStyle w:val="Normalnumber"/>
        <w:numPr>
          <w:ilvl w:val="1"/>
          <w:numId w:val="5"/>
        </w:numPr>
        <w:rPr>
          <w:lang w:val="fr-FR"/>
        </w:rPr>
      </w:pPr>
      <w:r w:rsidRPr="00FA2E2E">
        <w:rPr>
          <w:lang w:val="fr-FR"/>
        </w:rPr>
        <w:t>Inspection visuelle des opérations de fabrication ou d</w:t>
      </w:r>
      <w:r w:rsidR="00FE58E1" w:rsidRPr="00FA2E2E">
        <w:rPr>
          <w:lang w:val="fr-FR"/>
        </w:rPr>
        <w:t>’</w:t>
      </w:r>
      <w:r w:rsidRPr="00FA2E2E">
        <w:rPr>
          <w:lang w:val="fr-FR"/>
        </w:rPr>
        <w:t>autres activités connues pour avoir utilisé ou émis un contaminant particulièrement dangereux</w:t>
      </w:r>
      <w:r w:rsidR="00BE0048" w:rsidRPr="00FA2E2E">
        <w:rPr>
          <w:lang w:val="fr-FR"/>
        </w:rPr>
        <w:t> ;</w:t>
      </w:r>
    </w:p>
    <w:p w14:paraId="5922FE67" w14:textId="156CF162" w:rsidR="00D31AFF" w:rsidRPr="00FA2E2E" w:rsidRDefault="00E44420" w:rsidP="008E43CD">
      <w:pPr>
        <w:pStyle w:val="Normalnumber"/>
        <w:numPr>
          <w:ilvl w:val="1"/>
          <w:numId w:val="5"/>
        </w:numPr>
        <w:rPr>
          <w:lang w:val="fr-FR"/>
        </w:rPr>
      </w:pPr>
      <w:r w:rsidRPr="00FA2E2E">
        <w:rPr>
          <w:lang w:val="fr-FR"/>
        </w:rPr>
        <w:t>Effets néfastes observés chez la population humaine, la flore et la faune, dont la cause est probablement la proximité du site</w:t>
      </w:r>
      <w:r w:rsidR="00B04DC7" w:rsidRPr="00FA2E2E">
        <w:rPr>
          <w:vertAlign w:val="superscript"/>
          <w:lang w:val="fr-FR"/>
        </w:rPr>
        <w:footnoteReference w:id="4"/>
      </w:r>
      <w:r w:rsidR="00A057E8" w:rsidRPr="00FA2E2E">
        <w:rPr>
          <w:lang w:val="fr-FR"/>
        </w:rPr>
        <w:t> ;</w:t>
      </w:r>
    </w:p>
    <w:p w14:paraId="2E86A4C3" w14:textId="78A29133" w:rsidR="00D31AFF" w:rsidRPr="00FA2E2E" w:rsidRDefault="00A751A2" w:rsidP="008E43CD">
      <w:pPr>
        <w:pStyle w:val="Normalnumber"/>
        <w:numPr>
          <w:ilvl w:val="1"/>
          <w:numId w:val="5"/>
        </w:numPr>
        <w:rPr>
          <w:lang w:val="fr-FR"/>
        </w:rPr>
      </w:pPr>
      <w:r w:rsidRPr="00FA2E2E">
        <w:rPr>
          <w:lang w:val="fr-FR"/>
        </w:rPr>
        <w:t>Résultats physiques ou analytiques existants montrant la présence de contaminants</w:t>
      </w:r>
      <w:r w:rsidR="00A057E8" w:rsidRPr="00FA2E2E">
        <w:rPr>
          <w:lang w:val="fr-FR"/>
        </w:rPr>
        <w:t> ;</w:t>
      </w:r>
    </w:p>
    <w:p w14:paraId="7E6BA387" w14:textId="6050B703" w:rsidR="00D31AFF" w:rsidRPr="00FA2E2E" w:rsidRDefault="00A751A2" w:rsidP="008E43CD">
      <w:pPr>
        <w:pStyle w:val="Normalnumber"/>
        <w:numPr>
          <w:ilvl w:val="1"/>
          <w:numId w:val="5"/>
        </w:numPr>
        <w:rPr>
          <w:lang w:val="fr-FR"/>
        </w:rPr>
      </w:pPr>
      <w:r w:rsidRPr="00FA2E2E">
        <w:rPr>
          <w:lang w:val="fr-FR"/>
        </w:rPr>
        <w:t>Présomptions de rejets signalées aux pouvoirs publics par la communauté</w:t>
      </w:r>
      <w:r w:rsidR="00A057E8" w:rsidRPr="00FA2E2E">
        <w:rPr>
          <w:lang w:val="fr-FR"/>
        </w:rPr>
        <w:t>.</w:t>
      </w:r>
    </w:p>
    <w:p w14:paraId="026D7852" w14:textId="3B767F09" w:rsidR="00D31AFF" w:rsidRPr="00FA2E2E" w:rsidRDefault="00D31AFF" w:rsidP="00F93F76">
      <w:pPr>
        <w:pStyle w:val="CH3"/>
        <w:rPr>
          <w:lang w:val="fr-FR"/>
        </w:rPr>
      </w:pPr>
      <w:r w:rsidRPr="00FA2E2E">
        <w:rPr>
          <w:lang w:val="fr-FR"/>
        </w:rPr>
        <w:tab/>
      </w:r>
      <w:r w:rsidR="00152CD3" w:rsidRPr="00FA2E2E">
        <w:rPr>
          <w:lang w:val="fr-FR"/>
        </w:rPr>
        <w:t>2.</w:t>
      </w:r>
      <w:r w:rsidR="00152CD3" w:rsidRPr="00FA2E2E">
        <w:rPr>
          <w:lang w:val="fr-FR"/>
        </w:rPr>
        <w:tab/>
      </w:r>
      <w:r w:rsidR="00386ECF" w:rsidRPr="00FA2E2E">
        <w:rPr>
          <w:lang w:val="fr-FR"/>
        </w:rPr>
        <w:t>Établissement d</w:t>
      </w:r>
      <w:r w:rsidR="00FE58E1" w:rsidRPr="00FA2E2E">
        <w:rPr>
          <w:lang w:val="fr-FR"/>
        </w:rPr>
        <w:t>’</w:t>
      </w:r>
      <w:r w:rsidR="00386ECF" w:rsidRPr="00FA2E2E">
        <w:rPr>
          <w:lang w:val="fr-FR"/>
        </w:rPr>
        <w:t>inventaires</w:t>
      </w:r>
    </w:p>
    <w:p w14:paraId="3CAD8215" w14:textId="4ED1E3AC" w:rsidR="00D31AFF" w:rsidRPr="00FA2E2E" w:rsidRDefault="00C03677" w:rsidP="008E43CD">
      <w:pPr>
        <w:pStyle w:val="Normalnumber"/>
        <w:numPr>
          <w:ilvl w:val="0"/>
          <w:numId w:val="5"/>
        </w:numPr>
        <w:rPr>
          <w:lang w:val="fr-FR"/>
        </w:rPr>
      </w:pPr>
      <w:r w:rsidRPr="00FA2E2E">
        <w:rPr>
          <w:lang w:val="fr-FR"/>
        </w:rPr>
        <w:t>Au fur et à</w:t>
      </w:r>
      <w:r w:rsidR="00521967" w:rsidRPr="00FA2E2E">
        <w:rPr>
          <w:lang w:val="fr-FR"/>
        </w:rPr>
        <w:t xml:space="preserve"> mesure que l</w:t>
      </w:r>
      <w:r w:rsidR="00FE58E1" w:rsidRPr="00FA2E2E">
        <w:rPr>
          <w:lang w:val="fr-FR"/>
        </w:rPr>
        <w:t>’</w:t>
      </w:r>
      <w:r w:rsidR="00D31AFF" w:rsidRPr="00FA2E2E">
        <w:rPr>
          <w:lang w:val="fr-FR"/>
        </w:rPr>
        <w:t xml:space="preserve">identification </w:t>
      </w:r>
      <w:r w:rsidR="00521967" w:rsidRPr="00FA2E2E">
        <w:rPr>
          <w:lang w:val="fr-FR"/>
        </w:rPr>
        <w:t>des sites</w:t>
      </w:r>
      <w:r w:rsidR="00D31AFF" w:rsidRPr="00FA2E2E">
        <w:rPr>
          <w:lang w:val="fr-FR"/>
        </w:rPr>
        <w:t xml:space="preserve"> </w:t>
      </w:r>
      <w:r w:rsidR="00521967" w:rsidRPr="00FA2E2E">
        <w:rPr>
          <w:lang w:val="fr-FR"/>
        </w:rPr>
        <w:t>présumés ou confirmés comme étant contaminés au sein d</w:t>
      </w:r>
      <w:r w:rsidR="00FE58E1" w:rsidRPr="00FA2E2E">
        <w:rPr>
          <w:lang w:val="fr-FR"/>
        </w:rPr>
        <w:t>’</w:t>
      </w:r>
      <w:r w:rsidR="00521967" w:rsidRPr="00FA2E2E">
        <w:rPr>
          <w:lang w:val="fr-FR"/>
        </w:rPr>
        <w:t>une juridiction progresse</w:t>
      </w:r>
      <w:r w:rsidR="00D31AFF" w:rsidRPr="00FA2E2E">
        <w:rPr>
          <w:lang w:val="fr-FR"/>
        </w:rPr>
        <w:t xml:space="preserve">, </w:t>
      </w:r>
      <w:r w:rsidR="00521967" w:rsidRPr="00FA2E2E">
        <w:rPr>
          <w:lang w:val="fr-FR"/>
        </w:rPr>
        <w:t>il devient possible d</w:t>
      </w:r>
      <w:r w:rsidR="00FE58E1" w:rsidRPr="00FA2E2E">
        <w:rPr>
          <w:lang w:val="fr-FR"/>
        </w:rPr>
        <w:t>’</w:t>
      </w:r>
      <w:r w:rsidR="00521967" w:rsidRPr="00FA2E2E">
        <w:rPr>
          <w:lang w:val="fr-FR"/>
        </w:rPr>
        <w:t>établir un inventaire des sites</w:t>
      </w:r>
      <w:r w:rsidR="008E1531" w:rsidRPr="00FA2E2E">
        <w:rPr>
          <w:lang w:val="fr-FR"/>
        </w:rPr>
        <w:t xml:space="preserve"> qui peut être utilisé pour suivre l</w:t>
      </w:r>
      <w:r w:rsidR="00FE58E1" w:rsidRPr="00FA2E2E">
        <w:rPr>
          <w:lang w:val="fr-FR"/>
        </w:rPr>
        <w:t>’</w:t>
      </w:r>
      <w:r w:rsidR="008E1531" w:rsidRPr="00FA2E2E">
        <w:rPr>
          <w:lang w:val="fr-FR"/>
        </w:rPr>
        <w:t>évaluation et la gestion des sites individuels au fil du temps</w:t>
      </w:r>
      <w:r w:rsidR="00D31AFF" w:rsidRPr="00FA2E2E">
        <w:rPr>
          <w:lang w:val="fr-FR"/>
        </w:rPr>
        <w:t xml:space="preserve">. </w:t>
      </w:r>
      <w:r w:rsidR="008E1531" w:rsidRPr="00FA2E2E">
        <w:rPr>
          <w:lang w:val="fr-FR"/>
        </w:rPr>
        <w:t>Dans ce contexte</w:t>
      </w:r>
      <w:r w:rsidR="00D31AFF" w:rsidRPr="00FA2E2E">
        <w:rPr>
          <w:lang w:val="fr-FR"/>
        </w:rPr>
        <w:t>,</w:t>
      </w:r>
      <w:r w:rsidR="008E1531" w:rsidRPr="00FA2E2E">
        <w:rPr>
          <w:lang w:val="fr-FR"/>
        </w:rPr>
        <w:t xml:space="preserve"> les</w:t>
      </w:r>
      <w:r w:rsidR="00D31AFF" w:rsidRPr="00FA2E2E">
        <w:rPr>
          <w:lang w:val="fr-FR"/>
        </w:rPr>
        <w:t xml:space="preserve"> </w:t>
      </w:r>
      <w:r w:rsidR="008E1531" w:rsidRPr="00FA2E2E">
        <w:rPr>
          <w:lang w:val="fr-FR"/>
        </w:rPr>
        <w:t>P</w:t>
      </w:r>
      <w:r w:rsidR="00D31AFF" w:rsidRPr="00FA2E2E">
        <w:rPr>
          <w:lang w:val="fr-FR"/>
        </w:rPr>
        <w:t>arties</w:t>
      </w:r>
      <w:r w:rsidR="008E1531" w:rsidRPr="00FA2E2E">
        <w:rPr>
          <w:lang w:val="fr-FR"/>
        </w:rPr>
        <w:t xml:space="preserve"> souhaiteront peut-être établir un inventaire </w:t>
      </w:r>
      <w:r w:rsidR="00AA1BE3" w:rsidRPr="00FA2E2E">
        <w:rPr>
          <w:lang w:val="fr-FR"/>
        </w:rPr>
        <w:t>qui leur permettrait</w:t>
      </w:r>
      <w:r w:rsidR="008E1531" w:rsidRPr="00FA2E2E">
        <w:rPr>
          <w:lang w:val="fr-FR"/>
        </w:rPr>
        <w:t xml:space="preserve"> d</w:t>
      </w:r>
      <w:r w:rsidR="00FE58E1" w:rsidRPr="00FA2E2E">
        <w:rPr>
          <w:lang w:val="fr-FR"/>
        </w:rPr>
        <w:t>’</w:t>
      </w:r>
      <w:r w:rsidR="008E1531" w:rsidRPr="00FA2E2E">
        <w:rPr>
          <w:lang w:val="fr-FR"/>
        </w:rPr>
        <w:t xml:space="preserve">adopter une approche fondée sur les risques </w:t>
      </w:r>
      <w:r w:rsidR="00AA1BE3" w:rsidRPr="00FA2E2E">
        <w:rPr>
          <w:lang w:val="fr-FR"/>
        </w:rPr>
        <w:t xml:space="preserve">afin </w:t>
      </w:r>
      <w:r w:rsidR="006264DD" w:rsidRPr="00FA2E2E">
        <w:rPr>
          <w:lang w:val="fr-FR"/>
        </w:rPr>
        <w:t>de fixer</w:t>
      </w:r>
      <w:r w:rsidR="00AA1BE3" w:rsidRPr="00FA2E2E">
        <w:rPr>
          <w:lang w:val="fr-FR"/>
        </w:rPr>
        <w:t xml:space="preserve"> </w:t>
      </w:r>
      <w:r w:rsidR="0070655A" w:rsidRPr="00FA2E2E">
        <w:rPr>
          <w:lang w:val="fr-FR"/>
        </w:rPr>
        <w:t xml:space="preserve">efficacement </w:t>
      </w:r>
      <w:r w:rsidR="00AA1BE3" w:rsidRPr="00FA2E2E">
        <w:rPr>
          <w:lang w:val="fr-FR"/>
        </w:rPr>
        <w:t>des priorités dans</w:t>
      </w:r>
      <w:r w:rsidR="008E1531" w:rsidRPr="00FA2E2E">
        <w:rPr>
          <w:lang w:val="fr-FR"/>
        </w:rPr>
        <w:t xml:space="preserve"> l</w:t>
      </w:r>
      <w:r w:rsidR="00FE58E1" w:rsidRPr="00FA2E2E">
        <w:rPr>
          <w:lang w:val="fr-FR"/>
        </w:rPr>
        <w:t>’</w:t>
      </w:r>
      <w:r w:rsidR="008E1531" w:rsidRPr="00FA2E2E">
        <w:rPr>
          <w:lang w:val="fr-FR"/>
        </w:rPr>
        <w:t>utilisation de</w:t>
      </w:r>
      <w:r w:rsidR="00AA1BE3" w:rsidRPr="00FA2E2E">
        <w:rPr>
          <w:lang w:val="fr-FR"/>
        </w:rPr>
        <w:t>s</w:t>
      </w:r>
      <w:r w:rsidR="008E1531" w:rsidRPr="00FA2E2E">
        <w:rPr>
          <w:lang w:val="fr-FR"/>
        </w:rPr>
        <w:t xml:space="preserve"> ressources</w:t>
      </w:r>
      <w:r w:rsidR="00AA1BE3" w:rsidRPr="00FA2E2E">
        <w:rPr>
          <w:lang w:val="fr-FR"/>
        </w:rPr>
        <w:t xml:space="preserve"> dans le but de protéger les populations humaines et les niches environneme</w:t>
      </w:r>
      <w:r w:rsidR="0070655A" w:rsidRPr="00FA2E2E">
        <w:rPr>
          <w:lang w:val="fr-FR"/>
        </w:rPr>
        <w:t>n</w:t>
      </w:r>
      <w:r w:rsidR="00AA1BE3" w:rsidRPr="00FA2E2E">
        <w:rPr>
          <w:lang w:val="fr-FR"/>
        </w:rPr>
        <w:t>tales</w:t>
      </w:r>
      <w:r w:rsidR="0070655A" w:rsidRPr="00FA2E2E">
        <w:rPr>
          <w:lang w:val="fr-FR"/>
        </w:rPr>
        <w:t xml:space="preserve"> les plus immédiatement menacées par un risque d</w:t>
      </w:r>
      <w:r w:rsidR="00FE58E1" w:rsidRPr="00FA2E2E">
        <w:rPr>
          <w:lang w:val="fr-FR"/>
        </w:rPr>
        <w:t>’</w:t>
      </w:r>
      <w:r w:rsidR="0070655A" w:rsidRPr="00FA2E2E">
        <w:rPr>
          <w:lang w:val="fr-FR"/>
        </w:rPr>
        <w:t>exposition au mercure provenant des sites les plus dangereux</w:t>
      </w:r>
      <w:r w:rsidR="00D31AFF" w:rsidRPr="00FA2E2E">
        <w:rPr>
          <w:lang w:val="fr-FR"/>
        </w:rPr>
        <w:t>.</w:t>
      </w:r>
      <w:r w:rsidR="0070655A" w:rsidRPr="00FA2E2E">
        <w:rPr>
          <w:lang w:val="fr-FR"/>
        </w:rPr>
        <w:t xml:space="preserve"> Les sites présentant les risques les plus élevés peuvent être gérés en priorité et les sites présentant des risques faibles peuvent se voir allouer des ressources ultérieurement</w:t>
      </w:r>
      <w:r w:rsidR="00D31AFF" w:rsidRPr="00FA2E2E">
        <w:rPr>
          <w:lang w:val="fr-FR"/>
        </w:rPr>
        <w:t>.</w:t>
      </w:r>
    </w:p>
    <w:p w14:paraId="6764447C" w14:textId="29C171C2" w:rsidR="00D31AFF" w:rsidRPr="00FA2E2E" w:rsidRDefault="0070655A" w:rsidP="008E43CD">
      <w:pPr>
        <w:pStyle w:val="Normalnumber"/>
        <w:numPr>
          <w:ilvl w:val="0"/>
          <w:numId w:val="5"/>
        </w:numPr>
        <w:rPr>
          <w:lang w:val="fr-FR"/>
        </w:rPr>
      </w:pPr>
      <w:r w:rsidRPr="00FA2E2E">
        <w:rPr>
          <w:lang w:val="fr-FR"/>
        </w:rPr>
        <w:t>Les inventaires peuvent servir de « base de données vivante », en ce sens que des sites peuvent</w:t>
      </w:r>
      <w:r w:rsidR="00C03677" w:rsidRPr="00FA2E2E">
        <w:rPr>
          <w:lang w:val="fr-FR"/>
        </w:rPr>
        <w:t xml:space="preserve"> y</w:t>
      </w:r>
      <w:r w:rsidRPr="00FA2E2E">
        <w:rPr>
          <w:lang w:val="fr-FR"/>
        </w:rPr>
        <w:t xml:space="preserve"> être ajoutés lorsqu</w:t>
      </w:r>
      <w:r w:rsidR="00FE58E1" w:rsidRPr="00FA2E2E">
        <w:rPr>
          <w:lang w:val="fr-FR"/>
        </w:rPr>
        <w:t>’</w:t>
      </w:r>
      <w:r w:rsidRPr="00FA2E2E">
        <w:rPr>
          <w:lang w:val="fr-FR"/>
        </w:rPr>
        <w:t xml:space="preserve">ils sont découverts </w:t>
      </w:r>
      <w:r w:rsidR="00D31AFF" w:rsidRPr="00FA2E2E">
        <w:rPr>
          <w:lang w:val="fr-FR"/>
        </w:rPr>
        <w:t>(</w:t>
      </w:r>
      <w:r w:rsidRPr="00FA2E2E">
        <w:rPr>
          <w:lang w:val="fr-FR"/>
        </w:rPr>
        <w:t xml:space="preserve">notamment des anciens sites qui peuvent </w:t>
      </w:r>
      <w:r w:rsidR="005F0B6B" w:rsidRPr="00FA2E2E">
        <w:rPr>
          <w:lang w:val="fr-FR"/>
        </w:rPr>
        <w:t>être très vieux et</w:t>
      </w:r>
      <w:r w:rsidR="00C03677" w:rsidRPr="00FA2E2E">
        <w:rPr>
          <w:lang w:val="fr-FR"/>
        </w:rPr>
        <w:t xml:space="preserve"> non documentés et qui ont été trouvés </w:t>
      </w:r>
      <w:r w:rsidR="005F0B6B" w:rsidRPr="00FA2E2E">
        <w:rPr>
          <w:lang w:val="fr-FR"/>
        </w:rPr>
        <w:t>durant des travaux de construction sans rapport</w:t>
      </w:r>
      <w:r w:rsidR="00D31AFF" w:rsidRPr="00FA2E2E">
        <w:rPr>
          <w:lang w:val="fr-FR"/>
        </w:rPr>
        <w:t>)</w:t>
      </w:r>
      <w:r w:rsidR="0082625D" w:rsidRPr="00FA2E2E">
        <w:rPr>
          <w:lang w:val="fr-FR"/>
        </w:rPr>
        <w:t>.</w:t>
      </w:r>
      <w:r w:rsidR="005F0B6B" w:rsidRPr="00FA2E2E">
        <w:rPr>
          <w:lang w:val="fr-FR"/>
        </w:rPr>
        <w:t xml:space="preserve"> Des sites peuvent également être supprimés</w:t>
      </w:r>
      <w:r w:rsidR="0082625D" w:rsidRPr="00FA2E2E">
        <w:rPr>
          <w:lang w:val="fr-FR"/>
        </w:rPr>
        <w:t xml:space="preserve"> lorsqu</w:t>
      </w:r>
      <w:r w:rsidR="00FE58E1" w:rsidRPr="00FA2E2E">
        <w:rPr>
          <w:lang w:val="fr-FR"/>
        </w:rPr>
        <w:t>’</w:t>
      </w:r>
      <w:r w:rsidR="0082625D" w:rsidRPr="00FA2E2E">
        <w:rPr>
          <w:lang w:val="fr-FR"/>
        </w:rPr>
        <w:t>il a été établi qu</w:t>
      </w:r>
      <w:r w:rsidR="00FE58E1" w:rsidRPr="00FA2E2E">
        <w:rPr>
          <w:lang w:val="fr-FR"/>
        </w:rPr>
        <w:t>’</w:t>
      </w:r>
      <w:r w:rsidR="0082625D" w:rsidRPr="00FA2E2E">
        <w:rPr>
          <w:lang w:val="fr-FR"/>
        </w:rPr>
        <w:t>ils sont exempts de contamination ou ont été complètement remis en état</w:t>
      </w:r>
      <w:r w:rsidR="002A41F2" w:rsidRPr="00FA2E2E">
        <w:rPr>
          <w:lang w:val="fr-FR"/>
        </w:rPr>
        <w:t>,</w:t>
      </w:r>
      <w:r w:rsidR="0082625D" w:rsidRPr="00FA2E2E">
        <w:rPr>
          <w:lang w:val="fr-FR"/>
        </w:rPr>
        <w:t xml:space="preserve"> mais les Parties peuvent plutôt choisir de </w:t>
      </w:r>
      <w:r w:rsidR="00D033D6" w:rsidRPr="00FA2E2E">
        <w:rPr>
          <w:lang w:val="fr-FR"/>
        </w:rPr>
        <w:t>qualifier</w:t>
      </w:r>
      <w:r w:rsidR="0082625D" w:rsidRPr="00FA2E2E">
        <w:rPr>
          <w:lang w:val="fr-FR"/>
        </w:rPr>
        <w:t xml:space="preserve"> ces sites </w:t>
      </w:r>
      <w:r w:rsidR="00D033D6" w:rsidRPr="00FA2E2E">
        <w:rPr>
          <w:lang w:val="fr-FR"/>
        </w:rPr>
        <w:t>de « remis en état » ou « non contaminés » et de les laisser dans la base de données au cas où les avancées scientifiques nécessiteraient une réévaluation ultérieure. Une telle situation pourrait se produire, par exemple, si les limites acceptables d</w:t>
      </w:r>
      <w:r w:rsidR="00FE58E1" w:rsidRPr="00FA2E2E">
        <w:rPr>
          <w:lang w:val="fr-FR"/>
        </w:rPr>
        <w:t>’</w:t>
      </w:r>
      <w:r w:rsidR="00D033D6" w:rsidRPr="00FA2E2E">
        <w:rPr>
          <w:lang w:val="fr-FR"/>
        </w:rPr>
        <w:t xml:space="preserve">un contaminant donné étaient fortement révisées à la </w:t>
      </w:r>
      <w:r w:rsidR="00AB1671" w:rsidRPr="00FA2E2E">
        <w:rPr>
          <w:lang w:val="fr-FR"/>
        </w:rPr>
        <w:t>baisse</w:t>
      </w:r>
      <w:r w:rsidR="00D033D6" w:rsidRPr="00FA2E2E">
        <w:rPr>
          <w:lang w:val="fr-FR"/>
        </w:rPr>
        <w:t>, rendant un site « remis en état » à nouveau « contaminé » en cas de non-respect des nouveaux critères</w:t>
      </w:r>
      <w:r w:rsidR="00D31AFF" w:rsidRPr="00FA2E2E">
        <w:rPr>
          <w:lang w:val="fr-FR"/>
        </w:rPr>
        <w:t>.</w:t>
      </w:r>
    </w:p>
    <w:p w14:paraId="0CA42643" w14:textId="6E5C18C1" w:rsidR="00D31AFF" w:rsidRPr="00FA2E2E" w:rsidRDefault="00AB1671" w:rsidP="008E43CD">
      <w:pPr>
        <w:pStyle w:val="Normalnumber"/>
        <w:numPr>
          <w:ilvl w:val="0"/>
          <w:numId w:val="5"/>
        </w:numPr>
        <w:rPr>
          <w:lang w:val="fr-FR"/>
        </w:rPr>
      </w:pPr>
      <w:r w:rsidRPr="00FA2E2E">
        <w:rPr>
          <w:lang w:val="fr-FR"/>
        </w:rPr>
        <w:t xml:space="preserve">Les inventaires peuvent disposer de systèmes de classification interne </w:t>
      </w:r>
      <w:r w:rsidR="0064406B" w:rsidRPr="00FA2E2E">
        <w:rPr>
          <w:lang w:val="fr-FR"/>
        </w:rPr>
        <w:t xml:space="preserve">destinés à </w:t>
      </w:r>
      <w:r w:rsidRPr="00FA2E2E">
        <w:rPr>
          <w:lang w:val="fr-FR"/>
        </w:rPr>
        <w:t>aider les</w:t>
      </w:r>
      <w:r w:rsidR="00380F44" w:rsidRPr="00FA2E2E">
        <w:rPr>
          <w:lang w:val="fr-FR"/>
        </w:rPr>
        <w:t> </w:t>
      </w:r>
      <w:r w:rsidRPr="00FA2E2E">
        <w:rPr>
          <w:lang w:val="fr-FR"/>
        </w:rPr>
        <w:t>autorités dans</w:t>
      </w:r>
      <w:r w:rsidR="0064406B" w:rsidRPr="00FA2E2E">
        <w:rPr>
          <w:lang w:val="fr-FR"/>
        </w:rPr>
        <w:t xml:space="preserve"> l</w:t>
      </w:r>
      <w:r w:rsidR="00FE58E1" w:rsidRPr="00FA2E2E">
        <w:rPr>
          <w:lang w:val="fr-FR"/>
        </w:rPr>
        <w:t>’</w:t>
      </w:r>
      <w:r w:rsidR="0064406B" w:rsidRPr="00FA2E2E">
        <w:rPr>
          <w:lang w:val="fr-FR"/>
        </w:rPr>
        <w:t>octroi d</w:t>
      </w:r>
      <w:r w:rsidR="00FE58E1" w:rsidRPr="00FA2E2E">
        <w:rPr>
          <w:lang w:val="fr-FR"/>
        </w:rPr>
        <w:t>’</w:t>
      </w:r>
      <w:r w:rsidR="0064406B" w:rsidRPr="00FA2E2E">
        <w:rPr>
          <w:lang w:val="fr-FR"/>
        </w:rPr>
        <w:t>autorisations pour des projets de planification de l</w:t>
      </w:r>
      <w:r w:rsidR="00FE58E1" w:rsidRPr="00FA2E2E">
        <w:rPr>
          <w:lang w:val="fr-FR"/>
        </w:rPr>
        <w:t>’</w:t>
      </w:r>
      <w:r w:rsidR="0064406B" w:rsidRPr="00FA2E2E">
        <w:rPr>
          <w:lang w:val="fr-FR"/>
        </w:rPr>
        <w:t>occupation des sols et d</w:t>
      </w:r>
      <w:r w:rsidR="00FE58E1" w:rsidRPr="00FA2E2E">
        <w:rPr>
          <w:lang w:val="fr-FR"/>
        </w:rPr>
        <w:t>’</w:t>
      </w:r>
      <w:r w:rsidR="0064406B" w:rsidRPr="00FA2E2E">
        <w:rPr>
          <w:lang w:val="fr-FR"/>
        </w:rPr>
        <w:t>aménagement du territoire et à suivre l</w:t>
      </w:r>
      <w:r w:rsidR="00FE58E1" w:rsidRPr="00FA2E2E">
        <w:rPr>
          <w:lang w:val="fr-FR"/>
        </w:rPr>
        <w:t>’</w:t>
      </w:r>
      <w:r w:rsidR="0064406B" w:rsidRPr="00FA2E2E">
        <w:rPr>
          <w:lang w:val="fr-FR"/>
        </w:rPr>
        <w:t>évaluation et la gestion des sites.</w:t>
      </w:r>
      <w:r w:rsidR="00D31AFF" w:rsidRPr="00FA2E2E">
        <w:rPr>
          <w:lang w:val="fr-FR"/>
        </w:rPr>
        <w:t xml:space="preserve"> </w:t>
      </w:r>
      <w:r w:rsidR="0064406B" w:rsidRPr="00FA2E2E">
        <w:rPr>
          <w:lang w:val="fr-FR"/>
        </w:rPr>
        <w:t xml:space="preserve">Un exemple de système utilisé par une juridiction australienne </w:t>
      </w:r>
      <w:r w:rsidR="00372815" w:rsidRPr="00FA2E2E">
        <w:rPr>
          <w:lang w:val="fr-FR"/>
        </w:rPr>
        <w:t>emploie les sept classifications ci-après </w:t>
      </w:r>
      <w:r w:rsidR="00D31AFF" w:rsidRPr="00FA2E2E">
        <w:rPr>
          <w:lang w:val="fr-FR"/>
        </w:rPr>
        <w:t xml:space="preserve">: </w:t>
      </w:r>
    </w:p>
    <w:p w14:paraId="105C8A52" w14:textId="43DE8558" w:rsidR="00D31AFF" w:rsidRPr="00FA2E2E" w:rsidRDefault="00D31AFF" w:rsidP="008E43CD">
      <w:pPr>
        <w:pStyle w:val="Normalnumber"/>
        <w:numPr>
          <w:ilvl w:val="1"/>
          <w:numId w:val="5"/>
        </w:numPr>
        <w:rPr>
          <w:lang w:val="fr-FR"/>
        </w:rPr>
      </w:pPr>
      <w:r w:rsidRPr="00FA2E2E">
        <w:rPr>
          <w:lang w:val="fr-FR"/>
        </w:rPr>
        <w:t>Contamin</w:t>
      </w:r>
      <w:r w:rsidR="00372815" w:rsidRPr="00FA2E2E">
        <w:rPr>
          <w:lang w:val="fr-FR"/>
        </w:rPr>
        <w:t>é</w:t>
      </w:r>
      <w:r w:rsidRPr="00FA2E2E">
        <w:rPr>
          <w:lang w:val="fr-FR"/>
        </w:rPr>
        <w:t xml:space="preserve"> – </w:t>
      </w:r>
      <w:r w:rsidR="00372815" w:rsidRPr="00FA2E2E">
        <w:rPr>
          <w:lang w:val="fr-FR"/>
        </w:rPr>
        <w:t>remise en état requise</w:t>
      </w:r>
      <w:r w:rsidR="00A057E8" w:rsidRPr="00FA2E2E">
        <w:rPr>
          <w:lang w:val="fr-FR"/>
        </w:rPr>
        <w:t> ;</w:t>
      </w:r>
    </w:p>
    <w:p w14:paraId="4933252F" w14:textId="2EB8B9C4" w:rsidR="00D31AFF" w:rsidRPr="00FA2E2E" w:rsidRDefault="00D31AFF" w:rsidP="008E43CD">
      <w:pPr>
        <w:pStyle w:val="Normalnumber"/>
        <w:numPr>
          <w:ilvl w:val="1"/>
          <w:numId w:val="5"/>
        </w:numPr>
        <w:rPr>
          <w:lang w:val="fr-FR"/>
        </w:rPr>
      </w:pPr>
      <w:r w:rsidRPr="00FA2E2E">
        <w:rPr>
          <w:lang w:val="fr-FR"/>
        </w:rPr>
        <w:t>Contamin</w:t>
      </w:r>
      <w:r w:rsidR="00372815" w:rsidRPr="00FA2E2E">
        <w:rPr>
          <w:lang w:val="fr-FR"/>
        </w:rPr>
        <w:t>é</w:t>
      </w:r>
      <w:r w:rsidRPr="00FA2E2E">
        <w:rPr>
          <w:lang w:val="fr-FR"/>
        </w:rPr>
        <w:t xml:space="preserve"> – </w:t>
      </w:r>
      <w:r w:rsidR="00372815" w:rsidRPr="00FA2E2E">
        <w:rPr>
          <w:lang w:val="fr-FR"/>
        </w:rPr>
        <w:t>utilisation restreint</w:t>
      </w:r>
      <w:r w:rsidR="00FC50BD" w:rsidRPr="00FA2E2E">
        <w:rPr>
          <w:lang w:val="fr-FR"/>
        </w:rPr>
        <w:t>e</w:t>
      </w:r>
      <w:r w:rsidR="00A057E8" w:rsidRPr="00FA2E2E">
        <w:rPr>
          <w:lang w:val="fr-FR"/>
        </w:rPr>
        <w:t> ;</w:t>
      </w:r>
    </w:p>
    <w:p w14:paraId="4A265B28" w14:textId="0CE33388" w:rsidR="00D31AFF" w:rsidRPr="00FA2E2E" w:rsidRDefault="00372815" w:rsidP="008E43CD">
      <w:pPr>
        <w:pStyle w:val="Normalnumber"/>
        <w:numPr>
          <w:ilvl w:val="1"/>
          <w:numId w:val="5"/>
        </w:numPr>
        <w:rPr>
          <w:lang w:val="fr-FR"/>
        </w:rPr>
      </w:pPr>
      <w:r w:rsidRPr="00FA2E2E">
        <w:rPr>
          <w:lang w:val="fr-FR"/>
        </w:rPr>
        <w:t>Remis en état pour une utilisation restreinte</w:t>
      </w:r>
      <w:r w:rsidR="00A057E8" w:rsidRPr="00FA2E2E">
        <w:rPr>
          <w:lang w:val="fr-FR"/>
        </w:rPr>
        <w:t> ;</w:t>
      </w:r>
    </w:p>
    <w:p w14:paraId="3C83FAA1" w14:textId="510E270A" w:rsidR="00D31AFF" w:rsidRPr="00FA2E2E" w:rsidRDefault="00372815" w:rsidP="008E43CD">
      <w:pPr>
        <w:pStyle w:val="Normalnumber"/>
        <w:numPr>
          <w:ilvl w:val="1"/>
          <w:numId w:val="5"/>
        </w:numPr>
        <w:rPr>
          <w:lang w:val="fr-FR"/>
        </w:rPr>
      </w:pPr>
      <w:r w:rsidRPr="00FA2E2E">
        <w:rPr>
          <w:lang w:val="fr-FR"/>
        </w:rPr>
        <w:t>Potentiellement contaminé</w:t>
      </w:r>
      <w:r w:rsidR="00D31AFF" w:rsidRPr="00FA2E2E">
        <w:rPr>
          <w:lang w:val="fr-FR"/>
        </w:rPr>
        <w:t xml:space="preserve"> – investigation</w:t>
      </w:r>
      <w:r w:rsidRPr="00FA2E2E">
        <w:rPr>
          <w:lang w:val="fr-FR"/>
        </w:rPr>
        <w:t>s</w:t>
      </w:r>
      <w:r w:rsidR="00D31AFF" w:rsidRPr="00FA2E2E">
        <w:rPr>
          <w:lang w:val="fr-FR"/>
        </w:rPr>
        <w:t xml:space="preserve"> </w:t>
      </w:r>
      <w:r w:rsidRPr="00FA2E2E">
        <w:rPr>
          <w:lang w:val="fr-FR"/>
        </w:rPr>
        <w:t>requises</w:t>
      </w:r>
      <w:r w:rsidR="00A057E8" w:rsidRPr="00FA2E2E">
        <w:rPr>
          <w:lang w:val="fr-FR"/>
        </w:rPr>
        <w:t> ;</w:t>
      </w:r>
    </w:p>
    <w:p w14:paraId="2E32B7F3" w14:textId="0D1752EC" w:rsidR="00D31AFF" w:rsidRPr="00FA2E2E" w:rsidRDefault="00372815" w:rsidP="008E43CD">
      <w:pPr>
        <w:pStyle w:val="Normalnumber"/>
        <w:numPr>
          <w:ilvl w:val="1"/>
          <w:numId w:val="5"/>
        </w:numPr>
        <w:rPr>
          <w:lang w:val="fr-FR"/>
        </w:rPr>
      </w:pPr>
      <w:r w:rsidRPr="00FA2E2E">
        <w:rPr>
          <w:lang w:val="fr-FR"/>
        </w:rPr>
        <w:t>Décontaminé</w:t>
      </w:r>
      <w:r w:rsidR="00A057E8" w:rsidRPr="00FA2E2E">
        <w:rPr>
          <w:lang w:val="fr-FR"/>
        </w:rPr>
        <w:t> ;</w:t>
      </w:r>
    </w:p>
    <w:p w14:paraId="6AC7A75D" w14:textId="3763BAA5" w:rsidR="00D31AFF" w:rsidRPr="00FA2E2E" w:rsidRDefault="00D31AFF" w:rsidP="008E43CD">
      <w:pPr>
        <w:pStyle w:val="Normalnumber"/>
        <w:numPr>
          <w:ilvl w:val="1"/>
          <w:numId w:val="5"/>
        </w:numPr>
        <w:rPr>
          <w:lang w:val="fr-FR"/>
        </w:rPr>
      </w:pPr>
      <w:r w:rsidRPr="00FA2E2E">
        <w:rPr>
          <w:lang w:val="fr-FR"/>
        </w:rPr>
        <w:t>No</w:t>
      </w:r>
      <w:r w:rsidR="00372815" w:rsidRPr="00FA2E2E">
        <w:rPr>
          <w:lang w:val="fr-FR"/>
        </w:rPr>
        <w:t>n</w:t>
      </w:r>
      <w:r w:rsidRPr="00FA2E2E">
        <w:rPr>
          <w:lang w:val="fr-FR"/>
        </w:rPr>
        <w:t xml:space="preserve"> contamin</w:t>
      </w:r>
      <w:r w:rsidR="00372815" w:rsidRPr="00FA2E2E">
        <w:rPr>
          <w:lang w:val="fr-FR"/>
        </w:rPr>
        <w:t>é</w:t>
      </w:r>
      <w:r w:rsidRPr="00FA2E2E">
        <w:rPr>
          <w:lang w:val="fr-FR"/>
        </w:rPr>
        <w:t xml:space="preserve"> </w:t>
      </w:r>
      <w:r w:rsidR="00A159B5" w:rsidRPr="00FA2E2E">
        <w:rPr>
          <w:lang w:val="fr-FR"/>
        </w:rPr>
        <w:t xml:space="preserve">– </w:t>
      </w:r>
      <w:r w:rsidR="00372815" w:rsidRPr="00FA2E2E">
        <w:rPr>
          <w:lang w:val="fr-FR"/>
        </w:rPr>
        <w:t>utilisation non restreinte</w:t>
      </w:r>
      <w:r w:rsidR="00A057E8" w:rsidRPr="00FA2E2E">
        <w:rPr>
          <w:lang w:val="fr-FR"/>
        </w:rPr>
        <w:t> ;</w:t>
      </w:r>
    </w:p>
    <w:p w14:paraId="086C7C92" w14:textId="17CA654B" w:rsidR="00D31AFF" w:rsidRPr="00FA2E2E" w:rsidRDefault="006670A8" w:rsidP="008E43CD">
      <w:pPr>
        <w:pStyle w:val="Normalnumber"/>
        <w:numPr>
          <w:ilvl w:val="1"/>
          <w:numId w:val="5"/>
        </w:numPr>
        <w:rPr>
          <w:lang w:val="fr-FR"/>
        </w:rPr>
      </w:pPr>
      <w:r w:rsidRPr="00FA2E2E">
        <w:rPr>
          <w:lang w:val="fr-FR"/>
        </w:rPr>
        <w:t>Rapport non étayé</w:t>
      </w:r>
      <w:r w:rsidR="00D31AFF" w:rsidRPr="00FA2E2E">
        <w:rPr>
          <w:vertAlign w:val="superscript"/>
          <w:lang w:val="fr-FR"/>
        </w:rPr>
        <w:footnoteReference w:id="5"/>
      </w:r>
      <w:r w:rsidR="00A057E8" w:rsidRPr="00FA2E2E">
        <w:rPr>
          <w:lang w:val="fr-FR"/>
        </w:rPr>
        <w:t>.</w:t>
      </w:r>
    </w:p>
    <w:p w14:paraId="44F3A22A" w14:textId="19D01F00" w:rsidR="00D31AFF" w:rsidRPr="00FA2E2E" w:rsidRDefault="00EC2FAA" w:rsidP="008E43CD">
      <w:pPr>
        <w:pStyle w:val="Normalnumber"/>
        <w:numPr>
          <w:ilvl w:val="0"/>
          <w:numId w:val="5"/>
        </w:numPr>
        <w:rPr>
          <w:lang w:val="fr-FR"/>
        </w:rPr>
      </w:pPr>
      <w:r w:rsidRPr="00FA2E2E">
        <w:rPr>
          <w:lang w:val="fr-FR"/>
        </w:rPr>
        <w:t>Une approche innovante en matière d</w:t>
      </w:r>
      <w:r w:rsidR="00FE58E1" w:rsidRPr="00FA2E2E">
        <w:rPr>
          <w:lang w:val="fr-FR"/>
        </w:rPr>
        <w:t>’</w:t>
      </w:r>
      <w:r w:rsidRPr="00FA2E2E">
        <w:rPr>
          <w:lang w:val="fr-FR"/>
        </w:rPr>
        <w:t>analyse des inventaires consiste à combiner des données d</w:t>
      </w:r>
      <w:r w:rsidR="00FE58E1" w:rsidRPr="00FA2E2E">
        <w:rPr>
          <w:lang w:val="fr-FR"/>
        </w:rPr>
        <w:t>’</w:t>
      </w:r>
      <w:r w:rsidRPr="00FA2E2E">
        <w:rPr>
          <w:lang w:val="fr-FR"/>
        </w:rPr>
        <w:t>inventaire avec un système d</w:t>
      </w:r>
      <w:r w:rsidR="00FE58E1" w:rsidRPr="00FA2E2E">
        <w:rPr>
          <w:lang w:val="fr-FR"/>
        </w:rPr>
        <w:t>’</w:t>
      </w:r>
      <w:r w:rsidRPr="00FA2E2E">
        <w:rPr>
          <w:lang w:val="fr-FR"/>
        </w:rPr>
        <w:t xml:space="preserve">information géographique afin de </w:t>
      </w:r>
      <w:r w:rsidR="0076398C" w:rsidRPr="00FA2E2E">
        <w:rPr>
          <w:lang w:val="fr-FR"/>
        </w:rPr>
        <w:t>mettre à la disposition du public</w:t>
      </w:r>
      <w:r w:rsidRPr="00FA2E2E">
        <w:rPr>
          <w:lang w:val="fr-FR"/>
        </w:rPr>
        <w:t xml:space="preserve"> une</w:t>
      </w:r>
      <w:r w:rsidR="00380F44" w:rsidRPr="00FA2E2E">
        <w:rPr>
          <w:lang w:val="fr-FR"/>
        </w:rPr>
        <w:t> </w:t>
      </w:r>
      <w:r w:rsidRPr="00FA2E2E">
        <w:rPr>
          <w:lang w:val="fr-FR"/>
        </w:rPr>
        <w:t xml:space="preserve">base de données en ligne </w:t>
      </w:r>
      <w:r w:rsidR="0076398C" w:rsidRPr="00FA2E2E">
        <w:rPr>
          <w:lang w:val="fr-FR"/>
        </w:rPr>
        <w:t xml:space="preserve">montrant la </w:t>
      </w:r>
      <w:r w:rsidR="00234A50" w:rsidRPr="00FA2E2E">
        <w:rPr>
          <w:lang w:val="fr-FR"/>
        </w:rPr>
        <w:t>situation géographique</w:t>
      </w:r>
      <w:r w:rsidR="0076398C" w:rsidRPr="00FA2E2E">
        <w:rPr>
          <w:lang w:val="fr-FR"/>
        </w:rPr>
        <w:t xml:space="preserve"> des sites dont la contamination a été confirmée</w:t>
      </w:r>
      <w:r w:rsidR="00D31AFF" w:rsidRPr="00FA2E2E">
        <w:rPr>
          <w:rStyle w:val="FootnoteReference"/>
          <w:lang w:val="fr-FR"/>
        </w:rPr>
        <w:footnoteReference w:id="6"/>
      </w:r>
      <w:r w:rsidR="0076398C" w:rsidRPr="00FA2E2E">
        <w:rPr>
          <w:lang w:val="fr-FR"/>
        </w:rPr>
        <w:t>.</w:t>
      </w:r>
      <w:r w:rsidR="00D31AFF" w:rsidRPr="00FA2E2E">
        <w:rPr>
          <w:lang w:val="fr-FR"/>
        </w:rPr>
        <w:t xml:space="preserve"> </w:t>
      </w:r>
    </w:p>
    <w:p w14:paraId="51A0F6C7" w14:textId="123402EF" w:rsidR="00D31AFF" w:rsidRPr="00FA2E2E" w:rsidRDefault="00D31AFF" w:rsidP="00F93F76">
      <w:pPr>
        <w:pStyle w:val="CH3"/>
        <w:rPr>
          <w:bCs/>
          <w:lang w:val="fr-FR"/>
        </w:rPr>
      </w:pPr>
      <w:r w:rsidRPr="00FA2E2E">
        <w:rPr>
          <w:lang w:val="fr-FR"/>
        </w:rPr>
        <w:tab/>
      </w:r>
      <w:r w:rsidR="00152CD3" w:rsidRPr="00FA2E2E">
        <w:rPr>
          <w:lang w:val="fr-FR"/>
        </w:rPr>
        <w:t>3.</w:t>
      </w:r>
      <w:r w:rsidR="00152CD3" w:rsidRPr="00FA2E2E">
        <w:rPr>
          <w:lang w:val="fr-FR"/>
        </w:rPr>
        <w:tab/>
      </w:r>
      <w:r w:rsidR="0076398C" w:rsidRPr="00FA2E2E">
        <w:rPr>
          <w:lang w:val="fr-FR"/>
        </w:rPr>
        <w:t>Caractérisation des sites</w:t>
      </w:r>
    </w:p>
    <w:p w14:paraId="2728221C" w14:textId="32C2B981" w:rsidR="00D31AFF" w:rsidRPr="00FA2E2E" w:rsidRDefault="00234A50" w:rsidP="008E43CD">
      <w:pPr>
        <w:pStyle w:val="Normalnumber"/>
        <w:numPr>
          <w:ilvl w:val="0"/>
          <w:numId w:val="5"/>
        </w:numPr>
        <w:rPr>
          <w:lang w:val="fr-FR"/>
        </w:rPr>
      </w:pPr>
      <w:r w:rsidRPr="00FA2E2E">
        <w:rPr>
          <w:lang w:val="fr-FR"/>
        </w:rPr>
        <w:t>Une fois que des sites présumés contaminés ont été identifiés, des mesures peuvent être prises pour étudier plus avant ceux qui présentent le plus grand danger (en raison de facteurs liés à leur situation géographique, à des questions environnementales, etc.), afin de définir le niveau de contamination de chacun et les principaux risques qu</w:t>
      </w:r>
      <w:r w:rsidR="00FE58E1" w:rsidRPr="00FA2E2E">
        <w:rPr>
          <w:lang w:val="fr-FR"/>
        </w:rPr>
        <w:t>’</w:t>
      </w:r>
      <w:r w:rsidRPr="00FA2E2E">
        <w:rPr>
          <w:lang w:val="fr-FR"/>
        </w:rPr>
        <w:t>ils présentent</w:t>
      </w:r>
      <w:r w:rsidR="00D31AFF" w:rsidRPr="00FA2E2E">
        <w:rPr>
          <w:lang w:val="fr-FR"/>
        </w:rPr>
        <w:t xml:space="preserve">. </w:t>
      </w:r>
    </w:p>
    <w:p w14:paraId="49B162A4" w14:textId="0226768D" w:rsidR="00D31AFF" w:rsidRPr="00FA2E2E" w:rsidRDefault="009C1722" w:rsidP="008B22F8">
      <w:pPr>
        <w:pStyle w:val="Normalnumber"/>
        <w:keepNext/>
        <w:keepLines/>
        <w:rPr>
          <w:lang w:val="fr-FR"/>
        </w:rPr>
      </w:pPr>
      <w:r w:rsidRPr="00FA2E2E">
        <w:rPr>
          <w:lang w:val="fr-FR"/>
        </w:rPr>
        <w:t>Les</w:t>
      </w:r>
      <w:r w:rsidR="00D31AFF" w:rsidRPr="00FA2E2E">
        <w:rPr>
          <w:lang w:val="fr-FR"/>
        </w:rPr>
        <w:t xml:space="preserve"> </w:t>
      </w:r>
      <w:r w:rsidRPr="00FA2E2E">
        <w:rPr>
          <w:lang w:val="fr-FR"/>
        </w:rPr>
        <w:t xml:space="preserve">sites présumés contaminés </w:t>
      </w:r>
      <w:r w:rsidR="00765CC3" w:rsidRPr="00FA2E2E">
        <w:rPr>
          <w:lang w:val="fr-FR"/>
        </w:rPr>
        <w:t>qui ont été identifiés peuvent être caractérisés plus avant au moyen d</w:t>
      </w:r>
      <w:r w:rsidR="00FE58E1" w:rsidRPr="00FA2E2E">
        <w:rPr>
          <w:lang w:val="fr-FR"/>
        </w:rPr>
        <w:t>’</w:t>
      </w:r>
      <w:r w:rsidR="00765CC3" w:rsidRPr="00FA2E2E">
        <w:rPr>
          <w:lang w:val="fr-FR"/>
        </w:rPr>
        <w:t>investigations par étapes</w:t>
      </w:r>
      <w:r w:rsidR="00D31AFF" w:rsidRPr="00FA2E2E">
        <w:rPr>
          <w:lang w:val="fr-FR"/>
        </w:rPr>
        <w:t>.</w:t>
      </w:r>
      <w:r w:rsidR="00765CC3" w:rsidRPr="00FA2E2E">
        <w:rPr>
          <w:lang w:val="fr-FR"/>
        </w:rPr>
        <w:t xml:space="preserve"> Aux fins de la caractérisation des sites, les pays peuvent établir leurs priorités sur la base de l</w:t>
      </w:r>
      <w:r w:rsidR="00FE58E1" w:rsidRPr="00FA2E2E">
        <w:rPr>
          <w:lang w:val="fr-FR"/>
        </w:rPr>
        <w:t>’</w:t>
      </w:r>
      <w:r w:rsidR="00765CC3" w:rsidRPr="00FA2E2E">
        <w:rPr>
          <w:lang w:val="fr-FR"/>
        </w:rPr>
        <w:t>occupation passée des sols ou d</w:t>
      </w:r>
      <w:r w:rsidR="00FE58E1" w:rsidRPr="00FA2E2E">
        <w:rPr>
          <w:lang w:val="fr-FR"/>
        </w:rPr>
        <w:t>’</w:t>
      </w:r>
      <w:r w:rsidR="00765CC3" w:rsidRPr="00FA2E2E">
        <w:rPr>
          <w:lang w:val="fr-FR"/>
        </w:rPr>
        <w:t>autres indicateurs de contamination</w:t>
      </w:r>
      <w:r w:rsidR="00D31AFF" w:rsidRPr="00FA2E2E">
        <w:rPr>
          <w:lang w:val="fr-FR"/>
        </w:rPr>
        <w:t xml:space="preserve">. </w:t>
      </w:r>
      <w:r w:rsidR="00765CC3" w:rsidRPr="00FA2E2E">
        <w:rPr>
          <w:lang w:val="fr-FR"/>
        </w:rPr>
        <w:t>Les</w:t>
      </w:r>
      <w:r w:rsidR="00380F44" w:rsidRPr="00FA2E2E">
        <w:rPr>
          <w:lang w:val="fr-FR"/>
        </w:rPr>
        <w:t> </w:t>
      </w:r>
      <w:r w:rsidR="00765CC3" w:rsidRPr="00FA2E2E">
        <w:rPr>
          <w:lang w:val="fr-FR"/>
        </w:rPr>
        <w:t>pays ayant, sur leur territoire, d</w:t>
      </w:r>
      <w:r w:rsidR="00FE58E1" w:rsidRPr="00FA2E2E">
        <w:rPr>
          <w:lang w:val="fr-FR"/>
        </w:rPr>
        <w:t>’</w:t>
      </w:r>
      <w:r w:rsidR="00765CC3" w:rsidRPr="00FA2E2E">
        <w:rPr>
          <w:lang w:val="fr-FR"/>
        </w:rPr>
        <w:t>importantes activités</w:t>
      </w:r>
      <w:r w:rsidR="00D31AFF" w:rsidRPr="00FA2E2E">
        <w:rPr>
          <w:lang w:val="fr-FR"/>
        </w:rPr>
        <w:t xml:space="preserve"> </w:t>
      </w:r>
      <w:r w:rsidR="00765CC3" w:rsidRPr="00FA2E2E">
        <w:rPr>
          <w:lang w:val="fr-FR"/>
        </w:rPr>
        <w:t>d</w:t>
      </w:r>
      <w:r w:rsidR="00FE58E1" w:rsidRPr="00FA2E2E">
        <w:rPr>
          <w:lang w:val="fr-FR"/>
        </w:rPr>
        <w:t>’</w:t>
      </w:r>
      <w:r w:rsidR="00765CC3" w:rsidRPr="00FA2E2E">
        <w:rPr>
          <w:lang w:val="fr-FR"/>
        </w:rPr>
        <w:t>extraction minière artisanale et à petite échelle d</w:t>
      </w:r>
      <w:r w:rsidR="00FE58E1" w:rsidRPr="00FA2E2E">
        <w:rPr>
          <w:lang w:val="fr-FR"/>
        </w:rPr>
        <w:t>’</w:t>
      </w:r>
      <w:r w:rsidR="00765CC3" w:rsidRPr="00FA2E2E">
        <w:rPr>
          <w:lang w:val="fr-FR"/>
        </w:rPr>
        <w:t>or ou des</w:t>
      </w:r>
      <w:r w:rsidR="00B06929" w:rsidRPr="00FA2E2E">
        <w:rPr>
          <w:lang w:val="fr-FR"/>
        </w:rPr>
        <w:t xml:space="preserve"> usines de production de chlore-alcali</w:t>
      </w:r>
      <w:r w:rsidR="00765CC3" w:rsidRPr="00FA2E2E">
        <w:rPr>
          <w:lang w:val="fr-FR"/>
        </w:rPr>
        <w:t xml:space="preserve"> </w:t>
      </w:r>
      <w:r w:rsidR="00B06929" w:rsidRPr="00FA2E2E">
        <w:rPr>
          <w:lang w:val="fr-FR"/>
        </w:rPr>
        <w:t>par électrolyse à cathode de mercure mises hors service peuvent, par exemple, choisir d</w:t>
      </w:r>
      <w:r w:rsidR="00FE58E1" w:rsidRPr="00FA2E2E">
        <w:rPr>
          <w:lang w:val="fr-FR"/>
        </w:rPr>
        <w:t>’</w:t>
      </w:r>
      <w:r w:rsidR="00B06929" w:rsidRPr="00FA2E2E">
        <w:rPr>
          <w:lang w:val="fr-FR"/>
        </w:rPr>
        <w:t>accorder la priorité à ces secteurs</w:t>
      </w:r>
      <w:r w:rsidR="00D31AFF" w:rsidRPr="00FA2E2E">
        <w:rPr>
          <w:lang w:val="fr-FR"/>
        </w:rPr>
        <w:t xml:space="preserve">. </w:t>
      </w:r>
      <w:r w:rsidR="002631B1" w:rsidRPr="00FA2E2E">
        <w:rPr>
          <w:lang w:val="fr-FR"/>
        </w:rPr>
        <w:t>Un examen préliminaire des sites ou une évaluation initiale des sites, qui peut nécessiter des visites sur les sites et un examen des informations disponibles, peut représenter un instrument utile pour classer les sites par ordre de priorité</w:t>
      </w:r>
      <w:r w:rsidR="00D31AFF" w:rsidRPr="00FA2E2E">
        <w:rPr>
          <w:lang w:val="fr-FR"/>
        </w:rPr>
        <w:t xml:space="preserve"> </w:t>
      </w:r>
      <w:r w:rsidR="002631B1" w:rsidRPr="00FA2E2E">
        <w:rPr>
          <w:lang w:val="fr-FR"/>
        </w:rPr>
        <w:t>aux fins d</w:t>
      </w:r>
      <w:r w:rsidR="00FE58E1" w:rsidRPr="00FA2E2E">
        <w:rPr>
          <w:lang w:val="fr-FR"/>
        </w:rPr>
        <w:t>’</w:t>
      </w:r>
      <w:r w:rsidR="002631B1" w:rsidRPr="00FA2E2E">
        <w:rPr>
          <w:lang w:val="fr-FR"/>
        </w:rPr>
        <w:t>investigations plus approfondies</w:t>
      </w:r>
      <w:r w:rsidR="00D31AFF" w:rsidRPr="00FA2E2E">
        <w:rPr>
          <w:rStyle w:val="FootnoteReference"/>
          <w:lang w:val="fr-FR"/>
        </w:rPr>
        <w:footnoteReference w:id="7"/>
      </w:r>
      <w:r w:rsidR="002631B1" w:rsidRPr="00FA2E2E">
        <w:rPr>
          <w:lang w:val="fr-FR"/>
        </w:rPr>
        <w:t>.</w:t>
      </w:r>
      <w:r w:rsidR="00152CD3" w:rsidRPr="00FA2E2E">
        <w:rPr>
          <w:lang w:val="fr-FR"/>
        </w:rPr>
        <w:t xml:space="preserve"> </w:t>
      </w:r>
    </w:p>
    <w:p w14:paraId="3521F895" w14:textId="221E33A2" w:rsidR="00D31AFF" w:rsidRPr="00FA2E2E" w:rsidRDefault="00885BC9" w:rsidP="008E43CD">
      <w:pPr>
        <w:pStyle w:val="Normalnumber"/>
        <w:numPr>
          <w:ilvl w:val="0"/>
          <w:numId w:val="5"/>
        </w:numPr>
        <w:rPr>
          <w:lang w:val="fr-FR"/>
        </w:rPr>
      </w:pPr>
      <w:r w:rsidRPr="00FA2E2E">
        <w:rPr>
          <w:lang w:val="fr-FR"/>
        </w:rPr>
        <w:t>Il peut être utile d</w:t>
      </w:r>
      <w:r w:rsidR="00FE58E1" w:rsidRPr="00FA2E2E">
        <w:rPr>
          <w:lang w:val="fr-FR"/>
        </w:rPr>
        <w:t>’</w:t>
      </w:r>
      <w:r w:rsidRPr="00FA2E2E">
        <w:rPr>
          <w:lang w:val="fr-FR"/>
        </w:rPr>
        <w:t xml:space="preserve">élaborer un </w:t>
      </w:r>
      <w:bookmarkStart w:id="18" w:name="_Hlk20822938"/>
      <w:r w:rsidRPr="00FA2E2E">
        <w:rPr>
          <w:lang w:val="fr-FR"/>
        </w:rPr>
        <w:t xml:space="preserve">modèle conceptuel </w:t>
      </w:r>
      <w:r w:rsidR="00B0611F" w:rsidRPr="00FA2E2E">
        <w:rPr>
          <w:lang w:val="fr-FR"/>
        </w:rPr>
        <w:t>de</w:t>
      </w:r>
      <w:r w:rsidRPr="00FA2E2E">
        <w:rPr>
          <w:lang w:val="fr-FR"/>
        </w:rPr>
        <w:t xml:space="preserve"> site</w:t>
      </w:r>
      <w:bookmarkEnd w:id="18"/>
      <w:r w:rsidR="00D31AFF" w:rsidRPr="00FA2E2E">
        <w:rPr>
          <w:rStyle w:val="FootnoteReference"/>
          <w:lang w:val="fr-FR"/>
        </w:rPr>
        <w:footnoteReference w:id="8"/>
      </w:r>
      <w:r w:rsidRPr="00FA2E2E">
        <w:rPr>
          <w:lang w:val="fr-FR"/>
        </w:rPr>
        <w:t>.</w:t>
      </w:r>
      <w:r w:rsidR="00D31AFF" w:rsidRPr="00FA2E2E">
        <w:rPr>
          <w:lang w:val="fr-FR"/>
        </w:rPr>
        <w:t xml:space="preserve"> </w:t>
      </w:r>
      <w:r w:rsidRPr="00FA2E2E">
        <w:rPr>
          <w:lang w:val="fr-FR"/>
        </w:rPr>
        <w:t>Il s</w:t>
      </w:r>
      <w:r w:rsidR="00FE58E1" w:rsidRPr="00FA2E2E">
        <w:rPr>
          <w:lang w:val="fr-FR"/>
        </w:rPr>
        <w:t>’</w:t>
      </w:r>
      <w:r w:rsidRPr="00FA2E2E">
        <w:rPr>
          <w:lang w:val="fr-FR"/>
        </w:rPr>
        <w:t>agit d</w:t>
      </w:r>
      <w:r w:rsidR="00FE58E1" w:rsidRPr="00FA2E2E">
        <w:rPr>
          <w:lang w:val="fr-FR"/>
        </w:rPr>
        <w:t>’</w:t>
      </w:r>
      <w:r w:rsidRPr="00FA2E2E">
        <w:rPr>
          <w:lang w:val="fr-FR"/>
        </w:rPr>
        <w:t>une représentation visuelle et d</w:t>
      </w:r>
      <w:r w:rsidR="00FE58E1" w:rsidRPr="00FA2E2E">
        <w:rPr>
          <w:lang w:val="fr-FR"/>
        </w:rPr>
        <w:t>’</w:t>
      </w:r>
      <w:r w:rsidRPr="00FA2E2E">
        <w:rPr>
          <w:lang w:val="fr-FR"/>
        </w:rPr>
        <w:t>une description narrative des processus physiques, chimiques et biologiques qui peuvent se</w:t>
      </w:r>
      <w:r w:rsidR="00BD0B37" w:rsidRPr="00FA2E2E">
        <w:rPr>
          <w:lang w:val="fr-FR"/>
        </w:rPr>
        <w:t> </w:t>
      </w:r>
      <w:r w:rsidRPr="00FA2E2E">
        <w:rPr>
          <w:lang w:val="fr-FR"/>
        </w:rPr>
        <w:t>produire, se produisent ou se sont produits sur un site</w:t>
      </w:r>
      <w:r w:rsidR="00D31AFF" w:rsidRPr="00FA2E2E">
        <w:rPr>
          <w:lang w:val="fr-FR"/>
        </w:rPr>
        <w:t>.</w:t>
      </w:r>
      <w:r w:rsidR="002E7CEF" w:rsidRPr="00FA2E2E">
        <w:rPr>
          <w:lang w:val="fr-FR"/>
        </w:rPr>
        <w:t xml:space="preserve"> </w:t>
      </w:r>
      <w:r w:rsidR="00160399" w:rsidRPr="00FA2E2E">
        <w:rPr>
          <w:lang w:val="fr-FR"/>
        </w:rPr>
        <w:t>Un tel</w:t>
      </w:r>
      <w:r w:rsidRPr="00FA2E2E">
        <w:rPr>
          <w:lang w:val="fr-FR"/>
        </w:rPr>
        <w:t xml:space="preserve"> modèle montre </w:t>
      </w:r>
      <w:r w:rsidR="00160399" w:rsidRPr="00FA2E2E">
        <w:rPr>
          <w:lang w:val="fr-FR"/>
        </w:rPr>
        <w:t>les</w:t>
      </w:r>
      <w:r w:rsidR="002E7CEF" w:rsidRPr="00FA2E2E">
        <w:rPr>
          <w:lang w:val="fr-FR"/>
        </w:rPr>
        <w:t xml:space="preserve"> sources </w:t>
      </w:r>
      <w:r w:rsidR="00160399" w:rsidRPr="00FA2E2E">
        <w:rPr>
          <w:lang w:val="fr-FR"/>
        </w:rPr>
        <w:t>de</w:t>
      </w:r>
      <w:r w:rsidR="002E7CEF" w:rsidRPr="00FA2E2E">
        <w:rPr>
          <w:lang w:val="fr-FR"/>
        </w:rPr>
        <w:t xml:space="preserve"> contamination (</w:t>
      </w:r>
      <w:r w:rsidR="00160399" w:rsidRPr="00FA2E2E">
        <w:rPr>
          <w:lang w:val="fr-FR"/>
        </w:rPr>
        <w:t>potentielles et confirmées</w:t>
      </w:r>
      <w:r w:rsidR="002E7CEF" w:rsidRPr="00FA2E2E">
        <w:rPr>
          <w:lang w:val="fr-FR"/>
        </w:rPr>
        <w:t>)</w:t>
      </w:r>
      <w:r w:rsidR="00E745D9" w:rsidRPr="00FA2E2E">
        <w:rPr>
          <w:lang w:val="fr-FR"/>
        </w:rPr>
        <w:t xml:space="preserve"> </w:t>
      </w:r>
      <w:r w:rsidR="00160399" w:rsidRPr="00FA2E2E">
        <w:rPr>
          <w:lang w:val="fr-FR"/>
        </w:rPr>
        <w:t>ainsi que les voies d</w:t>
      </w:r>
      <w:r w:rsidR="00FE58E1" w:rsidRPr="00FA2E2E">
        <w:rPr>
          <w:lang w:val="fr-FR"/>
        </w:rPr>
        <w:t>’</w:t>
      </w:r>
      <w:r w:rsidR="00160399" w:rsidRPr="00FA2E2E">
        <w:rPr>
          <w:lang w:val="fr-FR"/>
        </w:rPr>
        <w:t>exposition des récepteurs identifiés</w:t>
      </w:r>
      <w:r w:rsidR="002E7CEF" w:rsidRPr="00FA2E2E">
        <w:rPr>
          <w:lang w:val="fr-FR"/>
        </w:rPr>
        <w:t xml:space="preserve"> (actu</w:t>
      </w:r>
      <w:r w:rsidR="00160399" w:rsidRPr="00FA2E2E">
        <w:rPr>
          <w:lang w:val="fr-FR"/>
        </w:rPr>
        <w:t>e</w:t>
      </w:r>
      <w:r w:rsidR="002E7CEF" w:rsidRPr="00FA2E2E">
        <w:rPr>
          <w:lang w:val="fr-FR"/>
        </w:rPr>
        <w:t>l</w:t>
      </w:r>
      <w:r w:rsidR="00160399" w:rsidRPr="00FA2E2E">
        <w:rPr>
          <w:lang w:val="fr-FR"/>
        </w:rPr>
        <w:t>s</w:t>
      </w:r>
      <w:r w:rsidR="002E7CEF" w:rsidRPr="00FA2E2E">
        <w:rPr>
          <w:lang w:val="fr-FR"/>
        </w:rPr>
        <w:t xml:space="preserve"> o</w:t>
      </w:r>
      <w:r w:rsidR="00160399" w:rsidRPr="00FA2E2E">
        <w:rPr>
          <w:lang w:val="fr-FR"/>
        </w:rPr>
        <w:t>u</w:t>
      </w:r>
      <w:r w:rsidR="002E7CEF" w:rsidRPr="00FA2E2E">
        <w:rPr>
          <w:lang w:val="fr-FR"/>
        </w:rPr>
        <w:t xml:space="preserve"> futur</w:t>
      </w:r>
      <w:r w:rsidR="00160399" w:rsidRPr="00FA2E2E">
        <w:rPr>
          <w:lang w:val="fr-FR"/>
        </w:rPr>
        <w:t>s</w:t>
      </w:r>
      <w:r w:rsidR="002E7CEF" w:rsidRPr="00FA2E2E">
        <w:rPr>
          <w:lang w:val="fr-FR"/>
        </w:rPr>
        <w:t>).</w:t>
      </w:r>
      <w:r w:rsidR="00D31AFF" w:rsidRPr="00FA2E2E">
        <w:rPr>
          <w:lang w:val="fr-FR"/>
        </w:rPr>
        <w:t xml:space="preserve"> </w:t>
      </w:r>
      <w:r w:rsidR="00160399" w:rsidRPr="00FA2E2E">
        <w:rPr>
          <w:lang w:val="fr-FR"/>
        </w:rPr>
        <w:t>Il peut comprendre les éléments spécifiques ci-après</w:t>
      </w:r>
      <w:r w:rsidR="00D31AFF" w:rsidRPr="00FA2E2E">
        <w:rPr>
          <w:lang w:val="fr-FR"/>
        </w:rPr>
        <w:t xml:space="preserve"> (CCME, 2016)</w:t>
      </w:r>
      <w:r w:rsidR="00D31AFF" w:rsidRPr="00FA2E2E">
        <w:rPr>
          <w:rStyle w:val="FootnoteReference"/>
          <w:lang w:val="fr-FR"/>
        </w:rPr>
        <w:footnoteReference w:id="9"/>
      </w:r>
      <w:r w:rsidR="00160399" w:rsidRPr="00FA2E2E">
        <w:rPr>
          <w:lang w:val="fr-FR"/>
        </w:rPr>
        <w:t> :</w:t>
      </w:r>
      <w:r w:rsidR="00D31AFF" w:rsidRPr="00FA2E2E">
        <w:rPr>
          <w:lang w:val="fr-FR"/>
        </w:rPr>
        <w:t xml:space="preserve"> </w:t>
      </w:r>
    </w:p>
    <w:p w14:paraId="734A3F26" w14:textId="58C8B10A" w:rsidR="00D31AFF" w:rsidRPr="00FA2E2E" w:rsidRDefault="00160399" w:rsidP="008E43CD">
      <w:pPr>
        <w:pStyle w:val="Normalnumber"/>
        <w:numPr>
          <w:ilvl w:val="1"/>
          <w:numId w:val="5"/>
        </w:numPr>
        <w:rPr>
          <w:lang w:val="fr-FR"/>
        </w:rPr>
      </w:pPr>
      <w:r w:rsidRPr="00FA2E2E">
        <w:rPr>
          <w:lang w:val="fr-FR"/>
        </w:rPr>
        <w:t xml:space="preserve">Une </w:t>
      </w:r>
      <w:r w:rsidR="005A12F7" w:rsidRPr="00FA2E2E">
        <w:rPr>
          <w:lang w:val="fr-FR"/>
        </w:rPr>
        <w:t>synthèse</w:t>
      </w:r>
      <w:r w:rsidRPr="00FA2E2E">
        <w:rPr>
          <w:lang w:val="fr-FR"/>
        </w:rPr>
        <w:t xml:space="preserve"> des utilisations passées, actuelles et futures prévues des sols</w:t>
      </w:r>
      <w:r w:rsidR="005A12F7" w:rsidRPr="00FA2E2E">
        <w:rPr>
          <w:lang w:val="fr-FR"/>
        </w:rPr>
        <w:t> </w:t>
      </w:r>
      <w:r w:rsidR="00D31AFF" w:rsidRPr="00FA2E2E">
        <w:rPr>
          <w:lang w:val="fr-FR"/>
        </w:rPr>
        <w:t>;</w:t>
      </w:r>
    </w:p>
    <w:p w14:paraId="0265788A" w14:textId="3DB9A5A2" w:rsidR="00D31AFF" w:rsidRPr="00FA2E2E" w:rsidRDefault="005A12F7" w:rsidP="008E43CD">
      <w:pPr>
        <w:pStyle w:val="Normalnumber"/>
        <w:numPr>
          <w:ilvl w:val="1"/>
          <w:numId w:val="5"/>
        </w:numPr>
        <w:rPr>
          <w:lang w:val="fr-FR"/>
        </w:rPr>
      </w:pPr>
      <w:r w:rsidRPr="00FA2E2E">
        <w:rPr>
          <w:lang w:val="fr-FR"/>
        </w:rPr>
        <w:t>Une description détaillée du site et de son environnement physique, qui est utilisée pour</w:t>
      </w:r>
      <w:r w:rsidR="00D31AFF" w:rsidRPr="00FA2E2E">
        <w:rPr>
          <w:lang w:val="fr-FR"/>
        </w:rPr>
        <w:t xml:space="preserve"> </w:t>
      </w:r>
      <w:r w:rsidRPr="00FA2E2E">
        <w:rPr>
          <w:lang w:val="fr-FR"/>
        </w:rPr>
        <w:t>formuler des hypothèses concernant les rejets et</w:t>
      </w:r>
      <w:r w:rsidR="00D31AFF" w:rsidRPr="00FA2E2E">
        <w:rPr>
          <w:lang w:val="fr-FR"/>
        </w:rPr>
        <w:t xml:space="preserve"> </w:t>
      </w:r>
      <w:r w:rsidRPr="00FA2E2E">
        <w:rPr>
          <w:lang w:val="fr-FR"/>
        </w:rPr>
        <w:t>le devenir final de la contamination sur le site </w:t>
      </w:r>
      <w:r w:rsidR="00D31AFF" w:rsidRPr="00FA2E2E">
        <w:rPr>
          <w:lang w:val="fr-FR"/>
        </w:rPr>
        <w:t>;</w:t>
      </w:r>
    </w:p>
    <w:p w14:paraId="09CDF09F" w14:textId="2E408598" w:rsidR="00D31AFF" w:rsidRPr="00FA2E2E" w:rsidRDefault="005A12F7" w:rsidP="008E43CD">
      <w:pPr>
        <w:pStyle w:val="Normalnumber"/>
        <w:numPr>
          <w:ilvl w:val="1"/>
          <w:numId w:val="5"/>
        </w:numPr>
        <w:rPr>
          <w:lang w:val="fr-FR"/>
        </w:rPr>
      </w:pPr>
      <w:r w:rsidRPr="00FA2E2E">
        <w:rPr>
          <w:lang w:val="fr-FR"/>
        </w:rPr>
        <w:t>Les s</w:t>
      </w:r>
      <w:r w:rsidR="00D31AFF" w:rsidRPr="00FA2E2E">
        <w:rPr>
          <w:lang w:val="fr-FR"/>
        </w:rPr>
        <w:t xml:space="preserve">ources </w:t>
      </w:r>
      <w:r w:rsidRPr="00FA2E2E">
        <w:rPr>
          <w:lang w:val="fr-FR"/>
        </w:rPr>
        <w:t>de</w:t>
      </w:r>
      <w:r w:rsidR="00D31AFF" w:rsidRPr="00FA2E2E">
        <w:rPr>
          <w:lang w:val="fr-FR"/>
        </w:rPr>
        <w:t xml:space="preserve"> contamination </w:t>
      </w:r>
      <w:r w:rsidRPr="00FA2E2E">
        <w:rPr>
          <w:lang w:val="fr-FR"/>
        </w:rPr>
        <w:t>sur le</w:t>
      </w:r>
      <w:r w:rsidR="00D31AFF" w:rsidRPr="00FA2E2E">
        <w:rPr>
          <w:lang w:val="fr-FR"/>
        </w:rPr>
        <w:t xml:space="preserve"> site, </w:t>
      </w:r>
      <w:r w:rsidR="0013511F" w:rsidRPr="00FA2E2E">
        <w:rPr>
          <w:lang w:val="fr-FR"/>
        </w:rPr>
        <w:t>les produits chimiques potentiellement préoccupants et les milieux</w:t>
      </w:r>
      <w:r w:rsidR="00D31AFF" w:rsidRPr="00FA2E2E">
        <w:rPr>
          <w:lang w:val="fr-FR"/>
        </w:rPr>
        <w:t xml:space="preserve"> (</w:t>
      </w:r>
      <w:r w:rsidR="0013511F" w:rsidRPr="00FA2E2E">
        <w:rPr>
          <w:lang w:val="fr-FR"/>
        </w:rPr>
        <w:t>sols, eaux souterraines, eaux de surface, sédiments, vapeurs émanant du sol, air intérieur et extérieur, aliments cultivés localement, biote</w:t>
      </w:r>
      <w:r w:rsidR="00D31AFF" w:rsidRPr="00FA2E2E">
        <w:rPr>
          <w:lang w:val="fr-FR"/>
        </w:rPr>
        <w:t xml:space="preserve">) </w:t>
      </w:r>
      <w:r w:rsidR="0013511F" w:rsidRPr="00FA2E2E">
        <w:rPr>
          <w:lang w:val="fr-FR"/>
        </w:rPr>
        <w:t>qui peuvent être touchés </w:t>
      </w:r>
      <w:r w:rsidR="00D31AFF" w:rsidRPr="00FA2E2E">
        <w:rPr>
          <w:lang w:val="fr-FR"/>
        </w:rPr>
        <w:t>;</w:t>
      </w:r>
    </w:p>
    <w:p w14:paraId="3C94B6DE" w14:textId="1BD82D73" w:rsidR="00D31AFF" w:rsidRPr="00FA2E2E" w:rsidRDefault="0013511F" w:rsidP="008E43CD">
      <w:pPr>
        <w:pStyle w:val="Normalnumber"/>
        <w:numPr>
          <w:ilvl w:val="1"/>
          <w:numId w:val="5"/>
        </w:numPr>
        <w:rPr>
          <w:lang w:val="fr-FR"/>
        </w:rPr>
      </w:pPr>
      <w:r w:rsidRPr="00FA2E2E">
        <w:rPr>
          <w:lang w:val="fr-FR"/>
        </w:rPr>
        <w:t>La répartition</w:t>
      </w:r>
      <w:r w:rsidR="00D31AFF" w:rsidRPr="00FA2E2E">
        <w:rPr>
          <w:lang w:val="fr-FR"/>
        </w:rPr>
        <w:t xml:space="preserve"> </w:t>
      </w:r>
      <w:r w:rsidRPr="00FA2E2E">
        <w:rPr>
          <w:lang w:val="fr-FR"/>
        </w:rPr>
        <w:t>et la forme chimique</w:t>
      </w:r>
      <w:r w:rsidR="00B04DC7" w:rsidRPr="00FA2E2E">
        <w:rPr>
          <w:lang w:val="fr-FR"/>
        </w:rPr>
        <w:t xml:space="preserve"> </w:t>
      </w:r>
      <w:r w:rsidRPr="00FA2E2E">
        <w:rPr>
          <w:lang w:val="fr-FR"/>
        </w:rPr>
        <w:t>des</w:t>
      </w:r>
      <w:r w:rsidR="00D31AFF" w:rsidRPr="00FA2E2E">
        <w:rPr>
          <w:lang w:val="fr-FR"/>
        </w:rPr>
        <w:t xml:space="preserve"> </w:t>
      </w:r>
      <w:r w:rsidR="00B04DC7" w:rsidRPr="00FA2E2E">
        <w:rPr>
          <w:lang w:val="fr-FR"/>
        </w:rPr>
        <w:t xml:space="preserve">contaminants </w:t>
      </w:r>
      <w:r w:rsidRPr="00FA2E2E">
        <w:rPr>
          <w:lang w:val="fr-FR"/>
        </w:rPr>
        <w:t>dans chaque milieu</w:t>
      </w:r>
      <w:r w:rsidR="00313017" w:rsidRPr="00FA2E2E">
        <w:rPr>
          <w:lang w:val="fr-FR"/>
        </w:rPr>
        <w:t>,</w:t>
      </w:r>
      <w:r w:rsidRPr="00FA2E2E">
        <w:rPr>
          <w:lang w:val="fr-FR"/>
        </w:rPr>
        <w:t xml:space="preserve"> y compris des</w:t>
      </w:r>
      <w:r w:rsidR="00BD0B37" w:rsidRPr="00FA2E2E">
        <w:rPr>
          <w:lang w:val="fr-FR"/>
        </w:rPr>
        <w:t> </w:t>
      </w:r>
      <w:r w:rsidRPr="00FA2E2E">
        <w:rPr>
          <w:lang w:val="fr-FR"/>
        </w:rPr>
        <w:t>informations sur la concentration, la masse et/ou le flux </w:t>
      </w:r>
      <w:r w:rsidR="00D31AFF" w:rsidRPr="00FA2E2E">
        <w:rPr>
          <w:lang w:val="fr-FR"/>
        </w:rPr>
        <w:t>;</w:t>
      </w:r>
    </w:p>
    <w:p w14:paraId="30382879" w14:textId="4D1B5632" w:rsidR="00D31AFF" w:rsidRPr="00FA2E2E" w:rsidRDefault="0013511F" w:rsidP="008E43CD">
      <w:pPr>
        <w:pStyle w:val="Normalnumber"/>
        <w:numPr>
          <w:ilvl w:val="1"/>
          <w:numId w:val="5"/>
        </w:numPr>
        <w:rPr>
          <w:lang w:val="fr-FR"/>
        </w:rPr>
      </w:pPr>
      <w:r w:rsidRPr="00FA2E2E">
        <w:rPr>
          <w:lang w:val="fr-FR"/>
        </w:rPr>
        <w:t>La manière dont les</w:t>
      </w:r>
      <w:r w:rsidR="00D31AFF" w:rsidRPr="00FA2E2E">
        <w:rPr>
          <w:lang w:val="fr-FR"/>
        </w:rPr>
        <w:t xml:space="preserve"> contaminants </w:t>
      </w:r>
      <w:r w:rsidRPr="00FA2E2E">
        <w:rPr>
          <w:lang w:val="fr-FR"/>
        </w:rPr>
        <w:t>peuvent migrer</w:t>
      </w:r>
      <w:r w:rsidR="00515B37" w:rsidRPr="00FA2E2E">
        <w:rPr>
          <w:lang w:val="fr-FR"/>
        </w:rPr>
        <w:t xml:space="preserve"> de la</w:t>
      </w:r>
      <w:r w:rsidR="005A1C6C" w:rsidRPr="00FA2E2E">
        <w:rPr>
          <w:lang w:val="fr-FR"/>
        </w:rPr>
        <w:t xml:space="preserve"> </w:t>
      </w:r>
      <w:r w:rsidR="00515B37" w:rsidRPr="00FA2E2E">
        <w:rPr>
          <w:lang w:val="fr-FR"/>
        </w:rPr>
        <w:t>(des) source(s), les milieux concernés et les voies</w:t>
      </w:r>
      <w:r w:rsidR="00D31AFF" w:rsidRPr="00FA2E2E">
        <w:rPr>
          <w:lang w:val="fr-FR"/>
        </w:rPr>
        <w:t xml:space="preserve"> </w:t>
      </w:r>
      <w:r w:rsidR="00515B37" w:rsidRPr="00FA2E2E">
        <w:rPr>
          <w:lang w:val="fr-FR"/>
        </w:rPr>
        <w:t>par lesquelles la migration et l</w:t>
      </w:r>
      <w:r w:rsidR="00FE58E1" w:rsidRPr="00FA2E2E">
        <w:rPr>
          <w:lang w:val="fr-FR"/>
        </w:rPr>
        <w:t>’</w:t>
      </w:r>
      <w:r w:rsidR="00515B37" w:rsidRPr="00FA2E2E">
        <w:rPr>
          <w:lang w:val="fr-FR"/>
        </w:rPr>
        <w:t>exposition des éventuels récepteurs humains ou écologiques pourraient se produire, ainsi que les informations nécessaires pour interpréter la migration des contaminants, notamment la géologie, l</w:t>
      </w:r>
      <w:r w:rsidR="00FE58E1" w:rsidRPr="00FA2E2E">
        <w:rPr>
          <w:lang w:val="fr-FR"/>
        </w:rPr>
        <w:t>’</w:t>
      </w:r>
      <w:r w:rsidR="00515B37" w:rsidRPr="00FA2E2E">
        <w:rPr>
          <w:lang w:val="fr-FR"/>
        </w:rPr>
        <w:t>hydrogéologie, l</w:t>
      </w:r>
      <w:r w:rsidR="00FE58E1" w:rsidRPr="00FA2E2E">
        <w:rPr>
          <w:lang w:val="fr-FR"/>
        </w:rPr>
        <w:t>’</w:t>
      </w:r>
      <w:r w:rsidR="00515B37" w:rsidRPr="00FA2E2E">
        <w:rPr>
          <w:lang w:val="fr-FR"/>
        </w:rPr>
        <w:t>hydrologie et les éventuelles voies préférentielles </w:t>
      </w:r>
      <w:r w:rsidR="00D31AFF" w:rsidRPr="00FA2E2E">
        <w:rPr>
          <w:lang w:val="fr-FR"/>
        </w:rPr>
        <w:t>;</w:t>
      </w:r>
    </w:p>
    <w:p w14:paraId="75757F99" w14:textId="325CF867" w:rsidR="00D31AFF" w:rsidRPr="00FA2E2E" w:rsidRDefault="00515B37" w:rsidP="008E43CD">
      <w:pPr>
        <w:pStyle w:val="Normalnumber"/>
        <w:numPr>
          <w:ilvl w:val="1"/>
          <w:numId w:val="5"/>
        </w:numPr>
        <w:rPr>
          <w:lang w:val="fr-FR"/>
        </w:rPr>
      </w:pPr>
      <w:r w:rsidRPr="00FA2E2E">
        <w:rPr>
          <w:lang w:val="fr-FR"/>
        </w:rPr>
        <w:t xml:space="preserve">Des informations </w:t>
      </w:r>
      <w:r w:rsidR="00344420" w:rsidRPr="00FA2E2E">
        <w:rPr>
          <w:lang w:val="fr-FR"/>
        </w:rPr>
        <w:t>concernant les conditions climatiques et météorologiques qui peuvent avoir une incidence sur la répartition et la migration des contaminants </w:t>
      </w:r>
      <w:r w:rsidR="00D31AFF" w:rsidRPr="00FA2E2E">
        <w:rPr>
          <w:lang w:val="fr-FR"/>
        </w:rPr>
        <w:t>;</w:t>
      </w:r>
    </w:p>
    <w:p w14:paraId="37AD0206" w14:textId="5C4F9AF4" w:rsidR="00D31AFF" w:rsidRPr="00FA2E2E" w:rsidRDefault="000F71AA" w:rsidP="008E43CD">
      <w:pPr>
        <w:pStyle w:val="Normalnumber"/>
        <w:numPr>
          <w:ilvl w:val="1"/>
          <w:numId w:val="5"/>
        </w:numPr>
        <w:rPr>
          <w:lang w:val="fr-FR"/>
        </w:rPr>
      </w:pPr>
      <w:r w:rsidRPr="00FA2E2E">
        <w:rPr>
          <w:lang w:val="fr-FR"/>
        </w:rPr>
        <w:t>S</w:t>
      </w:r>
      <w:r w:rsidR="00FE58E1" w:rsidRPr="00FA2E2E">
        <w:rPr>
          <w:lang w:val="fr-FR"/>
        </w:rPr>
        <w:t>’</w:t>
      </w:r>
      <w:r w:rsidRPr="00FA2E2E">
        <w:rPr>
          <w:lang w:val="fr-FR"/>
        </w:rPr>
        <w:t>il y a lieu</w:t>
      </w:r>
      <w:r w:rsidR="00D31AFF" w:rsidRPr="00FA2E2E">
        <w:rPr>
          <w:lang w:val="fr-FR"/>
        </w:rPr>
        <w:t>,</w:t>
      </w:r>
      <w:r w:rsidRPr="00FA2E2E">
        <w:rPr>
          <w:lang w:val="fr-FR"/>
        </w:rPr>
        <w:t xml:space="preserve"> des</w:t>
      </w:r>
      <w:r w:rsidR="00D31AFF" w:rsidRPr="00FA2E2E">
        <w:rPr>
          <w:lang w:val="fr-FR"/>
        </w:rPr>
        <w:t xml:space="preserve"> information</w:t>
      </w:r>
      <w:r w:rsidR="004F1EDD" w:rsidRPr="00FA2E2E">
        <w:rPr>
          <w:lang w:val="fr-FR"/>
        </w:rPr>
        <w:t>s</w:t>
      </w:r>
      <w:r w:rsidR="00D31AFF" w:rsidRPr="00FA2E2E">
        <w:rPr>
          <w:lang w:val="fr-FR"/>
        </w:rPr>
        <w:t xml:space="preserve"> </w:t>
      </w:r>
      <w:r w:rsidR="004C684B" w:rsidRPr="00FA2E2E">
        <w:rPr>
          <w:lang w:val="fr-FR"/>
        </w:rPr>
        <w:t>concernant l</w:t>
      </w:r>
      <w:r w:rsidR="00FE58E1" w:rsidRPr="00FA2E2E">
        <w:rPr>
          <w:lang w:val="fr-FR"/>
        </w:rPr>
        <w:t>’</w:t>
      </w:r>
      <w:r w:rsidR="004C684B" w:rsidRPr="00FA2E2E">
        <w:rPr>
          <w:lang w:val="fr-FR"/>
        </w:rPr>
        <w:t>intrusion de vapeurs émanant du sol dans les</w:t>
      </w:r>
      <w:r w:rsidR="00BD0B37" w:rsidRPr="00FA2E2E">
        <w:rPr>
          <w:lang w:val="fr-FR"/>
        </w:rPr>
        <w:t> </w:t>
      </w:r>
      <w:r w:rsidR="004C684B" w:rsidRPr="00FA2E2E">
        <w:rPr>
          <w:lang w:val="fr-FR"/>
        </w:rPr>
        <w:t>bâtiments</w:t>
      </w:r>
      <w:r w:rsidR="00313017" w:rsidRPr="00FA2E2E">
        <w:rPr>
          <w:lang w:val="fr-FR"/>
        </w:rPr>
        <w:t>,</w:t>
      </w:r>
      <w:r w:rsidR="00D31AFF" w:rsidRPr="00FA2E2E">
        <w:rPr>
          <w:lang w:val="fr-FR"/>
        </w:rPr>
        <w:t xml:space="preserve"> </w:t>
      </w:r>
      <w:r w:rsidR="004C684B" w:rsidRPr="00FA2E2E">
        <w:rPr>
          <w:lang w:val="fr-FR"/>
        </w:rPr>
        <w:t>notamment les caractéristiques de</w:t>
      </w:r>
      <w:r w:rsidR="00D31AFF" w:rsidRPr="00FA2E2E">
        <w:rPr>
          <w:lang w:val="fr-FR"/>
        </w:rPr>
        <w:t xml:space="preserve"> construction </w:t>
      </w:r>
      <w:r w:rsidR="004C684B" w:rsidRPr="00FA2E2E">
        <w:rPr>
          <w:lang w:val="fr-FR"/>
        </w:rPr>
        <w:t>des bâtiments</w:t>
      </w:r>
      <w:r w:rsidR="00D31AFF" w:rsidRPr="00FA2E2E">
        <w:rPr>
          <w:lang w:val="fr-FR"/>
        </w:rPr>
        <w:t xml:space="preserve"> (</w:t>
      </w:r>
      <w:r w:rsidR="004C684B" w:rsidRPr="00FA2E2E">
        <w:rPr>
          <w:lang w:val="fr-FR"/>
        </w:rPr>
        <w:t>par exemple</w:t>
      </w:r>
      <w:r w:rsidR="00D31AFF" w:rsidRPr="00FA2E2E">
        <w:rPr>
          <w:lang w:val="fr-FR"/>
        </w:rPr>
        <w:t xml:space="preserve">, </w:t>
      </w:r>
      <w:r w:rsidR="004C684B" w:rsidRPr="00FA2E2E">
        <w:rPr>
          <w:lang w:val="fr-FR"/>
        </w:rPr>
        <w:t>taille</w:t>
      </w:r>
      <w:r w:rsidR="00D31AFF" w:rsidRPr="00FA2E2E">
        <w:rPr>
          <w:lang w:val="fr-FR"/>
        </w:rPr>
        <w:t xml:space="preserve">, </w:t>
      </w:r>
      <w:r w:rsidR="004C684B" w:rsidRPr="00FA2E2E">
        <w:rPr>
          <w:lang w:val="fr-FR"/>
        </w:rPr>
        <w:t>â</w:t>
      </w:r>
      <w:r w:rsidR="00D31AFF" w:rsidRPr="00FA2E2E">
        <w:rPr>
          <w:lang w:val="fr-FR"/>
        </w:rPr>
        <w:t xml:space="preserve">ge, </w:t>
      </w:r>
      <w:r w:rsidR="00D71C0A" w:rsidRPr="00FA2E2E">
        <w:rPr>
          <w:lang w:val="fr-FR"/>
        </w:rPr>
        <w:t>profondeur et type des fondations, présence de</w:t>
      </w:r>
      <w:r w:rsidR="00D31AFF" w:rsidRPr="00FA2E2E">
        <w:rPr>
          <w:lang w:val="fr-FR"/>
        </w:rPr>
        <w:t xml:space="preserve"> </w:t>
      </w:r>
      <w:r w:rsidR="00D71C0A" w:rsidRPr="00FA2E2E">
        <w:rPr>
          <w:lang w:val="fr-FR"/>
        </w:rPr>
        <w:t>fissures dans les fondations</w:t>
      </w:r>
      <w:r w:rsidR="00D31AFF" w:rsidRPr="00FA2E2E">
        <w:rPr>
          <w:lang w:val="fr-FR"/>
        </w:rPr>
        <w:t xml:space="preserve">, </w:t>
      </w:r>
      <w:r w:rsidR="00D71C0A" w:rsidRPr="00FA2E2E">
        <w:rPr>
          <w:lang w:val="fr-FR"/>
        </w:rPr>
        <w:t>points d</w:t>
      </w:r>
      <w:r w:rsidR="00FE58E1" w:rsidRPr="00FA2E2E">
        <w:rPr>
          <w:lang w:val="fr-FR"/>
        </w:rPr>
        <w:t>’</w:t>
      </w:r>
      <w:r w:rsidR="00D71C0A" w:rsidRPr="00FA2E2E">
        <w:rPr>
          <w:lang w:val="fr-FR"/>
        </w:rPr>
        <w:t>entrée des</w:t>
      </w:r>
      <w:r w:rsidR="00BD0B37" w:rsidRPr="00FA2E2E">
        <w:rPr>
          <w:lang w:val="fr-FR"/>
        </w:rPr>
        <w:t> </w:t>
      </w:r>
      <w:r w:rsidR="004F1EDD" w:rsidRPr="00FA2E2E">
        <w:rPr>
          <w:lang w:val="fr-FR"/>
        </w:rPr>
        <w:t>équipements</w:t>
      </w:r>
      <w:r w:rsidR="00D71C0A" w:rsidRPr="00FA2E2E">
        <w:rPr>
          <w:lang w:val="fr-FR"/>
        </w:rPr>
        <w:t xml:space="preserve"> collectifs</w:t>
      </w:r>
      <w:r w:rsidR="00D31AFF" w:rsidRPr="00FA2E2E">
        <w:rPr>
          <w:lang w:val="fr-FR"/>
        </w:rPr>
        <w:t xml:space="preserve">), </w:t>
      </w:r>
      <w:r w:rsidR="00C03677" w:rsidRPr="00FA2E2E">
        <w:rPr>
          <w:lang w:val="fr-FR"/>
        </w:rPr>
        <w:t xml:space="preserve">la conception et le fonctionnement des systèmes </w:t>
      </w:r>
      <w:r w:rsidR="00D71C0A" w:rsidRPr="00FA2E2E">
        <w:rPr>
          <w:lang w:val="fr-FR"/>
        </w:rPr>
        <w:t>de chauffage</w:t>
      </w:r>
      <w:r w:rsidR="00D31AFF" w:rsidRPr="00FA2E2E">
        <w:rPr>
          <w:lang w:val="fr-FR"/>
        </w:rPr>
        <w:t>,</w:t>
      </w:r>
      <w:r w:rsidR="00D71C0A" w:rsidRPr="00FA2E2E">
        <w:rPr>
          <w:lang w:val="fr-FR"/>
        </w:rPr>
        <w:t xml:space="preserve"> de</w:t>
      </w:r>
      <w:r w:rsidR="00BD0B37" w:rsidRPr="00FA2E2E">
        <w:rPr>
          <w:lang w:val="fr-FR"/>
        </w:rPr>
        <w:t> </w:t>
      </w:r>
      <w:r w:rsidR="00D31AFF" w:rsidRPr="00FA2E2E">
        <w:rPr>
          <w:lang w:val="fr-FR"/>
        </w:rPr>
        <w:t xml:space="preserve">ventilation </w:t>
      </w:r>
      <w:r w:rsidR="00D71C0A" w:rsidRPr="00FA2E2E">
        <w:rPr>
          <w:lang w:val="fr-FR"/>
        </w:rPr>
        <w:t xml:space="preserve">et de climatisation </w:t>
      </w:r>
      <w:r w:rsidR="00C03677" w:rsidRPr="00FA2E2E">
        <w:rPr>
          <w:lang w:val="fr-FR"/>
        </w:rPr>
        <w:t xml:space="preserve">des bâtiments </w:t>
      </w:r>
      <w:r w:rsidR="00D71C0A" w:rsidRPr="00FA2E2E">
        <w:rPr>
          <w:lang w:val="fr-FR"/>
        </w:rPr>
        <w:t>ainsi que</w:t>
      </w:r>
      <w:r w:rsidR="004F1EDD" w:rsidRPr="00FA2E2E">
        <w:rPr>
          <w:lang w:val="fr-FR"/>
        </w:rPr>
        <w:t xml:space="preserve"> les passages souterrains des équipements collectifs </w:t>
      </w:r>
      <w:r w:rsidR="00816847" w:rsidRPr="00FA2E2E">
        <w:rPr>
          <w:lang w:val="fr-FR"/>
        </w:rPr>
        <w:t>;</w:t>
      </w:r>
    </w:p>
    <w:p w14:paraId="03337A53" w14:textId="78651C51" w:rsidR="00D31AFF" w:rsidRPr="00FA2E2E" w:rsidRDefault="004F1EDD" w:rsidP="008E43CD">
      <w:pPr>
        <w:pStyle w:val="Normalnumber"/>
        <w:numPr>
          <w:ilvl w:val="1"/>
          <w:numId w:val="5"/>
        </w:numPr>
        <w:rPr>
          <w:lang w:val="fr-FR"/>
        </w:rPr>
      </w:pPr>
      <w:r w:rsidRPr="00FA2E2E">
        <w:rPr>
          <w:lang w:val="fr-FR"/>
        </w:rPr>
        <w:t>Des informations concernant les récepteurs humains et écologiques ainsi que les</w:t>
      </w:r>
      <w:r w:rsidR="00BD0B37" w:rsidRPr="00FA2E2E">
        <w:rPr>
          <w:lang w:val="fr-FR"/>
        </w:rPr>
        <w:t> </w:t>
      </w:r>
      <w:r w:rsidR="007242B5" w:rsidRPr="00FA2E2E">
        <w:rPr>
          <w:lang w:val="fr-FR"/>
        </w:rPr>
        <w:t>caractéristiques des</w:t>
      </w:r>
      <w:r w:rsidRPr="00FA2E2E">
        <w:rPr>
          <w:lang w:val="fr-FR"/>
        </w:rPr>
        <w:t xml:space="preserve"> activités </w:t>
      </w:r>
      <w:r w:rsidR="007242B5" w:rsidRPr="00FA2E2E">
        <w:rPr>
          <w:lang w:val="fr-FR"/>
        </w:rPr>
        <w:t xml:space="preserve">menées </w:t>
      </w:r>
      <w:r w:rsidRPr="00FA2E2E">
        <w:rPr>
          <w:lang w:val="fr-FR"/>
        </w:rPr>
        <w:t>sur le site ou dans les zones touchées par le site</w:t>
      </w:r>
      <w:r w:rsidR="00D31AFF" w:rsidRPr="00FA2E2E">
        <w:rPr>
          <w:lang w:val="fr-FR"/>
        </w:rPr>
        <w:t>.</w:t>
      </w:r>
    </w:p>
    <w:p w14:paraId="68E862F8" w14:textId="3DA4BAF6" w:rsidR="00D31AFF" w:rsidRPr="00FA2E2E" w:rsidRDefault="004F1EDD" w:rsidP="008E43CD">
      <w:pPr>
        <w:pStyle w:val="Normalnumber"/>
        <w:numPr>
          <w:ilvl w:val="0"/>
          <w:numId w:val="5"/>
        </w:numPr>
        <w:rPr>
          <w:lang w:val="fr-FR"/>
        </w:rPr>
      </w:pPr>
      <w:r w:rsidRPr="00FA2E2E">
        <w:rPr>
          <w:lang w:val="fr-FR"/>
        </w:rPr>
        <w:t xml:space="preserve">Il convient de noter </w:t>
      </w:r>
      <w:r w:rsidR="00DC4840" w:rsidRPr="00FA2E2E">
        <w:rPr>
          <w:lang w:val="fr-FR"/>
        </w:rPr>
        <w:t>qu</w:t>
      </w:r>
      <w:r w:rsidR="00FE58E1" w:rsidRPr="00FA2E2E">
        <w:rPr>
          <w:lang w:val="fr-FR"/>
        </w:rPr>
        <w:t>’</w:t>
      </w:r>
      <w:r w:rsidR="00DC4840" w:rsidRPr="00FA2E2E">
        <w:rPr>
          <w:lang w:val="fr-FR"/>
        </w:rPr>
        <w:t>il n</w:t>
      </w:r>
      <w:r w:rsidR="00FE58E1" w:rsidRPr="00FA2E2E">
        <w:rPr>
          <w:lang w:val="fr-FR"/>
        </w:rPr>
        <w:t>’</w:t>
      </w:r>
      <w:r w:rsidR="00DC4840" w:rsidRPr="00FA2E2E">
        <w:rPr>
          <w:lang w:val="fr-FR"/>
        </w:rPr>
        <w:t>est pas nécessaire de traiter l</w:t>
      </w:r>
      <w:r w:rsidR="00FE58E1" w:rsidRPr="00FA2E2E">
        <w:rPr>
          <w:lang w:val="fr-FR"/>
        </w:rPr>
        <w:t>’</w:t>
      </w:r>
      <w:r w:rsidR="00DC4840" w:rsidRPr="00FA2E2E">
        <w:rPr>
          <w:lang w:val="fr-FR"/>
        </w:rPr>
        <w:t>ensemble de</w:t>
      </w:r>
      <w:r w:rsidRPr="00FA2E2E">
        <w:rPr>
          <w:lang w:val="fr-FR"/>
        </w:rPr>
        <w:t>s éléments énoncés ci</w:t>
      </w:r>
      <w:r w:rsidR="00BD0B37" w:rsidRPr="00FA2E2E">
        <w:rPr>
          <w:lang w:val="fr-FR"/>
        </w:rPr>
        <w:noBreakHyphen/>
      </w:r>
      <w:r w:rsidRPr="00FA2E2E">
        <w:rPr>
          <w:lang w:val="fr-FR"/>
        </w:rPr>
        <w:t>dessus</w:t>
      </w:r>
      <w:r w:rsidR="00D31AFF" w:rsidRPr="00FA2E2E">
        <w:rPr>
          <w:lang w:val="fr-FR"/>
        </w:rPr>
        <w:t>.</w:t>
      </w:r>
      <w:r w:rsidR="00DC4840" w:rsidRPr="00FA2E2E">
        <w:rPr>
          <w:lang w:val="fr-FR"/>
        </w:rPr>
        <w:t xml:space="preserve"> En particulier, les derniers éléments nécessitent une certaine expertise de la part du technicien effectuant l</w:t>
      </w:r>
      <w:r w:rsidR="00FE58E1" w:rsidRPr="00FA2E2E">
        <w:rPr>
          <w:lang w:val="fr-FR"/>
        </w:rPr>
        <w:t>’</w:t>
      </w:r>
      <w:r w:rsidR="00DC4840" w:rsidRPr="00FA2E2E">
        <w:rPr>
          <w:lang w:val="fr-FR"/>
        </w:rPr>
        <w:t>inspection et de l</w:t>
      </w:r>
      <w:r w:rsidR="00FE58E1" w:rsidRPr="00FA2E2E">
        <w:rPr>
          <w:lang w:val="fr-FR"/>
        </w:rPr>
        <w:t>’</w:t>
      </w:r>
      <w:r w:rsidR="00DC4840" w:rsidRPr="00FA2E2E">
        <w:rPr>
          <w:lang w:val="fr-FR"/>
        </w:rPr>
        <w:t>autorité chargée de déterminer la validité de l</w:t>
      </w:r>
      <w:r w:rsidR="00FE58E1" w:rsidRPr="00FA2E2E">
        <w:rPr>
          <w:lang w:val="fr-FR"/>
        </w:rPr>
        <w:t>’</w:t>
      </w:r>
      <w:r w:rsidR="00DC4840" w:rsidRPr="00FA2E2E">
        <w:rPr>
          <w:lang w:val="fr-FR"/>
        </w:rPr>
        <w:t>inspection</w:t>
      </w:r>
      <w:r w:rsidR="00D31AFF" w:rsidRPr="00FA2E2E">
        <w:rPr>
          <w:lang w:val="fr-FR"/>
        </w:rPr>
        <w:t>.</w:t>
      </w:r>
      <w:r w:rsidR="00DC4840" w:rsidRPr="00FA2E2E">
        <w:rPr>
          <w:lang w:val="fr-FR"/>
        </w:rPr>
        <w:t xml:space="preserve"> L</w:t>
      </w:r>
      <w:r w:rsidR="00FE58E1" w:rsidRPr="00FA2E2E">
        <w:rPr>
          <w:lang w:val="fr-FR"/>
        </w:rPr>
        <w:t>’</w:t>
      </w:r>
      <w:r w:rsidR="00DC4840" w:rsidRPr="00FA2E2E">
        <w:rPr>
          <w:lang w:val="fr-FR"/>
        </w:rPr>
        <w:t>utilisation d</w:t>
      </w:r>
      <w:r w:rsidR="00FE58E1" w:rsidRPr="00FA2E2E">
        <w:rPr>
          <w:lang w:val="fr-FR"/>
        </w:rPr>
        <w:t>’</w:t>
      </w:r>
      <w:r w:rsidR="00DC4840" w:rsidRPr="00FA2E2E">
        <w:rPr>
          <w:lang w:val="fr-FR"/>
        </w:rPr>
        <w:t>un</w:t>
      </w:r>
      <w:r w:rsidR="00D31AFF" w:rsidRPr="00FA2E2E">
        <w:rPr>
          <w:lang w:val="fr-FR"/>
        </w:rPr>
        <w:t xml:space="preserve"> </w:t>
      </w:r>
      <w:r w:rsidR="00DC4840" w:rsidRPr="00FA2E2E">
        <w:rPr>
          <w:lang w:val="fr-FR"/>
        </w:rPr>
        <w:t xml:space="preserve">modèle conceptuel </w:t>
      </w:r>
      <w:r w:rsidR="007242B5" w:rsidRPr="00FA2E2E">
        <w:rPr>
          <w:lang w:val="fr-FR"/>
        </w:rPr>
        <w:t>de</w:t>
      </w:r>
      <w:r w:rsidR="00DC4840" w:rsidRPr="00FA2E2E">
        <w:rPr>
          <w:lang w:val="fr-FR"/>
        </w:rPr>
        <w:t xml:space="preserve"> site dépend de la situation de </w:t>
      </w:r>
      <w:r w:rsidR="001B5845" w:rsidRPr="00FA2E2E">
        <w:rPr>
          <w:lang w:val="fr-FR"/>
        </w:rPr>
        <w:t>chaque</w:t>
      </w:r>
      <w:r w:rsidR="00DC4840" w:rsidRPr="00FA2E2E">
        <w:rPr>
          <w:lang w:val="fr-FR"/>
        </w:rPr>
        <w:t xml:space="preserve"> Partie</w:t>
      </w:r>
      <w:r w:rsidR="001B5845" w:rsidRPr="00FA2E2E">
        <w:rPr>
          <w:lang w:val="fr-FR"/>
        </w:rPr>
        <w:t xml:space="preserve"> et du site</w:t>
      </w:r>
      <w:r w:rsidR="00D55EC0" w:rsidRPr="00FA2E2E">
        <w:rPr>
          <w:lang w:val="fr-FR"/>
        </w:rPr>
        <w:t>.</w:t>
      </w:r>
      <w:r w:rsidR="00D31AFF" w:rsidRPr="00FA2E2E">
        <w:rPr>
          <w:lang w:val="fr-FR"/>
        </w:rPr>
        <w:t xml:space="preserve"> </w:t>
      </w:r>
      <w:r w:rsidR="001B5845" w:rsidRPr="00FA2E2E">
        <w:rPr>
          <w:lang w:val="fr-FR"/>
        </w:rPr>
        <w:t>D</w:t>
      </w:r>
      <w:r w:rsidR="00FE58E1" w:rsidRPr="00FA2E2E">
        <w:rPr>
          <w:lang w:val="fr-FR"/>
        </w:rPr>
        <w:t>’</w:t>
      </w:r>
      <w:r w:rsidR="001B5845" w:rsidRPr="00FA2E2E">
        <w:rPr>
          <w:lang w:val="fr-FR"/>
        </w:rPr>
        <w:t>autres méthodes peuvent également être utilisées</w:t>
      </w:r>
      <w:r w:rsidR="00D31AFF" w:rsidRPr="00FA2E2E">
        <w:rPr>
          <w:lang w:val="fr-FR"/>
        </w:rPr>
        <w:t>.</w:t>
      </w:r>
    </w:p>
    <w:p w14:paraId="3629B35E" w14:textId="048FC9EF" w:rsidR="00D31AFF" w:rsidRPr="00FA2E2E" w:rsidRDefault="001B5845" w:rsidP="008E43CD">
      <w:pPr>
        <w:pStyle w:val="Normalnumber"/>
        <w:numPr>
          <w:ilvl w:val="0"/>
          <w:numId w:val="5"/>
        </w:numPr>
        <w:rPr>
          <w:lang w:val="fr-FR"/>
        </w:rPr>
      </w:pPr>
      <w:r w:rsidRPr="00FA2E2E">
        <w:rPr>
          <w:lang w:val="fr-FR"/>
        </w:rPr>
        <w:t>Il conviendrait de fixer les</w:t>
      </w:r>
      <w:r w:rsidR="00D31AFF" w:rsidRPr="00FA2E2E">
        <w:rPr>
          <w:lang w:val="fr-FR"/>
        </w:rPr>
        <w:t xml:space="preserve"> objecti</w:t>
      </w:r>
      <w:r w:rsidRPr="00FA2E2E">
        <w:rPr>
          <w:lang w:val="fr-FR"/>
        </w:rPr>
        <w:t>f</w:t>
      </w:r>
      <w:r w:rsidR="00D31AFF" w:rsidRPr="00FA2E2E">
        <w:rPr>
          <w:lang w:val="fr-FR"/>
        </w:rPr>
        <w:t xml:space="preserve">s </w:t>
      </w:r>
      <w:r w:rsidRPr="00FA2E2E">
        <w:rPr>
          <w:lang w:val="fr-FR"/>
        </w:rPr>
        <w:t>de l</w:t>
      </w:r>
      <w:r w:rsidR="00FE58E1" w:rsidRPr="00FA2E2E">
        <w:rPr>
          <w:lang w:val="fr-FR"/>
        </w:rPr>
        <w:t>’</w:t>
      </w:r>
      <w:r w:rsidRPr="00FA2E2E">
        <w:rPr>
          <w:lang w:val="fr-FR"/>
        </w:rPr>
        <w:t>étude, qui peuvent globalement comprendre </w:t>
      </w:r>
      <w:r w:rsidR="00D31AFF" w:rsidRPr="00FA2E2E">
        <w:rPr>
          <w:lang w:val="fr-FR"/>
        </w:rPr>
        <w:t xml:space="preserve">: </w:t>
      </w:r>
    </w:p>
    <w:p w14:paraId="78D2DD82" w14:textId="5BFAC7EF" w:rsidR="00D31AFF" w:rsidRPr="00FA2E2E" w:rsidRDefault="001B5845" w:rsidP="008E43CD">
      <w:pPr>
        <w:pStyle w:val="Normalnumber"/>
        <w:numPr>
          <w:ilvl w:val="1"/>
          <w:numId w:val="5"/>
        </w:numPr>
        <w:rPr>
          <w:lang w:val="fr-FR"/>
        </w:rPr>
      </w:pPr>
      <w:r w:rsidRPr="00FA2E2E">
        <w:rPr>
          <w:lang w:val="fr-FR"/>
        </w:rPr>
        <w:t>Une caractérisation des</w:t>
      </w:r>
      <w:r w:rsidR="00D31AFF" w:rsidRPr="00FA2E2E">
        <w:rPr>
          <w:lang w:val="fr-FR"/>
        </w:rPr>
        <w:t xml:space="preserve"> types </w:t>
      </w:r>
      <w:r w:rsidRPr="00FA2E2E">
        <w:rPr>
          <w:lang w:val="fr-FR"/>
        </w:rPr>
        <w:t>de</w:t>
      </w:r>
      <w:r w:rsidR="00D31AFF" w:rsidRPr="00FA2E2E">
        <w:rPr>
          <w:lang w:val="fr-FR"/>
        </w:rPr>
        <w:t xml:space="preserve"> contaminants </w:t>
      </w:r>
      <w:r w:rsidRPr="00FA2E2E">
        <w:rPr>
          <w:lang w:val="fr-FR"/>
        </w:rPr>
        <w:t>présents sur le</w:t>
      </w:r>
      <w:r w:rsidR="00D31AFF" w:rsidRPr="00FA2E2E">
        <w:rPr>
          <w:lang w:val="fr-FR"/>
        </w:rPr>
        <w:t xml:space="preserve"> site</w:t>
      </w:r>
      <w:r w:rsidRPr="00FA2E2E">
        <w:rPr>
          <w:lang w:val="fr-FR"/>
        </w:rPr>
        <w:t> </w:t>
      </w:r>
      <w:r w:rsidR="00816847" w:rsidRPr="00FA2E2E">
        <w:rPr>
          <w:lang w:val="fr-FR"/>
        </w:rPr>
        <w:t>;</w:t>
      </w:r>
    </w:p>
    <w:p w14:paraId="4C88C58D" w14:textId="60EAF40B" w:rsidR="00D31AFF" w:rsidRPr="00FA2E2E" w:rsidRDefault="00B96FD4" w:rsidP="008E43CD">
      <w:pPr>
        <w:pStyle w:val="Normalnumber"/>
        <w:numPr>
          <w:ilvl w:val="1"/>
          <w:numId w:val="5"/>
        </w:numPr>
        <w:rPr>
          <w:lang w:val="fr-FR"/>
        </w:rPr>
      </w:pPr>
      <w:r w:rsidRPr="00FA2E2E">
        <w:rPr>
          <w:lang w:val="fr-FR"/>
        </w:rPr>
        <w:t xml:space="preserve">Une </w:t>
      </w:r>
      <w:r w:rsidR="00472B3F" w:rsidRPr="00FA2E2E">
        <w:rPr>
          <w:lang w:val="fr-FR"/>
        </w:rPr>
        <w:t xml:space="preserve">meilleure </w:t>
      </w:r>
      <w:r w:rsidRPr="00FA2E2E">
        <w:rPr>
          <w:lang w:val="fr-FR"/>
        </w:rPr>
        <w:t>compréhension</w:t>
      </w:r>
      <w:r w:rsidR="001B5845" w:rsidRPr="00FA2E2E">
        <w:rPr>
          <w:lang w:val="fr-FR"/>
        </w:rPr>
        <w:t xml:space="preserve"> de la géologie et de l</w:t>
      </w:r>
      <w:r w:rsidR="00FE58E1" w:rsidRPr="00FA2E2E">
        <w:rPr>
          <w:lang w:val="fr-FR"/>
        </w:rPr>
        <w:t>’</w:t>
      </w:r>
      <w:r w:rsidR="001B5845" w:rsidRPr="00FA2E2E">
        <w:rPr>
          <w:lang w:val="fr-FR"/>
        </w:rPr>
        <w:t>hydrogéologie du site </w:t>
      </w:r>
      <w:r w:rsidR="00816847" w:rsidRPr="00FA2E2E">
        <w:rPr>
          <w:lang w:val="fr-FR"/>
        </w:rPr>
        <w:t>;</w:t>
      </w:r>
      <w:r w:rsidR="00D31AFF" w:rsidRPr="00FA2E2E">
        <w:rPr>
          <w:lang w:val="fr-FR"/>
        </w:rPr>
        <w:t xml:space="preserve"> </w:t>
      </w:r>
    </w:p>
    <w:p w14:paraId="360F9FD8" w14:textId="317E13B1" w:rsidR="00D31AFF" w:rsidRPr="00FA2E2E" w:rsidRDefault="00B96FD4" w:rsidP="008E43CD">
      <w:pPr>
        <w:pStyle w:val="Normalnumber"/>
        <w:numPr>
          <w:ilvl w:val="1"/>
          <w:numId w:val="5"/>
        </w:numPr>
        <w:rPr>
          <w:lang w:val="fr-FR"/>
        </w:rPr>
      </w:pPr>
      <w:r w:rsidRPr="00FA2E2E">
        <w:rPr>
          <w:lang w:val="fr-FR"/>
        </w:rPr>
        <w:t>Une détermination de l</w:t>
      </w:r>
      <w:r w:rsidR="00FE58E1" w:rsidRPr="00FA2E2E">
        <w:rPr>
          <w:lang w:val="fr-FR"/>
        </w:rPr>
        <w:t>’</w:t>
      </w:r>
      <w:r w:rsidRPr="00FA2E2E">
        <w:rPr>
          <w:lang w:val="fr-FR"/>
        </w:rPr>
        <w:t>ampleur et de la répartition</w:t>
      </w:r>
      <w:r w:rsidR="00D31AFF" w:rsidRPr="00FA2E2E">
        <w:rPr>
          <w:lang w:val="fr-FR"/>
        </w:rPr>
        <w:t xml:space="preserve"> (vertical</w:t>
      </w:r>
      <w:r w:rsidRPr="00FA2E2E">
        <w:rPr>
          <w:lang w:val="fr-FR"/>
        </w:rPr>
        <w:t>e</w:t>
      </w:r>
      <w:r w:rsidR="00D31AFF" w:rsidRPr="00FA2E2E">
        <w:rPr>
          <w:lang w:val="fr-FR"/>
        </w:rPr>
        <w:t xml:space="preserve"> </w:t>
      </w:r>
      <w:r w:rsidRPr="00FA2E2E">
        <w:rPr>
          <w:lang w:val="fr-FR"/>
        </w:rPr>
        <w:t>et</w:t>
      </w:r>
      <w:r w:rsidR="00D31AFF" w:rsidRPr="00FA2E2E">
        <w:rPr>
          <w:lang w:val="fr-FR"/>
        </w:rPr>
        <w:t xml:space="preserve"> lat</w:t>
      </w:r>
      <w:r w:rsidRPr="00FA2E2E">
        <w:rPr>
          <w:lang w:val="fr-FR"/>
        </w:rPr>
        <w:t>é</w:t>
      </w:r>
      <w:r w:rsidR="00D31AFF" w:rsidRPr="00FA2E2E">
        <w:rPr>
          <w:lang w:val="fr-FR"/>
        </w:rPr>
        <w:t>ral</w:t>
      </w:r>
      <w:r w:rsidRPr="00FA2E2E">
        <w:rPr>
          <w:lang w:val="fr-FR"/>
        </w:rPr>
        <w:t>e</w:t>
      </w:r>
      <w:r w:rsidR="00D31AFF" w:rsidRPr="00FA2E2E">
        <w:rPr>
          <w:lang w:val="fr-FR"/>
        </w:rPr>
        <w:t xml:space="preserve">) </w:t>
      </w:r>
      <w:r w:rsidRPr="00FA2E2E">
        <w:rPr>
          <w:lang w:val="fr-FR"/>
        </w:rPr>
        <w:t>de la</w:t>
      </w:r>
      <w:r w:rsidR="00D31AFF" w:rsidRPr="00FA2E2E">
        <w:rPr>
          <w:lang w:val="fr-FR"/>
        </w:rPr>
        <w:t xml:space="preserve"> contamination</w:t>
      </w:r>
      <w:r w:rsidRPr="00FA2E2E">
        <w:rPr>
          <w:lang w:val="fr-FR"/>
        </w:rPr>
        <w:t> </w:t>
      </w:r>
      <w:r w:rsidR="00816847" w:rsidRPr="00FA2E2E">
        <w:rPr>
          <w:lang w:val="fr-FR"/>
        </w:rPr>
        <w:t>;</w:t>
      </w:r>
    </w:p>
    <w:p w14:paraId="1073F158" w14:textId="2E09148F" w:rsidR="00D31AFF" w:rsidRPr="00FA2E2E" w:rsidRDefault="00B96FD4" w:rsidP="008E43CD">
      <w:pPr>
        <w:pStyle w:val="Normalnumber"/>
        <w:numPr>
          <w:ilvl w:val="1"/>
          <w:numId w:val="5"/>
        </w:numPr>
        <w:rPr>
          <w:lang w:val="fr-FR"/>
        </w:rPr>
      </w:pPr>
      <w:r w:rsidRPr="00FA2E2E">
        <w:rPr>
          <w:lang w:val="fr-FR"/>
        </w:rPr>
        <w:t xml:space="preserve">Une caractérisation de la </w:t>
      </w:r>
      <w:r w:rsidR="00D31AFF" w:rsidRPr="00FA2E2E">
        <w:rPr>
          <w:lang w:val="fr-FR"/>
        </w:rPr>
        <w:t xml:space="preserve">migration </w:t>
      </w:r>
      <w:r w:rsidRPr="00FA2E2E">
        <w:rPr>
          <w:lang w:val="fr-FR"/>
        </w:rPr>
        <w:t>effective des</w:t>
      </w:r>
      <w:r w:rsidR="00D31AFF" w:rsidRPr="00FA2E2E">
        <w:rPr>
          <w:lang w:val="fr-FR"/>
        </w:rPr>
        <w:t xml:space="preserve"> contaminants </w:t>
      </w:r>
      <w:r w:rsidRPr="00FA2E2E">
        <w:rPr>
          <w:lang w:val="fr-FR"/>
        </w:rPr>
        <w:t>et</w:t>
      </w:r>
      <w:r w:rsidR="00D31AFF" w:rsidRPr="00FA2E2E">
        <w:rPr>
          <w:lang w:val="fr-FR"/>
        </w:rPr>
        <w:t xml:space="preserve"> </w:t>
      </w:r>
      <w:r w:rsidRPr="00FA2E2E">
        <w:rPr>
          <w:lang w:val="fr-FR"/>
        </w:rPr>
        <w:t>des</w:t>
      </w:r>
      <w:r w:rsidR="00D31AFF" w:rsidRPr="00FA2E2E">
        <w:rPr>
          <w:lang w:val="fr-FR"/>
        </w:rPr>
        <w:t xml:space="preserve"> transformations</w:t>
      </w:r>
      <w:r w:rsidRPr="00FA2E2E">
        <w:rPr>
          <w:lang w:val="fr-FR"/>
        </w:rPr>
        <w:t xml:space="preserve"> potentielles </w:t>
      </w:r>
      <w:r w:rsidR="00816847" w:rsidRPr="00FA2E2E">
        <w:rPr>
          <w:lang w:val="fr-FR"/>
        </w:rPr>
        <w:t>;</w:t>
      </w:r>
    </w:p>
    <w:p w14:paraId="4AFE8892" w14:textId="7A09CD09" w:rsidR="00D31AFF" w:rsidRPr="00FA2E2E" w:rsidRDefault="00472B3F" w:rsidP="008E43CD">
      <w:pPr>
        <w:pStyle w:val="Normalnumber"/>
        <w:numPr>
          <w:ilvl w:val="1"/>
          <w:numId w:val="5"/>
        </w:numPr>
        <w:rPr>
          <w:lang w:val="fr-FR"/>
        </w:rPr>
      </w:pPr>
      <w:r w:rsidRPr="00FA2E2E">
        <w:rPr>
          <w:lang w:val="fr-FR"/>
        </w:rPr>
        <w:t>L</w:t>
      </w:r>
      <w:r w:rsidR="00FE58E1" w:rsidRPr="00FA2E2E">
        <w:rPr>
          <w:lang w:val="fr-FR"/>
        </w:rPr>
        <w:t>’</w:t>
      </w:r>
      <w:r w:rsidRPr="00FA2E2E">
        <w:rPr>
          <w:lang w:val="fr-FR"/>
        </w:rPr>
        <w:t>obtention de données permettant d</w:t>
      </w:r>
      <w:r w:rsidR="00FE58E1" w:rsidRPr="00FA2E2E">
        <w:rPr>
          <w:lang w:val="fr-FR"/>
        </w:rPr>
        <w:t>’</w:t>
      </w:r>
      <w:r w:rsidRPr="00FA2E2E">
        <w:rPr>
          <w:lang w:val="fr-FR"/>
        </w:rPr>
        <w:t>identifier et d</w:t>
      </w:r>
      <w:r w:rsidR="00FE58E1" w:rsidRPr="00FA2E2E">
        <w:rPr>
          <w:lang w:val="fr-FR"/>
        </w:rPr>
        <w:t>’</w:t>
      </w:r>
      <w:r w:rsidRPr="00FA2E2E">
        <w:rPr>
          <w:lang w:val="fr-FR"/>
        </w:rPr>
        <w:t>évaluer les éventuels effets néfastes sur la santé</w:t>
      </w:r>
      <w:r w:rsidR="00D31AFF" w:rsidRPr="00FA2E2E">
        <w:rPr>
          <w:lang w:val="fr-FR"/>
        </w:rPr>
        <w:t xml:space="preserve"> </w:t>
      </w:r>
      <w:r w:rsidRPr="00FA2E2E">
        <w:rPr>
          <w:lang w:val="fr-FR"/>
        </w:rPr>
        <w:t>humaine et l</w:t>
      </w:r>
      <w:r w:rsidR="00FE58E1" w:rsidRPr="00FA2E2E">
        <w:rPr>
          <w:lang w:val="fr-FR"/>
        </w:rPr>
        <w:t>’</w:t>
      </w:r>
      <w:r w:rsidRPr="00FA2E2E">
        <w:rPr>
          <w:lang w:val="fr-FR"/>
        </w:rPr>
        <w:t>environnement</w:t>
      </w:r>
      <w:r w:rsidR="00D31AFF" w:rsidRPr="00FA2E2E">
        <w:rPr>
          <w:lang w:val="fr-FR"/>
        </w:rPr>
        <w:t>.</w:t>
      </w:r>
    </w:p>
    <w:p w14:paraId="21CA2D72" w14:textId="6288ABA0" w:rsidR="00D31AFF" w:rsidRPr="00FA2E2E" w:rsidRDefault="00F1047E" w:rsidP="008E43CD">
      <w:pPr>
        <w:pStyle w:val="Normalnumber"/>
        <w:numPr>
          <w:ilvl w:val="0"/>
          <w:numId w:val="5"/>
        </w:numPr>
        <w:rPr>
          <w:lang w:val="fr-FR"/>
        </w:rPr>
      </w:pPr>
      <w:r w:rsidRPr="00FA2E2E">
        <w:rPr>
          <w:lang w:val="fr-FR"/>
        </w:rPr>
        <w:t>Une fois les objectifs de l</w:t>
      </w:r>
      <w:r w:rsidR="00FE58E1" w:rsidRPr="00FA2E2E">
        <w:rPr>
          <w:lang w:val="fr-FR"/>
        </w:rPr>
        <w:t>’</w:t>
      </w:r>
      <w:r w:rsidRPr="00FA2E2E">
        <w:rPr>
          <w:lang w:val="fr-FR"/>
        </w:rPr>
        <w:t>étude établis, un plan d</w:t>
      </w:r>
      <w:r w:rsidR="00FE58E1" w:rsidRPr="00FA2E2E">
        <w:rPr>
          <w:lang w:val="fr-FR"/>
        </w:rPr>
        <w:t>’</w:t>
      </w:r>
      <w:r w:rsidRPr="00FA2E2E">
        <w:rPr>
          <w:lang w:val="fr-FR"/>
        </w:rPr>
        <w:t>échantillonnage et d</w:t>
      </w:r>
      <w:r w:rsidR="00FE58E1" w:rsidRPr="00FA2E2E">
        <w:rPr>
          <w:lang w:val="fr-FR"/>
        </w:rPr>
        <w:t>’</w:t>
      </w:r>
      <w:r w:rsidRPr="00FA2E2E">
        <w:rPr>
          <w:lang w:val="fr-FR"/>
        </w:rPr>
        <w:t>analyse</w:t>
      </w:r>
      <w:r w:rsidR="00D31AFF" w:rsidRPr="00FA2E2E">
        <w:rPr>
          <w:lang w:val="fr-FR"/>
        </w:rPr>
        <w:t xml:space="preserve"> </w:t>
      </w:r>
      <w:r w:rsidR="00F84101" w:rsidRPr="00FA2E2E">
        <w:rPr>
          <w:lang w:val="fr-FR"/>
        </w:rPr>
        <w:t>devrait être élaboré.</w:t>
      </w:r>
      <w:r w:rsidR="00D31AFF" w:rsidRPr="00FA2E2E">
        <w:rPr>
          <w:lang w:val="fr-FR"/>
        </w:rPr>
        <w:t xml:space="preserve"> </w:t>
      </w:r>
      <w:r w:rsidR="00F84101" w:rsidRPr="00FA2E2E">
        <w:rPr>
          <w:lang w:val="fr-FR"/>
        </w:rPr>
        <w:t>Ce plan devrait s</w:t>
      </w:r>
      <w:r w:rsidR="00FE58E1" w:rsidRPr="00FA2E2E">
        <w:rPr>
          <w:lang w:val="fr-FR"/>
        </w:rPr>
        <w:t>’</w:t>
      </w:r>
      <w:r w:rsidR="00F84101" w:rsidRPr="00FA2E2E">
        <w:rPr>
          <w:lang w:val="fr-FR"/>
        </w:rPr>
        <w:t>appuyer sur les informations disponibles au sujet du site et les objectifs de l</w:t>
      </w:r>
      <w:r w:rsidR="00FE58E1" w:rsidRPr="00FA2E2E">
        <w:rPr>
          <w:lang w:val="fr-FR"/>
        </w:rPr>
        <w:t>’</w:t>
      </w:r>
      <w:r w:rsidR="00F84101" w:rsidRPr="00FA2E2E">
        <w:rPr>
          <w:lang w:val="fr-FR"/>
        </w:rPr>
        <w:t>étude</w:t>
      </w:r>
      <w:r w:rsidR="00D31AFF" w:rsidRPr="00FA2E2E">
        <w:rPr>
          <w:lang w:val="fr-FR"/>
        </w:rPr>
        <w:t xml:space="preserve">. </w:t>
      </w:r>
      <w:r w:rsidR="00F84101" w:rsidRPr="00FA2E2E">
        <w:rPr>
          <w:lang w:val="fr-FR"/>
        </w:rPr>
        <w:t>Il devrait comprendre les éléments ci-après </w:t>
      </w:r>
      <w:r w:rsidR="00D31AFF" w:rsidRPr="00FA2E2E">
        <w:rPr>
          <w:lang w:val="fr-FR"/>
        </w:rPr>
        <w:t xml:space="preserve">: </w:t>
      </w:r>
    </w:p>
    <w:p w14:paraId="643E312C" w14:textId="49C1E4C3" w:rsidR="00D31AFF" w:rsidRPr="00FA2E2E" w:rsidRDefault="00FB7173" w:rsidP="008E43CD">
      <w:pPr>
        <w:pStyle w:val="Normalnumber"/>
        <w:numPr>
          <w:ilvl w:val="1"/>
          <w:numId w:val="5"/>
        </w:numPr>
        <w:rPr>
          <w:lang w:val="fr-FR"/>
        </w:rPr>
      </w:pPr>
      <w:r w:rsidRPr="00FA2E2E">
        <w:rPr>
          <w:lang w:val="fr-FR"/>
        </w:rPr>
        <w:t>Examen des données existantes, y compris l</w:t>
      </w:r>
      <w:r w:rsidR="00FE58E1" w:rsidRPr="00FA2E2E">
        <w:rPr>
          <w:lang w:val="fr-FR"/>
        </w:rPr>
        <w:t>’</w:t>
      </w:r>
      <w:r w:rsidRPr="00FA2E2E">
        <w:rPr>
          <w:lang w:val="fr-FR"/>
        </w:rPr>
        <w:t>identification des sources réelles et potentielles, tant primaires que secondaires </w:t>
      </w:r>
      <w:r w:rsidR="00816847" w:rsidRPr="00FA2E2E">
        <w:rPr>
          <w:lang w:val="fr-FR"/>
        </w:rPr>
        <w:t>;</w:t>
      </w:r>
      <w:r w:rsidR="00D31AFF" w:rsidRPr="00FA2E2E">
        <w:rPr>
          <w:lang w:val="fr-FR"/>
        </w:rPr>
        <w:t xml:space="preserve"> </w:t>
      </w:r>
    </w:p>
    <w:p w14:paraId="40F15F1E" w14:textId="1EA494CD" w:rsidR="00D31AFF" w:rsidRPr="00FA2E2E" w:rsidRDefault="00FB7173" w:rsidP="008E43CD">
      <w:pPr>
        <w:pStyle w:val="Normalnumber"/>
        <w:numPr>
          <w:ilvl w:val="1"/>
          <w:numId w:val="5"/>
        </w:numPr>
        <w:rPr>
          <w:lang w:val="fr-FR"/>
        </w:rPr>
      </w:pPr>
      <w:r w:rsidRPr="00FA2E2E">
        <w:rPr>
          <w:lang w:val="fr-FR"/>
        </w:rPr>
        <w:t>Tâches préalables, y compris l</w:t>
      </w:r>
      <w:r w:rsidR="00FE58E1" w:rsidRPr="00FA2E2E">
        <w:rPr>
          <w:lang w:val="fr-FR"/>
        </w:rPr>
        <w:t>’</w:t>
      </w:r>
      <w:r w:rsidRPr="00FA2E2E">
        <w:rPr>
          <w:lang w:val="fr-FR"/>
        </w:rPr>
        <w:t>élaboration d</w:t>
      </w:r>
      <w:r w:rsidR="00FE58E1" w:rsidRPr="00FA2E2E">
        <w:rPr>
          <w:lang w:val="fr-FR"/>
        </w:rPr>
        <w:t>’</w:t>
      </w:r>
      <w:r w:rsidRPr="00FA2E2E">
        <w:rPr>
          <w:lang w:val="fr-FR"/>
        </w:rPr>
        <w:t xml:space="preserve">un plan de protection sanitaire et de sécurité et le repérage des équipements collectifs et structures qui pourraient perturber les études détaillées ou être </w:t>
      </w:r>
      <w:r w:rsidR="00645962" w:rsidRPr="00FA2E2E">
        <w:rPr>
          <w:lang w:val="fr-FR"/>
        </w:rPr>
        <w:t>altérés</w:t>
      </w:r>
      <w:r w:rsidRPr="00FA2E2E">
        <w:rPr>
          <w:lang w:val="fr-FR"/>
        </w:rPr>
        <w:t xml:space="preserve"> par ces dernières (cette étape est destinée à faire en sorte que les activités d</w:t>
      </w:r>
      <w:r w:rsidR="00FE58E1" w:rsidRPr="00FA2E2E">
        <w:rPr>
          <w:lang w:val="fr-FR"/>
        </w:rPr>
        <w:t>’</w:t>
      </w:r>
      <w:r w:rsidRPr="00FA2E2E">
        <w:rPr>
          <w:lang w:val="fr-FR"/>
        </w:rPr>
        <w:t>échantillonnage ou d</w:t>
      </w:r>
      <w:r w:rsidR="00FE58E1" w:rsidRPr="00FA2E2E">
        <w:rPr>
          <w:lang w:val="fr-FR"/>
        </w:rPr>
        <w:t>’</w:t>
      </w:r>
      <w:r w:rsidRPr="00FA2E2E">
        <w:rPr>
          <w:lang w:val="fr-FR"/>
        </w:rPr>
        <w:t>étude n</w:t>
      </w:r>
      <w:r w:rsidR="00FE58E1" w:rsidRPr="00FA2E2E">
        <w:rPr>
          <w:lang w:val="fr-FR"/>
        </w:rPr>
        <w:t>’</w:t>
      </w:r>
      <w:r w:rsidRPr="00FA2E2E">
        <w:rPr>
          <w:lang w:val="fr-FR"/>
        </w:rPr>
        <w:t>aient pas d</w:t>
      </w:r>
      <w:r w:rsidR="00FE58E1" w:rsidRPr="00FA2E2E">
        <w:rPr>
          <w:lang w:val="fr-FR"/>
        </w:rPr>
        <w:t>’</w:t>
      </w:r>
      <w:r w:rsidRPr="00FA2E2E">
        <w:rPr>
          <w:lang w:val="fr-FR"/>
        </w:rPr>
        <w:t>incidence</w:t>
      </w:r>
      <w:r w:rsidR="00107D04" w:rsidRPr="00FA2E2E">
        <w:rPr>
          <w:lang w:val="fr-FR"/>
        </w:rPr>
        <w:t xml:space="preserve"> négative</w:t>
      </w:r>
      <w:r w:rsidRPr="00FA2E2E">
        <w:rPr>
          <w:lang w:val="fr-FR"/>
        </w:rPr>
        <w:t xml:space="preserve"> sur la santé et la sécurité des</w:t>
      </w:r>
      <w:r w:rsidR="00BD0B37" w:rsidRPr="00FA2E2E">
        <w:rPr>
          <w:lang w:val="fr-FR"/>
        </w:rPr>
        <w:t> </w:t>
      </w:r>
      <w:r w:rsidRPr="00FA2E2E">
        <w:rPr>
          <w:lang w:val="fr-FR"/>
        </w:rPr>
        <w:t>travailleurs, de tierces personnes ou autres) </w:t>
      </w:r>
      <w:r w:rsidR="00816847" w:rsidRPr="00FA2E2E">
        <w:rPr>
          <w:lang w:val="fr-FR"/>
        </w:rPr>
        <w:t>;</w:t>
      </w:r>
      <w:r w:rsidR="00D31AFF" w:rsidRPr="00FA2E2E">
        <w:rPr>
          <w:lang w:val="fr-FR"/>
        </w:rPr>
        <w:t xml:space="preserve"> </w:t>
      </w:r>
    </w:p>
    <w:p w14:paraId="06DADE97" w14:textId="5DDF6C45" w:rsidR="00D31AFF" w:rsidRPr="00FA2E2E" w:rsidRDefault="00FB7173" w:rsidP="008E43CD">
      <w:pPr>
        <w:pStyle w:val="Normalnumber"/>
        <w:numPr>
          <w:ilvl w:val="1"/>
          <w:numId w:val="5"/>
        </w:numPr>
        <w:rPr>
          <w:lang w:val="fr-FR"/>
        </w:rPr>
      </w:pPr>
      <w:r w:rsidRPr="00FA2E2E">
        <w:rPr>
          <w:lang w:val="fr-FR"/>
        </w:rPr>
        <w:t>Milieux d</w:t>
      </w:r>
      <w:r w:rsidR="00FE58E1" w:rsidRPr="00FA2E2E">
        <w:rPr>
          <w:lang w:val="fr-FR"/>
        </w:rPr>
        <w:t>’</w:t>
      </w:r>
      <w:r w:rsidRPr="00FA2E2E">
        <w:rPr>
          <w:lang w:val="fr-FR"/>
        </w:rPr>
        <w:t>échantillonnage, types de données et outils de recherche, y compris les</w:t>
      </w:r>
      <w:r w:rsidR="00BD0B37" w:rsidRPr="00FA2E2E">
        <w:rPr>
          <w:lang w:val="fr-FR"/>
        </w:rPr>
        <w:t> </w:t>
      </w:r>
      <w:r w:rsidRPr="00FA2E2E">
        <w:rPr>
          <w:lang w:val="fr-FR"/>
        </w:rPr>
        <w:t>décisions concernant les milieux qui seront échantillonnés (sols, sédiments, eaux souterraines, vapeurs émanant du sol, air, biote, eaux de surface, etc.) </w:t>
      </w:r>
      <w:r w:rsidR="00816847" w:rsidRPr="00FA2E2E">
        <w:rPr>
          <w:lang w:val="fr-FR"/>
        </w:rPr>
        <w:t>;</w:t>
      </w:r>
      <w:r w:rsidR="00D31AFF" w:rsidRPr="00FA2E2E">
        <w:rPr>
          <w:lang w:val="fr-FR"/>
        </w:rPr>
        <w:t xml:space="preserve"> </w:t>
      </w:r>
    </w:p>
    <w:p w14:paraId="1599EE6C" w14:textId="6CB3C7BD" w:rsidR="00D31AFF" w:rsidRPr="00FA2E2E" w:rsidRDefault="00FB7173" w:rsidP="008E43CD">
      <w:pPr>
        <w:pStyle w:val="Normalnumber"/>
        <w:numPr>
          <w:ilvl w:val="1"/>
          <w:numId w:val="5"/>
        </w:numPr>
        <w:rPr>
          <w:lang w:val="fr-FR"/>
        </w:rPr>
      </w:pPr>
      <w:r w:rsidRPr="00FA2E2E">
        <w:rPr>
          <w:lang w:val="fr-FR"/>
        </w:rPr>
        <w:t>Plan d</w:t>
      </w:r>
      <w:r w:rsidR="00FE58E1" w:rsidRPr="00FA2E2E">
        <w:rPr>
          <w:lang w:val="fr-FR"/>
        </w:rPr>
        <w:t>’</w:t>
      </w:r>
      <w:r w:rsidRPr="00FA2E2E">
        <w:rPr>
          <w:lang w:val="fr-FR"/>
        </w:rPr>
        <w:t>échantillonnage </w:t>
      </w:r>
      <w:r w:rsidR="00816847" w:rsidRPr="00FA2E2E">
        <w:rPr>
          <w:lang w:val="fr-FR"/>
        </w:rPr>
        <w:t>;</w:t>
      </w:r>
      <w:r w:rsidR="00D31AFF" w:rsidRPr="00FA2E2E">
        <w:rPr>
          <w:lang w:val="fr-FR"/>
        </w:rPr>
        <w:t xml:space="preserve"> </w:t>
      </w:r>
    </w:p>
    <w:p w14:paraId="4D5C551D" w14:textId="44518B2F" w:rsidR="00D31AFF" w:rsidRPr="00FA2E2E" w:rsidRDefault="00FB7173" w:rsidP="008E43CD">
      <w:pPr>
        <w:pStyle w:val="Normalnumber"/>
        <w:numPr>
          <w:ilvl w:val="1"/>
          <w:numId w:val="5"/>
        </w:numPr>
        <w:rPr>
          <w:lang w:val="fr-FR"/>
        </w:rPr>
      </w:pPr>
      <w:r w:rsidRPr="00FA2E2E">
        <w:rPr>
          <w:lang w:val="fr-FR"/>
        </w:rPr>
        <w:t>Méthodes d</w:t>
      </w:r>
      <w:r w:rsidR="00FE58E1" w:rsidRPr="00FA2E2E">
        <w:rPr>
          <w:lang w:val="fr-FR"/>
        </w:rPr>
        <w:t>’</w:t>
      </w:r>
      <w:r w:rsidRPr="00FA2E2E">
        <w:rPr>
          <w:lang w:val="fr-FR"/>
        </w:rPr>
        <w:t>échantillonnage et d</w:t>
      </w:r>
      <w:r w:rsidR="00FE58E1" w:rsidRPr="00FA2E2E">
        <w:rPr>
          <w:lang w:val="fr-FR"/>
        </w:rPr>
        <w:t>’</w:t>
      </w:r>
      <w:r w:rsidRPr="00FA2E2E">
        <w:rPr>
          <w:lang w:val="fr-FR"/>
        </w:rPr>
        <w:t>analyse et plan d</w:t>
      </w:r>
      <w:r w:rsidR="00FE58E1" w:rsidRPr="00FA2E2E">
        <w:rPr>
          <w:lang w:val="fr-FR"/>
        </w:rPr>
        <w:t>’</w:t>
      </w:r>
      <w:r w:rsidRPr="00FA2E2E">
        <w:rPr>
          <w:lang w:val="fr-FR"/>
        </w:rPr>
        <w:t>assurance de la qualité</w:t>
      </w:r>
      <w:r w:rsidR="004264DB" w:rsidRPr="00FA2E2E">
        <w:rPr>
          <w:lang w:val="fr-FR"/>
        </w:rPr>
        <w:t>.</w:t>
      </w:r>
    </w:p>
    <w:p w14:paraId="6A3A15FF" w14:textId="320F312B" w:rsidR="00D31AFF" w:rsidRPr="00FA2E2E" w:rsidRDefault="009E4DB0" w:rsidP="006D69D3">
      <w:pPr>
        <w:pStyle w:val="Normalnumber"/>
        <w:rPr>
          <w:lang w:val="fr-FR"/>
        </w:rPr>
      </w:pPr>
      <w:r w:rsidRPr="00FA2E2E">
        <w:rPr>
          <w:lang w:val="fr-FR"/>
        </w:rPr>
        <w:t>L</w:t>
      </w:r>
      <w:r w:rsidR="00FE58E1" w:rsidRPr="00FA2E2E">
        <w:rPr>
          <w:lang w:val="fr-FR"/>
        </w:rPr>
        <w:t>’</w:t>
      </w:r>
      <w:r w:rsidRPr="00FA2E2E">
        <w:rPr>
          <w:lang w:val="fr-FR"/>
        </w:rPr>
        <w:t>échantillonnage devrait être conçu en vue de la réalisation des objectifs de l</w:t>
      </w:r>
      <w:r w:rsidR="00FE58E1" w:rsidRPr="00FA2E2E">
        <w:rPr>
          <w:lang w:val="fr-FR"/>
        </w:rPr>
        <w:t>’</w:t>
      </w:r>
      <w:r w:rsidRPr="00FA2E2E">
        <w:rPr>
          <w:lang w:val="fr-FR"/>
        </w:rPr>
        <w:t>évaluation, qui visent à identifier les contaminants préoccupants présents sur le site, à établir leur répartition au sein du site et à repérer les foyers susceptibles de faire courir un risque inacceptable à la santé humaine ou à l</w:t>
      </w:r>
      <w:r w:rsidR="00FE58E1" w:rsidRPr="00FA2E2E">
        <w:rPr>
          <w:lang w:val="fr-FR"/>
        </w:rPr>
        <w:t>’</w:t>
      </w:r>
      <w:r w:rsidRPr="00FA2E2E">
        <w:rPr>
          <w:lang w:val="fr-FR"/>
        </w:rPr>
        <w:t>environnement</w:t>
      </w:r>
      <w:r w:rsidR="00D31AFF" w:rsidRPr="00FA2E2E">
        <w:rPr>
          <w:lang w:val="fr-FR"/>
        </w:rPr>
        <w:t xml:space="preserve">. </w:t>
      </w:r>
      <w:r w:rsidRPr="00FA2E2E">
        <w:rPr>
          <w:lang w:val="fr-FR"/>
        </w:rPr>
        <w:t>Une stratégie d</w:t>
      </w:r>
      <w:r w:rsidR="00FE58E1" w:rsidRPr="00FA2E2E">
        <w:rPr>
          <w:lang w:val="fr-FR"/>
        </w:rPr>
        <w:t>’</w:t>
      </w:r>
      <w:r w:rsidRPr="00FA2E2E">
        <w:rPr>
          <w:lang w:val="fr-FR"/>
        </w:rPr>
        <w:t>échantillonnage est élaborée en s</w:t>
      </w:r>
      <w:r w:rsidR="00FE58E1" w:rsidRPr="00FA2E2E">
        <w:rPr>
          <w:lang w:val="fr-FR"/>
        </w:rPr>
        <w:t>’</w:t>
      </w:r>
      <w:r w:rsidRPr="00FA2E2E">
        <w:rPr>
          <w:lang w:val="fr-FR"/>
        </w:rPr>
        <w:t>appuyant sur les informations réunies</w:t>
      </w:r>
      <w:r w:rsidR="004264DB" w:rsidRPr="00FA2E2E">
        <w:rPr>
          <w:lang w:val="fr-FR"/>
        </w:rPr>
        <w:t>.</w:t>
      </w:r>
      <w:r w:rsidR="00D31AFF" w:rsidRPr="00FA2E2E">
        <w:rPr>
          <w:lang w:val="fr-FR"/>
        </w:rPr>
        <w:t xml:space="preserve"> </w:t>
      </w:r>
      <w:r w:rsidRPr="00FA2E2E">
        <w:rPr>
          <w:lang w:val="fr-FR"/>
        </w:rPr>
        <w:t xml:space="preserve">Cette stratégie </w:t>
      </w:r>
      <w:r w:rsidR="009F7488" w:rsidRPr="00FA2E2E">
        <w:rPr>
          <w:lang w:val="fr-FR"/>
        </w:rPr>
        <w:t>prend en</w:t>
      </w:r>
      <w:r w:rsidRPr="00FA2E2E">
        <w:rPr>
          <w:lang w:val="fr-FR"/>
        </w:rPr>
        <w:t xml:space="preserve"> compte </w:t>
      </w:r>
      <w:r w:rsidR="009F7488" w:rsidRPr="00FA2E2E">
        <w:rPr>
          <w:lang w:val="fr-FR"/>
        </w:rPr>
        <w:t>le</w:t>
      </w:r>
      <w:r w:rsidRPr="00FA2E2E">
        <w:rPr>
          <w:lang w:val="fr-FR"/>
        </w:rPr>
        <w:t xml:space="preserve"> modèle conceptuel </w:t>
      </w:r>
      <w:r w:rsidR="007242B5" w:rsidRPr="00FA2E2E">
        <w:rPr>
          <w:lang w:val="fr-FR"/>
        </w:rPr>
        <w:t>de</w:t>
      </w:r>
      <w:r w:rsidRPr="00FA2E2E">
        <w:rPr>
          <w:lang w:val="fr-FR"/>
        </w:rPr>
        <w:t xml:space="preserve"> site afin de définir la grille d</w:t>
      </w:r>
      <w:r w:rsidR="00FE58E1" w:rsidRPr="00FA2E2E">
        <w:rPr>
          <w:lang w:val="fr-FR"/>
        </w:rPr>
        <w:t>’</w:t>
      </w:r>
      <w:r w:rsidRPr="00FA2E2E">
        <w:rPr>
          <w:lang w:val="fr-FR"/>
        </w:rPr>
        <w:t>échantillonnage (densité, nombre et répartition des points d</w:t>
      </w:r>
      <w:r w:rsidR="00FE58E1" w:rsidRPr="00FA2E2E">
        <w:rPr>
          <w:lang w:val="fr-FR"/>
        </w:rPr>
        <w:t>’</w:t>
      </w:r>
      <w:r w:rsidRPr="00FA2E2E">
        <w:rPr>
          <w:lang w:val="fr-FR"/>
        </w:rPr>
        <w:t xml:space="preserve">échantillonnage), </w:t>
      </w:r>
      <w:r w:rsidR="009F7488" w:rsidRPr="00FA2E2E">
        <w:rPr>
          <w:lang w:val="fr-FR"/>
        </w:rPr>
        <w:t>le</w:t>
      </w:r>
      <w:r w:rsidRPr="00FA2E2E">
        <w:rPr>
          <w:lang w:val="fr-FR"/>
        </w:rPr>
        <w:t xml:space="preserve"> type d</w:t>
      </w:r>
      <w:r w:rsidR="00FE58E1" w:rsidRPr="00FA2E2E">
        <w:rPr>
          <w:lang w:val="fr-FR"/>
        </w:rPr>
        <w:t>’</w:t>
      </w:r>
      <w:r w:rsidRPr="00FA2E2E">
        <w:rPr>
          <w:lang w:val="fr-FR"/>
        </w:rPr>
        <w:t xml:space="preserve">échantillonnage (un ou plusieurs degrés), </w:t>
      </w:r>
      <w:r w:rsidR="009F7488" w:rsidRPr="00FA2E2E">
        <w:rPr>
          <w:lang w:val="fr-FR"/>
        </w:rPr>
        <w:t>le</w:t>
      </w:r>
      <w:r w:rsidRPr="00FA2E2E">
        <w:rPr>
          <w:lang w:val="fr-FR"/>
        </w:rPr>
        <w:t xml:space="preserve"> type d</w:t>
      </w:r>
      <w:r w:rsidR="00FE58E1" w:rsidRPr="00FA2E2E">
        <w:rPr>
          <w:lang w:val="fr-FR"/>
        </w:rPr>
        <w:t>’</w:t>
      </w:r>
      <w:r w:rsidRPr="00FA2E2E">
        <w:rPr>
          <w:lang w:val="fr-FR"/>
        </w:rPr>
        <w:t xml:space="preserve">échantillon (simple ou composite), la profondeur et </w:t>
      </w:r>
      <w:r w:rsidR="009F7488" w:rsidRPr="00FA2E2E">
        <w:rPr>
          <w:lang w:val="fr-FR"/>
        </w:rPr>
        <w:t>les</w:t>
      </w:r>
      <w:r w:rsidRPr="00FA2E2E">
        <w:rPr>
          <w:lang w:val="fr-FR"/>
        </w:rPr>
        <w:t xml:space="preserve"> intervalles </w:t>
      </w:r>
      <w:r w:rsidR="009C1E93" w:rsidRPr="00FA2E2E">
        <w:rPr>
          <w:lang w:val="fr-FR"/>
        </w:rPr>
        <w:t>de l</w:t>
      </w:r>
      <w:r w:rsidR="00FE58E1" w:rsidRPr="00FA2E2E">
        <w:rPr>
          <w:lang w:val="fr-FR"/>
        </w:rPr>
        <w:t>’</w:t>
      </w:r>
      <w:r w:rsidR="009C1E93" w:rsidRPr="00FA2E2E">
        <w:rPr>
          <w:lang w:val="fr-FR"/>
        </w:rPr>
        <w:t>échantillonnage</w:t>
      </w:r>
      <w:r w:rsidR="009F7488" w:rsidRPr="00FA2E2E">
        <w:rPr>
          <w:lang w:val="fr-FR"/>
        </w:rPr>
        <w:t xml:space="preserve"> ainsi que</w:t>
      </w:r>
      <w:r w:rsidRPr="00FA2E2E">
        <w:rPr>
          <w:lang w:val="fr-FR"/>
        </w:rPr>
        <w:t xml:space="preserve"> </w:t>
      </w:r>
      <w:r w:rsidR="009F7488" w:rsidRPr="00FA2E2E">
        <w:rPr>
          <w:lang w:val="fr-FR"/>
        </w:rPr>
        <w:t>les</w:t>
      </w:r>
      <w:r w:rsidRPr="00FA2E2E">
        <w:rPr>
          <w:lang w:val="fr-FR"/>
        </w:rPr>
        <w:t xml:space="preserve"> contaminants </w:t>
      </w:r>
      <w:r w:rsidR="009C1E93" w:rsidRPr="00FA2E2E">
        <w:rPr>
          <w:lang w:val="fr-FR"/>
        </w:rPr>
        <w:t>préoccupants</w:t>
      </w:r>
      <w:r w:rsidRPr="00FA2E2E">
        <w:rPr>
          <w:lang w:val="fr-FR"/>
        </w:rPr>
        <w:t xml:space="preserve"> (mercure, méthylmercure et</w:t>
      </w:r>
      <w:r w:rsidR="009C1E93" w:rsidRPr="00FA2E2E">
        <w:rPr>
          <w:lang w:val="fr-FR"/>
        </w:rPr>
        <w:t>/ou</w:t>
      </w:r>
      <w:r w:rsidRPr="00FA2E2E">
        <w:rPr>
          <w:lang w:val="fr-FR"/>
        </w:rPr>
        <w:t xml:space="preserve"> autres composés du mercure)</w:t>
      </w:r>
      <w:r w:rsidR="00D31AFF" w:rsidRPr="00FA2E2E">
        <w:rPr>
          <w:lang w:val="fr-FR"/>
        </w:rPr>
        <w:t>.</w:t>
      </w:r>
      <w:r w:rsidR="00152CD3" w:rsidRPr="00FA2E2E">
        <w:rPr>
          <w:lang w:val="fr-FR"/>
        </w:rPr>
        <w:t xml:space="preserve"> </w:t>
      </w:r>
      <w:r w:rsidR="009C1E93" w:rsidRPr="00FA2E2E">
        <w:rPr>
          <w:lang w:val="fr-FR"/>
        </w:rPr>
        <w:t>Lors de l</w:t>
      </w:r>
      <w:r w:rsidR="00FE58E1" w:rsidRPr="00FA2E2E">
        <w:rPr>
          <w:lang w:val="fr-FR"/>
        </w:rPr>
        <w:t>’</w:t>
      </w:r>
      <w:r w:rsidR="009C1E93" w:rsidRPr="00FA2E2E">
        <w:rPr>
          <w:lang w:val="fr-FR"/>
        </w:rPr>
        <w:t>élaboration du plan d</w:t>
      </w:r>
      <w:r w:rsidR="00FE58E1" w:rsidRPr="00FA2E2E">
        <w:rPr>
          <w:lang w:val="fr-FR"/>
        </w:rPr>
        <w:t>’</w:t>
      </w:r>
      <w:r w:rsidR="009C1E93" w:rsidRPr="00FA2E2E">
        <w:rPr>
          <w:lang w:val="fr-FR"/>
        </w:rPr>
        <w:t>échantillonnage, des considérations pratiques telles que la logistique, le transport et la conservation des échantillons, la</w:t>
      </w:r>
      <w:r w:rsidR="00BD0B37" w:rsidRPr="00FA2E2E">
        <w:rPr>
          <w:lang w:val="fr-FR"/>
        </w:rPr>
        <w:t> </w:t>
      </w:r>
      <w:r w:rsidR="009C1E93" w:rsidRPr="00FA2E2E">
        <w:rPr>
          <w:lang w:val="fr-FR"/>
        </w:rPr>
        <w:t>disponibilité des équipements et les coûts devraient être prises en compte</w:t>
      </w:r>
      <w:r w:rsidR="00D31AFF" w:rsidRPr="00FA2E2E">
        <w:rPr>
          <w:lang w:val="fr-FR"/>
        </w:rPr>
        <w:t>.</w:t>
      </w:r>
    </w:p>
    <w:p w14:paraId="516AB705" w14:textId="6DCCF9F6" w:rsidR="00D31AFF" w:rsidRPr="00FA2E2E" w:rsidRDefault="00E06EAF" w:rsidP="008E43CD">
      <w:pPr>
        <w:pStyle w:val="Normalnumber"/>
        <w:numPr>
          <w:ilvl w:val="0"/>
          <w:numId w:val="5"/>
        </w:numPr>
        <w:rPr>
          <w:lang w:val="fr-FR"/>
        </w:rPr>
      </w:pPr>
      <w:r w:rsidRPr="00FA2E2E">
        <w:rPr>
          <w:lang w:val="fr-FR"/>
        </w:rPr>
        <w:t>Certains pays</w:t>
      </w:r>
      <w:r w:rsidR="00D31AFF" w:rsidRPr="00FA2E2E">
        <w:rPr>
          <w:lang w:val="fr-FR"/>
        </w:rPr>
        <w:t xml:space="preserve"> </w:t>
      </w:r>
      <w:r w:rsidRPr="00FA2E2E">
        <w:rPr>
          <w:lang w:val="fr-FR"/>
        </w:rPr>
        <w:t>possèdent des méthodes d</w:t>
      </w:r>
      <w:r w:rsidR="00FE58E1" w:rsidRPr="00FA2E2E">
        <w:rPr>
          <w:lang w:val="fr-FR"/>
        </w:rPr>
        <w:t>’</w:t>
      </w:r>
      <w:r w:rsidRPr="00FA2E2E">
        <w:rPr>
          <w:lang w:val="fr-FR"/>
        </w:rPr>
        <w:t>échantillonnage et d</w:t>
      </w:r>
      <w:r w:rsidR="00FE58E1" w:rsidRPr="00FA2E2E">
        <w:rPr>
          <w:lang w:val="fr-FR"/>
        </w:rPr>
        <w:t>’</w:t>
      </w:r>
      <w:r w:rsidRPr="00FA2E2E">
        <w:rPr>
          <w:lang w:val="fr-FR"/>
        </w:rPr>
        <w:t>analyse normalisées pour d</w:t>
      </w:r>
      <w:r w:rsidR="00FE58E1" w:rsidRPr="00FA2E2E">
        <w:rPr>
          <w:lang w:val="fr-FR"/>
        </w:rPr>
        <w:t>’</w:t>
      </w:r>
      <w:r w:rsidRPr="00FA2E2E">
        <w:rPr>
          <w:lang w:val="fr-FR"/>
        </w:rPr>
        <w:t>autres milieux environnementaux</w:t>
      </w:r>
      <w:r w:rsidR="00D31AFF" w:rsidRPr="00FA2E2E">
        <w:rPr>
          <w:rStyle w:val="FootnoteReference"/>
          <w:lang w:val="fr-FR"/>
        </w:rPr>
        <w:footnoteReference w:id="10"/>
      </w:r>
      <w:r w:rsidRPr="00FA2E2E">
        <w:rPr>
          <w:lang w:val="fr-FR"/>
        </w:rPr>
        <w:t>.</w:t>
      </w:r>
      <w:r w:rsidR="00D31AFF" w:rsidRPr="00FA2E2E">
        <w:rPr>
          <w:lang w:val="fr-FR"/>
        </w:rPr>
        <w:t xml:space="preserve"> </w:t>
      </w:r>
      <w:r w:rsidRPr="00FA2E2E">
        <w:rPr>
          <w:lang w:val="fr-FR"/>
        </w:rPr>
        <w:t>L</w:t>
      </w:r>
      <w:r w:rsidR="00FE58E1" w:rsidRPr="00FA2E2E">
        <w:rPr>
          <w:lang w:val="fr-FR"/>
        </w:rPr>
        <w:t>’</w:t>
      </w:r>
      <w:r w:rsidRPr="00FA2E2E">
        <w:rPr>
          <w:lang w:val="fr-FR"/>
        </w:rPr>
        <w:t>Organisation internationale de normalisation dispose également des</w:t>
      </w:r>
      <w:r w:rsidR="00BD0B37" w:rsidRPr="00FA2E2E">
        <w:rPr>
          <w:lang w:val="fr-FR"/>
        </w:rPr>
        <w:t> </w:t>
      </w:r>
      <w:r w:rsidRPr="00FA2E2E">
        <w:rPr>
          <w:lang w:val="fr-FR"/>
        </w:rPr>
        <w:t xml:space="preserve">normes ci-après </w:t>
      </w:r>
      <w:r w:rsidR="00865FEC" w:rsidRPr="00FA2E2E">
        <w:rPr>
          <w:lang w:val="fr-FR"/>
        </w:rPr>
        <w:t>concernant l</w:t>
      </w:r>
      <w:r w:rsidR="00FE58E1" w:rsidRPr="00FA2E2E">
        <w:rPr>
          <w:lang w:val="fr-FR"/>
        </w:rPr>
        <w:t>’</w:t>
      </w:r>
      <w:r w:rsidR="00865FEC" w:rsidRPr="00FA2E2E">
        <w:rPr>
          <w:lang w:val="fr-FR"/>
        </w:rPr>
        <w:t>échantillonnage pour le contrôle de la qualité des sols et de l</w:t>
      </w:r>
      <w:r w:rsidR="00FE58E1" w:rsidRPr="00FA2E2E">
        <w:rPr>
          <w:lang w:val="fr-FR"/>
        </w:rPr>
        <w:t>’</w:t>
      </w:r>
      <w:r w:rsidR="00865FEC" w:rsidRPr="00FA2E2E">
        <w:rPr>
          <w:lang w:val="fr-FR"/>
        </w:rPr>
        <w:t>eau </w:t>
      </w:r>
      <w:r w:rsidR="00D31AFF" w:rsidRPr="00FA2E2E">
        <w:rPr>
          <w:lang w:val="fr-FR"/>
        </w:rPr>
        <w:t xml:space="preserve">: </w:t>
      </w:r>
    </w:p>
    <w:p w14:paraId="05FC1D6D" w14:textId="789B6F67" w:rsidR="00D31AFF" w:rsidRPr="00FA2E2E" w:rsidRDefault="00062F27" w:rsidP="008E43CD">
      <w:pPr>
        <w:pStyle w:val="Normalnumber"/>
        <w:numPr>
          <w:ilvl w:val="1"/>
          <w:numId w:val="5"/>
        </w:numPr>
        <w:rPr>
          <w:lang w:val="fr-FR"/>
        </w:rPr>
      </w:pPr>
      <w:r w:rsidRPr="00FA2E2E">
        <w:rPr>
          <w:lang w:val="fr-FR"/>
        </w:rPr>
        <w:t xml:space="preserve">ISO 18400-104, </w:t>
      </w:r>
      <w:r w:rsidR="00865FEC" w:rsidRPr="00FA2E2E">
        <w:rPr>
          <w:lang w:val="fr-FR"/>
        </w:rPr>
        <w:t>Qualité du sol</w:t>
      </w:r>
      <w:r w:rsidRPr="00FA2E2E">
        <w:rPr>
          <w:lang w:val="fr-FR"/>
        </w:rPr>
        <w:t xml:space="preserve"> — </w:t>
      </w:r>
      <w:bookmarkStart w:id="19" w:name="_Hlk20831488"/>
      <w:r w:rsidR="00865FEC" w:rsidRPr="00FA2E2E">
        <w:rPr>
          <w:lang w:val="fr-FR"/>
        </w:rPr>
        <w:t xml:space="preserve">Échantillonnage </w:t>
      </w:r>
      <w:bookmarkEnd w:id="19"/>
      <w:r w:rsidRPr="00FA2E2E">
        <w:rPr>
          <w:lang w:val="fr-FR"/>
        </w:rPr>
        <w:t>— Part</w:t>
      </w:r>
      <w:r w:rsidR="00865FEC" w:rsidRPr="00FA2E2E">
        <w:rPr>
          <w:lang w:val="fr-FR"/>
        </w:rPr>
        <w:t>ie </w:t>
      </w:r>
      <w:r w:rsidRPr="00FA2E2E">
        <w:rPr>
          <w:lang w:val="fr-FR"/>
        </w:rPr>
        <w:t>104</w:t>
      </w:r>
      <w:r w:rsidR="00865FEC" w:rsidRPr="00FA2E2E">
        <w:rPr>
          <w:lang w:val="fr-FR"/>
        </w:rPr>
        <w:t> </w:t>
      </w:r>
      <w:r w:rsidRPr="00FA2E2E">
        <w:rPr>
          <w:lang w:val="fr-FR"/>
        </w:rPr>
        <w:t xml:space="preserve">: </w:t>
      </w:r>
      <w:r w:rsidR="00865FEC" w:rsidRPr="00FA2E2E">
        <w:rPr>
          <w:lang w:val="fr-FR"/>
        </w:rPr>
        <w:t>S</w:t>
      </w:r>
      <w:r w:rsidRPr="00FA2E2E">
        <w:rPr>
          <w:lang w:val="fr-FR"/>
        </w:rPr>
        <w:t>trat</w:t>
      </w:r>
      <w:r w:rsidR="00865FEC" w:rsidRPr="00FA2E2E">
        <w:rPr>
          <w:lang w:val="fr-FR"/>
        </w:rPr>
        <w:t>é</w:t>
      </w:r>
      <w:r w:rsidRPr="00FA2E2E">
        <w:rPr>
          <w:lang w:val="fr-FR"/>
        </w:rPr>
        <w:t>gies</w:t>
      </w:r>
      <w:r w:rsidR="002C4D56" w:rsidRPr="00FA2E2E">
        <w:rPr>
          <w:lang w:val="fr-FR"/>
        </w:rPr>
        <w:t> ;</w:t>
      </w:r>
    </w:p>
    <w:p w14:paraId="34019393" w14:textId="22BFBB82" w:rsidR="00D31AFF" w:rsidRPr="00FA2E2E" w:rsidRDefault="00062F27" w:rsidP="008E43CD">
      <w:pPr>
        <w:pStyle w:val="Normalnumber"/>
        <w:numPr>
          <w:ilvl w:val="1"/>
          <w:numId w:val="5"/>
        </w:numPr>
        <w:rPr>
          <w:lang w:val="fr-FR"/>
        </w:rPr>
      </w:pPr>
      <w:r w:rsidRPr="00FA2E2E">
        <w:rPr>
          <w:lang w:val="fr-FR"/>
        </w:rPr>
        <w:t xml:space="preserve">ISO 18400-202, </w:t>
      </w:r>
      <w:r w:rsidR="00865FEC" w:rsidRPr="00FA2E2E">
        <w:rPr>
          <w:lang w:val="fr-FR"/>
        </w:rPr>
        <w:t xml:space="preserve">Qualité du sol </w:t>
      </w:r>
      <w:r w:rsidRPr="00FA2E2E">
        <w:rPr>
          <w:lang w:val="fr-FR"/>
        </w:rPr>
        <w:t xml:space="preserve">— </w:t>
      </w:r>
      <w:r w:rsidR="00865FEC" w:rsidRPr="00FA2E2E">
        <w:rPr>
          <w:lang w:val="fr-FR"/>
        </w:rPr>
        <w:t xml:space="preserve">Échantillonnage </w:t>
      </w:r>
      <w:r w:rsidRPr="00FA2E2E">
        <w:rPr>
          <w:lang w:val="fr-FR"/>
        </w:rPr>
        <w:t>— Part</w:t>
      </w:r>
      <w:r w:rsidR="00865FEC" w:rsidRPr="00FA2E2E">
        <w:rPr>
          <w:lang w:val="fr-FR"/>
        </w:rPr>
        <w:t>ie </w:t>
      </w:r>
      <w:r w:rsidRPr="00FA2E2E">
        <w:rPr>
          <w:lang w:val="fr-FR"/>
        </w:rPr>
        <w:t>202</w:t>
      </w:r>
      <w:r w:rsidR="00865FEC" w:rsidRPr="00FA2E2E">
        <w:rPr>
          <w:lang w:val="fr-FR"/>
        </w:rPr>
        <w:t> </w:t>
      </w:r>
      <w:r w:rsidRPr="00FA2E2E">
        <w:rPr>
          <w:lang w:val="fr-FR"/>
        </w:rPr>
        <w:t xml:space="preserve">: </w:t>
      </w:r>
      <w:r w:rsidR="00865FEC" w:rsidRPr="00FA2E2E">
        <w:rPr>
          <w:lang w:val="fr-FR"/>
        </w:rPr>
        <w:t>I</w:t>
      </w:r>
      <w:r w:rsidRPr="00FA2E2E">
        <w:rPr>
          <w:lang w:val="fr-FR"/>
        </w:rPr>
        <w:t>nvestigations</w:t>
      </w:r>
      <w:r w:rsidR="00865FEC" w:rsidRPr="00FA2E2E">
        <w:rPr>
          <w:lang w:val="fr-FR"/>
        </w:rPr>
        <w:t xml:space="preserve"> préliminaires</w:t>
      </w:r>
      <w:r w:rsidR="002C4D56" w:rsidRPr="00FA2E2E">
        <w:rPr>
          <w:lang w:val="fr-FR"/>
        </w:rPr>
        <w:t> ;</w:t>
      </w:r>
    </w:p>
    <w:p w14:paraId="3B8731FD" w14:textId="47668EB7" w:rsidR="00D31AFF" w:rsidRPr="00FA2E2E" w:rsidRDefault="00D31AFF" w:rsidP="008E43CD">
      <w:pPr>
        <w:pStyle w:val="Normalnumber"/>
        <w:numPr>
          <w:ilvl w:val="1"/>
          <w:numId w:val="5"/>
        </w:numPr>
        <w:rPr>
          <w:lang w:val="fr-FR"/>
        </w:rPr>
      </w:pPr>
      <w:r w:rsidRPr="00FA2E2E">
        <w:rPr>
          <w:lang w:val="fr-FR"/>
        </w:rPr>
        <w:t xml:space="preserve">ISO 18400-204, </w:t>
      </w:r>
      <w:r w:rsidR="00865FEC" w:rsidRPr="00FA2E2E">
        <w:rPr>
          <w:lang w:val="fr-FR"/>
        </w:rPr>
        <w:t xml:space="preserve">Qualité du sol </w:t>
      </w:r>
      <w:r w:rsidRPr="00FA2E2E">
        <w:rPr>
          <w:lang w:val="fr-FR"/>
        </w:rPr>
        <w:t xml:space="preserve">— </w:t>
      </w:r>
      <w:r w:rsidR="00865FEC" w:rsidRPr="00FA2E2E">
        <w:rPr>
          <w:lang w:val="fr-FR"/>
        </w:rPr>
        <w:t xml:space="preserve">Échantillonnage </w:t>
      </w:r>
      <w:r w:rsidRPr="00FA2E2E">
        <w:rPr>
          <w:lang w:val="fr-FR"/>
        </w:rPr>
        <w:t>— Part</w:t>
      </w:r>
      <w:r w:rsidR="00865FEC" w:rsidRPr="00FA2E2E">
        <w:rPr>
          <w:lang w:val="fr-FR"/>
        </w:rPr>
        <w:t>ie </w:t>
      </w:r>
      <w:r w:rsidRPr="00FA2E2E">
        <w:rPr>
          <w:lang w:val="fr-FR"/>
        </w:rPr>
        <w:t>204</w:t>
      </w:r>
      <w:r w:rsidR="00865FEC" w:rsidRPr="00FA2E2E">
        <w:rPr>
          <w:lang w:val="fr-FR"/>
        </w:rPr>
        <w:t> </w:t>
      </w:r>
      <w:r w:rsidRPr="00FA2E2E">
        <w:rPr>
          <w:lang w:val="fr-FR"/>
        </w:rPr>
        <w:t xml:space="preserve">: </w:t>
      </w:r>
      <w:r w:rsidR="00865FEC" w:rsidRPr="00FA2E2E">
        <w:rPr>
          <w:lang w:val="fr-FR"/>
        </w:rPr>
        <w:t>Lignes directrices</w:t>
      </w:r>
      <w:r w:rsidR="002C4D56" w:rsidRPr="00FA2E2E">
        <w:rPr>
          <w:lang w:val="fr-FR"/>
        </w:rPr>
        <w:t> </w:t>
      </w:r>
      <w:r w:rsidR="00865FEC" w:rsidRPr="00FA2E2E">
        <w:rPr>
          <w:lang w:val="fr-FR"/>
        </w:rPr>
        <w:t>pour l</w:t>
      </w:r>
      <w:r w:rsidR="00FE58E1" w:rsidRPr="00FA2E2E">
        <w:rPr>
          <w:lang w:val="fr-FR"/>
        </w:rPr>
        <w:t>’</w:t>
      </w:r>
      <w:r w:rsidR="00865FEC" w:rsidRPr="00FA2E2E">
        <w:rPr>
          <w:lang w:val="fr-FR"/>
        </w:rPr>
        <w:t>échantillonnage des gaz de sol</w:t>
      </w:r>
      <w:r w:rsidR="002C4D56" w:rsidRPr="00FA2E2E">
        <w:rPr>
          <w:lang w:val="fr-FR"/>
        </w:rPr>
        <w:t> ;</w:t>
      </w:r>
    </w:p>
    <w:p w14:paraId="4C958A9B" w14:textId="740F8B6A" w:rsidR="00D31AFF" w:rsidRPr="00FA2E2E" w:rsidRDefault="00D31AFF" w:rsidP="008E43CD">
      <w:pPr>
        <w:pStyle w:val="Normalnumber"/>
        <w:numPr>
          <w:ilvl w:val="1"/>
          <w:numId w:val="5"/>
        </w:numPr>
        <w:rPr>
          <w:lang w:val="fr-FR"/>
        </w:rPr>
      </w:pPr>
      <w:r w:rsidRPr="00FA2E2E">
        <w:rPr>
          <w:lang w:val="fr-FR"/>
        </w:rPr>
        <w:t xml:space="preserve">ISO 5667-11, </w:t>
      </w:r>
      <w:r w:rsidR="00865FEC" w:rsidRPr="00FA2E2E">
        <w:rPr>
          <w:lang w:val="fr-FR"/>
        </w:rPr>
        <w:t>Qualité de l</w:t>
      </w:r>
      <w:r w:rsidR="00FE58E1" w:rsidRPr="00FA2E2E">
        <w:rPr>
          <w:lang w:val="fr-FR"/>
        </w:rPr>
        <w:t>’</w:t>
      </w:r>
      <w:r w:rsidR="00865FEC" w:rsidRPr="00FA2E2E">
        <w:rPr>
          <w:lang w:val="fr-FR"/>
        </w:rPr>
        <w:t>eau</w:t>
      </w:r>
      <w:r w:rsidRPr="00FA2E2E">
        <w:rPr>
          <w:lang w:val="fr-FR"/>
        </w:rPr>
        <w:t xml:space="preserve"> — </w:t>
      </w:r>
      <w:r w:rsidR="00865FEC" w:rsidRPr="00FA2E2E">
        <w:rPr>
          <w:lang w:val="fr-FR"/>
        </w:rPr>
        <w:t xml:space="preserve">Échantillonnage </w:t>
      </w:r>
      <w:r w:rsidRPr="00FA2E2E">
        <w:rPr>
          <w:lang w:val="fr-FR"/>
        </w:rPr>
        <w:t>— Part</w:t>
      </w:r>
      <w:r w:rsidR="00865FEC" w:rsidRPr="00FA2E2E">
        <w:rPr>
          <w:lang w:val="fr-FR"/>
        </w:rPr>
        <w:t>ie </w:t>
      </w:r>
      <w:r w:rsidRPr="00FA2E2E">
        <w:rPr>
          <w:lang w:val="fr-FR"/>
        </w:rPr>
        <w:t>11</w:t>
      </w:r>
      <w:r w:rsidR="00865FEC" w:rsidRPr="00FA2E2E">
        <w:rPr>
          <w:lang w:val="fr-FR"/>
        </w:rPr>
        <w:t> </w:t>
      </w:r>
      <w:r w:rsidRPr="00FA2E2E">
        <w:rPr>
          <w:lang w:val="fr-FR"/>
        </w:rPr>
        <w:t xml:space="preserve">: </w:t>
      </w:r>
      <w:r w:rsidR="00865FEC" w:rsidRPr="00FA2E2E">
        <w:rPr>
          <w:lang w:val="fr-FR"/>
        </w:rPr>
        <w:t>Lignes directrices pour l</w:t>
      </w:r>
      <w:r w:rsidR="00FE58E1" w:rsidRPr="00FA2E2E">
        <w:rPr>
          <w:lang w:val="fr-FR"/>
        </w:rPr>
        <w:t>’</w:t>
      </w:r>
      <w:r w:rsidR="00865FEC" w:rsidRPr="00FA2E2E">
        <w:rPr>
          <w:lang w:val="fr-FR"/>
        </w:rPr>
        <w:t>échantillonnage des eaux souterraines</w:t>
      </w:r>
      <w:r w:rsidR="002C4D56" w:rsidRPr="00FA2E2E">
        <w:rPr>
          <w:lang w:val="fr-FR"/>
        </w:rPr>
        <w:t>.</w:t>
      </w:r>
    </w:p>
    <w:p w14:paraId="1FF33207" w14:textId="67D2079C" w:rsidR="00D31AFF" w:rsidRPr="00FA2E2E" w:rsidRDefault="00FC1279" w:rsidP="008B22F8">
      <w:pPr>
        <w:pStyle w:val="Normalnumber"/>
        <w:keepNext/>
        <w:keepLines/>
        <w:numPr>
          <w:ilvl w:val="0"/>
          <w:numId w:val="5"/>
        </w:numPr>
        <w:rPr>
          <w:lang w:val="fr-FR"/>
        </w:rPr>
      </w:pPr>
      <w:r w:rsidRPr="00FA2E2E">
        <w:rPr>
          <w:lang w:val="fr-FR"/>
        </w:rPr>
        <w:t>Si une biosurveillance humaine est entreprise</w:t>
      </w:r>
      <w:r w:rsidR="00D31AFF" w:rsidRPr="00FA2E2E">
        <w:rPr>
          <w:lang w:val="fr-FR"/>
        </w:rPr>
        <w:t>,</w:t>
      </w:r>
      <w:r w:rsidR="00123ABB" w:rsidRPr="00FA2E2E">
        <w:rPr>
          <w:lang w:val="fr-FR"/>
        </w:rPr>
        <w:t xml:space="preserve"> il peut s</w:t>
      </w:r>
      <w:r w:rsidR="00FE58E1" w:rsidRPr="00FA2E2E">
        <w:rPr>
          <w:lang w:val="fr-FR"/>
        </w:rPr>
        <w:t>’</w:t>
      </w:r>
      <w:r w:rsidR="00123ABB" w:rsidRPr="00FA2E2E">
        <w:rPr>
          <w:lang w:val="fr-FR"/>
        </w:rPr>
        <w:t>avérer utile d</w:t>
      </w:r>
      <w:r w:rsidR="00FE58E1" w:rsidRPr="00FA2E2E">
        <w:rPr>
          <w:lang w:val="fr-FR"/>
        </w:rPr>
        <w:t>’</w:t>
      </w:r>
      <w:r w:rsidR="00123ABB" w:rsidRPr="00FA2E2E">
        <w:rPr>
          <w:lang w:val="fr-FR"/>
        </w:rPr>
        <w:t>utiliser le protocole d</w:t>
      </w:r>
      <w:r w:rsidR="00FE58E1" w:rsidRPr="00FA2E2E">
        <w:rPr>
          <w:lang w:val="fr-FR"/>
        </w:rPr>
        <w:t>’</w:t>
      </w:r>
      <w:r w:rsidR="00123ABB" w:rsidRPr="00FA2E2E">
        <w:rPr>
          <w:lang w:val="fr-FR"/>
        </w:rPr>
        <w:t xml:space="preserve">étude </w:t>
      </w:r>
      <w:r w:rsidR="00A136A1" w:rsidRPr="00FA2E2E">
        <w:rPr>
          <w:lang w:val="fr-FR"/>
        </w:rPr>
        <w:t xml:space="preserve">et les </w:t>
      </w:r>
      <w:bookmarkStart w:id="20" w:name="_Hlk20900261"/>
      <w:r w:rsidR="009F7488" w:rsidRPr="00FA2E2E">
        <w:rPr>
          <w:lang w:val="fr-FR"/>
        </w:rPr>
        <w:t>procédures</w:t>
      </w:r>
      <w:r w:rsidR="00A136A1" w:rsidRPr="00FA2E2E">
        <w:rPr>
          <w:lang w:val="fr-FR"/>
        </w:rPr>
        <w:t xml:space="preserve"> opératoires normalisé</w:t>
      </w:r>
      <w:r w:rsidR="009F7488" w:rsidRPr="00FA2E2E">
        <w:rPr>
          <w:lang w:val="fr-FR"/>
        </w:rPr>
        <w:t>e</w:t>
      </w:r>
      <w:r w:rsidR="00A136A1" w:rsidRPr="00FA2E2E">
        <w:rPr>
          <w:lang w:val="fr-FR"/>
        </w:rPr>
        <w:t>s pour la biosurveillance humaine aux fins de l</w:t>
      </w:r>
      <w:r w:rsidR="00FE58E1" w:rsidRPr="00FA2E2E">
        <w:rPr>
          <w:lang w:val="fr-FR"/>
        </w:rPr>
        <w:t>’</w:t>
      </w:r>
      <w:r w:rsidR="00A136A1" w:rsidRPr="00FA2E2E">
        <w:rPr>
          <w:lang w:val="fr-FR"/>
        </w:rPr>
        <w:t>évaluation de l</w:t>
      </w:r>
      <w:r w:rsidR="00FE58E1" w:rsidRPr="00FA2E2E">
        <w:rPr>
          <w:lang w:val="fr-FR"/>
        </w:rPr>
        <w:t>’</w:t>
      </w:r>
      <w:r w:rsidR="00A136A1" w:rsidRPr="00FA2E2E">
        <w:rPr>
          <w:lang w:val="fr-FR"/>
        </w:rPr>
        <w:t xml:space="preserve">exposition prénatale au mercure </w:t>
      </w:r>
      <w:r w:rsidR="00123ABB" w:rsidRPr="00FA2E2E">
        <w:rPr>
          <w:lang w:val="fr-FR"/>
        </w:rPr>
        <w:t>de l</w:t>
      </w:r>
      <w:r w:rsidR="00FE58E1" w:rsidRPr="00FA2E2E">
        <w:rPr>
          <w:lang w:val="fr-FR"/>
        </w:rPr>
        <w:t>’</w:t>
      </w:r>
      <w:r w:rsidR="00123ABB" w:rsidRPr="00FA2E2E">
        <w:rPr>
          <w:lang w:val="fr-FR"/>
        </w:rPr>
        <w:t>Organisation mondiale de la Santé</w:t>
      </w:r>
      <w:bookmarkEnd w:id="20"/>
      <w:r w:rsidR="00D31AFF" w:rsidRPr="00FA2E2E">
        <w:rPr>
          <w:lang w:val="fr-FR"/>
        </w:rPr>
        <w:t xml:space="preserve"> (</w:t>
      </w:r>
      <w:r w:rsidR="005A1C6C" w:rsidRPr="00FA2E2E">
        <w:rPr>
          <w:lang w:val="fr-FR"/>
        </w:rPr>
        <w:t>OMS</w:t>
      </w:r>
      <w:r w:rsidR="005D7D61" w:rsidRPr="00FA2E2E">
        <w:rPr>
          <w:lang w:val="fr-FR"/>
        </w:rPr>
        <w:t>,</w:t>
      </w:r>
      <w:r w:rsidR="00D31AFF" w:rsidRPr="00FA2E2E">
        <w:rPr>
          <w:lang w:val="fr-FR"/>
        </w:rPr>
        <w:t xml:space="preserve"> 201</w:t>
      </w:r>
      <w:r w:rsidR="00062F27" w:rsidRPr="00FA2E2E">
        <w:rPr>
          <w:lang w:val="fr-FR"/>
        </w:rPr>
        <w:t>8</w:t>
      </w:r>
      <w:r w:rsidR="00D31AFF" w:rsidRPr="00FA2E2E">
        <w:rPr>
          <w:lang w:val="fr-FR"/>
        </w:rPr>
        <w:t xml:space="preserve">a </w:t>
      </w:r>
      <w:r w:rsidR="00A136A1" w:rsidRPr="00FA2E2E">
        <w:rPr>
          <w:lang w:val="fr-FR"/>
        </w:rPr>
        <w:t>et</w:t>
      </w:r>
      <w:r w:rsidR="00D31AFF" w:rsidRPr="00FA2E2E">
        <w:rPr>
          <w:lang w:val="fr-FR"/>
        </w:rPr>
        <w:t xml:space="preserve"> 201</w:t>
      </w:r>
      <w:r w:rsidR="00062F27" w:rsidRPr="00FA2E2E">
        <w:rPr>
          <w:lang w:val="fr-FR"/>
        </w:rPr>
        <w:t>8</w:t>
      </w:r>
      <w:r w:rsidR="00D31AFF" w:rsidRPr="00FA2E2E">
        <w:rPr>
          <w:lang w:val="fr-FR"/>
        </w:rPr>
        <w:t xml:space="preserve">b). </w:t>
      </w:r>
    </w:p>
    <w:p w14:paraId="4FD30897" w14:textId="7063EA10" w:rsidR="00D31AFF" w:rsidRPr="00FA2E2E" w:rsidRDefault="00D31AFF" w:rsidP="00F93F76">
      <w:pPr>
        <w:pStyle w:val="CH2"/>
        <w:rPr>
          <w:lang w:val="fr-FR"/>
        </w:rPr>
      </w:pPr>
      <w:r w:rsidRPr="00FA2E2E">
        <w:rPr>
          <w:lang w:val="fr-FR"/>
        </w:rPr>
        <w:tab/>
      </w:r>
      <w:bookmarkStart w:id="21" w:name="_Toc15920543"/>
      <w:r w:rsidRPr="00FA2E2E">
        <w:rPr>
          <w:lang w:val="fr-FR"/>
        </w:rPr>
        <w:t>C.</w:t>
      </w:r>
      <w:r w:rsidRPr="00FA2E2E">
        <w:rPr>
          <w:lang w:val="fr-FR"/>
        </w:rPr>
        <w:tab/>
      </w:r>
      <w:r w:rsidR="00125814" w:rsidRPr="00FA2E2E">
        <w:rPr>
          <w:lang w:val="fr-FR"/>
        </w:rPr>
        <w:t>Mobilisation du</w:t>
      </w:r>
      <w:r w:rsidRPr="00FA2E2E">
        <w:rPr>
          <w:lang w:val="fr-FR"/>
        </w:rPr>
        <w:t xml:space="preserve"> public</w:t>
      </w:r>
      <w:bookmarkEnd w:id="21"/>
    </w:p>
    <w:p w14:paraId="6DFD5EB9" w14:textId="6A5AB7AB" w:rsidR="00D31AFF" w:rsidRPr="00FA2E2E" w:rsidRDefault="00125814" w:rsidP="008E43CD">
      <w:pPr>
        <w:pStyle w:val="Normalnumber"/>
        <w:numPr>
          <w:ilvl w:val="0"/>
          <w:numId w:val="5"/>
        </w:numPr>
        <w:rPr>
          <w:lang w:val="fr-FR"/>
        </w:rPr>
      </w:pPr>
      <w:r w:rsidRPr="00FA2E2E">
        <w:rPr>
          <w:lang w:val="fr-FR"/>
        </w:rPr>
        <w:t>Lorsqu</w:t>
      </w:r>
      <w:r w:rsidR="00FE58E1" w:rsidRPr="00FA2E2E">
        <w:rPr>
          <w:lang w:val="fr-FR"/>
        </w:rPr>
        <w:t>’</w:t>
      </w:r>
      <w:r w:rsidRPr="00FA2E2E">
        <w:rPr>
          <w:lang w:val="fr-FR"/>
        </w:rPr>
        <w:t>elles traitent le problème des sites contaminés, les Parties peuvent envisager des</w:t>
      </w:r>
      <w:r w:rsidR="00BD0B37" w:rsidRPr="00FA2E2E">
        <w:rPr>
          <w:lang w:val="fr-FR"/>
        </w:rPr>
        <w:t> </w:t>
      </w:r>
      <w:r w:rsidRPr="00FA2E2E">
        <w:rPr>
          <w:lang w:val="fr-FR"/>
        </w:rPr>
        <w:t>stratégies visant à promouvoir la mobilisation du public</w:t>
      </w:r>
      <w:r w:rsidR="00D31AFF" w:rsidRPr="00FA2E2E">
        <w:rPr>
          <w:lang w:val="fr-FR"/>
        </w:rPr>
        <w:t xml:space="preserve">, </w:t>
      </w:r>
      <w:r w:rsidR="00807063" w:rsidRPr="00FA2E2E">
        <w:rPr>
          <w:lang w:val="fr-FR"/>
        </w:rPr>
        <w:t>en particulier</w:t>
      </w:r>
      <w:r w:rsidRPr="00FA2E2E">
        <w:rPr>
          <w:lang w:val="fr-FR"/>
        </w:rPr>
        <w:t xml:space="preserve"> sur des questions délicates telles que la présence de sites contaminés dans le voisinage, </w:t>
      </w:r>
      <w:r w:rsidR="00807063" w:rsidRPr="00FA2E2E">
        <w:rPr>
          <w:lang w:val="fr-FR"/>
        </w:rPr>
        <w:t>afin d</w:t>
      </w:r>
      <w:r w:rsidR="00FE58E1" w:rsidRPr="00FA2E2E">
        <w:rPr>
          <w:lang w:val="fr-FR"/>
        </w:rPr>
        <w:t>’</w:t>
      </w:r>
      <w:r w:rsidR="00807063" w:rsidRPr="00FA2E2E">
        <w:rPr>
          <w:lang w:val="fr-FR"/>
        </w:rPr>
        <w:t>assurer</w:t>
      </w:r>
      <w:r w:rsidRPr="00FA2E2E">
        <w:rPr>
          <w:lang w:val="fr-FR"/>
        </w:rPr>
        <w:t xml:space="preserve"> une gestion réussie des</w:t>
      </w:r>
      <w:r w:rsidR="00BD0B37" w:rsidRPr="00FA2E2E">
        <w:rPr>
          <w:lang w:val="fr-FR"/>
        </w:rPr>
        <w:t> </w:t>
      </w:r>
      <w:r w:rsidRPr="00FA2E2E">
        <w:rPr>
          <w:lang w:val="fr-FR"/>
        </w:rPr>
        <w:t>questions et des sites</w:t>
      </w:r>
      <w:r w:rsidR="00D31AFF" w:rsidRPr="00FA2E2E">
        <w:rPr>
          <w:lang w:val="fr-FR"/>
        </w:rPr>
        <w:t xml:space="preserve">. </w:t>
      </w:r>
      <w:r w:rsidR="00807063" w:rsidRPr="00FA2E2E">
        <w:rPr>
          <w:lang w:val="fr-FR"/>
        </w:rPr>
        <w:t>La mobilisation du public est souvent coordonnée par les organismes gouvernementaux chargés de la gestion des sites contaminés aux niveaux local, régional ou national</w:t>
      </w:r>
      <w:r w:rsidR="00D31AFF" w:rsidRPr="00FA2E2E">
        <w:rPr>
          <w:lang w:val="fr-FR"/>
        </w:rPr>
        <w:t xml:space="preserve">. </w:t>
      </w:r>
      <w:r w:rsidR="00807063" w:rsidRPr="00FA2E2E">
        <w:rPr>
          <w:lang w:val="fr-FR"/>
        </w:rPr>
        <w:t>De nombreux termes traduisent le concept de « mobilisation du public », notamment « participation du public », « participation de la communauté », « mobilisation de la communauté », « participation des parties prenantes » et « mobilisation des parties prenantes » (National Environmental Justice Advisory Council, 2013)</w:t>
      </w:r>
      <w:r w:rsidR="00D31AFF" w:rsidRPr="00FA2E2E">
        <w:rPr>
          <w:lang w:val="fr-FR"/>
        </w:rPr>
        <w:t xml:space="preserve">. </w:t>
      </w:r>
      <w:r w:rsidR="00F77B3A" w:rsidRPr="00FA2E2E">
        <w:rPr>
          <w:lang w:val="fr-FR"/>
        </w:rPr>
        <w:t xml:space="preserve">La consultation du public est </w:t>
      </w:r>
      <w:r w:rsidR="005C4957" w:rsidRPr="00FA2E2E">
        <w:rPr>
          <w:lang w:val="fr-FR"/>
        </w:rPr>
        <w:t>exigée par la législation</w:t>
      </w:r>
      <w:r w:rsidR="00F77B3A" w:rsidRPr="00FA2E2E">
        <w:rPr>
          <w:lang w:val="fr-FR"/>
        </w:rPr>
        <w:t xml:space="preserve"> dans certaines juridictions</w:t>
      </w:r>
      <w:r w:rsidR="00D31AFF" w:rsidRPr="00FA2E2E">
        <w:rPr>
          <w:lang w:val="fr-FR"/>
        </w:rPr>
        <w:t xml:space="preserve">. </w:t>
      </w:r>
      <w:r w:rsidR="005C4957" w:rsidRPr="00FA2E2E">
        <w:rPr>
          <w:lang w:val="fr-FR"/>
        </w:rPr>
        <w:t>L</w:t>
      </w:r>
      <w:r w:rsidR="00FE58E1" w:rsidRPr="00FA2E2E">
        <w:rPr>
          <w:lang w:val="fr-FR"/>
        </w:rPr>
        <w:t>’</w:t>
      </w:r>
      <w:r w:rsidR="005C4957" w:rsidRPr="00FA2E2E">
        <w:rPr>
          <w:lang w:val="fr-FR"/>
        </w:rPr>
        <w:t>objectif d</w:t>
      </w:r>
      <w:r w:rsidR="00FE58E1" w:rsidRPr="00FA2E2E">
        <w:rPr>
          <w:lang w:val="fr-FR"/>
        </w:rPr>
        <w:t>’</w:t>
      </w:r>
      <w:r w:rsidR="005C4957" w:rsidRPr="00FA2E2E">
        <w:rPr>
          <w:lang w:val="fr-FR"/>
        </w:rPr>
        <w:t>une mobilisation du public est de veiller à ce que les personnes ou les groupes qui pourraient être touchés par des mesures, y participer ou s</w:t>
      </w:r>
      <w:r w:rsidR="00FE58E1" w:rsidRPr="00FA2E2E">
        <w:rPr>
          <w:lang w:val="fr-FR"/>
        </w:rPr>
        <w:t>’</w:t>
      </w:r>
      <w:r w:rsidR="005C4957" w:rsidRPr="00FA2E2E">
        <w:rPr>
          <w:lang w:val="fr-FR"/>
        </w:rPr>
        <w:t>y intéresser soient informés et que leurs vues soient prises en compte dans le processus décisionnel</w:t>
      </w:r>
      <w:r w:rsidR="00D31AFF" w:rsidRPr="00FA2E2E">
        <w:rPr>
          <w:lang w:val="fr-FR"/>
        </w:rPr>
        <w:t xml:space="preserve">. </w:t>
      </w:r>
      <w:r w:rsidR="005C4957" w:rsidRPr="00FA2E2E">
        <w:rPr>
          <w:lang w:val="fr-FR"/>
        </w:rPr>
        <w:t>Par conséquent, il est important d</w:t>
      </w:r>
      <w:r w:rsidR="00FE58E1" w:rsidRPr="00FA2E2E">
        <w:rPr>
          <w:lang w:val="fr-FR"/>
        </w:rPr>
        <w:t>’</w:t>
      </w:r>
      <w:r w:rsidR="005C4957" w:rsidRPr="00FA2E2E">
        <w:rPr>
          <w:lang w:val="fr-FR"/>
        </w:rPr>
        <w:t>envisager la</w:t>
      </w:r>
      <w:r w:rsidR="00BD0B37" w:rsidRPr="00FA2E2E">
        <w:rPr>
          <w:lang w:val="fr-FR"/>
        </w:rPr>
        <w:t> </w:t>
      </w:r>
      <w:r w:rsidR="005C4957" w:rsidRPr="00FA2E2E">
        <w:rPr>
          <w:lang w:val="fr-FR"/>
        </w:rPr>
        <w:t>mobilisation du public dès le début du processus d</w:t>
      </w:r>
      <w:r w:rsidR="00FE58E1" w:rsidRPr="00FA2E2E">
        <w:rPr>
          <w:lang w:val="fr-FR"/>
        </w:rPr>
        <w:t>’</w:t>
      </w:r>
      <w:r w:rsidR="005C4957" w:rsidRPr="00FA2E2E">
        <w:rPr>
          <w:lang w:val="fr-FR"/>
        </w:rPr>
        <w:t>identification ou d</w:t>
      </w:r>
      <w:r w:rsidR="00FE58E1" w:rsidRPr="00FA2E2E">
        <w:rPr>
          <w:lang w:val="fr-FR"/>
        </w:rPr>
        <w:t>’</w:t>
      </w:r>
      <w:r w:rsidR="005C4957" w:rsidRPr="00FA2E2E">
        <w:rPr>
          <w:lang w:val="fr-FR"/>
        </w:rPr>
        <w:t>évaluation détaillée d</w:t>
      </w:r>
      <w:r w:rsidR="00FE58E1" w:rsidRPr="00FA2E2E">
        <w:rPr>
          <w:lang w:val="fr-FR"/>
        </w:rPr>
        <w:t>’</w:t>
      </w:r>
      <w:r w:rsidR="005C4957" w:rsidRPr="00FA2E2E">
        <w:rPr>
          <w:lang w:val="fr-FR"/>
        </w:rPr>
        <w:t>un site contaminé</w:t>
      </w:r>
      <w:r w:rsidR="00D31AFF" w:rsidRPr="00FA2E2E">
        <w:rPr>
          <w:lang w:val="fr-FR"/>
        </w:rPr>
        <w:t xml:space="preserve">. </w:t>
      </w:r>
      <w:r w:rsidR="005C4957" w:rsidRPr="00FA2E2E">
        <w:rPr>
          <w:lang w:val="fr-FR"/>
        </w:rPr>
        <w:t>Les connaissances locales peuvent s</w:t>
      </w:r>
      <w:r w:rsidR="00FE58E1" w:rsidRPr="00FA2E2E">
        <w:rPr>
          <w:lang w:val="fr-FR"/>
        </w:rPr>
        <w:t>’</w:t>
      </w:r>
      <w:r w:rsidR="005C4957" w:rsidRPr="00FA2E2E">
        <w:rPr>
          <w:lang w:val="fr-FR"/>
        </w:rPr>
        <w:t>avérer cruciales pour l</w:t>
      </w:r>
      <w:r w:rsidR="00FE58E1" w:rsidRPr="00FA2E2E">
        <w:rPr>
          <w:lang w:val="fr-FR"/>
        </w:rPr>
        <w:t>’</w:t>
      </w:r>
      <w:r w:rsidR="005C4957" w:rsidRPr="00FA2E2E">
        <w:rPr>
          <w:lang w:val="fr-FR"/>
        </w:rPr>
        <w:t>identification des sites potentiellement contaminés et le choix de la stratégie d</w:t>
      </w:r>
      <w:r w:rsidR="00FE58E1" w:rsidRPr="00FA2E2E">
        <w:rPr>
          <w:lang w:val="fr-FR"/>
        </w:rPr>
        <w:t>’</w:t>
      </w:r>
      <w:r w:rsidR="005C4957" w:rsidRPr="00FA2E2E">
        <w:rPr>
          <w:lang w:val="fr-FR"/>
        </w:rPr>
        <w:t>échantillonnage</w:t>
      </w:r>
      <w:r w:rsidR="00D31AFF" w:rsidRPr="00FA2E2E">
        <w:rPr>
          <w:lang w:val="fr-FR"/>
        </w:rPr>
        <w:t xml:space="preserve">. </w:t>
      </w:r>
    </w:p>
    <w:p w14:paraId="2C27BF31" w14:textId="0722D3C5" w:rsidR="00D31AFF" w:rsidRPr="00FA2E2E" w:rsidRDefault="00CB1CA0" w:rsidP="008E43CD">
      <w:pPr>
        <w:pStyle w:val="Normalnumber"/>
        <w:numPr>
          <w:ilvl w:val="0"/>
          <w:numId w:val="5"/>
        </w:numPr>
        <w:rPr>
          <w:lang w:val="fr-FR"/>
        </w:rPr>
      </w:pPr>
      <w:r w:rsidRPr="00FA2E2E">
        <w:rPr>
          <w:lang w:val="fr-FR"/>
        </w:rPr>
        <w:t xml:space="preserve">Selon la phase dans laquelle le processus se trouve (identification, étude, remise en état, suivi ultérieur du site, etc.), </w:t>
      </w:r>
      <w:r w:rsidR="00EB0390" w:rsidRPr="00FA2E2E">
        <w:rPr>
          <w:lang w:val="fr-FR"/>
        </w:rPr>
        <w:t>différentes</w:t>
      </w:r>
      <w:r w:rsidRPr="00FA2E2E">
        <w:rPr>
          <w:lang w:val="fr-FR"/>
        </w:rPr>
        <w:t xml:space="preserve"> méthodes peuvent convenir pour mobiliser le public</w:t>
      </w:r>
      <w:r w:rsidR="00D31AFF" w:rsidRPr="00FA2E2E">
        <w:rPr>
          <w:lang w:val="fr-FR"/>
        </w:rPr>
        <w:t xml:space="preserve">. </w:t>
      </w:r>
      <w:r w:rsidRPr="00FA2E2E">
        <w:rPr>
          <w:lang w:val="fr-FR"/>
        </w:rPr>
        <w:t xml:space="preserve">Les résultats du processus de consultation publique et les décisions prises au sujet des activités futures devraient être </w:t>
      </w:r>
      <w:r w:rsidR="00EB0390" w:rsidRPr="00FA2E2E">
        <w:rPr>
          <w:lang w:val="fr-FR"/>
        </w:rPr>
        <w:t>communiqués</w:t>
      </w:r>
      <w:r w:rsidRPr="00FA2E2E">
        <w:rPr>
          <w:lang w:val="fr-FR"/>
        </w:rPr>
        <w:t xml:space="preserve"> par des moyens semblables à ceux employés pour la communication des informations initiales au début du processus de mobilisation</w:t>
      </w:r>
      <w:r w:rsidR="00D31AFF" w:rsidRPr="00FA2E2E">
        <w:rPr>
          <w:lang w:val="fr-FR"/>
        </w:rPr>
        <w:t xml:space="preserve">. </w:t>
      </w:r>
    </w:p>
    <w:p w14:paraId="76539F8C" w14:textId="77777777" w:rsidR="002C4D56" w:rsidRPr="00FA2E2E" w:rsidRDefault="003F3DDD" w:rsidP="004C4164">
      <w:pPr>
        <w:pStyle w:val="Normalnumber"/>
        <w:numPr>
          <w:ilvl w:val="0"/>
          <w:numId w:val="5"/>
        </w:numPr>
        <w:rPr>
          <w:lang w:val="fr-FR"/>
        </w:rPr>
      </w:pPr>
      <w:r w:rsidRPr="00FA2E2E">
        <w:rPr>
          <w:lang w:val="fr-FR"/>
        </w:rPr>
        <w:t>Une communication efficace ainsi qu</w:t>
      </w:r>
      <w:r w:rsidR="00FE58E1" w:rsidRPr="00FA2E2E">
        <w:rPr>
          <w:lang w:val="fr-FR"/>
        </w:rPr>
        <w:t>’</w:t>
      </w:r>
      <w:r w:rsidRPr="00FA2E2E">
        <w:rPr>
          <w:lang w:val="fr-FR"/>
        </w:rPr>
        <w:t>un processus à double sens pour transmettre et recevoir les informations sont indispensables pour améliorer la compréhension des parties prenantes</w:t>
      </w:r>
      <w:r w:rsidR="00D31AFF" w:rsidRPr="00FA2E2E">
        <w:rPr>
          <w:lang w:val="fr-FR"/>
        </w:rPr>
        <w:t xml:space="preserve">. </w:t>
      </w:r>
      <w:r w:rsidRPr="00FA2E2E">
        <w:rPr>
          <w:lang w:val="fr-FR"/>
        </w:rPr>
        <w:t>Les</w:t>
      </w:r>
      <w:r w:rsidR="00BD0B37" w:rsidRPr="00FA2E2E">
        <w:rPr>
          <w:lang w:val="fr-FR"/>
        </w:rPr>
        <w:t> </w:t>
      </w:r>
      <w:r w:rsidRPr="00FA2E2E">
        <w:rPr>
          <w:lang w:val="fr-FR"/>
        </w:rPr>
        <w:t>informations scientifiques devraient être diffusées le plus efficacement possible</w:t>
      </w:r>
      <w:r w:rsidR="004A35E8" w:rsidRPr="00FA2E2E">
        <w:rPr>
          <w:lang w:val="fr-FR"/>
        </w:rPr>
        <w:t xml:space="preserve"> au sein de la</w:t>
      </w:r>
      <w:r w:rsidR="00BD0B37" w:rsidRPr="00FA2E2E">
        <w:rPr>
          <w:lang w:val="fr-FR"/>
        </w:rPr>
        <w:t> </w:t>
      </w:r>
      <w:r w:rsidRPr="00FA2E2E">
        <w:rPr>
          <w:lang w:val="fr-FR"/>
        </w:rPr>
        <w:t xml:space="preserve">communauté visée </w:t>
      </w:r>
      <w:r w:rsidR="004A35E8" w:rsidRPr="00FA2E2E">
        <w:rPr>
          <w:lang w:val="fr-FR"/>
        </w:rPr>
        <w:t xml:space="preserve">afin de </w:t>
      </w:r>
      <w:r w:rsidRPr="00FA2E2E">
        <w:rPr>
          <w:lang w:val="fr-FR"/>
        </w:rPr>
        <w:t>rédui</w:t>
      </w:r>
      <w:r w:rsidR="00107D04" w:rsidRPr="00FA2E2E">
        <w:rPr>
          <w:lang w:val="fr-FR"/>
        </w:rPr>
        <w:t>r</w:t>
      </w:r>
      <w:r w:rsidRPr="00FA2E2E">
        <w:rPr>
          <w:lang w:val="fr-FR"/>
        </w:rPr>
        <w:t>e l</w:t>
      </w:r>
      <w:r w:rsidR="00FE58E1" w:rsidRPr="00FA2E2E">
        <w:rPr>
          <w:lang w:val="fr-FR"/>
        </w:rPr>
        <w:t>’</w:t>
      </w:r>
      <w:r w:rsidRPr="00FA2E2E">
        <w:rPr>
          <w:lang w:val="fr-FR"/>
        </w:rPr>
        <w:t>écart entre le risque perçu et le risque réel</w:t>
      </w:r>
      <w:r w:rsidR="00D31AFF" w:rsidRPr="00FA2E2E">
        <w:rPr>
          <w:lang w:val="fr-FR"/>
        </w:rPr>
        <w:t>.</w:t>
      </w:r>
    </w:p>
    <w:p w14:paraId="73277E33" w14:textId="48621886" w:rsidR="00D31AFF" w:rsidRPr="00FA2E2E" w:rsidRDefault="00D31AFF" w:rsidP="004C4164">
      <w:pPr>
        <w:pStyle w:val="Normalnumber"/>
        <w:numPr>
          <w:ilvl w:val="0"/>
          <w:numId w:val="5"/>
        </w:numPr>
        <w:rPr>
          <w:lang w:val="fr-FR"/>
        </w:rPr>
      </w:pPr>
      <w:r w:rsidRPr="00FA2E2E">
        <w:rPr>
          <w:lang w:val="fr-FR"/>
        </w:rPr>
        <w:t>I</w:t>
      </w:r>
      <w:r w:rsidR="004A35E8" w:rsidRPr="00FA2E2E">
        <w:rPr>
          <w:lang w:val="fr-FR"/>
        </w:rPr>
        <w:t>l est important que les membres de la communauté se considèrent comme des parties prenantes dans la situation en question</w:t>
      </w:r>
      <w:r w:rsidRPr="00FA2E2E">
        <w:rPr>
          <w:lang w:val="fr-FR"/>
        </w:rPr>
        <w:t xml:space="preserve">. </w:t>
      </w:r>
      <w:r w:rsidR="004A35E8" w:rsidRPr="00FA2E2E">
        <w:rPr>
          <w:lang w:val="fr-FR"/>
        </w:rPr>
        <w:t>La sensibilisation de la communauté devrait cibler différents niveaux</w:t>
      </w:r>
      <w:r w:rsidRPr="00FA2E2E">
        <w:rPr>
          <w:lang w:val="fr-FR"/>
        </w:rPr>
        <w:t xml:space="preserve">. </w:t>
      </w:r>
      <w:r w:rsidR="004A35E8" w:rsidRPr="00FA2E2E">
        <w:rPr>
          <w:lang w:val="fr-FR"/>
        </w:rPr>
        <w:t>Les propriétaires fonciers ou les résidents habitant à proximité du site ou sur celui-ci, les communautés touchées par la pollution en provenance du site et les autres industries présentes dans la zone qui pourraient être touchées par la pollution peuvent tous être qualifiés de parties prenantes</w:t>
      </w:r>
      <w:r w:rsidRPr="00FA2E2E">
        <w:rPr>
          <w:lang w:val="fr-FR"/>
        </w:rPr>
        <w:t xml:space="preserve">. </w:t>
      </w:r>
      <w:r w:rsidR="004A35E8" w:rsidRPr="00FA2E2E">
        <w:rPr>
          <w:lang w:val="fr-FR"/>
        </w:rPr>
        <w:t>Les</w:t>
      </w:r>
      <w:r w:rsidR="00BD0B37" w:rsidRPr="00FA2E2E">
        <w:rPr>
          <w:lang w:val="fr-FR"/>
        </w:rPr>
        <w:t> </w:t>
      </w:r>
      <w:r w:rsidR="004A35E8" w:rsidRPr="00FA2E2E">
        <w:rPr>
          <w:lang w:val="fr-FR"/>
        </w:rPr>
        <w:t>gestionnaires de site et les travailleurs employés sur des sites encore actifs sont également des</w:t>
      </w:r>
      <w:r w:rsidR="00BD0B37" w:rsidRPr="00FA2E2E">
        <w:rPr>
          <w:lang w:val="fr-FR"/>
        </w:rPr>
        <w:t> </w:t>
      </w:r>
      <w:r w:rsidR="004A35E8" w:rsidRPr="00FA2E2E">
        <w:rPr>
          <w:lang w:val="fr-FR"/>
        </w:rPr>
        <w:t>parties prenantes.</w:t>
      </w:r>
      <w:r w:rsidRPr="00FA2E2E">
        <w:rPr>
          <w:lang w:val="fr-FR"/>
        </w:rPr>
        <w:t xml:space="preserve"> </w:t>
      </w:r>
      <w:r w:rsidR="004A35E8" w:rsidRPr="00FA2E2E">
        <w:rPr>
          <w:lang w:val="fr-FR"/>
        </w:rPr>
        <w:t xml:space="preserve">Il convient cependant de noter que si la contamination du site résulte, par exemple, de la mauvaise manipulation de déchets de mercure ou de produits en contenant, la question de la source de contamination devrait être réglée avant </w:t>
      </w:r>
      <w:r w:rsidR="00E93C3E" w:rsidRPr="00FA2E2E">
        <w:rPr>
          <w:lang w:val="fr-FR"/>
        </w:rPr>
        <w:t>que toute autre mesure soit prise</w:t>
      </w:r>
      <w:r w:rsidRPr="00FA2E2E">
        <w:rPr>
          <w:lang w:val="fr-FR"/>
        </w:rPr>
        <w:t xml:space="preserve">. </w:t>
      </w:r>
    </w:p>
    <w:p w14:paraId="4D21535A" w14:textId="082361AA" w:rsidR="00D31AFF" w:rsidRPr="00FA2E2E" w:rsidRDefault="00947814" w:rsidP="008E43CD">
      <w:pPr>
        <w:pStyle w:val="Normalnumber"/>
        <w:numPr>
          <w:ilvl w:val="0"/>
          <w:numId w:val="5"/>
        </w:numPr>
        <w:rPr>
          <w:lang w:val="fr-FR"/>
        </w:rPr>
      </w:pPr>
      <w:r w:rsidRPr="00FA2E2E">
        <w:rPr>
          <w:lang w:val="fr-FR"/>
        </w:rPr>
        <w:t>La qualité des contributions devrait primer sur leur quantité et le processus de mobilisation devrait viser autant à recueillir des informations auprès de la communauté qu</w:t>
      </w:r>
      <w:r w:rsidR="00FE58E1" w:rsidRPr="00FA2E2E">
        <w:rPr>
          <w:lang w:val="fr-FR"/>
        </w:rPr>
        <w:t>’</w:t>
      </w:r>
      <w:r w:rsidRPr="00FA2E2E">
        <w:rPr>
          <w:lang w:val="fr-FR"/>
        </w:rPr>
        <w:t>à lui en fournir</w:t>
      </w:r>
      <w:r w:rsidR="00D31AFF" w:rsidRPr="00FA2E2E">
        <w:rPr>
          <w:lang w:val="fr-FR"/>
        </w:rPr>
        <w:t xml:space="preserve">. </w:t>
      </w:r>
      <w:r w:rsidRPr="00FA2E2E">
        <w:rPr>
          <w:lang w:val="fr-FR"/>
        </w:rPr>
        <w:t>Il</w:t>
      </w:r>
      <w:r w:rsidR="00BD0B37" w:rsidRPr="00FA2E2E">
        <w:rPr>
          <w:lang w:val="fr-FR"/>
        </w:rPr>
        <w:t> </w:t>
      </w:r>
      <w:r w:rsidRPr="00FA2E2E">
        <w:rPr>
          <w:lang w:val="fr-FR"/>
        </w:rPr>
        <w:t>est</w:t>
      </w:r>
      <w:r w:rsidR="00BD0B37" w:rsidRPr="00FA2E2E">
        <w:rPr>
          <w:lang w:val="fr-FR"/>
        </w:rPr>
        <w:t> </w:t>
      </w:r>
      <w:r w:rsidRPr="00FA2E2E">
        <w:rPr>
          <w:lang w:val="fr-FR"/>
        </w:rPr>
        <w:t>important que le processus de mobilisation de la communauté se poursuive tout au long des</w:t>
      </w:r>
      <w:r w:rsidR="00BD0B37" w:rsidRPr="00FA2E2E">
        <w:rPr>
          <w:lang w:val="fr-FR"/>
        </w:rPr>
        <w:t> </w:t>
      </w:r>
      <w:r w:rsidRPr="00FA2E2E">
        <w:rPr>
          <w:lang w:val="fr-FR"/>
        </w:rPr>
        <w:t>activités d</w:t>
      </w:r>
      <w:r w:rsidR="00FE58E1" w:rsidRPr="00FA2E2E">
        <w:rPr>
          <w:lang w:val="fr-FR"/>
        </w:rPr>
        <w:t>’</w:t>
      </w:r>
      <w:r w:rsidRPr="00FA2E2E">
        <w:rPr>
          <w:lang w:val="fr-FR"/>
        </w:rPr>
        <w:t>étude, de gestion et/ou de remise en état du site, la phase de gestion pouvant sensiblement augmenter les risques courus par les communautés voisines du site</w:t>
      </w:r>
      <w:r w:rsidR="00D31AFF" w:rsidRPr="00FA2E2E">
        <w:rPr>
          <w:lang w:val="fr-FR"/>
        </w:rPr>
        <w:t xml:space="preserve">. </w:t>
      </w:r>
      <w:r w:rsidR="003C07C8" w:rsidRPr="00FA2E2E">
        <w:rPr>
          <w:lang w:val="fr-FR"/>
        </w:rPr>
        <w:t>L</w:t>
      </w:r>
      <w:r w:rsidR="00FE58E1" w:rsidRPr="00FA2E2E">
        <w:rPr>
          <w:lang w:val="fr-FR"/>
        </w:rPr>
        <w:t>’</w:t>
      </w:r>
      <w:r w:rsidR="003C07C8" w:rsidRPr="00FA2E2E">
        <w:rPr>
          <w:lang w:val="fr-FR"/>
        </w:rPr>
        <w:t>excavation de matériaux contaminés et les activités de traitement sur place peuvent dégager de la poussière, des</w:t>
      </w:r>
      <w:r w:rsidR="00BD0B37" w:rsidRPr="00FA2E2E">
        <w:rPr>
          <w:lang w:val="fr-FR"/>
        </w:rPr>
        <w:t> </w:t>
      </w:r>
      <w:r w:rsidR="003C07C8" w:rsidRPr="00FA2E2E">
        <w:rPr>
          <w:lang w:val="fr-FR"/>
        </w:rPr>
        <w:t>vapeurs et des odeurs</w:t>
      </w:r>
      <w:r w:rsidR="00D31AFF" w:rsidRPr="00FA2E2E">
        <w:rPr>
          <w:lang w:val="fr-FR"/>
        </w:rPr>
        <w:t xml:space="preserve">. </w:t>
      </w:r>
      <w:r w:rsidR="003F599B" w:rsidRPr="00FA2E2E">
        <w:rPr>
          <w:lang w:val="fr-FR"/>
        </w:rPr>
        <w:t>La création d</w:t>
      </w:r>
      <w:r w:rsidR="00FE58E1" w:rsidRPr="00FA2E2E">
        <w:rPr>
          <w:lang w:val="fr-FR"/>
        </w:rPr>
        <w:t>’</w:t>
      </w:r>
      <w:r w:rsidR="003F599B" w:rsidRPr="00FA2E2E">
        <w:rPr>
          <w:lang w:val="fr-FR"/>
        </w:rPr>
        <w:t>un comité de consultation communautaire peut constituer un</w:t>
      </w:r>
      <w:r w:rsidR="00BD0B37" w:rsidRPr="00FA2E2E">
        <w:rPr>
          <w:lang w:val="fr-FR"/>
        </w:rPr>
        <w:t> </w:t>
      </w:r>
      <w:r w:rsidR="003F599B" w:rsidRPr="00FA2E2E">
        <w:rPr>
          <w:lang w:val="fr-FR"/>
        </w:rPr>
        <w:t>mécanisme utile de mobilisation par l</w:t>
      </w:r>
      <w:r w:rsidR="00FE58E1" w:rsidRPr="00FA2E2E">
        <w:rPr>
          <w:lang w:val="fr-FR"/>
        </w:rPr>
        <w:t>’</w:t>
      </w:r>
      <w:r w:rsidR="003F599B" w:rsidRPr="00FA2E2E">
        <w:rPr>
          <w:lang w:val="fr-FR"/>
        </w:rPr>
        <w:t>intermédiaire duquel les autorités, les entreprises chargées des travaux et la communauté peuvent échanger des informations techniques et pratiques ainsi que des</w:t>
      </w:r>
      <w:r w:rsidR="00BD0B37" w:rsidRPr="00FA2E2E">
        <w:rPr>
          <w:lang w:val="fr-FR"/>
        </w:rPr>
        <w:t> </w:t>
      </w:r>
      <w:r w:rsidR="003F599B" w:rsidRPr="00FA2E2E">
        <w:rPr>
          <w:lang w:val="fr-FR"/>
        </w:rPr>
        <w:t>données d</w:t>
      </w:r>
      <w:r w:rsidR="00FE58E1" w:rsidRPr="00FA2E2E">
        <w:rPr>
          <w:lang w:val="fr-FR"/>
        </w:rPr>
        <w:t>’</w:t>
      </w:r>
      <w:r w:rsidR="003F599B" w:rsidRPr="00FA2E2E">
        <w:rPr>
          <w:lang w:val="fr-FR"/>
        </w:rPr>
        <w:t xml:space="preserve">expérience, afin </w:t>
      </w:r>
      <w:r w:rsidR="00660D92" w:rsidRPr="00FA2E2E">
        <w:rPr>
          <w:lang w:val="fr-FR"/>
        </w:rPr>
        <w:t>d</w:t>
      </w:r>
      <w:r w:rsidR="00FE58E1" w:rsidRPr="00FA2E2E">
        <w:rPr>
          <w:lang w:val="fr-FR"/>
        </w:rPr>
        <w:t>’</w:t>
      </w:r>
      <w:r w:rsidR="00660D92" w:rsidRPr="00FA2E2E">
        <w:rPr>
          <w:lang w:val="fr-FR"/>
        </w:rPr>
        <w:t xml:space="preserve">assurer </w:t>
      </w:r>
      <w:r w:rsidR="003F599B" w:rsidRPr="00FA2E2E">
        <w:rPr>
          <w:lang w:val="fr-FR"/>
        </w:rPr>
        <w:t>une compréhension commune des activités proposées sur le</w:t>
      </w:r>
      <w:r w:rsidR="00AE49CF" w:rsidRPr="00FA2E2E">
        <w:rPr>
          <w:lang w:val="fr-FR"/>
        </w:rPr>
        <w:t> </w:t>
      </w:r>
      <w:r w:rsidR="003F599B" w:rsidRPr="00FA2E2E">
        <w:rPr>
          <w:lang w:val="fr-FR"/>
        </w:rPr>
        <w:t>site contaminé</w:t>
      </w:r>
      <w:r w:rsidR="00D31AFF" w:rsidRPr="00FA2E2E">
        <w:rPr>
          <w:lang w:val="fr-FR"/>
        </w:rPr>
        <w:t xml:space="preserve">. </w:t>
      </w:r>
      <w:r w:rsidR="003F599B" w:rsidRPr="00FA2E2E">
        <w:rPr>
          <w:lang w:val="fr-FR"/>
        </w:rPr>
        <w:t>Ce comité peut également servir d</w:t>
      </w:r>
      <w:r w:rsidR="00FE58E1" w:rsidRPr="00FA2E2E">
        <w:rPr>
          <w:lang w:val="fr-FR"/>
        </w:rPr>
        <w:t>’</w:t>
      </w:r>
      <w:r w:rsidR="003F599B" w:rsidRPr="00FA2E2E">
        <w:rPr>
          <w:lang w:val="fr-FR"/>
        </w:rPr>
        <w:t>espace de discussion pour examiner les</w:t>
      </w:r>
      <w:r w:rsidR="00AE49CF" w:rsidRPr="00FA2E2E">
        <w:rPr>
          <w:lang w:val="fr-FR"/>
        </w:rPr>
        <w:t> </w:t>
      </w:r>
      <w:r w:rsidR="003F599B" w:rsidRPr="00FA2E2E">
        <w:rPr>
          <w:lang w:val="fr-FR"/>
        </w:rPr>
        <w:t>programmes de surveillance (pour les vapeurs, la poussière, etc.) qui pourraient être mis en place sur le site et dans ses environs afin de répondre aux préoccupations de la communauté durant la phase de gestion</w:t>
      </w:r>
      <w:r w:rsidR="00D31AFF" w:rsidRPr="00FA2E2E">
        <w:rPr>
          <w:lang w:val="fr-FR"/>
        </w:rPr>
        <w:t>.</w:t>
      </w:r>
    </w:p>
    <w:p w14:paraId="12878208" w14:textId="0FCC7E4E" w:rsidR="00D31AFF" w:rsidRPr="00FA2E2E" w:rsidRDefault="008E79A6" w:rsidP="008E43CD">
      <w:pPr>
        <w:pStyle w:val="Normalnumber"/>
        <w:numPr>
          <w:ilvl w:val="0"/>
          <w:numId w:val="5"/>
        </w:numPr>
        <w:rPr>
          <w:lang w:val="fr-FR"/>
        </w:rPr>
      </w:pPr>
      <w:r w:rsidRPr="00FA2E2E">
        <w:rPr>
          <w:lang w:val="fr-FR"/>
        </w:rPr>
        <w:t xml:space="preserve">Il convient de reconnaître </w:t>
      </w:r>
      <w:r w:rsidR="005408AE" w:rsidRPr="00FA2E2E">
        <w:rPr>
          <w:lang w:val="fr-FR"/>
        </w:rPr>
        <w:t>les compétences</w:t>
      </w:r>
      <w:r w:rsidRPr="00FA2E2E">
        <w:rPr>
          <w:lang w:val="fr-FR"/>
        </w:rPr>
        <w:t xml:space="preserve"> des membres des communautés locales, dans la</w:t>
      </w:r>
      <w:r w:rsidR="00AE49CF" w:rsidRPr="00FA2E2E">
        <w:rPr>
          <w:lang w:val="fr-FR"/>
        </w:rPr>
        <w:t> </w:t>
      </w:r>
      <w:r w:rsidRPr="00FA2E2E">
        <w:rPr>
          <w:lang w:val="fr-FR"/>
        </w:rPr>
        <w:t>mesure où ces derniers p</w:t>
      </w:r>
      <w:r w:rsidR="00AE7D3C" w:rsidRPr="00FA2E2E">
        <w:rPr>
          <w:lang w:val="fr-FR"/>
        </w:rPr>
        <w:t>e</w:t>
      </w:r>
      <w:r w:rsidRPr="00FA2E2E">
        <w:rPr>
          <w:lang w:val="fr-FR"/>
        </w:rPr>
        <w:t>uvent détenir les connaissances et l</w:t>
      </w:r>
      <w:r w:rsidR="00FE58E1" w:rsidRPr="00FA2E2E">
        <w:rPr>
          <w:lang w:val="fr-FR"/>
        </w:rPr>
        <w:t>’</w:t>
      </w:r>
      <w:r w:rsidRPr="00FA2E2E">
        <w:rPr>
          <w:lang w:val="fr-FR"/>
        </w:rPr>
        <w:t>expérience les plus étendues en ce qui concerne l</w:t>
      </w:r>
      <w:r w:rsidR="00FE58E1" w:rsidRPr="00FA2E2E">
        <w:rPr>
          <w:lang w:val="fr-FR"/>
        </w:rPr>
        <w:t>’</w:t>
      </w:r>
      <w:r w:rsidRPr="00FA2E2E">
        <w:rPr>
          <w:lang w:val="fr-FR"/>
        </w:rPr>
        <w:t>histoire du site,</w:t>
      </w:r>
      <w:r w:rsidR="00D31AFF" w:rsidRPr="00FA2E2E">
        <w:rPr>
          <w:lang w:val="fr-FR"/>
        </w:rPr>
        <w:t xml:space="preserve"> </w:t>
      </w:r>
      <w:r w:rsidRPr="00FA2E2E">
        <w:rPr>
          <w:lang w:val="fr-FR"/>
        </w:rPr>
        <w:t>ce qui peut contribuer à mieux comprendre les questions à évaluer</w:t>
      </w:r>
      <w:r w:rsidR="00D31AFF" w:rsidRPr="00FA2E2E">
        <w:rPr>
          <w:lang w:val="fr-FR"/>
        </w:rPr>
        <w:t xml:space="preserve">. </w:t>
      </w:r>
      <w:r w:rsidRPr="00FA2E2E">
        <w:rPr>
          <w:lang w:val="fr-FR"/>
        </w:rPr>
        <w:t>Une</w:t>
      </w:r>
      <w:r w:rsidR="00AE49CF" w:rsidRPr="00FA2E2E">
        <w:rPr>
          <w:lang w:val="fr-FR"/>
        </w:rPr>
        <w:t> </w:t>
      </w:r>
      <w:r w:rsidRPr="00FA2E2E">
        <w:rPr>
          <w:lang w:val="fr-FR"/>
        </w:rPr>
        <w:t>approche globale de la gestion des sites contaminés tend à faire participer étroitement les</w:t>
      </w:r>
      <w:r w:rsidR="00AE49CF" w:rsidRPr="00FA2E2E">
        <w:rPr>
          <w:lang w:val="fr-FR"/>
        </w:rPr>
        <w:t> </w:t>
      </w:r>
      <w:r w:rsidRPr="00FA2E2E">
        <w:rPr>
          <w:lang w:val="fr-FR"/>
        </w:rPr>
        <w:t>membres des communautés locales et à les placer au centre des activités qui touchent leurs</w:t>
      </w:r>
      <w:r w:rsidR="00AE49CF" w:rsidRPr="00FA2E2E">
        <w:rPr>
          <w:lang w:val="fr-FR"/>
        </w:rPr>
        <w:t> </w:t>
      </w:r>
      <w:r w:rsidRPr="00FA2E2E">
        <w:rPr>
          <w:lang w:val="fr-FR"/>
        </w:rPr>
        <w:t>communautés</w:t>
      </w:r>
      <w:r w:rsidR="00D31AFF" w:rsidRPr="00FA2E2E">
        <w:rPr>
          <w:lang w:val="fr-FR"/>
        </w:rPr>
        <w:t xml:space="preserve">. </w:t>
      </w:r>
    </w:p>
    <w:p w14:paraId="73943AAE" w14:textId="3E6167F6" w:rsidR="00D31AFF" w:rsidRPr="00FA2E2E" w:rsidRDefault="00660D92" w:rsidP="008E43CD">
      <w:pPr>
        <w:pStyle w:val="Normalnumber"/>
        <w:numPr>
          <w:ilvl w:val="0"/>
          <w:numId w:val="5"/>
        </w:numPr>
        <w:rPr>
          <w:lang w:val="fr-FR"/>
        </w:rPr>
      </w:pPr>
      <w:r w:rsidRPr="00FA2E2E">
        <w:rPr>
          <w:lang w:val="fr-FR"/>
        </w:rPr>
        <w:t>Le processus de mobilisation du public pourrait commencer par la fourniture d</w:t>
      </w:r>
      <w:r w:rsidR="00FE58E1" w:rsidRPr="00FA2E2E">
        <w:rPr>
          <w:lang w:val="fr-FR"/>
        </w:rPr>
        <w:t>’</w:t>
      </w:r>
      <w:r w:rsidRPr="00FA2E2E">
        <w:rPr>
          <w:lang w:val="fr-FR"/>
        </w:rPr>
        <w:t xml:space="preserve">informations </w:t>
      </w:r>
      <w:r w:rsidR="00394E34" w:rsidRPr="00FA2E2E">
        <w:rPr>
          <w:lang w:val="fr-FR"/>
        </w:rPr>
        <w:t>à la</w:t>
      </w:r>
      <w:r w:rsidRPr="00FA2E2E">
        <w:rPr>
          <w:lang w:val="fr-FR"/>
        </w:rPr>
        <w:t xml:space="preserve"> communauté concernée</w:t>
      </w:r>
      <w:r w:rsidR="00D31AFF" w:rsidRPr="00FA2E2E">
        <w:rPr>
          <w:lang w:val="fr-FR"/>
        </w:rPr>
        <w:t xml:space="preserve">. </w:t>
      </w:r>
      <w:r w:rsidRPr="00FA2E2E">
        <w:rPr>
          <w:lang w:val="fr-FR"/>
        </w:rPr>
        <w:t>Les informations fournies à ce stade pourraient comprendre des</w:t>
      </w:r>
      <w:r w:rsidR="00AE49CF" w:rsidRPr="00FA2E2E">
        <w:rPr>
          <w:lang w:val="fr-FR"/>
        </w:rPr>
        <w:t> </w:t>
      </w:r>
      <w:r w:rsidRPr="00FA2E2E">
        <w:rPr>
          <w:lang w:val="fr-FR"/>
        </w:rPr>
        <w:t>informations générales sur le site, y compris ses utilisations passées et la nature de la contamination présumée</w:t>
      </w:r>
      <w:r w:rsidR="00D31AFF" w:rsidRPr="00FA2E2E">
        <w:rPr>
          <w:lang w:val="fr-FR"/>
        </w:rPr>
        <w:t xml:space="preserve">. </w:t>
      </w:r>
      <w:r w:rsidRPr="00FA2E2E">
        <w:rPr>
          <w:lang w:val="fr-FR"/>
        </w:rPr>
        <w:t>Ces informations peuvent être essentielles pour assurer la coopération de la</w:t>
      </w:r>
      <w:r w:rsidR="00AE49CF" w:rsidRPr="00FA2E2E">
        <w:rPr>
          <w:lang w:val="fr-FR"/>
        </w:rPr>
        <w:t> </w:t>
      </w:r>
      <w:r w:rsidRPr="00FA2E2E">
        <w:rPr>
          <w:lang w:val="fr-FR"/>
        </w:rPr>
        <w:t>communauté et le respect par cette dernière des mesures prévues, en particulier les mesures initiales qu</w:t>
      </w:r>
      <w:r w:rsidR="00FE58E1" w:rsidRPr="00FA2E2E">
        <w:rPr>
          <w:lang w:val="fr-FR"/>
        </w:rPr>
        <w:t>’</w:t>
      </w:r>
      <w:r w:rsidRPr="00FA2E2E">
        <w:rPr>
          <w:lang w:val="fr-FR"/>
        </w:rPr>
        <w:t>il peut être nécessaire de prendre (par exemple, l</w:t>
      </w:r>
      <w:r w:rsidR="00FE58E1" w:rsidRPr="00FA2E2E">
        <w:rPr>
          <w:lang w:val="fr-FR"/>
        </w:rPr>
        <w:t>’</w:t>
      </w:r>
      <w:r w:rsidRPr="00FA2E2E">
        <w:rPr>
          <w:lang w:val="fr-FR"/>
        </w:rPr>
        <w:t>installation de barrières pour empêcher l</w:t>
      </w:r>
      <w:r w:rsidR="00FE58E1" w:rsidRPr="00FA2E2E">
        <w:rPr>
          <w:lang w:val="fr-FR"/>
        </w:rPr>
        <w:t>’</w:t>
      </w:r>
      <w:r w:rsidRPr="00FA2E2E">
        <w:rPr>
          <w:lang w:val="fr-FR"/>
        </w:rPr>
        <w:t>entrée dans les zones contaminées</w:t>
      </w:r>
      <w:r w:rsidR="00394E34" w:rsidRPr="00FA2E2E">
        <w:rPr>
          <w:lang w:val="fr-FR"/>
        </w:rPr>
        <w:t>, le recouvrement des sols contaminés</w:t>
      </w:r>
      <w:r w:rsidRPr="00FA2E2E">
        <w:rPr>
          <w:lang w:val="fr-FR"/>
        </w:rPr>
        <w:t>) ainsi que les activités de remise en état du site</w:t>
      </w:r>
      <w:r w:rsidR="00D31AFF" w:rsidRPr="00FA2E2E">
        <w:rPr>
          <w:lang w:val="fr-FR"/>
        </w:rPr>
        <w:t xml:space="preserve">. </w:t>
      </w:r>
      <w:r w:rsidR="005D4625" w:rsidRPr="00FA2E2E">
        <w:rPr>
          <w:lang w:val="fr-FR"/>
        </w:rPr>
        <w:t>Le maintien de l</w:t>
      </w:r>
      <w:r w:rsidR="00FE58E1" w:rsidRPr="00FA2E2E">
        <w:rPr>
          <w:lang w:val="fr-FR"/>
        </w:rPr>
        <w:t>’</w:t>
      </w:r>
      <w:r w:rsidR="005D4625" w:rsidRPr="00FA2E2E">
        <w:rPr>
          <w:lang w:val="fr-FR"/>
        </w:rPr>
        <w:t>activité du site pourrait rendre une telle mobilisation plus difficile</w:t>
      </w:r>
      <w:r w:rsidR="00D31AFF" w:rsidRPr="00FA2E2E">
        <w:rPr>
          <w:lang w:val="fr-FR"/>
        </w:rPr>
        <w:t>.</w:t>
      </w:r>
      <w:r w:rsidR="005D4625" w:rsidRPr="00FA2E2E">
        <w:rPr>
          <w:lang w:val="fr-FR"/>
        </w:rPr>
        <w:t xml:space="preserve"> </w:t>
      </w:r>
      <w:r w:rsidR="00D547CD" w:rsidRPr="00FA2E2E">
        <w:rPr>
          <w:lang w:val="fr-FR"/>
        </w:rPr>
        <w:t>Une</w:t>
      </w:r>
      <w:r w:rsidR="00AE49CF" w:rsidRPr="00FA2E2E">
        <w:rPr>
          <w:lang w:val="fr-FR"/>
        </w:rPr>
        <w:t> </w:t>
      </w:r>
      <w:r w:rsidR="00D547CD" w:rsidRPr="00FA2E2E">
        <w:rPr>
          <w:lang w:val="fr-FR"/>
        </w:rPr>
        <w:t>déclaration sur les modalités de la participation demandée à la communauté devrait également être communiquée</w:t>
      </w:r>
      <w:r w:rsidR="005D4625" w:rsidRPr="00FA2E2E">
        <w:rPr>
          <w:lang w:val="fr-FR"/>
        </w:rPr>
        <w:t xml:space="preserve">, </w:t>
      </w:r>
      <w:r w:rsidR="00D547CD" w:rsidRPr="00FA2E2E">
        <w:rPr>
          <w:lang w:val="fr-FR"/>
        </w:rPr>
        <w:t>ce qui aiderait</w:t>
      </w:r>
      <w:r w:rsidR="005D4625" w:rsidRPr="00FA2E2E">
        <w:rPr>
          <w:lang w:val="fr-FR"/>
        </w:rPr>
        <w:t xml:space="preserve"> à établir des attentes communes </w:t>
      </w:r>
      <w:r w:rsidR="00D547CD" w:rsidRPr="00FA2E2E">
        <w:rPr>
          <w:lang w:val="fr-FR"/>
        </w:rPr>
        <w:t>concernant</w:t>
      </w:r>
      <w:r w:rsidR="005D4625" w:rsidRPr="00FA2E2E">
        <w:rPr>
          <w:lang w:val="fr-FR"/>
        </w:rPr>
        <w:t xml:space="preserve"> les travaux</w:t>
      </w:r>
      <w:r w:rsidR="00D547CD" w:rsidRPr="00FA2E2E">
        <w:rPr>
          <w:lang w:val="fr-FR"/>
        </w:rPr>
        <w:t xml:space="preserve"> à mener</w:t>
      </w:r>
      <w:r w:rsidR="00D31AFF" w:rsidRPr="00FA2E2E">
        <w:rPr>
          <w:lang w:val="fr-FR"/>
        </w:rPr>
        <w:t xml:space="preserve">. </w:t>
      </w:r>
      <w:r w:rsidR="000801BD" w:rsidRPr="00FA2E2E">
        <w:rPr>
          <w:lang w:val="fr-FR"/>
        </w:rPr>
        <w:t>Un</w:t>
      </w:r>
      <w:r w:rsidR="00AE49CF" w:rsidRPr="00FA2E2E">
        <w:rPr>
          <w:lang w:val="fr-FR"/>
        </w:rPr>
        <w:t> </w:t>
      </w:r>
      <w:r w:rsidR="000801BD" w:rsidRPr="00FA2E2E">
        <w:rPr>
          <w:lang w:val="fr-FR"/>
        </w:rPr>
        <w:t>calendrier initial pour les activités, comprenant des délais pour la communication d</w:t>
      </w:r>
      <w:r w:rsidR="00FE58E1" w:rsidRPr="00FA2E2E">
        <w:rPr>
          <w:lang w:val="fr-FR"/>
        </w:rPr>
        <w:t>’</w:t>
      </w:r>
      <w:r w:rsidR="000801BD" w:rsidRPr="00FA2E2E">
        <w:rPr>
          <w:lang w:val="fr-FR"/>
        </w:rPr>
        <w:t xml:space="preserve">informations ou </w:t>
      </w:r>
      <w:r w:rsidR="00D547CD" w:rsidRPr="00FA2E2E">
        <w:rPr>
          <w:lang w:val="fr-FR"/>
        </w:rPr>
        <w:t>l</w:t>
      </w:r>
      <w:r w:rsidR="00FE58E1" w:rsidRPr="00FA2E2E">
        <w:rPr>
          <w:lang w:val="fr-FR"/>
        </w:rPr>
        <w:t>’</w:t>
      </w:r>
      <w:r w:rsidR="00D547CD" w:rsidRPr="00FA2E2E">
        <w:rPr>
          <w:lang w:val="fr-FR"/>
        </w:rPr>
        <w:t>établissement</w:t>
      </w:r>
      <w:r w:rsidR="000801BD" w:rsidRPr="00FA2E2E">
        <w:rPr>
          <w:lang w:val="fr-FR"/>
        </w:rPr>
        <w:t xml:space="preserve"> de rapports, </w:t>
      </w:r>
      <w:r w:rsidR="00D547CD" w:rsidRPr="00FA2E2E">
        <w:rPr>
          <w:lang w:val="fr-FR"/>
        </w:rPr>
        <w:t>devrait également être établi</w:t>
      </w:r>
      <w:r w:rsidR="00D31AFF" w:rsidRPr="00FA2E2E">
        <w:rPr>
          <w:lang w:val="fr-FR"/>
        </w:rPr>
        <w:t xml:space="preserve">. </w:t>
      </w:r>
      <w:r w:rsidR="00D547CD" w:rsidRPr="00FA2E2E">
        <w:rPr>
          <w:lang w:val="fr-FR"/>
        </w:rPr>
        <w:t>Les informations initiales peuvent être fournies</w:t>
      </w:r>
      <w:r w:rsidR="00D31AFF" w:rsidRPr="00FA2E2E">
        <w:rPr>
          <w:lang w:val="fr-FR"/>
        </w:rPr>
        <w:t xml:space="preserve"> </w:t>
      </w:r>
      <w:r w:rsidR="00D547CD" w:rsidRPr="00FA2E2E">
        <w:rPr>
          <w:lang w:val="fr-FR"/>
        </w:rPr>
        <w:t>par la distribution de</w:t>
      </w:r>
      <w:r w:rsidR="00D31AFF" w:rsidRPr="00FA2E2E">
        <w:rPr>
          <w:lang w:val="fr-FR"/>
        </w:rPr>
        <w:t xml:space="preserve"> </w:t>
      </w:r>
      <w:r w:rsidR="00D547CD" w:rsidRPr="00FA2E2E">
        <w:rPr>
          <w:lang w:val="fr-FR"/>
        </w:rPr>
        <w:t>documents imprimés</w:t>
      </w:r>
      <w:r w:rsidR="00D31AFF" w:rsidRPr="00FA2E2E">
        <w:rPr>
          <w:lang w:val="fr-FR"/>
        </w:rPr>
        <w:t xml:space="preserve"> </w:t>
      </w:r>
      <w:r w:rsidR="00D547CD" w:rsidRPr="00FA2E2E">
        <w:rPr>
          <w:lang w:val="fr-FR"/>
        </w:rPr>
        <w:t>(comme des prospectus) directement au sein de la</w:t>
      </w:r>
      <w:r w:rsidR="00AE49CF" w:rsidRPr="00FA2E2E">
        <w:rPr>
          <w:lang w:val="fr-FR"/>
        </w:rPr>
        <w:t> </w:t>
      </w:r>
      <w:r w:rsidR="00D547CD" w:rsidRPr="00FA2E2E">
        <w:rPr>
          <w:lang w:val="fr-FR"/>
        </w:rPr>
        <w:t>communauté</w:t>
      </w:r>
      <w:r w:rsidR="0085023E" w:rsidRPr="00FA2E2E">
        <w:rPr>
          <w:lang w:val="fr-FR"/>
        </w:rPr>
        <w:t>,</w:t>
      </w:r>
      <w:r w:rsidR="00D547CD" w:rsidRPr="00FA2E2E">
        <w:rPr>
          <w:lang w:val="fr-FR"/>
        </w:rPr>
        <w:t xml:space="preserve"> par une publication dans des journaux locaux ou communautaires ou sur les sites Web concernés</w:t>
      </w:r>
      <w:r w:rsidR="00D31AFF" w:rsidRPr="00FA2E2E">
        <w:rPr>
          <w:lang w:val="fr-FR"/>
        </w:rPr>
        <w:t xml:space="preserve">. </w:t>
      </w:r>
      <w:r w:rsidR="00D547CD" w:rsidRPr="00FA2E2E">
        <w:rPr>
          <w:lang w:val="fr-FR"/>
        </w:rPr>
        <w:t>Il est également possible de se servir des stations de radio et chaînes de télévision locales pour communiquer des informations et faire connaître les principales activités</w:t>
      </w:r>
      <w:r w:rsidR="00D31AFF" w:rsidRPr="00FA2E2E">
        <w:rPr>
          <w:lang w:val="fr-FR"/>
        </w:rPr>
        <w:t xml:space="preserve">. </w:t>
      </w:r>
    </w:p>
    <w:p w14:paraId="189C13E2" w14:textId="1D5AEFFD" w:rsidR="00D31AFF" w:rsidRPr="00FA2E2E" w:rsidRDefault="002824FD" w:rsidP="006D69D3">
      <w:pPr>
        <w:pStyle w:val="Normalnumber"/>
        <w:rPr>
          <w:lang w:val="fr-FR"/>
        </w:rPr>
      </w:pPr>
      <w:r w:rsidRPr="00FA2E2E">
        <w:rPr>
          <w:lang w:val="fr-FR"/>
        </w:rPr>
        <w:t>Il est conseillé de fournir</w:t>
      </w:r>
      <w:r w:rsidR="00D31AFF" w:rsidRPr="00FA2E2E">
        <w:rPr>
          <w:lang w:val="fr-FR"/>
        </w:rPr>
        <w:t xml:space="preserve"> </w:t>
      </w:r>
      <w:r w:rsidRPr="00FA2E2E">
        <w:rPr>
          <w:lang w:val="fr-FR"/>
        </w:rPr>
        <w:t>un plan initial détaillant les modalités de mobilisation du public, comprenant un calendrier pour les activités de mobilisation proposées</w:t>
      </w:r>
      <w:r w:rsidR="00D31AFF" w:rsidRPr="00FA2E2E">
        <w:rPr>
          <w:lang w:val="fr-FR"/>
        </w:rPr>
        <w:t xml:space="preserve">. </w:t>
      </w:r>
      <w:r w:rsidRPr="00FA2E2E">
        <w:rPr>
          <w:lang w:val="fr-FR"/>
        </w:rPr>
        <w:t>Lorsque des contributions sont demandées, des informations devraient être fournies sur leurs modalités de collecte et sur la façon dont elles seront utilisées</w:t>
      </w:r>
      <w:r w:rsidR="00D31AFF" w:rsidRPr="00FA2E2E">
        <w:rPr>
          <w:lang w:val="fr-FR"/>
        </w:rPr>
        <w:t xml:space="preserve">. </w:t>
      </w:r>
      <w:r w:rsidRPr="00FA2E2E">
        <w:rPr>
          <w:lang w:val="fr-FR"/>
        </w:rPr>
        <w:t>Les activités de mobilisation du public peuvent comprendre des réunions publiques, qui pourront se tenir dans des locaux communautaires centraux ou, parfois, sur le site touché</w:t>
      </w:r>
      <w:r w:rsidR="00D31AFF" w:rsidRPr="00FA2E2E">
        <w:rPr>
          <w:lang w:val="fr-FR"/>
        </w:rPr>
        <w:t xml:space="preserve">. </w:t>
      </w:r>
      <w:r w:rsidRPr="00FA2E2E">
        <w:rPr>
          <w:lang w:val="fr-FR"/>
        </w:rPr>
        <w:t>Les réunions publiques peuvent prendre diverses formes et il pourra s</w:t>
      </w:r>
      <w:r w:rsidR="00FE58E1" w:rsidRPr="00FA2E2E">
        <w:rPr>
          <w:lang w:val="fr-FR"/>
        </w:rPr>
        <w:t>’</w:t>
      </w:r>
      <w:r w:rsidRPr="00FA2E2E">
        <w:rPr>
          <w:lang w:val="fr-FR"/>
        </w:rPr>
        <w:t>avérer utile d</w:t>
      </w:r>
      <w:r w:rsidR="00FE58E1" w:rsidRPr="00FA2E2E">
        <w:rPr>
          <w:lang w:val="fr-FR"/>
        </w:rPr>
        <w:t>’</w:t>
      </w:r>
      <w:r w:rsidRPr="00FA2E2E">
        <w:rPr>
          <w:lang w:val="fr-FR"/>
        </w:rPr>
        <w:t xml:space="preserve">organiser </w:t>
      </w:r>
      <w:r w:rsidR="001A026A" w:rsidRPr="00FA2E2E">
        <w:rPr>
          <w:lang w:val="fr-FR"/>
        </w:rPr>
        <w:t>différents</w:t>
      </w:r>
      <w:r w:rsidRPr="00FA2E2E">
        <w:rPr>
          <w:lang w:val="fr-FR"/>
        </w:rPr>
        <w:t xml:space="preserve"> types de réunions </w:t>
      </w:r>
      <w:r w:rsidR="001A026A" w:rsidRPr="00FA2E2E">
        <w:rPr>
          <w:lang w:val="fr-FR"/>
        </w:rPr>
        <w:t>aux</w:t>
      </w:r>
      <w:r w:rsidRPr="00FA2E2E">
        <w:rPr>
          <w:lang w:val="fr-FR"/>
        </w:rPr>
        <w:t xml:space="preserve"> différentes étapes des travaux</w:t>
      </w:r>
      <w:r w:rsidR="00D31AFF" w:rsidRPr="00FA2E2E">
        <w:rPr>
          <w:lang w:val="fr-FR"/>
        </w:rPr>
        <w:t xml:space="preserve">. </w:t>
      </w:r>
    </w:p>
    <w:p w14:paraId="36B38385" w14:textId="0428E3A7" w:rsidR="00D31AFF" w:rsidRPr="00FA2E2E" w:rsidRDefault="00D31AFF" w:rsidP="00F93F76">
      <w:pPr>
        <w:pStyle w:val="CH2"/>
        <w:rPr>
          <w:lang w:val="fr-FR"/>
        </w:rPr>
      </w:pPr>
      <w:r w:rsidRPr="00FA2E2E">
        <w:rPr>
          <w:rFonts w:ascii="Arial" w:hAnsi="Arial" w:cs="Arial"/>
          <w:color w:val="000000"/>
          <w:lang w:val="fr-FR"/>
        </w:rPr>
        <w:tab/>
      </w:r>
      <w:bookmarkStart w:id="22" w:name="_Toc15920544"/>
      <w:r w:rsidRPr="00FA2E2E">
        <w:rPr>
          <w:lang w:val="fr-FR"/>
        </w:rPr>
        <w:t>D.</w:t>
      </w:r>
      <w:r w:rsidRPr="00FA2E2E">
        <w:rPr>
          <w:lang w:val="fr-FR"/>
        </w:rPr>
        <w:tab/>
      </w:r>
      <w:r w:rsidR="000D2DF2" w:rsidRPr="00FA2E2E">
        <w:rPr>
          <w:lang w:val="fr-FR"/>
        </w:rPr>
        <w:t>Évaluations des risques pour la santé humaine et l</w:t>
      </w:r>
      <w:r w:rsidR="00FE58E1" w:rsidRPr="00FA2E2E">
        <w:rPr>
          <w:lang w:val="fr-FR"/>
        </w:rPr>
        <w:t>’</w:t>
      </w:r>
      <w:r w:rsidR="000D2DF2" w:rsidRPr="00FA2E2E">
        <w:rPr>
          <w:lang w:val="fr-FR"/>
        </w:rPr>
        <w:t>environnement</w:t>
      </w:r>
      <w:bookmarkEnd w:id="22"/>
    </w:p>
    <w:p w14:paraId="1FC9448F" w14:textId="5D2433E7" w:rsidR="00D31AFF" w:rsidRPr="00FA2E2E" w:rsidRDefault="00F6262D" w:rsidP="008E43CD">
      <w:pPr>
        <w:pStyle w:val="Normalnumber"/>
        <w:numPr>
          <w:ilvl w:val="0"/>
          <w:numId w:val="5"/>
        </w:numPr>
        <w:rPr>
          <w:lang w:val="fr-FR"/>
        </w:rPr>
      </w:pPr>
      <w:r w:rsidRPr="00FA2E2E">
        <w:rPr>
          <w:lang w:val="fr-FR"/>
        </w:rPr>
        <w:t>Une évaluation des risques aidera à répondre aux questions ci-après </w:t>
      </w:r>
      <w:r w:rsidR="00D31AFF" w:rsidRPr="00FA2E2E">
        <w:rPr>
          <w:lang w:val="fr-FR"/>
        </w:rPr>
        <w:t>:</w:t>
      </w:r>
    </w:p>
    <w:p w14:paraId="0757E11E" w14:textId="353667D8" w:rsidR="00D31AFF" w:rsidRPr="00FA2E2E" w:rsidRDefault="00F6262D" w:rsidP="008E43CD">
      <w:pPr>
        <w:pStyle w:val="Normalnumber"/>
        <w:numPr>
          <w:ilvl w:val="1"/>
          <w:numId w:val="5"/>
        </w:numPr>
        <w:rPr>
          <w:lang w:val="fr-FR"/>
        </w:rPr>
      </w:pPr>
      <w:r w:rsidRPr="00FA2E2E">
        <w:rPr>
          <w:lang w:val="fr-FR"/>
        </w:rPr>
        <w:t>Le site représente-t-il un risque réel ou potentiel pour la population humaine et/ou le</w:t>
      </w:r>
      <w:r w:rsidR="00BD0B37" w:rsidRPr="00FA2E2E">
        <w:rPr>
          <w:lang w:val="fr-FR"/>
        </w:rPr>
        <w:t> </w:t>
      </w:r>
      <w:r w:rsidRPr="00FA2E2E">
        <w:rPr>
          <w:lang w:val="fr-FR"/>
        </w:rPr>
        <w:t>biote </w:t>
      </w:r>
      <w:r w:rsidR="00D31AFF" w:rsidRPr="00FA2E2E">
        <w:rPr>
          <w:lang w:val="fr-FR"/>
        </w:rPr>
        <w:t>?</w:t>
      </w:r>
    </w:p>
    <w:p w14:paraId="5163F418" w14:textId="41FF88CB" w:rsidR="00D31AFF" w:rsidRPr="00FA2E2E" w:rsidRDefault="00F6262D" w:rsidP="008E43CD">
      <w:pPr>
        <w:pStyle w:val="Normalnumber"/>
        <w:numPr>
          <w:ilvl w:val="1"/>
          <w:numId w:val="5"/>
        </w:numPr>
        <w:rPr>
          <w:lang w:val="fr-FR"/>
        </w:rPr>
      </w:pPr>
      <w:r w:rsidRPr="00FA2E2E">
        <w:rPr>
          <w:lang w:val="fr-FR"/>
        </w:rPr>
        <w:t>Quelle est l</w:t>
      </w:r>
      <w:r w:rsidR="00FE58E1" w:rsidRPr="00FA2E2E">
        <w:rPr>
          <w:lang w:val="fr-FR"/>
        </w:rPr>
        <w:t>’</w:t>
      </w:r>
      <w:r w:rsidRPr="00FA2E2E">
        <w:rPr>
          <w:lang w:val="fr-FR"/>
        </w:rPr>
        <w:t>ampleur du risque </w:t>
      </w:r>
      <w:r w:rsidR="00D31AFF" w:rsidRPr="00FA2E2E">
        <w:rPr>
          <w:lang w:val="fr-FR"/>
        </w:rPr>
        <w:t>?</w:t>
      </w:r>
    </w:p>
    <w:p w14:paraId="02981F67" w14:textId="3CB6C680" w:rsidR="00D31AFF" w:rsidRPr="00FA2E2E" w:rsidRDefault="00F6262D" w:rsidP="008E43CD">
      <w:pPr>
        <w:pStyle w:val="Normalnumber"/>
        <w:numPr>
          <w:ilvl w:val="1"/>
          <w:numId w:val="5"/>
        </w:numPr>
        <w:rPr>
          <w:lang w:val="fr-FR"/>
        </w:rPr>
      </w:pPr>
      <w:r w:rsidRPr="00FA2E2E">
        <w:rPr>
          <w:lang w:val="fr-FR"/>
        </w:rPr>
        <w:t xml:space="preserve">Le </w:t>
      </w:r>
      <w:r w:rsidR="001A026A" w:rsidRPr="00FA2E2E">
        <w:rPr>
          <w:lang w:val="fr-FR"/>
        </w:rPr>
        <w:t xml:space="preserve">risque associé au </w:t>
      </w:r>
      <w:r w:rsidRPr="00FA2E2E">
        <w:rPr>
          <w:lang w:val="fr-FR"/>
        </w:rPr>
        <w:t xml:space="preserve">site peut-il être géré de manière adéquate sans remise en état </w:t>
      </w:r>
      <w:r w:rsidR="00B04DC7" w:rsidRPr="00FA2E2E">
        <w:rPr>
          <w:lang w:val="fr-FR"/>
        </w:rPr>
        <w:t>(</w:t>
      </w:r>
      <w:r w:rsidRPr="00FA2E2E">
        <w:rPr>
          <w:lang w:val="fr-FR"/>
        </w:rPr>
        <w:t>à</w:t>
      </w:r>
      <w:r w:rsidR="00BD0B37" w:rsidRPr="00FA2E2E">
        <w:rPr>
          <w:lang w:val="fr-FR"/>
        </w:rPr>
        <w:t> </w:t>
      </w:r>
      <w:r w:rsidRPr="00FA2E2E">
        <w:rPr>
          <w:lang w:val="fr-FR"/>
        </w:rPr>
        <w:t>court terme </w:t>
      </w:r>
      <w:r w:rsidR="00B04DC7" w:rsidRPr="00FA2E2E">
        <w:rPr>
          <w:lang w:val="fr-FR"/>
        </w:rPr>
        <w:t xml:space="preserve">? </w:t>
      </w:r>
      <w:r w:rsidR="001A026A" w:rsidRPr="00FA2E2E">
        <w:rPr>
          <w:lang w:val="fr-FR"/>
        </w:rPr>
        <w:t>S</w:t>
      </w:r>
      <w:r w:rsidRPr="00FA2E2E">
        <w:rPr>
          <w:lang w:val="fr-FR"/>
        </w:rPr>
        <w:t>ur une plus longue période </w:t>
      </w:r>
      <w:r w:rsidR="00434EC2" w:rsidRPr="00FA2E2E">
        <w:rPr>
          <w:lang w:val="fr-FR"/>
        </w:rPr>
        <w:t>?</w:t>
      </w:r>
      <w:r w:rsidR="00B04DC7" w:rsidRPr="00FA2E2E">
        <w:rPr>
          <w:lang w:val="fr-FR"/>
        </w:rPr>
        <w:t xml:space="preserve">) </w:t>
      </w:r>
      <w:r w:rsidRPr="00FA2E2E">
        <w:rPr>
          <w:lang w:val="fr-FR"/>
        </w:rPr>
        <w:t>ou le site devrait-il être remis en état afin de réduire le</w:t>
      </w:r>
      <w:r w:rsidR="00BD0B37" w:rsidRPr="00FA2E2E">
        <w:rPr>
          <w:lang w:val="fr-FR"/>
        </w:rPr>
        <w:t> </w:t>
      </w:r>
      <w:r w:rsidRPr="00FA2E2E">
        <w:rPr>
          <w:lang w:val="fr-FR"/>
        </w:rPr>
        <w:t>risque </w:t>
      </w:r>
      <w:r w:rsidR="00D31AFF" w:rsidRPr="00FA2E2E">
        <w:rPr>
          <w:lang w:val="fr-FR"/>
        </w:rPr>
        <w:t>?</w:t>
      </w:r>
    </w:p>
    <w:p w14:paraId="20F96E5D" w14:textId="55403AE4" w:rsidR="00D31AFF" w:rsidRPr="00FA2E2E" w:rsidRDefault="00F6262D" w:rsidP="008E43CD">
      <w:pPr>
        <w:pStyle w:val="Normalnumber"/>
        <w:numPr>
          <w:ilvl w:val="1"/>
          <w:numId w:val="5"/>
        </w:numPr>
        <w:rPr>
          <w:lang w:val="fr-FR"/>
        </w:rPr>
      </w:pPr>
      <w:r w:rsidRPr="00FA2E2E">
        <w:rPr>
          <w:lang w:val="fr-FR"/>
        </w:rPr>
        <w:t>Si le site n</w:t>
      </w:r>
      <w:r w:rsidR="00FE58E1" w:rsidRPr="00FA2E2E">
        <w:rPr>
          <w:lang w:val="fr-FR"/>
        </w:rPr>
        <w:t>’</w:t>
      </w:r>
      <w:r w:rsidRPr="00FA2E2E">
        <w:rPr>
          <w:lang w:val="fr-FR"/>
        </w:rPr>
        <w:t>est pas remis en état, le risque pourrait-il augmenter et/ou se propager </w:t>
      </w:r>
      <w:r w:rsidR="00D31AFF" w:rsidRPr="00FA2E2E">
        <w:rPr>
          <w:lang w:val="fr-FR"/>
        </w:rPr>
        <w:t>?</w:t>
      </w:r>
    </w:p>
    <w:p w14:paraId="1C0BA541" w14:textId="0E14C857" w:rsidR="00D31AFF" w:rsidRPr="00FA2E2E" w:rsidRDefault="00F6262D" w:rsidP="006D69D3">
      <w:pPr>
        <w:pStyle w:val="Normalnumber"/>
        <w:rPr>
          <w:lang w:val="fr-FR"/>
        </w:rPr>
      </w:pPr>
      <w:r w:rsidRPr="00FA2E2E">
        <w:rPr>
          <w:lang w:val="fr-FR"/>
        </w:rPr>
        <w:t>L</w:t>
      </w:r>
      <w:r w:rsidR="00FE58E1" w:rsidRPr="00FA2E2E">
        <w:rPr>
          <w:lang w:val="fr-FR"/>
        </w:rPr>
        <w:t>’</w:t>
      </w:r>
      <w:r w:rsidRPr="00FA2E2E">
        <w:rPr>
          <w:lang w:val="fr-FR"/>
        </w:rPr>
        <w:t>évaluation des risques est un processus qui estime l</w:t>
      </w:r>
      <w:r w:rsidR="00FE58E1" w:rsidRPr="00FA2E2E">
        <w:rPr>
          <w:lang w:val="fr-FR"/>
        </w:rPr>
        <w:t>’</w:t>
      </w:r>
      <w:r w:rsidRPr="00FA2E2E">
        <w:rPr>
          <w:lang w:val="fr-FR"/>
        </w:rPr>
        <w:t>ampleur et la probabilité des effets néfastes d</w:t>
      </w:r>
      <w:r w:rsidR="00FE58E1" w:rsidRPr="00FA2E2E">
        <w:rPr>
          <w:lang w:val="fr-FR"/>
        </w:rPr>
        <w:t>’</w:t>
      </w:r>
      <w:r w:rsidRPr="00FA2E2E">
        <w:rPr>
          <w:lang w:val="fr-FR"/>
        </w:rPr>
        <w:t>une contamination</w:t>
      </w:r>
      <w:r w:rsidR="00D31AFF" w:rsidRPr="00FA2E2E">
        <w:rPr>
          <w:lang w:val="fr-FR"/>
        </w:rPr>
        <w:t xml:space="preserve">. </w:t>
      </w:r>
      <w:r w:rsidRPr="00FA2E2E">
        <w:rPr>
          <w:lang w:val="fr-FR"/>
        </w:rPr>
        <w:t>En conséquence</w:t>
      </w:r>
      <w:r w:rsidR="00D31AFF" w:rsidRPr="00FA2E2E">
        <w:rPr>
          <w:lang w:val="fr-FR"/>
        </w:rPr>
        <w:t>,</w:t>
      </w:r>
      <w:r w:rsidRPr="00FA2E2E">
        <w:rPr>
          <w:lang w:val="fr-FR"/>
        </w:rPr>
        <w:t xml:space="preserve"> il s</w:t>
      </w:r>
      <w:r w:rsidR="00FE58E1" w:rsidRPr="00FA2E2E">
        <w:rPr>
          <w:lang w:val="fr-FR"/>
        </w:rPr>
        <w:t>’</w:t>
      </w:r>
      <w:r w:rsidRPr="00FA2E2E">
        <w:rPr>
          <w:lang w:val="fr-FR"/>
        </w:rPr>
        <w:t>agit d</w:t>
      </w:r>
      <w:r w:rsidR="00FE58E1" w:rsidRPr="00FA2E2E">
        <w:rPr>
          <w:lang w:val="fr-FR"/>
        </w:rPr>
        <w:t>’</w:t>
      </w:r>
      <w:r w:rsidRPr="00FA2E2E">
        <w:rPr>
          <w:lang w:val="fr-FR"/>
        </w:rPr>
        <w:t>un</w:t>
      </w:r>
      <w:r w:rsidR="00D31AFF" w:rsidRPr="00FA2E2E">
        <w:rPr>
          <w:lang w:val="fr-FR"/>
        </w:rPr>
        <w:t xml:space="preserve"> instrument </w:t>
      </w:r>
      <w:r w:rsidRPr="00FA2E2E">
        <w:rPr>
          <w:lang w:val="fr-FR"/>
        </w:rPr>
        <w:t>pouvant aider à déterminer si</w:t>
      </w:r>
      <w:r w:rsidR="00BD0B37" w:rsidRPr="00FA2E2E">
        <w:rPr>
          <w:lang w:val="fr-FR"/>
        </w:rPr>
        <w:t> </w:t>
      </w:r>
      <w:r w:rsidRPr="00FA2E2E">
        <w:rPr>
          <w:lang w:val="fr-FR"/>
        </w:rPr>
        <w:t>des mesures environnementales peuvent être efficaces sur un site contaminé et, le cas échéant, quels types de mesure il convient d</w:t>
      </w:r>
      <w:r w:rsidR="00FE58E1" w:rsidRPr="00FA2E2E">
        <w:rPr>
          <w:lang w:val="fr-FR"/>
        </w:rPr>
        <w:t>’</w:t>
      </w:r>
      <w:r w:rsidRPr="00FA2E2E">
        <w:rPr>
          <w:lang w:val="fr-FR"/>
        </w:rPr>
        <w:t>envisager</w:t>
      </w:r>
      <w:r w:rsidR="00D31AFF" w:rsidRPr="00FA2E2E">
        <w:rPr>
          <w:lang w:val="fr-FR"/>
        </w:rPr>
        <w:t xml:space="preserve">. </w:t>
      </w:r>
    </w:p>
    <w:p w14:paraId="05CF7354" w14:textId="62F50DDC" w:rsidR="00D31AFF" w:rsidRPr="00FA2E2E" w:rsidRDefault="00083FFE" w:rsidP="008E43CD">
      <w:pPr>
        <w:pStyle w:val="Normalnumber"/>
        <w:numPr>
          <w:ilvl w:val="0"/>
          <w:numId w:val="5"/>
        </w:numPr>
        <w:rPr>
          <w:lang w:val="fr-FR"/>
        </w:rPr>
      </w:pPr>
      <w:r w:rsidRPr="00FA2E2E">
        <w:rPr>
          <w:lang w:val="fr-FR"/>
        </w:rPr>
        <w:t>Une évaluation des risques peut être utilisée pour aider à définir des objectifs de remise en état ou de gestion pour un</w:t>
      </w:r>
      <w:r w:rsidR="00D31AFF" w:rsidRPr="00FA2E2E">
        <w:rPr>
          <w:lang w:val="fr-FR"/>
        </w:rPr>
        <w:t xml:space="preserve"> site, </w:t>
      </w:r>
      <w:r w:rsidRPr="00FA2E2E">
        <w:rPr>
          <w:lang w:val="fr-FR"/>
        </w:rPr>
        <w:t xml:space="preserve">comme </w:t>
      </w:r>
      <w:r w:rsidR="00D31AFF" w:rsidRPr="00FA2E2E">
        <w:rPr>
          <w:lang w:val="fr-FR"/>
        </w:rPr>
        <w:t xml:space="preserve">a) </w:t>
      </w:r>
      <w:r w:rsidRPr="00FA2E2E">
        <w:rPr>
          <w:lang w:val="fr-FR"/>
        </w:rPr>
        <w:t>atteindre les limites maximales acceptables établies soit par la</w:t>
      </w:r>
      <w:r w:rsidR="00BD0B37" w:rsidRPr="00FA2E2E">
        <w:rPr>
          <w:lang w:val="fr-FR"/>
        </w:rPr>
        <w:t> </w:t>
      </w:r>
      <w:r w:rsidRPr="00FA2E2E">
        <w:rPr>
          <w:lang w:val="fr-FR"/>
        </w:rPr>
        <w:t>législation nationale ou locale soit par des autorités compétentes ou</w:t>
      </w:r>
      <w:r w:rsidR="00D31AFF" w:rsidRPr="00FA2E2E">
        <w:rPr>
          <w:lang w:val="fr-FR"/>
        </w:rPr>
        <w:t xml:space="preserve"> b) </w:t>
      </w:r>
      <w:r w:rsidRPr="00FA2E2E">
        <w:rPr>
          <w:lang w:val="fr-FR"/>
        </w:rPr>
        <w:t>atteindre des limites spécifiques fixées pour le site sur la base de l</w:t>
      </w:r>
      <w:r w:rsidR="00FE58E1" w:rsidRPr="00FA2E2E">
        <w:rPr>
          <w:lang w:val="fr-FR"/>
        </w:rPr>
        <w:t>’</w:t>
      </w:r>
      <w:r w:rsidRPr="00FA2E2E">
        <w:rPr>
          <w:lang w:val="fr-FR"/>
        </w:rPr>
        <w:t>évaluation</w:t>
      </w:r>
      <w:r w:rsidR="00D31AFF" w:rsidRPr="00FA2E2E">
        <w:rPr>
          <w:lang w:val="fr-FR"/>
        </w:rPr>
        <w:t>.</w:t>
      </w:r>
    </w:p>
    <w:p w14:paraId="02880049" w14:textId="0FE22F49" w:rsidR="00D31AFF" w:rsidRPr="00FA2E2E" w:rsidRDefault="00E81129" w:rsidP="008E43CD">
      <w:pPr>
        <w:pStyle w:val="Normalnumber"/>
        <w:numPr>
          <w:ilvl w:val="0"/>
          <w:numId w:val="5"/>
        </w:numPr>
        <w:rPr>
          <w:lang w:val="fr-FR"/>
        </w:rPr>
      </w:pPr>
      <w:r w:rsidRPr="00FA2E2E">
        <w:rPr>
          <w:lang w:val="fr-FR"/>
        </w:rPr>
        <w:t>Une évaluation des risques est</w:t>
      </w:r>
      <w:r w:rsidR="00D31AFF" w:rsidRPr="00FA2E2E">
        <w:rPr>
          <w:lang w:val="fr-FR"/>
        </w:rPr>
        <w:t xml:space="preserve"> </w:t>
      </w:r>
      <w:r w:rsidRPr="00FA2E2E">
        <w:rPr>
          <w:lang w:val="fr-FR"/>
        </w:rPr>
        <w:t>généralement composée de quatre étapes clairement définies et assorties d</w:t>
      </w:r>
      <w:r w:rsidR="00FE58E1" w:rsidRPr="00FA2E2E">
        <w:rPr>
          <w:lang w:val="fr-FR"/>
        </w:rPr>
        <w:t>’</w:t>
      </w:r>
      <w:r w:rsidRPr="00FA2E2E">
        <w:rPr>
          <w:lang w:val="fr-FR"/>
        </w:rPr>
        <w:t>objectifs spécifiques </w:t>
      </w:r>
      <w:r w:rsidR="00D31AFF" w:rsidRPr="00FA2E2E">
        <w:rPr>
          <w:lang w:val="fr-FR"/>
        </w:rPr>
        <w:t>:</w:t>
      </w:r>
    </w:p>
    <w:p w14:paraId="367FAEC9" w14:textId="44E7230A" w:rsidR="00D31AFF" w:rsidRPr="00FA2E2E" w:rsidRDefault="00D31AFF" w:rsidP="008E43CD">
      <w:pPr>
        <w:pStyle w:val="Normalnumber"/>
        <w:numPr>
          <w:ilvl w:val="1"/>
          <w:numId w:val="5"/>
        </w:numPr>
        <w:rPr>
          <w:lang w:val="fr-FR"/>
        </w:rPr>
      </w:pPr>
      <w:r w:rsidRPr="00FA2E2E">
        <w:rPr>
          <w:i/>
          <w:iCs/>
          <w:lang w:val="fr-FR"/>
        </w:rPr>
        <w:t xml:space="preserve">Identification </w:t>
      </w:r>
      <w:r w:rsidR="001861DD" w:rsidRPr="00FA2E2E">
        <w:rPr>
          <w:i/>
          <w:iCs/>
          <w:lang w:val="fr-FR"/>
        </w:rPr>
        <w:t>et</w:t>
      </w:r>
      <w:r w:rsidRPr="00FA2E2E">
        <w:rPr>
          <w:i/>
          <w:iCs/>
          <w:lang w:val="fr-FR"/>
        </w:rPr>
        <w:t xml:space="preserve"> caract</w:t>
      </w:r>
      <w:r w:rsidR="001861DD" w:rsidRPr="00FA2E2E">
        <w:rPr>
          <w:i/>
          <w:iCs/>
          <w:lang w:val="fr-FR"/>
        </w:rPr>
        <w:t>é</w:t>
      </w:r>
      <w:r w:rsidRPr="00FA2E2E">
        <w:rPr>
          <w:i/>
          <w:iCs/>
          <w:lang w:val="fr-FR"/>
        </w:rPr>
        <w:t>ri</w:t>
      </w:r>
      <w:r w:rsidR="001861DD" w:rsidRPr="00FA2E2E">
        <w:rPr>
          <w:i/>
          <w:iCs/>
          <w:lang w:val="fr-FR"/>
        </w:rPr>
        <w:t>s</w:t>
      </w:r>
      <w:r w:rsidRPr="00FA2E2E">
        <w:rPr>
          <w:i/>
          <w:iCs/>
          <w:lang w:val="fr-FR"/>
        </w:rPr>
        <w:t xml:space="preserve">ation </w:t>
      </w:r>
      <w:r w:rsidR="001861DD" w:rsidRPr="00FA2E2E">
        <w:rPr>
          <w:i/>
          <w:iCs/>
          <w:lang w:val="fr-FR"/>
        </w:rPr>
        <w:t>de ce qui est exposé à un risque</w:t>
      </w:r>
      <w:r w:rsidRPr="00FA2E2E">
        <w:rPr>
          <w:i/>
          <w:iCs/>
          <w:lang w:val="fr-FR"/>
        </w:rPr>
        <w:t xml:space="preserve"> </w:t>
      </w:r>
      <w:r w:rsidR="00B94668" w:rsidRPr="00FA2E2E">
        <w:rPr>
          <w:i/>
          <w:iCs/>
          <w:lang w:val="fr-FR"/>
        </w:rPr>
        <w:t>(</w:t>
      </w:r>
      <w:r w:rsidR="001861DD" w:rsidRPr="00FA2E2E">
        <w:rPr>
          <w:i/>
          <w:iCs/>
          <w:lang w:val="fr-FR"/>
        </w:rPr>
        <w:t>par exemple</w:t>
      </w:r>
      <w:r w:rsidR="00B94668" w:rsidRPr="00FA2E2E">
        <w:rPr>
          <w:i/>
          <w:iCs/>
          <w:lang w:val="fr-FR"/>
        </w:rPr>
        <w:t>,</w:t>
      </w:r>
      <w:r w:rsidRPr="00FA2E2E">
        <w:rPr>
          <w:i/>
          <w:iCs/>
          <w:lang w:val="fr-FR"/>
        </w:rPr>
        <w:t xml:space="preserve"> </w:t>
      </w:r>
      <w:r w:rsidR="00FF64F4" w:rsidRPr="00FA2E2E">
        <w:rPr>
          <w:i/>
          <w:iCs/>
          <w:lang w:val="fr-FR"/>
        </w:rPr>
        <w:t>ampleur de la</w:t>
      </w:r>
      <w:r w:rsidRPr="00FA2E2E">
        <w:rPr>
          <w:i/>
          <w:iCs/>
          <w:lang w:val="fr-FR"/>
        </w:rPr>
        <w:t xml:space="preserve"> contamination</w:t>
      </w:r>
      <w:r w:rsidR="00B94668" w:rsidRPr="00FA2E2E">
        <w:rPr>
          <w:i/>
          <w:iCs/>
          <w:lang w:val="fr-FR"/>
        </w:rPr>
        <w:t>,</w:t>
      </w:r>
      <w:r w:rsidRPr="00FA2E2E">
        <w:rPr>
          <w:i/>
          <w:iCs/>
          <w:lang w:val="fr-FR"/>
        </w:rPr>
        <w:t xml:space="preserve"> proximit</w:t>
      </w:r>
      <w:r w:rsidR="00FF64F4" w:rsidRPr="00FA2E2E">
        <w:rPr>
          <w:i/>
          <w:iCs/>
          <w:lang w:val="fr-FR"/>
        </w:rPr>
        <w:t>é</w:t>
      </w:r>
      <w:r w:rsidRPr="00FA2E2E">
        <w:rPr>
          <w:i/>
          <w:iCs/>
          <w:lang w:val="fr-FR"/>
        </w:rPr>
        <w:t xml:space="preserve"> </w:t>
      </w:r>
      <w:r w:rsidR="00FF64F4" w:rsidRPr="00FA2E2E">
        <w:rPr>
          <w:i/>
          <w:iCs/>
          <w:lang w:val="fr-FR"/>
        </w:rPr>
        <w:t>des</w:t>
      </w:r>
      <w:r w:rsidRPr="00FA2E2E">
        <w:rPr>
          <w:i/>
          <w:iCs/>
          <w:lang w:val="fr-FR"/>
        </w:rPr>
        <w:t xml:space="preserve"> populations</w:t>
      </w:r>
      <w:r w:rsidR="00FF64F4" w:rsidRPr="00FA2E2E">
        <w:rPr>
          <w:i/>
          <w:iCs/>
          <w:lang w:val="fr-FR"/>
        </w:rPr>
        <w:t xml:space="preserve"> humaines</w:t>
      </w:r>
      <w:r w:rsidRPr="00FA2E2E">
        <w:rPr>
          <w:i/>
          <w:iCs/>
          <w:lang w:val="fr-FR"/>
        </w:rPr>
        <w:t xml:space="preserve">, </w:t>
      </w:r>
      <w:r w:rsidR="00FF64F4" w:rsidRPr="00FA2E2E">
        <w:rPr>
          <w:i/>
          <w:iCs/>
          <w:lang w:val="fr-FR"/>
        </w:rPr>
        <w:t>profondeur des eaux souterraines</w:t>
      </w:r>
      <w:r w:rsidRPr="00FA2E2E">
        <w:rPr>
          <w:i/>
          <w:iCs/>
          <w:lang w:val="fr-FR"/>
        </w:rPr>
        <w:t>, proximit</w:t>
      </w:r>
      <w:r w:rsidR="00FF64F4" w:rsidRPr="00FA2E2E">
        <w:rPr>
          <w:i/>
          <w:iCs/>
          <w:lang w:val="fr-FR"/>
        </w:rPr>
        <w:t>é</w:t>
      </w:r>
      <w:r w:rsidRPr="00FA2E2E">
        <w:rPr>
          <w:i/>
          <w:iCs/>
          <w:lang w:val="fr-FR"/>
        </w:rPr>
        <w:t xml:space="preserve"> </w:t>
      </w:r>
      <w:r w:rsidR="00FF64F4" w:rsidRPr="00FA2E2E">
        <w:rPr>
          <w:i/>
          <w:iCs/>
          <w:lang w:val="fr-FR"/>
        </w:rPr>
        <w:t>des eaux de</w:t>
      </w:r>
      <w:r w:rsidRPr="00FA2E2E">
        <w:rPr>
          <w:i/>
          <w:iCs/>
          <w:lang w:val="fr-FR"/>
        </w:rPr>
        <w:t xml:space="preserve"> surface </w:t>
      </w:r>
      <w:r w:rsidR="00FF64F4" w:rsidRPr="00FA2E2E">
        <w:rPr>
          <w:i/>
          <w:iCs/>
          <w:lang w:val="fr-FR"/>
        </w:rPr>
        <w:t>ou</w:t>
      </w:r>
      <w:r w:rsidRPr="00FA2E2E">
        <w:rPr>
          <w:i/>
          <w:iCs/>
          <w:lang w:val="fr-FR"/>
        </w:rPr>
        <w:t xml:space="preserve"> </w:t>
      </w:r>
      <w:r w:rsidR="00107D04" w:rsidRPr="00FA2E2E">
        <w:rPr>
          <w:i/>
          <w:iCs/>
          <w:lang w:val="fr-FR"/>
        </w:rPr>
        <w:t xml:space="preserve">des </w:t>
      </w:r>
      <w:r w:rsidRPr="00FA2E2E">
        <w:rPr>
          <w:i/>
          <w:iCs/>
          <w:lang w:val="fr-FR"/>
        </w:rPr>
        <w:t>habitats</w:t>
      </w:r>
      <w:r w:rsidR="00FF64F4" w:rsidRPr="00FA2E2E">
        <w:rPr>
          <w:i/>
          <w:iCs/>
          <w:lang w:val="fr-FR"/>
        </w:rPr>
        <w:t xml:space="preserve"> sensibles</w:t>
      </w:r>
      <w:r w:rsidR="00B94668" w:rsidRPr="00FA2E2E">
        <w:rPr>
          <w:i/>
          <w:iCs/>
          <w:lang w:val="fr-FR"/>
        </w:rPr>
        <w:t>)</w:t>
      </w:r>
      <w:r w:rsidR="00FF64F4" w:rsidRPr="00FA2E2E">
        <w:rPr>
          <w:i/>
          <w:iCs/>
          <w:lang w:val="fr-FR"/>
        </w:rPr>
        <w:t> </w:t>
      </w:r>
      <w:r w:rsidR="00B94668" w:rsidRPr="00FA2E2E">
        <w:rPr>
          <w:i/>
          <w:iCs/>
          <w:lang w:val="fr-FR"/>
        </w:rPr>
        <w:t>:</w:t>
      </w:r>
      <w:r w:rsidRPr="00FA2E2E">
        <w:rPr>
          <w:lang w:val="fr-FR"/>
        </w:rPr>
        <w:t xml:space="preserve"> </w:t>
      </w:r>
      <w:r w:rsidR="00FF64F4" w:rsidRPr="00FA2E2E">
        <w:rPr>
          <w:lang w:val="fr-FR"/>
        </w:rPr>
        <w:t>l</w:t>
      </w:r>
      <w:r w:rsidR="00FE58E1" w:rsidRPr="00FA2E2E">
        <w:rPr>
          <w:lang w:val="fr-FR"/>
        </w:rPr>
        <w:t>’</w:t>
      </w:r>
      <w:r w:rsidR="00FF64F4" w:rsidRPr="00FA2E2E">
        <w:rPr>
          <w:lang w:val="fr-FR"/>
        </w:rPr>
        <w:t>évaluation des risques peut viser les</w:t>
      </w:r>
      <w:r w:rsidR="00BD0B37" w:rsidRPr="00FA2E2E">
        <w:rPr>
          <w:lang w:val="fr-FR"/>
        </w:rPr>
        <w:t> </w:t>
      </w:r>
      <w:r w:rsidR="00FF64F4" w:rsidRPr="00FA2E2E">
        <w:rPr>
          <w:lang w:val="fr-FR"/>
        </w:rPr>
        <w:t>effets sur la santé humaine, les animaux terrestres et le biote aquatique du mercure élémentaire, des</w:t>
      </w:r>
      <w:r w:rsidR="00BD0B37" w:rsidRPr="00FA2E2E">
        <w:rPr>
          <w:lang w:val="fr-FR"/>
        </w:rPr>
        <w:t> </w:t>
      </w:r>
      <w:r w:rsidR="00FF64F4" w:rsidRPr="00FA2E2E">
        <w:rPr>
          <w:lang w:val="fr-FR"/>
        </w:rPr>
        <w:t>composés inorganiques du mercure et du méthylmercure</w:t>
      </w:r>
      <w:r w:rsidR="00B94668" w:rsidRPr="00FA2E2E">
        <w:rPr>
          <w:lang w:val="fr-FR"/>
        </w:rPr>
        <w:t>,</w:t>
      </w:r>
      <w:r w:rsidR="00FF64F4" w:rsidRPr="00FA2E2E">
        <w:rPr>
          <w:lang w:val="fr-FR"/>
        </w:rPr>
        <w:t xml:space="preserve"> ainsi que d</w:t>
      </w:r>
      <w:r w:rsidR="00FE58E1" w:rsidRPr="00FA2E2E">
        <w:rPr>
          <w:lang w:val="fr-FR"/>
        </w:rPr>
        <w:t>’</w:t>
      </w:r>
      <w:r w:rsidR="00FF64F4" w:rsidRPr="00FA2E2E">
        <w:rPr>
          <w:lang w:val="fr-FR"/>
        </w:rPr>
        <w:t xml:space="preserve">autres </w:t>
      </w:r>
      <w:r w:rsidRPr="00FA2E2E">
        <w:rPr>
          <w:lang w:val="fr-FR"/>
        </w:rPr>
        <w:t xml:space="preserve">contaminants. </w:t>
      </w:r>
      <w:r w:rsidR="00FF64F4" w:rsidRPr="00FA2E2E">
        <w:rPr>
          <w:lang w:val="fr-FR"/>
        </w:rPr>
        <w:t>La</w:t>
      </w:r>
      <w:r w:rsidR="00BD0B37" w:rsidRPr="00FA2E2E">
        <w:rPr>
          <w:lang w:val="fr-FR"/>
        </w:rPr>
        <w:t> </w:t>
      </w:r>
      <w:r w:rsidR="00FF64F4" w:rsidRPr="00FA2E2E">
        <w:rPr>
          <w:lang w:val="fr-FR"/>
        </w:rPr>
        <w:t>santé humaine sera souvent la priorité</w:t>
      </w:r>
      <w:r w:rsidRPr="00FA2E2E">
        <w:rPr>
          <w:lang w:val="fr-FR"/>
        </w:rPr>
        <w:t>.</w:t>
      </w:r>
      <w:r w:rsidR="00B94668" w:rsidRPr="00FA2E2E">
        <w:rPr>
          <w:lang w:val="fr-FR"/>
        </w:rPr>
        <w:t xml:space="preserve"> </w:t>
      </w:r>
      <w:r w:rsidR="00FF64F4" w:rsidRPr="00FA2E2E">
        <w:rPr>
          <w:lang w:val="fr-FR"/>
        </w:rPr>
        <w:t>La portée d</w:t>
      </w:r>
      <w:r w:rsidR="00FE58E1" w:rsidRPr="00FA2E2E">
        <w:rPr>
          <w:lang w:val="fr-FR"/>
        </w:rPr>
        <w:t>’</w:t>
      </w:r>
      <w:r w:rsidR="00FF64F4" w:rsidRPr="00FA2E2E">
        <w:rPr>
          <w:lang w:val="fr-FR"/>
        </w:rPr>
        <w:t>une évaluation des risques est déterminée par les besoins</w:t>
      </w:r>
      <w:r w:rsidR="00B94668" w:rsidRPr="00FA2E2E">
        <w:rPr>
          <w:lang w:val="fr-FR"/>
        </w:rPr>
        <w:t xml:space="preserve"> </w:t>
      </w:r>
      <w:r w:rsidR="00FF64F4" w:rsidRPr="00FA2E2E">
        <w:rPr>
          <w:lang w:val="fr-FR"/>
        </w:rPr>
        <w:t>propres au site</w:t>
      </w:r>
      <w:r w:rsidR="00356980" w:rsidRPr="00FA2E2E">
        <w:rPr>
          <w:lang w:val="fr-FR"/>
        </w:rPr>
        <w:t> ;</w:t>
      </w:r>
    </w:p>
    <w:p w14:paraId="5B612CB0" w14:textId="5E6A88BA" w:rsidR="00D31AFF" w:rsidRPr="00FA2E2E" w:rsidRDefault="00D31AFF" w:rsidP="008E43CD">
      <w:pPr>
        <w:pStyle w:val="Normalnumber"/>
        <w:numPr>
          <w:ilvl w:val="1"/>
          <w:numId w:val="5"/>
        </w:numPr>
        <w:rPr>
          <w:lang w:val="fr-FR"/>
        </w:rPr>
      </w:pPr>
      <w:r w:rsidRPr="00FA2E2E">
        <w:rPr>
          <w:i/>
          <w:iCs/>
          <w:lang w:val="fr-FR"/>
        </w:rPr>
        <w:t>Analys</w:t>
      </w:r>
      <w:r w:rsidR="00FF64F4" w:rsidRPr="00FA2E2E">
        <w:rPr>
          <w:i/>
          <w:iCs/>
          <w:lang w:val="fr-FR"/>
        </w:rPr>
        <w:t>e du niveau de danger et de la toxicité </w:t>
      </w:r>
      <w:r w:rsidR="00B94668" w:rsidRPr="00FA2E2E">
        <w:rPr>
          <w:i/>
          <w:iCs/>
          <w:lang w:val="fr-FR"/>
        </w:rPr>
        <w:t>:</w:t>
      </w:r>
      <w:r w:rsidRPr="00FA2E2E">
        <w:rPr>
          <w:lang w:val="fr-FR"/>
        </w:rPr>
        <w:t xml:space="preserve"> </w:t>
      </w:r>
      <w:r w:rsidR="00FF64F4" w:rsidRPr="00FA2E2E">
        <w:rPr>
          <w:lang w:val="fr-FR"/>
        </w:rPr>
        <w:t xml:space="preserve">les dangers du mercure et des composés du mercure sont largement reconnus, </w:t>
      </w:r>
      <w:r w:rsidR="003D08BF" w:rsidRPr="00FA2E2E">
        <w:rPr>
          <w:lang w:val="fr-FR"/>
        </w:rPr>
        <w:t>des informations scientifiques détaillées étant disponibles concernant les effets d</w:t>
      </w:r>
      <w:r w:rsidR="00FE58E1" w:rsidRPr="00FA2E2E">
        <w:rPr>
          <w:lang w:val="fr-FR"/>
        </w:rPr>
        <w:t>’</w:t>
      </w:r>
      <w:r w:rsidR="003D08BF" w:rsidRPr="00FA2E2E">
        <w:rPr>
          <w:lang w:val="fr-FR"/>
        </w:rPr>
        <w:t>une exposition au mercure</w:t>
      </w:r>
      <w:r w:rsidRPr="00FA2E2E">
        <w:rPr>
          <w:lang w:val="fr-FR"/>
        </w:rPr>
        <w:t xml:space="preserve"> (</w:t>
      </w:r>
      <w:r w:rsidR="00F20C36" w:rsidRPr="00FA2E2E">
        <w:rPr>
          <w:lang w:val="fr-FR"/>
        </w:rPr>
        <w:t>OMS</w:t>
      </w:r>
      <w:r w:rsidRPr="00FA2E2E">
        <w:rPr>
          <w:lang w:val="fr-FR"/>
        </w:rPr>
        <w:t>, 2017).</w:t>
      </w:r>
      <w:r w:rsidR="00152CD3" w:rsidRPr="00FA2E2E">
        <w:rPr>
          <w:lang w:val="fr-FR"/>
        </w:rPr>
        <w:t xml:space="preserve"> </w:t>
      </w:r>
      <w:r w:rsidR="003D08BF" w:rsidRPr="00FA2E2E">
        <w:rPr>
          <w:lang w:val="fr-FR"/>
        </w:rPr>
        <w:t>Les effets environnementaux d</w:t>
      </w:r>
      <w:r w:rsidR="00FE58E1" w:rsidRPr="00FA2E2E">
        <w:rPr>
          <w:lang w:val="fr-FR"/>
        </w:rPr>
        <w:t>’</w:t>
      </w:r>
      <w:r w:rsidR="003D08BF" w:rsidRPr="00FA2E2E">
        <w:rPr>
          <w:lang w:val="fr-FR"/>
        </w:rPr>
        <w:t>une</w:t>
      </w:r>
      <w:r w:rsidR="00BD0B37" w:rsidRPr="00FA2E2E">
        <w:rPr>
          <w:lang w:val="fr-FR"/>
        </w:rPr>
        <w:t> </w:t>
      </w:r>
      <w:r w:rsidR="003D08BF" w:rsidRPr="00FA2E2E">
        <w:rPr>
          <w:lang w:val="fr-FR"/>
        </w:rPr>
        <w:t>exposition au mercure, notamment sur les grands prédateurs potentiellement soumis à une forte exposition du fait de leur alimentation, peuvent comprendre une baisse de la reproduction et de l</w:t>
      </w:r>
      <w:r w:rsidR="00FE58E1" w:rsidRPr="00FA2E2E">
        <w:rPr>
          <w:lang w:val="fr-FR"/>
        </w:rPr>
        <w:t>’</w:t>
      </w:r>
      <w:r w:rsidR="003D08BF" w:rsidRPr="00FA2E2E">
        <w:rPr>
          <w:lang w:val="fr-FR"/>
        </w:rPr>
        <w:t>aptitude à la chasse</w:t>
      </w:r>
      <w:r w:rsidR="00356980" w:rsidRPr="00FA2E2E">
        <w:rPr>
          <w:lang w:val="fr-FR"/>
        </w:rPr>
        <w:t> ;</w:t>
      </w:r>
    </w:p>
    <w:p w14:paraId="39FC3A59" w14:textId="7FD11D1B" w:rsidR="00D31AFF" w:rsidRPr="00FA2E2E" w:rsidRDefault="00D31AFF" w:rsidP="008E43CD">
      <w:pPr>
        <w:pStyle w:val="Normalnumber"/>
        <w:numPr>
          <w:ilvl w:val="1"/>
          <w:numId w:val="5"/>
        </w:numPr>
        <w:rPr>
          <w:lang w:val="fr-FR"/>
        </w:rPr>
      </w:pPr>
      <w:r w:rsidRPr="00FA2E2E">
        <w:rPr>
          <w:i/>
          <w:iCs/>
          <w:lang w:val="fr-FR"/>
        </w:rPr>
        <w:t>Analys</w:t>
      </w:r>
      <w:r w:rsidR="003D08BF" w:rsidRPr="00FA2E2E">
        <w:rPr>
          <w:i/>
          <w:iCs/>
          <w:lang w:val="fr-FR"/>
        </w:rPr>
        <w:t>e de l</w:t>
      </w:r>
      <w:r w:rsidR="00FE58E1" w:rsidRPr="00FA2E2E">
        <w:rPr>
          <w:i/>
          <w:iCs/>
          <w:lang w:val="fr-FR"/>
        </w:rPr>
        <w:t>’</w:t>
      </w:r>
      <w:r w:rsidR="003D08BF" w:rsidRPr="00FA2E2E">
        <w:rPr>
          <w:i/>
          <w:iCs/>
          <w:lang w:val="fr-FR"/>
        </w:rPr>
        <w:t>exposition </w:t>
      </w:r>
      <w:r w:rsidR="00DE0E4E" w:rsidRPr="00FA2E2E">
        <w:rPr>
          <w:i/>
          <w:iCs/>
          <w:lang w:val="fr-FR"/>
        </w:rPr>
        <w:t>:</w:t>
      </w:r>
      <w:r w:rsidRPr="00FA2E2E">
        <w:rPr>
          <w:lang w:val="fr-FR"/>
        </w:rPr>
        <w:t xml:space="preserve"> </w:t>
      </w:r>
      <w:r w:rsidR="003D08BF" w:rsidRPr="00FA2E2E">
        <w:rPr>
          <w:lang w:val="fr-FR"/>
        </w:rPr>
        <w:t>l</w:t>
      </w:r>
      <w:r w:rsidR="00FE58E1" w:rsidRPr="00FA2E2E">
        <w:rPr>
          <w:lang w:val="fr-FR"/>
        </w:rPr>
        <w:t>’</w:t>
      </w:r>
      <w:r w:rsidR="003D08BF" w:rsidRPr="00FA2E2E">
        <w:rPr>
          <w:lang w:val="fr-FR"/>
        </w:rPr>
        <w:t>objectif est d</w:t>
      </w:r>
      <w:r w:rsidR="00FE58E1" w:rsidRPr="00FA2E2E">
        <w:rPr>
          <w:lang w:val="fr-FR"/>
        </w:rPr>
        <w:t>’</w:t>
      </w:r>
      <w:r w:rsidR="003D08BF" w:rsidRPr="00FA2E2E">
        <w:rPr>
          <w:lang w:val="fr-FR"/>
        </w:rPr>
        <w:t>estimer</w:t>
      </w:r>
      <w:r w:rsidRPr="00FA2E2E">
        <w:rPr>
          <w:lang w:val="fr-FR"/>
        </w:rPr>
        <w:t xml:space="preserve"> </w:t>
      </w:r>
      <w:r w:rsidR="003D08BF" w:rsidRPr="00FA2E2E">
        <w:rPr>
          <w:lang w:val="fr-FR"/>
        </w:rPr>
        <w:t>le taux de contact entre les</w:t>
      </w:r>
      <w:r w:rsidR="00BD0B37" w:rsidRPr="00FA2E2E">
        <w:rPr>
          <w:lang w:val="fr-FR"/>
        </w:rPr>
        <w:t> </w:t>
      </w:r>
      <w:r w:rsidR="003D08BF" w:rsidRPr="00FA2E2E">
        <w:rPr>
          <w:lang w:val="fr-FR"/>
        </w:rPr>
        <w:t>contaminants identifiés et les êtres humains ou l</w:t>
      </w:r>
      <w:r w:rsidR="00FE58E1" w:rsidRPr="00FA2E2E">
        <w:rPr>
          <w:lang w:val="fr-FR"/>
        </w:rPr>
        <w:t>’</w:t>
      </w:r>
      <w:r w:rsidR="003D08BF" w:rsidRPr="00FA2E2E">
        <w:rPr>
          <w:lang w:val="fr-FR"/>
        </w:rPr>
        <w:t>environnement</w:t>
      </w:r>
      <w:r w:rsidRPr="00FA2E2E">
        <w:rPr>
          <w:lang w:val="fr-FR"/>
        </w:rPr>
        <w:t>.</w:t>
      </w:r>
      <w:r w:rsidR="003D08BF" w:rsidRPr="00FA2E2E">
        <w:rPr>
          <w:lang w:val="fr-FR"/>
        </w:rPr>
        <w:t xml:space="preserve"> L</w:t>
      </w:r>
      <w:r w:rsidR="00FE58E1" w:rsidRPr="00FA2E2E">
        <w:rPr>
          <w:lang w:val="fr-FR"/>
        </w:rPr>
        <w:t>’</w:t>
      </w:r>
      <w:r w:rsidR="003D08BF" w:rsidRPr="00FA2E2E">
        <w:rPr>
          <w:lang w:val="fr-FR"/>
        </w:rPr>
        <w:t>analyse est fondée sur une</w:t>
      </w:r>
      <w:r w:rsidR="00BD0B37" w:rsidRPr="00FA2E2E">
        <w:rPr>
          <w:lang w:val="fr-FR"/>
        </w:rPr>
        <w:t> </w:t>
      </w:r>
      <w:r w:rsidR="003D08BF" w:rsidRPr="00FA2E2E">
        <w:rPr>
          <w:lang w:val="fr-FR"/>
        </w:rPr>
        <w:t>description des scénarios d</w:t>
      </w:r>
      <w:r w:rsidR="00FE58E1" w:rsidRPr="00FA2E2E">
        <w:rPr>
          <w:lang w:val="fr-FR"/>
        </w:rPr>
        <w:t>’</w:t>
      </w:r>
      <w:r w:rsidR="003D08BF" w:rsidRPr="00FA2E2E">
        <w:rPr>
          <w:lang w:val="fr-FR"/>
        </w:rPr>
        <w:t>exposition réels et possibles, ainsi que sur une caractérisation de la</w:t>
      </w:r>
      <w:r w:rsidR="00BD0B37" w:rsidRPr="00FA2E2E">
        <w:rPr>
          <w:lang w:val="fr-FR"/>
        </w:rPr>
        <w:t> </w:t>
      </w:r>
      <w:r w:rsidR="003D08BF" w:rsidRPr="00FA2E2E">
        <w:rPr>
          <w:lang w:val="fr-FR"/>
        </w:rPr>
        <w:t>nature et de l</w:t>
      </w:r>
      <w:r w:rsidR="00FE58E1" w:rsidRPr="00FA2E2E">
        <w:rPr>
          <w:lang w:val="fr-FR"/>
        </w:rPr>
        <w:t>’</w:t>
      </w:r>
      <w:r w:rsidR="003D08BF" w:rsidRPr="00FA2E2E">
        <w:rPr>
          <w:lang w:val="fr-FR"/>
        </w:rPr>
        <w:t>ampleur de la</w:t>
      </w:r>
      <w:r w:rsidRPr="00FA2E2E">
        <w:rPr>
          <w:lang w:val="fr-FR"/>
        </w:rPr>
        <w:t xml:space="preserve"> contamination. </w:t>
      </w:r>
      <w:r w:rsidR="007740B9" w:rsidRPr="00FA2E2E">
        <w:rPr>
          <w:lang w:val="fr-FR"/>
        </w:rPr>
        <w:t>Elle peut nécessiter des mesures de l</w:t>
      </w:r>
      <w:r w:rsidR="00FE58E1" w:rsidRPr="00FA2E2E">
        <w:rPr>
          <w:lang w:val="fr-FR"/>
        </w:rPr>
        <w:t>’</w:t>
      </w:r>
      <w:r w:rsidR="007740B9" w:rsidRPr="00FA2E2E">
        <w:rPr>
          <w:lang w:val="fr-FR"/>
        </w:rPr>
        <w:t>exposition, notamment des analyses des systèmes d</w:t>
      </w:r>
      <w:r w:rsidR="00FE58E1" w:rsidRPr="00FA2E2E">
        <w:rPr>
          <w:lang w:val="fr-FR"/>
        </w:rPr>
        <w:t>’</w:t>
      </w:r>
      <w:r w:rsidR="007740B9" w:rsidRPr="00FA2E2E">
        <w:rPr>
          <w:lang w:val="fr-FR"/>
        </w:rPr>
        <w:t>adduction d</w:t>
      </w:r>
      <w:r w:rsidR="00FE58E1" w:rsidRPr="00FA2E2E">
        <w:rPr>
          <w:lang w:val="fr-FR"/>
        </w:rPr>
        <w:t>’</w:t>
      </w:r>
      <w:r w:rsidR="007740B9" w:rsidRPr="00FA2E2E">
        <w:rPr>
          <w:lang w:val="fr-FR"/>
        </w:rPr>
        <w:t>eau, des aliments cultivés localement, des</w:t>
      </w:r>
      <w:r w:rsidR="00BD0B37" w:rsidRPr="00FA2E2E">
        <w:rPr>
          <w:lang w:val="fr-FR"/>
        </w:rPr>
        <w:t> </w:t>
      </w:r>
      <w:r w:rsidR="007740B9" w:rsidRPr="00FA2E2E">
        <w:rPr>
          <w:lang w:val="fr-FR"/>
        </w:rPr>
        <w:t>poissons et des fruits de mer ainsi que du cuir chevelu et de l</w:t>
      </w:r>
      <w:r w:rsidR="00FE58E1" w:rsidRPr="00FA2E2E">
        <w:rPr>
          <w:lang w:val="fr-FR"/>
        </w:rPr>
        <w:t>’</w:t>
      </w:r>
      <w:r w:rsidR="007740B9" w:rsidRPr="00FA2E2E">
        <w:rPr>
          <w:lang w:val="fr-FR"/>
        </w:rPr>
        <w:t>urine des êtres humains</w:t>
      </w:r>
      <w:r w:rsidRPr="00FA2E2E">
        <w:rPr>
          <w:lang w:val="fr-FR"/>
        </w:rPr>
        <w:t>.</w:t>
      </w:r>
      <w:r w:rsidR="007740B9" w:rsidRPr="00FA2E2E">
        <w:rPr>
          <w:lang w:val="fr-FR"/>
        </w:rPr>
        <w:t xml:space="preserve"> Les mesures des </w:t>
      </w:r>
      <w:r w:rsidR="007315D9" w:rsidRPr="00FA2E2E">
        <w:rPr>
          <w:lang w:val="fr-FR"/>
        </w:rPr>
        <w:t>concentrations</w:t>
      </w:r>
      <w:r w:rsidR="007740B9" w:rsidRPr="00FA2E2E">
        <w:rPr>
          <w:lang w:val="fr-FR"/>
        </w:rPr>
        <w:t xml:space="preserve"> de mercure dans les sédiments, les poissons et d</w:t>
      </w:r>
      <w:r w:rsidR="00FE58E1" w:rsidRPr="00FA2E2E">
        <w:rPr>
          <w:lang w:val="fr-FR"/>
        </w:rPr>
        <w:t>’</w:t>
      </w:r>
      <w:r w:rsidR="007740B9" w:rsidRPr="00FA2E2E">
        <w:rPr>
          <w:lang w:val="fr-FR"/>
        </w:rPr>
        <w:t>autres biotes peuvent révéler des</w:t>
      </w:r>
      <w:r w:rsidR="00AE49CF" w:rsidRPr="00FA2E2E">
        <w:rPr>
          <w:lang w:val="fr-FR"/>
        </w:rPr>
        <w:t> </w:t>
      </w:r>
      <w:r w:rsidR="007740B9" w:rsidRPr="00FA2E2E">
        <w:rPr>
          <w:lang w:val="fr-FR"/>
        </w:rPr>
        <w:t>effets écologiques potentiels</w:t>
      </w:r>
      <w:r w:rsidR="00356980" w:rsidRPr="00FA2E2E">
        <w:rPr>
          <w:lang w:val="fr-FR"/>
        </w:rPr>
        <w:t> ;</w:t>
      </w:r>
    </w:p>
    <w:p w14:paraId="1C573D14" w14:textId="459CE0A7" w:rsidR="00D31AFF" w:rsidRPr="00FA2E2E" w:rsidRDefault="00D31AFF" w:rsidP="008E43CD">
      <w:pPr>
        <w:pStyle w:val="Normalnumber"/>
        <w:numPr>
          <w:ilvl w:val="1"/>
          <w:numId w:val="5"/>
        </w:numPr>
        <w:rPr>
          <w:lang w:val="fr-FR"/>
        </w:rPr>
      </w:pPr>
      <w:r w:rsidRPr="00FA2E2E">
        <w:rPr>
          <w:i/>
          <w:iCs/>
          <w:lang w:val="fr-FR"/>
        </w:rPr>
        <w:t>Analys</w:t>
      </w:r>
      <w:r w:rsidR="007A075B" w:rsidRPr="00FA2E2E">
        <w:rPr>
          <w:i/>
          <w:iCs/>
          <w:lang w:val="fr-FR"/>
        </w:rPr>
        <w:t>e des risques </w:t>
      </w:r>
      <w:r w:rsidR="00DE0E4E" w:rsidRPr="00FA2E2E">
        <w:rPr>
          <w:i/>
          <w:iCs/>
          <w:lang w:val="fr-FR"/>
        </w:rPr>
        <w:t>:</w:t>
      </w:r>
      <w:r w:rsidRPr="00FA2E2E">
        <w:rPr>
          <w:lang w:val="fr-FR"/>
        </w:rPr>
        <w:t xml:space="preserve"> </w:t>
      </w:r>
      <w:r w:rsidR="007A075B" w:rsidRPr="00FA2E2E">
        <w:rPr>
          <w:lang w:val="fr-FR"/>
        </w:rPr>
        <w:t>les résultats des étapes précédentes sont combinés pour estimer de manière objective la probabilité d</w:t>
      </w:r>
      <w:r w:rsidR="00FE58E1" w:rsidRPr="00FA2E2E">
        <w:rPr>
          <w:lang w:val="fr-FR"/>
        </w:rPr>
        <w:t>’</w:t>
      </w:r>
      <w:r w:rsidR="007A075B" w:rsidRPr="00FA2E2E">
        <w:rPr>
          <w:lang w:val="fr-FR"/>
        </w:rPr>
        <w:t>effets néfastes sur les éléments protégés dans les conditions spécifiques du site</w:t>
      </w:r>
      <w:r w:rsidRPr="00FA2E2E">
        <w:rPr>
          <w:lang w:val="fr-FR"/>
        </w:rPr>
        <w:t>.</w:t>
      </w:r>
    </w:p>
    <w:p w14:paraId="59CEEC73" w14:textId="1D1C10A8" w:rsidR="00D31AFF" w:rsidRPr="00FA2E2E" w:rsidRDefault="00940CE5" w:rsidP="008E43CD">
      <w:pPr>
        <w:pStyle w:val="Normalnumber"/>
        <w:numPr>
          <w:ilvl w:val="0"/>
          <w:numId w:val="5"/>
        </w:numPr>
        <w:rPr>
          <w:lang w:val="fr-FR"/>
        </w:rPr>
      </w:pPr>
      <w:r w:rsidRPr="00FA2E2E">
        <w:rPr>
          <w:lang w:val="fr-FR"/>
        </w:rPr>
        <w:t>Les sites contaminés peuvent causer une augmentation des concentrations locales de mercure, ce qui peut présenter des risques pour les êtres humains et l</w:t>
      </w:r>
      <w:r w:rsidR="00FE58E1" w:rsidRPr="00FA2E2E">
        <w:rPr>
          <w:lang w:val="fr-FR"/>
        </w:rPr>
        <w:t>’</w:t>
      </w:r>
      <w:r w:rsidRPr="00FA2E2E">
        <w:rPr>
          <w:lang w:val="fr-FR"/>
        </w:rPr>
        <w:t>environnement</w:t>
      </w:r>
      <w:r w:rsidR="00D31AFF" w:rsidRPr="00FA2E2E">
        <w:rPr>
          <w:lang w:val="fr-FR"/>
        </w:rPr>
        <w:t xml:space="preserve">. </w:t>
      </w:r>
      <w:r w:rsidRPr="00FA2E2E">
        <w:rPr>
          <w:lang w:val="fr-FR"/>
        </w:rPr>
        <w:t>L</w:t>
      </w:r>
      <w:r w:rsidR="00FE58E1" w:rsidRPr="00FA2E2E">
        <w:rPr>
          <w:lang w:val="fr-FR"/>
        </w:rPr>
        <w:t>’</w:t>
      </w:r>
      <w:r w:rsidRPr="00FA2E2E">
        <w:rPr>
          <w:lang w:val="fr-FR"/>
        </w:rPr>
        <w:t>utilisation d</w:t>
      </w:r>
      <w:r w:rsidR="00FE58E1" w:rsidRPr="00FA2E2E">
        <w:rPr>
          <w:lang w:val="fr-FR"/>
        </w:rPr>
        <w:t>’</w:t>
      </w:r>
      <w:r w:rsidRPr="00FA2E2E">
        <w:rPr>
          <w:lang w:val="fr-FR"/>
        </w:rPr>
        <w:t>eaux souterraines ou de surface contaminées comme sources d</w:t>
      </w:r>
      <w:r w:rsidR="00FE58E1" w:rsidRPr="00FA2E2E">
        <w:rPr>
          <w:lang w:val="fr-FR"/>
        </w:rPr>
        <w:t>’</w:t>
      </w:r>
      <w:r w:rsidRPr="00FA2E2E">
        <w:rPr>
          <w:lang w:val="fr-FR"/>
        </w:rPr>
        <w:t>eau de boisson peut entraîner une exposition à long terme, de même que la consommation de poissons et de fruits de mer provenant d</w:t>
      </w:r>
      <w:r w:rsidR="00FE58E1" w:rsidRPr="00FA2E2E">
        <w:rPr>
          <w:lang w:val="fr-FR"/>
        </w:rPr>
        <w:t>’</w:t>
      </w:r>
      <w:r w:rsidRPr="00FA2E2E">
        <w:rPr>
          <w:lang w:val="fr-FR"/>
        </w:rPr>
        <w:t>eaux de surface contaminées</w:t>
      </w:r>
      <w:r w:rsidR="00D31AFF" w:rsidRPr="00FA2E2E">
        <w:rPr>
          <w:lang w:val="fr-FR"/>
        </w:rPr>
        <w:t xml:space="preserve">. </w:t>
      </w:r>
      <w:r w:rsidRPr="00FA2E2E">
        <w:rPr>
          <w:lang w:val="fr-FR"/>
        </w:rPr>
        <w:t>Les aliments cultivés sur un site contaminé ou près d</w:t>
      </w:r>
      <w:r w:rsidR="00FE58E1" w:rsidRPr="00FA2E2E">
        <w:rPr>
          <w:lang w:val="fr-FR"/>
        </w:rPr>
        <w:t>’</w:t>
      </w:r>
      <w:r w:rsidRPr="00FA2E2E">
        <w:rPr>
          <w:lang w:val="fr-FR"/>
        </w:rPr>
        <w:t>un tel site peuvent également absorber des contaminants</w:t>
      </w:r>
      <w:r w:rsidR="00D31AFF" w:rsidRPr="00FA2E2E">
        <w:rPr>
          <w:lang w:val="fr-FR"/>
        </w:rPr>
        <w:t xml:space="preserve">. </w:t>
      </w:r>
      <w:r w:rsidRPr="00FA2E2E">
        <w:rPr>
          <w:lang w:val="fr-FR"/>
        </w:rPr>
        <w:t>Les sols contaminés par du mercure peuvent produire des vapeurs souterraines (également appelées vapeurs</w:t>
      </w:r>
      <w:r w:rsidR="005B7CFB" w:rsidRPr="00FA2E2E">
        <w:rPr>
          <w:lang w:val="fr-FR"/>
        </w:rPr>
        <w:t xml:space="preserve"> émanant</w:t>
      </w:r>
      <w:r w:rsidRPr="00FA2E2E">
        <w:rPr>
          <w:lang w:val="fr-FR"/>
        </w:rPr>
        <w:t xml:space="preserve"> du sol) qui peuvent remonter dans les bâtiments construits en surface, devenant ainsi des sources </w:t>
      </w:r>
      <w:r w:rsidR="005B7CFB" w:rsidRPr="00FA2E2E">
        <w:rPr>
          <w:lang w:val="fr-FR"/>
        </w:rPr>
        <w:t>importantes</w:t>
      </w:r>
      <w:r w:rsidRPr="00FA2E2E">
        <w:rPr>
          <w:lang w:val="fr-FR"/>
        </w:rPr>
        <w:t xml:space="preserve"> d</w:t>
      </w:r>
      <w:r w:rsidR="00FE58E1" w:rsidRPr="00FA2E2E">
        <w:rPr>
          <w:lang w:val="fr-FR"/>
        </w:rPr>
        <w:t>’</w:t>
      </w:r>
      <w:r w:rsidRPr="00FA2E2E">
        <w:rPr>
          <w:lang w:val="fr-FR"/>
        </w:rPr>
        <w:t xml:space="preserve">exposition en intérieur par inhalation dont il convient de tenir compte </w:t>
      </w:r>
      <w:r w:rsidR="00D31AFF" w:rsidRPr="00FA2E2E">
        <w:rPr>
          <w:lang w:val="fr-FR"/>
        </w:rPr>
        <w:t xml:space="preserve">(Agency for Toxic Substances and Disease Registry, </w:t>
      </w:r>
      <w:r w:rsidR="00E4739D" w:rsidRPr="00FA2E2E">
        <w:rPr>
          <w:lang w:val="fr-FR"/>
        </w:rPr>
        <w:t>1999</w:t>
      </w:r>
      <w:r w:rsidR="00D31AFF" w:rsidRPr="00FA2E2E">
        <w:rPr>
          <w:lang w:val="fr-FR"/>
        </w:rPr>
        <w:t xml:space="preserve">). </w:t>
      </w:r>
      <w:r w:rsidRPr="00FA2E2E">
        <w:rPr>
          <w:lang w:val="fr-FR"/>
        </w:rPr>
        <w:t>Les sites contaminés peuvent, par suite d</w:t>
      </w:r>
      <w:r w:rsidR="00FE58E1" w:rsidRPr="00FA2E2E">
        <w:rPr>
          <w:lang w:val="fr-FR"/>
        </w:rPr>
        <w:t>’</w:t>
      </w:r>
      <w:r w:rsidRPr="00FA2E2E">
        <w:rPr>
          <w:lang w:val="fr-FR"/>
        </w:rPr>
        <w:t>un lessivage ou d</w:t>
      </w:r>
      <w:r w:rsidR="00FE58E1" w:rsidRPr="00FA2E2E">
        <w:rPr>
          <w:lang w:val="fr-FR"/>
        </w:rPr>
        <w:t>’</w:t>
      </w:r>
      <w:r w:rsidRPr="00FA2E2E">
        <w:rPr>
          <w:lang w:val="fr-FR"/>
        </w:rPr>
        <w:t>un ruissellement superficiel du mercure, contaminer les eaux souterraines ou de surface, ce qui peut faire courir le risque d</w:t>
      </w:r>
      <w:r w:rsidR="00FE58E1" w:rsidRPr="00FA2E2E">
        <w:rPr>
          <w:lang w:val="fr-FR"/>
        </w:rPr>
        <w:t>’</w:t>
      </w:r>
      <w:r w:rsidRPr="00FA2E2E">
        <w:rPr>
          <w:lang w:val="fr-FR"/>
        </w:rPr>
        <w:t xml:space="preserve">une exposition au mercure inorganique </w:t>
      </w:r>
      <w:r w:rsidR="008957D5" w:rsidRPr="00FA2E2E">
        <w:rPr>
          <w:lang w:val="fr-FR"/>
        </w:rPr>
        <w:t>par</w:t>
      </w:r>
      <w:r w:rsidRPr="00FA2E2E">
        <w:rPr>
          <w:lang w:val="fr-FR"/>
        </w:rPr>
        <w:t xml:space="preserve"> l</w:t>
      </w:r>
      <w:r w:rsidR="00FE58E1" w:rsidRPr="00FA2E2E">
        <w:rPr>
          <w:lang w:val="fr-FR"/>
        </w:rPr>
        <w:t>’</w:t>
      </w:r>
      <w:r w:rsidRPr="00FA2E2E">
        <w:rPr>
          <w:lang w:val="fr-FR"/>
        </w:rPr>
        <w:t xml:space="preserve">eau </w:t>
      </w:r>
      <w:r w:rsidR="008957D5" w:rsidRPr="00FA2E2E">
        <w:rPr>
          <w:lang w:val="fr-FR"/>
        </w:rPr>
        <w:t>de boisson</w:t>
      </w:r>
      <w:r w:rsidR="00D31AFF" w:rsidRPr="00FA2E2E">
        <w:rPr>
          <w:lang w:val="fr-FR"/>
        </w:rPr>
        <w:t xml:space="preserve">. </w:t>
      </w:r>
      <w:r w:rsidR="008957D5" w:rsidRPr="00FA2E2E">
        <w:rPr>
          <w:lang w:val="fr-FR"/>
        </w:rPr>
        <w:t>Par conséquent, il convient également de tenir compte du potentiel de contamination par un site des eaux souterraines, des eaux de surface ou des sédiments</w:t>
      </w:r>
      <w:r w:rsidR="00D31AFF" w:rsidRPr="00FA2E2E">
        <w:rPr>
          <w:lang w:val="fr-FR"/>
        </w:rPr>
        <w:t xml:space="preserve">. </w:t>
      </w:r>
      <w:r w:rsidR="00564201" w:rsidRPr="00FA2E2E">
        <w:rPr>
          <w:lang w:val="fr-FR"/>
        </w:rPr>
        <w:t>Dans des conditions anaérobies, une méthylation du mercure par des bactéries peut se produire dans l</w:t>
      </w:r>
      <w:r w:rsidR="00FE58E1" w:rsidRPr="00FA2E2E">
        <w:rPr>
          <w:lang w:val="fr-FR"/>
        </w:rPr>
        <w:t>’</w:t>
      </w:r>
      <w:r w:rsidR="00564201" w:rsidRPr="00FA2E2E">
        <w:rPr>
          <w:lang w:val="fr-FR"/>
        </w:rPr>
        <w:t>environnement, notamment dans les sédiments ou d</w:t>
      </w:r>
      <w:r w:rsidR="00FE58E1" w:rsidRPr="00FA2E2E">
        <w:rPr>
          <w:lang w:val="fr-FR"/>
        </w:rPr>
        <w:t>’</w:t>
      </w:r>
      <w:r w:rsidR="00564201" w:rsidRPr="00FA2E2E">
        <w:rPr>
          <w:lang w:val="fr-FR"/>
        </w:rPr>
        <w:t>autres milieux propices</w:t>
      </w:r>
      <w:r w:rsidR="00D31AFF" w:rsidRPr="00FA2E2E">
        <w:rPr>
          <w:lang w:val="fr-FR"/>
        </w:rPr>
        <w:t xml:space="preserve">. </w:t>
      </w:r>
      <w:r w:rsidR="00564201" w:rsidRPr="00FA2E2E">
        <w:rPr>
          <w:lang w:val="fr-FR"/>
        </w:rPr>
        <w:t>Du mercure méthylé peut alors pénétrer dans la chaîne alimentaire, ce qui entraîne une forte exposition des espèces prédatrices, y compris les êtres humains, par le biais de leur alimentation</w:t>
      </w:r>
      <w:r w:rsidR="00D31AFF" w:rsidRPr="00FA2E2E">
        <w:rPr>
          <w:lang w:val="fr-FR"/>
        </w:rPr>
        <w:t xml:space="preserve">. </w:t>
      </w:r>
      <w:r w:rsidR="00564201" w:rsidRPr="00FA2E2E">
        <w:rPr>
          <w:lang w:val="fr-FR"/>
        </w:rPr>
        <w:t>Cette situation particulièrement préoccupante pour les consommateurs de poissons a poussé plusieurs juridictions à mettre en place des programmes de surveillance des poissons et à publier des avis sur la consommation de poissons</w:t>
      </w:r>
      <w:r w:rsidR="00D31AFF" w:rsidRPr="00FA2E2E">
        <w:rPr>
          <w:rStyle w:val="FootnoteReference"/>
          <w:lang w:val="fr-FR"/>
        </w:rPr>
        <w:footnoteReference w:id="11"/>
      </w:r>
      <w:r w:rsidR="00564201" w:rsidRPr="00FA2E2E">
        <w:rPr>
          <w:lang w:val="fr-FR"/>
        </w:rPr>
        <w:t>, en particulier dans les alentours des sources ponctuelles connues, présumées ou historiques d</w:t>
      </w:r>
      <w:r w:rsidR="00FE58E1" w:rsidRPr="00FA2E2E">
        <w:rPr>
          <w:lang w:val="fr-FR"/>
        </w:rPr>
        <w:t>’</w:t>
      </w:r>
      <w:r w:rsidR="00564201" w:rsidRPr="00FA2E2E">
        <w:rPr>
          <w:lang w:val="fr-FR"/>
        </w:rPr>
        <w:t>émissions de mercure</w:t>
      </w:r>
      <w:r w:rsidR="00D31AFF" w:rsidRPr="00FA2E2E">
        <w:rPr>
          <w:lang w:val="fr-FR"/>
        </w:rPr>
        <w:t>.</w:t>
      </w:r>
    </w:p>
    <w:p w14:paraId="7251DCDA" w14:textId="68EEAA69" w:rsidR="00D31AFF" w:rsidRPr="00FA2E2E" w:rsidRDefault="00F95DC1" w:rsidP="008E43CD">
      <w:pPr>
        <w:pStyle w:val="Normalnumber"/>
        <w:numPr>
          <w:ilvl w:val="0"/>
          <w:numId w:val="5"/>
        </w:numPr>
        <w:rPr>
          <w:lang w:val="fr-FR"/>
        </w:rPr>
      </w:pPr>
      <w:r w:rsidRPr="00FA2E2E">
        <w:rPr>
          <w:lang w:val="fr-FR"/>
        </w:rPr>
        <w:t>Les risques associés à un site donné dépendent de son niveau de contamination et de l</w:t>
      </w:r>
      <w:r w:rsidR="00FE58E1" w:rsidRPr="00FA2E2E">
        <w:rPr>
          <w:lang w:val="fr-FR"/>
        </w:rPr>
        <w:t>’</w:t>
      </w:r>
      <w:r w:rsidRPr="00FA2E2E">
        <w:rPr>
          <w:lang w:val="fr-FR"/>
        </w:rPr>
        <w:t xml:space="preserve">exposition causée dans la cadre de </w:t>
      </w:r>
      <w:r w:rsidR="002A757C" w:rsidRPr="00FA2E2E">
        <w:rPr>
          <w:lang w:val="fr-FR"/>
        </w:rPr>
        <w:t xml:space="preserve">son </w:t>
      </w:r>
      <w:r w:rsidRPr="00FA2E2E">
        <w:rPr>
          <w:lang w:val="fr-FR"/>
        </w:rPr>
        <w:t>utilisation</w:t>
      </w:r>
      <w:r w:rsidR="00D31AFF" w:rsidRPr="00FA2E2E">
        <w:rPr>
          <w:lang w:val="fr-FR"/>
        </w:rPr>
        <w:t xml:space="preserve">. </w:t>
      </w:r>
      <w:r w:rsidR="008C30D4" w:rsidRPr="00FA2E2E">
        <w:rPr>
          <w:lang w:val="fr-FR"/>
        </w:rPr>
        <w:t xml:space="preserve">Un site </w:t>
      </w:r>
      <w:r w:rsidR="0013215E" w:rsidRPr="00FA2E2E">
        <w:rPr>
          <w:lang w:val="fr-FR"/>
        </w:rPr>
        <w:t>fortement</w:t>
      </w:r>
      <w:r w:rsidR="008C30D4" w:rsidRPr="00FA2E2E">
        <w:rPr>
          <w:lang w:val="fr-FR"/>
        </w:rPr>
        <w:t xml:space="preserve"> contaminé mais éloigné des centres habités ou ne présentant pas de potentiel élevé de lessivage présente beaucoup moins de risque qu</w:t>
      </w:r>
      <w:r w:rsidR="00FE58E1" w:rsidRPr="00FA2E2E">
        <w:rPr>
          <w:lang w:val="fr-FR"/>
        </w:rPr>
        <w:t>’</w:t>
      </w:r>
      <w:r w:rsidR="008C30D4" w:rsidRPr="00FA2E2E">
        <w:rPr>
          <w:lang w:val="fr-FR"/>
        </w:rPr>
        <w:t>un site moins contaminé mais situé dans une zone urbaine ou plus étroitement connecté à des zones de méthylation active (zones humides, sols anaérobies, sédiments et eau) ou permettant une infiltration importante dans la nappe souterraine</w:t>
      </w:r>
      <w:r w:rsidR="00D31AFF" w:rsidRPr="00FA2E2E">
        <w:rPr>
          <w:lang w:val="fr-FR"/>
        </w:rPr>
        <w:t xml:space="preserve">. </w:t>
      </w:r>
      <w:r w:rsidR="008C30D4" w:rsidRPr="00FA2E2E">
        <w:rPr>
          <w:lang w:val="fr-FR"/>
        </w:rPr>
        <w:t>Par conséquent, les objectifs de nettoyage peuvent varier en fonction des niveaux d</w:t>
      </w:r>
      <w:r w:rsidR="00FE58E1" w:rsidRPr="00FA2E2E">
        <w:rPr>
          <w:lang w:val="fr-FR"/>
        </w:rPr>
        <w:t>’</w:t>
      </w:r>
      <w:r w:rsidR="008C30D4" w:rsidRPr="00FA2E2E">
        <w:rPr>
          <w:lang w:val="fr-FR"/>
        </w:rPr>
        <w:t>exposition réels ou prévus associés au site en question. L</w:t>
      </w:r>
      <w:r w:rsidR="00FE58E1" w:rsidRPr="00FA2E2E">
        <w:rPr>
          <w:lang w:val="fr-FR"/>
        </w:rPr>
        <w:t>’</w:t>
      </w:r>
      <w:r w:rsidR="008C30D4" w:rsidRPr="00FA2E2E">
        <w:rPr>
          <w:lang w:val="fr-FR"/>
        </w:rPr>
        <w:t>évaluation du niveau d</w:t>
      </w:r>
      <w:r w:rsidR="00FE58E1" w:rsidRPr="00FA2E2E">
        <w:rPr>
          <w:lang w:val="fr-FR"/>
        </w:rPr>
        <w:t>’</w:t>
      </w:r>
      <w:r w:rsidR="008C30D4" w:rsidRPr="00FA2E2E">
        <w:rPr>
          <w:lang w:val="fr-FR"/>
        </w:rPr>
        <w:t>exposition exige la prise en compte du niveau de mercure ou de composés du mercure sur le site et de la migration de mercure hors du site, ainsi que de la proximité des populations locales</w:t>
      </w:r>
      <w:r w:rsidR="00D31AFF" w:rsidRPr="00FA2E2E">
        <w:rPr>
          <w:lang w:val="fr-FR"/>
        </w:rPr>
        <w:t xml:space="preserve">. </w:t>
      </w:r>
      <w:r w:rsidR="00C42706" w:rsidRPr="00FA2E2E">
        <w:rPr>
          <w:lang w:val="fr-FR"/>
        </w:rPr>
        <w:t>Il est possible que ces informations aient été collectées au cours du processus d</w:t>
      </w:r>
      <w:r w:rsidR="00FE58E1" w:rsidRPr="00FA2E2E">
        <w:rPr>
          <w:lang w:val="fr-FR"/>
        </w:rPr>
        <w:t>’</w:t>
      </w:r>
      <w:r w:rsidR="00C42706" w:rsidRPr="00FA2E2E">
        <w:rPr>
          <w:lang w:val="fr-FR"/>
        </w:rPr>
        <w:t>identification et de caractérisation du site ou qu</w:t>
      </w:r>
      <w:r w:rsidR="00FE58E1" w:rsidRPr="00FA2E2E">
        <w:rPr>
          <w:lang w:val="fr-FR"/>
        </w:rPr>
        <w:t>’</w:t>
      </w:r>
      <w:r w:rsidR="00C42706" w:rsidRPr="00FA2E2E">
        <w:rPr>
          <w:lang w:val="fr-FR"/>
        </w:rPr>
        <w:t>un échantillonnage supplémentaire soit nécessaire.</w:t>
      </w:r>
      <w:r w:rsidR="00D31AFF" w:rsidRPr="00FA2E2E">
        <w:rPr>
          <w:lang w:val="fr-FR"/>
        </w:rPr>
        <w:t xml:space="preserve"> </w:t>
      </w:r>
      <w:r w:rsidR="00C42706" w:rsidRPr="00FA2E2E">
        <w:rPr>
          <w:lang w:val="fr-FR"/>
        </w:rPr>
        <w:t>Des modèles de transfert et d</w:t>
      </w:r>
      <w:r w:rsidR="00FE58E1" w:rsidRPr="00FA2E2E">
        <w:rPr>
          <w:lang w:val="fr-FR"/>
        </w:rPr>
        <w:t>’</w:t>
      </w:r>
      <w:r w:rsidR="00C42706" w:rsidRPr="00FA2E2E">
        <w:rPr>
          <w:lang w:val="fr-FR"/>
        </w:rPr>
        <w:t>exposition sont disponibles pour évaluer le risque et il convient de prélever régulièrement des échantillons afin de s</w:t>
      </w:r>
      <w:r w:rsidR="00FE58E1" w:rsidRPr="00FA2E2E">
        <w:rPr>
          <w:lang w:val="fr-FR"/>
        </w:rPr>
        <w:t>’</w:t>
      </w:r>
      <w:r w:rsidR="00C42706" w:rsidRPr="00FA2E2E">
        <w:rPr>
          <w:lang w:val="fr-FR"/>
        </w:rPr>
        <w:t>assurer que la situation ne se dégrade pas</w:t>
      </w:r>
      <w:r w:rsidR="00D31AFF" w:rsidRPr="00FA2E2E">
        <w:rPr>
          <w:lang w:val="fr-FR"/>
        </w:rPr>
        <w:t>.</w:t>
      </w:r>
    </w:p>
    <w:p w14:paraId="499298AC" w14:textId="1B0BC9DE" w:rsidR="00D31AFF" w:rsidRPr="00FA2E2E" w:rsidRDefault="00D31AFF" w:rsidP="00F93F76">
      <w:pPr>
        <w:pStyle w:val="CH2"/>
        <w:rPr>
          <w:lang w:val="fr-FR"/>
        </w:rPr>
      </w:pPr>
      <w:r w:rsidRPr="00FA2E2E">
        <w:rPr>
          <w:lang w:val="fr-FR"/>
        </w:rPr>
        <w:tab/>
      </w:r>
      <w:bookmarkStart w:id="23" w:name="_Toc15920545"/>
      <w:r w:rsidRPr="00FA2E2E">
        <w:rPr>
          <w:lang w:val="fr-FR"/>
        </w:rPr>
        <w:t>E.</w:t>
      </w:r>
      <w:r w:rsidRPr="00FA2E2E">
        <w:rPr>
          <w:lang w:val="fr-FR"/>
        </w:rPr>
        <w:tab/>
      </w:r>
      <w:r w:rsidR="008A140E" w:rsidRPr="00FA2E2E">
        <w:rPr>
          <w:lang w:val="fr-FR"/>
        </w:rPr>
        <w:t>Options de gestion des risques présentés par les sites contaminés</w:t>
      </w:r>
      <w:bookmarkEnd w:id="23"/>
    </w:p>
    <w:p w14:paraId="197AC21B" w14:textId="1DFE0FA5" w:rsidR="00D31AFF" w:rsidRPr="00FA2E2E" w:rsidRDefault="008A140E" w:rsidP="008E43CD">
      <w:pPr>
        <w:pStyle w:val="Normalnumber"/>
        <w:numPr>
          <w:ilvl w:val="0"/>
          <w:numId w:val="5"/>
        </w:numPr>
        <w:rPr>
          <w:lang w:val="fr-FR"/>
        </w:rPr>
      </w:pPr>
      <w:r w:rsidRPr="00FA2E2E">
        <w:rPr>
          <w:lang w:val="fr-FR"/>
        </w:rPr>
        <w:t>Une fois qu</w:t>
      </w:r>
      <w:r w:rsidR="00FE58E1" w:rsidRPr="00FA2E2E">
        <w:rPr>
          <w:lang w:val="fr-FR"/>
        </w:rPr>
        <w:t>’</w:t>
      </w:r>
      <w:r w:rsidRPr="00FA2E2E">
        <w:rPr>
          <w:lang w:val="fr-FR"/>
        </w:rPr>
        <w:t>un site contaminé a été évalué, des décisions sont prises concernant les meilleurs moyens de gérer les risques qu</w:t>
      </w:r>
      <w:r w:rsidR="00FE58E1" w:rsidRPr="00FA2E2E">
        <w:rPr>
          <w:lang w:val="fr-FR"/>
        </w:rPr>
        <w:t>’</w:t>
      </w:r>
      <w:r w:rsidRPr="00FA2E2E">
        <w:rPr>
          <w:lang w:val="fr-FR"/>
        </w:rPr>
        <w:t>il présente</w:t>
      </w:r>
      <w:r w:rsidR="00D31AFF" w:rsidRPr="00FA2E2E">
        <w:rPr>
          <w:lang w:val="fr-FR"/>
        </w:rPr>
        <w:t xml:space="preserve">. </w:t>
      </w:r>
      <w:r w:rsidRPr="00FA2E2E">
        <w:rPr>
          <w:lang w:val="fr-FR"/>
        </w:rPr>
        <w:t xml:space="preserve">De telles décisions peuvent être prises aux niveaux national, régional ou local ou, dans certains cas, par </w:t>
      </w:r>
      <w:r w:rsidR="00920978" w:rsidRPr="00FA2E2E">
        <w:rPr>
          <w:lang w:val="fr-FR"/>
        </w:rPr>
        <w:t>d</w:t>
      </w:r>
      <w:r w:rsidRPr="00FA2E2E">
        <w:rPr>
          <w:lang w:val="fr-FR"/>
        </w:rPr>
        <w:t>es propriétaires fonciers ou d</w:t>
      </w:r>
      <w:r w:rsidR="00FE58E1" w:rsidRPr="00FA2E2E">
        <w:rPr>
          <w:lang w:val="fr-FR"/>
        </w:rPr>
        <w:t>’</w:t>
      </w:r>
      <w:r w:rsidRPr="00FA2E2E">
        <w:rPr>
          <w:lang w:val="fr-FR"/>
        </w:rPr>
        <w:t>autres entités</w:t>
      </w:r>
      <w:r w:rsidR="00D31AFF" w:rsidRPr="00FA2E2E">
        <w:rPr>
          <w:lang w:val="fr-FR"/>
        </w:rPr>
        <w:t xml:space="preserve">. </w:t>
      </w:r>
      <w:r w:rsidR="00920978" w:rsidRPr="00FA2E2E">
        <w:rPr>
          <w:lang w:val="fr-FR"/>
        </w:rPr>
        <w:t>L</w:t>
      </w:r>
      <w:r w:rsidR="00FE58E1" w:rsidRPr="00FA2E2E">
        <w:rPr>
          <w:lang w:val="fr-FR"/>
        </w:rPr>
        <w:t>’</w:t>
      </w:r>
      <w:r w:rsidR="00920978" w:rsidRPr="00FA2E2E">
        <w:rPr>
          <w:lang w:val="fr-FR"/>
        </w:rPr>
        <w:t>objectif de la gestion des risques devrait être convenu avant de prendre des mesures et cadrer avec celui de la Convention de Minamata visant à protéger la santé humaine et l</w:t>
      </w:r>
      <w:r w:rsidR="00FE58E1" w:rsidRPr="00FA2E2E">
        <w:rPr>
          <w:lang w:val="fr-FR"/>
        </w:rPr>
        <w:t>’</w:t>
      </w:r>
      <w:r w:rsidR="00920978" w:rsidRPr="00FA2E2E">
        <w:rPr>
          <w:lang w:val="fr-FR"/>
        </w:rPr>
        <w:t>environnement contre les émissions et rejets anthropiques de mercure et de composés du mercure</w:t>
      </w:r>
      <w:r w:rsidR="00D31AFF" w:rsidRPr="00FA2E2E">
        <w:rPr>
          <w:lang w:val="fr-FR"/>
        </w:rPr>
        <w:t xml:space="preserve">. </w:t>
      </w:r>
      <w:r w:rsidR="00920978" w:rsidRPr="00FA2E2E">
        <w:rPr>
          <w:lang w:val="fr-FR"/>
        </w:rPr>
        <w:t>Les obligations en matière de gestion des sites contaminés peuvent être définies dans la législation et les politiques nationales ou locales</w:t>
      </w:r>
      <w:r w:rsidR="00D31AFF" w:rsidRPr="00FA2E2E">
        <w:rPr>
          <w:lang w:val="fr-FR"/>
        </w:rPr>
        <w:t xml:space="preserve">. </w:t>
      </w:r>
    </w:p>
    <w:p w14:paraId="1575340B" w14:textId="0B29B084" w:rsidR="00D31AFF" w:rsidRPr="00FA2E2E" w:rsidRDefault="00A27101" w:rsidP="008E43CD">
      <w:pPr>
        <w:pStyle w:val="Normalnumber"/>
        <w:numPr>
          <w:ilvl w:val="0"/>
          <w:numId w:val="5"/>
        </w:numPr>
        <w:rPr>
          <w:lang w:val="fr-FR"/>
        </w:rPr>
      </w:pPr>
      <w:r w:rsidRPr="00FA2E2E">
        <w:rPr>
          <w:lang w:val="fr-FR"/>
        </w:rPr>
        <w:t>Il existe principalement deux façons de traiter le problème de la contamination d</w:t>
      </w:r>
      <w:r w:rsidR="00FE58E1" w:rsidRPr="00FA2E2E">
        <w:rPr>
          <w:lang w:val="fr-FR"/>
        </w:rPr>
        <w:t>’</w:t>
      </w:r>
      <w:r w:rsidRPr="00FA2E2E">
        <w:rPr>
          <w:lang w:val="fr-FR"/>
        </w:rPr>
        <w:t xml:space="preserve">un site </w:t>
      </w:r>
      <w:r w:rsidR="00CD231F" w:rsidRPr="00FA2E2E">
        <w:rPr>
          <w:lang w:val="fr-FR"/>
        </w:rPr>
        <w:t>résultant</w:t>
      </w:r>
      <w:r w:rsidRPr="00FA2E2E">
        <w:rPr>
          <w:lang w:val="fr-FR"/>
        </w:rPr>
        <w:t xml:space="preserve"> d</w:t>
      </w:r>
      <w:r w:rsidR="00FE58E1" w:rsidRPr="00FA2E2E">
        <w:rPr>
          <w:lang w:val="fr-FR"/>
        </w:rPr>
        <w:t>’</w:t>
      </w:r>
      <w:r w:rsidRPr="00FA2E2E">
        <w:rPr>
          <w:lang w:val="fr-FR"/>
        </w:rPr>
        <w:t xml:space="preserve">activités industrielles </w:t>
      </w:r>
      <w:r w:rsidR="00F34B2C" w:rsidRPr="00FA2E2E">
        <w:rPr>
          <w:lang w:val="fr-FR"/>
        </w:rPr>
        <w:t xml:space="preserve">antérieures </w:t>
      </w:r>
      <w:r w:rsidRPr="00FA2E2E">
        <w:rPr>
          <w:lang w:val="fr-FR"/>
        </w:rPr>
        <w:t>ou d</w:t>
      </w:r>
      <w:r w:rsidR="00FE58E1" w:rsidRPr="00FA2E2E">
        <w:rPr>
          <w:lang w:val="fr-FR"/>
        </w:rPr>
        <w:t>’</w:t>
      </w:r>
      <w:r w:rsidRPr="00FA2E2E">
        <w:rPr>
          <w:lang w:val="fr-FR"/>
        </w:rPr>
        <w:t>autres activités humaines</w:t>
      </w:r>
      <w:r w:rsidR="00CD231F" w:rsidRPr="00FA2E2E">
        <w:rPr>
          <w:lang w:val="fr-FR"/>
        </w:rPr>
        <w:t> </w:t>
      </w:r>
      <w:r w:rsidRPr="00FA2E2E">
        <w:rPr>
          <w:lang w:val="fr-FR"/>
        </w:rPr>
        <w:t>: la gestion du site et la remise en état du site</w:t>
      </w:r>
      <w:r w:rsidR="00D31AFF" w:rsidRPr="00FA2E2E">
        <w:rPr>
          <w:lang w:val="fr-FR"/>
        </w:rPr>
        <w:t xml:space="preserve">. </w:t>
      </w:r>
      <w:r w:rsidR="00CD231F" w:rsidRPr="00FA2E2E">
        <w:rPr>
          <w:lang w:val="fr-FR"/>
        </w:rPr>
        <w:t>Que la remise en état du site soit entreprise ou non, il faudra probablement en premier lieu mettre en place une forme de gestion après avoir identifié le site et les éventuelles voies de rejet et d</w:t>
      </w:r>
      <w:r w:rsidR="00FE58E1" w:rsidRPr="00FA2E2E">
        <w:rPr>
          <w:lang w:val="fr-FR"/>
        </w:rPr>
        <w:t>’</w:t>
      </w:r>
      <w:r w:rsidR="00CD231F" w:rsidRPr="00FA2E2E">
        <w:rPr>
          <w:lang w:val="fr-FR"/>
        </w:rPr>
        <w:t>exposition</w:t>
      </w:r>
      <w:r w:rsidR="00D31AFF" w:rsidRPr="00FA2E2E">
        <w:rPr>
          <w:lang w:val="fr-FR"/>
        </w:rPr>
        <w:t>.</w:t>
      </w:r>
    </w:p>
    <w:p w14:paraId="168A7AC3" w14:textId="7796FA32" w:rsidR="00F06A9B" w:rsidRPr="00FA2E2E" w:rsidRDefault="00F06A9B" w:rsidP="00F93F76">
      <w:pPr>
        <w:pStyle w:val="CH3"/>
        <w:rPr>
          <w:lang w:val="fr-FR"/>
        </w:rPr>
      </w:pPr>
      <w:r w:rsidRPr="00FA2E2E">
        <w:rPr>
          <w:lang w:val="fr-FR"/>
        </w:rPr>
        <w:tab/>
      </w:r>
      <w:r w:rsidR="00152CD3" w:rsidRPr="00FA2E2E">
        <w:rPr>
          <w:lang w:val="fr-FR"/>
        </w:rPr>
        <w:t>1.</w:t>
      </w:r>
      <w:r w:rsidRPr="00FA2E2E">
        <w:rPr>
          <w:lang w:val="fr-FR"/>
        </w:rPr>
        <w:tab/>
      </w:r>
      <w:r w:rsidR="00CD231F" w:rsidRPr="00FA2E2E">
        <w:rPr>
          <w:lang w:val="fr-FR"/>
        </w:rPr>
        <w:t>Gestion du site</w:t>
      </w:r>
      <w:r w:rsidRPr="00FA2E2E">
        <w:rPr>
          <w:lang w:val="fr-FR"/>
        </w:rPr>
        <w:t xml:space="preserve"> </w:t>
      </w:r>
    </w:p>
    <w:p w14:paraId="4C5A403E" w14:textId="6447D499" w:rsidR="00D31AFF" w:rsidRPr="00FA2E2E" w:rsidRDefault="00CD231F" w:rsidP="008E43CD">
      <w:pPr>
        <w:pStyle w:val="Normalnumber"/>
        <w:numPr>
          <w:ilvl w:val="0"/>
          <w:numId w:val="5"/>
        </w:numPr>
        <w:rPr>
          <w:lang w:val="fr-FR"/>
        </w:rPr>
      </w:pPr>
      <w:r w:rsidRPr="00FA2E2E">
        <w:rPr>
          <w:lang w:val="fr-FR"/>
        </w:rPr>
        <w:t>La gestion du site comprend la prise de mesures visant à réduire l</w:t>
      </w:r>
      <w:r w:rsidR="00FE58E1" w:rsidRPr="00FA2E2E">
        <w:rPr>
          <w:lang w:val="fr-FR"/>
        </w:rPr>
        <w:t>’</w:t>
      </w:r>
      <w:r w:rsidRPr="00FA2E2E">
        <w:rPr>
          <w:lang w:val="fr-FR"/>
        </w:rPr>
        <w:t>exposition des êtres humains et de l</w:t>
      </w:r>
      <w:r w:rsidR="00FE58E1" w:rsidRPr="00FA2E2E">
        <w:rPr>
          <w:lang w:val="fr-FR"/>
        </w:rPr>
        <w:t>’</w:t>
      </w:r>
      <w:r w:rsidRPr="00FA2E2E">
        <w:rPr>
          <w:lang w:val="fr-FR"/>
        </w:rPr>
        <w:t>environnement au mercure ou aux composés du mercure qui s</w:t>
      </w:r>
      <w:r w:rsidR="00FE58E1" w:rsidRPr="00FA2E2E">
        <w:rPr>
          <w:lang w:val="fr-FR"/>
        </w:rPr>
        <w:t>’</w:t>
      </w:r>
      <w:r w:rsidRPr="00FA2E2E">
        <w:rPr>
          <w:lang w:val="fr-FR"/>
        </w:rPr>
        <w:t>y trouvent</w:t>
      </w:r>
      <w:r w:rsidR="00D31AFF" w:rsidRPr="00FA2E2E">
        <w:rPr>
          <w:lang w:val="fr-FR"/>
        </w:rPr>
        <w:t xml:space="preserve">. </w:t>
      </w:r>
      <w:r w:rsidR="00BD4D9A" w:rsidRPr="00FA2E2E">
        <w:rPr>
          <w:lang w:val="fr-FR"/>
        </w:rPr>
        <w:t>Des</w:t>
      </w:r>
      <w:r w:rsidR="00230572" w:rsidRPr="00FA2E2E">
        <w:rPr>
          <w:lang w:val="fr-FR"/>
        </w:rPr>
        <w:t xml:space="preserve"> sources primaires et secondaires continues de contamination des eaux souterraines ou de surface</w:t>
      </w:r>
      <w:r w:rsidR="00BD4D9A" w:rsidRPr="00FA2E2E">
        <w:rPr>
          <w:lang w:val="fr-FR"/>
        </w:rPr>
        <w:t xml:space="preserve"> devront peut-être être prises en compte</w:t>
      </w:r>
      <w:r w:rsidR="00D31AFF" w:rsidRPr="00FA2E2E">
        <w:rPr>
          <w:lang w:val="fr-FR"/>
        </w:rPr>
        <w:t xml:space="preserve">. </w:t>
      </w:r>
    </w:p>
    <w:p w14:paraId="3D5F77D8" w14:textId="0C15ED8F" w:rsidR="00D31AFF" w:rsidRPr="00FA2E2E" w:rsidRDefault="00D45AA7" w:rsidP="008E43CD">
      <w:pPr>
        <w:pStyle w:val="Normalnumber"/>
        <w:numPr>
          <w:ilvl w:val="0"/>
          <w:numId w:val="5"/>
        </w:numPr>
        <w:rPr>
          <w:lang w:val="fr-FR"/>
        </w:rPr>
      </w:pPr>
      <w:r w:rsidRPr="00FA2E2E">
        <w:rPr>
          <w:lang w:val="fr-FR"/>
        </w:rPr>
        <w:t>Les mesures prises peuvent comprendre la restriction de l</w:t>
      </w:r>
      <w:r w:rsidR="00FE58E1" w:rsidRPr="00FA2E2E">
        <w:rPr>
          <w:lang w:val="fr-FR"/>
        </w:rPr>
        <w:t>’</w:t>
      </w:r>
      <w:r w:rsidRPr="00FA2E2E">
        <w:rPr>
          <w:lang w:val="fr-FR"/>
        </w:rPr>
        <w:t>accès au site afin de limiter l</w:t>
      </w:r>
      <w:r w:rsidR="00FE58E1" w:rsidRPr="00FA2E2E">
        <w:rPr>
          <w:lang w:val="fr-FR"/>
        </w:rPr>
        <w:t>’</w:t>
      </w:r>
      <w:r w:rsidRPr="00FA2E2E">
        <w:rPr>
          <w:lang w:val="fr-FR"/>
        </w:rPr>
        <w:t>exposition directe (au moyen de clôtures et de panneaux d</w:t>
      </w:r>
      <w:r w:rsidR="00FE58E1" w:rsidRPr="00FA2E2E">
        <w:rPr>
          <w:lang w:val="fr-FR"/>
        </w:rPr>
        <w:t>’</w:t>
      </w:r>
      <w:r w:rsidRPr="00FA2E2E">
        <w:rPr>
          <w:lang w:val="fr-FR"/>
        </w:rPr>
        <w:t>avertissement) ou l</w:t>
      </w:r>
      <w:r w:rsidR="00FE58E1" w:rsidRPr="00FA2E2E">
        <w:rPr>
          <w:lang w:val="fr-FR"/>
        </w:rPr>
        <w:t>’</w:t>
      </w:r>
      <w:r w:rsidRPr="00FA2E2E">
        <w:rPr>
          <w:lang w:val="fr-FR"/>
        </w:rPr>
        <w:t xml:space="preserve">imposition de restrictions sur toute activité susceptible de causer une migration de la contamination </w:t>
      </w:r>
      <w:r w:rsidR="0004240A" w:rsidRPr="00FA2E2E">
        <w:rPr>
          <w:lang w:val="fr-FR"/>
        </w:rPr>
        <w:t>sur le</w:t>
      </w:r>
      <w:r w:rsidR="00D31AFF" w:rsidRPr="00FA2E2E">
        <w:rPr>
          <w:lang w:val="fr-FR"/>
        </w:rPr>
        <w:t xml:space="preserve"> site. </w:t>
      </w:r>
      <w:r w:rsidR="0004240A" w:rsidRPr="00FA2E2E">
        <w:rPr>
          <w:lang w:val="fr-FR"/>
        </w:rPr>
        <w:t>Si le système d</w:t>
      </w:r>
      <w:r w:rsidR="00FE58E1" w:rsidRPr="00FA2E2E">
        <w:rPr>
          <w:lang w:val="fr-FR"/>
        </w:rPr>
        <w:t>’</w:t>
      </w:r>
      <w:r w:rsidR="0004240A" w:rsidRPr="00FA2E2E">
        <w:rPr>
          <w:lang w:val="fr-FR"/>
        </w:rPr>
        <w:t>adduction d</w:t>
      </w:r>
      <w:r w:rsidR="00FE58E1" w:rsidRPr="00FA2E2E">
        <w:rPr>
          <w:lang w:val="fr-FR"/>
        </w:rPr>
        <w:t>’</w:t>
      </w:r>
      <w:r w:rsidR="0004240A" w:rsidRPr="00FA2E2E">
        <w:rPr>
          <w:lang w:val="fr-FR"/>
        </w:rPr>
        <w:t>eau est contaminé, il peut être nécessaire de mettre en place un système de remplacement ou de traiter l</w:t>
      </w:r>
      <w:r w:rsidR="00FE58E1" w:rsidRPr="00FA2E2E">
        <w:rPr>
          <w:lang w:val="fr-FR"/>
        </w:rPr>
        <w:t>’</w:t>
      </w:r>
      <w:r w:rsidR="0004240A" w:rsidRPr="00FA2E2E">
        <w:rPr>
          <w:lang w:val="fr-FR"/>
        </w:rPr>
        <w:t>eau</w:t>
      </w:r>
      <w:r w:rsidR="00300DCA" w:rsidRPr="00FA2E2E">
        <w:rPr>
          <w:lang w:val="fr-FR"/>
        </w:rPr>
        <w:t xml:space="preserve">. </w:t>
      </w:r>
      <w:r w:rsidR="0004240A" w:rsidRPr="00FA2E2E">
        <w:rPr>
          <w:lang w:val="fr-FR"/>
        </w:rPr>
        <w:t>Si l</w:t>
      </w:r>
      <w:r w:rsidR="00FE58E1" w:rsidRPr="00FA2E2E">
        <w:rPr>
          <w:lang w:val="fr-FR"/>
        </w:rPr>
        <w:t>’</w:t>
      </w:r>
      <w:r w:rsidR="0004240A" w:rsidRPr="00FA2E2E">
        <w:rPr>
          <w:lang w:val="fr-FR"/>
        </w:rPr>
        <w:t xml:space="preserve">environnement ou la communauté locale ne coure pas de danger immédiat, il peut être envisagé </w:t>
      </w:r>
      <w:r w:rsidR="00296365" w:rsidRPr="00FA2E2E">
        <w:rPr>
          <w:lang w:val="fr-FR"/>
        </w:rPr>
        <w:t>d</w:t>
      </w:r>
      <w:r w:rsidR="00FE58E1" w:rsidRPr="00FA2E2E">
        <w:rPr>
          <w:lang w:val="fr-FR"/>
        </w:rPr>
        <w:t>’</w:t>
      </w:r>
      <w:r w:rsidR="00296365" w:rsidRPr="00FA2E2E">
        <w:rPr>
          <w:lang w:val="fr-FR"/>
        </w:rPr>
        <w:t>attendre, pour traiter</w:t>
      </w:r>
      <w:r w:rsidR="0004240A" w:rsidRPr="00FA2E2E">
        <w:rPr>
          <w:lang w:val="fr-FR"/>
        </w:rPr>
        <w:t xml:space="preserve"> les matériaux contaminés</w:t>
      </w:r>
      <w:r w:rsidR="00296365" w:rsidRPr="00FA2E2E">
        <w:rPr>
          <w:lang w:val="fr-FR"/>
        </w:rPr>
        <w:t>, que</w:t>
      </w:r>
      <w:r w:rsidR="0004240A" w:rsidRPr="00FA2E2E">
        <w:rPr>
          <w:lang w:val="fr-FR"/>
        </w:rPr>
        <w:t xml:space="preserve"> d</w:t>
      </w:r>
      <w:r w:rsidR="00FE58E1" w:rsidRPr="00FA2E2E">
        <w:rPr>
          <w:lang w:val="fr-FR"/>
        </w:rPr>
        <w:t>’</w:t>
      </w:r>
      <w:r w:rsidR="0004240A" w:rsidRPr="00FA2E2E">
        <w:rPr>
          <w:lang w:val="fr-FR"/>
        </w:rPr>
        <w:t>autres sites présentant une priorité plus élevée</w:t>
      </w:r>
      <w:r w:rsidR="00296365" w:rsidRPr="00FA2E2E">
        <w:rPr>
          <w:lang w:val="fr-FR"/>
        </w:rPr>
        <w:t xml:space="preserve"> </w:t>
      </w:r>
      <w:r w:rsidR="00585C9D" w:rsidRPr="00FA2E2E">
        <w:rPr>
          <w:lang w:val="fr-FR"/>
        </w:rPr>
        <w:t>aient été</w:t>
      </w:r>
      <w:r w:rsidR="00296365" w:rsidRPr="00FA2E2E">
        <w:rPr>
          <w:lang w:val="fr-FR"/>
        </w:rPr>
        <w:t xml:space="preserve"> traités</w:t>
      </w:r>
      <w:r w:rsidR="00D31AFF" w:rsidRPr="00FA2E2E">
        <w:rPr>
          <w:lang w:val="fr-FR"/>
        </w:rPr>
        <w:t xml:space="preserve">. </w:t>
      </w:r>
      <w:r w:rsidR="00296365" w:rsidRPr="00FA2E2E">
        <w:rPr>
          <w:lang w:val="fr-FR"/>
        </w:rPr>
        <w:t>En attendant une remise en état ultérieure du site, il est possible de recourir à une installation de confinement de la contamination</w:t>
      </w:r>
      <w:r w:rsidR="00585C9D" w:rsidRPr="00FA2E2E">
        <w:rPr>
          <w:lang w:val="fr-FR"/>
        </w:rPr>
        <w:t xml:space="preserve"> sur le site</w:t>
      </w:r>
      <w:r w:rsidR="00D31AFF" w:rsidRPr="00FA2E2E">
        <w:rPr>
          <w:lang w:val="fr-FR"/>
        </w:rPr>
        <w:t xml:space="preserve">. </w:t>
      </w:r>
      <w:r w:rsidR="00296365" w:rsidRPr="00FA2E2E">
        <w:rPr>
          <w:lang w:val="fr-FR"/>
        </w:rPr>
        <w:t>Dans ce cas, il convient de veiller, en procédant à des contrôles réguliers de la contamination du site, à ce que le mercure ne s</w:t>
      </w:r>
      <w:r w:rsidR="00FE58E1" w:rsidRPr="00FA2E2E">
        <w:rPr>
          <w:lang w:val="fr-FR"/>
        </w:rPr>
        <w:t>’</w:t>
      </w:r>
      <w:r w:rsidR="00296365" w:rsidRPr="00FA2E2E">
        <w:rPr>
          <w:lang w:val="fr-FR"/>
        </w:rPr>
        <w:t xml:space="preserve">en échappe pas ou ne puisse </w:t>
      </w:r>
      <w:r w:rsidR="00585C9D" w:rsidRPr="00FA2E2E">
        <w:rPr>
          <w:lang w:val="fr-FR"/>
        </w:rPr>
        <w:t xml:space="preserve">pas </w:t>
      </w:r>
      <w:r w:rsidR="00296365" w:rsidRPr="00FA2E2E">
        <w:rPr>
          <w:lang w:val="fr-FR"/>
        </w:rPr>
        <w:t xml:space="preserve">avoir </w:t>
      </w:r>
      <w:r w:rsidR="00585C9D" w:rsidRPr="00FA2E2E">
        <w:rPr>
          <w:lang w:val="fr-FR"/>
        </w:rPr>
        <w:t>d</w:t>
      </w:r>
      <w:r w:rsidR="00FE58E1" w:rsidRPr="00FA2E2E">
        <w:rPr>
          <w:lang w:val="fr-FR"/>
        </w:rPr>
        <w:t>’</w:t>
      </w:r>
      <w:r w:rsidR="00296365" w:rsidRPr="00FA2E2E">
        <w:rPr>
          <w:lang w:val="fr-FR"/>
        </w:rPr>
        <w:t>impact sur l</w:t>
      </w:r>
      <w:r w:rsidR="00FE58E1" w:rsidRPr="00FA2E2E">
        <w:rPr>
          <w:lang w:val="fr-FR"/>
        </w:rPr>
        <w:t>’</w:t>
      </w:r>
      <w:r w:rsidR="00296365" w:rsidRPr="00FA2E2E">
        <w:rPr>
          <w:lang w:val="fr-FR"/>
        </w:rPr>
        <w:t>environnement situé au-delà des limites du site</w:t>
      </w:r>
      <w:r w:rsidR="00D31AFF" w:rsidRPr="00FA2E2E">
        <w:rPr>
          <w:lang w:val="fr-FR"/>
        </w:rPr>
        <w:t xml:space="preserve">. </w:t>
      </w:r>
      <w:r w:rsidR="00113598" w:rsidRPr="00FA2E2E">
        <w:rPr>
          <w:lang w:val="fr-FR"/>
        </w:rPr>
        <w:t>Il importe également que les futurs utilisateurs du site disposent d</w:t>
      </w:r>
      <w:r w:rsidR="00FE58E1" w:rsidRPr="00FA2E2E">
        <w:rPr>
          <w:lang w:val="fr-FR"/>
        </w:rPr>
        <w:t>’</w:t>
      </w:r>
      <w:r w:rsidR="00113598" w:rsidRPr="00FA2E2E">
        <w:rPr>
          <w:lang w:val="fr-FR"/>
        </w:rPr>
        <w:t>un accès immédiat aux informations relatives à la qualité du sol et à d</w:t>
      </w:r>
      <w:r w:rsidR="00FE58E1" w:rsidRPr="00FA2E2E">
        <w:rPr>
          <w:lang w:val="fr-FR"/>
        </w:rPr>
        <w:t>’</w:t>
      </w:r>
      <w:r w:rsidR="00113598" w:rsidRPr="00FA2E2E">
        <w:rPr>
          <w:lang w:val="fr-FR"/>
        </w:rPr>
        <w:t>autres informations sur l</w:t>
      </w:r>
      <w:r w:rsidR="00FE58E1" w:rsidRPr="00FA2E2E">
        <w:rPr>
          <w:lang w:val="fr-FR"/>
        </w:rPr>
        <w:t>’</w:t>
      </w:r>
      <w:r w:rsidR="00113598" w:rsidRPr="00FA2E2E">
        <w:rPr>
          <w:lang w:val="fr-FR"/>
        </w:rPr>
        <w:t>état du site</w:t>
      </w:r>
      <w:r w:rsidR="00D31AFF" w:rsidRPr="00FA2E2E">
        <w:rPr>
          <w:lang w:val="fr-FR"/>
        </w:rPr>
        <w:t xml:space="preserve">. </w:t>
      </w:r>
    </w:p>
    <w:p w14:paraId="128573D6" w14:textId="1736A4E1" w:rsidR="00D31AFF" w:rsidRPr="00FA2E2E" w:rsidRDefault="004A2A2D" w:rsidP="008E43CD">
      <w:pPr>
        <w:pStyle w:val="Normalnumber"/>
        <w:numPr>
          <w:ilvl w:val="0"/>
          <w:numId w:val="5"/>
        </w:numPr>
        <w:rPr>
          <w:lang w:val="fr-FR"/>
        </w:rPr>
      </w:pPr>
      <w:r w:rsidRPr="00FA2E2E">
        <w:rPr>
          <w:lang w:val="fr-FR"/>
        </w:rPr>
        <w:t xml:space="preserve">Une surveillance à long terme devrait être </w:t>
      </w:r>
      <w:r w:rsidR="00585C9D" w:rsidRPr="00FA2E2E">
        <w:rPr>
          <w:lang w:val="fr-FR"/>
        </w:rPr>
        <w:t>entreprise</w:t>
      </w:r>
      <w:r w:rsidRPr="00FA2E2E">
        <w:rPr>
          <w:lang w:val="fr-FR"/>
        </w:rPr>
        <w:t xml:space="preserve"> pour déterminer l</w:t>
      </w:r>
      <w:r w:rsidR="00FE58E1" w:rsidRPr="00FA2E2E">
        <w:rPr>
          <w:lang w:val="fr-FR"/>
        </w:rPr>
        <w:t>’</w:t>
      </w:r>
      <w:r w:rsidRPr="00FA2E2E">
        <w:rPr>
          <w:lang w:val="fr-FR"/>
        </w:rPr>
        <w:t>existence d</w:t>
      </w:r>
      <w:r w:rsidR="00FE58E1" w:rsidRPr="00FA2E2E">
        <w:rPr>
          <w:lang w:val="fr-FR"/>
        </w:rPr>
        <w:t>’</w:t>
      </w:r>
      <w:r w:rsidRPr="00FA2E2E">
        <w:rPr>
          <w:lang w:val="fr-FR"/>
        </w:rPr>
        <w:t>émissions ou de rejets continus liés à la présence des contaminants et de leurs métabolites</w:t>
      </w:r>
      <w:r w:rsidR="00D31AFF" w:rsidRPr="00FA2E2E">
        <w:rPr>
          <w:lang w:val="fr-FR"/>
        </w:rPr>
        <w:t xml:space="preserve">. </w:t>
      </w:r>
      <w:r w:rsidRPr="00FA2E2E">
        <w:rPr>
          <w:lang w:val="fr-FR"/>
        </w:rPr>
        <w:t>L</w:t>
      </w:r>
      <w:r w:rsidR="00FE58E1" w:rsidRPr="00FA2E2E">
        <w:rPr>
          <w:lang w:val="fr-FR"/>
        </w:rPr>
        <w:t>’</w:t>
      </w:r>
      <w:r w:rsidRPr="00FA2E2E">
        <w:rPr>
          <w:lang w:val="fr-FR"/>
        </w:rPr>
        <w:t xml:space="preserve">échantillonnage des sols est probablement le meilleur indicateur du niveau de contamination du site. Cependant, la surveillance pourrait également comprendre la mesure des gaz de sol et des </w:t>
      </w:r>
      <w:r w:rsidR="00585C9D" w:rsidRPr="00FA2E2E">
        <w:rPr>
          <w:lang w:val="fr-FR"/>
        </w:rPr>
        <w:t>concentrations</w:t>
      </w:r>
      <w:r w:rsidRPr="00FA2E2E">
        <w:rPr>
          <w:lang w:val="fr-FR"/>
        </w:rPr>
        <w:t xml:space="preserve"> atmosphériques de mercure dans les environs du site</w:t>
      </w:r>
      <w:r w:rsidR="00D31AFF" w:rsidRPr="00FA2E2E">
        <w:rPr>
          <w:lang w:val="fr-FR"/>
        </w:rPr>
        <w:t xml:space="preserve">. </w:t>
      </w:r>
      <w:r w:rsidRPr="00FA2E2E">
        <w:rPr>
          <w:lang w:val="fr-FR"/>
        </w:rPr>
        <w:t>Si l</w:t>
      </w:r>
      <w:r w:rsidR="00FE58E1" w:rsidRPr="00FA2E2E">
        <w:rPr>
          <w:lang w:val="fr-FR"/>
        </w:rPr>
        <w:t>’</w:t>
      </w:r>
      <w:r w:rsidRPr="00FA2E2E">
        <w:rPr>
          <w:lang w:val="fr-FR"/>
        </w:rPr>
        <w:t xml:space="preserve">évaluation initiale du site révèle une contamination des eaux souterraines ou de surface, il </w:t>
      </w:r>
      <w:r w:rsidR="00222DF1" w:rsidRPr="00FA2E2E">
        <w:rPr>
          <w:lang w:val="fr-FR"/>
        </w:rPr>
        <w:t>peut être envisagé</w:t>
      </w:r>
      <w:r w:rsidRPr="00FA2E2E">
        <w:rPr>
          <w:lang w:val="fr-FR"/>
        </w:rPr>
        <w:t xml:space="preserve"> d</w:t>
      </w:r>
      <w:r w:rsidR="00FE58E1" w:rsidRPr="00FA2E2E">
        <w:rPr>
          <w:lang w:val="fr-FR"/>
        </w:rPr>
        <w:t>’</w:t>
      </w:r>
      <w:r w:rsidRPr="00FA2E2E">
        <w:rPr>
          <w:lang w:val="fr-FR"/>
        </w:rPr>
        <w:t>inclure un échantillonnage régulier de l</w:t>
      </w:r>
      <w:r w:rsidR="00FE58E1" w:rsidRPr="00FA2E2E">
        <w:rPr>
          <w:lang w:val="fr-FR"/>
        </w:rPr>
        <w:t>’</w:t>
      </w:r>
      <w:r w:rsidRPr="00FA2E2E">
        <w:rPr>
          <w:lang w:val="fr-FR"/>
        </w:rPr>
        <w:t>eau dans le plan de gestion</w:t>
      </w:r>
      <w:r w:rsidR="00D31AFF" w:rsidRPr="00FA2E2E">
        <w:rPr>
          <w:lang w:val="fr-FR"/>
        </w:rPr>
        <w:t xml:space="preserve">. </w:t>
      </w:r>
    </w:p>
    <w:p w14:paraId="24B98E78" w14:textId="04616EB1" w:rsidR="00D31AFF" w:rsidRPr="00FA2E2E" w:rsidRDefault="00D31AFF" w:rsidP="00F93F76">
      <w:pPr>
        <w:pStyle w:val="CH3"/>
        <w:rPr>
          <w:lang w:val="fr-FR"/>
        </w:rPr>
      </w:pPr>
      <w:r w:rsidRPr="00FA2E2E">
        <w:rPr>
          <w:lang w:val="fr-FR"/>
        </w:rPr>
        <w:tab/>
      </w:r>
      <w:r w:rsidR="00152CD3" w:rsidRPr="00FA2E2E">
        <w:rPr>
          <w:lang w:val="fr-FR"/>
        </w:rPr>
        <w:t>2.</w:t>
      </w:r>
      <w:r w:rsidRPr="00FA2E2E">
        <w:rPr>
          <w:lang w:val="fr-FR"/>
        </w:rPr>
        <w:tab/>
      </w:r>
      <w:r w:rsidR="00D033A6" w:rsidRPr="00FA2E2E">
        <w:rPr>
          <w:lang w:val="fr-FR"/>
        </w:rPr>
        <w:t>Remise en état du site</w:t>
      </w:r>
      <w:r w:rsidRPr="00FA2E2E">
        <w:rPr>
          <w:lang w:val="fr-FR"/>
        </w:rPr>
        <w:t xml:space="preserve"> </w:t>
      </w:r>
    </w:p>
    <w:p w14:paraId="7D9B4E22" w14:textId="2180B89B" w:rsidR="00D31AFF" w:rsidRPr="00FA2E2E" w:rsidRDefault="0009031A" w:rsidP="008E43CD">
      <w:pPr>
        <w:pStyle w:val="Normalnumber"/>
        <w:numPr>
          <w:ilvl w:val="0"/>
          <w:numId w:val="5"/>
        </w:numPr>
        <w:rPr>
          <w:lang w:val="fr-FR"/>
        </w:rPr>
      </w:pPr>
      <w:r w:rsidRPr="00FA2E2E">
        <w:rPr>
          <w:lang w:val="fr-FR"/>
        </w:rPr>
        <w:t>La remise en état du site constitue un autre moyen de réduction des risques liés aux sites contaminés</w:t>
      </w:r>
      <w:r w:rsidR="00D31AFF" w:rsidRPr="00FA2E2E">
        <w:rPr>
          <w:lang w:val="fr-FR"/>
        </w:rPr>
        <w:t xml:space="preserve">. </w:t>
      </w:r>
      <w:r w:rsidR="00AA7D8F" w:rsidRPr="00FA2E2E">
        <w:rPr>
          <w:lang w:val="fr-FR"/>
        </w:rPr>
        <w:t>Elle comprend la prise de mesures tendant à éliminer, contrôler, confiner ou réduire les</w:t>
      </w:r>
      <w:r w:rsidR="00AE49CF" w:rsidRPr="00FA2E2E">
        <w:rPr>
          <w:lang w:val="fr-FR"/>
        </w:rPr>
        <w:t> </w:t>
      </w:r>
      <w:r w:rsidR="00AA7D8F" w:rsidRPr="00FA2E2E">
        <w:rPr>
          <w:lang w:val="fr-FR"/>
        </w:rPr>
        <w:t>contaminants ou les voies d</w:t>
      </w:r>
      <w:r w:rsidR="00FE58E1" w:rsidRPr="00FA2E2E">
        <w:rPr>
          <w:lang w:val="fr-FR"/>
        </w:rPr>
        <w:t>’</w:t>
      </w:r>
      <w:r w:rsidR="00AA7D8F" w:rsidRPr="00FA2E2E">
        <w:rPr>
          <w:lang w:val="fr-FR"/>
        </w:rPr>
        <w:t>exposition</w:t>
      </w:r>
      <w:r w:rsidR="00D31AFF" w:rsidRPr="00FA2E2E">
        <w:rPr>
          <w:lang w:val="fr-FR"/>
        </w:rPr>
        <w:t xml:space="preserve">. </w:t>
      </w:r>
      <w:r w:rsidR="00AA7D8F" w:rsidRPr="00FA2E2E">
        <w:rPr>
          <w:lang w:val="fr-FR"/>
        </w:rPr>
        <w:t>L</w:t>
      </w:r>
      <w:r w:rsidR="00FE58E1" w:rsidRPr="00FA2E2E">
        <w:rPr>
          <w:lang w:val="fr-FR"/>
        </w:rPr>
        <w:t>’</w:t>
      </w:r>
      <w:r w:rsidR="00AA7D8F" w:rsidRPr="00FA2E2E">
        <w:rPr>
          <w:lang w:val="fr-FR"/>
        </w:rPr>
        <w:t xml:space="preserve">objectif de la remise en état est de rendre un site acceptable et sûr dans le cadre de son utilisation actuelle et </w:t>
      </w:r>
      <w:r w:rsidR="00585C9D" w:rsidRPr="00FA2E2E">
        <w:rPr>
          <w:lang w:val="fr-FR"/>
        </w:rPr>
        <w:t>d</w:t>
      </w:r>
      <w:r w:rsidR="00FE58E1" w:rsidRPr="00FA2E2E">
        <w:rPr>
          <w:lang w:val="fr-FR"/>
        </w:rPr>
        <w:t>’</w:t>
      </w:r>
      <w:r w:rsidR="00585C9D" w:rsidRPr="00FA2E2E">
        <w:rPr>
          <w:lang w:val="fr-FR"/>
        </w:rPr>
        <w:t>optimiser</w:t>
      </w:r>
      <w:r w:rsidR="00AA7D8F" w:rsidRPr="00FA2E2E">
        <w:rPr>
          <w:lang w:val="fr-FR"/>
        </w:rPr>
        <w:t xml:space="preserve"> ses éventuelles utilisations futures</w:t>
      </w:r>
      <w:r w:rsidR="00D31AFF" w:rsidRPr="00FA2E2E">
        <w:rPr>
          <w:lang w:val="fr-FR"/>
        </w:rPr>
        <w:t xml:space="preserve">. </w:t>
      </w:r>
      <w:r w:rsidR="00AA7D8F" w:rsidRPr="00FA2E2E">
        <w:rPr>
          <w:lang w:val="fr-FR"/>
        </w:rPr>
        <w:t>Lors de la définition des objectifs de remise en état, il convient de prendre en compte le niveau de fond de mercure</w:t>
      </w:r>
      <w:r w:rsidR="00300DCA" w:rsidRPr="00FA2E2E">
        <w:rPr>
          <w:lang w:val="fr-FR"/>
        </w:rPr>
        <w:t xml:space="preserve">. </w:t>
      </w:r>
      <w:r w:rsidR="00554919" w:rsidRPr="00FA2E2E">
        <w:rPr>
          <w:lang w:val="fr-FR"/>
        </w:rPr>
        <w:t>La décision de remettre le site en état requiert l</w:t>
      </w:r>
      <w:r w:rsidR="00FE58E1" w:rsidRPr="00FA2E2E">
        <w:rPr>
          <w:lang w:val="fr-FR"/>
        </w:rPr>
        <w:t>’</w:t>
      </w:r>
      <w:r w:rsidR="00554919" w:rsidRPr="00FA2E2E">
        <w:rPr>
          <w:lang w:val="fr-FR"/>
        </w:rPr>
        <w:t>examen d</w:t>
      </w:r>
      <w:r w:rsidR="00FE58E1" w:rsidRPr="00FA2E2E">
        <w:rPr>
          <w:lang w:val="fr-FR"/>
        </w:rPr>
        <w:t>’</w:t>
      </w:r>
      <w:r w:rsidR="00554919" w:rsidRPr="00FA2E2E">
        <w:rPr>
          <w:lang w:val="fr-FR"/>
        </w:rPr>
        <w:t>un certain nombre de facteurs, y compris le résultat visé, le niveau de contamination, les expositions probables résultant de la contamination, la faisabilité des options de remise en état, la prise en compte des coûts et des</w:t>
      </w:r>
      <w:r w:rsidR="00AE49CF" w:rsidRPr="00FA2E2E">
        <w:rPr>
          <w:lang w:val="fr-FR"/>
        </w:rPr>
        <w:t> </w:t>
      </w:r>
      <w:r w:rsidR="00554919" w:rsidRPr="00FA2E2E">
        <w:rPr>
          <w:lang w:val="fr-FR"/>
        </w:rPr>
        <w:t>avantages, les effets néfastes que peut entraîner la mise en œuvre de mesures (par exemple, une</w:t>
      </w:r>
      <w:r w:rsidR="00AE49CF" w:rsidRPr="00FA2E2E">
        <w:rPr>
          <w:lang w:val="fr-FR"/>
        </w:rPr>
        <w:t> </w:t>
      </w:r>
      <w:r w:rsidR="00554919" w:rsidRPr="00FA2E2E">
        <w:rPr>
          <w:lang w:val="fr-FR"/>
        </w:rPr>
        <w:t>contamination de l</w:t>
      </w:r>
      <w:r w:rsidR="00FE58E1" w:rsidRPr="00FA2E2E">
        <w:rPr>
          <w:lang w:val="fr-FR"/>
        </w:rPr>
        <w:t>’</w:t>
      </w:r>
      <w:r w:rsidR="00554919" w:rsidRPr="00FA2E2E">
        <w:rPr>
          <w:lang w:val="fr-FR"/>
        </w:rPr>
        <w:t>environnement en raison de la perturbation des sols contaminés) et les ressources disponibles pour une remise en état</w:t>
      </w:r>
      <w:r w:rsidR="00D31AFF" w:rsidRPr="00FA2E2E">
        <w:rPr>
          <w:lang w:val="fr-FR"/>
        </w:rPr>
        <w:t xml:space="preserve">. </w:t>
      </w:r>
      <w:r w:rsidR="00554919" w:rsidRPr="00FA2E2E">
        <w:rPr>
          <w:lang w:val="fr-FR"/>
        </w:rPr>
        <w:t>Les mesures de remise en état devraient également être entreprises en tenant dûment compte de la nécessité de mettre en œuvre de telles activités de manière durable</w:t>
      </w:r>
      <w:r w:rsidR="00D31AFF" w:rsidRPr="00FA2E2E">
        <w:rPr>
          <w:lang w:val="fr-FR"/>
        </w:rPr>
        <w:t>.</w:t>
      </w:r>
    </w:p>
    <w:p w14:paraId="4A116590" w14:textId="08D4F0C5" w:rsidR="00D31AFF" w:rsidRPr="00FA2E2E" w:rsidRDefault="00C66A15" w:rsidP="006D69D3">
      <w:pPr>
        <w:pStyle w:val="Normalnumber"/>
        <w:rPr>
          <w:lang w:val="fr-FR"/>
        </w:rPr>
      </w:pPr>
      <w:r w:rsidRPr="00FA2E2E">
        <w:rPr>
          <w:lang w:val="fr-FR"/>
        </w:rPr>
        <w:t>Il existe un certain nombre d</w:t>
      </w:r>
      <w:r w:rsidR="00FE58E1" w:rsidRPr="00FA2E2E">
        <w:rPr>
          <w:lang w:val="fr-FR"/>
        </w:rPr>
        <w:t>’</w:t>
      </w:r>
      <w:r w:rsidRPr="00FA2E2E">
        <w:rPr>
          <w:lang w:val="fr-FR"/>
        </w:rPr>
        <w:t>approches et de techniques de remise en état, qui présentent une</w:t>
      </w:r>
      <w:r w:rsidR="00AE49CF" w:rsidRPr="00FA2E2E">
        <w:rPr>
          <w:lang w:val="fr-FR"/>
        </w:rPr>
        <w:t> </w:t>
      </w:r>
      <w:r w:rsidRPr="00FA2E2E">
        <w:rPr>
          <w:lang w:val="fr-FR"/>
        </w:rPr>
        <w:t>efficacité et des coûts variés</w:t>
      </w:r>
      <w:r w:rsidR="00D31AFF" w:rsidRPr="00FA2E2E">
        <w:rPr>
          <w:lang w:val="fr-FR"/>
        </w:rPr>
        <w:t xml:space="preserve">. </w:t>
      </w:r>
      <w:r w:rsidRPr="00FA2E2E">
        <w:rPr>
          <w:lang w:val="fr-FR"/>
        </w:rPr>
        <w:t>Le choix de la méthode de remise en état devrait prendre en compte l</w:t>
      </w:r>
      <w:r w:rsidR="00FE58E1" w:rsidRPr="00FA2E2E">
        <w:rPr>
          <w:lang w:val="fr-FR"/>
        </w:rPr>
        <w:t>’</w:t>
      </w:r>
      <w:r w:rsidRPr="00FA2E2E">
        <w:rPr>
          <w:lang w:val="fr-FR"/>
        </w:rPr>
        <w:t>utilisation déclarée du site et les risques associés à cette utilisation</w:t>
      </w:r>
      <w:r w:rsidR="00D31AFF" w:rsidRPr="00FA2E2E">
        <w:rPr>
          <w:lang w:val="fr-FR"/>
        </w:rPr>
        <w:t xml:space="preserve">. </w:t>
      </w:r>
      <w:r w:rsidR="00823E33" w:rsidRPr="00FA2E2E">
        <w:rPr>
          <w:lang w:val="fr-FR"/>
        </w:rPr>
        <w:t>Il peut également dépendre de la</w:t>
      </w:r>
      <w:r w:rsidR="00AE49CF" w:rsidRPr="00FA2E2E">
        <w:rPr>
          <w:lang w:val="fr-FR"/>
        </w:rPr>
        <w:t> </w:t>
      </w:r>
      <w:r w:rsidR="00823E33" w:rsidRPr="00FA2E2E">
        <w:rPr>
          <w:lang w:val="fr-FR"/>
        </w:rPr>
        <w:t>présence d</w:t>
      </w:r>
      <w:r w:rsidR="00FE58E1" w:rsidRPr="00FA2E2E">
        <w:rPr>
          <w:lang w:val="fr-FR"/>
        </w:rPr>
        <w:t>’</w:t>
      </w:r>
      <w:r w:rsidR="00823E33" w:rsidRPr="00FA2E2E">
        <w:rPr>
          <w:lang w:val="fr-FR"/>
        </w:rPr>
        <w:t>autres contaminants ainsi que de facteurs tels que la perméabilité et la teneur en matière organique et en argile</w:t>
      </w:r>
      <w:r w:rsidR="00D31AFF" w:rsidRPr="00FA2E2E">
        <w:rPr>
          <w:lang w:val="fr-FR"/>
        </w:rPr>
        <w:t xml:space="preserve">. </w:t>
      </w:r>
      <w:r w:rsidR="00D064E8" w:rsidRPr="00FA2E2E">
        <w:rPr>
          <w:lang w:val="fr-FR"/>
        </w:rPr>
        <w:t>Une stratégie de remise en état doit souvent combiner plusieurs techniques afin d</w:t>
      </w:r>
      <w:r w:rsidR="00FE58E1" w:rsidRPr="00FA2E2E">
        <w:rPr>
          <w:lang w:val="fr-FR"/>
        </w:rPr>
        <w:t>’</w:t>
      </w:r>
      <w:r w:rsidR="00D064E8" w:rsidRPr="00FA2E2E">
        <w:rPr>
          <w:lang w:val="fr-FR"/>
        </w:rPr>
        <w:t xml:space="preserve">apporter une réponse </w:t>
      </w:r>
      <w:r w:rsidR="00103AB8" w:rsidRPr="00FA2E2E">
        <w:rPr>
          <w:lang w:val="fr-FR"/>
        </w:rPr>
        <w:t>adéquate</w:t>
      </w:r>
      <w:r w:rsidR="00D064E8" w:rsidRPr="00FA2E2E">
        <w:rPr>
          <w:lang w:val="fr-FR"/>
        </w:rPr>
        <w:t xml:space="preserve"> à la situation</w:t>
      </w:r>
      <w:r w:rsidR="00D31AFF" w:rsidRPr="00FA2E2E">
        <w:rPr>
          <w:lang w:val="fr-FR"/>
        </w:rPr>
        <w:t xml:space="preserve">. </w:t>
      </w:r>
      <w:r w:rsidR="00103AB8" w:rsidRPr="00FA2E2E">
        <w:rPr>
          <w:lang w:val="fr-FR"/>
        </w:rPr>
        <w:t>L</w:t>
      </w:r>
      <w:r w:rsidR="00FE58E1" w:rsidRPr="00FA2E2E">
        <w:rPr>
          <w:lang w:val="fr-FR"/>
        </w:rPr>
        <w:t>’</w:t>
      </w:r>
      <w:r w:rsidR="00103AB8" w:rsidRPr="00FA2E2E">
        <w:rPr>
          <w:lang w:val="fr-FR"/>
        </w:rPr>
        <w:t>évaluation et la comparaison des diverses options de remise en état afin de déterminer la solution la plus efficace sont cruciales</w:t>
      </w:r>
      <w:r w:rsidR="006F2092" w:rsidRPr="00FA2E2E">
        <w:rPr>
          <w:rStyle w:val="FootnoteReference"/>
          <w:lang w:val="fr-FR"/>
        </w:rPr>
        <w:footnoteReference w:id="12"/>
      </w:r>
      <w:r w:rsidR="005C3F6F" w:rsidRPr="00FA2E2E">
        <w:rPr>
          <w:lang w:val="fr-FR"/>
        </w:rPr>
        <w:t>.</w:t>
      </w:r>
      <w:r w:rsidR="00D31AFF" w:rsidRPr="00FA2E2E">
        <w:rPr>
          <w:lang w:val="fr-FR"/>
        </w:rPr>
        <w:t xml:space="preserve"> </w:t>
      </w:r>
    </w:p>
    <w:p w14:paraId="18721EDB" w14:textId="7B446A8F" w:rsidR="00D31AFF" w:rsidRPr="00FA2E2E" w:rsidRDefault="00D31AFF" w:rsidP="00F93F76">
      <w:pPr>
        <w:pStyle w:val="CH3"/>
        <w:rPr>
          <w:lang w:val="fr-FR"/>
        </w:rPr>
      </w:pPr>
      <w:r w:rsidRPr="00FA2E2E">
        <w:rPr>
          <w:lang w:val="fr-FR"/>
        </w:rPr>
        <w:tab/>
      </w:r>
      <w:r w:rsidR="00152CD3" w:rsidRPr="00FA2E2E">
        <w:rPr>
          <w:lang w:val="fr-FR"/>
        </w:rPr>
        <w:t>3.</w:t>
      </w:r>
      <w:r w:rsidRPr="00FA2E2E">
        <w:rPr>
          <w:lang w:val="fr-FR"/>
        </w:rPr>
        <w:tab/>
      </w:r>
      <w:r w:rsidR="005C3F6F" w:rsidRPr="00FA2E2E">
        <w:rPr>
          <w:lang w:val="fr-FR"/>
        </w:rPr>
        <w:t>Traitement des sols</w:t>
      </w:r>
    </w:p>
    <w:p w14:paraId="6D166D5B" w14:textId="0759D2C6" w:rsidR="00D31AFF" w:rsidRPr="00FA2E2E" w:rsidRDefault="00386FC0" w:rsidP="008E43CD">
      <w:pPr>
        <w:pStyle w:val="Normalnumber"/>
        <w:numPr>
          <w:ilvl w:val="0"/>
          <w:numId w:val="5"/>
        </w:numPr>
        <w:rPr>
          <w:lang w:val="fr-FR"/>
        </w:rPr>
      </w:pPr>
      <w:r w:rsidRPr="00FA2E2E">
        <w:rPr>
          <w:lang w:val="fr-FR"/>
        </w:rPr>
        <w:t>Lorsque cela est faisable, il peut être préférable que le traitement en vue d</w:t>
      </w:r>
      <w:r w:rsidR="00FE58E1" w:rsidRPr="00FA2E2E">
        <w:rPr>
          <w:lang w:val="fr-FR"/>
        </w:rPr>
        <w:t>’</w:t>
      </w:r>
      <w:r w:rsidRPr="00FA2E2E">
        <w:rPr>
          <w:lang w:val="fr-FR"/>
        </w:rPr>
        <w:t>éliminer</w:t>
      </w:r>
      <w:r w:rsidR="00540E2F" w:rsidRPr="00FA2E2E">
        <w:rPr>
          <w:lang w:val="fr-FR"/>
        </w:rPr>
        <w:t xml:space="preserve"> le contaminant</w:t>
      </w:r>
      <w:r w:rsidRPr="00FA2E2E">
        <w:rPr>
          <w:lang w:val="fr-FR"/>
        </w:rPr>
        <w:t xml:space="preserve"> ou de réduire à un niveau acceptable le danger qu</w:t>
      </w:r>
      <w:r w:rsidR="00FE58E1" w:rsidRPr="00FA2E2E">
        <w:rPr>
          <w:lang w:val="fr-FR"/>
        </w:rPr>
        <w:t>’</w:t>
      </w:r>
      <w:r w:rsidRPr="00FA2E2E">
        <w:rPr>
          <w:lang w:val="fr-FR"/>
        </w:rPr>
        <w:t>il représente se fasse sur le site</w:t>
      </w:r>
      <w:r w:rsidR="00D31AFF" w:rsidRPr="00FA2E2E">
        <w:rPr>
          <w:lang w:val="fr-FR"/>
        </w:rPr>
        <w:t xml:space="preserve">. </w:t>
      </w:r>
      <w:r w:rsidR="00540E2F" w:rsidRPr="00FA2E2E">
        <w:rPr>
          <w:lang w:val="fr-FR"/>
        </w:rPr>
        <w:t xml:space="preserve">Un tel traitement devrait être mis en œuvre de manière à éviter, autant que faire se peut, tout effet néfaste </w:t>
      </w:r>
      <w:r w:rsidR="00456A4A" w:rsidRPr="00FA2E2E">
        <w:rPr>
          <w:lang w:val="fr-FR"/>
        </w:rPr>
        <w:t>sur</w:t>
      </w:r>
      <w:r w:rsidR="00540E2F" w:rsidRPr="00FA2E2E">
        <w:rPr>
          <w:lang w:val="fr-FR"/>
        </w:rPr>
        <w:t xml:space="preserve"> l</w:t>
      </w:r>
      <w:r w:rsidR="00FE58E1" w:rsidRPr="00FA2E2E">
        <w:rPr>
          <w:lang w:val="fr-FR"/>
        </w:rPr>
        <w:t>’</w:t>
      </w:r>
      <w:r w:rsidR="00540E2F" w:rsidRPr="00FA2E2E">
        <w:rPr>
          <w:lang w:val="fr-FR"/>
        </w:rPr>
        <w:t>environnement, les travailleurs, la communauté installée à proximité du site ou le grand public</w:t>
      </w:r>
      <w:r w:rsidR="00D31AFF" w:rsidRPr="00FA2E2E">
        <w:rPr>
          <w:lang w:val="fr-FR"/>
        </w:rPr>
        <w:t xml:space="preserve">. </w:t>
      </w:r>
    </w:p>
    <w:p w14:paraId="106E25EF" w14:textId="1AFB8858" w:rsidR="00D31AFF" w:rsidRPr="00FA2E2E" w:rsidRDefault="00154A4B" w:rsidP="008E43CD">
      <w:pPr>
        <w:pStyle w:val="Normalnumber"/>
        <w:numPr>
          <w:ilvl w:val="0"/>
          <w:numId w:val="5"/>
        </w:numPr>
        <w:rPr>
          <w:lang w:val="fr-FR"/>
        </w:rPr>
      </w:pPr>
      <w:r w:rsidRPr="00FA2E2E">
        <w:rPr>
          <w:lang w:val="fr-FR"/>
        </w:rPr>
        <w:t xml:space="preserve">Dans certains cas, le confinement </w:t>
      </w:r>
      <w:r w:rsidR="00456A4A" w:rsidRPr="00FA2E2E">
        <w:rPr>
          <w:lang w:val="fr-FR"/>
        </w:rPr>
        <w:t xml:space="preserve">sur site </w:t>
      </w:r>
      <w:r w:rsidRPr="00FA2E2E">
        <w:rPr>
          <w:lang w:val="fr-FR"/>
        </w:rPr>
        <w:t xml:space="preserve">de la partie contaminée </w:t>
      </w:r>
      <w:r w:rsidR="00456A4A" w:rsidRPr="00FA2E2E">
        <w:rPr>
          <w:lang w:val="fr-FR"/>
        </w:rPr>
        <w:t>au mercure</w:t>
      </w:r>
      <w:r w:rsidRPr="00FA2E2E">
        <w:rPr>
          <w:lang w:val="fr-FR"/>
        </w:rPr>
        <w:t xml:space="preserve"> peut être une option viable.</w:t>
      </w:r>
      <w:r w:rsidR="00D31AFF" w:rsidRPr="00FA2E2E">
        <w:rPr>
          <w:lang w:val="fr-FR"/>
        </w:rPr>
        <w:t xml:space="preserve"> </w:t>
      </w:r>
      <w:r w:rsidRPr="00FA2E2E">
        <w:rPr>
          <w:lang w:val="fr-FR"/>
        </w:rPr>
        <w:t>Des barrières physiques peuvent être utilisées pour empêcher la migration du mercure dans le sol ou son passage dans l</w:t>
      </w:r>
      <w:r w:rsidR="00FE58E1" w:rsidRPr="00FA2E2E">
        <w:rPr>
          <w:lang w:val="fr-FR"/>
        </w:rPr>
        <w:t>’</w:t>
      </w:r>
      <w:r w:rsidRPr="00FA2E2E">
        <w:rPr>
          <w:lang w:val="fr-FR"/>
        </w:rPr>
        <w:t>air</w:t>
      </w:r>
      <w:r w:rsidR="00D31AFF" w:rsidRPr="00FA2E2E">
        <w:rPr>
          <w:lang w:val="fr-FR"/>
        </w:rPr>
        <w:t xml:space="preserve">. </w:t>
      </w:r>
      <w:r w:rsidRPr="00FA2E2E">
        <w:rPr>
          <w:lang w:val="fr-FR"/>
        </w:rPr>
        <w:t>Cela peut demander que des tranchées profondes soient creusées sur le pourtour de la zone contaminée et remplies de boues (mélanges de bentonite ou de ciment et de terre, par exemple)</w:t>
      </w:r>
      <w:r w:rsidR="00D31AFF" w:rsidRPr="00FA2E2E">
        <w:rPr>
          <w:lang w:val="fr-FR"/>
        </w:rPr>
        <w:t xml:space="preserve">. </w:t>
      </w:r>
      <w:r w:rsidR="00FB3DF2" w:rsidRPr="00FA2E2E">
        <w:rPr>
          <w:lang w:val="fr-FR"/>
        </w:rPr>
        <w:t>Il peut également être nécessaire d</w:t>
      </w:r>
      <w:r w:rsidR="00FE58E1" w:rsidRPr="00FA2E2E">
        <w:rPr>
          <w:lang w:val="fr-FR"/>
        </w:rPr>
        <w:t>’</w:t>
      </w:r>
      <w:r w:rsidR="00FB3DF2" w:rsidRPr="00FA2E2E">
        <w:rPr>
          <w:lang w:val="fr-FR"/>
        </w:rPr>
        <w:t>injecter des produits chimiques stabilisants dans le sol, en se servant de tarières conçues à cette fin</w:t>
      </w:r>
      <w:r w:rsidR="00D31AFF" w:rsidRPr="00FA2E2E">
        <w:rPr>
          <w:lang w:val="fr-FR"/>
        </w:rPr>
        <w:t xml:space="preserve">. </w:t>
      </w:r>
      <w:r w:rsidR="00FB3DF2" w:rsidRPr="00FA2E2E">
        <w:rPr>
          <w:lang w:val="fr-FR"/>
        </w:rPr>
        <w:t>Il convient de noter que de telles mesures ne réduisent pas les quantités de mercure présentes sur le site et que des matériaux contaminés risquent d</w:t>
      </w:r>
      <w:r w:rsidR="00FE58E1" w:rsidRPr="00FA2E2E">
        <w:rPr>
          <w:lang w:val="fr-FR"/>
        </w:rPr>
        <w:t>’</w:t>
      </w:r>
      <w:r w:rsidR="00FB3DF2" w:rsidRPr="00FA2E2E">
        <w:rPr>
          <w:lang w:val="fr-FR"/>
        </w:rPr>
        <w:t xml:space="preserve">être rejetés durant le processus </w:t>
      </w:r>
      <w:r w:rsidR="00D31AFF" w:rsidRPr="00FA2E2E">
        <w:rPr>
          <w:lang w:val="fr-FR"/>
        </w:rPr>
        <w:t xml:space="preserve">(Merly and Hube, 2014). </w:t>
      </w:r>
      <w:r w:rsidR="00FB3DF2" w:rsidRPr="00FA2E2E">
        <w:rPr>
          <w:lang w:val="fr-FR"/>
        </w:rPr>
        <w:t xml:space="preserve">Des contrôles institutionnels, tels que des restrictions relatives aux actes de vente ou des avis </w:t>
      </w:r>
      <w:r w:rsidR="00E80C2A" w:rsidRPr="00FA2E2E">
        <w:rPr>
          <w:lang w:val="fr-FR"/>
        </w:rPr>
        <w:t>dans</w:t>
      </w:r>
      <w:r w:rsidR="00FB3DF2" w:rsidRPr="00FA2E2E">
        <w:rPr>
          <w:lang w:val="fr-FR"/>
        </w:rPr>
        <w:t xml:space="preserve"> les registres fonciers, peuvent venir renforcer les mesures visant à éviter la migration du mercure</w:t>
      </w:r>
      <w:r w:rsidR="00146856" w:rsidRPr="00FA2E2E">
        <w:rPr>
          <w:lang w:val="fr-FR"/>
        </w:rPr>
        <w:t>.</w:t>
      </w:r>
    </w:p>
    <w:p w14:paraId="6CB20EA0" w14:textId="412F73B4" w:rsidR="00D31AFF" w:rsidRPr="00FA2E2E" w:rsidRDefault="00235086" w:rsidP="008E43CD">
      <w:pPr>
        <w:pStyle w:val="Normalnumber"/>
        <w:numPr>
          <w:ilvl w:val="0"/>
          <w:numId w:val="5"/>
        </w:numPr>
        <w:rPr>
          <w:lang w:val="fr-FR"/>
        </w:rPr>
      </w:pPr>
      <w:r w:rsidRPr="00FA2E2E">
        <w:rPr>
          <w:lang w:val="fr-FR"/>
        </w:rPr>
        <w:t>Si le traitement sur site du sol contaminé pour éliminer les contaminants n</w:t>
      </w:r>
      <w:r w:rsidR="00FE58E1" w:rsidRPr="00FA2E2E">
        <w:rPr>
          <w:lang w:val="fr-FR"/>
        </w:rPr>
        <w:t>’</w:t>
      </w:r>
      <w:r w:rsidRPr="00FA2E2E">
        <w:rPr>
          <w:lang w:val="fr-FR"/>
        </w:rPr>
        <w:t>est pas possible, une autre option consiste à extraire le sol contaminé aux fins d</w:t>
      </w:r>
      <w:r w:rsidR="00FE58E1" w:rsidRPr="00FA2E2E">
        <w:rPr>
          <w:lang w:val="fr-FR"/>
        </w:rPr>
        <w:t>’</w:t>
      </w:r>
      <w:r w:rsidRPr="00FA2E2E">
        <w:rPr>
          <w:lang w:val="fr-FR"/>
        </w:rPr>
        <w:t>un traitement hors site</w:t>
      </w:r>
      <w:r w:rsidR="00D31AFF" w:rsidRPr="00FA2E2E">
        <w:rPr>
          <w:lang w:val="fr-FR"/>
        </w:rPr>
        <w:t xml:space="preserve">. </w:t>
      </w:r>
      <w:r w:rsidRPr="00FA2E2E">
        <w:rPr>
          <w:lang w:val="fr-FR"/>
        </w:rPr>
        <w:t>En attendant son traitement, il peut être envoyé à un site ou une installation de stockage agréé</w:t>
      </w:r>
      <w:r w:rsidR="00627267" w:rsidRPr="00FA2E2E">
        <w:rPr>
          <w:lang w:val="fr-FR"/>
        </w:rPr>
        <w:t>s</w:t>
      </w:r>
      <w:r w:rsidR="00D31AFF" w:rsidRPr="00FA2E2E">
        <w:rPr>
          <w:lang w:val="fr-FR"/>
        </w:rPr>
        <w:t>,</w:t>
      </w:r>
      <w:r w:rsidRPr="00FA2E2E">
        <w:rPr>
          <w:lang w:val="fr-FR"/>
        </w:rPr>
        <w:t xml:space="preserve"> en veillant dûment à éviter toute pollution environnementale qui pourrait être causée par le transport du sol</w:t>
      </w:r>
      <w:r w:rsidR="00D31AFF" w:rsidRPr="00FA2E2E">
        <w:rPr>
          <w:lang w:val="fr-FR"/>
        </w:rPr>
        <w:t xml:space="preserve">. </w:t>
      </w:r>
      <w:r w:rsidR="005F16D2" w:rsidRPr="00FA2E2E">
        <w:rPr>
          <w:lang w:val="fr-FR"/>
        </w:rPr>
        <w:t xml:space="preserve">Si cette dernière option est retenue, la Partie </w:t>
      </w:r>
      <w:r w:rsidR="00456A4A" w:rsidRPr="00FA2E2E">
        <w:rPr>
          <w:lang w:val="fr-FR"/>
        </w:rPr>
        <w:t xml:space="preserve">concernée </w:t>
      </w:r>
      <w:r w:rsidR="005F16D2" w:rsidRPr="00FA2E2E">
        <w:rPr>
          <w:lang w:val="fr-FR"/>
        </w:rPr>
        <w:t>devrait veiller à ce que l</w:t>
      </w:r>
      <w:r w:rsidR="00FE58E1" w:rsidRPr="00FA2E2E">
        <w:rPr>
          <w:lang w:val="fr-FR"/>
        </w:rPr>
        <w:t>’</w:t>
      </w:r>
      <w:r w:rsidR="005F16D2" w:rsidRPr="00FA2E2E">
        <w:rPr>
          <w:lang w:val="fr-FR"/>
        </w:rPr>
        <w:t>installation qui recevra le sol contaminé soit en mesure de gérer les déchets conformément aux réglementations environnementales applicables</w:t>
      </w:r>
      <w:r w:rsidR="00D31AFF" w:rsidRPr="00FA2E2E">
        <w:rPr>
          <w:lang w:val="fr-FR"/>
        </w:rPr>
        <w:t xml:space="preserve">. </w:t>
      </w:r>
      <w:r w:rsidR="005F16D2" w:rsidRPr="00FA2E2E">
        <w:rPr>
          <w:lang w:val="fr-FR"/>
        </w:rPr>
        <w:t>De plus</w:t>
      </w:r>
      <w:r w:rsidR="00D31AFF" w:rsidRPr="00FA2E2E">
        <w:rPr>
          <w:lang w:val="fr-FR"/>
        </w:rPr>
        <w:t>,</w:t>
      </w:r>
      <w:r w:rsidR="005F16D2" w:rsidRPr="00FA2E2E">
        <w:rPr>
          <w:lang w:val="fr-FR"/>
        </w:rPr>
        <w:t xml:space="preserve"> les sols dépassant le seuil pour les déchets contaminés au mercure devraient être gérés conformément</w:t>
      </w:r>
      <w:r w:rsidR="00D31AFF" w:rsidRPr="00FA2E2E">
        <w:rPr>
          <w:lang w:val="fr-FR"/>
        </w:rPr>
        <w:t xml:space="preserve"> </w:t>
      </w:r>
      <w:r w:rsidR="005F16D2" w:rsidRPr="00FA2E2E">
        <w:rPr>
          <w:lang w:val="fr-FR"/>
        </w:rPr>
        <w:t>aux dispositions en matière de gestion écologiquement rationnelle des déchets de mercure en application de l</w:t>
      </w:r>
      <w:r w:rsidR="00FE58E1" w:rsidRPr="00FA2E2E">
        <w:rPr>
          <w:lang w:val="fr-FR"/>
        </w:rPr>
        <w:t>’</w:t>
      </w:r>
      <w:r w:rsidR="00D31AFF" w:rsidRPr="00FA2E2E">
        <w:rPr>
          <w:lang w:val="fr-FR"/>
        </w:rPr>
        <w:t>article</w:t>
      </w:r>
      <w:r w:rsidR="00DD7741" w:rsidRPr="00FA2E2E">
        <w:rPr>
          <w:lang w:val="fr-FR"/>
        </w:rPr>
        <w:t> </w:t>
      </w:r>
      <w:r w:rsidR="00D31AFF" w:rsidRPr="00FA2E2E">
        <w:rPr>
          <w:lang w:val="fr-FR"/>
        </w:rPr>
        <w:t xml:space="preserve">11 </w:t>
      </w:r>
      <w:r w:rsidR="005F16D2" w:rsidRPr="00FA2E2E">
        <w:rPr>
          <w:lang w:val="fr-FR"/>
        </w:rPr>
        <w:t>de la</w:t>
      </w:r>
      <w:r w:rsidR="00D31AFF" w:rsidRPr="00FA2E2E">
        <w:rPr>
          <w:lang w:val="fr-FR"/>
        </w:rPr>
        <w:t xml:space="preserve"> Convention. </w:t>
      </w:r>
      <w:r w:rsidR="005F16D2" w:rsidRPr="00FA2E2E">
        <w:rPr>
          <w:lang w:val="fr-FR"/>
        </w:rPr>
        <w:t>Le traitement hors site du sol excavé vise à en éliminer les contaminants ou à ramener le danger posé par ceux-ci à un niveau acceptable</w:t>
      </w:r>
      <w:r w:rsidR="00D31AFF" w:rsidRPr="00FA2E2E">
        <w:rPr>
          <w:lang w:val="fr-FR"/>
        </w:rPr>
        <w:t xml:space="preserve">. </w:t>
      </w:r>
      <w:r w:rsidR="00715747" w:rsidRPr="00FA2E2E">
        <w:rPr>
          <w:lang w:val="fr-FR"/>
        </w:rPr>
        <w:t>Dans la mesure du possible, le sol traité est ensuite retourné au site initial ou envoyé à un autre site</w:t>
      </w:r>
      <w:r w:rsidR="00D31AFF" w:rsidRPr="00FA2E2E">
        <w:rPr>
          <w:lang w:val="fr-FR"/>
        </w:rPr>
        <w:t xml:space="preserve">. </w:t>
      </w:r>
      <w:r w:rsidR="00830B17" w:rsidRPr="00FA2E2E">
        <w:rPr>
          <w:lang w:val="fr-FR"/>
        </w:rPr>
        <w:t>Les résidus issus du traitement du sol peuvent présenter des concentrations élevées de mercure et devraient être gérés comme des déchets de mercure</w:t>
      </w:r>
      <w:r w:rsidR="00146856" w:rsidRPr="00FA2E2E">
        <w:rPr>
          <w:lang w:val="fr-FR"/>
        </w:rPr>
        <w:t>.</w:t>
      </w:r>
    </w:p>
    <w:p w14:paraId="05E7F0F0" w14:textId="47F0E545" w:rsidR="00D31AFF" w:rsidRPr="00FA2E2E" w:rsidRDefault="00957F8A" w:rsidP="008E43CD">
      <w:pPr>
        <w:pStyle w:val="Normalnumber"/>
        <w:numPr>
          <w:ilvl w:val="0"/>
          <w:numId w:val="5"/>
        </w:numPr>
        <w:rPr>
          <w:lang w:val="fr-FR"/>
        </w:rPr>
      </w:pPr>
      <w:r w:rsidRPr="00FA2E2E">
        <w:rPr>
          <w:lang w:val="fr-FR"/>
        </w:rPr>
        <w:t>Les excavations et autres activités qui perturbent le sol du site peuvent, dans certains cas, être réalisées à l</w:t>
      </w:r>
      <w:r w:rsidR="00FE58E1" w:rsidRPr="00FA2E2E">
        <w:rPr>
          <w:lang w:val="fr-FR"/>
        </w:rPr>
        <w:t>’</w:t>
      </w:r>
      <w:r w:rsidRPr="00FA2E2E">
        <w:rPr>
          <w:lang w:val="fr-FR"/>
        </w:rPr>
        <w:t>intérieur de structures temporaires rendues hermétiques par le biais de filtres au charbon et de systèmes de pressurisation négative</w:t>
      </w:r>
      <w:r w:rsidR="00D31AFF" w:rsidRPr="00FA2E2E">
        <w:rPr>
          <w:lang w:val="fr-FR"/>
        </w:rPr>
        <w:t xml:space="preserve">. </w:t>
      </w:r>
      <w:r w:rsidRPr="00FA2E2E">
        <w:rPr>
          <w:lang w:val="fr-FR"/>
        </w:rPr>
        <w:t>De cette manière, le risque que représentent les vapeurs et les rejets de particules susceptibles de nuire aux communautés locales et à l</w:t>
      </w:r>
      <w:r w:rsidR="00FE58E1" w:rsidRPr="00FA2E2E">
        <w:rPr>
          <w:lang w:val="fr-FR"/>
        </w:rPr>
        <w:t>’</w:t>
      </w:r>
      <w:r w:rsidRPr="00FA2E2E">
        <w:rPr>
          <w:lang w:val="fr-FR"/>
        </w:rPr>
        <w:t>environnement est atténué</w:t>
      </w:r>
      <w:r w:rsidR="00D31AFF" w:rsidRPr="00FA2E2E">
        <w:rPr>
          <w:lang w:val="fr-FR"/>
        </w:rPr>
        <w:t xml:space="preserve">. </w:t>
      </w:r>
      <w:r w:rsidRPr="00FA2E2E">
        <w:rPr>
          <w:lang w:val="fr-FR"/>
        </w:rPr>
        <w:t>De telles structures peuvent également remplacer des programmes coûteux de surveillance de l</w:t>
      </w:r>
      <w:r w:rsidR="00FE58E1" w:rsidRPr="00FA2E2E">
        <w:rPr>
          <w:lang w:val="fr-FR"/>
        </w:rPr>
        <w:t>’</w:t>
      </w:r>
      <w:r w:rsidRPr="00FA2E2E">
        <w:rPr>
          <w:lang w:val="fr-FR"/>
        </w:rPr>
        <w:t>air ambiant, étant plus à même de rassurer les travailleurs et la population locale au sujet des niveaux d</w:t>
      </w:r>
      <w:r w:rsidR="00FE58E1" w:rsidRPr="00FA2E2E">
        <w:rPr>
          <w:lang w:val="fr-FR"/>
        </w:rPr>
        <w:t>’</w:t>
      </w:r>
      <w:r w:rsidRPr="00FA2E2E">
        <w:rPr>
          <w:lang w:val="fr-FR"/>
        </w:rPr>
        <w:t>exposition</w:t>
      </w:r>
      <w:r w:rsidR="00D31AFF" w:rsidRPr="00FA2E2E">
        <w:rPr>
          <w:lang w:val="fr-FR"/>
        </w:rPr>
        <w:t xml:space="preserve">. </w:t>
      </w:r>
    </w:p>
    <w:p w14:paraId="2E12CE60" w14:textId="7E73F756" w:rsidR="00D31AFF" w:rsidRPr="00FA2E2E" w:rsidRDefault="00957F8A" w:rsidP="008E43CD">
      <w:pPr>
        <w:pStyle w:val="Normalnumber"/>
        <w:numPr>
          <w:ilvl w:val="0"/>
          <w:numId w:val="5"/>
        </w:numPr>
        <w:rPr>
          <w:lang w:val="fr-FR"/>
        </w:rPr>
      </w:pPr>
      <w:r w:rsidRPr="00FA2E2E">
        <w:rPr>
          <w:lang w:val="fr-FR"/>
        </w:rPr>
        <w:t>Parmi les méthodes dont l</w:t>
      </w:r>
      <w:r w:rsidR="00FE58E1" w:rsidRPr="00FA2E2E">
        <w:rPr>
          <w:lang w:val="fr-FR"/>
        </w:rPr>
        <w:t>’</w:t>
      </w:r>
      <w:r w:rsidRPr="00FA2E2E">
        <w:rPr>
          <w:lang w:val="fr-FR"/>
        </w:rPr>
        <w:t>efficacité a été prouvée pour le traitement des sols contaminés par du mercure figurent la solidification et la stabilisation, le lavage des sols et l</w:t>
      </w:r>
      <w:r w:rsidR="00FE58E1" w:rsidRPr="00FA2E2E">
        <w:rPr>
          <w:lang w:val="fr-FR"/>
        </w:rPr>
        <w:t>’</w:t>
      </w:r>
      <w:r w:rsidRPr="00FA2E2E">
        <w:rPr>
          <w:lang w:val="fr-FR"/>
        </w:rPr>
        <w:t>extraction à l</w:t>
      </w:r>
      <w:r w:rsidR="00FE58E1" w:rsidRPr="00FA2E2E">
        <w:rPr>
          <w:lang w:val="fr-FR"/>
        </w:rPr>
        <w:t>’</w:t>
      </w:r>
      <w:r w:rsidRPr="00FA2E2E">
        <w:rPr>
          <w:lang w:val="fr-FR"/>
        </w:rPr>
        <w:t>acide, le traitement thermique et la vitrification (US EPA, 2007), ainsi que la décontamination électrocinétique et la désorption thermique in situ</w:t>
      </w:r>
      <w:r w:rsidR="00D31AFF" w:rsidRPr="00FA2E2E">
        <w:rPr>
          <w:lang w:val="fr-FR"/>
        </w:rPr>
        <w:t xml:space="preserve">. </w:t>
      </w:r>
      <w:r w:rsidR="00DD7741" w:rsidRPr="00FA2E2E">
        <w:rPr>
          <w:lang w:val="fr-FR"/>
        </w:rPr>
        <w:t>L</w:t>
      </w:r>
      <w:r w:rsidR="00FE58E1" w:rsidRPr="00FA2E2E">
        <w:rPr>
          <w:lang w:val="fr-FR"/>
        </w:rPr>
        <w:t>’</w:t>
      </w:r>
      <w:r w:rsidR="00DD7741" w:rsidRPr="00FA2E2E">
        <w:rPr>
          <w:lang w:val="fr-FR"/>
        </w:rPr>
        <w:t>option la plus adaptée dépendra des concentrations de mercure et d</w:t>
      </w:r>
      <w:r w:rsidR="00FE58E1" w:rsidRPr="00FA2E2E">
        <w:rPr>
          <w:lang w:val="fr-FR"/>
        </w:rPr>
        <w:t>’</w:t>
      </w:r>
      <w:r w:rsidR="00DD7741" w:rsidRPr="00FA2E2E">
        <w:rPr>
          <w:lang w:val="fr-FR"/>
        </w:rPr>
        <w:t>autres contaminants dans le sol, de leur répartition et de la zone contaminée</w:t>
      </w:r>
      <w:r w:rsidR="00D31AFF" w:rsidRPr="00FA2E2E">
        <w:rPr>
          <w:lang w:val="fr-FR"/>
        </w:rPr>
        <w:t xml:space="preserve">. </w:t>
      </w:r>
      <w:r w:rsidR="00DD7741" w:rsidRPr="00FA2E2E">
        <w:rPr>
          <w:lang w:val="fr-FR"/>
        </w:rPr>
        <w:t>Par conséquent, le choix de la méthode de traitement devrait se faire en fonction des caractéristiques du site, en tenant compte des technologies disponibles aux niveaux local et national</w:t>
      </w:r>
      <w:r w:rsidR="00D31AFF" w:rsidRPr="00FA2E2E">
        <w:rPr>
          <w:lang w:val="fr-FR"/>
        </w:rPr>
        <w:t>.</w:t>
      </w:r>
    </w:p>
    <w:p w14:paraId="228412A4" w14:textId="0357AD4B" w:rsidR="00D31AFF" w:rsidRPr="00FA2E2E" w:rsidRDefault="004226A6" w:rsidP="006D69D3">
      <w:pPr>
        <w:pStyle w:val="Normalnumber"/>
        <w:rPr>
          <w:lang w:val="fr-FR"/>
        </w:rPr>
      </w:pPr>
      <w:r w:rsidRPr="00FA2E2E">
        <w:rPr>
          <w:lang w:val="fr-FR"/>
        </w:rPr>
        <w:t>Le procédé de solidification consiste à mélanger le sol contaminé ou les déchets avec un liant en vue d</w:t>
      </w:r>
      <w:r w:rsidR="00FE58E1" w:rsidRPr="00FA2E2E">
        <w:rPr>
          <w:lang w:val="fr-FR"/>
        </w:rPr>
        <w:t>’</w:t>
      </w:r>
      <w:r w:rsidRPr="00FA2E2E">
        <w:rPr>
          <w:lang w:val="fr-FR"/>
        </w:rPr>
        <w:t xml:space="preserve">obtenir une suspension ou une pâte plus ou moins épaisse qui se solidifiera au fil du temps </w:t>
      </w:r>
      <w:r w:rsidR="00D31AFF" w:rsidRPr="00FA2E2E">
        <w:rPr>
          <w:lang w:val="fr-FR"/>
        </w:rPr>
        <w:t xml:space="preserve">(US EPA, 2007). </w:t>
      </w:r>
      <w:r w:rsidRPr="00FA2E2E">
        <w:rPr>
          <w:lang w:val="fr-FR"/>
        </w:rPr>
        <w:t>La solidification et la stabilisation peuvent s</w:t>
      </w:r>
      <w:r w:rsidR="00FE58E1" w:rsidRPr="00FA2E2E">
        <w:rPr>
          <w:lang w:val="fr-FR"/>
        </w:rPr>
        <w:t>’</w:t>
      </w:r>
      <w:r w:rsidRPr="00FA2E2E">
        <w:rPr>
          <w:lang w:val="fr-FR"/>
        </w:rPr>
        <w:t>opérer directement sur le site ou en dehors de ce dernier</w:t>
      </w:r>
      <w:r w:rsidR="00D31AFF" w:rsidRPr="00FA2E2E">
        <w:rPr>
          <w:lang w:val="fr-FR"/>
        </w:rPr>
        <w:t xml:space="preserve">. </w:t>
      </w:r>
      <w:r w:rsidRPr="00FA2E2E">
        <w:rPr>
          <w:lang w:val="fr-FR"/>
        </w:rPr>
        <w:t>Cette technique a déjà été utilisée dans le cadre d</w:t>
      </w:r>
      <w:r w:rsidR="00FE58E1" w:rsidRPr="00FA2E2E">
        <w:rPr>
          <w:lang w:val="fr-FR"/>
        </w:rPr>
        <w:t>’</w:t>
      </w:r>
      <w:r w:rsidRPr="00FA2E2E">
        <w:rPr>
          <w:lang w:val="fr-FR"/>
        </w:rPr>
        <w:t xml:space="preserve">opérations de nettoyage et est </w:t>
      </w:r>
      <w:r w:rsidR="0078581E" w:rsidRPr="00FA2E2E">
        <w:rPr>
          <w:lang w:val="fr-FR"/>
        </w:rPr>
        <w:t>commercialisée</w:t>
      </w:r>
      <w:r w:rsidRPr="00FA2E2E">
        <w:rPr>
          <w:lang w:val="fr-FR"/>
        </w:rPr>
        <w:t xml:space="preserve"> dans certains pays </w:t>
      </w:r>
      <w:r w:rsidR="00D31AFF" w:rsidRPr="00FA2E2E">
        <w:rPr>
          <w:lang w:val="fr-FR"/>
        </w:rPr>
        <w:t xml:space="preserve">(US EPA, 2007). </w:t>
      </w:r>
      <w:r w:rsidRPr="00FA2E2E">
        <w:rPr>
          <w:lang w:val="fr-FR"/>
        </w:rPr>
        <w:t>Plusieurs facteurs ont une incidence sur l</w:t>
      </w:r>
      <w:r w:rsidR="00FE58E1" w:rsidRPr="00FA2E2E">
        <w:rPr>
          <w:lang w:val="fr-FR"/>
        </w:rPr>
        <w:t>’</w:t>
      </w:r>
      <w:r w:rsidRPr="00FA2E2E">
        <w:rPr>
          <w:lang w:val="fr-FR"/>
        </w:rPr>
        <w:t>efficacité et le coût de cette technique de traitement, y compris le pH de la substance traitée, la présence de composés organiques, la taille des particules, la teneur en eau et l</w:t>
      </w:r>
      <w:r w:rsidR="00FE58E1" w:rsidRPr="00FA2E2E">
        <w:rPr>
          <w:lang w:val="fr-FR"/>
        </w:rPr>
        <w:t>’</w:t>
      </w:r>
      <w:r w:rsidRPr="00FA2E2E">
        <w:rPr>
          <w:lang w:val="fr-FR"/>
        </w:rPr>
        <w:t>état d</w:t>
      </w:r>
      <w:r w:rsidR="00FE58E1" w:rsidRPr="00FA2E2E">
        <w:rPr>
          <w:lang w:val="fr-FR"/>
        </w:rPr>
        <w:t>’</w:t>
      </w:r>
      <w:r w:rsidRPr="00FA2E2E">
        <w:rPr>
          <w:lang w:val="fr-FR"/>
        </w:rPr>
        <w:t>oxydation du mercure présent</w:t>
      </w:r>
      <w:r w:rsidR="00D31AFF" w:rsidRPr="00FA2E2E">
        <w:rPr>
          <w:lang w:val="fr-FR"/>
        </w:rPr>
        <w:t xml:space="preserve">. </w:t>
      </w:r>
      <w:r w:rsidR="009913A7" w:rsidRPr="00FA2E2E">
        <w:rPr>
          <w:lang w:val="fr-FR"/>
        </w:rPr>
        <w:t>Parmi les composés liants on trouve le ciment Portland, le ciment polymère sulfuré, les liants sulfurés et phosphatés, la poussière de four à ciment, les résines de polyester et les composés de polysiloxane</w:t>
      </w:r>
      <w:r w:rsidR="00D31AFF" w:rsidRPr="00FA2E2E">
        <w:rPr>
          <w:lang w:val="fr-FR"/>
        </w:rPr>
        <w:t xml:space="preserve">. </w:t>
      </w:r>
      <w:r w:rsidR="009913A7" w:rsidRPr="00FA2E2E">
        <w:rPr>
          <w:lang w:val="fr-FR"/>
        </w:rPr>
        <w:t>Ces composés n</w:t>
      </w:r>
      <w:r w:rsidR="00FE58E1" w:rsidRPr="00FA2E2E">
        <w:rPr>
          <w:lang w:val="fr-FR"/>
        </w:rPr>
        <w:t>’</w:t>
      </w:r>
      <w:r w:rsidR="009913A7" w:rsidRPr="00FA2E2E">
        <w:rPr>
          <w:lang w:val="fr-FR"/>
        </w:rPr>
        <w:t>ont pas tous la même efficacité pour se lier au mercure</w:t>
      </w:r>
      <w:r w:rsidR="00D31AFF" w:rsidRPr="00FA2E2E">
        <w:rPr>
          <w:lang w:val="fr-FR"/>
        </w:rPr>
        <w:t xml:space="preserve">. </w:t>
      </w:r>
      <w:r w:rsidR="009913A7" w:rsidRPr="00FA2E2E">
        <w:rPr>
          <w:lang w:val="fr-FR"/>
        </w:rPr>
        <w:t>Mélangé au soufre, le mercure peut être stabilisé sous forme de sulfure de mercure, ce qui réduit son potentiel de lessivage et sa volatilité.</w:t>
      </w:r>
      <w:r w:rsidR="00D31AFF" w:rsidRPr="00FA2E2E">
        <w:rPr>
          <w:lang w:val="fr-FR"/>
        </w:rPr>
        <w:t xml:space="preserve"> </w:t>
      </w:r>
      <w:r w:rsidR="009913A7" w:rsidRPr="00FA2E2E">
        <w:rPr>
          <w:lang w:val="fr-FR"/>
        </w:rPr>
        <w:t>Cependant, le sulfure de mercure peut se transformer à nouveau en mercure élémentaire dans certaines conditions</w:t>
      </w:r>
      <w:r w:rsidR="00D31AFF" w:rsidRPr="00FA2E2E">
        <w:rPr>
          <w:lang w:val="fr-FR"/>
        </w:rPr>
        <w:t xml:space="preserve">. </w:t>
      </w:r>
      <w:r w:rsidR="009913A7" w:rsidRPr="00FA2E2E">
        <w:rPr>
          <w:lang w:val="fr-FR"/>
        </w:rPr>
        <w:t xml:space="preserve">Un procédé de stabilisation utilisant des polymères peut être employé pour microencapsuler le sulfure de mercure dans une matrice de polymère sulfuré formant des blocs solides </w:t>
      </w:r>
      <w:r w:rsidR="00D31AFF" w:rsidRPr="00FA2E2E">
        <w:rPr>
          <w:lang w:val="fr-FR"/>
        </w:rPr>
        <w:t>(</w:t>
      </w:r>
      <w:r w:rsidR="00F20C36" w:rsidRPr="00FA2E2E">
        <w:rPr>
          <w:lang w:val="fr-FR"/>
        </w:rPr>
        <w:t>PNUE</w:t>
      </w:r>
      <w:r w:rsidR="00D31AFF" w:rsidRPr="00FA2E2E">
        <w:rPr>
          <w:lang w:val="fr-FR"/>
        </w:rPr>
        <w:t xml:space="preserve">, 2015). </w:t>
      </w:r>
      <w:r w:rsidR="009913A7" w:rsidRPr="00FA2E2E">
        <w:rPr>
          <w:lang w:val="fr-FR"/>
        </w:rPr>
        <w:t>Ce procédé en deux étapes limite les risques pour l</w:t>
      </w:r>
      <w:r w:rsidR="00FE58E1" w:rsidRPr="00FA2E2E">
        <w:rPr>
          <w:lang w:val="fr-FR"/>
        </w:rPr>
        <w:t>’</w:t>
      </w:r>
      <w:r w:rsidR="009913A7" w:rsidRPr="00FA2E2E">
        <w:rPr>
          <w:lang w:val="fr-FR"/>
        </w:rPr>
        <w:t>environnement que pose le mercure mais également les possibilités d</w:t>
      </w:r>
      <w:r w:rsidR="00FE58E1" w:rsidRPr="00FA2E2E">
        <w:rPr>
          <w:lang w:val="fr-FR"/>
        </w:rPr>
        <w:t>’</w:t>
      </w:r>
      <w:r w:rsidR="009913A7" w:rsidRPr="00FA2E2E">
        <w:rPr>
          <w:lang w:val="fr-FR"/>
        </w:rPr>
        <w:t>extraire le mercure à un stade ultérieur</w:t>
      </w:r>
      <w:r w:rsidR="00D31AFF" w:rsidRPr="00FA2E2E">
        <w:rPr>
          <w:lang w:val="fr-FR"/>
        </w:rPr>
        <w:t xml:space="preserve">. </w:t>
      </w:r>
    </w:p>
    <w:p w14:paraId="3FCBE848" w14:textId="7D0AF5CE" w:rsidR="00D31AFF" w:rsidRPr="00FA2E2E" w:rsidRDefault="00114AB2" w:rsidP="006D69D3">
      <w:pPr>
        <w:pStyle w:val="Normalnumber"/>
        <w:rPr>
          <w:lang w:val="fr-FR"/>
        </w:rPr>
      </w:pPr>
      <w:r w:rsidRPr="00FA2E2E">
        <w:rPr>
          <w:lang w:val="fr-FR"/>
        </w:rPr>
        <w:t>Les procédés de lavage des sols et d</w:t>
      </w:r>
      <w:r w:rsidR="00FE58E1" w:rsidRPr="00FA2E2E">
        <w:rPr>
          <w:lang w:val="fr-FR"/>
        </w:rPr>
        <w:t>’</w:t>
      </w:r>
      <w:r w:rsidRPr="00FA2E2E">
        <w:rPr>
          <w:lang w:val="fr-FR"/>
        </w:rPr>
        <w:t>extraction à l</w:t>
      </w:r>
      <w:r w:rsidR="00FE58E1" w:rsidRPr="00FA2E2E">
        <w:rPr>
          <w:lang w:val="fr-FR"/>
        </w:rPr>
        <w:t>’</w:t>
      </w:r>
      <w:r w:rsidRPr="00FA2E2E">
        <w:rPr>
          <w:lang w:val="fr-FR"/>
        </w:rPr>
        <w:t>acide peuvent être utilisés sur les sols contaminés enlevés du site et traités séparément</w:t>
      </w:r>
      <w:r w:rsidR="00D31AFF" w:rsidRPr="00FA2E2E">
        <w:rPr>
          <w:lang w:val="fr-FR"/>
        </w:rPr>
        <w:t xml:space="preserve">. </w:t>
      </w:r>
      <w:r w:rsidRPr="00FA2E2E">
        <w:rPr>
          <w:lang w:val="fr-FR"/>
        </w:rPr>
        <w:t>Comme l</w:t>
      </w:r>
      <w:r w:rsidR="00FE58E1" w:rsidRPr="00FA2E2E">
        <w:rPr>
          <w:lang w:val="fr-FR"/>
        </w:rPr>
        <w:t>’</w:t>
      </w:r>
      <w:r w:rsidRPr="00FA2E2E">
        <w:rPr>
          <w:lang w:val="fr-FR"/>
        </w:rPr>
        <w:t>indique son nom, le lavage des sols est un procédé consistant à nettoyer les sols avec un liquide pour en éliminer les contaminants</w:t>
      </w:r>
      <w:r w:rsidR="00D31AFF" w:rsidRPr="00FA2E2E">
        <w:rPr>
          <w:lang w:val="fr-FR"/>
        </w:rPr>
        <w:t xml:space="preserve">. </w:t>
      </w:r>
      <w:r w:rsidRPr="00FA2E2E">
        <w:rPr>
          <w:lang w:val="fr-FR"/>
        </w:rPr>
        <w:t>Le lavage des sols et l</w:t>
      </w:r>
      <w:r w:rsidR="00FE58E1" w:rsidRPr="00FA2E2E">
        <w:rPr>
          <w:lang w:val="fr-FR"/>
        </w:rPr>
        <w:t>’</w:t>
      </w:r>
      <w:r w:rsidRPr="00FA2E2E">
        <w:rPr>
          <w:lang w:val="fr-FR"/>
        </w:rPr>
        <w:t>extraction à l</w:t>
      </w:r>
      <w:r w:rsidR="00FE58E1" w:rsidRPr="00FA2E2E">
        <w:rPr>
          <w:lang w:val="fr-FR"/>
        </w:rPr>
        <w:t>’</w:t>
      </w:r>
      <w:r w:rsidRPr="00FA2E2E">
        <w:rPr>
          <w:lang w:val="fr-FR"/>
        </w:rPr>
        <w:t xml:space="preserve">acide servent principalement à traiter des sols présentant une teneur en argile relativement basse </w:t>
      </w:r>
      <w:r w:rsidR="001A4AA4" w:rsidRPr="00FA2E2E">
        <w:rPr>
          <w:lang w:val="fr-FR"/>
        </w:rPr>
        <w:t xml:space="preserve">et </w:t>
      </w:r>
      <w:r w:rsidRPr="00FA2E2E">
        <w:rPr>
          <w:lang w:val="fr-FR"/>
        </w:rPr>
        <w:t>pouvant être séparé</w:t>
      </w:r>
      <w:r w:rsidR="001A4AA4" w:rsidRPr="00FA2E2E">
        <w:rPr>
          <w:lang w:val="fr-FR"/>
        </w:rPr>
        <w:t>s</w:t>
      </w:r>
      <w:r w:rsidRPr="00FA2E2E">
        <w:rPr>
          <w:lang w:val="fr-FR"/>
        </w:rPr>
        <w:t xml:space="preserve"> en fractions</w:t>
      </w:r>
      <w:r w:rsidR="00D31AFF" w:rsidRPr="00FA2E2E">
        <w:rPr>
          <w:lang w:val="fr-FR"/>
        </w:rPr>
        <w:t xml:space="preserve">. </w:t>
      </w:r>
      <w:r w:rsidR="00E80C2A" w:rsidRPr="00FA2E2E">
        <w:rPr>
          <w:lang w:val="fr-FR"/>
        </w:rPr>
        <w:t>Les deux procédés</w:t>
      </w:r>
      <w:r w:rsidRPr="00FA2E2E">
        <w:rPr>
          <w:lang w:val="fr-FR"/>
        </w:rPr>
        <w:t xml:space="preserve"> sont également moins efficaces sur les sols à forte teneur en matières organiques</w:t>
      </w:r>
      <w:r w:rsidR="00D31AFF" w:rsidRPr="00FA2E2E">
        <w:rPr>
          <w:lang w:val="fr-FR"/>
        </w:rPr>
        <w:t xml:space="preserve">. </w:t>
      </w:r>
      <w:r w:rsidRPr="00FA2E2E">
        <w:rPr>
          <w:lang w:val="fr-FR"/>
        </w:rPr>
        <w:t>De plus, l</w:t>
      </w:r>
      <w:r w:rsidR="00FE58E1" w:rsidRPr="00FA2E2E">
        <w:rPr>
          <w:lang w:val="fr-FR"/>
        </w:rPr>
        <w:t>’</w:t>
      </w:r>
      <w:r w:rsidRPr="00FA2E2E">
        <w:rPr>
          <w:lang w:val="fr-FR"/>
        </w:rPr>
        <w:t>efficacité et le coût de ces techniques peuvent varier en fonction de l</w:t>
      </w:r>
      <w:r w:rsidR="00FE58E1" w:rsidRPr="00FA2E2E">
        <w:rPr>
          <w:lang w:val="fr-FR"/>
        </w:rPr>
        <w:t>’</w:t>
      </w:r>
      <w:r w:rsidRPr="00FA2E2E">
        <w:rPr>
          <w:lang w:val="fr-FR"/>
        </w:rPr>
        <w:t>homogénéité du sol, de la taille des particules, du pH et de la teneur en eau</w:t>
      </w:r>
      <w:r w:rsidR="00D31AFF" w:rsidRPr="00FA2E2E">
        <w:rPr>
          <w:lang w:val="fr-FR"/>
        </w:rPr>
        <w:t xml:space="preserve">. </w:t>
      </w:r>
    </w:p>
    <w:p w14:paraId="0C9AEFAC" w14:textId="59187BB9" w:rsidR="00D31AFF" w:rsidRPr="00FA2E2E" w:rsidRDefault="00306138" w:rsidP="006D69D3">
      <w:pPr>
        <w:pStyle w:val="Normalnumber"/>
        <w:rPr>
          <w:lang w:val="fr-FR"/>
        </w:rPr>
      </w:pPr>
      <w:bookmarkStart w:id="24" w:name="_Hlk21166549"/>
      <w:r w:rsidRPr="00FA2E2E">
        <w:rPr>
          <w:lang w:val="fr-FR"/>
        </w:rPr>
        <w:t xml:space="preserve">Le traitement thermique </w:t>
      </w:r>
      <w:bookmarkEnd w:id="24"/>
      <w:r w:rsidRPr="00FA2E2E">
        <w:rPr>
          <w:lang w:val="fr-FR"/>
        </w:rPr>
        <w:t>sert à traiter les déchets industriels et médicaux contenant du mercure mais n</w:t>
      </w:r>
      <w:r w:rsidR="00FE58E1" w:rsidRPr="00FA2E2E">
        <w:rPr>
          <w:lang w:val="fr-FR"/>
        </w:rPr>
        <w:t>’</w:t>
      </w:r>
      <w:r w:rsidRPr="00FA2E2E">
        <w:rPr>
          <w:lang w:val="fr-FR"/>
        </w:rPr>
        <w:t>est généralement pas adapté aux sols à forte teneur en argile ou en matières organiques</w:t>
      </w:r>
      <w:r w:rsidR="00D31AFF" w:rsidRPr="00FA2E2E">
        <w:rPr>
          <w:lang w:val="fr-FR"/>
        </w:rPr>
        <w:t xml:space="preserve">. </w:t>
      </w:r>
      <w:r w:rsidRPr="00FA2E2E">
        <w:rPr>
          <w:lang w:val="fr-FR"/>
        </w:rPr>
        <w:t>Le mercure ne peut pas être détruit et toute forme de traitement thermique devrait avoir pour objectif de séparer le mercure des autres matrices</w:t>
      </w:r>
      <w:r w:rsidR="00D31AFF" w:rsidRPr="00FA2E2E">
        <w:rPr>
          <w:lang w:val="fr-FR"/>
        </w:rPr>
        <w:t xml:space="preserve"> (</w:t>
      </w:r>
      <w:r w:rsidRPr="00FA2E2E">
        <w:rPr>
          <w:lang w:val="fr-FR"/>
        </w:rPr>
        <w:t>par exemple, les sols et les sédiments</w:t>
      </w:r>
      <w:r w:rsidR="00D31AFF" w:rsidRPr="00FA2E2E">
        <w:rPr>
          <w:lang w:val="fr-FR"/>
        </w:rPr>
        <w:t xml:space="preserve">) </w:t>
      </w:r>
      <w:r w:rsidRPr="00FA2E2E">
        <w:rPr>
          <w:lang w:val="fr-FR"/>
        </w:rPr>
        <w:t xml:space="preserve">de manière à pouvoir gérer </w:t>
      </w:r>
      <w:r w:rsidR="007369B9" w:rsidRPr="00FA2E2E">
        <w:rPr>
          <w:lang w:val="fr-FR"/>
        </w:rPr>
        <w:t>celui-ci</w:t>
      </w:r>
      <w:r w:rsidR="00D31AFF" w:rsidRPr="00FA2E2E">
        <w:rPr>
          <w:lang w:val="fr-FR"/>
        </w:rPr>
        <w:t xml:space="preserve"> </w:t>
      </w:r>
      <w:r w:rsidRPr="00FA2E2E">
        <w:rPr>
          <w:lang w:val="fr-FR"/>
        </w:rPr>
        <w:t xml:space="preserve">comme un déchet dangereux dans </w:t>
      </w:r>
      <w:r w:rsidR="007369B9" w:rsidRPr="00FA2E2E">
        <w:rPr>
          <w:lang w:val="fr-FR"/>
        </w:rPr>
        <w:t>des</w:t>
      </w:r>
      <w:r w:rsidRPr="00FA2E2E">
        <w:rPr>
          <w:lang w:val="fr-FR"/>
        </w:rPr>
        <w:t xml:space="preserve"> volumes</w:t>
      </w:r>
      <w:r w:rsidR="007369B9" w:rsidRPr="00FA2E2E">
        <w:rPr>
          <w:lang w:val="fr-FR"/>
        </w:rPr>
        <w:t xml:space="preserve"> bien plus faibles</w:t>
      </w:r>
      <w:r w:rsidRPr="00FA2E2E">
        <w:rPr>
          <w:lang w:val="fr-FR"/>
        </w:rPr>
        <w:t xml:space="preserve"> sous la forme de mercure concentré</w:t>
      </w:r>
      <w:r w:rsidR="00267F2B" w:rsidRPr="00FA2E2E">
        <w:rPr>
          <w:lang w:val="fr-FR"/>
        </w:rPr>
        <w:t>,</w:t>
      </w:r>
      <w:r w:rsidR="007369B9" w:rsidRPr="00FA2E2E">
        <w:rPr>
          <w:lang w:val="fr-FR"/>
        </w:rPr>
        <w:t xml:space="preserve"> la matrice elle-même pouvant être décontaminée</w:t>
      </w:r>
      <w:r w:rsidR="00D31AFF" w:rsidRPr="00FA2E2E">
        <w:rPr>
          <w:lang w:val="fr-FR"/>
        </w:rPr>
        <w:t>.</w:t>
      </w:r>
      <w:r w:rsidR="00152CD3" w:rsidRPr="00FA2E2E">
        <w:rPr>
          <w:lang w:val="fr-FR"/>
        </w:rPr>
        <w:t xml:space="preserve"> </w:t>
      </w:r>
      <w:r w:rsidR="007369B9" w:rsidRPr="00FA2E2E">
        <w:rPr>
          <w:lang w:val="fr-FR"/>
        </w:rPr>
        <w:t>L</w:t>
      </w:r>
      <w:r w:rsidR="00FE58E1" w:rsidRPr="00FA2E2E">
        <w:rPr>
          <w:lang w:val="fr-FR"/>
        </w:rPr>
        <w:t>’</w:t>
      </w:r>
      <w:r w:rsidR="007369B9" w:rsidRPr="00FA2E2E">
        <w:rPr>
          <w:lang w:val="fr-FR"/>
        </w:rPr>
        <w:t>efficacité et le coût de ce traitement varient en fonction, entre autres, de la forme du mercure présent, de la taille des particules et de la teneur en eau</w:t>
      </w:r>
      <w:r w:rsidR="00D31AFF" w:rsidRPr="00FA2E2E">
        <w:rPr>
          <w:lang w:val="fr-FR"/>
        </w:rPr>
        <w:t xml:space="preserve">. </w:t>
      </w:r>
      <w:r w:rsidR="007369B9" w:rsidRPr="00FA2E2E">
        <w:rPr>
          <w:lang w:val="fr-FR"/>
        </w:rPr>
        <w:t xml:space="preserve">Le traitement thermique est </w:t>
      </w:r>
      <w:r w:rsidR="00E80C2A" w:rsidRPr="00FA2E2E">
        <w:rPr>
          <w:lang w:val="fr-FR"/>
        </w:rPr>
        <w:t xml:space="preserve">un </w:t>
      </w:r>
      <w:r w:rsidR="007369B9" w:rsidRPr="00FA2E2E">
        <w:rPr>
          <w:lang w:val="fr-FR"/>
        </w:rPr>
        <w:t>procédé utilisant la chaleur pour volatiliser le mercure, qui est ensuite recueilli dans les effluents gazeux</w:t>
      </w:r>
      <w:r w:rsidR="00D31AFF" w:rsidRPr="00FA2E2E">
        <w:rPr>
          <w:lang w:val="fr-FR"/>
        </w:rPr>
        <w:t xml:space="preserve">. </w:t>
      </w:r>
      <w:r w:rsidR="007369B9" w:rsidRPr="00FA2E2E">
        <w:rPr>
          <w:lang w:val="fr-FR"/>
        </w:rPr>
        <w:t>Il est généralement réalisé en dehors du site</w:t>
      </w:r>
      <w:r w:rsidR="00D31AFF" w:rsidRPr="00FA2E2E">
        <w:rPr>
          <w:lang w:val="fr-FR"/>
        </w:rPr>
        <w:t xml:space="preserve">. </w:t>
      </w:r>
      <w:r w:rsidR="007369B9" w:rsidRPr="00FA2E2E">
        <w:rPr>
          <w:lang w:val="fr-FR"/>
        </w:rPr>
        <w:t>La réalisation de tout traitement thermique suppose des moyens de contrôle du mercure vaporisé durant le procédé. La désorption thermique peut se faire directement ou indirectement</w:t>
      </w:r>
      <w:r w:rsidR="00D31AFF" w:rsidRPr="00FA2E2E">
        <w:rPr>
          <w:lang w:val="fr-FR"/>
        </w:rPr>
        <w:t xml:space="preserve">. </w:t>
      </w:r>
      <w:r w:rsidR="007369B9" w:rsidRPr="00FA2E2E">
        <w:rPr>
          <w:lang w:val="fr-FR"/>
        </w:rPr>
        <w:t>La désorption directe consiste à appliquer la chaleur directement sur le matériau à traiter et n</w:t>
      </w:r>
      <w:r w:rsidR="00FE58E1" w:rsidRPr="00FA2E2E">
        <w:rPr>
          <w:lang w:val="fr-FR"/>
        </w:rPr>
        <w:t>’</w:t>
      </w:r>
      <w:r w:rsidR="007369B9" w:rsidRPr="00FA2E2E">
        <w:rPr>
          <w:lang w:val="fr-FR"/>
        </w:rPr>
        <w:t>est pas recommandée pour les sols et les sédiments contenant du mercure</w:t>
      </w:r>
      <w:r w:rsidR="00267F2B" w:rsidRPr="00FA2E2E">
        <w:rPr>
          <w:lang w:val="fr-FR"/>
        </w:rPr>
        <w:t>,</w:t>
      </w:r>
      <w:r w:rsidR="00D31AFF" w:rsidRPr="00FA2E2E">
        <w:rPr>
          <w:lang w:val="fr-FR"/>
        </w:rPr>
        <w:t xml:space="preserve"> </w:t>
      </w:r>
      <w:r w:rsidR="007369B9" w:rsidRPr="00FA2E2E">
        <w:rPr>
          <w:lang w:val="fr-FR"/>
        </w:rPr>
        <w:t>le volume des vapeurs contaminées étant nettement plus élevé que dans le cas de la désorption thermique indirecte en raison du contact direct</w:t>
      </w:r>
      <w:r w:rsidR="00D31AFF" w:rsidRPr="00FA2E2E">
        <w:rPr>
          <w:lang w:val="fr-FR"/>
        </w:rPr>
        <w:t xml:space="preserve"> </w:t>
      </w:r>
      <w:r w:rsidR="00EB6435" w:rsidRPr="00FA2E2E">
        <w:rPr>
          <w:lang w:val="fr-FR"/>
        </w:rPr>
        <w:t>des gaz obtenus en sous-produit de la combustion de combustibles</w:t>
      </w:r>
      <w:r w:rsidR="00D31AFF" w:rsidRPr="00FA2E2E">
        <w:rPr>
          <w:lang w:val="fr-FR"/>
        </w:rPr>
        <w:t xml:space="preserve"> (ga</w:t>
      </w:r>
      <w:r w:rsidR="00EB6435" w:rsidRPr="00FA2E2E">
        <w:rPr>
          <w:lang w:val="fr-FR"/>
        </w:rPr>
        <w:t>z</w:t>
      </w:r>
      <w:r w:rsidR="00D31AFF" w:rsidRPr="00FA2E2E">
        <w:rPr>
          <w:lang w:val="fr-FR"/>
        </w:rPr>
        <w:t xml:space="preserve">, </w:t>
      </w:r>
      <w:r w:rsidR="00EB6435" w:rsidRPr="00FA2E2E">
        <w:rPr>
          <w:lang w:val="fr-FR"/>
        </w:rPr>
        <w:t>pétrole</w:t>
      </w:r>
      <w:r w:rsidR="00D31AFF" w:rsidRPr="00FA2E2E">
        <w:rPr>
          <w:lang w:val="fr-FR"/>
        </w:rPr>
        <w:t xml:space="preserve">). </w:t>
      </w:r>
      <w:r w:rsidR="00EB6435" w:rsidRPr="00FA2E2E">
        <w:rPr>
          <w:lang w:val="fr-FR"/>
        </w:rPr>
        <w:t>Il en résulte des coûts bien plus élevés pour les catalyseurs et les mécanismes de contrôle de la pollution de l</w:t>
      </w:r>
      <w:r w:rsidR="00FE58E1" w:rsidRPr="00FA2E2E">
        <w:rPr>
          <w:lang w:val="fr-FR"/>
        </w:rPr>
        <w:t>’</w:t>
      </w:r>
      <w:r w:rsidR="00EB6435" w:rsidRPr="00FA2E2E">
        <w:rPr>
          <w:lang w:val="fr-FR"/>
        </w:rPr>
        <w:t xml:space="preserve">air du fait </w:t>
      </w:r>
      <w:r w:rsidR="00094061" w:rsidRPr="00FA2E2E">
        <w:rPr>
          <w:lang w:val="fr-FR"/>
        </w:rPr>
        <w:t>du</w:t>
      </w:r>
      <w:r w:rsidR="00EB6435" w:rsidRPr="00FA2E2E">
        <w:rPr>
          <w:lang w:val="fr-FR"/>
        </w:rPr>
        <w:t xml:space="preserve"> volume</w:t>
      </w:r>
      <w:r w:rsidR="009C2C6F" w:rsidRPr="00FA2E2E">
        <w:rPr>
          <w:lang w:val="fr-FR"/>
        </w:rPr>
        <w:t xml:space="preserve"> accru</w:t>
      </w:r>
      <w:r w:rsidR="00EB6435" w:rsidRPr="00FA2E2E">
        <w:rPr>
          <w:lang w:val="fr-FR"/>
        </w:rPr>
        <w:t xml:space="preserve"> </w:t>
      </w:r>
      <w:r w:rsidR="00094061" w:rsidRPr="00FA2E2E">
        <w:rPr>
          <w:lang w:val="fr-FR"/>
        </w:rPr>
        <w:t>des</w:t>
      </w:r>
      <w:r w:rsidR="00EB6435" w:rsidRPr="00FA2E2E">
        <w:rPr>
          <w:lang w:val="fr-FR"/>
        </w:rPr>
        <w:t xml:space="preserve"> vapeurs qui </w:t>
      </w:r>
      <w:r w:rsidR="00094061" w:rsidRPr="00FA2E2E">
        <w:rPr>
          <w:lang w:val="fr-FR"/>
        </w:rPr>
        <w:t>doivent</w:t>
      </w:r>
      <w:r w:rsidR="00EB6435" w:rsidRPr="00FA2E2E">
        <w:rPr>
          <w:lang w:val="fr-FR"/>
        </w:rPr>
        <w:t xml:space="preserve"> être traité</w:t>
      </w:r>
      <w:r w:rsidR="00094061" w:rsidRPr="00FA2E2E">
        <w:rPr>
          <w:lang w:val="fr-FR"/>
        </w:rPr>
        <w:t>es</w:t>
      </w:r>
      <w:r w:rsidR="00D31AFF" w:rsidRPr="00FA2E2E">
        <w:rPr>
          <w:lang w:val="fr-FR"/>
        </w:rPr>
        <w:t xml:space="preserve">. </w:t>
      </w:r>
      <w:r w:rsidR="00094061" w:rsidRPr="00FA2E2E">
        <w:rPr>
          <w:lang w:val="fr-FR"/>
        </w:rPr>
        <w:t xml:space="preserve">La désorption thermique indirecte consiste à appliquer la chaleur sur </w:t>
      </w:r>
      <w:r w:rsidR="007E0FAA" w:rsidRPr="00FA2E2E">
        <w:rPr>
          <w:lang w:val="fr-FR"/>
        </w:rPr>
        <w:t>la paroi ex</w:t>
      </w:r>
      <w:r w:rsidR="00AE7D3C" w:rsidRPr="00FA2E2E">
        <w:rPr>
          <w:lang w:val="fr-FR"/>
        </w:rPr>
        <w:t>t</w:t>
      </w:r>
      <w:r w:rsidR="007E0FAA" w:rsidRPr="00FA2E2E">
        <w:rPr>
          <w:lang w:val="fr-FR"/>
        </w:rPr>
        <w:t>érieure</w:t>
      </w:r>
      <w:r w:rsidR="00094061" w:rsidRPr="00FA2E2E">
        <w:rPr>
          <w:lang w:val="fr-FR"/>
        </w:rPr>
        <w:t xml:space="preserve"> d</w:t>
      </w:r>
      <w:r w:rsidR="00FE58E1" w:rsidRPr="00FA2E2E">
        <w:rPr>
          <w:lang w:val="fr-FR"/>
        </w:rPr>
        <w:t>’</w:t>
      </w:r>
      <w:r w:rsidR="00094061" w:rsidRPr="00FA2E2E">
        <w:rPr>
          <w:lang w:val="fr-FR"/>
        </w:rPr>
        <w:t>une chambre, afin de la transmettre au matériau à traiter placé à l</w:t>
      </w:r>
      <w:r w:rsidR="00FE58E1" w:rsidRPr="00FA2E2E">
        <w:rPr>
          <w:lang w:val="fr-FR"/>
        </w:rPr>
        <w:t>’</w:t>
      </w:r>
      <w:r w:rsidR="00094061" w:rsidRPr="00FA2E2E">
        <w:rPr>
          <w:lang w:val="fr-FR"/>
        </w:rPr>
        <w:t>intérieur</w:t>
      </w:r>
      <w:r w:rsidR="00D31AFF" w:rsidRPr="00FA2E2E">
        <w:rPr>
          <w:lang w:val="fr-FR"/>
        </w:rPr>
        <w:t xml:space="preserve">. </w:t>
      </w:r>
      <w:r w:rsidR="00094061" w:rsidRPr="00FA2E2E">
        <w:rPr>
          <w:lang w:val="fr-FR"/>
        </w:rPr>
        <w:t>La désorption thermique indirecte présente l</w:t>
      </w:r>
      <w:r w:rsidR="00FE58E1" w:rsidRPr="00FA2E2E">
        <w:rPr>
          <w:lang w:val="fr-FR"/>
        </w:rPr>
        <w:t>’</w:t>
      </w:r>
      <w:r w:rsidR="00094061" w:rsidRPr="00FA2E2E">
        <w:rPr>
          <w:lang w:val="fr-FR"/>
        </w:rPr>
        <w:t>avantage de séparer les effluents gazeux issus du matériau traité des gaz de combustion, réduisant considérablement le volume des gaz contaminés à traiter.</w:t>
      </w:r>
      <w:r w:rsidR="00D31AFF" w:rsidRPr="00FA2E2E">
        <w:rPr>
          <w:lang w:val="fr-FR"/>
        </w:rPr>
        <w:t xml:space="preserve"> </w:t>
      </w:r>
      <w:r w:rsidR="00094061" w:rsidRPr="00FA2E2E">
        <w:rPr>
          <w:lang w:val="fr-FR"/>
        </w:rPr>
        <w:t xml:space="preserve">Il est possible de récupérer le mercure contenu dans les effluents gazeux issus du matériau traité par condensation, par exemple </w:t>
      </w:r>
      <w:r w:rsidR="00D31AFF" w:rsidRPr="00FA2E2E">
        <w:rPr>
          <w:lang w:val="fr-FR"/>
        </w:rPr>
        <w:t xml:space="preserve">(Environment Agency, 2012). </w:t>
      </w:r>
      <w:r w:rsidR="00094061" w:rsidRPr="00FA2E2E">
        <w:rPr>
          <w:lang w:val="fr-FR"/>
        </w:rPr>
        <w:t xml:space="preserve">Les sols contaminés présentant une forte concentration de mercure peuvent être traités à haute température dans des fours à cornues atteignant </w:t>
      </w:r>
      <w:r w:rsidR="009C2C6F" w:rsidRPr="00FA2E2E">
        <w:rPr>
          <w:lang w:val="fr-FR"/>
        </w:rPr>
        <w:t xml:space="preserve">des températures situées </w:t>
      </w:r>
      <w:r w:rsidR="00094061" w:rsidRPr="00FA2E2E">
        <w:rPr>
          <w:lang w:val="fr-FR"/>
        </w:rPr>
        <w:t xml:space="preserve">entre 425 et 540 °C </w:t>
      </w:r>
      <w:r w:rsidR="00D31AFF" w:rsidRPr="00FA2E2E">
        <w:rPr>
          <w:lang w:val="fr-FR"/>
        </w:rPr>
        <w:t xml:space="preserve">(US EPA, 2007). </w:t>
      </w:r>
      <w:r w:rsidR="00094061" w:rsidRPr="00FA2E2E">
        <w:rPr>
          <w:lang w:val="fr-FR"/>
        </w:rPr>
        <w:t>L</w:t>
      </w:r>
      <w:r w:rsidR="00FE58E1" w:rsidRPr="00FA2E2E">
        <w:rPr>
          <w:lang w:val="fr-FR"/>
        </w:rPr>
        <w:t>’</w:t>
      </w:r>
      <w:r w:rsidR="00094061" w:rsidRPr="00FA2E2E">
        <w:rPr>
          <w:lang w:val="fr-FR"/>
        </w:rPr>
        <w:t>i</w:t>
      </w:r>
      <w:r w:rsidR="00D31AFF" w:rsidRPr="00FA2E2E">
        <w:rPr>
          <w:lang w:val="fr-FR"/>
        </w:rPr>
        <w:t>ncin</w:t>
      </w:r>
      <w:r w:rsidR="00094061" w:rsidRPr="00FA2E2E">
        <w:rPr>
          <w:lang w:val="fr-FR"/>
        </w:rPr>
        <w:t>é</w:t>
      </w:r>
      <w:r w:rsidR="00D31AFF" w:rsidRPr="00FA2E2E">
        <w:rPr>
          <w:lang w:val="fr-FR"/>
        </w:rPr>
        <w:t xml:space="preserve">ration </w:t>
      </w:r>
      <w:r w:rsidR="00094061" w:rsidRPr="00FA2E2E">
        <w:rPr>
          <w:lang w:val="fr-FR"/>
        </w:rPr>
        <w:t>est considérée comme inappropriée pour les volumes importants de matériaux contaminés par du mercure</w:t>
      </w:r>
      <w:r w:rsidR="00A4696E" w:rsidRPr="00FA2E2E">
        <w:rPr>
          <w:lang w:val="fr-FR"/>
        </w:rPr>
        <w:t xml:space="preserve"> en raison du potentiel élevé d</w:t>
      </w:r>
      <w:r w:rsidR="00FE58E1" w:rsidRPr="00FA2E2E">
        <w:rPr>
          <w:lang w:val="fr-FR"/>
        </w:rPr>
        <w:t>’</w:t>
      </w:r>
      <w:r w:rsidR="00A4696E" w:rsidRPr="00FA2E2E">
        <w:rPr>
          <w:lang w:val="fr-FR"/>
        </w:rPr>
        <w:t>émissions et de rejets de mercure</w:t>
      </w:r>
      <w:r w:rsidR="00D31AFF" w:rsidRPr="00FA2E2E">
        <w:rPr>
          <w:lang w:val="fr-FR"/>
        </w:rPr>
        <w:t xml:space="preserve"> (Merly </w:t>
      </w:r>
      <w:r w:rsidR="006411F5" w:rsidRPr="00FA2E2E">
        <w:rPr>
          <w:lang w:val="fr-FR"/>
        </w:rPr>
        <w:t>and</w:t>
      </w:r>
      <w:r w:rsidR="00D31AFF" w:rsidRPr="00FA2E2E">
        <w:rPr>
          <w:lang w:val="fr-FR"/>
        </w:rPr>
        <w:t xml:space="preserve"> Hube</w:t>
      </w:r>
      <w:r w:rsidR="00267F2B" w:rsidRPr="00FA2E2E">
        <w:rPr>
          <w:lang w:val="fr-FR"/>
        </w:rPr>
        <w:t>,</w:t>
      </w:r>
      <w:r w:rsidR="00D31AFF" w:rsidRPr="00FA2E2E">
        <w:rPr>
          <w:lang w:val="fr-FR"/>
        </w:rPr>
        <w:t xml:space="preserve"> 2014)</w:t>
      </w:r>
      <w:r w:rsidR="00267F2B" w:rsidRPr="00FA2E2E">
        <w:rPr>
          <w:lang w:val="fr-FR"/>
        </w:rPr>
        <w:t>.</w:t>
      </w:r>
    </w:p>
    <w:p w14:paraId="2EE940F9" w14:textId="0816D3C3" w:rsidR="00D31AFF" w:rsidRPr="00FA2E2E" w:rsidRDefault="00A4696E" w:rsidP="008E43CD">
      <w:pPr>
        <w:pStyle w:val="Normalnumber"/>
        <w:numPr>
          <w:ilvl w:val="0"/>
          <w:numId w:val="5"/>
        </w:numPr>
        <w:rPr>
          <w:lang w:val="fr-FR"/>
        </w:rPr>
      </w:pPr>
      <w:r w:rsidRPr="00FA2E2E">
        <w:rPr>
          <w:lang w:val="fr-FR"/>
        </w:rPr>
        <w:t>La décontamination électrocinétique consiste à appliquer un courant électrique de faible intensité au sol contaminé.</w:t>
      </w:r>
      <w:r w:rsidR="00D31AFF" w:rsidRPr="00FA2E2E">
        <w:rPr>
          <w:lang w:val="fr-FR"/>
        </w:rPr>
        <w:t xml:space="preserve"> </w:t>
      </w:r>
      <w:r w:rsidRPr="00FA2E2E">
        <w:rPr>
          <w:lang w:val="fr-FR"/>
        </w:rPr>
        <w:t>Cette technique comprend généralement quatre procédés : l</w:t>
      </w:r>
      <w:r w:rsidR="00FE58E1" w:rsidRPr="00FA2E2E">
        <w:rPr>
          <w:lang w:val="fr-FR"/>
        </w:rPr>
        <w:t>’</w:t>
      </w:r>
      <w:r w:rsidRPr="00FA2E2E">
        <w:rPr>
          <w:lang w:val="fr-FR"/>
        </w:rPr>
        <w:t>électromigration (propagation dans le fluide interstitiel d</w:t>
      </w:r>
      <w:r w:rsidR="00FE58E1" w:rsidRPr="00FA2E2E">
        <w:rPr>
          <w:lang w:val="fr-FR"/>
        </w:rPr>
        <w:t>’</w:t>
      </w:r>
      <w:r w:rsidRPr="00FA2E2E">
        <w:rPr>
          <w:lang w:val="fr-FR"/>
        </w:rPr>
        <w:t>espèces chimiques chargées), l</w:t>
      </w:r>
      <w:r w:rsidR="00FE58E1" w:rsidRPr="00FA2E2E">
        <w:rPr>
          <w:lang w:val="fr-FR"/>
        </w:rPr>
        <w:t>’</w:t>
      </w:r>
      <w:r w:rsidRPr="00FA2E2E">
        <w:rPr>
          <w:lang w:val="fr-FR"/>
        </w:rPr>
        <w:t>électro-osmose (propagation du fluide interstitiel), l</w:t>
      </w:r>
      <w:r w:rsidR="00FE58E1" w:rsidRPr="00FA2E2E">
        <w:rPr>
          <w:lang w:val="fr-FR"/>
        </w:rPr>
        <w:t>’</w:t>
      </w:r>
      <w:r w:rsidRPr="00FA2E2E">
        <w:rPr>
          <w:lang w:val="fr-FR"/>
        </w:rPr>
        <w:t>électrophorèse (migration de particules chargées) et l</w:t>
      </w:r>
      <w:r w:rsidR="00FE58E1" w:rsidRPr="00FA2E2E">
        <w:rPr>
          <w:lang w:val="fr-FR"/>
        </w:rPr>
        <w:t>’</w:t>
      </w:r>
      <w:r w:rsidRPr="00FA2E2E">
        <w:rPr>
          <w:lang w:val="fr-FR"/>
        </w:rPr>
        <w:t>électrolyse (réaction chimique causée par le passage d</w:t>
      </w:r>
      <w:r w:rsidR="00FE58E1" w:rsidRPr="00FA2E2E">
        <w:rPr>
          <w:lang w:val="fr-FR"/>
        </w:rPr>
        <w:t>’</w:t>
      </w:r>
      <w:r w:rsidRPr="00FA2E2E">
        <w:rPr>
          <w:lang w:val="fr-FR"/>
        </w:rPr>
        <w:t>un courant électrique)</w:t>
      </w:r>
      <w:r w:rsidR="00D31AFF" w:rsidRPr="00FA2E2E">
        <w:rPr>
          <w:lang w:val="fr-FR"/>
        </w:rPr>
        <w:t xml:space="preserve">. </w:t>
      </w:r>
      <w:r w:rsidR="00E80C2A" w:rsidRPr="00FA2E2E">
        <w:rPr>
          <w:lang w:val="fr-FR"/>
        </w:rPr>
        <w:t>Si tous ces</w:t>
      </w:r>
      <w:r w:rsidRPr="00FA2E2E">
        <w:rPr>
          <w:lang w:val="fr-FR"/>
        </w:rPr>
        <w:t xml:space="preserve"> procédés </w:t>
      </w:r>
      <w:r w:rsidR="009C2C6F" w:rsidRPr="00FA2E2E">
        <w:rPr>
          <w:lang w:val="fr-FR"/>
        </w:rPr>
        <w:t>peuvent</w:t>
      </w:r>
      <w:r w:rsidRPr="00FA2E2E">
        <w:rPr>
          <w:lang w:val="fr-FR"/>
        </w:rPr>
        <w:t xml:space="preserve"> extraire des métaux de sols contaminés</w:t>
      </w:r>
      <w:r w:rsidR="00E80C2A" w:rsidRPr="00FA2E2E">
        <w:rPr>
          <w:lang w:val="fr-FR"/>
        </w:rPr>
        <w:t>,</w:t>
      </w:r>
      <w:r w:rsidRPr="00FA2E2E">
        <w:rPr>
          <w:lang w:val="fr-FR"/>
        </w:rPr>
        <w:t xml:space="preserve"> leur efficacité dépend de nombreux facteurs</w:t>
      </w:r>
      <w:r w:rsidR="00D31AFF" w:rsidRPr="00FA2E2E">
        <w:rPr>
          <w:lang w:val="fr-FR"/>
        </w:rPr>
        <w:t xml:space="preserve">. </w:t>
      </w:r>
      <w:r w:rsidRPr="00FA2E2E">
        <w:rPr>
          <w:lang w:val="fr-FR"/>
        </w:rPr>
        <w:t>La décontamination électrocinétique peut s</w:t>
      </w:r>
      <w:r w:rsidR="00FE58E1" w:rsidRPr="00FA2E2E">
        <w:rPr>
          <w:lang w:val="fr-FR"/>
        </w:rPr>
        <w:t>’</w:t>
      </w:r>
      <w:r w:rsidRPr="00FA2E2E">
        <w:rPr>
          <w:lang w:val="fr-FR"/>
        </w:rPr>
        <w:t xml:space="preserve">avérer difficile en raison de la faible solubilité du mercure dans la plupart des sols naturels et du fait que la présence de mercure élémentaire peut freiner le procédé </w:t>
      </w:r>
      <w:r w:rsidR="00D31AFF" w:rsidRPr="00FA2E2E">
        <w:rPr>
          <w:lang w:val="fr-FR"/>
        </w:rPr>
        <w:t xml:space="preserve">(Feng </w:t>
      </w:r>
      <w:r w:rsidRPr="00FA2E2E">
        <w:rPr>
          <w:i/>
          <w:iCs/>
          <w:lang w:val="fr-FR"/>
        </w:rPr>
        <w:t>et al.</w:t>
      </w:r>
      <w:r w:rsidR="00D31AFF" w:rsidRPr="00FA2E2E">
        <w:rPr>
          <w:lang w:val="fr-FR"/>
        </w:rPr>
        <w:t>, 2015).</w:t>
      </w:r>
    </w:p>
    <w:p w14:paraId="456E5FBB" w14:textId="5095F88C" w:rsidR="00D31AFF" w:rsidRPr="00FA2E2E" w:rsidRDefault="00D31AFF" w:rsidP="00F93F76">
      <w:pPr>
        <w:pStyle w:val="CH3"/>
        <w:rPr>
          <w:lang w:val="fr-FR"/>
        </w:rPr>
      </w:pPr>
      <w:r w:rsidRPr="00FA2E2E">
        <w:rPr>
          <w:lang w:val="fr-FR"/>
        </w:rPr>
        <w:tab/>
      </w:r>
      <w:r w:rsidR="00152CD3" w:rsidRPr="00FA2E2E">
        <w:rPr>
          <w:lang w:val="fr-FR"/>
        </w:rPr>
        <w:t>4.</w:t>
      </w:r>
      <w:r w:rsidRPr="00FA2E2E">
        <w:rPr>
          <w:lang w:val="fr-FR"/>
        </w:rPr>
        <w:tab/>
      </w:r>
      <w:r w:rsidR="00A4696E" w:rsidRPr="00FA2E2E">
        <w:rPr>
          <w:lang w:val="fr-FR"/>
        </w:rPr>
        <w:t>Techniques de traitement de l</w:t>
      </w:r>
      <w:r w:rsidR="00FE58E1" w:rsidRPr="00FA2E2E">
        <w:rPr>
          <w:lang w:val="fr-FR"/>
        </w:rPr>
        <w:t>’</w:t>
      </w:r>
      <w:r w:rsidR="00A4696E" w:rsidRPr="00FA2E2E">
        <w:rPr>
          <w:lang w:val="fr-FR"/>
        </w:rPr>
        <w:t>eau</w:t>
      </w:r>
    </w:p>
    <w:p w14:paraId="365B6984" w14:textId="68842CC7" w:rsidR="00D31AFF" w:rsidRPr="00FA2E2E" w:rsidRDefault="00250A66" w:rsidP="008E43CD">
      <w:pPr>
        <w:pStyle w:val="Normalnumber"/>
        <w:numPr>
          <w:ilvl w:val="0"/>
          <w:numId w:val="5"/>
        </w:numPr>
        <w:rPr>
          <w:lang w:val="fr-FR"/>
        </w:rPr>
      </w:pPr>
      <w:r w:rsidRPr="00FA2E2E">
        <w:rPr>
          <w:lang w:val="fr-FR"/>
        </w:rPr>
        <w:t>Les sites contaminés devraient être évalués afin de déterminer la probabilité d</w:t>
      </w:r>
      <w:r w:rsidR="00FE58E1" w:rsidRPr="00FA2E2E">
        <w:rPr>
          <w:lang w:val="fr-FR"/>
        </w:rPr>
        <w:t>’</w:t>
      </w:r>
      <w:r w:rsidRPr="00FA2E2E">
        <w:rPr>
          <w:lang w:val="fr-FR"/>
        </w:rPr>
        <w:t>une contamination des eaux souterraines ou de surface</w:t>
      </w:r>
      <w:r w:rsidR="00D31AFF" w:rsidRPr="00FA2E2E">
        <w:rPr>
          <w:lang w:val="fr-FR"/>
        </w:rPr>
        <w:t xml:space="preserve">. </w:t>
      </w:r>
      <w:r w:rsidRPr="00FA2E2E">
        <w:rPr>
          <w:lang w:val="fr-FR"/>
        </w:rPr>
        <w:t>L</w:t>
      </w:r>
      <w:r w:rsidR="00FE58E1" w:rsidRPr="00FA2E2E">
        <w:rPr>
          <w:lang w:val="fr-FR"/>
        </w:rPr>
        <w:t>’</w:t>
      </w:r>
      <w:r w:rsidRPr="00FA2E2E">
        <w:rPr>
          <w:lang w:val="fr-FR"/>
        </w:rPr>
        <w:t>évaluation des conditions hydrogéologiques peut contribuer à cette détermination</w:t>
      </w:r>
      <w:r w:rsidR="00D31AFF" w:rsidRPr="00FA2E2E">
        <w:rPr>
          <w:lang w:val="fr-FR"/>
        </w:rPr>
        <w:t xml:space="preserve">. </w:t>
      </w:r>
      <w:r w:rsidRPr="00FA2E2E">
        <w:rPr>
          <w:lang w:val="fr-FR"/>
        </w:rPr>
        <w:t xml:space="preserve">Si les eaux ayant un rapport avec un site contaminé se sont révélées contenir du mercure, plusieurs options sont possibles pour </w:t>
      </w:r>
      <w:r w:rsidR="003B66B7" w:rsidRPr="00FA2E2E">
        <w:rPr>
          <w:lang w:val="fr-FR"/>
        </w:rPr>
        <w:t>gérer le problème, notamment le confinement et le traitement</w:t>
      </w:r>
      <w:r w:rsidR="00D31AFF" w:rsidRPr="00FA2E2E">
        <w:rPr>
          <w:lang w:val="fr-FR"/>
        </w:rPr>
        <w:t xml:space="preserve">. </w:t>
      </w:r>
      <w:r w:rsidR="003B66B7" w:rsidRPr="00FA2E2E">
        <w:rPr>
          <w:lang w:val="fr-FR"/>
        </w:rPr>
        <w:t>Parmi les techniques de traitement, on compte la précipitation/coprécipitation, l</w:t>
      </w:r>
      <w:r w:rsidR="00FE58E1" w:rsidRPr="00FA2E2E">
        <w:rPr>
          <w:lang w:val="fr-FR"/>
        </w:rPr>
        <w:t>’</w:t>
      </w:r>
      <w:r w:rsidR="003B66B7" w:rsidRPr="00FA2E2E">
        <w:rPr>
          <w:lang w:val="fr-FR"/>
        </w:rPr>
        <w:t xml:space="preserve">adsorption et la filtration membranaire </w:t>
      </w:r>
      <w:r w:rsidR="00D31AFF" w:rsidRPr="00FA2E2E">
        <w:rPr>
          <w:lang w:val="fr-FR"/>
        </w:rPr>
        <w:t xml:space="preserve">(US EPA, 2007). </w:t>
      </w:r>
    </w:p>
    <w:p w14:paraId="6BEBCBF6" w14:textId="056AC7C0" w:rsidR="00D31AFF" w:rsidRPr="00FA2E2E" w:rsidRDefault="00AB6223" w:rsidP="008E43CD">
      <w:pPr>
        <w:pStyle w:val="Normalnumber"/>
        <w:numPr>
          <w:ilvl w:val="0"/>
          <w:numId w:val="5"/>
        </w:numPr>
        <w:rPr>
          <w:lang w:val="fr-FR"/>
        </w:rPr>
      </w:pPr>
      <w:r w:rsidRPr="00FA2E2E">
        <w:rPr>
          <w:lang w:val="fr-FR"/>
        </w:rPr>
        <w:t>La précipitation/coprécipitation est un traitement répandu mais pour lequel une installation de traitement des eaux usées et des opérateurs qualifiés sont indispensables</w:t>
      </w:r>
      <w:r w:rsidR="00D31AFF" w:rsidRPr="00FA2E2E">
        <w:rPr>
          <w:lang w:val="fr-FR"/>
        </w:rPr>
        <w:t xml:space="preserve">. </w:t>
      </w:r>
      <w:r w:rsidRPr="00FA2E2E">
        <w:rPr>
          <w:lang w:val="fr-FR"/>
        </w:rPr>
        <w:t>Son efficacité dépend du pH et de la présence d</w:t>
      </w:r>
      <w:r w:rsidR="00FE58E1" w:rsidRPr="00FA2E2E">
        <w:rPr>
          <w:lang w:val="fr-FR"/>
        </w:rPr>
        <w:t>’</w:t>
      </w:r>
      <w:r w:rsidRPr="00FA2E2E">
        <w:rPr>
          <w:lang w:val="fr-FR"/>
        </w:rPr>
        <w:t>autres contaminants</w:t>
      </w:r>
      <w:r w:rsidR="00D31AFF" w:rsidRPr="00FA2E2E">
        <w:rPr>
          <w:lang w:val="fr-FR"/>
        </w:rPr>
        <w:t xml:space="preserve">. </w:t>
      </w:r>
      <w:r w:rsidRPr="00FA2E2E">
        <w:rPr>
          <w:lang w:val="fr-FR"/>
        </w:rPr>
        <w:t>Le procédé consiste à utiliser des additifs chimiques qui transforment les contaminants dissous en particules solides insolubles (qui précipitent ensuite) ou qui forment des solides insolubles sur lesquels les contaminants dissous s</w:t>
      </w:r>
      <w:r w:rsidR="00FE58E1" w:rsidRPr="00FA2E2E">
        <w:rPr>
          <w:lang w:val="fr-FR"/>
        </w:rPr>
        <w:t>’</w:t>
      </w:r>
      <w:r w:rsidRPr="00FA2E2E">
        <w:rPr>
          <w:lang w:val="fr-FR"/>
        </w:rPr>
        <w:t>adsorbent</w:t>
      </w:r>
      <w:r w:rsidR="00D31AFF" w:rsidRPr="00FA2E2E">
        <w:rPr>
          <w:lang w:val="fr-FR"/>
        </w:rPr>
        <w:t xml:space="preserve">. </w:t>
      </w:r>
      <w:r w:rsidRPr="00FA2E2E">
        <w:rPr>
          <w:lang w:val="fr-FR"/>
        </w:rPr>
        <w:t>Le liquide est ensuite filtré ou clarifié afin d</w:t>
      </w:r>
      <w:r w:rsidR="00FE58E1" w:rsidRPr="00FA2E2E">
        <w:rPr>
          <w:lang w:val="fr-FR"/>
        </w:rPr>
        <w:t>’</w:t>
      </w:r>
      <w:r w:rsidRPr="00FA2E2E">
        <w:rPr>
          <w:lang w:val="fr-FR"/>
        </w:rPr>
        <w:t>en retirer les solides</w:t>
      </w:r>
      <w:r w:rsidR="00D31AFF" w:rsidRPr="00FA2E2E">
        <w:rPr>
          <w:lang w:val="fr-FR"/>
        </w:rPr>
        <w:t>.</w:t>
      </w:r>
    </w:p>
    <w:p w14:paraId="4FFC827E" w14:textId="02311AC8" w:rsidR="00D31AFF" w:rsidRPr="00FA2E2E" w:rsidRDefault="00734150" w:rsidP="008B22F8">
      <w:pPr>
        <w:pStyle w:val="Normalnumber"/>
        <w:keepNext/>
        <w:keepLines/>
        <w:numPr>
          <w:ilvl w:val="0"/>
          <w:numId w:val="5"/>
        </w:numPr>
        <w:rPr>
          <w:lang w:val="fr-FR"/>
        </w:rPr>
      </w:pPr>
      <w:r w:rsidRPr="00FA2E2E">
        <w:rPr>
          <w:lang w:val="fr-FR"/>
        </w:rPr>
        <w:t>La plupart du temps, l</w:t>
      </w:r>
      <w:r w:rsidR="00FE58E1" w:rsidRPr="00FA2E2E">
        <w:rPr>
          <w:lang w:val="fr-FR"/>
        </w:rPr>
        <w:t>’</w:t>
      </w:r>
      <w:r w:rsidRPr="00FA2E2E">
        <w:rPr>
          <w:lang w:val="fr-FR"/>
        </w:rPr>
        <w:t>adsorption (souvent au charbon actif) est utilisée pour des petits systèmes où le mercure est le seul contaminant</w:t>
      </w:r>
      <w:r w:rsidR="00D31AFF" w:rsidRPr="00FA2E2E">
        <w:rPr>
          <w:lang w:val="fr-FR"/>
        </w:rPr>
        <w:t xml:space="preserve">. </w:t>
      </w:r>
      <w:r w:rsidRPr="00FA2E2E">
        <w:rPr>
          <w:lang w:val="fr-FR"/>
        </w:rPr>
        <w:t>Ce procédé concentre le mercure à la surface d</w:t>
      </w:r>
      <w:r w:rsidR="00FE58E1" w:rsidRPr="00FA2E2E">
        <w:rPr>
          <w:lang w:val="fr-FR"/>
        </w:rPr>
        <w:t>’</w:t>
      </w:r>
      <w:r w:rsidRPr="00FA2E2E">
        <w:rPr>
          <w:lang w:val="fr-FR"/>
        </w:rPr>
        <w:t>un sorbant, ce qui réduit la concentration du contaminant dans le reste de la phase liquide</w:t>
      </w:r>
      <w:r w:rsidR="00D31AFF" w:rsidRPr="00FA2E2E">
        <w:rPr>
          <w:lang w:val="fr-FR"/>
        </w:rPr>
        <w:t xml:space="preserve">. </w:t>
      </w:r>
      <w:r w:rsidRPr="00FA2E2E">
        <w:rPr>
          <w:lang w:val="fr-FR"/>
        </w:rPr>
        <w:t>Généralement, le sorbant est placé dans une colonne à travers laquelle l</w:t>
      </w:r>
      <w:r w:rsidR="00FE58E1" w:rsidRPr="00FA2E2E">
        <w:rPr>
          <w:lang w:val="fr-FR"/>
        </w:rPr>
        <w:t>’</w:t>
      </w:r>
      <w:r w:rsidRPr="00FA2E2E">
        <w:rPr>
          <w:lang w:val="fr-FR"/>
        </w:rPr>
        <w:t>eau contaminée circule</w:t>
      </w:r>
      <w:r w:rsidR="00D31AFF" w:rsidRPr="00FA2E2E">
        <w:rPr>
          <w:lang w:val="fr-FR"/>
        </w:rPr>
        <w:t xml:space="preserve">. </w:t>
      </w:r>
      <w:r w:rsidRPr="00FA2E2E">
        <w:rPr>
          <w:lang w:val="fr-FR"/>
        </w:rPr>
        <w:t>Le sorbant usé devra ensuite être régénéré pour une utilisation ultérieure ou éliminé correctement</w:t>
      </w:r>
      <w:r w:rsidR="00D31AFF" w:rsidRPr="00FA2E2E">
        <w:rPr>
          <w:lang w:val="fr-FR"/>
        </w:rPr>
        <w:t xml:space="preserve">. </w:t>
      </w:r>
      <w:r w:rsidRPr="00FA2E2E">
        <w:rPr>
          <w:lang w:val="fr-FR"/>
        </w:rPr>
        <w:t>Ce procédé</w:t>
      </w:r>
      <w:r w:rsidR="00AD7E64" w:rsidRPr="00FA2E2E">
        <w:rPr>
          <w:lang w:val="fr-FR"/>
        </w:rPr>
        <w:t>, en comparaison avec d</w:t>
      </w:r>
      <w:r w:rsidR="00FE58E1" w:rsidRPr="00FA2E2E">
        <w:rPr>
          <w:lang w:val="fr-FR"/>
        </w:rPr>
        <w:t>’</w:t>
      </w:r>
      <w:r w:rsidR="00AD7E64" w:rsidRPr="00FA2E2E">
        <w:rPr>
          <w:lang w:val="fr-FR"/>
        </w:rPr>
        <w:t>autres méthodes,</w:t>
      </w:r>
      <w:r w:rsidRPr="00FA2E2E">
        <w:rPr>
          <w:lang w:val="fr-FR"/>
        </w:rPr>
        <w:t xml:space="preserve"> est plus susceptible d</w:t>
      </w:r>
      <w:r w:rsidR="00FE58E1" w:rsidRPr="00FA2E2E">
        <w:rPr>
          <w:lang w:val="fr-FR"/>
        </w:rPr>
        <w:t>’</w:t>
      </w:r>
      <w:r w:rsidRPr="00FA2E2E">
        <w:rPr>
          <w:lang w:val="fr-FR"/>
        </w:rPr>
        <w:t>être perturbé par la présence d</w:t>
      </w:r>
      <w:r w:rsidR="00FE58E1" w:rsidRPr="00FA2E2E">
        <w:rPr>
          <w:lang w:val="fr-FR"/>
        </w:rPr>
        <w:t>’</w:t>
      </w:r>
      <w:r w:rsidRPr="00FA2E2E">
        <w:rPr>
          <w:lang w:val="fr-FR"/>
        </w:rPr>
        <w:t>autres contaminants</w:t>
      </w:r>
      <w:r w:rsidR="00D31AFF" w:rsidRPr="00FA2E2E">
        <w:rPr>
          <w:lang w:val="fr-FR"/>
        </w:rPr>
        <w:t xml:space="preserve">. </w:t>
      </w:r>
    </w:p>
    <w:p w14:paraId="25270BCB" w14:textId="60A93877" w:rsidR="00D31AFF" w:rsidRPr="00FA2E2E" w:rsidRDefault="00AD7E64" w:rsidP="006D69D3">
      <w:pPr>
        <w:pStyle w:val="Normalnumber"/>
        <w:rPr>
          <w:lang w:val="fr-FR"/>
        </w:rPr>
      </w:pPr>
      <w:r w:rsidRPr="00FA2E2E">
        <w:rPr>
          <w:lang w:val="fr-FR"/>
        </w:rPr>
        <w:t>La filtration membranaire est un procédé très efficace par lequel l</w:t>
      </w:r>
      <w:r w:rsidR="00FE58E1" w:rsidRPr="00FA2E2E">
        <w:rPr>
          <w:lang w:val="fr-FR"/>
        </w:rPr>
        <w:t>’</w:t>
      </w:r>
      <w:r w:rsidRPr="00FA2E2E">
        <w:rPr>
          <w:lang w:val="fr-FR"/>
        </w:rPr>
        <w:t>eau est débarrassée des contaminants en la faisant passer à travers une membrane semi-perméable</w:t>
      </w:r>
      <w:r w:rsidR="00D31AFF" w:rsidRPr="00FA2E2E">
        <w:rPr>
          <w:lang w:val="fr-FR"/>
        </w:rPr>
        <w:t xml:space="preserve">. </w:t>
      </w:r>
      <w:r w:rsidRPr="00FA2E2E">
        <w:rPr>
          <w:lang w:val="fr-FR"/>
        </w:rPr>
        <w:t>Cependant, la présence d</w:t>
      </w:r>
      <w:r w:rsidR="00FE58E1" w:rsidRPr="00FA2E2E">
        <w:rPr>
          <w:lang w:val="fr-FR"/>
        </w:rPr>
        <w:t>’</w:t>
      </w:r>
      <w:r w:rsidRPr="00FA2E2E">
        <w:rPr>
          <w:lang w:val="fr-FR"/>
        </w:rPr>
        <w:t xml:space="preserve">autres contaminants tels que </w:t>
      </w:r>
      <w:r w:rsidR="00D22377" w:rsidRPr="00FA2E2E">
        <w:rPr>
          <w:lang w:val="fr-FR"/>
        </w:rPr>
        <w:t xml:space="preserve">des </w:t>
      </w:r>
      <w:r w:rsidRPr="00FA2E2E">
        <w:rPr>
          <w:lang w:val="fr-FR"/>
        </w:rPr>
        <w:t>solides en suspension,</w:t>
      </w:r>
      <w:r w:rsidR="00D22377" w:rsidRPr="00FA2E2E">
        <w:rPr>
          <w:lang w:val="fr-FR"/>
        </w:rPr>
        <w:t xml:space="preserve"> des</w:t>
      </w:r>
      <w:r w:rsidRPr="00FA2E2E">
        <w:rPr>
          <w:lang w:val="fr-FR"/>
        </w:rPr>
        <w:t xml:space="preserve"> composés organiques</w:t>
      </w:r>
      <w:r w:rsidR="00D22377" w:rsidRPr="00FA2E2E">
        <w:rPr>
          <w:lang w:val="fr-FR"/>
        </w:rPr>
        <w:t xml:space="preserve"> et autres</w:t>
      </w:r>
      <w:r w:rsidRPr="00FA2E2E">
        <w:rPr>
          <w:lang w:val="fr-FR"/>
        </w:rPr>
        <w:t xml:space="preserve"> réduit l</w:t>
      </w:r>
      <w:r w:rsidR="00FE58E1" w:rsidRPr="00FA2E2E">
        <w:rPr>
          <w:lang w:val="fr-FR"/>
        </w:rPr>
        <w:t>’</w:t>
      </w:r>
      <w:r w:rsidRPr="00FA2E2E">
        <w:rPr>
          <w:lang w:val="fr-FR"/>
        </w:rPr>
        <w:t>efficacité de la membrane et peut même l</w:t>
      </w:r>
      <w:r w:rsidR="00FE58E1" w:rsidRPr="00FA2E2E">
        <w:rPr>
          <w:lang w:val="fr-FR"/>
        </w:rPr>
        <w:t>’</w:t>
      </w:r>
      <w:r w:rsidRPr="00FA2E2E">
        <w:rPr>
          <w:lang w:val="fr-FR"/>
        </w:rPr>
        <w:t>empêcher de fonctionner</w:t>
      </w:r>
      <w:r w:rsidR="00D31AFF" w:rsidRPr="00FA2E2E">
        <w:rPr>
          <w:lang w:val="fr-FR"/>
        </w:rPr>
        <w:t xml:space="preserve">. </w:t>
      </w:r>
    </w:p>
    <w:p w14:paraId="65FC336D" w14:textId="7555FB2C" w:rsidR="00D31AFF" w:rsidRPr="00FA2E2E" w:rsidRDefault="00D31AFF" w:rsidP="00F93F76">
      <w:pPr>
        <w:pStyle w:val="CH3"/>
        <w:rPr>
          <w:lang w:val="fr-FR"/>
        </w:rPr>
      </w:pPr>
      <w:r w:rsidRPr="00FA2E2E">
        <w:rPr>
          <w:lang w:val="fr-FR"/>
        </w:rPr>
        <w:tab/>
      </w:r>
      <w:r w:rsidR="00152CD3" w:rsidRPr="00FA2E2E">
        <w:rPr>
          <w:lang w:val="fr-FR"/>
        </w:rPr>
        <w:t>5.</w:t>
      </w:r>
      <w:r w:rsidRPr="00FA2E2E">
        <w:rPr>
          <w:lang w:val="fr-FR"/>
        </w:rPr>
        <w:tab/>
      </w:r>
      <w:bookmarkStart w:id="25" w:name="_Toc15920550"/>
      <w:r w:rsidR="002E6028" w:rsidRPr="00FA2E2E">
        <w:rPr>
          <w:lang w:val="fr-FR"/>
        </w:rPr>
        <w:t>Techniques de traitement des eaux souterraines</w:t>
      </w:r>
      <w:bookmarkEnd w:id="25"/>
    </w:p>
    <w:p w14:paraId="174DBDC8" w14:textId="58BFDB99" w:rsidR="00D31AFF" w:rsidRPr="00FA2E2E" w:rsidRDefault="009426D2" w:rsidP="006D69D3">
      <w:pPr>
        <w:pStyle w:val="Normalnumber"/>
        <w:rPr>
          <w:lang w:val="fr-FR"/>
        </w:rPr>
      </w:pPr>
      <w:r w:rsidRPr="00FA2E2E">
        <w:rPr>
          <w:lang w:val="fr-FR"/>
        </w:rPr>
        <w:t>Pour les eaux souterraines</w:t>
      </w:r>
      <w:r w:rsidR="00D31AFF" w:rsidRPr="00FA2E2E">
        <w:rPr>
          <w:lang w:val="fr-FR"/>
        </w:rPr>
        <w:t>,</w:t>
      </w:r>
      <w:r w:rsidRPr="00FA2E2E">
        <w:rPr>
          <w:lang w:val="fr-FR"/>
        </w:rPr>
        <w:t xml:space="preserve"> des techniques</w:t>
      </w:r>
      <w:r w:rsidR="00D31AFF" w:rsidRPr="00FA2E2E">
        <w:rPr>
          <w:lang w:val="fr-FR"/>
        </w:rPr>
        <w:t xml:space="preserve"> </w:t>
      </w:r>
      <w:r w:rsidR="00D31AFF" w:rsidRPr="00FA2E2E">
        <w:rPr>
          <w:i/>
          <w:iCs/>
          <w:lang w:val="fr-FR"/>
        </w:rPr>
        <w:t>in-situ</w:t>
      </w:r>
      <w:r w:rsidR="00D31AFF" w:rsidRPr="00FA2E2E">
        <w:rPr>
          <w:lang w:val="fr-FR"/>
        </w:rPr>
        <w:t xml:space="preserve"> </w:t>
      </w:r>
      <w:r w:rsidRPr="00FA2E2E">
        <w:rPr>
          <w:lang w:val="fr-FR"/>
        </w:rPr>
        <w:t>peuvent être envisagées</w:t>
      </w:r>
      <w:r w:rsidR="00D31AFF" w:rsidRPr="00FA2E2E">
        <w:rPr>
          <w:lang w:val="fr-FR"/>
        </w:rPr>
        <w:t>.</w:t>
      </w:r>
      <w:r w:rsidRPr="00FA2E2E">
        <w:rPr>
          <w:lang w:val="fr-FR"/>
        </w:rPr>
        <w:t xml:space="preserve"> Les caractéristiques importantes à prendre en considération lors du choix d</w:t>
      </w:r>
      <w:r w:rsidR="00FE58E1" w:rsidRPr="00FA2E2E">
        <w:rPr>
          <w:lang w:val="fr-FR"/>
        </w:rPr>
        <w:t>’</w:t>
      </w:r>
      <w:r w:rsidRPr="00FA2E2E">
        <w:rPr>
          <w:lang w:val="fr-FR"/>
        </w:rPr>
        <w:t>une technique de remise en état pour des eaux souterraines sont le</w:t>
      </w:r>
      <w:r w:rsidR="00D31AFF" w:rsidRPr="00FA2E2E">
        <w:rPr>
          <w:lang w:val="fr-FR"/>
        </w:rPr>
        <w:t xml:space="preserve"> pH, </w:t>
      </w:r>
      <w:r w:rsidR="0035274D" w:rsidRPr="00FA2E2E">
        <w:rPr>
          <w:lang w:val="fr-FR"/>
        </w:rPr>
        <w:t>la présence d</w:t>
      </w:r>
      <w:r w:rsidR="00FE58E1" w:rsidRPr="00FA2E2E">
        <w:rPr>
          <w:lang w:val="fr-FR"/>
        </w:rPr>
        <w:t>’</w:t>
      </w:r>
      <w:r w:rsidR="0035274D" w:rsidRPr="00FA2E2E">
        <w:rPr>
          <w:lang w:val="fr-FR"/>
        </w:rPr>
        <w:t>autres</w:t>
      </w:r>
      <w:r w:rsidR="00D31AFF" w:rsidRPr="00FA2E2E">
        <w:rPr>
          <w:lang w:val="fr-FR"/>
        </w:rPr>
        <w:t xml:space="preserve"> contaminants </w:t>
      </w:r>
      <w:r w:rsidR="0035274D" w:rsidRPr="00FA2E2E">
        <w:rPr>
          <w:lang w:val="fr-FR"/>
        </w:rPr>
        <w:t xml:space="preserve">et des paramètres tels que la température et la teneur en chlorure </w:t>
      </w:r>
      <w:r w:rsidR="00D31AFF" w:rsidRPr="00FA2E2E">
        <w:rPr>
          <w:lang w:val="fr-FR"/>
        </w:rPr>
        <w:t>(Merly and Hube, 2014).</w:t>
      </w:r>
    </w:p>
    <w:p w14:paraId="1C766BB0" w14:textId="22571700" w:rsidR="00D31AFF" w:rsidRPr="00FA2E2E" w:rsidRDefault="002414C2" w:rsidP="006D69D3">
      <w:pPr>
        <w:pStyle w:val="Normalnumber"/>
        <w:rPr>
          <w:lang w:val="fr-FR"/>
        </w:rPr>
      </w:pPr>
      <w:r w:rsidRPr="00FA2E2E">
        <w:rPr>
          <w:lang w:val="fr-FR"/>
        </w:rPr>
        <w:t>Parmi les techniques de remise en état ayant fait leurs preuves pour les eaux souterraines contaminées par du mercure figurent</w:t>
      </w:r>
      <w:r w:rsidR="007E0FAA" w:rsidRPr="00FA2E2E">
        <w:rPr>
          <w:lang w:val="fr-FR"/>
        </w:rPr>
        <w:t xml:space="preserve"> le pompage-traitement et les barrières perméable</w:t>
      </w:r>
      <w:r w:rsidR="00730266" w:rsidRPr="00FA2E2E">
        <w:rPr>
          <w:lang w:val="fr-FR"/>
        </w:rPr>
        <w:t>s</w:t>
      </w:r>
      <w:r w:rsidR="007E0FAA" w:rsidRPr="00FA2E2E">
        <w:rPr>
          <w:lang w:val="fr-FR"/>
        </w:rPr>
        <w:t xml:space="preserve"> réactives</w:t>
      </w:r>
      <w:r w:rsidR="00D31AFF" w:rsidRPr="00FA2E2E">
        <w:rPr>
          <w:lang w:val="fr-FR"/>
        </w:rPr>
        <w:t xml:space="preserve"> (Merly and Hube, 2014). </w:t>
      </w:r>
    </w:p>
    <w:p w14:paraId="060E041A" w14:textId="2CE88F7A" w:rsidR="00D31AFF" w:rsidRPr="00FA2E2E" w:rsidRDefault="007E0FAA" w:rsidP="006D69D3">
      <w:pPr>
        <w:pStyle w:val="Normalnumber"/>
        <w:rPr>
          <w:lang w:val="fr-FR"/>
        </w:rPr>
      </w:pPr>
      <w:r w:rsidRPr="00FA2E2E">
        <w:rPr>
          <w:lang w:val="fr-FR"/>
        </w:rPr>
        <w:t>Les nouvelles techniques de remise en état pour les eaux souterraines contaminées au mercure visent à augmenter le milieu de sorption</w:t>
      </w:r>
      <w:r w:rsidR="008B06B8" w:rsidRPr="00FA2E2E">
        <w:rPr>
          <w:lang w:val="fr-FR"/>
        </w:rPr>
        <w:t xml:space="preserve"> et à renforcer les capacités de filtration aux fins d</w:t>
      </w:r>
      <w:r w:rsidR="00FE58E1" w:rsidRPr="00FA2E2E">
        <w:rPr>
          <w:lang w:val="fr-FR"/>
        </w:rPr>
        <w:t>’</w:t>
      </w:r>
      <w:r w:rsidR="008B06B8" w:rsidRPr="00FA2E2E">
        <w:rPr>
          <w:lang w:val="fr-FR"/>
        </w:rPr>
        <w:t>une remise en état complète des sites contaminés au mercure</w:t>
      </w:r>
      <w:r w:rsidR="00D31AFF" w:rsidRPr="00FA2E2E">
        <w:rPr>
          <w:lang w:val="fr-FR"/>
        </w:rPr>
        <w:t>.</w:t>
      </w:r>
      <w:r w:rsidR="008B06B8" w:rsidRPr="00FA2E2E">
        <w:rPr>
          <w:lang w:val="fr-FR"/>
        </w:rPr>
        <w:t xml:space="preserve"> Le pompage et l</w:t>
      </w:r>
      <w:r w:rsidR="00FE58E1" w:rsidRPr="00FA2E2E">
        <w:rPr>
          <w:lang w:val="fr-FR"/>
        </w:rPr>
        <w:t>’</w:t>
      </w:r>
      <w:r w:rsidR="008B06B8" w:rsidRPr="00FA2E2E">
        <w:rPr>
          <w:lang w:val="fr-FR"/>
        </w:rPr>
        <w:t>extraction peuvent également être envisagés si l</w:t>
      </w:r>
      <w:r w:rsidR="00FE58E1" w:rsidRPr="00FA2E2E">
        <w:rPr>
          <w:lang w:val="fr-FR"/>
        </w:rPr>
        <w:t>’</w:t>
      </w:r>
      <w:r w:rsidR="008B06B8" w:rsidRPr="00FA2E2E">
        <w:rPr>
          <w:lang w:val="fr-FR"/>
        </w:rPr>
        <w:t>efficacité du traitement des effluents gazeux fortement contaminés est améliorée</w:t>
      </w:r>
      <w:r w:rsidR="00D31AFF" w:rsidRPr="00FA2E2E">
        <w:rPr>
          <w:lang w:val="fr-FR"/>
        </w:rPr>
        <w:t>.</w:t>
      </w:r>
      <w:r w:rsidR="008B06B8" w:rsidRPr="00FA2E2E">
        <w:rPr>
          <w:lang w:val="fr-FR"/>
        </w:rPr>
        <w:t xml:space="preserve"> Des activités de recherche et développement</w:t>
      </w:r>
      <w:r w:rsidR="00B2621D" w:rsidRPr="00FA2E2E">
        <w:rPr>
          <w:lang w:val="fr-FR"/>
        </w:rPr>
        <w:t xml:space="preserve"> sont actuellement entreprises concernant la biodépollution, les nanotechnologies ainsi que la mise au point de sorbants</w:t>
      </w:r>
      <w:r w:rsidR="00D31AFF" w:rsidRPr="00FA2E2E">
        <w:rPr>
          <w:lang w:val="fr-FR"/>
        </w:rPr>
        <w:t xml:space="preserve"> (biosorb</w:t>
      </w:r>
      <w:r w:rsidR="00B2621D" w:rsidRPr="00FA2E2E">
        <w:rPr>
          <w:lang w:val="fr-FR"/>
        </w:rPr>
        <w:t>a</w:t>
      </w:r>
      <w:r w:rsidR="00D31AFF" w:rsidRPr="00FA2E2E">
        <w:rPr>
          <w:lang w:val="fr-FR"/>
        </w:rPr>
        <w:t>nt</w:t>
      </w:r>
      <w:r w:rsidR="003E521D" w:rsidRPr="00FA2E2E">
        <w:rPr>
          <w:lang w:val="fr-FR"/>
        </w:rPr>
        <w:t>s</w:t>
      </w:r>
      <w:r w:rsidR="00D31AFF" w:rsidRPr="00FA2E2E">
        <w:rPr>
          <w:lang w:val="fr-FR"/>
        </w:rPr>
        <w:t>, sorb</w:t>
      </w:r>
      <w:r w:rsidR="00B2621D" w:rsidRPr="00FA2E2E">
        <w:rPr>
          <w:lang w:val="fr-FR"/>
        </w:rPr>
        <w:t>a</w:t>
      </w:r>
      <w:r w:rsidR="00D31AFF" w:rsidRPr="00FA2E2E">
        <w:rPr>
          <w:lang w:val="fr-FR"/>
        </w:rPr>
        <w:t>nt</w:t>
      </w:r>
      <w:r w:rsidR="003E521D" w:rsidRPr="00FA2E2E">
        <w:rPr>
          <w:lang w:val="fr-FR"/>
        </w:rPr>
        <w:t>s</w:t>
      </w:r>
      <w:r w:rsidR="00D31AFF" w:rsidRPr="00FA2E2E">
        <w:rPr>
          <w:lang w:val="fr-FR"/>
        </w:rPr>
        <w:t xml:space="preserve"> </w:t>
      </w:r>
      <w:r w:rsidR="00B2621D" w:rsidRPr="00FA2E2E">
        <w:rPr>
          <w:lang w:val="fr-FR"/>
        </w:rPr>
        <w:t>permettant</w:t>
      </w:r>
      <w:r w:rsidR="00D31AFF" w:rsidRPr="00FA2E2E">
        <w:rPr>
          <w:lang w:val="fr-FR"/>
        </w:rPr>
        <w:t xml:space="preserve"> </w:t>
      </w:r>
      <w:r w:rsidR="00B2621D" w:rsidRPr="00FA2E2E">
        <w:rPr>
          <w:lang w:val="fr-FR"/>
        </w:rPr>
        <w:t>l</w:t>
      </w:r>
      <w:r w:rsidR="00FE58E1" w:rsidRPr="00FA2E2E">
        <w:rPr>
          <w:lang w:val="fr-FR"/>
        </w:rPr>
        <w:t>’</w:t>
      </w:r>
      <w:r w:rsidR="00D31AFF" w:rsidRPr="00FA2E2E">
        <w:rPr>
          <w:lang w:val="fr-FR"/>
        </w:rPr>
        <w:t xml:space="preserve">adsorption </w:t>
      </w:r>
      <w:r w:rsidR="00B2621D" w:rsidRPr="00FA2E2E">
        <w:rPr>
          <w:lang w:val="fr-FR"/>
        </w:rPr>
        <w:t>du mercure organique et inorgani</w:t>
      </w:r>
      <w:r w:rsidR="00AD2971" w:rsidRPr="00FA2E2E">
        <w:rPr>
          <w:lang w:val="fr-FR"/>
        </w:rPr>
        <w:t>q</w:t>
      </w:r>
      <w:r w:rsidR="00B2621D" w:rsidRPr="00FA2E2E">
        <w:rPr>
          <w:lang w:val="fr-FR"/>
        </w:rPr>
        <w:t>ue</w:t>
      </w:r>
      <w:r w:rsidR="00D31AFF" w:rsidRPr="00FA2E2E">
        <w:rPr>
          <w:lang w:val="fr-FR"/>
        </w:rPr>
        <w:t xml:space="preserve">) </w:t>
      </w:r>
      <w:r w:rsidR="00B2621D" w:rsidRPr="00FA2E2E">
        <w:rPr>
          <w:lang w:val="fr-FR"/>
        </w:rPr>
        <w:t xml:space="preserve">et de procédés de </w:t>
      </w:r>
      <w:r w:rsidR="00D31AFF" w:rsidRPr="00FA2E2E">
        <w:rPr>
          <w:lang w:val="fr-FR"/>
        </w:rPr>
        <w:t>coagulation/floculation (Merly</w:t>
      </w:r>
      <w:r w:rsidR="00146856" w:rsidRPr="00FA2E2E">
        <w:rPr>
          <w:lang w:val="fr-FR"/>
        </w:rPr>
        <w:t> </w:t>
      </w:r>
      <w:r w:rsidR="00D31AFF" w:rsidRPr="00FA2E2E">
        <w:rPr>
          <w:lang w:val="fr-FR"/>
        </w:rPr>
        <w:t>and</w:t>
      </w:r>
      <w:r w:rsidR="00146856" w:rsidRPr="00FA2E2E">
        <w:rPr>
          <w:lang w:val="fr-FR"/>
        </w:rPr>
        <w:t> </w:t>
      </w:r>
      <w:r w:rsidR="00D31AFF" w:rsidRPr="00FA2E2E">
        <w:rPr>
          <w:lang w:val="fr-FR"/>
        </w:rPr>
        <w:t>Hube,</w:t>
      </w:r>
      <w:r w:rsidR="00146856" w:rsidRPr="00FA2E2E">
        <w:rPr>
          <w:lang w:val="fr-FR"/>
        </w:rPr>
        <w:t> </w:t>
      </w:r>
      <w:r w:rsidR="00D31AFF" w:rsidRPr="00FA2E2E">
        <w:rPr>
          <w:lang w:val="fr-FR"/>
        </w:rPr>
        <w:t>2014).</w:t>
      </w:r>
    </w:p>
    <w:p w14:paraId="62BFFFA8" w14:textId="1A348B71" w:rsidR="00D31AFF" w:rsidRPr="00FA2E2E" w:rsidRDefault="00D31AFF" w:rsidP="00F93F76">
      <w:pPr>
        <w:pStyle w:val="CH3"/>
        <w:rPr>
          <w:lang w:val="fr-FR"/>
        </w:rPr>
      </w:pPr>
      <w:r w:rsidRPr="00FA2E2E">
        <w:rPr>
          <w:lang w:val="fr-FR"/>
        </w:rPr>
        <w:tab/>
      </w:r>
      <w:r w:rsidR="00152CD3" w:rsidRPr="00FA2E2E">
        <w:rPr>
          <w:lang w:val="fr-FR"/>
        </w:rPr>
        <w:t>6.</w:t>
      </w:r>
      <w:r w:rsidRPr="00FA2E2E">
        <w:rPr>
          <w:lang w:val="fr-FR"/>
        </w:rPr>
        <w:tab/>
      </w:r>
      <w:r w:rsidR="00AD2971" w:rsidRPr="00FA2E2E">
        <w:rPr>
          <w:lang w:val="fr-FR"/>
        </w:rPr>
        <w:t>Techniques de traitement des sédiments</w:t>
      </w:r>
    </w:p>
    <w:p w14:paraId="7ABFC24B" w14:textId="49F5FD60" w:rsidR="00D31AFF" w:rsidRPr="00FA2E2E" w:rsidRDefault="00AD2971" w:rsidP="006D69D3">
      <w:pPr>
        <w:pStyle w:val="Normalnumber"/>
        <w:rPr>
          <w:lang w:val="fr-FR"/>
        </w:rPr>
      </w:pPr>
      <w:r w:rsidRPr="00FA2E2E">
        <w:rPr>
          <w:lang w:val="fr-FR"/>
        </w:rPr>
        <w:t>Si les sédiments de fond sont contaminés par du mercure, l</w:t>
      </w:r>
      <w:r w:rsidR="00FE58E1" w:rsidRPr="00FA2E2E">
        <w:rPr>
          <w:lang w:val="fr-FR"/>
        </w:rPr>
        <w:t>’</w:t>
      </w:r>
      <w:r w:rsidRPr="00FA2E2E">
        <w:rPr>
          <w:lang w:val="fr-FR"/>
        </w:rPr>
        <w:t>excavation, le recouvrement</w:t>
      </w:r>
      <w:r w:rsidR="0059533A" w:rsidRPr="00FA2E2E">
        <w:rPr>
          <w:lang w:val="fr-FR"/>
        </w:rPr>
        <w:t xml:space="preserve"> ou </w:t>
      </w:r>
      <w:r w:rsidR="00B843EF" w:rsidRPr="00FA2E2E">
        <w:rPr>
          <w:lang w:val="fr-FR"/>
        </w:rPr>
        <w:t>la limitation</w:t>
      </w:r>
      <w:r w:rsidR="0059533A" w:rsidRPr="00FA2E2E">
        <w:rPr>
          <w:lang w:val="fr-FR"/>
        </w:rPr>
        <w:t xml:space="preserve"> des rejets de méthylmercure, notamment</w:t>
      </w:r>
      <w:r w:rsidRPr="00FA2E2E">
        <w:rPr>
          <w:lang w:val="fr-FR"/>
        </w:rPr>
        <w:t xml:space="preserve"> </w:t>
      </w:r>
      <w:r w:rsidR="0059533A" w:rsidRPr="00FA2E2E">
        <w:rPr>
          <w:lang w:val="fr-FR"/>
        </w:rPr>
        <w:t>par l</w:t>
      </w:r>
      <w:r w:rsidR="00FE58E1" w:rsidRPr="00FA2E2E">
        <w:rPr>
          <w:lang w:val="fr-FR"/>
        </w:rPr>
        <w:t>’</w:t>
      </w:r>
      <w:r w:rsidR="0059533A" w:rsidRPr="00FA2E2E">
        <w:rPr>
          <w:lang w:val="fr-FR"/>
        </w:rPr>
        <w:t>ajout de nitrates</w:t>
      </w:r>
      <w:r w:rsidRPr="00FA2E2E">
        <w:rPr>
          <w:lang w:val="fr-FR"/>
        </w:rPr>
        <w:t xml:space="preserve"> </w:t>
      </w:r>
      <w:r w:rsidR="00FE1916" w:rsidRPr="00FA2E2E">
        <w:rPr>
          <w:lang w:val="fr-FR"/>
        </w:rPr>
        <w:t xml:space="preserve">(Todorova </w:t>
      </w:r>
      <w:r w:rsidR="00E66DF9" w:rsidRPr="00FA2E2E">
        <w:rPr>
          <w:i/>
          <w:iCs/>
          <w:lang w:val="fr-FR"/>
        </w:rPr>
        <w:t>et al.</w:t>
      </w:r>
      <w:r w:rsidR="00FE1916" w:rsidRPr="00FA2E2E">
        <w:rPr>
          <w:lang w:val="fr-FR"/>
        </w:rPr>
        <w:t>, 2009</w:t>
      </w:r>
      <w:r w:rsidR="00B843EF" w:rsidRPr="00FA2E2E">
        <w:rPr>
          <w:lang w:val="fr-FR"/>
        </w:rPr>
        <w:t> </w:t>
      </w:r>
      <w:r w:rsidR="00FE1916" w:rsidRPr="00FA2E2E">
        <w:rPr>
          <w:lang w:val="fr-FR"/>
        </w:rPr>
        <w:t xml:space="preserve">; Matthews </w:t>
      </w:r>
      <w:r w:rsidR="00B843EF" w:rsidRPr="00FA2E2E">
        <w:rPr>
          <w:i/>
          <w:iCs/>
          <w:lang w:val="fr-FR"/>
        </w:rPr>
        <w:t>et al.</w:t>
      </w:r>
      <w:r w:rsidR="00FE1916" w:rsidRPr="00FA2E2E">
        <w:rPr>
          <w:lang w:val="fr-FR"/>
        </w:rPr>
        <w:t>, 2013)</w:t>
      </w:r>
      <w:r w:rsidR="00B843EF" w:rsidRPr="00FA2E2E">
        <w:rPr>
          <w:lang w:val="fr-FR"/>
        </w:rPr>
        <w:t>, peuvent constituer des traitements adaptés</w:t>
      </w:r>
      <w:r w:rsidR="00FE1916" w:rsidRPr="00FA2E2E">
        <w:rPr>
          <w:lang w:val="fr-FR"/>
        </w:rPr>
        <w:t>.</w:t>
      </w:r>
      <w:r w:rsidR="00D31AFF" w:rsidRPr="00FA2E2E">
        <w:rPr>
          <w:lang w:val="fr-FR"/>
        </w:rPr>
        <w:t xml:space="preserve"> </w:t>
      </w:r>
      <w:r w:rsidR="00B843EF" w:rsidRPr="00FA2E2E">
        <w:rPr>
          <w:lang w:val="fr-FR"/>
        </w:rPr>
        <w:t>Des orientations générales</w:t>
      </w:r>
      <w:r w:rsidR="006F2092" w:rsidRPr="00FA2E2E">
        <w:rPr>
          <w:lang w:val="fr-FR"/>
        </w:rPr>
        <w:t xml:space="preserve"> </w:t>
      </w:r>
      <w:r w:rsidR="00B843EF" w:rsidRPr="00FA2E2E">
        <w:rPr>
          <w:lang w:val="fr-FR"/>
        </w:rPr>
        <w:t>sur la décontamination des sédiments</w:t>
      </w:r>
      <w:r w:rsidR="00A6051F" w:rsidRPr="00FA2E2E">
        <w:rPr>
          <w:lang w:val="fr-FR"/>
        </w:rPr>
        <w:t xml:space="preserve"> sont proposées par</w:t>
      </w:r>
      <w:r w:rsidR="00B843EF" w:rsidRPr="00FA2E2E">
        <w:rPr>
          <w:lang w:val="fr-FR"/>
        </w:rPr>
        <w:t xml:space="preserve"> </w:t>
      </w:r>
      <w:r w:rsidR="00A6051F" w:rsidRPr="00FA2E2E">
        <w:rPr>
          <w:lang w:val="fr-FR"/>
        </w:rPr>
        <w:t>l</w:t>
      </w:r>
      <w:r w:rsidR="00FE58E1" w:rsidRPr="00FA2E2E">
        <w:rPr>
          <w:lang w:val="fr-FR"/>
        </w:rPr>
        <w:t>’</w:t>
      </w:r>
      <w:r w:rsidR="00A6051F" w:rsidRPr="00FA2E2E">
        <w:rPr>
          <w:lang w:val="fr-FR"/>
        </w:rPr>
        <w:t>Agence de protection de l</w:t>
      </w:r>
      <w:r w:rsidR="00FE58E1" w:rsidRPr="00FA2E2E">
        <w:rPr>
          <w:lang w:val="fr-FR"/>
        </w:rPr>
        <w:t>’</w:t>
      </w:r>
      <w:r w:rsidR="00A6051F" w:rsidRPr="00FA2E2E">
        <w:rPr>
          <w:lang w:val="fr-FR"/>
        </w:rPr>
        <w:t xml:space="preserve">environnement des États-Unis </w:t>
      </w:r>
      <w:r w:rsidR="00BA5A16" w:rsidRPr="00FA2E2E">
        <w:rPr>
          <w:lang w:val="fr-FR"/>
        </w:rPr>
        <w:t>(</w:t>
      </w:r>
      <w:r w:rsidR="006F2092" w:rsidRPr="00FA2E2E">
        <w:rPr>
          <w:lang w:val="fr-FR"/>
        </w:rPr>
        <w:t>US</w:t>
      </w:r>
      <w:r w:rsidR="00BA5A16" w:rsidRPr="00FA2E2E">
        <w:rPr>
          <w:lang w:val="fr-FR"/>
        </w:rPr>
        <w:t xml:space="preserve"> </w:t>
      </w:r>
      <w:r w:rsidR="006F2092" w:rsidRPr="00FA2E2E">
        <w:rPr>
          <w:lang w:val="fr-FR"/>
        </w:rPr>
        <w:t>EPA</w:t>
      </w:r>
      <w:r w:rsidR="00BA5A16" w:rsidRPr="00FA2E2E">
        <w:rPr>
          <w:lang w:val="fr-FR"/>
        </w:rPr>
        <w:t>)</w:t>
      </w:r>
      <w:r w:rsidR="006F2092" w:rsidRPr="00FA2E2E">
        <w:rPr>
          <w:rStyle w:val="FootnoteReference"/>
          <w:lang w:val="fr-FR"/>
        </w:rPr>
        <w:footnoteReference w:id="13"/>
      </w:r>
      <w:r w:rsidR="00A6051F" w:rsidRPr="00FA2E2E">
        <w:rPr>
          <w:lang w:val="fr-FR"/>
        </w:rPr>
        <w:t>. Le potentiel de rejets de mercure en raison de la perturbation des sédiments devrait être évalué et des mesures d</w:t>
      </w:r>
      <w:r w:rsidR="00FE58E1" w:rsidRPr="00FA2E2E">
        <w:rPr>
          <w:lang w:val="fr-FR"/>
        </w:rPr>
        <w:t>’</w:t>
      </w:r>
      <w:r w:rsidR="00A6051F" w:rsidRPr="00FA2E2E">
        <w:rPr>
          <w:lang w:val="fr-FR"/>
        </w:rPr>
        <w:t>atténuation prises afin de veiller à ce que ces rejets soient réduits au minimum et n</w:t>
      </w:r>
      <w:r w:rsidR="00FE58E1" w:rsidRPr="00FA2E2E">
        <w:rPr>
          <w:lang w:val="fr-FR"/>
        </w:rPr>
        <w:t>’</w:t>
      </w:r>
      <w:r w:rsidR="00A6051F" w:rsidRPr="00FA2E2E">
        <w:rPr>
          <w:lang w:val="fr-FR"/>
        </w:rPr>
        <w:t>entraînent pas une exposition inacceptable pour les récepteurs aquatiques</w:t>
      </w:r>
      <w:r w:rsidR="00D31AFF" w:rsidRPr="00FA2E2E">
        <w:rPr>
          <w:lang w:val="fr-FR"/>
        </w:rPr>
        <w:t>.</w:t>
      </w:r>
    </w:p>
    <w:p w14:paraId="298DB786" w14:textId="475615D2" w:rsidR="00D31AFF" w:rsidRPr="00FA2E2E" w:rsidRDefault="00A6051F" w:rsidP="006D69D3">
      <w:pPr>
        <w:pStyle w:val="Normalnumber"/>
        <w:rPr>
          <w:lang w:val="fr-FR"/>
        </w:rPr>
      </w:pPr>
      <w:r w:rsidRPr="00FA2E2E">
        <w:rPr>
          <w:lang w:val="fr-FR"/>
        </w:rPr>
        <w:t>En cas d</w:t>
      </w:r>
      <w:r w:rsidR="00FE58E1" w:rsidRPr="00FA2E2E">
        <w:rPr>
          <w:lang w:val="fr-FR"/>
        </w:rPr>
        <w:t>’</w:t>
      </w:r>
      <w:r w:rsidR="00D31AFF" w:rsidRPr="00FA2E2E">
        <w:rPr>
          <w:lang w:val="fr-FR"/>
        </w:rPr>
        <w:t xml:space="preserve">excavation, </w:t>
      </w:r>
      <w:r w:rsidR="00514669" w:rsidRPr="00FA2E2E">
        <w:rPr>
          <w:lang w:val="fr-FR"/>
        </w:rPr>
        <w:t>des techniques connues comme étant efficaces pour les sols peuvent être utilisées pour les sédiments</w:t>
      </w:r>
      <w:r w:rsidR="00D31AFF" w:rsidRPr="00FA2E2E">
        <w:rPr>
          <w:lang w:val="fr-FR"/>
        </w:rPr>
        <w:t xml:space="preserve">. </w:t>
      </w:r>
      <w:r w:rsidR="004B198F" w:rsidRPr="00FA2E2E">
        <w:rPr>
          <w:lang w:val="fr-FR"/>
        </w:rPr>
        <w:t>Les principaux obstacles à l</w:t>
      </w:r>
      <w:r w:rsidR="00FE58E1" w:rsidRPr="00FA2E2E">
        <w:rPr>
          <w:lang w:val="fr-FR"/>
        </w:rPr>
        <w:t>’</w:t>
      </w:r>
      <w:r w:rsidR="004B198F" w:rsidRPr="00FA2E2E">
        <w:rPr>
          <w:lang w:val="fr-FR"/>
        </w:rPr>
        <w:t>efficacité seraient l</w:t>
      </w:r>
      <w:r w:rsidR="00FE58E1" w:rsidRPr="00FA2E2E">
        <w:rPr>
          <w:lang w:val="fr-FR"/>
        </w:rPr>
        <w:t>’</w:t>
      </w:r>
      <w:r w:rsidR="004B198F" w:rsidRPr="00FA2E2E">
        <w:rPr>
          <w:lang w:val="fr-FR"/>
        </w:rPr>
        <w:t>eau et les</w:t>
      </w:r>
      <w:r w:rsidR="00BA5A16" w:rsidRPr="00FA2E2E">
        <w:rPr>
          <w:lang w:val="fr-FR"/>
        </w:rPr>
        <w:t xml:space="preserve"> </w:t>
      </w:r>
      <w:r w:rsidR="004B198F" w:rsidRPr="00FA2E2E">
        <w:rPr>
          <w:lang w:val="fr-FR"/>
        </w:rPr>
        <w:t>matières organiques ainsi qu</w:t>
      </w:r>
      <w:r w:rsidR="00FE58E1" w:rsidRPr="00FA2E2E">
        <w:rPr>
          <w:lang w:val="fr-FR"/>
        </w:rPr>
        <w:t>’</w:t>
      </w:r>
      <w:r w:rsidR="004B198F" w:rsidRPr="00FA2E2E">
        <w:rPr>
          <w:lang w:val="fr-FR"/>
        </w:rPr>
        <w:t>une teneur élevée en sel dans le cas des sédiments marins</w:t>
      </w:r>
      <w:r w:rsidR="00D31AFF" w:rsidRPr="00FA2E2E">
        <w:rPr>
          <w:lang w:val="fr-FR"/>
        </w:rPr>
        <w:t>.</w:t>
      </w:r>
    </w:p>
    <w:p w14:paraId="3CC66852" w14:textId="6536654F" w:rsidR="00D31AFF" w:rsidRPr="00FA2E2E" w:rsidRDefault="00D31AFF" w:rsidP="00F93F76">
      <w:pPr>
        <w:pStyle w:val="CH3"/>
        <w:rPr>
          <w:lang w:val="fr-FR"/>
        </w:rPr>
      </w:pPr>
      <w:r w:rsidRPr="00FA2E2E">
        <w:rPr>
          <w:lang w:val="fr-FR"/>
        </w:rPr>
        <w:tab/>
      </w:r>
      <w:bookmarkStart w:id="26" w:name="_Toc15920552"/>
      <w:r w:rsidR="00152CD3" w:rsidRPr="00FA2E2E">
        <w:rPr>
          <w:lang w:val="fr-FR"/>
        </w:rPr>
        <w:t>7.</w:t>
      </w:r>
      <w:r w:rsidRPr="00FA2E2E">
        <w:rPr>
          <w:lang w:val="fr-FR"/>
        </w:rPr>
        <w:tab/>
      </w:r>
      <w:bookmarkEnd w:id="26"/>
      <w:r w:rsidR="004B198F" w:rsidRPr="00FA2E2E">
        <w:rPr>
          <w:lang w:val="fr-FR"/>
        </w:rPr>
        <w:t>Sites d</w:t>
      </w:r>
      <w:r w:rsidR="00FE58E1" w:rsidRPr="00FA2E2E">
        <w:rPr>
          <w:lang w:val="fr-FR"/>
        </w:rPr>
        <w:t>’</w:t>
      </w:r>
      <w:r w:rsidR="004B198F" w:rsidRPr="00FA2E2E">
        <w:rPr>
          <w:lang w:val="fr-FR"/>
        </w:rPr>
        <w:t>extraction minière artisanale et à petite échelle d</w:t>
      </w:r>
      <w:r w:rsidR="00FE58E1" w:rsidRPr="00FA2E2E">
        <w:rPr>
          <w:lang w:val="fr-FR"/>
        </w:rPr>
        <w:t>’</w:t>
      </w:r>
      <w:r w:rsidR="004B198F" w:rsidRPr="00FA2E2E">
        <w:rPr>
          <w:lang w:val="fr-FR"/>
        </w:rPr>
        <w:t>or</w:t>
      </w:r>
    </w:p>
    <w:p w14:paraId="7858F90C" w14:textId="1D18BEB8" w:rsidR="00D31AFF" w:rsidRPr="00FA2E2E" w:rsidRDefault="004B198F" w:rsidP="006D69D3">
      <w:pPr>
        <w:pStyle w:val="Normalnumber"/>
        <w:rPr>
          <w:lang w:val="fr-FR"/>
        </w:rPr>
      </w:pPr>
      <w:r w:rsidRPr="00FA2E2E">
        <w:rPr>
          <w:lang w:val="fr-FR"/>
        </w:rPr>
        <w:t>Les sites d</w:t>
      </w:r>
      <w:r w:rsidR="00FE58E1" w:rsidRPr="00FA2E2E">
        <w:rPr>
          <w:lang w:val="fr-FR"/>
        </w:rPr>
        <w:t>’</w:t>
      </w:r>
      <w:r w:rsidRPr="00FA2E2E">
        <w:rPr>
          <w:lang w:val="fr-FR"/>
        </w:rPr>
        <w:t>extraction minière artisanale et à petite échelle d</w:t>
      </w:r>
      <w:r w:rsidR="00FE58E1" w:rsidRPr="00FA2E2E">
        <w:rPr>
          <w:lang w:val="fr-FR"/>
        </w:rPr>
        <w:t>’</w:t>
      </w:r>
      <w:r w:rsidRPr="00FA2E2E">
        <w:rPr>
          <w:lang w:val="fr-FR"/>
        </w:rPr>
        <w:t>or sont un type de site</w:t>
      </w:r>
      <w:r w:rsidR="00562EA9" w:rsidRPr="00FA2E2E">
        <w:rPr>
          <w:lang w:val="fr-FR"/>
        </w:rPr>
        <w:t xml:space="preserve"> contaminé au mercure</w:t>
      </w:r>
      <w:r w:rsidRPr="00FA2E2E">
        <w:rPr>
          <w:lang w:val="fr-FR"/>
        </w:rPr>
        <w:t xml:space="preserve"> difficile à gérer et remettre en état, étant donné qu</w:t>
      </w:r>
      <w:r w:rsidR="00E80C2A" w:rsidRPr="00FA2E2E">
        <w:rPr>
          <w:lang w:val="fr-FR"/>
        </w:rPr>
        <w:t>e, dans beaucoup de cas,</w:t>
      </w:r>
      <w:r w:rsidRPr="00FA2E2E">
        <w:rPr>
          <w:lang w:val="fr-FR"/>
        </w:rPr>
        <w:t xml:space="preserve"> ces sites peuvent </w:t>
      </w:r>
      <w:r w:rsidR="00562EA9" w:rsidRPr="00FA2E2E">
        <w:rPr>
          <w:lang w:val="fr-FR"/>
        </w:rPr>
        <w:t>héberger des établissements occupés, ce qui limite les options de gestion et de remise en état</w:t>
      </w:r>
      <w:r w:rsidR="00D31AFF" w:rsidRPr="00FA2E2E">
        <w:rPr>
          <w:lang w:val="fr-FR"/>
        </w:rPr>
        <w:t>.</w:t>
      </w:r>
      <w:r w:rsidR="00562EA9" w:rsidRPr="00FA2E2E">
        <w:rPr>
          <w:lang w:val="fr-FR"/>
        </w:rPr>
        <w:t xml:space="preserve"> Certains nouveaux sites d</w:t>
      </w:r>
      <w:r w:rsidR="00FE58E1" w:rsidRPr="00FA2E2E">
        <w:rPr>
          <w:lang w:val="fr-FR"/>
        </w:rPr>
        <w:t>’</w:t>
      </w:r>
      <w:r w:rsidR="00562EA9" w:rsidRPr="00FA2E2E">
        <w:rPr>
          <w:lang w:val="fr-FR"/>
        </w:rPr>
        <w:t>extraction minière artisanale et à petite échelle d</w:t>
      </w:r>
      <w:r w:rsidR="00FE58E1" w:rsidRPr="00FA2E2E">
        <w:rPr>
          <w:lang w:val="fr-FR"/>
        </w:rPr>
        <w:t>’</w:t>
      </w:r>
      <w:r w:rsidR="00562EA9" w:rsidRPr="00FA2E2E">
        <w:rPr>
          <w:lang w:val="fr-FR"/>
        </w:rPr>
        <w:t>or ne sont occupés que pour une courte période en raison d</w:t>
      </w:r>
      <w:r w:rsidR="00FE58E1" w:rsidRPr="00FA2E2E">
        <w:rPr>
          <w:lang w:val="fr-FR"/>
        </w:rPr>
        <w:t>’</w:t>
      </w:r>
      <w:r w:rsidR="00562EA9" w:rsidRPr="00FA2E2E">
        <w:rPr>
          <w:lang w:val="fr-FR"/>
        </w:rPr>
        <w:t>un phénomène de « ruée vers l</w:t>
      </w:r>
      <w:r w:rsidR="00FE58E1" w:rsidRPr="00FA2E2E">
        <w:rPr>
          <w:lang w:val="fr-FR"/>
        </w:rPr>
        <w:t>’</w:t>
      </w:r>
      <w:r w:rsidR="00562EA9" w:rsidRPr="00FA2E2E">
        <w:rPr>
          <w:lang w:val="fr-FR"/>
        </w:rPr>
        <w:t>or » et sont abandonnés une fois le</w:t>
      </w:r>
      <w:r w:rsidR="00D31AFF" w:rsidRPr="00FA2E2E">
        <w:rPr>
          <w:lang w:val="fr-FR"/>
        </w:rPr>
        <w:t xml:space="preserve"> </w:t>
      </w:r>
      <w:r w:rsidR="00562EA9" w:rsidRPr="00FA2E2E">
        <w:rPr>
          <w:lang w:val="fr-FR"/>
        </w:rPr>
        <w:t>gisement épuisé</w:t>
      </w:r>
      <w:r w:rsidR="00D31AFF" w:rsidRPr="00FA2E2E">
        <w:rPr>
          <w:lang w:val="fr-FR"/>
        </w:rPr>
        <w:t>.</w:t>
      </w:r>
      <w:r w:rsidR="00562EA9" w:rsidRPr="00FA2E2E">
        <w:rPr>
          <w:lang w:val="fr-FR"/>
        </w:rPr>
        <w:t xml:space="preserve"> D</w:t>
      </w:r>
      <w:r w:rsidR="00FE58E1" w:rsidRPr="00FA2E2E">
        <w:rPr>
          <w:lang w:val="fr-FR"/>
        </w:rPr>
        <w:t>’</w:t>
      </w:r>
      <w:r w:rsidR="00562EA9" w:rsidRPr="00FA2E2E">
        <w:rPr>
          <w:lang w:val="fr-FR"/>
        </w:rPr>
        <w:t xml:space="preserve">autres sites peuvent se caractériser par une occupation à long terme de groupes qui exploitent un gisement depuis des générations comme </w:t>
      </w:r>
      <w:r w:rsidR="00730266" w:rsidRPr="00FA2E2E">
        <w:rPr>
          <w:lang w:val="fr-FR"/>
        </w:rPr>
        <w:t>complément</w:t>
      </w:r>
      <w:r w:rsidR="00562EA9" w:rsidRPr="00FA2E2E">
        <w:rPr>
          <w:lang w:val="fr-FR"/>
        </w:rPr>
        <w:t xml:space="preserve"> économique à des activités agricoles ou autres</w:t>
      </w:r>
      <w:r w:rsidR="00D31AFF" w:rsidRPr="00FA2E2E">
        <w:rPr>
          <w:lang w:val="fr-FR"/>
        </w:rPr>
        <w:t>.</w:t>
      </w:r>
      <w:r w:rsidR="00562EA9" w:rsidRPr="00FA2E2E">
        <w:rPr>
          <w:lang w:val="fr-FR"/>
        </w:rPr>
        <w:t xml:space="preserve"> Dans certains cas, l</w:t>
      </w:r>
      <w:r w:rsidR="00FE58E1" w:rsidRPr="00FA2E2E">
        <w:rPr>
          <w:lang w:val="fr-FR"/>
        </w:rPr>
        <w:t>’</w:t>
      </w:r>
      <w:r w:rsidR="00562EA9" w:rsidRPr="00FA2E2E">
        <w:rPr>
          <w:lang w:val="fr-FR"/>
        </w:rPr>
        <w:t>utilisation du mercure pour</w:t>
      </w:r>
      <w:r w:rsidR="00D31AFF" w:rsidRPr="00FA2E2E">
        <w:rPr>
          <w:lang w:val="fr-FR"/>
        </w:rPr>
        <w:t xml:space="preserve"> </w:t>
      </w:r>
      <w:r w:rsidR="00955AEC" w:rsidRPr="00FA2E2E">
        <w:rPr>
          <w:lang w:val="fr-FR"/>
        </w:rPr>
        <w:t>l</w:t>
      </w:r>
      <w:r w:rsidR="00FE58E1" w:rsidRPr="00FA2E2E">
        <w:rPr>
          <w:lang w:val="fr-FR"/>
        </w:rPr>
        <w:t>’</w:t>
      </w:r>
      <w:r w:rsidR="00955AEC" w:rsidRPr="00FA2E2E">
        <w:rPr>
          <w:lang w:val="fr-FR"/>
        </w:rPr>
        <w:t>extraction minière artisanale et à petite échelle d</w:t>
      </w:r>
      <w:r w:rsidR="00FE58E1" w:rsidRPr="00FA2E2E">
        <w:rPr>
          <w:lang w:val="fr-FR"/>
        </w:rPr>
        <w:t>’</w:t>
      </w:r>
      <w:r w:rsidR="00955AEC" w:rsidRPr="00FA2E2E">
        <w:rPr>
          <w:lang w:val="fr-FR"/>
        </w:rPr>
        <w:t>or est répartie entre le site minier et des établissements permanents situés à proximité, où les broyeurs à boulets et d</w:t>
      </w:r>
      <w:r w:rsidR="00FE58E1" w:rsidRPr="00FA2E2E">
        <w:rPr>
          <w:lang w:val="fr-FR"/>
        </w:rPr>
        <w:t>’</w:t>
      </w:r>
      <w:r w:rsidR="00955AEC" w:rsidRPr="00FA2E2E">
        <w:rPr>
          <w:lang w:val="fr-FR"/>
        </w:rPr>
        <w:t>autres équipements extraient davantage d</w:t>
      </w:r>
      <w:r w:rsidR="00FE58E1" w:rsidRPr="00FA2E2E">
        <w:rPr>
          <w:lang w:val="fr-FR"/>
        </w:rPr>
        <w:t>’</w:t>
      </w:r>
      <w:r w:rsidR="00955AEC" w:rsidRPr="00FA2E2E">
        <w:rPr>
          <w:lang w:val="fr-FR"/>
        </w:rPr>
        <w:t>or de minerais concentrés</w:t>
      </w:r>
      <w:r w:rsidR="00D31AFF" w:rsidRPr="00FA2E2E">
        <w:rPr>
          <w:lang w:val="fr-FR"/>
        </w:rPr>
        <w:t xml:space="preserve">. </w:t>
      </w:r>
      <w:r w:rsidR="00955AEC" w:rsidRPr="00FA2E2E">
        <w:rPr>
          <w:lang w:val="fr-FR"/>
        </w:rPr>
        <w:t>Dans de tels cas</w:t>
      </w:r>
      <w:r w:rsidR="00084334" w:rsidRPr="00FA2E2E">
        <w:rPr>
          <w:lang w:val="fr-FR"/>
        </w:rPr>
        <w:t>,</w:t>
      </w:r>
      <w:r w:rsidR="00D31AFF" w:rsidRPr="00FA2E2E">
        <w:rPr>
          <w:lang w:val="fr-FR"/>
        </w:rPr>
        <w:t xml:space="preserve"> </w:t>
      </w:r>
      <w:r w:rsidR="00955AEC" w:rsidRPr="00FA2E2E">
        <w:rPr>
          <w:lang w:val="fr-FR"/>
        </w:rPr>
        <w:t>la</w:t>
      </w:r>
      <w:r w:rsidR="00D31AFF" w:rsidRPr="00FA2E2E">
        <w:rPr>
          <w:lang w:val="fr-FR"/>
        </w:rPr>
        <w:t xml:space="preserve"> contamination</w:t>
      </w:r>
      <w:r w:rsidR="00955AEC" w:rsidRPr="00FA2E2E">
        <w:rPr>
          <w:lang w:val="fr-FR"/>
        </w:rPr>
        <w:t xml:space="preserve"> au mercure peut se produire sur le site minier ainsi que dans les établissements associés, notamment les établissements résidentiels situés à une certaine distance du site</w:t>
      </w:r>
      <w:r w:rsidR="00D31AFF" w:rsidRPr="00FA2E2E">
        <w:rPr>
          <w:lang w:val="fr-FR"/>
        </w:rPr>
        <w:t xml:space="preserve">. </w:t>
      </w:r>
    </w:p>
    <w:p w14:paraId="08572FF5" w14:textId="096842FE" w:rsidR="00D31AFF" w:rsidRPr="00FA2E2E" w:rsidRDefault="00D0007A" w:rsidP="006D69D3">
      <w:pPr>
        <w:pStyle w:val="Normalnumber"/>
        <w:rPr>
          <w:lang w:val="fr-FR"/>
        </w:rPr>
      </w:pPr>
      <w:r w:rsidRPr="00FA2E2E">
        <w:rPr>
          <w:lang w:val="fr-FR"/>
        </w:rPr>
        <w:t>L</w:t>
      </w:r>
      <w:r w:rsidR="00FE58E1" w:rsidRPr="00FA2E2E">
        <w:rPr>
          <w:lang w:val="fr-FR"/>
        </w:rPr>
        <w:t>’</w:t>
      </w:r>
      <w:r w:rsidR="00D31AFF" w:rsidRPr="00FA2E2E">
        <w:rPr>
          <w:lang w:val="fr-FR"/>
        </w:rPr>
        <w:t xml:space="preserve">dentification </w:t>
      </w:r>
      <w:r w:rsidRPr="00FA2E2E">
        <w:rPr>
          <w:lang w:val="fr-FR"/>
        </w:rPr>
        <w:t>des sites</w:t>
      </w:r>
      <w:r w:rsidR="00D31AFF" w:rsidRPr="00FA2E2E">
        <w:rPr>
          <w:lang w:val="fr-FR"/>
        </w:rPr>
        <w:t xml:space="preserve"> </w:t>
      </w:r>
      <w:r w:rsidRPr="00FA2E2E">
        <w:rPr>
          <w:lang w:val="fr-FR"/>
        </w:rPr>
        <w:t>d</w:t>
      </w:r>
      <w:r w:rsidR="00FE58E1" w:rsidRPr="00FA2E2E">
        <w:rPr>
          <w:lang w:val="fr-FR"/>
        </w:rPr>
        <w:t>’</w:t>
      </w:r>
      <w:r w:rsidRPr="00FA2E2E">
        <w:rPr>
          <w:lang w:val="fr-FR"/>
        </w:rPr>
        <w:t>extraction minière artisanale et à petite échelle d</w:t>
      </w:r>
      <w:r w:rsidR="00FE58E1" w:rsidRPr="00FA2E2E">
        <w:rPr>
          <w:lang w:val="fr-FR"/>
        </w:rPr>
        <w:t>’</w:t>
      </w:r>
      <w:r w:rsidRPr="00FA2E2E">
        <w:rPr>
          <w:lang w:val="fr-FR"/>
        </w:rPr>
        <w:t>or contaminés par du mercure peut suivre les mêmes procédures d</w:t>
      </w:r>
      <w:r w:rsidR="00FE58E1" w:rsidRPr="00FA2E2E">
        <w:rPr>
          <w:lang w:val="fr-FR"/>
        </w:rPr>
        <w:t>’</w:t>
      </w:r>
      <w:r w:rsidRPr="00FA2E2E">
        <w:rPr>
          <w:lang w:val="fr-FR"/>
        </w:rPr>
        <w:t>identification préliminaire des sites, d</w:t>
      </w:r>
      <w:r w:rsidR="00FE58E1" w:rsidRPr="00FA2E2E">
        <w:rPr>
          <w:lang w:val="fr-FR"/>
        </w:rPr>
        <w:t>’</w:t>
      </w:r>
      <w:r w:rsidRPr="00FA2E2E">
        <w:rPr>
          <w:lang w:val="fr-FR"/>
        </w:rPr>
        <w:t xml:space="preserve">identification détaillée des sites et de caractérisation des sites que </w:t>
      </w:r>
      <w:r w:rsidR="00C65E82" w:rsidRPr="00FA2E2E">
        <w:rPr>
          <w:lang w:val="fr-FR"/>
        </w:rPr>
        <w:t xml:space="preserve">pour </w:t>
      </w:r>
      <w:r w:rsidRPr="00FA2E2E">
        <w:rPr>
          <w:lang w:val="fr-FR"/>
        </w:rPr>
        <w:t>les autres sites contaminés par du mercure, mais cela peut s</w:t>
      </w:r>
      <w:r w:rsidR="00FE58E1" w:rsidRPr="00FA2E2E">
        <w:rPr>
          <w:lang w:val="fr-FR"/>
        </w:rPr>
        <w:t>’</w:t>
      </w:r>
      <w:r w:rsidRPr="00FA2E2E">
        <w:rPr>
          <w:lang w:val="fr-FR"/>
        </w:rPr>
        <w:t xml:space="preserve">avérer plus complexe lorsque le site est actif, occupé et dans un état dynamique de contamination </w:t>
      </w:r>
      <w:r w:rsidR="00D31AFF" w:rsidRPr="00FA2E2E">
        <w:rPr>
          <w:lang w:val="fr-FR"/>
        </w:rPr>
        <w:t>(</w:t>
      </w:r>
      <w:r w:rsidRPr="00FA2E2E">
        <w:rPr>
          <w:lang w:val="fr-FR"/>
        </w:rPr>
        <w:t>c</w:t>
      </w:r>
      <w:r w:rsidR="00FE58E1" w:rsidRPr="00FA2E2E">
        <w:rPr>
          <w:lang w:val="fr-FR"/>
        </w:rPr>
        <w:t>’</w:t>
      </w:r>
      <w:r w:rsidRPr="00FA2E2E">
        <w:rPr>
          <w:lang w:val="fr-FR"/>
        </w:rPr>
        <w:t>est-à-dire</w:t>
      </w:r>
      <w:r w:rsidR="00084334" w:rsidRPr="00FA2E2E">
        <w:rPr>
          <w:lang w:val="fr-FR"/>
        </w:rPr>
        <w:t>,</w:t>
      </w:r>
      <w:r w:rsidRPr="00FA2E2E">
        <w:rPr>
          <w:lang w:val="fr-FR"/>
        </w:rPr>
        <w:t xml:space="preserve"> de nouvelles</w:t>
      </w:r>
      <w:r w:rsidR="00D31AFF" w:rsidRPr="00FA2E2E">
        <w:rPr>
          <w:lang w:val="fr-FR"/>
        </w:rPr>
        <w:t xml:space="preserve"> contamination</w:t>
      </w:r>
      <w:r w:rsidRPr="00FA2E2E">
        <w:rPr>
          <w:lang w:val="fr-FR"/>
        </w:rPr>
        <w:t>s</w:t>
      </w:r>
      <w:r w:rsidR="00D31AFF" w:rsidRPr="00FA2E2E">
        <w:rPr>
          <w:lang w:val="fr-FR"/>
        </w:rPr>
        <w:t xml:space="preserve"> </w:t>
      </w:r>
      <w:r w:rsidRPr="00FA2E2E">
        <w:rPr>
          <w:lang w:val="fr-FR"/>
        </w:rPr>
        <w:t xml:space="preserve">se produisent constamment dans de nouveaux endroits de la zone en </w:t>
      </w:r>
      <w:r w:rsidR="00084334" w:rsidRPr="00FA2E2E">
        <w:rPr>
          <w:lang w:val="fr-FR"/>
        </w:rPr>
        <w:t>question</w:t>
      </w:r>
      <w:r w:rsidR="00D31AFF" w:rsidRPr="00FA2E2E">
        <w:rPr>
          <w:lang w:val="fr-FR"/>
        </w:rPr>
        <w:t>).</w:t>
      </w:r>
      <w:r w:rsidR="00153F79" w:rsidRPr="00FA2E2E">
        <w:rPr>
          <w:lang w:val="fr-FR"/>
        </w:rPr>
        <w:t xml:space="preserve"> Cette situation diffère des sites inoccupés, où les foyers sont relativement stables et le site peut être caractérisé sans</w:t>
      </w:r>
      <w:r w:rsidR="00E80C2A" w:rsidRPr="00FA2E2E">
        <w:rPr>
          <w:lang w:val="fr-FR"/>
        </w:rPr>
        <w:t xml:space="preserve"> </w:t>
      </w:r>
      <w:r w:rsidR="00FE4750" w:rsidRPr="00FA2E2E">
        <w:rPr>
          <w:lang w:val="fr-FR"/>
        </w:rPr>
        <w:t>devoir s</w:t>
      </w:r>
      <w:r w:rsidR="00FE58E1" w:rsidRPr="00FA2E2E">
        <w:rPr>
          <w:lang w:val="fr-FR"/>
        </w:rPr>
        <w:t>’</w:t>
      </w:r>
      <w:r w:rsidR="00FE4750" w:rsidRPr="00FA2E2E">
        <w:rPr>
          <w:lang w:val="fr-FR"/>
        </w:rPr>
        <w:t xml:space="preserve">attendre à </w:t>
      </w:r>
      <w:r w:rsidR="00153F79" w:rsidRPr="00FA2E2E">
        <w:rPr>
          <w:lang w:val="fr-FR"/>
        </w:rPr>
        <w:t xml:space="preserve">une </w:t>
      </w:r>
      <w:r w:rsidR="00E80C2A" w:rsidRPr="00FA2E2E">
        <w:rPr>
          <w:lang w:val="fr-FR"/>
        </w:rPr>
        <w:t xml:space="preserve">nouvelle </w:t>
      </w:r>
      <w:r w:rsidR="00153F79" w:rsidRPr="00FA2E2E">
        <w:rPr>
          <w:lang w:val="fr-FR"/>
        </w:rPr>
        <w:t xml:space="preserve">contamination dans </w:t>
      </w:r>
      <w:r w:rsidR="00E80C2A" w:rsidRPr="00FA2E2E">
        <w:rPr>
          <w:lang w:val="fr-FR"/>
        </w:rPr>
        <w:t>d</w:t>
      </w:r>
      <w:r w:rsidR="00FE58E1" w:rsidRPr="00FA2E2E">
        <w:rPr>
          <w:lang w:val="fr-FR"/>
        </w:rPr>
        <w:t>’</w:t>
      </w:r>
      <w:r w:rsidR="00E80C2A" w:rsidRPr="00FA2E2E">
        <w:rPr>
          <w:lang w:val="fr-FR"/>
        </w:rPr>
        <w:t>autres</w:t>
      </w:r>
      <w:r w:rsidR="00153F79" w:rsidRPr="00FA2E2E">
        <w:rPr>
          <w:lang w:val="fr-FR"/>
        </w:rPr>
        <w:t xml:space="preserve"> endroits au sein du site</w:t>
      </w:r>
      <w:r w:rsidR="00D31AFF" w:rsidRPr="00FA2E2E">
        <w:rPr>
          <w:lang w:val="fr-FR"/>
        </w:rPr>
        <w:t>.</w:t>
      </w:r>
    </w:p>
    <w:p w14:paraId="1FFCBA39" w14:textId="7634539A" w:rsidR="00DD0FCB" w:rsidRPr="00FA2E2E" w:rsidRDefault="00153F79" w:rsidP="006D69D3">
      <w:pPr>
        <w:pStyle w:val="Normalnumber"/>
        <w:rPr>
          <w:lang w:val="fr-FR"/>
        </w:rPr>
      </w:pPr>
      <w:r w:rsidRPr="00FA2E2E">
        <w:rPr>
          <w:lang w:val="fr-FR"/>
        </w:rPr>
        <w:t>Le mercure</w:t>
      </w:r>
      <w:r w:rsidR="00C22B55" w:rsidRPr="00FA2E2E">
        <w:rPr>
          <w:lang w:val="fr-FR"/>
        </w:rPr>
        <w:t xml:space="preserve"> des sites historiques de production à petite échelle d</w:t>
      </w:r>
      <w:r w:rsidR="00FE58E1" w:rsidRPr="00FA2E2E">
        <w:rPr>
          <w:lang w:val="fr-FR"/>
        </w:rPr>
        <w:t>’</w:t>
      </w:r>
      <w:r w:rsidR="00C22B55" w:rsidRPr="00FA2E2E">
        <w:rPr>
          <w:lang w:val="fr-FR"/>
        </w:rPr>
        <w:t>or et des sites d</w:t>
      </w:r>
      <w:r w:rsidR="00FE58E1" w:rsidRPr="00FA2E2E">
        <w:rPr>
          <w:lang w:val="fr-FR"/>
        </w:rPr>
        <w:t>’</w:t>
      </w:r>
      <w:r w:rsidR="00C22B55" w:rsidRPr="00FA2E2E">
        <w:rPr>
          <w:lang w:val="fr-FR"/>
        </w:rPr>
        <w:t>extraction minière artisanale et à petite échelle d</w:t>
      </w:r>
      <w:r w:rsidR="00FE58E1" w:rsidRPr="00FA2E2E">
        <w:rPr>
          <w:lang w:val="fr-FR"/>
        </w:rPr>
        <w:t>’</w:t>
      </w:r>
      <w:r w:rsidR="00C22B55" w:rsidRPr="00FA2E2E">
        <w:rPr>
          <w:lang w:val="fr-FR"/>
        </w:rPr>
        <w:t>or qui sont actuellement exploités peut pénétrer dans des masses d</w:t>
      </w:r>
      <w:r w:rsidR="00FE58E1" w:rsidRPr="00FA2E2E">
        <w:rPr>
          <w:lang w:val="fr-FR"/>
        </w:rPr>
        <w:t>’</w:t>
      </w:r>
      <w:r w:rsidR="00C22B55" w:rsidRPr="00FA2E2E">
        <w:rPr>
          <w:lang w:val="fr-FR"/>
        </w:rPr>
        <w:t>eau telles que les rivières, les lacs et les</w:t>
      </w:r>
      <w:r w:rsidR="00DD0FCB" w:rsidRPr="00FA2E2E">
        <w:rPr>
          <w:lang w:val="fr-FR"/>
        </w:rPr>
        <w:t xml:space="preserve"> </w:t>
      </w:r>
      <w:r w:rsidR="00F47825" w:rsidRPr="00FA2E2E">
        <w:rPr>
          <w:lang w:val="fr-FR"/>
        </w:rPr>
        <w:t>bassins de retenue</w:t>
      </w:r>
      <w:r w:rsidR="00DD0FCB" w:rsidRPr="00FA2E2E">
        <w:rPr>
          <w:lang w:val="fr-FR"/>
        </w:rPr>
        <w:t>,</w:t>
      </w:r>
      <w:r w:rsidR="00F47825" w:rsidRPr="00FA2E2E">
        <w:rPr>
          <w:lang w:val="fr-FR"/>
        </w:rPr>
        <w:t xml:space="preserve"> et ensuite se recombiner pour former </w:t>
      </w:r>
      <w:r w:rsidR="00DF5867" w:rsidRPr="00FA2E2E">
        <w:rPr>
          <w:lang w:val="fr-FR"/>
        </w:rPr>
        <w:t xml:space="preserve">des </w:t>
      </w:r>
      <w:r w:rsidR="00C65E82" w:rsidRPr="00FA2E2E">
        <w:rPr>
          <w:lang w:val="fr-FR"/>
        </w:rPr>
        <w:t>masses</w:t>
      </w:r>
      <w:r w:rsidR="00DF5867" w:rsidRPr="00FA2E2E">
        <w:rPr>
          <w:lang w:val="fr-FR"/>
        </w:rPr>
        <w:t xml:space="preserve"> de</w:t>
      </w:r>
      <w:r w:rsidR="00F47825" w:rsidRPr="00FA2E2E">
        <w:rPr>
          <w:lang w:val="fr-FR"/>
        </w:rPr>
        <w:t xml:space="preserve"> mercure élémentaire</w:t>
      </w:r>
      <w:r w:rsidR="00DD0FCB" w:rsidRPr="00FA2E2E">
        <w:rPr>
          <w:lang w:val="fr-FR"/>
        </w:rPr>
        <w:t xml:space="preserve"> </w:t>
      </w:r>
      <w:r w:rsidR="00F47825" w:rsidRPr="00FA2E2E">
        <w:rPr>
          <w:lang w:val="fr-FR"/>
        </w:rPr>
        <w:t>au fond des rivières et des lacs</w:t>
      </w:r>
      <w:r w:rsidR="00777A83" w:rsidRPr="00FA2E2E">
        <w:rPr>
          <w:lang w:val="fr-FR"/>
        </w:rPr>
        <w:t>, créant une source de contamination à long terme</w:t>
      </w:r>
      <w:r w:rsidR="00DD0FCB" w:rsidRPr="00FA2E2E">
        <w:rPr>
          <w:lang w:val="fr-FR"/>
        </w:rPr>
        <w:t xml:space="preserve">. </w:t>
      </w:r>
      <w:r w:rsidR="00DF5867" w:rsidRPr="00FA2E2E">
        <w:rPr>
          <w:lang w:val="fr-FR"/>
        </w:rPr>
        <w:t>Cette forme de mercure</w:t>
      </w:r>
      <w:r w:rsidR="00721E61" w:rsidRPr="00FA2E2E">
        <w:rPr>
          <w:lang w:val="fr-FR"/>
        </w:rPr>
        <w:t xml:space="preserve"> qui s</w:t>
      </w:r>
      <w:r w:rsidR="00FE58E1" w:rsidRPr="00FA2E2E">
        <w:rPr>
          <w:lang w:val="fr-FR"/>
        </w:rPr>
        <w:t>’</w:t>
      </w:r>
      <w:r w:rsidR="00721E61" w:rsidRPr="00FA2E2E">
        <w:rPr>
          <w:lang w:val="fr-FR"/>
        </w:rPr>
        <w:t>amasse peut être détectée en utilisant la technologie</w:t>
      </w:r>
      <w:r w:rsidR="00DD0FCB" w:rsidRPr="00FA2E2E">
        <w:rPr>
          <w:lang w:val="fr-FR"/>
        </w:rPr>
        <w:t xml:space="preserve"> </w:t>
      </w:r>
      <w:r w:rsidR="00721E61" w:rsidRPr="00FA2E2E">
        <w:rPr>
          <w:lang w:val="fr-FR"/>
        </w:rPr>
        <w:t>de scannage</w:t>
      </w:r>
      <w:r w:rsidR="00DD0FCB" w:rsidRPr="00FA2E2E">
        <w:rPr>
          <w:lang w:val="fr-FR"/>
        </w:rPr>
        <w:t xml:space="preserve"> LiDAR </w:t>
      </w:r>
      <w:r w:rsidR="00721E61" w:rsidRPr="00FA2E2E">
        <w:rPr>
          <w:lang w:val="fr-FR"/>
        </w:rPr>
        <w:t>et retirée à l</w:t>
      </w:r>
      <w:r w:rsidR="00FE58E1" w:rsidRPr="00FA2E2E">
        <w:rPr>
          <w:lang w:val="fr-FR"/>
        </w:rPr>
        <w:t>’</w:t>
      </w:r>
      <w:r w:rsidR="00721E61" w:rsidRPr="00FA2E2E">
        <w:rPr>
          <w:lang w:val="fr-FR"/>
        </w:rPr>
        <w:t>aide d</w:t>
      </w:r>
      <w:r w:rsidR="00FE58E1" w:rsidRPr="00FA2E2E">
        <w:rPr>
          <w:lang w:val="fr-FR"/>
        </w:rPr>
        <w:t>’</w:t>
      </w:r>
      <w:r w:rsidR="00721E61" w:rsidRPr="00FA2E2E">
        <w:rPr>
          <w:lang w:val="fr-FR"/>
        </w:rPr>
        <w:t>une unité de vidange sous vide montée sur un véhicule</w:t>
      </w:r>
      <w:r w:rsidR="00DD0FCB" w:rsidRPr="00FA2E2E">
        <w:rPr>
          <w:lang w:val="fr-FR"/>
        </w:rPr>
        <w:t xml:space="preserve"> </w:t>
      </w:r>
      <w:r w:rsidR="00721E61" w:rsidRPr="00FA2E2E">
        <w:rPr>
          <w:lang w:val="fr-FR"/>
        </w:rPr>
        <w:t>et munie de filtres à charbon afin d</w:t>
      </w:r>
      <w:r w:rsidR="00FE58E1" w:rsidRPr="00FA2E2E">
        <w:rPr>
          <w:lang w:val="fr-FR"/>
        </w:rPr>
        <w:t>’</w:t>
      </w:r>
      <w:r w:rsidR="00721E61" w:rsidRPr="00FA2E2E">
        <w:rPr>
          <w:lang w:val="fr-FR"/>
        </w:rPr>
        <w:t>éviter les rejets de vapeurs</w:t>
      </w:r>
      <w:r w:rsidR="00DD0FCB" w:rsidRPr="00FA2E2E">
        <w:rPr>
          <w:lang w:val="fr-FR"/>
        </w:rPr>
        <w:t xml:space="preserve">. </w:t>
      </w:r>
      <w:r w:rsidR="00721E61" w:rsidRPr="00FA2E2E">
        <w:rPr>
          <w:lang w:val="fr-FR"/>
        </w:rPr>
        <w:t>Le réservoir permet</w:t>
      </w:r>
      <w:r w:rsidR="00DD0FCB" w:rsidRPr="00FA2E2E">
        <w:rPr>
          <w:lang w:val="fr-FR"/>
        </w:rPr>
        <w:t xml:space="preserve"> </w:t>
      </w:r>
      <w:r w:rsidR="00C46475" w:rsidRPr="00FA2E2E">
        <w:rPr>
          <w:lang w:val="fr-FR"/>
        </w:rPr>
        <w:t xml:space="preserve">une </w:t>
      </w:r>
      <w:r w:rsidR="00721E61" w:rsidRPr="00FA2E2E">
        <w:rPr>
          <w:lang w:val="fr-FR"/>
        </w:rPr>
        <w:t xml:space="preserve">élimination écologiquement rationnelle des </w:t>
      </w:r>
      <w:r w:rsidR="00C65E82" w:rsidRPr="00FA2E2E">
        <w:rPr>
          <w:lang w:val="fr-FR"/>
        </w:rPr>
        <w:t>masses</w:t>
      </w:r>
      <w:r w:rsidR="00721E61" w:rsidRPr="00FA2E2E">
        <w:rPr>
          <w:lang w:val="fr-FR"/>
        </w:rPr>
        <w:t xml:space="preserve"> de mercure</w:t>
      </w:r>
      <w:r w:rsidR="00C46475" w:rsidRPr="00FA2E2E">
        <w:rPr>
          <w:lang w:val="fr-FR"/>
        </w:rPr>
        <w:t>, qui peuvent ensuite être traité</w:t>
      </w:r>
      <w:r w:rsidR="00C65E82" w:rsidRPr="00FA2E2E">
        <w:rPr>
          <w:lang w:val="fr-FR"/>
        </w:rPr>
        <w:t>e</w:t>
      </w:r>
      <w:r w:rsidR="00C46475" w:rsidRPr="00FA2E2E">
        <w:rPr>
          <w:lang w:val="fr-FR"/>
        </w:rPr>
        <w:t>s dans des installations de distillation sous vide</w:t>
      </w:r>
      <w:r w:rsidR="00DD0FCB" w:rsidRPr="00FA2E2E">
        <w:rPr>
          <w:lang w:val="fr-FR"/>
        </w:rPr>
        <w:t xml:space="preserve"> ex-situ </w:t>
      </w:r>
      <w:r w:rsidR="00C46475" w:rsidRPr="00FA2E2E">
        <w:rPr>
          <w:lang w:val="fr-FR"/>
        </w:rPr>
        <w:t>et récupéré</w:t>
      </w:r>
      <w:r w:rsidR="00A12113" w:rsidRPr="00FA2E2E">
        <w:rPr>
          <w:lang w:val="fr-FR"/>
        </w:rPr>
        <w:t>e</w:t>
      </w:r>
      <w:r w:rsidR="00C46475" w:rsidRPr="00FA2E2E">
        <w:rPr>
          <w:lang w:val="fr-FR"/>
        </w:rPr>
        <w:t>s à des fins de stabilisation</w:t>
      </w:r>
      <w:r w:rsidR="00DD0FCB" w:rsidRPr="00FA2E2E">
        <w:rPr>
          <w:lang w:val="fr-FR"/>
        </w:rPr>
        <w:t>.</w:t>
      </w:r>
      <w:r w:rsidR="004147A8" w:rsidRPr="00FA2E2E">
        <w:rPr>
          <w:lang w:val="fr-FR"/>
        </w:rPr>
        <w:t xml:space="preserve"> Cette technologie présente un potentiel important pour la remise en état des sites d</w:t>
      </w:r>
      <w:r w:rsidR="00FE58E1" w:rsidRPr="00FA2E2E">
        <w:rPr>
          <w:lang w:val="fr-FR"/>
        </w:rPr>
        <w:t>’</w:t>
      </w:r>
      <w:r w:rsidR="004147A8" w:rsidRPr="00FA2E2E">
        <w:rPr>
          <w:lang w:val="fr-FR"/>
        </w:rPr>
        <w:t>extraction minière artisanale et à petite échelle d</w:t>
      </w:r>
      <w:r w:rsidR="00FE58E1" w:rsidRPr="00FA2E2E">
        <w:rPr>
          <w:lang w:val="fr-FR"/>
        </w:rPr>
        <w:t>’</w:t>
      </w:r>
      <w:r w:rsidR="004147A8" w:rsidRPr="00FA2E2E">
        <w:rPr>
          <w:lang w:val="fr-FR"/>
        </w:rPr>
        <w:t>or</w:t>
      </w:r>
      <w:r w:rsidR="00DD0FCB" w:rsidRPr="00FA2E2E">
        <w:rPr>
          <w:lang w:val="fr-FR"/>
        </w:rPr>
        <w:t xml:space="preserve"> </w:t>
      </w:r>
      <w:r w:rsidR="004147A8" w:rsidRPr="00FA2E2E">
        <w:rPr>
          <w:lang w:val="fr-FR"/>
        </w:rPr>
        <w:t>adjacents à des masses d</w:t>
      </w:r>
      <w:r w:rsidR="00FE58E1" w:rsidRPr="00FA2E2E">
        <w:rPr>
          <w:lang w:val="fr-FR"/>
        </w:rPr>
        <w:t>’</w:t>
      </w:r>
      <w:r w:rsidR="004147A8" w:rsidRPr="00FA2E2E">
        <w:rPr>
          <w:lang w:val="fr-FR"/>
        </w:rPr>
        <w:t xml:space="preserve">eau </w:t>
      </w:r>
      <w:r w:rsidR="00903388" w:rsidRPr="00FA2E2E">
        <w:rPr>
          <w:lang w:val="fr-FR"/>
        </w:rPr>
        <w:t>(</w:t>
      </w:r>
      <w:r w:rsidR="00903388" w:rsidRPr="00FA2E2E">
        <w:rPr>
          <w:rFonts w:asciiTheme="majorBidi" w:hAnsiTheme="majorBidi" w:cstheme="majorBidi"/>
          <w:lang w:val="fr-FR"/>
        </w:rPr>
        <w:t>AgroEco Systems Pty</w:t>
      </w:r>
      <w:r w:rsidR="00816847" w:rsidRPr="00FA2E2E">
        <w:rPr>
          <w:rFonts w:asciiTheme="majorBidi" w:hAnsiTheme="majorBidi" w:cstheme="majorBidi"/>
          <w:lang w:val="fr-FR"/>
        </w:rPr>
        <w:t>.</w:t>
      </w:r>
      <w:r w:rsidR="00903388" w:rsidRPr="00FA2E2E">
        <w:rPr>
          <w:rFonts w:asciiTheme="majorBidi" w:hAnsiTheme="majorBidi" w:cstheme="majorBidi"/>
          <w:lang w:val="fr-FR"/>
        </w:rPr>
        <w:t xml:space="preserve"> Ltd., 2010)</w:t>
      </w:r>
      <w:r w:rsidR="002517F2" w:rsidRPr="00FA2E2E">
        <w:rPr>
          <w:lang w:val="fr-FR"/>
        </w:rPr>
        <w:t>.</w:t>
      </w:r>
    </w:p>
    <w:p w14:paraId="13D78161" w14:textId="6313CC9A" w:rsidR="00D31AFF" w:rsidRPr="00FA2E2E" w:rsidRDefault="00F87865" w:rsidP="006D69D3">
      <w:pPr>
        <w:pStyle w:val="Normalnumber"/>
        <w:rPr>
          <w:lang w:val="fr-FR"/>
        </w:rPr>
      </w:pPr>
      <w:r w:rsidRPr="00FA2E2E">
        <w:rPr>
          <w:lang w:val="fr-FR"/>
        </w:rPr>
        <w:t xml:space="preserve">La complexité </w:t>
      </w:r>
      <w:r w:rsidR="001C3144" w:rsidRPr="00FA2E2E">
        <w:rPr>
          <w:lang w:val="fr-FR"/>
        </w:rPr>
        <w:t>découlant du cumul des activités</w:t>
      </w:r>
      <w:r w:rsidR="00D31AFF" w:rsidRPr="00FA2E2E">
        <w:rPr>
          <w:lang w:val="fr-FR"/>
        </w:rPr>
        <w:t xml:space="preserve"> </w:t>
      </w:r>
      <w:r w:rsidR="001C3144" w:rsidRPr="00FA2E2E">
        <w:rPr>
          <w:lang w:val="fr-FR"/>
        </w:rPr>
        <w:t>d</w:t>
      </w:r>
      <w:r w:rsidR="00FE58E1" w:rsidRPr="00FA2E2E">
        <w:rPr>
          <w:lang w:val="fr-FR"/>
        </w:rPr>
        <w:t>’</w:t>
      </w:r>
      <w:r w:rsidR="001C3144" w:rsidRPr="00FA2E2E">
        <w:rPr>
          <w:lang w:val="fr-FR"/>
        </w:rPr>
        <w:t>extraction minière artisanale et à petite échelle d</w:t>
      </w:r>
      <w:r w:rsidR="00FE58E1" w:rsidRPr="00FA2E2E">
        <w:rPr>
          <w:lang w:val="fr-FR"/>
        </w:rPr>
        <w:t>’</w:t>
      </w:r>
      <w:r w:rsidR="001C3144" w:rsidRPr="00FA2E2E">
        <w:rPr>
          <w:lang w:val="fr-FR"/>
        </w:rPr>
        <w:t>or, de la contamination et des établissements permanents ou temporaire</w:t>
      </w:r>
      <w:r w:rsidR="00A12113" w:rsidRPr="00FA2E2E">
        <w:rPr>
          <w:lang w:val="fr-FR"/>
        </w:rPr>
        <w:t>s</w:t>
      </w:r>
      <w:r w:rsidR="001C3144" w:rsidRPr="00FA2E2E">
        <w:rPr>
          <w:lang w:val="fr-FR"/>
        </w:rPr>
        <w:t xml:space="preserve"> du site rend essentielles la mobilisation et la sensibilisation de la communauté touchée</w:t>
      </w:r>
      <w:r w:rsidR="00D31AFF" w:rsidRPr="00FA2E2E">
        <w:rPr>
          <w:lang w:val="fr-FR"/>
        </w:rPr>
        <w:t xml:space="preserve">. </w:t>
      </w:r>
      <w:r w:rsidR="001C3144" w:rsidRPr="00FA2E2E">
        <w:rPr>
          <w:lang w:val="fr-FR"/>
        </w:rPr>
        <w:t>La s</w:t>
      </w:r>
      <w:r w:rsidR="00D31AFF" w:rsidRPr="00FA2E2E">
        <w:rPr>
          <w:lang w:val="fr-FR"/>
        </w:rPr>
        <w:t>ection</w:t>
      </w:r>
      <w:r w:rsidR="001C3144" w:rsidRPr="00FA2E2E">
        <w:rPr>
          <w:lang w:val="fr-FR"/>
        </w:rPr>
        <w:t> </w:t>
      </w:r>
      <w:r w:rsidR="00D31AFF" w:rsidRPr="00FA2E2E">
        <w:rPr>
          <w:lang w:val="fr-FR"/>
        </w:rPr>
        <w:t xml:space="preserve">C </w:t>
      </w:r>
      <w:r w:rsidR="00520509" w:rsidRPr="00FA2E2E">
        <w:rPr>
          <w:lang w:val="fr-FR"/>
        </w:rPr>
        <w:t>des présentes orientations</w:t>
      </w:r>
      <w:r w:rsidR="00D31AFF" w:rsidRPr="00FA2E2E">
        <w:rPr>
          <w:lang w:val="fr-FR"/>
        </w:rPr>
        <w:t xml:space="preserve"> </w:t>
      </w:r>
      <w:r w:rsidR="007B11D0" w:rsidRPr="00FA2E2E">
        <w:rPr>
          <w:lang w:val="fr-FR"/>
        </w:rPr>
        <w:t>fournit des informations sur la mise en place d</w:t>
      </w:r>
      <w:r w:rsidR="00FE58E1" w:rsidRPr="00FA2E2E">
        <w:rPr>
          <w:lang w:val="fr-FR"/>
        </w:rPr>
        <w:t>’</w:t>
      </w:r>
      <w:r w:rsidR="007B11D0" w:rsidRPr="00FA2E2E">
        <w:rPr>
          <w:lang w:val="fr-FR"/>
        </w:rPr>
        <w:t>une procédure</w:t>
      </w:r>
      <w:r w:rsidR="001F1734" w:rsidRPr="00FA2E2E">
        <w:rPr>
          <w:lang w:val="fr-FR"/>
        </w:rPr>
        <w:t xml:space="preserve"> de mobilisation du public pour la remise en état et la gestion des sites contaminés</w:t>
      </w:r>
      <w:r w:rsidR="00903388" w:rsidRPr="00FA2E2E">
        <w:rPr>
          <w:lang w:val="fr-FR"/>
        </w:rPr>
        <w:t>,</w:t>
      </w:r>
      <w:r w:rsidR="001F1734" w:rsidRPr="00FA2E2E">
        <w:rPr>
          <w:lang w:val="fr-FR"/>
        </w:rPr>
        <w:t xml:space="preserve"> mais des mesures supplémentaires devront peut-être être envisagées dans le cadre du dialogue avec les communautés menant des activités</w:t>
      </w:r>
      <w:r w:rsidR="00903388" w:rsidRPr="00FA2E2E">
        <w:rPr>
          <w:lang w:val="fr-FR"/>
        </w:rPr>
        <w:t xml:space="preserve"> </w:t>
      </w:r>
      <w:r w:rsidR="001F1734" w:rsidRPr="00FA2E2E">
        <w:rPr>
          <w:lang w:val="fr-FR"/>
        </w:rPr>
        <w:t>d</w:t>
      </w:r>
      <w:r w:rsidR="00FE58E1" w:rsidRPr="00FA2E2E">
        <w:rPr>
          <w:lang w:val="fr-FR"/>
        </w:rPr>
        <w:t>’</w:t>
      </w:r>
      <w:r w:rsidR="001F1734" w:rsidRPr="00FA2E2E">
        <w:rPr>
          <w:lang w:val="fr-FR"/>
        </w:rPr>
        <w:t>extraction minière artisanale et à petite échelle d</w:t>
      </w:r>
      <w:r w:rsidR="00FE58E1" w:rsidRPr="00FA2E2E">
        <w:rPr>
          <w:lang w:val="fr-FR"/>
        </w:rPr>
        <w:t>’</w:t>
      </w:r>
      <w:r w:rsidR="001F1734" w:rsidRPr="00FA2E2E">
        <w:rPr>
          <w:lang w:val="fr-FR"/>
        </w:rPr>
        <w:t>or</w:t>
      </w:r>
      <w:r w:rsidR="00D31AFF" w:rsidRPr="00FA2E2E">
        <w:rPr>
          <w:lang w:val="fr-FR"/>
        </w:rPr>
        <w:t>.</w:t>
      </w:r>
      <w:r w:rsidR="001F1734" w:rsidRPr="00FA2E2E">
        <w:rPr>
          <w:lang w:val="fr-FR"/>
        </w:rPr>
        <w:t xml:space="preserve"> Les sites</w:t>
      </w:r>
      <w:r w:rsidR="00D31AFF" w:rsidRPr="00FA2E2E">
        <w:rPr>
          <w:lang w:val="fr-FR"/>
        </w:rPr>
        <w:t xml:space="preserve"> </w:t>
      </w:r>
      <w:r w:rsidR="001F1734" w:rsidRPr="00FA2E2E">
        <w:rPr>
          <w:lang w:val="fr-FR"/>
        </w:rPr>
        <w:t>d</w:t>
      </w:r>
      <w:r w:rsidR="00FE58E1" w:rsidRPr="00FA2E2E">
        <w:rPr>
          <w:lang w:val="fr-FR"/>
        </w:rPr>
        <w:t>’</w:t>
      </w:r>
      <w:r w:rsidR="001F1734" w:rsidRPr="00FA2E2E">
        <w:rPr>
          <w:lang w:val="fr-FR"/>
        </w:rPr>
        <w:t>extraction minière artisanale et à petite échelle d</w:t>
      </w:r>
      <w:r w:rsidR="00FE58E1" w:rsidRPr="00FA2E2E">
        <w:rPr>
          <w:lang w:val="fr-FR"/>
        </w:rPr>
        <w:t>’</w:t>
      </w:r>
      <w:r w:rsidR="001F1734" w:rsidRPr="00FA2E2E">
        <w:rPr>
          <w:lang w:val="fr-FR"/>
        </w:rPr>
        <w:t>or peuvent présenter</w:t>
      </w:r>
      <w:r w:rsidR="00D31AFF" w:rsidRPr="00FA2E2E">
        <w:rPr>
          <w:lang w:val="fr-FR"/>
        </w:rPr>
        <w:t xml:space="preserve"> </w:t>
      </w:r>
      <w:r w:rsidR="001F1734" w:rsidRPr="00FA2E2E">
        <w:rPr>
          <w:lang w:val="fr-FR"/>
        </w:rPr>
        <w:t>un mélange de travailleurs temporaires et permanents</w:t>
      </w:r>
      <w:r w:rsidR="00903388" w:rsidRPr="00FA2E2E">
        <w:rPr>
          <w:lang w:val="fr-FR"/>
        </w:rPr>
        <w:t>.</w:t>
      </w:r>
      <w:r w:rsidR="00D31AFF" w:rsidRPr="00FA2E2E">
        <w:rPr>
          <w:lang w:val="fr-FR"/>
        </w:rPr>
        <w:t xml:space="preserve"> </w:t>
      </w:r>
      <w:r w:rsidR="00B0315B" w:rsidRPr="00FA2E2E">
        <w:rPr>
          <w:lang w:val="fr-FR"/>
        </w:rPr>
        <w:t>Les activités</w:t>
      </w:r>
      <w:r w:rsidR="00903388" w:rsidRPr="00FA2E2E">
        <w:rPr>
          <w:lang w:val="fr-FR"/>
        </w:rPr>
        <w:t xml:space="preserve"> </w:t>
      </w:r>
      <w:r w:rsidR="00B0315B" w:rsidRPr="00FA2E2E">
        <w:rPr>
          <w:lang w:val="fr-FR"/>
        </w:rPr>
        <w:t>d</w:t>
      </w:r>
      <w:r w:rsidR="00FE58E1" w:rsidRPr="00FA2E2E">
        <w:rPr>
          <w:lang w:val="fr-FR"/>
        </w:rPr>
        <w:t>’</w:t>
      </w:r>
      <w:r w:rsidR="00B0315B" w:rsidRPr="00FA2E2E">
        <w:rPr>
          <w:lang w:val="fr-FR"/>
        </w:rPr>
        <w:t>extraction minière artisanale et à petite échelle d</w:t>
      </w:r>
      <w:r w:rsidR="00FE58E1" w:rsidRPr="00FA2E2E">
        <w:rPr>
          <w:lang w:val="fr-FR"/>
        </w:rPr>
        <w:t>’</w:t>
      </w:r>
      <w:r w:rsidR="00B0315B" w:rsidRPr="00FA2E2E">
        <w:rPr>
          <w:lang w:val="fr-FR"/>
        </w:rPr>
        <w:t>or sont également considérées comme illégales dans certains endroits, ce qui peut constituer un obstacle à une mobilisation effective</w:t>
      </w:r>
      <w:r w:rsidR="00D31AFF" w:rsidRPr="00FA2E2E">
        <w:rPr>
          <w:lang w:val="fr-FR"/>
        </w:rPr>
        <w:t>.</w:t>
      </w:r>
      <w:r w:rsidR="00B0315B" w:rsidRPr="00FA2E2E">
        <w:rPr>
          <w:lang w:val="fr-FR"/>
        </w:rPr>
        <w:t xml:space="preserve"> Le profil de la communauté menacée devrait être soigneusement examiné avant d</w:t>
      </w:r>
      <w:r w:rsidR="00FE58E1" w:rsidRPr="00FA2E2E">
        <w:rPr>
          <w:lang w:val="fr-FR"/>
        </w:rPr>
        <w:t>’</w:t>
      </w:r>
      <w:r w:rsidR="00B0315B" w:rsidRPr="00FA2E2E">
        <w:rPr>
          <w:lang w:val="fr-FR"/>
        </w:rPr>
        <w:t>entreprendre toute initiative visant à élaborer un programme de mobilisation</w:t>
      </w:r>
      <w:r w:rsidR="006E6221" w:rsidRPr="00FA2E2E">
        <w:rPr>
          <w:lang w:val="fr-FR"/>
        </w:rPr>
        <w:t>,</w:t>
      </w:r>
      <w:r w:rsidR="00D31AFF" w:rsidRPr="00FA2E2E">
        <w:rPr>
          <w:lang w:val="fr-FR"/>
        </w:rPr>
        <w:t xml:space="preserve"> </w:t>
      </w:r>
      <w:r w:rsidR="00B0315B" w:rsidRPr="00FA2E2E">
        <w:rPr>
          <w:lang w:val="fr-FR"/>
        </w:rPr>
        <w:t>et d</w:t>
      </w:r>
      <w:r w:rsidR="00FE58E1" w:rsidRPr="00FA2E2E">
        <w:rPr>
          <w:lang w:val="fr-FR"/>
        </w:rPr>
        <w:t>’</w:t>
      </w:r>
      <w:r w:rsidR="00B0315B" w:rsidRPr="00FA2E2E">
        <w:rPr>
          <w:lang w:val="fr-FR"/>
        </w:rPr>
        <w:t>éventuels représentants des mineurs informels, des établissements locaux et des professionnels des soins de santé devraient être identifiés afin d</w:t>
      </w:r>
      <w:r w:rsidR="00FE58E1" w:rsidRPr="00FA2E2E">
        <w:rPr>
          <w:lang w:val="fr-FR"/>
        </w:rPr>
        <w:t>’</w:t>
      </w:r>
      <w:r w:rsidR="00B0315B" w:rsidRPr="00FA2E2E">
        <w:rPr>
          <w:lang w:val="fr-FR"/>
        </w:rPr>
        <w:t>aider à élaborer la procédure de mobilisation</w:t>
      </w:r>
      <w:r w:rsidR="00D31AFF" w:rsidRPr="00FA2E2E">
        <w:rPr>
          <w:lang w:val="fr-FR"/>
        </w:rPr>
        <w:t>.</w:t>
      </w:r>
      <w:r w:rsidR="00B0315B" w:rsidRPr="00FA2E2E">
        <w:rPr>
          <w:lang w:val="fr-FR"/>
        </w:rPr>
        <w:t xml:space="preserve"> Toutes ces activités devraient être entreprise</w:t>
      </w:r>
      <w:r w:rsidR="00B35EC8" w:rsidRPr="00FA2E2E">
        <w:rPr>
          <w:lang w:val="fr-FR"/>
        </w:rPr>
        <w:t>s</w:t>
      </w:r>
      <w:r w:rsidR="00B0315B" w:rsidRPr="00FA2E2E">
        <w:rPr>
          <w:lang w:val="fr-FR"/>
        </w:rPr>
        <w:t xml:space="preserve"> dans le contexte du plan d</w:t>
      </w:r>
      <w:r w:rsidR="00FE58E1" w:rsidRPr="00FA2E2E">
        <w:rPr>
          <w:lang w:val="fr-FR"/>
        </w:rPr>
        <w:t>’</w:t>
      </w:r>
      <w:r w:rsidR="00B0315B" w:rsidRPr="00FA2E2E">
        <w:rPr>
          <w:lang w:val="fr-FR"/>
        </w:rPr>
        <w:t>action national de la Partie</w:t>
      </w:r>
      <w:r w:rsidR="00B35EC8" w:rsidRPr="00FA2E2E">
        <w:rPr>
          <w:lang w:val="fr-FR"/>
        </w:rPr>
        <w:t xml:space="preserve"> au titre de l</w:t>
      </w:r>
      <w:r w:rsidR="00FE58E1" w:rsidRPr="00FA2E2E">
        <w:rPr>
          <w:lang w:val="fr-FR"/>
        </w:rPr>
        <w:t>’</w:t>
      </w:r>
      <w:r w:rsidR="00B35EC8" w:rsidRPr="00FA2E2E">
        <w:rPr>
          <w:lang w:val="fr-FR"/>
        </w:rPr>
        <w:t>article 7 de la Convention de Minamata et être conformes audit plan</w:t>
      </w:r>
      <w:r w:rsidR="00DD0FCB" w:rsidRPr="00FA2E2E">
        <w:rPr>
          <w:lang w:val="fr-FR"/>
        </w:rPr>
        <w:t>.</w:t>
      </w:r>
    </w:p>
    <w:p w14:paraId="4D8B22A1" w14:textId="6D862E1F" w:rsidR="00D31AFF" w:rsidRPr="00FA2E2E" w:rsidRDefault="00B35EC8" w:rsidP="006D69D3">
      <w:pPr>
        <w:pStyle w:val="Normalnumber"/>
        <w:rPr>
          <w:lang w:val="fr-FR"/>
        </w:rPr>
      </w:pPr>
      <w:r w:rsidRPr="00FA2E2E">
        <w:rPr>
          <w:lang w:val="fr-FR"/>
        </w:rPr>
        <w:t>Dans la mesure où l</w:t>
      </w:r>
      <w:r w:rsidR="00FE58E1" w:rsidRPr="00FA2E2E">
        <w:rPr>
          <w:lang w:val="fr-FR"/>
        </w:rPr>
        <w:t>’</w:t>
      </w:r>
      <w:r w:rsidRPr="00FA2E2E">
        <w:rPr>
          <w:lang w:val="fr-FR"/>
        </w:rPr>
        <w:t>activité</w:t>
      </w:r>
      <w:r w:rsidR="00D31AFF" w:rsidRPr="00FA2E2E">
        <w:rPr>
          <w:lang w:val="fr-FR"/>
        </w:rPr>
        <w:t xml:space="preserve"> </w:t>
      </w:r>
      <w:r w:rsidRPr="00FA2E2E">
        <w:rPr>
          <w:lang w:val="fr-FR"/>
        </w:rPr>
        <w:t>d</w:t>
      </w:r>
      <w:r w:rsidR="00FE58E1" w:rsidRPr="00FA2E2E">
        <w:rPr>
          <w:lang w:val="fr-FR"/>
        </w:rPr>
        <w:t>’</w:t>
      </w:r>
      <w:r w:rsidRPr="00FA2E2E">
        <w:rPr>
          <w:lang w:val="fr-FR"/>
        </w:rPr>
        <w:t>extraction minière artisanale et à petite échelle d</w:t>
      </w:r>
      <w:r w:rsidR="00FE58E1" w:rsidRPr="00FA2E2E">
        <w:rPr>
          <w:lang w:val="fr-FR"/>
        </w:rPr>
        <w:t>’</w:t>
      </w:r>
      <w:r w:rsidRPr="00FA2E2E">
        <w:rPr>
          <w:lang w:val="fr-FR"/>
        </w:rPr>
        <w:t>or peut être la seule activité économique dans certains endroits, un plan d</w:t>
      </w:r>
      <w:r w:rsidR="00FE58E1" w:rsidRPr="00FA2E2E">
        <w:rPr>
          <w:lang w:val="fr-FR"/>
        </w:rPr>
        <w:t>’</w:t>
      </w:r>
      <w:r w:rsidRPr="00FA2E2E">
        <w:rPr>
          <w:lang w:val="fr-FR"/>
        </w:rPr>
        <w:t xml:space="preserve">action local devra peut-être être élaboré en collaboration avec des représentants locaux </w:t>
      </w:r>
      <w:r w:rsidR="000A2AD5" w:rsidRPr="00FA2E2E">
        <w:rPr>
          <w:lang w:val="fr-FR"/>
        </w:rPr>
        <w:t xml:space="preserve">pour </w:t>
      </w:r>
      <w:r w:rsidRPr="00FA2E2E">
        <w:rPr>
          <w:lang w:val="fr-FR"/>
        </w:rPr>
        <w:t xml:space="preserve">informer et appuyer les mineurs </w:t>
      </w:r>
      <w:r w:rsidR="000A2AD5" w:rsidRPr="00FA2E2E">
        <w:rPr>
          <w:lang w:val="fr-FR"/>
        </w:rPr>
        <w:t>aux fins d</w:t>
      </w:r>
      <w:r w:rsidR="00FE58E1" w:rsidRPr="00FA2E2E">
        <w:rPr>
          <w:lang w:val="fr-FR"/>
        </w:rPr>
        <w:t>’</w:t>
      </w:r>
      <w:r w:rsidR="000A2AD5" w:rsidRPr="00FA2E2E">
        <w:rPr>
          <w:lang w:val="fr-FR"/>
        </w:rPr>
        <w:t>une cessation rapide de l</w:t>
      </w:r>
      <w:r w:rsidR="00FE58E1" w:rsidRPr="00FA2E2E">
        <w:rPr>
          <w:lang w:val="fr-FR"/>
        </w:rPr>
        <w:t>’</w:t>
      </w:r>
      <w:r w:rsidR="000A2AD5" w:rsidRPr="00FA2E2E">
        <w:rPr>
          <w:lang w:val="fr-FR"/>
        </w:rPr>
        <w:t>utilisation du mercure, identifier et isoler les foyers contaminés, mettre en œuvre des mesures de surveillance et d</w:t>
      </w:r>
      <w:r w:rsidR="00FE58E1" w:rsidRPr="00FA2E2E">
        <w:rPr>
          <w:lang w:val="fr-FR"/>
        </w:rPr>
        <w:t>’</w:t>
      </w:r>
      <w:r w:rsidR="000A2AD5" w:rsidRPr="00FA2E2E">
        <w:rPr>
          <w:lang w:val="fr-FR"/>
        </w:rPr>
        <w:t>intervention en matière santé et gérer ou remettre en état les sites</w:t>
      </w:r>
      <w:r w:rsidR="00D31AFF" w:rsidRPr="00FA2E2E">
        <w:rPr>
          <w:lang w:val="fr-FR"/>
        </w:rPr>
        <w:t xml:space="preserve">. </w:t>
      </w:r>
      <w:r w:rsidR="000A2AD5" w:rsidRPr="00FA2E2E">
        <w:rPr>
          <w:lang w:val="fr-FR"/>
        </w:rPr>
        <w:t>La réduction ou l</w:t>
      </w:r>
      <w:r w:rsidR="00FE58E1" w:rsidRPr="00FA2E2E">
        <w:rPr>
          <w:lang w:val="fr-FR"/>
        </w:rPr>
        <w:t>’</w:t>
      </w:r>
      <w:r w:rsidR="000A2AD5" w:rsidRPr="00FA2E2E">
        <w:rPr>
          <w:lang w:val="fr-FR"/>
        </w:rPr>
        <w:t>élimination de l</w:t>
      </w:r>
      <w:r w:rsidR="00FE58E1" w:rsidRPr="00FA2E2E">
        <w:rPr>
          <w:lang w:val="fr-FR"/>
        </w:rPr>
        <w:t>’</w:t>
      </w:r>
      <w:r w:rsidR="000A2AD5" w:rsidRPr="00FA2E2E">
        <w:rPr>
          <w:lang w:val="fr-FR"/>
        </w:rPr>
        <w:t>utilisation du mercure dans l</w:t>
      </w:r>
      <w:r w:rsidR="00FE58E1" w:rsidRPr="00FA2E2E">
        <w:rPr>
          <w:lang w:val="fr-FR"/>
        </w:rPr>
        <w:t>’</w:t>
      </w:r>
      <w:r w:rsidR="000A2AD5" w:rsidRPr="00FA2E2E">
        <w:rPr>
          <w:lang w:val="fr-FR"/>
        </w:rPr>
        <w:t>extraction minière artisanale et à petite échelle d</w:t>
      </w:r>
      <w:r w:rsidR="00FE58E1" w:rsidRPr="00FA2E2E">
        <w:rPr>
          <w:lang w:val="fr-FR"/>
        </w:rPr>
        <w:t>’</w:t>
      </w:r>
      <w:r w:rsidR="000A2AD5" w:rsidRPr="00FA2E2E">
        <w:rPr>
          <w:lang w:val="fr-FR"/>
        </w:rPr>
        <w:t>or représente l</w:t>
      </w:r>
      <w:r w:rsidR="00FE58E1" w:rsidRPr="00FA2E2E">
        <w:rPr>
          <w:lang w:val="fr-FR"/>
        </w:rPr>
        <w:t>’</w:t>
      </w:r>
      <w:r w:rsidR="000A2AD5" w:rsidRPr="00FA2E2E">
        <w:rPr>
          <w:lang w:val="fr-FR"/>
        </w:rPr>
        <w:t>approche privilégiée</w:t>
      </w:r>
      <w:r w:rsidR="00DD0FCB" w:rsidRPr="00FA2E2E">
        <w:rPr>
          <w:lang w:val="fr-FR"/>
        </w:rPr>
        <w:t xml:space="preserve">, </w:t>
      </w:r>
      <w:r w:rsidR="000A2AD5" w:rsidRPr="00FA2E2E">
        <w:rPr>
          <w:lang w:val="fr-FR"/>
        </w:rPr>
        <w:t>la prévention de la contamination étant systématiquement moins coûteuse que la remise en état</w:t>
      </w:r>
      <w:r w:rsidR="00DD0FCB" w:rsidRPr="00FA2E2E">
        <w:rPr>
          <w:lang w:val="fr-FR"/>
        </w:rPr>
        <w:t>.</w:t>
      </w:r>
      <w:r w:rsidR="00E4622F" w:rsidRPr="00FA2E2E">
        <w:rPr>
          <w:lang w:val="fr-FR"/>
        </w:rPr>
        <w:t xml:space="preserve"> En adoptant cette approche holistique avec l</w:t>
      </w:r>
      <w:r w:rsidR="00FE58E1" w:rsidRPr="00FA2E2E">
        <w:rPr>
          <w:lang w:val="fr-FR"/>
        </w:rPr>
        <w:t>’</w:t>
      </w:r>
      <w:r w:rsidR="00E4622F" w:rsidRPr="00FA2E2E">
        <w:rPr>
          <w:lang w:val="fr-FR"/>
        </w:rPr>
        <w:t>appui de la communauté, les problèmes liés à la contamination dynamique du mercure peuvent être réduits ou même éliminés, permettant une gestion efficace de la contamination des sites</w:t>
      </w:r>
      <w:r w:rsidR="00D31AFF" w:rsidRPr="00FA2E2E">
        <w:rPr>
          <w:lang w:val="fr-FR"/>
        </w:rPr>
        <w:t xml:space="preserve">. </w:t>
      </w:r>
      <w:r w:rsidR="00E4622F" w:rsidRPr="00FA2E2E">
        <w:rPr>
          <w:lang w:val="fr-FR"/>
        </w:rPr>
        <w:t>Un plan d</w:t>
      </w:r>
      <w:r w:rsidR="00FE58E1" w:rsidRPr="00FA2E2E">
        <w:rPr>
          <w:lang w:val="fr-FR"/>
        </w:rPr>
        <w:t>’</w:t>
      </w:r>
      <w:r w:rsidR="00E4622F" w:rsidRPr="00FA2E2E">
        <w:rPr>
          <w:lang w:val="fr-FR"/>
        </w:rPr>
        <w:t>action</w:t>
      </w:r>
      <w:r w:rsidR="00D31AFF" w:rsidRPr="00FA2E2E">
        <w:rPr>
          <w:lang w:val="fr-FR"/>
        </w:rPr>
        <w:t xml:space="preserve"> </w:t>
      </w:r>
      <w:r w:rsidR="006E6221" w:rsidRPr="00FA2E2E">
        <w:rPr>
          <w:lang w:val="fr-FR"/>
        </w:rPr>
        <w:t>l</w:t>
      </w:r>
      <w:r w:rsidR="00D31AFF" w:rsidRPr="00FA2E2E">
        <w:rPr>
          <w:lang w:val="fr-FR"/>
        </w:rPr>
        <w:t xml:space="preserve">ocal </w:t>
      </w:r>
      <w:r w:rsidR="00E4622F" w:rsidRPr="00FA2E2E">
        <w:rPr>
          <w:lang w:val="fr-FR"/>
        </w:rPr>
        <w:t>appuyé par</w:t>
      </w:r>
      <w:r w:rsidR="003374B7" w:rsidRPr="00FA2E2E">
        <w:rPr>
          <w:lang w:val="fr-FR"/>
        </w:rPr>
        <w:t xml:space="preserve"> des responsables gouvernementaux en coopération avec les communautés touchées peut également comprendre des scénarios pour des moyens de subsistance de remplacement pour les mineurs</w:t>
      </w:r>
      <w:r w:rsidR="006E6221" w:rsidRPr="00FA2E2E">
        <w:rPr>
          <w:lang w:val="fr-FR"/>
        </w:rPr>
        <w:t>,</w:t>
      </w:r>
      <w:r w:rsidR="003374B7" w:rsidRPr="00FA2E2E">
        <w:rPr>
          <w:lang w:val="fr-FR"/>
        </w:rPr>
        <w:t xml:space="preserve"> réduisant </w:t>
      </w:r>
      <w:r w:rsidR="00FE4750" w:rsidRPr="00FA2E2E">
        <w:rPr>
          <w:lang w:val="fr-FR"/>
        </w:rPr>
        <w:t xml:space="preserve">ainsi </w:t>
      </w:r>
      <w:r w:rsidR="003374B7" w:rsidRPr="00FA2E2E">
        <w:rPr>
          <w:lang w:val="fr-FR"/>
        </w:rPr>
        <w:t>l</w:t>
      </w:r>
      <w:r w:rsidR="00FE58E1" w:rsidRPr="00FA2E2E">
        <w:rPr>
          <w:lang w:val="fr-FR"/>
        </w:rPr>
        <w:t>’</w:t>
      </w:r>
      <w:r w:rsidR="003374B7" w:rsidRPr="00FA2E2E">
        <w:rPr>
          <w:lang w:val="fr-FR"/>
        </w:rPr>
        <w:t>opposition de la communauté à l</w:t>
      </w:r>
      <w:r w:rsidR="00FE58E1" w:rsidRPr="00FA2E2E">
        <w:rPr>
          <w:lang w:val="fr-FR"/>
        </w:rPr>
        <w:t>’</w:t>
      </w:r>
      <w:r w:rsidR="003374B7" w:rsidRPr="00FA2E2E">
        <w:rPr>
          <w:lang w:val="fr-FR"/>
        </w:rPr>
        <w:t>élimination de l</w:t>
      </w:r>
      <w:r w:rsidR="00FE58E1" w:rsidRPr="00FA2E2E">
        <w:rPr>
          <w:lang w:val="fr-FR"/>
        </w:rPr>
        <w:t>’</w:t>
      </w:r>
      <w:r w:rsidR="003374B7" w:rsidRPr="00FA2E2E">
        <w:rPr>
          <w:lang w:val="fr-FR"/>
        </w:rPr>
        <w:t>utilisation du mercure et le potentiel de contamination</w:t>
      </w:r>
      <w:r w:rsidR="00D31AFF" w:rsidRPr="00FA2E2E">
        <w:rPr>
          <w:lang w:val="fr-FR"/>
        </w:rPr>
        <w:t xml:space="preserve"> </w:t>
      </w:r>
      <w:r w:rsidR="003374B7" w:rsidRPr="00FA2E2E">
        <w:rPr>
          <w:lang w:val="fr-FR"/>
        </w:rPr>
        <w:t>continue</w:t>
      </w:r>
      <w:r w:rsidR="00D31AFF" w:rsidRPr="00FA2E2E">
        <w:rPr>
          <w:lang w:val="fr-FR"/>
        </w:rPr>
        <w:t>.</w:t>
      </w:r>
    </w:p>
    <w:p w14:paraId="6DBC63C3" w14:textId="47AE1651" w:rsidR="00D31AFF" w:rsidRPr="00FA2E2E" w:rsidRDefault="003374B7" w:rsidP="006D69D3">
      <w:pPr>
        <w:pStyle w:val="Normalnumber"/>
        <w:rPr>
          <w:lang w:val="fr-FR"/>
        </w:rPr>
      </w:pPr>
      <w:r w:rsidRPr="00FA2E2E">
        <w:rPr>
          <w:lang w:val="fr-FR"/>
        </w:rPr>
        <w:t xml:space="preserve">Les mesures techniques </w:t>
      </w:r>
      <w:r w:rsidR="00BC38C0" w:rsidRPr="00FA2E2E">
        <w:rPr>
          <w:lang w:val="fr-FR"/>
        </w:rPr>
        <w:t>de</w:t>
      </w:r>
      <w:r w:rsidRPr="00FA2E2E">
        <w:rPr>
          <w:lang w:val="fr-FR"/>
        </w:rPr>
        <w:t xml:space="preserve"> gestion et </w:t>
      </w:r>
      <w:r w:rsidR="00BC38C0" w:rsidRPr="00FA2E2E">
        <w:rPr>
          <w:lang w:val="fr-FR"/>
        </w:rPr>
        <w:t>de</w:t>
      </w:r>
      <w:r w:rsidRPr="00FA2E2E">
        <w:rPr>
          <w:lang w:val="fr-FR"/>
        </w:rPr>
        <w:t xml:space="preserve"> remise en état des sites d</w:t>
      </w:r>
      <w:r w:rsidR="00FE58E1" w:rsidRPr="00FA2E2E">
        <w:rPr>
          <w:lang w:val="fr-FR"/>
        </w:rPr>
        <w:t>’</w:t>
      </w:r>
      <w:r w:rsidRPr="00FA2E2E">
        <w:rPr>
          <w:lang w:val="fr-FR"/>
        </w:rPr>
        <w:t>extraction minière artisanale et à petite échelle d</w:t>
      </w:r>
      <w:r w:rsidR="00FE58E1" w:rsidRPr="00FA2E2E">
        <w:rPr>
          <w:lang w:val="fr-FR"/>
        </w:rPr>
        <w:t>’</w:t>
      </w:r>
      <w:r w:rsidRPr="00FA2E2E">
        <w:rPr>
          <w:lang w:val="fr-FR"/>
        </w:rPr>
        <w:t xml:space="preserve">or contaminés devraient tenir compte du fait que les sites </w:t>
      </w:r>
      <w:r w:rsidR="0087179B" w:rsidRPr="00FA2E2E">
        <w:rPr>
          <w:lang w:val="fr-FR"/>
        </w:rPr>
        <w:t>peuvent</w:t>
      </w:r>
      <w:r w:rsidRPr="00FA2E2E">
        <w:rPr>
          <w:lang w:val="fr-FR"/>
        </w:rPr>
        <w:t xml:space="preserve"> être situés dans des </w:t>
      </w:r>
      <w:r w:rsidR="00BC38C0" w:rsidRPr="00FA2E2E">
        <w:rPr>
          <w:lang w:val="fr-FR"/>
        </w:rPr>
        <w:t>zones reculées difficilement accessibles</w:t>
      </w:r>
      <w:r w:rsidR="00D31AFF" w:rsidRPr="00FA2E2E">
        <w:rPr>
          <w:lang w:val="fr-FR"/>
        </w:rPr>
        <w:t>.</w:t>
      </w:r>
      <w:r w:rsidR="00BC38C0" w:rsidRPr="00FA2E2E">
        <w:rPr>
          <w:lang w:val="fr-FR"/>
        </w:rPr>
        <w:t xml:space="preserve"> Si l</w:t>
      </w:r>
      <w:r w:rsidR="00FE58E1" w:rsidRPr="00FA2E2E">
        <w:rPr>
          <w:lang w:val="fr-FR"/>
        </w:rPr>
        <w:t>’</w:t>
      </w:r>
      <w:r w:rsidR="00BC38C0" w:rsidRPr="00FA2E2E">
        <w:rPr>
          <w:lang w:val="fr-FR"/>
        </w:rPr>
        <w:t>objectif du plan de gestion est de traiter le milieu contaminé afin d</w:t>
      </w:r>
      <w:r w:rsidR="00FE58E1" w:rsidRPr="00FA2E2E">
        <w:rPr>
          <w:lang w:val="fr-FR"/>
        </w:rPr>
        <w:t>’</w:t>
      </w:r>
      <w:r w:rsidR="00BC38C0" w:rsidRPr="00FA2E2E">
        <w:rPr>
          <w:lang w:val="fr-FR"/>
        </w:rPr>
        <w:t>éliminer le mercure, soit des équipements devront être amenés sur le lieu touché, soit les sols et les sédiments devront être transportés jusqu</w:t>
      </w:r>
      <w:r w:rsidR="00FE58E1" w:rsidRPr="00FA2E2E">
        <w:rPr>
          <w:lang w:val="fr-FR"/>
        </w:rPr>
        <w:t>’</w:t>
      </w:r>
      <w:r w:rsidR="00BC38C0" w:rsidRPr="00FA2E2E">
        <w:rPr>
          <w:lang w:val="fr-FR"/>
        </w:rPr>
        <w:t>à des installations de traitement existantes</w:t>
      </w:r>
      <w:r w:rsidR="00D31AFF" w:rsidRPr="00FA2E2E">
        <w:rPr>
          <w:lang w:val="fr-FR"/>
        </w:rPr>
        <w:t>.</w:t>
      </w:r>
      <w:r w:rsidR="00BC38C0" w:rsidRPr="00FA2E2E">
        <w:rPr>
          <w:lang w:val="fr-FR"/>
        </w:rPr>
        <w:t xml:space="preserve"> Dans la plupart des cas, le coût de ce dernier scénario s</w:t>
      </w:r>
      <w:r w:rsidR="00FE58E1" w:rsidRPr="00FA2E2E">
        <w:rPr>
          <w:lang w:val="fr-FR"/>
        </w:rPr>
        <w:t>’</w:t>
      </w:r>
      <w:r w:rsidR="00BC38C0" w:rsidRPr="00FA2E2E">
        <w:rPr>
          <w:lang w:val="fr-FR"/>
        </w:rPr>
        <w:t>avèrera prohibitif</w:t>
      </w:r>
      <w:r w:rsidR="00D31AFF" w:rsidRPr="00FA2E2E">
        <w:rPr>
          <w:lang w:val="fr-FR"/>
        </w:rPr>
        <w:t>.</w:t>
      </w:r>
      <w:r w:rsidR="00BC38C0" w:rsidRPr="00FA2E2E">
        <w:rPr>
          <w:lang w:val="fr-FR"/>
        </w:rPr>
        <w:t xml:space="preserve"> En conséquence, les méthodes et techniques standard pour la décontamination des sols, des sédiments et des boues</w:t>
      </w:r>
      <w:r w:rsidR="00F50B8C" w:rsidRPr="00FA2E2E">
        <w:rPr>
          <w:lang w:val="fr-FR"/>
        </w:rPr>
        <w:t xml:space="preserve"> reposant sur des techniques </w:t>
      </w:r>
      <w:r w:rsidR="00D31AFF" w:rsidRPr="00FA2E2E">
        <w:rPr>
          <w:lang w:val="fr-FR"/>
        </w:rPr>
        <w:t>ex-situ (</w:t>
      </w:r>
      <w:r w:rsidR="00F50B8C" w:rsidRPr="00FA2E2E">
        <w:rPr>
          <w:lang w:val="fr-FR"/>
        </w:rPr>
        <w:t>généralement sur des sites industriels</w:t>
      </w:r>
      <w:r w:rsidR="00D31AFF" w:rsidRPr="00FA2E2E">
        <w:rPr>
          <w:lang w:val="fr-FR"/>
        </w:rPr>
        <w:t>)</w:t>
      </w:r>
      <w:r w:rsidR="00F50B8C" w:rsidRPr="00FA2E2E">
        <w:rPr>
          <w:lang w:val="fr-FR"/>
        </w:rPr>
        <w:t xml:space="preserve"> devront peut-être être adaptées afin de permettre que des technologies plus petites, modulaires, transportables et écologiquement rationnelles soient </w:t>
      </w:r>
      <w:r w:rsidR="00FE4750" w:rsidRPr="00FA2E2E">
        <w:rPr>
          <w:lang w:val="fr-FR"/>
        </w:rPr>
        <w:t>acheminées vers</w:t>
      </w:r>
      <w:r w:rsidR="00F50B8C" w:rsidRPr="00FA2E2E">
        <w:rPr>
          <w:lang w:val="fr-FR"/>
        </w:rPr>
        <w:t xml:space="preserve"> le site contaminé </w:t>
      </w:r>
      <w:r w:rsidR="0087179B" w:rsidRPr="00FA2E2E">
        <w:rPr>
          <w:lang w:val="fr-FR"/>
        </w:rPr>
        <w:t>pour</w:t>
      </w:r>
      <w:r w:rsidR="00F50B8C" w:rsidRPr="00FA2E2E">
        <w:rPr>
          <w:lang w:val="fr-FR"/>
        </w:rPr>
        <w:t xml:space="preserve"> traiter les matériaux contaminés</w:t>
      </w:r>
      <w:r w:rsidR="00D31AFF" w:rsidRPr="00FA2E2E">
        <w:rPr>
          <w:lang w:val="fr-FR"/>
        </w:rPr>
        <w:t xml:space="preserve">. </w:t>
      </w:r>
      <w:r w:rsidR="006468EB" w:rsidRPr="00FA2E2E">
        <w:rPr>
          <w:lang w:val="fr-FR"/>
        </w:rPr>
        <w:t>Dans le cas de l</w:t>
      </w:r>
      <w:r w:rsidR="00FE58E1" w:rsidRPr="00FA2E2E">
        <w:rPr>
          <w:lang w:val="fr-FR"/>
        </w:rPr>
        <w:t>’</w:t>
      </w:r>
      <w:r w:rsidR="006468EB" w:rsidRPr="00FA2E2E">
        <w:rPr>
          <w:lang w:val="fr-FR"/>
        </w:rPr>
        <w:t>eau contaminée,</w:t>
      </w:r>
      <w:r w:rsidR="00D31AFF" w:rsidRPr="00FA2E2E">
        <w:rPr>
          <w:lang w:val="fr-FR"/>
        </w:rPr>
        <w:t xml:space="preserve"> </w:t>
      </w:r>
      <w:r w:rsidR="006468EB" w:rsidRPr="00FA2E2E">
        <w:rPr>
          <w:lang w:val="fr-FR"/>
        </w:rPr>
        <w:t>il s</w:t>
      </w:r>
      <w:r w:rsidR="00FE58E1" w:rsidRPr="00FA2E2E">
        <w:rPr>
          <w:lang w:val="fr-FR"/>
        </w:rPr>
        <w:t>’</w:t>
      </w:r>
      <w:r w:rsidR="006468EB" w:rsidRPr="00FA2E2E">
        <w:rPr>
          <w:lang w:val="fr-FR"/>
        </w:rPr>
        <w:t>agira probablement de la seule option possible</w:t>
      </w:r>
      <w:r w:rsidR="00D31AFF" w:rsidRPr="00FA2E2E">
        <w:rPr>
          <w:lang w:val="fr-FR"/>
        </w:rPr>
        <w:t>.</w:t>
      </w:r>
    </w:p>
    <w:p w14:paraId="6F4C118B" w14:textId="571C7ECB" w:rsidR="00D31AFF" w:rsidRPr="00FA2E2E" w:rsidRDefault="00315A66" w:rsidP="006D69D3">
      <w:pPr>
        <w:pStyle w:val="Normalnumber"/>
        <w:rPr>
          <w:lang w:val="fr-FR"/>
        </w:rPr>
      </w:pPr>
      <w:r w:rsidRPr="00FA2E2E">
        <w:rPr>
          <w:lang w:val="fr-FR"/>
        </w:rPr>
        <w:t xml:space="preserve">Dans les cas où il est possible de détecter des </w:t>
      </w:r>
      <w:r w:rsidR="00C65E82" w:rsidRPr="00FA2E2E">
        <w:rPr>
          <w:lang w:val="fr-FR"/>
        </w:rPr>
        <w:t>masses</w:t>
      </w:r>
      <w:r w:rsidRPr="00FA2E2E">
        <w:rPr>
          <w:lang w:val="fr-FR"/>
        </w:rPr>
        <w:t xml:space="preserve"> de mercure provenant d</w:t>
      </w:r>
      <w:r w:rsidR="00FE58E1" w:rsidRPr="00FA2E2E">
        <w:rPr>
          <w:lang w:val="fr-FR"/>
        </w:rPr>
        <w:t>’</w:t>
      </w:r>
      <w:r w:rsidRPr="00FA2E2E">
        <w:rPr>
          <w:lang w:val="fr-FR"/>
        </w:rPr>
        <w:t>activités</w:t>
      </w:r>
      <w:r w:rsidR="00D31AFF" w:rsidRPr="00FA2E2E">
        <w:rPr>
          <w:lang w:val="fr-FR"/>
        </w:rPr>
        <w:t xml:space="preserve"> </w:t>
      </w:r>
      <w:r w:rsidRPr="00FA2E2E">
        <w:rPr>
          <w:lang w:val="fr-FR"/>
        </w:rPr>
        <w:t>d</w:t>
      </w:r>
      <w:r w:rsidR="00FE58E1" w:rsidRPr="00FA2E2E">
        <w:rPr>
          <w:lang w:val="fr-FR"/>
        </w:rPr>
        <w:t>’</w:t>
      </w:r>
      <w:r w:rsidRPr="00FA2E2E">
        <w:rPr>
          <w:lang w:val="fr-FR"/>
        </w:rPr>
        <w:t>extraction minière artisanale et à petite échelle d</w:t>
      </w:r>
      <w:r w:rsidR="00FE58E1" w:rsidRPr="00FA2E2E">
        <w:rPr>
          <w:lang w:val="fr-FR"/>
        </w:rPr>
        <w:t>’</w:t>
      </w:r>
      <w:r w:rsidRPr="00FA2E2E">
        <w:rPr>
          <w:lang w:val="fr-FR"/>
        </w:rPr>
        <w:t xml:space="preserve">or au fond de rivières, de lacs </w:t>
      </w:r>
      <w:r w:rsidR="0087179B" w:rsidRPr="00FA2E2E">
        <w:rPr>
          <w:lang w:val="fr-FR"/>
        </w:rPr>
        <w:t>ou</w:t>
      </w:r>
      <w:r w:rsidRPr="00FA2E2E">
        <w:rPr>
          <w:lang w:val="fr-FR"/>
        </w:rPr>
        <w:t xml:space="preserve"> de bassins de retenue en utilisant un système de télédétection comme </w:t>
      </w:r>
      <w:r w:rsidR="00D31AFF" w:rsidRPr="00FA2E2E">
        <w:rPr>
          <w:lang w:val="fr-FR"/>
        </w:rPr>
        <w:t xml:space="preserve">LiDAR, </w:t>
      </w:r>
      <w:r w:rsidRPr="00FA2E2E">
        <w:rPr>
          <w:lang w:val="fr-FR"/>
        </w:rPr>
        <w:t xml:space="preserve">des techniques ont été mises au point pour éliminer ces </w:t>
      </w:r>
      <w:r w:rsidR="00C65E82" w:rsidRPr="00FA2E2E">
        <w:rPr>
          <w:lang w:val="fr-FR"/>
        </w:rPr>
        <w:t>masses</w:t>
      </w:r>
      <w:r w:rsidRPr="00FA2E2E">
        <w:rPr>
          <w:lang w:val="fr-FR"/>
        </w:rPr>
        <w:t xml:space="preserve"> sans que les sédiments ne subissent la perturbation significative qui peut se produire lorsqu</w:t>
      </w:r>
      <w:r w:rsidR="00FE58E1" w:rsidRPr="00FA2E2E">
        <w:rPr>
          <w:lang w:val="fr-FR"/>
        </w:rPr>
        <w:t>’</w:t>
      </w:r>
      <w:r w:rsidR="0087179B" w:rsidRPr="00FA2E2E">
        <w:rPr>
          <w:lang w:val="fr-FR"/>
        </w:rPr>
        <w:t>une</w:t>
      </w:r>
      <w:r w:rsidRPr="00FA2E2E">
        <w:rPr>
          <w:lang w:val="fr-FR"/>
        </w:rPr>
        <w:t xml:space="preserve"> technique de dragage est appliquée</w:t>
      </w:r>
      <w:r w:rsidR="00D31AFF" w:rsidRPr="00FA2E2E">
        <w:rPr>
          <w:lang w:val="fr-FR"/>
        </w:rPr>
        <w:t>.</w:t>
      </w:r>
    </w:p>
    <w:p w14:paraId="18CD679C" w14:textId="5E7D6563" w:rsidR="00AC6AEE" w:rsidRPr="00FA2E2E" w:rsidRDefault="006F2CCA" w:rsidP="006D69D3">
      <w:pPr>
        <w:pStyle w:val="Normalnumber"/>
        <w:rPr>
          <w:lang w:val="fr-FR"/>
        </w:rPr>
      </w:pPr>
      <w:r w:rsidRPr="00FA2E2E">
        <w:rPr>
          <w:lang w:val="fr-FR"/>
        </w:rPr>
        <w:t>Il convient de prendre des précautions lors</w:t>
      </w:r>
      <w:r w:rsidR="00F31484" w:rsidRPr="00FA2E2E">
        <w:rPr>
          <w:lang w:val="fr-FR"/>
        </w:rPr>
        <w:t xml:space="preserve"> du réaménagement </w:t>
      </w:r>
      <w:r w:rsidR="00FE4750" w:rsidRPr="00FA2E2E">
        <w:rPr>
          <w:lang w:val="fr-FR"/>
        </w:rPr>
        <w:t>d</w:t>
      </w:r>
      <w:r w:rsidR="00FE58E1" w:rsidRPr="00FA2E2E">
        <w:rPr>
          <w:lang w:val="fr-FR"/>
        </w:rPr>
        <w:t>’</w:t>
      </w:r>
      <w:r w:rsidR="00FE4750" w:rsidRPr="00FA2E2E">
        <w:rPr>
          <w:lang w:val="fr-FR"/>
        </w:rPr>
        <w:t>anciennes</w:t>
      </w:r>
      <w:r w:rsidR="00F31484" w:rsidRPr="00FA2E2E">
        <w:rPr>
          <w:lang w:val="fr-FR"/>
        </w:rPr>
        <w:t xml:space="preserve"> zones contaminées, certaines mesures de réhabilitation pouvant accroître la mobilité du mercure </w:t>
      </w:r>
      <w:r w:rsidR="00AC6AEE" w:rsidRPr="00FA2E2E">
        <w:rPr>
          <w:lang w:val="fr-FR"/>
        </w:rPr>
        <w:t>(Laperche</w:t>
      </w:r>
      <w:r w:rsidR="00626219" w:rsidRPr="00FA2E2E">
        <w:rPr>
          <w:lang w:val="fr-FR"/>
        </w:rPr>
        <w:t> </w:t>
      </w:r>
      <w:r w:rsidR="00F31484" w:rsidRPr="00FA2E2E">
        <w:rPr>
          <w:lang w:val="fr-FR"/>
        </w:rPr>
        <w:t>et</w:t>
      </w:r>
      <w:r w:rsidR="00626219" w:rsidRPr="00FA2E2E">
        <w:rPr>
          <w:lang w:val="fr-FR"/>
        </w:rPr>
        <w:t> </w:t>
      </w:r>
      <w:r w:rsidR="00AC6AEE" w:rsidRPr="00FA2E2E">
        <w:rPr>
          <w:lang w:val="fr-FR"/>
        </w:rPr>
        <w:t>Touzé,</w:t>
      </w:r>
      <w:r w:rsidR="00626219" w:rsidRPr="00FA2E2E">
        <w:rPr>
          <w:lang w:val="fr-FR"/>
        </w:rPr>
        <w:t> </w:t>
      </w:r>
      <w:r w:rsidR="00AC6AEE" w:rsidRPr="00FA2E2E">
        <w:rPr>
          <w:lang w:val="fr-FR"/>
        </w:rPr>
        <w:t>2014).</w:t>
      </w:r>
    </w:p>
    <w:p w14:paraId="5449FC4D" w14:textId="1336B1A2" w:rsidR="00D31AFF" w:rsidRPr="00FA2E2E" w:rsidRDefault="00D31AFF" w:rsidP="00F93F76">
      <w:pPr>
        <w:pStyle w:val="CH2"/>
        <w:rPr>
          <w:lang w:val="fr-FR"/>
        </w:rPr>
      </w:pPr>
      <w:r w:rsidRPr="00FA2E2E">
        <w:rPr>
          <w:lang w:val="fr-FR"/>
        </w:rPr>
        <w:tab/>
      </w:r>
      <w:bookmarkStart w:id="27" w:name="_Toc15920553"/>
      <w:r w:rsidRPr="00FA2E2E">
        <w:rPr>
          <w:lang w:val="fr-FR"/>
        </w:rPr>
        <w:t>F.</w:t>
      </w:r>
      <w:r w:rsidRPr="00FA2E2E">
        <w:rPr>
          <w:lang w:val="fr-FR"/>
        </w:rPr>
        <w:tab/>
      </w:r>
      <w:r w:rsidR="00F31484" w:rsidRPr="00FA2E2E">
        <w:rPr>
          <w:lang w:val="fr-FR"/>
        </w:rPr>
        <w:t>É</w:t>
      </w:r>
      <w:r w:rsidRPr="00FA2E2E">
        <w:rPr>
          <w:lang w:val="fr-FR"/>
        </w:rPr>
        <w:t xml:space="preserve">valuation </w:t>
      </w:r>
      <w:r w:rsidR="00F31484" w:rsidRPr="00FA2E2E">
        <w:rPr>
          <w:lang w:val="fr-FR"/>
        </w:rPr>
        <w:t xml:space="preserve">des </w:t>
      </w:r>
      <w:r w:rsidR="005848C8" w:rsidRPr="00FA2E2E">
        <w:rPr>
          <w:lang w:val="fr-FR"/>
        </w:rPr>
        <w:t>avantages</w:t>
      </w:r>
      <w:r w:rsidR="00F31484" w:rsidRPr="00FA2E2E">
        <w:rPr>
          <w:lang w:val="fr-FR"/>
        </w:rPr>
        <w:t xml:space="preserve"> et des coûts</w:t>
      </w:r>
      <w:bookmarkEnd w:id="27"/>
    </w:p>
    <w:p w14:paraId="16FCA8D3" w14:textId="601C5AFB" w:rsidR="00DD0FCB" w:rsidRPr="00FA2E2E" w:rsidRDefault="001C483D" w:rsidP="006D69D3">
      <w:pPr>
        <w:pStyle w:val="Normalnumber"/>
        <w:rPr>
          <w:lang w:val="fr-FR"/>
        </w:rPr>
      </w:pPr>
      <w:r w:rsidRPr="00FA2E2E">
        <w:rPr>
          <w:lang w:val="fr-FR"/>
        </w:rPr>
        <w:t>Les coûts probables et les avantages escomptés de l</w:t>
      </w:r>
      <w:r w:rsidR="00FE58E1" w:rsidRPr="00FA2E2E">
        <w:rPr>
          <w:lang w:val="fr-FR"/>
        </w:rPr>
        <w:t>’</w:t>
      </w:r>
      <w:r w:rsidRPr="00FA2E2E">
        <w:rPr>
          <w:lang w:val="fr-FR"/>
        </w:rPr>
        <w:t>identification, de l</w:t>
      </w:r>
      <w:r w:rsidR="00FE58E1" w:rsidRPr="00FA2E2E">
        <w:rPr>
          <w:lang w:val="fr-FR"/>
        </w:rPr>
        <w:t>’</w:t>
      </w:r>
      <w:r w:rsidRPr="00FA2E2E">
        <w:rPr>
          <w:lang w:val="fr-FR"/>
        </w:rPr>
        <w:t>évaluation, de la gestion et/ou de la remise en état des sites contaminés peuvent fortement varier</w:t>
      </w:r>
      <w:r w:rsidR="00DD0FCB" w:rsidRPr="00FA2E2E">
        <w:rPr>
          <w:lang w:val="fr-FR"/>
        </w:rPr>
        <w:t>.</w:t>
      </w:r>
      <w:r w:rsidRPr="00FA2E2E">
        <w:rPr>
          <w:lang w:val="fr-FR"/>
        </w:rPr>
        <w:t xml:space="preserve"> Chaque site </w:t>
      </w:r>
      <w:r w:rsidR="00F633DE" w:rsidRPr="00FA2E2E">
        <w:rPr>
          <w:lang w:val="fr-FR"/>
        </w:rPr>
        <w:t>engendrera des</w:t>
      </w:r>
      <w:r w:rsidRPr="00FA2E2E">
        <w:rPr>
          <w:lang w:val="fr-FR"/>
        </w:rPr>
        <w:t xml:space="preserve"> coûts</w:t>
      </w:r>
      <w:r w:rsidR="0087179B" w:rsidRPr="00FA2E2E">
        <w:rPr>
          <w:lang w:val="fr-FR"/>
        </w:rPr>
        <w:t xml:space="preserve"> et des avantages</w:t>
      </w:r>
      <w:r w:rsidRPr="00FA2E2E">
        <w:rPr>
          <w:lang w:val="fr-FR"/>
        </w:rPr>
        <w:t xml:space="preserve"> directs et indirects ainsi que </w:t>
      </w:r>
      <w:r w:rsidR="00F633DE" w:rsidRPr="00FA2E2E">
        <w:rPr>
          <w:lang w:val="fr-FR"/>
        </w:rPr>
        <w:t>des</w:t>
      </w:r>
      <w:r w:rsidRPr="00FA2E2E">
        <w:rPr>
          <w:lang w:val="fr-FR"/>
        </w:rPr>
        <w:t xml:space="preserve"> coûts et </w:t>
      </w:r>
      <w:r w:rsidR="0087179B" w:rsidRPr="00FA2E2E">
        <w:rPr>
          <w:lang w:val="fr-FR"/>
        </w:rPr>
        <w:t xml:space="preserve">des </w:t>
      </w:r>
      <w:r w:rsidRPr="00FA2E2E">
        <w:rPr>
          <w:lang w:val="fr-FR"/>
        </w:rPr>
        <w:t xml:space="preserve">avantages non </w:t>
      </w:r>
      <w:r w:rsidR="00013A85" w:rsidRPr="00FA2E2E">
        <w:rPr>
          <w:lang w:val="fr-FR"/>
        </w:rPr>
        <w:t>monétaires</w:t>
      </w:r>
      <w:r w:rsidR="00DD0FCB" w:rsidRPr="00FA2E2E">
        <w:rPr>
          <w:lang w:val="fr-FR"/>
        </w:rPr>
        <w:t>.</w:t>
      </w:r>
      <w:r w:rsidR="00152CD3" w:rsidRPr="00FA2E2E">
        <w:rPr>
          <w:lang w:val="fr-FR"/>
        </w:rPr>
        <w:t xml:space="preserve"> </w:t>
      </w:r>
      <w:r w:rsidR="00F633DE" w:rsidRPr="00FA2E2E">
        <w:rPr>
          <w:lang w:val="fr-FR"/>
        </w:rPr>
        <w:t>Ces facteurs, ainsi que la disponibilité de ressources financières et le nombre de sites pouvant se trouver sur le territoire national, seront des éléments clés pour l</w:t>
      </w:r>
      <w:r w:rsidR="00FE58E1" w:rsidRPr="00FA2E2E">
        <w:rPr>
          <w:lang w:val="fr-FR"/>
        </w:rPr>
        <w:t>’</w:t>
      </w:r>
      <w:r w:rsidR="00F633DE" w:rsidRPr="00FA2E2E">
        <w:rPr>
          <w:lang w:val="fr-FR"/>
        </w:rPr>
        <w:t>établissement des priorités nationales</w:t>
      </w:r>
      <w:r w:rsidR="00DD0FCB" w:rsidRPr="00FA2E2E">
        <w:rPr>
          <w:lang w:val="fr-FR"/>
        </w:rPr>
        <w:t>.</w:t>
      </w:r>
      <w:r w:rsidR="00F633DE" w:rsidRPr="00FA2E2E">
        <w:rPr>
          <w:lang w:val="fr-FR"/>
        </w:rPr>
        <w:t xml:space="preserve"> La comparaison de sites très différents peut être difficile, mais les Parties devront inévitablement décider des sites qu</w:t>
      </w:r>
      <w:r w:rsidR="00FE58E1" w:rsidRPr="00FA2E2E">
        <w:rPr>
          <w:lang w:val="fr-FR"/>
        </w:rPr>
        <w:t>’</w:t>
      </w:r>
      <w:r w:rsidR="00F633DE" w:rsidRPr="00FA2E2E">
        <w:rPr>
          <w:lang w:val="fr-FR"/>
        </w:rPr>
        <w:t>elles vont examiner en premier</w:t>
      </w:r>
      <w:r w:rsidR="00DD0FCB" w:rsidRPr="00FA2E2E">
        <w:rPr>
          <w:lang w:val="fr-FR"/>
        </w:rPr>
        <w:t>.</w:t>
      </w:r>
    </w:p>
    <w:p w14:paraId="35610B16" w14:textId="6C84349A" w:rsidR="00D31AFF" w:rsidRPr="00FA2E2E" w:rsidRDefault="00AC5124" w:rsidP="006D69D3">
      <w:pPr>
        <w:pStyle w:val="Normalnumber"/>
        <w:rPr>
          <w:lang w:val="fr-FR"/>
        </w:rPr>
      </w:pPr>
      <w:r w:rsidRPr="00FA2E2E">
        <w:rPr>
          <w:lang w:val="fr-FR"/>
        </w:rPr>
        <w:t>Toutes les activités en rapport avec l</w:t>
      </w:r>
      <w:r w:rsidR="00FE58E1" w:rsidRPr="00FA2E2E">
        <w:rPr>
          <w:lang w:val="fr-FR"/>
        </w:rPr>
        <w:t>’</w:t>
      </w:r>
      <w:r w:rsidRPr="00FA2E2E">
        <w:rPr>
          <w:lang w:val="fr-FR"/>
        </w:rPr>
        <w:t>identification et l</w:t>
      </w:r>
      <w:r w:rsidR="00FE58E1" w:rsidRPr="00FA2E2E">
        <w:rPr>
          <w:lang w:val="fr-FR"/>
        </w:rPr>
        <w:t>’</w:t>
      </w:r>
      <w:r w:rsidRPr="00FA2E2E">
        <w:rPr>
          <w:lang w:val="fr-FR"/>
        </w:rPr>
        <w:t>évaluation d</w:t>
      </w:r>
      <w:r w:rsidR="00FE58E1" w:rsidRPr="00FA2E2E">
        <w:rPr>
          <w:lang w:val="fr-FR"/>
        </w:rPr>
        <w:t>’</w:t>
      </w:r>
      <w:r w:rsidRPr="00FA2E2E">
        <w:rPr>
          <w:lang w:val="fr-FR"/>
        </w:rPr>
        <w:t>un site contaminé entraînent des coûts plus ou moins élevés. Ces coûts peuvent comprendre la rémunération du personnel chargé de l</w:t>
      </w:r>
      <w:r w:rsidR="00FE58E1" w:rsidRPr="00FA2E2E">
        <w:rPr>
          <w:lang w:val="fr-FR"/>
        </w:rPr>
        <w:t>’</w:t>
      </w:r>
      <w:r w:rsidRPr="00FA2E2E">
        <w:rPr>
          <w:lang w:val="fr-FR"/>
        </w:rPr>
        <w:t>identification initiale des sites potentiellement contaminés, des visites d</w:t>
      </w:r>
      <w:r w:rsidR="00FE58E1" w:rsidRPr="00FA2E2E">
        <w:rPr>
          <w:lang w:val="fr-FR"/>
        </w:rPr>
        <w:t>’</w:t>
      </w:r>
      <w:r w:rsidRPr="00FA2E2E">
        <w:rPr>
          <w:lang w:val="fr-FR"/>
        </w:rPr>
        <w:t>inspection des sites potentiels et du prélèvement des échantillons pour l</w:t>
      </w:r>
      <w:r w:rsidR="00FE58E1" w:rsidRPr="00FA2E2E">
        <w:rPr>
          <w:lang w:val="fr-FR"/>
        </w:rPr>
        <w:t>’</w:t>
      </w:r>
      <w:r w:rsidRPr="00FA2E2E">
        <w:rPr>
          <w:lang w:val="fr-FR"/>
        </w:rPr>
        <w:t>évaluation du niveau de contamination</w:t>
      </w:r>
      <w:r w:rsidR="00D31AFF" w:rsidRPr="00FA2E2E">
        <w:rPr>
          <w:lang w:val="fr-FR"/>
        </w:rPr>
        <w:t xml:space="preserve">. </w:t>
      </w:r>
      <w:r w:rsidR="00A33A87" w:rsidRPr="00FA2E2E">
        <w:rPr>
          <w:lang w:val="fr-FR"/>
        </w:rPr>
        <w:t>L</w:t>
      </w:r>
      <w:r w:rsidR="00FE58E1" w:rsidRPr="00FA2E2E">
        <w:rPr>
          <w:lang w:val="fr-FR"/>
        </w:rPr>
        <w:t>’</w:t>
      </w:r>
      <w:r w:rsidR="00A33A87" w:rsidRPr="00FA2E2E">
        <w:rPr>
          <w:lang w:val="fr-FR"/>
        </w:rPr>
        <w:t>analyse des échantillons, qu</w:t>
      </w:r>
      <w:r w:rsidR="00FE58E1" w:rsidRPr="00FA2E2E">
        <w:rPr>
          <w:lang w:val="fr-FR"/>
        </w:rPr>
        <w:t>’</w:t>
      </w:r>
      <w:r w:rsidR="00A33A87" w:rsidRPr="00FA2E2E">
        <w:rPr>
          <w:lang w:val="fr-FR"/>
        </w:rPr>
        <w:t>elle soit réalisée par des laboratoires gouvernementaux ou universitaires ou par des entreprises privées</w:t>
      </w:r>
      <w:r w:rsidR="004C4057" w:rsidRPr="00FA2E2E">
        <w:rPr>
          <w:lang w:val="fr-FR"/>
        </w:rPr>
        <w:t xml:space="preserve"> engagées pour effectuer une telle analyse</w:t>
      </w:r>
      <w:r w:rsidR="00A33A87" w:rsidRPr="00FA2E2E">
        <w:rPr>
          <w:lang w:val="fr-FR"/>
        </w:rPr>
        <w:t>, entraînera également des coûts</w:t>
      </w:r>
      <w:r w:rsidR="00D31AFF" w:rsidRPr="00FA2E2E">
        <w:rPr>
          <w:lang w:val="fr-FR"/>
        </w:rPr>
        <w:t xml:space="preserve">. </w:t>
      </w:r>
      <w:r w:rsidR="00A33A87" w:rsidRPr="00FA2E2E">
        <w:rPr>
          <w:lang w:val="fr-FR"/>
        </w:rPr>
        <w:t>Les consultations publiques peuvent également engendrer des coûts en raison du personnel dédié à ces tâches ou du recrutement d</w:t>
      </w:r>
      <w:r w:rsidR="00FE58E1" w:rsidRPr="00FA2E2E">
        <w:rPr>
          <w:lang w:val="fr-FR"/>
        </w:rPr>
        <w:t>’</w:t>
      </w:r>
      <w:r w:rsidR="00A33A87" w:rsidRPr="00FA2E2E">
        <w:rPr>
          <w:lang w:val="fr-FR"/>
        </w:rPr>
        <w:t>un consultant ou d</w:t>
      </w:r>
      <w:r w:rsidR="00FE58E1" w:rsidRPr="00FA2E2E">
        <w:rPr>
          <w:lang w:val="fr-FR"/>
        </w:rPr>
        <w:t>’</w:t>
      </w:r>
      <w:r w:rsidR="004C4057" w:rsidRPr="00FA2E2E">
        <w:rPr>
          <w:lang w:val="fr-FR"/>
        </w:rPr>
        <w:t xml:space="preserve">une </w:t>
      </w:r>
      <w:r w:rsidR="00A33A87" w:rsidRPr="00FA2E2E">
        <w:rPr>
          <w:lang w:val="fr-FR"/>
        </w:rPr>
        <w:t>entreprise spécialisée</w:t>
      </w:r>
      <w:r w:rsidR="00D31AFF" w:rsidRPr="00FA2E2E">
        <w:rPr>
          <w:lang w:val="fr-FR"/>
        </w:rPr>
        <w:t>.</w:t>
      </w:r>
    </w:p>
    <w:p w14:paraId="66F32128" w14:textId="48984DF2" w:rsidR="00D31AFF" w:rsidRPr="00FA2E2E" w:rsidRDefault="00A33A87" w:rsidP="006D69D3">
      <w:pPr>
        <w:pStyle w:val="Normalnumber"/>
        <w:rPr>
          <w:lang w:val="fr-FR"/>
        </w:rPr>
      </w:pPr>
      <w:bookmarkStart w:id="28" w:name="_Hlk10106261"/>
      <w:r w:rsidRPr="00FA2E2E">
        <w:rPr>
          <w:lang w:val="fr-FR"/>
        </w:rPr>
        <w:t>La gestion ou la remise en état des sites contaminés entraîne des coûts, dont certains sont ponctuels (dépenses d</w:t>
      </w:r>
      <w:r w:rsidR="00FE58E1" w:rsidRPr="00FA2E2E">
        <w:rPr>
          <w:lang w:val="fr-FR"/>
        </w:rPr>
        <w:t>’</w:t>
      </w:r>
      <w:r w:rsidRPr="00FA2E2E">
        <w:rPr>
          <w:lang w:val="fr-FR"/>
        </w:rPr>
        <w:t>investissement) et d</w:t>
      </w:r>
      <w:r w:rsidR="00FE58E1" w:rsidRPr="00FA2E2E">
        <w:rPr>
          <w:lang w:val="fr-FR"/>
        </w:rPr>
        <w:t>’</w:t>
      </w:r>
      <w:r w:rsidRPr="00FA2E2E">
        <w:rPr>
          <w:lang w:val="fr-FR"/>
        </w:rPr>
        <w:t>autres récurrents (coûts de fonctionnement, de maintenance et de surveillance)</w:t>
      </w:r>
      <w:bookmarkEnd w:id="28"/>
      <w:r w:rsidR="00D31AFF" w:rsidRPr="00FA2E2E">
        <w:rPr>
          <w:lang w:val="fr-FR"/>
        </w:rPr>
        <w:t xml:space="preserve">. </w:t>
      </w:r>
      <w:r w:rsidRPr="00FA2E2E">
        <w:rPr>
          <w:lang w:val="fr-FR"/>
        </w:rPr>
        <w:t>Les coûts réels varient d</w:t>
      </w:r>
      <w:r w:rsidR="00FE58E1" w:rsidRPr="00FA2E2E">
        <w:rPr>
          <w:lang w:val="fr-FR"/>
        </w:rPr>
        <w:t>’</w:t>
      </w:r>
      <w:r w:rsidRPr="00FA2E2E">
        <w:rPr>
          <w:lang w:val="fr-FR"/>
        </w:rPr>
        <w:t>un site à l</w:t>
      </w:r>
      <w:r w:rsidR="00FE58E1" w:rsidRPr="00FA2E2E">
        <w:rPr>
          <w:lang w:val="fr-FR"/>
        </w:rPr>
        <w:t>’</w:t>
      </w:r>
      <w:r w:rsidRPr="00FA2E2E">
        <w:rPr>
          <w:lang w:val="fr-FR"/>
        </w:rPr>
        <w:t>autre et dépendent de la disponibilité et du coût de technologies adaptées au niveau national et des coûts locaux des consommables et de la main-d</w:t>
      </w:r>
      <w:r w:rsidR="00FE58E1" w:rsidRPr="00FA2E2E">
        <w:rPr>
          <w:lang w:val="fr-FR"/>
        </w:rPr>
        <w:t>’</w:t>
      </w:r>
      <w:r w:rsidRPr="00FA2E2E">
        <w:rPr>
          <w:lang w:val="fr-FR"/>
        </w:rPr>
        <w:t>œuvre</w:t>
      </w:r>
      <w:r w:rsidR="00D31AFF" w:rsidRPr="00FA2E2E">
        <w:rPr>
          <w:lang w:val="fr-FR"/>
        </w:rPr>
        <w:t xml:space="preserve">. </w:t>
      </w:r>
    </w:p>
    <w:p w14:paraId="184BF764" w14:textId="03E89797" w:rsidR="00D31AFF" w:rsidRPr="00FA2E2E" w:rsidRDefault="00070221" w:rsidP="006D69D3">
      <w:pPr>
        <w:pStyle w:val="Normalnumber"/>
        <w:rPr>
          <w:lang w:val="fr-FR"/>
        </w:rPr>
      </w:pPr>
      <w:r w:rsidRPr="00FA2E2E">
        <w:rPr>
          <w:lang w:val="fr-FR"/>
        </w:rPr>
        <w:t>De nombreuses techniques parmi celles disponibles présentent à la fois des dépenses d</w:t>
      </w:r>
      <w:r w:rsidR="00FE58E1" w:rsidRPr="00FA2E2E">
        <w:rPr>
          <w:lang w:val="fr-FR"/>
        </w:rPr>
        <w:t>’</w:t>
      </w:r>
      <w:r w:rsidRPr="00FA2E2E">
        <w:rPr>
          <w:lang w:val="fr-FR"/>
        </w:rPr>
        <w:t>investissement et des coûts récurrents de fonctionnement, de maintenance et de surveillance.</w:t>
      </w:r>
      <w:r w:rsidR="00AC6AEE" w:rsidRPr="00FA2E2E">
        <w:rPr>
          <w:lang w:val="fr-FR"/>
        </w:rPr>
        <w:t xml:space="preserve"> </w:t>
      </w:r>
      <w:r w:rsidRPr="00FA2E2E">
        <w:rPr>
          <w:lang w:val="fr-FR"/>
        </w:rPr>
        <w:t>Certains pays publient les coûts associés aux techniques de remise en état mais ceux-ci ne peuvent être utilisés qu</w:t>
      </w:r>
      <w:r w:rsidR="00FE58E1" w:rsidRPr="00FA2E2E">
        <w:rPr>
          <w:lang w:val="fr-FR"/>
        </w:rPr>
        <w:t>’</w:t>
      </w:r>
      <w:r w:rsidRPr="00FA2E2E">
        <w:rPr>
          <w:lang w:val="fr-FR"/>
        </w:rPr>
        <w:t>à titre indicatif,</w:t>
      </w:r>
      <w:r w:rsidR="00241383" w:rsidRPr="00FA2E2E">
        <w:rPr>
          <w:lang w:val="fr-FR"/>
        </w:rPr>
        <w:t xml:space="preserve"> dans la mesure où</w:t>
      </w:r>
      <w:r w:rsidRPr="00FA2E2E">
        <w:rPr>
          <w:lang w:val="fr-FR"/>
        </w:rPr>
        <w:t xml:space="preserve"> certains </w:t>
      </w:r>
      <w:r w:rsidR="00241383" w:rsidRPr="00FA2E2E">
        <w:rPr>
          <w:lang w:val="fr-FR"/>
        </w:rPr>
        <w:t>coûts</w:t>
      </w:r>
      <w:r w:rsidRPr="00FA2E2E">
        <w:rPr>
          <w:lang w:val="fr-FR"/>
        </w:rPr>
        <w:t xml:space="preserve"> </w:t>
      </w:r>
      <w:r w:rsidR="00241383" w:rsidRPr="00FA2E2E">
        <w:rPr>
          <w:lang w:val="fr-FR"/>
        </w:rPr>
        <w:t>dépendent des pays</w:t>
      </w:r>
      <w:r w:rsidR="00AC6AEE" w:rsidRPr="00FA2E2E">
        <w:rPr>
          <w:lang w:val="fr-FR"/>
        </w:rPr>
        <w:t xml:space="preserve"> (US EPA, 2007</w:t>
      </w:r>
      <w:r w:rsidR="00241383" w:rsidRPr="00FA2E2E">
        <w:rPr>
          <w:lang w:val="fr-FR"/>
        </w:rPr>
        <w:t> </w:t>
      </w:r>
      <w:r w:rsidR="00E86391" w:rsidRPr="00FA2E2E">
        <w:rPr>
          <w:lang w:val="fr-FR"/>
        </w:rPr>
        <w:t xml:space="preserve">; ADEME </w:t>
      </w:r>
      <w:r w:rsidR="00241383" w:rsidRPr="00FA2E2E">
        <w:rPr>
          <w:lang w:val="fr-FR"/>
        </w:rPr>
        <w:t>et</w:t>
      </w:r>
      <w:r w:rsidR="00E86391" w:rsidRPr="00FA2E2E">
        <w:rPr>
          <w:lang w:val="fr-FR"/>
        </w:rPr>
        <w:t xml:space="preserve"> BRGM, 2013</w:t>
      </w:r>
      <w:r w:rsidR="00AC6AEE" w:rsidRPr="00FA2E2E">
        <w:rPr>
          <w:lang w:val="fr-FR"/>
        </w:rPr>
        <w:t>)</w:t>
      </w:r>
      <w:r w:rsidR="00E86391" w:rsidRPr="00FA2E2E">
        <w:rPr>
          <w:lang w:val="fr-FR"/>
        </w:rPr>
        <w:t>.</w:t>
      </w:r>
      <w:r w:rsidR="00152CD3" w:rsidRPr="00FA2E2E">
        <w:rPr>
          <w:lang w:val="fr-FR"/>
        </w:rPr>
        <w:t xml:space="preserve"> </w:t>
      </w:r>
      <w:r w:rsidR="00013A85" w:rsidRPr="00FA2E2E">
        <w:rPr>
          <w:lang w:val="fr-FR"/>
        </w:rPr>
        <w:t>Les Parties peuvent établir des priorités</w:t>
      </w:r>
      <w:r w:rsidR="004C4057" w:rsidRPr="00FA2E2E">
        <w:rPr>
          <w:lang w:val="fr-FR"/>
        </w:rPr>
        <w:t xml:space="preserve"> nationales</w:t>
      </w:r>
      <w:r w:rsidR="00013A85" w:rsidRPr="00FA2E2E">
        <w:rPr>
          <w:lang w:val="fr-FR"/>
        </w:rPr>
        <w:t xml:space="preserve"> afin de veiller à l</w:t>
      </w:r>
      <w:r w:rsidR="00FE58E1" w:rsidRPr="00FA2E2E">
        <w:rPr>
          <w:lang w:val="fr-FR"/>
        </w:rPr>
        <w:t>’</w:t>
      </w:r>
      <w:r w:rsidR="00013A85" w:rsidRPr="00FA2E2E">
        <w:rPr>
          <w:lang w:val="fr-FR"/>
        </w:rPr>
        <w:t>efficacité de l</w:t>
      </w:r>
      <w:r w:rsidR="00FE58E1" w:rsidRPr="00FA2E2E">
        <w:rPr>
          <w:lang w:val="fr-FR"/>
        </w:rPr>
        <w:t>’</w:t>
      </w:r>
      <w:r w:rsidR="00013A85" w:rsidRPr="00FA2E2E">
        <w:rPr>
          <w:lang w:val="fr-FR"/>
        </w:rPr>
        <w:t>utilisation des ressources disponibles</w:t>
      </w:r>
      <w:r w:rsidR="00D31AFF" w:rsidRPr="00FA2E2E">
        <w:rPr>
          <w:lang w:val="fr-FR"/>
        </w:rPr>
        <w:t xml:space="preserve">. </w:t>
      </w:r>
      <w:r w:rsidR="00013A85" w:rsidRPr="00FA2E2E">
        <w:rPr>
          <w:lang w:val="fr-FR"/>
        </w:rPr>
        <w:t>La détermination des priorités pourrait découler d</w:t>
      </w:r>
      <w:r w:rsidR="00FE58E1" w:rsidRPr="00FA2E2E">
        <w:rPr>
          <w:lang w:val="fr-FR"/>
        </w:rPr>
        <w:t>’</w:t>
      </w:r>
      <w:r w:rsidR="00013A85" w:rsidRPr="00FA2E2E">
        <w:rPr>
          <w:lang w:val="fr-FR"/>
        </w:rPr>
        <w:t>un classement des sites sur la base d</w:t>
      </w:r>
      <w:r w:rsidR="00FE58E1" w:rsidRPr="00FA2E2E">
        <w:rPr>
          <w:lang w:val="fr-FR"/>
        </w:rPr>
        <w:t>’</w:t>
      </w:r>
      <w:r w:rsidR="00013A85" w:rsidRPr="00FA2E2E">
        <w:rPr>
          <w:lang w:val="fr-FR"/>
        </w:rPr>
        <w:t>un système de notation convenu au niveau national pour identifier ceux dont le traitement est le plus urgent</w:t>
      </w:r>
      <w:r w:rsidR="00D31AFF" w:rsidRPr="00FA2E2E">
        <w:rPr>
          <w:lang w:val="fr-FR"/>
        </w:rPr>
        <w:t>.</w:t>
      </w:r>
      <w:r w:rsidR="00013A85" w:rsidRPr="00FA2E2E">
        <w:rPr>
          <w:lang w:val="fr-FR"/>
        </w:rPr>
        <w:t xml:space="preserve"> Un tel système nécessiterait que soit trouvé un équilibre entre les coûts estimés de la gestion ou de la remise en état et les avantages monétaires et non monétaires qui devraient découler d</w:t>
      </w:r>
      <w:r w:rsidR="00FE58E1" w:rsidRPr="00FA2E2E">
        <w:rPr>
          <w:lang w:val="fr-FR"/>
        </w:rPr>
        <w:t>’</w:t>
      </w:r>
      <w:r w:rsidR="00013A85" w:rsidRPr="00FA2E2E">
        <w:rPr>
          <w:lang w:val="fr-FR"/>
        </w:rPr>
        <w:t>une gestion efficace du site</w:t>
      </w:r>
      <w:r w:rsidR="00DD0FCB" w:rsidRPr="00FA2E2E">
        <w:rPr>
          <w:lang w:val="fr-FR"/>
        </w:rPr>
        <w:t>.</w:t>
      </w:r>
      <w:r w:rsidR="00152CD3" w:rsidRPr="00FA2E2E">
        <w:rPr>
          <w:lang w:val="fr-FR"/>
        </w:rPr>
        <w:t xml:space="preserve"> </w:t>
      </w:r>
      <w:r w:rsidR="00013A85" w:rsidRPr="00FA2E2E">
        <w:rPr>
          <w:lang w:val="fr-FR"/>
        </w:rPr>
        <w:t xml:space="preserve">Il existe de nombreuses informations sur </w:t>
      </w:r>
      <w:r w:rsidR="007E299C" w:rsidRPr="00FA2E2E">
        <w:rPr>
          <w:lang w:val="fr-FR"/>
        </w:rPr>
        <w:t>l</w:t>
      </w:r>
      <w:r w:rsidR="00FE58E1" w:rsidRPr="00FA2E2E">
        <w:rPr>
          <w:lang w:val="fr-FR"/>
        </w:rPr>
        <w:t>’</w:t>
      </w:r>
      <w:r w:rsidR="007E299C" w:rsidRPr="00FA2E2E">
        <w:rPr>
          <w:lang w:val="fr-FR"/>
        </w:rPr>
        <w:t>applicabilité</w:t>
      </w:r>
      <w:r w:rsidR="00013A85" w:rsidRPr="00FA2E2E">
        <w:rPr>
          <w:lang w:val="fr-FR"/>
        </w:rPr>
        <w:t xml:space="preserve"> et </w:t>
      </w:r>
      <w:r w:rsidR="007E299C" w:rsidRPr="00FA2E2E">
        <w:rPr>
          <w:lang w:val="fr-FR"/>
        </w:rPr>
        <w:t>l</w:t>
      </w:r>
      <w:r w:rsidR="00FE58E1" w:rsidRPr="00FA2E2E">
        <w:rPr>
          <w:lang w:val="fr-FR"/>
        </w:rPr>
        <w:t>’</w:t>
      </w:r>
      <w:r w:rsidR="007E299C" w:rsidRPr="00FA2E2E">
        <w:rPr>
          <w:lang w:val="fr-FR"/>
        </w:rPr>
        <w:t>efficacité potentielle de</w:t>
      </w:r>
      <w:r w:rsidR="00013A85" w:rsidRPr="00FA2E2E">
        <w:rPr>
          <w:lang w:val="fr-FR"/>
        </w:rPr>
        <w:t xml:space="preserve"> certaines technologies disponibles mais peu d</w:t>
      </w:r>
      <w:r w:rsidR="00FE58E1" w:rsidRPr="00FA2E2E">
        <w:rPr>
          <w:lang w:val="fr-FR"/>
        </w:rPr>
        <w:t>’</w:t>
      </w:r>
      <w:r w:rsidR="00013A85" w:rsidRPr="00FA2E2E">
        <w:rPr>
          <w:lang w:val="fr-FR"/>
        </w:rPr>
        <w:t>informations sont disponibles concernant d</w:t>
      </w:r>
      <w:r w:rsidR="00FE58E1" w:rsidRPr="00FA2E2E">
        <w:rPr>
          <w:lang w:val="fr-FR"/>
        </w:rPr>
        <w:t>’</w:t>
      </w:r>
      <w:r w:rsidR="00013A85" w:rsidRPr="00FA2E2E">
        <w:rPr>
          <w:lang w:val="fr-FR"/>
        </w:rPr>
        <w:t>autres technologies moins matures</w:t>
      </w:r>
      <w:r w:rsidR="00D31AFF" w:rsidRPr="00FA2E2E">
        <w:rPr>
          <w:lang w:val="fr-FR"/>
        </w:rPr>
        <w:t xml:space="preserve">. </w:t>
      </w:r>
    </w:p>
    <w:p w14:paraId="355E7478" w14:textId="40B9527A" w:rsidR="00D31AFF" w:rsidRPr="00FA2E2E" w:rsidRDefault="00F06BDA" w:rsidP="006D69D3">
      <w:pPr>
        <w:pStyle w:val="Normalnumber"/>
        <w:rPr>
          <w:lang w:val="fr-FR"/>
        </w:rPr>
      </w:pPr>
      <w:r w:rsidRPr="00FA2E2E">
        <w:rPr>
          <w:lang w:val="fr-FR"/>
        </w:rPr>
        <w:t>L</w:t>
      </w:r>
      <w:r w:rsidR="00FE58E1" w:rsidRPr="00FA2E2E">
        <w:rPr>
          <w:lang w:val="fr-FR"/>
        </w:rPr>
        <w:t>’</w:t>
      </w:r>
      <w:r w:rsidRPr="00FA2E2E">
        <w:rPr>
          <w:lang w:val="fr-FR"/>
        </w:rPr>
        <w:t>incidence d</w:t>
      </w:r>
      <w:r w:rsidR="00FE58E1" w:rsidRPr="00FA2E2E">
        <w:rPr>
          <w:lang w:val="fr-FR"/>
        </w:rPr>
        <w:t>’</w:t>
      </w:r>
      <w:r w:rsidRPr="00FA2E2E">
        <w:rPr>
          <w:lang w:val="fr-FR"/>
        </w:rPr>
        <w:t>une exposition au mercure liée au site sur la population locale et l</w:t>
      </w:r>
      <w:r w:rsidR="00FE58E1" w:rsidRPr="00FA2E2E">
        <w:rPr>
          <w:lang w:val="fr-FR"/>
        </w:rPr>
        <w:t>’</w:t>
      </w:r>
      <w:r w:rsidRPr="00FA2E2E">
        <w:rPr>
          <w:lang w:val="fr-FR"/>
        </w:rPr>
        <w:t>environnement local peut également entraîner des coûts, dont certains sont directs</w:t>
      </w:r>
      <w:r w:rsidR="00D31AFF" w:rsidRPr="00FA2E2E">
        <w:rPr>
          <w:lang w:val="fr-FR"/>
        </w:rPr>
        <w:t xml:space="preserve"> (</w:t>
      </w:r>
      <w:r w:rsidRPr="00FA2E2E">
        <w:rPr>
          <w:lang w:val="fr-FR"/>
        </w:rPr>
        <w:t>comme la surveillance médicale ou les soins apportés aux personnes présentant des effets néfastes sur leur santé</w:t>
      </w:r>
      <w:r w:rsidR="00D31AFF" w:rsidRPr="00FA2E2E">
        <w:rPr>
          <w:lang w:val="fr-FR"/>
        </w:rPr>
        <w:t xml:space="preserve">) </w:t>
      </w:r>
      <w:r w:rsidRPr="00FA2E2E">
        <w:rPr>
          <w:lang w:val="fr-FR"/>
        </w:rPr>
        <w:t>et d</w:t>
      </w:r>
      <w:r w:rsidR="00FE58E1" w:rsidRPr="00FA2E2E">
        <w:rPr>
          <w:lang w:val="fr-FR"/>
        </w:rPr>
        <w:t>’</w:t>
      </w:r>
      <w:r w:rsidRPr="00FA2E2E">
        <w:rPr>
          <w:lang w:val="fr-FR"/>
        </w:rPr>
        <w:t>autres indirects</w:t>
      </w:r>
      <w:r w:rsidR="00D31AFF" w:rsidRPr="00FA2E2E">
        <w:rPr>
          <w:lang w:val="fr-FR"/>
        </w:rPr>
        <w:t xml:space="preserve"> (</w:t>
      </w:r>
      <w:r w:rsidRPr="00FA2E2E">
        <w:rPr>
          <w:lang w:val="fr-FR"/>
        </w:rPr>
        <w:t xml:space="preserve">comme la perte de revenus associée </w:t>
      </w:r>
      <w:r w:rsidR="00FE4750" w:rsidRPr="00FA2E2E">
        <w:rPr>
          <w:lang w:val="fr-FR"/>
        </w:rPr>
        <w:t>à la contamination de</w:t>
      </w:r>
      <w:r w:rsidRPr="00FA2E2E">
        <w:rPr>
          <w:lang w:val="fr-FR"/>
        </w:rPr>
        <w:t xml:space="preserve"> poissons qui ne peuvent pas être pêchés ou vendus, ou </w:t>
      </w:r>
      <w:r w:rsidR="00FE4750" w:rsidRPr="00FA2E2E">
        <w:rPr>
          <w:lang w:val="fr-FR"/>
        </w:rPr>
        <w:t xml:space="preserve">à </w:t>
      </w:r>
      <w:r w:rsidRPr="00FA2E2E">
        <w:rPr>
          <w:lang w:val="fr-FR"/>
        </w:rPr>
        <w:t>la perte de terres cultivables</w:t>
      </w:r>
      <w:r w:rsidR="00D31AFF" w:rsidRPr="00FA2E2E">
        <w:rPr>
          <w:lang w:val="fr-FR"/>
        </w:rPr>
        <w:t>).</w:t>
      </w:r>
      <w:r w:rsidRPr="00FA2E2E">
        <w:rPr>
          <w:lang w:val="fr-FR"/>
        </w:rPr>
        <w:t xml:space="preserve"> La gestion </w:t>
      </w:r>
      <w:r w:rsidR="004C4057" w:rsidRPr="00FA2E2E">
        <w:rPr>
          <w:lang w:val="fr-FR"/>
        </w:rPr>
        <w:t>ou</w:t>
      </w:r>
      <w:r w:rsidRPr="00FA2E2E">
        <w:rPr>
          <w:lang w:val="fr-FR"/>
        </w:rPr>
        <w:t xml:space="preserve"> la remise en état des sites </w:t>
      </w:r>
      <w:r w:rsidR="004A0748" w:rsidRPr="00FA2E2E">
        <w:rPr>
          <w:lang w:val="fr-FR"/>
        </w:rPr>
        <w:t>est destinée à réduire ces coûts dans le futur</w:t>
      </w:r>
      <w:r w:rsidR="006761F9" w:rsidRPr="00FA2E2E">
        <w:rPr>
          <w:lang w:val="fr-FR"/>
        </w:rPr>
        <w:t>.</w:t>
      </w:r>
      <w:r w:rsidR="004A0748" w:rsidRPr="00FA2E2E">
        <w:rPr>
          <w:lang w:val="fr-FR"/>
        </w:rPr>
        <w:t xml:space="preserve"> Les coûts engendrés par les conséquences de la contamination d</w:t>
      </w:r>
      <w:r w:rsidR="00FE58E1" w:rsidRPr="00FA2E2E">
        <w:rPr>
          <w:lang w:val="fr-FR"/>
        </w:rPr>
        <w:t>’</w:t>
      </w:r>
      <w:r w:rsidR="004A0748" w:rsidRPr="00FA2E2E">
        <w:rPr>
          <w:lang w:val="fr-FR"/>
        </w:rPr>
        <w:t>un site sur l</w:t>
      </w:r>
      <w:r w:rsidR="00FE58E1" w:rsidRPr="00FA2E2E">
        <w:rPr>
          <w:lang w:val="fr-FR"/>
        </w:rPr>
        <w:t>’</w:t>
      </w:r>
      <w:r w:rsidR="004A0748" w:rsidRPr="00FA2E2E">
        <w:rPr>
          <w:lang w:val="fr-FR"/>
        </w:rPr>
        <w:t>environnement local peuvent être ressentis à court ou long terme, mais les avantages découlant de la gestion réussie d</w:t>
      </w:r>
      <w:r w:rsidR="00FE58E1" w:rsidRPr="00FA2E2E">
        <w:rPr>
          <w:lang w:val="fr-FR"/>
        </w:rPr>
        <w:t>’</w:t>
      </w:r>
      <w:r w:rsidR="004A0748" w:rsidRPr="00FA2E2E">
        <w:rPr>
          <w:lang w:val="fr-FR"/>
        </w:rPr>
        <w:t xml:space="preserve">un site contaminé devraient être </w:t>
      </w:r>
      <w:r w:rsidR="00D725B5" w:rsidRPr="00FA2E2E">
        <w:rPr>
          <w:lang w:val="fr-FR"/>
        </w:rPr>
        <w:t>considérés dans une perspective à très long terme</w:t>
      </w:r>
      <w:r w:rsidR="00D31AFF" w:rsidRPr="00FA2E2E">
        <w:rPr>
          <w:lang w:val="fr-FR"/>
        </w:rPr>
        <w:t xml:space="preserve">. </w:t>
      </w:r>
      <w:r w:rsidR="00D725B5" w:rsidRPr="00FA2E2E">
        <w:rPr>
          <w:lang w:val="fr-FR"/>
        </w:rPr>
        <w:t>Les coûts à court terme peuvent comprendre les incidences associées aux travaux de remise en état, tandis qu</w:t>
      </w:r>
      <w:r w:rsidR="00FE58E1" w:rsidRPr="00FA2E2E">
        <w:rPr>
          <w:lang w:val="fr-FR"/>
        </w:rPr>
        <w:t>’</w:t>
      </w:r>
      <w:r w:rsidR="00D725B5" w:rsidRPr="00FA2E2E">
        <w:rPr>
          <w:lang w:val="fr-FR"/>
        </w:rPr>
        <w:t>à plus long terme on peut observer une baisse de la valeur foncière aux alentours du site et une réduction de la production agricole ou d</w:t>
      </w:r>
      <w:r w:rsidR="00FE58E1" w:rsidRPr="00FA2E2E">
        <w:rPr>
          <w:lang w:val="fr-FR"/>
        </w:rPr>
        <w:t>’</w:t>
      </w:r>
      <w:r w:rsidR="00D725B5" w:rsidRPr="00FA2E2E">
        <w:rPr>
          <w:lang w:val="fr-FR"/>
        </w:rPr>
        <w:t>autres utilisations des terres</w:t>
      </w:r>
      <w:r w:rsidR="00D31AFF" w:rsidRPr="00FA2E2E">
        <w:rPr>
          <w:lang w:val="fr-FR"/>
        </w:rPr>
        <w:t xml:space="preserve">. </w:t>
      </w:r>
      <w:r w:rsidR="00D725B5" w:rsidRPr="00FA2E2E">
        <w:rPr>
          <w:lang w:val="fr-FR"/>
        </w:rPr>
        <w:t>Les coûts supportés par les communautés touchées en termes de conséquences non marchandes, tel</w:t>
      </w:r>
      <w:r w:rsidR="006868F5" w:rsidRPr="00FA2E2E">
        <w:rPr>
          <w:lang w:val="fr-FR"/>
        </w:rPr>
        <w:t>le</w:t>
      </w:r>
      <w:r w:rsidR="00D725B5" w:rsidRPr="00FA2E2E">
        <w:rPr>
          <w:lang w:val="fr-FR"/>
        </w:rPr>
        <w:t xml:space="preserve">s que la mortalité, les lésions cérébrales et la perte </w:t>
      </w:r>
      <w:r w:rsidR="004C4057" w:rsidRPr="00FA2E2E">
        <w:rPr>
          <w:lang w:val="fr-FR"/>
        </w:rPr>
        <w:t>de</w:t>
      </w:r>
      <w:r w:rsidR="00D725B5" w:rsidRPr="00FA2E2E">
        <w:rPr>
          <w:lang w:val="fr-FR"/>
        </w:rPr>
        <w:t xml:space="preserve"> ressources naturelles ou d</w:t>
      </w:r>
      <w:r w:rsidR="00FE58E1" w:rsidRPr="00FA2E2E">
        <w:rPr>
          <w:lang w:val="fr-FR"/>
        </w:rPr>
        <w:t>’</w:t>
      </w:r>
      <w:r w:rsidR="00D725B5" w:rsidRPr="00FA2E2E">
        <w:rPr>
          <w:lang w:val="fr-FR"/>
        </w:rPr>
        <w:t>eau salubre, peuvent être considérablement plus élevés</w:t>
      </w:r>
      <w:r w:rsidR="00D31AFF" w:rsidRPr="00FA2E2E">
        <w:rPr>
          <w:lang w:val="fr-FR"/>
        </w:rPr>
        <w:t xml:space="preserve">. </w:t>
      </w:r>
      <w:r w:rsidR="006868F5" w:rsidRPr="00FA2E2E">
        <w:rPr>
          <w:lang w:val="fr-FR"/>
        </w:rPr>
        <w:t>Toute évaluation économique devrait tenir compte de ces coûts</w:t>
      </w:r>
      <w:r w:rsidR="00D31AFF" w:rsidRPr="00FA2E2E">
        <w:rPr>
          <w:lang w:val="fr-FR"/>
        </w:rPr>
        <w:t xml:space="preserve">. </w:t>
      </w:r>
      <w:r w:rsidR="006868F5" w:rsidRPr="00FA2E2E">
        <w:rPr>
          <w:lang w:val="fr-FR"/>
        </w:rPr>
        <w:t>De nouvelles méthodes ont été élaborées pour estimer les coûts économiques associés à la perte de productivité causée par les incidences</w:t>
      </w:r>
      <w:r w:rsidR="00D31AFF" w:rsidRPr="00FA2E2E">
        <w:rPr>
          <w:lang w:val="fr-FR"/>
        </w:rPr>
        <w:t xml:space="preserve"> </w:t>
      </w:r>
      <w:r w:rsidR="006868F5" w:rsidRPr="00FA2E2E">
        <w:rPr>
          <w:lang w:val="fr-FR"/>
        </w:rPr>
        <w:t xml:space="preserve">du mercure sur les capacités cognitives et le développement de populations spécifiques </w:t>
      </w:r>
      <w:r w:rsidR="00D31AFF" w:rsidRPr="00FA2E2E">
        <w:rPr>
          <w:lang w:val="fr-FR"/>
        </w:rPr>
        <w:t>(Trasande</w:t>
      </w:r>
      <w:r w:rsidR="006868F5" w:rsidRPr="00FA2E2E">
        <w:rPr>
          <w:i/>
          <w:iCs/>
          <w:lang w:val="fr-FR"/>
        </w:rPr>
        <w:t xml:space="preserve"> et al.</w:t>
      </w:r>
      <w:r w:rsidR="00E762A9" w:rsidRPr="00FA2E2E">
        <w:rPr>
          <w:lang w:val="fr-FR"/>
        </w:rPr>
        <w:t>,</w:t>
      </w:r>
      <w:r w:rsidR="00D31AFF" w:rsidRPr="00FA2E2E">
        <w:rPr>
          <w:lang w:val="fr-FR"/>
        </w:rPr>
        <w:t xml:space="preserve"> 2016)</w:t>
      </w:r>
      <w:r w:rsidR="006D0D19" w:rsidRPr="00FA2E2E">
        <w:rPr>
          <w:lang w:val="fr-FR"/>
        </w:rPr>
        <w:t>,</w:t>
      </w:r>
      <w:r w:rsidR="00D31AFF" w:rsidRPr="00FA2E2E">
        <w:rPr>
          <w:lang w:val="fr-FR"/>
        </w:rPr>
        <w:t xml:space="preserve"> </w:t>
      </w:r>
      <w:r w:rsidR="006868F5" w:rsidRPr="00FA2E2E">
        <w:rPr>
          <w:lang w:val="fr-FR"/>
        </w:rPr>
        <w:t>celles-ci pouvant être</w:t>
      </w:r>
      <w:r w:rsidR="00D31AFF" w:rsidRPr="00FA2E2E">
        <w:rPr>
          <w:lang w:val="fr-FR"/>
        </w:rPr>
        <w:t xml:space="preserve"> </w:t>
      </w:r>
      <w:r w:rsidR="006868F5" w:rsidRPr="00FA2E2E">
        <w:rPr>
          <w:lang w:val="fr-FR"/>
        </w:rPr>
        <w:t xml:space="preserve">intégrées dans une analyse des coûts et des avantages </w:t>
      </w:r>
      <w:r w:rsidR="00895CD2" w:rsidRPr="00FA2E2E">
        <w:rPr>
          <w:lang w:val="fr-FR"/>
        </w:rPr>
        <w:t xml:space="preserve">à long terme </w:t>
      </w:r>
      <w:r w:rsidR="006868F5" w:rsidRPr="00FA2E2E">
        <w:rPr>
          <w:lang w:val="fr-FR"/>
        </w:rPr>
        <w:t>de la gestion et de la remise en état des sites</w:t>
      </w:r>
      <w:r w:rsidR="00D31AFF" w:rsidRPr="00FA2E2E">
        <w:rPr>
          <w:lang w:val="fr-FR"/>
        </w:rPr>
        <w:t>.</w:t>
      </w:r>
    </w:p>
    <w:p w14:paraId="03A701D4" w14:textId="7E849B54" w:rsidR="00D31AFF" w:rsidRPr="00FA2E2E" w:rsidRDefault="00895CD2" w:rsidP="006D69D3">
      <w:pPr>
        <w:pStyle w:val="Normalnumber"/>
        <w:rPr>
          <w:lang w:val="fr-FR"/>
        </w:rPr>
      </w:pPr>
      <w:r w:rsidRPr="00FA2E2E">
        <w:rPr>
          <w:lang w:val="fr-FR"/>
        </w:rPr>
        <w:t>La mise sous gestion d</w:t>
      </w:r>
      <w:r w:rsidR="00FE58E1" w:rsidRPr="00FA2E2E">
        <w:rPr>
          <w:lang w:val="fr-FR"/>
        </w:rPr>
        <w:t>’</w:t>
      </w:r>
      <w:r w:rsidRPr="00FA2E2E">
        <w:rPr>
          <w:lang w:val="fr-FR"/>
        </w:rPr>
        <w:t>un site ne signifie pas que ce dernier n</w:t>
      </w:r>
      <w:r w:rsidR="00FE58E1" w:rsidRPr="00FA2E2E">
        <w:rPr>
          <w:lang w:val="fr-FR"/>
        </w:rPr>
        <w:t>’</w:t>
      </w:r>
      <w:r w:rsidRPr="00FA2E2E">
        <w:rPr>
          <w:lang w:val="fr-FR"/>
        </w:rPr>
        <w:t>a plus d</w:t>
      </w:r>
      <w:r w:rsidR="00FE58E1" w:rsidRPr="00FA2E2E">
        <w:rPr>
          <w:lang w:val="fr-FR"/>
        </w:rPr>
        <w:t>’</w:t>
      </w:r>
      <w:r w:rsidRPr="00FA2E2E">
        <w:rPr>
          <w:lang w:val="fr-FR"/>
        </w:rPr>
        <w:t>incidence sur l</w:t>
      </w:r>
      <w:r w:rsidR="00FE58E1" w:rsidRPr="00FA2E2E">
        <w:rPr>
          <w:lang w:val="fr-FR"/>
        </w:rPr>
        <w:t>’</w:t>
      </w:r>
      <w:r w:rsidRPr="00FA2E2E">
        <w:rPr>
          <w:lang w:val="fr-FR"/>
        </w:rPr>
        <w:t>environnement ou la santé humaine</w:t>
      </w:r>
      <w:r w:rsidR="00D31AFF" w:rsidRPr="00FA2E2E">
        <w:rPr>
          <w:lang w:val="fr-FR"/>
        </w:rPr>
        <w:t xml:space="preserve">. </w:t>
      </w:r>
      <w:r w:rsidRPr="00FA2E2E">
        <w:rPr>
          <w:lang w:val="fr-FR"/>
        </w:rPr>
        <w:t>La restriction de l</w:t>
      </w:r>
      <w:r w:rsidR="00FE58E1" w:rsidRPr="00FA2E2E">
        <w:rPr>
          <w:lang w:val="fr-FR"/>
        </w:rPr>
        <w:t>’</w:t>
      </w:r>
      <w:r w:rsidRPr="00FA2E2E">
        <w:rPr>
          <w:lang w:val="fr-FR"/>
        </w:rPr>
        <w:t>accès à un site contaminé par du mercure peut limiter l</w:t>
      </w:r>
      <w:r w:rsidR="00FE58E1" w:rsidRPr="00FA2E2E">
        <w:rPr>
          <w:lang w:val="fr-FR"/>
        </w:rPr>
        <w:t>’</w:t>
      </w:r>
      <w:r w:rsidRPr="00FA2E2E">
        <w:rPr>
          <w:lang w:val="fr-FR"/>
        </w:rPr>
        <w:t>exposition directe de la population humaine et animale à cette substance mais elle n</w:t>
      </w:r>
      <w:r w:rsidR="00FE58E1" w:rsidRPr="00FA2E2E">
        <w:rPr>
          <w:lang w:val="fr-FR"/>
        </w:rPr>
        <w:t>’</w:t>
      </w:r>
      <w:r w:rsidRPr="00FA2E2E">
        <w:rPr>
          <w:lang w:val="fr-FR"/>
        </w:rPr>
        <w:t>empêche pas forcément la contamination des eaux souterraines, la propagation hors site des poussières contaminées ou la contamination de l</w:t>
      </w:r>
      <w:r w:rsidR="00FE58E1" w:rsidRPr="00FA2E2E">
        <w:rPr>
          <w:lang w:val="fr-FR"/>
        </w:rPr>
        <w:t>’</w:t>
      </w:r>
      <w:r w:rsidRPr="00FA2E2E">
        <w:rPr>
          <w:lang w:val="fr-FR"/>
        </w:rPr>
        <w:t>air par des vapeurs de mercure</w:t>
      </w:r>
      <w:r w:rsidR="00D31AFF" w:rsidRPr="00FA2E2E">
        <w:rPr>
          <w:lang w:val="fr-FR"/>
        </w:rPr>
        <w:t xml:space="preserve">. </w:t>
      </w:r>
      <w:r w:rsidR="005D59FD" w:rsidRPr="00FA2E2E">
        <w:rPr>
          <w:lang w:val="fr-FR"/>
        </w:rPr>
        <w:t>Chacune de ces incidences engendre des coûts dont toute évaluation devrait tenir compte</w:t>
      </w:r>
      <w:r w:rsidR="00D31AFF" w:rsidRPr="00FA2E2E">
        <w:rPr>
          <w:lang w:val="fr-FR"/>
        </w:rPr>
        <w:t>.</w:t>
      </w:r>
    </w:p>
    <w:p w14:paraId="38FDDA83" w14:textId="3379DA73" w:rsidR="00D31AFF" w:rsidRPr="00FA2E2E" w:rsidRDefault="005D59FD" w:rsidP="006D69D3">
      <w:pPr>
        <w:pStyle w:val="Normalnumber"/>
        <w:rPr>
          <w:lang w:val="fr-FR"/>
        </w:rPr>
      </w:pPr>
      <w:r w:rsidRPr="00FA2E2E">
        <w:rPr>
          <w:lang w:val="fr-FR"/>
        </w:rPr>
        <w:t>L</w:t>
      </w:r>
      <w:r w:rsidR="00FE58E1" w:rsidRPr="00FA2E2E">
        <w:rPr>
          <w:lang w:val="fr-FR"/>
        </w:rPr>
        <w:t>’</w:t>
      </w:r>
      <w:r w:rsidRPr="00FA2E2E">
        <w:rPr>
          <w:lang w:val="fr-FR"/>
        </w:rPr>
        <w:t>évaluation des avantages d</w:t>
      </w:r>
      <w:r w:rsidR="00FE58E1" w:rsidRPr="00FA2E2E">
        <w:rPr>
          <w:lang w:val="fr-FR"/>
        </w:rPr>
        <w:t>’</w:t>
      </w:r>
      <w:r w:rsidRPr="00FA2E2E">
        <w:rPr>
          <w:lang w:val="fr-FR"/>
        </w:rPr>
        <w:t>une gestion ou d</w:t>
      </w:r>
      <w:r w:rsidR="00FE58E1" w:rsidRPr="00FA2E2E">
        <w:rPr>
          <w:lang w:val="fr-FR"/>
        </w:rPr>
        <w:t>’</w:t>
      </w:r>
      <w:r w:rsidRPr="00FA2E2E">
        <w:rPr>
          <w:lang w:val="fr-FR"/>
        </w:rPr>
        <w:t>une remise en état des sites devrait, dans toute la mesure du possible, tenir compte de valeurs culturelles et sociales</w:t>
      </w:r>
      <w:r w:rsidR="00D31AFF" w:rsidRPr="00FA2E2E">
        <w:rPr>
          <w:lang w:val="fr-FR"/>
        </w:rPr>
        <w:t xml:space="preserve">. </w:t>
      </w:r>
      <w:r w:rsidRPr="00FA2E2E">
        <w:rPr>
          <w:lang w:val="fr-FR"/>
        </w:rPr>
        <w:t>Dans de nombreuses cultures autochtones, les éléments naturels comme les rivières, les lacs et les paysages</w:t>
      </w:r>
      <w:r w:rsidR="00D31AFF" w:rsidRPr="00FA2E2E">
        <w:rPr>
          <w:lang w:val="fr-FR"/>
        </w:rPr>
        <w:t xml:space="preserve"> (</w:t>
      </w:r>
      <w:r w:rsidRPr="00FA2E2E">
        <w:rPr>
          <w:lang w:val="fr-FR"/>
        </w:rPr>
        <w:t>ainsi que les animaux qui y habitent) ont une grande valeur culturelle, religieuse et sociale qui n</w:t>
      </w:r>
      <w:r w:rsidR="00FE58E1" w:rsidRPr="00FA2E2E">
        <w:rPr>
          <w:lang w:val="fr-FR"/>
        </w:rPr>
        <w:t>’</w:t>
      </w:r>
      <w:r w:rsidRPr="00FA2E2E">
        <w:rPr>
          <w:lang w:val="fr-FR"/>
        </w:rPr>
        <w:t>apparaît pas dans les analyses coûts-avantages économiques</w:t>
      </w:r>
      <w:r w:rsidR="00D31AFF" w:rsidRPr="00FA2E2E">
        <w:rPr>
          <w:lang w:val="fr-FR"/>
        </w:rPr>
        <w:t>.</w:t>
      </w:r>
      <w:r w:rsidR="00D7738D" w:rsidRPr="00FA2E2E">
        <w:rPr>
          <w:lang w:val="fr-FR"/>
        </w:rPr>
        <w:t xml:space="preserve"> Or, l</w:t>
      </w:r>
      <w:r w:rsidR="00FE58E1" w:rsidRPr="00FA2E2E">
        <w:rPr>
          <w:lang w:val="fr-FR"/>
        </w:rPr>
        <w:t>’</w:t>
      </w:r>
      <w:r w:rsidR="00D7738D" w:rsidRPr="00FA2E2E">
        <w:rPr>
          <w:lang w:val="fr-FR"/>
        </w:rPr>
        <w:t>incapacité de mener des activités culturelles en raison d</w:t>
      </w:r>
      <w:r w:rsidR="00FE58E1" w:rsidRPr="00FA2E2E">
        <w:rPr>
          <w:lang w:val="fr-FR"/>
        </w:rPr>
        <w:t>’</w:t>
      </w:r>
      <w:r w:rsidR="00D7738D" w:rsidRPr="00FA2E2E">
        <w:rPr>
          <w:lang w:val="fr-FR"/>
        </w:rPr>
        <w:t>une contamination peut avoir un coût très élevé pour les communautés, conduisant à une détérioration de la cohésion sociale et à de graves incidences sanitaires</w:t>
      </w:r>
      <w:r w:rsidR="00D31AFF" w:rsidRPr="00FA2E2E">
        <w:rPr>
          <w:lang w:val="fr-FR"/>
        </w:rPr>
        <w:t>.</w:t>
      </w:r>
      <w:r w:rsidR="00D7738D" w:rsidRPr="00FA2E2E">
        <w:rPr>
          <w:lang w:val="fr-FR"/>
        </w:rPr>
        <w:t xml:space="preserve"> L</w:t>
      </w:r>
      <w:r w:rsidR="00FE58E1" w:rsidRPr="00FA2E2E">
        <w:rPr>
          <w:lang w:val="fr-FR"/>
        </w:rPr>
        <w:t>’</w:t>
      </w:r>
      <w:r w:rsidR="00D7738D" w:rsidRPr="00FA2E2E">
        <w:rPr>
          <w:lang w:val="fr-FR"/>
        </w:rPr>
        <w:t>établissement des priorités nationales devrait, dans la mesure du possible,</w:t>
      </w:r>
      <w:r w:rsidR="00D31AFF" w:rsidRPr="00FA2E2E">
        <w:rPr>
          <w:lang w:val="fr-FR"/>
        </w:rPr>
        <w:t xml:space="preserve"> </w:t>
      </w:r>
      <w:r w:rsidR="00D7738D" w:rsidRPr="00FA2E2E">
        <w:rPr>
          <w:lang w:val="fr-FR"/>
        </w:rPr>
        <w:t>intégrer des perspectives sociales et culturelles</w:t>
      </w:r>
      <w:r w:rsidR="00D31AFF" w:rsidRPr="00FA2E2E">
        <w:rPr>
          <w:lang w:val="fr-FR"/>
        </w:rPr>
        <w:t>.</w:t>
      </w:r>
    </w:p>
    <w:p w14:paraId="7DB4ABC7" w14:textId="71B496BE" w:rsidR="00D31AFF" w:rsidRPr="00FA2E2E" w:rsidRDefault="00CC6D13" w:rsidP="006D69D3">
      <w:pPr>
        <w:pStyle w:val="Normalnumber"/>
        <w:rPr>
          <w:lang w:val="fr-FR"/>
        </w:rPr>
      </w:pPr>
      <w:r w:rsidRPr="00FA2E2E">
        <w:rPr>
          <w:lang w:val="fr-FR"/>
        </w:rPr>
        <w:t>Les calculs coûts-avantages devrai</w:t>
      </w:r>
      <w:r w:rsidR="00E65BB7" w:rsidRPr="00FA2E2E">
        <w:rPr>
          <w:lang w:val="fr-FR"/>
        </w:rPr>
        <w:t>en</w:t>
      </w:r>
      <w:r w:rsidRPr="00FA2E2E">
        <w:rPr>
          <w:lang w:val="fr-FR"/>
        </w:rPr>
        <w:t>t également prendre en compte la valeur écologique de la remise en état des systèmes écologiques contaminés et leur productivité ainsi que la valeur é</w:t>
      </w:r>
      <w:r w:rsidR="006223B6" w:rsidRPr="00FA2E2E">
        <w:rPr>
          <w:lang w:val="fr-FR"/>
        </w:rPr>
        <w:t>c</w:t>
      </w:r>
      <w:r w:rsidRPr="00FA2E2E">
        <w:rPr>
          <w:lang w:val="fr-FR"/>
        </w:rPr>
        <w:t>onomique</w:t>
      </w:r>
      <w:r w:rsidR="00D31AFF" w:rsidRPr="00FA2E2E">
        <w:rPr>
          <w:lang w:val="fr-FR"/>
        </w:rPr>
        <w:t xml:space="preserve">. </w:t>
      </w:r>
      <w:r w:rsidRPr="00FA2E2E">
        <w:rPr>
          <w:lang w:val="fr-FR"/>
        </w:rPr>
        <w:t>Par exemple</w:t>
      </w:r>
      <w:r w:rsidR="00D31AFF" w:rsidRPr="00FA2E2E">
        <w:rPr>
          <w:lang w:val="fr-FR"/>
        </w:rPr>
        <w:t>,</w:t>
      </w:r>
      <w:r w:rsidRPr="00FA2E2E">
        <w:rPr>
          <w:lang w:val="fr-FR"/>
        </w:rPr>
        <w:t xml:space="preserve"> un site contaminé qui a été remis en état peut présenter des caractéristiques qui contribuent à la survie d</w:t>
      </w:r>
      <w:r w:rsidR="00FE58E1" w:rsidRPr="00FA2E2E">
        <w:rPr>
          <w:lang w:val="fr-FR"/>
        </w:rPr>
        <w:t>’</w:t>
      </w:r>
      <w:r w:rsidRPr="00FA2E2E">
        <w:rPr>
          <w:lang w:val="fr-FR"/>
        </w:rPr>
        <w:t>espèces rares et menacées ou servir de bassin versant amont</w:t>
      </w:r>
      <w:r w:rsidR="0076624D" w:rsidRPr="00FA2E2E">
        <w:rPr>
          <w:lang w:val="fr-FR"/>
        </w:rPr>
        <w:t xml:space="preserve"> pour des</w:t>
      </w:r>
      <w:r w:rsidR="00D31AFF" w:rsidRPr="00FA2E2E">
        <w:rPr>
          <w:lang w:val="fr-FR"/>
        </w:rPr>
        <w:t xml:space="preserve"> </w:t>
      </w:r>
      <w:r w:rsidR="0076624D" w:rsidRPr="00FA2E2E">
        <w:rPr>
          <w:lang w:val="fr-FR"/>
        </w:rPr>
        <w:t>voies fluviales majeures</w:t>
      </w:r>
      <w:r w:rsidR="00D31AFF" w:rsidRPr="00FA2E2E">
        <w:rPr>
          <w:lang w:val="fr-FR"/>
        </w:rPr>
        <w:t>.</w:t>
      </w:r>
      <w:r w:rsidR="00152CD3" w:rsidRPr="00FA2E2E">
        <w:rPr>
          <w:lang w:val="fr-FR"/>
        </w:rPr>
        <w:t xml:space="preserve"> </w:t>
      </w:r>
    </w:p>
    <w:p w14:paraId="172EE97B" w14:textId="21DB5DE4" w:rsidR="00D31AFF" w:rsidRPr="00FA2E2E" w:rsidRDefault="003A0F06" w:rsidP="003A0F06">
      <w:pPr>
        <w:pStyle w:val="CH3"/>
        <w:rPr>
          <w:lang w:val="fr-FR"/>
        </w:rPr>
      </w:pPr>
      <w:r w:rsidRPr="00FA2E2E">
        <w:rPr>
          <w:lang w:val="fr-FR"/>
        </w:rPr>
        <w:tab/>
      </w:r>
      <w:r w:rsidRPr="00FA2E2E">
        <w:rPr>
          <w:lang w:val="fr-FR"/>
        </w:rPr>
        <w:tab/>
      </w:r>
      <w:r w:rsidR="00691457" w:rsidRPr="00FA2E2E">
        <w:rPr>
          <w:lang w:val="fr-FR"/>
        </w:rPr>
        <w:t>O</w:t>
      </w:r>
      <w:r w:rsidR="00D31AFF" w:rsidRPr="00FA2E2E">
        <w:rPr>
          <w:lang w:val="fr-FR"/>
        </w:rPr>
        <w:t>ptions</w:t>
      </w:r>
      <w:r w:rsidR="00691457" w:rsidRPr="00FA2E2E">
        <w:rPr>
          <w:lang w:val="fr-FR"/>
        </w:rPr>
        <w:t xml:space="preserve"> de financement pour l</w:t>
      </w:r>
      <w:r w:rsidR="00FE58E1" w:rsidRPr="00FA2E2E">
        <w:rPr>
          <w:lang w:val="fr-FR"/>
        </w:rPr>
        <w:t>’</w:t>
      </w:r>
      <w:r w:rsidR="00691457" w:rsidRPr="00FA2E2E">
        <w:rPr>
          <w:lang w:val="fr-FR"/>
        </w:rPr>
        <w:t>étude et la gestion des sites contaminés</w:t>
      </w:r>
    </w:p>
    <w:p w14:paraId="7DBFD4A5" w14:textId="616EC216" w:rsidR="00D31AFF" w:rsidRPr="00FA2E2E" w:rsidRDefault="00691457" w:rsidP="006D69D3">
      <w:pPr>
        <w:pStyle w:val="Normalnumber"/>
        <w:rPr>
          <w:lang w:val="fr-FR"/>
        </w:rPr>
      </w:pPr>
      <w:r w:rsidRPr="00FA2E2E">
        <w:rPr>
          <w:lang w:val="fr-FR"/>
        </w:rPr>
        <w:t>À travers le monde, les juridictions utilisent une grande diversité de combinaisons d</w:t>
      </w:r>
      <w:r w:rsidR="00FE58E1" w:rsidRPr="00FA2E2E">
        <w:rPr>
          <w:lang w:val="fr-FR"/>
        </w:rPr>
        <w:t>’</w:t>
      </w:r>
      <w:r w:rsidRPr="00FA2E2E">
        <w:rPr>
          <w:lang w:val="fr-FR"/>
        </w:rPr>
        <w:t>options de financement afin de couvrir les coûts de l</w:t>
      </w:r>
      <w:r w:rsidR="00FE58E1" w:rsidRPr="00FA2E2E">
        <w:rPr>
          <w:lang w:val="fr-FR"/>
        </w:rPr>
        <w:t>’</w:t>
      </w:r>
      <w:r w:rsidRPr="00FA2E2E">
        <w:rPr>
          <w:lang w:val="fr-FR"/>
        </w:rPr>
        <w:t>étude et de la gestion des sites</w:t>
      </w:r>
      <w:r w:rsidR="00D31AFF" w:rsidRPr="00FA2E2E">
        <w:rPr>
          <w:lang w:val="fr-FR"/>
        </w:rPr>
        <w:t>.</w:t>
      </w:r>
      <w:r w:rsidRPr="00FA2E2E">
        <w:rPr>
          <w:lang w:val="fr-FR"/>
        </w:rPr>
        <w:t xml:space="preserve"> Certains pays disposent de techniciens</w:t>
      </w:r>
      <w:r w:rsidR="00972E14" w:rsidRPr="00FA2E2E">
        <w:rPr>
          <w:lang w:val="fr-FR"/>
        </w:rPr>
        <w:t xml:space="preserve"> spécialisés au sein d</w:t>
      </w:r>
      <w:r w:rsidR="00FE58E1" w:rsidRPr="00FA2E2E">
        <w:rPr>
          <w:lang w:val="fr-FR"/>
        </w:rPr>
        <w:t>’</w:t>
      </w:r>
      <w:r w:rsidR="00972E14" w:rsidRPr="00FA2E2E">
        <w:rPr>
          <w:lang w:val="fr-FR"/>
        </w:rPr>
        <w:t>organismes publics chargés de mener de telles études, tandis que d</w:t>
      </w:r>
      <w:r w:rsidR="00FE58E1" w:rsidRPr="00FA2E2E">
        <w:rPr>
          <w:lang w:val="fr-FR"/>
        </w:rPr>
        <w:t>’</w:t>
      </w:r>
      <w:r w:rsidR="00972E14" w:rsidRPr="00FA2E2E">
        <w:rPr>
          <w:lang w:val="fr-FR"/>
        </w:rPr>
        <w:t>autres choisissent d</w:t>
      </w:r>
      <w:r w:rsidR="00FE58E1" w:rsidRPr="00FA2E2E">
        <w:rPr>
          <w:lang w:val="fr-FR"/>
        </w:rPr>
        <w:t>’</w:t>
      </w:r>
      <w:r w:rsidR="00972E14" w:rsidRPr="00FA2E2E">
        <w:rPr>
          <w:lang w:val="fr-FR"/>
        </w:rPr>
        <w:t>engager des consultants spécialisés ou de recourir aux services combinés du personnel des organismes et des consultants travaillant en collaboration</w:t>
      </w:r>
      <w:r w:rsidR="00D31AFF" w:rsidRPr="00FA2E2E">
        <w:rPr>
          <w:lang w:val="fr-FR"/>
        </w:rPr>
        <w:t>.</w:t>
      </w:r>
      <w:r w:rsidR="00972E14" w:rsidRPr="00FA2E2E">
        <w:rPr>
          <w:lang w:val="fr-FR"/>
        </w:rPr>
        <w:t xml:space="preserve"> Il peut s</w:t>
      </w:r>
      <w:r w:rsidR="00FE58E1" w:rsidRPr="00FA2E2E">
        <w:rPr>
          <w:lang w:val="fr-FR"/>
        </w:rPr>
        <w:t>’</w:t>
      </w:r>
      <w:r w:rsidR="00972E14" w:rsidRPr="00FA2E2E">
        <w:rPr>
          <w:lang w:val="fr-FR"/>
        </w:rPr>
        <w:t>avérer difficile de trouver les ressources nécessaires pour financer ces travaux mais il existe un certain nombre d</w:t>
      </w:r>
      <w:r w:rsidR="00FE58E1" w:rsidRPr="00FA2E2E">
        <w:rPr>
          <w:lang w:val="fr-FR"/>
        </w:rPr>
        <w:t>’</w:t>
      </w:r>
      <w:r w:rsidR="00972E14" w:rsidRPr="00FA2E2E">
        <w:rPr>
          <w:lang w:val="fr-FR"/>
        </w:rPr>
        <w:t xml:space="preserve">options faisant appel </w:t>
      </w:r>
      <w:r w:rsidR="00FE4750" w:rsidRPr="00FA2E2E">
        <w:rPr>
          <w:lang w:val="fr-FR"/>
        </w:rPr>
        <w:t xml:space="preserve">à la fois </w:t>
      </w:r>
      <w:r w:rsidR="00972E14" w:rsidRPr="00FA2E2E">
        <w:rPr>
          <w:lang w:val="fr-FR"/>
        </w:rPr>
        <w:t>au secteur privé et au secteur public</w:t>
      </w:r>
      <w:r w:rsidR="00D31AFF" w:rsidRPr="00FA2E2E">
        <w:rPr>
          <w:lang w:val="fr-FR"/>
        </w:rPr>
        <w:t>.</w:t>
      </w:r>
    </w:p>
    <w:p w14:paraId="434DAA4A" w14:textId="163310AE" w:rsidR="00D31AFF" w:rsidRPr="00FA2E2E" w:rsidRDefault="004A1F91" w:rsidP="006D69D3">
      <w:pPr>
        <w:pStyle w:val="Normalnumber"/>
        <w:rPr>
          <w:lang w:val="fr-FR"/>
        </w:rPr>
      </w:pPr>
      <w:r w:rsidRPr="00FA2E2E">
        <w:rPr>
          <w:lang w:val="fr-FR"/>
        </w:rPr>
        <w:t>Le financement de la gestion et de la remise en état des sites contaminés devrait, dans la mesure du possible, refléter le principe du pollueur-payeur</w:t>
      </w:r>
      <w:r w:rsidR="00D31AFF" w:rsidRPr="00FA2E2E">
        <w:rPr>
          <w:lang w:val="fr-FR"/>
        </w:rPr>
        <w:t>.</w:t>
      </w:r>
      <w:r w:rsidR="008D4E40" w:rsidRPr="00FA2E2E">
        <w:rPr>
          <w:lang w:val="fr-FR"/>
        </w:rPr>
        <w:t xml:space="preserve"> À cette fin, il est nécessaire de disposer d</w:t>
      </w:r>
      <w:r w:rsidR="00FE58E1" w:rsidRPr="00FA2E2E">
        <w:rPr>
          <w:lang w:val="fr-FR"/>
        </w:rPr>
        <w:t>’</w:t>
      </w:r>
      <w:r w:rsidR="008D4E40" w:rsidRPr="00FA2E2E">
        <w:rPr>
          <w:lang w:val="fr-FR"/>
        </w:rPr>
        <w:t>un cadre juridique et réglementaire qui impose aux responsables de la pollution l</w:t>
      </w:r>
      <w:r w:rsidR="00FE58E1" w:rsidRPr="00FA2E2E">
        <w:rPr>
          <w:lang w:val="fr-FR"/>
        </w:rPr>
        <w:t>’</w:t>
      </w:r>
      <w:r w:rsidR="008D4E40" w:rsidRPr="00FA2E2E">
        <w:rPr>
          <w:lang w:val="fr-FR"/>
        </w:rPr>
        <w:t>obligation de prendre en charge les dépenses liées à l</w:t>
      </w:r>
      <w:r w:rsidR="00FE58E1" w:rsidRPr="00FA2E2E">
        <w:rPr>
          <w:lang w:val="fr-FR"/>
        </w:rPr>
        <w:t>’</w:t>
      </w:r>
      <w:r w:rsidR="008D4E40" w:rsidRPr="00FA2E2E">
        <w:rPr>
          <w:lang w:val="fr-FR"/>
        </w:rPr>
        <w:t>évaluation, à la gestion, à la remise en état ainsi qu</w:t>
      </w:r>
      <w:r w:rsidR="00FE58E1" w:rsidRPr="00FA2E2E">
        <w:rPr>
          <w:lang w:val="fr-FR"/>
        </w:rPr>
        <w:t>’</w:t>
      </w:r>
      <w:r w:rsidR="008D4E40" w:rsidRPr="00FA2E2E">
        <w:rPr>
          <w:lang w:val="fr-FR"/>
        </w:rPr>
        <w:t>au traitement et à l</w:t>
      </w:r>
      <w:r w:rsidR="00FE58E1" w:rsidRPr="00FA2E2E">
        <w:rPr>
          <w:lang w:val="fr-FR"/>
        </w:rPr>
        <w:t>’</w:t>
      </w:r>
      <w:r w:rsidR="008D4E40" w:rsidRPr="00FA2E2E">
        <w:rPr>
          <w:lang w:val="fr-FR"/>
        </w:rPr>
        <w:t>élimination</w:t>
      </w:r>
      <w:r w:rsidR="00D31AFF" w:rsidRPr="00FA2E2E">
        <w:rPr>
          <w:lang w:val="fr-FR"/>
        </w:rPr>
        <w:t xml:space="preserve"> </w:t>
      </w:r>
      <w:r w:rsidR="008D4E40" w:rsidRPr="00FA2E2E">
        <w:rPr>
          <w:lang w:val="fr-FR"/>
        </w:rPr>
        <w:t>des déchets du site</w:t>
      </w:r>
      <w:r w:rsidR="00D31AFF" w:rsidRPr="00FA2E2E">
        <w:rPr>
          <w:lang w:val="fr-FR"/>
        </w:rPr>
        <w:t>.</w:t>
      </w:r>
      <w:r w:rsidR="008D4E40" w:rsidRPr="00FA2E2E">
        <w:rPr>
          <w:lang w:val="fr-FR"/>
        </w:rPr>
        <w:t xml:space="preserve"> En l</w:t>
      </w:r>
      <w:r w:rsidR="00FE58E1" w:rsidRPr="00FA2E2E">
        <w:rPr>
          <w:lang w:val="fr-FR"/>
        </w:rPr>
        <w:t>’</w:t>
      </w:r>
      <w:r w:rsidR="008D4E40" w:rsidRPr="00FA2E2E">
        <w:rPr>
          <w:lang w:val="fr-FR"/>
        </w:rPr>
        <w:t>absence d</w:t>
      </w:r>
      <w:r w:rsidR="00FE58E1" w:rsidRPr="00FA2E2E">
        <w:rPr>
          <w:lang w:val="fr-FR"/>
        </w:rPr>
        <w:t>’</w:t>
      </w:r>
      <w:r w:rsidR="008D4E40" w:rsidRPr="00FA2E2E">
        <w:rPr>
          <w:lang w:val="fr-FR"/>
        </w:rPr>
        <w:t>un cadre juridique, les Parties devraient adopter une approche</w:t>
      </w:r>
      <w:r w:rsidR="00D31AFF" w:rsidRPr="00FA2E2E">
        <w:rPr>
          <w:lang w:val="fr-FR"/>
        </w:rPr>
        <w:t xml:space="preserve"> </w:t>
      </w:r>
      <w:r w:rsidR="008D4E40" w:rsidRPr="00FA2E2E">
        <w:rPr>
          <w:lang w:val="fr-FR"/>
        </w:rPr>
        <w:t>au cas-par-cas</w:t>
      </w:r>
      <w:r w:rsidR="00D31AFF" w:rsidRPr="00FA2E2E">
        <w:rPr>
          <w:lang w:val="fr-FR"/>
        </w:rPr>
        <w:t xml:space="preserve">. </w:t>
      </w:r>
      <w:r w:rsidR="008D4E40" w:rsidRPr="00FA2E2E">
        <w:rPr>
          <w:lang w:val="fr-FR"/>
        </w:rPr>
        <w:t>Dans certains cas</w:t>
      </w:r>
      <w:r w:rsidR="00D31AFF" w:rsidRPr="00FA2E2E">
        <w:rPr>
          <w:lang w:val="fr-FR"/>
        </w:rPr>
        <w:t>,</w:t>
      </w:r>
      <w:r w:rsidR="008D4E40" w:rsidRPr="00FA2E2E">
        <w:rPr>
          <w:lang w:val="fr-FR"/>
        </w:rPr>
        <w:t xml:space="preserve"> différents niveaux de gouvernement peuvent être re</w:t>
      </w:r>
      <w:r w:rsidR="00151BE5" w:rsidRPr="00FA2E2E">
        <w:rPr>
          <w:lang w:val="fr-FR"/>
        </w:rPr>
        <w:t>s</w:t>
      </w:r>
      <w:r w:rsidR="008D4E40" w:rsidRPr="00FA2E2E">
        <w:rPr>
          <w:lang w:val="fr-FR"/>
        </w:rPr>
        <w:t>ponsables</w:t>
      </w:r>
      <w:r w:rsidR="00151BE5" w:rsidRPr="00FA2E2E">
        <w:rPr>
          <w:lang w:val="fr-FR"/>
        </w:rPr>
        <w:t xml:space="preserve"> du cadre de financement pour les sites contaminés</w:t>
      </w:r>
      <w:r w:rsidR="00D31AFF" w:rsidRPr="00FA2E2E">
        <w:rPr>
          <w:lang w:val="fr-FR"/>
        </w:rPr>
        <w:t>.</w:t>
      </w:r>
    </w:p>
    <w:p w14:paraId="158AA58A" w14:textId="168E80C7" w:rsidR="00D31AFF" w:rsidRPr="00FA2E2E" w:rsidRDefault="00E42618" w:rsidP="006D69D3">
      <w:pPr>
        <w:pStyle w:val="Normalnumber"/>
        <w:rPr>
          <w:lang w:val="fr-FR"/>
        </w:rPr>
      </w:pPr>
      <w:r w:rsidRPr="00FA2E2E">
        <w:rPr>
          <w:lang w:val="fr-FR"/>
        </w:rPr>
        <w:t>De nombreux modèles pollueur-payeur nationaux pour les sites contaminés comprennent des dispositions similaires aux dispositions du modèle des « sites orphelins » de l</w:t>
      </w:r>
      <w:r w:rsidR="00FE58E1" w:rsidRPr="00FA2E2E">
        <w:rPr>
          <w:lang w:val="fr-FR"/>
        </w:rPr>
        <w:t>’</w:t>
      </w:r>
      <w:r w:rsidRPr="00FA2E2E">
        <w:rPr>
          <w:lang w:val="fr-FR"/>
        </w:rPr>
        <w:t>Union européenne</w:t>
      </w:r>
      <w:r w:rsidR="00D31AFF" w:rsidRPr="00FA2E2E">
        <w:rPr>
          <w:lang w:val="fr-FR"/>
        </w:rPr>
        <w:t>.</w:t>
      </w:r>
      <w:r w:rsidRPr="00FA2E2E">
        <w:rPr>
          <w:lang w:val="fr-FR"/>
        </w:rPr>
        <w:t xml:space="preserve"> Les sites orphelins sont des sites pour lesquels les pollueurs n</w:t>
      </w:r>
      <w:r w:rsidR="00FE58E1" w:rsidRPr="00FA2E2E">
        <w:rPr>
          <w:lang w:val="fr-FR"/>
        </w:rPr>
        <w:t>’</w:t>
      </w:r>
      <w:r w:rsidRPr="00FA2E2E">
        <w:rPr>
          <w:lang w:val="fr-FR"/>
        </w:rPr>
        <w:t>existent plus, ne peuvent pas être identifiés ou ne disposent pas de suffisamment de ressources pour couvrir les coûts de l</w:t>
      </w:r>
      <w:r w:rsidR="00FE58E1" w:rsidRPr="00FA2E2E">
        <w:rPr>
          <w:lang w:val="fr-FR"/>
        </w:rPr>
        <w:t>’</w:t>
      </w:r>
      <w:r w:rsidRPr="00FA2E2E">
        <w:rPr>
          <w:lang w:val="fr-FR"/>
        </w:rPr>
        <w:t>évaluation et de la remise en état</w:t>
      </w:r>
      <w:r w:rsidR="00D31AFF" w:rsidRPr="00FA2E2E">
        <w:rPr>
          <w:lang w:val="fr-FR"/>
        </w:rPr>
        <w:t>.</w:t>
      </w:r>
      <w:r w:rsidRPr="00FA2E2E">
        <w:rPr>
          <w:lang w:val="fr-FR"/>
        </w:rPr>
        <w:t xml:space="preserve"> Dans certaines juridictions, le cadre juridique ou administratif permettant de déterminer la responsabilité de la prise en charge des coûts de la gestion et de la remise en état des sites</w:t>
      </w:r>
      <w:r w:rsidR="00A664F6" w:rsidRPr="00FA2E2E">
        <w:rPr>
          <w:lang w:val="fr-FR"/>
        </w:rPr>
        <w:t xml:space="preserve"> </w:t>
      </w:r>
      <w:r w:rsidR="00FE4750" w:rsidRPr="00FA2E2E">
        <w:rPr>
          <w:lang w:val="fr-FR"/>
        </w:rPr>
        <w:t>comprend</w:t>
      </w:r>
      <w:r w:rsidR="00A664F6" w:rsidRPr="00FA2E2E">
        <w:rPr>
          <w:lang w:val="fr-FR"/>
        </w:rPr>
        <w:t xml:space="preserve"> également de</w:t>
      </w:r>
      <w:r w:rsidR="00FE4750" w:rsidRPr="00FA2E2E">
        <w:rPr>
          <w:lang w:val="fr-FR"/>
        </w:rPr>
        <w:t>s</w:t>
      </w:r>
      <w:r w:rsidR="00A664F6" w:rsidRPr="00FA2E2E">
        <w:rPr>
          <w:lang w:val="fr-FR"/>
        </w:rPr>
        <w:t xml:space="preserve"> dispositions « propriétaire non responsable » qui dispensent un propriétaire foncier qui n</w:t>
      </w:r>
      <w:r w:rsidR="00FE58E1" w:rsidRPr="00FA2E2E">
        <w:rPr>
          <w:lang w:val="fr-FR"/>
        </w:rPr>
        <w:t>’</w:t>
      </w:r>
      <w:r w:rsidR="00A664F6" w:rsidRPr="00FA2E2E">
        <w:rPr>
          <w:lang w:val="fr-FR"/>
        </w:rPr>
        <w:t>a pas causé la contamination ou n</w:t>
      </w:r>
      <w:r w:rsidR="00FE58E1" w:rsidRPr="00FA2E2E">
        <w:rPr>
          <w:lang w:val="fr-FR"/>
        </w:rPr>
        <w:t>’</w:t>
      </w:r>
      <w:r w:rsidR="00A664F6" w:rsidRPr="00FA2E2E">
        <w:rPr>
          <w:lang w:val="fr-FR"/>
        </w:rPr>
        <w:t>avait pas connaissance de cette dernière de contribuer aux coûts de décontamination</w:t>
      </w:r>
      <w:r w:rsidR="00D31AFF" w:rsidRPr="00FA2E2E">
        <w:rPr>
          <w:lang w:val="fr-FR"/>
        </w:rPr>
        <w:t>.</w:t>
      </w:r>
      <w:r w:rsidR="00152CD3" w:rsidRPr="00FA2E2E">
        <w:rPr>
          <w:lang w:val="fr-FR"/>
        </w:rPr>
        <w:t xml:space="preserve"> </w:t>
      </w:r>
      <w:r w:rsidR="00AD4B78" w:rsidRPr="00FA2E2E">
        <w:rPr>
          <w:lang w:val="fr-FR"/>
        </w:rPr>
        <w:t>Le système</w:t>
      </w:r>
      <w:r w:rsidR="00D31AFF" w:rsidRPr="00FA2E2E">
        <w:rPr>
          <w:lang w:val="fr-FR"/>
        </w:rPr>
        <w:t xml:space="preserve"> </w:t>
      </w:r>
      <w:r w:rsidR="00AD4B78" w:rsidRPr="00FA2E2E">
        <w:rPr>
          <w:lang w:val="fr-FR"/>
        </w:rPr>
        <w:t>« </w:t>
      </w:r>
      <w:r w:rsidR="00D31AFF" w:rsidRPr="00FA2E2E">
        <w:rPr>
          <w:lang w:val="fr-FR"/>
        </w:rPr>
        <w:t>Superfund</w:t>
      </w:r>
      <w:r w:rsidR="00AD4B78" w:rsidRPr="00FA2E2E">
        <w:rPr>
          <w:lang w:val="fr-FR"/>
        </w:rPr>
        <w:t> »</w:t>
      </w:r>
      <w:r w:rsidR="00D31AFF" w:rsidRPr="00FA2E2E">
        <w:rPr>
          <w:rStyle w:val="FootnoteReference"/>
          <w:lang w:val="fr-FR"/>
        </w:rPr>
        <w:footnoteReference w:id="14"/>
      </w:r>
      <w:r w:rsidR="00D31AFF" w:rsidRPr="00FA2E2E">
        <w:rPr>
          <w:lang w:val="fr-FR"/>
        </w:rPr>
        <w:t xml:space="preserve"> </w:t>
      </w:r>
      <w:r w:rsidR="00AD4B78" w:rsidRPr="00FA2E2E">
        <w:rPr>
          <w:lang w:val="fr-FR"/>
        </w:rPr>
        <w:t>aux États-Unis et le cadre juridique</w:t>
      </w:r>
      <w:r w:rsidR="00B77F53" w:rsidRPr="00FA2E2E">
        <w:rPr>
          <w:lang w:val="fr-FR"/>
        </w:rPr>
        <w:t xml:space="preserve"> </w:t>
      </w:r>
      <w:r w:rsidR="00AD4B78" w:rsidRPr="00FA2E2E">
        <w:rPr>
          <w:lang w:val="fr-FR"/>
        </w:rPr>
        <w:t>d</w:t>
      </w:r>
      <w:r w:rsidR="00FE58E1" w:rsidRPr="00FA2E2E">
        <w:rPr>
          <w:lang w:val="fr-FR"/>
        </w:rPr>
        <w:t>’</w:t>
      </w:r>
      <w:r w:rsidR="00AD4B78" w:rsidRPr="00FA2E2E">
        <w:rPr>
          <w:lang w:val="fr-FR"/>
        </w:rPr>
        <w:t>Australie-Occidentale</w:t>
      </w:r>
      <w:r w:rsidR="00D31AFF" w:rsidRPr="00FA2E2E">
        <w:rPr>
          <w:rStyle w:val="FootnoteReference"/>
          <w:lang w:val="fr-FR"/>
        </w:rPr>
        <w:footnoteReference w:id="15"/>
      </w:r>
      <w:r w:rsidR="00D31AFF" w:rsidRPr="00FA2E2E">
        <w:rPr>
          <w:lang w:val="fr-FR"/>
        </w:rPr>
        <w:t xml:space="preserve"> </w:t>
      </w:r>
      <w:r w:rsidR="00AD4B78" w:rsidRPr="00FA2E2E">
        <w:rPr>
          <w:lang w:val="fr-FR"/>
        </w:rPr>
        <w:t>intègrent ce concept</w:t>
      </w:r>
      <w:r w:rsidR="00D31AFF" w:rsidRPr="00FA2E2E">
        <w:rPr>
          <w:lang w:val="fr-FR"/>
        </w:rPr>
        <w:t>.</w:t>
      </w:r>
      <w:r w:rsidR="00AD4B78" w:rsidRPr="00FA2E2E">
        <w:rPr>
          <w:lang w:val="fr-FR"/>
        </w:rPr>
        <w:t xml:space="preserve"> Dans certaines juridictions, un propriétaire foncier ou un occupant d</w:t>
      </w:r>
      <w:r w:rsidR="00FE58E1" w:rsidRPr="00FA2E2E">
        <w:rPr>
          <w:lang w:val="fr-FR"/>
        </w:rPr>
        <w:t>’</w:t>
      </w:r>
      <w:r w:rsidR="00AD4B78" w:rsidRPr="00FA2E2E">
        <w:rPr>
          <w:lang w:val="fr-FR"/>
        </w:rPr>
        <w:t>une propriété peut être tenu de prendre en charge les coûts d</w:t>
      </w:r>
      <w:r w:rsidR="00FE58E1" w:rsidRPr="00FA2E2E">
        <w:rPr>
          <w:lang w:val="fr-FR"/>
        </w:rPr>
        <w:t>’</w:t>
      </w:r>
      <w:r w:rsidR="00AD4B78" w:rsidRPr="00FA2E2E">
        <w:rPr>
          <w:lang w:val="fr-FR"/>
        </w:rPr>
        <w:t>évaluation et de remise en état associés à une contamination causée par quelqu</w:t>
      </w:r>
      <w:r w:rsidR="00FE58E1" w:rsidRPr="00FA2E2E">
        <w:rPr>
          <w:lang w:val="fr-FR"/>
        </w:rPr>
        <w:t>’</w:t>
      </w:r>
      <w:r w:rsidR="00AD4B78" w:rsidRPr="00FA2E2E">
        <w:rPr>
          <w:lang w:val="fr-FR"/>
        </w:rPr>
        <w:t>un d</w:t>
      </w:r>
      <w:r w:rsidR="00FE58E1" w:rsidRPr="00FA2E2E">
        <w:rPr>
          <w:lang w:val="fr-FR"/>
        </w:rPr>
        <w:t>’</w:t>
      </w:r>
      <w:r w:rsidR="00AD4B78" w:rsidRPr="00FA2E2E">
        <w:rPr>
          <w:lang w:val="fr-FR"/>
        </w:rPr>
        <w:t>autre</w:t>
      </w:r>
      <w:r w:rsidR="008961AE" w:rsidRPr="00FA2E2E">
        <w:rPr>
          <w:lang w:val="fr-FR"/>
        </w:rPr>
        <w:t>,</w:t>
      </w:r>
      <w:r w:rsidR="00D31AFF" w:rsidRPr="00FA2E2E">
        <w:rPr>
          <w:lang w:val="fr-FR"/>
        </w:rPr>
        <w:t xml:space="preserve"> </w:t>
      </w:r>
      <w:r w:rsidR="000B0863" w:rsidRPr="00FA2E2E">
        <w:rPr>
          <w:lang w:val="fr-FR"/>
        </w:rPr>
        <w:t>mais il est important de tenir compte de la responsabilité de la contamination</w:t>
      </w:r>
      <w:r w:rsidR="00D31AFF" w:rsidRPr="00FA2E2E">
        <w:rPr>
          <w:lang w:val="fr-FR"/>
        </w:rPr>
        <w:t>.</w:t>
      </w:r>
    </w:p>
    <w:p w14:paraId="02FD4BA5" w14:textId="79827A6D" w:rsidR="00D31AFF" w:rsidRPr="00FA2E2E" w:rsidRDefault="00D31AFF" w:rsidP="00F93F76">
      <w:pPr>
        <w:pStyle w:val="CH2"/>
        <w:rPr>
          <w:lang w:val="fr-FR"/>
        </w:rPr>
      </w:pPr>
      <w:r w:rsidRPr="00FA2E2E">
        <w:rPr>
          <w:lang w:val="fr-FR"/>
        </w:rPr>
        <w:tab/>
      </w:r>
      <w:bookmarkStart w:id="29" w:name="_Toc15920555"/>
      <w:r w:rsidRPr="00FA2E2E">
        <w:rPr>
          <w:lang w:val="fr-FR"/>
        </w:rPr>
        <w:t>G.</w:t>
      </w:r>
      <w:r w:rsidRPr="00FA2E2E">
        <w:rPr>
          <w:lang w:val="fr-FR"/>
        </w:rPr>
        <w:tab/>
        <w:t xml:space="preserve">Validation </w:t>
      </w:r>
      <w:bookmarkEnd w:id="29"/>
      <w:r w:rsidR="000B0863" w:rsidRPr="00FA2E2E">
        <w:rPr>
          <w:lang w:val="fr-FR"/>
        </w:rPr>
        <w:t>des résultats</w:t>
      </w:r>
    </w:p>
    <w:p w14:paraId="4A4BA85F" w14:textId="66B90C20" w:rsidR="00D31AFF" w:rsidRPr="00FA2E2E" w:rsidRDefault="000B0863" w:rsidP="006D69D3">
      <w:pPr>
        <w:pStyle w:val="Normalnumber"/>
        <w:rPr>
          <w:lang w:val="fr-FR"/>
        </w:rPr>
      </w:pPr>
      <w:r w:rsidRPr="00FA2E2E">
        <w:rPr>
          <w:lang w:val="fr-FR"/>
        </w:rPr>
        <w:t>Il est important de pouvoir vérifier si les mesures de gestion ou de remise en état qui ont été prises ont contribué à la réalisation des objectifs fixés pour le site</w:t>
      </w:r>
      <w:r w:rsidR="00D31AFF" w:rsidRPr="00FA2E2E">
        <w:rPr>
          <w:lang w:val="fr-FR"/>
        </w:rPr>
        <w:t xml:space="preserve">. </w:t>
      </w:r>
      <w:r w:rsidRPr="00FA2E2E">
        <w:rPr>
          <w:lang w:val="fr-FR"/>
        </w:rPr>
        <w:t xml:space="preserve">Les moyens de vérification devraient être définis durant le processus initial de planification et les ressources indispensables à la </w:t>
      </w:r>
      <w:r w:rsidR="00A12740" w:rsidRPr="00FA2E2E">
        <w:rPr>
          <w:lang w:val="fr-FR"/>
        </w:rPr>
        <w:t>mise en œuvre</w:t>
      </w:r>
      <w:r w:rsidRPr="00FA2E2E">
        <w:rPr>
          <w:lang w:val="fr-FR"/>
        </w:rPr>
        <w:t xml:space="preserve"> des </w:t>
      </w:r>
      <w:r w:rsidR="00A12740" w:rsidRPr="00FA2E2E">
        <w:rPr>
          <w:lang w:val="fr-FR"/>
        </w:rPr>
        <w:t>activités nécessaires</w:t>
      </w:r>
      <w:r w:rsidRPr="00FA2E2E">
        <w:rPr>
          <w:lang w:val="fr-FR"/>
        </w:rPr>
        <w:t>, telles que la surveillance, devraient être intégrées au projet global</w:t>
      </w:r>
      <w:r w:rsidR="00D31AFF" w:rsidRPr="00FA2E2E">
        <w:rPr>
          <w:lang w:val="fr-FR"/>
        </w:rPr>
        <w:t>.</w:t>
      </w:r>
    </w:p>
    <w:p w14:paraId="53871D87" w14:textId="103CCD0D" w:rsidR="00D31AFF" w:rsidRPr="00FA2E2E" w:rsidRDefault="00A12740" w:rsidP="006D69D3">
      <w:pPr>
        <w:pStyle w:val="Normalnumber"/>
        <w:rPr>
          <w:lang w:val="fr-FR"/>
        </w:rPr>
      </w:pPr>
      <w:r w:rsidRPr="00FA2E2E">
        <w:rPr>
          <w:lang w:val="fr-FR"/>
        </w:rPr>
        <w:t>Les objectifs d</w:t>
      </w:r>
      <w:r w:rsidR="00FE58E1" w:rsidRPr="00FA2E2E">
        <w:rPr>
          <w:lang w:val="fr-FR"/>
        </w:rPr>
        <w:t>’</w:t>
      </w:r>
      <w:r w:rsidRPr="00FA2E2E">
        <w:rPr>
          <w:lang w:val="fr-FR"/>
        </w:rPr>
        <w:t>un programme de surveillance varient en fonction des mesures choisies pour la gestion du site</w:t>
      </w:r>
      <w:r w:rsidR="00D31AFF" w:rsidRPr="00FA2E2E">
        <w:rPr>
          <w:lang w:val="fr-FR"/>
        </w:rPr>
        <w:t xml:space="preserve">. </w:t>
      </w:r>
      <w:r w:rsidRPr="00FA2E2E">
        <w:rPr>
          <w:lang w:val="fr-FR"/>
        </w:rPr>
        <w:t>La réussite pourra s</w:t>
      </w:r>
      <w:r w:rsidR="00FE58E1" w:rsidRPr="00FA2E2E">
        <w:rPr>
          <w:lang w:val="fr-FR"/>
        </w:rPr>
        <w:t>’</w:t>
      </w:r>
      <w:r w:rsidRPr="00FA2E2E">
        <w:rPr>
          <w:lang w:val="fr-FR"/>
        </w:rPr>
        <w:t xml:space="preserve">apprécier </w:t>
      </w:r>
      <w:r w:rsidR="00590745" w:rsidRPr="00FA2E2E">
        <w:rPr>
          <w:lang w:val="fr-FR"/>
        </w:rPr>
        <w:t>au regard</w:t>
      </w:r>
      <w:r w:rsidRPr="00FA2E2E">
        <w:rPr>
          <w:lang w:val="fr-FR"/>
        </w:rPr>
        <w:t xml:space="preserve"> de la réduction des concentrations de mercure sur le site, de la quantité de mercure pénétrant dans l</w:t>
      </w:r>
      <w:r w:rsidR="00FE58E1" w:rsidRPr="00FA2E2E">
        <w:rPr>
          <w:lang w:val="fr-FR"/>
        </w:rPr>
        <w:t>’</w:t>
      </w:r>
      <w:r w:rsidRPr="00FA2E2E">
        <w:rPr>
          <w:lang w:val="fr-FR"/>
        </w:rPr>
        <w:t>environnement à partir du site ou de l</w:t>
      </w:r>
      <w:r w:rsidR="00FE58E1" w:rsidRPr="00FA2E2E">
        <w:rPr>
          <w:lang w:val="fr-FR"/>
        </w:rPr>
        <w:t>’</w:t>
      </w:r>
      <w:r w:rsidRPr="00FA2E2E">
        <w:rPr>
          <w:lang w:val="fr-FR"/>
        </w:rPr>
        <w:t>exposition des populations installées autour du site, ou bien du retour du site à une utilisation convenable</w:t>
      </w:r>
      <w:r w:rsidR="00D31AFF" w:rsidRPr="00FA2E2E">
        <w:rPr>
          <w:lang w:val="fr-FR"/>
        </w:rPr>
        <w:t xml:space="preserve">. </w:t>
      </w:r>
      <w:r w:rsidR="00590745" w:rsidRPr="00FA2E2E">
        <w:rPr>
          <w:lang w:val="fr-FR"/>
        </w:rPr>
        <w:t>S</w:t>
      </w:r>
      <w:r w:rsidR="00FE58E1" w:rsidRPr="00FA2E2E">
        <w:rPr>
          <w:lang w:val="fr-FR"/>
        </w:rPr>
        <w:t>’</w:t>
      </w:r>
      <w:r w:rsidR="00590745" w:rsidRPr="00FA2E2E">
        <w:rPr>
          <w:lang w:val="fr-FR"/>
        </w:rPr>
        <w:t>il apparaît que les mesures de gestion du site ne contribuent pas à la réalisation des objectifs du projet global, des mesures supplémentaires seront peut-être nécessaires</w:t>
      </w:r>
      <w:r w:rsidR="00D31AFF" w:rsidRPr="00FA2E2E">
        <w:rPr>
          <w:lang w:val="fr-FR"/>
        </w:rPr>
        <w:t xml:space="preserve">. </w:t>
      </w:r>
      <w:r w:rsidR="00465A58" w:rsidRPr="00FA2E2E">
        <w:rPr>
          <w:lang w:val="fr-FR"/>
        </w:rPr>
        <w:t>Le cycle de gestion de la planification, de la mise en œuvre, de l</w:t>
      </w:r>
      <w:r w:rsidR="00FE58E1" w:rsidRPr="00FA2E2E">
        <w:rPr>
          <w:lang w:val="fr-FR"/>
        </w:rPr>
        <w:t>’</w:t>
      </w:r>
      <w:r w:rsidR="00465A58" w:rsidRPr="00FA2E2E">
        <w:rPr>
          <w:lang w:val="fr-FR"/>
        </w:rPr>
        <w:t>évaluation, de la prise de décisions et de la réorganisation devra peut-être, dans certains cas, se répéter</w:t>
      </w:r>
      <w:r w:rsidR="00D31AFF" w:rsidRPr="00FA2E2E">
        <w:rPr>
          <w:lang w:val="fr-FR"/>
        </w:rPr>
        <w:t xml:space="preserve">. </w:t>
      </w:r>
    </w:p>
    <w:p w14:paraId="0184ACCC" w14:textId="4D587BC3" w:rsidR="00D31AFF" w:rsidRPr="00FA2E2E" w:rsidRDefault="00465A58" w:rsidP="006D69D3">
      <w:pPr>
        <w:pStyle w:val="Normalnumber"/>
        <w:rPr>
          <w:lang w:val="fr-FR"/>
        </w:rPr>
      </w:pPr>
      <w:r w:rsidRPr="00FA2E2E">
        <w:rPr>
          <w:lang w:val="fr-FR"/>
        </w:rPr>
        <w:t>L</w:t>
      </w:r>
      <w:r w:rsidR="00FE58E1" w:rsidRPr="00FA2E2E">
        <w:rPr>
          <w:lang w:val="fr-FR"/>
        </w:rPr>
        <w:t>’</w:t>
      </w:r>
      <w:r w:rsidRPr="00FA2E2E">
        <w:rPr>
          <w:lang w:val="fr-FR"/>
        </w:rPr>
        <w:t>échantillonnage est une forme répandue de validation</w:t>
      </w:r>
      <w:r w:rsidR="00D31AFF" w:rsidRPr="00FA2E2E">
        <w:rPr>
          <w:lang w:val="fr-FR"/>
        </w:rPr>
        <w:t xml:space="preserve">. </w:t>
      </w:r>
      <w:r w:rsidR="0093330D" w:rsidRPr="00FA2E2E">
        <w:rPr>
          <w:lang w:val="fr-FR"/>
        </w:rPr>
        <w:t>Par exemple, dans le cas où un foyer de mercure a été excavé, les taux de mercure mesurés dans des échantillons de sol prélevés sur les parois et à la base de la zone excavée devraient correspondre ou être inférieurs aux objectifs fixés pour la remise en état</w:t>
      </w:r>
      <w:r w:rsidR="00D31AFF" w:rsidRPr="00FA2E2E">
        <w:rPr>
          <w:lang w:val="fr-FR"/>
        </w:rPr>
        <w:t xml:space="preserve">. </w:t>
      </w:r>
      <w:r w:rsidR="0093330D" w:rsidRPr="00FA2E2E">
        <w:rPr>
          <w:lang w:val="fr-FR"/>
        </w:rPr>
        <w:t>Les concentrations dans les eaux de surface, les eaux souterraines, l</w:t>
      </w:r>
      <w:r w:rsidR="00FE58E1" w:rsidRPr="00FA2E2E">
        <w:rPr>
          <w:lang w:val="fr-FR"/>
        </w:rPr>
        <w:t>’</w:t>
      </w:r>
      <w:r w:rsidR="0093330D" w:rsidRPr="00FA2E2E">
        <w:rPr>
          <w:lang w:val="fr-FR"/>
        </w:rPr>
        <w:t xml:space="preserve">air et le biote peuvent également être mesurées afin de déterminer si les objectifs de gestion </w:t>
      </w:r>
      <w:r w:rsidR="00A849AE" w:rsidRPr="00FA2E2E">
        <w:rPr>
          <w:lang w:val="fr-FR"/>
        </w:rPr>
        <w:t>et/</w:t>
      </w:r>
      <w:r w:rsidR="0093330D" w:rsidRPr="00FA2E2E">
        <w:rPr>
          <w:lang w:val="fr-FR"/>
        </w:rPr>
        <w:t>ou de remise en état ont été atteints</w:t>
      </w:r>
      <w:r w:rsidR="00D31AFF" w:rsidRPr="00FA2E2E">
        <w:rPr>
          <w:lang w:val="fr-FR"/>
        </w:rPr>
        <w:t>.</w:t>
      </w:r>
    </w:p>
    <w:p w14:paraId="59E5BF09" w14:textId="3240F279" w:rsidR="00D31AFF" w:rsidRPr="00FA2E2E" w:rsidRDefault="00394EB3" w:rsidP="006D69D3">
      <w:pPr>
        <w:pStyle w:val="Normalnumber"/>
        <w:rPr>
          <w:lang w:val="fr-FR"/>
        </w:rPr>
      </w:pPr>
      <w:r w:rsidRPr="00FA2E2E">
        <w:rPr>
          <w:lang w:val="fr-FR"/>
        </w:rPr>
        <w:t>Dans le cadre de l</w:t>
      </w:r>
      <w:r w:rsidR="00FE58E1" w:rsidRPr="00FA2E2E">
        <w:rPr>
          <w:lang w:val="fr-FR"/>
        </w:rPr>
        <w:t>’</w:t>
      </w:r>
      <w:r w:rsidRPr="00FA2E2E">
        <w:rPr>
          <w:lang w:val="fr-FR"/>
        </w:rPr>
        <w:t>évaluation globale des mesures initiales prises pour la gestion d</w:t>
      </w:r>
      <w:r w:rsidR="00FE58E1" w:rsidRPr="00FA2E2E">
        <w:rPr>
          <w:lang w:val="fr-FR"/>
        </w:rPr>
        <w:t>’</w:t>
      </w:r>
      <w:r w:rsidRPr="00FA2E2E">
        <w:rPr>
          <w:lang w:val="fr-FR"/>
        </w:rPr>
        <w:t>un site contaminé, des mesures supplémentaires telles que la remise en état peuvent être envisagées, notamment si des avancées technologiques survenues depuis l</w:t>
      </w:r>
      <w:r w:rsidR="00FE58E1" w:rsidRPr="00FA2E2E">
        <w:rPr>
          <w:lang w:val="fr-FR"/>
        </w:rPr>
        <w:t>’</w:t>
      </w:r>
      <w:r w:rsidRPr="00FA2E2E">
        <w:rPr>
          <w:lang w:val="fr-FR"/>
        </w:rPr>
        <w:t>évaluation initiale du site ont rendu une telle opération plus faisable</w:t>
      </w:r>
      <w:r w:rsidR="00D31AFF" w:rsidRPr="00FA2E2E">
        <w:rPr>
          <w:lang w:val="fr-FR"/>
        </w:rPr>
        <w:t xml:space="preserve">. </w:t>
      </w:r>
      <w:r w:rsidRPr="00FA2E2E">
        <w:rPr>
          <w:lang w:val="fr-FR"/>
        </w:rPr>
        <w:t xml:space="preserve">Le programme de surveillance devrait comprendre une surveillance continue appropriée des concentrations de mercure dans </w:t>
      </w:r>
      <w:r w:rsidR="008132A6" w:rsidRPr="00FA2E2E">
        <w:rPr>
          <w:lang w:val="fr-FR"/>
        </w:rPr>
        <w:t>l</w:t>
      </w:r>
      <w:r w:rsidR="00FE58E1" w:rsidRPr="00FA2E2E">
        <w:rPr>
          <w:lang w:val="fr-FR"/>
        </w:rPr>
        <w:t>’</w:t>
      </w:r>
      <w:r w:rsidR="008132A6" w:rsidRPr="00FA2E2E">
        <w:rPr>
          <w:lang w:val="fr-FR"/>
        </w:rPr>
        <w:t>ensemble des</w:t>
      </w:r>
      <w:r w:rsidRPr="00FA2E2E">
        <w:rPr>
          <w:lang w:val="fr-FR"/>
        </w:rPr>
        <w:t xml:space="preserve"> milieu</w:t>
      </w:r>
      <w:r w:rsidR="008132A6" w:rsidRPr="00FA2E2E">
        <w:rPr>
          <w:lang w:val="fr-FR"/>
        </w:rPr>
        <w:t>x</w:t>
      </w:r>
      <w:r w:rsidRPr="00FA2E2E">
        <w:rPr>
          <w:lang w:val="fr-FR"/>
        </w:rPr>
        <w:t xml:space="preserve"> préoccupant</w:t>
      </w:r>
      <w:r w:rsidR="008132A6" w:rsidRPr="00FA2E2E">
        <w:rPr>
          <w:lang w:val="fr-FR"/>
        </w:rPr>
        <w:t>s</w:t>
      </w:r>
      <w:r w:rsidRPr="00FA2E2E">
        <w:rPr>
          <w:lang w:val="fr-FR"/>
        </w:rPr>
        <w:t xml:space="preserve">, même après </w:t>
      </w:r>
      <w:r w:rsidR="008132A6" w:rsidRPr="00FA2E2E">
        <w:rPr>
          <w:lang w:val="fr-FR"/>
        </w:rPr>
        <w:t>l</w:t>
      </w:r>
      <w:r w:rsidR="00FE58E1" w:rsidRPr="00FA2E2E">
        <w:rPr>
          <w:lang w:val="fr-FR"/>
        </w:rPr>
        <w:t>’</w:t>
      </w:r>
      <w:r w:rsidR="008132A6" w:rsidRPr="00FA2E2E">
        <w:rPr>
          <w:lang w:val="fr-FR"/>
        </w:rPr>
        <w:t>achèvement</w:t>
      </w:r>
      <w:r w:rsidRPr="00FA2E2E">
        <w:rPr>
          <w:lang w:val="fr-FR"/>
        </w:rPr>
        <w:t xml:space="preserve"> </w:t>
      </w:r>
      <w:r w:rsidR="00A849AE" w:rsidRPr="00FA2E2E">
        <w:rPr>
          <w:lang w:val="fr-FR"/>
        </w:rPr>
        <w:t xml:space="preserve">des </w:t>
      </w:r>
      <w:r w:rsidRPr="00FA2E2E">
        <w:rPr>
          <w:lang w:val="fr-FR"/>
        </w:rPr>
        <w:t>activités de remise en état</w:t>
      </w:r>
      <w:r w:rsidR="008132A6" w:rsidRPr="00FA2E2E">
        <w:rPr>
          <w:lang w:val="fr-FR"/>
        </w:rPr>
        <w:t>, afin de veiller à ce que ces dernières aient porté leurs fruits et qu</w:t>
      </w:r>
      <w:r w:rsidR="00FE58E1" w:rsidRPr="00FA2E2E">
        <w:rPr>
          <w:lang w:val="fr-FR"/>
        </w:rPr>
        <w:t>’</w:t>
      </w:r>
      <w:r w:rsidR="008132A6" w:rsidRPr="00FA2E2E">
        <w:rPr>
          <w:lang w:val="fr-FR"/>
        </w:rPr>
        <w:t>il n</w:t>
      </w:r>
      <w:r w:rsidR="00FE58E1" w:rsidRPr="00FA2E2E">
        <w:rPr>
          <w:lang w:val="fr-FR"/>
        </w:rPr>
        <w:t>’</w:t>
      </w:r>
      <w:r w:rsidR="008132A6" w:rsidRPr="00FA2E2E">
        <w:rPr>
          <w:lang w:val="fr-FR"/>
        </w:rPr>
        <w:t xml:space="preserve">y ait pas de sources </w:t>
      </w:r>
      <w:r w:rsidR="00A849AE" w:rsidRPr="00FA2E2E">
        <w:rPr>
          <w:lang w:val="fr-FR"/>
        </w:rPr>
        <w:t xml:space="preserve">de contamination </w:t>
      </w:r>
      <w:r w:rsidR="008132A6" w:rsidRPr="00FA2E2E">
        <w:rPr>
          <w:lang w:val="fr-FR"/>
        </w:rPr>
        <w:t>supplémentaires non identifiée</w:t>
      </w:r>
      <w:r w:rsidR="00A849AE" w:rsidRPr="00FA2E2E">
        <w:rPr>
          <w:lang w:val="fr-FR"/>
        </w:rPr>
        <w:t>s</w:t>
      </w:r>
      <w:r w:rsidR="008132A6" w:rsidRPr="00FA2E2E">
        <w:rPr>
          <w:lang w:val="fr-FR"/>
        </w:rPr>
        <w:t xml:space="preserve"> durant la caractérisation du site</w:t>
      </w:r>
      <w:r w:rsidR="00D31AFF" w:rsidRPr="00FA2E2E">
        <w:rPr>
          <w:lang w:val="fr-FR"/>
        </w:rPr>
        <w:t xml:space="preserve">. </w:t>
      </w:r>
    </w:p>
    <w:p w14:paraId="5DDEAD90" w14:textId="66C706BB" w:rsidR="00D31AFF" w:rsidRPr="00FA2E2E" w:rsidRDefault="00D31AFF" w:rsidP="00F93F76">
      <w:pPr>
        <w:pStyle w:val="CH2"/>
        <w:rPr>
          <w:lang w:val="fr-FR"/>
        </w:rPr>
      </w:pPr>
      <w:r w:rsidRPr="00FA2E2E">
        <w:rPr>
          <w:lang w:val="fr-FR"/>
        </w:rPr>
        <w:tab/>
      </w:r>
      <w:bookmarkStart w:id="30" w:name="_Toc15920556"/>
      <w:r w:rsidRPr="00FA2E2E">
        <w:rPr>
          <w:lang w:val="fr-FR"/>
        </w:rPr>
        <w:t>H.</w:t>
      </w:r>
      <w:r w:rsidRPr="00FA2E2E">
        <w:rPr>
          <w:lang w:val="fr-FR"/>
        </w:rPr>
        <w:tab/>
      </w:r>
      <w:r w:rsidR="00063AF8" w:rsidRPr="00FA2E2E">
        <w:rPr>
          <w:lang w:val="fr-FR"/>
        </w:rPr>
        <w:t>Coopération pour l</w:t>
      </w:r>
      <w:r w:rsidR="00FE58E1" w:rsidRPr="00FA2E2E">
        <w:rPr>
          <w:lang w:val="fr-FR"/>
        </w:rPr>
        <w:t>’</w:t>
      </w:r>
      <w:r w:rsidR="00063AF8" w:rsidRPr="00FA2E2E">
        <w:rPr>
          <w:lang w:val="fr-FR"/>
        </w:rPr>
        <w:t>élaboration de stratégies et l</w:t>
      </w:r>
      <w:r w:rsidR="00FE58E1" w:rsidRPr="00FA2E2E">
        <w:rPr>
          <w:lang w:val="fr-FR"/>
        </w:rPr>
        <w:t>’</w:t>
      </w:r>
      <w:r w:rsidR="00063AF8" w:rsidRPr="00FA2E2E">
        <w:rPr>
          <w:lang w:val="fr-FR"/>
        </w:rPr>
        <w:t>exécution d</w:t>
      </w:r>
      <w:r w:rsidR="00FE58E1" w:rsidRPr="00FA2E2E">
        <w:rPr>
          <w:lang w:val="fr-FR"/>
        </w:rPr>
        <w:t>’</w:t>
      </w:r>
      <w:r w:rsidR="00063AF8" w:rsidRPr="00FA2E2E">
        <w:rPr>
          <w:lang w:val="fr-FR"/>
        </w:rPr>
        <w:t>activités visant à identifier, évaluer, classer par ordre de priorité, gérer et, s</w:t>
      </w:r>
      <w:r w:rsidR="00FE58E1" w:rsidRPr="00FA2E2E">
        <w:rPr>
          <w:lang w:val="fr-FR"/>
        </w:rPr>
        <w:t>’</w:t>
      </w:r>
      <w:r w:rsidR="00063AF8" w:rsidRPr="00FA2E2E">
        <w:rPr>
          <w:lang w:val="fr-FR"/>
        </w:rPr>
        <w:t>il y a lieu, remettre en état les sites contaminés</w:t>
      </w:r>
      <w:bookmarkStart w:id="31" w:name="_Hlk10106485"/>
      <w:bookmarkEnd w:id="30"/>
      <w:r w:rsidRPr="00FA2E2E">
        <w:rPr>
          <w:lang w:val="fr-FR"/>
        </w:rPr>
        <w:t xml:space="preserve"> </w:t>
      </w:r>
      <w:bookmarkEnd w:id="31"/>
    </w:p>
    <w:p w14:paraId="3F1E58D9" w14:textId="76BD4B7A" w:rsidR="00D31AFF" w:rsidRPr="00FA2E2E" w:rsidRDefault="00063AF8" w:rsidP="008E43CD">
      <w:pPr>
        <w:pStyle w:val="Normalnumber"/>
        <w:numPr>
          <w:ilvl w:val="0"/>
          <w:numId w:val="5"/>
        </w:numPr>
        <w:rPr>
          <w:lang w:val="fr-FR"/>
        </w:rPr>
      </w:pPr>
      <w:r w:rsidRPr="00FA2E2E">
        <w:rPr>
          <w:lang w:val="fr-FR"/>
        </w:rPr>
        <w:t>Le texte de la Convention encourage la coopération entre les Parties, notamment dans l</w:t>
      </w:r>
      <w:r w:rsidR="00FE58E1" w:rsidRPr="00FA2E2E">
        <w:rPr>
          <w:lang w:val="fr-FR"/>
        </w:rPr>
        <w:t>’</w:t>
      </w:r>
      <w:r w:rsidRPr="00FA2E2E">
        <w:rPr>
          <w:lang w:val="fr-FR"/>
        </w:rPr>
        <w:t>article 12 sur les sites contaminés et dans les dispositions de l</w:t>
      </w:r>
      <w:r w:rsidR="00FE58E1" w:rsidRPr="00FA2E2E">
        <w:rPr>
          <w:lang w:val="fr-FR"/>
        </w:rPr>
        <w:t>’</w:t>
      </w:r>
      <w:r w:rsidRPr="00FA2E2E">
        <w:rPr>
          <w:lang w:val="fr-FR"/>
        </w:rPr>
        <w:t>article 14 sur le renforcement des capacités, l</w:t>
      </w:r>
      <w:r w:rsidR="00FE58E1" w:rsidRPr="00FA2E2E">
        <w:rPr>
          <w:lang w:val="fr-FR"/>
        </w:rPr>
        <w:t>’</w:t>
      </w:r>
      <w:r w:rsidRPr="00FA2E2E">
        <w:rPr>
          <w:lang w:val="fr-FR"/>
        </w:rPr>
        <w:t>assistance technique et le transfert de technologies</w:t>
      </w:r>
      <w:r w:rsidR="00D31AFF" w:rsidRPr="00FA2E2E">
        <w:rPr>
          <w:lang w:val="fr-FR"/>
        </w:rPr>
        <w:t>.</w:t>
      </w:r>
      <w:r w:rsidR="00835F3F" w:rsidRPr="00FA2E2E">
        <w:rPr>
          <w:lang w:val="fr-FR"/>
        </w:rPr>
        <w:t xml:space="preserve"> </w:t>
      </w:r>
      <w:r w:rsidR="007C0AEB" w:rsidRPr="00FA2E2E">
        <w:rPr>
          <w:lang w:val="fr-FR"/>
        </w:rPr>
        <w:t>La coopération pourrait comprendre, par exemple, des activités d</w:t>
      </w:r>
      <w:r w:rsidR="00FE58E1" w:rsidRPr="00FA2E2E">
        <w:rPr>
          <w:lang w:val="fr-FR"/>
        </w:rPr>
        <w:t>’</w:t>
      </w:r>
      <w:r w:rsidR="007C0AEB" w:rsidRPr="00FA2E2E">
        <w:rPr>
          <w:lang w:val="fr-FR"/>
        </w:rPr>
        <w:t>échange d</w:t>
      </w:r>
      <w:r w:rsidR="00FE58E1" w:rsidRPr="00FA2E2E">
        <w:rPr>
          <w:lang w:val="fr-FR"/>
        </w:rPr>
        <w:t>’</w:t>
      </w:r>
      <w:r w:rsidR="007C0AEB" w:rsidRPr="00FA2E2E">
        <w:rPr>
          <w:lang w:val="fr-FR"/>
        </w:rPr>
        <w:t>informations, l</w:t>
      </w:r>
      <w:r w:rsidR="00FE58E1" w:rsidRPr="00FA2E2E">
        <w:rPr>
          <w:lang w:val="fr-FR"/>
        </w:rPr>
        <w:t>’</w:t>
      </w:r>
      <w:r w:rsidR="007C0AEB" w:rsidRPr="00FA2E2E">
        <w:rPr>
          <w:lang w:val="fr-FR"/>
        </w:rPr>
        <w:t>examen des solutions possibles pour une évaluation conjointe des sites ou la coordination des plans de communication ayant trait aux sites</w:t>
      </w:r>
      <w:r w:rsidR="00D31AFF" w:rsidRPr="00FA2E2E">
        <w:rPr>
          <w:lang w:val="fr-FR"/>
        </w:rPr>
        <w:t>.</w:t>
      </w:r>
    </w:p>
    <w:p w14:paraId="0A4362E3" w14:textId="0361C78B" w:rsidR="00D31AFF" w:rsidRPr="00FA2E2E" w:rsidRDefault="007C0AEB" w:rsidP="006D69D3">
      <w:pPr>
        <w:pStyle w:val="Normalnumber"/>
        <w:rPr>
          <w:lang w:val="fr-FR"/>
        </w:rPr>
      </w:pPr>
      <w:r w:rsidRPr="00FA2E2E">
        <w:rPr>
          <w:lang w:val="fr-FR"/>
        </w:rPr>
        <w:t>Des possibilités d</w:t>
      </w:r>
      <w:r w:rsidR="00FE58E1" w:rsidRPr="00FA2E2E">
        <w:rPr>
          <w:lang w:val="fr-FR"/>
        </w:rPr>
        <w:t>’</w:t>
      </w:r>
      <w:r w:rsidRPr="00FA2E2E">
        <w:rPr>
          <w:lang w:val="fr-FR"/>
        </w:rPr>
        <w:t>échange d</w:t>
      </w:r>
      <w:r w:rsidR="00FE58E1" w:rsidRPr="00FA2E2E">
        <w:rPr>
          <w:lang w:val="fr-FR"/>
        </w:rPr>
        <w:t>’</w:t>
      </w:r>
      <w:r w:rsidRPr="00FA2E2E">
        <w:rPr>
          <w:lang w:val="fr-FR"/>
        </w:rPr>
        <w:t>informations peuvent apparaître durant le processus d</w:t>
      </w:r>
      <w:r w:rsidR="00FE58E1" w:rsidRPr="00FA2E2E">
        <w:rPr>
          <w:lang w:val="fr-FR"/>
        </w:rPr>
        <w:t>’</w:t>
      </w:r>
      <w:r w:rsidRPr="00FA2E2E">
        <w:rPr>
          <w:lang w:val="fr-FR"/>
        </w:rPr>
        <w:t>identification des sites contaminés, qui pourrait également s</w:t>
      </w:r>
      <w:r w:rsidR="00FE58E1" w:rsidRPr="00FA2E2E">
        <w:rPr>
          <w:lang w:val="fr-FR"/>
        </w:rPr>
        <w:t>’</w:t>
      </w:r>
      <w:r w:rsidRPr="00FA2E2E">
        <w:rPr>
          <w:lang w:val="fr-FR"/>
        </w:rPr>
        <w:t>avérer propice à une évaluation conjointe des sites</w:t>
      </w:r>
      <w:r w:rsidR="00D31AFF" w:rsidRPr="00FA2E2E">
        <w:rPr>
          <w:lang w:val="fr-FR"/>
        </w:rPr>
        <w:t xml:space="preserve">. </w:t>
      </w:r>
      <w:r w:rsidRPr="00FA2E2E">
        <w:rPr>
          <w:lang w:val="fr-FR"/>
        </w:rPr>
        <w:t>Une telle coopération pourrait être particulièrement judicieuse dans les cas où un certain nombre de sites se trouvant au sein d</w:t>
      </w:r>
      <w:r w:rsidR="00FE58E1" w:rsidRPr="00FA2E2E">
        <w:rPr>
          <w:lang w:val="fr-FR"/>
        </w:rPr>
        <w:t>’</w:t>
      </w:r>
      <w:r w:rsidRPr="00FA2E2E">
        <w:rPr>
          <w:lang w:val="fr-FR"/>
        </w:rPr>
        <w:t>une sous-région étaient précédemment détenus ou gérés par la même entreprise ou abritaient des activités semblables (telles que l</w:t>
      </w:r>
      <w:r w:rsidR="00FE58E1" w:rsidRPr="00FA2E2E">
        <w:rPr>
          <w:lang w:val="fr-FR"/>
        </w:rPr>
        <w:t>’</w:t>
      </w:r>
      <w:r w:rsidRPr="00FA2E2E">
        <w:rPr>
          <w:lang w:val="fr-FR"/>
        </w:rPr>
        <w:t>extraction minière artisanale et à petite échelle d</w:t>
      </w:r>
      <w:r w:rsidR="00FE58E1" w:rsidRPr="00FA2E2E">
        <w:rPr>
          <w:lang w:val="fr-FR"/>
        </w:rPr>
        <w:t>’</w:t>
      </w:r>
      <w:r w:rsidRPr="00FA2E2E">
        <w:rPr>
          <w:lang w:val="fr-FR"/>
        </w:rPr>
        <w:t>or, l</w:t>
      </w:r>
      <w:r w:rsidR="00FE58E1" w:rsidRPr="00FA2E2E">
        <w:rPr>
          <w:lang w:val="fr-FR"/>
        </w:rPr>
        <w:t>’</w:t>
      </w:r>
      <w:r w:rsidRPr="00FA2E2E">
        <w:rPr>
          <w:lang w:val="fr-FR"/>
        </w:rPr>
        <w:t>extraction minière de mercure primaire ou la production de chlore-alcali)</w:t>
      </w:r>
      <w:r w:rsidR="00D31AFF" w:rsidRPr="00FA2E2E">
        <w:rPr>
          <w:lang w:val="fr-FR"/>
        </w:rPr>
        <w:t xml:space="preserve">. </w:t>
      </w:r>
    </w:p>
    <w:p w14:paraId="56356113" w14:textId="5D23C75D" w:rsidR="00D31AFF" w:rsidRPr="00FA2E2E" w:rsidRDefault="00203CFB" w:rsidP="006D69D3">
      <w:pPr>
        <w:pStyle w:val="Normalnumber"/>
        <w:rPr>
          <w:lang w:val="fr-FR"/>
        </w:rPr>
      </w:pPr>
      <w:r w:rsidRPr="00FA2E2E">
        <w:rPr>
          <w:lang w:val="fr-FR"/>
        </w:rPr>
        <w:t>Les activités de coopération menées durant l</w:t>
      </w:r>
      <w:r w:rsidR="00FE58E1" w:rsidRPr="00FA2E2E">
        <w:rPr>
          <w:lang w:val="fr-FR"/>
        </w:rPr>
        <w:t>’</w:t>
      </w:r>
      <w:r w:rsidRPr="00FA2E2E">
        <w:rPr>
          <w:lang w:val="fr-FR"/>
        </w:rPr>
        <w:t xml:space="preserve">évaluation des sites contaminés peuvent permettre de faire des économies et de gagner en </w:t>
      </w:r>
      <w:r w:rsidR="009D409D" w:rsidRPr="00FA2E2E">
        <w:rPr>
          <w:lang w:val="fr-FR"/>
        </w:rPr>
        <w:t>efficacité</w:t>
      </w:r>
      <w:r w:rsidRPr="00FA2E2E">
        <w:rPr>
          <w:lang w:val="fr-FR"/>
        </w:rPr>
        <w:t>, en particulier si les Parties parviennent à se partager les coûts de l</w:t>
      </w:r>
      <w:r w:rsidR="00FE58E1" w:rsidRPr="00FA2E2E">
        <w:rPr>
          <w:lang w:val="fr-FR"/>
        </w:rPr>
        <w:t>’</w:t>
      </w:r>
      <w:r w:rsidRPr="00FA2E2E">
        <w:rPr>
          <w:lang w:val="fr-FR"/>
        </w:rPr>
        <w:t>échantillonnage et des analyses</w:t>
      </w:r>
      <w:r w:rsidR="00D31AFF" w:rsidRPr="00FA2E2E">
        <w:rPr>
          <w:lang w:val="fr-FR"/>
        </w:rPr>
        <w:t xml:space="preserve">. </w:t>
      </w:r>
      <w:r w:rsidR="0074206D" w:rsidRPr="00FA2E2E">
        <w:rPr>
          <w:lang w:val="fr-FR"/>
        </w:rPr>
        <w:t>Il peut être envisageable, par exemple, qu</w:t>
      </w:r>
      <w:r w:rsidR="00FE58E1" w:rsidRPr="00FA2E2E">
        <w:rPr>
          <w:lang w:val="fr-FR"/>
        </w:rPr>
        <w:t>’</w:t>
      </w:r>
      <w:r w:rsidR="0074206D" w:rsidRPr="00FA2E2E">
        <w:rPr>
          <w:lang w:val="fr-FR"/>
        </w:rPr>
        <w:t>une Partie se charge du prélèvement des échantillons, qui seront</w:t>
      </w:r>
      <w:r w:rsidR="009D409D" w:rsidRPr="00FA2E2E">
        <w:rPr>
          <w:lang w:val="fr-FR"/>
        </w:rPr>
        <w:t xml:space="preserve"> ensuite</w:t>
      </w:r>
      <w:r w:rsidR="0074206D" w:rsidRPr="00FA2E2E">
        <w:rPr>
          <w:lang w:val="fr-FR"/>
        </w:rPr>
        <w:t xml:space="preserve"> analysés par une autre Partie dont les services de laboratoire sont plus développés</w:t>
      </w:r>
      <w:r w:rsidR="00D31AFF" w:rsidRPr="00FA2E2E">
        <w:rPr>
          <w:lang w:val="fr-FR"/>
        </w:rPr>
        <w:t xml:space="preserve">. </w:t>
      </w:r>
    </w:p>
    <w:p w14:paraId="58DA0219" w14:textId="727306F0" w:rsidR="00D31AFF" w:rsidRPr="00FA2E2E" w:rsidRDefault="00C75E0A" w:rsidP="006D69D3">
      <w:pPr>
        <w:pStyle w:val="Normalnumber"/>
        <w:rPr>
          <w:lang w:val="fr-FR"/>
        </w:rPr>
      </w:pPr>
      <w:r w:rsidRPr="00FA2E2E">
        <w:rPr>
          <w:lang w:val="fr-FR"/>
        </w:rPr>
        <w:t>S</w:t>
      </w:r>
      <w:r w:rsidR="00FE58E1" w:rsidRPr="00FA2E2E">
        <w:rPr>
          <w:lang w:val="fr-FR"/>
        </w:rPr>
        <w:t>’</w:t>
      </w:r>
      <w:r w:rsidRPr="00FA2E2E">
        <w:rPr>
          <w:lang w:val="fr-FR"/>
        </w:rPr>
        <w:t>agissant du classement par ordre de priorité des sites contaminés, les Parties peuvent prendre des décisions reflétant leurs priorités au niveau national. Cependant, une démarche coopérative comprenant un échange d</w:t>
      </w:r>
      <w:r w:rsidR="00FE58E1" w:rsidRPr="00FA2E2E">
        <w:rPr>
          <w:lang w:val="fr-FR"/>
        </w:rPr>
        <w:t>’</w:t>
      </w:r>
      <w:r w:rsidRPr="00FA2E2E">
        <w:rPr>
          <w:lang w:val="fr-FR"/>
        </w:rPr>
        <w:t>informations et un examen conjoint des priorités peut s</w:t>
      </w:r>
      <w:r w:rsidR="00FE58E1" w:rsidRPr="00FA2E2E">
        <w:rPr>
          <w:lang w:val="fr-FR"/>
        </w:rPr>
        <w:t>’</w:t>
      </w:r>
      <w:r w:rsidRPr="00FA2E2E">
        <w:rPr>
          <w:lang w:val="fr-FR"/>
        </w:rPr>
        <w:t>avérer utile, en particulier dans les situations où une contamination est susceptible d</w:t>
      </w:r>
      <w:r w:rsidR="00FE58E1" w:rsidRPr="00FA2E2E">
        <w:rPr>
          <w:lang w:val="fr-FR"/>
        </w:rPr>
        <w:t>’</w:t>
      </w:r>
      <w:r w:rsidRPr="00FA2E2E">
        <w:rPr>
          <w:lang w:val="fr-FR"/>
        </w:rPr>
        <w:t>avoir traversé les frontières nationales</w:t>
      </w:r>
      <w:r w:rsidR="00D31AFF" w:rsidRPr="00FA2E2E">
        <w:rPr>
          <w:lang w:val="fr-FR"/>
        </w:rPr>
        <w:t xml:space="preserve">. </w:t>
      </w:r>
      <w:r w:rsidRPr="00FA2E2E">
        <w:rPr>
          <w:lang w:val="fr-FR"/>
        </w:rPr>
        <w:t>La Partie la plus touchée par la pollution peut contribuer utilement au processus de classement par ordre de priorité.</w:t>
      </w:r>
      <w:r w:rsidR="00D31AFF" w:rsidRPr="00FA2E2E">
        <w:rPr>
          <w:lang w:val="fr-FR"/>
        </w:rPr>
        <w:t xml:space="preserve"> </w:t>
      </w:r>
      <w:r w:rsidRPr="00FA2E2E">
        <w:rPr>
          <w:lang w:val="fr-FR"/>
        </w:rPr>
        <w:t>Par ailleurs, les Parties souhaiteront peut-être coopérer dans les cas où plusieurs sites contaminés se trouvent à proximité les uns des autres</w:t>
      </w:r>
      <w:r w:rsidR="00D31AFF" w:rsidRPr="00FA2E2E">
        <w:rPr>
          <w:lang w:val="fr-FR"/>
        </w:rPr>
        <w:t xml:space="preserve">. </w:t>
      </w:r>
      <w:r w:rsidRPr="00FA2E2E">
        <w:rPr>
          <w:lang w:val="fr-FR"/>
        </w:rPr>
        <w:t>Les Parties devront peut-être coopérer pour restreindre l</w:t>
      </w:r>
      <w:r w:rsidR="00FE58E1" w:rsidRPr="00FA2E2E">
        <w:rPr>
          <w:lang w:val="fr-FR"/>
        </w:rPr>
        <w:t>’</w:t>
      </w:r>
      <w:r w:rsidRPr="00FA2E2E">
        <w:rPr>
          <w:lang w:val="fr-FR"/>
        </w:rPr>
        <w:t>accès à certains sites</w:t>
      </w:r>
      <w:r w:rsidR="00D31AFF" w:rsidRPr="00FA2E2E">
        <w:rPr>
          <w:lang w:val="fr-FR"/>
        </w:rPr>
        <w:t xml:space="preserve">. </w:t>
      </w:r>
      <w:r w:rsidRPr="00FA2E2E">
        <w:rPr>
          <w:lang w:val="fr-FR"/>
        </w:rPr>
        <w:t>Dans les cas où des activités de remise en état ont été planifiées, il est envisageable d</w:t>
      </w:r>
      <w:r w:rsidR="00FE58E1" w:rsidRPr="00FA2E2E">
        <w:rPr>
          <w:lang w:val="fr-FR"/>
        </w:rPr>
        <w:t>’</w:t>
      </w:r>
      <w:r w:rsidRPr="00FA2E2E">
        <w:rPr>
          <w:lang w:val="fr-FR"/>
        </w:rPr>
        <w:t>élaborer des plans conjoints pour le traitement des matériaux contaminés, ce qui pourrait engendrer des économies d</w:t>
      </w:r>
      <w:r w:rsidR="00FE58E1" w:rsidRPr="00FA2E2E">
        <w:rPr>
          <w:lang w:val="fr-FR"/>
        </w:rPr>
        <w:t>’</w:t>
      </w:r>
      <w:r w:rsidRPr="00FA2E2E">
        <w:rPr>
          <w:lang w:val="fr-FR"/>
        </w:rPr>
        <w:t>échelle ou permettre de confier le traitement à des installations spécialisées</w:t>
      </w:r>
      <w:r w:rsidR="00D31AFF" w:rsidRPr="00FA2E2E">
        <w:rPr>
          <w:lang w:val="fr-FR"/>
        </w:rPr>
        <w:t>.</w:t>
      </w:r>
    </w:p>
    <w:p w14:paraId="3E8F5E03" w14:textId="176BF729" w:rsidR="00D31AFF" w:rsidRPr="00FA2E2E" w:rsidRDefault="00F62601" w:rsidP="00E94D67">
      <w:pPr>
        <w:pStyle w:val="Normalnumber"/>
        <w:keepNext/>
        <w:keepLines/>
        <w:rPr>
          <w:lang w:val="fr-FR"/>
        </w:rPr>
      </w:pPr>
      <w:r w:rsidRPr="00FA2E2E">
        <w:rPr>
          <w:lang w:val="fr-FR"/>
        </w:rPr>
        <w:t>I</w:t>
      </w:r>
      <w:r w:rsidR="00353E3E" w:rsidRPr="00FA2E2E">
        <w:rPr>
          <w:lang w:val="fr-FR"/>
        </w:rPr>
        <w:t xml:space="preserve">l existe un certain nombre de réseaux de régulation établis de longue date pour la gestion des </w:t>
      </w:r>
      <w:r w:rsidRPr="00FA2E2E">
        <w:rPr>
          <w:lang w:val="fr-FR"/>
        </w:rPr>
        <w:t>terres</w:t>
      </w:r>
      <w:r w:rsidR="00353E3E" w:rsidRPr="00FA2E2E">
        <w:rPr>
          <w:lang w:val="fr-FR"/>
        </w:rPr>
        <w:t xml:space="preserve"> contaminé</w:t>
      </w:r>
      <w:r w:rsidRPr="00FA2E2E">
        <w:rPr>
          <w:lang w:val="fr-FR"/>
        </w:rPr>
        <w:t>e</w:t>
      </w:r>
      <w:r w:rsidR="00353E3E" w:rsidRPr="00FA2E2E">
        <w:rPr>
          <w:lang w:val="fr-FR"/>
        </w:rPr>
        <w:t>s</w:t>
      </w:r>
      <w:r w:rsidR="00D31AFF" w:rsidRPr="00FA2E2E">
        <w:rPr>
          <w:lang w:val="fr-FR"/>
        </w:rPr>
        <w:t xml:space="preserve">. </w:t>
      </w:r>
      <w:r w:rsidRPr="00FA2E2E">
        <w:rPr>
          <w:lang w:val="fr-FR"/>
        </w:rPr>
        <w:t>À l</w:t>
      </w:r>
      <w:r w:rsidR="00FE58E1" w:rsidRPr="00FA2E2E">
        <w:rPr>
          <w:lang w:val="fr-FR"/>
        </w:rPr>
        <w:t>’</w:t>
      </w:r>
      <w:r w:rsidRPr="00FA2E2E">
        <w:rPr>
          <w:lang w:val="fr-FR"/>
        </w:rPr>
        <w:t>échelle mondiale, l</w:t>
      </w:r>
      <w:r w:rsidR="00FE58E1" w:rsidRPr="00FA2E2E">
        <w:rPr>
          <w:lang w:val="fr-FR"/>
        </w:rPr>
        <w:t>’</w:t>
      </w:r>
      <w:r w:rsidRPr="00FA2E2E">
        <w:rPr>
          <w:lang w:val="fr-FR"/>
        </w:rPr>
        <w:t>International Committee on Contaminated Land a été créé en 1993</w:t>
      </w:r>
      <w:r w:rsidR="00D31AFF" w:rsidRPr="00FA2E2E">
        <w:rPr>
          <w:lang w:val="fr-FR"/>
        </w:rPr>
        <w:t xml:space="preserve">. </w:t>
      </w:r>
      <w:r w:rsidRPr="00FA2E2E">
        <w:rPr>
          <w:lang w:val="fr-FR"/>
        </w:rPr>
        <w:t>Dans l</w:t>
      </w:r>
      <w:r w:rsidR="00FE58E1" w:rsidRPr="00FA2E2E">
        <w:rPr>
          <w:lang w:val="fr-FR"/>
        </w:rPr>
        <w:t>’</w:t>
      </w:r>
      <w:r w:rsidRPr="00FA2E2E">
        <w:rPr>
          <w:lang w:val="fr-FR"/>
        </w:rPr>
        <w:t>Union européenne, les États membres et la Commission européenne collaborent depuis 1994 au sein du Common Forum on Contaminated Land, qui est à l</w:t>
      </w:r>
      <w:r w:rsidR="00FE58E1" w:rsidRPr="00FA2E2E">
        <w:rPr>
          <w:lang w:val="fr-FR"/>
        </w:rPr>
        <w:t>’</w:t>
      </w:r>
      <w:r w:rsidRPr="00FA2E2E">
        <w:rPr>
          <w:lang w:val="fr-FR"/>
        </w:rPr>
        <w:t xml:space="preserve">origine de deux </w:t>
      </w:r>
      <w:r w:rsidR="009D409D" w:rsidRPr="00FA2E2E">
        <w:rPr>
          <w:lang w:val="fr-FR"/>
        </w:rPr>
        <w:t>initiatives</w:t>
      </w:r>
      <w:r w:rsidRPr="00FA2E2E">
        <w:rPr>
          <w:lang w:val="fr-FR"/>
        </w:rPr>
        <w:t xml:space="preserve"> concertées relatives à l</w:t>
      </w:r>
      <w:r w:rsidR="00FE58E1" w:rsidRPr="00FA2E2E">
        <w:rPr>
          <w:lang w:val="fr-FR"/>
        </w:rPr>
        <w:t>’</w:t>
      </w:r>
      <w:r w:rsidRPr="00FA2E2E">
        <w:rPr>
          <w:lang w:val="fr-FR"/>
        </w:rPr>
        <w:t>évaluation et à la gestion des risques</w:t>
      </w:r>
      <w:r w:rsidR="00D31AFF" w:rsidRPr="00FA2E2E">
        <w:rPr>
          <w:vertAlign w:val="superscript"/>
          <w:lang w:val="fr-FR"/>
        </w:rPr>
        <w:footnoteReference w:id="16"/>
      </w:r>
      <w:r w:rsidRPr="00FA2E2E">
        <w:rPr>
          <w:lang w:val="fr-FR"/>
        </w:rPr>
        <w:t>. Ces</w:t>
      </w:r>
      <w:r w:rsidR="00D31AFF" w:rsidRPr="00FA2E2E">
        <w:rPr>
          <w:lang w:val="fr-FR"/>
        </w:rPr>
        <w:t xml:space="preserve"> initiatives </w:t>
      </w:r>
      <w:r w:rsidRPr="00FA2E2E">
        <w:rPr>
          <w:lang w:val="fr-FR"/>
        </w:rPr>
        <w:t>ont conduit à la publication de documents d</w:t>
      </w:r>
      <w:r w:rsidR="00FE58E1" w:rsidRPr="00FA2E2E">
        <w:rPr>
          <w:lang w:val="fr-FR"/>
        </w:rPr>
        <w:t>’</w:t>
      </w:r>
      <w:r w:rsidRPr="00FA2E2E">
        <w:rPr>
          <w:lang w:val="fr-FR"/>
        </w:rPr>
        <w:t xml:space="preserve">orientation sur la gestion durable des terres contaminées qui peuvent être téléchargés gratuitement </w:t>
      </w:r>
      <w:r w:rsidR="008521B2" w:rsidRPr="00FA2E2E">
        <w:rPr>
          <w:lang w:val="fr-FR"/>
        </w:rPr>
        <w:t>depuis les</w:t>
      </w:r>
      <w:r w:rsidRPr="00FA2E2E">
        <w:rPr>
          <w:lang w:val="fr-FR"/>
        </w:rPr>
        <w:t xml:space="preserve"> adresses suivantes :</w:t>
      </w:r>
      <w:r w:rsidR="00D31AFF" w:rsidRPr="00FA2E2E">
        <w:rPr>
          <w:lang w:val="fr-FR"/>
        </w:rPr>
        <w:t xml:space="preserve"> http://www.iccl.ch/ </w:t>
      </w:r>
      <w:r w:rsidRPr="00FA2E2E">
        <w:rPr>
          <w:lang w:val="fr-FR"/>
        </w:rPr>
        <w:t xml:space="preserve">et </w:t>
      </w:r>
      <w:hyperlink r:id="rId21" w:history="1">
        <w:r w:rsidR="00D31AFF" w:rsidRPr="00FA2E2E">
          <w:rPr>
            <w:lang w:val="fr-FR"/>
          </w:rPr>
          <w:t>https://www.commonforum.eu/</w:t>
        </w:r>
      </w:hyperlink>
      <w:r w:rsidR="00D31AFF" w:rsidRPr="00FA2E2E">
        <w:rPr>
          <w:lang w:val="fr-FR"/>
        </w:rPr>
        <w:t xml:space="preserve">. </w:t>
      </w:r>
    </w:p>
    <w:p w14:paraId="1D166645" w14:textId="77777777" w:rsidR="00D31AFF" w:rsidRPr="00FA2E2E" w:rsidRDefault="00D31AFF" w:rsidP="00D31AFF">
      <w:r w:rsidRPr="00FA2E2E">
        <w:br w:type="page"/>
      </w:r>
    </w:p>
    <w:p w14:paraId="7F5E1BFC" w14:textId="63D55B4A" w:rsidR="00D31AFF" w:rsidRPr="00FA2E2E" w:rsidRDefault="00D31AFF" w:rsidP="00152CD3">
      <w:pPr>
        <w:pStyle w:val="CH1"/>
        <w:rPr>
          <w:lang w:val="fr-FR"/>
        </w:rPr>
      </w:pPr>
      <w:r w:rsidRPr="00FA2E2E">
        <w:rPr>
          <w:lang w:val="fr-FR"/>
        </w:rPr>
        <w:tab/>
      </w:r>
      <w:r w:rsidRPr="00FA2E2E">
        <w:rPr>
          <w:lang w:val="fr-FR"/>
        </w:rPr>
        <w:tab/>
      </w:r>
      <w:bookmarkStart w:id="32" w:name="_Toc15920557"/>
      <w:r w:rsidRPr="00FA2E2E">
        <w:rPr>
          <w:lang w:val="fr-FR"/>
        </w:rPr>
        <w:t>R</w:t>
      </w:r>
      <w:r w:rsidR="00BC7B6D" w:rsidRPr="00FA2E2E">
        <w:rPr>
          <w:lang w:val="fr-FR"/>
        </w:rPr>
        <w:t>é</w:t>
      </w:r>
      <w:r w:rsidRPr="00FA2E2E">
        <w:rPr>
          <w:lang w:val="fr-FR"/>
        </w:rPr>
        <w:t>f</w:t>
      </w:r>
      <w:r w:rsidR="00BC7B6D" w:rsidRPr="00FA2E2E">
        <w:rPr>
          <w:lang w:val="fr-FR"/>
        </w:rPr>
        <w:t>é</w:t>
      </w:r>
      <w:r w:rsidRPr="00FA2E2E">
        <w:rPr>
          <w:lang w:val="fr-FR"/>
        </w:rPr>
        <w:t>rences</w:t>
      </w:r>
      <w:bookmarkEnd w:id="32"/>
    </w:p>
    <w:p w14:paraId="2C77B7A5" w14:textId="6508F883" w:rsidR="00D31AFF" w:rsidRPr="00FA2E2E" w:rsidRDefault="00BC7B6D" w:rsidP="00C76513">
      <w:pPr>
        <w:pStyle w:val="Normal-pool"/>
        <w:tabs>
          <w:tab w:val="left" w:pos="624"/>
        </w:tabs>
        <w:spacing w:after="80"/>
        <w:ind w:left="1247"/>
        <w:rPr>
          <w:rFonts w:asciiTheme="majorBidi" w:hAnsiTheme="majorBidi" w:cstheme="majorBidi"/>
          <w:lang w:val="fr-FR"/>
        </w:rPr>
      </w:pPr>
      <w:r w:rsidRPr="00FA2E2E">
        <w:rPr>
          <w:rFonts w:asciiTheme="majorBidi" w:hAnsiTheme="majorBidi" w:cstheme="majorBidi"/>
          <w:lang w:val="fr-FR"/>
        </w:rPr>
        <w:t>Agence de l</w:t>
      </w:r>
      <w:r w:rsidR="00FE58E1" w:rsidRPr="00FA2E2E">
        <w:rPr>
          <w:rFonts w:asciiTheme="majorBidi" w:hAnsiTheme="majorBidi" w:cstheme="majorBidi"/>
          <w:lang w:val="fr-FR"/>
        </w:rPr>
        <w:t>’</w:t>
      </w:r>
      <w:r w:rsidRPr="00FA2E2E">
        <w:rPr>
          <w:rFonts w:asciiTheme="majorBidi" w:hAnsiTheme="majorBidi" w:cstheme="majorBidi"/>
          <w:lang w:val="fr-FR"/>
        </w:rPr>
        <w:t>environnement et de la maîtrise de l</w:t>
      </w:r>
      <w:r w:rsidR="00FE58E1" w:rsidRPr="00FA2E2E">
        <w:rPr>
          <w:rFonts w:asciiTheme="majorBidi" w:hAnsiTheme="majorBidi" w:cstheme="majorBidi"/>
          <w:lang w:val="fr-FR"/>
        </w:rPr>
        <w:t>’</w:t>
      </w:r>
      <w:r w:rsidRPr="00FA2E2E">
        <w:rPr>
          <w:rFonts w:asciiTheme="majorBidi" w:hAnsiTheme="majorBidi" w:cstheme="majorBidi"/>
          <w:lang w:val="fr-FR"/>
        </w:rPr>
        <w:t xml:space="preserve">énergie </w:t>
      </w:r>
      <w:r w:rsidR="00E86391" w:rsidRPr="00FA2E2E">
        <w:rPr>
          <w:rFonts w:asciiTheme="majorBidi" w:hAnsiTheme="majorBidi" w:cstheme="majorBidi"/>
          <w:lang w:val="fr-FR"/>
        </w:rPr>
        <w:t>(</w:t>
      </w:r>
      <w:r w:rsidR="00D455C4" w:rsidRPr="00FA2E2E">
        <w:rPr>
          <w:rFonts w:asciiTheme="majorBidi" w:hAnsiTheme="majorBidi" w:cstheme="majorBidi"/>
          <w:lang w:val="fr-FR"/>
        </w:rPr>
        <w:t>ADEME</w:t>
      </w:r>
      <w:r w:rsidR="00E86391" w:rsidRPr="00FA2E2E">
        <w:rPr>
          <w:rFonts w:asciiTheme="majorBidi" w:hAnsiTheme="majorBidi" w:cstheme="majorBidi"/>
          <w:lang w:val="fr-FR"/>
        </w:rPr>
        <w:t xml:space="preserve">) </w:t>
      </w:r>
      <w:r w:rsidRPr="00FA2E2E">
        <w:rPr>
          <w:rFonts w:asciiTheme="majorBidi" w:hAnsiTheme="majorBidi" w:cstheme="majorBidi"/>
          <w:lang w:val="fr-FR"/>
        </w:rPr>
        <w:t>et</w:t>
      </w:r>
      <w:r w:rsidR="00D455C4" w:rsidRPr="00FA2E2E">
        <w:rPr>
          <w:rFonts w:asciiTheme="majorBidi" w:hAnsiTheme="majorBidi" w:cstheme="majorBidi"/>
          <w:lang w:val="fr-FR"/>
        </w:rPr>
        <w:t xml:space="preserve"> </w:t>
      </w:r>
      <w:r w:rsidRPr="00FA2E2E">
        <w:rPr>
          <w:rFonts w:asciiTheme="majorBidi" w:hAnsiTheme="majorBidi" w:cstheme="majorBidi"/>
          <w:lang w:val="fr-FR"/>
        </w:rPr>
        <w:t>Bureau de recherches géologiques et minières</w:t>
      </w:r>
      <w:r w:rsidR="002517F2" w:rsidRPr="00FA2E2E">
        <w:rPr>
          <w:rFonts w:asciiTheme="majorBidi" w:hAnsiTheme="majorBidi" w:cstheme="majorBidi"/>
          <w:lang w:val="fr-FR"/>
        </w:rPr>
        <w:t xml:space="preserve"> </w:t>
      </w:r>
      <w:r w:rsidR="00E86391" w:rsidRPr="00FA2E2E">
        <w:rPr>
          <w:rFonts w:asciiTheme="majorBidi" w:hAnsiTheme="majorBidi" w:cstheme="majorBidi"/>
          <w:lang w:val="fr-FR"/>
        </w:rPr>
        <w:t>(</w:t>
      </w:r>
      <w:r w:rsidR="00D455C4" w:rsidRPr="00FA2E2E">
        <w:rPr>
          <w:rFonts w:asciiTheme="majorBidi" w:hAnsiTheme="majorBidi" w:cstheme="majorBidi"/>
          <w:lang w:val="fr-FR"/>
        </w:rPr>
        <w:t>BRGM</w:t>
      </w:r>
      <w:r w:rsidR="00E86391" w:rsidRPr="00FA2E2E">
        <w:rPr>
          <w:rFonts w:asciiTheme="majorBidi" w:hAnsiTheme="majorBidi" w:cstheme="majorBidi"/>
          <w:lang w:val="fr-FR"/>
        </w:rPr>
        <w:t>) (2013).</w:t>
      </w:r>
      <w:r w:rsidR="00D455C4" w:rsidRPr="00FA2E2E">
        <w:rPr>
          <w:rFonts w:asciiTheme="majorBidi" w:hAnsiTheme="majorBidi" w:cstheme="majorBidi"/>
          <w:lang w:val="fr-FR"/>
        </w:rPr>
        <w:t xml:space="preserve"> </w:t>
      </w:r>
      <w:r w:rsidR="00E86391" w:rsidRPr="00FA2E2E">
        <w:rPr>
          <w:rFonts w:asciiTheme="majorBidi" w:hAnsiTheme="majorBidi" w:cstheme="majorBidi"/>
          <w:i/>
          <w:lang w:val="fr-FR"/>
        </w:rPr>
        <w:t>Comparaison des techniques par COÛTS</w:t>
      </w:r>
      <w:r w:rsidR="002517F2" w:rsidRPr="00FA2E2E">
        <w:rPr>
          <w:rFonts w:asciiTheme="majorBidi" w:hAnsiTheme="majorBidi" w:cstheme="majorBidi"/>
          <w:lang w:val="fr-FR"/>
        </w:rPr>
        <w:t>.</w:t>
      </w:r>
      <w:r w:rsidR="00D455C4" w:rsidRPr="00FA2E2E">
        <w:rPr>
          <w:rFonts w:asciiTheme="majorBidi" w:hAnsiTheme="majorBidi" w:cstheme="majorBidi"/>
          <w:lang w:val="fr-FR"/>
        </w:rPr>
        <w:t xml:space="preserve"> </w:t>
      </w:r>
      <w:r w:rsidRPr="00FA2E2E">
        <w:rPr>
          <w:rFonts w:asciiTheme="majorBidi" w:hAnsiTheme="majorBidi" w:cstheme="majorBidi"/>
          <w:lang w:val="fr-FR"/>
        </w:rPr>
        <w:t>Disponible à l</w:t>
      </w:r>
      <w:r w:rsidR="00FE58E1" w:rsidRPr="00FA2E2E">
        <w:rPr>
          <w:rFonts w:asciiTheme="majorBidi" w:hAnsiTheme="majorBidi" w:cstheme="majorBidi"/>
          <w:lang w:val="fr-FR"/>
        </w:rPr>
        <w:t>’</w:t>
      </w:r>
      <w:r w:rsidRPr="00FA2E2E">
        <w:rPr>
          <w:rFonts w:asciiTheme="majorBidi" w:hAnsiTheme="majorBidi" w:cstheme="majorBidi"/>
          <w:lang w:val="fr-FR"/>
        </w:rPr>
        <w:t>adresse suivante :</w:t>
      </w:r>
      <w:r w:rsidR="002517F2" w:rsidRPr="00FA2E2E">
        <w:rPr>
          <w:rFonts w:asciiTheme="majorBidi" w:hAnsiTheme="majorBidi" w:cstheme="majorBidi"/>
          <w:lang w:val="fr-FR"/>
        </w:rPr>
        <w:t xml:space="preserve"> http://www.selecdepol.fr/sites/default/files/medias/Donnees%20comparatives/Comparaison_des_techniques_par_COUTS.pdf.</w:t>
      </w:r>
    </w:p>
    <w:p w14:paraId="07CCF828" w14:textId="12BA03B8" w:rsidR="00D31AFF" w:rsidRPr="00FA2E2E" w:rsidRDefault="00D455C4" w:rsidP="00C76513">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fr-FR"/>
        </w:rPr>
      </w:pPr>
      <w:r w:rsidRPr="00FA2E2E">
        <w:rPr>
          <w:rFonts w:asciiTheme="majorBidi" w:hAnsiTheme="majorBidi" w:cstheme="majorBidi"/>
          <w:lang w:val="fr-FR"/>
        </w:rPr>
        <w:t>Agency for Toxic Substances and Disease Registry (</w:t>
      </w:r>
      <w:r w:rsidR="00E4739D" w:rsidRPr="00FA2E2E">
        <w:rPr>
          <w:rFonts w:asciiTheme="majorBidi" w:hAnsiTheme="majorBidi" w:cstheme="majorBidi"/>
          <w:lang w:val="fr-FR"/>
        </w:rPr>
        <w:t>1999</w:t>
      </w:r>
      <w:r w:rsidRPr="00FA2E2E">
        <w:rPr>
          <w:rFonts w:asciiTheme="majorBidi" w:hAnsiTheme="majorBidi" w:cstheme="majorBidi"/>
          <w:lang w:val="fr-FR"/>
        </w:rPr>
        <w:t>).</w:t>
      </w:r>
      <w:r w:rsidR="00D31AFF" w:rsidRPr="00FA2E2E">
        <w:rPr>
          <w:rFonts w:asciiTheme="majorBidi" w:hAnsiTheme="majorBidi" w:cstheme="majorBidi"/>
          <w:lang w:val="fr-FR"/>
        </w:rPr>
        <w:t xml:space="preserve"> </w:t>
      </w:r>
      <w:hyperlink r:id="rId22" w:history="1">
        <w:r w:rsidR="00D31AFF" w:rsidRPr="00FA2E2E">
          <w:rPr>
            <w:rFonts w:asciiTheme="majorBidi" w:hAnsiTheme="majorBidi" w:cstheme="majorBidi"/>
            <w:lang w:val="fr-FR"/>
          </w:rPr>
          <w:t>Toxic Substances Portal</w:t>
        </w:r>
      </w:hyperlink>
      <w:r w:rsidR="00D31AFF" w:rsidRPr="00FA2E2E">
        <w:rPr>
          <w:rFonts w:asciiTheme="majorBidi" w:hAnsiTheme="majorBidi" w:cstheme="majorBidi"/>
          <w:lang w:val="fr-FR"/>
        </w:rPr>
        <w:t xml:space="preserve"> - </w:t>
      </w:r>
      <w:hyperlink r:id="rId23" w:history="1">
        <w:r w:rsidR="00D31AFF" w:rsidRPr="00FA2E2E">
          <w:rPr>
            <w:rFonts w:asciiTheme="majorBidi" w:hAnsiTheme="majorBidi" w:cstheme="majorBidi"/>
            <w:lang w:val="fr-FR"/>
          </w:rPr>
          <w:t>Mercury</w:t>
        </w:r>
      </w:hyperlink>
      <w:r w:rsidR="004E7675" w:rsidRPr="00FA2E2E">
        <w:rPr>
          <w:rFonts w:asciiTheme="majorBidi" w:hAnsiTheme="majorBidi" w:cstheme="majorBidi"/>
          <w:lang w:val="fr-FR"/>
        </w:rPr>
        <w:t>: Public Health Statement for Mercury</w:t>
      </w:r>
      <w:r w:rsidR="00D31AFF" w:rsidRPr="00FA2E2E">
        <w:rPr>
          <w:rFonts w:asciiTheme="majorBidi" w:hAnsiTheme="majorBidi" w:cstheme="majorBidi"/>
          <w:lang w:val="fr-FR"/>
        </w:rPr>
        <w:t xml:space="preserve"> </w:t>
      </w:r>
      <w:r w:rsidR="00E4739D" w:rsidRPr="00FA2E2E">
        <w:rPr>
          <w:rFonts w:asciiTheme="majorBidi" w:hAnsiTheme="majorBidi" w:cstheme="majorBidi"/>
          <w:lang w:val="fr-FR"/>
        </w:rPr>
        <w:t>(</w:t>
      </w:r>
      <w:hyperlink r:id="rId24" w:history="1">
        <w:r w:rsidR="00E4739D" w:rsidRPr="00FA2E2E">
          <w:rPr>
            <w:rStyle w:val="Hyperlink"/>
          </w:rPr>
          <w:t>https://www.atsdr.cdc.gov/phs/phs.asp?id=112&amp;tid=24</w:t>
        </w:r>
      </w:hyperlink>
      <w:r w:rsidR="00E4739D" w:rsidRPr="00FA2E2E">
        <w:rPr>
          <w:lang w:val="fr-FR"/>
        </w:rPr>
        <w:t>)</w:t>
      </w:r>
      <w:r w:rsidR="00D31AFF" w:rsidRPr="00FA2E2E">
        <w:rPr>
          <w:rFonts w:asciiTheme="majorBidi" w:hAnsiTheme="majorBidi" w:cstheme="majorBidi"/>
          <w:lang w:val="fr-FR"/>
        </w:rPr>
        <w:t xml:space="preserve"> </w:t>
      </w:r>
      <w:r w:rsidR="00E66DF9" w:rsidRPr="00FA2E2E">
        <w:rPr>
          <w:rFonts w:asciiTheme="majorBidi" w:hAnsiTheme="majorBidi" w:cstheme="majorBidi"/>
          <w:lang w:val="fr-FR"/>
        </w:rPr>
        <w:t>et</w:t>
      </w:r>
      <w:r w:rsidR="00D31AFF" w:rsidRPr="00FA2E2E">
        <w:rPr>
          <w:rFonts w:asciiTheme="majorBidi" w:hAnsiTheme="majorBidi" w:cstheme="majorBidi"/>
          <w:lang w:val="fr-FR"/>
        </w:rPr>
        <w:t xml:space="preserve"> </w:t>
      </w:r>
      <w:r w:rsidR="004E7675" w:rsidRPr="00FA2E2E">
        <w:rPr>
          <w:rFonts w:asciiTheme="majorBidi" w:hAnsiTheme="majorBidi" w:cstheme="majorBidi"/>
          <w:lang w:val="fr-FR"/>
        </w:rPr>
        <w:t>Mercury Quick Facts: Health Effects of Mercury Exposure</w:t>
      </w:r>
      <w:r w:rsidR="00D31AFF" w:rsidRPr="00FA2E2E">
        <w:rPr>
          <w:rFonts w:asciiTheme="majorBidi" w:hAnsiTheme="majorBidi" w:cstheme="majorBidi"/>
          <w:lang w:val="fr-FR"/>
        </w:rPr>
        <w:t xml:space="preserve"> </w:t>
      </w:r>
      <w:r w:rsidR="00E4739D" w:rsidRPr="00FA2E2E">
        <w:rPr>
          <w:rFonts w:asciiTheme="majorBidi" w:hAnsiTheme="majorBidi" w:cstheme="majorBidi"/>
          <w:lang w:val="fr-FR"/>
        </w:rPr>
        <w:t>(</w:t>
      </w:r>
      <w:r w:rsidR="00D31AFF" w:rsidRPr="00FA2E2E">
        <w:rPr>
          <w:rFonts w:asciiTheme="majorBidi" w:hAnsiTheme="majorBidi" w:cstheme="majorBidi"/>
          <w:lang w:val="fr-FR"/>
        </w:rPr>
        <w:t>https://www.atsdr.cdc.gov/mercury/docs/11-229617-E-508_HealthEffects.pdf</w:t>
      </w:r>
      <w:r w:rsidR="00E4739D" w:rsidRPr="00FA2E2E">
        <w:rPr>
          <w:rFonts w:asciiTheme="majorBidi" w:hAnsiTheme="majorBidi" w:cstheme="majorBidi"/>
          <w:lang w:val="fr-FR"/>
        </w:rPr>
        <w:t>).</w:t>
      </w:r>
    </w:p>
    <w:p w14:paraId="7C705176" w14:textId="052D57B4" w:rsidR="00903388" w:rsidRPr="00FA2E2E" w:rsidRDefault="00903388" w:rsidP="00C76513">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fr-FR"/>
        </w:rPr>
      </w:pPr>
      <w:r w:rsidRPr="00FA2E2E">
        <w:rPr>
          <w:rFonts w:asciiTheme="majorBidi" w:hAnsiTheme="majorBidi" w:cstheme="majorBidi"/>
          <w:lang w:val="fr-FR"/>
        </w:rPr>
        <w:t>AgroEco Systems Pty</w:t>
      </w:r>
      <w:r w:rsidR="00816847" w:rsidRPr="00FA2E2E">
        <w:rPr>
          <w:rFonts w:asciiTheme="majorBidi" w:hAnsiTheme="majorBidi" w:cstheme="majorBidi"/>
          <w:lang w:val="fr-FR"/>
        </w:rPr>
        <w:t>.</w:t>
      </w:r>
      <w:r w:rsidRPr="00FA2E2E">
        <w:rPr>
          <w:rFonts w:asciiTheme="majorBidi" w:hAnsiTheme="majorBidi" w:cstheme="majorBidi"/>
          <w:lang w:val="fr-FR"/>
        </w:rPr>
        <w:t xml:space="preserve"> Ltd (2010). </w:t>
      </w:r>
      <w:r w:rsidRPr="00FA2E2E">
        <w:rPr>
          <w:rFonts w:asciiTheme="majorBidi" w:hAnsiTheme="majorBidi" w:cstheme="majorBidi"/>
          <w:i/>
          <w:iCs/>
          <w:lang w:val="fr-FR"/>
        </w:rPr>
        <w:t>Request for Additional Information, Feral Mercury Recovery Project, Upper Goulburn River Catchment, Victoria (EPBC 2010/5477)</w:t>
      </w:r>
      <w:r w:rsidRPr="00FA2E2E">
        <w:rPr>
          <w:rFonts w:asciiTheme="majorBidi" w:hAnsiTheme="majorBidi" w:cstheme="majorBidi"/>
          <w:lang w:val="fr-FR"/>
        </w:rPr>
        <w:t xml:space="preserve">. </w:t>
      </w:r>
      <w:r w:rsidR="00E66DF9" w:rsidRPr="00FA2E2E">
        <w:rPr>
          <w:rFonts w:asciiTheme="majorBidi" w:hAnsiTheme="majorBidi" w:cstheme="majorBidi"/>
          <w:lang w:val="fr-FR"/>
        </w:rPr>
        <w:t>Disponible à l</w:t>
      </w:r>
      <w:r w:rsidR="00FE58E1" w:rsidRPr="00FA2E2E">
        <w:rPr>
          <w:rFonts w:asciiTheme="majorBidi" w:hAnsiTheme="majorBidi" w:cstheme="majorBidi"/>
          <w:lang w:val="fr-FR"/>
        </w:rPr>
        <w:t>’</w:t>
      </w:r>
      <w:r w:rsidR="00E66DF9" w:rsidRPr="00FA2E2E">
        <w:rPr>
          <w:rFonts w:asciiTheme="majorBidi" w:hAnsiTheme="majorBidi" w:cstheme="majorBidi"/>
          <w:lang w:val="fr-FR"/>
        </w:rPr>
        <w:t>adresse suivante :</w:t>
      </w:r>
      <w:r w:rsidRPr="00FA2E2E">
        <w:rPr>
          <w:rFonts w:asciiTheme="majorBidi" w:hAnsiTheme="majorBidi" w:cstheme="majorBidi"/>
          <w:lang w:val="fr-FR"/>
        </w:rPr>
        <w:t xml:space="preserve"> </w:t>
      </w:r>
      <w:hyperlink r:id="rId25" w:history="1">
        <w:r w:rsidRPr="00FA2E2E">
          <w:rPr>
            <w:rStyle w:val="Hyperlink"/>
            <w:rFonts w:asciiTheme="majorBidi" w:hAnsiTheme="majorBidi" w:cstheme="majorBidi"/>
          </w:rPr>
          <w:t>http://www.environment.gov.au/epbc/notices/assessments/2010/5477/preliminary-documentation-a.pdf</w:t>
        </w:r>
      </w:hyperlink>
      <w:r w:rsidRPr="00FA2E2E">
        <w:rPr>
          <w:rFonts w:asciiTheme="majorBidi" w:hAnsiTheme="majorBidi" w:cstheme="majorBidi"/>
          <w:lang w:val="fr-FR"/>
        </w:rPr>
        <w:t>.</w:t>
      </w:r>
    </w:p>
    <w:p w14:paraId="31E5E4ED" w14:textId="746CF5EC" w:rsidR="00D31AFF" w:rsidRPr="00FA2E2E" w:rsidRDefault="00E66DF9" w:rsidP="00C76513">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fr-FR"/>
        </w:rPr>
      </w:pPr>
      <w:r w:rsidRPr="00FA2E2E">
        <w:rPr>
          <w:rFonts w:asciiTheme="majorBidi" w:hAnsiTheme="majorBidi" w:cstheme="majorBidi"/>
          <w:lang w:val="fr-FR"/>
        </w:rPr>
        <w:t>Conseil canadien des ministres de l</w:t>
      </w:r>
      <w:r w:rsidR="00FE58E1" w:rsidRPr="00FA2E2E">
        <w:rPr>
          <w:rFonts w:asciiTheme="majorBidi" w:hAnsiTheme="majorBidi" w:cstheme="majorBidi"/>
          <w:lang w:val="fr-FR"/>
        </w:rPr>
        <w:t>’</w:t>
      </w:r>
      <w:r w:rsidRPr="00FA2E2E">
        <w:rPr>
          <w:rFonts w:asciiTheme="majorBidi" w:hAnsiTheme="majorBidi" w:cstheme="majorBidi"/>
          <w:lang w:val="fr-FR"/>
        </w:rPr>
        <w:t>environnement</w:t>
      </w:r>
      <w:r w:rsidR="00D31AFF" w:rsidRPr="00FA2E2E">
        <w:rPr>
          <w:rFonts w:asciiTheme="majorBidi" w:hAnsiTheme="majorBidi" w:cstheme="majorBidi"/>
          <w:lang w:val="fr-FR"/>
        </w:rPr>
        <w:t xml:space="preserve"> (CCME) (2016). </w:t>
      </w:r>
      <w:r w:rsidRPr="00FA2E2E">
        <w:rPr>
          <w:rFonts w:asciiTheme="majorBidi" w:hAnsiTheme="majorBidi" w:cstheme="majorBidi"/>
          <w:i/>
          <w:lang w:val="fr-FR"/>
        </w:rPr>
        <w:t>Guide sur la caractérisation environnementale des sites dans le cadre de l</w:t>
      </w:r>
      <w:r w:rsidR="00FE58E1" w:rsidRPr="00FA2E2E">
        <w:rPr>
          <w:rFonts w:asciiTheme="majorBidi" w:hAnsiTheme="majorBidi" w:cstheme="majorBidi"/>
          <w:i/>
          <w:lang w:val="fr-FR"/>
        </w:rPr>
        <w:t>’</w:t>
      </w:r>
      <w:r w:rsidRPr="00FA2E2E">
        <w:rPr>
          <w:rFonts w:asciiTheme="majorBidi" w:hAnsiTheme="majorBidi" w:cstheme="majorBidi"/>
          <w:i/>
          <w:lang w:val="fr-FR"/>
        </w:rPr>
        <w:t>évaluation des risques pour l</w:t>
      </w:r>
      <w:r w:rsidR="00FE58E1" w:rsidRPr="00FA2E2E">
        <w:rPr>
          <w:rFonts w:asciiTheme="majorBidi" w:hAnsiTheme="majorBidi" w:cstheme="majorBidi"/>
          <w:i/>
          <w:lang w:val="fr-FR"/>
        </w:rPr>
        <w:t>’</w:t>
      </w:r>
      <w:r w:rsidRPr="00FA2E2E">
        <w:rPr>
          <w:rFonts w:asciiTheme="majorBidi" w:hAnsiTheme="majorBidi" w:cstheme="majorBidi"/>
          <w:i/>
          <w:lang w:val="fr-FR"/>
        </w:rPr>
        <w:t>environnement et la santé humaine</w:t>
      </w:r>
      <w:r w:rsidR="00D31AFF" w:rsidRPr="00FA2E2E">
        <w:rPr>
          <w:rFonts w:asciiTheme="majorBidi" w:hAnsiTheme="majorBidi" w:cstheme="majorBidi"/>
          <w:lang w:val="fr-FR"/>
        </w:rPr>
        <w:t xml:space="preserve">. </w:t>
      </w:r>
      <w:r w:rsidRPr="00FA2E2E">
        <w:rPr>
          <w:rFonts w:asciiTheme="majorBidi" w:hAnsiTheme="majorBidi" w:cstheme="majorBidi"/>
          <w:lang w:val="fr-FR"/>
        </w:rPr>
        <w:t>Disponible à l</w:t>
      </w:r>
      <w:r w:rsidR="00FE58E1" w:rsidRPr="00FA2E2E">
        <w:rPr>
          <w:rFonts w:asciiTheme="majorBidi" w:hAnsiTheme="majorBidi" w:cstheme="majorBidi"/>
          <w:lang w:val="fr-FR"/>
        </w:rPr>
        <w:t>’</w:t>
      </w:r>
      <w:r w:rsidRPr="00FA2E2E">
        <w:rPr>
          <w:rFonts w:asciiTheme="majorBidi" w:hAnsiTheme="majorBidi" w:cstheme="majorBidi"/>
          <w:lang w:val="fr-FR"/>
        </w:rPr>
        <w:t>adresse suivante :</w:t>
      </w:r>
      <w:r w:rsidR="00D31AFF" w:rsidRPr="00FA2E2E">
        <w:rPr>
          <w:rFonts w:asciiTheme="majorBidi" w:hAnsiTheme="majorBidi" w:cstheme="majorBidi"/>
          <w:lang w:val="fr-FR"/>
        </w:rPr>
        <w:t xml:space="preserve"> </w:t>
      </w:r>
      <w:r w:rsidRPr="00FA2E2E">
        <w:rPr>
          <w:lang w:val="fr-FR"/>
        </w:rPr>
        <w:t>https://www.ccme.ca/fr/resources/contaminated_site_management/assessment.html</w:t>
      </w:r>
      <w:r w:rsidR="00D31AFF" w:rsidRPr="00FA2E2E">
        <w:rPr>
          <w:rFonts w:asciiTheme="majorBidi" w:hAnsiTheme="majorBidi" w:cstheme="majorBidi"/>
          <w:lang w:val="fr-FR"/>
        </w:rPr>
        <w:t>.</w:t>
      </w:r>
    </w:p>
    <w:p w14:paraId="167CBBE5" w14:textId="4ECCA5D5" w:rsidR="004524E0" w:rsidRPr="00FA2E2E" w:rsidRDefault="00BC0FF1" w:rsidP="00BC0FF1">
      <w:pPr>
        <w:pStyle w:val="Normal-pool"/>
        <w:tabs>
          <w:tab w:val="clear" w:pos="1247"/>
          <w:tab w:val="clear" w:pos="1814"/>
          <w:tab w:val="clear" w:pos="2381"/>
          <w:tab w:val="clear" w:pos="2948"/>
          <w:tab w:val="clear" w:pos="3515"/>
          <w:tab w:val="left" w:pos="624"/>
        </w:tabs>
        <w:spacing w:after="80"/>
        <w:ind w:left="1247"/>
        <w:rPr>
          <w:rFonts w:asciiTheme="majorBidi" w:hAnsiTheme="majorBidi" w:cstheme="majorBidi"/>
          <w:lang w:val="fr-FR"/>
        </w:rPr>
      </w:pPr>
      <w:r w:rsidRPr="00FA2E2E">
        <w:rPr>
          <w:rFonts w:asciiTheme="majorBidi" w:hAnsiTheme="majorBidi" w:cstheme="majorBidi"/>
          <w:lang w:val="fr-FR"/>
        </w:rPr>
        <w:t xml:space="preserve">Environment Agency (2009). </w:t>
      </w:r>
      <w:r w:rsidRPr="00FA2E2E">
        <w:rPr>
          <w:rFonts w:asciiTheme="majorBidi" w:hAnsiTheme="majorBidi" w:cstheme="majorBidi"/>
          <w:i/>
          <w:iCs/>
          <w:lang w:val="fr-FR"/>
        </w:rPr>
        <w:t xml:space="preserve">Soil Guideline Values for </w:t>
      </w:r>
      <w:r w:rsidR="00230850" w:rsidRPr="00FA2E2E">
        <w:rPr>
          <w:rFonts w:asciiTheme="majorBidi" w:hAnsiTheme="majorBidi" w:cstheme="majorBidi"/>
          <w:i/>
          <w:iCs/>
          <w:lang w:val="fr-FR"/>
        </w:rPr>
        <w:t>M</w:t>
      </w:r>
      <w:r w:rsidRPr="00FA2E2E">
        <w:rPr>
          <w:rFonts w:asciiTheme="majorBidi" w:hAnsiTheme="majorBidi" w:cstheme="majorBidi"/>
          <w:i/>
          <w:iCs/>
          <w:lang w:val="fr-FR"/>
        </w:rPr>
        <w:t xml:space="preserve">ercury in </w:t>
      </w:r>
      <w:r w:rsidR="00230850" w:rsidRPr="00FA2E2E">
        <w:rPr>
          <w:rFonts w:asciiTheme="majorBidi" w:hAnsiTheme="majorBidi" w:cstheme="majorBidi"/>
          <w:i/>
          <w:iCs/>
          <w:lang w:val="fr-FR"/>
        </w:rPr>
        <w:t>S</w:t>
      </w:r>
      <w:r w:rsidRPr="00FA2E2E">
        <w:rPr>
          <w:rFonts w:asciiTheme="majorBidi" w:hAnsiTheme="majorBidi" w:cstheme="majorBidi"/>
          <w:i/>
          <w:iCs/>
          <w:lang w:val="fr-FR"/>
        </w:rPr>
        <w:t>oil Science Report SC050021 / Mercury SGV. Technical note.</w:t>
      </w:r>
      <w:r w:rsidRPr="00FA2E2E">
        <w:rPr>
          <w:rFonts w:asciiTheme="majorBidi" w:hAnsiTheme="majorBidi" w:cstheme="majorBidi"/>
          <w:lang w:val="fr-FR"/>
        </w:rPr>
        <w:t xml:space="preserve"> Environment Agency, Rio House, Almondsbury, Bristol BS32 4UD</w:t>
      </w:r>
      <w:r w:rsidR="00230850" w:rsidRPr="00FA2E2E">
        <w:rPr>
          <w:rFonts w:asciiTheme="majorBidi" w:hAnsiTheme="majorBidi" w:cstheme="majorBidi"/>
          <w:lang w:val="fr-FR"/>
        </w:rPr>
        <w:t>.</w:t>
      </w:r>
    </w:p>
    <w:p w14:paraId="2AF1C68B" w14:textId="378A4E29" w:rsidR="00D31AFF" w:rsidRPr="00FA2E2E" w:rsidRDefault="00D31AFF" w:rsidP="00C76513">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fr-FR"/>
        </w:rPr>
      </w:pPr>
      <w:r w:rsidRPr="00FA2E2E">
        <w:rPr>
          <w:rFonts w:asciiTheme="majorBidi" w:hAnsiTheme="majorBidi" w:cstheme="majorBidi"/>
          <w:lang w:val="fr-FR"/>
        </w:rPr>
        <w:t xml:space="preserve">Environment Agency (2012). </w:t>
      </w:r>
      <w:r w:rsidRPr="00FA2E2E">
        <w:rPr>
          <w:rFonts w:asciiTheme="majorBidi" w:hAnsiTheme="majorBidi" w:cstheme="majorBidi"/>
          <w:i/>
          <w:lang w:val="fr-FR"/>
        </w:rPr>
        <w:t>How to comply with your environmental permit: additional guidance for treating waste by thermal desorption.</w:t>
      </w:r>
      <w:r w:rsidRPr="00FA2E2E">
        <w:rPr>
          <w:rFonts w:asciiTheme="majorBidi" w:hAnsiTheme="majorBidi" w:cstheme="majorBidi"/>
          <w:lang w:val="fr-FR"/>
        </w:rPr>
        <w:t xml:space="preserve"> </w:t>
      </w:r>
      <w:r w:rsidR="00E66DF9" w:rsidRPr="00FA2E2E">
        <w:rPr>
          <w:rFonts w:asciiTheme="majorBidi" w:hAnsiTheme="majorBidi" w:cstheme="majorBidi"/>
          <w:lang w:val="fr-FR"/>
        </w:rPr>
        <w:t>Disponible à l</w:t>
      </w:r>
      <w:r w:rsidR="00FE58E1" w:rsidRPr="00FA2E2E">
        <w:rPr>
          <w:rFonts w:asciiTheme="majorBidi" w:hAnsiTheme="majorBidi" w:cstheme="majorBidi"/>
          <w:lang w:val="fr-FR"/>
        </w:rPr>
        <w:t>’</w:t>
      </w:r>
      <w:r w:rsidR="00E66DF9" w:rsidRPr="00FA2E2E">
        <w:rPr>
          <w:rFonts w:asciiTheme="majorBidi" w:hAnsiTheme="majorBidi" w:cstheme="majorBidi"/>
          <w:lang w:val="fr-FR"/>
        </w:rPr>
        <w:t xml:space="preserve">adresse suivante : </w:t>
      </w:r>
      <w:hyperlink r:id="rId26" w:history="1">
        <w:r w:rsidRPr="00FA2E2E">
          <w:rPr>
            <w:rStyle w:val="Hyperlink"/>
            <w:rFonts w:asciiTheme="majorBidi" w:hAnsiTheme="majorBidi" w:cstheme="majorBidi"/>
          </w:rPr>
          <w:t>https://assets.publishing.service.gov.uk/government/uploads/system/uploads/attachment_data/file/300893/geho0512bwir-e-e.pdf</w:t>
        </w:r>
      </w:hyperlink>
      <w:r w:rsidRPr="00FA2E2E">
        <w:rPr>
          <w:rFonts w:asciiTheme="majorBidi" w:hAnsiTheme="majorBidi" w:cstheme="majorBidi"/>
          <w:lang w:val="fr-FR"/>
        </w:rPr>
        <w:t xml:space="preserve">. </w:t>
      </w:r>
    </w:p>
    <w:p w14:paraId="66494B21" w14:textId="2C329EFF" w:rsidR="00D31AFF" w:rsidRPr="00FA2E2E" w:rsidRDefault="00D31AFF" w:rsidP="00C76513">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fr-FR"/>
        </w:rPr>
      </w:pPr>
      <w:r w:rsidRPr="00FA2E2E">
        <w:rPr>
          <w:rFonts w:asciiTheme="majorBidi" w:hAnsiTheme="majorBidi" w:cstheme="majorBidi"/>
          <w:lang w:val="fr-FR"/>
        </w:rPr>
        <w:t xml:space="preserve">Feng H. </w:t>
      </w:r>
      <w:r w:rsidR="00E66DF9" w:rsidRPr="00FA2E2E">
        <w:rPr>
          <w:rFonts w:asciiTheme="majorBidi" w:hAnsiTheme="majorBidi" w:cstheme="majorBidi"/>
          <w:i/>
          <w:iCs/>
          <w:lang w:val="fr-FR"/>
        </w:rPr>
        <w:t>et al.</w:t>
      </w:r>
      <w:r w:rsidRPr="00FA2E2E">
        <w:rPr>
          <w:rFonts w:asciiTheme="majorBidi" w:hAnsiTheme="majorBidi" w:cstheme="majorBidi"/>
          <w:lang w:val="fr-FR"/>
        </w:rPr>
        <w:t xml:space="preserve"> (2015). “In situ remediation technologies for </w:t>
      </w:r>
      <w:r w:rsidR="00C44630" w:rsidRPr="00FA2E2E">
        <w:rPr>
          <w:rFonts w:asciiTheme="majorBidi" w:hAnsiTheme="majorBidi" w:cstheme="majorBidi"/>
          <w:lang w:val="fr-FR"/>
        </w:rPr>
        <w:t>mercury</w:t>
      </w:r>
      <w:r w:rsidR="00C44630" w:rsidRPr="00FA2E2E">
        <w:rPr>
          <w:rFonts w:asciiTheme="majorBidi" w:hAnsiTheme="majorBidi" w:cstheme="majorBidi"/>
          <w:lang w:val="fr-FR"/>
        </w:rPr>
        <w:noBreakHyphen/>
        <w:t>contaminated</w:t>
      </w:r>
      <w:r w:rsidRPr="00FA2E2E">
        <w:rPr>
          <w:rFonts w:asciiTheme="majorBidi" w:hAnsiTheme="majorBidi" w:cstheme="majorBidi"/>
          <w:lang w:val="fr-FR"/>
        </w:rPr>
        <w:t xml:space="preserve"> soil.” </w:t>
      </w:r>
      <w:r w:rsidRPr="00FA2E2E">
        <w:rPr>
          <w:rFonts w:asciiTheme="majorBidi" w:hAnsiTheme="majorBidi" w:cstheme="majorBidi"/>
          <w:i/>
          <w:lang w:val="fr-FR"/>
        </w:rPr>
        <w:t>Environmental Science and Pollution Research</w:t>
      </w:r>
      <w:r w:rsidRPr="00FA2E2E">
        <w:rPr>
          <w:rFonts w:asciiTheme="majorBidi" w:hAnsiTheme="majorBidi" w:cstheme="majorBidi"/>
          <w:lang w:val="fr-FR"/>
        </w:rPr>
        <w:t>, vol. 22, </w:t>
      </w:r>
      <w:hyperlink r:id="rId27" w:history="1">
        <w:r w:rsidRPr="00FA2E2E">
          <w:rPr>
            <w:rStyle w:val="Hyperlink"/>
            <w:rFonts w:asciiTheme="majorBidi" w:hAnsiTheme="majorBidi" w:cstheme="majorBidi"/>
          </w:rPr>
          <w:t>no. 11</w:t>
        </w:r>
      </w:hyperlink>
      <w:r w:rsidRPr="00FA2E2E">
        <w:rPr>
          <w:rFonts w:asciiTheme="majorBidi" w:hAnsiTheme="majorBidi" w:cstheme="majorBidi"/>
          <w:lang w:val="fr-FR"/>
        </w:rPr>
        <w:t>, pp. 8124–8147.</w:t>
      </w:r>
      <w:r w:rsidR="00152CD3" w:rsidRPr="00FA2E2E">
        <w:rPr>
          <w:rFonts w:asciiTheme="majorBidi" w:hAnsiTheme="majorBidi" w:cstheme="majorBidi"/>
          <w:lang w:val="fr-FR"/>
        </w:rPr>
        <w:t xml:space="preserve"> </w:t>
      </w:r>
      <w:r w:rsidR="00E66DF9" w:rsidRPr="00FA2E2E">
        <w:rPr>
          <w:rFonts w:asciiTheme="majorBidi" w:hAnsiTheme="majorBidi" w:cstheme="majorBidi"/>
          <w:lang w:val="fr-FR"/>
        </w:rPr>
        <w:t>Disponible à l</w:t>
      </w:r>
      <w:r w:rsidR="00FE58E1" w:rsidRPr="00FA2E2E">
        <w:rPr>
          <w:rFonts w:asciiTheme="majorBidi" w:hAnsiTheme="majorBidi" w:cstheme="majorBidi"/>
          <w:lang w:val="fr-FR"/>
        </w:rPr>
        <w:t>’</w:t>
      </w:r>
      <w:r w:rsidR="00E66DF9" w:rsidRPr="00FA2E2E">
        <w:rPr>
          <w:rFonts w:asciiTheme="majorBidi" w:hAnsiTheme="majorBidi" w:cstheme="majorBidi"/>
          <w:lang w:val="fr-FR"/>
        </w:rPr>
        <w:t xml:space="preserve">adresse suivante : </w:t>
      </w:r>
      <w:hyperlink r:id="rId28" w:history="1">
        <w:r w:rsidRPr="00FA2E2E">
          <w:rPr>
            <w:rStyle w:val="Hyperlink"/>
            <w:rFonts w:asciiTheme="majorBidi" w:hAnsiTheme="majorBidi" w:cstheme="majorBidi"/>
          </w:rPr>
          <w:t>https://www.researchgate.net/publication/274729292_In_situ_remediation_technologies_for_</w:t>
        </w:r>
        <w:r w:rsidR="00C44630" w:rsidRPr="00FA2E2E">
          <w:rPr>
            <w:rStyle w:val="Hyperlink"/>
            <w:rFonts w:asciiTheme="majorBidi" w:hAnsiTheme="majorBidi" w:cstheme="majorBidi"/>
          </w:rPr>
          <w:t>mercury</w:t>
        </w:r>
        <w:r w:rsidR="00C44630" w:rsidRPr="00FA2E2E">
          <w:rPr>
            <w:rStyle w:val="Hyperlink"/>
            <w:rFonts w:asciiTheme="majorBidi" w:hAnsiTheme="majorBidi" w:cstheme="majorBidi"/>
          </w:rPr>
          <w:noBreakHyphen/>
          <w:t>contaminated</w:t>
        </w:r>
        <w:r w:rsidRPr="00FA2E2E">
          <w:rPr>
            <w:rStyle w:val="Hyperlink"/>
            <w:rFonts w:asciiTheme="majorBidi" w:hAnsiTheme="majorBidi" w:cstheme="majorBidi"/>
          </w:rPr>
          <w:t>_soil</w:t>
        </w:r>
      </w:hyperlink>
      <w:r w:rsidRPr="00FA2E2E">
        <w:rPr>
          <w:rFonts w:asciiTheme="majorBidi" w:hAnsiTheme="majorBidi" w:cstheme="majorBidi"/>
          <w:lang w:val="fr-FR"/>
        </w:rPr>
        <w:t>.</w:t>
      </w:r>
      <w:r w:rsidRPr="00FA2E2E" w:rsidDel="005524DC">
        <w:rPr>
          <w:rFonts w:asciiTheme="majorBidi" w:hAnsiTheme="majorBidi" w:cstheme="majorBidi"/>
          <w:lang w:val="fr-FR"/>
        </w:rPr>
        <w:t xml:space="preserve"> </w:t>
      </w:r>
    </w:p>
    <w:p w14:paraId="786AB942" w14:textId="2D0A63F8" w:rsidR="00D31AFF" w:rsidRPr="00FA2E2E" w:rsidRDefault="00D31AFF" w:rsidP="00C76513">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fr-FR"/>
        </w:rPr>
      </w:pPr>
      <w:r w:rsidRPr="00FA2E2E">
        <w:rPr>
          <w:rFonts w:asciiTheme="majorBidi" w:hAnsiTheme="majorBidi" w:cstheme="majorBidi"/>
          <w:lang w:val="fr-FR"/>
        </w:rPr>
        <w:t xml:space="preserve">IPEN (2016). </w:t>
      </w:r>
      <w:r w:rsidRPr="00FA2E2E">
        <w:rPr>
          <w:rFonts w:asciiTheme="majorBidi" w:hAnsiTheme="majorBidi" w:cstheme="majorBidi"/>
          <w:i/>
          <w:lang w:val="fr-FR"/>
        </w:rPr>
        <w:t xml:space="preserve">Guidance on the Identification, Management and Remediation of </w:t>
      </w:r>
      <w:r w:rsidR="00C44630" w:rsidRPr="00FA2E2E">
        <w:rPr>
          <w:rFonts w:asciiTheme="majorBidi" w:hAnsiTheme="majorBidi" w:cstheme="majorBidi"/>
          <w:i/>
          <w:lang w:val="fr-FR"/>
        </w:rPr>
        <w:t>Mercury</w:t>
      </w:r>
      <w:r w:rsidR="00C44630" w:rsidRPr="00FA2E2E">
        <w:rPr>
          <w:rFonts w:asciiTheme="majorBidi" w:hAnsiTheme="majorBidi" w:cstheme="majorBidi"/>
          <w:i/>
          <w:lang w:val="fr-FR"/>
        </w:rPr>
        <w:noBreakHyphen/>
        <w:t>contaminated</w:t>
      </w:r>
      <w:r w:rsidRPr="00FA2E2E">
        <w:rPr>
          <w:rFonts w:asciiTheme="majorBidi" w:hAnsiTheme="majorBidi" w:cstheme="majorBidi"/>
          <w:i/>
          <w:lang w:val="fr-FR"/>
        </w:rPr>
        <w:t xml:space="preserve"> Sites</w:t>
      </w:r>
      <w:r w:rsidRPr="00FA2E2E">
        <w:rPr>
          <w:rFonts w:asciiTheme="majorBidi" w:hAnsiTheme="majorBidi" w:cstheme="majorBidi"/>
          <w:lang w:val="fr-FR"/>
        </w:rPr>
        <w:t xml:space="preserve">. </w:t>
      </w:r>
      <w:r w:rsidR="00E66DF9" w:rsidRPr="00FA2E2E">
        <w:rPr>
          <w:rFonts w:asciiTheme="majorBidi" w:hAnsiTheme="majorBidi" w:cstheme="majorBidi"/>
          <w:lang w:val="fr-FR"/>
        </w:rPr>
        <w:t>Disponible à l</w:t>
      </w:r>
      <w:r w:rsidR="00FE58E1" w:rsidRPr="00FA2E2E">
        <w:rPr>
          <w:rFonts w:asciiTheme="majorBidi" w:hAnsiTheme="majorBidi" w:cstheme="majorBidi"/>
          <w:lang w:val="fr-FR"/>
        </w:rPr>
        <w:t>’</w:t>
      </w:r>
      <w:r w:rsidR="00E66DF9" w:rsidRPr="00FA2E2E">
        <w:rPr>
          <w:rFonts w:asciiTheme="majorBidi" w:hAnsiTheme="majorBidi" w:cstheme="majorBidi"/>
          <w:lang w:val="fr-FR"/>
        </w:rPr>
        <w:t>adresse suivante :</w:t>
      </w:r>
      <w:r w:rsidRPr="00FA2E2E">
        <w:rPr>
          <w:rFonts w:asciiTheme="majorBidi" w:hAnsiTheme="majorBidi" w:cstheme="majorBidi"/>
          <w:lang w:val="fr-FR"/>
        </w:rPr>
        <w:t xml:space="preserve"> </w:t>
      </w:r>
      <w:hyperlink r:id="rId29" w:history="1">
        <w:r w:rsidR="000E3787" w:rsidRPr="00FA2E2E">
          <w:rPr>
            <w:rStyle w:val="Hyperlink"/>
            <w:rFonts w:asciiTheme="majorBidi" w:hAnsiTheme="majorBidi" w:cstheme="majorBidi"/>
          </w:rPr>
          <w:t>https://ipen.org/documents/ipen-guidance-identification-management-and-remediation-mercury-contaminated-sites</w:t>
        </w:r>
      </w:hyperlink>
      <w:r w:rsidRPr="00FA2E2E">
        <w:rPr>
          <w:rFonts w:asciiTheme="majorBidi" w:hAnsiTheme="majorBidi" w:cstheme="majorBidi"/>
          <w:lang w:val="fr-FR"/>
        </w:rPr>
        <w:t xml:space="preserve">. </w:t>
      </w:r>
    </w:p>
    <w:p w14:paraId="315214C2" w14:textId="02A9F7F1" w:rsidR="00D31AFF" w:rsidRPr="00FA2E2E" w:rsidRDefault="00D31AFF" w:rsidP="00C76513">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fr-FR"/>
        </w:rPr>
      </w:pPr>
      <w:r w:rsidRPr="00FA2E2E">
        <w:rPr>
          <w:rFonts w:asciiTheme="majorBidi" w:hAnsiTheme="majorBidi" w:cstheme="majorBidi"/>
          <w:lang w:val="fr-FR"/>
        </w:rPr>
        <w:t xml:space="preserve">Kocman D. </w:t>
      </w:r>
      <w:r w:rsidR="00E66DF9" w:rsidRPr="00FA2E2E">
        <w:rPr>
          <w:rFonts w:asciiTheme="majorBidi" w:hAnsiTheme="majorBidi" w:cstheme="majorBidi"/>
          <w:i/>
          <w:iCs/>
          <w:lang w:val="fr-FR"/>
        </w:rPr>
        <w:t>et al.</w:t>
      </w:r>
      <w:r w:rsidRPr="00FA2E2E">
        <w:rPr>
          <w:rFonts w:asciiTheme="majorBidi" w:hAnsiTheme="majorBidi" w:cstheme="majorBidi"/>
          <w:lang w:val="fr-FR"/>
        </w:rPr>
        <w:t xml:space="preserve"> (2013). “Contribution of contaminated sites to the global mercury budget</w:t>
      </w:r>
      <w:r w:rsidR="00E4254D" w:rsidRPr="00FA2E2E">
        <w:rPr>
          <w:rFonts w:asciiTheme="majorBidi" w:hAnsiTheme="majorBidi" w:cstheme="majorBidi"/>
          <w:lang w:val="fr-FR"/>
        </w:rPr>
        <w:t>”</w:t>
      </w:r>
      <w:r w:rsidR="0048269E" w:rsidRPr="00FA2E2E">
        <w:rPr>
          <w:rFonts w:asciiTheme="majorBidi" w:hAnsiTheme="majorBidi" w:cstheme="majorBidi"/>
          <w:lang w:val="fr-FR"/>
        </w:rPr>
        <w:t>,</w:t>
      </w:r>
      <w:r w:rsidRPr="00FA2E2E">
        <w:rPr>
          <w:rFonts w:asciiTheme="majorBidi" w:hAnsiTheme="majorBidi" w:cstheme="majorBidi"/>
          <w:lang w:val="fr-FR"/>
        </w:rPr>
        <w:t xml:space="preserve"> </w:t>
      </w:r>
      <w:r w:rsidRPr="00FA2E2E">
        <w:rPr>
          <w:rFonts w:asciiTheme="majorBidi" w:hAnsiTheme="majorBidi" w:cstheme="majorBidi"/>
          <w:i/>
          <w:lang w:val="fr-FR"/>
        </w:rPr>
        <w:t xml:space="preserve">Environmental Research, </w:t>
      </w:r>
      <w:r w:rsidRPr="00FA2E2E">
        <w:rPr>
          <w:rFonts w:asciiTheme="majorBidi" w:hAnsiTheme="majorBidi" w:cstheme="majorBidi"/>
          <w:lang w:val="fr-FR"/>
        </w:rPr>
        <w:t>vol. 125</w:t>
      </w:r>
      <w:r w:rsidR="0048269E" w:rsidRPr="00FA2E2E">
        <w:rPr>
          <w:rFonts w:asciiTheme="majorBidi" w:hAnsiTheme="majorBidi" w:cstheme="majorBidi"/>
          <w:lang w:val="fr-FR"/>
        </w:rPr>
        <w:t xml:space="preserve"> (Aug</w:t>
      </w:r>
      <w:r w:rsidR="00230850" w:rsidRPr="00FA2E2E">
        <w:rPr>
          <w:rFonts w:asciiTheme="majorBidi" w:hAnsiTheme="majorBidi" w:cstheme="majorBidi"/>
          <w:lang w:val="fr-FR"/>
        </w:rPr>
        <w:t>.</w:t>
      </w:r>
      <w:r w:rsidR="0048269E" w:rsidRPr="00FA2E2E">
        <w:rPr>
          <w:rFonts w:asciiTheme="majorBidi" w:hAnsiTheme="majorBidi" w:cstheme="majorBidi"/>
          <w:lang w:val="fr-FR"/>
        </w:rPr>
        <w:t xml:space="preserve"> 2013)</w:t>
      </w:r>
      <w:r w:rsidRPr="00FA2E2E">
        <w:rPr>
          <w:rFonts w:asciiTheme="majorBidi" w:hAnsiTheme="majorBidi" w:cstheme="majorBidi"/>
          <w:lang w:val="fr-FR"/>
        </w:rPr>
        <w:t xml:space="preserve">, pp.160–170. </w:t>
      </w:r>
      <w:r w:rsidR="00E66DF9" w:rsidRPr="00FA2E2E">
        <w:rPr>
          <w:rFonts w:asciiTheme="majorBidi" w:hAnsiTheme="majorBidi" w:cstheme="majorBidi"/>
          <w:lang w:val="fr-FR"/>
        </w:rPr>
        <w:t>Disponible à l</w:t>
      </w:r>
      <w:r w:rsidR="00FE58E1" w:rsidRPr="00FA2E2E">
        <w:rPr>
          <w:rFonts w:asciiTheme="majorBidi" w:hAnsiTheme="majorBidi" w:cstheme="majorBidi"/>
          <w:lang w:val="fr-FR"/>
        </w:rPr>
        <w:t>’</w:t>
      </w:r>
      <w:r w:rsidR="00E66DF9" w:rsidRPr="00FA2E2E">
        <w:rPr>
          <w:rFonts w:asciiTheme="majorBidi" w:hAnsiTheme="majorBidi" w:cstheme="majorBidi"/>
          <w:lang w:val="fr-FR"/>
        </w:rPr>
        <w:t>adresse suivante :</w:t>
      </w:r>
      <w:r w:rsidRPr="00FA2E2E">
        <w:rPr>
          <w:rFonts w:asciiTheme="majorBidi" w:hAnsiTheme="majorBidi" w:cstheme="majorBidi"/>
          <w:lang w:val="fr-FR"/>
        </w:rPr>
        <w:t xml:space="preserve"> </w:t>
      </w:r>
      <w:hyperlink r:id="rId30" w:history="1">
        <w:r w:rsidRPr="00FA2E2E">
          <w:rPr>
            <w:rStyle w:val="Hyperlink"/>
            <w:rFonts w:asciiTheme="majorBidi" w:hAnsiTheme="majorBidi" w:cstheme="majorBidi"/>
          </w:rPr>
          <w:t>http://citeseerx.ist.psu.edu/viewdoc/download?doi=10.1.1.362.1877&amp;rep=rep1&amp;type=pdf</w:t>
        </w:r>
      </w:hyperlink>
      <w:r w:rsidRPr="00FA2E2E">
        <w:rPr>
          <w:rFonts w:asciiTheme="majorBidi" w:hAnsiTheme="majorBidi" w:cstheme="majorBidi"/>
          <w:lang w:val="fr-FR"/>
        </w:rPr>
        <w:t>.</w:t>
      </w:r>
    </w:p>
    <w:p w14:paraId="60CC3E7A" w14:textId="4D9979AB" w:rsidR="004D339F" w:rsidRPr="00FA2E2E" w:rsidRDefault="004D339F" w:rsidP="00C76513">
      <w:pPr>
        <w:pStyle w:val="Normal-pool"/>
        <w:tabs>
          <w:tab w:val="clear" w:pos="1247"/>
          <w:tab w:val="clear" w:pos="1814"/>
          <w:tab w:val="clear" w:pos="2381"/>
          <w:tab w:val="clear" w:pos="2948"/>
          <w:tab w:val="clear" w:pos="3515"/>
          <w:tab w:val="clear" w:pos="4082"/>
          <w:tab w:val="left" w:pos="624"/>
        </w:tabs>
        <w:spacing w:after="80"/>
        <w:ind w:left="1247"/>
        <w:rPr>
          <w:lang w:val="fr-FR"/>
        </w:rPr>
      </w:pPr>
      <w:r w:rsidRPr="00FA2E2E">
        <w:rPr>
          <w:rFonts w:asciiTheme="majorBidi" w:hAnsiTheme="majorBidi" w:cstheme="majorBidi"/>
          <w:lang w:val="fr-FR"/>
        </w:rPr>
        <w:t xml:space="preserve">Laperche V. </w:t>
      </w:r>
      <w:r w:rsidR="00E66DF9" w:rsidRPr="00FA2E2E">
        <w:rPr>
          <w:rFonts w:asciiTheme="majorBidi" w:hAnsiTheme="majorBidi" w:cstheme="majorBidi"/>
          <w:lang w:val="fr-FR"/>
        </w:rPr>
        <w:t>et</w:t>
      </w:r>
      <w:r w:rsidRPr="00FA2E2E">
        <w:rPr>
          <w:rFonts w:asciiTheme="majorBidi" w:hAnsiTheme="majorBidi" w:cstheme="majorBidi"/>
          <w:lang w:val="fr-FR"/>
        </w:rPr>
        <w:t xml:space="preserve"> Touzé S. (2014). </w:t>
      </w:r>
      <w:r w:rsidRPr="00FA2E2E">
        <w:rPr>
          <w:rFonts w:asciiTheme="majorBidi" w:hAnsiTheme="majorBidi" w:cstheme="majorBidi"/>
          <w:i/>
          <w:iCs/>
          <w:lang w:val="fr-FR"/>
        </w:rPr>
        <w:t>Restauration de l</w:t>
      </w:r>
      <w:r w:rsidR="00FE58E1" w:rsidRPr="00FA2E2E">
        <w:rPr>
          <w:rFonts w:asciiTheme="majorBidi" w:hAnsiTheme="majorBidi" w:cstheme="majorBidi"/>
          <w:i/>
          <w:iCs/>
          <w:lang w:val="fr-FR"/>
        </w:rPr>
        <w:t>’</w:t>
      </w:r>
      <w:r w:rsidRPr="00FA2E2E">
        <w:rPr>
          <w:rFonts w:asciiTheme="majorBidi" w:hAnsiTheme="majorBidi" w:cstheme="majorBidi"/>
          <w:i/>
          <w:iCs/>
          <w:lang w:val="fr-FR"/>
        </w:rPr>
        <w:t>état des masses d</w:t>
      </w:r>
      <w:r w:rsidR="00FE58E1" w:rsidRPr="00FA2E2E">
        <w:rPr>
          <w:rFonts w:asciiTheme="majorBidi" w:hAnsiTheme="majorBidi" w:cstheme="majorBidi"/>
          <w:i/>
          <w:iCs/>
          <w:lang w:val="fr-FR"/>
        </w:rPr>
        <w:t>’</w:t>
      </w:r>
      <w:r w:rsidRPr="00FA2E2E">
        <w:rPr>
          <w:rFonts w:asciiTheme="majorBidi" w:hAnsiTheme="majorBidi" w:cstheme="majorBidi"/>
          <w:i/>
          <w:iCs/>
          <w:lang w:val="fr-FR"/>
        </w:rPr>
        <w:t>eau de surface contaminée</w:t>
      </w:r>
      <w:r w:rsidR="000E3787" w:rsidRPr="00FA2E2E">
        <w:rPr>
          <w:rFonts w:asciiTheme="majorBidi" w:hAnsiTheme="majorBidi" w:cstheme="majorBidi"/>
          <w:i/>
          <w:iCs/>
          <w:lang w:val="fr-FR"/>
        </w:rPr>
        <w:t>s</w:t>
      </w:r>
      <w:r w:rsidRPr="00FA2E2E">
        <w:rPr>
          <w:rFonts w:asciiTheme="majorBidi" w:hAnsiTheme="majorBidi" w:cstheme="majorBidi"/>
          <w:i/>
          <w:iCs/>
          <w:lang w:val="fr-FR"/>
        </w:rPr>
        <w:t xml:space="preserve"> par le mercure </w:t>
      </w:r>
      <w:r w:rsidR="00230850" w:rsidRPr="00FA2E2E">
        <w:rPr>
          <w:rFonts w:asciiTheme="majorBidi" w:hAnsiTheme="majorBidi" w:cstheme="majorBidi"/>
          <w:i/>
          <w:iCs/>
          <w:lang w:val="fr-FR"/>
        </w:rPr>
        <w:t>–</w:t>
      </w:r>
      <w:r w:rsidRPr="00FA2E2E">
        <w:rPr>
          <w:rFonts w:asciiTheme="majorBidi" w:hAnsiTheme="majorBidi" w:cstheme="majorBidi"/>
          <w:i/>
          <w:iCs/>
          <w:lang w:val="fr-FR"/>
        </w:rPr>
        <w:t xml:space="preserve"> </w:t>
      </w:r>
      <w:r w:rsidR="009B377E" w:rsidRPr="00FA2E2E">
        <w:rPr>
          <w:rFonts w:asciiTheme="majorBidi" w:hAnsiTheme="majorBidi" w:cstheme="majorBidi"/>
          <w:i/>
          <w:iCs/>
          <w:lang w:val="fr-FR"/>
        </w:rPr>
        <w:t>É</w:t>
      </w:r>
      <w:r w:rsidRPr="00FA2E2E">
        <w:rPr>
          <w:rFonts w:asciiTheme="majorBidi" w:hAnsiTheme="majorBidi" w:cstheme="majorBidi"/>
          <w:i/>
          <w:iCs/>
          <w:lang w:val="fr-FR"/>
        </w:rPr>
        <w:t>tat de l</w:t>
      </w:r>
      <w:r w:rsidR="00FE58E1" w:rsidRPr="00FA2E2E">
        <w:rPr>
          <w:rFonts w:asciiTheme="majorBidi" w:hAnsiTheme="majorBidi" w:cstheme="majorBidi"/>
          <w:i/>
          <w:iCs/>
          <w:lang w:val="fr-FR"/>
        </w:rPr>
        <w:t>’</w:t>
      </w:r>
      <w:r w:rsidRPr="00FA2E2E">
        <w:rPr>
          <w:rFonts w:asciiTheme="majorBidi" w:hAnsiTheme="majorBidi" w:cstheme="majorBidi"/>
          <w:i/>
          <w:iCs/>
          <w:lang w:val="fr-FR"/>
        </w:rPr>
        <w:t>art des méthodes existantes et adaptabilité dans le contexte guyanais</w:t>
      </w:r>
      <w:r w:rsidRPr="00FA2E2E">
        <w:rPr>
          <w:rFonts w:asciiTheme="majorBidi" w:hAnsiTheme="majorBidi" w:cstheme="majorBidi"/>
          <w:lang w:val="fr-FR"/>
        </w:rPr>
        <w:t xml:space="preserve">. Rapport final. BRGM/RP-64032-FR. </w:t>
      </w:r>
      <w:r w:rsidR="00E66DF9" w:rsidRPr="00FA2E2E">
        <w:rPr>
          <w:rFonts w:asciiTheme="majorBidi" w:hAnsiTheme="majorBidi" w:cstheme="majorBidi"/>
          <w:lang w:val="fr-FR"/>
        </w:rPr>
        <w:t>Disponible à l</w:t>
      </w:r>
      <w:r w:rsidR="00FE58E1" w:rsidRPr="00FA2E2E">
        <w:rPr>
          <w:rFonts w:asciiTheme="majorBidi" w:hAnsiTheme="majorBidi" w:cstheme="majorBidi"/>
          <w:lang w:val="fr-FR"/>
        </w:rPr>
        <w:t>’</w:t>
      </w:r>
      <w:r w:rsidR="00E66DF9" w:rsidRPr="00FA2E2E">
        <w:rPr>
          <w:rFonts w:asciiTheme="majorBidi" w:hAnsiTheme="majorBidi" w:cstheme="majorBidi"/>
          <w:lang w:val="fr-FR"/>
        </w:rPr>
        <w:t>adresse suivante :</w:t>
      </w:r>
      <w:r w:rsidRPr="00FA2E2E">
        <w:rPr>
          <w:rFonts w:asciiTheme="majorBidi" w:hAnsiTheme="majorBidi" w:cstheme="majorBidi"/>
          <w:lang w:val="fr-FR"/>
        </w:rPr>
        <w:t xml:space="preserve"> </w:t>
      </w:r>
      <w:hyperlink r:id="rId31" w:history="1">
        <w:r w:rsidRPr="00FA2E2E">
          <w:rPr>
            <w:rStyle w:val="Hyperlink"/>
          </w:rPr>
          <w:t>http://www.side.developpement-durable.gouv.fr/EXPLOITATION/DRGUYA/Infodoc/ged/viewportalpublished.ashx?eid=IFD_FICJOINT_0016486&amp;search=restauration</w:t>
        </w:r>
      </w:hyperlink>
      <w:r w:rsidRPr="00FA2E2E">
        <w:rPr>
          <w:lang w:val="fr-FR"/>
        </w:rPr>
        <w:t>.</w:t>
      </w:r>
    </w:p>
    <w:p w14:paraId="34F33304" w14:textId="2F8320B7" w:rsidR="00D31AFF" w:rsidRPr="00FA2E2E" w:rsidRDefault="00D31AFF" w:rsidP="00C76513">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fr-FR"/>
        </w:rPr>
      </w:pPr>
      <w:r w:rsidRPr="00FA2E2E">
        <w:rPr>
          <w:rFonts w:asciiTheme="majorBidi" w:hAnsiTheme="majorBidi" w:cstheme="majorBidi"/>
          <w:lang w:val="fr-FR"/>
        </w:rPr>
        <w:t>Matthews D.</w:t>
      </w:r>
      <w:r w:rsidR="00F65B84" w:rsidRPr="00FA2E2E">
        <w:rPr>
          <w:rFonts w:asciiTheme="majorBidi" w:hAnsiTheme="majorBidi" w:cstheme="majorBidi"/>
          <w:lang w:val="fr-FR"/>
        </w:rPr>
        <w:t xml:space="preserve"> </w:t>
      </w:r>
      <w:r w:rsidR="00E66DF9" w:rsidRPr="00FA2E2E">
        <w:rPr>
          <w:rFonts w:asciiTheme="majorBidi" w:hAnsiTheme="majorBidi" w:cstheme="majorBidi"/>
          <w:i/>
          <w:iCs/>
          <w:lang w:val="fr-FR"/>
        </w:rPr>
        <w:t>et al.</w:t>
      </w:r>
      <w:r w:rsidRPr="00FA2E2E">
        <w:rPr>
          <w:rFonts w:asciiTheme="majorBidi" w:hAnsiTheme="majorBidi" w:cstheme="majorBidi"/>
          <w:lang w:val="fr-FR"/>
        </w:rPr>
        <w:t xml:space="preserve"> </w:t>
      </w:r>
      <w:r w:rsidR="00F65B84" w:rsidRPr="00FA2E2E">
        <w:rPr>
          <w:rFonts w:asciiTheme="majorBidi" w:hAnsiTheme="majorBidi" w:cstheme="majorBidi"/>
          <w:lang w:val="fr-FR"/>
        </w:rPr>
        <w:t>(</w:t>
      </w:r>
      <w:r w:rsidRPr="00FA2E2E">
        <w:rPr>
          <w:rFonts w:asciiTheme="majorBidi" w:hAnsiTheme="majorBidi" w:cstheme="majorBidi"/>
          <w:lang w:val="fr-FR"/>
        </w:rPr>
        <w:t>2013</w:t>
      </w:r>
      <w:r w:rsidR="00F65B84" w:rsidRPr="00FA2E2E">
        <w:rPr>
          <w:rFonts w:asciiTheme="majorBidi" w:hAnsiTheme="majorBidi" w:cstheme="majorBidi"/>
          <w:lang w:val="fr-FR"/>
        </w:rPr>
        <w:t>)</w:t>
      </w:r>
      <w:r w:rsidRPr="00FA2E2E">
        <w:rPr>
          <w:rFonts w:asciiTheme="majorBidi" w:hAnsiTheme="majorBidi" w:cstheme="majorBidi"/>
          <w:lang w:val="fr-FR"/>
        </w:rPr>
        <w:t xml:space="preserve">. </w:t>
      </w:r>
      <w:r w:rsidR="0048269E" w:rsidRPr="00FA2E2E">
        <w:rPr>
          <w:rFonts w:asciiTheme="majorBidi" w:hAnsiTheme="majorBidi" w:cstheme="majorBidi"/>
          <w:lang w:val="fr-FR"/>
        </w:rPr>
        <w:t>“</w:t>
      </w:r>
      <w:r w:rsidRPr="00FA2E2E">
        <w:rPr>
          <w:rFonts w:asciiTheme="majorBidi" w:hAnsiTheme="majorBidi" w:cstheme="majorBidi"/>
          <w:lang w:val="fr-FR"/>
        </w:rPr>
        <w:t xml:space="preserve">Whole-lake nitrate addition for control of methylmercury in </w:t>
      </w:r>
      <w:r w:rsidR="00C44630" w:rsidRPr="00FA2E2E">
        <w:rPr>
          <w:rFonts w:asciiTheme="majorBidi" w:hAnsiTheme="majorBidi" w:cstheme="majorBidi"/>
          <w:lang w:val="fr-FR"/>
        </w:rPr>
        <w:t>mercury</w:t>
      </w:r>
      <w:r w:rsidR="00C44630" w:rsidRPr="00FA2E2E">
        <w:rPr>
          <w:rFonts w:asciiTheme="majorBidi" w:hAnsiTheme="majorBidi" w:cstheme="majorBidi"/>
          <w:lang w:val="fr-FR"/>
        </w:rPr>
        <w:noBreakHyphen/>
        <w:t>contaminated</w:t>
      </w:r>
      <w:r w:rsidRPr="00FA2E2E">
        <w:rPr>
          <w:rFonts w:asciiTheme="majorBidi" w:hAnsiTheme="majorBidi" w:cstheme="majorBidi"/>
          <w:lang w:val="fr-FR"/>
        </w:rPr>
        <w:t xml:space="preserve"> Onondaga Lake, NY</w:t>
      </w:r>
      <w:r w:rsidR="0048269E" w:rsidRPr="00FA2E2E">
        <w:rPr>
          <w:rFonts w:asciiTheme="majorBidi" w:hAnsiTheme="majorBidi" w:cstheme="majorBidi"/>
          <w:lang w:val="fr-FR"/>
        </w:rPr>
        <w:t>”,</w:t>
      </w:r>
      <w:r w:rsidRPr="00FA2E2E">
        <w:rPr>
          <w:rFonts w:asciiTheme="majorBidi" w:hAnsiTheme="majorBidi" w:cstheme="majorBidi"/>
          <w:lang w:val="fr-FR"/>
        </w:rPr>
        <w:t xml:space="preserve"> </w:t>
      </w:r>
      <w:r w:rsidRPr="00FA2E2E">
        <w:rPr>
          <w:rFonts w:asciiTheme="majorBidi" w:hAnsiTheme="majorBidi" w:cstheme="majorBidi"/>
          <w:i/>
          <w:iCs/>
          <w:lang w:val="fr-FR"/>
        </w:rPr>
        <w:t>Environmental Research</w:t>
      </w:r>
      <w:r w:rsidRPr="00FA2E2E">
        <w:rPr>
          <w:rFonts w:asciiTheme="majorBidi" w:hAnsiTheme="majorBidi" w:cstheme="majorBidi"/>
          <w:lang w:val="fr-FR"/>
        </w:rPr>
        <w:t xml:space="preserve">, </w:t>
      </w:r>
      <w:r w:rsidR="0048269E" w:rsidRPr="00FA2E2E">
        <w:rPr>
          <w:rFonts w:asciiTheme="majorBidi" w:hAnsiTheme="majorBidi" w:cstheme="majorBidi"/>
          <w:lang w:val="fr-FR"/>
        </w:rPr>
        <w:t>vol.</w:t>
      </w:r>
      <w:r w:rsidRPr="00FA2E2E">
        <w:rPr>
          <w:rFonts w:asciiTheme="majorBidi" w:hAnsiTheme="majorBidi" w:cstheme="majorBidi"/>
          <w:lang w:val="fr-FR"/>
        </w:rPr>
        <w:t xml:space="preserve"> 125</w:t>
      </w:r>
      <w:r w:rsidR="0048269E" w:rsidRPr="00FA2E2E">
        <w:rPr>
          <w:rFonts w:asciiTheme="majorBidi" w:hAnsiTheme="majorBidi" w:cstheme="majorBidi"/>
          <w:lang w:val="fr-FR"/>
        </w:rPr>
        <w:t xml:space="preserve"> (Aug</w:t>
      </w:r>
      <w:r w:rsidR="00230850" w:rsidRPr="00FA2E2E">
        <w:rPr>
          <w:rFonts w:asciiTheme="majorBidi" w:hAnsiTheme="majorBidi" w:cstheme="majorBidi"/>
          <w:lang w:val="fr-FR"/>
        </w:rPr>
        <w:t>.</w:t>
      </w:r>
      <w:r w:rsidR="0048269E" w:rsidRPr="00FA2E2E">
        <w:rPr>
          <w:rFonts w:asciiTheme="majorBidi" w:hAnsiTheme="majorBidi" w:cstheme="majorBidi"/>
          <w:lang w:val="fr-FR"/>
        </w:rPr>
        <w:t xml:space="preserve"> 2013), pp. </w:t>
      </w:r>
      <w:r w:rsidRPr="00FA2E2E">
        <w:rPr>
          <w:rFonts w:asciiTheme="majorBidi" w:hAnsiTheme="majorBidi" w:cstheme="majorBidi"/>
          <w:lang w:val="fr-FR"/>
        </w:rPr>
        <w:t>52</w:t>
      </w:r>
      <w:r w:rsidR="00C1592A" w:rsidRPr="00FA2E2E">
        <w:rPr>
          <w:rFonts w:asciiTheme="majorBidi" w:hAnsiTheme="majorBidi" w:cstheme="majorBidi"/>
          <w:lang w:val="fr-FR"/>
        </w:rPr>
        <w:sym w:font="Symbol" w:char="F02D"/>
      </w:r>
      <w:r w:rsidRPr="00FA2E2E">
        <w:rPr>
          <w:rFonts w:asciiTheme="majorBidi" w:hAnsiTheme="majorBidi" w:cstheme="majorBidi"/>
          <w:lang w:val="fr-FR"/>
        </w:rPr>
        <w:t>60.</w:t>
      </w:r>
    </w:p>
    <w:p w14:paraId="16C72D8A" w14:textId="13DD79E8" w:rsidR="00D31AFF" w:rsidRPr="00FA2E2E" w:rsidRDefault="00D31AFF" w:rsidP="00C76513">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fr-FR"/>
        </w:rPr>
      </w:pPr>
      <w:r w:rsidRPr="00FA2E2E">
        <w:rPr>
          <w:rFonts w:asciiTheme="majorBidi" w:hAnsiTheme="majorBidi" w:cstheme="majorBidi"/>
          <w:lang w:val="fr-FR"/>
        </w:rPr>
        <w:t xml:space="preserve">Merly C. and Hube D. (2014). </w:t>
      </w:r>
      <w:r w:rsidRPr="00FA2E2E">
        <w:rPr>
          <w:rFonts w:asciiTheme="majorBidi" w:hAnsiTheme="majorBidi" w:cstheme="majorBidi"/>
          <w:i/>
          <w:lang w:val="fr-FR"/>
        </w:rPr>
        <w:t xml:space="preserve">Remediation of </w:t>
      </w:r>
      <w:r w:rsidR="00C44630" w:rsidRPr="00FA2E2E">
        <w:rPr>
          <w:rFonts w:asciiTheme="majorBidi" w:hAnsiTheme="majorBidi" w:cstheme="majorBidi"/>
          <w:i/>
          <w:lang w:val="fr-FR"/>
        </w:rPr>
        <w:t>Mercury</w:t>
      </w:r>
      <w:r w:rsidR="00C44630" w:rsidRPr="00FA2E2E">
        <w:rPr>
          <w:rFonts w:asciiTheme="majorBidi" w:hAnsiTheme="majorBidi" w:cstheme="majorBidi"/>
          <w:i/>
          <w:lang w:val="fr-FR"/>
        </w:rPr>
        <w:noBreakHyphen/>
        <w:t>contaminated</w:t>
      </w:r>
      <w:r w:rsidRPr="00FA2E2E">
        <w:rPr>
          <w:rFonts w:asciiTheme="majorBidi" w:hAnsiTheme="majorBidi" w:cstheme="majorBidi"/>
          <w:i/>
          <w:lang w:val="fr-FR"/>
        </w:rPr>
        <w:t xml:space="preserve"> Sites</w:t>
      </w:r>
      <w:r w:rsidRPr="00FA2E2E">
        <w:rPr>
          <w:rFonts w:asciiTheme="majorBidi" w:hAnsiTheme="majorBidi" w:cstheme="majorBidi"/>
          <w:lang w:val="fr-FR"/>
        </w:rPr>
        <w:t xml:space="preserve">. Project No. SN-03/08. </w:t>
      </w:r>
      <w:r w:rsidR="006411F5" w:rsidRPr="00FA2E2E">
        <w:rPr>
          <w:rFonts w:asciiTheme="majorBidi" w:hAnsiTheme="majorBidi" w:cstheme="majorBidi"/>
          <w:lang w:val="fr-FR"/>
        </w:rPr>
        <w:t>Disponible à l</w:t>
      </w:r>
      <w:r w:rsidR="00FE58E1" w:rsidRPr="00FA2E2E">
        <w:rPr>
          <w:rFonts w:asciiTheme="majorBidi" w:hAnsiTheme="majorBidi" w:cstheme="majorBidi"/>
          <w:lang w:val="fr-FR"/>
        </w:rPr>
        <w:t>’</w:t>
      </w:r>
      <w:r w:rsidR="006411F5" w:rsidRPr="00FA2E2E">
        <w:rPr>
          <w:rFonts w:asciiTheme="majorBidi" w:hAnsiTheme="majorBidi" w:cstheme="majorBidi"/>
          <w:lang w:val="fr-FR"/>
        </w:rPr>
        <w:t>adresse suivante :</w:t>
      </w:r>
      <w:r w:rsidRPr="00FA2E2E">
        <w:rPr>
          <w:rFonts w:asciiTheme="majorBidi" w:hAnsiTheme="majorBidi" w:cstheme="majorBidi"/>
          <w:lang w:val="fr-FR"/>
        </w:rPr>
        <w:t xml:space="preserve"> </w:t>
      </w:r>
      <w:hyperlink r:id="rId32" w:history="1">
        <w:r w:rsidRPr="00FA2E2E">
          <w:rPr>
            <w:rStyle w:val="Hyperlink"/>
            <w:rFonts w:asciiTheme="majorBidi" w:hAnsiTheme="majorBidi" w:cstheme="majorBidi"/>
          </w:rPr>
          <w:t>https://docplayer.net/18898131-Remediation-of-</w:t>
        </w:r>
        <w:r w:rsidR="00C44630" w:rsidRPr="00FA2E2E">
          <w:rPr>
            <w:rStyle w:val="Hyperlink"/>
            <w:rFonts w:asciiTheme="majorBidi" w:hAnsiTheme="majorBidi" w:cstheme="majorBidi"/>
          </w:rPr>
          <w:t>mercury</w:t>
        </w:r>
        <w:r w:rsidR="00C44630" w:rsidRPr="00FA2E2E">
          <w:rPr>
            <w:rStyle w:val="Hyperlink"/>
            <w:rFonts w:asciiTheme="majorBidi" w:hAnsiTheme="majorBidi" w:cstheme="majorBidi"/>
          </w:rPr>
          <w:noBreakHyphen/>
          <w:t>contaminated</w:t>
        </w:r>
        <w:r w:rsidRPr="00FA2E2E">
          <w:rPr>
            <w:rStyle w:val="Hyperlink"/>
            <w:rFonts w:asciiTheme="majorBidi" w:hAnsiTheme="majorBidi" w:cstheme="majorBidi"/>
          </w:rPr>
          <w:t>-sites.html</w:t>
        </w:r>
      </w:hyperlink>
      <w:r w:rsidRPr="00FA2E2E">
        <w:rPr>
          <w:rFonts w:asciiTheme="majorBidi" w:hAnsiTheme="majorBidi" w:cstheme="majorBidi"/>
          <w:lang w:val="fr-FR"/>
        </w:rPr>
        <w:t>.</w:t>
      </w:r>
    </w:p>
    <w:p w14:paraId="722ABC8E" w14:textId="329A6929" w:rsidR="00D31AFF" w:rsidRPr="00FA2E2E" w:rsidRDefault="00D31AFF" w:rsidP="00C76513">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fr-FR"/>
        </w:rPr>
      </w:pPr>
      <w:bookmarkStart w:id="33" w:name="_Hlk506896386"/>
      <w:r w:rsidRPr="00FA2E2E">
        <w:rPr>
          <w:rFonts w:asciiTheme="majorBidi" w:hAnsiTheme="majorBidi" w:cstheme="majorBidi"/>
          <w:lang w:val="fr-FR"/>
        </w:rPr>
        <w:t>National Environmental Justice Advisory Council (2013</w:t>
      </w:r>
      <w:bookmarkEnd w:id="33"/>
      <w:r w:rsidRPr="00FA2E2E">
        <w:rPr>
          <w:rFonts w:asciiTheme="majorBidi" w:hAnsiTheme="majorBidi" w:cstheme="majorBidi"/>
          <w:lang w:val="fr-FR"/>
        </w:rPr>
        <w:t xml:space="preserve">). </w:t>
      </w:r>
      <w:r w:rsidRPr="00FA2E2E">
        <w:rPr>
          <w:rFonts w:asciiTheme="majorBidi" w:hAnsiTheme="majorBidi" w:cstheme="majorBidi"/>
          <w:i/>
          <w:lang w:val="fr-FR"/>
        </w:rPr>
        <w:t>Model Guidelines for Public Participation</w:t>
      </w:r>
      <w:r w:rsidRPr="00FA2E2E">
        <w:rPr>
          <w:rFonts w:asciiTheme="majorBidi" w:hAnsiTheme="majorBidi" w:cstheme="majorBidi"/>
          <w:lang w:val="fr-FR"/>
        </w:rPr>
        <w:t xml:space="preserve">. </w:t>
      </w:r>
      <w:r w:rsidR="006411F5" w:rsidRPr="00FA2E2E">
        <w:rPr>
          <w:rFonts w:asciiTheme="majorBidi" w:hAnsiTheme="majorBidi" w:cstheme="majorBidi"/>
          <w:lang w:val="fr-FR"/>
        </w:rPr>
        <w:t>Disponible à l</w:t>
      </w:r>
      <w:r w:rsidR="00FE58E1" w:rsidRPr="00FA2E2E">
        <w:rPr>
          <w:rFonts w:asciiTheme="majorBidi" w:hAnsiTheme="majorBidi" w:cstheme="majorBidi"/>
          <w:lang w:val="fr-FR"/>
        </w:rPr>
        <w:t>’</w:t>
      </w:r>
      <w:r w:rsidR="006411F5" w:rsidRPr="00FA2E2E">
        <w:rPr>
          <w:rFonts w:asciiTheme="majorBidi" w:hAnsiTheme="majorBidi" w:cstheme="majorBidi"/>
          <w:lang w:val="fr-FR"/>
        </w:rPr>
        <w:t>adresse suivante :</w:t>
      </w:r>
      <w:r w:rsidRPr="00FA2E2E">
        <w:rPr>
          <w:rFonts w:asciiTheme="majorBidi" w:hAnsiTheme="majorBidi" w:cstheme="majorBidi"/>
          <w:lang w:val="fr-FR"/>
        </w:rPr>
        <w:t xml:space="preserve"> </w:t>
      </w:r>
      <w:hyperlink r:id="rId33" w:history="1">
        <w:r w:rsidRPr="00FA2E2E">
          <w:rPr>
            <w:rStyle w:val="Hyperlink"/>
            <w:rFonts w:asciiTheme="majorBidi" w:hAnsiTheme="majorBidi" w:cstheme="majorBidi"/>
          </w:rPr>
          <w:t>https://www.epa.gov/sites/production/files/2015-02/documents/recommendations-model-guide-pp-2013.pdf</w:t>
        </w:r>
      </w:hyperlink>
      <w:r w:rsidRPr="00FA2E2E">
        <w:rPr>
          <w:rFonts w:asciiTheme="majorBidi" w:hAnsiTheme="majorBidi" w:cstheme="majorBidi"/>
          <w:lang w:val="fr-FR"/>
        </w:rPr>
        <w:t>.</w:t>
      </w:r>
    </w:p>
    <w:p w14:paraId="6C9080FB" w14:textId="68C1265B" w:rsidR="00D31AFF" w:rsidRPr="00FA2E2E" w:rsidRDefault="00D31AFF" w:rsidP="00B45535">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lang w:val="fr-FR"/>
        </w:rPr>
      </w:pPr>
      <w:r w:rsidRPr="00FA2E2E">
        <w:rPr>
          <w:rFonts w:asciiTheme="majorBidi" w:hAnsiTheme="majorBidi" w:cstheme="majorBidi"/>
          <w:lang w:val="fr-FR"/>
        </w:rPr>
        <w:t xml:space="preserve">National Environmental Protection Council </w:t>
      </w:r>
      <w:r w:rsidR="00E762A9" w:rsidRPr="00FA2E2E">
        <w:rPr>
          <w:rFonts w:asciiTheme="majorBidi" w:hAnsiTheme="majorBidi" w:cstheme="majorBidi"/>
          <w:lang w:val="fr-FR"/>
        </w:rPr>
        <w:t xml:space="preserve">(NEPC) </w:t>
      </w:r>
      <w:r w:rsidRPr="00FA2E2E">
        <w:rPr>
          <w:rFonts w:asciiTheme="majorBidi" w:hAnsiTheme="majorBidi" w:cstheme="majorBidi"/>
          <w:lang w:val="fr-FR"/>
        </w:rPr>
        <w:t xml:space="preserve">(1999). </w:t>
      </w:r>
      <w:r w:rsidRPr="00FA2E2E">
        <w:rPr>
          <w:rFonts w:asciiTheme="majorBidi" w:hAnsiTheme="majorBidi" w:cstheme="majorBidi"/>
          <w:i/>
          <w:lang w:val="fr-FR"/>
        </w:rPr>
        <w:t>NEPM Schedule B (1) - Guideline on Investigation Levels for Soil and Groundwater</w:t>
      </w:r>
      <w:r w:rsidRPr="00FA2E2E">
        <w:rPr>
          <w:rFonts w:asciiTheme="majorBidi" w:hAnsiTheme="majorBidi" w:cstheme="majorBidi"/>
          <w:lang w:val="fr-FR"/>
        </w:rPr>
        <w:t xml:space="preserve">. </w:t>
      </w:r>
      <w:r w:rsidR="006411F5" w:rsidRPr="00FA2E2E">
        <w:rPr>
          <w:rFonts w:asciiTheme="majorBidi" w:hAnsiTheme="majorBidi" w:cstheme="majorBidi"/>
          <w:lang w:val="fr-FR"/>
        </w:rPr>
        <w:t>Disponible à l</w:t>
      </w:r>
      <w:r w:rsidR="00FE58E1" w:rsidRPr="00FA2E2E">
        <w:rPr>
          <w:rFonts w:asciiTheme="majorBidi" w:hAnsiTheme="majorBidi" w:cstheme="majorBidi"/>
          <w:lang w:val="fr-FR"/>
        </w:rPr>
        <w:t>’</w:t>
      </w:r>
      <w:r w:rsidR="006411F5" w:rsidRPr="00FA2E2E">
        <w:rPr>
          <w:rFonts w:asciiTheme="majorBidi" w:hAnsiTheme="majorBidi" w:cstheme="majorBidi"/>
          <w:lang w:val="fr-FR"/>
        </w:rPr>
        <w:t>adresse suivante :</w:t>
      </w:r>
      <w:r w:rsidRPr="00FA2E2E">
        <w:rPr>
          <w:rFonts w:asciiTheme="majorBidi" w:hAnsiTheme="majorBidi" w:cstheme="majorBidi"/>
          <w:lang w:val="fr-FR"/>
        </w:rPr>
        <w:t xml:space="preserve"> </w:t>
      </w:r>
      <w:hyperlink r:id="rId34" w:history="1">
        <w:r w:rsidRPr="00FA2E2E">
          <w:rPr>
            <w:rStyle w:val="Hyperlink"/>
            <w:rFonts w:asciiTheme="majorBidi" w:hAnsiTheme="majorBidi" w:cstheme="majorBidi"/>
          </w:rPr>
          <w:t>http://www.nepc.gov.au/system/files/resources/93ae0e77-e697-e494-656f-afaaf9fb4277/files/schedule-b1-guideline-investigation-levels-soil-and-groundwater-sep10.pdf</w:t>
        </w:r>
      </w:hyperlink>
      <w:r w:rsidRPr="00FA2E2E">
        <w:rPr>
          <w:rFonts w:asciiTheme="majorBidi" w:hAnsiTheme="majorBidi" w:cstheme="majorBidi"/>
          <w:lang w:val="fr-FR"/>
        </w:rPr>
        <w:t>.</w:t>
      </w:r>
      <w:r w:rsidRPr="00FA2E2E" w:rsidDel="00860510">
        <w:rPr>
          <w:lang w:val="fr-FR"/>
        </w:rPr>
        <w:t xml:space="preserve"> </w:t>
      </w:r>
    </w:p>
    <w:p w14:paraId="7EB0FE83" w14:textId="54E95071" w:rsidR="00D31AFF" w:rsidRPr="00FA2E2E" w:rsidRDefault="00D31AFF" w:rsidP="00C76513">
      <w:pPr>
        <w:pStyle w:val="Normal-pool"/>
        <w:tabs>
          <w:tab w:val="clear" w:pos="1247"/>
          <w:tab w:val="clear" w:pos="1814"/>
          <w:tab w:val="clear" w:pos="2381"/>
          <w:tab w:val="clear" w:pos="2948"/>
          <w:tab w:val="clear" w:pos="3515"/>
          <w:tab w:val="left" w:pos="624"/>
        </w:tabs>
        <w:spacing w:after="80"/>
        <w:ind w:left="1247"/>
        <w:rPr>
          <w:lang w:val="fr-FR"/>
        </w:rPr>
      </w:pPr>
      <w:r w:rsidRPr="00FA2E2E">
        <w:rPr>
          <w:lang w:val="fr-FR"/>
        </w:rPr>
        <w:t>Network for Industrially Co-ordinated Sustainable Land Management in Europe</w:t>
      </w:r>
      <w:r w:rsidR="006352F6" w:rsidRPr="00FA2E2E">
        <w:rPr>
          <w:lang w:val="fr-FR"/>
        </w:rPr>
        <w:t xml:space="preserve"> (NICOLE</w:t>
      </w:r>
      <w:r w:rsidRPr="00FA2E2E">
        <w:rPr>
          <w:lang w:val="fr-FR"/>
        </w:rPr>
        <w:t>) (2015)</w:t>
      </w:r>
      <w:r w:rsidR="00C1592A" w:rsidRPr="00FA2E2E">
        <w:rPr>
          <w:lang w:val="fr-FR"/>
        </w:rPr>
        <w:t>.</w:t>
      </w:r>
      <w:r w:rsidRPr="00FA2E2E">
        <w:rPr>
          <w:lang w:val="fr-FR"/>
        </w:rPr>
        <w:t xml:space="preserve"> </w:t>
      </w:r>
      <w:r w:rsidRPr="00FA2E2E">
        <w:rPr>
          <w:i/>
          <w:iCs/>
          <w:lang w:val="fr-FR"/>
        </w:rPr>
        <w:t>Risk-based Management of Mercury Impacted Sites</w:t>
      </w:r>
      <w:r w:rsidR="00C1592A" w:rsidRPr="00FA2E2E">
        <w:rPr>
          <w:lang w:val="fr-FR"/>
        </w:rPr>
        <w:t xml:space="preserve">. </w:t>
      </w:r>
      <w:r w:rsidR="006411F5" w:rsidRPr="00FA2E2E">
        <w:rPr>
          <w:lang w:val="fr-FR"/>
        </w:rPr>
        <w:t>Disponible à l</w:t>
      </w:r>
      <w:r w:rsidR="00FE58E1" w:rsidRPr="00FA2E2E">
        <w:rPr>
          <w:lang w:val="fr-FR"/>
        </w:rPr>
        <w:t>’</w:t>
      </w:r>
      <w:r w:rsidR="006411F5" w:rsidRPr="00FA2E2E">
        <w:rPr>
          <w:lang w:val="fr-FR"/>
        </w:rPr>
        <w:t xml:space="preserve">adresse suivante : </w:t>
      </w:r>
      <w:hyperlink r:id="rId35" w:history="1">
        <w:r w:rsidRPr="00FA2E2E">
          <w:rPr>
            <w:rStyle w:val="Hyperlink"/>
          </w:rPr>
          <w:t>http://www.nicole.org/uploadedfiles/WGM%202015-06-10%20NICOLE%20Risk%20based%20Management%20of%20Mercury%20Impacted%20Sites.pdf</w:t>
        </w:r>
      </w:hyperlink>
      <w:r w:rsidR="00C1592A" w:rsidRPr="00FA2E2E">
        <w:rPr>
          <w:lang w:val="fr-FR"/>
        </w:rPr>
        <w:t>.</w:t>
      </w:r>
    </w:p>
    <w:p w14:paraId="00986E77" w14:textId="15BFE1A9" w:rsidR="007E3447" w:rsidRPr="00FA2E2E" w:rsidRDefault="007E3447" w:rsidP="00C76513">
      <w:pPr>
        <w:pStyle w:val="Normal-pool"/>
        <w:tabs>
          <w:tab w:val="clear" w:pos="1247"/>
          <w:tab w:val="clear" w:pos="1814"/>
          <w:tab w:val="clear" w:pos="2381"/>
          <w:tab w:val="clear" w:pos="2948"/>
          <w:tab w:val="clear" w:pos="3515"/>
          <w:tab w:val="left" w:pos="624"/>
        </w:tabs>
        <w:spacing w:after="80"/>
        <w:ind w:left="1247"/>
        <w:rPr>
          <w:lang w:val="fr-FR"/>
        </w:rPr>
      </w:pPr>
      <w:r w:rsidRPr="00FA2E2E">
        <w:rPr>
          <w:lang w:val="fr-FR"/>
        </w:rPr>
        <w:t>Organisation mondiale de la Santé (OMS) (2017). « Mercure et santé » (site Web). Disponible à l</w:t>
      </w:r>
      <w:r w:rsidR="00FE58E1" w:rsidRPr="00FA2E2E">
        <w:rPr>
          <w:lang w:val="fr-FR"/>
        </w:rPr>
        <w:t>’</w:t>
      </w:r>
      <w:r w:rsidRPr="00FA2E2E">
        <w:rPr>
          <w:lang w:val="fr-FR"/>
        </w:rPr>
        <w:t>adresse suivante</w:t>
      </w:r>
      <w:r w:rsidR="00AE7D3C" w:rsidRPr="00FA2E2E">
        <w:rPr>
          <w:lang w:val="fr-FR"/>
        </w:rPr>
        <w:t> </w:t>
      </w:r>
      <w:r w:rsidRPr="00FA2E2E">
        <w:rPr>
          <w:lang w:val="fr-FR"/>
        </w:rPr>
        <w:t xml:space="preserve">: </w:t>
      </w:r>
      <w:hyperlink r:id="rId36" w:history="1">
        <w:r w:rsidRPr="00FA2E2E">
          <w:rPr>
            <w:rStyle w:val="Hyperlink"/>
          </w:rPr>
          <w:t>https://www.who.int/fr/news-room/fact-sheets/detail/mercury-and-health</w:t>
        </w:r>
      </w:hyperlink>
      <w:r w:rsidRPr="00FA2E2E">
        <w:rPr>
          <w:lang w:val="fr-FR"/>
        </w:rPr>
        <w:t>.</w:t>
      </w:r>
    </w:p>
    <w:p w14:paraId="7A8DE938" w14:textId="7D40C55E" w:rsidR="007E3447" w:rsidRPr="00FA2E2E" w:rsidRDefault="007E3447" w:rsidP="00C76513">
      <w:pPr>
        <w:pStyle w:val="Normal-pool"/>
        <w:tabs>
          <w:tab w:val="clear" w:pos="1247"/>
          <w:tab w:val="clear" w:pos="1814"/>
          <w:tab w:val="clear" w:pos="2381"/>
          <w:tab w:val="clear" w:pos="2948"/>
          <w:tab w:val="clear" w:pos="3515"/>
          <w:tab w:val="left" w:pos="624"/>
        </w:tabs>
        <w:spacing w:after="80"/>
        <w:ind w:left="1247"/>
        <w:rPr>
          <w:lang w:val="fr-FR"/>
        </w:rPr>
      </w:pPr>
      <w:r w:rsidRPr="00FA2E2E">
        <w:rPr>
          <w:lang w:val="fr-FR"/>
        </w:rPr>
        <w:t>Plan d</w:t>
      </w:r>
      <w:r w:rsidR="00FE58E1" w:rsidRPr="00FA2E2E">
        <w:rPr>
          <w:lang w:val="fr-FR"/>
        </w:rPr>
        <w:t>’</w:t>
      </w:r>
      <w:r w:rsidRPr="00FA2E2E">
        <w:rPr>
          <w:lang w:val="fr-FR"/>
        </w:rPr>
        <w:t>action pour la Méditerranée/ Programme des Nations</w:t>
      </w:r>
      <w:r w:rsidR="00AE7D3C" w:rsidRPr="00FA2E2E">
        <w:rPr>
          <w:lang w:val="fr-FR"/>
        </w:rPr>
        <w:t> </w:t>
      </w:r>
      <w:r w:rsidRPr="00FA2E2E">
        <w:rPr>
          <w:lang w:val="fr-FR"/>
        </w:rPr>
        <w:t>Unies pour l</w:t>
      </w:r>
      <w:r w:rsidR="00FE58E1" w:rsidRPr="00FA2E2E">
        <w:rPr>
          <w:lang w:val="fr-FR"/>
        </w:rPr>
        <w:t>’</w:t>
      </w:r>
      <w:r w:rsidRPr="00FA2E2E">
        <w:rPr>
          <w:lang w:val="fr-FR"/>
        </w:rPr>
        <w:t xml:space="preserve">environnement (PAM/PNUE) (2015). Guide des </w:t>
      </w:r>
      <w:r w:rsidR="00FC289C" w:rsidRPr="00FA2E2E">
        <w:rPr>
          <w:lang w:val="fr-FR"/>
        </w:rPr>
        <w:t>m</w:t>
      </w:r>
      <w:r w:rsidRPr="00FA2E2E">
        <w:rPr>
          <w:lang w:val="fr-FR"/>
        </w:rPr>
        <w:t xml:space="preserve">eilleures </w:t>
      </w:r>
      <w:r w:rsidR="00FC289C" w:rsidRPr="00FA2E2E">
        <w:rPr>
          <w:lang w:val="fr-FR"/>
        </w:rPr>
        <w:t>p</w:t>
      </w:r>
      <w:r w:rsidRPr="00FA2E2E">
        <w:rPr>
          <w:lang w:val="fr-FR"/>
        </w:rPr>
        <w:t xml:space="preserve">ratiques </w:t>
      </w:r>
      <w:r w:rsidR="00FC289C" w:rsidRPr="00FA2E2E">
        <w:rPr>
          <w:lang w:val="fr-FR"/>
        </w:rPr>
        <w:t>e</w:t>
      </w:r>
      <w:r w:rsidRPr="00FA2E2E">
        <w:rPr>
          <w:lang w:val="fr-FR"/>
        </w:rPr>
        <w:t xml:space="preserve">nvironnementales (MPE) de </w:t>
      </w:r>
      <w:r w:rsidR="00FC289C" w:rsidRPr="00FA2E2E">
        <w:rPr>
          <w:lang w:val="fr-FR"/>
        </w:rPr>
        <w:t>g</w:t>
      </w:r>
      <w:r w:rsidRPr="00FA2E2E">
        <w:rPr>
          <w:lang w:val="fr-FR"/>
        </w:rPr>
        <w:t xml:space="preserve">estion </w:t>
      </w:r>
      <w:r w:rsidR="00FC289C" w:rsidRPr="00FA2E2E">
        <w:rPr>
          <w:lang w:val="fr-FR"/>
        </w:rPr>
        <w:t>é</w:t>
      </w:r>
      <w:r w:rsidRPr="00FA2E2E">
        <w:rPr>
          <w:lang w:val="fr-FR"/>
        </w:rPr>
        <w:t xml:space="preserve">cologiquement </w:t>
      </w:r>
      <w:r w:rsidR="00FC289C" w:rsidRPr="00FA2E2E">
        <w:rPr>
          <w:lang w:val="fr-FR"/>
        </w:rPr>
        <w:t>r</w:t>
      </w:r>
      <w:r w:rsidRPr="00FA2E2E">
        <w:rPr>
          <w:lang w:val="fr-FR"/>
        </w:rPr>
        <w:t xml:space="preserve">ationnelle (GER) des </w:t>
      </w:r>
      <w:r w:rsidR="00FC289C" w:rsidRPr="00FA2E2E">
        <w:rPr>
          <w:lang w:val="fr-FR"/>
        </w:rPr>
        <w:t>s</w:t>
      </w:r>
      <w:r w:rsidRPr="00FA2E2E">
        <w:rPr>
          <w:lang w:val="fr-FR"/>
        </w:rPr>
        <w:t xml:space="preserve">ites </w:t>
      </w:r>
      <w:r w:rsidR="00FC289C" w:rsidRPr="00FA2E2E">
        <w:rPr>
          <w:lang w:val="fr-FR"/>
        </w:rPr>
        <w:t>c</w:t>
      </w:r>
      <w:r w:rsidRPr="00FA2E2E">
        <w:rPr>
          <w:lang w:val="fr-FR"/>
        </w:rPr>
        <w:t xml:space="preserve">ontaminés au </w:t>
      </w:r>
      <w:r w:rsidR="00FC289C" w:rsidRPr="00FA2E2E">
        <w:rPr>
          <w:lang w:val="fr-FR"/>
        </w:rPr>
        <w:t>m</w:t>
      </w:r>
      <w:r w:rsidRPr="00FA2E2E">
        <w:rPr>
          <w:lang w:val="fr-FR"/>
        </w:rPr>
        <w:t>ercure en Méditerranée. Disponible à l</w:t>
      </w:r>
      <w:r w:rsidR="00FE58E1" w:rsidRPr="00FA2E2E">
        <w:rPr>
          <w:lang w:val="fr-FR"/>
        </w:rPr>
        <w:t>’</w:t>
      </w:r>
      <w:r w:rsidRPr="00FA2E2E">
        <w:rPr>
          <w:lang w:val="fr-FR"/>
        </w:rPr>
        <w:t>adresse suivante</w:t>
      </w:r>
      <w:r w:rsidR="00AE7D3C" w:rsidRPr="00FA2E2E">
        <w:rPr>
          <w:lang w:val="fr-FR"/>
        </w:rPr>
        <w:t> </w:t>
      </w:r>
      <w:r w:rsidRPr="00FA2E2E">
        <w:rPr>
          <w:lang w:val="fr-FR"/>
        </w:rPr>
        <w:t xml:space="preserve">: </w:t>
      </w:r>
      <w:hyperlink r:id="rId37" w:history="1">
        <w:r w:rsidRPr="00FA2E2E">
          <w:rPr>
            <w:rStyle w:val="Hyperlink"/>
          </w:rPr>
          <w:t>http://wedocs.unep.org/handle/20.500.11822/9917</w:t>
        </w:r>
      </w:hyperlink>
      <w:r w:rsidRPr="00FA2E2E">
        <w:rPr>
          <w:lang w:val="fr-FR"/>
        </w:rPr>
        <w:t>.</w:t>
      </w:r>
    </w:p>
    <w:p w14:paraId="0666B110" w14:textId="528B244A" w:rsidR="007E3447" w:rsidRPr="00FA2E2E" w:rsidRDefault="007E3447" w:rsidP="00C76513">
      <w:pPr>
        <w:pStyle w:val="Normal-pool"/>
        <w:tabs>
          <w:tab w:val="clear" w:pos="1247"/>
          <w:tab w:val="clear" w:pos="1814"/>
          <w:tab w:val="clear" w:pos="2381"/>
          <w:tab w:val="clear" w:pos="2948"/>
          <w:tab w:val="clear" w:pos="3515"/>
          <w:tab w:val="left" w:pos="624"/>
        </w:tabs>
        <w:spacing w:after="80"/>
        <w:ind w:left="1247"/>
        <w:rPr>
          <w:lang w:val="fr-FR"/>
        </w:rPr>
      </w:pPr>
      <w:r w:rsidRPr="00FA2E2E">
        <w:rPr>
          <w:lang w:val="fr-FR"/>
        </w:rPr>
        <w:t>Programme des Nations</w:t>
      </w:r>
      <w:r w:rsidR="00AE7D3C" w:rsidRPr="00FA2E2E">
        <w:rPr>
          <w:lang w:val="fr-FR"/>
        </w:rPr>
        <w:t> </w:t>
      </w:r>
      <w:r w:rsidRPr="00FA2E2E">
        <w:rPr>
          <w:lang w:val="fr-FR"/>
        </w:rPr>
        <w:t>Unies pour l</w:t>
      </w:r>
      <w:r w:rsidR="00FE58E1" w:rsidRPr="00FA2E2E">
        <w:rPr>
          <w:lang w:val="fr-FR"/>
        </w:rPr>
        <w:t>’</w:t>
      </w:r>
      <w:r w:rsidRPr="00FA2E2E">
        <w:rPr>
          <w:lang w:val="fr-FR"/>
        </w:rPr>
        <w:t>environnement (PNUE) (2015). Directives techniques sur la gestion écologiquement rationnelle des déchets constitués de mercure ou de composés du mercure, en contenant ou contaminés par ces substances. UNEP/CHW.12/5/Add.8/Rev.1. Disponible à l</w:t>
      </w:r>
      <w:r w:rsidR="00FE58E1" w:rsidRPr="00FA2E2E">
        <w:rPr>
          <w:lang w:val="fr-FR"/>
        </w:rPr>
        <w:t>’</w:t>
      </w:r>
      <w:r w:rsidRPr="00FA2E2E">
        <w:rPr>
          <w:lang w:val="fr-FR"/>
        </w:rPr>
        <w:t>adresse suivante</w:t>
      </w:r>
      <w:r w:rsidR="00AE7D3C" w:rsidRPr="00FA2E2E">
        <w:rPr>
          <w:lang w:val="fr-FR"/>
        </w:rPr>
        <w:t> </w:t>
      </w:r>
      <w:r w:rsidRPr="00FA2E2E">
        <w:rPr>
          <w:lang w:val="fr-FR"/>
        </w:rPr>
        <w:t>: http://www.basel.int/TheConvention/ConferenceoftheParties/Meetings/COP12/tabid/4248/mctl/ViewDetails/EventModID/8051/EventID/542/xmid/13027/Default.aspx.</w:t>
      </w:r>
    </w:p>
    <w:p w14:paraId="2AA95CC2" w14:textId="38E09119" w:rsidR="00D31AFF" w:rsidRPr="00FA2E2E" w:rsidRDefault="00D31AFF" w:rsidP="00C76513">
      <w:pPr>
        <w:pStyle w:val="Normal-pool"/>
        <w:tabs>
          <w:tab w:val="clear" w:pos="1247"/>
          <w:tab w:val="clear" w:pos="1814"/>
          <w:tab w:val="clear" w:pos="2381"/>
          <w:tab w:val="clear" w:pos="2948"/>
          <w:tab w:val="clear" w:pos="3515"/>
          <w:tab w:val="left" w:pos="624"/>
        </w:tabs>
        <w:spacing w:after="80"/>
        <w:ind w:left="1247"/>
        <w:rPr>
          <w:lang w:val="fr-FR"/>
        </w:rPr>
      </w:pPr>
      <w:r w:rsidRPr="00FA2E2E">
        <w:rPr>
          <w:lang w:val="fr-FR"/>
        </w:rPr>
        <w:t>Todorova S.</w:t>
      </w:r>
      <w:r w:rsidR="00C1592A" w:rsidRPr="00FA2E2E">
        <w:rPr>
          <w:lang w:val="fr-FR"/>
        </w:rPr>
        <w:t xml:space="preserve"> </w:t>
      </w:r>
      <w:r w:rsidR="006411F5" w:rsidRPr="00FA2E2E">
        <w:rPr>
          <w:i/>
          <w:iCs/>
          <w:lang w:val="fr-FR"/>
        </w:rPr>
        <w:t>et al.</w:t>
      </w:r>
      <w:r w:rsidRPr="00FA2E2E">
        <w:rPr>
          <w:lang w:val="fr-FR"/>
        </w:rPr>
        <w:t xml:space="preserve"> </w:t>
      </w:r>
      <w:r w:rsidR="001206DD" w:rsidRPr="00FA2E2E">
        <w:rPr>
          <w:lang w:val="fr-FR"/>
        </w:rPr>
        <w:t>(</w:t>
      </w:r>
      <w:r w:rsidRPr="00FA2E2E">
        <w:rPr>
          <w:lang w:val="fr-FR"/>
        </w:rPr>
        <w:t>2009</w:t>
      </w:r>
      <w:r w:rsidR="001206DD" w:rsidRPr="00FA2E2E">
        <w:rPr>
          <w:lang w:val="fr-FR"/>
        </w:rPr>
        <w:t>)</w:t>
      </w:r>
      <w:r w:rsidRPr="00FA2E2E">
        <w:rPr>
          <w:lang w:val="fr-FR"/>
        </w:rPr>
        <w:t xml:space="preserve">. </w:t>
      </w:r>
      <w:r w:rsidR="00E70C13" w:rsidRPr="00FA2E2E">
        <w:rPr>
          <w:lang w:val="fr-FR"/>
        </w:rPr>
        <w:t>“</w:t>
      </w:r>
      <w:r w:rsidRPr="00FA2E2E">
        <w:rPr>
          <w:lang w:val="fr-FR"/>
        </w:rPr>
        <w:t>Evidence for regulation o</w:t>
      </w:r>
      <w:r w:rsidR="00E70C13" w:rsidRPr="00FA2E2E">
        <w:rPr>
          <w:lang w:val="fr-FR"/>
        </w:rPr>
        <w:t>f</w:t>
      </w:r>
      <w:r w:rsidRPr="00FA2E2E">
        <w:rPr>
          <w:lang w:val="fr-FR"/>
        </w:rPr>
        <w:t xml:space="preserve"> monomethyl mercury by nitrate in a seasonally</w:t>
      </w:r>
      <w:r w:rsidR="006B1FEE" w:rsidRPr="00FA2E2E">
        <w:rPr>
          <w:lang w:val="fr-FR"/>
        </w:rPr>
        <w:t xml:space="preserve"> </w:t>
      </w:r>
      <w:r w:rsidRPr="00FA2E2E">
        <w:rPr>
          <w:lang w:val="fr-FR"/>
        </w:rPr>
        <w:t>stratified, eutrophic lake</w:t>
      </w:r>
      <w:r w:rsidR="00E70C13" w:rsidRPr="00FA2E2E">
        <w:rPr>
          <w:lang w:val="fr-FR"/>
        </w:rPr>
        <w:t>”,</w:t>
      </w:r>
      <w:r w:rsidRPr="00FA2E2E">
        <w:rPr>
          <w:lang w:val="fr-FR"/>
        </w:rPr>
        <w:t xml:space="preserve"> </w:t>
      </w:r>
      <w:r w:rsidRPr="00FA2E2E">
        <w:rPr>
          <w:i/>
          <w:iCs/>
          <w:lang w:val="fr-FR"/>
        </w:rPr>
        <w:t>Environmental Science and Technology</w:t>
      </w:r>
      <w:r w:rsidR="00C1592A" w:rsidRPr="00FA2E2E">
        <w:rPr>
          <w:lang w:val="fr-FR"/>
        </w:rPr>
        <w:t xml:space="preserve">, </w:t>
      </w:r>
      <w:r w:rsidR="00E70784" w:rsidRPr="00FA2E2E">
        <w:rPr>
          <w:lang w:val="fr-FR"/>
        </w:rPr>
        <w:t>vol.</w:t>
      </w:r>
      <w:r w:rsidRPr="00FA2E2E">
        <w:rPr>
          <w:lang w:val="fr-FR"/>
        </w:rPr>
        <w:t xml:space="preserve"> 43</w:t>
      </w:r>
      <w:r w:rsidR="00E70784" w:rsidRPr="00FA2E2E">
        <w:rPr>
          <w:lang w:val="fr-FR"/>
        </w:rPr>
        <w:t xml:space="preserve">, </w:t>
      </w:r>
      <w:r w:rsidR="009308A1" w:rsidRPr="00FA2E2E">
        <w:rPr>
          <w:lang w:val="fr-FR"/>
        </w:rPr>
        <w:t>n</w:t>
      </w:r>
      <w:r w:rsidR="00E70784" w:rsidRPr="00FA2E2E">
        <w:rPr>
          <w:lang w:val="fr-FR"/>
        </w:rPr>
        <w:t xml:space="preserve">o. </w:t>
      </w:r>
      <w:r w:rsidRPr="00FA2E2E">
        <w:rPr>
          <w:lang w:val="fr-FR"/>
        </w:rPr>
        <w:t>17</w:t>
      </w:r>
      <w:r w:rsidR="00E70C13" w:rsidRPr="00FA2E2E">
        <w:rPr>
          <w:lang w:val="fr-FR"/>
        </w:rPr>
        <w:t xml:space="preserve"> (September 2009</w:t>
      </w:r>
      <w:r w:rsidRPr="00FA2E2E">
        <w:rPr>
          <w:lang w:val="fr-FR"/>
        </w:rPr>
        <w:t>)</w:t>
      </w:r>
      <w:r w:rsidR="00E70C13" w:rsidRPr="00FA2E2E">
        <w:rPr>
          <w:lang w:val="fr-FR"/>
        </w:rPr>
        <w:t xml:space="preserve">, pp. </w:t>
      </w:r>
      <w:r w:rsidRPr="00FA2E2E">
        <w:rPr>
          <w:lang w:val="fr-FR"/>
        </w:rPr>
        <w:t>6572</w:t>
      </w:r>
      <w:r w:rsidR="00E70784" w:rsidRPr="00FA2E2E">
        <w:rPr>
          <w:lang w:val="fr-FR"/>
        </w:rPr>
        <w:sym w:font="Symbol" w:char="F02D"/>
      </w:r>
      <w:r w:rsidRPr="00FA2E2E">
        <w:rPr>
          <w:lang w:val="fr-FR"/>
        </w:rPr>
        <w:t>6578.</w:t>
      </w:r>
      <w:r w:rsidR="00C76513" w:rsidRPr="00FA2E2E">
        <w:rPr>
          <w:lang w:val="fr-FR"/>
        </w:rPr>
        <w:t xml:space="preserve"> </w:t>
      </w:r>
      <w:r w:rsidR="006411F5" w:rsidRPr="00FA2E2E">
        <w:rPr>
          <w:lang w:val="fr-FR"/>
        </w:rPr>
        <w:t>Disponible à l</w:t>
      </w:r>
      <w:r w:rsidR="00FE58E1" w:rsidRPr="00FA2E2E">
        <w:rPr>
          <w:lang w:val="fr-FR"/>
        </w:rPr>
        <w:t>’</w:t>
      </w:r>
      <w:r w:rsidR="006411F5" w:rsidRPr="00FA2E2E">
        <w:rPr>
          <w:lang w:val="fr-FR"/>
        </w:rPr>
        <w:t xml:space="preserve">adresse suivante : </w:t>
      </w:r>
      <w:hyperlink r:id="rId38" w:history="1">
        <w:r w:rsidR="00C76513" w:rsidRPr="00FA2E2E">
          <w:rPr>
            <w:rStyle w:val="Hyperlink"/>
          </w:rPr>
          <w:t>https://experts.syr.edu/en/publications/evidence-for-regulation-of-monomethyl-mercury-by-nitrate-in-a-sea</w:t>
        </w:r>
      </w:hyperlink>
      <w:r w:rsidR="00C76513" w:rsidRPr="00FA2E2E">
        <w:rPr>
          <w:lang w:val="fr-FR"/>
        </w:rPr>
        <w:t>.</w:t>
      </w:r>
    </w:p>
    <w:p w14:paraId="5E890ECB" w14:textId="1A2B3FEE" w:rsidR="00D31AFF" w:rsidRPr="00FA2E2E" w:rsidRDefault="00D31AFF" w:rsidP="00C76513">
      <w:pPr>
        <w:pStyle w:val="Normal-pool"/>
        <w:tabs>
          <w:tab w:val="clear" w:pos="1247"/>
          <w:tab w:val="clear" w:pos="1814"/>
          <w:tab w:val="clear" w:pos="2381"/>
          <w:tab w:val="clear" w:pos="2948"/>
          <w:tab w:val="clear" w:pos="3515"/>
          <w:tab w:val="left" w:pos="624"/>
        </w:tabs>
        <w:spacing w:after="80"/>
        <w:ind w:left="1247"/>
        <w:rPr>
          <w:rFonts w:asciiTheme="majorBidi" w:hAnsiTheme="majorBidi" w:cstheme="majorBidi"/>
          <w:lang w:val="fr-FR"/>
        </w:rPr>
      </w:pPr>
      <w:r w:rsidRPr="00FA2E2E">
        <w:rPr>
          <w:rFonts w:asciiTheme="majorBidi" w:hAnsiTheme="majorBidi" w:cstheme="majorBidi"/>
          <w:lang w:val="fr-FR"/>
        </w:rPr>
        <w:t>Trasande L</w:t>
      </w:r>
      <w:r w:rsidR="00E70784" w:rsidRPr="00FA2E2E">
        <w:rPr>
          <w:rFonts w:asciiTheme="majorBidi" w:hAnsiTheme="majorBidi" w:cstheme="majorBidi"/>
          <w:lang w:val="fr-FR"/>
        </w:rPr>
        <w:t xml:space="preserve">. </w:t>
      </w:r>
      <w:r w:rsidR="006411F5" w:rsidRPr="00FA2E2E">
        <w:rPr>
          <w:rFonts w:asciiTheme="majorBidi" w:hAnsiTheme="majorBidi" w:cstheme="majorBidi"/>
          <w:i/>
          <w:iCs/>
          <w:lang w:val="fr-FR"/>
        </w:rPr>
        <w:t xml:space="preserve">et al. </w:t>
      </w:r>
      <w:r w:rsidRPr="00FA2E2E">
        <w:rPr>
          <w:rFonts w:asciiTheme="majorBidi" w:hAnsiTheme="majorBidi" w:cstheme="majorBidi"/>
          <w:lang w:val="fr-FR"/>
        </w:rPr>
        <w:t>(2016)</w:t>
      </w:r>
      <w:r w:rsidR="00E70784" w:rsidRPr="00FA2E2E">
        <w:rPr>
          <w:rFonts w:asciiTheme="majorBidi" w:hAnsiTheme="majorBidi" w:cstheme="majorBidi"/>
          <w:lang w:val="fr-FR"/>
        </w:rPr>
        <w:t>.</w:t>
      </w:r>
      <w:r w:rsidRPr="00FA2E2E">
        <w:rPr>
          <w:rFonts w:asciiTheme="majorBidi" w:hAnsiTheme="majorBidi" w:cstheme="majorBidi"/>
          <w:lang w:val="fr-FR"/>
        </w:rPr>
        <w:t xml:space="preserve"> </w:t>
      </w:r>
      <w:r w:rsidR="007768F8" w:rsidRPr="00FA2E2E">
        <w:rPr>
          <w:rFonts w:asciiTheme="majorBidi" w:hAnsiTheme="majorBidi" w:cstheme="majorBidi"/>
          <w:lang w:val="fr-FR"/>
        </w:rPr>
        <w:t>“</w:t>
      </w:r>
      <w:r w:rsidRPr="00FA2E2E">
        <w:rPr>
          <w:rFonts w:asciiTheme="majorBidi" w:hAnsiTheme="majorBidi" w:cstheme="majorBidi"/>
          <w:lang w:val="fr-FR"/>
        </w:rPr>
        <w:t>Economic implications of mercury exposure in the context of the global mercury treaty:</w:t>
      </w:r>
      <w:r w:rsidR="00302840" w:rsidRPr="00FA2E2E">
        <w:rPr>
          <w:rFonts w:asciiTheme="majorBidi" w:hAnsiTheme="majorBidi" w:cstheme="majorBidi"/>
          <w:lang w:val="fr-FR"/>
        </w:rPr>
        <w:t xml:space="preserve"> </w:t>
      </w:r>
      <w:r w:rsidR="00C76513" w:rsidRPr="00FA2E2E">
        <w:rPr>
          <w:rFonts w:asciiTheme="majorBidi" w:hAnsiTheme="majorBidi" w:cstheme="majorBidi"/>
          <w:lang w:val="fr-FR"/>
        </w:rPr>
        <w:t>H</w:t>
      </w:r>
      <w:r w:rsidRPr="00FA2E2E">
        <w:rPr>
          <w:rFonts w:asciiTheme="majorBidi" w:hAnsiTheme="majorBidi" w:cstheme="majorBidi"/>
          <w:lang w:val="fr-FR"/>
        </w:rPr>
        <w:t>air mercury levels and estimated lost economic productivity in selected developing countries</w:t>
      </w:r>
      <w:r w:rsidR="00C76513" w:rsidRPr="00FA2E2E">
        <w:rPr>
          <w:rFonts w:asciiTheme="majorBidi" w:hAnsiTheme="majorBidi" w:cstheme="majorBidi"/>
          <w:lang w:val="fr-FR"/>
        </w:rPr>
        <w:t>”,</w:t>
      </w:r>
      <w:r w:rsidR="00302840" w:rsidRPr="00FA2E2E">
        <w:rPr>
          <w:rFonts w:asciiTheme="majorBidi" w:hAnsiTheme="majorBidi" w:cstheme="majorBidi"/>
          <w:lang w:val="fr-FR"/>
        </w:rPr>
        <w:t xml:space="preserve"> </w:t>
      </w:r>
      <w:r w:rsidRPr="00FA2E2E">
        <w:rPr>
          <w:rFonts w:asciiTheme="majorBidi" w:hAnsiTheme="majorBidi" w:cstheme="majorBidi"/>
          <w:i/>
          <w:iCs/>
          <w:lang w:val="fr-FR"/>
        </w:rPr>
        <w:t>Journal of Environmental Management</w:t>
      </w:r>
      <w:r w:rsidR="00E70784" w:rsidRPr="00FA2E2E">
        <w:rPr>
          <w:rFonts w:asciiTheme="majorBidi" w:hAnsiTheme="majorBidi" w:cstheme="majorBidi"/>
          <w:lang w:val="fr-FR"/>
        </w:rPr>
        <w:t>,</w:t>
      </w:r>
      <w:r w:rsidRPr="00FA2E2E">
        <w:rPr>
          <w:rFonts w:asciiTheme="majorBidi" w:hAnsiTheme="majorBidi" w:cstheme="majorBidi"/>
          <w:lang w:val="fr-FR"/>
        </w:rPr>
        <w:t xml:space="preserve"> </w:t>
      </w:r>
      <w:r w:rsidR="00C76513" w:rsidRPr="00FA2E2E">
        <w:rPr>
          <w:rFonts w:asciiTheme="majorBidi" w:hAnsiTheme="majorBidi" w:cstheme="majorBidi"/>
          <w:lang w:val="fr-FR"/>
        </w:rPr>
        <w:t xml:space="preserve">vol. </w:t>
      </w:r>
      <w:r w:rsidRPr="00FA2E2E">
        <w:rPr>
          <w:rFonts w:asciiTheme="majorBidi" w:hAnsiTheme="majorBidi" w:cstheme="majorBidi"/>
          <w:lang w:val="fr-FR"/>
        </w:rPr>
        <w:t>183</w:t>
      </w:r>
      <w:r w:rsidR="00C76513" w:rsidRPr="00FA2E2E">
        <w:rPr>
          <w:rFonts w:asciiTheme="majorBidi" w:hAnsiTheme="majorBidi" w:cstheme="majorBidi"/>
          <w:lang w:val="fr-FR"/>
        </w:rPr>
        <w:t xml:space="preserve"> (Sept</w:t>
      </w:r>
      <w:r w:rsidR="00230850" w:rsidRPr="00FA2E2E">
        <w:rPr>
          <w:rFonts w:asciiTheme="majorBidi" w:hAnsiTheme="majorBidi" w:cstheme="majorBidi"/>
          <w:lang w:val="fr-FR"/>
        </w:rPr>
        <w:t>.</w:t>
      </w:r>
      <w:r w:rsidR="00C76513" w:rsidRPr="00FA2E2E">
        <w:rPr>
          <w:rFonts w:asciiTheme="majorBidi" w:hAnsiTheme="majorBidi" w:cstheme="majorBidi"/>
          <w:lang w:val="fr-FR"/>
        </w:rPr>
        <w:t xml:space="preserve"> 2016)</w:t>
      </w:r>
      <w:r w:rsidR="00E70784" w:rsidRPr="00FA2E2E">
        <w:rPr>
          <w:rFonts w:asciiTheme="majorBidi" w:hAnsiTheme="majorBidi" w:cstheme="majorBidi"/>
          <w:lang w:val="fr-FR"/>
        </w:rPr>
        <w:t xml:space="preserve">, pp. </w:t>
      </w:r>
      <w:r w:rsidRPr="00FA2E2E">
        <w:rPr>
          <w:rFonts w:asciiTheme="majorBidi" w:hAnsiTheme="majorBidi" w:cstheme="majorBidi"/>
          <w:lang w:val="fr-FR"/>
        </w:rPr>
        <w:t>229</w:t>
      </w:r>
      <w:r w:rsidR="00E70784" w:rsidRPr="00FA2E2E">
        <w:rPr>
          <w:rFonts w:asciiTheme="majorBidi" w:hAnsiTheme="majorBidi" w:cstheme="majorBidi"/>
          <w:lang w:val="fr-FR"/>
        </w:rPr>
        <w:sym w:font="Symbol" w:char="F02D"/>
      </w:r>
      <w:r w:rsidRPr="00FA2E2E">
        <w:rPr>
          <w:rFonts w:asciiTheme="majorBidi" w:hAnsiTheme="majorBidi" w:cstheme="majorBidi"/>
          <w:lang w:val="fr-FR"/>
        </w:rPr>
        <w:t>235</w:t>
      </w:r>
      <w:r w:rsidR="00E70784" w:rsidRPr="00FA2E2E">
        <w:rPr>
          <w:rFonts w:asciiTheme="majorBidi" w:hAnsiTheme="majorBidi" w:cstheme="majorBidi"/>
          <w:lang w:val="fr-FR"/>
        </w:rPr>
        <w:t>.</w:t>
      </w:r>
      <w:r w:rsidRPr="00FA2E2E">
        <w:rPr>
          <w:rFonts w:asciiTheme="majorBidi" w:hAnsiTheme="majorBidi" w:cstheme="majorBidi"/>
          <w:lang w:val="fr-FR"/>
        </w:rPr>
        <w:t xml:space="preserve"> </w:t>
      </w:r>
      <w:r w:rsidR="006411F5" w:rsidRPr="00FA2E2E">
        <w:rPr>
          <w:rFonts w:asciiTheme="majorBidi" w:hAnsiTheme="majorBidi" w:cstheme="majorBidi"/>
          <w:lang w:val="fr-FR"/>
        </w:rPr>
        <w:t>Disponible à l</w:t>
      </w:r>
      <w:r w:rsidR="00FE58E1" w:rsidRPr="00FA2E2E">
        <w:rPr>
          <w:rFonts w:asciiTheme="majorBidi" w:hAnsiTheme="majorBidi" w:cstheme="majorBidi"/>
          <w:lang w:val="fr-FR"/>
        </w:rPr>
        <w:t>’</w:t>
      </w:r>
      <w:r w:rsidR="006411F5" w:rsidRPr="00FA2E2E">
        <w:rPr>
          <w:rFonts w:asciiTheme="majorBidi" w:hAnsiTheme="majorBidi" w:cstheme="majorBidi"/>
          <w:lang w:val="fr-FR"/>
        </w:rPr>
        <w:t>adresse suivante :</w:t>
      </w:r>
      <w:r w:rsidR="00302840" w:rsidRPr="00FA2E2E">
        <w:rPr>
          <w:rFonts w:asciiTheme="majorBidi" w:hAnsiTheme="majorBidi" w:cstheme="majorBidi"/>
          <w:lang w:val="fr-FR"/>
        </w:rPr>
        <w:t xml:space="preserve"> </w:t>
      </w:r>
      <w:hyperlink r:id="rId39" w:history="1">
        <w:r w:rsidRPr="00FA2E2E">
          <w:rPr>
            <w:rStyle w:val="Hyperlink"/>
            <w:rFonts w:asciiTheme="majorBidi" w:hAnsiTheme="majorBidi" w:cstheme="majorBidi"/>
          </w:rPr>
          <w:t>https://www.ncbi.nlm.nih.gov/pubmed/27594689</w:t>
        </w:r>
      </w:hyperlink>
      <w:r w:rsidR="00E70784" w:rsidRPr="00FA2E2E">
        <w:rPr>
          <w:rStyle w:val="Hyperlink"/>
          <w:rFonts w:asciiTheme="majorBidi" w:hAnsiTheme="majorBidi" w:cstheme="majorBidi"/>
        </w:rPr>
        <w:t>.</w:t>
      </w:r>
    </w:p>
    <w:p w14:paraId="4B097AC1" w14:textId="08404AC2" w:rsidR="00D31AFF" w:rsidRPr="00FA2E2E" w:rsidRDefault="00D31AFF" w:rsidP="00C76513">
      <w:pPr>
        <w:pStyle w:val="Normal-pool"/>
        <w:tabs>
          <w:tab w:val="clear" w:pos="1247"/>
          <w:tab w:val="clear" w:pos="1814"/>
          <w:tab w:val="clear" w:pos="2381"/>
          <w:tab w:val="clear" w:pos="2948"/>
          <w:tab w:val="clear" w:pos="3515"/>
          <w:tab w:val="clear" w:pos="4082"/>
          <w:tab w:val="left" w:pos="624"/>
        </w:tabs>
        <w:spacing w:after="80"/>
        <w:ind w:left="1247"/>
        <w:rPr>
          <w:lang w:val="fr-FR"/>
        </w:rPr>
      </w:pPr>
      <w:r w:rsidRPr="00FA2E2E">
        <w:rPr>
          <w:lang w:val="fr-FR"/>
        </w:rPr>
        <w:t xml:space="preserve">United Nations Environment Programme (UNEP) (2013). </w:t>
      </w:r>
      <w:r w:rsidRPr="00FA2E2E">
        <w:rPr>
          <w:i/>
          <w:lang w:val="fr-FR"/>
        </w:rPr>
        <w:t>Global Mercury Assessment 2013: Sources, Emissions, Releases and Environmental Transport</w:t>
      </w:r>
      <w:r w:rsidRPr="00FA2E2E">
        <w:rPr>
          <w:lang w:val="fr-FR"/>
        </w:rPr>
        <w:t xml:space="preserve">. Geneva, UNEP Chemicals Branch. </w:t>
      </w:r>
      <w:r w:rsidR="006411F5" w:rsidRPr="00FA2E2E">
        <w:rPr>
          <w:lang w:val="fr-FR"/>
        </w:rPr>
        <w:t>Disponible à l</w:t>
      </w:r>
      <w:r w:rsidR="00FE58E1" w:rsidRPr="00FA2E2E">
        <w:rPr>
          <w:lang w:val="fr-FR"/>
        </w:rPr>
        <w:t>’</w:t>
      </w:r>
      <w:r w:rsidR="006411F5" w:rsidRPr="00FA2E2E">
        <w:rPr>
          <w:lang w:val="fr-FR"/>
        </w:rPr>
        <w:t>adresse suivante :</w:t>
      </w:r>
      <w:r w:rsidRPr="00FA2E2E">
        <w:rPr>
          <w:lang w:val="fr-FR"/>
        </w:rPr>
        <w:t xml:space="preserve"> </w:t>
      </w:r>
      <w:hyperlink r:id="rId40" w:history="1">
        <w:r w:rsidRPr="00FA2E2E">
          <w:rPr>
            <w:rStyle w:val="Hyperlink"/>
          </w:rPr>
          <w:t>http://wedocs.unep.org/handle/20.500.11822/7984</w:t>
        </w:r>
      </w:hyperlink>
      <w:r w:rsidRPr="00FA2E2E">
        <w:rPr>
          <w:lang w:val="fr-FR"/>
        </w:rPr>
        <w:t>.</w:t>
      </w:r>
    </w:p>
    <w:p w14:paraId="39EF67A9" w14:textId="258097EB" w:rsidR="00D31AFF" w:rsidRPr="00FA2E2E" w:rsidRDefault="00D31AFF" w:rsidP="007E3447">
      <w:pPr>
        <w:pStyle w:val="Normal-pool"/>
        <w:tabs>
          <w:tab w:val="clear" w:pos="1247"/>
          <w:tab w:val="clear" w:pos="1814"/>
          <w:tab w:val="clear" w:pos="2381"/>
          <w:tab w:val="clear" w:pos="2948"/>
          <w:tab w:val="clear" w:pos="3515"/>
          <w:tab w:val="clear" w:pos="4082"/>
          <w:tab w:val="left" w:pos="624"/>
        </w:tabs>
        <w:spacing w:after="80"/>
        <w:ind w:left="1247"/>
        <w:rPr>
          <w:rStyle w:val="Hyperlink"/>
          <w:rFonts w:asciiTheme="majorBidi" w:hAnsiTheme="majorBidi" w:cstheme="majorBidi"/>
        </w:rPr>
      </w:pPr>
      <w:r w:rsidRPr="00FA2E2E">
        <w:rPr>
          <w:lang w:val="fr-FR" w:eastAsia="ja-JP"/>
        </w:rPr>
        <w:t>United States Environment Protection Agency (</w:t>
      </w:r>
      <w:r w:rsidRPr="00FA2E2E">
        <w:rPr>
          <w:rFonts w:asciiTheme="majorBidi" w:hAnsiTheme="majorBidi" w:cstheme="majorBidi"/>
          <w:lang w:val="fr-FR"/>
        </w:rPr>
        <w:t xml:space="preserve">US EPA) (2007). </w:t>
      </w:r>
      <w:r w:rsidRPr="00FA2E2E">
        <w:rPr>
          <w:rFonts w:asciiTheme="majorBidi" w:hAnsiTheme="majorBidi" w:cstheme="majorBidi"/>
          <w:i/>
          <w:lang w:val="fr-FR"/>
        </w:rPr>
        <w:t>Treatment Technologies for Mercury in Soil, Waste, and Water</w:t>
      </w:r>
      <w:r w:rsidRPr="00FA2E2E">
        <w:rPr>
          <w:rFonts w:asciiTheme="majorBidi" w:hAnsiTheme="majorBidi" w:cstheme="majorBidi"/>
          <w:lang w:val="fr-FR"/>
        </w:rPr>
        <w:t xml:space="preserve">. Washington. </w:t>
      </w:r>
      <w:r w:rsidR="00B32DE1" w:rsidRPr="00FA2E2E">
        <w:rPr>
          <w:rFonts w:asciiTheme="majorBidi" w:hAnsiTheme="majorBidi" w:cstheme="majorBidi"/>
          <w:lang w:val="fr-FR"/>
        </w:rPr>
        <w:t>Disponible à l</w:t>
      </w:r>
      <w:r w:rsidR="00FE58E1" w:rsidRPr="00FA2E2E">
        <w:rPr>
          <w:rFonts w:asciiTheme="majorBidi" w:hAnsiTheme="majorBidi" w:cstheme="majorBidi"/>
          <w:lang w:val="fr-FR"/>
        </w:rPr>
        <w:t>’</w:t>
      </w:r>
      <w:r w:rsidR="00B32DE1" w:rsidRPr="00FA2E2E">
        <w:rPr>
          <w:rFonts w:asciiTheme="majorBidi" w:hAnsiTheme="majorBidi" w:cstheme="majorBidi"/>
          <w:lang w:val="fr-FR"/>
        </w:rPr>
        <w:t>adresse suivante :</w:t>
      </w:r>
      <w:r w:rsidRPr="00FA2E2E">
        <w:rPr>
          <w:rFonts w:asciiTheme="majorBidi" w:hAnsiTheme="majorBidi" w:cstheme="majorBidi"/>
          <w:lang w:val="fr-FR"/>
        </w:rPr>
        <w:t xml:space="preserve"> </w:t>
      </w:r>
      <w:hyperlink r:id="rId41" w:history="1">
        <w:r w:rsidRPr="00FA2E2E">
          <w:rPr>
            <w:rStyle w:val="Hyperlink"/>
            <w:rFonts w:asciiTheme="majorBidi" w:hAnsiTheme="majorBidi" w:cstheme="majorBidi"/>
          </w:rPr>
          <w:t>https://clu-in.org/download/remed/542r07003.pdf</w:t>
        </w:r>
      </w:hyperlink>
      <w:r w:rsidRPr="00FA2E2E">
        <w:rPr>
          <w:rStyle w:val="Hyperlink"/>
          <w:rFonts w:asciiTheme="majorBidi" w:hAnsiTheme="majorBidi" w:cstheme="majorBidi"/>
        </w:rPr>
        <w:t>.</w:t>
      </w:r>
    </w:p>
    <w:p w14:paraId="38CFFA05" w14:textId="0C4D6F69" w:rsidR="00D31AFF" w:rsidRPr="00FA2E2E" w:rsidRDefault="00D31AFF" w:rsidP="00C76513">
      <w:pPr>
        <w:pStyle w:val="Normal-pool"/>
        <w:tabs>
          <w:tab w:val="clear" w:pos="1247"/>
          <w:tab w:val="clear" w:pos="1814"/>
          <w:tab w:val="clear" w:pos="2381"/>
          <w:tab w:val="clear" w:pos="2948"/>
          <w:tab w:val="clear" w:pos="3515"/>
          <w:tab w:val="left" w:pos="624"/>
        </w:tabs>
        <w:spacing w:after="80"/>
        <w:ind w:left="1247"/>
        <w:rPr>
          <w:lang w:val="fr-FR"/>
        </w:rPr>
      </w:pPr>
      <w:r w:rsidRPr="00FA2E2E">
        <w:rPr>
          <w:lang w:val="fr-FR"/>
        </w:rPr>
        <w:t>World Health Organization (WHO) (201</w:t>
      </w:r>
      <w:r w:rsidR="00E4254D" w:rsidRPr="00FA2E2E">
        <w:rPr>
          <w:lang w:val="fr-FR"/>
        </w:rPr>
        <w:t>8</w:t>
      </w:r>
      <w:r w:rsidRPr="00FA2E2E">
        <w:rPr>
          <w:lang w:val="fr-FR"/>
        </w:rPr>
        <w:t xml:space="preserve">a). </w:t>
      </w:r>
      <w:r w:rsidRPr="00FA2E2E">
        <w:rPr>
          <w:i/>
          <w:iCs/>
          <w:lang w:val="fr-FR"/>
        </w:rPr>
        <w:t>Assessment of prenatal exposure to mercury: standard operating procedures</w:t>
      </w:r>
      <w:r w:rsidRPr="00FA2E2E">
        <w:rPr>
          <w:lang w:val="fr-FR"/>
        </w:rPr>
        <w:t xml:space="preserve">. </w:t>
      </w:r>
      <w:r w:rsidR="00B32DE1" w:rsidRPr="00FA2E2E">
        <w:rPr>
          <w:lang w:val="fr-FR"/>
        </w:rPr>
        <w:t>Disponible à l</w:t>
      </w:r>
      <w:r w:rsidR="00FE58E1" w:rsidRPr="00FA2E2E">
        <w:rPr>
          <w:lang w:val="fr-FR"/>
        </w:rPr>
        <w:t>’</w:t>
      </w:r>
      <w:r w:rsidR="00B32DE1" w:rsidRPr="00FA2E2E">
        <w:rPr>
          <w:lang w:val="fr-FR"/>
        </w:rPr>
        <w:t xml:space="preserve">adresse suivante : </w:t>
      </w:r>
      <w:r w:rsidRPr="00FA2E2E">
        <w:rPr>
          <w:lang w:val="fr-FR"/>
        </w:rPr>
        <w:t>https://www.who.int/ipcs/assessment/public_health/mercury/en/</w:t>
      </w:r>
      <w:r w:rsidR="00E70784" w:rsidRPr="00FA2E2E">
        <w:rPr>
          <w:lang w:val="fr-FR"/>
        </w:rPr>
        <w:t>.</w:t>
      </w:r>
    </w:p>
    <w:p w14:paraId="1DB7649D" w14:textId="5150E8FD" w:rsidR="00D31AFF" w:rsidRPr="00FA2E2E" w:rsidRDefault="00D31AFF" w:rsidP="00C76513">
      <w:pPr>
        <w:pStyle w:val="Normal-pool"/>
        <w:tabs>
          <w:tab w:val="clear" w:pos="1247"/>
          <w:tab w:val="clear" w:pos="1814"/>
          <w:tab w:val="clear" w:pos="2381"/>
          <w:tab w:val="clear" w:pos="2948"/>
          <w:tab w:val="clear" w:pos="3515"/>
          <w:tab w:val="left" w:pos="624"/>
        </w:tabs>
        <w:spacing w:after="80"/>
        <w:ind w:left="1247"/>
        <w:rPr>
          <w:lang w:val="fr-FR"/>
        </w:rPr>
      </w:pPr>
      <w:r w:rsidRPr="00FA2E2E">
        <w:rPr>
          <w:lang w:val="fr-FR"/>
        </w:rPr>
        <w:t>World Health Organization (WHO) (201</w:t>
      </w:r>
      <w:r w:rsidR="00E4254D" w:rsidRPr="00FA2E2E">
        <w:rPr>
          <w:lang w:val="fr-FR"/>
        </w:rPr>
        <w:t>8</w:t>
      </w:r>
      <w:r w:rsidRPr="00FA2E2E">
        <w:rPr>
          <w:lang w:val="fr-FR"/>
        </w:rPr>
        <w:t xml:space="preserve">b). </w:t>
      </w:r>
      <w:r w:rsidRPr="00FA2E2E">
        <w:rPr>
          <w:i/>
          <w:iCs/>
          <w:lang w:val="fr-FR"/>
        </w:rPr>
        <w:t>Assessment of prenatal exposure to mercury: human biomonitoring survey - the first survey protocol</w:t>
      </w:r>
      <w:r w:rsidRPr="00FA2E2E">
        <w:rPr>
          <w:lang w:val="fr-FR"/>
        </w:rPr>
        <w:t xml:space="preserve">. </w:t>
      </w:r>
      <w:r w:rsidR="00B32DE1" w:rsidRPr="00FA2E2E">
        <w:rPr>
          <w:lang w:val="fr-FR"/>
        </w:rPr>
        <w:t>Disponible à l</w:t>
      </w:r>
      <w:r w:rsidR="00FE58E1" w:rsidRPr="00FA2E2E">
        <w:rPr>
          <w:lang w:val="fr-FR"/>
        </w:rPr>
        <w:t>’</w:t>
      </w:r>
      <w:r w:rsidR="00B32DE1" w:rsidRPr="00FA2E2E">
        <w:rPr>
          <w:lang w:val="fr-FR"/>
        </w:rPr>
        <w:t xml:space="preserve">adresse suivante : </w:t>
      </w:r>
      <w:hyperlink r:id="rId42" w:history="1">
        <w:r w:rsidR="00C44630" w:rsidRPr="00FA2E2E">
          <w:rPr>
            <w:rStyle w:val="Hyperlink"/>
          </w:rPr>
          <w:t>https://www.who.int/ipcs/assessment/public_health/mercury/en/</w:t>
        </w:r>
      </w:hyperlink>
      <w:r w:rsidR="00E70784" w:rsidRPr="00FA2E2E">
        <w:rPr>
          <w:lang w:val="fr-FR"/>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152CD3" w:rsidRPr="00FA2E2E" w14:paraId="4331746F" w14:textId="77777777" w:rsidTr="00F93F76">
        <w:tc>
          <w:tcPr>
            <w:tcW w:w="1897" w:type="dxa"/>
          </w:tcPr>
          <w:p w14:paraId="7D699916" w14:textId="77777777" w:rsidR="00152CD3" w:rsidRPr="00FA2E2E" w:rsidRDefault="00152CD3" w:rsidP="00B45535">
            <w:pPr>
              <w:pStyle w:val="Normal-pool"/>
              <w:spacing w:before="520"/>
              <w:rPr>
                <w:lang w:val="fr-FR"/>
              </w:rPr>
            </w:pPr>
          </w:p>
        </w:tc>
        <w:tc>
          <w:tcPr>
            <w:tcW w:w="1897" w:type="dxa"/>
          </w:tcPr>
          <w:p w14:paraId="5722E9F6" w14:textId="77777777" w:rsidR="00152CD3" w:rsidRPr="00FA2E2E" w:rsidRDefault="00152CD3" w:rsidP="00B45535">
            <w:pPr>
              <w:pStyle w:val="Normal-pool"/>
              <w:spacing w:before="520"/>
              <w:rPr>
                <w:lang w:val="fr-FR"/>
              </w:rPr>
            </w:pPr>
          </w:p>
        </w:tc>
        <w:tc>
          <w:tcPr>
            <w:tcW w:w="1897" w:type="dxa"/>
            <w:tcBorders>
              <w:bottom w:val="single" w:sz="4" w:space="0" w:color="auto"/>
            </w:tcBorders>
          </w:tcPr>
          <w:p w14:paraId="71765DB4" w14:textId="77777777" w:rsidR="00152CD3" w:rsidRPr="00FA2E2E" w:rsidRDefault="00152CD3" w:rsidP="00B45535">
            <w:pPr>
              <w:pStyle w:val="Normal-pool"/>
              <w:spacing w:before="520"/>
              <w:rPr>
                <w:lang w:val="fr-FR"/>
              </w:rPr>
            </w:pPr>
          </w:p>
        </w:tc>
        <w:tc>
          <w:tcPr>
            <w:tcW w:w="1897" w:type="dxa"/>
          </w:tcPr>
          <w:p w14:paraId="64F5AC56" w14:textId="77777777" w:rsidR="00152CD3" w:rsidRPr="00FA2E2E" w:rsidRDefault="00152CD3" w:rsidP="00B45535">
            <w:pPr>
              <w:pStyle w:val="Normal-pool"/>
              <w:spacing w:before="520"/>
              <w:rPr>
                <w:lang w:val="fr-FR"/>
              </w:rPr>
            </w:pPr>
          </w:p>
        </w:tc>
        <w:tc>
          <w:tcPr>
            <w:tcW w:w="1898" w:type="dxa"/>
          </w:tcPr>
          <w:p w14:paraId="3FE15973" w14:textId="77777777" w:rsidR="00152CD3" w:rsidRPr="00FA2E2E" w:rsidRDefault="00152CD3" w:rsidP="00B45535">
            <w:pPr>
              <w:pStyle w:val="Normal-pool"/>
              <w:spacing w:before="520"/>
              <w:rPr>
                <w:lang w:val="fr-FR"/>
              </w:rPr>
            </w:pPr>
          </w:p>
        </w:tc>
      </w:tr>
    </w:tbl>
    <w:p w14:paraId="4AB088DD" w14:textId="0B70F8DC" w:rsidR="00D31AFF" w:rsidRPr="00FA2E2E" w:rsidRDefault="00D31AFF" w:rsidP="00C44630">
      <w:pPr>
        <w:pStyle w:val="Normal-pool"/>
        <w:rPr>
          <w:lang w:val="fr-FR"/>
        </w:rPr>
      </w:pPr>
    </w:p>
    <w:sectPr w:rsidR="00D31AFF" w:rsidRPr="00FA2E2E" w:rsidSect="00BE0048">
      <w:type w:val="continuous"/>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9B418" w14:textId="77777777" w:rsidR="00C56F63" w:rsidRDefault="00C56F63">
      <w:r>
        <w:separator/>
      </w:r>
    </w:p>
  </w:endnote>
  <w:endnote w:type="continuationSeparator" w:id="0">
    <w:p w14:paraId="67314934" w14:textId="77777777" w:rsidR="00C56F63" w:rsidRDefault="00C56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F643F" w14:textId="00C62765" w:rsidR="00C56F63" w:rsidRPr="0066320B" w:rsidRDefault="00C56F63" w:rsidP="0066320B">
    <w:pPr>
      <w:pStyle w:val="Footer-pool"/>
    </w:pPr>
    <w:r>
      <w:fldChar w:fldCharType="begin"/>
    </w:r>
    <w:r>
      <w:instrText xml:space="preserve"> PAGE   \* MERGEFORMAT </w:instrText>
    </w:r>
    <w:r>
      <w:fldChar w:fldCharType="separate"/>
    </w:r>
    <w:r w:rsidR="00DF47E9">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393803"/>
      <w:docPartObj>
        <w:docPartGallery w:val="Page Numbers (Bottom of Page)"/>
        <w:docPartUnique/>
      </w:docPartObj>
    </w:sdtPr>
    <w:sdtEndPr>
      <w:rPr>
        <w:noProof/>
      </w:rPr>
    </w:sdtEndPr>
    <w:sdtContent>
      <w:p w14:paraId="006BD06F" w14:textId="1D5CBD7A" w:rsidR="00C56F63" w:rsidRPr="000855ED" w:rsidRDefault="00C56F63" w:rsidP="0066320B">
        <w:pPr>
          <w:pStyle w:val="Normal-pool"/>
        </w:pPr>
        <w:r>
          <w:t>K1903778</w:t>
        </w:r>
        <w:r>
          <w:tab/>
          <w:t>181019</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7D871" w14:textId="4819D9B5" w:rsidR="00C56F63" w:rsidRDefault="00C56F63" w:rsidP="000855ED">
    <w:pPr>
      <w:pStyle w:val="Normal-pool"/>
      <w:jc w:val="right"/>
    </w:pPr>
    <w:r>
      <w:rPr>
        <w:rStyle w:val="PageNumber"/>
      </w:rPr>
      <w:fldChar w:fldCharType="begin"/>
    </w:r>
    <w:r>
      <w:rPr>
        <w:rStyle w:val="PageNumber"/>
      </w:rPr>
      <w:instrText xml:space="preserve"> PAGE </w:instrText>
    </w:r>
    <w:r>
      <w:rPr>
        <w:rStyle w:val="PageNumber"/>
      </w:rPr>
      <w:fldChar w:fldCharType="separate"/>
    </w:r>
    <w:r w:rsidR="00DF47E9">
      <w:rPr>
        <w:rStyle w:val="PageNumber"/>
        <w:noProof/>
      </w:rPr>
      <w:t>21</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18"/>
        <w:szCs w:val="18"/>
      </w:rPr>
      <w:id w:val="1148017957"/>
      <w:docPartObj>
        <w:docPartGallery w:val="Page Numbers (Bottom of Page)"/>
        <w:docPartUnique/>
      </w:docPartObj>
    </w:sdtPr>
    <w:sdtEndPr>
      <w:rPr>
        <w:noProof/>
      </w:rPr>
    </w:sdtEndPr>
    <w:sdtContent>
      <w:p w14:paraId="4D5DD8EC" w14:textId="57B1FC5A" w:rsidR="00C56F63" w:rsidRPr="000855ED" w:rsidRDefault="00C56F63" w:rsidP="000855ED">
        <w:pPr>
          <w:pStyle w:val="Normal-pool"/>
          <w:rPr>
            <w:b/>
            <w:szCs w:val="18"/>
          </w:rPr>
        </w:pPr>
        <w:r w:rsidRPr="000855ED">
          <w:rPr>
            <w:b/>
            <w:sz w:val="18"/>
            <w:szCs w:val="18"/>
          </w:rPr>
          <w:fldChar w:fldCharType="begin"/>
        </w:r>
        <w:r w:rsidRPr="000855ED">
          <w:rPr>
            <w:b/>
            <w:sz w:val="18"/>
            <w:szCs w:val="18"/>
          </w:rPr>
          <w:instrText xml:space="preserve"> PAGE   \* MERGEFORMAT </w:instrText>
        </w:r>
        <w:r w:rsidRPr="000855ED">
          <w:rPr>
            <w:b/>
            <w:sz w:val="18"/>
            <w:szCs w:val="18"/>
          </w:rPr>
          <w:fldChar w:fldCharType="separate"/>
        </w:r>
        <w:r>
          <w:rPr>
            <w:b/>
            <w:noProof/>
            <w:sz w:val="18"/>
            <w:szCs w:val="18"/>
          </w:rPr>
          <w:t>4</w:t>
        </w:r>
        <w:r w:rsidRPr="000855ED">
          <w:rPr>
            <w:b/>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9F613B" w14:textId="77777777" w:rsidR="00C56F63" w:rsidRPr="000855ED" w:rsidRDefault="00C56F63" w:rsidP="00152CD3">
      <w:pPr>
        <w:pStyle w:val="NormalNonumber"/>
        <w:tabs>
          <w:tab w:val="clear" w:pos="1247"/>
          <w:tab w:val="clear" w:pos="1814"/>
          <w:tab w:val="clear" w:pos="2381"/>
          <w:tab w:val="clear" w:pos="2948"/>
          <w:tab w:val="clear" w:pos="3515"/>
          <w:tab w:val="clear" w:pos="4082"/>
          <w:tab w:val="left" w:pos="624"/>
        </w:tabs>
        <w:spacing w:before="60" w:after="0"/>
        <w:ind w:left="624"/>
        <w:rPr>
          <w:sz w:val="18"/>
          <w:szCs w:val="18"/>
        </w:rPr>
      </w:pPr>
      <w:r w:rsidRPr="000855ED">
        <w:rPr>
          <w:sz w:val="18"/>
          <w:szCs w:val="18"/>
        </w:rPr>
        <w:separator/>
      </w:r>
    </w:p>
  </w:footnote>
  <w:footnote w:type="continuationSeparator" w:id="0">
    <w:p w14:paraId="71A09768" w14:textId="77777777" w:rsidR="00C56F63" w:rsidRDefault="00C56F63">
      <w:r>
        <w:continuationSeparator/>
      </w:r>
    </w:p>
  </w:footnote>
  <w:footnote w:id="1">
    <w:p w14:paraId="3AFDA117" w14:textId="77777777" w:rsidR="00C56F63" w:rsidRPr="00077B04" w:rsidRDefault="00C56F63" w:rsidP="003A0F06">
      <w:pPr>
        <w:tabs>
          <w:tab w:val="left" w:pos="624"/>
        </w:tabs>
        <w:spacing w:before="20" w:after="40"/>
        <w:ind w:left="1247"/>
        <w:rPr>
          <w:sz w:val="18"/>
          <w:szCs w:val="18"/>
        </w:rPr>
      </w:pPr>
      <w:r w:rsidRPr="00077B04">
        <w:rPr>
          <w:sz w:val="18"/>
          <w:szCs w:val="18"/>
        </w:rPr>
        <w:t>* UNEP/MC/COP.3/1.</w:t>
      </w:r>
    </w:p>
  </w:footnote>
  <w:footnote w:id="2">
    <w:p w14:paraId="4A4D54A6" w14:textId="28070ADA" w:rsidR="00C56F63" w:rsidRPr="00AE7D3C" w:rsidRDefault="00C56F63" w:rsidP="00F93F76">
      <w:pPr>
        <w:pStyle w:val="NormalNonumber"/>
        <w:tabs>
          <w:tab w:val="clear" w:pos="1247"/>
          <w:tab w:val="clear" w:pos="1814"/>
          <w:tab w:val="clear" w:pos="2381"/>
          <w:tab w:val="clear" w:pos="2948"/>
          <w:tab w:val="clear" w:pos="3515"/>
          <w:tab w:val="clear" w:pos="4082"/>
          <w:tab w:val="left" w:pos="624"/>
        </w:tabs>
        <w:spacing w:before="20" w:after="40"/>
        <w:rPr>
          <w:szCs w:val="18"/>
          <w:lang w:val="fr-FR"/>
        </w:rPr>
      </w:pPr>
      <w:r w:rsidRPr="00AE7D3C">
        <w:rPr>
          <w:rStyle w:val="FootnoteReference"/>
          <w:sz w:val="18"/>
          <w:lang w:val="fr-FR"/>
        </w:rPr>
        <w:footnoteRef/>
      </w:r>
      <w:r w:rsidRPr="00AE7D3C">
        <w:rPr>
          <w:sz w:val="18"/>
          <w:szCs w:val="18"/>
          <w:lang w:val="fr-FR"/>
        </w:rPr>
        <w:t xml:space="preserve"> D</w:t>
      </w:r>
      <w:r>
        <w:rPr>
          <w:sz w:val="18"/>
          <w:szCs w:val="18"/>
          <w:lang w:val="fr-FR"/>
        </w:rPr>
        <w:t>’</w:t>
      </w:r>
      <w:r w:rsidRPr="00AE7D3C">
        <w:rPr>
          <w:sz w:val="18"/>
          <w:szCs w:val="18"/>
          <w:lang w:val="fr-FR"/>
        </w:rPr>
        <w:t>autres définitions peuvent être utiles. Par exemple, le Plan d</w:t>
      </w:r>
      <w:r>
        <w:rPr>
          <w:sz w:val="18"/>
          <w:szCs w:val="18"/>
          <w:lang w:val="fr-FR"/>
        </w:rPr>
        <w:t>’</w:t>
      </w:r>
      <w:r w:rsidRPr="00AE7D3C">
        <w:rPr>
          <w:sz w:val="18"/>
          <w:szCs w:val="18"/>
          <w:lang w:val="fr-FR"/>
        </w:rPr>
        <w:t>action pour la Méditerranée, dans son Guide des</w:t>
      </w:r>
      <w:r>
        <w:rPr>
          <w:sz w:val="18"/>
          <w:szCs w:val="18"/>
          <w:lang w:val="fr-FR"/>
        </w:rPr>
        <w:t> </w:t>
      </w:r>
      <w:r w:rsidRPr="00AE7D3C">
        <w:rPr>
          <w:sz w:val="18"/>
          <w:szCs w:val="18"/>
          <w:lang w:val="fr-FR"/>
        </w:rPr>
        <w:t>meilleures pratiques environnementales de gestion écologiquement rationnelle des sites contaminés au</w:t>
      </w:r>
      <w:r>
        <w:rPr>
          <w:sz w:val="18"/>
          <w:szCs w:val="18"/>
          <w:lang w:val="fr-FR"/>
        </w:rPr>
        <w:t> </w:t>
      </w:r>
      <w:r w:rsidRPr="00AE7D3C">
        <w:rPr>
          <w:sz w:val="18"/>
          <w:szCs w:val="18"/>
          <w:lang w:val="fr-FR"/>
        </w:rPr>
        <w:t>mercure en Méditerranée (</w:t>
      </w:r>
      <w:hyperlink r:id="rId1" w:history="1">
        <w:r w:rsidRPr="00AE7D3C">
          <w:rPr>
            <w:rStyle w:val="Hyperlink"/>
            <w:sz w:val="18"/>
            <w:szCs w:val="18"/>
          </w:rPr>
          <w:t>http://wedocs.unep.org/handle/20.500.11822/9917</w:t>
        </w:r>
      </w:hyperlink>
      <w:r w:rsidRPr="00AE7D3C">
        <w:rPr>
          <w:sz w:val="18"/>
          <w:szCs w:val="18"/>
          <w:lang w:val="fr-FR"/>
        </w:rPr>
        <w:t>), définit un site contaminé comme « un endroit où il y a une accumulation de substances ou de résidus toxiques qui peuvent affecter le sol, les eaux souterraines, les sédiments et même l</w:t>
      </w:r>
      <w:r>
        <w:rPr>
          <w:sz w:val="18"/>
          <w:szCs w:val="18"/>
          <w:lang w:val="fr-FR"/>
        </w:rPr>
        <w:t>’</w:t>
      </w:r>
      <w:r w:rsidRPr="00AE7D3C">
        <w:rPr>
          <w:sz w:val="18"/>
          <w:szCs w:val="18"/>
          <w:lang w:val="fr-FR"/>
        </w:rPr>
        <w:t>air dans le cas du mercure, à des niveaux qui posent un risque pour l</w:t>
      </w:r>
      <w:r>
        <w:rPr>
          <w:sz w:val="18"/>
          <w:szCs w:val="18"/>
          <w:lang w:val="fr-FR"/>
        </w:rPr>
        <w:t>’</w:t>
      </w:r>
      <w:r w:rsidRPr="00AE7D3C">
        <w:rPr>
          <w:sz w:val="18"/>
          <w:szCs w:val="18"/>
          <w:lang w:val="fr-FR"/>
        </w:rPr>
        <w:t>environnement ou la santé humaine et qui peut se trouver au-dessus des limites de sécurité recommandées pour un usage spécifique ».</w:t>
      </w:r>
    </w:p>
  </w:footnote>
  <w:footnote w:id="3">
    <w:p w14:paraId="22B4FED0" w14:textId="313817FA" w:rsidR="00C56F63" w:rsidRPr="00AE7D3C" w:rsidRDefault="00C56F63" w:rsidP="00F93F76">
      <w:pPr>
        <w:pStyle w:val="NormalNonumber"/>
        <w:tabs>
          <w:tab w:val="clear" w:pos="1247"/>
          <w:tab w:val="clear" w:pos="1814"/>
          <w:tab w:val="clear" w:pos="2381"/>
          <w:tab w:val="clear" w:pos="2948"/>
          <w:tab w:val="clear" w:pos="3515"/>
          <w:tab w:val="clear" w:pos="4082"/>
          <w:tab w:val="left" w:pos="624"/>
        </w:tabs>
        <w:spacing w:before="20" w:after="40"/>
        <w:rPr>
          <w:szCs w:val="18"/>
          <w:lang w:val="fr-FR"/>
        </w:rPr>
      </w:pPr>
      <w:r w:rsidRPr="00AE7D3C">
        <w:rPr>
          <w:rStyle w:val="FootnoteReference"/>
          <w:sz w:val="18"/>
          <w:lang w:val="fr-FR"/>
        </w:rPr>
        <w:footnoteRef/>
      </w:r>
      <w:r w:rsidRPr="00AE7D3C">
        <w:rPr>
          <w:sz w:val="18"/>
          <w:szCs w:val="18"/>
          <w:lang w:val="fr-FR"/>
        </w:rPr>
        <w:t xml:space="preserve"> Voir, par exemple, la loi d</w:t>
      </w:r>
      <w:r>
        <w:rPr>
          <w:sz w:val="18"/>
          <w:szCs w:val="18"/>
          <w:lang w:val="fr-FR"/>
        </w:rPr>
        <w:t>’</w:t>
      </w:r>
      <w:r w:rsidRPr="00AE7D3C">
        <w:rPr>
          <w:sz w:val="18"/>
          <w:szCs w:val="18"/>
          <w:lang w:val="fr-FR"/>
        </w:rPr>
        <w:t>Autralie-Occidentale sur les sites contaminés</w:t>
      </w:r>
      <w:r>
        <w:rPr>
          <w:sz w:val="18"/>
          <w:szCs w:val="18"/>
          <w:lang w:val="fr-FR"/>
        </w:rPr>
        <w:t xml:space="preserve"> de</w:t>
      </w:r>
      <w:r w:rsidRPr="00AE7D3C">
        <w:rPr>
          <w:sz w:val="18"/>
          <w:szCs w:val="18"/>
          <w:lang w:val="fr-FR"/>
        </w:rPr>
        <w:t xml:space="preserve"> 2003, partie 2, division 1, sect.11 (3), Gouvernement d</w:t>
      </w:r>
      <w:r>
        <w:rPr>
          <w:sz w:val="18"/>
          <w:szCs w:val="18"/>
          <w:lang w:val="fr-FR"/>
        </w:rPr>
        <w:t>’</w:t>
      </w:r>
      <w:r w:rsidRPr="00AE7D3C">
        <w:rPr>
          <w:sz w:val="18"/>
          <w:szCs w:val="18"/>
          <w:lang w:val="fr-FR"/>
        </w:rPr>
        <w:t>Autralie-Occidentale, disponible à l</w:t>
      </w:r>
      <w:r>
        <w:rPr>
          <w:sz w:val="18"/>
          <w:szCs w:val="18"/>
          <w:lang w:val="fr-FR"/>
        </w:rPr>
        <w:t>’</w:t>
      </w:r>
      <w:r w:rsidRPr="00AE7D3C">
        <w:rPr>
          <w:sz w:val="18"/>
          <w:szCs w:val="18"/>
          <w:lang w:val="fr-FR"/>
        </w:rPr>
        <w:t xml:space="preserve">adresse suivante : </w:t>
      </w:r>
      <w:hyperlink r:id="rId2" w:history="1">
        <w:r w:rsidRPr="00AE7D3C">
          <w:rPr>
            <w:rStyle w:val="Hyperlink"/>
            <w:sz w:val="18"/>
            <w:szCs w:val="18"/>
          </w:rPr>
          <w:t>https://www.legislation.wa.gov.au</w:t>
        </w:r>
      </w:hyperlink>
      <w:r w:rsidRPr="00AE7D3C">
        <w:rPr>
          <w:sz w:val="18"/>
          <w:szCs w:val="18"/>
          <w:lang w:val="fr-FR"/>
        </w:rPr>
        <w:t>.</w:t>
      </w:r>
    </w:p>
  </w:footnote>
  <w:footnote w:id="4">
    <w:p w14:paraId="792DA3F8" w14:textId="28E108B1" w:rsidR="00C56F63" w:rsidRPr="00AE7D3C" w:rsidRDefault="00C56F63" w:rsidP="00F93F76">
      <w:pPr>
        <w:pStyle w:val="NormalNonumber"/>
        <w:tabs>
          <w:tab w:val="clear" w:pos="1247"/>
          <w:tab w:val="clear" w:pos="1814"/>
          <w:tab w:val="clear" w:pos="2381"/>
          <w:tab w:val="clear" w:pos="2948"/>
          <w:tab w:val="clear" w:pos="3515"/>
          <w:tab w:val="clear" w:pos="4082"/>
          <w:tab w:val="left" w:pos="624"/>
        </w:tabs>
        <w:spacing w:before="20" w:after="40"/>
        <w:rPr>
          <w:szCs w:val="18"/>
          <w:lang w:val="fr-FR"/>
        </w:rPr>
      </w:pPr>
      <w:r w:rsidRPr="00AE7D3C">
        <w:rPr>
          <w:rStyle w:val="FootnoteReference"/>
          <w:sz w:val="18"/>
          <w:lang w:val="fr-FR"/>
        </w:rPr>
        <w:footnoteRef/>
      </w:r>
      <w:r w:rsidRPr="00AE7D3C">
        <w:rPr>
          <w:sz w:val="18"/>
          <w:szCs w:val="18"/>
          <w:lang w:val="fr-FR"/>
        </w:rPr>
        <w:t xml:space="preserve"> Il convient de noter que des effets néfastes sur la santé humaine en tant qu</w:t>
      </w:r>
      <w:r>
        <w:rPr>
          <w:sz w:val="18"/>
          <w:szCs w:val="18"/>
          <w:lang w:val="fr-FR"/>
        </w:rPr>
        <w:t>’</w:t>
      </w:r>
      <w:r w:rsidRPr="00AE7D3C">
        <w:rPr>
          <w:sz w:val="18"/>
          <w:szCs w:val="18"/>
          <w:lang w:val="fr-FR"/>
        </w:rPr>
        <w:t>indicateur de la contamination d</w:t>
      </w:r>
      <w:r>
        <w:rPr>
          <w:sz w:val="18"/>
          <w:szCs w:val="18"/>
          <w:lang w:val="fr-FR"/>
        </w:rPr>
        <w:t>’</w:t>
      </w:r>
      <w:r w:rsidRPr="00AE7D3C">
        <w:rPr>
          <w:sz w:val="18"/>
          <w:szCs w:val="18"/>
          <w:lang w:val="fr-FR"/>
        </w:rPr>
        <w:t>un</w:t>
      </w:r>
      <w:r>
        <w:rPr>
          <w:sz w:val="18"/>
          <w:szCs w:val="18"/>
          <w:lang w:val="fr-FR"/>
        </w:rPr>
        <w:t> </w:t>
      </w:r>
      <w:r w:rsidRPr="00AE7D3C">
        <w:rPr>
          <w:sz w:val="18"/>
          <w:szCs w:val="18"/>
          <w:lang w:val="fr-FR"/>
        </w:rPr>
        <w:t>site seront probablement décelés uniquement dans les cas de contamination très élevée ou après que le site a</w:t>
      </w:r>
      <w:r>
        <w:rPr>
          <w:sz w:val="18"/>
          <w:szCs w:val="18"/>
          <w:lang w:val="fr-FR"/>
        </w:rPr>
        <w:t> </w:t>
      </w:r>
      <w:r w:rsidRPr="00AE7D3C">
        <w:rPr>
          <w:sz w:val="18"/>
          <w:szCs w:val="18"/>
          <w:lang w:val="fr-FR"/>
        </w:rPr>
        <w:t>été identifié comme contaminé. L</w:t>
      </w:r>
      <w:r>
        <w:rPr>
          <w:sz w:val="18"/>
          <w:szCs w:val="18"/>
          <w:lang w:val="fr-FR"/>
        </w:rPr>
        <w:t>’</w:t>
      </w:r>
      <w:r w:rsidRPr="00AE7D3C">
        <w:rPr>
          <w:sz w:val="18"/>
          <w:szCs w:val="18"/>
          <w:lang w:val="fr-FR"/>
        </w:rPr>
        <w:t>imputation d</w:t>
      </w:r>
      <w:r>
        <w:rPr>
          <w:sz w:val="18"/>
          <w:szCs w:val="18"/>
          <w:lang w:val="fr-FR"/>
        </w:rPr>
        <w:t>’</w:t>
      </w:r>
      <w:r w:rsidRPr="00AE7D3C">
        <w:rPr>
          <w:sz w:val="18"/>
          <w:szCs w:val="18"/>
          <w:lang w:val="fr-FR"/>
        </w:rPr>
        <w:t>effets sur la santé à des sites contaminés devrait être fondée sur</w:t>
      </w:r>
      <w:r>
        <w:rPr>
          <w:sz w:val="18"/>
          <w:szCs w:val="18"/>
          <w:lang w:val="fr-FR"/>
        </w:rPr>
        <w:t> </w:t>
      </w:r>
      <w:r w:rsidRPr="00AE7D3C">
        <w:rPr>
          <w:sz w:val="18"/>
          <w:szCs w:val="18"/>
          <w:lang w:val="fr-FR"/>
        </w:rPr>
        <w:t>une évaluation des sites et des informations concernant l</w:t>
      </w:r>
      <w:r>
        <w:rPr>
          <w:sz w:val="18"/>
          <w:szCs w:val="18"/>
          <w:lang w:val="fr-FR"/>
        </w:rPr>
        <w:t>’</w:t>
      </w:r>
      <w:r w:rsidRPr="00AE7D3C">
        <w:rPr>
          <w:sz w:val="18"/>
          <w:szCs w:val="18"/>
          <w:lang w:val="fr-FR"/>
        </w:rPr>
        <w:t>exposition.</w:t>
      </w:r>
    </w:p>
  </w:footnote>
  <w:footnote w:id="5">
    <w:p w14:paraId="14A02617" w14:textId="7488F1F8" w:rsidR="00C56F63" w:rsidRPr="00AE7D3C" w:rsidRDefault="00C56F63" w:rsidP="00F93F76">
      <w:pPr>
        <w:pStyle w:val="NormalNonumber"/>
        <w:tabs>
          <w:tab w:val="clear" w:pos="1247"/>
          <w:tab w:val="clear" w:pos="1814"/>
          <w:tab w:val="clear" w:pos="2381"/>
          <w:tab w:val="clear" w:pos="2948"/>
          <w:tab w:val="clear" w:pos="3515"/>
          <w:tab w:val="clear" w:pos="4082"/>
          <w:tab w:val="left" w:pos="624"/>
        </w:tabs>
        <w:spacing w:before="20" w:after="40"/>
        <w:rPr>
          <w:szCs w:val="18"/>
          <w:lang w:val="fr-FR"/>
        </w:rPr>
      </w:pPr>
      <w:r w:rsidRPr="00AE7D3C">
        <w:rPr>
          <w:rStyle w:val="FootnoteReference"/>
          <w:sz w:val="18"/>
          <w:lang w:val="fr-FR"/>
        </w:rPr>
        <w:footnoteRef/>
      </w:r>
      <w:r w:rsidRPr="00AE7D3C">
        <w:rPr>
          <w:sz w:val="18"/>
          <w:szCs w:val="18"/>
          <w:lang w:val="fr-FR"/>
        </w:rPr>
        <w:t xml:space="preserve"> Cette juridiction permet à tout citoyen de signaler un site présumé contaminé au moyen d</w:t>
      </w:r>
      <w:r>
        <w:rPr>
          <w:sz w:val="18"/>
          <w:szCs w:val="18"/>
          <w:lang w:val="fr-FR"/>
        </w:rPr>
        <w:t>’</w:t>
      </w:r>
      <w:r w:rsidRPr="00AE7D3C">
        <w:rPr>
          <w:sz w:val="18"/>
          <w:szCs w:val="18"/>
          <w:lang w:val="fr-FR"/>
        </w:rPr>
        <w:t>un formulaire standard et étudie ensuite le site.</w:t>
      </w:r>
    </w:p>
  </w:footnote>
  <w:footnote w:id="6">
    <w:p w14:paraId="3CAF50AE" w14:textId="4FFC8FEF" w:rsidR="00C56F63" w:rsidRPr="00AE7D3C" w:rsidRDefault="00C56F63" w:rsidP="00075A04">
      <w:pPr>
        <w:pStyle w:val="NormalNonumber"/>
        <w:tabs>
          <w:tab w:val="clear" w:pos="1247"/>
          <w:tab w:val="clear" w:pos="1814"/>
          <w:tab w:val="clear" w:pos="2381"/>
          <w:tab w:val="clear" w:pos="2948"/>
          <w:tab w:val="clear" w:pos="3515"/>
          <w:tab w:val="clear" w:pos="4082"/>
          <w:tab w:val="left" w:pos="624"/>
        </w:tabs>
        <w:spacing w:before="20" w:after="40"/>
        <w:rPr>
          <w:sz w:val="18"/>
          <w:szCs w:val="18"/>
          <w:lang w:val="fr-FR"/>
        </w:rPr>
      </w:pPr>
      <w:r w:rsidRPr="00AE7D3C">
        <w:rPr>
          <w:rStyle w:val="FootnoteReference"/>
          <w:sz w:val="18"/>
          <w:lang w:val="fr-FR"/>
        </w:rPr>
        <w:footnoteRef/>
      </w:r>
      <w:r w:rsidRPr="00AE7D3C">
        <w:rPr>
          <w:sz w:val="18"/>
          <w:szCs w:val="18"/>
          <w:lang w:val="fr-FR"/>
        </w:rPr>
        <w:t xml:space="preserve"> Base de données des sites contaminés d</w:t>
      </w:r>
      <w:r>
        <w:rPr>
          <w:sz w:val="18"/>
          <w:szCs w:val="18"/>
          <w:lang w:val="fr-FR"/>
        </w:rPr>
        <w:t>’</w:t>
      </w:r>
      <w:r w:rsidRPr="00AE7D3C">
        <w:rPr>
          <w:sz w:val="18"/>
          <w:szCs w:val="18"/>
          <w:lang w:val="fr-FR"/>
        </w:rPr>
        <w:t xml:space="preserve">Autralie-Occidentale, </w:t>
      </w:r>
      <w:hyperlink r:id="rId3" w:history="1">
        <w:r w:rsidRPr="00AE7D3C">
          <w:rPr>
            <w:rStyle w:val="Hyperlink"/>
            <w:sz w:val="18"/>
            <w:szCs w:val="18"/>
          </w:rPr>
          <w:t>https://dow.maps.arcgis.com/apps/webappviewer/index.html?id=c2ecb74291ae4da2ac32c441819c6d47</w:t>
        </w:r>
      </w:hyperlink>
      <w:r w:rsidRPr="00AE7D3C">
        <w:rPr>
          <w:sz w:val="18"/>
          <w:szCs w:val="18"/>
          <w:lang w:val="fr-FR"/>
        </w:rPr>
        <w:t>.</w:t>
      </w:r>
    </w:p>
  </w:footnote>
  <w:footnote w:id="7">
    <w:p w14:paraId="1F39CE32" w14:textId="5E4E8FD8" w:rsidR="00C56F63" w:rsidRPr="00AE7D3C" w:rsidRDefault="00C56F63" w:rsidP="00F93F76">
      <w:pPr>
        <w:pStyle w:val="NormalNonumber"/>
        <w:tabs>
          <w:tab w:val="clear" w:pos="1247"/>
          <w:tab w:val="clear" w:pos="1814"/>
          <w:tab w:val="clear" w:pos="2381"/>
          <w:tab w:val="clear" w:pos="2948"/>
          <w:tab w:val="clear" w:pos="3515"/>
          <w:tab w:val="clear" w:pos="4082"/>
          <w:tab w:val="left" w:pos="624"/>
        </w:tabs>
        <w:spacing w:before="20" w:after="40"/>
        <w:rPr>
          <w:szCs w:val="18"/>
          <w:lang w:val="fr-FR"/>
        </w:rPr>
      </w:pPr>
      <w:r w:rsidRPr="00AE7D3C">
        <w:rPr>
          <w:rStyle w:val="FootnoteReference"/>
          <w:sz w:val="18"/>
          <w:lang w:val="fr-FR"/>
        </w:rPr>
        <w:footnoteRef/>
      </w:r>
      <w:r w:rsidRPr="00AE7D3C">
        <w:rPr>
          <w:sz w:val="18"/>
          <w:szCs w:val="18"/>
          <w:lang w:val="fr-FR"/>
        </w:rPr>
        <w:t xml:space="preserve"> Certains pays ont établi des valeurs de déclenchement pour l</w:t>
      </w:r>
      <w:r>
        <w:rPr>
          <w:sz w:val="18"/>
          <w:szCs w:val="18"/>
          <w:lang w:val="fr-FR"/>
        </w:rPr>
        <w:t>’</w:t>
      </w:r>
      <w:r w:rsidRPr="00AE7D3C">
        <w:rPr>
          <w:sz w:val="18"/>
          <w:szCs w:val="18"/>
          <w:lang w:val="fr-FR"/>
        </w:rPr>
        <w:t>évaluation initiale. Le Royaume-Uni a fixé des</w:t>
      </w:r>
      <w:r>
        <w:rPr>
          <w:sz w:val="18"/>
          <w:szCs w:val="18"/>
          <w:lang w:val="fr-FR"/>
        </w:rPr>
        <w:t> concentrations</w:t>
      </w:r>
      <w:r w:rsidRPr="00AE7D3C">
        <w:rPr>
          <w:sz w:val="18"/>
          <w:szCs w:val="18"/>
          <w:lang w:val="fr-FR"/>
        </w:rPr>
        <w:t xml:space="preserve"> de 1 partie par million pour le mercure élémentaire dans le sol et de 11 parties par million pour le méthylmercure (Environment Agency, 2009). Les directives nationales australiennes pour les sites contaminés (NEPC, 1999) </w:t>
      </w:r>
      <w:r>
        <w:rPr>
          <w:sz w:val="18"/>
          <w:szCs w:val="18"/>
          <w:lang w:val="fr-FR"/>
        </w:rPr>
        <w:t>indiquent, aux fins de</w:t>
      </w:r>
      <w:r w:rsidRPr="00611BA7">
        <w:rPr>
          <w:sz w:val="18"/>
          <w:szCs w:val="18"/>
          <w:lang w:val="fr-FR"/>
        </w:rPr>
        <w:t xml:space="preserve"> l</w:t>
      </w:r>
      <w:r>
        <w:rPr>
          <w:sz w:val="18"/>
          <w:szCs w:val="18"/>
          <w:lang w:val="fr-FR"/>
        </w:rPr>
        <w:t>’</w:t>
      </w:r>
      <w:r w:rsidRPr="00611BA7">
        <w:rPr>
          <w:sz w:val="18"/>
          <w:szCs w:val="18"/>
          <w:lang w:val="fr-FR"/>
        </w:rPr>
        <w:t>évaluation initiale</w:t>
      </w:r>
      <w:r>
        <w:rPr>
          <w:sz w:val="18"/>
          <w:szCs w:val="18"/>
          <w:lang w:val="fr-FR"/>
        </w:rPr>
        <w:t>,</w:t>
      </w:r>
      <w:r w:rsidRPr="00AE7D3C">
        <w:rPr>
          <w:sz w:val="18"/>
          <w:szCs w:val="18"/>
          <w:lang w:val="fr-FR"/>
        </w:rPr>
        <w:t xml:space="preserve"> des </w:t>
      </w:r>
      <w:r>
        <w:rPr>
          <w:sz w:val="18"/>
          <w:szCs w:val="18"/>
          <w:lang w:val="fr-FR"/>
        </w:rPr>
        <w:t>concentrations</w:t>
      </w:r>
      <w:r w:rsidRPr="00AE7D3C">
        <w:rPr>
          <w:sz w:val="18"/>
          <w:szCs w:val="18"/>
          <w:lang w:val="fr-FR"/>
        </w:rPr>
        <w:t xml:space="preserve"> de 10 parties par million de méthylmercure et de 15 parties par million de mercure élémentaire pour les bâtiments résidentiels.</w:t>
      </w:r>
    </w:p>
  </w:footnote>
  <w:footnote w:id="8">
    <w:p w14:paraId="07A827A3" w14:textId="7FC57D97" w:rsidR="00C56F63" w:rsidRPr="00AE7D3C" w:rsidRDefault="00C56F63" w:rsidP="00F93F76">
      <w:pPr>
        <w:pStyle w:val="NormalNonumber"/>
        <w:tabs>
          <w:tab w:val="clear" w:pos="1247"/>
          <w:tab w:val="clear" w:pos="1814"/>
          <w:tab w:val="clear" w:pos="2381"/>
          <w:tab w:val="clear" w:pos="2948"/>
          <w:tab w:val="clear" w:pos="3515"/>
          <w:tab w:val="clear" w:pos="4082"/>
          <w:tab w:val="left" w:pos="624"/>
        </w:tabs>
        <w:spacing w:before="20" w:after="40"/>
        <w:rPr>
          <w:szCs w:val="18"/>
          <w:lang w:val="fr-FR"/>
        </w:rPr>
      </w:pPr>
      <w:r w:rsidRPr="00AE7D3C">
        <w:rPr>
          <w:rStyle w:val="FootnoteReference"/>
          <w:sz w:val="18"/>
          <w:lang w:val="fr-FR"/>
        </w:rPr>
        <w:footnoteRef/>
      </w:r>
      <w:r w:rsidRPr="00AE7D3C">
        <w:rPr>
          <w:sz w:val="18"/>
          <w:szCs w:val="18"/>
          <w:lang w:val="fr-FR"/>
        </w:rPr>
        <w:t xml:space="preserve"> ISO 21365 (2018). Qualité du sol - Schémas conceptuels de sites pour les sites potentiellement pollués.</w:t>
      </w:r>
    </w:p>
  </w:footnote>
  <w:footnote w:id="9">
    <w:p w14:paraId="59055907" w14:textId="272AB3EB" w:rsidR="00C56F63" w:rsidRPr="00AE7D3C" w:rsidRDefault="00C56F63" w:rsidP="00F93F76">
      <w:pPr>
        <w:pStyle w:val="NormalNonumber"/>
        <w:tabs>
          <w:tab w:val="clear" w:pos="1247"/>
          <w:tab w:val="clear" w:pos="1814"/>
          <w:tab w:val="clear" w:pos="2381"/>
          <w:tab w:val="clear" w:pos="2948"/>
          <w:tab w:val="clear" w:pos="3515"/>
          <w:tab w:val="clear" w:pos="4082"/>
          <w:tab w:val="left" w:pos="624"/>
        </w:tabs>
        <w:spacing w:before="20" w:after="40"/>
        <w:rPr>
          <w:sz w:val="18"/>
          <w:szCs w:val="18"/>
          <w:lang w:val="fr-FR"/>
        </w:rPr>
      </w:pPr>
      <w:r w:rsidRPr="00AE7D3C">
        <w:rPr>
          <w:rStyle w:val="FootnoteReference"/>
          <w:sz w:val="18"/>
          <w:lang w:val="fr-FR"/>
        </w:rPr>
        <w:footnoteRef/>
      </w:r>
      <w:r w:rsidRPr="00AE7D3C">
        <w:rPr>
          <w:sz w:val="18"/>
          <w:szCs w:val="18"/>
          <w:lang w:val="fr-FR"/>
        </w:rPr>
        <w:t xml:space="preserve"> Santé Canada a également mis en place un outil pour l</w:t>
      </w:r>
      <w:r>
        <w:rPr>
          <w:sz w:val="18"/>
          <w:szCs w:val="18"/>
          <w:lang w:val="fr-FR"/>
        </w:rPr>
        <w:t>’</w:t>
      </w:r>
      <w:r w:rsidRPr="00AE7D3C">
        <w:rPr>
          <w:sz w:val="18"/>
          <w:szCs w:val="18"/>
          <w:lang w:val="fr-FR"/>
        </w:rPr>
        <w:t>élaboration systématique d</w:t>
      </w:r>
      <w:r>
        <w:rPr>
          <w:sz w:val="18"/>
          <w:szCs w:val="18"/>
          <w:lang w:val="fr-FR"/>
        </w:rPr>
        <w:t>’</w:t>
      </w:r>
      <w:r w:rsidRPr="00AE7D3C">
        <w:rPr>
          <w:sz w:val="18"/>
          <w:szCs w:val="18"/>
          <w:lang w:val="fr-FR"/>
        </w:rPr>
        <w:t xml:space="preserve">un modèle conceptuel </w:t>
      </w:r>
      <w:r>
        <w:rPr>
          <w:sz w:val="18"/>
          <w:szCs w:val="18"/>
          <w:lang w:val="fr-FR"/>
        </w:rPr>
        <w:t>de</w:t>
      </w:r>
      <w:r w:rsidRPr="00AE7D3C">
        <w:rPr>
          <w:sz w:val="18"/>
          <w:szCs w:val="18"/>
          <w:lang w:val="fr-FR"/>
        </w:rPr>
        <w:t xml:space="preserve"> site. Cet outil est disponible sur demande auprès de la Division des lieux contaminés de Santé Canada, à l</w:t>
      </w:r>
      <w:r>
        <w:rPr>
          <w:sz w:val="18"/>
          <w:szCs w:val="18"/>
          <w:lang w:val="fr-FR"/>
        </w:rPr>
        <w:t>’</w:t>
      </w:r>
      <w:r w:rsidRPr="00AE7D3C">
        <w:rPr>
          <w:sz w:val="18"/>
          <w:szCs w:val="18"/>
          <w:lang w:val="fr-FR"/>
        </w:rPr>
        <w:t xml:space="preserve">adresse suivante : </w:t>
      </w:r>
      <w:hyperlink r:id="rId4" w:history="1">
        <w:r w:rsidRPr="00AE7D3C">
          <w:rPr>
            <w:rStyle w:val="Hyperlink"/>
            <w:sz w:val="18"/>
            <w:szCs w:val="18"/>
          </w:rPr>
          <w:t>https://www.canada.ca/fr/sante-canada/organisation/contactez-nous/division-lieux-contamines.html</w:t>
        </w:r>
      </w:hyperlink>
      <w:r w:rsidRPr="00AE7D3C">
        <w:rPr>
          <w:sz w:val="18"/>
          <w:szCs w:val="18"/>
          <w:lang w:val="fr-FR"/>
        </w:rPr>
        <w:t>.</w:t>
      </w:r>
    </w:p>
  </w:footnote>
  <w:footnote w:id="10">
    <w:p w14:paraId="3D353FF4" w14:textId="4083DDFA" w:rsidR="00C56F63" w:rsidRPr="00AE7D3C" w:rsidRDefault="00C56F63" w:rsidP="00F93F76">
      <w:pPr>
        <w:pStyle w:val="NormalNonumber"/>
        <w:tabs>
          <w:tab w:val="clear" w:pos="1247"/>
          <w:tab w:val="clear" w:pos="1814"/>
          <w:tab w:val="clear" w:pos="2381"/>
          <w:tab w:val="clear" w:pos="2948"/>
          <w:tab w:val="clear" w:pos="3515"/>
          <w:tab w:val="clear" w:pos="4082"/>
          <w:tab w:val="left" w:pos="624"/>
        </w:tabs>
        <w:spacing w:before="20" w:after="40"/>
        <w:rPr>
          <w:szCs w:val="18"/>
          <w:lang w:val="fr-FR"/>
        </w:rPr>
      </w:pPr>
      <w:r w:rsidRPr="00AE7D3C">
        <w:rPr>
          <w:rStyle w:val="FootnoteReference"/>
          <w:sz w:val="18"/>
          <w:lang w:val="fr-FR"/>
        </w:rPr>
        <w:footnoteRef/>
      </w:r>
      <w:r w:rsidRPr="00AE7D3C">
        <w:rPr>
          <w:sz w:val="18"/>
          <w:szCs w:val="18"/>
          <w:lang w:val="fr-FR"/>
        </w:rPr>
        <w:t xml:space="preserve"> Par exemple, Agence de protection de l</w:t>
      </w:r>
      <w:r>
        <w:rPr>
          <w:sz w:val="18"/>
          <w:szCs w:val="18"/>
          <w:lang w:val="fr-FR"/>
        </w:rPr>
        <w:t>’</w:t>
      </w:r>
      <w:r w:rsidRPr="00AE7D3C">
        <w:rPr>
          <w:sz w:val="18"/>
          <w:szCs w:val="18"/>
          <w:lang w:val="fr-FR"/>
        </w:rPr>
        <w:t>environnement des États-Unis, Méthode 1669 « Sampling Ambient Water for Trace Metals at EPA Water Quality Criteria Levels » (Échantillonnage de l</w:t>
      </w:r>
      <w:r>
        <w:rPr>
          <w:sz w:val="18"/>
          <w:szCs w:val="18"/>
          <w:lang w:val="fr-FR"/>
        </w:rPr>
        <w:t>’</w:t>
      </w:r>
      <w:r w:rsidRPr="00AE7D3C">
        <w:rPr>
          <w:sz w:val="18"/>
          <w:szCs w:val="18"/>
          <w:lang w:val="fr-FR"/>
        </w:rPr>
        <w:t>eau ambiante pour les métaux traces selon les critères fixés par l</w:t>
      </w:r>
      <w:r>
        <w:rPr>
          <w:sz w:val="18"/>
          <w:szCs w:val="18"/>
          <w:lang w:val="fr-FR"/>
        </w:rPr>
        <w:t>’</w:t>
      </w:r>
      <w:r w:rsidRPr="00AE7D3C">
        <w:rPr>
          <w:sz w:val="18"/>
          <w:szCs w:val="18"/>
          <w:lang w:val="fr-FR"/>
        </w:rPr>
        <w:t>Agence de protection de l</w:t>
      </w:r>
      <w:r>
        <w:rPr>
          <w:sz w:val="18"/>
          <w:szCs w:val="18"/>
          <w:lang w:val="fr-FR"/>
        </w:rPr>
        <w:t>’</w:t>
      </w:r>
      <w:r w:rsidRPr="00AE7D3C">
        <w:rPr>
          <w:sz w:val="18"/>
          <w:szCs w:val="18"/>
          <w:lang w:val="fr-FR"/>
        </w:rPr>
        <w:t>environnement pour la qualité de l</w:t>
      </w:r>
      <w:r>
        <w:rPr>
          <w:sz w:val="18"/>
          <w:szCs w:val="18"/>
          <w:lang w:val="fr-FR"/>
        </w:rPr>
        <w:t>’</w:t>
      </w:r>
      <w:r w:rsidRPr="00AE7D3C">
        <w:rPr>
          <w:sz w:val="18"/>
          <w:szCs w:val="18"/>
          <w:lang w:val="fr-FR"/>
        </w:rPr>
        <w:t>eau) ; Méthode 1630 « Methyl Mercury in Water by Distillation, Aqueous Ethylation, Purge and Trap, and Cold Vapor Atomic Fluorescence Spectrometry » (Méthylmercure dans l</w:t>
      </w:r>
      <w:r>
        <w:rPr>
          <w:sz w:val="18"/>
          <w:szCs w:val="18"/>
          <w:lang w:val="fr-FR"/>
        </w:rPr>
        <w:t>’</w:t>
      </w:r>
      <w:r w:rsidRPr="00AE7D3C">
        <w:rPr>
          <w:sz w:val="18"/>
          <w:szCs w:val="18"/>
          <w:lang w:val="fr-FR"/>
        </w:rPr>
        <w:t>eau par distillation, éthylation aqueuse, purge et piégeage, et spectroscopie de fluorescence atomique par vapeur froide) ; Méthode 1631 « Mercury in Water by Oxidation, Purge and Trap, and Cold Vapor Atomic Fluorescence Spectrometry » (Mercure dans l</w:t>
      </w:r>
      <w:r>
        <w:rPr>
          <w:sz w:val="18"/>
          <w:szCs w:val="18"/>
          <w:lang w:val="fr-FR"/>
        </w:rPr>
        <w:t>’</w:t>
      </w:r>
      <w:r w:rsidRPr="00AE7D3C">
        <w:rPr>
          <w:sz w:val="18"/>
          <w:szCs w:val="18"/>
          <w:lang w:val="fr-FR"/>
        </w:rPr>
        <w:t>eau par oxydation, purge et piégeage, et spectroscopie de fluorescence atomique par vapeur froide) ; et Méthode 7473 « Mercury in Solids and Solutions by Thermal Decomposition, Amalgamation and Atomic Absorption Spectrophotometry » (Mercure dans les solides et les solutions par décomposition thermale, amalgamation et spectrophotométrie d</w:t>
      </w:r>
      <w:r>
        <w:rPr>
          <w:sz w:val="18"/>
          <w:szCs w:val="18"/>
          <w:lang w:val="fr-FR"/>
        </w:rPr>
        <w:t>’</w:t>
      </w:r>
      <w:r w:rsidRPr="00AE7D3C">
        <w:rPr>
          <w:sz w:val="18"/>
          <w:szCs w:val="18"/>
          <w:lang w:val="fr-FR"/>
        </w:rPr>
        <w:t xml:space="preserve">absorption atomique). </w:t>
      </w:r>
    </w:p>
  </w:footnote>
  <w:footnote w:id="11">
    <w:p w14:paraId="3EE34863" w14:textId="2C450E05" w:rsidR="00C56F63" w:rsidRPr="00AE7D3C" w:rsidRDefault="00C56F63" w:rsidP="00F93F76">
      <w:pPr>
        <w:pStyle w:val="NormalNonumber"/>
        <w:tabs>
          <w:tab w:val="clear" w:pos="1247"/>
          <w:tab w:val="clear" w:pos="1814"/>
          <w:tab w:val="clear" w:pos="2381"/>
          <w:tab w:val="clear" w:pos="2948"/>
          <w:tab w:val="clear" w:pos="3515"/>
          <w:tab w:val="clear" w:pos="4082"/>
          <w:tab w:val="left" w:pos="624"/>
        </w:tabs>
        <w:spacing w:before="20" w:after="40"/>
        <w:rPr>
          <w:szCs w:val="18"/>
          <w:lang w:val="fr-FR"/>
        </w:rPr>
      </w:pPr>
      <w:r w:rsidRPr="00AE7D3C">
        <w:rPr>
          <w:rStyle w:val="FootnoteReference"/>
          <w:sz w:val="18"/>
          <w:lang w:val="fr-FR"/>
        </w:rPr>
        <w:footnoteRef/>
      </w:r>
      <w:r w:rsidRPr="00AE7D3C">
        <w:rPr>
          <w:sz w:val="18"/>
          <w:szCs w:val="18"/>
          <w:lang w:val="fr-FR"/>
        </w:rPr>
        <w:t xml:space="preserve"> Par exemple, États-Unis (https://www.fda.gov/food/metals/mercury-concentrations-fish-fda-monitoring-program-1990-2010 et https://www.fda.gov/food/consumers/advice-about-eating-fish), Canada (</w:t>
      </w:r>
      <w:hyperlink r:id="rId5" w:history="1">
        <w:r w:rsidRPr="00AE7D3C">
          <w:rPr>
            <w:rStyle w:val="Hyperlink"/>
            <w:sz w:val="18"/>
            <w:szCs w:val="18"/>
          </w:rPr>
          <w:t>http://ec.gc.ca/mercure-mercury/default.asp?lang=Fr&amp;n=DCBE5083-97AD-4C62-8862</w:t>
        </w:r>
      </w:hyperlink>
      <w:r w:rsidRPr="00AE7D3C">
        <w:rPr>
          <w:sz w:val="18"/>
          <w:szCs w:val="18"/>
          <w:lang w:val="fr-FR"/>
        </w:rPr>
        <w:t>) et Agence de santé de Guyane (http://gps.gf/doc/catalogue/301/mercure-dans-les-poissons-et-grossesse-fleuves-de-guyane/).</w:t>
      </w:r>
    </w:p>
  </w:footnote>
  <w:footnote w:id="12">
    <w:p w14:paraId="563DA964" w14:textId="23D62C25" w:rsidR="00C56F63" w:rsidRPr="00AE7D3C" w:rsidRDefault="00C56F63" w:rsidP="00F93F76">
      <w:pPr>
        <w:pStyle w:val="NormalNonumber"/>
        <w:tabs>
          <w:tab w:val="clear" w:pos="1247"/>
          <w:tab w:val="clear" w:pos="1814"/>
          <w:tab w:val="clear" w:pos="2381"/>
          <w:tab w:val="clear" w:pos="2948"/>
          <w:tab w:val="clear" w:pos="3515"/>
          <w:tab w:val="clear" w:pos="4082"/>
          <w:tab w:val="left" w:pos="624"/>
        </w:tabs>
        <w:spacing w:before="20" w:after="40"/>
        <w:rPr>
          <w:szCs w:val="18"/>
          <w:lang w:val="fr-FR"/>
        </w:rPr>
      </w:pPr>
      <w:r w:rsidRPr="00AE7D3C">
        <w:rPr>
          <w:rStyle w:val="FootnoteReference"/>
          <w:sz w:val="18"/>
          <w:lang w:val="fr-FR"/>
        </w:rPr>
        <w:footnoteRef/>
      </w:r>
      <w:r w:rsidRPr="00AE7D3C">
        <w:rPr>
          <w:sz w:val="18"/>
          <w:szCs w:val="18"/>
          <w:lang w:val="fr-FR"/>
        </w:rPr>
        <w:t xml:space="preserve"> Le réseau NICOLE (2015) présente plusieurs études de cas et un résumé d</w:t>
      </w:r>
      <w:r>
        <w:rPr>
          <w:sz w:val="18"/>
          <w:szCs w:val="18"/>
          <w:lang w:val="fr-FR"/>
        </w:rPr>
        <w:t>’</w:t>
      </w:r>
      <w:r w:rsidRPr="00AE7D3C">
        <w:rPr>
          <w:sz w:val="18"/>
          <w:szCs w:val="18"/>
          <w:lang w:val="fr-FR"/>
        </w:rPr>
        <w:t>approches de remise en état appliquées à des sites touchés par du mercure. Il existe également des sites Web qui fournissent des orientations pour la sélection de technique</w:t>
      </w:r>
      <w:r>
        <w:rPr>
          <w:sz w:val="18"/>
          <w:szCs w:val="18"/>
          <w:lang w:val="fr-FR"/>
        </w:rPr>
        <w:t>s</w:t>
      </w:r>
      <w:r w:rsidRPr="00AE7D3C">
        <w:rPr>
          <w:sz w:val="18"/>
          <w:szCs w:val="18"/>
          <w:lang w:val="fr-FR"/>
        </w:rPr>
        <w:t xml:space="preserve"> de remise en état. Veuillez consulter l</w:t>
      </w:r>
      <w:r>
        <w:rPr>
          <w:sz w:val="18"/>
          <w:szCs w:val="18"/>
          <w:lang w:val="fr-FR"/>
        </w:rPr>
        <w:t>’</w:t>
      </w:r>
      <w:r w:rsidRPr="00AE7D3C">
        <w:rPr>
          <w:sz w:val="18"/>
          <w:szCs w:val="18"/>
          <w:lang w:val="fr-FR"/>
        </w:rPr>
        <w:t>outil interactif de pré-sélection des techniques de dépollution de l</w:t>
      </w:r>
      <w:r>
        <w:rPr>
          <w:sz w:val="18"/>
          <w:szCs w:val="18"/>
          <w:lang w:val="fr-FR"/>
        </w:rPr>
        <w:t>’</w:t>
      </w:r>
      <w:r w:rsidRPr="00AE7D3C">
        <w:rPr>
          <w:sz w:val="18"/>
          <w:szCs w:val="18"/>
          <w:lang w:val="fr-FR"/>
        </w:rPr>
        <w:t>Agence de l</w:t>
      </w:r>
      <w:r>
        <w:rPr>
          <w:sz w:val="18"/>
          <w:szCs w:val="18"/>
          <w:lang w:val="fr-FR"/>
        </w:rPr>
        <w:t>’</w:t>
      </w:r>
      <w:r w:rsidRPr="00AE7D3C">
        <w:rPr>
          <w:sz w:val="18"/>
          <w:szCs w:val="18"/>
          <w:lang w:val="fr-FR"/>
        </w:rPr>
        <w:t>environnement et de la maîtrise de l</w:t>
      </w:r>
      <w:r>
        <w:rPr>
          <w:sz w:val="18"/>
          <w:szCs w:val="18"/>
          <w:lang w:val="fr-FR"/>
        </w:rPr>
        <w:t>’</w:t>
      </w:r>
      <w:r w:rsidRPr="00AE7D3C">
        <w:rPr>
          <w:sz w:val="18"/>
          <w:szCs w:val="18"/>
          <w:lang w:val="fr-FR"/>
        </w:rPr>
        <w:t>énergie et du Bureau de recherches géologiques et minières (</w:t>
      </w:r>
      <w:hyperlink r:id="rId6" w:history="1">
        <w:r w:rsidRPr="00AE7D3C">
          <w:rPr>
            <w:rStyle w:val="Hyperlink"/>
            <w:sz w:val="18"/>
            <w:szCs w:val="18"/>
          </w:rPr>
          <w:t>http://www.selecdepol.fr/</w:t>
        </w:r>
      </w:hyperlink>
      <w:r w:rsidRPr="00AE7D3C">
        <w:rPr>
          <w:sz w:val="18"/>
          <w:szCs w:val="18"/>
          <w:lang w:val="fr-FR"/>
        </w:rPr>
        <w:t>) ainsi que</w:t>
      </w:r>
      <w:r w:rsidRPr="00AE7D3C">
        <w:rPr>
          <w:lang w:val="fr-FR"/>
        </w:rPr>
        <w:t xml:space="preserve"> le </w:t>
      </w:r>
      <w:r w:rsidRPr="00AE7D3C">
        <w:rPr>
          <w:sz w:val="18"/>
          <w:szCs w:val="18"/>
          <w:lang w:val="fr-FR"/>
        </w:rPr>
        <w:t>Guide d</w:t>
      </w:r>
      <w:r>
        <w:rPr>
          <w:sz w:val="18"/>
          <w:szCs w:val="18"/>
          <w:lang w:val="fr-FR"/>
        </w:rPr>
        <w:t>’</w:t>
      </w:r>
      <w:r w:rsidRPr="00AE7D3C">
        <w:rPr>
          <w:sz w:val="18"/>
          <w:szCs w:val="18"/>
          <w:lang w:val="fr-FR"/>
        </w:rPr>
        <w:t>orientation pour la sélection de technologies de décontamination du Gouvernement du Canada (</w:t>
      </w:r>
      <w:hyperlink r:id="rId7" w:history="1">
        <w:r w:rsidRPr="00AE7D3C">
          <w:rPr>
            <w:rStyle w:val="Hyperlink"/>
            <w:sz w:val="18"/>
            <w:szCs w:val="18"/>
          </w:rPr>
          <w:t>http://gost.tpsgc-pwgsc.gc.ca/</w:t>
        </w:r>
      </w:hyperlink>
      <w:r w:rsidRPr="00AE7D3C">
        <w:rPr>
          <w:sz w:val="18"/>
          <w:szCs w:val="18"/>
          <w:lang w:val="fr-FR"/>
        </w:rPr>
        <w:t>).</w:t>
      </w:r>
    </w:p>
  </w:footnote>
  <w:footnote w:id="13">
    <w:p w14:paraId="74BFE278" w14:textId="4934467A" w:rsidR="00C56F63" w:rsidRPr="00AE7D3C" w:rsidRDefault="00C56F63" w:rsidP="00F93F76">
      <w:pPr>
        <w:pStyle w:val="NormalNonumber"/>
        <w:tabs>
          <w:tab w:val="clear" w:pos="1247"/>
          <w:tab w:val="clear" w:pos="1814"/>
          <w:tab w:val="clear" w:pos="2381"/>
          <w:tab w:val="clear" w:pos="2948"/>
          <w:tab w:val="clear" w:pos="3515"/>
          <w:tab w:val="clear" w:pos="4082"/>
          <w:tab w:val="left" w:pos="624"/>
        </w:tabs>
        <w:spacing w:before="20" w:after="40"/>
        <w:rPr>
          <w:szCs w:val="18"/>
          <w:lang w:val="fr-FR"/>
        </w:rPr>
      </w:pPr>
      <w:r w:rsidRPr="00AE7D3C">
        <w:rPr>
          <w:rStyle w:val="FootnoteReference"/>
          <w:sz w:val="18"/>
          <w:lang w:val="fr-FR"/>
        </w:rPr>
        <w:footnoteRef/>
      </w:r>
      <w:r w:rsidRPr="00AE7D3C">
        <w:rPr>
          <w:sz w:val="18"/>
          <w:szCs w:val="18"/>
          <w:lang w:val="fr-FR"/>
        </w:rPr>
        <w:t xml:space="preserve"> Des orientations générales concernant l</w:t>
      </w:r>
      <w:r>
        <w:rPr>
          <w:sz w:val="18"/>
          <w:szCs w:val="18"/>
          <w:lang w:val="fr-FR"/>
        </w:rPr>
        <w:t>’</w:t>
      </w:r>
      <w:r w:rsidRPr="00AE7D3C">
        <w:rPr>
          <w:sz w:val="18"/>
          <w:szCs w:val="18"/>
          <w:lang w:val="fr-FR"/>
        </w:rPr>
        <w:t>évaluation et la remise en état des sédiments contaminés, notamment ceux contaminés par du mercure, sont fournies à l</w:t>
      </w:r>
      <w:r>
        <w:rPr>
          <w:sz w:val="18"/>
          <w:szCs w:val="18"/>
          <w:lang w:val="fr-FR"/>
        </w:rPr>
        <w:t>’</w:t>
      </w:r>
      <w:r w:rsidRPr="00AE7D3C">
        <w:rPr>
          <w:sz w:val="18"/>
          <w:szCs w:val="18"/>
          <w:lang w:val="fr-FR"/>
        </w:rPr>
        <w:t>adresse suivante : https://www.epa.gov/superfund/superfund-contaminated-sediments-guidance-and-technical-support.</w:t>
      </w:r>
    </w:p>
  </w:footnote>
  <w:footnote w:id="14">
    <w:p w14:paraId="719110E1" w14:textId="6A684927" w:rsidR="00C56F63" w:rsidRPr="00AE7D3C" w:rsidRDefault="00C56F63" w:rsidP="00F93F76">
      <w:pPr>
        <w:pStyle w:val="NormalNonumber"/>
        <w:tabs>
          <w:tab w:val="clear" w:pos="1247"/>
          <w:tab w:val="clear" w:pos="1814"/>
          <w:tab w:val="clear" w:pos="2381"/>
          <w:tab w:val="clear" w:pos="2948"/>
          <w:tab w:val="clear" w:pos="3515"/>
          <w:tab w:val="clear" w:pos="4082"/>
          <w:tab w:val="left" w:pos="624"/>
        </w:tabs>
        <w:spacing w:before="20" w:after="40"/>
        <w:rPr>
          <w:rFonts w:eastAsia="MS Mincho"/>
          <w:szCs w:val="18"/>
          <w:lang w:val="fr-FR" w:eastAsia="ja-JP"/>
        </w:rPr>
      </w:pPr>
      <w:r w:rsidRPr="00AE7D3C">
        <w:rPr>
          <w:rStyle w:val="FootnoteReference"/>
          <w:sz w:val="18"/>
          <w:lang w:val="fr-FR"/>
        </w:rPr>
        <w:footnoteRef/>
      </w:r>
      <w:r w:rsidRPr="00AE7D3C">
        <w:rPr>
          <w:sz w:val="18"/>
          <w:szCs w:val="18"/>
          <w:lang w:val="fr-FR"/>
        </w:rPr>
        <w:t xml:space="preserve"> </w:t>
      </w:r>
      <w:hyperlink r:id="rId8" w:history="1">
        <w:r w:rsidRPr="00AE7D3C">
          <w:rPr>
            <w:rStyle w:val="Hyperlink"/>
            <w:sz w:val="18"/>
            <w:szCs w:val="18"/>
          </w:rPr>
          <w:t>https://www.epa.gov/enforcement/landowner-liability-protections</w:t>
        </w:r>
      </w:hyperlink>
      <w:r w:rsidRPr="00AE7D3C">
        <w:rPr>
          <w:sz w:val="18"/>
          <w:szCs w:val="18"/>
          <w:lang w:val="fr-FR"/>
        </w:rPr>
        <w:t>.</w:t>
      </w:r>
    </w:p>
  </w:footnote>
  <w:footnote w:id="15">
    <w:p w14:paraId="65418936" w14:textId="3A7E0D7E" w:rsidR="00C56F63" w:rsidRPr="00AE7D3C" w:rsidRDefault="00C56F63" w:rsidP="00F93F76">
      <w:pPr>
        <w:pStyle w:val="NormalNonumber"/>
        <w:tabs>
          <w:tab w:val="clear" w:pos="1247"/>
          <w:tab w:val="clear" w:pos="1814"/>
          <w:tab w:val="clear" w:pos="2381"/>
          <w:tab w:val="clear" w:pos="2948"/>
          <w:tab w:val="clear" w:pos="3515"/>
          <w:tab w:val="clear" w:pos="4082"/>
          <w:tab w:val="left" w:pos="624"/>
        </w:tabs>
        <w:spacing w:before="20" w:after="40"/>
        <w:rPr>
          <w:rFonts w:eastAsia="MS Mincho"/>
          <w:szCs w:val="18"/>
          <w:lang w:val="fr-FR" w:eastAsia="ja-JP"/>
        </w:rPr>
      </w:pPr>
      <w:r w:rsidRPr="00AE7D3C">
        <w:rPr>
          <w:rStyle w:val="FootnoteReference"/>
          <w:sz w:val="18"/>
          <w:lang w:val="fr-FR"/>
        </w:rPr>
        <w:footnoteRef/>
      </w:r>
      <w:r w:rsidRPr="00AE7D3C">
        <w:rPr>
          <w:sz w:val="18"/>
          <w:szCs w:val="18"/>
          <w:lang w:val="fr-FR"/>
        </w:rPr>
        <w:t xml:space="preserve"> Gouvernement d</w:t>
      </w:r>
      <w:r>
        <w:rPr>
          <w:sz w:val="18"/>
          <w:szCs w:val="18"/>
          <w:lang w:val="fr-FR"/>
        </w:rPr>
        <w:t>’</w:t>
      </w:r>
      <w:r w:rsidRPr="00AE7D3C">
        <w:rPr>
          <w:sz w:val="18"/>
          <w:szCs w:val="18"/>
          <w:lang w:val="fr-FR"/>
        </w:rPr>
        <w:t xml:space="preserve">Australie-Occidentale (2003). Loi sur les sites </w:t>
      </w:r>
      <w:r w:rsidR="00BE0048">
        <w:rPr>
          <w:sz w:val="18"/>
          <w:szCs w:val="18"/>
          <w:lang w:val="fr-FR"/>
        </w:rPr>
        <w:t>contaminés de 2003, section 27 </w:t>
      </w:r>
      <w:r w:rsidRPr="00AE7D3C">
        <w:rPr>
          <w:sz w:val="18"/>
          <w:szCs w:val="18"/>
          <w:lang w:val="fr-FR"/>
        </w:rPr>
        <w:t>2) a).</w:t>
      </w:r>
    </w:p>
  </w:footnote>
  <w:footnote w:id="16">
    <w:p w14:paraId="1E39D807" w14:textId="3DCB4279" w:rsidR="00C56F63" w:rsidRPr="00C56F63" w:rsidRDefault="00C56F63" w:rsidP="00F93F76">
      <w:pPr>
        <w:pStyle w:val="NormalNonumber"/>
        <w:tabs>
          <w:tab w:val="clear" w:pos="1247"/>
          <w:tab w:val="clear" w:pos="1814"/>
          <w:tab w:val="clear" w:pos="2381"/>
          <w:tab w:val="clear" w:pos="2948"/>
          <w:tab w:val="clear" w:pos="3515"/>
          <w:tab w:val="clear" w:pos="4082"/>
          <w:tab w:val="left" w:pos="624"/>
        </w:tabs>
        <w:spacing w:before="20" w:after="40"/>
        <w:rPr>
          <w:szCs w:val="18"/>
          <w:lang w:val="en-GB"/>
        </w:rPr>
      </w:pPr>
      <w:r w:rsidRPr="00AE7D3C">
        <w:rPr>
          <w:rStyle w:val="FootnoteReference"/>
          <w:sz w:val="18"/>
          <w:lang w:val="fr-FR"/>
        </w:rPr>
        <w:footnoteRef/>
      </w:r>
      <w:r w:rsidRPr="00C56F63">
        <w:rPr>
          <w:sz w:val="18"/>
          <w:szCs w:val="18"/>
          <w:lang w:val="en-GB"/>
        </w:rPr>
        <w:t xml:space="preserve"> CLARINET – Contaminated Land Rehabilitation Network for Environmental Technologies (</w:t>
      </w:r>
      <w:hyperlink r:id="rId9" w:history="1">
        <w:r w:rsidRPr="00C56F63">
          <w:rPr>
            <w:rStyle w:val="Hyperlink"/>
            <w:sz w:val="18"/>
            <w:szCs w:val="18"/>
            <w:lang w:val="en-GB"/>
          </w:rPr>
          <w:t>https://www.commonforum.eu/references_clarinet.asp</w:t>
        </w:r>
      </w:hyperlink>
      <w:r w:rsidRPr="00C56F63">
        <w:rPr>
          <w:sz w:val="18"/>
          <w:szCs w:val="18"/>
          <w:lang w:val="en-GB"/>
        </w:rPr>
        <w:t>), et CARACAS – Concerted Action for Risk Assessment for Contaminated Sites in Europe (https://www.commonforum.eu/references_caracas.asp).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0FDAA" w14:textId="037C81B3" w:rsidR="00C56F63" w:rsidRPr="00CA5CA9" w:rsidRDefault="00C56F63"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COP.3/8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5168C" w14:textId="770EFEA6" w:rsidR="00C56F63" w:rsidRDefault="00C56F63">
    <w:pPr>
      <w:pStyle w:val="Header"/>
    </w:pPr>
    <w:r>
      <w:rPr>
        <w:noProof/>
      </w:rPr>
      <w:pict w14:anchorId="3E08E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9211114" o:spid="_x0000_s2054" type="#_x0000_t136" style="position:absolute;margin-left:0;margin-top:0;width:520.65pt;height:148.75pt;rotation:315;z-index:-251658752;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BCAB9" w14:textId="0B30D4BB" w:rsidR="00C56F63" w:rsidRPr="00B45535" w:rsidRDefault="00C56F63" w:rsidP="00B45535">
    <w:pPr>
      <w:pStyle w:val="Header"/>
      <w:rPr>
        <w:szCs w:val="18"/>
      </w:rPr>
    </w:pPr>
    <w:r>
      <w:rPr>
        <w:bCs/>
        <w:szCs w:val="18"/>
      </w:rPr>
      <w:t>U</w:t>
    </w:r>
    <w:r w:rsidRPr="00CA5CA9">
      <w:rPr>
        <w:bCs/>
        <w:szCs w:val="18"/>
      </w:rPr>
      <w:t>NEP</w:t>
    </w:r>
    <w:r w:rsidRPr="00CA5CA9">
      <w:rPr>
        <w:szCs w:val="18"/>
      </w:rPr>
      <w:t>/</w:t>
    </w:r>
    <w:r>
      <w:rPr>
        <w:szCs w:val="18"/>
      </w:rPr>
      <w:t>MC</w:t>
    </w:r>
    <w:r w:rsidRPr="00CA5CA9">
      <w:rPr>
        <w:szCs w:val="18"/>
      </w:rPr>
      <w:t>/</w:t>
    </w:r>
    <w:r>
      <w:rPr>
        <w:szCs w:val="18"/>
      </w:rPr>
      <w:t>COP.3/8</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536B9" w14:textId="6B5DD16A" w:rsidR="00C56F63" w:rsidRPr="00CA5CA9" w:rsidRDefault="00C56F63"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COP.3/8</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48949" w14:textId="411A1EF2" w:rsidR="00C56F63" w:rsidRPr="006D1646" w:rsidRDefault="00C56F63" w:rsidP="00472F00">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COP.3/8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1E8650E4"/>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35571603"/>
    <w:multiLevelType w:val="singleLevel"/>
    <w:tmpl w:val="C9CACEF8"/>
    <w:lvl w:ilvl="0">
      <w:start w:val="6"/>
      <w:numFmt w:val="upperLetter"/>
      <w:pStyle w:val="Heading9"/>
      <w:lvlText w:val="%1."/>
      <w:lvlJc w:val="left"/>
      <w:pPr>
        <w:tabs>
          <w:tab w:val="num" w:pos="360"/>
        </w:tabs>
        <w:ind w:left="360" w:hanging="360"/>
      </w:pPr>
      <w:rPr>
        <w:rFonts w:hint="default"/>
      </w:rPr>
    </w:lvl>
  </w:abstractNum>
  <w:abstractNum w:abstractNumId="2"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15:restartNumberingAfterBreak="0">
    <w:nsid w:val="62291BF8"/>
    <w:multiLevelType w:val="multilevel"/>
    <w:tmpl w:val="F4ACF36E"/>
    <w:numStyleLink w:val="Normallist"/>
  </w:abstractNum>
  <w:num w:numId="1">
    <w:abstractNumId w:val="0"/>
  </w:num>
  <w:num w:numId="2">
    <w:abstractNumId w:val="1"/>
  </w:num>
  <w:num w:numId="3">
    <w:abstractNumId w:val="2"/>
  </w:num>
  <w:num w:numId="4">
    <w:abstractNumId w:val="3"/>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
    <w:abstractNumId w:val="3"/>
    <w:lvlOverride w:ilvl="0">
      <w:startOverride w:val="1"/>
    </w:lvlOverride>
    <w:lvlOverride w:ilvl="0">
      <w:lvl w:ilvl="0">
        <w:start w:val="1"/>
        <w:numFmt w:val="decimal"/>
        <w:pStyle w:val="Normalnumber"/>
        <w:lvlText w:val="%1."/>
        <w:lvlJc w:val="left"/>
        <w:pPr>
          <w:tabs>
            <w:tab w:val="num" w:pos="567"/>
          </w:tabs>
          <w:ind w:left="1247" w:firstLine="0"/>
        </w:pPr>
        <w:rPr>
          <w:rFonts w:hint="default"/>
          <w:strike w:val="0"/>
        </w:rPr>
      </w:lvl>
    </w:lvlOverride>
    <w:lvlOverride w:ilvl="0">
      <w:lvl w:ilvl="0">
        <w:start w:val="1"/>
        <w:numFmt w:val="decimal"/>
        <w:pStyle w:val="Normalnumber"/>
        <w:lvlText w:val="%1."/>
        <w:lvlJc w:val="left"/>
        <w:pPr>
          <w:tabs>
            <w:tab w:val="num" w:pos="567"/>
          </w:tabs>
          <w:ind w:left="1247" w:firstLine="0"/>
        </w:pPr>
        <w:rPr>
          <w:rFonts w:hint="default"/>
          <w:strike w:val="0"/>
        </w:rPr>
      </w:lvl>
    </w:lvlOverride>
    <w:lvlOverride w:ilvl="0">
      <w:lvl w:ilvl="0">
        <w:start w:val="1"/>
        <w:numFmt w:val="decimal"/>
        <w:pStyle w:val="Normalnumber"/>
        <w:lvlText w:val="%1."/>
        <w:lvlJc w:val="left"/>
        <w:pPr>
          <w:tabs>
            <w:tab w:val="num" w:pos="567"/>
          </w:tabs>
          <w:ind w:left="1247" w:firstLine="0"/>
        </w:pPr>
        <w:rPr>
          <w:rFonts w:hint="default"/>
          <w:strike w:val="0"/>
        </w:rPr>
      </w:lvl>
    </w:lvlOverride>
    <w:lvlOverride w:ilvl="0">
      <w:lvl w:ilvl="0">
        <w:start w:val="1"/>
        <w:numFmt w:val="decimal"/>
        <w:pStyle w:val="Normalnumber"/>
        <w:lvlText w:val="%1."/>
        <w:lvlJc w:val="left"/>
        <w:pPr>
          <w:tabs>
            <w:tab w:val="num" w:pos="567"/>
          </w:tabs>
          <w:ind w:left="1247" w:firstLine="0"/>
        </w:pPr>
        <w:rPr>
          <w:rFonts w:hint="default"/>
          <w:strike w:val="0"/>
        </w:rPr>
      </w:lvl>
    </w:lvlOverride>
    <w:lvlOverride w:ilvl="0">
      <w:lvl w:ilvl="0">
        <w:start w:val="1"/>
        <w:numFmt w:val="decimal"/>
        <w:pStyle w:val="Normalnumber"/>
        <w:lvlText w:val="%1."/>
        <w:lvlJc w:val="left"/>
        <w:pPr>
          <w:tabs>
            <w:tab w:val="num" w:pos="567"/>
          </w:tabs>
          <w:ind w:left="1247" w:firstLine="0"/>
        </w:pPr>
        <w:rPr>
          <w:rFonts w:hint="default"/>
          <w:strike w:val="0"/>
        </w:rPr>
      </w:lvl>
    </w:lvlOverride>
    <w:lvlOverride w:ilvl="0">
      <w:lvl w:ilvl="0">
        <w:start w:val="1"/>
        <w:numFmt w:val="decimal"/>
        <w:pStyle w:val="Normalnumber"/>
        <w:lvlText w:val="%1."/>
        <w:lvlJc w:val="left"/>
        <w:pPr>
          <w:tabs>
            <w:tab w:val="num" w:pos="567"/>
          </w:tabs>
          <w:ind w:left="1247" w:firstLine="0"/>
        </w:pPr>
        <w:rPr>
          <w:rFonts w:hint="default"/>
        </w:rPr>
      </w:lvl>
    </w:lvlOverride>
    <w:lvlOverride w:ilvl="0">
      <w:lvl w:ilvl="0">
        <w:start w:val="1"/>
        <w:numFmt w:val="decimal"/>
        <w:pStyle w:val="Normalnumber"/>
        <w:lvlText w:val="%1."/>
        <w:lvlJc w:val="left"/>
        <w:pPr>
          <w:tabs>
            <w:tab w:val="num" w:pos="567"/>
          </w:tabs>
          <w:ind w:left="1247" w:firstLine="0"/>
        </w:pPr>
        <w:rPr>
          <w:rFonts w:hint="default"/>
        </w:rPr>
      </w:lvl>
    </w:lvlOverride>
    <w:lvlOverride w:ilvl="0">
      <w:lvl w:ilvl="0">
        <w:start w:val="1"/>
        <w:numFmt w:val="decimal"/>
        <w:pStyle w:val="Normalnumber"/>
        <w:lvlText w:val="%1."/>
        <w:lvlJc w:val="left"/>
        <w:pPr>
          <w:tabs>
            <w:tab w:val="num" w:pos="567"/>
          </w:tabs>
          <w:ind w:left="1247" w:firstLine="0"/>
        </w:pPr>
        <w:rPr>
          <w:rFonts w:hint="default"/>
        </w:rPr>
      </w:lvl>
    </w:lvlOverride>
  </w:num>
  <w:num w:numId="6">
    <w:abstractNumId w:val="3"/>
  </w:num>
  <w:num w:numId="7">
    <w:abstractNumId w:val="3"/>
  </w:num>
  <w:num w:numId="8">
    <w:abstractNumId w:val="3"/>
  </w:num>
  <w:num w:numId="9">
    <w:abstractNumId w:val="3"/>
  </w:num>
  <w:num w:numId="10">
    <w:abstractNumId w:val="3"/>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1">
    <w:abstractNumId w:val="3"/>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2">
    <w:abstractNumId w:val="3"/>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3">
    <w:abstractNumId w:val="3"/>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fr-CH" w:vendorID="64" w:dllVersion="0" w:nlCheck="1" w:checkStyle="0"/>
  <w:activeWritingStyle w:appName="MSWord" w:lang="en-AU" w:vendorID="64" w:dllVersion="0" w:nlCheck="1" w:checkStyle="0"/>
  <w:activeWritingStyle w:appName="MSWord" w:lang="en-CA" w:vendorID="64" w:dllVersion="0" w:nlCheck="1" w:checkStyle="0"/>
  <w:activeWritingStyle w:appName="MSWord" w:lang="fr-CA"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oNotTrackFormatting/>
  <w:defaultTabStop w:val="624"/>
  <w:hyphenationZone w:val="425"/>
  <w:evenAndOddHeaders/>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1367"/>
    <w:rsid w:val="000017CC"/>
    <w:rsid w:val="000024A3"/>
    <w:rsid w:val="000057BB"/>
    <w:rsid w:val="00007100"/>
    <w:rsid w:val="000077AD"/>
    <w:rsid w:val="00011A16"/>
    <w:rsid w:val="00013A85"/>
    <w:rsid w:val="000149E6"/>
    <w:rsid w:val="00020884"/>
    <w:rsid w:val="00023DA9"/>
    <w:rsid w:val="000247B0"/>
    <w:rsid w:val="00026997"/>
    <w:rsid w:val="00026A08"/>
    <w:rsid w:val="00032E4E"/>
    <w:rsid w:val="00033733"/>
    <w:rsid w:val="00033E0B"/>
    <w:rsid w:val="000340A3"/>
    <w:rsid w:val="00035EDE"/>
    <w:rsid w:val="000403B8"/>
    <w:rsid w:val="0004240A"/>
    <w:rsid w:val="0004341B"/>
    <w:rsid w:val="000468F2"/>
    <w:rsid w:val="00050076"/>
    <w:rsid w:val="000509B4"/>
    <w:rsid w:val="00051622"/>
    <w:rsid w:val="000563B1"/>
    <w:rsid w:val="00056A07"/>
    <w:rsid w:val="0006035B"/>
    <w:rsid w:val="0006096F"/>
    <w:rsid w:val="00062F27"/>
    <w:rsid w:val="00063AF8"/>
    <w:rsid w:val="000649C5"/>
    <w:rsid w:val="00064B6B"/>
    <w:rsid w:val="00067420"/>
    <w:rsid w:val="00070221"/>
    <w:rsid w:val="00071886"/>
    <w:rsid w:val="000742BC"/>
    <w:rsid w:val="00074A93"/>
    <w:rsid w:val="00075A04"/>
    <w:rsid w:val="00075F0C"/>
    <w:rsid w:val="00076CC6"/>
    <w:rsid w:val="000801BD"/>
    <w:rsid w:val="00080C5C"/>
    <w:rsid w:val="00081FC8"/>
    <w:rsid w:val="00082A0C"/>
    <w:rsid w:val="00083504"/>
    <w:rsid w:val="0008379F"/>
    <w:rsid w:val="00083A38"/>
    <w:rsid w:val="00083FFE"/>
    <w:rsid w:val="00084334"/>
    <w:rsid w:val="000855ED"/>
    <w:rsid w:val="00086F81"/>
    <w:rsid w:val="000878AF"/>
    <w:rsid w:val="0009031A"/>
    <w:rsid w:val="000907DE"/>
    <w:rsid w:val="000934A6"/>
    <w:rsid w:val="0009389B"/>
    <w:rsid w:val="00094061"/>
    <w:rsid w:val="0009640C"/>
    <w:rsid w:val="0009703D"/>
    <w:rsid w:val="000975F7"/>
    <w:rsid w:val="000A2AD5"/>
    <w:rsid w:val="000A2B9C"/>
    <w:rsid w:val="000A3B42"/>
    <w:rsid w:val="000A581D"/>
    <w:rsid w:val="000B02EB"/>
    <w:rsid w:val="000B0863"/>
    <w:rsid w:val="000B2132"/>
    <w:rsid w:val="000B22A2"/>
    <w:rsid w:val="000B541B"/>
    <w:rsid w:val="000B73F9"/>
    <w:rsid w:val="000C2A52"/>
    <w:rsid w:val="000C2A88"/>
    <w:rsid w:val="000C65B1"/>
    <w:rsid w:val="000C6F9D"/>
    <w:rsid w:val="000C7F47"/>
    <w:rsid w:val="000D05FA"/>
    <w:rsid w:val="000D1969"/>
    <w:rsid w:val="000D2DF2"/>
    <w:rsid w:val="000D33C0"/>
    <w:rsid w:val="000D4CF6"/>
    <w:rsid w:val="000D55A1"/>
    <w:rsid w:val="000D6941"/>
    <w:rsid w:val="000D76B1"/>
    <w:rsid w:val="000D7B38"/>
    <w:rsid w:val="000E0176"/>
    <w:rsid w:val="000E3787"/>
    <w:rsid w:val="000F0875"/>
    <w:rsid w:val="000F224E"/>
    <w:rsid w:val="000F4829"/>
    <w:rsid w:val="000F6B21"/>
    <w:rsid w:val="000F71AA"/>
    <w:rsid w:val="00100843"/>
    <w:rsid w:val="00101439"/>
    <w:rsid w:val="00102D6D"/>
    <w:rsid w:val="00102EFB"/>
    <w:rsid w:val="00103AB8"/>
    <w:rsid w:val="00106103"/>
    <w:rsid w:val="00107CC0"/>
    <w:rsid w:val="00107D04"/>
    <w:rsid w:val="00113598"/>
    <w:rsid w:val="00114AB2"/>
    <w:rsid w:val="001202E3"/>
    <w:rsid w:val="001206DD"/>
    <w:rsid w:val="00123699"/>
    <w:rsid w:val="00123ABB"/>
    <w:rsid w:val="001241FB"/>
    <w:rsid w:val="0012529C"/>
    <w:rsid w:val="00125814"/>
    <w:rsid w:val="0013059D"/>
    <w:rsid w:val="0013072C"/>
    <w:rsid w:val="00131907"/>
    <w:rsid w:val="0013215E"/>
    <w:rsid w:val="0013246E"/>
    <w:rsid w:val="00133D50"/>
    <w:rsid w:val="0013511F"/>
    <w:rsid w:val="00136187"/>
    <w:rsid w:val="00141A55"/>
    <w:rsid w:val="0014293F"/>
    <w:rsid w:val="0014397D"/>
    <w:rsid w:val="001446A3"/>
    <w:rsid w:val="0014595C"/>
    <w:rsid w:val="00146856"/>
    <w:rsid w:val="00146CD9"/>
    <w:rsid w:val="00151BE5"/>
    <w:rsid w:val="00152B6B"/>
    <w:rsid w:val="00152CD3"/>
    <w:rsid w:val="00153F79"/>
    <w:rsid w:val="00154A4B"/>
    <w:rsid w:val="00155075"/>
    <w:rsid w:val="00155395"/>
    <w:rsid w:val="00155A2F"/>
    <w:rsid w:val="00156B6B"/>
    <w:rsid w:val="001577EC"/>
    <w:rsid w:val="00160399"/>
    <w:rsid w:val="00160D74"/>
    <w:rsid w:val="001634FB"/>
    <w:rsid w:val="00163926"/>
    <w:rsid w:val="001646EA"/>
    <w:rsid w:val="00167D02"/>
    <w:rsid w:val="001759D8"/>
    <w:rsid w:val="00177D7F"/>
    <w:rsid w:val="00180C3F"/>
    <w:rsid w:val="00181EC8"/>
    <w:rsid w:val="00184349"/>
    <w:rsid w:val="00184612"/>
    <w:rsid w:val="001861DD"/>
    <w:rsid w:val="00186AD7"/>
    <w:rsid w:val="00195F33"/>
    <w:rsid w:val="00197383"/>
    <w:rsid w:val="00197FB6"/>
    <w:rsid w:val="001A026A"/>
    <w:rsid w:val="001A47E5"/>
    <w:rsid w:val="001A4AA4"/>
    <w:rsid w:val="001A4AAA"/>
    <w:rsid w:val="001B1617"/>
    <w:rsid w:val="001B504B"/>
    <w:rsid w:val="001B5845"/>
    <w:rsid w:val="001B6F98"/>
    <w:rsid w:val="001C021A"/>
    <w:rsid w:val="001C191A"/>
    <w:rsid w:val="001C3144"/>
    <w:rsid w:val="001C483D"/>
    <w:rsid w:val="001D06DC"/>
    <w:rsid w:val="001D06E5"/>
    <w:rsid w:val="001D3060"/>
    <w:rsid w:val="001D3874"/>
    <w:rsid w:val="001D47B1"/>
    <w:rsid w:val="001D7E75"/>
    <w:rsid w:val="001D7E85"/>
    <w:rsid w:val="001E0D73"/>
    <w:rsid w:val="001E2DD3"/>
    <w:rsid w:val="001E45BD"/>
    <w:rsid w:val="001E56D2"/>
    <w:rsid w:val="001E6929"/>
    <w:rsid w:val="001E6F70"/>
    <w:rsid w:val="001E7D56"/>
    <w:rsid w:val="001F0625"/>
    <w:rsid w:val="001F1734"/>
    <w:rsid w:val="001F5186"/>
    <w:rsid w:val="001F75DE"/>
    <w:rsid w:val="00200D58"/>
    <w:rsid w:val="002011C1"/>
    <w:rsid w:val="002013BE"/>
    <w:rsid w:val="00201EDC"/>
    <w:rsid w:val="00203CFB"/>
    <w:rsid w:val="00204E6B"/>
    <w:rsid w:val="002063A4"/>
    <w:rsid w:val="00207B14"/>
    <w:rsid w:val="0021145B"/>
    <w:rsid w:val="00215127"/>
    <w:rsid w:val="002153D3"/>
    <w:rsid w:val="002159D8"/>
    <w:rsid w:val="002162B3"/>
    <w:rsid w:val="0021702C"/>
    <w:rsid w:val="002172B3"/>
    <w:rsid w:val="00220C23"/>
    <w:rsid w:val="00221F85"/>
    <w:rsid w:val="00222DF1"/>
    <w:rsid w:val="00224608"/>
    <w:rsid w:val="002247F6"/>
    <w:rsid w:val="0022584B"/>
    <w:rsid w:val="00225E21"/>
    <w:rsid w:val="00225E44"/>
    <w:rsid w:val="00230572"/>
    <w:rsid w:val="00230850"/>
    <w:rsid w:val="00234A50"/>
    <w:rsid w:val="00234E78"/>
    <w:rsid w:val="00235086"/>
    <w:rsid w:val="002359FC"/>
    <w:rsid w:val="00241383"/>
    <w:rsid w:val="002414C2"/>
    <w:rsid w:val="00243D36"/>
    <w:rsid w:val="00246151"/>
    <w:rsid w:val="00247707"/>
    <w:rsid w:val="00250A66"/>
    <w:rsid w:val="002517F2"/>
    <w:rsid w:val="00252456"/>
    <w:rsid w:val="002563D6"/>
    <w:rsid w:val="00256B82"/>
    <w:rsid w:val="00260183"/>
    <w:rsid w:val="0026018E"/>
    <w:rsid w:val="00261542"/>
    <w:rsid w:val="002631B1"/>
    <w:rsid w:val="00264736"/>
    <w:rsid w:val="00264A9B"/>
    <w:rsid w:val="00265E91"/>
    <w:rsid w:val="00267F2B"/>
    <w:rsid w:val="00271321"/>
    <w:rsid w:val="00274F0E"/>
    <w:rsid w:val="002816A3"/>
    <w:rsid w:val="002824FD"/>
    <w:rsid w:val="00286740"/>
    <w:rsid w:val="00290187"/>
    <w:rsid w:val="00291EAE"/>
    <w:rsid w:val="002929D8"/>
    <w:rsid w:val="00294509"/>
    <w:rsid w:val="00296365"/>
    <w:rsid w:val="002A237D"/>
    <w:rsid w:val="002A41F2"/>
    <w:rsid w:val="002A4703"/>
    <w:rsid w:val="002A47EE"/>
    <w:rsid w:val="002A4C53"/>
    <w:rsid w:val="002A4C79"/>
    <w:rsid w:val="002A70DC"/>
    <w:rsid w:val="002A757C"/>
    <w:rsid w:val="002B0672"/>
    <w:rsid w:val="002B247F"/>
    <w:rsid w:val="002B50D4"/>
    <w:rsid w:val="002B58BF"/>
    <w:rsid w:val="002B6892"/>
    <w:rsid w:val="002C145D"/>
    <w:rsid w:val="002C2C3E"/>
    <w:rsid w:val="002C4CC2"/>
    <w:rsid w:val="002C4D56"/>
    <w:rsid w:val="002C533E"/>
    <w:rsid w:val="002C7530"/>
    <w:rsid w:val="002C7856"/>
    <w:rsid w:val="002D027F"/>
    <w:rsid w:val="002D10C6"/>
    <w:rsid w:val="002D186B"/>
    <w:rsid w:val="002D2425"/>
    <w:rsid w:val="002D3E15"/>
    <w:rsid w:val="002D7A85"/>
    <w:rsid w:val="002D7B60"/>
    <w:rsid w:val="002E2861"/>
    <w:rsid w:val="002E3C14"/>
    <w:rsid w:val="002E6028"/>
    <w:rsid w:val="002E7CEF"/>
    <w:rsid w:val="002F1440"/>
    <w:rsid w:val="002F4761"/>
    <w:rsid w:val="002F5C79"/>
    <w:rsid w:val="002F68EE"/>
    <w:rsid w:val="00300DCA"/>
    <w:rsid w:val="003019E2"/>
    <w:rsid w:val="00301BC3"/>
    <w:rsid w:val="00302840"/>
    <w:rsid w:val="003053E8"/>
    <w:rsid w:val="00306138"/>
    <w:rsid w:val="00310BEB"/>
    <w:rsid w:val="00312DBF"/>
    <w:rsid w:val="00313017"/>
    <w:rsid w:val="0031413F"/>
    <w:rsid w:val="00314263"/>
    <w:rsid w:val="00314854"/>
    <w:rsid w:val="003148BB"/>
    <w:rsid w:val="00315A66"/>
    <w:rsid w:val="00317976"/>
    <w:rsid w:val="00320F2F"/>
    <w:rsid w:val="0032107E"/>
    <w:rsid w:val="0032457E"/>
    <w:rsid w:val="00325D38"/>
    <w:rsid w:val="00327450"/>
    <w:rsid w:val="00332550"/>
    <w:rsid w:val="003374B7"/>
    <w:rsid w:val="0034087A"/>
    <w:rsid w:val="003442D9"/>
    <w:rsid w:val="00344420"/>
    <w:rsid w:val="00350495"/>
    <w:rsid w:val="0035274D"/>
    <w:rsid w:val="0035277E"/>
    <w:rsid w:val="00353E3E"/>
    <w:rsid w:val="00353F18"/>
    <w:rsid w:val="00355EA9"/>
    <w:rsid w:val="00356980"/>
    <w:rsid w:val="003578DE"/>
    <w:rsid w:val="00361688"/>
    <w:rsid w:val="00361B6B"/>
    <w:rsid w:val="00361C3B"/>
    <w:rsid w:val="003640BC"/>
    <w:rsid w:val="00366C54"/>
    <w:rsid w:val="00372815"/>
    <w:rsid w:val="00372EC0"/>
    <w:rsid w:val="00380921"/>
    <w:rsid w:val="00380F44"/>
    <w:rsid w:val="00386ECF"/>
    <w:rsid w:val="00386FC0"/>
    <w:rsid w:val="003877D5"/>
    <w:rsid w:val="00390AC0"/>
    <w:rsid w:val="003929B8"/>
    <w:rsid w:val="00393432"/>
    <w:rsid w:val="00394E34"/>
    <w:rsid w:val="00394EB3"/>
    <w:rsid w:val="00396257"/>
    <w:rsid w:val="00397EB8"/>
    <w:rsid w:val="003A0F06"/>
    <w:rsid w:val="003A11B3"/>
    <w:rsid w:val="003A4FD0"/>
    <w:rsid w:val="003A69D1"/>
    <w:rsid w:val="003A7705"/>
    <w:rsid w:val="003A77F1"/>
    <w:rsid w:val="003A7ACF"/>
    <w:rsid w:val="003B1545"/>
    <w:rsid w:val="003B21F8"/>
    <w:rsid w:val="003B66B7"/>
    <w:rsid w:val="003C07C8"/>
    <w:rsid w:val="003C3219"/>
    <w:rsid w:val="003C409D"/>
    <w:rsid w:val="003C4544"/>
    <w:rsid w:val="003C4793"/>
    <w:rsid w:val="003C5583"/>
    <w:rsid w:val="003C5BA6"/>
    <w:rsid w:val="003C74CF"/>
    <w:rsid w:val="003D08BF"/>
    <w:rsid w:val="003D3752"/>
    <w:rsid w:val="003D4169"/>
    <w:rsid w:val="003D5B64"/>
    <w:rsid w:val="003D6B7D"/>
    <w:rsid w:val="003E2E57"/>
    <w:rsid w:val="003E35DA"/>
    <w:rsid w:val="003E455D"/>
    <w:rsid w:val="003E521D"/>
    <w:rsid w:val="003F0E85"/>
    <w:rsid w:val="003F3DDD"/>
    <w:rsid w:val="003F4636"/>
    <w:rsid w:val="003F5208"/>
    <w:rsid w:val="003F599B"/>
    <w:rsid w:val="00410C55"/>
    <w:rsid w:val="00414655"/>
    <w:rsid w:val="004147A8"/>
    <w:rsid w:val="00416854"/>
    <w:rsid w:val="00417725"/>
    <w:rsid w:val="004204C7"/>
    <w:rsid w:val="0042266F"/>
    <w:rsid w:val="004226A6"/>
    <w:rsid w:val="004250FA"/>
    <w:rsid w:val="004264DB"/>
    <w:rsid w:val="00431E31"/>
    <w:rsid w:val="00432A85"/>
    <w:rsid w:val="00434321"/>
    <w:rsid w:val="004349B9"/>
    <w:rsid w:val="00434EC2"/>
    <w:rsid w:val="00437F26"/>
    <w:rsid w:val="00441018"/>
    <w:rsid w:val="004423D9"/>
    <w:rsid w:val="00443861"/>
    <w:rsid w:val="00444097"/>
    <w:rsid w:val="00445487"/>
    <w:rsid w:val="00447E0D"/>
    <w:rsid w:val="004504F2"/>
    <w:rsid w:val="00451526"/>
    <w:rsid w:val="0045240E"/>
    <w:rsid w:val="00452496"/>
    <w:rsid w:val="004524E0"/>
    <w:rsid w:val="00453EA8"/>
    <w:rsid w:val="00454769"/>
    <w:rsid w:val="00455209"/>
    <w:rsid w:val="00455A8E"/>
    <w:rsid w:val="00456A4A"/>
    <w:rsid w:val="00461ADC"/>
    <w:rsid w:val="00465A58"/>
    <w:rsid w:val="00466991"/>
    <w:rsid w:val="0047064C"/>
    <w:rsid w:val="00472B3F"/>
    <w:rsid w:val="00472F00"/>
    <w:rsid w:val="004822B7"/>
    <w:rsid w:val="0048269E"/>
    <w:rsid w:val="004850AB"/>
    <w:rsid w:val="0048787B"/>
    <w:rsid w:val="00491330"/>
    <w:rsid w:val="004929D9"/>
    <w:rsid w:val="0049469E"/>
    <w:rsid w:val="004A0748"/>
    <w:rsid w:val="004A1F91"/>
    <w:rsid w:val="004A205D"/>
    <w:rsid w:val="004A2217"/>
    <w:rsid w:val="004A24F9"/>
    <w:rsid w:val="004A2A2D"/>
    <w:rsid w:val="004A35E8"/>
    <w:rsid w:val="004A4058"/>
    <w:rsid w:val="004A42E1"/>
    <w:rsid w:val="004A47D9"/>
    <w:rsid w:val="004A4B48"/>
    <w:rsid w:val="004A7825"/>
    <w:rsid w:val="004A7A97"/>
    <w:rsid w:val="004B0E3E"/>
    <w:rsid w:val="004B162C"/>
    <w:rsid w:val="004B198F"/>
    <w:rsid w:val="004B2ABE"/>
    <w:rsid w:val="004C10C8"/>
    <w:rsid w:val="004C3DBE"/>
    <w:rsid w:val="004C4057"/>
    <w:rsid w:val="004C4F80"/>
    <w:rsid w:val="004C5C96"/>
    <w:rsid w:val="004C684B"/>
    <w:rsid w:val="004C698D"/>
    <w:rsid w:val="004D06A4"/>
    <w:rsid w:val="004D339F"/>
    <w:rsid w:val="004E194D"/>
    <w:rsid w:val="004E5176"/>
    <w:rsid w:val="004E574D"/>
    <w:rsid w:val="004E5BC3"/>
    <w:rsid w:val="004E7675"/>
    <w:rsid w:val="004F1A81"/>
    <w:rsid w:val="004F1EDD"/>
    <w:rsid w:val="004F4923"/>
    <w:rsid w:val="004F5D88"/>
    <w:rsid w:val="0050084A"/>
    <w:rsid w:val="00501354"/>
    <w:rsid w:val="00503ECC"/>
    <w:rsid w:val="005050D2"/>
    <w:rsid w:val="00514669"/>
    <w:rsid w:val="005146C2"/>
    <w:rsid w:val="00515B37"/>
    <w:rsid w:val="00515B41"/>
    <w:rsid w:val="00520509"/>
    <w:rsid w:val="005218D9"/>
    <w:rsid w:val="00521967"/>
    <w:rsid w:val="005228DC"/>
    <w:rsid w:val="00525448"/>
    <w:rsid w:val="0052575B"/>
    <w:rsid w:val="005269AD"/>
    <w:rsid w:val="0052751B"/>
    <w:rsid w:val="00536186"/>
    <w:rsid w:val="00536462"/>
    <w:rsid w:val="005408AE"/>
    <w:rsid w:val="00540E2F"/>
    <w:rsid w:val="00544A96"/>
    <w:rsid w:val="00544CBB"/>
    <w:rsid w:val="00551915"/>
    <w:rsid w:val="00551B65"/>
    <w:rsid w:val="00552A05"/>
    <w:rsid w:val="00553BED"/>
    <w:rsid w:val="00554919"/>
    <w:rsid w:val="00556704"/>
    <w:rsid w:val="005568BD"/>
    <w:rsid w:val="00560C3B"/>
    <w:rsid w:val="00562EA9"/>
    <w:rsid w:val="00564201"/>
    <w:rsid w:val="005656D7"/>
    <w:rsid w:val="005663BE"/>
    <w:rsid w:val="00572298"/>
    <w:rsid w:val="0057315F"/>
    <w:rsid w:val="00574578"/>
    <w:rsid w:val="00576104"/>
    <w:rsid w:val="005840CD"/>
    <w:rsid w:val="005848C8"/>
    <w:rsid w:val="00584F08"/>
    <w:rsid w:val="00585C9D"/>
    <w:rsid w:val="00586418"/>
    <w:rsid w:val="00590614"/>
    <w:rsid w:val="00590745"/>
    <w:rsid w:val="00590F94"/>
    <w:rsid w:val="0059140A"/>
    <w:rsid w:val="00592B21"/>
    <w:rsid w:val="00594436"/>
    <w:rsid w:val="00594ACC"/>
    <w:rsid w:val="0059533A"/>
    <w:rsid w:val="005A12F7"/>
    <w:rsid w:val="005A1C6C"/>
    <w:rsid w:val="005A4D46"/>
    <w:rsid w:val="005A4FC9"/>
    <w:rsid w:val="005B2DF4"/>
    <w:rsid w:val="005B44BF"/>
    <w:rsid w:val="005B7CFB"/>
    <w:rsid w:val="005C3F6F"/>
    <w:rsid w:val="005C4911"/>
    <w:rsid w:val="005C4957"/>
    <w:rsid w:val="005C67C8"/>
    <w:rsid w:val="005D0249"/>
    <w:rsid w:val="005D0C34"/>
    <w:rsid w:val="005D18FA"/>
    <w:rsid w:val="005D322B"/>
    <w:rsid w:val="005D4625"/>
    <w:rsid w:val="005D4FD4"/>
    <w:rsid w:val="005D59FD"/>
    <w:rsid w:val="005D6E8C"/>
    <w:rsid w:val="005D7D61"/>
    <w:rsid w:val="005E1625"/>
    <w:rsid w:val="005E252F"/>
    <w:rsid w:val="005E3004"/>
    <w:rsid w:val="005E45A8"/>
    <w:rsid w:val="005E4780"/>
    <w:rsid w:val="005F0B6B"/>
    <w:rsid w:val="005F100C"/>
    <w:rsid w:val="005F16D2"/>
    <w:rsid w:val="005F57B8"/>
    <w:rsid w:val="005F68DA"/>
    <w:rsid w:val="005F7419"/>
    <w:rsid w:val="006018AE"/>
    <w:rsid w:val="00601BC9"/>
    <w:rsid w:val="0060610D"/>
    <w:rsid w:val="0060660D"/>
    <w:rsid w:val="0060773B"/>
    <w:rsid w:val="00611BA7"/>
    <w:rsid w:val="0061395F"/>
    <w:rsid w:val="00613FD6"/>
    <w:rsid w:val="0061484F"/>
    <w:rsid w:val="006152A1"/>
    <w:rsid w:val="006157B5"/>
    <w:rsid w:val="00617224"/>
    <w:rsid w:val="006223B6"/>
    <w:rsid w:val="006231B8"/>
    <w:rsid w:val="00624B44"/>
    <w:rsid w:val="0062547B"/>
    <w:rsid w:val="00625DB3"/>
    <w:rsid w:val="00626219"/>
    <w:rsid w:val="006264DD"/>
    <w:rsid w:val="00626FC6"/>
    <w:rsid w:val="00627267"/>
    <w:rsid w:val="00627CBC"/>
    <w:rsid w:val="006303B4"/>
    <w:rsid w:val="006304C5"/>
    <w:rsid w:val="00630ADC"/>
    <w:rsid w:val="00630C64"/>
    <w:rsid w:val="006314E7"/>
    <w:rsid w:val="00632760"/>
    <w:rsid w:val="00633D3D"/>
    <w:rsid w:val="006352F6"/>
    <w:rsid w:val="006358EB"/>
    <w:rsid w:val="00637133"/>
    <w:rsid w:val="006411F5"/>
    <w:rsid w:val="00641703"/>
    <w:rsid w:val="006431A6"/>
    <w:rsid w:val="00643372"/>
    <w:rsid w:val="00643E3A"/>
    <w:rsid w:val="0064406B"/>
    <w:rsid w:val="00645962"/>
    <w:rsid w:val="006459F6"/>
    <w:rsid w:val="006468EB"/>
    <w:rsid w:val="006501AD"/>
    <w:rsid w:val="00651BFA"/>
    <w:rsid w:val="00653D2C"/>
    <w:rsid w:val="00654475"/>
    <w:rsid w:val="00655B3F"/>
    <w:rsid w:val="00656DF0"/>
    <w:rsid w:val="00657C6A"/>
    <w:rsid w:val="00660D92"/>
    <w:rsid w:val="0066320B"/>
    <w:rsid w:val="00665A4B"/>
    <w:rsid w:val="006670A8"/>
    <w:rsid w:val="00670FAE"/>
    <w:rsid w:val="006749B3"/>
    <w:rsid w:val="006761F9"/>
    <w:rsid w:val="006828AE"/>
    <w:rsid w:val="0068560A"/>
    <w:rsid w:val="006862EF"/>
    <w:rsid w:val="006868F5"/>
    <w:rsid w:val="00691457"/>
    <w:rsid w:val="00691735"/>
    <w:rsid w:val="00692C11"/>
    <w:rsid w:val="00692C30"/>
    <w:rsid w:val="00692E2A"/>
    <w:rsid w:val="006937BE"/>
    <w:rsid w:val="0069496A"/>
    <w:rsid w:val="00696087"/>
    <w:rsid w:val="00696C1C"/>
    <w:rsid w:val="006A05E4"/>
    <w:rsid w:val="006A4AFA"/>
    <w:rsid w:val="006A60AB"/>
    <w:rsid w:val="006A76F2"/>
    <w:rsid w:val="006B1FEE"/>
    <w:rsid w:val="006B493C"/>
    <w:rsid w:val="006B6BA2"/>
    <w:rsid w:val="006B7D29"/>
    <w:rsid w:val="006C05B6"/>
    <w:rsid w:val="006C1129"/>
    <w:rsid w:val="006C1555"/>
    <w:rsid w:val="006C3F5D"/>
    <w:rsid w:val="006C55BA"/>
    <w:rsid w:val="006C7106"/>
    <w:rsid w:val="006D0D19"/>
    <w:rsid w:val="006D1646"/>
    <w:rsid w:val="006D19D4"/>
    <w:rsid w:val="006D41BA"/>
    <w:rsid w:val="006D5644"/>
    <w:rsid w:val="006D69D3"/>
    <w:rsid w:val="006D7EFB"/>
    <w:rsid w:val="006E0455"/>
    <w:rsid w:val="006E4D45"/>
    <w:rsid w:val="006E4FFC"/>
    <w:rsid w:val="006E6221"/>
    <w:rsid w:val="006E6672"/>
    <w:rsid w:val="006E6722"/>
    <w:rsid w:val="006E7C37"/>
    <w:rsid w:val="006F08F1"/>
    <w:rsid w:val="006F1381"/>
    <w:rsid w:val="006F2092"/>
    <w:rsid w:val="006F2CCA"/>
    <w:rsid w:val="006F46BD"/>
    <w:rsid w:val="006F4DE1"/>
    <w:rsid w:val="006F718B"/>
    <w:rsid w:val="006F7AFF"/>
    <w:rsid w:val="007027B9"/>
    <w:rsid w:val="0070404E"/>
    <w:rsid w:val="00704AF9"/>
    <w:rsid w:val="0070655A"/>
    <w:rsid w:val="007066B5"/>
    <w:rsid w:val="00707B18"/>
    <w:rsid w:val="007122F2"/>
    <w:rsid w:val="007145DA"/>
    <w:rsid w:val="00715747"/>
    <w:rsid w:val="00715E88"/>
    <w:rsid w:val="00716D8B"/>
    <w:rsid w:val="00721E61"/>
    <w:rsid w:val="00722063"/>
    <w:rsid w:val="007242B5"/>
    <w:rsid w:val="00730266"/>
    <w:rsid w:val="00731576"/>
    <w:rsid w:val="007315D9"/>
    <w:rsid w:val="00734150"/>
    <w:rsid w:val="00734CAA"/>
    <w:rsid w:val="007369B9"/>
    <w:rsid w:val="00740343"/>
    <w:rsid w:val="00740ADB"/>
    <w:rsid w:val="00740EE2"/>
    <w:rsid w:val="0074206D"/>
    <w:rsid w:val="00742680"/>
    <w:rsid w:val="007511C3"/>
    <w:rsid w:val="0075533C"/>
    <w:rsid w:val="00755A18"/>
    <w:rsid w:val="00757581"/>
    <w:rsid w:val="007602F5"/>
    <w:rsid w:val="00760D36"/>
    <w:rsid w:val="007611A0"/>
    <w:rsid w:val="0076398C"/>
    <w:rsid w:val="00765CC3"/>
    <w:rsid w:val="0076624D"/>
    <w:rsid w:val="00772574"/>
    <w:rsid w:val="00772F55"/>
    <w:rsid w:val="00773E54"/>
    <w:rsid w:val="007740B9"/>
    <w:rsid w:val="0077642E"/>
    <w:rsid w:val="007768F8"/>
    <w:rsid w:val="00777A83"/>
    <w:rsid w:val="00777CCD"/>
    <w:rsid w:val="00784A03"/>
    <w:rsid w:val="007856CE"/>
    <w:rsid w:val="0078581E"/>
    <w:rsid w:val="00786843"/>
    <w:rsid w:val="00787688"/>
    <w:rsid w:val="0078781A"/>
    <w:rsid w:val="007935E6"/>
    <w:rsid w:val="00796D3F"/>
    <w:rsid w:val="00797DDD"/>
    <w:rsid w:val="007A075B"/>
    <w:rsid w:val="007A1683"/>
    <w:rsid w:val="007A5017"/>
    <w:rsid w:val="007A5C12"/>
    <w:rsid w:val="007A6EAF"/>
    <w:rsid w:val="007A7CB0"/>
    <w:rsid w:val="007B11D0"/>
    <w:rsid w:val="007B23A4"/>
    <w:rsid w:val="007B68A3"/>
    <w:rsid w:val="007B7446"/>
    <w:rsid w:val="007C0AEB"/>
    <w:rsid w:val="007C20A0"/>
    <w:rsid w:val="007C2541"/>
    <w:rsid w:val="007C6842"/>
    <w:rsid w:val="007C75F5"/>
    <w:rsid w:val="007D66A8"/>
    <w:rsid w:val="007E003F"/>
    <w:rsid w:val="007E0FAA"/>
    <w:rsid w:val="007E2691"/>
    <w:rsid w:val="007E299C"/>
    <w:rsid w:val="007E3447"/>
    <w:rsid w:val="007E65A8"/>
    <w:rsid w:val="007F0CF8"/>
    <w:rsid w:val="007F41C2"/>
    <w:rsid w:val="007F5E1B"/>
    <w:rsid w:val="007F5E7D"/>
    <w:rsid w:val="007F62CB"/>
    <w:rsid w:val="007F74EA"/>
    <w:rsid w:val="00806D74"/>
    <w:rsid w:val="00807063"/>
    <w:rsid w:val="008132A6"/>
    <w:rsid w:val="00813586"/>
    <w:rsid w:val="00813DBB"/>
    <w:rsid w:val="00813FA0"/>
    <w:rsid w:val="008142EC"/>
    <w:rsid w:val="008164F2"/>
    <w:rsid w:val="00816847"/>
    <w:rsid w:val="00821395"/>
    <w:rsid w:val="00823E33"/>
    <w:rsid w:val="0082625D"/>
    <w:rsid w:val="00830B17"/>
    <w:rsid w:val="00830E26"/>
    <w:rsid w:val="00834368"/>
    <w:rsid w:val="0083441A"/>
    <w:rsid w:val="00835F3F"/>
    <w:rsid w:val="00843576"/>
    <w:rsid w:val="00843B64"/>
    <w:rsid w:val="00845261"/>
    <w:rsid w:val="00846B84"/>
    <w:rsid w:val="008478FC"/>
    <w:rsid w:val="0085023E"/>
    <w:rsid w:val="00851C51"/>
    <w:rsid w:val="008521B2"/>
    <w:rsid w:val="008538F7"/>
    <w:rsid w:val="00856712"/>
    <w:rsid w:val="008613F7"/>
    <w:rsid w:val="00863367"/>
    <w:rsid w:val="00865FEC"/>
    <w:rsid w:val="00867BFF"/>
    <w:rsid w:val="00870345"/>
    <w:rsid w:val="00871542"/>
    <w:rsid w:val="0087179B"/>
    <w:rsid w:val="00872BF6"/>
    <w:rsid w:val="0088480A"/>
    <w:rsid w:val="00885BC9"/>
    <w:rsid w:val="00886660"/>
    <w:rsid w:val="0088757A"/>
    <w:rsid w:val="00891A8C"/>
    <w:rsid w:val="00893590"/>
    <w:rsid w:val="0089431B"/>
    <w:rsid w:val="0089564B"/>
    <w:rsid w:val="00895668"/>
    <w:rsid w:val="008957D5"/>
    <w:rsid w:val="008957DD"/>
    <w:rsid w:val="00895CD2"/>
    <w:rsid w:val="008961AE"/>
    <w:rsid w:val="00897D98"/>
    <w:rsid w:val="008A09FE"/>
    <w:rsid w:val="008A140E"/>
    <w:rsid w:val="008A17EB"/>
    <w:rsid w:val="008A27F7"/>
    <w:rsid w:val="008A35CE"/>
    <w:rsid w:val="008A4FE9"/>
    <w:rsid w:val="008A59AD"/>
    <w:rsid w:val="008A6DF2"/>
    <w:rsid w:val="008A7807"/>
    <w:rsid w:val="008B06B8"/>
    <w:rsid w:val="008B22F8"/>
    <w:rsid w:val="008B3944"/>
    <w:rsid w:val="008B4CC9"/>
    <w:rsid w:val="008B7990"/>
    <w:rsid w:val="008C0B15"/>
    <w:rsid w:val="008C30D4"/>
    <w:rsid w:val="008C3940"/>
    <w:rsid w:val="008C4869"/>
    <w:rsid w:val="008C5893"/>
    <w:rsid w:val="008D06F3"/>
    <w:rsid w:val="008D4E40"/>
    <w:rsid w:val="008D5CB8"/>
    <w:rsid w:val="008D75E4"/>
    <w:rsid w:val="008D7C99"/>
    <w:rsid w:val="008E02A6"/>
    <w:rsid w:val="008E0D03"/>
    <w:rsid w:val="008E0FCB"/>
    <w:rsid w:val="008E1531"/>
    <w:rsid w:val="008E3B94"/>
    <w:rsid w:val="008E43CD"/>
    <w:rsid w:val="008E6D31"/>
    <w:rsid w:val="008E79A6"/>
    <w:rsid w:val="008F0AE9"/>
    <w:rsid w:val="008F46A2"/>
    <w:rsid w:val="008F4B16"/>
    <w:rsid w:val="008F6567"/>
    <w:rsid w:val="008F6DFE"/>
    <w:rsid w:val="00903388"/>
    <w:rsid w:val="0090529F"/>
    <w:rsid w:val="00907E2F"/>
    <w:rsid w:val="009106DB"/>
    <w:rsid w:val="00912C2C"/>
    <w:rsid w:val="00915D85"/>
    <w:rsid w:val="009167E5"/>
    <w:rsid w:val="009176E4"/>
    <w:rsid w:val="00917D95"/>
    <w:rsid w:val="00920978"/>
    <w:rsid w:val="0092178C"/>
    <w:rsid w:val="009234B0"/>
    <w:rsid w:val="00924744"/>
    <w:rsid w:val="009308A1"/>
    <w:rsid w:val="00930B88"/>
    <w:rsid w:val="009319C5"/>
    <w:rsid w:val="0093330D"/>
    <w:rsid w:val="00935376"/>
    <w:rsid w:val="00935824"/>
    <w:rsid w:val="00940CE5"/>
    <w:rsid w:val="00940DCC"/>
    <w:rsid w:val="0094179A"/>
    <w:rsid w:val="009426D2"/>
    <w:rsid w:val="0094459E"/>
    <w:rsid w:val="00944DBC"/>
    <w:rsid w:val="00947814"/>
    <w:rsid w:val="00950221"/>
    <w:rsid w:val="00950977"/>
    <w:rsid w:val="00951962"/>
    <w:rsid w:val="00951A7B"/>
    <w:rsid w:val="00955512"/>
    <w:rsid w:val="00955AEC"/>
    <w:rsid w:val="009564A6"/>
    <w:rsid w:val="00957EF8"/>
    <w:rsid w:val="00957F8A"/>
    <w:rsid w:val="00966A53"/>
    <w:rsid w:val="00967621"/>
    <w:rsid w:val="00967E6A"/>
    <w:rsid w:val="0097109D"/>
    <w:rsid w:val="00972E14"/>
    <w:rsid w:val="009746B0"/>
    <w:rsid w:val="00974F45"/>
    <w:rsid w:val="00975042"/>
    <w:rsid w:val="00976677"/>
    <w:rsid w:val="009813AA"/>
    <w:rsid w:val="00985027"/>
    <w:rsid w:val="009907B9"/>
    <w:rsid w:val="00990918"/>
    <w:rsid w:val="009913A7"/>
    <w:rsid w:val="009A3117"/>
    <w:rsid w:val="009A399C"/>
    <w:rsid w:val="009A3A83"/>
    <w:rsid w:val="009A3EAF"/>
    <w:rsid w:val="009A5946"/>
    <w:rsid w:val="009B377E"/>
    <w:rsid w:val="009B3EB2"/>
    <w:rsid w:val="009B4A0F"/>
    <w:rsid w:val="009B4AD7"/>
    <w:rsid w:val="009B62AE"/>
    <w:rsid w:val="009B660B"/>
    <w:rsid w:val="009C0FFD"/>
    <w:rsid w:val="009C11D2"/>
    <w:rsid w:val="009C1722"/>
    <w:rsid w:val="009C1E93"/>
    <w:rsid w:val="009C2C6F"/>
    <w:rsid w:val="009C5C60"/>
    <w:rsid w:val="009C6595"/>
    <w:rsid w:val="009C6C70"/>
    <w:rsid w:val="009C7B0A"/>
    <w:rsid w:val="009D0B63"/>
    <w:rsid w:val="009D409D"/>
    <w:rsid w:val="009D5CB8"/>
    <w:rsid w:val="009D5EC9"/>
    <w:rsid w:val="009E307E"/>
    <w:rsid w:val="009E40F6"/>
    <w:rsid w:val="009E4DB0"/>
    <w:rsid w:val="009E62FA"/>
    <w:rsid w:val="009E7DE9"/>
    <w:rsid w:val="009F7488"/>
    <w:rsid w:val="00A01FF6"/>
    <w:rsid w:val="00A0326C"/>
    <w:rsid w:val="00A03890"/>
    <w:rsid w:val="00A057E8"/>
    <w:rsid w:val="00A06058"/>
    <w:rsid w:val="00A07870"/>
    <w:rsid w:val="00A07C54"/>
    <w:rsid w:val="00A07F19"/>
    <w:rsid w:val="00A109BC"/>
    <w:rsid w:val="00A10ABB"/>
    <w:rsid w:val="00A12113"/>
    <w:rsid w:val="00A12740"/>
    <w:rsid w:val="00A12C70"/>
    <w:rsid w:val="00A1348D"/>
    <w:rsid w:val="00A136A1"/>
    <w:rsid w:val="00A13971"/>
    <w:rsid w:val="00A13C99"/>
    <w:rsid w:val="00A159B5"/>
    <w:rsid w:val="00A219F7"/>
    <w:rsid w:val="00A232EE"/>
    <w:rsid w:val="00A27101"/>
    <w:rsid w:val="00A279A1"/>
    <w:rsid w:val="00A33A87"/>
    <w:rsid w:val="00A33D00"/>
    <w:rsid w:val="00A361E9"/>
    <w:rsid w:val="00A36549"/>
    <w:rsid w:val="00A37E4B"/>
    <w:rsid w:val="00A41418"/>
    <w:rsid w:val="00A4175F"/>
    <w:rsid w:val="00A436CC"/>
    <w:rsid w:val="00A44411"/>
    <w:rsid w:val="00A46724"/>
    <w:rsid w:val="00A4696E"/>
    <w:rsid w:val="00A469FA"/>
    <w:rsid w:val="00A50C65"/>
    <w:rsid w:val="00A51A7B"/>
    <w:rsid w:val="00A53662"/>
    <w:rsid w:val="00A55B01"/>
    <w:rsid w:val="00A56B5B"/>
    <w:rsid w:val="00A57921"/>
    <w:rsid w:val="00A603FF"/>
    <w:rsid w:val="00A6051F"/>
    <w:rsid w:val="00A60DC8"/>
    <w:rsid w:val="00A619B6"/>
    <w:rsid w:val="00A648CA"/>
    <w:rsid w:val="00A65304"/>
    <w:rsid w:val="00A657DD"/>
    <w:rsid w:val="00A66339"/>
    <w:rsid w:val="00A66494"/>
    <w:rsid w:val="00A664F6"/>
    <w:rsid w:val="00A666A6"/>
    <w:rsid w:val="00A675FD"/>
    <w:rsid w:val="00A70242"/>
    <w:rsid w:val="00A72437"/>
    <w:rsid w:val="00A7489D"/>
    <w:rsid w:val="00A751A2"/>
    <w:rsid w:val="00A76DB8"/>
    <w:rsid w:val="00A8048B"/>
    <w:rsid w:val="00A80611"/>
    <w:rsid w:val="00A8341E"/>
    <w:rsid w:val="00A84118"/>
    <w:rsid w:val="00A845B6"/>
    <w:rsid w:val="00A849AE"/>
    <w:rsid w:val="00A91D90"/>
    <w:rsid w:val="00A95971"/>
    <w:rsid w:val="00AA1BE3"/>
    <w:rsid w:val="00AA5BF4"/>
    <w:rsid w:val="00AA6B30"/>
    <w:rsid w:val="00AA7D8F"/>
    <w:rsid w:val="00AB1671"/>
    <w:rsid w:val="00AB5340"/>
    <w:rsid w:val="00AB6223"/>
    <w:rsid w:val="00AC0A89"/>
    <w:rsid w:val="00AC3761"/>
    <w:rsid w:val="00AC5124"/>
    <w:rsid w:val="00AC6AEE"/>
    <w:rsid w:val="00AC7C96"/>
    <w:rsid w:val="00AD2971"/>
    <w:rsid w:val="00AD2C0E"/>
    <w:rsid w:val="00AD3593"/>
    <w:rsid w:val="00AD4B78"/>
    <w:rsid w:val="00AD4EC9"/>
    <w:rsid w:val="00AD7E64"/>
    <w:rsid w:val="00AE0812"/>
    <w:rsid w:val="00AE237D"/>
    <w:rsid w:val="00AE49CF"/>
    <w:rsid w:val="00AE502A"/>
    <w:rsid w:val="00AE7D3C"/>
    <w:rsid w:val="00AF0010"/>
    <w:rsid w:val="00AF01E5"/>
    <w:rsid w:val="00AF159F"/>
    <w:rsid w:val="00AF1AA8"/>
    <w:rsid w:val="00AF2C1F"/>
    <w:rsid w:val="00AF7C07"/>
    <w:rsid w:val="00AF7C25"/>
    <w:rsid w:val="00AF7F22"/>
    <w:rsid w:val="00B0315B"/>
    <w:rsid w:val="00B04DC7"/>
    <w:rsid w:val="00B0611F"/>
    <w:rsid w:val="00B06929"/>
    <w:rsid w:val="00B06C64"/>
    <w:rsid w:val="00B076F2"/>
    <w:rsid w:val="00B07D8E"/>
    <w:rsid w:val="00B102C7"/>
    <w:rsid w:val="00B11CAC"/>
    <w:rsid w:val="00B15A29"/>
    <w:rsid w:val="00B22C93"/>
    <w:rsid w:val="00B24F2A"/>
    <w:rsid w:val="00B258CF"/>
    <w:rsid w:val="00B259B2"/>
    <w:rsid w:val="00B2621D"/>
    <w:rsid w:val="00B27589"/>
    <w:rsid w:val="00B32DE1"/>
    <w:rsid w:val="00B33D74"/>
    <w:rsid w:val="00B35EC8"/>
    <w:rsid w:val="00B405B7"/>
    <w:rsid w:val="00B45535"/>
    <w:rsid w:val="00B45A84"/>
    <w:rsid w:val="00B468C0"/>
    <w:rsid w:val="00B52222"/>
    <w:rsid w:val="00B531DA"/>
    <w:rsid w:val="00B540C1"/>
    <w:rsid w:val="00B54895"/>
    <w:rsid w:val="00B54FE7"/>
    <w:rsid w:val="00B55D23"/>
    <w:rsid w:val="00B56125"/>
    <w:rsid w:val="00B626D3"/>
    <w:rsid w:val="00B647C6"/>
    <w:rsid w:val="00B655F9"/>
    <w:rsid w:val="00B65CDF"/>
    <w:rsid w:val="00B66901"/>
    <w:rsid w:val="00B66F60"/>
    <w:rsid w:val="00B6796F"/>
    <w:rsid w:val="00B71E6D"/>
    <w:rsid w:val="00B72070"/>
    <w:rsid w:val="00B7210F"/>
    <w:rsid w:val="00B73405"/>
    <w:rsid w:val="00B759BB"/>
    <w:rsid w:val="00B779E1"/>
    <w:rsid w:val="00B77F53"/>
    <w:rsid w:val="00B81E3A"/>
    <w:rsid w:val="00B843EF"/>
    <w:rsid w:val="00B84F2C"/>
    <w:rsid w:val="00B85CFB"/>
    <w:rsid w:val="00B914E9"/>
    <w:rsid w:val="00B91DCA"/>
    <w:rsid w:val="00B91EE1"/>
    <w:rsid w:val="00B942FF"/>
    <w:rsid w:val="00B94602"/>
    <w:rsid w:val="00B94668"/>
    <w:rsid w:val="00B94787"/>
    <w:rsid w:val="00B96FD4"/>
    <w:rsid w:val="00BA0090"/>
    <w:rsid w:val="00BA076D"/>
    <w:rsid w:val="00BA1A67"/>
    <w:rsid w:val="00BA3733"/>
    <w:rsid w:val="00BA5A16"/>
    <w:rsid w:val="00BA6A80"/>
    <w:rsid w:val="00BB396B"/>
    <w:rsid w:val="00BB4998"/>
    <w:rsid w:val="00BB4A71"/>
    <w:rsid w:val="00BB4ABB"/>
    <w:rsid w:val="00BC0FF1"/>
    <w:rsid w:val="00BC38C0"/>
    <w:rsid w:val="00BC4135"/>
    <w:rsid w:val="00BC62BA"/>
    <w:rsid w:val="00BC7B6D"/>
    <w:rsid w:val="00BD0B37"/>
    <w:rsid w:val="00BD4D9A"/>
    <w:rsid w:val="00BD5573"/>
    <w:rsid w:val="00BD6959"/>
    <w:rsid w:val="00BE0048"/>
    <w:rsid w:val="00BE0E42"/>
    <w:rsid w:val="00BE2E9A"/>
    <w:rsid w:val="00BE2F41"/>
    <w:rsid w:val="00BE5B5F"/>
    <w:rsid w:val="00BE6349"/>
    <w:rsid w:val="00BE6976"/>
    <w:rsid w:val="00BE7993"/>
    <w:rsid w:val="00BF2760"/>
    <w:rsid w:val="00BF67A2"/>
    <w:rsid w:val="00C0032B"/>
    <w:rsid w:val="00C03677"/>
    <w:rsid w:val="00C055B1"/>
    <w:rsid w:val="00C11971"/>
    <w:rsid w:val="00C126D5"/>
    <w:rsid w:val="00C14585"/>
    <w:rsid w:val="00C152D1"/>
    <w:rsid w:val="00C1592A"/>
    <w:rsid w:val="00C15BF4"/>
    <w:rsid w:val="00C179DE"/>
    <w:rsid w:val="00C2189F"/>
    <w:rsid w:val="00C22B55"/>
    <w:rsid w:val="00C2437C"/>
    <w:rsid w:val="00C26999"/>
    <w:rsid w:val="00C26F55"/>
    <w:rsid w:val="00C27140"/>
    <w:rsid w:val="00C30C63"/>
    <w:rsid w:val="00C30FF3"/>
    <w:rsid w:val="00C31006"/>
    <w:rsid w:val="00C31CD0"/>
    <w:rsid w:val="00C32AE2"/>
    <w:rsid w:val="00C34D5C"/>
    <w:rsid w:val="00C36B8B"/>
    <w:rsid w:val="00C36DDC"/>
    <w:rsid w:val="00C415C1"/>
    <w:rsid w:val="00C42706"/>
    <w:rsid w:val="00C44630"/>
    <w:rsid w:val="00C46475"/>
    <w:rsid w:val="00C47DBF"/>
    <w:rsid w:val="00C54468"/>
    <w:rsid w:val="00C54622"/>
    <w:rsid w:val="00C552FF"/>
    <w:rsid w:val="00C558DA"/>
    <w:rsid w:val="00C55AF3"/>
    <w:rsid w:val="00C55C3F"/>
    <w:rsid w:val="00C56F63"/>
    <w:rsid w:val="00C63A90"/>
    <w:rsid w:val="00C65E82"/>
    <w:rsid w:val="00C66A15"/>
    <w:rsid w:val="00C67FFA"/>
    <w:rsid w:val="00C70F90"/>
    <w:rsid w:val="00C730D3"/>
    <w:rsid w:val="00C745B8"/>
    <w:rsid w:val="00C75E0A"/>
    <w:rsid w:val="00C76513"/>
    <w:rsid w:val="00C771A9"/>
    <w:rsid w:val="00C77439"/>
    <w:rsid w:val="00C82943"/>
    <w:rsid w:val="00C84329"/>
    <w:rsid w:val="00C846B1"/>
    <w:rsid w:val="00C84759"/>
    <w:rsid w:val="00C86F5A"/>
    <w:rsid w:val="00C9267D"/>
    <w:rsid w:val="00C92B2B"/>
    <w:rsid w:val="00C93096"/>
    <w:rsid w:val="00C96761"/>
    <w:rsid w:val="00C96A49"/>
    <w:rsid w:val="00CA5CA9"/>
    <w:rsid w:val="00CA6C7F"/>
    <w:rsid w:val="00CB007D"/>
    <w:rsid w:val="00CB1A4C"/>
    <w:rsid w:val="00CB1CA0"/>
    <w:rsid w:val="00CB292C"/>
    <w:rsid w:val="00CB30C3"/>
    <w:rsid w:val="00CB60CA"/>
    <w:rsid w:val="00CC0FC7"/>
    <w:rsid w:val="00CC10A6"/>
    <w:rsid w:val="00CC227D"/>
    <w:rsid w:val="00CC2E1A"/>
    <w:rsid w:val="00CC6D13"/>
    <w:rsid w:val="00CC75DF"/>
    <w:rsid w:val="00CC7633"/>
    <w:rsid w:val="00CD231F"/>
    <w:rsid w:val="00CD5230"/>
    <w:rsid w:val="00CD5EB8"/>
    <w:rsid w:val="00CD6121"/>
    <w:rsid w:val="00CD7044"/>
    <w:rsid w:val="00CE08B9"/>
    <w:rsid w:val="00CE0D4B"/>
    <w:rsid w:val="00CE1BED"/>
    <w:rsid w:val="00CE3515"/>
    <w:rsid w:val="00CE4E08"/>
    <w:rsid w:val="00CE524C"/>
    <w:rsid w:val="00CE54C6"/>
    <w:rsid w:val="00CF141F"/>
    <w:rsid w:val="00CF1C83"/>
    <w:rsid w:val="00CF4777"/>
    <w:rsid w:val="00CF65C8"/>
    <w:rsid w:val="00D0007A"/>
    <w:rsid w:val="00D013F5"/>
    <w:rsid w:val="00D033A6"/>
    <w:rsid w:val="00D033D6"/>
    <w:rsid w:val="00D045FB"/>
    <w:rsid w:val="00D04CA2"/>
    <w:rsid w:val="00D05E3F"/>
    <w:rsid w:val="00D064E8"/>
    <w:rsid w:val="00D067BB"/>
    <w:rsid w:val="00D113E2"/>
    <w:rsid w:val="00D12B51"/>
    <w:rsid w:val="00D12E43"/>
    <w:rsid w:val="00D1352A"/>
    <w:rsid w:val="00D1638E"/>
    <w:rsid w:val="00D169AF"/>
    <w:rsid w:val="00D200EF"/>
    <w:rsid w:val="00D22377"/>
    <w:rsid w:val="00D25175"/>
    <w:rsid w:val="00D25249"/>
    <w:rsid w:val="00D26854"/>
    <w:rsid w:val="00D319AD"/>
    <w:rsid w:val="00D31AFF"/>
    <w:rsid w:val="00D324EE"/>
    <w:rsid w:val="00D34389"/>
    <w:rsid w:val="00D368FB"/>
    <w:rsid w:val="00D37CDE"/>
    <w:rsid w:val="00D436F6"/>
    <w:rsid w:val="00D44172"/>
    <w:rsid w:val="00D455C4"/>
    <w:rsid w:val="00D45AA7"/>
    <w:rsid w:val="00D47BE3"/>
    <w:rsid w:val="00D506C4"/>
    <w:rsid w:val="00D547CD"/>
    <w:rsid w:val="00D55EC0"/>
    <w:rsid w:val="00D63B8C"/>
    <w:rsid w:val="00D71C0A"/>
    <w:rsid w:val="00D725B5"/>
    <w:rsid w:val="00D7358E"/>
    <w:rsid w:val="00D739CC"/>
    <w:rsid w:val="00D76205"/>
    <w:rsid w:val="00D7738D"/>
    <w:rsid w:val="00D77FE8"/>
    <w:rsid w:val="00D806F9"/>
    <w:rsid w:val="00D8093D"/>
    <w:rsid w:val="00D8108C"/>
    <w:rsid w:val="00D842AE"/>
    <w:rsid w:val="00D86FCB"/>
    <w:rsid w:val="00D9211C"/>
    <w:rsid w:val="00D92DE0"/>
    <w:rsid w:val="00D92FEF"/>
    <w:rsid w:val="00D931F9"/>
    <w:rsid w:val="00D93A0F"/>
    <w:rsid w:val="00D9494F"/>
    <w:rsid w:val="00D954FE"/>
    <w:rsid w:val="00DA1BCA"/>
    <w:rsid w:val="00DA3663"/>
    <w:rsid w:val="00DB24F4"/>
    <w:rsid w:val="00DB295A"/>
    <w:rsid w:val="00DB56BA"/>
    <w:rsid w:val="00DC0625"/>
    <w:rsid w:val="00DC153D"/>
    <w:rsid w:val="00DC274A"/>
    <w:rsid w:val="00DC46FF"/>
    <w:rsid w:val="00DC4840"/>
    <w:rsid w:val="00DC5254"/>
    <w:rsid w:val="00DC569D"/>
    <w:rsid w:val="00DC61F4"/>
    <w:rsid w:val="00DD0FCB"/>
    <w:rsid w:val="00DD1A4F"/>
    <w:rsid w:val="00DD1CF9"/>
    <w:rsid w:val="00DD3107"/>
    <w:rsid w:val="00DD4C70"/>
    <w:rsid w:val="00DD68AD"/>
    <w:rsid w:val="00DD7407"/>
    <w:rsid w:val="00DD7741"/>
    <w:rsid w:val="00DD7C2C"/>
    <w:rsid w:val="00DE0E4E"/>
    <w:rsid w:val="00DE5BDA"/>
    <w:rsid w:val="00DE5C2A"/>
    <w:rsid w:val="00DE7FFB"/>
    <w:rsid w:val="00DF3B4D"/>
    <w:rsid w:val="00DF433C"/>
    <w:rsid w:val="00DF47E9"/>
    <w:rsid w:val="00DF519F"/>
    <w:rsid w:val="00DF5867"/>
    <w:rsid w:val="00DF6921"/>
    <w:rsid w:val="00E0035A"/>
    <w:rsid w:val="00E06797"/>
    <w:rsid w:val="00E06A20"/>
    <w:rsid w:val="00E06EAF"/>
    <w:rsid w:val="00E1265B"/>
    <w:rsid w:val="00E12E09"/>
    <w:rsid w:val="00E13B48"/>
    <w:rsid w:val="00E1404F"/>
    <w:rsid w:val="00E1739A"/>
    <w:rsid w:val="00E21C83"/>
    <w:rsid w:val="00E243AB"/>
    <w:rsid w:val="00E24ADA"/>
    <w:rsid w:val="00E24EBE"/>
    <w:rsid w:val="00E32F59"/>
    <w:rsid w:val="00E377E9"/>
    <w:rsid w:val="00E406DE"/>
    <w:rsid w:val="00E41908"/>
    <w:rsid w:val="00E41E77"/>
    <w:rsid w:val="00E4254D"/>
    <w:rsid w:val="00E42618"/>
    <w:rsid w:val="00E44420"/>
    <w:rsid w:val="00E458AD"/>
    <w:rsid w:val="00E45B1B"/>
    <w:rsid w:val="00E4622F"/>
    <w:rsid w:val="00E46D9A"/>
    <w:rsid w:val="00E4739D"/>
    <w:rsid w:val="00E51206"/>
    <w:rsid w:val="00E565FF"/>
    <w:rsid w:val="00E5693F"/>
    <w:rsid w:val="00E56D12"/>
    <w:rsid w:val="00E63DCE"/>
    <w:rsid w:val="00E65388"/>
    <w:rsid w:val="00E65BB7"/>
    <w:rsid w:val="00E66DF9"/>
    <w:rsid w:val="00E70089"/>
    <w:rsid w:val="00E70784"/>
    <w:rsid w:val="00E70C13"/>
    <w:rsid w:val="00E745D9"/>
    <w:rsid w:val="00E762A9"/>
    <w:rsid w:val="00E768D1"/>
    <w:rsid w:val="00E7741D"/>
    <w:rsid w:val="00E808CD"/>
    <w:rsid w:val="00E80C2A"/>
    <w:rsid w:val="00E81129"/>
    <w:rsid w:val="00E8302A"/>
    <w:rsid w:val="00E8348F"/>
    <w:rsid w:val="00E85B7D"/>
    <w:rsid w:val="00E86391"/>
    <w:rsid w:val="00E9121B"/>
    <w:rsid w:val="00E9302E"/>
    <w:rsid w:val="00E93C3E"/>
    <w:rsid w:val="00E94D67"/>
    <w:rsid w:val="00E976AB"/>
    <w:rsid w:val="00EA0AE2"/>
    <w:rsid w:val="00EA2C29"/>
    <w:rsid w:val="00EA39E5"/>
    <w:rsid w:val="00EA3BAC"/>
    <w:rsid w:val="00EA549D"/>
    <w:rsid w:val="00EA57A3"/>
    <w:rsid w:val="00EB0390"/>
    <w:rsid w:val="00EB3A9B"/>
    <w:rsid w:val="00EB4597"/>
    <w:rsid w:val="00EB532F"/>
    <w:rsid w:val="00EB6435"/>
    <w:rsid w:val="00EC166C"/>
    <w:rsid w:val="00EC2813"/>
    <w:rsid w:val="00EC2FAA"/>
    <w:rsid w:val="00EC4D79"/>
    <w:rsid w:val="00EC5A46"/>
    <w:rsid w:val="00EC63E2"/>
    <w:rsid w:val="00EC693E"/>
    <w:rsid w:val="00ED0225"/>
    <w:rsid w:val="00ED0C40"/>
    <w:rsid w:val="00ED325C"/>
    <w:rsid w:val="00ED366A"/>
    <w:rsid w:val="00ED6BB7"/>
    <w:rsid w:val="00ED7780"/>
    <w:rsid w:val="00EE0FBF"/>
    <w:rsid w:val="00EE2807"/>
    <w:rsid w:val="00EE3A9B"/>
    <w:rsid w:val="00EE5A31"/>
    <w:rsid w:val="00EF22B3"/>
    <w:rsid w:val="00EF4140"/>
    <w:rsid w:val="00F03B69"/>
    <w:rsid w:val="00F06453"/>
    <w:rsid w:val="00F06A9B"/>
    <w:rsid w:val="00F06BDA"/>
    <w:rsid w:val="00F07A50"/>
    <w:rsid w:val="00F103CF"/>
    <w:rsid w:val="00F1047E"/>
    <w:rsid w:val="00F113DA"/>
    <w:rsid w:val="00F2047D"/>
    <w:rsid w:val="00F20C36"/>
    <w:rsid w:val="00F22911"/>
    <w:rsid w:val="00F24167"/>
    <w:rsid w:val="00F266FC"/>
    <w:rsid w:val="00F3037A"/>
    <w:rsid w:val="00F31484"/>
    <w:rsid w:val="00F33009"/>
    <w:rsid w:val="00F3465A"/>
    <w:rsid w:val="00F34B2C"/>
    <w:rsid w:val="00F35F13"/>
    <w:rsid w:val="00F37BF0"/>
    <w:rsid w:val="00F37DC8"/>
    <w:rsid w:val="00F42179"/>
    <w:rsid w:val="00F439B3"/>
    <w:rsid w:val="00F47825"/>
    <w:rsid w:val="00F50B8C"/>
    <w:rsid w:val="00F523FD"/>
    <w:rsid w:val="00F5283D"/>
    <w:rsid w:val="00F6061C"/>
    <w:rsid w:val="00F61AB4"/>
    <w:rsid w:val="00F623C9"/>
    <w:rsid w:val="00F62601"/>
    <w:rsid w:val="00F6262D"/>
    <w:rsid w:val="00F633DE"/>
    <w:rsid w:val="00F635CE"/>
    <w:rsid w:val="00F64C39"/>
    <w:rsid w:val="00F650C3"/>
    <w:rsid w:val="00F65B84"/>
    <w:rsid w:val="00F65D85"/>
    <w:rsid w:val="00F6700B"/>
    <w:rsid w:val="00F6760B"/>
    <w:rsid w:val="00F707A6"/>
    <w:rsid w:val="00F7137B"/>
    <w:rsid w:val="00F71DF1"/>
    <w:rsid w:val="00F73346"/>
    <w:rsid w:val="00F75050"/>
    <w:rsid w:val="00F77B3A"/>
    <w:rsid w:val="00F8038D"/>
    <w:rsid w:val="00F8091E"/>
    <w:rsid w:val="00F84101"/>
    <w:rsid w:val="00F8431A"/>
    <w:rsid w:val="00F84AFE"/>
    <w:rsid w:val="00F8581C"/>
    <w:rsid w:val="00F8615C"/>
    <w:rsid w:val="00F86EED"/>
    <w:rsid w:val="00F872E5"/>
    <w:rsid w:val="00F87865"/>
    <w:rsid w:val="00F93C0E"/>
    <w:rsid w:val="00F93F76"/>
    <w:rsid w:val="00F95DC1"/>
    <w:rsid w:val="00F969E5"/>
    <w:rsid w:val="00F96EDC"/>
    <w:rsid w:val="00FA2E2E"/>
    <w:rsid w:val="00FA4221"/>
    <w:rsid w:val="00FA4972"/>
    <w:rsid w:val="00FA6BB0"/>
    <w:rsid w:val="00FB142A"/>
    <w:rsid w:val="00FB1B51"/>
    <w:rsid w:val="00FB2DBD"/>
    <w:rsid w:val="00FB3DF2"/>
    <w:rsid w:val="00FB7173"/>
    <w:rsid w:val="00FC05A8"/>
    <w:rsid w:val="00FC1279"/>
    <w:rsid w:val="00FC289C"/>
    <w:rsid w:val="00FC50BD"/>
    <w:rsid w:val="00FC57DA"/>
    <w:rsid w:val="00FC65A0"/>
    <w:rsid w:val="00FD11B4"/>
    <w:rsid w:val="00FD48DF"/>
    <w:rsid w:val="00FD5860"/>
    <w:rsid w:val="00FD6376"/>
    <w:rsid w:val="00FD6D4F"/>
    <w:rsid w:val="00FE1916"/>
    <w:rsid w:val="00FE1C3B"/>
    <w:rsid w:val="00FE20B2"/>
    <w:rsid w:val="00FE352D"/>
    <w:rsid w:val="00FE40EB"/>
    <w:rsid w:val="00FE4750"/>
    <w:rsid w:val="00FE4D02"/>
    <w:rsid w:val="00FE58E1"/>
    <w:rsid w:val="00FE703C"/>
    <w:rsid w:val="00FE7D62"/>
    <w:rsid w:val="00FF0DA0"/>
    <w:rsid w:val="00FF2B7A"/>
    <w:rsid w:val="00FF3819"/>
    <w:rsid w:val="00FF64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2C3BB233"/>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8A35CE"/>
    <w:pPr>
      <w:tabs>
        <w:tab w:val="left" w:pos="1247"/>
        <w:tab w:val="left" w:pos="1814"/>
        <w:tab w:val="left" w:pos="2381"/>
        <w:tab w:val="left" w:pos="2948"/>
        <w:tab w:val="left" w:pos="3515"/>
      </w:tabs>
    </w:pPr>
    <w:rPr>
      <w:lang w:val="fr-FR" w:eastAsia="en-US"/>
    </w:rPr>
  </w:style>
  <w:style w:type="paragraph" w:styleId="Heading1">
    <w:name w:val="heading 1"/>
    <w:basedOn w:val="Normal"/>
    <w:next w:val="Normal"/>
    <w:link w:val="Heading1Char"/>
    <w:qFormat/>
    <w:rsid w:val="008A35CE"/>
    <w:pPr>
      <w:keepNext/>
      <w:spacing w:before="240" w:after="120"/>
      <w:ind w:left="1247" w:hanging="680"/>
      <w:outlineLvl w:val="0"/>
    </w:pPr>
    <w:rPr>
      <w:b/>
      <w:sz w:val="28"/>
    </w:rPr>
  </w:style>
  <w:style w:type="paragraph" w:styleId="Heading2">
    <w:name w:val="heading 2"/>
    <w:basedOn w:val="Normal"/>
    <w:next w:val="Normal"/>
    <w:link w:val="Heading2Char"/>
    <w:qFormat/>
    <w:rsid w:val="008A35CE"/>
    <w:pPr>
      <w:keepNext/>
      <w:spacing w:before="240" w:after="120"/>
      <w:ind w:left="1247" w:hanging="680"/>
      <w:outlineLvl w:val="1"/>
    </w:pPr>
    <w:rPr>
      <w:b/>
      <w:sz w:val="24"/>
      <w:szCs w:val="24"/>
    </w:rPr>
  </w:style>
  <w:style w:type="paragraph" w:styleId="Heading3">
    <w:name w:val="heading 3"/>
    <w:basedOn w:val="Normal"/>
    <w:next w:val="Normal"/>
    <w:link w:val="Heading3Char"/>
    <w:qFormat/>
    <w:rsid w:val="008A35CE"/>
    <w:pPr>
      <w:spacing w:after="120"/>
      <w:ind w:left="1247" w:hanging="680"/>
      <w:outlineLvl w:val="2"/>
    </w:pPr>
    <w:rPr>
      <w:b/>
    </w:rPr>
  </w:style>
  <w:style w:type="paragraph" w:styleId="Heading4">
    <w:name w:val="heading 4"/>
    <w:basedOn w:val="Heading3"/>
    <w:next w:val="Normal"/>
    <w:link w:val="Heading4Char"/>
    <w:qFormat/>
    <w:rsid w:val="008A35CE"/>
    <w:pPr>
      <w:keepNext/>
      <w:outlineLvl w:val="3"/>
    </w:pPr>
  </w:style>
  <w:style w:type="paragraph" w:styleId="Heading5">
    <w:name w:val="heading 5"/>
    <w:basedOn w:val="Normal"/>
    <w:next w:val="Normal"/>
    <w:link w:val="Heading5Char"/>
    <w:qFormat/>
    <w:rsid w:val="008A35CE"/>
    <w:pPr>
      <w:keepNext/>
      <w:outlineLvl w:val="4"/>
    </w:pPr>
    <w:rPr>
      <w:rFonts w:ascii="Univers" w:hAnsi="Univers"/>
      <w:b/>
      <w:sz w:val="24"/>
    </w:rPr>
  </w:style>
  <w:style w:type="paragraph" w:styleId="Heading6">
    <w:name w:val="heading 6"/>
    <w:basedOn w:val="Normal"/>
    <w:next w:val="Normal"/>
    <w:link w:val="Heading6Char"/>
    <w:qFormat/>
    <w:rsid w:val="008A35CE"/>
    <w:pPr>
      <w:keepNext/>
      <w:ind w:left="578"/>
      <w:outlineLvl w:val="5"/>
    </w:pPr>
    <w:rPr>
      <w:b/>
      <w:bCs/>
      <w:sz w:val="24"/>
    </w:rPr>
  </w:style>
  <w:style w:type="paragraph" w:styleId="Heading7">
    <w:name w:val="heading 7"/>
    <w:basedOn w:val="Normal"/>
    <w:next w:val="Normal"/>
    <w:link w:val="Heading7Char"/>
    <w:qFormat/>
    <w:rsid w:val="008A35CE"/>
    <w:pPr>
      <w:keepNext/>
      <w:widowControl w:val="0"/>
      <w:jc w:val="center"/>
      <w:outlineLvl w:val="6"/>
    </w:pPr>
    <w:rPr>
      <w:snapToGrid w:val="0"/>
      <w:u w:val="single"/>
      <w:lang w:val="en-US"/>
    </w:rPr>
  </w:style>
  <w:style w:type="paragraph" w:styleId="Heading8">
    <w:name w:val="heading 8"/>
    <w:basedOn w:val="Normal"/>
    <w:next w:val="Normal"/>
    <w:link w:val="Heading8Char"/>
    <w:qFormat/>
    <w:rsid w:val="008A35CE"/>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8A35CE"/>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8A35CE"/>
    <w:rPr>
      <w:rFonts w:ascii="Times New Roman" w:hAnsi="Times New Roman"/>
      <w:b/>
      <w:sz w:val="18"/>
    </w:rPr>
  </w:style>
  <w:style w:type="table" w:customStyle="1" w:styleId="Tabledocright">
    <w:name w:val="Table_doc_right"/>
    <w:basedOn w:val="TableNormal"/>
    <w:rsid w:val="008A35CE"/>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8A35CE"/>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8A35CE"/>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8A35CE"/>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8A35CE"/>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8A35CE"/>
    <w:rPr>
      <w:bCs w:val="0"/>
    </w:rPr>
  </w:style>
  <w:style w:type="paragraph" w:styleId="TableofFigures">
    <w:name w:val="table of figures"/>
    <w:basedOn w:val="Normal"/>
    <w:next w:val="Normal"/>
    <w:autoRedefine/>
    <w:semiHidden/>
    <w:rsid w:val="008A35CE"/>
    <w:pPr>
      <w:tabs>
        <w:tab w:val="clear" w:pos="1814"/>
        <w:tab w:val="clear" w:pos="2381"/>
        <w:tab w:val="clear" w:pos="2948"/>
        <w:tab w:val="clear" w:pos="3515"/>
      </w:tabs>
      <w:ind w:left="1814" w:hanging="567"/>
    </w:pPr>
  </w:style>
  <w:style w:type="paragraph" w:customStyle="1" w:styleId="CH1">
    <w:name w:val="CH1"/>
    <w:basedOn w:val="Normalpool"/>
    <w:next w:val="Normal"/>
    <w:rsid w:val="008A35CE"/>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
    <w:link w:val="CH2Char"/>
    <w:rsid w:val="008A35CE"/>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
    <w:link w:val="CH3Char"/>
    <w:rsid w:val="008A35CE"/>
    <w:pPr>
      <w:keepNext/>
      <w:keepLines/>
      <w:tabs>
        <w:tab w:val="right" w:pos="851"/>
      </w:tabs>
      <w:suppressAutoHyphens/>
      <w:spacing w:after="120"/>
      <w:ind w:left="1247" w:right="284" w:hanging="1247"/>
    </w:pPr>
    <w:rPr>
      <w:b/>
    </w:rPr>
  </w:style>
  <w:style w:type="paragraph" w:customStyle="1" w:styleId="CH4">
    <w:name w:val="CH4"/>
    <w:basedOn w:val="Normalpool"/>
    <w:next w:val="Normal"/>
    <w:rsid w:val="008A35CE"/>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8A35CE"/>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
    <w:rsid w:val="008A35CE"/>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8A35CE"/>
    <w:pPr>
      <w:tabs>
        <w:tab w:val="left" w:pos="4321"/>
        <w:tab w:val="right" w:pos="8641"/>
      </w:tabs>
      <w:spacing w:before="60" w:after="120"/>
    </w:pPr>
    <w:rPr>
      <w:b/>
      <w:sz w:val="18"/>
    </w:rPr>
  </w:style>
  <w:style w:type="paragraph" w:customStyle="1" w:styleId="Headerpool">
    <w:name w:val="Header_pool"/>
    <w:basedOn w:val="Normal"/>
    <w:next w:val="Normal"/>
    <w:semiHidden/>
    <w:rsid w:val="008A35CE"/>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8A35CE"/>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8A35CE"/>
    <w:pPr>
      <w:tabs>
        <w:tab w:val="left" w:pos="4321"/>
        <w:tab w:val="right" w:pos="8641"/>
      </w:tabs>
      <w:spacing w:before="60" w:after="120"/>
    </w:pPr>
    <w:rPr>
      <w:b/>
      <w:sz w:val="18"/>
    </w:rPr>
  </w:style>
  <w:style w:type="paragraph" w:customStyle="1" w:styleId="Header-pool">
    <w:name w:val="Header-pool"/>
    <w:basedOn w:val="Normal-pool"/>
    <w:next w:val="Normal-pool"/>
    <w:rsid w:val="008A35CE"/>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8A35CE"/>
    <w:pPr>
      <w:tabs>
        <w:tab w:val="left" w:pos="1247"/>
        <w:tab w:val="left" w:pos="1814"/>
        <w:tab w:val="left" w:pos="2381"/>
        <w:tab w:val="left" w:pos="2948"/>
        <w:tab w:val="left" w:pos="3515"/>
        <w:tab w:val="left" w:pos="4082"/>
      </w:tabs>
    </w:pPr>
    <w:rPr>
      <w:lang w:val="fr-CA" w:eastAsia="en-US"/>
    </w:rPr>
  </w:style>
  <w:style w:type="character" w:styleId="FootnoteReference">
    <w:name w:val="footnote reference"/>
    <w:rsid w:val="008A35CE"/>
    <w:rPr>
      <w:rFonts w:ascii="Times New Roman" w:hAnsi="Times New Roman"/>
      <w:color w:val="auto"/>
      <w:sz w:val="20"/>
      <w:szCs w:val="18"/>
      <w:vertAlign w:val="superscript"/>
    </w:rPr>
  </w:style>
  <w:style w:type="paragraph" w:styleId="FootnoteText">
    <w:name w:val="footnote text"/>
    <w:basedOn w:val="Normalpool"/>
    <w:link w:val="FootnoteTextChar"/>
    <w:rsid w:val="008A35CE"/>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link w:val="FootnoteText"/>
    <w:locked/>
    <w:rsid w:val="008A35CE"/>
    <w:rPr>
      <w:sz w:val="18"/>
      <w:lang w:val="fr-CA"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8A35CE"/>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8A35CE"/>
    <w:pPr>
      <w:keepNext/>
      <w:keepLines/>
      <w:suppressAutoHyphens/>
      <w:ind w:right="5103"/>
    </w:pPr>
    <w:rPr>
      <w:b/>
    </w:rPr>
  </w:style>
  <w:style w:type="paragraph" w:customStyle="1" w:styleId="AATitle2">
    <w:name w:val="AA_Title2"/>
    <w:basedOn w:val="AATitle"/>
    <w:rsid w:val="008A35CE"/>
    <w:pPr>
      <w:tabs>
        <w:tab w:val="clear" w:pos="4082"/>
      </w:tabs>
      <w:spacing w:before="120" w:after="120"/>
      <w:ind w:right="4536"/>
    </w:pPr>
  </w:style>
  <w:style w:type="paragraph" w:customStyle="1" w:styleId="BBTitle">
    <w:name w:val="BB_Title"/>
    <w:basedOn w:val="Normalpool"/>
    <w:link w:val="BBTitleChar"/>
    <w:rsid w:val="008A35CE"/>
    <w:pPr>
      <w:keepNext/>
      <w:keepLines/>
      <w:suppressAutoHyphens/>
      <w:spacing w:before="320" w:after="240"/>
      <w:ind w:left="1247" w:right="567"/>
    </w:pPr>
    <w:rPr>
      <w:b/>
      <w:sz w:val="28"/>
      <w:szCs w:val="28"/>
    </w:rPr>
  </w:style>
  <w:style w:type="paragraph" w:styleId="Footer">
    <w:name w:val="footer"/>
    <w:basedOn w:val="Normal"/>
    <w:link w:val="FooterChar"/>
    <w:rsid w:val="008A35CE"/>
    <w:pPr>
      <w:tabs>
        <w:tab w:val="center" w:pos="4320"/>
        <w:tab w:val="right" w:pos="8640"/>
      </w:tabs>
      <w:spacing w:before="60" w:after="120"/>
    </w:pPr>
    <w:rPr>
      <w:sz w:val="18"/>
    </w:rPr>
  </w:style>
  <w:style w:type="paragraph" w:styleId="Header">
    <w:name w:val="header"/>
    <w:basedOn w:val="Normal"/>
    <w:link w:val="HeaderChar"/>
    <w:rsid w:val="008A35CE"/>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8A35CE"/>
    <w:rPr>
      <w:rFonts w:ascii="Times New Roman" w:hAnsi="Times New Roman"/>
      <w:color w:val="auto"/>
      <w:sz w:val="20"/>
      <w:szCs w:val="20"/>
      <w:u w:val="none"/>
      <w:lang w:val="fr-FR"/>
    </w:rPr>
  </w:style>
  <w:style w:type="numbering" w:customStyle="1" w:styleId="Normallist">
    <w:name w:val="Normal_list"/>
    <w:basedOn w:val="NoList"/>
    <w:rsid w:val="008A35CE"/>
    <w:pPr>
      <w:numPr>
        <w:numId w:val="3"/>
      </w:numPr>
    </w:pPr>
  </w:style>
  <w:style w:type="paragraph" w:customStyle="1" w:styleId="NormalNonumber">
    <w:name w:val="Normal_No_number"/>
    <w:basedOn w:val="Normalpool"/>
    <w:link w:val="NormalNonumberChar"/>
    <w:rsid w:val="008A35CE"/>
    <w:pPr>
      <w:spacing w:after="120"/>
      <w:ind w:left="1247"/>
    </w:pPr>
  </w:style>
  <w:style w:type="paragraph" w:customStyle="1" w:styleId="Normalnumber">
    <w:name w:val="Normal_number"/>
    <w:basedOn w:val="Normalpool"/>
    <w:link w:val="NormalnumberChar"/>
    <w:rsid w:val="008A35CE"/>
    <w:pPr>
      <w:numPr>
        <w:numId w:val="4"/>
      </w:numPr>
      <w:spacing w:after="120"/>
    </w:pPr>
  </w:style>
  <w:style w:type="paragraph" w:customStyle="1" w:styleId="Titletable">
    <w:name w:val="Title_table"/>
    <w:basedOn w:val="Normalpool"/>
    <w:rsid w:val="008A35CE"/>
    <w:pPr>
      <w:keepNext/>
      <w:keepLines/>
      <w:suppressAutoHyphens/>
      <w:spacing w:after="60"/>
      <w:ind w:left="1247"/>
    </w:pPr>
    <w:rPr>
      <w:b/>
      <w:bCs/>
    </w:rPr>
  </w:style>
  <w:style w:type="paragraph" w:styleId="TOC1">
    <w:name w:val="toc 1"/>
    <w:basedOn w:val="Normalpool"/>
    <w:next w:val="Normalpool"/>
    <w:rsid w:val="008A35CE"/>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8A35CE"/>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8A35CE"/>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8A35CE"/>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8A35CE"/>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8A35CE"/>
    <w:rPr>
      <w:b/>
      <w:bCs/>
      <w:sz w:val="28"/>
      <w:szCs w:val="22"/>
    </w:rPr>
  </w:style>
  <w:style w:type="paragraph" w:customStyle="1" w:styleId="ZZAnxtitle">
    <w:name w:val="ZZ_Anx_title"/>
    <w:basedOn w:val="Normalpool"/>
    <w:link w:val="ZZAnxtitleChar"/>
    <w:rsid w:val="008A35CE"/>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BBTitleChar">
    <w:name w:val="BB_Title Char"/>
    <w:link w:val="BBTitle"/>
    <w:rsid w:val="000C65B1"/>
    <w:rPr>
      <w:b/>
      <w:sz w:val="28"/>
      <w:szCs w:val="28"/>
      <w:lang w:val="fr-CA" w:eastAsia="en-US"/>
    </w:rPr>
  </w:style>
  <w:style w:type="character" w:customStyle="1" w:styleId="CH2Char">
    <w:name w:val="CH2 Char"/>
    <w:link w:val="CH2"/>
    <w:locked/>
    <w:rsid w:val="000C65B1"/>
    <w:rPr>
      <w:b/>
      <w:sz w:val="24"/>
      <w:szCs w:val="24"/>
      <w:lang w:val="fr-CA" w:eastAsia="en-US"/>
    </w:rPr>
  </w:style>
  <w:style w:type="character" w:customStyle="1" w:styleId="Normal-poolChar">
    <w:name w:val="Normal-pool Char"/>
    <w:link w:val="Normal-pool"/>
    <w:rsid w:val="000C65B1"/>
    <w:rPr>
      <w:lang w:val="fr-CA" w:eastAsia="en-US"/>
    </w:rPr>
  </w:style>
  <w:style w:type="character" w:customStyle="1" w:styleId="NormalnumberChar">
    <w:name w:val="Normal_number Char"/>
    <w:link w:val="Normalnumber"/>
    <w:locked/>
    <w:rsid w:val="00C32AE2"/>
    <w:rPr>
      <w:lang w:val="fr-CA" w:eastAsia="en-US"/>
    </w:rPr>
  </w:style>
  <w:style w:type="character" w:customStyle="1" w:styleId="FooterChar">
    <w:name w:val="Footer Char"/>
    <w:link w:val="Footer"/>
    <w:rsid w:val="008A35CE"/>
    <w:rPr>
      <w:sz w:val="18"/>
      <w:lang w:val="fr-FR" w:eastAsia="en-US"/>
    </w:rPr>
  </w:style>
  <w:style w:type="paragraph" w:styleId="Title">
    <w:name w:val="Title"/>
    <w:basedOn w:val="Normal"/>
    <w:link w:val="TitleChar"/>
    <w:autoRedefine/>
    <w:qFormat/>
    <w:rsid w:val="000C65B1"/>
    <w:pPr>
      <w:tabs>
        <w:tab w:val="clear" w:pos="1247"/>
        <w:tab w:val="clear" w:pos="1814"/>
        <w:tab w:val="clear" w:pos="2381"/>
        <w:tab w:val="clear" w:pos="2948"/>
        <w:tab w:val="clear" w:pos="3515"/>
      </w:tabs>
      <w:spacing w:before="360" w:after="240"/>
      <w:ind w:left="1247" w:right="567"/>
      <w:outlineLvl w:val="0"/>
    </w:pPr>
    <w:rPr>
      <w:rFonts w:eastAsia="Yu Mincho"/>
      <w:b/>
      <w:bCs/>
      <w:kern w:val="28"/>
      <w:sz w:val="28"/>
      <w:szCs w:val="28"/>
      <w:lang w:val="en-US"/>
    </w:rPr>
  </w:style>
  <w:style w:type="character" w:customStyle="1" w:styleId="TitleChar">
    <w:name w:val="Title Char"/>
    <w:basedOn w:val="DefaultParagraphFont"/>
    <w:link w:val="Title"/>
    <w:rsid w:val="000C65B1"/>
    <w:rPr>
      <w:rFonts w:eastAsia="Yu Mincho"/>
      <w:b/>
      <w:bCs/>
      <w:kern w:val="28"/>
      <w:sz w:val="28"/>
      <w:szCs w:val="28"/>
      <w:lang w:val="en-US" w:eastAsia="en-US"/>
    </w:rPr>
  </w:style>
  <w:style w:type="character" w:customStyle="1" w:styleId="HeaderChar">
    <w:name w:val="Header Char"/>
    <w:link w:val="Header"/>
    <w:rsid w:val="008A35CE"/>
    <w:rPr>
      <w:b/>
      <w:sz w:val="18"/>
      <w:lang w:val="fr-FR" w:eastAsia="en-US"/>
    </w:rPr>
  </w:style>
  <w:style w:type="character" w:customStyle="1" w:styleId="ZZAnxtitleChar">
    <w:name w:val="ZZ_Anx_title Char"/>
    <w:link w:val="ZZAnxtitle"/>
    <w:rsid w:val="009E40F6"/>
    <w:rPr>
      <w:b/>
      <w:bCs/>
      <w:sz w:val="28"/>
      <w:szCs w:val="26"/>
      <w:lang w:val="fr-CA" w:eastAsia="en-US"/>
    </w:rPr>
  </w:style>
  <w:style w:type="character" w:customStyle="1" w:styleId="UnresolvedMention1">
    <w:name w:val="Unresolved Mention1"/>
    <w:basedOn w:val="DefaultParagraphFont"/>
    <w:uiPriority w:val="99"/>
    <w:semiHidden/>
    <w:unhideWhenUsed/>
    <w:rsid w:val="003053E8"/>
    <w:rPr>
      <w:color w:val="605E5C"/>
      <w:shd w:val="clear" w:color="auto" w:fill="E1DFDD"/>
    </w:rPr>
  </w:style>
  <w:style w:type="character" w:customStyle="1" w:styleId="ZZAnxheaderChar">
    <w:name w:val="ZZ_Anx_header Char"/>
    <w:link w:val="ZZAnxheader"/>
    <w:rsid w:val="00064B6B"/>
    <w:rPr>
      <w:b/>
      <w:bCs/>
      <w:sz w:val="28"/>
      <w:szCs w:val="22"/>
      <w:lang w:val="fr-CA" w:eastAsia="en-US"/>
    </w:rPr>
  </w:style>
  <w:style w:type="character" w:customStyle="1" w:styleId="NormalNonumberChar">
    <w:name w:val="Normal_No_number Char"/>
    <w:link w:val="NormalNonumber"/>
    <w:locked/>
    <w:rsid w:val="00D31AFF"/>
    <w:rPr>
      <w:lang w:val="fr-CA" w:eastAsia="en-US"/>
    </w:rPr>
  </w:style>
  <w:style w:type="paragraph" w:styleId="TOCHeading">
    <w:name w:val="TOC Heading"/>
    <w:basedOn w:val="Heading1"/>
    <w:next w:val="Normal"/>
    <w:uiPriority w:val="39"/>
    <w:unhideWhenUsed/>
    <w:qFormat/>
    <w:rsid w:val="00D31AFF"/>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customStyle="1" w:styleId="CH3Char">
    <w:name w:val="CH3 Char"/>
    <w:link w:val="CH3"/>
    <w:rsid w:val="00D31AFF"/>
    <w:rPr>
      <w:b/>
      <w:lang w:val="fr-CA" w:eastAsia="en-US"/>
    </w:rPr>
  </w:style>
  <w:style w:type="paragraph" w:styleId="Subtitle">
    <w:name w:val="Subtitle"/>
    <w:basedOn w:val="Normal"/>
    <w:next w:val="Normal"/>
    <w:link w:val="SubtitleChar"/>
    <w:qFormat/>
    <w:rsid w:val="00D31AFF"/>
    <w:pPr>
      <w:spacing w:after="60"/>
      <w:jc w:val="center"/>
      <w:outlineLvl w:val="1"/>
    </w:pPr>
    <w:rPr>
      <w:rFonts w:ascii="Cambria" w:eastAsia="SimSun" w:hAnsi="Cambria"/>
      <w:sz w:val="24"/>
      <w:szCs w:val="24"/>
    </w:rPr>
  </w:style>
  <w:style w:type="character" w:customStyle="1" w:styleId="SubtitleChar">
    <w:name w:val="Subtitle Char"/>
    <w:basedOn w:val="DefaultParagraphFont"/>
    <w:link w:val="Subtitle"/>
    <w:rsid w:val="00D31AFF"/>
    <w:rPr>
      <w:rFonts w:ascii="Cambria" w:eastAsia="SimSun" w:hAnsi="Cambria"/>
      <w:sz w:val="24"/>
      <w:szCs w:val="24"/>
      <w:lang w:eastAsia="en-US"/>
    </w:rPr>
  </w:style>
  <w:style w:type="character" w:customStyle="1" w:styleId="UnresolvedMention2">
    <w:name w:val="Unresolved Mention2"/>
    <w:basedOn w:val="DefaultParagraphFont"/>
    <w:uiPriority w:val="99"/>
    <w:semiHidden/>
    <w:unhideWhenUsed/>
    <w:rsid w:val="00D31AFF"/>
    <w:rPr>
      <w:color w:val="808080"/>
      <w:shd w:val="clear" w:color="auto" w:fill="E6E6E6"/>
    </w:rPr>
  </w:style>
  <w:style w:type="character" w:customStyle="1" w:styleId="Mencinsinresolver1">
    <w:name w:val="Mención sin resolver1"/>
    <w:basedOn w:val="DefaultParagraphFont"/>
    <w:uiPriority w:val="99"/>
    <w:semiHidden/>
    <w:unhideWhenUsed/>
    <w:rsid w:val="00D31AFF"/>
    <w:rPr>
      <w:color w:val="808080"/>
      <w:shd w:val="clear" w:color="auto" w:fill="E6E6E6"/>
    </w:rPr>
  </w:style>
  <w:style w:type="paragraph" w:styleId="NormalWeb">
    <w:name w:val="Normal (Web)"/>
    <w:basedOn w:val="Normal"/>
    <w:uiPriority w:val="99"/>
    <w:semiHidden/>
    <w:unhideWhenUsed/>
    <w:rsid w:val="00D31AFF"/>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val="es-CL" w:eastAsia="es-ES_tradnl"/>
    </w:rPr>
  </w:style>
  <w:style w:type="character" w:customStyle="1" w:styleId="UnresolvedMention3">
    <w:name w:val="Unresolved Mention3"/>
    <w:basedOn w:val="DefaultParagraphFont"/>
    <w:uiPriority w:val="99"/>
    <w:semiHidden/>
    <w:unhideWhenUsed/>
    <w:rsid w:val="00D31AFF"/>
    <w:rPr>
      <w:color w:val="605E5C"/>
      <w:shd w:val="clear" w:color="auto" w:fill="E1DFDD"/>
    </w:rPr>
  </w:style>
  <w:style w:type="character" w:customStyle="1" w:styleId="Mencinsinresolver2">
    <w:name w:val="Mención sin resolver2"/>
    <w:basedOn w:val="DefaultParagraphFont"/>
    <w:uiPriority w:val="99"/>
    <w:semiHidden/>
    <w:unhideWhenUsed/>
    <w:rsid w:val="00D31AFF"/>
    <w:rPr>
      <w:color w:val="605E5C"/>
      <w:shd w:val="clear" w:color="auto" w:fill="E1DFDD"/>
    </w:rPr>
  </w:style>
  <w:style w:type="character" w:customStyle="1" w:styleId="UnresolvedMention4">
    <w:name w:val="Unresolved Mention4"/>
    <w:basedOn w:val="DefaultParagraphFont"/>
    <w:uiPriority w:val="99"/>
    <w:semiHidden/>
    <w:unhideWhenUsed/>
    <w:rsid w:val="00300DCA"/>
    <w:rPr>
      <w:color w:val="605E5C"/>
      <w:shd w:val="clear" w:color="auto" w:fill="E1DFDD"/>
    </w:rPr>
  </w:style>
  <w:style w:type="character" w:customStyle="1" w:styleId="UnresolvedMention5">
    <w:name w:val="Unresolved Mention5"/>
    <w:basedOn w:val="DefaultParagraphFont"/>
    <w:uiPriority w:val="99"/>
    <w:semiHidden/>
    <w:unhideWhenUsed/>
    <w:rsid w:val="00F2047D"/>
    <w:rPr>
      <w:color w:val="605E5C"/>
      <w:shd w:val="clear" w:color="auto" w:fill="E1DFDD"/>
    </w:rPr>
  </w:style>
  <w:style w:type="character" w:styleId="FollowedHyperlink">
    <w:name w:val="FollowedHyperlink"/>
    <w:basedOn w:val="DefaultParagraphFont"/>
    <w:semiHidden/>
    <w:unhideWhenUsed/>
    <w:rsid w:val="00F2047D"/>
    <w:rPr>
      <w:color w:val="800080" w:themeColor="followedHyperlink"/>
      <w:u w:val="single"/>
    </w:rPr>
  </w:style>
  <w:style w:type="character" w:customStyle="1" w:styleId="UnresolvedMention">
    <w:name w:val="Unresolved Mention"/>
    <w:basedOn w:val="DefaultParagraphFont"/>
    <w:uiPriority w:val="99"/>
    <w:semiHidden/>
    <w:unhideWhenUsed/>
    <w:rsid w:val="007E3447"/>
    <w:rPr>
      <w:color w:val="605E5C"/>
      <w:shd w:val="clear" w:color="auto" w:fill="E1DFDD"/>
    </w:rPr>
  </w:style>
  <w:style w:type="character" w:customStyle="1" w:styleId="Heading1Char">
    <w:name w:val="Heading 1 Char"/>
    <w:link w:val="Heading1"/>
    <w:rsid w:val="008A35CE"/>
    <w:rPr>
      <w:b/>
      <w:sz w:val="28"/>
      <w:lang w:val="fr-FR" w:eastAsia="en-US"/>
    </w:rPr>
  </w:style>
  <w:style w:type="character" w:customStyle="1" w:styleId="Heading2Char">
    <w:name w:val="Heading 2 Char"/>
    <w:link w:val="Heading2"/>
    <w:rsid w:val="008A35CE"/>
    <w:rPr>
      <w:b/>
      <w:sz w:val="24"/>
      <w:szCs w:val="24"/>
      <w:lang w:val="fr-FR" w:eastAsia="en-US"/>
    </w:rPr>
  </w:style>
  <w:style w:type="character" w:customStyle="1" w:styleId="Heading3Char">
    <w:name w:val="Heading 3 Char"/>
    <w:link w:val="Heading3"/>
    <w:rsid w:val="008A35CE"/>
    <w:rPr>
      <w:b/>
      <w:lang w:val="fr-FR" w:eastAsia="en-US"/>
    </w:rPr>
  </w:style>
  <w:style w:type="character" w:customStyle="1" w:styleId="Heading4Char">
    <w:name w:val="Heading 4 Char"/>
    <w:link w:val="Heading4"/>
    <w:rsid w:val="008A35CE"/>
    <w:rPr>
      <w:b/>
      <w:lang w:val="fr-FR" w:eastAsia="en-US"/>
    </w:rPr>
  </w:style>
  <w:style w:type="character" w:customStyle="1" w:styleId="Heading5Char">
    <w:name w:val="Heading 5 Char"/>
    <w:link w:val="Heading5"/>
    <w:rsid w:val="008A35CE"/>
    <w:rPr>
      <w:rFonts w:ascii="Univers" w:hAnsi="Univers"/>
      <w:b/>
      <w:sz w:val="24"/>
      <w:lang w:val="fr-FR" w:eastAsia="en-US"/>
    </w:rPr>
  </w:style>
  <w:style w:type="character" w:customStyle="1" w:styleId="Heading6Char">
    <w:name w:val="Heading 6 Char"/>
    <w:link w:val="Heading6"/>
    <w:rsid w:val="008A35CE"/>
    <w:rPr>
      <w:b/>
      <w:bCs/>
      <w:sz w:val="24"/>
      <w:lang w:val="fr-FR" w:eastAsia="en-US"/>
    </w:rPr>
  </w:style>
  <w:style w:type="character" w:customStyle="1" w:styleId="Heading7Char">
    <w:name w:val="Heading 7 Char"/>
    <w:link w:val="Heading7"/>
    <w:rsid w:val="008A35CE"/>
    <w:rPr>
      <w:snapToGrid w:val="0"/>
      <w:u w:val="single"/>
      <w:lang w:val="en-US" w:eastAsia="en-US"/>
    </w:rPr>
  </w:style>
  <w:style w:type="character" w:customStyle="1" w:styleId="Heading8Char">
    <w:name w:val="Heading 8 Char"/>
    <w:link w:val="Heading8"/>
    <w:rsid w:val="008A35CE"/>
    <w:rPr>
      <w:snapToGrid w:val="0"/>
      <w:u w:val="single"/>
      <w:lang w:val="en-US" w:eastAsia="en-US"/>
    </w:rPr>
  </w:style>
  <w:style w:type="character" w:customStyle="1" w:styleId="Heading9Char">
    <w:name w:val="Heading 9 Char"/>
    <w:link w:val="Heading9"/>
    <w:rsid w:val="008A35CE"/>
    <w:rPr>
      <w:snapToGrid w:val="0"/>
      <w:u w:val="single"/>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605729">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044809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14721487">
      <w:bodyDiv w:val="1"/>
      <w:marLeft w:val="0"/>
      <w:marRight w:val="0"/>
      <w:marTop w:val="0"/>
      <w:marBottom w:val="0"/>
      <w:divBdr>
        <w:top w:val="none" w:sz="0" w:space="0" w:color="auto"/>
        <w:left w:val="none" w:sz="0" w:space="0" w:color="auto"/>
        <w:bottom w:val="none" w:sz="0" w:space="0" w:color="auto"/>
        <w:right w:val="none" w:sz="0" w:space="0" w:color="auto"/>
      </w:divBdr>
    </w:div>
    <w:div w:id="1805348543">
      <w:bodyDiv w:val="1"/>
      <w:marLeft w:val="0"/>
      <w:marRight w:val="0"/>
      <w:marTop w:val="0"/>
      <w:marBottom w:val="0"/>
      <w:divBdr>
        <w:top w:val="none" w:sz="0" w:space="0" w:color="auto"/>
        <w:left w:val="none" w:sz="0" w:space="0" w:color="auto"/>
        <w:bottom w:val="none" w:sz="0" w:space="0" w:color="auto"/>
        <w:right w:val="none" w:sz="0" w:space="0" w:color="auto"/>
      </w:divBdr>
    </w:div>
    <w:div w:id="182315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s://assets.publishing.service.gov.uk/government/uploads/system/uploads/attachment_data/file/300893/geho0512bwir-e-e.pdf" TargetMode="External"/><Relationship Id="rId39" Type="http://schemas.openxmlformats.org/officeDocument/2006/relationships/hyperlink" Target="https://www.ncbi.nlm.nih.gov/pubmed/27594689" TargetMode="External"/><Relationship Id="rId3" Type="http://schemas.openxmlformats.org/officeDocument/2006/relationships/styles" Target="styles.xml"/><Relationship Id="rId21" Type="http://schemas.openxmlformats.org/officeDocument/2006/relationships/hyperlink" Target="https://www.commonforum.eu/" TargetMode="External"/><Relationship Id="rId34" Type="http://schemas.openxmlformats.org/officeDocument/2006/relationships/hyperlink" Target="http://www.nepc.gov.au/system/files/resources/93ae0e77-e697-e494-656f-afaaf9fb4277/files/schedule-b1-guideline-investigation-levels-soil-and-groundwater-sep10.pdf" TargetMode="External"/><Relationship Id="rId42" Type="http://schemas.openxmlformats.org/officeDocument/2006/relationships/hyperlink" Target="https://www.who.int/ipcs/assessment/public_health/mercury/en/"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hyperlink" Target="http://www.environment.gov.au/epbc/notices/assessments/2010/5477/preliminary-documentation-a.pdf" TargetMode="External"/><Relationship Id="rId33" Type="http://schemas.openxmlformats.org/officeDocument/2006/relationships/hyperlink" Target="https://www.epa.gov/sites/production/files/2015-02/documents/recommendations-model-guide-pp-2013.pdf" TargetMode="External"/><Relationship Id="rId38" Type="http://schemas.openxmlformats.org/officeDocument/2006/relationships/hyperlink" Target="https://experts.syr.edu/en/publications/evidence-for-regulation-of-monomethyl-mercury-by-nitrate-in-a-sea"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png"/><Relationship Id="rId29" Type="http://schemas.openxmlformats.org/officeDocument/2006/relationships/hyperlink" Target="https://ipen.org/documents/ipen-guidance-identification-management-and-remediation-mercury-contaminated-sites" TargetMode="External"/><Relationship Id="rId41" Type="http://schemas.openxmlformats.org/officeDocument/2006/relationships/hyperlink" Target="https://clu-in.org/download/remed/542r07003.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atsdr.cdc.gov/phs/phs.asp?id=112&amp;tid=24" TargetMode="External"/><Relationship Id="rId32" Type="http://schemas.openxmlformats.org/officeDocument/2006/relationships/hyperlink" Target="https://docplayer.net/18898131-Remediation-of-mercury-contaminated-sites.html" TargetMode="External"/><Relationship Id="rId37" Type="http://schemas.openxmlformats.org/officeDocument/2006/relationships/hyperlink" Target="http://wedocs.unep.org/handle/20.500.11822/9917" TargetMode="External"/><Relationship Id="rId40" Type="http://schemas.openxmlformats.org/officeDocument/2006/relationships/hyperlink" Target="http://wedocs.unep.org/handle/20.500.11822/7984"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www.atsdr.cdc.gov/substances/toxsubstance.asp?toxid=24" TargetMode="External"/><Relationship Id="rId28" Type="http://schemas.openxmlformats.org/officeDocument/2006/relationships/hyperlink" Target="https://www.researchgate.net/publication/274729292_In_situ_remediation_technologies_for_mercury-contaminated_soil" TargetMode="External"/><Relationship Id="rId36" Type="http://schemas.openxmlformats.org/officeDocument/2006/relationships/hyperlink" Target="https://www.who.int/fr/news-room/fact-sheets/detail/mercury-and-health" TargetMode="Externa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hyperlink" Target="http://www.side.developpement-durable.gouv.fr/EXPLOITATION/DRGUYA/Infodoc/ged/viewportalpublished.ashx?eid=IFD_FICJOINT_0016486&amp;search=restauration"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hyperlink" Target="https://www.atsdr.cdc.gov/substances/index.asp" TargetMode="External"/><Relationship Id="rId27" Type="http://schemas.openxmlformats.org/officeDocument/2006/relationships/hyperlink" Target="https://link.springer.com/journal/11356/22/11/page/1" TargetMode="External"/><Relationship Id="rId30" Type="http://schemas.openxmlformats.org/officeDocument/2006/relationships/hyperlink" Target="http://citeseerx.ist.psu.edu/viewdoc/download?doi=10.1.1.362.1877&amp;rep=rep1&amp;type=pdf" TargetMode="External"/><Relationship Id="rId35" Type="http://schemas.openxmlformats.org/officeDocument/2006/relationships/hyperlink" Target="http://www.nicole.org/uploadedfiles/WGM%202015-06-10%20NICOLE%20Risk%20based%20Management%20of%20Mercury%20Impacted%20Sites.pdf" TargetMode="External"/><Relationship Id="rId43"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epa.gov/enforcement/landowner-liability-protections" TargetMode="External"/><Relationship Id="rId3" Type="http://schemas.openxmlformats.org/officeDocument/2006/relationships/hyperlink" Target="https://dow.maps.arcgis.com/apps/webappviewer/index.html?id=c2ecb74291ae4da2ac32c441819c6d47" TargetMode="External"/><Relationship Id="rId7" Type="http://schemas.openxmlformats.org/officeDocument/2006/relationships/hyperlink" Target="http://gost.tpsgc-pwgsc.gc.ca/" TargetMode="External"/><Relationship Id="rId2" Type="http://schemas.openxmlformats.org/officeDocument/2006/relationships/hyperlink" Target="https://www.legislation.wa.gov.au" TargetMode="External"/><Relationship Id="rId1" Type="http://schemas.openxmlformats.org/officeDocument/2006/relationships/hyperlink" Target="http://wedocs.unep.org/handle/20.500.11822/9917" TargetMode="External"/><Relationship Id="rId6" Type="http://schemas.openxmlformats.org/officeDocument/2006/relationships/hyperlink" Target="http://www.selecdepol.fr/" TargetMode="External"/><Relationship Id="rId5" Type="http://schemas.openxmlformats.org/officeDocument/2006/relationships/hyperlink" Target="http://ec.gc.ca/mercure-mercury/default.asp?lang=Fr&amp;n=DCBE5083-97AD-4C62-8862" TargetMode="External"/><Relationship Id="rId4" Type="http://schemas.openxmlformats.org/officeDocument/2006/relationships/hyperlink" Target="https://www.canada.ca/fr/sante-canada/organisation/contactez-nous/division-lieux-contamines.html" TargetMode="External"/><Relationship Id="rId9" Type="http://schemas.openxmlformats.org/officeDocument/2006/relationships/hyperlink" Target="https://www.commonforum.eu/references_clarinet.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0BB6F-53B2-4E0A-9BF8-D87667248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15261</Words>
  <Characters>86993</Characters>
  <Application>Microsoft Office Word</Application>
  <DocSecurity>0</DocSecurity>
  <Lines>724</Lines>
  <Paragraphs>204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102050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Herimalala Raveloarinjato</cp:lastModifiedBy>
  <cp:revision>2</cp:revision>
  <cp:lastPrinted>2019-10-14T13:19:00Z</cp:lastPrinted>
  <dcterms:created xsi:type="dcterms:W3CDTF">2019-10-18T10:25:00Z</dcterms:created>
  <dcterms:modified xsi:type="dcterms:W3CDTF">2019-10-18T10:25:00Z</dcterms:modified>
</cp:coreProperties>
</file>