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85862" w14:paraId="4B9F0F9B" w14:textId="77777777" w:rsidTr="007A517A">
        <w:trPr>
          <w:cantSplit/>
          <w:trHeight w:val="850"/>
          <w:jc w:val="right"/>
        </w:trPr>
        <w:tc>
          <w:tcPr>
            <w:tcW w:w="1518" w:type="dxa"/>
          </w:tcPr>
          <w:p w14:paraId="2A9B9F9D" w14:textId="43799AB8" w:rsidR="00032E4E" w:rsidRPr="00D85862" w:rsidRDefault="00032E4E" w:rsidP="00023DA9">
            <w:pPr>
              <w:rPr>
                <w:rFonts w:ascii="Univers" w:hAnsi="Univers"/>
                <w:b/>
                <w:noProof/>
                <w:sz w:val="27"/>
                <w:szCs w:val="27"/>
              </w:rPr>
            </w:pPr>
            <w:r w:rsidRPr="00D85862">
              <w:rPr>
                <w:rFonts w:ascii="Arial" w:hAnsi="Arial" w:cs="Arial"/>
                <w:b/>
                <w:noProof/>
                <w:sz w:val="27"/>
                <w:szCs w:val="27"/>
              </w:rPr>
              <w:t>NATIONS</w:t>
            </w:r>
            <w:r w:rsidR="00FD27BC" w:rsidRPr="00D85862">
              <w:rPr>
                <w:rFonts w:ascii="Arial" w:hAnsi="Arial" w:cs="Arial"/>
                <w:b/>
                <w:noProof/>
                <w:sz w:val="27"/>
                <w:szCs w:val="27"/>
              </w:rPr>
              <w:br/>
              <w:t>UNIES</w:t>
            </w:r>
          </w:p>
        </w:tc>
        <w:tc>
          <w:tcPr>
            <w:tcW w:w="4643" w:type="dxa"/>
          </w:tcPr>
          <w:p w14:paraId="2F47229A" w14:textId="77777777" w:rsidR="00032E4E" w:rsidRPr="00D85862" w:rsidRDefault="00032E4E" w:rsidP="00023DA9">
            <w:pPr>
              <w:rPr>
                <w:rFonts w:ascii="Univers" w:hAnsi="Univers"/>
                <w:b/>
                <w:sz w:val="27"/>
                <w:szCs w:val="27"/>
              </w:rPr>
            </w:pPr>
          </w:p>
        </w:tc>
        <w:tc>
          <w:tcPr>
            <w:tcW w:w="3335" w:type="dxa"/>
          </w:tcPr>
          <w:p w14:paraId="57073C3F" w14:textId="77777777" w:rsidR="00032E4E" w:rsidRPr="00D85862" w:rsidRDefault="00787688" w:rsidP="00023DA9">
            <w:pPr>
              <w:jc w:val="right"/>
              <w:rPr>
                <w:rFonts w:ascii="Arial" w:hAnsi="Arial" w:cs="Arial"/>
                <w:b/>
                <w:sz w:val="64"/>
                <w:szCs w:val="64"/>
              </w:rPr>
            </w:pPr>
            <w:r w:rsidRPr="00D85862">
              <w:rPr>
                <w:rFonts w:ascii="Arial" w:hAnsi="Arial" w:cs="Arial"/>
                <w:b/>
                <w:sz w:val="64"/>
                <w:szCs w:val="64"/>
              </w:rPr>
              <w:t>MC</w:t>
            </w:r>
          </w:p>
        </w:tc>
      </w:tr>
      <w:tr w:rsidR="00032E4E" w:rsidRPr="00D85862" w14:paraId="0DEAC680" w14:textId="77777777" w:rsidTr="007A517A">
        <w:trPr>
          <w:cantSplit/>
          <w:trHeight w:val="281"/>
          <w:jc w:val="right"/>
        </w:trPr>
        <w:tc>
          <w:tcPr>
            <w:tcW w:w="1518" w:type="dxa"/>
            <w:tcBorders>
              <w:bottom w:val="single" w:sz="4" w:space="0" w:color="auto"/>
            </w:tcBorders>
          </w:tcPr>
          <w:p w14:paraId="30269B88" w14:textId="77777777" w:rsidR="00032E4E" w:rsidRPr="00D85862" w:rsidRDefault="00032E4E" w:rsidP="00023DA9">
            <w:pPr>
              <w:rPr>
                <w:noProof/>
                <w:sz w:val="18"/>
                <w:szCs w:val="18"/>
              </w:rPr>
            </w:pPr>
          </w:p>
        </w:tc>
        <w:tc>
          <w:tcPr>
            <w:tcW w:w="4643" w:type="dxa"/>
            <w:tcBorders>
              <w:bottom w:val="single" w:sz="4" w:space="0" w:color="auto"/>
            </w:tcBorders>
          </w:tcPr>
          <w:p w14:paraId="54296B4D" w14:textId="77777777" w:rsidR="00032E4E" w:rsidRPr="00D85862" w:rsidRDefault="00032E4E" w:rsidP="00023DA9">
            <w:pPr>
              <w:rPr>
                <w:rFonts w:ascii="Univers" w:hAnsi="Univers"/>
                <w:b/>
                <w:sz w:val="18"/>
                <w:szCs w:val="18"/>
              </w:rPr>
            </w:pPr>
          </w:p>
        </w:tc>
        <w:tc>
          <w:tcPr>
            <w:tcW w:w="3335" w:type="dxa"/>
            <w:tcBorders>
              <w:bottom w:val="single" w:sz="4" w:space="0" w:color="auto"/>
            </w:tcBorders>
          </w:tcPr>
          <w:p w14:paraId="540639F8" w14:textId="192FD287" w:rsidR="00032E4E" w:rsidRPr="00D85862" w:rsidRDefault="00032E4E" w:rsidP="00787688">
            <w:pPr>
              <w:rPr>
                <w:noProof/>
                <w:sz w:val="18"/>
                <w:szCs w:val="18"/>
              </w:rPr>
            </w:pPr>
            <w:r w:rsidRPr="00D85862">
              <w:rPr>
                <w:b/>
                <w:bCs/>
                <w:sz w:val="28"/>
              </w:rPr>
              <w:t>UNEP</w:t>
            </w:r>
            <w:bookmarkStart w:id="0" w:name="OLE_LINK1"/>
            <w:bookmarkStart w:id="1" w:name="OLE_LINK2"/>
            <w:r w:rsidR="00787688" w:rsidRPr="00D85862">
              <w:rPr>
                <w:b/>
                <w:bCs/>
                <w:sz w:val="28"/>
              </w:rPr>
              <w:t>/</w:t>
            </w:r>
            <w:r w:rsidR="00787688" w:rsidRPr="00D85862">
              <w:t>MC</w:t>
            </w:r>
            <w:r w:rsidRPr="00D85862">
              <w:t>/</w:t>
            </w:r>
            <w:bookmarkEnd w:id="0"/>
            <w:bookmarkEnd w:id="1"/>
            <w:r w:rsidR="00871232" w:rsidRPr="00D85862">
              <w:t>COP.</w:t>
            </w:r>
            <w:r w:rsidR="007A517A" w:rsidRPr="00D85862">
              <w:t>3</w:t>
            </w:r>
            <w:r w:rsidRPr="00D85862">
              <w:t>/</w:t>
            </w:r>
            <w:r w:rsidR="0092593C" w:rsidRPr="00D85862">
              <w:t>7</w:t>
            </w:r>
          </w:p>
        </w:tc>
      </w:tr>
      <w:bookmarkStart w:id="2" w:name="_MON_1021710482"/>
      <w:bookmarkEnd w:id="2"/>
      <w:bookmarkStart w:id="3" w:name="_MON_1021710510"/>
      <w:bookmarkEnd w:id="3"/>
      <w:tr w:rsidR="00032E4E" w:rsidRPr="00D85862" w14:paraId="34AA74B4" w14:textId="77777777" w:rsidTr="007A517A">
        <w:trPr>
          <w:cantSplit/>
          <w:trHeight w:val="2549"/>
          <w:jc w:val="right"/>
        </w:trPr>
        <w:tc>
          <w:tcPr>
            <w:tcW w:w="1518" w:type="dxa"/>
            <w:tcBorders>
              <w:top w:val="single" w:sz="4" w:space="0" w:color="auto"/>
              <w:bottom w:val="single" w:sz="24" w:space="0" w:color="auto"/>
            </w:tcBorders>
          </w:tcPr>
          <w:p w14:paraId="02CDC318" w14:textId="77777777" w:rsidR="00032E4E" w:rsidRPr="00D85862" w:rsidRDefault="00032E4E" w:rsidP="00023DA9">
            <w:pPr>
              <w:rPr>
                <w:noProof/>
              </w:rPr>
            </w:pPr>
            <w:r w:rsidRPr="00D85862">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pt;height:61.8pt" o:ole="" fillcolor="window">
                  <v:imagedata r:id="rId8" o:title=""/>
                </v:shape>
                <o:OLEObject Type="Embed" ProgID="Word.Picture.8" ShapeID="_x0000_i1025" DrawAspect="Content" ObjectID="_1632833705" r:id="rId9"/>
              </w:object>
            </w:r>
            <w:r w:rsidR="00011A16" w:rsidRPr="00D85862">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AC211BD" w14:textId="037B6B1C" w:rsidR="00032E4E" w:rsidRPr="00D85862" w:rsidRDefault="00032E4E" w:rsidP="00023DA9">
            <w:pPr>
              <w:spacing w:before="1200"/>
              <w:rPr>
                <w:rFonts w:ascii="Arial" w:hAnsi="Arial" w:cs="Arial"/>
                <w:b/>
                <w:sz w:val="28"/>
              </w:rPr>
            </w:pPr>
            <w:r w:rsidRPr="00D85862">
              <w:rPr>
                <w:rFonts w:ascii="Arial" w:hAnsi="Arial" w:cs="Arial"/>
                <w:b/>
                <w:sz w:val="32"/>
                <w:szCs w:val="32"/>
              </w:rPr>
              <w:t>Programme</w:t>
            </w:r>
            <w:r w:rsidR="00FD27BC" w:rsidRPr="00D85862">
              <w:rPr>
                <w:rFonts w:ascii="Arial" w:hAnsi="Arial" w:cs="Arial"/>
                <w:b/>
                <w:sz w:val="32"/>
                <w:szCs w:val="32"/>
              </w:rPr>
              <w:br/>
              <w:t>des Nations Unies</w:t>
            </w:r>
            <w:r w:rsidR="00FD27BC" w:rsidRPr="00D85862">
              <w:rPr>
                <w:rFonts w:ascii="Arial" w:hAnsi="Arial" w:cs="Arial"/>
                <w:b/>
                <w:sz w:val="32"/>
                <w:szCs w:val="32"/>
              </w:rPr>
              <w:br/>
              <w:t>pour l</w:t>
            </w:r>
            <w:r w:rsidR="00F205DE" w:rsidRPr="00D85862">
              <w:rPr>
                <w:rFonts w:ascii="Arial" w:hAnsi="Arial" w:cs="Arial"/>
                <w:b/>
                <w:sz w:val="32"/>
                <w:szCs w:val="32"/>
              </w:rPr>
              <w:t>’</w:t>
            </w:r>
            <w:r w:rsidR="00FD27BC" w:rsidRPr="00D85862">
              <w:rPr>
                <w:rFonts w:ascii="Arial" w:hAnsi="Arial" w:cs="Arial"/>
                <w:b/>
                <w:sz w:val="32"/>
                <w:szCs w:val="32"/>
              </w:rPr>
              <w:t>environnement</w:t>
            </w:r>
          </w:p>
        </w:tc>
        <w:tc>
          <w:tcPr>
            <w:tcW w:w="3335" w:type="dxa"/>
            <w:tcBorders>
              <w:top w:val="single" w:sz="4" w:space="0" w:color="auto"/>
              <w:bottom w:val="single" w:sz="24" w:space="0" w:color="auto"/>
            </w:tcBorders>
          </w:tcPr>
          <w:p w14:paraId="722F44F8" w14:textId="629580E1" w:rsidR="00032E4E" w:rsidRPr="00D85862" w:rsidRDefault="00FD27BC" w:rsidP="00787688">
            <w:pPr>
              <w:spacing w:before="120"/>
            </w:pPr>
            <w:r w:rsidRPr="00D85862">
              <w:t>Distr. </w:t>
            </w:r>
            <w:r w:rsidR="00C70A88" w:rsidRPr="00D85862">
              <w:t>g</w:t>
            </w:r>
            <w:r w:rsidRPr="00D85862">
              <w:t>énérale</w:t>
            </w:r>
            <w:r w:rsidR="009F4431" w:rsidRPr="00D85862">
              <w:t xml:space="preserve"> </w:t>
            </w:r>
            <w:r w:rsidR="009F4431" w:rsidRPr="00D85862">
              <w:br/>
            </w:r>
            <w:r w:rsidR="0092593C" w:rsidRPr="00D85862">
              <w:t>9 août</w:t>
            </w:r>
            <w:r w:rsidR="007A517A" w:rsidRPr="00D85862">
              <w:t xml:space="preserve"> 2019</w:t>
            </w:r>
          </w:p>
          <w:p w14:paraId="1A75CF9D" w14:textId="62397744" w:rsidR="00032E4E" w:rsidRPr="00D85862" w:rsidRDefault="00FD27BC" w:rsidP="00FD27BC">
            <w:pPr>
              <w:spacing w:before="240"/>
            </w:pPr>
            <w:r w:rsidRPr="00D85862">
              <w:t>Français</w:t>
            </w:r>
            <w:r w:rsidRPr="00D85862">
              <w:br/>
            </w:r>
            <w:r w:rsidR="00032E4E" w:rsidRPr="00D85862">
              <w:t>Original</w:t>
            </w:r>
            <w:r w:rsidRPr="00D85862">
              <w:t> : anglais</w:t>
            </w:r>
          </w:p>
        </w:tc>
      </w:tr>
    </w:tbl>
    <w:p w14:paraId="46484F0E" w14:textId="174A382B" w:rsidR="007A517A" w:rsidRPr="00D85862" w:rsidRDefault="007A517A" w:rsidP="007A517A">
      <w:pPr>
        <w:pStyle w:val="AATitle"/>
        <w:keepNext w:val="0"/>
        <w:keepLines w:val="0"/>
        <w:rPr>
          <w:lang w:val="fr-FR"/>
        </w:rPr>
      </w:pPr>
      <w:r w:rsidRPr="00D85862">
        <w:rPr>
          <w:bCs/>
          <w:lang w:val="fr-FR"/>
        </w:rPr>
        <w:t>Conférence des Parties à la Convention de</w:t>
      </w:r>
      <w:r w:rsidR="00232F4F" w:rsidRPr="00D85862">
        <w:rPr>
          <w:bCs/>
          <w:lang w:val="fr-FR"/>
        </w:rPr>
        <w:t> </w:t>
      </w:r>
      <w:r w:rsidRPr="00D85862">
        <w:rPr>
          <w:bCs/>
          <w:lang w:val="fr-FR"/>
        </w:rPr>
        <w:t>Minamata sur le mercure</w:t>
      </w:r>
    </w:p>
    <w:p w14:paraId="5F0D9690" w14:textId="28F80D87" w:rsidR="007A517A" w:rsidRPr="00D85862" w:rsidRDefault="007A517A" w:rsidP="007A517A">
      <w:pPr>
        <w:pStyle w:val="AATitle"/>
        <w:keepNext w:val="0"/>
        <w:keepLines w:val="0"/>
        <w:rPr>
          <w:lang w:val="fr-FR"/>
        </w:rPr>
      </w:pPr>
      <w:r w:rsidRPr="00D85862">
        <w:rPr>
          <w:bCs/>
          <w:lang w:val="fr-FR"/>
        </w:rPr>
        <w:t>Troisième</w:t>
      </w:r>
      <w:r w:rsidR="00232F4F" w:rsidRPr="00D85862">
        <w:rPr>
          <w:bCs/>
          <w:lang w:val="fr-FR"/>
        </w:rPr>
        <w:t> </w:t>
      </w:r>
      <w:r w:rsidRPr="00D85862">
        <w:rPr>
          <w:bCs/>
          <w:lang w:val="fr-FR"/>
        </w:rPr>
        <w:t>réunion</w:t>
      </w:r>
    </w:p>
    <w:p w14:paraId="27560148" w14:textId="22C5139D" w:rsidR="007A517A" w:rsidRPr="00D85862" w:rsidRDefault="007A517A" w:rsidP="007A517A">
      <w:pPr>
        <w:pStyle w:val="AATitle"/>
        <w:rPr>
          <w:b w:val="0"/>
          <w:lang w:val="fr-FR"/>
        </w:rPr>
      </w:pPr>
      <w:r w:rsidRPr="00D85862">
        <w:rPr>
          <w:b w:val="0"/>
          <w:lang w:val="fr-FR"/>
        </w:rPr>
        <w:t>Genève, 25</w:t>
      </w:r>
      <w:r w:rsidR="00E473D7" w:rsidRPr="00D85862">
        <w:rPr>
          <w:b w:val="0"/>
          <w:lang w:val="fr-FR"/>
        </w:rPr>
        <w:t>–</w:t>
      </w:r>
      <w:r w:rsidRPr="00D85862">
        <w:rPr>
          <w:b w:val="0"/>
          <w:lang w:val="fr-FR"/>
        </w:rPr>
        <w:t>29 novembre 2019</w:t>
      </w:r>
      <w:r w:rsidR="00AC097D" w:rsidRPr="00D85862">
        <w:rPr>
          <w:b w:val="0"/>
          <w:lang w:val="fr-FR"/>
        </w:rPr>
        <w:br/>
        <w:t>Point 5 c) de l</w:t>
      </w:r>
      <w:r w:rsidR="00F205DE" w:rsidRPr="00D85862">
        <w:rPr>
          <w:b w:val="0"/>
          <w:lang w:val="fr-FR"/>
        </w:rPr>
        <w:t>’</w:t>
      </w:r>
      <w:r w:rsidR="00AC097D" w:rsidRPr="00D85862">
        <w:rPr>
          <w:b w:val="0"/>
          <w:lang w:val="fr-FR"/>
        </w:rPr>
        <w:t>ordre du jour provisoire</w:t>
      </w:r>
      <w:r w:rsidR="00D01224" w:rsidRPr="00D85862">
        <w:rPr>
          <w:rStyle w:val="FootnoteReference"/>
          <w:b w:val="0"/>
          <w:vertAlign w:val="baseline"/>
          <w:lang w:val="fr-FR"/>
        </w:rPr>
        <w:footnoteReference w:customMarkFollows="1" w:id="1"/>
        <w:t>*</w:t>
      </w:r>
      <w:r w:rsidR="0092593C" w:rsidRPr="00D85862">
        <w:rPr>
          <w:b w:val="0"/>
          <w:lang w:val="fr-FR"/>
        </w:rPr>
        <w:br/>
      </w:r>
      <w:r w:rsidR="0092593C" w:rsidRPr="00D85862">
        <w:rPr>
          <w:lang w:val="fr-FR"/>
        </w:rPr>
        <w:t>Questions soumises à la Conférence des Parties pour examen ou décision : déchets de mercure, en particulier examen des seuils pertinents</w:t>
      </w:r>
    </w:p>
    <w:p w14:paraId="673CD7E3" w14:textId="076507F1" w:rsidR="00AC097D" w:rsidRPr="00D85862" w:rsidRDefault="00AC097D" w:rsidP="00415553">
      <w:pPr>
        <w:pStyle w:val="BBTitle"/>
        <w:rPr>
          <w:lang w:val="fr-FR"/>
        </w:rPr>
      </w:pPr>
      <w:r w:rsidRPr="00D85862">
        <w:rPr>
          <w:lang w:val="fr-FR"/>
        </w:rPr>
        <w:t>Résultats des travaux du groupe d</w:t>
      </w:r>
      <w:r w:rsidR="00F205DE" w:rsidRPr="00D85862">
        <w:rPr>
          <w:lang w:val="fr-FR"/>
        </w:rPr>
        <w:t>’</w:t>
      </w:r>
      <w:r w:rsidRPr="00D85862">
        <w:rPr>
          <w:lang w:val="fr-FR"/>
        </w:rPr>
        <w:t>experts techniques sur</w:t>
      </w:r>
      <w:r w:rsidR="006D718E" w:rsidRPr="00D85862">
        <w:rPr>
          <w:lang w:val="fr-FR"/>
        </w:rPr>
        <w:t> </w:t>
      </w:r>
      <w:r w:rsidRPr="00D85862">
        <w:rPr>
          <w:lang w:val="fr-FR"/>
        </w:rPr>
        <w:t>les</w:t>
      </w:r>
      <w:r w:rsidR="003C03B6" w:rsidRPr="00D85862">
        <w:rPr>
          <w:lang w:val="fr-FR"/>
        </w:rPr>
        <w:t> </w:t>
      </w:r>
      <w:r w:rsidRPr="00D85862">
        <w:rPr>
          <w:lang w:val="fr-FR"/>
        </w:rPr>
        <w:t>seuils applicables aux déchets de mercure</w:t>
      </w:r>
    </w:p>
    <w:p w14:paraId="24332058" w14:textId="77777777" w:rsidR="00AC097D" w:rsidRPr="00D85862" w:rsidRDefault="00AC097D" w:rsidP="006D718E">
      <w:pPr>
        <w:pStyle w:val="CH2"/>
        <w:spacing w:before="0"/>
        <w:rPr>
          <w:lang w:val="fr-FR"/>
        </w:rPr>
      </w:pPr>
      <w:r w:rsidRPr="00D85862">
        <w:rPr>
          <w:lang w:val="fr-FR"/>
        </w:rPr>
        <w:tab/>
      </w:r>
      <w:r w:rsidRPr="00D85862">
        <w:rPr>
          <w:lang w:val="fr-FR"/>
        </w:rPr>
        <w:tab/>
        <w:t>Note du secrétariat</w:t>
      </w:r>
    </w:p>
    <w:p w14:paraId="586C93A1" w14:textId="61621495" w:rsidR="00AC097D" w:rsidRPr="00D85862" w:rsidRDefault="00AC097D" w:rsidP="00DA6AD1">
      <w:pPr>
        <w:pStyle w:val="Normalnumber"/>
        <w:numPr>
          <w:ilvl w:val="0"/>
          <w:numId w:val="6"/>
        </w:numPr>
        <w:tabs>
          <w:tab w:val="clear" w:pos="1247"/>
          <w:tab w:val="clear" w:pos="1814"/>
          <w:tab w:val="clear" w:pos="2381"/>
          <w:tab w:val="clear" w:pos="2948"/>
          <w:tab w:val="clear" w:pos="3515"/>
          <w:tab w:val="clear" w:pos="4082"/>
          <w:tab w:val="left" w:pos="624"/>
          <w:tab w:val="left" w:pos="1820"/>
        </w:tabs>
        <w:suppressAutoHyphens/>
        <w:autoSpaceDN w:val="0"/>
        <w:ind w:left="1260" w:firstLine="0"/>
        <w:textAlignment w:val="baseline"/>
        <w:rPr>
          <w:bCs/>
          <w:iCs/>
          <w:lang w:val="fr-FR"/>
        </w:rPr>
      </w:pPr>
      <w:r w:rsidRPr="00D85862">
        <w:rPr>
          <w:bCs/>
          <w:lang w:val="fr-FR"/>
        </w:rPr>
        <w:t>Par sa décision MC-2/2, la Conférence des Parties a créé un groupe d</w:t>
      </w:r>
      <w:r w:rsidR="00F205DE" w:rsidRPr="00D85862">
        <w:rPr>
          <w:bCs/>
          <w:lang w:val="fr-FR"/>
        </w:rPr>
        <w:t>’</w:t>
      </w:r>
      <w:r w:rsidRPr="00D85862">
        <w:rPr>
          <w:bCs/>
          <w:lang w:val="fr-FR"/>
        </w:rPr>
        <w:t>experts techniques chargé de poursuivre la discussion sur les seuils applicables aux déchets de mercure au cours de la période intersessions précédant la troisième réunion de la Conférence des Parties, conformément aux dispositions du paragraphe 2 de l</w:t>
      </w:r>
      <w:r w:rsidR="00F205DE" w:rsidRPr="00D85862">
        <w:rPr>
          <w:bCs/>
          <w:lang w:val="fr-FR"/>
        </w:rPr>
        <w:t>’</w:t>
      </w:r>
      <w:r w:rsidRPr="00D85862">
        <w:rPr>
          <w:bCs/>
          <w:lang w:val="fr-FR"/>
        </w:rPr>
        <w:t>article 11 de la Convention. Le mandat du groupe était de se pencher sur les questions ci-après :</w:t>
      </w:r>
    </w:p>
    <w:p w14:paraId="58686226" w14:textId="7D8944F0" w:rsidR="00AC097D" w:rsidRPr="00D85862" w:rsidRDefault="00AC097D" w:rsidP="00DA6AD1">
      <w:pPr>
        <w:pStyle w:val="Normalnumber"/>
        <w:numPr>
          <w:ilvl w:val="0"/>
          <w:numId w:val="13"/>
        </w:numPr>
        <w:tabs>
          <w:tab w:val="clear" w:pos="1247"/>
          <w:tab w:val="clear" w:pos="1814"/>
          <w:tab w:val="clear" w:pos="2381"/>
          <w:tab w:val="clear" w:pos="2948"/>
          <w:tab w:val="clear" w:pos="3515"/>
          <w:tab w:val="clear" w:pos="4082"/>
          <w:tab w:val="left" w:pos="624"/>
          <w:tab w:val="left" w:pos="2268"/>
        </w:tabs>
        <w:suppressAutoHyphens/>
        <w:autoSpaceDN w:val="0"/>
        <w:ind w:left="1288" w:firstLine="518"/>
        <w:textAlignment w:val="baseline"/>
        <w:rPr>
          <w:lang w:val="fr-FR"/>
        </w:rPr>
      </w:pPr>
      <w:r w:rsidRPr="00D85862">
        <w:rPr>
          <w:lang w:val="fr-FR"/>
        </w:rPr>
        <w:t>Préciser plus avant et affiner la portée de chacune des trois catégories de déchets de mercure énumérées au paragraphe 2 de l</w:t>
      </w:r>
      <w:r w:rsidR="00F205DE" w:rsidRPr="00D85862">
        <w:rPr>
          <w:lang w:val="fr-FR"/>
        </w:rPr>
        <w:t>’</w:t>
      </w:r>
      <w:r w:rsidRPr="00D85862">
        <w:rPr>
          <w:lang w:val="fr-FR"/>
        </w:rPr>
        <w:t xml:space="preserve">article 11 ; </w:t>
      </w:r>
    </w:p>
    <w:p w14:paraId="378A43C4" w14:textId="2A72FAC5" w:rsidR="00AC097D" w:rsidRPr="00D85862" w:rsidRDefault="00AC097D" w:rsidP="00DA6AD1">
      <w:pPr>
        <w:pStyle w:val="Normalnumber"/>
        <w:numPr>
          <w:ilvl w:val="0"/>
          <w:numId w:val="13"/>
        </w:numPr>
        <w:tabs>
          <w:tab w:val="clear" w:pos="1247"/>
          <w:tab w:val="clear" w:pos="1814"/>
          <w:tab w:val="clear" w:pos="2381"/>
          <w:tab w:val="clear" w:pos="2948"/>
          <w:tab w:val="clear" w:pos="3515"/>
          <w:tab w:val="clear" w:pos="4082"/>
          <w:tab w:val="left" w:pos="624"/>
          <w:tab w:val="left" w:pos="2268"/>
        </w:tabs>
        <w:suppressAutoHyphens/>
        <w:autoSpaceDN w:val="0"/>
        <w:ind w:left="1288" w:firstLine="518"/>
        <w:textAlignment w:val="baseline"/>
        <w:rPr>
          <w:lang w:val="fr-FR"/>
        </w:rPr>
      </w:pPr>
      <w:r w:rsidRPr="00D85862">
        <w:rPr>
          <w:lang w:val="fr-FR"/>
        </w:rPr>
        <w:t>Élaborer une liste exhaustive des déchets de mercure relevant de l</w:t>
      </w:r>
      <w:r w:rsidR="00F205DE" w:rsidRPr="00D85862">
        <w:rPr>
          <w:lang w:val="fr-FR"/>
        </w:rPr>
        <w:t>’</w:t>
      </w:r>
      <w:r w:rsidRPr="00D85862">
        <w:rPr>
          <w:lang w:val="fr-FR"/>
        </w:rPr>
        <w:t>alinéa 2 a) de l</w:t>
      </w:r>
      <w:r w:rsidR="00F205DE" w:rsidRPr="00D85862">
        <w:rPr>
          <w:lang w:val="fr-FR"/>
        </w:rPr>
        <w:t>’</w:t>
      </w:r>
      <w:r w:rsidRPr="00D85862">
        <w:rPr>
          <w:lang w:val="fr-FR"/>
        </w:rPr>
        <w:t>article 11, ainsi qu</w:t>
      </w:r>
      <w:r w:rsidR="00F205DE" w:rsidRPr="00D85862">
        <w:rPr>
          <w:lang w:val="fr-FR"/>
        </w:rPr>
        <w:t>’</w:t>
      </w:r>
      <w:r w:rsidRPr="00D85862">
        <w:rPr>
          <w:lang w:val="fr-FR"/>
        </w:rPr>
        <w:t>une liste indicative des déchets de mercure susceptibles de relever des alinéas 2 b) et c) de l</w:t>
      </w:r>
      <w:r w:rsidR="00F205DE" w:rsidRPr="00D85862">
        <w:rPr>
          <w:lang w:val="fr-FR"/>
        </w:rPr>
        <w:t>’</w:t>
      </w:r>
      <w:r w:rsidRPr="00D85862">
        <w:rPr>
          <w:lang w:val="fr-FR"/>
        </w:rPr>
        <w:t>article 11 ;</w:t>
      </w:r>
    </w:p>
    <w:p w14:paraId="4E5688A0" w14:textId="4C874CEA" w:rsidR="00AC097D" w:rsidRPr="00D85862" w:rsidRDefault="00AC097D" w:rsidP="00DA6AD1">
      <w:pPr>
        <w:pStyle w:val="Normalnumber"/>
        <w:numPr>
          <w:ilvl w:val="0"/>
          <w:numId w:val="13"/>
        </w:numPr>
        <w:tabs>
          <w:tab w:val="clear" w:pos="1247"/>
          <w:tab w:val="clear" w:pos="1814"/>
          <w:tab w:val="clear" w:pos="2381"/>
          <w:tab w:val="clear" w:pos="2948"/>
          <w:tab w:val="clear" w:pos="3515"/>
          <w:tab w:val="clear" w:pos="4082"/>
          <w:tab w:val="left" w:pos="624"/>
          <w:tab w:val="left" w:pos="2268"/>
        </w:tabs>
        <w:suppressAutoHyphens/>
        <w:autoSpaceDN w:val="0"/>
        <w:ind w:left="1288" w:firstLine="518"/>
        <w:textAlignment w:val="baseline"/>
        <w:rPr>
          <w:lang w:val="fr-FR"/>
        </w:rPr>
      </w:pPr>
      <w:r w:rsidRPr="00D85862">
        <w:rPr>
          <w:lang w:val="fr-FR"/>
        </w:rPr>
        <w:t>Donner la priorité à la définition d</w:t>
      </w:r>
      <w:r w:rsidR="00F205DE" w:rsidRPr="00D85862">
        <w:rPr>
          <w:lang w:val="fr-FR"/>
        </w:rPr>
        <w:t>’</w:t>
      </w:r>
      <w:r w:rsidRPr="00D85862">
        <w:rPr>
          <w:lang w:val="fr-FR"/>
        </w:rPr>
        <w:t>approches et de méthodes pertinentes pour l</w:t>
      </w:r>
      <w:r w:rsidR="00F205DE" w:rsidRPr="00D85862">
        <w:rPr>
          <w:lang w:val="fr-FR"/>
        </w:rPr>
        <w:t>’</w:t>
      </w:r>
      <w:r w:rsidRPr="00D85862">
        <w:rPr>
          <w:lang w:val="fr-FR"/>
        </w:rPr>
        <w:t>établissement de seuils applicables aux déchets de mercure relevant de l</w:t>
      </w:r>
      <w:r w:rsidR="00F205DE" w:rsidRPr="00D85862">
        <w:rPr>
          <w:lang w:val="fr-FR"/>
        </w:rPr>
        <w:t>’</w:t>
      </w:r>
      <w:r w:rsidRPr="00D85862">
        <w:rPr>
          <w:lang w:val="fr-FR"/>
        </w:rPr>
        <w:t>alinéa 2 c) de l</w:t>
      </w:r>
      <w:r w:rsidR="00F205DE" w:rsidRPr="00D85862">
        <w:rPr>
          <w:lang w:val="fr-FR"/>
        </w:rPr>
        <w:t>’</w:t>
      </w:r>
      <w:r w:rsidRPr="00D85862">
        <w:rPr>
          <w:lang w:val="fr-FR"/>
        </w:rPr>
        <w:t>article 11 et, si possible, recommander des seuils précis pour ces déchets ; le groupe devait également examiner la pertinence des seuils relatifs aux catégories de déchets relevant des alinéas 2 a) et 2 b) de l</w:t>
      </w:r>
      <w:r w:rsidR="00F205DE" w:rsidRPr="00D85862">
        <w:rPr>
          <w:lang w:val="fr-FR"/>
        </w:rPr>
        <w:t>’</w:t>
      </w:r>
      <w:r w:rsidRPr="00D85862">
        <w:rPr>
          <w:lang w:val="fr-FR"/>
        </w:rPr>
        <w:t xml:space="preserve">article 11 ; </w:t>
      </w:r>
    </w:p>
    <w:p w14:paraId="68C43478" w14:textId="3598B983" w:rsidR="00AC097D" w:rsidRPr="00D85862" w:rsidRDefault="00AC097D" w:rsidP="00DA6AD1">
      <w:pPr>
        <w:pStyle w:val="Normalnumber"/>
        <w:numPr>
          <w:ilvl w:val="0"/>
          <w:numId w:val="13"/>
        </w:numPr>
        <w:tabs>
          <w:tab w:val="clear" w:pos="1247"/>
          <w:tab w:val="clear" w:pos="1814"/>
          <w:tab w:val="clear" w:pos="2381"/>
          <w:tab w:val="clear" w:pos="2948"/>
          <w:tab w:val="clear" w:pos="3515"/>
          <w:tab w:val="clear" w:pos="4082"/>
          <w:tab w:val="left" w:pos="624"/>
          <w:tab w:val="left" w:pos="2268"/>
        </w:tabs>
        <w:suppressAutoHyphens/>
        <w:autoSpaceDN w:val="0"/>
        <w:ind w:left="1288" w:firstLine="518"/>
        <w:textAlignment w:val="baseline"/>
        <w:rPr>
          <w:lang w:val="fr-FR"/>
        </w:rPr>
      </w:pPr>
      <w:r w:rsidRPr="00D85862">
        <w:rPr>
          <w:lang w:val="fr-FR"/>
        </w:rPr>
        <w:t>Œuvrer, en appliquant des critères distincts, à la définition d</w:t>
      </w:r>
      <w:r w:rsidR="00F205DE" w:rsidRPr="00D85862">
        <w:rPr>
          <w:lang w:val="fr-FR"/>
        </w:rPr>
        <w:t>’</w:t>
      </w:r>
      <w:r w:rsidRPr="00D85862">
        <w:rPr>
          <w:lang w:val="fr-FR"/>
        </w:rPr>
        <w:t>approches pour l</w:t>
      </w:r>
      <w:r w:rsidR="00F205DE" w:rsidRPr="00D85862">
        <w:rPr>
          <w:lang w:val="fr-FR"/>
        </w:rPr>
        <w:t>’</w:t>
      </w:r>
      <w:r w:rsidRPr="00D85862">
        <w:rPr>
          <w:lang w:val="fr-FR"/>
        </w:rPr>
        <w:t>établissement de seuils pour les morts-terrains, les déchets de rocs et les résidus provenant de l</w:t>
      </w:r>
      <w:r w:rsidR="00F205DE" w:rsidRPr="00D85862">
        <w:rPr>
          <w:lang w:val="fr-FR"/>
        </w:rPr>
        <w:t>’</w:t>
      </w:r>
      <w:r w:rsidRPr="00D85862">
        <w:rPr>
          <w:lang w:val="fr-FR"/>
        </w:rPr>
        <w:t>extraction minière, à l</w:t>
      </w:r>
      <w:r w:rsidR="00F205DE" w:rsidRPr="00D85862">
        <w:rPr>
          <w:lang w:val="fr-FR"/>
        </w:rPr>
        <w:t>’</w:t>
      </w:r>
      <w:r w:rsidRPr="00D85862">
        <w:rPr>
          <w:lang w:val="fr-FR"/>
        </w:rPr>
        <w:t>exception de l</w:t>
      </w:r>
      <w:r w:rsidR="00F205DE" w:rsidRPr="00D85862">
        <w:rPr>
          <w:lang w:val="fr-FR"/>
        </w:rPr>
        <w:t>’</w:t>
      </w:r>
      <w:r w:rsidRPr="00D85862">
        <w:rPr>
          <w:lang w:val="fr-FR"/>
        </w:rPr>
        <w:t>extraction minière primaire de mercure, au cours de la période intersessions.</w:t>
      </w:r>
    </w:p>
    <w:p w14:paraId="4A1DD156" w14:textId="79FE679E" w:rsidR="00AC097D" w:rsidRPr="00D85862" w:rsidRDefault="00AC097D" w:rsidP="00DA6AD1">
      <w:pPr>
        <w:pStyle w:val="Normalnumber"/>
        <w:numPr>
          <w:ilvl w:val="0"/>
          <w:numId w:val="6"/>
        </w:numPr>
        <w:tabs>
          <w:tab w:val="clear" w:pos="1247"/>
          <w:tab w:val="clear" w:pos="1814"/>
          <w:tab w:val="clear" w:pos="2381"/>
          <w:tab w:val="clear" w:pos="2948"/>
          <w:tab w:val="clear" w:pos="3515"/>
          <w:tab w:val="clear" w:pos="4082"/>
          <w:tab w:val="left" w:pos="624"/>
          <w:tab w:val="left" w:pos="1820"/>
        </w:tabs>
        <w:suppressAutoHyphens/>
        <w:autoSpaceDN w:val="0"/>
        <w:ind w:left="1260" w:firstLine="0"/>
        <w:textAlignment w:val="baseline"/>
        <w:rPr>
          <w:bCs/>
          <w:lang w:val="fr-FR"/>
        </w:rPr>
      </w:pPr>
      <w:r w:rsidRPr="00D85862">
        <w:rPr>
          <w:bCs/>
          <w:lang w:val="fr-FR"/>
        </w:rPr>
        <w:t>Vingt-cinq membres ont été désignés par l</w:t>
      </w:r>
      <w:r w:rsidR="00F205DE" w:rsidRPr="00D85862">
        <w:rPr>
          <w:bCs/>
          <w:lang w:val="fr-FR"/>
        </w:rPr>
        <w:t>’</w:t>
      </w:r>
      <w:r w:rsidRPr="00D85862">
        <w:rPr>
          <w:bCs/>
          <w:lang w:val="fr-FR"/>
        </w:rPr>
        <w:t xml:space="preserve">intermédiaire des représentants du Bureau, le groupe se composant ainsi de cinq experts techniques issus des </w:t>
      </w:r>
      <w:r w:rsidR="00A3615C" w:rsidRPr="00D85862">
        <w:rPr>
          <w:bCs/>
          <w:lang w:val="fr-FR"/>
        </w:rPr>
        <w:t xml:space="preserve">Parties des </w:t>
      </w:r>
      <w:r w:rsidRPr="00D85862">
        <w:rPr>
          <w:bCs/>
          <w:lang w:val="fr-FR"/>
        </w:rPr>
        <w:t>cinq régions de l</w:t>
      </w:r>
      <w:r w:rsidR="00F205DE" w:rsidRPr="00D85862">
        <w:rPr>
          <w:bCs/>
          <w:lang w:val="fr-FR"/>
        </w:rPr>
        <w:t>’</w:t>
      </w:r>
      <w:r w:rsidRPr="00D85862">
        <w:rPr>
          <w:bCs/>
          <w:lang w:val="fr-FR"/>
        </w:rPr>
        <w:t>Organisation des Nations Unies, à savoir</w:t>
      </w:r>
      <w:r w:rsidR="0016347E" w:rsidRPr="00D85862">
        <w:rPr>
          <w:bCs/>
          <w:lang w:val="fr-FR"/>
        </w:rPr>
        <w:t> :</w:t>
      </w:r>
      <w:r w:rsidRPr="00D85862">
        <w:rPr>
          <w:bCs/>
          <w:lang w:val="fr-FR"/>
        </w:rPr>
        <w:t xml:space="preserve"> Nigéria, Madagascar, Mali, Maurice et Sénégal pour l</w:t>
      </w:r>
      <w:r w:rsidR="00F205DE" w:rsidRPr="00D85862">
        <w:rPr>
          <w:bCs/>
          <w:lang w:val="fr-FR"/>
        </w:rPr>
        <w:t>’</w:t>
      </w:r>
      <w:r w:rsidRPr="00D85862">
        <w:rPr>
          <w:bCs/>
          <w:lang w:val="fr-FR"/>
        </w:rPr>
        <w:t>Afrique ; Chine, Iran (République islamique d</w:t>
      </w:r>
      <w:r w:rsidR="00F205DE" w:rsidRPr="00D85862">
        <w:rPr>
          <w:bCs/>
          <w:lang w:val="fr-FR"/>
        </w:rPr>
        <w:t>’</w:t>
      </w:r>
      <w:r w:rsidRPr="00D85862">
        <w:rPr>
          <w:bCs/>
          <w:lang w:val="fr-FR"/>
        </w:rPr>
        <w:t>) (2 experts), Japon et Jordanie pour l</w:t>
      </w:r>
      <w:r w:rsidR="00F205DE" w:rsidRPr="00D85862">
        <w:rPr>
          <w:bCs/>
          <w:lang w:val="fr-FR"/>
        </w:rPr>
        <w:t>’</w:t>
      </w:r>
      <w:r w:rsidRPr="00D85862">
        <w:rPr>
          <w:bCs/>
          <w:lang w:val="fr-FR"/>
        </w:rPr>
        <w:t>Asie et le Pacifique ; Arménie, Estonie, Roumanie, Tchéquie et Commission européenne pour l</w:t>
      </w:r>
      <w:r w:rsidR="00F205DE" w:rsidRPr="00D85862">
        <w:rPr>
          <w:bCs/>
          <w:lang w:val="fr-FR"/>
        </w:rPr>
        <w:t>’</w:t>
      </w:r>
      <w:r w:rsidRPr="00D85862">
        <w:rPr>
          <w:bCs/>
          <w:lang w:val="fr-FR"/>
        </w:rPr>
        <w:t>Europe centrale et orientale ; Argentine, Chili, Costa Rica, Guyana et Jamaïque pour l</w:t>
      </w:r>
      <w:r w:rsidR="00F205DE" w:rsidRPr="00D85862">
        <w:rPr>
          <w:bCs/>
          <w:lang w:val="fr-FR"/>
        </w:rPr>
        <w:t>’</w:t>
      </w:r>
      <w:r w:rsidRPr="00D85862">
        <w:rPr>
          <w:bCs/>
          <w:lang w:val="fr-FR"/>
        </w:rPr>
        <w:t>Amérique latine et les Caraïbes ; et Allemagne, Danemark, Suède, Suisse et États-Unis d</w:t>
      </w:r>
      <w:r w:rsidR="00F205DE" w:rsidRPr="00D85862">
        <w:rPr>
          <w:bCs/>
          <w:lang w:val="fr-FR"/>
        </w:rPr>
        <w:t>’</w:t>
      </w:r>
      <w:r w:rsidRPr="00D85862">
        <w:rPr>
          <w:bCs/>
          <w:lang w:val="fr-FR"/>
        </w:rPr>
        <w:t>Amérique pour l</w:t>
      </w:r>
      <w:r w:rsidR="00F205DE" w:rsidRPr="00D85862">
        <w:rPr>
          <w:bCs/>
          <w:lang w:val="fr-FR"/>
        </w:rPr>
        <w:t>’</w:t>
      </w:r>
      <w:r w:rsidRPr="00D85862">
        <w:rPr>
          <w:bCs/>
          <w:lang w:val="fr-FR"/>
        </w:rPr>
        <w:t>Europe occidentale et autres États.</w:t>
      </w:r>
    </w:p>
    <w:p w14:paraId="74F49FBD" w14:textId="45753C7E" w:rsidR="00AC097D" w:rsidRPr="00D85862" w:rsidRDefault="00AC097D" w:rsidP="00DA6AD1">
      <w:pPr>
        <w:pStyle w:val="Normalnumber"/>
        <w:numPr>
          <w:ilvl w:val="0"/>
          <w:numId w:val="6"/>
        </w:numPr>
        <w:tabs>
          <w:tab w:val="clear" w:pos="1247"/>
          <w:tab w:val="clear" w:pos="1814"/>
          <w:tab w:val="clear" w:pos="2381"/>
          <w:tab w:val="clear" w:pos="2948"/>
          <w:tab w:val="clear" w:pos="3515"/>
          <w:tab w:val="clear" w:pos="4082"/>
          <w:tab w:val="left" w:pos="624"/>
          <w:tab w:val="left" w:pos="1820"/>
        </w:tabs>
        <w:suppressAutoHyphens/>
        <w:autoSpaceDN w:val="0"/>
        <w:ind w:left="1260" w:firstLine="0"/>
        <w:textAlignment w:val="baseline"/>
        <w:rPr>
          <w:bCs/>
          <w:lang w:val="fr-FR"/>
        </w:rPr>
      </w:pPr>
      <w:r w:rsidRPr="00D85862">
        <w:rPr>
          <w:bCs/>
          <w:lang w:val="fr-FR"/>
        </w:rPr>
        <w:lastRenderedPageBreak/>
        <w:t xml:space="preserve">Dans la décision MC-2/2, la Conférence des Parties a également invité les </w:t>
      </w:r>
      <w:r w:rsidR="0016347E" w:rsidRPr="00D85862">
        <w:rPr>
          <w:bCs/>
          <w:lang w:val="fr-FR"/>
        </w:rPr>
        <w:t>P</w:t>
      </w:r>
      <w:r w:rsidRPr="00D85862">
        <w:rPr>
          <w:bCs/>
          <w:lang w:val="fr-FR"/>
        </w:rPr>
        <w:t>arties à communiquer les informations ci-après :</w:t>
      </w:r>
    </w:p>
    <w:p w14:paraId="67A10B25" w14:textId="617BCA80" w:rsidR="00AC097D" w:rsidRPr="00D85862" w:rsidRDefault="00AC097D" w:rsidP="00DA6AD1">
      <w:pPr>
        <w:pStyle w:val="Normalnumber"/>
        <w:numPr>
          <w:ilvl w:val="0"/>
          <w:numId w:val="8"/>
        </w:numPr>
        <w:tabs>
          <w:tab w:val="clear" w:pos="1247"/>
          <w:tab w:val="clear" w:pos="1814"/>
          <w:tab w:val="clear" w:pos="2381"/>
          <w:tab w:val="clear" w:pos="2948"/>
          <w:tab w:val="clear" w:pos="3515"/>
          <w:tab w:val="clear" w:pos="4082"/>
          <w:tab w:val="left" w:pos="624"/>
          <w:tab w:val="left" w:pos="2268"/>
        </w:tabs>
        <w:suppressAutoHyphens/>
        <w:autoSpaceDN w:val="0"/>
        <w:ind w:left="1260" w:firstLine="540"/>
        <w:textAlignment w:val="baseline"/>
        <w:rPr>
          <w:rFonts w:eastAsia="MS PGothic"/>
          <w:iCs/>
          <w:lang w:val="fr-FR"/>
        </w:rPr>
      </w:pPr>
      <w:r w:rsidRPr="00D85862">
        <w:rPr>
          <w:rFonts w:eastAsia="MS PGothic"/>
          <w:iCs/>
          <w:lang w:val="fr-FR"/>
        </w:rPr>
        <w:t>Exemples de déchets à ajouter à l</w:t>
      </w:r>
      <w:r w:rsidR="00F205DE" w:rsidRPr="00D85862">
        <w:rPr>
          <w:rFonts w:eastAsia="MS PGothic"/>
          <w:iCs/>
          <w:lang w:val="fr-FR"/>
        </w:rPr>
        <w:t>’</w:t>
      </w:r>
      <w:r w:rsidRPr="00D85862">
        <w:rPr>
          <w:rFonts w:eastAsia="MS PGothic"/>
          <w:iCs/>
          <w:lang w:val="fr-FR"/>
        </w:rPr>
        <w:t>annexe du document UNEP/MC/COP.2/6, y compris, pour les déchets constitués de composés du mercure, le nom précis des composés et, pour les déchets contenant du mercure ou des composés du mercure (c</w:t>
      </w:r>
      <w:r w:rsidR="00F205DE" w:rsidRPr="00D85862">
        <w:rPr>
          <w:rFonts w:eastAsia="MS PGothic"/>
          <w:iCs/>
          <w:lang w:val="fr-FR"/>
        </w:rPr>
        <w:t>’</w:t>
      </w:r>
      <w:r w:rsidRPr="00D85862">
        <w:rPr>
          <w:rFonts w:eastAsia="MS PGothic"/>
          <w:iCs/>
          <w:lang w:val="fr-FR"/>
        </w:rPr>
        <w:t>est-à-dire les produits contenant du mercure ajouté), le nom et le type de mercure ou de composés du mercure, ainsi que des photographies, si</w:t>
      </w:r>
      <w:r w:rsidR="00006932" w:rsidRPr="00D85862">
        <w:rPr>
          <w:rFonts w:eastAsia="MS PGothic"/>
          <w:iCs/>
          <w:lang w:val="fr-FR"/>
        </w:rPr>
        <w:t> </w:t>
      </w:r>
      <w:r w:rsidRPr="00D85862">
        <w:rPr>
          <w:rFonts w:eastAsia="MS PGothic"/>
          <w:iCs/>
          <w:lang w:val="fr-FR"/>
        </w:rPr>
        <w:t>possible ;</w:t>
      </w:r>
    </w:p>
    <w:p w14:paraId="28358374" w14:textId="0B8BF306" w:rsidR="00AC097D" w:rsidRPr="00D85862" w:rsidRDefault="00AC097D" w:rsidP="00DA6AD1">
      <w:pPr>
        <w:pStyle w:val="Normalnumber"/>
        <w:numPr>
          <w:ilvl w:val="0"/>
          <w:numId w:val="8"/>
        </w:numPr>
        <w:tabs>
          <w:tab w:val="clear" w:pos="1247"/>
          <w:tab w:val="clear" w:pos="1814"/>
          <w:tab w:val="clear" w:pos="2381"/>
          <w:tab w:val="clear" w:pos="2948"/>
          <w:tab w:val="clear" w:pos="3515"/>
          <w:tab w:val="clear" w:pos="4082"/>
          <w:tab w:val="left" w:pos="624"/>
          <w:tab w:val="left" w:pos="2268"/>
        </w:tabs>
        <w:suppressAutoHyphens/>
        <w:autoSpaceDN w:val="0"/>
        <w:ind w:left="1260" w:firstLine="540"/>
        <w:textAlignment w:val="baseline"/>
        <w:rPr>
          <w:rFonts w:eastAsia="MS PGothic"/>
          <w:iCs/>
          <w:lang w:val="fr-FR"/>
        </w:rPr>
      </w:pPr>
      <w:r w:rsidRPr="00D85862">
        <w:rPr>
          <w:rFonts w:eastAsia="MS PGothic"/>
          <w:iCs/>
          <w:lang w:val="fr-FR"/>
        </w:rPr>
        <w:t>Pratiques actuelles de gestion des morts-terrains, des déchets de rocs et des résidus provenant de l</w:t>
      </w:r>
      <w:r w:rsidR="00F205DE" w:rsidRPr="00D85862">
        <w:rPr>
          <w:rFonts w:eastAsia="MS PGothic"/>
          <w:iCs/>
          <w:lang w:val="fr-FR"/>
        </w:rPr>
        <w:t>’</w:t>
      </w:r>
      <w:r w:rsidRPr="00D85862">
        <w:rPr>
          <w:rFonts w:eastAsia="MS PGothic"/>
          <w:iCs/>
          <w:lang w:val="fr-FR"/>
        </w:rPr>
        <w:t>extraction minière, à l</w:t>
      </w:r>
      <w:r w:rsidR="00F205DE" w:rsidRPr="00D85862">
        <w:rPr>
          <w:rFonts w:eastAsia="MS PGothic"/>
          <w:iCs/>
          <w:lang w:val="fr-FR"/>
        </w:rPr>
        <w:t>’</w:t>
      </w:r>
      <w:r w:rsidRPr="00D85862">
        <w:rPr>
          <w:rFonts w:eastAsia="MS PGothic"/>
          <w:iCs/>
          <w:lang w:val="fr-FR"/>
        </w:rPr>
        <w:t>exception de l</w:t>
      </w:r>
      <w:r w:rsidR="00F205DE" w:rsidRPr="00D85862">
        <w:rPr>
          <w:rFonts w:eastAsia="MS PGothic"/>
          <w:iCs/>
          <w:lang w:val="fr-FR"/>
        </w:rPr>
        <w:t>’</w:t>
      </w:r>
      <w:r w:rsidRPr="00D85862">
        <w:rPr>
          <w:rFonts w:eastAsia="MS PGothic"/>
          <w:iCs/>
          <w:lang w:val="fr-FR"/>
        </w:rPr>
        <w:t xml:space="preserve">extraction minière primaire (par exemple lois, réglementations et directives) et approches diverses pour établir des seuils en cas de manipulation ou de traitement particulier, le cas échéant ; </w:t>
      </w:r>
    </w:p>
    <w:p w14:paraId="2800BA08" w14:textId="6B4B12CA" w:rsidR="00AC097D" w:rsidRPr="00D85862" w:rsidRDefault="00AC097D" w:rsidP="00DA6AD1">
      <w:pPr>
        <w:pStyle w:val="Normalnumber"/>
        <w:numPr>
          <w:ilvl w:val="0"/>
          <w:numId w:val="8"/>
        </w:numPr>
        <w:tabs>
          <w:tab w:val="clear" w:pos="1247"/>
          <w:tab w:val="clear" w:pos="1814"/>
          <w:tab w:val="clear" w:pos="2381"/>
          <w:tab w:val="clear" w:pos="2948"/>
          <w:tab w:val="clear" w:pos="3515"/>
          <w:tab w:val="clear" w:pos="4082"/>
          <w:tab w:val="left" w:pos="624"/>
          <w:tab w:val="left" w:pos="2268"/>
        </w:tabs>
        <w:suppressAutoHyphens/>
        <w:autoSpaceDN w:val="0"/>
        <w:ind w:left="1260" w:firstLine="540"/>
        <w:textAlignment w:val="baseline"/>
        <w:rPr>
          <w:rFonts w:eastAsia="MS PGothic"/>
          <w:iCs/>
          <w:lang w:val="fr-FR"/>
        </w:rPr>
      </w:pPr>
      <w:r w:rsidRPr="00D85862">
        <w:rPr>
          <w:rFonts w:eastAsia="MS PGothic"/>
          <w:iCs/>
          <w:lang w:val="fr-FR"/>
        </w:rPr>
        <w:t>Méthodes d</w:t>
      </w:r>
      <w:r w:rsidR="00F205DE" w:rsidRPr="00D85862">
        <w:rPr>
          <w:rFonts w:eastAsia="MS PGothic"/>
          <w:iCs/>
          <w:lang w:val="fr-FR"/>
        </w:rPr>
        <w:t>’</w:t>
      </w:r>
      <w:r w:rsidRPr="00D85862">
        <w:rPr>
          <w:rFonts w:eastAsia="MS PGothic"/>
          <w:iCs/>
          <w:lang w:val="fr-FR"/>
        </w:rPr>
        <w:t>échantillonnage et d</w:t>
      </w:r>
      <w:r w:rsidR="00F205DE" w:rsidRPr="00D85862">
        <w:rPr>
          <w:rFonts w:eastAsia="MS PGothic"/>
          <w:iCs/>
          <w:lang w:val="fr-FR"/>
        </w:rPr>
        <w:t>’</w:t>
      </w:r>
      <w:r w:rsidRPr="00D85862">
        <w:rPr>
          <w:rFonts w:eastAsia="MS PGothic"/>
          <w:iCs/>
          <w:lang w:val="fr-FR"/>
        </w:rPr>
        <w:t>analyse qui pourraient être utiles pour la vérification des seuils applicables aux déchets.</w:t>
      </w:r>
    </w:p>
    <w:p w14:paraId="3EED83EC" w14:textId="7D5AD0F6" w:rsidR="00AC097D" w:rsidRPr="00D85862" w:rsidRDefault="00AC097D" w:rsidP="00DA6AD1">
      <w:pPr>
        <w:pStyle w:val="Normalnumber"/>
        <w:numPr>
          <w:ilvl w:val="0"/>
          <w:numId w:val="6"/>
        </w:numPr>
        <w:tabs>
          <w:tab w:val="clear" w:pos="1247"/>
          <w:tab w:val="clear" w:pos="1814"/>
          <w:tab w:val="clear" w:pos="2381"/>
          <w:tab w:val="clear" w:pos="2948"/>
          <w:tab w:val="clear" w:pos="3515"/>
          <w:tab w:val="clear" w:pos="4082"/>
          <w:tab w:val="left" w:pos="624"/>
          <w:tab w:val="left" w:pos="1820"/>
        </w:tabs>
        <w:suppressAutoHyphens/>
        <w:autoSpaceDN w:val="0"/>
        <w:ind w:left="1260" w:firstLine="0"/>
        <w:textAlignment w:val="baseline"/>
        <w:rPr>
          <w:bCs/>
          <w:lang w:val="fr-FR"/>
        </w:rPr>
      </w:pPr>
      <w:r w:rsidRPr="00D85862">
        <w:rPr>
          <w:bCs/>
          <w:lang w:val="fr-FR"/>
        </w:rPr>
        <w:t>Le groupe d</w:t>
      </w:r>
      <w:r w:rsidR="00F205DE" w:rsidRPr="00D85862">
        <w:rPr>
          <w:bCs/>
          <w:lang w:val="fr-FR"/>
        </w:rPr>
        <w:t>’</w:t>
      </w:r>
      <w:r w:rsidRPr="00D85862">
        <w:rPr>
          <w:bCs/>
          <w:lang w:val="fr-FR"/>
        </w:rPr>
        <w:t>experts techniques a tenu deux téléconférences, au cours desquelles il a élu ses coprésidents, Mme Oluwatoyin Olabanji (Nigéria) et M. Andreas Gössnitzer (Suisse), a convenu d</w:t>
      </w:r>
      <w:r w:rsidR="00F205DE" w:rsidRPr="00D85862">
        <w:rPr>
          <w:bCs/>
          <w:lang w:val="fr-FR"/>
        </w:rPr>
        <w:t>’</w:t>
      </w:r>
      <w:r w:rsidRPr="00D85862">
        <w:rPr>
          <w:bCs/>
          <w:lang w:val="fr-FR"/>
        </w:rPr>
        <w:t>inviter huit experts du secteur de l</w:t>
      </w:r>
      <w:r w:rsidR="00F205DE" w:rsidRPr="00D85862">
        <w:rPr>
          <w:bCs/>
          <w:lang w:val="fr-FR"/>
        </w:rPr>
        <w:t>’</w:t>
      </w:r>
      <w:r w:rsidRPr="00D85862">
        <w:rPr>
          <w:bCs/>
          <w:lang w:val="fr-FR"/>
        </w:rPr>
        <w:t>industrie et de la société civile à participer en qualité d</w:t>
      </w:r>
      <w:r w:rsidR="00F205DE" w:rsidRPr="00D85862">
        <w:rPr>
          <w:bCs/>
          <w:lang w:val="fr-FR"/>
        </w:rPr>
        <w:t>’</w:t>
      </w:r>
      <w:r w:rsidRPr="00D85862">
        <w:rPr>
          <w:bCs/>
          <w:lang w:val="fr-FR"/>
        </w:rPr>
        <w:t>observateurs, tel que prévu dans la décision MC-2/2, et a examiné les contributions présentées par les</w:t>
      </w:r>
      <w:r w:rsidR="0016347E" w:rsidRPr="00D85862">
        <w:rPr>
          <w:bCs/>
          <w:lang w:val="fr-FR"/>
        </w:rPr>
        <w:t xml:space="preserve"> P</w:t>
      </w:r>
      <w:r w:rsidRPr="00D85862">
        <w:rPr>
          <w:bCs/>
          <w:lang w:val="fr-FR"/>
        </w:rPr>
        <w:t>arties et les autres parties prenantes.</w:t>
      </w:r>
    </w:p>
    <w:p w14:paraId="38EAC55C" w14:textId="2C1FB072" w:rsidR="00AC097D" w:rsidRPr="00D85862" w:rsidRDefault="00AC097D" w:rsidP="00DA6AD1">
      <w:pPr>
        <w:pStyle w:val="Normalnumber"/>
        <w:numPr>
          <w:ilvl w:val="0"/>
          <w:numId w:val="6"/>
        </w:numPr>
        <w:tabs>
          <w:tab w:val="clear" w:pos="1247"/>
          <w:tab w:val="clear" w:pos="1814"/>
          <w:tab w:val="clear" w:pos="2381"/>
          <w:tab w:val="clear" w:pos="2948"/>
          <w:tab w:val="clear" w:pos="3515"/>
          <w:tab w:val="clear" w:pos="4082"/>
          <w:tab w:val="left" w:pos="624"/>
          <w:tab w:val="left" w:pos="1820"/>
        </w:tabs>
        <w:suppressAutoHyphens/>
        <w:autoSpaceDN w:val="0"/>
        <w:ind w:left="1260" w:firstLine="0"/>
        <w:textAlignment w:val="baseline"/>
        <w:rPr>
          <w:bCs/>
          <w:lang w:val="fr-FR"/>
        </w:rPr>
      </w:pPr>
      <w:r w:rsidRPr="00D85862">
        <w:rPr>
          <w:bCs/>
          <w:lang w:val="fr-FR"/>
        </w:rPr>
        <w:t>Le groupe a également tenu une réunion en présentiel à Osaka (Japon) du 27 au 29 mai 2019. Un atelier sur les synergies en matière de gestion des déchets de mercure, organisé par le secrétariat en collaboration avec le Centre international d</w:t>
      </w:r>
      <w:r w:rsidR="00F205DE" w:rsidRPr="00D85862">
        <w:rPr>
          <w:bCs/>
          <w:lang w:val="fr-FR"/>
        </w:rPr>
        <w:t>’</w:t>
      </w:r>
      <w:r w:rsidRPr="00D85862">
        <w:rPr>
          <w:bCs/>
          <w:lang w:val="fr-FR"/>
        </w:rPr>
        <w:t>écotechnologie et le Ministère japonais de l</w:t>
      </w:r>
      <w:r w:rsidR="00F205DE" w:rsidRPr="00D85862">
        <w:rPr>
          <w:bCs/>
          <w:lang w:val="fr-FR"/>
        </w:rPr>
        <w:t>’</w:t>
      </w:r>
      <w:r w:rsidR="00FB35E8" w:rsidRPr="00D85862">
        <w:rPr>
          <w:bCs/>
          <w:lang w:val="fr-FR"/>
        </w:rPr>
        <w:t>e</w:t>
      </w:r>
      <w:r w:rsidRPr="00D85862">
        <w:rPr>
          <w:bCs/>
          <w:lang w:val="fr-FR"/>
        </w:rPr>
        <w:t>nvironnement, a été organisé en marge de la réunion, les 30 et 31 mai 2019.</w:t>
      </w:r>
    </w:p>
    <w:p w14:paraId="21A21EFC" w14:textId="34659F88" w:rsidR="00AC097D" w:rsidRPr="00D85862" w:rsidRDefault="00AC097D" w:rsidP="00DA6AD1">
      <w:pPr>
        <w:pStyle w:val="Normalnumber"/>
        <w:numPr>
          <w:ilvl w:val="0"/>
          <w:numId w:val="6"/>
        </w:numPr>
        <w:tabs>
          <w:tab w:val="clear" w:pos="1247"/>
          <w:tab w:val="clear" w:pos="1814"/>
          <w:tab w:val="clear" w:pos="2381"/>
          <w:tab w:val="clear" w:pos="2948"/>
          <w:tab w:val="clear" w:pos="3515"/>
          <w:tab w:val="clear" w:pos="4082"/>
          <w:tab w:val="left" w:pos="624"/>
          <w:tab w:val="left" w:pos="1820"/>
        </w:tabs>
        <w:suppressAutoHyphens/>
        <w:autoSpaceDN w:val="0"/>
        <w:ind w:left="1260" w:firstLine="0"/>
        <w:textAlignment w:val="baseline"/>
        <w:rPr>
          <w:bCs/>
          <w:lang w:val="fr-FR"/>
        </w:rPr>
      </w:pPr>
      <w:r w:rsidRPr="00D85862">
        <w:rPr>
          <w:bCs/>
          <w:lang w:val="fr-FR"/>
        </w:rPr>
        <w:t>Dans la décision MC-2/2, la Conférence des Parties a également invité la Conférence des Parties à la Convention de Bâle sur le contrôle des mouvements transfrontières de déchets dangereux et de leur élimination à envisager de revoir, le cas échéant, les directives techniques sur la gestion écologiquement rationnelle des déchets constitués de mercure ou de composés du mercure, en contenant ou contaminés par ces substances</w:t>
      </w:r>
      <w:r w:rsidR="00D01224" w:rsidRPr="00D85862">
        <w:rPr>
          <w:rStyle w:val="FootnoteReference"/>
          <w:bCs/>
          <w:lang w:val="fr-FR"/>
        </w:rPr>
        <w:footnoteReference w:id="2"/>
      </w:r>
      <w:r w:rsidRPr="00D85862">
        <w:rPr>
          <w:bCs/>
          <w:lang w:val="fr-FR"/>
        </w:rPr>
        <w:t>. En mai 2019, la Conférence des Parties à la Convention de Bâle, dans sa décision BC</w:t>
      </w:r>
      <w:r w:rsidRPr="00D85862">
        <w:rPr>
          <w:bCs/>
          <w:lang w:val="fr-FR"/>
        </w:rPr>
        <w:noBreakHyphen/>
        <w:t>14/8, a décidé que les directives techniques devraient être mises à jour et a créé un petit groupe de travail intersessions chargé de contribuer à l</w:t>
      </w:r>
      <w:r w:rsidR="00F205DE" w:rsidRPr="00D85862">
        <w:rPr>
          <w:bCs/>
          <w:lang w:val="fr-FR"/>
        </w:rPr>
        <w:t>’</w:t>
      </w:r>
      <w:r w:rsidRPr="00D85862">
        <w:rPr>
          <w:bCs/>
          <w:lang w:val="fr-FR"/>
        </w:rPr>
        <w:t>exercice de mise à jour, invitant ses membres à coopérer avec le groupe d</w:t>
      </w:r>
      <w:r w:rsidR="00F205DE" w:rsidRPr="00D85862">
        <w:rPr>
          <w:bCs/>
          <w:lang w:val="fr-FR"/>
        </w:rPr>
        <w:t>’</w:t>
      </w:r>
      <w:r w:rsidRPr="00D85862">
        <w:rPr>
          <w:bCs/>
          <w:lang w:val="fr-FR"/>
        </w:rPr>
        <w:t>experts techniques sur les seuils applicables aux déchets de mercure, si ce dernier les y invitait.</w:t>
      </w:r>
    </w:p>
    <w:p w14:paraId="062C3AD4" w14:textId="244C60FA" w:rsidR="00FB35E8" w:rsidRPr="00D85862" w:rsidRDefault="00AC097D" w:rsidP="00DA6AD1">
      <w:pPr>
        <w:pStyle w:val="Normalnumber"/>
        <w:numPr>
          <w:ilvl w:val="0"/>
          <w:numId w:val="6"/>
        </w:numPr>
        <w:tabs>
          <w:tab w:val="clear" w:pos="1247"/>
          <w:tab w:val="clear" w:pos="1814"/>
          <w:tab w:val="clear" w:pos="2381"/>
          <w:tab w:val="clear" w:pos="2948"/>
          <w:tab w:val="clear" w:pos="3515"/>
          <w:tab w:val="clear" w:pos="4082"/>
          <w:tab w:val="left" w:pos="624"/>
          <w:tab w:val="left" w:pos="1820"/>
        </w:tabs>
        <w:suppressAutoHyphens/>
        <w:autoSpaceDN w:val="0"/>
        <w:ind w:left="1260" w:firstLine="0"/>
        <w:textAlignment w:val="baseline"/>
        <w:rPr>
          <w:bCs/>
          <w:lang w:val="fr-FR"/>
        </w:rPr>
      </w:pPr>
      <w:r w:rsidRPr="00D85862">
        <w:rPr>
          <w:bCs/>
          <w:lang w:val="fr-FR"/>
        </w:rPr>
        <w:t>Un projet de décision sur les seuils applicables aux déchets de mercure, basé sur les travaux du groupe d</w:t>
      </w:r>
      <w:r w:rsidR="00F205DE" w:rsidRPr="00D85862">
        <w:rPr>
          <w:bCs/>
          <w:lang w:val="fr-FR"/>
        </w:rPr>
        <w:t>’</w:t>
      </w:r>
      <w:r w:rsidRPr="00D85862">
        <w:rPr>
          <w:bCs/>
          <w:lang w:val="fr-FR"/>
        </w:rPr>
        <w:t>experts techniques, figure en tant qu</w:t>
      </w:r>
      <w:r w:rsidR="00F205DE" w:rsidRPr="00D85862">
        <w:rPr>
          <w:bCs/>
          <w:lang w:val="fr-FR"/>
        </w:rPr>
        <w:t>’</w:t>
      </w:r>
      <w:r w:rsidRPr="00D85862">
        <w:rPr>
          <w:bCs/>
          <w:lang w:val="fr-FR"/>
        </w:rPr>
        <w:t xml:space="preserve">annexe I à la présente note, et un rapport sur les travaux du groupe est présenté en annexe II. Le rapport mentionne des </w:t>
      </w:r>
      <w:r w:rsidR="00394274" w:rsidRPr="00D85862">
        <w:rPr>
          <w:bCs/>
          <w:lang w:val="fr-FR"/>
        </w:rPr>
        <w:t xml:space="preserve">listes </w:t>
      </w:r>
      <w:r w:rsidRPr="00D85862">
        <w:rPr>
          <w:bCs/>
          <w:lang w:val="fr-FR"/>
        </w:rPr>
        <w:t>de composés du mercure et de produits contenant du mercure ajouté, qui sont utilisés par certaines parties</w:t>
      </w:r>
      <w:r w:rsidRPr="00D85862">
        <w:rPr>
          <w:rStyle w:val="FootnoteReference"/>
          <w:bCs/>
          <w:lang w:val="fr-FR"/>
        </w:rPr>
        <w:footnoteReference w:id="3"/>
      </w:r>
      <w:r w:rsidRPr="00D85862">
        <w:rPr>
          <w:bCs/>
          <w:lang w:val="fr-FR"/>
        </w:rPr>
        <w:t xml:space="preserve"> et ont été compilés dans le document UNEP/MC/COP.3/INF/18. Le rapport de la réunion du groupe à Osaka est disponible sur le site Web de la Convention</w:t>
      </w:r>
      <w:r w:rsidRPr="00D85862">
        <w:rPr>
          <w:rStyle w:val="FootnoteReference"/>
          <w:bCs/>
          <w:lang w:val="fr-FR"/>
        </w:rPr>
        <w:footnoteReference w:id="4"/>
      </w:r>
      <w:r w:rsidRPr="00D85862">
        <w:rPr>
          <w:bCs/>
          <w:lang w:val="fr-FR"/>
        </w:rPr>
        <w:t xml:space="preserve">. </w:t>
      </w:r>
    </w:p>
    <w:p w14:paraId="5192618C" w14:textId="43D2664C" w:rsidR="00FB35E8" w:rsidRPr="00D85862" w:rsidRDefault="00FB35E8" w:rsidP="00DA6AD1">
      <w:pPr>
        <w:pStyle w:val="Normalnumber"/>
        <w:numPr>
          <w:ilvl w:val="0"/>
          <w:numId w:val="0"/>
        </w:numPr>
        <w:tabs>
          <w:tab w:val="clear" w:pos="1247"/>
          <w:tab w:val="clear" w:pos="1814"/>
          <w:tab w:val="clear" w:pos="2381"/>
          <w:tab w:val="clear" w:pos="2948"/>
          <w:tab w:val="clear" w:pos="3515"/>
          <w:tab w:val="clear" w:pos="4082"/>
          <w:tab w:val="left" w:pos="624"/>
          <w:tab w:val="left" w:pos="1820"/>
        </w:tabs>
        <w:suppressAutoHyphens/>
        <w:autoSpaceDN w:val="0"/>
        <w:ind w:left="1247"/>
        <w:textAlignment w:val="baseline"/>
        <w:rPr>
          <w:b/>
          <w:sz w:val="28"/>
          <w:szCs w:val="28"/>
          <w:lang w:val="fr-FR"/>
        </w:rPr>
      </w:pPr>
      <w:r w:rsidRPr="00D85862">
        <w:rPr>
          <w:b/>
          <w:sz w:val="28"/>
          <w:szCs w:val="28"/>
          <w:lang w:val="fr-FR"/>
        </w:rPr>
        <w:t xml:space="preserve">Mesure que pourrait prendre la Conférence des Parties </w:t>
      </w:r>
    </w:p>
    <w:p w14:paraId="79AB5D94" w14:textId="5444EB67" w:rsidR="00FB35E8" w:rsidRPr="00D85862" w:rsidRDefault="00FB35E8" w:rsidP="00DA6AD1">
      <w:pPr>
        <w:pStyle w:val="Normalnumber"/>
        <w:numPr>
          <w:ilvl w:val="0"/>
          <w:numId w:val="6"/>
        </w:numPr>
        <w:tabs>
          <w:tab w:val="clear" w:pos="1247"/>
          <w:tab w:val="clear" w:pos="1814"/>
          <w:tab w:val="clear" w:pos="2381"/>
          <w:tab w:val="clear" w:pos="2948"/>
          <w:tab w:val="clear" w:pos="3515"/>
          <w:tab w:val="clear" w:pos="4082"/>
          <w:tab w:val="left" w:pos="624"/>
          <w:tab w:val="left" w:pos="1820"/>
        </w:tabs>
        <w:suppressAutoHyphens/>
        <w:autoSpaceDN w:val="0"/>
        <w:ind w:left="1260" w:firstLine="0"/>
        <w:textAlignment w:val="baseline"/>
        <w:rPr>
          <w:bCs/>
          <w:lang w:val="fr-FR"/>
        </w:rPr>
      </w:pPr>
      <w:r w:rsidRPr="00D85862">
        <w:rPr>
          <w:bCs/>
          <w:lang w:val="fr-FR"/>
        </w:rPr>
        <w:t xml:space="preserve">La Conférence des Parties souhaitera peut-être se pencher sur les résultats des travaux menés par le groupe d’experts techniques au cours de la période intersessions et examiner le projet de décision figurant dans l’annexe I à la présente note. </w:t>
      </w:r>
    </w:p>
    <w:p w14:paraId="211FEFFE" w14:textId="77777777" w:rsidR="00FC41B3" w:rsidRPr="00D85862" w:rsidRDefault="00FC41B3" w:rsidP="00DA6AD1">
      <w:pPr>
        <w:pStyle w:val="Normalnumber"/>
        <w:numPr>
          <w:ilvl w:val="0"/>
          <w:numId w:val="0"/>
        </w:numPr>
        <w:tabs>
          <w:tab w:val="clear" w:pos="1247"/>
          <w:tab w:val="clear" w:pos="1814"/>
          <w:tab w:val="clear" w:pos="2381"/>
          <w:tab w:val="clear" w:pos="2948"/>
          <w:tab w:val="clear" w:pos="3515"/>
          <w:tab w:val="clear" w:pos="4082"/>
          <w:tab w:val="left" w:pos="624"/>
          <w:tab w:val="left" w:pos="1820"/>
        </w:tabs>
        <w:suppressAutoHyphens/>
        <w:autoSpaceDN w:val="0"/>
        <w:ind w:left="1247"/>
        <w:textAlignment w:val="baseline"/>
        <w:rPr>
          <w:bCs/>
          <w:lang w:val="fr-FR"/>
        </w:rPr>
        <w:sectPr w:rsidR="00FC41B3" w:rsidRPr="00D85862"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p>
    <w:p w14:paraId="78A88F5E" w14:textId="329BE153" w:rsidR="00FB35E8" w:rsidRPr="00D85862" w:rsidRDefault="00FB35E8" w:rsidP="00DA6AD1">
      <w:pPr>
        <w:pStyle w:val="Normalnumber"/>
        <w:numPr>
          <w:ilvl w:val="0"/>
          <w:numId w:val="0"/>
        </w:numPr>
        <w:tabs>
          <w:tab w:val="clear" w:pos="1247"/>
          <w:tab w:val="clear" w:pos="1814"/>
          <w:tab w:val="clear" w:pos="2381"/>
          <w:tab w:val="clear" w:pos="2948"/>
          <w:tab w:val="clear" w:pos="3515"/>
          <w:tab w:val="clear" w:pos="4082"/>
          <w:tab w:val="left" w:pos="624"/>
          <w:tab w:val="left" w:pos="1820"/>
        </w:tabs>
        <w:suppressAutoHyphens/>
        <w:autoSpaceDN w:val="0"/>
        <w:ind w:left="1247"/>
        <w:textAlignment w:val="baseline"/>
        <w:rPr>
          <w:bCs/>
          <w:lang w:val="fr-FR"/>
        </w:rPr>
      </w:pPr>
    </w:p>
    <w:p w14:paraId="638B64BD" w14:textId="5AED369F" w:rsidR="00D01224" w:rsidRPr="00D85862" w:rsidRDefault="00D01224" w:rsidP="00DA6AD1">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260"/>
        <w:textAlignment w:val="baseline"/>
        <w:rPr>
          <w:bCs/>
          <w:lang w:val="fr-FR"/>
        </w:rPr>
      </w:pPr>
    </w:p>
    <w:p w14:paraId="1AF0187D" w14:textId="77777777" w:rsidR="00D01224" w:rsidRPr="00D85862" w:rsidRDefault="00D01224" w:rsidP="00DA6AD1">
      <w:pPr>
        <w:tabs>
          <w:tab w:val="clear" w:pos="1247"/>
          <w:tab w:val="clear" w:pos="1814"/>
          <w:tab w:val="clear" w:pos="2381"/>
          <w:tab w:val="clear" w:pos="2948"/>
          <w:tab w:val="clear" w:pos="3515"/>
        </w:tabs>
        <w:spacing w:after="120"/>
        <w:rPr>
          <w:bCs/>
        </w:rPr>
      </w:pPr>
      <w:r w:rsidRPr="00D85862">
        <w:rPr>
          <w:bCs/>
        </w:rPr>
        <w:br w:type="page"/>
      </w:r>
    </w:p>
    <w:p w14:paraId="5EB0F68C" w14:textId="66858875" w:rsidR="00CD64BB" w:rsidRPr="00D85862" w:rsidRDefault="00CD64BB" w:rsidP="00DA6AD1">
      <w:pPr>
        <w:pStyle w:val="ZZAnxheader"/>
        <w:spacing w:after="120"/>
        <w:rPr>
          <w:lang w:val="fr-FR"/>
        </w:rPr>
      </w:pPr>
      <w:r w:rsidRPr="00D85862">
        <w:rPr>
          <w:lang w:val="fr-FR"/>
        </w:rPr>
        <w:lastRenderedPageBreak/>
        <w:t>Annexe I</w:t>
      </w:r>
    </w:p>
    <w:p w14:paraId="25AD3AAE" w14:textId="53857721" w:rsidR="00CD64BB" w:rsidRPr="00D85862" w:rsidRDefault="00CD64BB" w:rsidP="00DA6AD1">
      <w:pPr>
        <w:pStyle w:val="ZZAnxtitle"/>
        <w:spacing w:before="0"/>
        <w:rPr>
          <w:lang w:val="fr-FR"/>
        </w:rPr>
      </w:pPr>
      <w:r w:rsidRPr="00D85862">
        <w:rPr>
          <w:lang w:val="fr-FR"/>
        </w:rPr>
        <w:t>Projet de décision MC-3/[--]</w:t>
      </w:r>
      <w:r w:rsidR="00FC41B3" w:rsidRPr="00D85862">
        <w:rPr>
          <w:lang w:val="fr-FR"/>
        </w:rPr>
        <w:t xml:space="preserve"> </w:t>
      </w:r>
      <w:r w:rsidRPr="00D85862">
        <w:rPr>
          <w:lang w:val="fr-FR"/>
        </w:rPr>
        <w:t>: Seuils applicables aux déchets de</w:t>
      </w:r>
      <w:r w:rsidR="00FC41B3" w:rsidRPr="00D85862">
        <w:rPr>
          <w:lang w:val="fr-FR"/>
        </w:rPr>
        <w:t> mercure</w:t>
      </w:r>
    </w:p>
    <w:p w14:paraId="01B0FA69" w14:textId="77777777" w:rsidR="00CD64BB" w:rsidRPr="00D85862" w:rsidRDefault="00CD64BB" w:rsidP="00DA6AD1">
      <w:pPr>
        <w:pStyle w:val="Normal-pool"/>
        <w:tabs>
          <w:tab w:val="clear" w:pos="1247"/>
          <w:tab w:val="clear" w:pos="1814"/>
          <w:tab w:val="clear" w:pos="2381"/>
          <w:tab w:val="clear" w:pos="2948"/>
          <w:tab w:val="clear" w:pos="3515"/>
          <w:tab w:val="clear" w:pos="4082"/>
          <w:tab w:val="left" w:pos="624"/>
        </w:tabs>
        <w:spacing w:after="120"/>
        <w:ind w:left="1247" w:firstLine="624"/>
        <w:rPr>
          <w:i/>
          <w:lang w:val="fr-FR"/>
        </w:rPr>
      </w:pPr>
      <w:r w:rsidRPr="00D85862">
        <w:rPr>
          <w:i/>
          <w:lang w:val="fr-FR"/>
        </w:rPr>
        <w:t>La Conférence des Parties,</w:t>
      </w:r>
    </w:p>
    <w:p w14:paraId="7D832F69" w14:textId="17FA9A9C" w:rsidR="00CD64BB" w:rsidRPr="00D85862" w:rsidRDefault="00CD64BB" w:rsidP="00DA6AD1">
      <w:pPr>
        <w:pStyle w:val="Normal-pool"/>
        <w:tabs>
          <w:tab w:val="clear" w:pos="1247"/>
          <w:tab w:val="clear" w:pos="1814"/>
          <w:tab w:val="clear" w:pos="2381"/>
          <w:tab w:val="clear" w:pos="2948"/>
          <w:tab w:val="clear" w:pos="3515"/>
          <w:tab w:val="clear" w:pos="4082"/>
          <w:tab w:val="left" w:pos="624"/>
        </w:tabs>
        <w:spacing w:after="120"/>
        <w:ind w:left="1247" w:firstLine="624"/>
        <w:rPr>
          <w:lang w:val="fr-FR"/>
        </w:rPr>
      </w:pPr>
      <w:r w:rsidRPr="00D85862">
        <w:rPr>
          <w:i/>
          <w:lang w:val="fr-FR"/>
        </w:rPr>
        <w:t>Accueill</w:t>
      </w:r>
      <w:r w:rsidR="00FB35E8" w:rsidRPr="00D85862">
        <w:rPr>
          <w:i/>
          <w:lang w:val="fr-FR"/>
        </w:rPr>
        <w:t>ant</w:t>
      </w:r>
      <w:r w:rsidRPr="00D85862">
        <w:rPr>
          <w:i/>
          <w:lang w:val="fr-FR"/>
        </w:rPr>
        <w:t xml:space="preserve"> avec satisfaction </w:t>
      </w:r>
      <w:r w:rsidRPr="00D85862">
        <w:rPr>
          <w:lang w:val="fr-FR"/>
        </w:rPr>
        <w:t>les résultats des travaux du groupe d</w:t>
      </w:r>
      <w:r w:rsidR="00F205DE" w:rsidRPr="00D85862">
        <w:rPr>
          <w:lang w:val="fr-FR"/>
        </w:rPr>
        <w:t>’</w:t>
      </w:r>
      <w:r w:rsidRPr="00D85862">
        <w:rPr>
          <w:lang w:val="fr-FR"/>
        </w:rPr>
        <w:t>experts techniques sur les seuils applicables aux déchets de mercure,</w:t>
      </w:r>
    </w:p>
    <w:p w14:paraId="2CBEC1DD" w14:textId="394EF3B5" w:rsidR="00CD64BB" w:rsidRPr="00D85862" w:rsidRDefault="00CD64BB" w:rsidP="00DA6AD1">
      <w:pPr>
        <w:pStyle w:val="Normal-pool"/>
        <w:tabs>
          <w:tab w:val="clear" w:pos="1247"/>
          <w:tab w:val="clear" w:pos="1814"/>
          <w:tab w:val="clear" w:pos="2381"/>
          <w:tab w:val="clear" w:pos="2948"/>
          <w:tab w:val="clear" w:pos="3515"/>
          <w:tab w:val="clear" w:pos="4082"/>
          <w:tab w:val="left" w:pos="624"/>
        </w:tabs>
        <w:spacing w:after="120"/>
        <w:ind w:left="1247" w:firstLine="624"/>
        <w:rPr>
          <w:lang w:val="fr-FR"/>
        </w:rPr>
      </w:pPr>
      <w:r w:rsidRPr="00D85862">
        <w:rPr>
          <w:i/>
          <w:lang w:val="fr-FR"/>
        </w:rPr>
        <w:t>Pren</w:t>
      </w:r>
      <w:r w:rsidR="00FB35E8" w:rsidRPr="00D85862">
        <w:rPr>
          <w:i/>
          <w:lang w:val="fr-FR"/>
        </w:rPr>
        <w:t>ant</w:t>
      </w:r>
      <w:r w:rsidRPr="00D85862">
        <w:rPr>
          <w:i/>
          <w:lang w:val="fr-FR"/>
        </w:rPr>
        <w:t xml:space="preserve"> note </w:t>
      </w:r>
      <w:r w:rsidRPr="00D85862">
        <w:rPr>
          <w:lang w:val="fr-FR"/>
        </w:rPr>
        <w:t xml:space="preserve">de la décision BC-14/8 adoptée par la Conférence des Parties à la Convention de Bâle à sa quatorzième réunion, </w:t>
      </w:r>
    </w:p>
    <w:p w14:paraId="2D200949" w14:textId="44EB9440" w:rsidR="00CD64BB" w:rsidRPr="00D85862" w:rsidRDefault="00CD64BB" w:rsidP="00DA6AD1">
      <w:pPr>
        <w:pStyle w:val="Normal-pool"/>
        <w:numPr>
          <w:ilvl w:val="0"/>
          <w:numId w:val="10"/>
        </w:numPr>
        <w:tabs>
          <w:tab w:val="clear" w:pos="1247"/>
          <w:tab w:val="clear" w:pos="1814"/>
          <w:tab w:val="clear" w:pos="2381"/>
          <w:tab w:val="clear" w:pos="2948"/>
          <w:tab w:val="clear" w:pos="3515"/>
          <w:tab w:val="clear" w:pos="4082"/>
          <w:tab w:val="left" w:pos="624"/>
          <w:tab w:val="left" w:pos="2410"/>
        </w:tabs>
        <w:spacing w:after="120"/>
        <w:ind w:left="1247" w:firstLine="624"/>
        <w:rPr>
          <w:rFonts w:eastAsia="MS PGothic"/>
          <w:lang w:val="fr-FR"/>
        </w:rPr>
      </w:pPr>
      <w:r w:rsidRPr="00D85862">
        <w:rPr>
          <w:i/>
          <w:lang w:val="fr-FR"/>
        </w:rPr>
        <w:t xml:space="preserve">Décide </w:t>
      </w:r>
      <w:r w:rsidRPr="00D85862">
        <w:rPr>
          <w:rFonts w:eastAsia="MS PGothic"/>
          <w:lang w:val="fr-FR"/>
        </w:rPr>
        <w:t>qu</w:t>
      </w:r>
      <w:r w:rsidR="00F205DE" w:rsidRPr="00D85862">
        <w:rPr>
          <w:rFonts w:eastAsia="MS PGothic"/>
          <w:lang w:val="fr-FR"/>
        </w:rPr>
        <w:t>’</w:t>
      </w:r>
      <w:r w:rsidRPr="00D85862">
        <w:rPr>
          <w:rFonts w:eastAsia="MS PGothic"/>
          <w:lang w:val="fr-FR"/>
        </w:rPr>
        <w:t>aucun seuil n</w:t>
      </w:r>
      <w:r w:rsidR="00F205DE" w:rsidRPr="00D85862">
        <w:rPr>
          <w:rFonts w:eastAsia="MS PGothic"/>
          <w:lang w:val="fr-FR"/>
        </w:rPr>
        <w:t>’</w:t>
      </w:r>
      <w:r w:rsidRPr="00D85862">
        <w:rPr>
          <w:rFonts w:eastAsia="MS PGothic"/>
          <w:lang w:val="fr-FR"/>
        </w:rPr>
        <w:t>a besoin d</w:t>
      </w:r>
      <w:r w:rsidR="00F205DE" w:rsidRPr="00D85862">
        <w:rPr>
          <w:rFonts w:eastAsia="MS PGothic"/>
          <w:lang w:val="fr-FR"/>
        </w:rPr>
        <w:t>’</w:t>
      </w:r>
      <w:r w:rsidRPr="00D85862">
        <w:rPr>
          <w:rFonts w:eastAsia="MS PGothic"/>
          <w:lang w:val="fr-FR"/>
        </w:rPr>
        <w:t xml:space="preserve">être établi pour les déchets de mercure </w:t>
      </w:r>
      <w:r w:rsidR="009A6751" w:rsidRPr="00D85862">
        <w:rPr>
          <w:rFonts w:eastAsia="MS PGothic"/>
          <w:lang w:val="fr-FR"/>
        </w:rPr>
        <w:t xml:space="preserve">relevant de l’alinéa </w:t>
      </w:r>
      <w:r w:rsidRPr="00D85862">
        <w:rPr>
          <w:rFonts w:eastAsia="MS PGothic"/>
          <w:lang w:val="fr-FR"/>
        </w:rPr>
        <w:t>2</w:t>
      </w:r>
      <w:r w:rsidR="00FB35E8" w:rsidRPr="00D85862">
        <w:rPr>
          <w:rFonts w:eastAsia="MS PGothic"/>
          <w:lang w:val="fr-FR"/>
        </w:rPr>
        <w:t xml:space="preserve"> </w:t>
      </w:r>
      <w:r w:rsidR="00F1470C" w:rsidRPr="00D85862">
        <w:rPr>
          <w:rFonts w:eastAsia="MS PGothic"/>
          <w:lang w:val="fr-FR"/>
        </w:rPr>
        <w:t>a</w:t>
      </w:r>
      <w:r w:rsidR="00FB35E8" w:rsidRPr="00D85862">
        <w:rPr>
          <w:rFonts w:eastAsia="MS PGothic"/>
          <w:lang w:val="fr-FR"/>
        </w:rPr>
        <w:t xml:space="preserve">) </w:t>
      </w:r>
      <w:r w:rsidRPr="00D85862">
        <w:rPr>
          <w:rFonts w:eastAsia="MS PGothic"/>
          <w:lang w:val="fr-FR"/>
        </w:rPr>
        <w:t>de l</w:t>
      </w:r>
      <w:r w:rsidR="00F205DE" w:rsidRPr="00D85862">
        <w:rPr>
          <w:rFonts w:eastAsia="MS PGothic"/>
          <w:lang w:val="fr-FR"/>
        </w:rPr>
        <w:t>’</w:t>
      </w:r>
      <w:r w:rsidRPr="00D85862">
        <w:rPr>
          <w:rFonts w:eastAsia="MS PGothic"/>
          <w:lang w:val="fr-FR"/>
        </w:rPr>
        <w:t xml:space="preserve">article 11, et que les déchets </w:t>
      </w:r>
      <w:r w:rsidR="009A6751" w:rsidRPr="00D85862">
        <w:rPr>
          <w:rFonts w:eastAsia="MS PGothic"/>
          <w:lang w:val="fr-FR"/>
        </w:rPr>
        <w:t xml:space="preserve">énumérés </w:t>
      </w:r>
      <w:r w:rsidRPr="00D85862">
        <w:rPr>
          <w:rFonts w:eastAsia="MS PGothic"/>
          <w:lang w:val="fr-FR"/>
        </w:rPr>
        <w:t>dans le tableau 1 de l</w:t>
      </w:r>
      <w:r w:rsidR="00F205DE" w:rsidRPr="00D85862">
        <w:rPr>
          <w:rFonts w:eastAsia="MS PGothic"/>
          <w:lang w:val="fr-FR"/>
        </w:rPr>
        <w:t>’</w:t>
      </w:r>
      <w:r w:rsidRPr="00D85862">
        <w:rPr>
          <w:rFonts w:eastAsia="MS PGothic"/>
          <w:lang w:val="fr-FR"/>
        </w:rPr>
        <w:t>annexe à la présente décision sont considérés comme des déchets de mercure ;</w:t>
      </w:r>
    </w:p>
    <w:p w14:paraId="411112BB" w14:textId="3E7D139E" w:rsidR="00CD64BB" w:rsidRPr="00D85862" w:rsidRDefault="00CD64BB" w:rsidP="00DA6AD1">
      <w:pPr>
        <w:pStyle w:val="Normal-pool"/>
        <w:numPr>
          <w:ilvl w:val="0"/>
          <w:numId w:val="10"/>
        </w:numPr>
        <w:tabs>
          <w:tab w:val="clear" w:pos="1247"/>
          <w:tab w:val="clear" w:pos="1814"/>
          <w:tab w:val="clear" w:pos="2381"/>
          <w:tab w:val="clear" w:pos="2948"/>
          <w:tab w:val="clear" w:pos="3515"/>
          <w:tab w:val="clear" w:pos="4082"/>
          <w:tab w:val="left" w:pos="624"/>
          <w:tab w:val="left" w:pos="2410"/>
        </w:tabs>
        <w:spacing w:after="120"/>
        <w:ind w:left="1247" w:firstLine="624"/>
        <w:rPr>
          <w:rFonts w:eastAsia="MS PGothic"/>
          <w:lang w:val="fr-FR"/>
        </w:rPr>
      </w:pPr>
      <w:r w:rsidRPr="00D85862">
        <w:rPr>
          <w:rFonts w:eastAsia="MS PGothic"/>
          <w:i/>
          <w:lang w:val="fr-FR"/>
        </w:rPr>
        <w:t xml:space="preserve">Décide </w:t>
      </w:r>
      <w:r w:rsidRPr="00D85862">
        <w:rPr>
          <w:rFonts w:eastAsia="MS PGothic"/>
          <w:lang w:val="fr-FR"/>
        </w:rPr>
        <w:t>qu</w:t>
      </w:r>
      <w:r w:rsidR="00F205DE" w:rsidRPr="00D85862">
        <w:rPr>
          <w:rFonts w:eastAsia="MS PGothic"/>
          <w:lang w:val="fr-FR"/>
        </w:rPr>
        <w:t>’</w:t>
      </w:r>
      <w:r w:rsidRPr="00D85862">
        <w:rPr>
          <w:rFonts w:eastAsia="MS PGothic"/>
          <w:lang w:val="fr-FR"/>
        </w:rPr>
        <w:t>aucun seuil n</w:t>
      </w:r>
      <w:r w:rsidR="00F205DE" w:rsidRPr="00D85862">
        <w:rPr>
          <w:rFonts w:eastAsia="MS PGothic"/>
          <w:lang w:val="fr-FR"/>
        </w:rPr>
        <w:t>’</w:t>
      </w:r>
      <w:r w:rsidRPr="00D85862">
        <w:rPr>
          <w:rFonts w:eastAsia="MS PGothic"/>
          <w:lang w:val="fr-FR"/>
        </w:rPr>
        <w:t>a besoin d</w:t>
      </w:r>
      <w:r w:rsidR="00F205DE" w:rsidRPr="00D85862">
        <w:rPr>
          <w:rFonts w:eastAsia="MS PGothic"/>
          <w:lang w:val="fr-FR"/>
        </w:rPr>
        <w:t>’</w:t>
      </w:r>
      <w:r w:rsidRPr="00D85862">
        <w:rPr>
          <w:rFonts w:eastAsia="MS PGothic"/>
          <w:lang w:val="fr-FR"/>
        </w:rPr>
        <w:t xml:space="preserve">être établi pour les déchets de mercure </w:t>
      </w:r>
      <w:r w:rsidR="009A6751" w:rsidRPr="00D85862">
        <w:rPr>
          <w:rFonts w:eastAsia="MS PGothic"/>
          <w:lang w:val="fr-FR"/>
        </w:rPr>
        <w:t xml:space="preserve">relevant de l’alinéa </w:t>
      </w:r>
      <w:r w:rsidRPr="00D85862">
        <w:rPr>
          <w:rFonts w:eastAsia="MS PGothic"/>
          <w:lang w:val="fr-FR"/>
        </w:rPr>
        <w:t>2</w:t>
      </w:r>
      <w:r w:rsidR="00A3615C" w:rsidRPr="00D85862">
        <w:rPr>
          <w:rFonts w:eastAsia="MS PGothic"/>
          <w:lang w:val="fr-FR"/>
        </w:rPr>
        <w:t xml:space="preserve"> b) </w:t>
      </w:r>
      <w:r w:rsidRPr="00D85862">
        <w:rPr>
          <w:rFonts w:eastAsia="MS PGothic"/>
          <w:lang w:val="fr-FR"/>
        </w:rPr>
        <w:t>de l</w:t>
      </w:r>
      <w:r w:rsidR="00F205DE" w:rsidRPr="00D85862">
        <w:rPr>
          <w:rFonts w:eastAsia="MS PGothic"/>
          <w:lang w:val="fr-FR"/>
        </w:rPr>
        <w:t>’</w:t>
      </w:r>
      <w:r w:rsidRPr="00D85862">
        <w:rPr>
          <w:rFonts w:eastAsia="MS PGothic"/>
          <w:lang w:val="fr-FR"/>
        </w:rPr>
        <w:t>article 11, et que les produits contenant du mercure ajouté</w:t>
      </w:r>
      <w:r w:rsidR="00AA53DD" w:rsidRPr="00D85862">
        <w:rPr>
          <w:rFonts w:eastAsia="MS PGothic"/>
          <w:lang w:val="fr-FR"/>
        </w:rPr>
        <w:t>,</w:t>
      </w:r>
      <w:r w:rsidRPr="00D85862">
        <w:rPr>
          <w:rFonts w:eastAsia="MS PGothic"/>
          <w:lang w:val="fr-FR"/>
        </w:rPr>
        <w:t xml:space="preserve"> mis au rebut ou en fin de vie</w:t>
      </w:r>
      <w:r w:rsidR="00AA53DD" w:rsidRPr="00D85862">
        <w:rPr>
          <w:rFonts w:eastAsia="MS PGothic"/>
          <w:lang w:val="fr-FR"/>
        </w:rPr>
        <w:t>,</w:t>
      </w:r>
      <w:r w:rsidRPr="00D85862">
        <w:rPr>
          <w:rFonts w:eastAsia="MS PGothic"/>
          <w:lang w:val="fr-FR"/>
        </w:rPr>
        <w:t xml:space="preserve"> qu</w:t>
      </w:r>
      <w:r w:rsidR="00AA53DD" w:rsidRPr="00D85862">
        <w:rPr>
          <w:rFonts w:eastAsia="MS PGothic"/>
          <w:lang w:val="fr-FR"/>
        </w:rPr>
        <w:t>’on élimine, qu’on a l’intention d’</w:t>
      </w:r>
      <w:r w:rsidRPr="00D85862">
        <w:rPr>
          <w:rFonts w:eastAsia="MS PGothic"/>
          <w:lang w:val="fr-FR"/>
        </w:rPr>
        <w:t>élimin</w:t>
      </w:r>
      <w:r w:rsidR="00AA53DD" w:rsidRPr="00D85862">
        <w:rPr>
          <w:rFonts w:eastAsia="MS PGothic"/>
          <w:lang w:val="fr-FR"/>
        </w:rPr>
        <w:t>er</w:t>
      </w:r>
      <w:r w:rsidRPr="00D85862">
        <w:rPr>
          <w:rFonts w:eastAsia="MS PGothic"/>
          <w:lang w:val="fr-FR"/>
        </w:rPr>
        <w:t xml:space="preserve"> ou qu</w:t>
      </w:r>
      <w:r w:rsidR="004D0CAE" w:rsidRPr="00D85862">
        <w:rPr>
          <w:rFonts w:eastAsia="MS PGothic"/>
          <w:lang w:val="fr-FR"/>
        </w:rPr>
        <w:t>’</w:t>
      </w:r>
      <w:r w:rsidRPr="00D85862">
        <w:rPr>
          <w:rFonts w:eastAsia="MS PGothic"/>
          <w:lang w:val="fr-FR"/>
        </w:rPr>
        <w:t>on est tenu d</w:t>
      </w:r>
      <w:r w:rsidR="00F205DE" w:rsidRPr="00D85862">
        <w:rPr>
          <w:rFonts w:eastAsia="MS PGothic"/>
          <w:lang w:val="fr-FR"/>
        </w:rPr>
        <w:t>’</w:t>
      </w:r>
      <w:r w:rsidRPr="00D85862">
        <w:rPr>
          <w:rFonts w:eastAsia="MS PGothic"/>
          <w:lang w:val="fr-FR"/>
        </w:rPr>
        <w:t xml:space="preserve">éliminer, y compris ceux </w:t>
      </w:r>
      <w:r w:rsidR="00F1470C" w:rsidRPr="00D85862">
        <w:rPr>
          <w:rFonts w:eastAsia="MS PGothic"/>
          <w:lang w:val="fr-FR"/>
        </w:rPr>
        <w:t xml:space="preserve">énumérés </w:t>
      </w:r>
      <w:r w:rsidRPr="00D85862">
        <w:rPr>
          <w:rFonts w:eastAsia="MS PGothic"/>
          <w:lang w:val="fr-FR"/>
        </w:rPr>
        <w:t>dans le tableau 2 de l</w:t>
      </w:r>
      <w:r w:rsidR="00F205DE" w:rsidRPr="00D85862">
        <w:rPr>
          <w:rFonts w:eastAsia="MS PGothic"/>
          <w:lang w:val="fr-FR"/>
        </w:rPr>
        <w:t>’</w:t>
      </w:r>
      <w:r w:rsidRPr="00D85862">
        <w:rPr>
          <w:rFonts w:eastAsia="MS PGothic"/>
          <w:lang w:val="fr-FR"/>
        </w:rPr>
        <w:t>annexe à la présente décision, sont considérés comme des déchets de mercure ;</w:t>
      </w:r>
    </w:p>
    <w:p w14:paraId="47086846" w14:textId="28CF6048" w:rsidR="00CD64BB" w:rsidRPr="00D85862" w:rsidRDefault="00CD64BB" w:rsidP="00DA6AD1">
      <w:pPr>
        <w:tabs>
          <w:tab w:val="left" w:pos="720"/>
          <w:tab w:val="left" w:pos="2410"/>
        </w:tabs>
        <w:spacing w:after="120"/>
        <w:ind w:left="1276"/>
        <w:rPr>
          <w:rFonts w:eastAsia="MS PGothic"/>
        </w:rPr>
      </w:pPr>
      <w:r w:rsidRPr="00D85862">
        <w:rPr>
          <w:rFonts w:eastAsia="MS PGothic"/>
        </w:rPr>
        <w:t>(Option 1 pour le paragraphe 3</w:t>
      </w:r>
      <w:r w:rsidR="00FC41B3" w:rsidRPr="00D85862">
        <w:rPr>
          <w:rStyle w:val="FootnoteReference"/>
          <w:rFonts w:eastAsia="MS PGothic"/>
        </w:rPr>
        <w:footnoteReference w:id="5"/>
      </w:r>
      <w:r w:rsidRPr="00D85862">
        <w:rPr>
          <w:rFonts w:eastAsia="MS PGothic"/>
        </w:rPr>
        <w:t>)</w:t>
      </w:r>
    </w:p>
    <w:p w14:paraId="28952531" w14:textId="7699AD76" w:rsidR="00CD64BB" w:rsidRPr="00D85862" w:rsidRDefault="00CD64BB" w:rsidP="00DA6AD1">
      <w:pPr>
        <w:pStyle w:val="Normal-pool"/>
        <w:numPr>
          <w:ilvl w:val="0"/>
          <w:numId w:val="10"/>
        </w:numPr>
        <w:tabs>
          <w:tab w:val="clear" w:pos="1247"/>
          <w:tab w:val="clear" w:pos="1814"/>
          <w:tab w:val="clear" w:pos="2381"/>
          <w:tab w:val="clear" w:pos="2948"/>
          <w:tab w:val="clear" w:pos="3515"/>
          <w:tab w:val="clear" w:pos="4082"/>
          <w:tab w:val="left" w:pos="624"/>
          <w:tab w:val="left" w:pos="2410"/>
        </w:tabs>
        <w:spacing w:after="120"/>
        <w:ind w:left="1247" w:firstLine="624"/>
        <w:rPr>
          <w:rFonts w:eastAsia="MS PGothic"/>
          <w:lang w:val="fr-FR"/>
        </w:rPr>
      </w:pPr>
      <w:r w:rsidRPr="00D85862">
        <w:rPr>
          <w:rFonts w:eastAsia="MS PGothic"/>
          <w:i/>
          <w:lang w:val="fr-FR"/>
        </w:rPr>
        <w:t>Décide</w:t>
      </w:r>
      <w:r w:rsidRPr="00D85862">
        <w:rPr>
          <w:rFonts w:eastAsia="MS PGothic"/>
          <w:lang w:val="fr-FR"/>
        </w:rPr>
        <w:t xml:space="preserve"> que le seuil établi pour les déchets de mercure </w:t>
      </w:r>
      <w:r w:rsidR="00F1470C" w:rsidRPr="00D85862">
        <w:rPr>
          <w:rFonts w:eastAsia="MS PGothic"/>
          <w:lang w:val="fr-FR"/>
        </w:rPr>
        <w:t xml:space="preserve">relevant de l’alinéa </w:t>
      </w:r>
      <w:r w:rsidRPr="00D85862">
        <w:rPr>
          <w:rFonts w:eastAsia="MS PGothic"/>
          <w:lang w:val="fr-FR"/>
        </w:rPr>
        <w:t>2</w:t>
      </w:r>
      <w:r w:rsidR="004D0CAE" w:rsidRPr="00D85862">
        <w:rPr>
          <w:rFonts w:eastAsia="MS PGothic"/>
          <w:lang w:val="fr-FR"/>
        </w:rPr>
        <w:t xml:space="preserve"> c)</w:t>
      </w:r>
      <w:r w:rsidRPr="00D85862">
        <w:rPr>
          <w:rFonts w:eastAsia="MS PGothic"/>
          <w:lang w:val="fr-FR"/>
        </w:rPr>
        <w:t xml:space="preserve"> de l</w:t>
      </w:r>
      <w:r w:rsidR="00F205DE" w:rsidRPr="00D85862">
        <w:rPr>
          <w:rFonts w:eastAsia="MS PGothic"/>
          <w:lang w:val="fr-FR"/>
        </w:rPr>
        <w:t>’</w:t>
      </w:r>
      <w:r w:rsidRPr="00D85862">
        <w:rPr>
          <w:rFonts w:eastAsia="MS PGothic"/>
          <w:lang w:val="fr-FR"/>
        </w:rPr>
        <w:t>article 11 est de 25</w:t>
      </w:r>
      <w:r w:rsidR="00FC41B3" w:rsidRPr="00D85862">
        <w:rPr>
          <w:rFonts w:eastAsia="MS PGothic"/>
          <w:lang w:val="fr-FR"/>
        </w:rPr>
        <w:t> </w:t>
      </w:r>
      <w:r w:rsidRPr="00D85862">
        <w:rPr>
          <w:rFonts w:eastAsia="MS PGothic"/>
          <w:lang w:val="fr-FR"/>
        </w:rPr>
        <w:t>mg/kg exprimés en quantité totale de mercure et que les Parties peuvent se reporter au tableau 3 de l</w:t>
      </w:r>
      <w:r w:rsidR="00F205DE" w:rsidRPr="00D85862">
        <w:rPr>
          <w:rFonts w:eastAsia="MS PGothic"/>
          <w:lang w:val="fr-FR"/>
        </w:rPr>
        <w:t>’</w:t>
      </w:r>
      <w:r w:rsidRPr="00D85862">
        <w:rPr>
          <w:rFonts w:eastAsia="MS PGothic"/>
          <w:lang w:val="fr-FR"/>
        </w:rPr>
        <w:t>annexe à la présente décision pour déterminer quels sont ces déchets ;</w:t>
      </w:r>
    </w:p>
    <w:p w14:paraId="7CC08185" w14:textId="23F01DD4" w:rsidR="00CD64BB" w:rsidRPr="00D85862" w:rsidRDefault="00CD64BB" w:rsidP="00DA6AD1">
      <w:pPr>
        <w:tabs>
          <w:tab w:val="left" w:pos="720"/>
          <w:tab w:val="left" w:pos="2410"/>
        </w:tabs>
        <w:spacing w:after="120"/>
        <w:ind w:left="1276"/>
        <w:rPr>
          <w:rFonts w:eastAsia="MS PGothic"/>
        </w:rPr>
      </w:pPr>
      <w:r w:rsidRPr="00D85862">
        <w:rPr>
          <w:rFonts w:eastAsia="MS PGothic"/>
        </w:rPr>
        <w:t>(Option 2 pour le paragraphe 3)</w:t>
      </w:r>
    </w:p>
    <w:p w14:paraId="0035B86B" w14:textId="0FE6D9C0" w:rsidR="00CD64BB" w:rsidRPr="00D85862" w:rsidRDefault="00CD64BB" w:rsidP="00DA6AD1">
      <w:pPr>
        <w:pStyle w:val="Normal-pool"/>
        <w:tabs>
          <w:tab w:val="clear" w:pos="1247"/>
          <w:tab w:val="clear" w:pos="1814"/>
          <w:tab w:val="clear" w:pos="2381"/>
          <w:tab w:val="clear" w:pos="2948"/>
          <w:tab w:val="clear" w:pos="3515"/>
          <w:tab w:val="clear" w:pos="4082"/>
          <w:tab w:val="left" w:pos="624"/>
          <w:tab w:val="left" w:pos="2410"/>
        </w:tabs>
        <w:spacing w:after="120"/>
        <w:ind w:left="1288" w:firstLine="588"/>
        <w:rPr>
          <w:rFonts w:eastAsia="MS PGothic"/>
          <w:iCs/>
          <w:lang w:val="fr-FR"/>
        </w:rPr>
      </w:pPr>
      <w:r w:rsidRPr="00D85862">
        <w:rPr>
          <w:rFonts w:eastAsia="MS PGothic"/>
          <w:lang w:val="fr-FR"/>
        </w:rPr>
        <w:t>3.</w:t>
      </w:r>
      <w:r w:rsidRPr="00D85862">
        <w:rPr>
          <w:rFonts w:eastAsia="MS PGothic"/>
          <w:i/>
          <w:iCs/>
          <w:lang w:val="fr-FR"/>
        </w:rPr>
        <w:tab/>
        <w:t xml:space="preserve">Décide </w:t>
      </w:r>
      <w:r w:rsidRPr="00D85862">
        <w:rPr>
          <w:rFonts w:eastAsia="MS PGothic"/>
          <w:iCs/>
          <w:lang w:val="fr-FR"/>
        </w:rPr>
        <w:t>qu</w:t>
      </w:r>
      <w:r w:rsidR="00F205DE" w:rsidRPr="00D85862">
        <w:rPr>
          <w:rFonts w:eastAsia="MS PGothic"/>
          <w:iCs/>
          <w:lang w:val="fr-FR"/>
        </w:rPr>
        <w:t>’</w:t>
      </w:r>
      <w:r w:rsidRPr="00D85862">
        <w:rPr>
          <w:rFonts w:eastAsia="MS PGothic"/>
          <w:iCs/>
          <w:lang w:val="fr-FR"/>
        </w:rPr>
        <w:t xml:space="preserve">un seuil devrait être établi pour les déchets de mercure </w:t>
      </w:r>
      <w:r w:rsidR="00F1470C" w:rsidRPr="00D85862">
        <w:rPr>
          <w:rFonts w:eastAsia="MS PGothic"/>
          <w:iCs/>
          <w:lang w:val="fr-FR"/>
        </w:rPr>
        <w:t>relevant de l’alinéa</w:t>
      </w:r>
      <w:r w:rsidR="00FC41B3" w:rsidRPr="00D85862">
        <w:rPr>
          <w:rFonts w:eastAsia="MS PGothic"/>
          <w:iCs/>
          <w:lang w:val="fr-FR"/>
        </w:rPr>
        <w:t> </w:t>
      </w:r>
      <w:r w:rsidR="009A6751" w:rsidRPr="00D85862">
        <w:rPr>
          <w:rFonts w:eastAsia="MS PGothic"/>
          <w:iCs/>
          <w:lang w:val="fr-FR"/>
        </w:rPr>
        <w:t>2</w:t>
      </w:r>
      <w:r w:rsidR="00FC41B3" w:rsidRPr="00D85862">
        <w:rPr>
          <w:rFonts w:eastAsia="MS PGothic"/>
          <w:iCs/>
          <w:lang w:val="fr-FR"/>
        </w:rPr>
        <w:t> </w:t>
      </w:r>
      <w:r w:rsidR="009A6751" w:rsidRPr="00D85862">
        <w:rPr>
          <w:rFonts w:eastAsia="MS PGothic"/>
          <w:iCs/>
          <w:lang w:val="fr-FR"/>
        </w:rPr>
        <w:t>c)</w:t>
      </w:r>
      <w:r w:rsidR="004D0CAE" w:rsidRPr="00D85862">
        <w:rPr>
          <w:rFonts w:eastAsia="MS PGothic"/>
          <w:iCs/>
          <w:lang w:val="fr-FR"/>
        </w:rPr>
        <w:t xml:space="preserve"> </w:t>
      </w:r>
      <w:r w:rsidRPr="00D85862">
        <w:rPr>
          <w:rFonts w:eastAsia="MS PGothic"/>
          <w:iCs/>
          <w:lang w:val="fr-FR"/>
        </w:rPr>
        <w:t>de l</w:t>
      </w:r>
      <w:r w:rsidR="00F205DE" w:rsidRPr="00D85862">
        <w:rPr>
          <w:rFonts w:eastAsia="MS PGothic"/>
          <w:iCs/>
          <w:lang w:val="fr-FR"/>
        </w:rPr>
        <w:t>’</w:t>
      </w:r>
      <w:r w:rsidRPr="00D85862">
        <w:rPr>
          <w:rFonts w:eastAsia="MS PGothic"/>
          <w:iCs/>
          <w:lang w:val="fr-FR"/>
        </w:rPr>
        <w:t xml:space="preserve">article 11 et </w:t>
      </w:r>
      <w:r w:rsidR="00F1470C" w:rsidRPr="00D85862">
        <w:rPr>
          <w:rFonts w:eastAsia="MS PGothic"/>
          <w:iCs/>
          <w:lang w:val="fr-FR"/>
        </w:rPr>
        <w:t xml:space="preserve">prie le </w:t>
      </w:r>
      <w:r w:rsidRPr="00D85862">
        <w:rPr>
          <w:rFonts w:eastAsia="MS PGothic"/>
          <w:iCs/>
          <w:lang w:val="fr-FR"/>
        </w:rPr>
        <w:t>groupe d</w:t>
      </w:r>
      <w:r w:rsidR="00F205DE" w:rsidRPr="00D85862">
        <w:rPr>
          <w:rFonts w:eastAsia="MS PGothic"/>
          <w:iCs/>
          <w:lang w:val="fr-FR"/>
        </w:rPr>
        <w:t>’</w:t>
      </w:r>
      <w:r w:rsidRPr="00D85862">
        <w:rPr>
          <w:rFonts w:eastAsia="MS PGothic"/>
          <w:iCs/>
          <w:lang w:val="fr-FR"/>
        </w:rPr>
        <w:t xml:space="preserve">experts techniques de poursuivre </w:t>
      </w:r>
      <w:r w:rsidR="00F1470C" w:rsidRPr="00D85862">
        <w:rPr>
          <w:rFonts w:eastAsia="MS PGothic"/>
          <w:iCs/>
          <w:lang w:val="fr-FR"/>
        </w:rPr>
        <w:t xml:space="preserve">ses </w:t>
      </w:r>
      <w:r w:rsidRPr="00D85862">
        <w:rPr>
          <w:rFonts w:eastAsia="MS PGothic"/>
          <w:iCs/>
          <w:lang w:val="fr-FR"/>
        </w:rPr>
        <w:t>travaux afin de définir ce seuil, en tenant compte du tableau 3 de l</w:t>
      </w:r>
      <w:r w:rsidR="00F205DE" w:rsidRPr="00D85862">
        <w:rPr>
          <w:rFonts w:eastAsia="MS PGothic"/>
          <w:iCs/>
          <w:lang w:val="fr-FR"/>
        </w:rPr>
        <w:t>’</w:t>
      </w:r>
      <w:r w:rsidRPr="00D85862">
        <w:rPr>
          <w:rFonts w:eastAsia="MS PGothic"/>
          <w:iCs/>
          <w:lang w:val="fr-FR"/>
        </w:rPr>
        <w:t>annexe à la présente décision ;</w:t>
      </w:r>
    </w:p>
    <w:p w14:paraId="27F07FF8" w14:textId="5FEAD79C" w:rsidR="00CD64BB" w:rsidRPr="00D85862" w:rsidRDefault="00CD64BB" w:rsidP="00DA6AD1">
      <w:pPr>
        <w:pStyle w:val="Normal-pool"/>
        <w:numPr>
          <w:ilvl w:val="0"/>
          <w:numId w:val="10"/>
        </w:numPr>
        <w:tabs>
          <w:tab w:val="clear" w:pos="1247"/>
          <w:tab w:val="clear" w:pos="1814"/>
          <w:tab w:val="clear" w:pos="2381"/>
          <w:tab w:val="clear" w:pos="2948"/>
          <w:tab w:val="clear" w:pos="3515"/>
          <w:tab w:val="clear" w:pos="4082"/>
          <w:tab w:val="left" w:pos="624"/>
          <w:tab w:val="left" w:pos="2410"/>
        </w:tabs>
        <w:spacing w:after="120"/>
        <w:ind w:left="1247" w:firstLine="624"/>
        <w:rPr>
          <w:rFonts w:eastAsia="MS PGothic"/>
          <w:iCs/>
          <w:lang w:val="fr-FR"/>
        </w:rPr>
      </w:pPr>
      <w:r w:rsidRPr="00D85862">
        <w:rPr>
          <w:rFonts w:eastAsia="MS PGothic"/>
          <w:i/>
          <w:lang w:val="fr-FR"/>
        </w:rPr>
        <w:t xml:space="preserve">Décide </w:t>
      </w:r>
      <w:r w:rsidRPr="00D85862">
        <w:rPr>
          <w:rFonts w:eastAsia="MS PGothic"/>
          <w:lang w:val="fr-FR"/>
        </w:rPr>
        <w:t>qu</w:t>
      </w:r>
      <w:r w:rsidR="00F205DE" w:rsidRPr="00D85862">
        <w:rPr>
          <w:rFonts w:eastAsia="MS PGothic"/>
          <w:lang w:val="fr-FR"/>
        </w:rPr>
        <w:t>’</w:t>
      </w:r>
      <w:r w:rsidRPr="00D85862">
        <w:rPr>
          <w:rFonts w:eastAsia="MS PGothic"/>
          <w:lang w:val="fr-FR"/>
        </w:rPr>
        <w:t>il n</w:t>
      </w:r>
      <w:r w:rsidR="00F205DE" w:rsidRPr="00D85862">
        <w:rPr>
          <w:rFonts w:eastAsia="MS PGothic"/>
          <w:lang w:val="fr-FR"/>
        </w:rPr>
        <w:t>’</w:t>
      </w:r>
      <w:r w:rsidRPr="00D85862">
        <w:rPr>
          <w:rFonts w:eastAsia="MS PGothic"/>
          <w:lang w:val="fr-FR"/>
        </w:rPr>
        <w:t xml:space="preserve">est pas </w:t>
      </w:r>
      <w:r w:rsidR="00015E17" w:rsidRPr="00D85862">
        <w:rPr>
          <w:rFonts w:eastAsia="MS PGothic"/>
          <w:lang w:val="fr-FR"/>
        </w:rPr>
        <w:t xml:space="preserve">à l’heure actuelle </w:t>
      </w:r>
      <w:r w:rsidRPr="00D85862">
        <w:rPr>
          <w:rFonts w:eastAsia="MS PGothic"/>
          <w:lang w:val="fr-FR"/>
        </w:rPr>
        <w:t>nécessaire d</w:t>
      </w:r>
      <w:r w:rsidR="00F205DE" w:rsidRPr="00D85862">
        <w:rPr>
          <w:rFonts w:eastAsia="MS PGothic"/>
          <w:lang w:val="fr-FR"/>
        </w:rPr>
        <w:t>’</w:t>
      </w:r>
      <w:r w:rsidRPr="00D85862">
        <w:rPr>
          <w:rFonts w:eastAsia="MS PGothic"/>
          <w:lang w:val="fr-FR"/>
        </w:rPr>
        <w:t>établir des seuils pour les morts-terrains et les déchets de rocs provenant de l</w:t>
      </w:r>
      <w:r w:rsidR="00F205DE" w:rsidRPr="00D85862">
        <w:rPr>
          <w:rFonts w:eastAsia="MS PGothic"/>
          <w:lang w:val="fr-FR"/>
        </w:rPr>
        <w:t>’</w:t>
      </w:r>
      <w:r w:rsidRPr="00D85862">
        <w:rPr>
          <w:rFonts w:eastAsia="MS PGothic"/>
          <w:lang w:val="fr-FR"/>
        </w:rPr>
        <w:t>extraction minière</w:t>
      </w:r>
      <w:r w:rsidR="00F1470C" w:rsidRPr="00D85862">
        <w:rPr>
          <w:rFonts w:eastAsia="MS PGothic"/>
          <w:lang w:val="fr-FR"/>
        </w:rPr>
        <w:t>, à l’exception de l’</w:t>
      </w:r>
      <w:r w:rsidRPr="00D85862">
        <w:rPr>
          <w:rFonts w:eastAsia="MS PGothic"/>
          <w:lang w:val="fr-FR"/>
        </w:rPr>
        <w:t>extraction minière primaire de mercure, et que les seuils pour les résidus provenant de l</w:t>
      </w:r>
      <w:r w:rsidR="00F205DE" w:rsidRPr="00D85862">
        <w:rPr>
          <w:rFonts w:eastAsia="MS PGothic"/>
          <w:lang w:val="fr-FR"/>
        </w:rPr>
        <w:t>’</w:t>
      </w:r>
      <w:r w:rsidRPr="00D85862">
        <w:rPr>
          <w:rFonts w:eastAsia="MS PGothic"/>
          <w:lang w:val="fr-FR"/>
        </w:rPr>
        <w:t>extraction minière</w:t>
      </w:r>
      <w:r w:rsidR="00F1470C" w:rsidRPr="00D85862">
        <w:rPr>
          <w:rFonts w:eastAsia="MS PGothic"/>
          <w:lang w:val="fr-FR"/>
        </w:rPr>
        <w:t xml:space="preserve">, à l’exception de </w:t>
      </w:r>
      <w:r w:rsidRPr="00D85862">
        <w:rPr>
          <w:rFonts w:eastAsia="MS PGothic"/>
          <w:lang w:val="fr-FR"/>
        </w:rPr>
        <w:t>l</w:t>
      </w:r>
      <w:r w:rsidR="00F205DE" w:rsidRPr="00D85862">
        <w:rPr>
          <w:rFonts w:eastAsia="MS PGothic"/>
          <w:lang w:val="fr-FR"/>
        </w:rPr>
        <w:t>’</w:t>
      </w:r>
      <w:r w:rsidRPr="00D85862">
        <w:rPr>
          <w:rFonts w:eastAsia="MS PGothic"/>
          <w:lang w:val="fr-FR"/>
        </w:rPr>
        <w:t>extraction minière primaire de mercure</w:t>
      </w:r>
      <w:r w:rsidR="00F1470C" w:rsidRPr="00D85862">
        <w:rPr>
          <w:rFonts w:eastAsia="MS PGothic"/>
          <w:lang w:val="fr-FR"/>
        </w:rPr>
        <w:t>,</w:t>
      </w:r>
      <w:r w:rsidRPr="00D85862">
        <w:rPr>
          <w:rFonts w:eastAsia="MS PGothic"/>
          <w:lang w:val="fr-FR"/>
        </w:rPr>
        <w:t xml:space="preserve"> devraient être établis selon une méthode d</w:t>
      </w:r>
      <w:r w:rsidR="00F205DE" w:rsidRPr="00D85862">
        <w:rPr>
          <w:rFonts w:eastAsia="MS PGothic"/>
          <w:lang w:val="fr-FR"/>
        </w:rPr>
        <w:t>’</w:t>
      </w:r>
      <w:r w:rsidRPr="00D85862">
        <w:rPr>
          <w:rFonts w:eastAsia="MS PGothic"/>
          <w:lang w:val="fr-FR"/>
        </w:rPr>
        <w:t>approche à deux</w:t>
      </w:r>
      <w:r w:rsidR="00FC41B3" w:rsidRPr="00D85862">
        <w:rPr>
          <w:rFonts w:eastAsia="MS PGothic"/>
          <w:lang w:val="fr-FR"/>
        </w:rPr>
        <w:t> </w:t>
      </w:r>
      <w:r w:rsidRPr="00D85862">
        <w:rPr>
          <w:rFonts w:eastAsia="MS PGothic"/>
          <w:lang w:val="fr-FR"/>
        </w:rPr>
        <w:t xml:space="preserve">niveaux, en utilisant le seuil décrit au paragraphe 3 comme premier niveau et un autre seuil fondé sur le rejet potentiel de mercure comme second niveau, et </w:t>
      </w:r>
      <w:r w:rsidR="00F1470C" w:rsidRPr="00D85862">
        <w:rPr>
          <w:rFonts w:eastAsia="MS PGothic"/>
          <w:lang w:val="fr-FR"/>
        </w:rPr>
        <w:t xml:space="preserve">prie le </w:t>
      </w:r>
      <w:r w:rsidRPr="00D85862">
        <w:rPr>
          <w:rFonts w:eastAsia="MS PGothic"/>
          <w:lang w:val="fr-FR"/>
        </w:rPr>
        <w:t>groupe d</w:t>
      </w:r>
      <w:r w:rsidR="00F205DE" w:rsidRPr="00D85862">
        <w:rPr>
          <w:rFonts w:eastAsia="MS PGothic"/>
          <w:lang w:val="fr-FR"/>
        </w:rPr>
        <w:t>’</w:t>
      </w:r>
      <w:r w:rsidRPr="00D85862">
        <w:rPr>
          <w:rFonts w:eastAsia="MS PGothic"/>
          <w:lang w:val="fr-FR"/>
        </w:rPr>
        <w:t xml:space="preserve">experts techniques de poursuivre </w:t>
      </w:r>
      <w:r w:rsidR="00F1470C" w:rsidRPr="00D85862">
        <w:rPr>
          <w:rFonts w:eastAsia="MS PGothic"/>
          <w:lang w:val="fr-FR"/>
        </w:rPr>
        <w:t xml:space="preserve">ses </w:t>
      </w:r>
      <w:r w:rsidRPr="00D85862">
        <w:rPr>
          <w:rFonts w:eastAsia="MS PGothic"/>
          <w:lang w:val="fr-FR"/>
        </w:rPr>
        <w:t>travaux afin de définir ce second niveau ;</w:t>
      </w:r>
    </w:p>
    <w:p w14:paraId="506A0F2E" w14:textId="5D047BBF" w:rsidR="00CD64BB" w:rsidRPr="00D85862" w:rsidRDefault="00CD64BB" w:rsidP="00DA6AD1">
      <w:pPr>
        <w:pStyle w:val="Normal-pool"/>
        <w:numPr>
          <w:ilvl w:val="0"/>
          <w:numId w:val="10"/>
        </w:numPr>
        <w:tabs>
          <w:tab w:val="clear" w:pos="1247"/>
          <w:tab w:val="clear" w:pos="1814"/>
          <w:tab w:val="clear" w:pos="2381"/>
          <w:tab w:val="clear" w:pos="2948"/>
          <w:tab w:val="clear" w:pos="3515"/>
          <w:tab w:val="clear" w:pos="4082"/>
          <w:tab w:val="left" w:pos="624"/>
          <w:tab w:val="left" w:pos="2410"/>
        </w:tabs>
        <w:spacing w:after="120"/>
        <w:ind w:left="1247" w:firstLine="624"/>
        <w:rPr>
          <w:rFonts w:eastAsia="MS PGothic"/>
          <w:lang w:val="fr-FR"/>
        </w:rPr>
      </w:pPr>
      <w:r w:rsidRPr="00D85862">
        <w:rPr>
          <w:rFonts w:eastAsia="MS PGothic"/>
          <w:i/>
          <w:lang w:val="fr-FR"/>
        </w:rPr>
        <w:t xml:space="preserve">Décide </w:t>
      </w:r>
      <w:r w:rsidRPr="00D85862">
        <w:rPr>
          <w:rFonts w:eastAsia="MS PGothic"/>
          <w:lang w:val="fr-FR"/>
        </w:rPr>
        <w:t>de prolonger le mandat du groupe d</w:t>
      </w:r>
      <w:r w:rsidR="00F205DE" w:rsidRPr="00D85862">
        <w:rPr>
          <w:rFonts w:eastAsia="MS PGothic"/>
          <w:lang w:val="fr-FR"/>
        </w:rPr>
        <w:t>’</w:t>
      </w:r>
      <w:r w:rsidRPr="00D85862">
        <w:rPr>
          <w:rFonts w:eastAsia="MS PGothic"/>
          <w:lang w:val="fr-FR"/>
        </w:rPr>
        <w:t>experts techniques jusqu</w:t>
      </w:r>
      <w:r w:rsidR="00F205DE" w:rsidRPr="00D85862">
        <w:rPr>
          <w:rFonts w:eastAsia="MS PGothic"/>
          <w:lang w:val="fr-FR"/>
        </w:rPr>
        <w:t>’</w:t>
      </w:r>
      <w:r w:rsidRPr="00D85862">
        <w:rPr>
          <w:rFonts w:eastAsia="MS PGothic"/>
          <w:lang w:val="fr-FR"/>
        </w:rPr>
        <w:t>à la quatrième</w:t>
      </w:r>
      <w:r w:rsidR="00FC41B3" w:rsidRPr="00D85862">
        <w:rPr>
          <w:rFonts w:eastAsia="MS PGothic"/>
          <w:lang w:val="fr-FR"/>
        </w:rPr>
        <w:t> </w:t>
      </w:r>
      <w:r w:rsidRPr="00D85862">
        <w:rPr>
          <w:rFonts w:eastAsia="MS PGothic"/>
          <w:lang w:val="fr-FR"/>
        </w:rPr>
        <w:t xml:space="preserve">réunion de la Conférence des Parties et invite les membres du groupe à coopérer avec le petit groupe de travail intersession établi </w:t>
      </w:r>
      <w:r w:rsidR="00F1470C" w:rsidRPr="00D85862">
        <w:rPr>
          <w:rFonts w:eastAsia="MS PGothic"/>
          <w:lang w:val="fr-FR"/>
        </w:rPr>
        <w:t xml:space="preserve">au titre </w:t>
      </w:r>
      <w:r w:rsidRPr="00D85862">
        <w:rPr>
          <w:rFonts w:eastAsia="MS PGothic"/>
          <w:lang w:val="fr-FR"/>
        </w:rPr>
        <w:t xml:space="preserve">de la Convention de Bâle afin de mettre à jour les directives techniques sur la gestion écologiquement rationnelle des déchets constitués de mercure ou de composés du mercure, en contenant ou </w:t>
      </w:r>
      <w:r w:rsidR="00F1470C" w:rsidRPr="00D85862">
        <w:rPr>
          <w:rFonts w:eastAsia="MS PGothic"/>
          <w:lang w:val="fr-FR"/>
        </w:rPr>
        <w:t>contaminés par ces substances</w:t>
      </w:r>
      <w:r w:rsidRPr="00D85862">
        <w:rPr>
          <w:rStyle w:val="FootnoteReference"/>
          <w:rFonts w:eastAsia="MS PGothic"/>
          <w:lang w:val="fr-FR"/>
        </w:rPr>
        <w:footnoteReference w:id="6"/>
      </w:r>
      <w:r w:rsidRPr="00D85862">
        <w:rPr>
          <w:rFonts w:eastAsia="MS PGothic"/>
          <w:lang w:val="fr-FR"/>
        </w:rPr>
        <w:t> ;</w:t>
      </w:r>
    </w:p>
    <w:p w14:paraId="0FD547E2" w14:textId="07D5B5AD" w:rsidR="00CD64BB" w:rsidRPr="00D85862" w:rsidRDefault="00CD64BB" w:rsidP="00DA6AD1">
      <w:pPr>
        <w:pStyle w:val="Normal-pool"/>
        <w:numPr>
          <w:ilvl w:val="0"/>
          <w:numId w:val="10"/>
        </w:numPr>
        <w:tabs>
          <w:tab w:val="clear" w:pos="1247"/>
          <w:tab w:val="clear" w:pos="1814"/>
          <w:tab w:val="clear" w:pos="2381"/>
          <w:tab w:val="clear" w:pos="2948"/>
          <w:tab w:val="clear" w:pos="3515"/>
          <w:tab w:val="clear" w:pos="4082"/>
          <w:tab w:val="left" w:pos="624"/>
          <w:tab w:val="left" w:pos="2410"/>
        </w:tabs>
        <w:spacing w:after="120"/>
        <w:ind w:left="1247" w:firstLine="624"/>
        <w:rPr>
          <w:rFonts w:eastAsia="MS PGothic"/>
          <w:lang w:val="fr-FR"/>
        </w:rPr>
      </w:pPr>
      <w:r w:rsidRPr="00D85862">
        <w:rPr>
          <w:rFonts w:eastAsia="MS PGothic"/>
          <w:i/>
          <w:lang w:val="fr-FR"/>
        </w:rPr>
        <w:t xml:space="preserve">Invite </w:t>
      </w:r>
      <w:r w:rsidRPr="00D85862">
        <w:rPr>
          <w:rFonts w:eastAsia="MS PGothic"/>
          <w:lang w:val="fr-FR"/>
        </w:rPr>
        <w:t xml:space="preserve">les Parties à </w:t>
      </w:r>
      <w:r w:rsidR="00061DC6" w:rsidRPr="00D85862">
        <w:rPr>
          <w:rFonts w:eastAsia="MS PGothic"/>
          <w:lang w:val="fr-FR"/>
        </w:rPr>
        <w:t>examiner l</w:t>
      </w:r>
      <w:r w:rsidRPr="00D85862">
        <w:rPr>
          <w:rFonts w:eastAsia="MS PGothic"/>
          <w:lang w:val="fr-FR"/>
        </w:rPr>
        <w:t>a composition du groupe d</w:t>
      </w:r>
      <w:r w:rsidR="00F205DE" w:rsidRPr="00D85862">
        <w:rPr>
          <w:rFonts w:eastAsia="MS PGothic"/>
          <w:lang w:val="fr-FR"/>
        </w:rPr>
        <w:t>’</w:t>
      </w:r>
      <w:r w:rsidRPr="00D85862">
        <w:rPr>
          <w:rFonts w:eastAsia="MS PGothic"/>
          <w:lang w:val="fr-FR"/>
        </w:rPr>
        <w:t>experts techniques, s</w:t>
      </w:r>
      <w:r w:rsidR="00F205DE" w:rsidRPr="00D85862">
        <w:rPr>
          <w:rFonts w:eastAsia="MS PGothic"/>
          <w:lang w:val="fr-FR"/>
        </w:rPr>
        <w:t>’</w:t>
      </w:r>
      <w:r w:rsidRPr="00D85862">
        <w:rPr>
          <w:rFonts w:eastAsia="MS PGothic"/>
          <w:lang w:val="fr-FR"/>
        </w:rPr>
        <w:t xml:space="preserve">il y a lieu, et </w:t>
      </w:r>
      <w:r w:rsidR="00F1470C" w:rsidRPr="00D85862">
        <w:rPr>
          <w:rFonts w:eastAsia="MS PGothic"/>
          <w:lang w:val="fr-FR"/>
        </w:rPr>
        <w:t xml:space="preserve">à </w:t>
      </w:r>
      <w:r w:rsidRPr="00D85862">
        <w:rPr>
          <w:rFonts w:eastAsia="MS PGothic"/>
          <w:lang w:val="fr-FR"/>
        </w:rPr>
        <w:t xml:space="preserve">informer le Secrétariat de tout changement </w:t>
      </w:r>
      <w:r w:rsidR="00F1470C" w:rsidRPr="00D85862">
        <w:rPr>
          <w:rFonts w:eastAsia="MS PGothic"/>
          <w:lang w:val="fr-FR"/>
        </w:rPr>
        <w:t>d</w:t>
      </w:r>
      <w:r w:rsidR="00061DC6" w:rsidRPr="00D85862">
        <w:rPr>
          <w:rFonts w:eastAsia="MS PGothic"/>
          <w:lang w:val="fr-FR"/>
        </w:rPr>
        <w:t>ans</w:t>
      </w:r>
      <w:r w:rsidR="00F1470C" w:rsidRPr="00D85862">
        <w:rPr>
          <w:rFonts w:eastAsia="MS PGothic"/>
          <w:lang w:val="fr-FR"/>
        </w:rPr>
        <w:t xml:space="preserve"> sa composition </w:t>
      </w:r>
      <w:r w:rsidRPr="00D85862">
        <w:rPr>
          <w:rFonts w:eastAsia="MS PGothic"/>
          <w:lang w:val="fr-FR"/>
        </w:rPr>
        <w:t>par le biais des représentants des cinq régions des Nations Unies au sein du Bureau ;</w:t>
      </w:r>
    </w:p>
    <w:p w14:paraId="0433595C" w14:textId="499ED49F" w:rsidR="00CD64BB" w:rsidRPr="00D85862" w:rsidRDefault="00F1470C" w:rsidP="00DA6AD1">
      <w:pPr>
        <w:pStyle w:val="Normal-pool"/>
        <w:numPr>
          <w:ilvl w:val="0"/>
          <w:numId w:val="10"/>
        </w:numPr>
        <w:tabs>
          <w:tab w:val="clear" w:pos="1247"/>
          <w:tab w:val="clear" w:pos="1814"/>
          <w:tab w:val="clear" w:pos="2381"/>
          <w:tab w:val="clear" w:pos="2948"/>
          <w:tab w:val="clear" w:pos="3515"/>
          <w:tab w:val="clear" w:pos="4082"/>
          <w:tab w:val="left" w:pos="624"/>
          <w:tab w:val="left" w:pos="2410"/>
        </w:tabs>
        <w:spacing w:after="120"/>
        <w:ind w:left="1247" w:firstLine="624"/>
        <w:rPr>
          <w:rFonts w:eastAsia="MS PGothic"/>
          <w:lang w:val="fr-FR"/>
        </w:rPr>
      </w:pPr>
      <w:r w:rsidRPr="00D85862">
        <w:rPr>
          <w:rFonts w:eastAsia="MS PGothic"/>
          <w:i/>
          <w:lang w:val="fr-FR"/>
        </w:rPr>
        <w:t xml:space="preserve">Prie le </w:t>
      </w:r>
      <w:r w:rsidR="00CD64BB" w:rsidRPr="00D85862">
        <w:rPr>
          <w:rFonts w:eastAsia="MS PGothic"/>
          <w:lang w:val="fr-FR"/>
        </w:rPr>
        <w:t>groupe d</w:t>
      </w:r>
      <w:r w:rsidR="00F205DE" w:rsidRPr="00D85862">
        <w:rPr>
          <w:rFonts w:eastAsia="MS PGothic"/>
          <w:lang w:val="fr-FR"/>
        </w:rPr>
        <w:t>’</w:t>
      </w:r>
      <w:r w:rsidR="00CD64BB" w:rsidRPr="00D85862">
        <w:rPr>
          <w:rFonts w:eastAsia="MS PGothic"/>
          <w:lang w:val="fr-FR"/>
        </w:rPr>
        <w:t>experts techniques de continuer s</w:t>
      </w:r>
      <w:r w:rsidRPr="00D85862">
        <w:rPr>
          <w:rFonts w:eastAsia="MS PGothic"/>
          <w:lang w:val="fr-FR"/>
        </w:rPr>
        <w:t xml:space="preserve">es travaux </w:t>
      </w:r>
      <w:r w:rsidR="00CD64BB" w:rsidRPr="00D85862">
        <w:rPr>
          <w:rFonts w:eastAsia="MS PGothic"/>
          <w:lang w:val="fr-FR"/>
        </w:rPr>
        <w:t>par voie électronique afin de traiter les questions abordées dans les paragraphes précédents, de procéder à</w:t>
      </w:r>
      <w:r w:rsidR="00BD72C3" w:rsidRPr="00D85862">
        <w:rPr>
          <w:rFonts w:eastAsia="MS PGothic"/>
          <w:lang w:val="fr-FR"/>
        </w:rPr>
        <w:t xml:space="preserve"> </w:t>
      </w:r>
      <w:r w:rsidRPr="00D85862">
        <w:rPr>
          <w:rFonts w:eastAsia="MS PGothic"/>
          <w:lang w:val="fr-FR"/>
        </w:rPr>
        <w:t>toute</w:t>
      </w:r>
      <w:r w:rsidR="00BD72C3" w:rsidRPr="00D85862">
        <w:rPr>
          <w:rFonts w:eastAsia="MS PGothic"/>
          <w:lang w:val="fr-FR"/>
        </w:rPr>
        <w:t xml:space="preserve"> </w:t>
      </w:r>
      <w:r w:rsidR="00CD64BB" w:rsidRPr="00D85862">
        <w:rPr>
          <w:rFonts w:eastAsia="MS PGothic"/>
          <w:lang w:val="fr-FR"/>
        </w:rPr>
        <w:t>mise à jour</w:t>
      </w:r>
      <w:r w:rsidR="00BD72C3" w:rsidRPr="00D85862">
        <w:rPr>
          <w:rFonts w:eastAsia="MS PGothic"/>
          <w:lang w:val="fr-FR"/>
        </w:rPr>
        <w:t xml:space="preserve"> nécessaire </w:t>
      </w:r>
      <w:r w:rsidR="00CD64BB" w:rsidRPr="00D85862">
        <w:rPr>
          <w:rFonts w:eastAsia="MS PGothic"/>
          <w:lang w:val="fr-FR"/>
        </w:rPr>
        <w:t xml:space="preserve">des listes </w:t>
      </w:r>
      <w:r w:rsidR="00BD72C3" w:rsidRPr="00D85862">
        <w:rPr>
          <w:rFonts w:eastAsia="MS PGothic"/>
          <w:lang w:val="fr-FR"/>
        </w:rPr>
        <w:t>figurant à</w:t>
      </w:r>
      <w:r w:rsidR="00CD64BB" w:rsidRPr="00D85862">
        <w:rPr>
          <w:rFonts w:eastAsia="MS PGothic"/>
          <w:lang w:val="fr-FR"/>
        </w:rPr>
        <w:t xml:space="preserve"> l</w:t>
      </w:r>
      <w:r w:rsidR="00F205DE" w:rsidRPr="00D85862">
        <w:rPr>
          <w:rFonts w:eastAsia="MS PGothic"/>
          <w:lang w:val="fr-FR"/>
        </w:rPr>
        <w:t>’</w:t>
      </w:r>
      <w:r w:rsidR="00CD64BB" w:rsidRPr="00D85862">
        <w:rPr>
          <w:rFonts w:eastAsia="MS PGothic"/>
          <w:lang w:val="fr-FR"/>
        </w:rPr>
        <w:t xml:space="preserve">annexe </w:t>
      </w:r>
      <w:r w:rsidR="00BD72C3" w:rsidRPr="00D85862">
        <w:rPr>
          <w:rFonts w:eastAsia="MS PGothic"/>
          <w:lang w:val="fr-FR"/>
        </w:rPr>
        <w:t>de</w:t>
      </w:r>
      <w:r w:rsidR="00CD64BB" w:rsidRPr="00D85862">
        <w:rPr>
          <w:rFonts w:eastAsia="MS PGothic"/>
          <w:lang w:val="fr-FR"/>
        </w:rPr>
        <w:t xml:space="preserve"> la présente décision</w:t>
      </w:r>
      <w:r w:rsidR="00BD72C3" w:rsidRPr="00D85862">
        <w:rPr>
          <w:rFonts w:eastAsia="MS PGothic"/>
          <w:lang w:val="fr-FR"/>
        </w:rPr>
        <w:t xml:space="preserve"> </w:t>
      </w:r>
      <w:r w:rsidR="00CD64BB" w:rsidRPr="00D85862">
        <w:rPr>
          <w:rFonts w:eastAsia="MS PGothic"/>
          <w:lang w:val="fr-FR"/>
        </w:rPr>
        <w:t>et de présenter à la Conférence des Parties</w:t>
      </w:r>
      <w:r w:rsidR="00BD72C3" w:rsidRPr="00D85862">
        <w:rPr>
          <w:rFonts w:eastAsia="MS PGothic"/>
          <w:lang w:val="fr-FR"/>
        </w:rPr>
        <w:t xml:space="preserve">, à sa quatrième réunion, </w:t>
      </w:r>
      <w:r w:rsidR="00CD64BB" w:rsidRPr="00D85862">
        <w:rPr>
          <w:rFonts w:eastAsia="MS PGothic"/>
          <w:lang w:val="fr-FR"/>
        </w:rPr>
        <w:t>un rapport sur ses travaux</w:t>
      </w:r>
      <w:r w:rsidR="00BD72C3" w:rsidRPr="00D85862">
        <w:rPr>
          <w:rFonts w:eastAsia="MS PGothic"/>
          <w:lang w:val="fr-FR"/>
        </w:rPr>
        <w:t xml:space="preserve"> </w:t>
      </w:r>
      <w:r w:rsidR="00CD64BB" w:rsidRPr="00D85862">
        <w:rPr>
          <w:rFonts w:eastAsia="MS PGothic"/>
          <w:lang w:val="fr-FR"/>
        </w:rPr>
        <w:t xml:space="preserve">; </w:t>
      </w:r>
    </w:p>
    <w:p w14:paraId="40F7D100" w14:textId="77777777" w:rsidR="00CD64BB" w:rsidRPr="00D85862" w:rsidRDefault="00CD64BB" w:rsidP="00DA6AD1">
      <w:pPr>
        <w:pStyle w:val="Normal-pool"/>
        <w:keepNext/>
        <w:keepLines/>
        <w:numPr>
          <w:ilvl w:val="0"/>
          <w:numId w:val="10"/>
        </w:numPr>
        <w:tabs>
          <w:tab w:val="clear" w:pos="1247"/>
          <w:tab w:val="clear" w:pos="1814"/>
          <w:tab w:val="clear" w:pos="2381"/>
          <w:tab w:val="clear" w:pos="2948"/>
          <w:tab w:val="clear" w:pos="3515"/>
          <w:tab w:val="clear" w:pos="4082"/>
          <w:tab w:val="left" w:pos="624"/>
          <w:tab w:val="left" w:pos="2410"/>
        </w:tabs>
        <w:spacing w:after="120"/>
        <w:ind w:left="1247" w:firstLine="624"/>
        <w:rPr>
          <w:rFonts w:eastAsia="MS PGothic"/>
          <w:lang w:val="fr-FR"/>
        </w:rPr>
      </w:pPr>
      <w:r w:rsidRPr="00D85862">
        <w:rPr>
          <w:rFonts w:eastAsia="MS PGothic"/>
          <w:i/>
          <w:lang w:val="fr-FR"/>
        </w:rPr>
        <w:lastRenderedPageBreak/>
        <w:t>Invite</w:t>
      </w:r>
      <w:r w:rsidRPr="00D85862">
        <w:rPr>
          <w:rFonts w:eastAsia="MS PGothic"/>
          <w:lang w:val="fr-FR"/>
        </w:rPr>
        <w:t xml:space="preserve"> les organes concernés de la Convention de Bâle à tenir compte de la présente décision lors de la mise à jour des directives techniques sur la gestion écologiquement rationnelle des déchets constitués de mercure ou de composés du mercure, en contenant ou contaminés par ces substances ;</w:t>
      </w:r>
    </w:p>
    <w:p w14:paraId="7E19B7C6" w14:textId="6650B6B3" w:rsidR="00CD64BB" w:rsidRPr="00D85862" w:rsidRDefault="00BD72C3" w:rsidP="00DA6AD1">
      <w:pPr>
        <w:pStyle w:val="Normal-pool"/>
        <w:numPr>
          <w:ilvl w:val="0"/>
          <w:numId w:val="10"/>
        </w:numPr>
        <w:tabs>
          <w:tab w:val="clear" w:pos="1247"/>
          <w:tab w:val="clear" w:pos="1814"/>
          <w:tab w:val="clear" w:pos="2381"/>
          <w:tab w:val="clear" w:pos="2948"/>
          <w:tab w:val="clear" w:pos="3515"/>
          <w:tab w:val="clear" w:pos="4082"/>
          <w:tab w:val="left" w:pos="624"/>
          <w:tab w:val="left" w:pos="2410"/>
        </w:tabs>
        <w:spacing w:after="120"/>
        <w:ind w:left="1247" w:firstLine="624"/>
        <w:rPr>
          <w:rFonts w:eastAsia="MS PGothic"/>
          <w:lang w:val="fr-FR"/>
        </w:rPr>
      </w:pPr>
      <w:r w:rsidRPr="00D85862">
        <w:rPr>
          <w:rFonts w:eastAsia="MS PGothic"/>
          <w:i/>
          <w:lang w:val="fr-FR"/>
        </w:rPr>
        <w:t xml:space="preserve">Prie </w:t>
      </w:r>
      <w:r w:rsidRPr="00D85862">
        <w:rPr>
          <w:rFonts w:eastAsia="MS PGothic"/>
          <w:iCs/>
          <w:lang w:val="fr-FR"/>
        </w:rPr>
        <w:t xml:space="preserve">le </w:t>
      </w:r>
      <w:r w:rsidR="00CD64BB" w:rsidRPr="00D85862">
        <w:rPr>
          <w:rFonts w:eastAsia="MS PGothic"/>
          <w:lang w:val="fr-FR"/>
        </w:rPr>
        <w:t>Secrétariat de continuer à soutenir le</w:t>
      </w:r>
      <w:r w:rsidRPr="00D85862">
        <w:rPr>
          <w:rFonts w:eastAsia="MS PGothic"/>
          <w:lang w:val="fr-FR"/>
        </w:rPr>
        <w:t>s</w:t>
      </w:r>
      <w:r w:rsidR="00CD64BB" w:rsidRPr="00D85862">
        <w:rPr>
          <w:rFonts w:eastAsia="MS PGothic"/>
          <w:lang w:val="fr-FR"/>
        </w:rPr>
        <w:t xml:space="preserve"> trava</w:t>
      </w:r>
      <w:r w:rsidRPr="00D85862">
        <w:rPr>
          <w:rFonts w:eastAsia="MS PGothic"/>
          <w:lang w:val="fr-FR"/>
        </w:rPr>
        <w:t>ux</w:t>
      </w:r>
      <w:r w:rsidR="00CD64BB" w:rsidRPr="00D85862">
        <w:rPr>
          <w:rFonts w:eastAsia="MS PGothic"/>
          <w:lang w:val="fr-FR"/>
        </w:rPr>
        <w:t xml:space="preserve"> du groupe d</w:t>
      </w:r>
      <w:r w:rsidR="00F205DE" w:rsidRPr="00D85862">
        <w:rPr>
          <w:rFonts w:eastAsia="MS PGothic"/>
          <w:lang w:val="fr-FR"/>
        </w:rPr>
        <w:t>’</w:t>
      </w:r>
      <w:r w:rsidR="00CD64BB" w:rsidRPr="00D85862">
        <w:rPr>
          <w:rFonts w:eastAsia="MS PGothic"/>
          <w:lang w:val="fr-FR"/>
        </w:rPr>
        <w:t xml:space="preserve">experts techniques. </w:t>
      </w:r>
    </w:p>
    <w:p w14:paraId="24B4E783" w14:textId="77777777" w:rsidR="003C03B6" w:rsidRPr="00D85862" w:rsidRDefault="003C03B6" w:rsidP="00DA6AD1">
      <w:pPr>
        <w:tabs>
          <w:tab w:val="clear" w:pos="1247"/>
          <w:tab w:val="clear" w:pos="1814"/>
          <w:tab w:val="clear" w:pos="2381"/>
          <w:tab w:val="clear" w:pos="2948"/>
          <w:tab w:val="clear" w:pos="3515"/>
        </w:tabs>
        <w:spacing w:after="120"/>
        <w:rPr>
          <w:rFonts w:eastAsia="MS PGothic"/>
          <w:b/>
          <w:bCs/>
          <w:sz w:val="24"/>
          <w:szCs w:val="24"/>
        </w:rPr>
      </w:pPr>
      <w:r w:rsidRPr="00D85862">
        <w:rPr>
          <w:rFonts w:eastAsia="MS PGothic"/>
          <w:sz w:val="24"/>
          <w:szCs w:val="24"/>
        </w:rPr>
        <w:br w:type="page"/>
      </w:r>
    </w:p>
    <w:p w14:paraId="3BAC31C6" w14:textId="2989C0C4" w:rsidR="00CD64BB" w:rsidRPr="00D85862" w:rsidRDefault="00CD64BB" w:rsidP="00DA6AD1">
      <w:pPr>
        <w:pStyle w:val="ZZAnxtitle"/>
        <w:spacing w:before="0"/>
        <w:rPr>
          <w:sz w:val="24"/>
          <w:szCs w:val="24"/>
          <w:lang w:val="fr-FR"/>
        </w:rPr>
      </w:pPr>
      <w:r w:rsidRPr="00D85862">
        <w:rPr>
          <w:rFonts w:eastAsia="MS PGothic"/>
          <w:sz w:val="24"/>
          <w:szCs w:val="24"/>
          <w:lang w:val="fr-FR"/>
        </w:rPr>
        <w:lastRenderedPageBreak/>
        <w:t>Annexe au projet de décision</w:t>
      </w:r>
      <w:r w:rsidRPr="00D85862">
        <w:rPr>
          <w:sz w:val="24"/>
          <w:szCs w:val="24"/>
          <w:lang w:val="fr-FR"/>
        </w:rPr>
        <w:t xml:space="preserve"> MC-3/[--] </w:t>
      </w:r>
    </w:p>
    <w:p w14:paraId="57FE42BC" w14:textId="0E889FCB" w:rsidR="00CD64BB" w:rsidRPr="00D85862" w:rsidRDefault="00CD64BB" w:rsidP="00DA6AD1">
      <w:pPr>
        <w:pStyle w:val="Normal-pool"/>
        <w:spacing w:after="120"/>
        <w:ind w:left="1247"/>
        <w:rPr>
          <w:rFonts w:eastAsia="MS PGothic"/>
          <w:lang w:val="fr-FR"/>
        </w:rPr>
      </w:pPr>
      <w:r w:rsidRPr="00D85862">
        <w:rPr>
          <w:rFonts w:eastAsia="MS PGothic"/>
          <w:lang w:val="fr-FR"/>
        </w:rPr>
        <w:t>[contenant les tableaux de</w:t>
      </w:r>
      <w:r w:rsidR="00BD72C3" w:rsidRPr="00D85862">
        <w:rPr>
          <w:rFonts w:eastAsia="MS PGothic"/>
          <w:lang w:val="fr-FR"/>
        </w:rPr>
        <w:t xml:space="preserve"> l’</w:t>
      </w:r>
      <w:r w:rsidRPr="00D85862">
        <w:rPr>
          <w:rFonts w:eastAsia="MS PGothic"/>
          <w:lang w:val="fr-FR"/>
        </w:rPr>
        <w:t xml:space="preserve">appendice </w:t>
      </w:r>
      <w:r w:rsidR="00061DC6" w:rsidRPr="00D85862">
        <w:rPr>
          <w:rFonts w:eastAsia="MS PGothic"/>
          <w:lang w:val="fr-FR"/>
        </w:rPr>
        <w:t>a</w:t>
      </w:r>
      <w:r w:rsidRPr="00D85862">
        <w:rPr>
          <w:rFonts w:eastAsia="MS PGothic"/>
          <w:lang w:val="fr-FR"/>
        </w:rPr>
        <w:t xml:space="preserve">u rapport </w:t>
      </w:r>
      <w:r w:rsidR="00061DC6" w:rsidRPr="00D85862">
        <w:rPr>
          <w:rFonts w:eastAsia="MS PGothic"/>
          <w:lang w:val="fr-FR"/>
        </w:rPr>
        <w:t xml:space="preserve">figurant </w:t>
      </w:r>
      <w:r w:rsidRPr="00D85862">
        <w:rPr>
          <w:rFonts w:eastAsia="MS PGothic"/>
          <w:lang w:val="fr-FR"/>
        </w:rPr>
        <w:t>à l</w:t>
      </w:r>
      <w:r w:rsidR="00F205DE" w:rsidRPr="00D85862">
        <w:rPr>
          <w:rFonts w:eastAsia="MS PGothic"/>
          <w:lang w:val="fr-FR"/>
        </w:rPr>
        <w:t>’</w:t>
      </w:r>
      <w:r w:rsidRPr="00D85862">
        <w:rPr>
          <w:rFonts w:eastAsia="MS PGothic"/>
          <w:lang w:val="fr-FR"/>
        </w:rPr>
        <w:t>annexe II de la présente note, révisés si nécessaire]</w:t>
      </w:r>
    </w:p>
    <w:p w14:paraId="41969180" w14:textId="77777777" w:rsidR="0036716A" w:rsidRPr="00D85862" w:rsidRDefault="0036716A" w:rsidP="00DA6AD1">
      <w:pPr>
        <w:pStyle w:val="Normal-pool"/>
        <w:spacing w:after="120"/>
        <w:ind w:left="1247"/>
        <w:rPr>
          <w:rFonts w:eastAsia="MS PGothic"/>
          <w:lang w:val="fr-FR"/>
        </w:rPr>
        <w:sectPr w:rsidR="0036716A" w:rsidRPr="00D85862" w:rsidSect="00C771A9">
          <w:footnotePr>
            <w:numRestart w:val="eachSect"/>
          </w:footnotePr>
          <w:type w:val="continuous"/>
          <w:pgSz w:w="11906" w:h="16838" w:code="9"/>
          <w:pgMar w:top="907" w:right="992" w:bottom="1418" w:left="1418" w:header="539" w:footer="975" w:gutter="0"/>
          <w:cols w:space="539"/>
          <w:titlePg/>
          <w:docGrid w:linePitch="360"/>
        </w:sectPr>
      </w:pPr>
    </w:p>
    <w:p w14:paraId="7162B60E" w14:textId="77777777" w:rsidR="00CD64BB" w:rsidRPr="00D85862" w:rsidRDefault="00CD64BB" w:rsidP="00DA6AD1">
      <w:pPr>
        <w:tabs>
          <w:tab w:val="clear" w:pos="1247"/>
          <w:tab w:val="clear" w:pos="1814"/>
          <w:tab w:val="clear" w:pos="2381"/>
          <w:tab w:val="clear" w:pos="2948"/>
          <w:tab w:val="clear" w:pos="3515"/>
        </w:tabs>
        <w:spacing w:after="120"/>
        <w:rPr>
          <w:b/>
          <w:bCs/>
          <w:sz w:val="28"/>
          <w:szCs w:val="22"/>
        </w:rPr>
      </w:pPr>
      <w:r w:rsidRPr="00D85862">
        <w:br w:type="page"/>
      </w:r>
    </w:p>
    <w:p w14:paraId="72EF1B90" w14:textId="606CA53F" w:rsidR="00CD64BB" w:rsidRPr="00D85862" w:rsidRDefault="00CD64BB" w:rsidP="00DA6AD1">
      <w:pPr>
        <w:pStyle w:val="ZZAnxheader"/>
        <w:spacing w:after="120"/>
        <w:rPr>
          <w:lang w:val="fr-FR"/>
        </w:rPr>
      </w:pPr>
      <w:r w:rsidRPr="00D85862">
        <w:rPr>
          <w:lang w:val="fr-FR"/>
        </w:rPr>
        <w:lastRenderedPageBreak/>
        <w:t>Annexe</w:t>
      </w:r>
      <w:r w:rsidR="00536EFA" w:rsidRPr="00D85862">
        <w:rPr>
          <w:lang w:val="fr-FR"/>
        </w:rPr>
        <w:t> </w:t>
      </w:r>
      <w:r w:rsidRPr="00D85862">
        <w:rPr>
          <w:lang w:val="fr-FR"/>
        </w:rPr>
        <w:t>II</w:t>
      </w:r>
    </w:p>
    <w:p w14:paraId="5A01537B" w14:textId="7DA883B3" w:rsidR="00CD64BB" w:rsidRPr="00D85862" w:rsidRDefault="00CD64BB" w:rsidP="00DA6AD1">
      <w:pPr>
        <w:pStyle w:val="ZZAnxtitle"/>
        <w:spacing w:before="0"/>
        <w:rPr>
          <w:lang w:val="fr-FR"/>
        </w:rPr>
      </w:pPr>
      <w:bookmarkStart w:id="4" w:name="_Hlk17660880"/>
      <w:r w:rsidRPr="00D85862">
        <w:rPr>
          <w:lang w:val="fr-FR"/>
        </w:rPr>
        <w:t>Rapport sur l</w:t>
      </w:r>
      <w:r w:rsidR="004F50F0" w:rsidRPr="00D85862">
        <w:rPr>
          <w:lang w:val="fr-FR"/>
        </w:rPr>
        <w:t>es</w:t>
      </w:r>
      <w:r w:rsidRPr="00D85862">
        <w:rPr>
          <w:lang w:val="fr-FR"/>
        </w:rPr>
        <w:t xml:space="preserve"> trava</w:t>
      </w:r>
      <w:r w:rsidR="004F50F0" w:rsidRPr="00D85862">
        <w:rPr>
          <w:lang w:val="fr-FR"/>
        </w:rPr>
        <w:t>ux</w:t>
      </w:r>
      <w:r w:rsidRPr="00D85862">
        <w:rPr>
          <w:lang w:val="fr-FR"/>
        </w:rPr>
        <w:t xml:space="preserve"> du groupe d</w:t>
      </w:r>
      <w:r w:rsidR="00F205DE" w:rsidRPr="00D85862">
        <w:rPr>
          <w:lang w:val="fr-FR"/>
        </w:rPr>
        <w:t>’</w:t>
      </w:r>
      <w:r w:rsidRPr="00D85862">
        <w:rPr>
          <w:lang w:val="fr-FR"/>
        </w:rPr>
        <w:t>experts techniques sur les seuils app</w:t>
      </w:r>
      <w:r w:rsidR="003C03B6" w:rsidRPr="00D85862">
        <w:rPr>
          <w:lang w:val="fr-FR"/>
        </w:rPr>
        <w:t>licables aux déchets de mercure</w:t>
      </w:r>
    </w:p>
    <w:bookmarkEnd w:id="4"/>
    <w:p w14:paraId="7FEC6C5F" w14:textId="77777777" w:rsidR="00CD64BB" w:rsidRPr="00D85862" w:rsidRDefault="00CD64BB" w:rsidP="00DA6AD1">
      <w:pPr>
        <w:pStyle w:val="CH1"/>
        <w:spacing w:before="0"/>
        <w:rPr>
          <w:lang w:val="fr-FR"/>
        </w:rPr>
      </w:pPr>
      <w:r w:rsidRPr="00D85862">
        <w:rPr>
          <w:lang w:val="fr-FR"/>
        </w:rPr>
        <w:tab/>
        <w:t>I.</w:t>
      </w:r>
      <w:r w:rsidRPr="00D85862">
        <w:rPr>
          <w:lang w:val="fr-FR"/>
        </w:rPr>
        <w:tab/>
        <w:t>Introduction</w:t>
      </w:r>
    </w:p>
    <w:p w14:paraId="2C067EC9" w14:textId="3E876B49" w:rsidR="00CD64BB" w:rsidRPr="00D85862" w:rsidRDefault="00CD64BB"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t>La Conférence des Parties à la Convention de Minamata sur le mercure, dans sa décision</w:t>
      </w:r>
      <w:r w:rsidR="00536EFA" w:rsidRPr="00D85862">
        <w:rPr>
          <w:lang w:val="fr-FR"/>
        </w:rPr>
        <w:t> </w:t>
      </w:r>
      <w:r w:rsidRPr="00D85862">
        <w:rPr>
          <w:lang w:val="fr-FR"/>
        </w:rPr>
        <w:t>MC</w:t>
      </w:r>
      <w:r w:rsidRPr="00D85862">
        <w:rPr>
          <w:lang w:val="fr-FR"/>
        </w:rPr>
        <w:noBreakHyphen/>
        <w:t>2/2, a donné pour mandat au groupe d</w:t>
      </w:r>
      <w:r w:rsidR="00F205DE" w:rsidRPr="00D85862">
        <w:rPr>
          <w:lang w:val="fr-FR"/>
        </w:rPr>
        <w:t>’</w:t>
      </w:r>
      <w:r w:rsidRPr="00D85862">
        <w:rPr>
          <w:lang w:val="fr-FR"/>
        </w:rPr>
        <w:t>experts techniques sur les seuils applicables aux déchets de mercure de centrer ses d</w:t>
      </w:r>
      <w:r w:rsidR="004F50F0" w:rsidRPr="00D85862">
        <w:rPr>
          <w:lang w:val="fr-FR"/>
        </w:rPr>
        <w:t xml:space="preserve">iscussions </w:t>
      </w:r>
      <w:r w:rsidRPr="00D85862">
        <w:rPr>
          <w:lang w:val="fr-FR"/>
        </w:rPr>
        <w:t xml:space="preserve">sur les questions suivantes : </w:t>
      </w:r>
    </w:p>
    <w:p w14:paraId="103AABAE" w14:textId="2CA7C2B5" w:rsidR="00CD64BB" w:rsidRPr="00D85862" w:rsidRDefault="004F50F0" w:rsidP="00DA6AD1">
      <w:pPr>
        <w:pStyle w:val="Normal-pool"/>
        <w:numPr>
          <w:ilvl w:val="0"/>
          <w:numId w:val="11"/>
        </w:numPr>
        <w:tabs>
          <w:tab w:val="clear" w:pos="1247"/>
          <w:tab w:val="clear" w:pos="1814"/>
          <w:tab w:val="clear" w:pos="2381"/>
          <w:tab w:val="clear" w:pos="2948"/>
          <w:tab w:val="clear" w:pos="3515"/>
          <w:tab w:val="clear" w:pos="4082"/>
          <w:tab w:val="left" w:pos="624"/>
          <w:tab w:val="left" w:pos="2127"/>
        </w:tabs>
        <w:spacing w:after="120"/>
        <w:ind w:left="1247" w:firstLine="454"/>
        <w:rPr>
          <w:lang w:val="fr-FR"/>
        </w:rPr>
      </w:pPr>
      <w:r w:rsidRPr="00D85862">
        <w:rPr>
          <w:lang w:val="fr-FR"/>
        </w:rPr>
        <w:t xml:space="preserve">Préciser plus avant et </w:t>
      </w:r>
      <w:r w:rsidR="00CD64BB" w:rsidRPr="00D85862">
        <w:rPr>
          <w:lang w:val="fr-FR"/>
        </w:rPr>
        <w:t xml:space="preserve">affiner </w:t>
      </w:r>
      <w:r w:rsidRPr="00D85862">
        <w:rPr>
          <w:lang w:val="fr-FR"/>
        </w:rPr>
        <w:t xml:space="preserve">la portée </w:t>
      </w:r>
      <w:r w:rsidR="00CD64BB" w:rsidRPr="00D85862">
        <w:rPr>
          <w:lang w:val="fr-FR"/>
        </w:rPr>
        <w:t>de chacune des trois catégories de déchets de mercure</w:t>
      </w:r>
      <w:r w:rsidRPr="00D85862">
        <w:rPr>
          <w:lang w:val="fr-FR"/>
        </w:rPr>
        <w:t xml:space="preserve"> énumérées au </w:t>
      </w:r>
      <w:r w:rsidR="00CD64BB" w:rsidRPr="00D85862">
        <w:rPr>
          <w:lang w:val="fr-FR"/>
        </w:rPr>
        <w:t>paragraphe 2 de l</w:t>
      </w:r>
      <w:r w:rsidR="00F205DE" w:rsidRPr="00D85862">
        <w:rPr>
          <w:lang w:val="fr-FR"/>
        </w:rPr>
        <w:t>’</w:t>
      </w:r>
      <w:r w:rsidR="00CD64BB" w:rsidRPr="00D85862">
        <w:rPr>
          <w:lang w:val="fr-FR"/>
        </w:rPr>
        <w:t>article 11 ;</w:t>
      </w:r>
    </w:p>
    <w:p w14:paraId="35D8F0B4" w14:textId="6A95597B" w:rsidR="00CD64BB" w:rsidRPr="00D85862" w:rsidRDefault="00CD64BB" w:rsidP="00DA6AD1">
      <w:pPr>
        <w:pStyle w:val="Normal-pool"/>
        <w:numPr>
          <w:ilvl w:val="0"/>
          <w:numId w:val="11"/>
        </w:numPr>
        <w:tabs>
          <w:tab w:val="clear" w:pos="1247"/>
          <w:tab w:val="clear" w:pos="1814"/>
          <w:tab w:val="clear" w:pos="2381"/>
          <w:tab w:val="clear" w:pos="2948"/>
          <w:tab w:val="clear" w:pos="3515"/>
          <w:tab w:val="clear" w:pos="4082"/>
          <w:tab w:val="left" w:pos="624"/>
          <w:tab w:val="left" w:pos="2127"/>
        </w:tabs>
        <w:spacing w:after="120"/>
        <w:ind w:left="1247" w:firstLine="454"/>
        <w:rPr>
          <w:lang w:val="fr-FR"/>
        </w:rPr>
      </w:pPr>
      <w:r w:rsidRPr="00D85862">
        <w:rPr>
          <w:lang w:val="fr-FR"/>
        </w:rPr>
        <w:t xml:space="preserve">Élaborer une liste </w:t>
      </w:r>
      <w:r w:rsidR="004F50F0" w:rsidRPr="00D85862">
        <w:rPr>
          <w:lang w:val="fr-FR"/>
        </w:rPr>
        <w:t xml:space="preserve">exhaustive des </w:t>
      </w:r>
      <w:r w:rsidRPr="00D85862">
        <w:rPr>
          <w:lang w:val="fr-FR"/>
        </w:rPr>
        <w:t>déchets de mercure relevant de l</w:t>
      </w:r>
      <w:r w:rsidR="00F205DE" w:rsidRPr="00D85862">
        <w:rPr>
          <w:lang w:val="fr-FR"/>
        </w:rPr>
        <w:t>’</w:t>
      </w:r>
      <w:r w:rsidRPr="00D85862">
        <w:rPr>
          <w:lang w:val="fr-FR"/>
        </w:rPr>
        <w:t xml:space="preserve">alinéa </w:t>
      </w:r>
      <w:r w:rsidR="004F50F0" w:rsidRPr="00D85862">
        <w:rPr>
          <w:lang w:val="fr-FR"/>
        </w:rPr>
        <w:t xml:space="preserve">2 </w:t>
      </w:r>
      <w:r w:rsidRPr="00D85862">
        <w:rPr>
          <w:lang w:val="fr-FR"/>
        </w:rPr>
        <w:t>a) de l</w:t>
      </w:r>
      <w:r w:rsidR="00F205DE" w:rsidRPr="00D85862">
        <w:rPr>
          <w:lang w:val="fr-FR"/>
        </w:rPr>
        <w:t>’</w:t>
      </w:r>
      <w:r w:rsidRPr="00D85862">
        <w:rPr>
          <w:lang w:val="fr-FR"/>
        </w:rPr>
        <w:t>article 11, ainsi qu</w:t>
      </w:r>
      <w:r w:rsidR="00F205DE" w:rsidRPr="00D85862">
        <w:rPr>
          <w:lang w:val="fr-FR"/>
        </w:rPr>
        <w:t>’</w:t>
      </w:r>
      <w:r w:rsidRPr="00D85862">
        <w:rPr>
          <w:lang w:val="fr-FR"/>
        </w:rPr>
        <w:t xml:space="preserve">une liste indicative des déchets de mercure </w:t>
      </w:r>
      <w:r w:rsidR="004F50F0" w:rsidRPr="00D85862">
        <w:rPr>
          <w:lang w:val="fr-FR"/>
        </w:rPr>
        <w:t xml:space="preserve">susceptibles de </w:t>
      </w:r>
      <w:r w:rsidRPr="00D85862">
        <w:rPr>
          <w:lang w:val="fr-FR"/>
        </w:rPr>
        <w:t>relever des alinéas</w:t>
      </w:r>
      <w:r w:rsidR="004F50F0" w:rsidRPr="00D85862">
        <w:rPr>
          <w:lang w:val="fr-FR"/>
        </w:rPr>
        <w:t xml:space="preserve"> 2 </w:t>
      </w:r>
      <w:r w:rsidRPr="00D85862">
        <w:rPr>
          <w:lang w:val="fr-FR"/>
        </w:rPr>
        <w:t>b) et c) de l</w:t>
      </w:r>
      <w:r w:rsidR="00F205DE" w:rsidRPr="00D85862">
        <w:rPr>
          <w:lang w:val="fr-FR"/>
        </w:rPr>
        <w:t>’</w:t>
      </w:r>
      <w:r w:rsidRPr="00D85862">
        <w:rPr>
          <w:lang w:val="fr-FR"/>
        </w:rPr>
        <w:t>article 11 ;</w:t>
      </w:r>
    </w:p>
    <w:p w14:paraId="5E96EF99" w14:textId="17CF3226" w:rsidR="00CD64BB" w:rsidRPr="00D85862" w:rsidRDefault="004F50F0" w:rsidP="00DA6AD1">
      <w:pPr>
        <w:pStyle w:val="Normal-pool"/>
        <w:numPr>
          <w:ilvl w:val="0"/>
          <w:numId w:val="11"/>
        </w:numPr>
        <w:tabs>
          <w:tab w:val="clear" w:pos="1247"/>
          <w:tab w:val="clear" w:pos="1814"/>
          <w:tab w:val="clear" w:pos="2381"/>
          <w:tab w:val="clear" w:pos="2948"/>
          <w:tab w:val="clear" w:pos="3515"/>
          <w:tab w:val="clear" w:pos="4082"/>
          <w:tab w:val="left" w:pos="624"/>
          <w:tab w:val="left" w:pos="2127"/>
        </w:tabs>
        <w:spacing w:after="120"/>
        <w:ind w:left="1247" w:firstLine="454"/>
        <w:rPr>
          <w:lang w:val="fr-FR"/>
        </w:rPr>
      </w:pPr>
      <w:r w:rsidRPr="00D85862">
        <w:rPr>
          <w:lang w:val="fr-FR"/>
        </w:rPr>
        <w:t>Donner la priorité à la définition d’approches et de méthodes pertinentes pour l’</w:t>
      </w:r>
      <w:r w:rsidR="00CD64BB" w:rsidRPr="00D85862">
        <w:rPr>
          <w:lang w:val="fr-FR"/>
        </w:rPr>
        <w:t xml:space="preserve">établissement de seuils </w:t>
      </w:r>
      <w:r w:rsidRPr="00D85862">
        <w:rPr>
          <w:lang w:val="fr-FR"/>
        </w:rPr>
        <w:t xml:space="preserve">applicables aux </w:t>
      </w:r>
      <w:r w:rsidR="00CD64BB" w:rsidRPr="00D85862">
        <w:rPr>
          <w:lang w:val="fr-FR"/>
        </w:rPr>
        <w:t>déchets de mercure relevant de l</w:t>
      </w:r>
      <w:r w:rsidR="00F205DE" w:rsidRPr="00D85862">
        <w:rPr>
          <w:lang w:val="fr-FR"/>
        </w:rPr>
        <w:t>’</w:t>
      </w:r>
      <w:r w:rsidR="00CD64BB" w:rsidRPr="00D85862">
        <w:rPr>
          <w:lang w:val="fr-FR"/>
        </w:rPr>
        <w:t>alinéa </w:t>
      </w:r>
      <w:r w:rsidRPr="00D85862">
        <w:rPr>
          <w:lang w:val="fr-FR"/>
        </w:rPr>
        <w:t xml:space="preserve">2 </w:t>
      </w:r>
      <w:r w:rsidR="00CD64BB" w:rsidRPr="00D85862">
        <w:rPr>
          <w:lang w:val="fr-FR"/>
        </w:rPr>
        <w:t>c) de l</w:t>
      </w:r>
      <w:r w:rsidR="00F205DE" w:rsidRPr="00D85862">
        <w:rPr>
          <w:lang w:val="fr-FR"/>
        </w:rPr>
        <w:t>’</w:t>
      </w:r>
      <w:r w:rsidR="00CD64BB" w:rsidRPr="00D85862">
        <w:rPr>
          <w:lang w:val="fr-FR"/>
        </w:rPr>
        <w:t xml:space="preserve">article 11 et, si possible, recommander des seuils précis pour ces déchets ; le groupe </w:t>
      </w:r>
      <w:r w:rsidR="00E923E3" w:rsidRPr="00D85862">
        <w:rPr>
          <w:lang w:val="fr-FR"/>
        </w:rPr>
        <w:t xml:space="preserve">examinera également </w:t>
      </w:r>
      <w:r w:rsidR="00CD64BB" w:rsidRPr="00D85862">
        <w:rPr>
          <w:lang w:val="fr-FR"/>
        </w:rPr>
        <w:t xml:space="preserve">la pertinence des seuils </w:t>
      </w:r>
      <w:r w:rsidR="00E923E3" w:rsidRPr="00D85862">
        <w:rPr>
          <w:lang w:val="fr-FR"/>
        </w:rPr>
        <w:t xml:space="preserve">relatifs aux </w:t>
      </w:r>
      <w:r w:rsidR="00CD64BB" w:rsidRPr="00D85862">
        <w:rPr>
          <w:lang w:val="fr-FR"/>
        </w:rPr>
        <w:t>catégories de déchets relevant des alinéas </w:t>
      </w:r>
      <w:r w:rsidR="00E923E3" w:rsidRPr="00D85862">
        <w:rPr>
          <w:lang w:val="fr-FR"/>
        </w:rPr>
        <w:t xml:space="preserve">2 </w:t>
      </w:r>
      <w:r w:rsidR="00CD64BB" w:rsidRPr="00D85862">
        <w:rPr>
          <w:lang w:val="fr-FR"/>
        </w:rPr>
        <w:t>a) et b) de l</w:t>
      </w:r>
      <w:r w:rsidR="00F205DE" w:rsidRPr="00D85862">
        <w:rPr>
          <w:lang w:val="fr-FR"/>
        </w:rPr>
        <w:t>’</w:t>
      </w:r>
      <w:r w:rsidR="00CD64BB" w:rsidRPr="00D85862">
        <w:rPr>
          <w:lang w:val="fr-FR"/>
        </w:rPr>
        <w:t>article 11 ;</w:t>
      </w:r>
    </w:p>
    <w:p w14:paraId="5F72A1FD" w14:textId="517AD853" w:rsidR="00CD64BB" w:rsidRPr="00D85862" w:rsidRDefault="00E923E3" w:rsidP="00DA6AD1">
      <w:pPr>
        <w:pStyle w:val="Normal-pool"/>
        <w:numPr>
          <w:ilvl w:val="0"/>
          <w:numId w:val="11"/>
        </w:numPr>
        <w:tabs>
          <w:tab w:val="clear" w:pos="1247"/>
          <w:tab w:val="clear" w:pos="1814"/>
          <w:tab w:val="clear" w:pos="2381"/>
          <w:tab w:val="clear" w:pos="2948"/>
          <w:tab w:val="clear" w:pos="3515"/>
          <w:tab w:val="clear" w:pos="4082"/>
          <w:tab w:val="left" w:pos="624"/>
          <w:tab w:val="left" w:pos="2127"/>
        </w:tabs>
        <w:spacing w:after="120"/>
        <w:ind w:left="1247" w:firstLine="454"/>
        <w:rPr>
          <w:lang w:val="fr-FR"/>
        </w:rPr>
      </w:pPr>
      <w:r w:rsidRPr="00D85862">
        <w:rPr>
          <w:lang w:val="fr-FR"/>
        </w:rPr>
        <w:t xml:space="preserve">Œuvrer, en appliquant des critères distincts, à la définition </w:t>
      </w:r>
      <w:r w:rsidR="00CD64BB" w:rsidRPr="00D85862">
        <w:rPr>
          <w:lang w:val="fr-FR"/>
        </w:rPr>
        <w:t>d</w:t>
      </w:r>
      <w:r w:rsidR="00F205DE" w:rsidRPr="00D85862">
        <w:rPr>
          <w:lang w:val="fr-FR"/>
        </w:rPr>
        <w:t>’</w:t>
      </w:r>
      <w:r w:rsidR="00CD64BB" w:rsidRPr="00D85862">
        <w:rPr>
          <w:lang w:val="fr-FR"/>
        </w:rPr>
        <w:t>approche</w:t>
      </w:r>
      <w:r w:rsidRPr="00D85862">
        <w:rPr>
          <w:lang w:val="fr-FR"/>
        </w:rPr>
        <w:t xml:space="preserve">s pour l’établissement de </w:t>
      </w:r>
      <w:r w:rsidR="00CD64BB" w:rsidRPr="00D85862">
        <w:rPr>
          <w:lang w:val="fr-FR"/>
        </w:rPr>
        <w:t xml:space="preserve">seuils pour les </w:t>
      </w:r>
      <w:r w:rsidR="00CD64BB" w:rsidRPr="00D85862">
        <w:rPr>
          <w:rFonts w:eastAsia="MS PGothic"/>
          <w:lang w:val="fr-FR"/>
        </w:rPr>
        <w:t>morts-terrains, les déchets de rocs et les résidus</w:t>
      </w:r>
      <w:r w:rsidRPr="00D85862">
        <w:rPr>
          <w:rFonts w:eastAsia="MS PGothic"/>
          <w:lang w:val="fr-FR"/>
        </w:rPr>
        <w:t xml:space="preserve"> provenant de l’extraction minière</w:t>
      </w:r>
      <w:r w:rsidR="00CD64BB" w:rsidRPr="00D85862">
        <w:rPr>
          <w:rFonts w:eastAsia="MS PGothic"/>
          <w:lang w:val="fr-FR"/>
        </w:rPr>
        <w:t>, à l</w:t>
      </w:r>
      <w:r w:rsidR="00F205DE" w:rsidRPr="00D85862">
        <w:rPr>
          <w:rFonts w:eastAsia="MS PGothic"/>
          <w:lang w:val="fr-FR"/>
        </w:rPr>
        <w:t>’</w:t>
      </w:r>
      <w:r w:rsidR="00CD64BB" w:rsidRPr="00D85862">
        <w:rPr>
          <w:rFonts w:eastAsia="MS PGothic"/>
          <w:lang w:val="fr-FR"/>
        </w:rPr>
        <w:t>exception de l</w:t>
      </w:r>
      <w:r w:rsidR="00F205DE" w:rsidRPr="00D85862">
        <w:rPr>
          <w:rFonts w:eastAsia="MS PGothic"/>
          <w:lang w:val="fr-FR"/>
        </w:rPr>
        <w:t>’</w:t>
      </w:r>
      <w:r w:rsidR="00CD64BB" w:rsidRPr="00D85862">
        <w:rPr>
          <w:rFonts w:eastAsia="MS PGothic"/>
          <w:lang w:val="fr-FR"/>
        </w:rPr>
        <w:t xml:space="preserve">extraction minière primaire de mercure, </w:t>
      </w:r>
      <w:r w:rsidRPr="00D85862">
        <w:rPr>
          <w:rFonts w:eastAsia="MS PGothic"/>
          <w:lang w:val="fr-FR"/>
        </w:rPr>
        <w:t xml:space="preserve">au cours de </w:t>
      </w:r>
      <w:r w:rsidR="00CD64BB" w:rsidRPr="00D85862">
        <w:rPr>
          <w:rFonts w:eastAsia="MS PGothic"/>
          <w:lang w:val="fr-FR"/>
        </w:rPr>
        <w:t xml:space="preserve">la période intersessions. </w:t>
      </w:r>
    </w:p>
    <w:p w14:paraId="4BBD45D8" w14:textId="121856BB" w:rsidR="00CD64BB" w:rsidRPr="00D85862" w:rsidRDefault="00CD64BB"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t xml:space="preserve">Le présent rapport </w:t>
      </w:r>
      <w:r w:rsidR="00E923E3" w:rsidRPr="00D85862">
        <w:rPr>
          <w:lang w:val="fr-FR"/>
        </w:rPr>
        <w:t xml:space="preserve">présente brièvement </w:t>
      </w:r>
      <w:r w:rsidRPr="00D85862">
        <w:rPr>
          <w:lang w:val="fr-FR"/>
        </w:rPr>
        <w:t>les résultats d</w:t>
      </w:r>
      <w:r w:rsidR="00E923E3" w:rsidRPr="00D85862">
        <w:rPr>
          <w:lang w:val="fr-FR"/>
        </w:rPr>
        <w:t xml:space="preserve">es travaux </w:t>
      </w:r>
      <w:r w:rsidRPr="00D85862">
        <w:rPr>
          <w:lang w:val="fr-FR"/>
        </w:rPr>
        <w:t>du groupe d</w:t>
      </w:r>
      <w:r w:rsidR="00F205DE" w:rsidRPr="00D85862">
        <w:rPr>
          <w:lang w:val="fr-FR"/>
        </w:rPr>
        <w:t>’</w:t>
      </w:r>
      <w:r w:rsidRPr="00D85862">
        <w:rPr>
          <w:lang w:val="fr-FR"/>
        </w:rPr>
        <w:t>experts techniques sur ces questions, effectué par le biais de deux téléconférences puis d</w:t>
      </w:r>
      <w:r w:rsidR="00F205DE" w:rsidRPr="00D85862">
        <w:rPr>
          <w:lang w:val="fr-FR"/>
        </w:rPr>
        <w:t>’</w:t>
      </w:r>
      <w:r w:rsidRPr="00D85862">
        <w:rPr>
          <w:lang w:val="fr-FR"/>
        </w:rPr>
        <w:t>une réunion en présentiel qui s</w:t>
      </w:r>
      <w:r w:rsidR="00F205DE" w:rsidRPr="00D85862">
        <w:rPr>
          <w:lang w:val="fr-FR"/>
        </w:rPr>
        <w:t>’</w:t>
      </w:r>
      <w:r w:rsidRPr="00D85862">
        <w:rPr>
          <w:lang w:val="fr-FR"/>
        </w:rPr>
        <w:t xml:space="preserve">est tenue à Osaka (Japon) du 27 au 29 mai 2019. </w:t>
      </w:r>
    </w:p>
    <w:p w14:paraId="372D4EA1" w14:textId="5B051F2F" w:rsidR="00CD64BB" w:rsidRPr="00D85862" w:rsidRDefault="00CD64BB" w:rsidP="00DA6AD1">
      <w:pPr>
        <w:pStyle w:val="CH1"/>
        <w:spacing w:before="0"/>
        <w:rPr>
          <w:lang w:val="fr-FR"/>
        </w:rPr>
      </w:pPr>
      <w:r w:rsidRPr="00D85862">
        <w:rPr>
          <w:lang w:val="fr-FR"/>
        </w:rPr>
        <w:tab/>
        <w:t>II.</w:t>
      </w:r>
      <w:r w:rsidRPr="00D85862">
        <w:rPr>
          <w:lang w:val="fr-FR"/>
        </w:rPr>
        <w:tab/>
      </w:r>
      <w:r w:rsidR="00E923E3" w:rsidRPr="00D85862">
        <w:rPr>
          <w:lang w:val="fr-FR"/>
        </w:rPr>
        <w:t xml:space="preserve">Portée </w:t>
      </w:r>
      <w:r w:rsidRPr="00D85862">
        <w:rPr>
          <w:lang w:val="fr-FR"/>
        </w:rPr>
        <w:t>des trois catégories de déchets de mercure</w:t>
      </w:r>
    </w:p>
    <w:p w14:paraId="602E4430" w14:textId="12742E9F" w:rsidR="00CD64BB" w:rsidRPr="00D85862" w:rsidRDefault="00AA53DD"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bCs/>
          <w:lang w:val="fr-FR"/>
        </w:rPr>
      </w:pPr>
      <w:r w:rsidRPr="00D85862">
        <w:rPr>
          <w:bCs/>
          <w:lang w:val="fr-FR"/>
        </w:rPr>
        <w:t xml:space="preserve">Le </w:t>
      </w:r>
      <w:r w:rsidR="00CD64BB" w:rsidRPr="00D85862">
        <w:rPr>
          <w:bCs/>
          <w:lang w:val="fr-FR"/>
        </w:rPr>
        <w:t>paragraphe 2 de l</w:t>
      </w:r>
      <w:r w:rsidR="00F205DE" w:rsidRPr="00D85862">
        <w:rPr>
          <w:bCs/>
          <w:lang w:val="fr-FR"/>
        </w:rPr>
        <w:t>’</w:t>
      </w:r>
      <w:r w:rsidR="00CD64BB" w:rsidRPr="00D85862">
        <w:rPr>
          <w:bCs/>
          <w:lang w:val="fr-FR"/>
        </w:rPr>
        <w:t>article 11 de la Convention</w:t>
      </w:r>
      <w:r w:rsidR="003D3F5C" w:rsidRPr="00D85862">
        <w:rPr>
          <w:bCs/>
          <w:lang w:val="fr-FR"/>
        </w:rPr>
        <w:t xml:space="preserve"> définit </w:t>
      </w:r>
      <w:r w:rsidR="00CD64BB" w:rsidRPr="00D85862">
        <w:rPr>
          <w:bCs/>
          <w:lang w:val="fr-FR"/>
        </w:rPr>
        <w:t xml:space="preserve">les déchets de mercure </w:t>
      </w:r>
      <w:r w:rsidR="003D3F5C" w:rsidRPr="00D85862">
        <w:rPr>
          <w:bCs/>
          <w:lang w:val="fr-FR"/>
        </w:rPr>
        <w:t xml:space="preserve">comme étant </w:t>
      </w:r>
      <w:r w:rsidR="00CD64BB" w:rsidRPr="00D85862">
        <w:rPr>
          <w:bCs/>
          <w:lang w:val="fr-FR"/>
        </w:rPr>
        <w:t xml:space="preserve">« des substances ou objets a) constitués de mercure ou de composés de mercure ; b) contenant du mercure ou des composés du mercure ; ou c) contaminés par du mercure ou des composés de mercure » </w:t>
      </w:r>
      <w:r w:rsidR="00CD64BB" w:rsidRPr="00D85862">
        <w:rPr>
          <w:rFonts w:eastAsia="MS PGothic"/>
          <w:lang w:val="fr-FR"/>
        </w:rPr>
        <w:t>qu</w:t>
      </w:r>
      <w:r w:rsidR="00F205DE" w:rsidRPr="00D85862">
        <w:rPr>
          <w:rFonts w:eastAsia="MS PGothic"/>
          <w:lang w:val="fr-FR"/>
        </w:rPr>
        <w:t>’</w:t>
      </w:r>
      <w:r w:rsidR="00CD64BB" w:rsidRPr="00D85862">
        <w:rPr>
          <w:rFonts w:eastAsia="MS PGothic"/>
          <w:lang w:val="fr-FR"/>
        </w:rPr>
        <w:t>on élimine, qu</w:t>
      </w:r>
      <w:r w:rsidR="00F205DE" w:rsidRPr="00D85862">
        <w:rPr>
          <w:rFonts w:eastAsia="MS PGothic"/>
          <w:lang w:val="fr-FR"/>
        </w:rPr>
        <w:t>’</w:t>
      </w:r>
      <w:r w:rsidR="00CD64BB" w:rsidRPr="00D85862">
        <w:rPr>
          <w:rFonts w:eastAsia="MS PGothic"/>
          <w:lang w:val="fr-FR"/>
        </w:rPr>
        <w:t>on a l</w:t>
      </w:r>
      <w:r w:rsidR="00F205DE" w:rsidRPr="00D85862">
        <w:rPr>
          <w:rFonts w:eastAsia="MS PGothic"/>
          <w:lang w:val="fr-FR"/>
        </w:rPr>
        <w:t>’</w:t>
      </w:r>
      <w:r w:rsidR="00CD64BB" w:rsidRPr="00D85862">
        <w:rPr>
          <w:rFonts w:eastAsia="MS PGothic"/>
          <w:lang w:val="fr-FR"/>
        </w:rPr>
        <w:t>intention d</w:t>
      </w:r>
      <w:r w:rsidR="00F205DE" w:rsidRPr="00D85862">
        <w:rPr>
          <w:rFonts w:eastAsia="MS PGothic"/>
          <w:lang w:val="fr-FR"/>
        </w:rPr>
        <w:t>’</w:t>
      </w:r>
      <w:r w:rsidR="00CD64BB" w:rsidRPr="00D85862">
        <w:rPr>
          <w:rFonts w:eastAsia="MS PGothic"/>
          <w:lang w:val="fr-FR"/>
        </w:rPr>
        <w:t>éliminer ou qu</w:t>
      </w:r>
      <w:r w:rsidR="00F205DE" w:rsidRPr="00D85862">
        <w:rPr>
          <w:rFonts w:eastAsia="MS PGothic"/>
          <w:lang w:val="fr-FR"/>
        </w:rPr>
        <w:t>’</w:t>
      </w:r>
      <w:r w:rsidR="00CD64BB" w:rsidRPr="00D85862">
        <w:rPr>
          <w:rFonts w:eastAsia="MS PGothic"/>
          <w:lang w:val="fr-FR"/>
        </w:rPr>
        <w:t>on est tenu d</w:t>
      </w:r>
      <w:r w:rsidR="00F205DE" w:rsidRPr="00D85862">
        <w:rPr>
          <w:rFonts w:eastAsia="MS PGothic"/>
          <w:lang w:val="fr-FR"/>
        </w:rPr>
        <w:t>’</w:t>
      </w:r>
      <w:r w:rsidR="00CD64BB" w:rsidRPr="00D85862">
        <w:rPr>
          <w:rFonts w:eastAsia="MS PGothic"/>
          <w:lang w:val="fr-FR"/>
        </w:rPr>
        <w:t xml:space="preserve">éliminer en </w:t>
      </w:r>
      <w:r w:rsidRPr="00D85862">
        <w:rPr>
          <w:rFonts w:eastAsia="MS PGothic"/>
          <w:lang w:val="fr-FR"/>
        </w:rPr>
        <w:t xml:space="preserve">vertu des dispositions du droit </w:t>
      </w:r>
      <w:r w:rsidR="00CD64BB" w:rsidRPr="00D85862">
        <w:rPr>
          <w:rFonts w:eastAsia="MS PGothic"/>
          <w:lang w:val="fr-FR"/>
        </w:rPr>
        <w:t>national ou de la Convention de Minamata</w:t>
      </w:r>
      <w:r w:rsidR="00CD64BB" w:rsidRPr="00D85862">
        <w:rPr>
          <w:rStyle w:val="FootnoteReference"/>
          <w:lang w:val="fr-FR"/>
        </w:rPr>
        <w:footnoteReference w:id="7"/>
      </w:r>
      <w:r w:rsidR="00CD64BB" w:rsidRPr="00D85862">
        <w:rPr>
          <w:rFonts w:eastAsia="MS PGothic"/>
          <w:lang w:val="fr-FR"/>
        </w:rPr>
        <w:t>.</w:t>
      </w:r>
    </w:p>
    <w:p w14:paraId="69FACD23" w14:textId="2CF69C29" w:rsidR="00CD64BB" w:rsidRPr="00D85862" w:rsidRDefault="00CD64BB"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t>Aux fins de ses travaux, le groupe d</w:t>
      </w:r>
      <w:r w:rsidR="00F205DE" w:rsidRPr="00D85862">
        <w:rPr>
          <w:lang w:val="fr-FR"/>
        </w:rPr>
        <w:t>’</w:t>
      </w:r>
      <w:r w:rsidRPr="00D85862">
        <w:rPr>
          <w:lang w:val="fr-FR"/>
        </w:rPr>
        <w:t xml:space="preserve">experts techniques a désigné les déchets </w:t>
      </w:r>
      <w:r w:rsidR="003D3F5C" w:rsidRPr="00D85862">
        <w:rPr>
          <w:lang w:val="fr-FR"/>
        </w:rPr>
        <w:t>relevant de l’alinéa 2 a)</w:t>
      </w:r>
      <w:r w:rsidRPr="00D85862">
        <w:rPr>
          <w:lang w:val="fr-FR"/>
        </w:rPr>
        <w:t xml:space="preserve"> de l</w:t>
      </w:r>
      <w:r w:rsidR="00F205DE" w:rsidRPr="00D85862">
        <w:rPr>
          <w:lang w:val="fr-FR"/>
        </w:rPr>
        <w:t>’</w:t>
      </w:r>
      <w:r w:rsidRPr="00D85862">
        <w:rPr>
          <w:lang w:val="fr-FR"/>
        </w:rPr>
        <w:t xml:space="preserve">article 11 comme des « déchets de </w:t>
      </w:r>
      <w:r w:rsidR="00DB6B86" w:rsidRPr="00D85862">
        <w:rPr>
          <w:lang w:val="fr-FR"/>
        </w:rPr>
        <w:t xml:space="preserve">la </w:t>
      </w:r>
      <w:r w:rsidRPr="00D85862">
        <w:rPr>
          <w:lang w:val="fr-FR"/>
        </w:rPr>
        <w:t xml:space="preserve">catégorie A », les déchets </w:t>
      </w:r>
      <w:r w:rsidR="003D3F5C" w:rsidRPr="00D85862">
        <w:rPr>
          <w:lang w:val="fr-FR"/>
        </w:rPr>
        <w:t>relevant de l’alinéa 2 b) c</w:t>
      </w:r>
      <w:r w:rsidRPr="00D85862">
        <w:rPr>
          <w:lang w:val="fr-FR"/>
        </w:rPr>
        <w:t xml:space="preserve">omme des « déchets de </w:t>
      </w:r>
      <w:r w:rsidR="00DB6B86" w:rsidRPr="00D85862">
        <w:rPr>
          <w:lang w:val="fr-FR"/>
        </w:rPr>
        <w:t xml:space="preserve">la </w:t>
      </w:r>
      <w:r w:rsidRPr="00D85862">
        <w:rPr>
          <w:lang w:val="fr-FR"/>
        </w:rPr>
        <w:t xml:space="preserve">catégorie B » et les déchets </w:t>
      </w:r>
      <w:r w:rsidR="003D3F5C" w:rsidRPr="00D85862">
        <w:rPr>
          <w:lang w:val="fr-FR"/>
        </w:rPr>
        <w:t xml:space="preserve">relevant de l’alinéa 2 </w:t>
      </w:r>
      <w:r w:rsidRPr="00D85862">
        <w:rPr>
          <w:lang w:val="fr-FR"/>
        </w:rPr>
        <w:t>c) comme des « déchets de</w:t>
      </w:r>
      <w:r w:rsidR="00DB6B86" w:rsidRPr="00D85862">
        <w:rPr>
          <w:lang w:val="fr-FR"/>
        </w:rPr>
        <w:t xml:space="preserve"> la </w:t>
      </w:r>
      <w:r w:rsidRPr="00D85862">
        <w:rPr>
          <w:lang w:val="fr-FR"/>
        </w:rPr>
        <w:t>catégorie C ».</w:t>
      </w:r>
    </w:p>
    <w:p w14:paraId="559CA08A" w14:textId="07E7C9BB" w:rsidR="00CD64BB" w:rsidRPr="00D85862" w:rsidRDefault="00CD64BB"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t xml:space="preserve">Les déchets de </w:t>
      </w:r>
      <w:r w:rsidR="00DB6B86" w:rsidRPr="00D85862">
        <w:rPr>
          <w:lang w:val="fr-FR"/>
        </w:rPr>
        <w:t xml:space="preserve">la </w:t>
      </w:r>
      <w:r w:rsidRPr="00D85862">
        <w:rPr>
          <w:lang w:val="fr-FR"/>
        </w:rPr>
        <w:t xml:space="preserve">catégorie B regrouperaient les produits contenant du mercure ajouté, sans se limiter à ceux </w:t>
      </w:r>
      <w:r w:rsidR="00DB6B86" w:rsidRPr="00D85862">
        <w:rPr>
          <w:lang w:val="fr-FR"/>
        </w:rPr>
        <w:t xml:space="preserve">énumérés dans </w:t>
      </w:r>
      <w:r w:rsidRPr="00D85862">
        <w:rPr>
          <w:lang w:val="fr-FR"/>
        </w:rPr>
        <w:t>l</w:t>
      </w:r>
      <w:r w:rsidR="00F205DE" w:rsidRPr="00D85862">
        <w:rPr>
          <w:lang w:val="fr-FR"/>
        </w:rPr>
        <w:t>’</w:t>
      </w:r>
      <w:r w:rsidR="00FC41B3" w:rsidRPr="00D85862">
        <w:rPr>
          <w:lang w:val="fr-FR"/>
        </w:rPr>
        <w:t>Annexe </w:t>
      </w:r>
      <w:r w:rsidRPr="00D85862">
        <w:rPr>
          <w:lang w:val="fr-FR"/>
        </w:rPr>
        <w:t xml:space="preserve">A </w:t>
      </w:r>
      <w:r w:rsidR="00DB6B86" w:rsidRPr="00D85862">
        <w:rPr>
          <w:lang w:val="fr-FR"/>
        </w:rPr>
        <w:t>à</w:t>
      </w:r>
      <w:r w:rsidRPr="00D85862">
        <w:rPr>
          <w:lang w:val="fr-FR"/>
        </w:rPr>
        <w:t xml:space="preserve"> la Convention, qui sont en fin de vie, obsolètes, cassés ou mis au rebut. Certains de ces produits contenant du mercure ajouté mis au rebut peuvent être des composés de produits assemblés. Cependant, les déchets municipaux, médicaux ou autres qui renferment des produits contenant du mercure ajouté qui sont en fin de vie mais qui ne sont pas isolés sont considérés comme des déchets de </w:t>
      </w:r>
      <w:r w:rsidR="00DB6B86" w:rsidRPr="00D85862">
        <w:rPr>
          <w:lang w:val="fr-FR"/>
        </w:rPr>
        <w:t xml:space="preserve">la </w:t>
      </w:r>
      <w:r w:rsidRPr="00D85862">
        <w:rPr>
          <w:lang w:val="fr-FR"/>
        </w:rPr>
        <w:t>catégorie C lorsqu</w:t>
      </w:r>
      <w:r w:rsidR="00F205DE" w:rsidRPr="00D85862">
        <w:rPr>
          <w:lang w:val="fr-FR"/>
        </w:rPr>
        <w:t>’</w:t>
      </w:r>
      <w:r w:rsidRPr="00D85862">
        <w:rPr>
          <w:lang w:val="fr-FR"/>
        </w:rPr>
        <w:t xml:space="preserve">ils dépassent les seuils fixés. </w:t>
      </w:r>
    </w:p>
    <w:p w14:paraId="74C7AC64" w14:textId="058ABC81" w:rsidR="00CD64BB" w:rsidRPr="00D85862" w:rsidRDefault="00CD64BB"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t>Les déchets de la catégorie C sont d</w:t>
      </w:r>
      <w:r w:rsidR="00F205DE" w:rsidRPr="00D85862">
        <w:rPr>
          <w:lang w:val="fr-FR"/>
        </w:rPr>
        <w:t>’</w:t>
      </w:r>
      <w:r w:rsidRPr="00D85862">
        <w:rPr>
          <w:lang w:val="fr-FR"/>
        </w:rPr>
        <w:t xml:space="preserve">autres déchets dans lesquels du mercure ou des composés du mercure sont présents dans des quantités supérieures aux seuils </w:t>
      </w:r>
      <w:r w:rsidR="008A000F" w:rsidRPr="00D85862">
        <w:rPr>
          <w:lang w:val="fr-FR"/>
        </w:rPr>
        <w:t xml:space="preserve">définis </w:t>
      </w:r>
      <w:r w:rsidRPr="00D85862">
        <w:rPr>
          <w:lang w:val="fr-FR"/>
        </w:rPr>
        <w:t>par la Conférence des Parties. Il</w:t>
      </w:r>
      <w:r w:rsidR="00536EFA" w:rsidRPr="00D85862">
        <w:rPr>
          <w:lang w:val="fr-FR"/>
        </w:rPr>
        <w:t> </w:t>
      </w:r>
      <w:r w:rsidRPr="00D85862">
        <w:rPr>
          <w:lang w:val="fr-FR"/>
        </w:rPr>
        <w:t>s</w:t>
      </w:r>
      <w:r w:rsidR="00F205DE" w:rsidRPr="00D85862">
        <w:rPr>
          <w:lang w:val="fr-FR"/>
        </w:rPr>
        <w:t>’</w:t>
      </w:r>
      <w:r w:rsidRPr="00D85862">
        <w:rPr>
          <w:lang w:val="fr-FR"/>
        </w:rPr>
        <w:t xml:space="preserve">agit notamment de résidus </w:t>
      </w:r>
      <w:r w:rsidRPr="00D85862">
        <w:rPr>
          <w:rFonts w:eastAsia="MS PGothic"/>
          <w:lang w:val="fr-FR"/>
        </w:rPr>
        <w:t>provenant de l</w:t>
      </w:r>
      <w:r w:rsidR="00F205DE" w:rsidRPr="00D85862">
        <w:rPr>
          <w:rFonts w:eastAsia="MS PGothic"/>
          <w:lang w:val="fr-FR"/>
        </w:rPr>
        <w:t>’</w:t>
      </w:r>
      <w:r w:rsidRPr="00D85862">
        <w:rPr>
          <w:rFonts w:eastAsia="MS PGothic"/>
          <w:lang w:val="fr-FR"/>
        </w:rPr>
        <w:t>extraction minière primaire de mercure, de proc</w:t>
      </w:r>
      <w:r w:rsidR="00DB6B86" w:rsidRPr="00D85862">
        <w:rPr>
          <w:rFonts w:eastAsia="MS PGothic"/>
          <w:lang w:val="fr-FR"/>
        </w:rPr>
        <w:t>édés</w:t>
      </w:r>
      <w:r w:rsidRPr="00D85862">
        <w:rPr>
          <w:rFonts w:eastAsia="MS PGothic"/>
          <w:lang w:val="fr-FR"/>
        </w:rPr>
        <w:t xml:space="preserve"> industriels, et de procédés de traitement des déchets dans lesquels le mercure ou des composés du mercure sont présents en quantité </w:t>
      </w:r>
      <w:r w:rsidR="00536EFA" w:rsidRPr="00D85862">
        <w:rPr>
          <w:rFonts w:eastAsia="MS PGothic"/>
          <w:lang w:val="fr-FR"/>
        </w:rPr>
        <w:t>supérieure aux seuils.</w:t>
      </w:r>
    </w:p>
    <w:p w14:paraId="2B2D6580" w14:textId="24774281" w:rsidR="00CD64BB" w:rsidRPr="00D85862" w:rsidRDefault="00CD64BB"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lastRenderedPageBreak/>
        <w:t>Les déchets qui proviennent du traitement de déchets contenant du mercure</w:t>
      </w:r>
      <w:r w:rsidRPr="00D85862">
        <w:rPr>
          <w:vertAlign w:val="superscript"/>
          <w:lang w:val="fr-FR"/>
        </w:rPr>
        <w:footnoteReference w:id="8"/>
      </w:r>
      <w:r w:rsidRPr="00D85862">
        <w:rPr>
          <w:lang w:val="fr-FR"/>
        </w:rPr>
        <w:t xml:space="preserve"> appartiennent à la catégorie A ou C. </w:t>
      </w:r>
    </w:p>
    <w:p w14:paraId="079BAC01" w14:textId="34DEAAA1" w:rsidR="00CD64BB" w:rsidRPr="00D85862" w:rsidRDefault="00CD64BB"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t>Plus précisément, les résidus provenant de l</w:t>
      </w:r>
      <w:r w:rsidR="00F205DE" w:rsidRPr="00D85862">
        <w:rPr>
          <w:lang w:val="fr-FR"/>
        </w:rPr>
        <w:t>’</w:t>
      </w:r>
      <w:r w:rsidRPr="00D85862">
        <w:rPr>
          <w:lang w:val="fr-FR"/>
        </w:rPr>
        <w:t>extraction artisanale ou à petite échelle de l</w:t>
      </w:r>
      <w:r w:rsidR="00F205DE" w:rsidRPr="00D85862">
        <w:rPr>
          <w:lang w:val="fr-FR"/>
        </w:rPr>
        <w:t>’</w:t>
      </w:r>
      <w:r w:rsidRPr="00D85862">
        <w:rPr>
          <w:lang w:val="fr-FR"/>
        </w:rPr>
        <w:t>or et le processus dans lequel une amalgamation de mercure est utilisée pour extraire l</w:t>
      </w:r>
      <w:r w:rsidR="00F205DE" w:rsidRPr="00D85862">
        <w:rPr>
          <w:lang w:val="fr-FR"/>
        </w:rPr>
        <w:t>’</w:t>
      </w:r>
      <w:r w:rsidRPr="00D85862">
        <w:rPr>
          <w:lang w:val="fr-FR"/>
        </w:rPr>
        <w:t xml:space="preserve">or du minerai sont considérés comme des déchets de </w:t>
      </w:r>
      <w:r w:rsidR="008A000F" w:rsidRPr="00D85862">
        <w:rPr>
          <w:lang w:val="fr-FR"/>
        </w:rPr>
        <w:t xml:space="preserve">la </w:t>
      </w:r>
      <w:r w:rsidRPr="00D85862">
        <w:rPr>
          <w:lang w:val="fr-FR"/>
        </w:rPr>
        <w:t>catégorie C. Les résidus provenant de l</w:t>
      </w:r>
      <w:r w:rsidR="00F205DE" w:rsidRPr="00D85862">
        <w:rPr>
          <w:lang w:val="fr-FR"/>
        </w:rPr>
        <w:t>’</w:t>
      </w:r>
      <w:r w:rsidRPr="00D85862">
        <w:rPr>
          <w:lang w:val="fr-FR"/>
        </w:rPr>
        <w:t>extraction artisanale ou à petite échelle de l</w:t>
      </w:r>
      <w:r w:rsidR="00F205DE" w:rsidRPr="00D85862">
        <w:rPr>
          <w:lang w:val="fr-FR"/>
        </w:rPr>
        <w:t>’</w:t>
      </w:r>
      <w:r w:rsidRPr="00D85862">
        <w:rPr>
          <w:lang w:val="fr-FR"/>
        </w:rPr>
        <w:t xml:space="preserve">or et qui ont été </w:t>
      </w:r>
      <w:r w:rsidR="008A000F" w:rsidRPr="00D85862">
        <w:rPr>
          <w:lang w:val="fr-FR"/>
        </w:rPr>
        <w:t xml:space="preserve">contaminés </w:t>
      </w:r>
      <w:r w:rsidRPr="00D85862">
        <w:rPr>
          <w:lang w:val="fr-FR"/>
        </w:rPr>
        <w:t>par du mercure ou des composés du mercure en raison de l</w:t>
      </w:r>
      <w:r w:rsidR="00F205DE" w:rsidRPr="00D85862">
        <w:rPr>
          <w:lang w:val="fr-FR"/>
        </w:rPr>
        <w:t>’</w:t>
      </w:r>
      <w:r w:rsidRPr="00D85862">
        <w:rPr>
          <w:lang w:val="fr-FR"/>
        </w:rPr>
        <w:t>utilisation de mercure dans le processus d</w:t>
      </w:r>
      <w:r w:rsidR="00F205DE" w:rsidRPr="00D85862">
        <w:rPr>
          <w:lang w:val="fr-FR"/>
        </w:rPr>
        <w:t>’</w:t>
      </w:r>
      <w:r w:rsidRPr="00D85862">
        <w:rPr>
          <w:lang w:val="fr-FR"/>
        </w:rPr>
        <w:t>amalgamation ne sont par conséquent pas exclus des déchets de mercure par la disposition d</w:t>
      </w:r>
      <w:r w:rsidR="00F205DE" w:rsidRPr="00D85862">
        <w:rPr>
          <w:lang w:val="fr-FR"/>
        </w:rPr>
        <w:t>’</w:t>
      </w:r>
      <w:r w:rsidRPr="00D85862">
        <w:rPr>
          <w:lang w:val="fr-FR"/>
        </w:rPr>
        <w:t>exclusion du paragraphe 2 de l</w:t>
      </w:r>
      <w:r w:rsidR="00F205DE" w:rsidRPr="00D85862">
        <w:rPr>
          <w:lang w:val="fr-FR"/>
        </w:rPr>
        <w:t>’</w:t>
      </w:r>
      <w:r w:rsidRPr="00D85862">
        <w:rPr>
          <w:lang w:val="fr-FR"/>
        </w:rPr>
        <w:t>article 11, qui s</w:t>
      </w:r>
      <w:r w:rsidR="00F205DE" w:rsidRPr="00D85862">
        <w:rPr>
          <w:lang w:val="fr-FR"/>
        </w:rPr>
        <w:t>’</w:t>
      </w:r>
      <w:r w:rsidRPr="00D85862">
        <w:rPr>
          <w:lang w:val="fr-FR"/>
        </w:rPr>
        <w:t>applique uniquement aux composés du mercure qui se trouvent naturellement dans les matière</w:t>
      </w:r>
      <w:r w:rsidR="00DB6B86" w:rsidRPr="00D85862">
        <w:rPr>
          <w:lang w:val="fr-FR"/>
        </w:rPr>
        <w:t>s</w:t>
      </w:r>
      <w:r w:rsidRPr="00D85862">
        <w:rPr>
          <w:lang w:val="fr-FR"/>
        </w:rPr>
        <w:t xml:space="preserve"> extraites. Les</w:t>
      </w:r>
      <w:r w:rsidR="00FC41B3" w:rsidRPr="00D85862">
        <w:rPr>
          <w:lang w:val="fr-FR"/>
        </w:rPr>
        <w:t> </w:t>
      </w:r>
      <w:r w:rsidRPr="00D85862">
        <w:rPr>
          <w:lang w:val="fr-FR"/>
        </w:rPr>
        <w:t>exigences en matière de gestion des déchets contenues dans l</w:t>
      </w:r>
      <w:r w:rsidR="00F205DE" w:rsidRPr="00D85862">
        <w:rPr>
          <w:lang w:val="fr-FR"/>
        </w:rPr>
        <w:t>’</w:t>
      </w:r>
      <w:r w:rsidRPr="00D85862">
        <w:rPr>
          <w:lang w:val="fr-FR"/>
        </w:rPr>
        <w:t>article 11 sont censées s</w:t>
      </w:r>
      <w:r w:rsidR="00F205DE" w:rsidRPr="00D85862">
        <w:rPr>
          <w:lang w:val="fr-FR"/>
        </w:rPr>
        <w:t>’</w:t>
      </w:r>
      <w:r w:rsidRPr="00D85862">
        <w:rPr>
          <w:lang w:val="fr-FR"/>
        </w:rPr>
        <w:t>appliquer aux sites d</w:t>
      </w:r>
      <w:r w:rsidR="00F205DE" w:rsidRPr="00D85862">
        <w:rPr>
          <w:lang w:val="fr-FR"/>
        </w:rPr>
        <w:t>’</w:t>
      </w:r>
      <w:r w:rsidRPr="00D85862">
        <w:rPr>
          <w:lang w:val="fr-FR"/>
        </w:rPr>
        <w:t>extraction artisanale ou à petite échelle de l</w:t>
      </w:r>
      <w:r w:rsidR="00F205DE" w:rsidRPr="00D85862">
        <w:rPr>
          <w:lang w:val="fr-FR"/>
        </w:rPr>
        <w:t>’</w:t>
      </w:r>
      <w:r w:rsidRPr="00D85862">
        <w:rPr>
          <w:lang w:val="fr-FR"/>
        </w:rPr>
        <w:t>or dans le contexte de la mise en œuvre de stratégies de promotion de la réduction des émissions et des rejets de mercure ainsi qu</w:t>
      </w:r>
      <w:r w:rsidR="00F205DE" w:rsidRPr="00D85862">
        <w:rPr>
          <w:lang w:val="fr-FR"/>
        </w:rPr>
        <w:t>’</w:t>
      </w:r>
      <w:r w:rsidRPr="00D85862">
        <w:rPr>
          <w:lang w:val="fr-FR"/>
        </w:rPr>
        <w:t xml:space="preserve">à </w:t>
      </w:r>
      <w:r w:rsidR="008A000F" w:rsidRPr="00D85862">
        <w:rPr>
          <w:lang w:val="fr-FR"/>
        </w:rPr>
        <w:t>l’</w:t>
      </w:r>
      <w:r w:rsidRPr="00D85862">
        <w:rPr>
          <w:lang w:val="fr-FR"/>
        </w:rPr>
        <w:t>exposition</w:t>
      </w:r>
      <w:r w:rsidR="008A000F" w:rsidRPr="00D85862">
        <w:rPr>
          <w:lang w:val="fr-FR"/>
        </w:rPr>
        <w:t xml:space="preserve"> à cette substance</w:t>
      </w:r>
      <w:r w:rsidRPr="00D85862">
        <w:rPr>
          <w:lang w:val="fr-FR"/>
        </w:rPr>
        <w:t>, intégrées dans les plans d</w:t>
      </w:r>
      <w:r w:rsidR="00F205DE" w:rsidRPr="00D85862">
        <w:rPr>
          <w:lang w:val="fr-FR"/>
        </w:rPr>
        <w:t>’</w:t>
      </w:r>
      <w:r w:rsidRPr="00D85862">
        <w:rPr>
          <w:lang w:val="fr-FR"/>
        </w:rPr>
        <w:t xml:space="preserve">action nationaux des Parties. </w:t>
      </w:r>
    </w:p>
    <w:p w14:paraId="7A22674B" w14:textId="6E81B27B" w:rsidR="00CD64BB" w:rsidRPr="00D85862" w:rsidRDefault="00CD64BB"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t>Le groupe d</w:t>
      </w:r>
      <w:r w:rsidR="00F205DE" w:rsidRPr="00D85862">
        <w:rPr>
          <w:lang w:val="fr-FR"/>
        </w:rPr>
        <w:t>’</w:t>
      </w:r>
      <w:r w:rsidRPr="00D85862">
        <w:rPr>
          <w:lang w:val="fr-FR"/>
        </w:rPr>
        <w:t xml:space="preserve">experts techniques a élaboré une liste </w:t>
      </w:r>
      <w:r w:rsidR="008A000F" w:rsidRPr="00D85862">
        <w:rPr>
          <w:lang w:val="fr-FR"/>
        </w:rPr>
        <w:t xml:space="preserve">exhaustive </w:t>
      </w:r>
      <w:r w:rsidRPr="00D85862">
        <w:rPr>
          <w:lang w:val="fr-FR"/>
        </w:rPr>
        <w:t xml:space="preserve">des déchets de </w:t>
      </w:r>
      <w:r w:rsidR="008A000F" w:rsidRPr="00D85862">
        <w:rPr>
          <w:lang w:val="fr-FR"/>
        </w:rPr>
        <w:t xml:space="preserve">la </w:t>
      </w:r>
      <w:r w:rsidRPr="00D85862">
        <w:rPr>
          <w:lang w:val="fr-FR"/>
        </w:rPr>
        <w:t>catégorie A et des listes indicatives pour les déchets de</w:t>
      </w:r>
      <w:r w:rsidR="008A000F" w:rsidRPr="00D85862">
        <w:rPr>
          <w:lang w:val="fr-FR"/>
        </w:rPr>
        <w:t>s</w:t>
      </w:r>
      <w:r w:rsidRPr="00D85862">
        <w:rPr>
          <w:lang w:val="fr-FR"/>
        </w:rPr>
        <w:t xml:space="preserve"> catégorie</w:t>
      </w:r>
      <w:r w:rsidR="008A000F" w:rsidRPr="00D85862">
        <w:rPr>
          <w:lang w:val="fr-FR"/>
        </w:rPr>
        <w:t>s</w:t>
      </w:r>
      <w:r w:rsidRPr="00D85862">
        <w:rPr>
          <w:lang w:val="fr-FR"/>
        </w:rPr>
        <w:t xml:space="preserve"> B et C, conformément au mandat que lui a confié la Conférence des Parties. Ces listes se trouvent dans l</w:t>
      </w:r>
      <w:r w:rsidR="00F205DE" w:rsidRPr="00D85862">
        <w:rPr>
          <w:lang w:val="fr-FR"/>
        </w:rPr>
        <w:t>’</w:t>
      </w:r>
      <w:r w:rsidRPr="00D85862">
        <w:rPr>
          <w:lang w:val="fr-FR"/>
        </w:rPr>
        <w:t xml:space="preserve">appendice au présent rapport. </w:t>
      </w:r>
    </w:p>
    <w:p w14:paraId="14E1ACA6" w14:textId="2F3E19C3" w:rsidR="00CD64BB" w:rsidRPr="00D85862" w:rsidRDefault="00CD64BB"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t xml:space="preserve">Il </w:t>
      </w:r>
      <w:r w:rsidR="008A000F" w:rsidRPr="00D85862">
        <w:rPr>
          <w:lang w:val="fr-FR"/>
        </w:rPr>
        <w:t xml:space="preserve">convient de noter </w:t>
      </w:r>
      <w:r w:rsidRPr="00D85862">
        <w:rPr>
          <w:lang w:val="fr-FR"/>
        </w:rPr>
        <w:t xml:space="preserve">que certaines des substances ou certains objets décrits dans la liste </w:t>
      </w:r>
      <w:r w:rsidR="008A000F" w:rsidRPr="00D85862">
        <w:rPr>
          <w:lang w:val="fr-FR"/>
        </w:rPr>
        <w:t xml:space="preserve">exhaustive </w:t>
      </w:r>
      <w:r w:rsidRPr="00D85862">
        <w:rPr>
          <w:lang w:val="fr-FR"/>
        </w:rPr>
        <w:t>de la catégorie A et dans les listes indicatives des catégories B et C pourraient être considérés comme des produits dont l</w:t>
      </w:r>
      <w:r w:rsidR="00F205DE" w:rsidRPr="00D85862">
        <w:rPr>
          <w:lang w:val="fr-FR"/>
        </w:rPr>
        <w:t>’</w:t>
      </w:r>
      <w:r w:rsidRPr="00D85862">
        <w:rPr>
          <w:lang w:val="fr-FR"/>
        </w:rPr>
        <w:t xml:space="preserve">usage est autorisé en vertu de la Convention dans certaines juridictions et circonstances mais comme des déchets </w:t>
      </w:r>
      <w:r w:rsidRPr="00D85862">
        <w:rPr>
          <w:rFonts w:eastAsia="MS PGothic"/>
          <w:lang w:val="fr-FR"/>
        </w:rPr>
        <w:t>qu</w:t>
      </w:r>
      <w:r w:rsidR="00F205DE" w:rsidRPr="00D85862">
        <w:rPr>
          <w:rFonts w:eastAsia="MS PGothic"/>
          <w:lang w:val="fr-FR"/>
        </w:rPr>
        <w:t>’</w:t>
      </w:r>
      <w:r w:rsidRPr="00D85862">
        <w:rPr>
          <w:rFonts w:eastAsia="MS PGothic"/>
          <w:lang w:val="fr-FR"/>
        </w:rPr>
        <w:t>on doit éliminer, qu</w:t>
      </w:r>
      <w:r w:rsidR="00F205DE" w:rsidRPr="00D85862">
        <w:rPr>
          <w:rFonts w:eastAsia="MS PGothic"/>
          <w:lang w:val="fr-FR"/>
        </w:rPr>
        <w:t>’</w:t>
      </w:r>
      <w:r w:rsidRPr="00D85862">
        <w:rPr>
          <w:rFonts w:eastAsia="MS PGothic"/>
          <w:lang w:val="fr-FR"/>
        </w:rPr>
        <w:t>on a l</w:t>
      </w:r>
      <w:r w:rsidR="00F205DE" w:rsidRPr="00D85862">
        <w:rPr>
          <w:rFonts w:eastAsia="MS PGothic"/>
          <w:lang w:val="fr-FR"/>
        </w:rPr>
        <w:t>’</w:t>
      </w:r>
      <w:r w:rsidRPr="00D85862">
        <w:rPr>
          <w:rFonts w:eastAsia="MS PGothic"/>
          <w:lang w:val="fr-FR"/>
        </w:rPr>
        <w:t>intention d</w:t>
      </w:r>
      <w:r w:rsidR="00F205DE" w:rsidRPr="00D85862">
        <w:rPr>
          <w:rFonts w:eastAsia="MS PGothic"/>
          <w:lang w:val="fr-FR"/>
        </w:rPr>
        <w:t>’</w:t>
      </w:r>
      <w:r w:rsidRPr="00D85862">
        <w:rPr>
          <w:rFonts w:eastAsia="MS PGothic"/>
          <w:lang w:val="fr-FR"/>
        </w:rPr>
        <w:t>éliminer ou qu</w:t>
      </w:r>
      <w:r w:rsidR="00F205DE" w:rsidRPr="00D85862">
        <w:rPr>
          <w:rFonts w:eastAsia="MS PGothic"/>
          <w:lang w:val="fr-FR"/>
        </w:rPr>
        <w:t>’</w:t>
      </w:r>
      <w:r w:rsidRPr="00D85862">
        <w:rPr>
          <w:rFonts w:eastAsia="MS PGothic"/>
          <w:lang w:val="fr-FR"/>
        </w:rPr>
        <w:t>on est tenu d</w:t>
      </w:r>
      <w:r w:rsidR="00F205DE" w:rsidRPr="00D85862">
        <w:rPr>
          <w:rFonts w:eastAsia="MS PGothic"/>
          <w:lang w:val="fr-FR"/>
        </w:rPr>
        <w:t>’</w:t>
      </w:r>
      <w:r w:rsidRPr="00D85862">
        <w:rPr>
          <w:rFonts w:eastAsia="MS PGothic"/>
          <w:lang w:val="fr-FR"/>
        </w:rPr>
        <w:t>éliminer dans d</w:t>
      </w:r>
      <w:r w:rsidR="00F205DE" w:rsidRPr="00D85862">
        <w:rPr>
          <w:rFonts w:eastAsia="MS PGothic"/>
          <w:lang w:val="fr-FR"/>
        </w:rPr>
        <w:t>’</w:t>
      </w:r>
      <w:r w:rsidRPr="00D85862">
        <w:rPr>
          <w:rFonts w:eastAsia="MS PGothic"/>
          <w:lang w:val="fr-FR"/>
        </w:rPr>
        <w:t>autres.</w:t>
      </w:r>
    </w:p>
    <w:p w14:paraId="30A90E48" w14:textId="0D421619" w:rsidR="00CD64BB" w:rsidRPr="00D85862" w:rsidRDefault="00CD64BB"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t xml:space="preserve">Le groupe a également débattu de la question de savoir si les eaux usées pouvaient être considérées comme des déchets de </w:t>
      </w:r>
      <w:r w:rsidR="0063159D" w:rsidRPr="00D85862">
        <w:rPr>
          <w:lang w:val="fr-FR"/>
        </w:rPr>
        <w:t xml:space="preserve">la </w:t>
      </w:r>
      <w:r w:rsidRPr="00D85862">
        <w:rPr>
          <w:lang w:val="fr-FR"/>
        </w:rPr>
        <w:t>catégorie C, au vu de la pertinence de l</w:t>
      </w:r>
      <w:r w:rsidR="00F205DE" w:rsidRPr="00D85862">
        <w:rPr>
          <w:lang w:val="fr-FR"/>
        </w:rPr>
        <w:t>’</w:t>
      </w:r>
      <w:r w:rsidRPr="00D85862">
        <w:rPr>
          <w:lang w:val="fr-FR"/>
        </w:rPr>
        <w:t>article 9 (rejets). Le</w:t>
      </w:r>
      <w:r w:rsidR="00FC41B3" w:rsidRPr="00D85862">
        <w:rPr>
          <w:lang w:val="fr-FR"/>
        </w:rPr>
        <w:t> </w:t>
      </w:r>
      <w:r w:rsidRPr="00D85862">
        <w:rPr>
          <w:lang w:val="fr-FR"/>
        </w:rPr>
        <w:t xml:space="preserve">groupe a noté que, pour une majorité des </w:t>
      </w:r>
      <w:r w:rsidR="0063159D" w:rsidRPr="00D85862">
        <w:rPr>
          <w:lang w:val="fr-FR"/>
        </w:rPr>
        <w:t>P</w:t>
      </w:r>
      <w:r w:rsidRPr="00D85862">
        <w:rPr>
          <w:lang w:val="fr-FR"/>
        </w:rPr>
        <w:t>arties, les eaux usées étaient réglementées par les lois contre la pollution de l</w:t>
      </w:r>
      <w:r w:rsidR="00F205DE" w:rsidRPr="00D85862">
        <w:rPr>
          <w:lang w:val="fr-FR"/>
        </w:rPr>
        <w:t>’</w:t>
      </w:r>
      <w:r w:rsidRPr="00D85862">
        <w:rPr>
          <w:lang w:val="fr-FR"/>
        </w:rPr>
        <w:t>eau mais que dans certaines juridictions, elles dépendaient plutôt de la législation sur la gestion des déchets.</w:t>
      </w:r>
    </w:p>
    <w:p w14:paraId="0DEC608F" w14:textId="24220755" w:rsidR="00505F9F" w:rsidRPr="00D85862" w:rsidRDefault="00505F9F" w:rsidP="00DA6AD1">
      <w:pPr>
        <w:pStyle w:val="CH1"/>
        <w:tabs>
          <w:tab w:val="clear" w:pos="1247"/>
        </w:tabs>
        <w:spacing w:before="0"/>
        <w:rPr>
          <w:lang w:val="fr-FR"/>
        </w:rPr>
      </w:pPr>
      <w:r w:rsidRPr="00D85862">
        <w:rPr>
          <w:lang w:val="fr-FR"/>
        </w:rPr>
        <w:tab/>
        <w:t>III.</w:t>
      </w:r>
      <w:r w:rsidRPr="00D85862">
        <w:rPr>
          <w:lang w:val="fr-FR"/>
        </w:rPr>
        <w:tab/>
      </w:r>
      <w:r w:rsidRPr="00D85862">
        <w:rPr>
          <w:bCs/>
          <w:lang w:val="fr-FR"/>
        </w:rPr>
        <w:t>Approches et méthodes pour l</w:t>
      </w:r>
      <w:r w:rsidR="00F205DE" w:rsidRPr="00D85862">
        <w:rPr>
          <w:bCs/>
          <w:lang w:val="fr-FR"/>
        </w:rPr>
        <w:t>’</w:t>
      </w:r>
      <w:r w:rsidRPr="00D85862">
        <w:rPr>
          <w:bCs/>
          <w:lang w:val="fr-FR"/>
        </w:rPr>
        <w:t>établissement des seuils applicables aux déchets</w:t>
      </w:r>
      <w:r w:rsidR="003C03B6" w:rsidRPr="00D85862">
        <w:rPr>
          <w:bCs/>
          <w:lang w:val="fr-FR"/>
        </w:rPr>
        <w:t xml:space="preserve"> de mercure visés au paragraphe </w:t>
      </w:r>
      <w:r w:rsidRPr="00D85862">
        <w:rPr>
          <w:bCs/>
          <w:lang w:val="fr-FR"/>
        </w:rPr>
        <w:t>2 de l</w:t>
      </w:r>
      <w:r w:rsidR="00F205DE" w:rsidRPr="00D85862">
        <w:rPr>
          <w:bCs/>
          <w:lang w:val="fr-FR"/>
        </w:rPr>
        <w:t>’</w:t>
      </w:r>
      <w:r w:rsidR="003C03B6" w:rsidRPr="00D85862">
        <w:rPr>
          <w:bCs/>
          <w:lang w:val="fr-FR"/>
        </w:rPr>
        <w:t>article </w:t>
      </w:r>
      <w:r w:rsidRPr="00D85862">
        <w:rPr>
          <w:bCs/>
          <w:lang w:val="fr-FR"/>
        </w:rPr>
        <w:t>11 de</w:t>
      </w:r>
      <w:r w:rsidR="003C03B6" w:rsidRPr="00D85862">
        <w:rPr>
          <w:bCs/>
          <w:lang w:val="fr-FR"/>
        </w:rPr>
        <w:t> </w:t>
      </w:r>
      <w:r w:rsidRPr="00D85862">
        <w:rPr>
          <w:bCs/>
          <w:lang w:val="fr-FR"/>
        </w:rPr>
        <w:t>la</w:t>
      </w:r>
      <w:r w:rsidR="003C03B6" w:rsidRPr="00D85862">
        <w:rPr>
          <w:bCs/>
          <w:lang w:val="fr-FR"/>
        </w:rPr>
        <w:t> </w:t>
      </w:r>
      <w:r w:rsidRPr="00D85862">
        <w:rPr>
          <w:bCs/>
          <w:lang w:val="fr-FR"/>
        </w:rPr>
        <w:t>Convention et recommandation des seuils</w:t>
      </w:r>
    </w:p>
    <w:p w14:paraId="4040FC7B" w14:textId="76875A08" w:rsidR="00505F9F" w:rsidRPr="00D85862" w:rsidRDefault="00505F9F" w:rsidP="00DA6AD1">
      <w:pPr>
        <w:pStyle w:val="CH2"/>
        <w:spacing w:before="0"/>
        <w:rPr>
          <w:lang w:val="fr-FR"/>
        </w:rPr>
      </w:pPr>
      <w:r w:rsidRPr="00D85862">
        <w:rPr>
          <w:lang w:val="fr-FR"/>
        </w:rPr>
        <w:tab/>
        <w:t>A.</w:t>
      </w:r>
      <w:r w:rsidRPr="00D85862">
        <w:rPr>
          <w:lang w:val="fr-FR"/>
        </w:rPr>
        <w:tab/>
      </w:r>
      <w:r w:rsidRPr="00D85862">
        <w:rPr>
          <w:bCs/>
          <w:lang w:val="fr-FR"/>
        </w:rPr>
        <w:t>Approches et méthodes pertinentes pour l</w:t>
      </w:r>
      <w:r w:rsidR="00F205DE" w:rsidRPr="00D85862">
        <w:rPr>
          <w:bCs/>
          <w:lang w:val="fr-FR"/>
        </w:rPr>
        <w:t>’</w:t>
      </w:r>
      <w:r w:rsidRPr="00D85862">
        <w:rPr>
          <w:bCs/>
          <w:lang w:val="fr-FR"/>
        </w:rPr>
        <w:t>établissement des seuils applicables aux déchets de la catégorie C</w:t>
      </w:r>
    </w:p>
    <w:p w14:paraId="1822CCCF" w14:textId="46AABB40" w:rsidR="00505F9F" w:rsidRPr="00D85862" w:rsidRDefault="00505F9F"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bookmarkStart w:id="5" w:name="_30j0zll"/>
      <w:bookmarkEnd w:id="5"/>
      <w:r w:rsidRPr="00D85862">
        <w:rPr>
          <w:lang w:val="fr-FR"/>
        </w:rPr>
        <w:t>Trois approches ont été identifiées pour l</w:t>
      </w:r>
      <w:r w:rsidR="00F205DE" w:rsidRPr="00D85862">
        <w:rPr>
          <w:lang w:val="fr-FR"/>
        </w:rPr>
        <w:t>’</w:t>
      </w:r>
      <w:r w:rsidRPr="00D85862">
        <w:rPr>
          <w:lang w:val="fr-FR"/>
        </w:rPr>
        <w:t>établissement des seuils : a) teneur totale en mercure des déchets, b) mesure du potentiel de libération de mercure des déchets, et c) détermination qualitative (soit une approche fondée sur l</w:t>
      </w:r>
      <w:r w:rsidR="00F205DE" w:rsidRPr="00D85862">
        <w:rPr>
          <w:lang w:val="fr-FR"/>
        </w:rPr>
        <w:t>’</w:t>
      </w:r>
      <w:r w:rsidRPr="00D85862">
        <w:rPr>
          <w:lang w:val="fr-FR"/>
        </w:rPr>
        <w:t>établissement de listes).</w:t>
      </w:r>
    </w:p>
    <w:p w14:paraId="0A17D7AD" w14:textId="2A882627" w:rsidR="00505F9F" w:rsidRPr="00D85862" w:rsidRDefault="00505F9F"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t>La teneur totale en mercure des déchets constitue le type de seuil le plus simple. Elle permet au seuil de reposer sur la propriété intrinsèque des déchets, indépendamment de la technologie appliquée à leur gestion. Cette approche identifie la présence de mercure dans les déchets, et considère que plus la quantité de mercure est importante, plus le risque réel est important. Elle ne cherche pas à déterminer les risques que peuvent poser les déchets (c</w:t>
      </w:r>
      <w:r w:rsidR="00F205DE" w:rsidRPr="00D85862">
        <w:rPr>
          <w:lang w:val="fr-FR"/>
        </w:rPr>
        <w:t>’</w:t>
      </w:r>
      <w:r w:rsidRPr="00D85862">
        <w:rPr>
          <w:lang w:val="fr-FR"/>
        </w:rPr>
        <w:t>est-à-dire la probabilité d</w:t>
      </w:r>
      <w:r w:rsidR="00F205DE" w:rsidRPr="00D85862">
        <w:rPr>
          <w:lang w:val="fr-FR"/>
        </w:rPr>
        <w:t>’</w:t>
      </w:r>
      <w:r w:rsidRPr="00D85862">
        <w:rPr>
          <w:lang w:val="fr-FR"/>
        </w:rPr>
        <w:t>une exposition produisant des effets néfastes sur la santé et/ou l</w:t>
      </w:r>
      <w:r w:rsidR="00F205DE" w:rsidRPr="00D85862">
        <w:rPr>
          <w:lang w:val="fr-FR"/>
        </w:rPr>
        <w:t>’</w:t>
      </w:r>
      <w:r w:rsidRPr="00D85862">
        <w:rPr>
          <w:lang w:val="fr-FR"/>
        </w:rPr>
        <w:t xml:space="preserve">environnement). </w:t>
      </w:r>
    </w:p>
    <w:p w14:paraId="4FB9BD59" w14:textId="74F93ACA" w:rsidR="00505F9F" w:rsidRPr="00D85862" w:rsidRDefault="00505F9F"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t>La mesure du potentiel de libération pourrait être basée sur la forme que le mercure prend dans les déchets, ou sur les aspects de la matrice de déchets qui facilitent ou freinent sa libération dans l</w:t>
      </w:r>
      <w:r w:rsidR="00F205DE" w:rsidRPr="00D85862">
        <w:rPr>
          <w:lang w:val="fr-FR"/>
        </w:rPr>
        <w:t>’</w:t>
      </w:r>
      <w:r w:rsidRPr="00D85862">
        <w:rPr>
          <w:lang w:val="fr-FR"/>
        </w:rPr>
        <w:t xml:space="preserve">environnement. Elle peut constituer une base appropriée pour établir des seuils pour certains déchets. Elle est toutefois liée à des conditions de gestion particulières (par exemple, un essai de lixiviation pour évaluer le potentiel de contamination des eaux souterraines par les déchets gérés en surface), et un seul essai risque de ne pas suffire pour couvrir toutes les voies de libération. </w:t>
      </w:r>
    </w:p>
    <w:p w14:paraId="23A1CD56" w14:textId="6BE6525E" w:rsidR="00505F9F" w:rsidRPr="00D85862" w:rsidRDefault="00505F9F" w:rsidP="00A359BF">
      <w:pPr>
        <w:pStyle w:val="Normal-pool"/>
        <w:keepNext/>
        <w:keepLines/>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lastRenderedPageBreak/>
        <w:t>L</w:t>
      </w:r>
      <w:r w:rsidR="00F205DE" w:rsidRPr="00D85862">
        <w:rPr>
          <w:lang w:val="fr-FR"/>
        </w:rPr>
        <w:t>’</w:t>
      </w:r>
      <w:r w:rsidRPr="00D85862">
        <w:rPr>
          <w:lang w:val="fr-FR"/>
        </w:rPr>
        <w:t>approche fondée sur l</w:t>
      </w:r>
      <w:r w:rsidR="00F205DE" w:rsidRPr="00D85862">
        <w:rPr>
          <w:lang w:val="fr-FR"/>
        </w:rPr>
        <w:t>’</w:t>
      </w:r>
      <w:r w:rsidRPr="00D85862">
        <w:rPr>
          <w:lang w:val="fr-FR"/>
        </w:rPr>
        <w:t>établissement de listes exigerait l</w:t>
      </w:r>
      <w:r w:rsidR="00F205DE" w:rsidRPr="00D85862">
        <w:rPr>
          <w:lang w:val="fr-FR"/>
        </w:rPr>
        <w:t>’</w:t>
      </w:r>
      <w:r w:rsidRPr="00D85862">
        <w:rPr>
          <w:lang w:val="fr-FR"/>
        </w:rPr>
        <w:t>identification et la désignation des déchets relevant de la catégorie C. Ces déchets représentent toutefois un ensemble très varié de déchets provenant d</w:t>
      </w:r>
      <w:r w:rsidR="00F205DE" w:rsidRPr="00D85862">
        <w:rPr>
          <w:lang w:val="fr-FR"/>
        </w:rPr>
        <w:t>’</w:t>
      </w:r>
      <w:r w:rsidRPr="00D85862">
        <w:rPr>
          <w:lang w:val="fr-FR"/>
        </w:rPr>
        <w:t xml:space="preserve">un large éventail de </w:t>
      </w:r>
      <w:r w:rsidR="003C03B6" w:rsidRPr="00D85862">
        <w:rPr>
          <w:lang w:val="fr-FR"/>
        </w:rPr>
        <w:t>sources. En tant que catégorie « fourre-tout »</w:t>
      </w:r>
      <w:r w:rsidRPr="00D85862">
        <w:rPr>
          <w:lang w:val="fr-FR"/>
        </w:rPr>
        <w:t>, la catégorie C fournirait une liste indicative d</w:t>
      </w:r>
      <w:r w:rsidR="00F205DE" w:rsidRPr="00D85862">
        <w:rPr>
          <w:lang w:val="fr-FR"/>
        </w:rPr>
        <w:t>’</w:t>
      </w:r>
      <w:r w:rsidRPr="00D85862">
        <w:rPr>
          <w:lang w:val="fr-FR"/>
        </w:rPr>
        <w:t>orientations plutôt qu</w:t>
      </w:r>
      <w:r w:rsidR="00F205DE" w:rsidRPr="00D85862">
        <w:rPr>
          <w:lang w:val="fr-FR"/>
        </w:rPr>
        <w:t>’</w:t>
      </w:r>
      <w:r w:rsidRPr="00D85862">
        <w:rPr>
          <w:lang w:val="fr-FR"/>
        </w:rPr>
        <w:t>une liste définitive précisant les limites des obligations légales. En conséquence, l</w:t>
      </w:r>
      <w:r w:rsidR="00F205DE" w:rsidRPr="00D85862">
        <w:rPr>
          <w:lang w:val="fr-FR"/>
        </w:rPr>
        <w:t>’</w:t>
      </w:r>
      <w:r w:rsidRPr="00D85862">
        <w:rPr>
          <w:lang w:val="fr-FR"/>
        </w:rPr>
        <w:t>approche fondée sur les listes ne saurait constituer la seule base pour fixer des seuils tendant à couvrir les déchets de mercure au titre de l</w:t>
      </w:r>
      <w:r w:rsidR="00F205DE" w:rsidRPr="00D85862">
        <w:rPr>
          <w:lang w:val="fr-FR"/>
        </w:rPr>
        <w:t>’</w:t>
      </w:r>
      <w:r w:rsidRPr="00D85862">
        <w:rPr>
          <w:lang w:val="fr-FR"/>
        </w:rPr>
        <w:t>article 11. Une liste indicative des déchets de la catégorie C figure au tableau 3, dans l</w:t>
      </w:r>
      <w:r w:rsidR="00F205DE" w:rsidRPr="00D85862">
        <w:rPr>
          <w:lang w:val="fr-FR"/>
        </w:rPr>
        <w:t>’</w:t>
      </w:r>
      <w:r w:rsidRPr="00D85862">
        <w:rPr>
          <w:lang w:val="fr-FR"/>
        </w:rPr>
        <w:t>appendice au présent rapport.</w:t>
      </w:r>
    </w:p>
    <w:p w14:paraId="114F1318" w14:textId="787C7632" w:rsidR="00505F9F" w:rsidRPr="00D85862" w:rsidRDefault="00505F9F"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t>À l</w:t>
      </w:r>
      <w:r w:rsidR="00F205DE" w:rsidRPr="00D85862">
        <w:rPr>
          <w:lang w:val="fr-FR"/>
        </w:rPr>
        <w:t>’</w:t>
      </w:r>
      <w:r w:rsidRPr="00D85862">
        <w:rPr>
          <w:lang w:val="fr-FR"/>
        </w:rPr>
        <w:t>heure actuelle, le groupe recommande une approche axée sur la teneur totale en mercure et fondée sur le danger intrinsèque posé par les déchets</w:t>
      </w:r>
      <w:r w:rsidRPr="00D85862">
        <w:rPr>
          <w:vertAlign w:val="superscript"/>
          <w:lang w:val="fr-FR"/>
        </w:rPr>
        <w:footnoteReference w:id="9"/>
      </w:r>
      <w:r w:rsidR="00FC41B3" w:rsidRPr="00D85862">
        <w:rPr>
          <w:lang w:val="fr-FR"/>
        </w:rPr>
        <w:t>.</w:t>
      </w:r>
      <w:r w:rsidRPr="00D85862">
        <w:rPr>
          <w:lang w:val="fr-FR"/>
        </w:rPr>
        <w:t xml:space="preserve"> Le groupe recommande en outre que les méthodes de mesure du potentiel de libération soient examinées conjointement aux prescriptions relatives à la gestion des déchets élaborées au titre de l</w:t>
      </w:r>
      <w:r w:rsidR="00F205DE" w:rsidRPr="00D85862">
        <w:rPr>
          <w:lang w:val="fr-FR"/>
        </w:rPr>
        <w:t>’</w:t>
      </w:r>
      <w:r w:rsidRPr="00D85862">
        <w:rPr>
          <w:lang w:val="fr-FR"/>
        </w:rPr>
        <w:t>alinéa 3 a) de l</w:t>
      </w:r>
      <w:r w:rsidR="00F205DE" w:rsidRPr="00D85862">
        <w:rPr>
          <w:lang w:val="fr-FR"/>
        </w:rPr>
        <w:t>’</w:t>
      </w:r>
      <w:r w:rsidRPr="00D85862">
        <w:rPr>
          <w:lang w:val="fr-FR"/>
        </w:rPr>
        <w:t>article 11.</w:t>
      </w:r>
      <w:bookmarkStart w:id="6" w:name="_Ref14162859"/>
      <w:bookmarkEnd w:id="6"/>
    </w:p>
    <w:p w14:paraId="219C31B3" w14:textId="01D83DE1" w:rsidR="00505F9F" w:rsidRPr="00D85862" w:rsidRDefault="00505F9F" w:rsidP="00DA6AD1">
      <w:pPr>
        <w:pStyle w:val="CH2"/>
        <w:spacing w:before="0"/>
        <w:rPr>
          <w:lang w:val="fr-FR"/>
        </w:rPr>
      </w:pPr>
      <w:r w:rsidRPr="00D85862">
        <w:rPr>
          <w:lang w:val="fr-FR"/>
        </w:rPr>
        <w:tab/>
        <w:t>B.</w:t>
      </w:r>
      <w:r w:rsidRPr="00D85862">
        <w:rPr>
          <w:lang w:val="fr-FR"/>
        </w:rPr>
        <w:tab/>
      </w:r>
      <w:r w:rsidRPr="00D85862">
        <w:rPr>
          <w:bCs/>
          <w:lang w:val="fr-FR"/>
        </w:rPr>
        <w:t>Élaboration d</w:t>
      </w:r>
      <w:r w:rsidR="00F205DE" w:rsidRPr="00D85862">
        <w:rPr>
          <w:bCs/>
          <w:lang w:val="fr-FR"/>
        </w:rPr>
        <w:t>’</w:t>
      </w:r>
      <w:r w:rsidRPr="00D85862">
        <w:rPr>
          <w:bCs/>
          <w:lang w:val="fr-FR"/>
        </w:rPr>
        <w:t>un projet de recommandation portant sur des seuils spécifiques pour les déchets relevant de la catégorie C</w:t>
      </w:r>
    </w:p>
    <w:p w14:paraId="002B596D" w14:textId="00A0831F" w:rsidR="00505F9F" w:rsidRPr="00D85862" w:rsidRDefault="00505F9F"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t>L</w:t>
      </w:r>
      <w:r w:rsidR="00F205DE" w:rsidRPr="00D85862">
        <w:rPr>
          <w:lang w:val="fr-FR"/>
        </w:rPr>
        <w:t>’</w:t>
      </w:r>
      <w:r w:rsidRPr="00D85862">
        <w:rPr>
          <w:lang w:val="fr-FR"/>
        </w:rPr>
        <w:t>une des manières de classer le danger intrinsèque des déchets contaminés par du mercure ou des composés du mercure est d</w:t>
      </w:r>
      <w:r w:rsidR="00F205DE" w:rsidRPr="00D85862">
        <w:rPr>
          <w:lang w:val="fr-FR"/>
        </w:rPr>
        <w:t>’</w:t>
      </w:r>
      <w:r w:rsidRPr="00D85862">
        <w:rPr>
          <w:lang w:val="fr-FR"/>
        </w:rPr>
        <w:t>utiliser le Système général harmonisé de classification et d</w:t>
      </w:r>
      <w:r w:rsidR="00F205DE" w:rsidRPr="00D85862">
        <w:rPr>
          <w:lang w:val="fr-FR"/>
        </w:rPr>
        <w:t>’</w:t>
      </w:r>
      <w:r w:rsidRPr="00D85862">
        <w:rPr>
          <w:lang w:val="fr-FR"/>
        </w:rPr>
        <w:t>étiquetage des produits chimiques</w:t>
      </w:r>
      <w:r w:rsidRPr="00D85862">
        <w:rPr>
          <w:vertAlign w:val="superscript"/>
          <w:lang w:val="fr-FR"/>
        </w:rPr>
        <w:footnoteReference w:id="10"/>
      </w:r>
      <w:r w:rsidR="00006932" w:rsidRPr="00D85862">
        <w:rPr>
          <w:lang w:val="fr-FR"/>
        </w:rPr>
        <w:t>.</w:t>
      </w:r>
    </w:p>
    <w:p w14:paraId="1A126352" w14:textId="54C93681" w:rsidR="00505F9F" w:rsidRPr="00D85862" w:rsidRDefault="00505F9F"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bCs/>
          <w:lang w:val="fr-FR"/>
        </w:rPr>
      </w:pPr>
      <w:r w:rsidRPr="00D85862">
        <w:rPr>
          <w:lang w:val="fr-FR"/>
        </w:rPr>
        <w:t>Le mercure et les composés du mercure (en tant que substances pures) sont classés comme dangereux pour l</w:t>
      </w:r>
      <w:r w:rsidR="00F205DE" w:rsidRPr="00D85862">
        <w:rPr>
          <w:lang w:val="fr-FR"/>
        </w:rPr>
        <w:t>’</w:t>
      </w:r>
      <w:r w:rsidRPr="00D85862">
        <w:rPr>
          <w:lang w:val="fr-FR"/>
        </w:rPr>
        <w:t>environnement ou la santé de l</w:t>
      </w:r>
      <w:r w:rsidR="00F205DE" w:rsidRPr="00D85862">
        <w:rPr>
          <w:lang w:val="fr-FR"/>
        </w:rPr>
        <w:t>’</w:t>
      </w:r>
      <w:r w:rsidRPr="00D85862">
        <w:rPr>
          <w:lang w:val="fr-FR"/>
        </w:rPr>
        <w:t>homme au titre du Système général harmonisé. Pour chaque classe de risque, le S</w:t>
      </w:r>
      <w:r w:rsidR="0063159D" w:rsidRPr="00D85862">
        <w:rPr>
          <w:lang w:val="fr-FR"/>
        </w:rPr>
        <w:t xml:space="preserve">ystème général harmonisé </w:t>
      </w:r>
      <w:r w:rsidRPr="00D85862">
        <w:rPr>
          <w:lang w:val="fr-FR"/>
        </w:rPr>
        <w:t>définit des valeurs seuils permettant de déterminer si un mélange contenant du mercure ou des composés du mercure sera classé comme dangereux. Pour le mercure et les composés du mercure, c</w:t>
      </w:r>
      <w:r w:rsidR="00F205DE" w:rsidRPr="00D85862">
        <w:rPr>
          <w:lang w:val="fr-FR"/>
        </w:rPr>
        <w:t>’</w:t>
      </w:r>
      <w:r w:rsidRPr="00D85862">
        <w:rPr>
          <w:lang w:val="fr-FR"/>
        </w:rPr>
        <w:t>est le risque environnemental (milieu aquatique) qui a la valeur seuil la plus basse eu égard au classement des mélanges. Selon le Système général harmonisé, les mélanges contenant du mercure ou des composés du mercure seront classés comme dangereux (catégorie 3, toxicité aiguë et chronique pour l</w:t>
      </w:r>
      <w:r w:rsidR="00F205DE" w:rsidRPr="00D85862">
        <w:rPr>
          <w:lang w:val="fr-FR"/>
        </w:rPr>
        <w:t>’</w:t>
      </w:r>
      <w:r w:rsidRPr="00D85862">
        <w:rPr>
          <w:lang w:val="fr-FR"/>
        </w:rPr>
        <w:t>écotoxicité aquatique</w:t>
      </w:r>
      <w:r w:rsidRPr="00D85862">
        <w:rPr>
          <w:bCs/>
          <w:vertAlign w:val="superscript"/>
          <w:lang w:val="fr-FR"/>
        </w:rPr>
        <w:footnoteReference w:id="11"/>
      </w:r>
      <w:r w:rsidRPr="00D85862">
        <w:rPr>
          <w:lang w:val="fr-FR"/>
        </w:rPr>
        <w:t>) si leur teneur est supérieure ou égale à 25 mg/kg. L</w:t>
      </w:r>
      <w:r w:rsidR="00F205DE" w:rsidRPr="00D85862">
        <w:rPr>
          <w:lang w:val="fr-FR"/>
        </w:rPr>
        <w:t>’</w:t>
      </w:r>
      <w:r w:rsidRPr="00D85862">
        <w:rPr>
          <w:lang w:val="fr-FR"/>
        </w:rPr>
        <w:t xml:space="preserve">une des propositions formulées lors de la réunion en </w:t>
      </w:r>
      <w:r w:rsidR="00026DCB" w:rsidRPr="00D85862">
        <w:rPr>
          <w:lang w:val="fr-FR"/>
        </w:rPr>
        <w:t xml:space="preserve">présentiel </w:t>
      </w:r>
      <w:r w:rsidRPr="00D85862">
        <w:rPr>
          <w:lang w:val="fr-FR"/>
        </w:rPr>
        <w:t>du groupe était une teneur limite de 25 mg/kg, en tant que seuil pour l</w:t>
      </w:r>
      <w:r w:rsidR="00F205DE" w:rsidRPr="00D85862">
        <w:rPr>
          <w:lang w:val="fr-FR"/>
        </w:rPr>
        <w:t>’</w:t>
      </w:r>
      <w:r w:rsidRPr="00D85862">
        <w:rPr>
          <w:lang w:val="fr-FR"/>
        </w:rPr>
        <w:t xml:space="preserve">identification des déchets de la catégorie C au titre de la Convention de Minamata. </w:t>
      </w:r>
    </w:p>
    <w:p w14:paraId="4E790786" w14:textId="5EF252B2" w:rsidR="00505F9F" w:rsidRPr="00D85862" w:rsidRDefault="00505F9F"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t>L</w:t>
      </w:r>
      <w:r w:rsidR="00F205DE" w:rsidRPr="00D85862">
        <w:rPr>
          <w:lang w:val="fr-FR"/>
        </w:rPr>
        <w:t>’</w:t>
      </w:r>
      <w:r w:rsidRPr="00D85862">
        <w:rPr>
          <w:lang w:val="fr-FR"/>
        </w:rPr>
        <w:t>échantillonnage, l</w:t>
      </w:r>
      <w:r w:rsidR="00F205DE" w:rsidRPr="00D85862">
        <w:rPr>
          <w:lang w:val="fr-FR"/>
        </w:rPr>
        <w:t>’</w:t>
      </w:r>
      <w:r w:rsidRPr="00D85862">
        <w:rPr>
          <w:lang w:val="fr-FR"/>
        </w:rPr>
        <w:t>analyse et la surveillance sont des composantes essentielles de la mesure de la teneur en mercure des déchets. Le groupe a passé en revue les méthodes d</w:t>
      </w:r>
      <w:r w:rsidR="00F205DE" w:rsidRPr="00D85862">
        <w:rPr>
          <w:lang w:val="fr-FR"/>
        </w:rPr>
        <w:t>’</w:t>
      </w:r>
      <w:r w:rsidRPr="00D85862">
        <w:rPr>
          <w:lang w:val="fr-FR"/>
        </w:rPr>
        <w:t>analyse et d</w:t>
      </w:r>
      <w:r w:rsidR="00F205DE" w:rsidRPr="00D85862">
        <w:rPr>
          <w:lang w:val="fr-FR"/>
        </w:rPr>
        <w:t>’</w:t>
      </w:r>
      <w:r w:rsidRPr="00D85862">
        <w:rPr>
          <w:lang w:val="fr-FR"/>
        </w:rPr>
        <w:t>échantillonnage pour la mesure du mercure dans les déchets, comme celles énoncées dans les directives techniques de la Convention de Bâle pour la gestion écologiquement rationnelle des déchets constitués de mercure ou de composés du mercure</w:t>
      </w:r>
      <w:r w:rsidRPr="00D85862">
        <w:rPr>
          <w:color w:val="000000"/>
          <w:vertAlign w:val="superscript"/>
          <w:lang w:val="fr-FR"/>
        </w:rPr>
        <w:footnoteReference w:id="12"/>
      </w:r>
      <w:r w:rsidR="00026DCB" w:rsidRPr="00D85862">
        <w:rPr>
          <w:lang w:val="fr-FR"/>
        </w:rPr>
        <w:t xml:space="preserve">, en contenant ou contaminés par ces substances. </w:t>
      </w:r>
      <w:r w:rsidRPr="00D85862">
        <w:rPr>
          <w:lang w:val="fr-FR"/>
        </w:rPr>
        <w:t xml:space="preserve"> Le groupe a reconnu qu</w:t>
      </w:r>
      <w:r w:rsidR="00F205DE" w:rsidRPr="00D85862">
        <w:rPr>
          <w:lang w:val="fr-FR"/>
        </w:rPr>
        <w:t>’</w:t>
      </w:r>
      <w:r w:rsidRPr="00D85862">
        <w:rPr>
          <w:lang w:val="fr-FR"/>
        </w:rPr>
        <w:t>il est nécessaire de poursuivre l</w:t>
      </w:r>
      <w:r w:rsidR="00F205DE" w:rsidRPr="00D85862">
        <w:rPr>
          <w:lang w:val="fr-FR"/>
        </w:rPr>
        <w:t>’</w:t>
      </w:r>
      <w:r w:rsidRPr="00D85862">
        <w:rPr>
          <w:lang w:val="fr-FR"/>
        </w:rPr>
        <w:t>échange d</w:t>
      </w:r>
      <w:r w:rsidR="00F205DE" w:rsidRPr="00D85862">
        <w:rPr>
          <w:lang w:val="fr-FR"/>
        </w:rPr>
        <w:t>’</w:t>
      </w:r>
      <w:r w:rsidRPr="00D85862">
        <w:rPr>
          <w:lang w:val="fr-FR"/>
        </w:rPr>
        <w:t>informations sur les méthodes d</w:t>
      </w:r>
      <w:r w:rsidR="00F205DE" w:rsidRPr="00D85862">
        <w:rPr>
          <w:lang w:val="fr-FR"/>
        </w:rPr>
        <w:t>’</w:t>
      </w:r>
      <w:r w:rsidRPr="00D85862">
        <w:rPr>
          <w:lang w:val="fr-FR"/>
        </w:rPr>
        <w:t>analyse et d</w:t>
      </w:r>
      <w:r w:rsidR="00F205DE" w:rsidRPr="00D85862">
        <w:rPr>
          <w:lang w:val="fr-FR"/>
        </w:rPr>
        <w:t>’</w:t>
      </w:r>
      <w:r w:rsidRPr="00D85862">
        <w:rPr>
          <w:lang w:val="fr-FR"/>
        </w:rPr>
        <w:t>échantillonnage pour aider les Parties à identifier les déchets relevant de la catégorie C</w:t>
      </w:r>
      <w:r w:rsidRPr="00D85862">
        <w:rPr>
          <w:rStyle w:val="FootnoteReference"/>
          <w:lang w:val="fr-FR"/>
        </w:rPr>
        <w:footnoteReference w:id="13"/>
      </w:r>
      <w:r w:rsidR="00AF36D3" w:rsidRPr="00D85862">
        <w:rPr>
          <w:lang w:val="fr-FR"/>
        </w:rPr>
        <w:t>.</w:t>
      </w:r>
    </w:p>
    <w:p w14:paraId="14227382" w14:textId="395048B5" w:rsidR="00505F9F" w:rsidRPr="00D85862" w:rsidRDefault="00505F9F" w:rsidP="00DA6AD1">
      <w:pPr>
        <w:pStyle w:val="CH2"/>
        <w:spacing w:before="0"/>
        <w:rPr>
          <w:lang w:val="fr-FR"/>
        </w:rPr>
      </w:pPr>
      <w:r w:rsidRPr="00D85862">
        <w:rPr>
          <w:lang w:val="fr-FR"/>
        </w:rPr>
        <w:tab/>
        <w:t>C.</w:t>
      </w:r>
      <w:r w:rsidRPr="00D85862">
        <w:rPr>
          <w:lang w:val="fr-FR"/>
        </w:rPr>
        <w:tab/>
      </w:r>
      <w:r w:rsidRPr="00D85862">
        <w:rPr>
          <w:bCs/>
          <w:lang w:val="fr-FR"/>
        </w:rPr>
        <w:t>Pertinence des seuils applicables aux déchets des catégories A et B</w:t>
      </w:r>
    </w:p>
    <w:p w14:paraId="08B60764" w14:textId="212A088A" w:rsidR="00505F9F" w:rsidRPr="00D85862" w:rsidRDefault="00505F9F"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t>Le groupe d</w:t>
      </w:r>
      <w:r w:rsidR="00F205DE" w:rsidRPr="00D85862">
        <w:rPr>
          <w:lang w:val="fr-FR"/>
        </w:rPr>
        <w:t>’</w:t>
      </w:r>
      <w:r w:rsidRPr="00D85862">
        <w:rPr>
          <w:lang w:val="fr-FR"/>
        </w:rPr>
        <w:t>experts techniques a établi une liste exhaustive des déchets de la catégorie A, y</w:t>
      </w:r>
      <w:r w:rsidR="003C03B6" w:rsidRPr="00D85862">
        <w:rPr>
          <w:lang w:val="fr-FR"/>
        </w:rPr>
        <w:t> </w:t>
      </w:r>
      <w:r w:rsidRPr="00D85862">
        <w:rPr>
          <w:lang w:val="fr-FR"/>
        </w:rPr>
        <w:t>compris les composés du mercure. Le groupe est d</w:t>
      </w:r>
      <w:r w:rsidR="00F205DE" w:rsidRPr="00D85862">
        <w:rPr>
          <w:lang w:val="fr-FR"/>
        </w:rPr>
        <w:t>’</w:t>
      </w:r>
      <w:r w:rsidRPr="00D85862">
        <w:rPr>
          <w:lang w:val="fr-FR"/>
        </w:rPr>
        <w:t>avis que la haute toxicité des déchets constitués de mercure est si manifeste qu</w:t>
      </w:r>
      <w:r w:rsidR="00F205DE" w:rsidRPr="00D85862">
        <w:rPr>
          <w:lang w:val="fr-FR"/>
        </w:rPr>
        <w:t>’</w:t>
      </w:r>
      <w:r w:rsidRPr="00D85862">
        <w:rPr>
          <w:lang w:val="fr-FR"/>
        </w:rPr>
        <w:t>aucun seuil n</w:t>
      </w:r>
      <w:r w:rsidR="00F205DE" w:rsidRPr="00D85862">
        <w:rPr>
          <w:lang w:val="fr-FR"/>
        </w:rPr>
        <w:t>’</w:t>
      </w:r>
      <w:r w:rsidRPr="00D85862">
        <w:rPr>
          <w:lang w:val="fr-FR"/>
        </w:rPr>
        <w:t>est nécessaire pour les déchets de la catégorie A. Ces</w:t>
      </w:r>
      <w:r w:rsidR="003C03B6" w:rsidRPr="00D85862">
        <w:rPr>
          <w:lang w:val="fr-FR"/>
        </w:rPr>
        <w:t> </w:t>
      </w:r>
      <w:r w:rsidRPr="00D85862">
        <w:rPr>
          <w:lang w:val="fr-FR"/>
        </w:rPr>
        <w:t>déchets peuvent contenir des quantités variables de mercure ou de composés du mercure, mais en tant que déchets, ils sont tous considérés comme nocifs et potentiellement n</w:t>
      </w:r>
      <w:r w:rsidR="00026DCB" w:rsidRPr="00D85862">
        <w:rPr>
          <w:lang w:val="fr-FR"/>
        </w:rPr>
        <w:t>ocifs</w:t>
      </w:r>
      <w:r w:rsidRPr="00D85862">
        <w:rPr>
          <w:lang w:val="fr-FR"/>
        </w:rPr>
        <w:t xml:space="preserve"> et doivent être gérés de manière écologiquement rationnelle, selon leur composition effective</w:t>
      </w:r>
      <w:r w:rsidRPr="00D85862">
        <w:rPr>
          <w:vertAlign w:val="superscript"/>
          <w:lang w:val="fr-FR"/>
        </w:rPr>
        <w:footnoteReference w:id="14"/>
      </w:r>
      <w:r w:rsidR="00006932" w:rsidRPr="00D85862">
        <w:rPr>
          <w:lang w:val="fr-FR"/>
        </w:rPr>
        <w:t>.</w:t>
      </w:r>
      <w:r w:rsidRPr="00D85862">
        <w:rPr>
          <w:lang w:val="fr-FR"/>
        </w:rPr>
        <w:t xml:space="preserve"> Toute mauvaise gestion de ces déchets est susceptible de mettre gravement en péril la santé de l</w:t>
      </w:r>
      <w:r w:rsidR="00F205DE" w:rsidRPr="00D85862">
        <w:rPr>
          <w:lang w:val="fr-FR"/>
        </w:rPr>
        <w:t>’</w:t>
      </w:r>
      <w:r w:rsidRPr="00D85862">
        <w:rPr>
          <w:lang w:val="fr-FR"/>
        </w:rPr>
        <w:t>homme ou l</w:t>
      </w:r>
      <w:r w:rsidR="00F205DE" w:rsidRPr="00D85862">
        <w:rPr>
          <w:lang w:val="fr-FR"/>
        </w:rPr>
        <w:t>’</w:t>
      </w:r>
      <w:r w:rsidRPr="00D85862">
        <w:rPr>
          <w:lang w:val="fr-FR"/>
        </w:rPr>
        <w:t>environnement, et tous les déchets de ce type devraient être couverts par l</w:t>
      </w:r>
      <w:r w:rsidR="00F205DE" w:rsidRPr="00D85862">
        <w:rPr>
          <w:lang w:val="fr-FR"/>
        </w:rPr>
        <w:t>’</w:t>
      </w:r>
      <w:r w:rsidRPr="00D85862">
        <w:rPr>
          <w:lang w:val="fr-FR"/>
        </w:rPr>
        <w:t xml:space="preserve">article 11 de la Convention. </w:t>
      </w:r>
    </w:p>
    <w:p w14:paraId="4A462D8B" w14:textId="7454554A" w:rsidR="00505F9F" w:rsidRPr="00D85862" w:rsidRDefault="00505F9F" w:rsidP="00DA6AD1">
      <w:pPr>
        <w:pStyle w:val="Normal-pool"/>
        <w:keepNext/>
        <w:keepLines/>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lastRenderedPageBreak/>
        <w:t>Les déchets de la catégorie B correspondent aux produits mis au rebut ou arrivés en fin de vie. La mauvaise gestion de ces déchets pourrait entraîner des émissions et des rejets de mercure ou de composés du mercure susceptibles de menacer la santé humaine ou l</w:t>
      </w:r>
      <w:r w:rsidR="00F205DE" w:rsidRPr="00D85862">
        <w:rPr>
          <w:lang w:val="fr-FR"/>
        </w:rPr>
        <w:t>’</w:t>
      </w:r>
      <w:r w:rsidRPr="00D85862">
        <w:rPr>
          <w:lang w:val="fr-FR"/>
        </w:rPr>
        <w:t>environnement. Par conséquent, le groupe d</w:t>
      </w:r>
      <w:r w:rsidR="00F205DE" w:rsidRPr="00D85862">
        <w:rPr>
          <w:lang w:val="fr-FR"/>
        </w:rPr>
        <w:t>’</w:t>
      </w:r>
      <w:r w:rsidRPr="00D85862">
        <w:rPr>
          <w:lang w:val="fr-FR"/>
        </w:rPr>
        <w:t>experts techniques est d</w:t>
      </w:r>
      <w:r w:rsidR="00F205DE" w:rsidRPr="00D85862">
        <w:rPr>
          <w:lang w:val="fr-FR"/>
        </w:rPr>
        <w:t>’</w:t>
      </w:r>
      <w:r w:rsidRPr="00D85862">
        <w:rPr>
          <w:lang w:val="fr-FR"/>
        </w:rPr>
        <w:t>avis qu</w:t>
      </w:r>
      <w:r w:rsidR="00F205DE" w:rsidRPr="00D85862">
        <w:rPr>
          <w:lang w:val="fr-FR"/>
        </w:rPr>
        <w:t>’</w:t>
      </w:r>
      <w:r w:rsidRPr="00D85862">
        <w:rPr>
          <w:lang w:val="fr-FR"/>
        </w:rPr>
        <w:t>aucun seuil n</w:t>
      </w:r>
      <w:r w:rsidR="00F205DE" w:rsidRPr="00D85862">
        <w:rPr>
          <w:lang w:val="fr-FR"/>
        </w:rPr>
        <w:t>’</w:t>
      </w:r>
      <w:r w:rsidRPr="00D85862">
        <w:rPr>
          <w:lang w:val="fr-FR"/>
        </w:rPr>
        <w:t>est nécessaire pour les déchets de la catégorie B et que ces déchets devraient tous continuer d</w:t>
      </w:r>
      <w:r w:rsidR="00F205DE" w:rsidRPr="00D85862">
        <w:rPr>
          <w:lang w:val="fr-FR"/>
        </w:rPr>
        <w:t>’</w:t>
      </w:r>
      <w:r w:rsidRPr="00D85862">
        <w:rPr>
          <w:lang w:val="fr-FR"/>
        </w:rPr>
        <w:t>être couverts par l</w:t>
      </w:r>
      <w:r w:rsidR="00F205DE" w:rsidRPr="00D85862">
        <w:rPr>
          <w:lang w:val="fr-FR"/>
        </w:rPr>
        <w:t>’</w:t>
      </w:r>
      <w:r w:rsidRPr="00D85862">
        <w:rPr>
          <w:lang w:val="fr-FR"/>
        </w:rPr>
        <w:t>article 11 de la Convention.</w:t>
      </w:r>
    </w:p>
    <w:p w14:paraId="014DF967" w14:textId="19F3C60E" w:rsidR="00505F9F" w:rsidRPr="00D85862" w:rsidRDefault="00505F9F"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t>Les listes de produits contenant du mercure ajouté élaborées par diverses Parties fournissent des indications utiles quant aux produits susceptibles de contenir du mercure. Le groupe estime que la plupart des produits dépasseraient habituellement le seuil fixé pour les déchets de la catégorie C lors de leur élimination en fin de vie. En outre, le groupe a souligné les exigences de nature analytique qu</w:t>
      </w:r>
      <w:r w:rsidR="00F205DE" w:rsidRPr="00D85862">
        <w:rPr>
          <w:lang w:val="fr-FR"/>
        </w:rPr>
        <w:t>’</w:t>
      </w:r>
      <w:r w:rsidRPr="00D85862">
        <w:rPr>
          <w:lang w:val="fr-FR"/>
        </w:rPr>
        <w:t>un seuil pourrait imposer à certaines Parties, et le fait que l</w:t>
      </w:r>
      <w:r w:rsidR="00F205DE" w:rsidRPr="00D85862">
        <w:rPr>
          <w:lang w:val="fr-FR"/>
        </w:rPr>
        <w:t>’</w:t>
      </w:r>
      <w:r w:rsidRPr="00D85862">
        <w:rPr>
          <w:lang w:val="fr-FR"/>
        </w:rPr>
        <w:t>application de seuils aux produits peut s</w:t>
      </w:r>
      <w:r w:rsidR="00F205DE" w:rsidRPr="00D85862">
        <w:rPr>
          <w:lang w:val="fr-FR"/>
        </w:rPr>
        <w:t>’</w:t>
      </w:r>
      <w:r w:rsidRPr="00D85862">
        <w:rPr>
          <w:lang w:val="fr-FR"/>
        </w:rPr>
        <w:t>avérer compliquée et difficile.</w:t>
      </w:r>
    </w:p>
    <w:p w14:paraId="4660A966" w14:textId="11A658F8" w:rsidR="00FE4330" w:rsidRPr="00D85862" w:rsidRDefault="00FE4330" w:rsidP="00DA6AD1">
      <w:pPr>
        <w:pStyle w:val="CH1"/>
        <w:spacing w:before="0"/>
        <w:rPr>
          <w:lang w:val="fr-FR"/>
        </w:rPr>
      </w:pPr>
      <w:r w:rsidRPr="00D85862">
        <w:rPr>
          <w:lang w:val="fr-FR"/>
        </w:rPr>
        <w:tab/>
        <w:t>IV.</w:t>
      </w:r>
      <w:r w:rsidRPr="00D85862">
        <w:rPr>
          <w:lang w:val="fr-FR"/>
        </w:rPr>
        <w:tab/>
        <w:t xml:space="preserve">Approches </w:t>
      </w:r>
      <w:r w:rsidR="0026643C" w:rsidRPr="00D85862">
        <w:rPr>
          <w:lang w:val="fr-FR"/>
        </w:rPr>
        <w:t xml:space="preserve">pour l’établissement de seuils pour les morts-terrains, les déchets de rocs et les résidus </w:t>
      </w:r>
      <w:r w:rsidR="001E4C14" w:rsidRPr="00D85862">
        <w:rPr>
          <w:lang w:val="fr-FR"/>
        </w:rPr>
        <w:t>d’</w:t>
      </w:r>
      <w:r w:rsidR="0026643C" w:rsidRPr="00D85862">
        <w:rPr>
          <w:lang w:val="fr-FR"/>
        </w:rPr>
        <w:t>extraction minière, à l’exception de l’extract</w:t>
      </w:r>
      <w:r w:rsidR="003C03B6" w:rsidRPr="00D85862">
        <w:rPr>
          <w:lang w:val="fr-FR"/>
        </w:rPr>
        <w:t>ion minière primaire de mercure</w:t>
      </w:r>
    </w:p>
    <w:p w14:paraId="0560301C" w14:textId="16924D22" w:rsidR="00A96D61" w:rsidRPr="00D85862" w:rsidRDefault="00A96D61" w:rsidP="00DA6AD1">
      <w:pPr>
        <w:pStyle w:val="CH2"/>
        <w:spacing w:before="0"/>
        <w:rPr>
          <w:lang w:val="fr-FR"/>
        </w:rPr>
      </w:pPr>
      <w:r w:rsidRPr="00D85862">
        <w:rPr>
          <w:lang w:val="fr-FR"/>
        </w:rPr>
        <w:tab/>
        <w:t>A.</w:t>
      </w:r>
      <w:r w:rsidRPr="00D85862">
        <w:rPr>
          <w:lang w:val="fr-FR"/>
        </w:rPr>
        <w:tab/>
      </w:r>
      <w:r w:rsidR="0026643C" w:rsidRPr="00D85862">
        <w:rPr>
          <w:lang w:val="fr-FR"/>
        </w:rPr>
        <w:t>Mo</w:t>
      </w:r>
      <w:r w:rsidR="003C03B6" w:rsidRPr="00D85862">
        <w:rPr>
          <w:lang w:val="fr-FR"/>
        </w:rPr>
        <w:t>rts-terrains et déchets de rocs</w:t>
      </w:r>
    </w:p>
    <w:p w14:paraId="56226023" w14:textId="7F485128" w:rsidR="00A96D61" w:rsidRPr="00D85862" w:rsidRDefault="0026643C" w:rsidP="00DA6AD1">
      <w:pPr>
        <w:pStyle w:val="Normal-pool"/>
        <w:numPr>
          <w:ilvl w:val="0"/>
          <w:numId w:val="12"/>
        </w:numPr>
        <w:tabs>
          <w:tab w:val="clear" w:pos="1247"/>
          <w:tab w:val="clear" w:pos="1814"/>
          <w:tab w:val="clear" w:pos="2381"/>
          <w:tab w:val="clear" w:pos="2948"/>
          <w:tab w:val="clear" w:pos="3515"/>
          <w:tab w:val="clear" w:pos="4082"/>
          <w:tab w:val="left" w:pos="624"/>
          <w:tab w:val="left" w:pos="1701"/>
        </w:tabs>
        <w:spacing w:after="120"/>
        <w:ind w:left="1247" w:firstLine="0"/>
        <w:rPr>
          <w:lang w:val="fr-FR"/>
        </w:rPr>
      </w:pPr>
      <w:r w:rsidRPr="00D85862">
        <w:rPr>
          <w:lang w:val="fr-FR"/>
        </w:rPr>
        <w:t xml:space="preserve">Le groupe d’experts techniques estime qu’à l’heure actuelle, le danger et </w:t>
      </w:r>
      <w:r w:rsidR="00280FB9" w:rsidRPr="00D85862">
        <w:rPr>
          <w:lang w:val="fr-FR"/>
        </w:rPr>
        <w:t xml:space="preserve">le </w:t>
      </w:r>
      <w:r w:rsidRPr="00D85862">
        <w:rPr>
          <w:lang w:val="fr-FR"/>
        </w:rPr>
        <w:t>risques associés aux morts-terrains</w:t>
      </w:r>
      <w:r w:rsidR="00A96D61" w:rsidRPr="00D85862">
        <w:rPr>
          <w:color w:val="000000"/>
          <w:vertAlign w:val="superscript"/>
          <w:lang w:val="fr-FR"/>
        </w:rPr>
        <w:footnoteReference w:id="15"/>
      </w:r>
      <w:r w:rsidR="00A96D61" w:rsidRPr="00D85862">
        <w:rPr>
          <w:vertAlign w:val="superscript"/>
          <w:lang w:val="fr-FR"/>
        </w:rPr>
        <w:t xml:space="preserve"> </w:t>
      </w:r>
      <w:r w:rsidR="001E4C14" w:rsidRPr="00D85862">
        <w:rPr>
          <w:lang w:val="fr-FR"/>
        </w:rPr>
        <w:t xml:space="preserve">et déchets de rocs </w:t>
      </w:r>
      <w:r w:rsidR="00A96D61" w:rsidRPr="00D85862">
        <w:rPr>
          <w:color w:val="000000"/>
          <w:vertAlign w:val="superscript"/>
          <w:lang w:val="fr-FR"/>
        </w:rPr>
        <w:footnoteReference w:id="16"/>
      </w:r>
      <w:r w:rsidR="00A96D61" w:rsidRPr="00D85862">
        <w:rPr>
          <w:vertAlign w:val="superscript"/>
          <w:lang w:val="fr-FR"/>
        </w:rPr>
        <w:t xml:space="preserve"> </w:t>
      </w:r>
      <w:r w:rsidR="00280FB9" w:rsidRPr="00D85862">
        <w:rPr>
          <w:lang w:val="fr-FR"/>
        </w:rPr>
        <w:t>au niveau i</w:t>
      </w:r>
      <w:r w:rsidR="001E4C14" w:rsidRPr="00D85862">
        <w:rPr>
          <w:lang w:val="fr-FR"/>
        </w:rPr>
        <w:t xml:space="preserve">ndustriel sont </w:t>
      </w:r>
      <w:r w:rsidR="00280FB9" w:rsidRPr="00D85862">
        <w:rPr>
          <w:lang w:val="fr-FR"/>
        </w:rPr>
        <w:t xml:space="preserve">assez </w:t>
      </w:r>
      <w:r w:rsidR="001E4C14" w:rsidRPr="00D85862">
        <w:rPr>
          <w:lang w:val="fr-FR"/>
        </w:rPr>
        <w:t xml:space="preserve">faibles pour </w:t>
      </w:r>
      <w:r w:rsidR="00280FB9" w:rsidRPr="00D85862">
        <w:rPr>
          <w:lang w:val="fr-FR"/>
        </w:rPr>
        <w:t xml:space="preserve">qu’il soit nécessaire d’établir </w:t>
      </w:r>
      <w:r w:rsidR="004808CD" w:rsidRPr="00D85862">
        <w:rPr>
          <w:lang w:val="fr-FR"/>
        </w:rPr>
        <w:t xml:space="preserve">un seuil </w:t>
      </w:r>
      <w:r w:rsidR="003C03B6" w:rsidRPr="00D85862">
        <w:rPr>
          <w:lang w:val="fr-FR"/>
        </w:rPr>
        <w:t>pour ces sources.</w:t>
      </w:r>
    </w:p>
    <w:p w14:paraId="2C5E1A6B" w14:textId="088F6476" w:rsidR="00FE4330" w:rsidRPr="00D85862" w:rsidRDefault="00FE4330" w:rsidP="00DA6AD1">
      <w:pPr>
        <w:pStyle w:val="CH2"/>
        <w:spacing w:before="0"/>
        <w:rPr>
          <w:lang w:val="fr-FR"/>
        </w:rPr>
      </w:pPr>
      <w:r w:rsidRPr="00D85862">
        <w:rPr>
          <w:lang w:val="fr-FR"/>
        </w:rPr>
        <w:tab/>
        <w:t>B.</w:t>
      </w:r>
      <w:r w:rsidRPr="00D85862">
        <w:rPr>
          <w:lang w:val="fr-FR"/>
        </w:rPr>
        <w:tab/>
      </w:r>
      <w:r w:rsidR="001E4C14" w:rsidRPr="00D85862">
        <w:rPr>
          <w:lang w:val="fr-FR"/>
        </w:rPr>
        <w:t>Résidus d’</w:t>
      </w:r>
      <w:r w:rsidR="003C03B6" w:rsidRPr="00D85862">
        <w:rPr>
          <w:lang w:val="fr-FR"/>
        </w:rPr>
        <w:t>extraction minière</w:t>
      </w:r>
    </w:p>
    <w:p w14:paraId="31283C6F" w14:textId="5295AB3B" w:rsidR="00FE4330" w:rsidRPr="00D85862" w:rsidRDefault="001E4C14" w:rsidP="00DA6AD1">
      <w:pPr>
        <w:pStyle w:val="Normal-pool"/>
        <w:numPr>
          <w:ilvl w:val="0"/>
          <w:numId w:val="29"/>
        </w:numPr>
        <w:tabs>
          <w:tab w:val="left" w:pos="624"/>
        </w:tabs>
        <w:spacing w:after="120"/>
        <w:ind w:left="1288" w:hanging="14"/>
        <w:rPr>
          <w:lang w:val="fr-FR"/>
        </w:rPr>
      </w:pPr>
      <w:r w:rsidRPr="00D85862">
        <w:rPr>
          <w:lang w:val="fr-FR"/>
        </w:rPr>
        <w:t>Le groupe d’experts techniques propose une approche à deux niveaux pour l’établissement des seuils pour les résidus d’extraction minière</w:t>
      </w:r>
      <w:r w:rsidR="00FE4330" w:rsidRPr="00D85862">
        <w:rPr>
          <w:color w:val="000000"/>
          <w:vertAlign w:val="superscript"/>
          <w:lang w:val="fr-FR"/>
        </w:rPr>
        <w:footnoteReference w:id="17"/>
      </w:r>
      <w:r w:rsidR="00FE4330" w:rsidRPr="00D85862">
        <w:rPr>
          <w:lang w:val="fr-FR"/>
        </w:rPr>
        <w:t xml:space="preserve"> </w:t>
      </w:r>
      <w:r w:rsidRPr="00D85862">
        <w:rPr>
          <w:lang w:val="fr-FR"/>
        </w:rPr>
        <w:t>provenant des mines</w:t>
      </w:r>
      <w:r w:rsidR="004808CD" w:rsidRPr="00D85862">
        <w:rPr>
          <w:lang w:val="fr-FR"/>
        </w:rPr>
        <w:t xml:space="preserve"> indust</w:t>
      </w:r>
      <w:r w:rsidR="003C03B6" w:rsidRPr="00D85862">
        <w:rPr>
          <w:lang w:val="fr-FR"/>
        </w:rPr>
        <w:t xml:space="preserve">rielles de métaux non ferreux. </w:t>
      </w:r>
      <w:r w:rsidR="004808CD" w:rsidRPr="00D85862">
        <w:rPr>
          <w:lang w:val="fr-FR"/>
        </w:rPr>
        <w:t>Le groupe convient que les résidus provenant d’autres sources minières présentent un danger et un risqu</w:t>
      </w:r>
      <w:r w:rsidR="00280FB9" w:rsidRPr="00D85862">
        <w:rPr>
          <w:lang w:val="fr-FR"/>
        </w:rPr>
        <w:t>e</w:t>
      </w:r>
      <w:r w:rsidR="004808CD" w:rsidRPr="00D85862">
        <w:rPr>
          <w:lang w:val="fr-FR"/>
        </w:rPr>
        <w:t xml:space="preserve"> </w:t>
      </w:r>
      <w:r w:rsidR="00280FB9" w:rsidRPr="00D85862">
        <w:rPr>
          <w:lang w:val="fr-FR"/>
        </w:rPr>
        <w:t xml:space="preserve">assez </w:t>
      </w:r>
      <w:r w:rsidR="004808CD" w:rsidRPr="00D85862">
        <w:rPr>
          <w:lang w:val="fr-FR"/>
        </w:rPr>
        <w:t xml:space="preserve">faibles pour qu’il soit nécessaire d’établir des seuils pour ces </w:t>
      </w:r>
      <w:r w:rsidR="003C03B6" w:rsidRPr="00D85862">
        <w:rPr>
          <w:lang w:val="fr-FR"/>
        </w:rPr>
        <w:t>sources.</w:t>
      </w:r>
    </w:p>
    <w:p w14:paraId="6FA345B0" w14:textId="2AF031A6" w:rsidR="00FE4330" w:rsidRPr="00D85862" w:rsidRDefault="00FE4330" w:rsidP="00DA6AD1">
      <w:pPr>
        <w:pStyle w:val="Normal-pool"/>
        <w:numPr>
          <w:ilvl w:val="0"/>
          <w:numId w:val="29"/>
        </w:numPr>
        <w:tabs>
          <w:tab w:val="left" w:pos="624"/>
        </w:tabs>
        <w:spacing w:after="120"/>
        <w:ind w:left="1260" w:hanging="13"/>
        <w:rPr>
          <w:lang w:val="fr-FR"/>
        </w:rPr>
      </w:pPr>
      <w:r w:rsidRPr="00D85862">
        <w:rPr>
          <w:lang w:val="fr-FR"/>
        </w:rPr>
        <w:t>Selon l</w:t>
      </w:r>
      <w:r w:rsidR="00F205DE" w:rsidRPr="00D85862">
        <w:rPr>
          <w:lang w:val="fr-FR"/>
        </w:rPr>
        <w:t>’</w:t>
      </w:r>
      <w:r w:rsidRPr="00D85862">
        <w:rPr>
          <w:lang w:val="fr-FR"/>
        </w:rPr>
        <w:t>approche proposée, les résidus d</w:t>
      </w:r>
      <w:r w:rsidR="00F205DE" w:rsidRPr="00D85862">
        <w:rPr>
          <w:lang w:val="fr-FR"/>
        </w:rPr>
        <w:t>’</w:t>
      </w:r>
      <w:r w:rsidRPr="00D85862">
        <w:rPr>
          <w:lang w:val="fr-FR"/>
        </w:rPr>
        <w:t>extraction minière seraient d</w:t>
      </w:r>
      <w:r w:rsidR="00F205DE" w:rsidRPr="00D85862">
        <w:rPr>
          <w:lang w:val="fr-FR"/>
        </w:rPr>
        <w:t>’</w:t>
      </w:r>
      <w:r w:rsidRPr="00D85862">
        <w:rPr>
          <w:lang w:val="fr-FR"/>
        </w:rPr>
        <w:t>abord évalués en utilisant un seuil de la teneur totale en mercure. Un seuil basé sur le niveau de lixiviation serait appliqué si et seulement si ce premier seuil était dépassé.</w:t>
      </w:r>
    </w:p>
    <w:p w14:paraId="65B56932" w14:textId="52AFBDA3" w:rsidR="00FE4330" w:rsidRPr="00D85862" w:rsidRDefault="00FE4330" w:rsidP="00DA6AD1">
      <w:pPr>
        <w:pStyle w:val="Normal-pool"/>
        <w:numPr>
          <w:ilvl w:val="0"/>
          <w:numId w:val="29"/>
        </w:numPr>
        <w:tabs>
          <w:tab w:val="left" w:pos="624"/>
        </w:tabs>
        <w:spacing w:after="120"/>
        <w:ind w:left="1260" w:hanging="13"/>
        <w:rPr>
          <w:lang w:val="fr-FR"/>
        </w:rPr>
      </w:pPr>
      <w:r w:rsidRPr="00D85862">
        <w:rPr>
          <w:lang w:val="fr-FR"/>
        </w:rPr>
        <w:t>Cette approche à deux niveaux est particulièrement indiquée dans le cas des résidus miniers, car ceux-ci diffèrent des autres déchets relevant de la Convention. Tout d</w:t>
      </w:r>
      <w:r w:rsidR="00F205DE" w:rsidRPr="00D85862">
        <w:rPr>
          <w:lang w:val="fr-FR"/>
        </w:rPr>
        <w:t>’</w:t>
      </w:r>
      <w:r w:rsidRPr="00D85862">
        <w:rPr>
          <w:lang w:val="fr-FR"/>
        </w:rPr>
        <w:t>abord, du fait de la quantité considérables de résidus qui sont produits par les mines d</w:t>
      </w:r>
      <w:r w:rsidR="00F205DE" w:rsidRPr="00D85862">
        <w:rPr>
          <w:lang w:val="fr-FR"/>
        </w:rPr>
        <w:t>’</w:t>
      </w:r>
      <w:r w:rsidRPr="00D85862">
        <w:rPr>
          <w:lang w:val="fr-FR"/>
        </w:rPr>
        <w:t>extraction industrielles, ils méritent une attention particulière ; les volumes extraordinairement élevés de résidus miniers requièrent que le matériel soit géré sur site dans des installations d</w:t>
      </w:r>
      <w:r w:rsidR="00F205DE" w:rsidRPr="00D85862">
        <w:rPr>
          <w:lang w:val="fr-FR"/>
        </w:rPr>
        <w:t>’</w:t>
      </w:r>
      <w:r w:rsidRPr="00D85862">
        <w:rPr>
          <w:lang w:val="fr-FR"/>
        </w:rPr>
        <w:t>élimination à terre</w:t>
      </w:r>
      <w:r w:rsidRPr="00D85862">
        <w:rPr>
          <w:color w:val="000000"/>
          <w:vertAlign w:val="superscript"/>
          <w:lang w:val="fr-FR"/>
        </w:rPr>
        <w:footnoteReference w:id="18"/>
      </w:r>
      <w:r w:rsidRPr="00D85862">
        <w:rPr>
          <w:lang w:val="fr-FR"/>
        </w:rPr>
        <w:t xml:space="preserve"> plutôt que géré de façon commerciale ou éliminé conjointement avec d</w:t>
      </w:r>
      <w:r w:rsidR="00F205DE" w:rsidRPr="00D85862">
        <w:rPr>
          <w:lang w:val="fr-FR"/>
        </w:rPr>
        <w:t>’</w:t>
      </w:r>
      <w:r w:rsidRPr="00D85862">
        <w:rPr>
          <w:lang w:val="fr-FR"/>
        </w:rPr>
        <w:t>autres déchets. Deuxièmement, la composition chimique des résidus dépend des différents sites, de la géologie locale et du traitement du minerai/des minerais. Troisièmement, les sites miniers sont généralement situés dans des zones reculées, ce qui limite davantage les voies préoccupantes d</w:t>
      </w:r>
      <w:r w:rsidR="00F205DE" w:rsidRPr="00D85862">
        <w:rPr>
          <w:lang w:val="fr-FR"/>
        </w:rPr>
        <w:t>’</w:t>
      </w:r>
      <w:r w:rsidRPr="00D85862">
        <w:rPr>
          <w:lang w:val="fr-FR"/>
        </w:rPr>
        <w:t>exposition chez les humains.</w:t>
      </w:r>
    </w:p>
    <w:p w14:paraId="7B919188" w14:textId="77777777" w:rsidR="00FE4330" w:rsidRPr="00D85862" w:rsidRDefault="00FE4330" w:rsidP="00DA6AD1">
      <w:pPr>
        <w:pStyle w:val="CH2"/>
        <w:spacing w:before="0"/>
        <w:ind w:firstLine="0"/>
        <w:rPr>
          <w:i/>
          <w:lang w:val="fr-FR"/>
        </w:rPr>
      </w:pPr>
      <w:r w:rsidRPr="00D85862">
        <w:rPr>
          <w:i/>
          <w:lang w:val="fr-FR"/>
        </w:rPr>
        <w:t>Niveau 1</w:t>
      </w:r>
    </w:p>
    <w:p w14:paraId="1A88FD9A" w14:textId="222364D1" w:rsidR="00FE4330" w:rsidRPr="00D85862" w:rsidRDefault="00FE4330" w:rsidP="00DA6AD1">
      <w:pPr>
        <w:pStyle w:val="Normal-pool"/>
        <w:numPr>
          <w:ilvl w:val="0"/>
          <w:numId w:val="29"/>
        </w:numPr>
        <w:tabs>
          <w:tab w:val="left" w:pos="624"/>
        </w:tabs>
        <w:spacing w:after="120"/>
        <w:ind w:left="1260" w:hanging="13"/>
        <w:rPr>
          <w:lang w:val="fr-FR"/>
        </w:rPr>
      </w:pPr>
      <w:r w:rsidRPr="00D85862">
        <w:rPr>
          <w:lang w:val="fr-FR"/>
        </w:rPr>
        <w:t>Le groupe propose de fixer un seuil de la teneur totale en mercure pour mesurer le danger propre aux résidus d</w:t>
      </w:r>
      <w:r w:rsidR="00F205DE" w:rsidRPr="00D85862">
        <w:rPr>
          <w:lang w:val="fr-FR"/>
        </w:rPr>
        <w:t>’</w:t>
      </w:r>
      <w:r w:rsidRPr="00D85862">
        <w:rPr>
          <w:lang w:val="fr-FR"/>
        </w:rPr>
        <w:t>extraction minière, conformément à l</w:t>
      </w:r>
      <w:r w:rsidR="00F205DE" w:rsidRPr="00D85862">
        <w:rPr>
          <w:lang w:val="fr-FR"/>
        </w:rPr>
        <w:t>’</w:t>
      </w:r>
      <w:r w:rsidRPr="00D85862">
        <w:rPr>
          <w:lang w:val="fr-FR"/>
        </w:rPr>
        <w:t>approche qui doit être adoptée pour les déchets de la catégorie C.</w:t>
      </w:r>
    </w:p>
    <w:p w14:paraId="1475C5B4" w14:textId="0F6C9F76" w:rsidR="00FE4330" w:rsidRPr="00D85862" w:rsidRDefault="00FE4330" w:rsidP="00DA6AD1">
      <w:pPr>
        <w:pStyle w:val="Normal-pool"/>
        <w:numPr>
          <w:ilvl w:val="0"/>
          <w:numId w:val="29"/>
        </w:numPr>
        <w:tabs>
          <w:tab w:val="left" w:pos="624"/>
        </w:tabs>
        <w:spacing w:after="120"/>
        <w:ind w:left="1247" w:firstLine="0"/>
        <w:rPr>
          <w:lang w:val="fr-FR"/>
        </w:rPr>
      </w:pPr>
      <w:r w:rsidRPr="00D85862">
        <w:rPr>
          <w:lang w:val="fr-FR"/>
        </w:rPr>
        <w:t>Ce premier niveau fournit aux parties un moyen facile à mettre en œuvre et peu coûteux d</w:t>
      </w:r>
      <w:r w:rsidR="00F205DE" w:rsidRPr="00D85862">
        <w:rPr>
          <w:lang w:val="fr-FR"/>
        </w:rPr>
        <w:t>’</w:t>
      </w:r>
      <w:r w:rsidRPr="00D85862">
        <w:rPr>
          <w:lang w:val="fr-FR"/>
        </w:rPr>
        <w:t>évaluer leurs résidus miniers et de déterminer si ceux-ci devraient être considérés comme des « déchets de mercure » au titre de la Convention sur la base de leurs caractéristiques de danger propres.</w:t>
      </w:r>
    </w:p>
    <w:p w14:paraId="052E4C2E" w14:textId="77777777" w:rsidR="00FE4330" w:rsidRPr="00D85862" w:rsidRDefault="00FE4330" w:rsidP="00DA6AD1">
      <w:pPr>
        <w:pStyle w:val="CH2"/>
        <w:spacing w:before="0"/>
        <w:ind w:firstLine="0"/>
        <w:rPr>
          <w:i/>
          <w:lang w:val="fr-FR"/>
        </w:rPr>
      </w:pPr>
      <w:r w:rsidRPr="00D85862">
        <w:rPr>
          <w:i/>
          <w:lang w:val="fr-FR"/>
        </w:rPr>
        <w:lastRenderedPageBreak/>
        <w:t>Niveau 2</w:t>
      </w:r>
    </w:p>
    <w:p w14:paraId="5C2D469E" w14:textId="45108166" w:rsidR="00FE4330" w:rsidRPr="00D85862" w:rsidRDefault="00FE4330" w:rsidP="00DA6AD1">
      <w:pPr>
        <w:pStyle w:val="Normal-pool"/>
        <w:numPr>
          <w:ilvl w:val="0"/>
          <w:numId w:val="29"/>
        </w:numPr>
        <w:tabs>
          <w:tab w:val="left" w:pos="624"/>
        </w:tabs>
        <w:spacing w:after="120"/>
        <w:ind w:left="1260" w:hanging="13"/>
        <w:rPr>
          <w:bCs/>
          <w:iCs/>
          <w:lang w:val="fr-FR"/>
        </w:rPr>
      </w:pPr>
      <w:r w:rsidRPr="00D85862">
        <w:rPr>
          <w:bCs/>
          <w:iCs/>
          <w:lang w:val="fr-FR"/>
        </w:rPr>
        <w:t>Pour les résidus miniers qui dépassent le seuil du niveau 1, un seuil basé sur le niveau de lixiviation serait appliqué pour déterminer s</w:t>
      </w:r>
      <w:r w:rsidR="00F205DE" w:rsidRPr="00D85862">
        <w:rPr>
          <w:bCs/>
          <w:iCs/>
          <w:lang w:val="fr-FR"/>
        </w:rPr>
        <w:t>’</w:t>
      </w:r>
      <w:r w:rsidRPr="00D85862">
        <w:rPr>
          <w:bCs/>
          <w:iCs/>
          <w:lang w:val="fr-FR"/>
        </w:rPr>
        <w:t xml:space="preserve">ils constituent </w:t>
      </w:r>
      <w:r w:rsidRPr="00D85862">
        <w:rPr>
          <w:lang w:val="fr-FR"/>
        </w:rPr>
        <w:t xml:space="preserve">des « déchets de mercure » </w:t>
      </w:r>
      <w:r w:rsidRPr="00D85862">
        <w:rPr>
          <w:bCs/>
          <w:iCs/>
          <w:lang w:val="fr-FR"/>
        </w:rPr>
        <w:t>au titre de la Convention. Le groupe estime que l</w:t>
      </w:r>
      <w:r w:rsidR="00F205DE" w:rsidRPr="00D85862">
        <w:rPr>
          <w:bCs/>
          <w:iCs/>
          <w:lang w:val="fr-FR"/>
        </w:rPr>
        <w:t>’</w:t>
      </w:r>
      <w:r w:rsidRPr="00D85862">
        <w:rPr>
          <w:bCs/>
          <w:iCs/>
          <w:lang w:val="fr-FR"/>
        </w:rPr>
        <w:t>approche basée sur le niveau de lixiviation est appropriée pour les résidus miniers, ceux-ci étant, dans la plupart des cas, éliminés à terre et le risque le plus élevé étant posé par la migration de mercure dans les eaux souterraines et les autres sources potentielles d</w:t>
      </w:r>
      <w:r w:rsidR="00F205DE" w:rsidRPr="00D85862">
        <w:rPr>
          <w:bCs/>
          <w:iCs/>
          <w:lang w:val="fr-FR"/>
        </w:rPr>
        <w:t>’</w:t>
      </w:r>
      <w:r w:rsidRPr="00D85862">
        <w:rPr>
          <w:bCs/>
          <w:iCs/>
          <w:lang w:val="fr-FR"/>
        </w:rPr>
        <w:t xml:space="preserve">eau potable. </w:t>
      </w:r>
    </w:p>
    <w:p w14:paraId="4FFB074B" w14:textId="76E34AC2" w:rsidR="00FE4330" w:rsidRPr="00D85862" w:rsidRDefault="00FE4330" w:rsidP="00DA6AD1">
      <w:pPr>
        <w:pStyle w:val="Normal-pool"/>
        <w:keepNext/>
        <w:keepLines/>
        <w:numPr>
          <w:ilvl w:val="0"/>
          <w:numId w:val="29"/>
        </w:numPr>
        <w:tabs>
          <w:tab w:val="left" w:pos="624"/>
        </w:tabs>
        <w:spacing w:after="120"/>
        <w:ind w:left="1260" w:hanging="13"/>
        <w:rPr>
          <w:lang w:val="fr-FR"/>
        </w:rPr>
      </w:pPr>
      <w:r w:rsidRPr="00D85862">
        <w:rPr>
          <w:lang w:val="fr-FR"/>
        </w:rPr>
        <w:t>Le groupe d</w:t>
      </w:r>
      <w:r w:rsidR="00F205DE" w:rsidRPr="00D85862">
        <w:rPr>
          <w:lang w:val="fr-FR"/>
        </w:rPr>
        <w:t>’</w:t>
      </w:r>
      <w:r w:rsidRPr="00D85862">
        <w:rPr>
          <w:lang w:val="fr-FR"/>
        </w:rPr>
        <w:t>experts techniques reconnaît que des travaux techniques supplémentaires</w:t>
      </w:r>
      <w:r w:rsidRPr="00D85862">
        <w:rPr>
          <w:vertAlign w:val="superscript"/>
          <w:lang w:val="fr-FR"/>
        </w:rPr>
        <w:footnoteReference w:id="19"/>
      </w:r>
      <w:r w:rsidRPr="00D85862">
        <w:rPr>
          <w:lang w:val="fr-FR"/>
        </w:rPr>
        <w:t xml:space="preserve"> sont nécessaires pour permettre à la Conférence des parties de trouver un accord sur les procédures appropriées pour les essais de lixiviation ainsi que sur un seuil pertinent pour les déchets de mercure dans les résidus miniers</w:t>
      </w:r>
      <w:r w:rsidRPr="00D85862">
        <w:rPr>
          <w:vertAlign w:val="superscript"/>
          <w:lang w:val="fr-FR"/>
        </w:rPr>
        <w:footnoteReference w:id="20"/>
      </w:r>
      <w:r w:rsidRPr="00D85862">
        <w:rPr>
          <w:lang w:val="fr-FR"/>
        </w:rPr>
        <w:t>. Il reconnaît également que dans les pays en développement, il est nécessaire de renforcer les capacités et le partage des connaissances sur les techniques d</w:t>
      </w:r>
      <w:r w:rsidR="00F205DE" w:rsidRPr="00D85862">
        <w:rPr>
          <w:lang w:val="fr-FR"/>
        </w:rPr>
        <w:t>’</w:t>
      </w:r>
      <w:r w:rsidRPr="00D85862">
        <w:rPr>
          <w:lang w:val="fr-FR"/>
        </w:rPr>
        <w:t xml:space="preserve">analyse pour la conduite des essais de lixiviation. </w:t>
      </w:r>
    </w:p>
    <w:p w14:paraId="6C53B7A9" w14:textId="77777777" w:rsidR="00FE4330" w:rsidRPr="00D85862" w:rsidRDefault="00FE4330" w:rsidP="00DA6AD1">
      <w:pPr>
        <w:tabs>
          <w:tab w:val="left" w:pos="720"/>
        </w:tabs>
        <w:spacing w:after="120"/>
        <w:rPr>
          <w:b/>
          <w:sz w:val="28"/>
          <w:szCs w:val="28"/>
        </w:rPr>
      </w:pPr>
      <w:r w:rsidRPr="00D85862">
        <w:br w:type="page"/>
      </w:r>
    </w:p>
    <w:p w14:paraId="62B9D26B" w14:textId="77777777" w:rsidR="00FE4330" w:rsidRPr="00D85862" w:rsidRDefault="00FE4330" w:rsidP="00DA6AD1">
      <w:pPr>
        <w:pStyle w:val="CH1"/>
        <w:spacing w:before="0"/>
        <w:rPr>
          <w:sz w:val="24"/>
          <w:szCs w:val="24"/>
          <w:lang w:val="fr-FR"/>
        </w:rPr>
      </w:pPr>
      <w:r w:rsidRPr="00D85862">
        <w:rPr>
          <w:sz w:val="24"/>
          <w:szCs w:val="24"/>
          <w:lang w:val="fr-FR"/>
        </w:rPr>
        <w:lastRenderedPageBreak/>
        <w:t>Appendice</w:t>
      </w:r>
    </w:p>
    <w:p w14:paraId="0DCA2ED0" w14:textId="469159DD" w:rsidR="00FE4330" w:rsidRPr="00D85862" w:rsidRDefault="00FE4330" w:rsidP="00DA6AD1">
      <w:pPr>
        <w:pStyle w:val="CH1"/>
        <w:spacing w:before="0"/>
        <w:rPr>
          <w:sz w:val="24"/>
          <w:szCs w:val="24"/>
          <w:lang w:val="fr-FR"/>
        </w:rPr>
      </w:pPr>
      <w:r w:rsidRPr="00D85862">
        <w:rPr>
          <w:sz w:val="24"/>
          <w:szCs w:val="24"/>
          <w:lang w:val="fr-FR"/>
        </w:rPr>
        <w:tab/>
      </w:r>
      <w:r w:rsidRPr="00D85862">
        <w:rPr>
          <w:sz w:val="24"/>
          <w:szCs w:val="24"/>
          <w:lang w:val="fr-FR"/>
        </w:rPr>
        <w:tab/>
        <w:t xml:space="preserve">Listes des déchets de mercure </w:t>
      </w:r>
      <w:r w:rsidR="009B344C" w:rsidRPr="00D85862">
        <w:rPr>
          <w:sz w:val="24"/>
          <w:szCs w:val="24"/>
          <w:lang w:val="fr-FR"/>
        </w:rPr>
        <w:t xml:space="preserve">visés au paragraphe </w:t>
      </w:r>
      <w:r w:rsidRPr="00D85862">
        <w:rPr>
          <w:sz w:val="24"/>
          <w:szCs w:val="24"/>
          <w:lang w:val="fr-FR"/>
        </w:rPr>
        <w:t>2 de l</w:t>
      </w:r>
      <w:r w:rsidR="00F205DE" w:rsidRPr="00D85862">
        <w:rPr>
          <w:sz w:val="24"/>
          <w:szCs w:val="24"/>
          <w:lang w:val="fr-FR"/>
        </w:rPr>
        <w:t>’</w:t>
      </w:r>
      <w:r w:rsidRPr="00D85862">
        <w:rPr>
          <w:sz w:val="24"/>
          <w:szCs w:val="24"/>
          <w:lang w:val="fr-FR"/>
        </w:rPr>
        <w:t>article 11</w:t>
      </w:r>
    </w:p>
    <w:p w14:paraId="2072902C" w14:textId="3DF11CE4" w:rsidR="00FE4330" w:rsidRPr="00D85862" w:rsidRDefault="00FE4330" w:rsidP="00DA6AD1">
      <w:pPr>
        <w:pStyle w:val="Normal-pool"/>
        <w:tabs>
          <w:tab w:val="left" w:pos="720"/>
        </w:tabs>
        <w:spacing w:after="120"/>
        <w:ind w:left="1247"/>
        <w:rPr>
          <w:b/>
          <w:lang w:val="fr-FR"/>
        </w:rPr>
      </w:pPr>
      <w:bookmarkStart w:id="7" w:name="_gjdgxs"/>
      <w:bookmarkEnd w:id="7"/>
      <w:r w:rsidRPr="00D85862">
        <w:rPr>
          <w:lang w:val="fr-FR"/>
        </w:rPr>
        <w:t>Tableau 1</w:t>
      </w:r>
      <w:r w:rsidRPr="00D85862">
        <w:rPr>
          <w:lang w:val="fr-FR"/>
        </w:rPr>
        <w:br/>
      </w:r>
      <w:r w:rsidRPr="00D85862">
        <w:rPr>
          <w:b/>
          <w:lang w:val="fr-FR"/>
        </w:rPr>
        <w:t>Liste exhaustive des déchets de mercure constitués de mercure ou de composés du mercure</w:t>
      </w:r>
      <w:r w:rsidRPr="00D85862">
        <w:rPr>
          <w:bCs/>
          <w:vertAlign w:val="superscript"/>
          <w:lang w:val="fr-FR"/>
        </w:rPr>
        <w:t>a</w:t>
      </w:r>
      <w:r w:rsidRPr="00D85862">
        <w:rPr>
          <w:b/>
          <w:lang w:val="fr-FR"/>
        </w:rPr>
        <w:t xml:space="preserve"> (alinéa 2 a) de l</w:t>
      </w:r>
      <w:r w:rsidR="00F205DE" w:rsidRPr="00D85862">
        <w:rPr>
          <w:b/>
          <w:lang w:val="fr-FR"/>
        </w:rPr>
        <w:t>’</w:t>
      </w:r>
      <w:r w:rsidRPr="00D85862">
        <w:rPr>
          <w:b/>
          <w:lang w:val="fr-FR"/>
        </w:rPr>
        <w:t>article 11</w:t>
      </w:r>
      <w:r w:rsidR="00006932" w:rsidRPr="00D85862">
        <w:rPr>
          <w:b/>
          <w:lang w:val="fr-FR"/>
        </w:rPr>
        <w:t>)</w:t>
      </w:r>
    </w:p>
    <w:tbl>
      <w:tblPr>
        <w:tblW w:w="49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00" w:firstRow="0" w:lastRow="0" w:firstColumn="0" w:lastColumn="0" w:noHBand="0" w:noVBand="1"/>
      </w:tblPr>
      <w:tblGrid>
        <w:gridCol w:w="2807"/>
        <w:gridCol w:w="6584"/>
      </w:tblGrid>
      <w:tr w:rsidR="00FE4330" w:rsidRPr="00D85862" w14:paraId="75B7979D"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66119AB5" w14:textId="77777777" w:rsidR="00FE4330" w:rsidRPr="00D85862" w:rsidRDefault="00FE4330" w:rsidP="00DA6AD1">
            <w:pPr>
              <w:pStyle w:val="Normal-pool"/>
              <w:spacing w:after="120"/>
              <w:rPr>
                <w:i/>
                <w:iCs/>
                <w:sz w:val="18"/>
                <w:szCs w:val="18"/>
                <w:lang w:val="fr-FR"/>
              </w:rPr>
            </w:pPr>
            <w:r w:rsidRPr="00D85862">
              <w:rPr>
                <w:i/>
                <w:iCs/>
                <w:sz w:val="18"/>
                <w:szCs w:val="18"/>
                <w:lang w:val="fr-FR"/>
              </w:rPr>
              <w:t>Type de déchet</w:t>
            </w:r>
          </w:p>
        </w:tc>
        <w:tc>
          <w:tcPr>
            <w:tcW w:w="6650" w:type="dxa"/>
            <w:tcBorders>
              <w:top w:val="single" w:sz="4" w:space="0" w:color="000000"/>
              <w:left w:val="single" w:sz="4" w:space="0" w:color="000000"/>
              <w:bottom w:val="single" w:sz="4" w:space="0" w:color="000000"/>
              <w:right w:val="single" w:sz="4" w:space="0" w:color="000000"/>
            </w:tcBorders>
            <w:hideMark/>
          </w:tcPr>
          <w:p w14:paraId="4C6910D5" w14:textId="77777777" w:rsidR="00FE4330" w:rsidRPr="00D85862" w:rsidRDefault="00FE4330" w:rsidP="00DA6AD1">
            <w:pPr>
              <w:pStyle w:val="Normal-pool"/>
              <w:spacing w:after="120"/>
              <w:rPr>
                <w:i/>
                <w:iCs/>
                <w:sz w:val="18"/>
                <w:szCs w:val="18"/>
                <w:lang w:val="fr-FR"/>
              </w:rPr>
            </w:pPr>
            <w:r w:rsidRPr="00D85862">
              <w:rPr>
                <w:i/>
                <w:iCs/>
                <w:sz w:val="18"/>
                <w:szCs w:val="18"/>
                <w:lang w:val="fr-FR"/>
              </w:rPr>
              <w:t>Source de déchets</w:t>
            </w:r>
            <w:r w:rsidRPr="00D85862">
              <w:rPr>
                <w:i/>
                <w:iCs/>
                <w:sz w:val="18"/>
                <w:szCs w:val="18"/>
                <w:vertAlign w:val="superscript"/>
                <w:lang w:val="fr-FR"/>
              </w:rPr>
              <w:t>b</w:t>
            </w:r>
          </w:p>
        </w:tc>
      </w:tr>
      <w:tr w:rsidR="00FE4330" w:rsidRPr="00D85862" w14:paraId="17E83E3A"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1F4052E1" w14:textId="77777777" w:rsidR="00FE4330" w:rsidRPr="00D85862" w:rsidRDefault="00FE4330" w:rsidP="00DA6AD1">
            <w:pPr>
              <w:pStyle w:val="Normal-pool"/>
              <w:spacing w:after="120"/>
              <w:rPr>
                <w:sz w:val="18"/>
                <w:szCs w:val="18"/>
                <w:lang w:val="fr-FR"/>
              </w:rPr>
            </w:pPr>
            <w:r w:rsidRPr="00D85862">
              <w:rPr>
                <w:sz w:val="18"/>
                <w:szCs w:val="18"/>
                <w:lang w:val="fr-FR"/>
              </w:rPr>
              <w:t>Mercure élémentaire récupéré</w:t>
            </w:r>
            <w:r w:rsidRPr="00D85862">
              <w:rPr>
                <w:sz w:val="18"/>
                <w:szCs w:val="18"/>
                <w:vertAlign w:val="superscript"/>
                <w:lang w:val="fr-FR"/>
              </w:rPr>
              <w:t>c</w:t>
            </w:r>
          </w:p>
        </w:tc>
        <w:tc>
          <w:tcPr>
            <w:tcW w:w="6650" w:type="dxa"/>
            <w:tcBorders>
              <w:top w:val="single" w:sz="4" w:space="0" w:color="000000"/>
              <w:left w:val="single" w:sz="4" w:space="0" w:color="000000"/>
              <w:bottom w:val="single" w:sz="4" w:space="0" w:color="000000"/>
              <w:right w:val="single" w:sz="4" w:space="0" w:color="000000"/>
            </w:tcBorders>
            <w:hideMark/>
          </w:tcPr>
          <w:p w14:paraId="01B84A7F" w14:textId="77777777" w:rsidR="00FE4330" w:rsidRPr="00D85862" w:rsidRDefault="00FE4330" w:rsidP="00A359BF">
            <w:pPr>
              <w:pStyle w:val="Normal-pool"/>
              <w:spacing w:after="60"/>
              <w:rPr>
                <w:sz w:val="18"/>
                <w:szCs w:val="18"/>
                <w:lang w:val="fr-FR"/>
              </w:rPr>
            </w:pPr>
            <w:r w:rsidRPr="00D85862">
              <w:rPr>
                <w:sz w:val="18"/>
                <w:szCs w:val="18"/>
                <w:lang w:val="fr-FR"/>
              </w:rPr>
              <w:t>Activité minière :</w:t>
            </w:r>
          </w:p>
          <w:p w14:paraId="160EABED" w14:textId="559E1A54"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Résidus miniers de l</w:t>
            </w:r>
            <w:r w:rsidR="00F205DE" w:rsidRPr="00D85862">
              <w:rPr>
                <w:sz w:val="18"/>
                <w:szCs w:val="18"/>
                <w:lang w:val="fr-FR"/>
              </w:rPr>
              <w:t>’</w:t>
            </w:r>
            <w:r w:rsidRPr="00D85862">
              <w:rPr>
                <w:sz w:val="18"/>
                <w:szCs w:val="18"/>
                <w:lang w:val="fr-FR"/>
              </w:rPr>
              <w:t>extraction minière artisanale et à petite échelle d</w:t>
            </w:r>
            <w:r w:rsidR="00F205DE" w:rsidRPr="00D85862">
              <w:rPr>
                <w:sz w:val="18"/>
                <w:szCs w:val="18"/>
                <w:lang w:val="fr-FR"/>
              </w:rPr>
              <w:t>’</w:t>
            </w:r>
            <w:r w:rsidRPr="00D85862">
              <w:rPr>
                <w:sz w:val="18"/>
                <w:szCs w:val="18"/>
                <w:lang w:val="fr-FR"/>
              </w:rPr>
              <w:t>or</w:t>
            </w:r>
          </w:p>
          <w:p w14:paraId="4BE66902" w14:textId="77777777" w:rsidR="00FE4330" w:rsidRPr="00D85862" w:rsidRDefault="00FE4330" w:rsidP="00A359BF">
            <w:pPr>
              <w:pStyle w:val="Normal-pool"/>
              <w:spacing w:after="60"/>
              <w:rPr>
                <w:sz w:val="18"/>
                <w:szCs w:val="18"/>
                <w:lang w:val="fr-FR"/>
              </w:rPr>
            </w:pPr>
            <w:r w:rsidRPr="00D85862">
              <w:rPr>
                <w:sz w:val="18"/>
                <w:szCs w:val="18"/>
                <w:lang w:val="fr-FR"/>
              </w:rPr>
              <w:t>Mercure capté à partir de :</w:t>
            </w:r>
          </w:p>
          <w:p w14:paraId="61574E43" w14:textId="77777777"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Procédés de grillage et de fusion des métaux non ferreux</w:t>
            </w:r>
          </w:p>
          <w:p w14:paraId="6D6246B0" w14:textId="77777777"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Extraction du pétrole brut et du gaz naturel</w:t>
            </w:r>
          </w:p>
          <w:p w14:paraId="6E3ED2C8" w14:textId="77777777" w:rsidR="00FE4330" w:rsidRPr="00D85862" w:rsidRDefault="00FE4330" w:rsidP="00A359BF">
            <w:pPr>
              <w:pStyle w:val="Normal-pool"/>
              <w:spacing w:after="60"/>
              <w:rPr>
                <w:sz w:val="18"/>
                <w:szCs w:val="18"/>
                <w:lang w:val="fr-FR"/>
              </w:rPr>
            </w:pPr>
            <w:r w:rsidRPr="00D85862">
              <w:rPr>
                <w:sz w:val="18"/>
                <w:szCs w:val="18"/>
                <w:lang w:val="fr-FR"/>
              </w:rPr>
              <w:t>Traitement de :</w:t>
            </w:r>
          </w:p>
          <w:p w14:paraId="7B2944CE" w14:textId="77777777"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Produits contenant du mercure ajouté en fin de vie</w:t>
            </w:r>
          </w:p>
          <w:p w14:paraId="7941804E" w14:textId="77777777"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 xml:space="preserve">Déchets contaminés par du mercure ou des composés du mercure </w:t>
            </w:r>
          </w:p>
          <w:p w14:paraId="60E418B6" w14:textId="77777777"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Milieux naturels contaminés</w:t>
            </w:r>
          </w:p>
          <w:p w14:paraId="2994D902" w14:textId="77777777" w:rsidR="00FE4330" w:rsidRPr="00D85862" w:rsidRDefault="00FE4330" w:rsidP="00A359BF">
            <w:pPr>
              <w:pStyle w:val="Normal-pool"/>
              <w:spacing w:after="60"/>
              <w:rPr>
                <w:sz w:val="18"/>
                <w:szCs w:val="18"/>
                <w:lang w:val="fr-FR"/>
              </w:rPr>
            </w:pPr>
            <w:r w:rsidRPr="00D85862">
              <w:rPr>
                <w:sz w:val="18"/>
                <w:szCs w:val="18"/>
                <w:lang w:val="fr-FR"/>
              </w:rPr>
              <w:t>Traitement des déchets issus de :</w:t>
            </w:r>
          </w:p>
          <w:p w14:paraId="4E55E1DD" w14:textId="6EA9F962"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Production de chlore-alkali</w:t>
            </w:r>
            <w:r w:rsidRPr="00D85862">
              <w:rPr>
                <w:sz w:val="18"/>
                <w:szCs w:val="18"/>
                <w:vertAlign w:val="superscript"/>
                <w:lang w:val="fr-FR"/>
              </w:rPr>
              <w:t>d</w:t>
            </w:r>
            <w:r w:rsidRPr="00D85862">
              <w:rPr>
                <w:sz w:val="18"/>
                <w:szCs w:val="18"/>
                <w:lang w:val="fr-FR"/>
              </w:rPr>
              <w:t>, d</w:t>
            </w:r>
            <w:r w:rsidR="00F205DE" w:rsidRPr="00D85862">
              <w:rPr>
                <w:sz w:val="18"/>
                <w:szCs w:val="18"/>
                <w:lang w:val="fr-FR"/>
              </w:rPr>
              <w:t>’</w:t>
            </w:r>
            <w:r w:rsidRPr="00D85862">
              <w:rPr>
                <w:sz w:val="18"/>
                <w:szCs w:val="18"/>
                <w:lang w:val="fr-FR"/>
              </w:rPr>
              <w:t>alcoholates (par ex. méthylate et éthylate de sodium ou de potassium), de dithionite et de solution ultrapure d</w:t>
            </w:r>
            <w:r w:rsidR="00F205DE" w:rsidRPr="00D85862">
              <w:rPr>
                <w:sz w:val="18"/>
                <w:szCs w:val="18"/>
                <w:lang w:val="fr-FR"/>
              </w:rPr>
              <w:t>’</w:t>
            </w:r>
            <w:r w:rsidRPr="00D85862">
              <w:rPr>
                <w:sz w:val="18"/>
                <w:szCs w:val="18"/>
                <w:lang w:val="fr-FR"/>
              </w:rPr>
              <w:t>hydroxyde de potassium avec une technologie au mercure, y compris la mise hors service d</w:t>
            </w:r>
            <w:r w:rsidR="00F205DE" w:rsidRPr="00D85862">
              <w:rPr>
                <w:sz w:val="18"/>
                <w:szCs w:val="18"/>
                <w:lang w:val="fr-FR"/>
              </w:rPr>
              <w:t>’</w:t>
            </w:r>
            <w:r w:rsidRPr="00D85862">
              <w:rPr>
                <w:sz w:val="18"/>
                <w:szCs w:val="18"/>
                <w:lang w:val="fr-FR"/>
              </w:rPr>
              <w:t>usines</w:t>
            </w:r>
          </w:p>
          <w:p w14:paraId="4FC6C7B5" w14:textId="376F654E"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Production de polyuréthane, de chlorure de vinyle monomère, d</w:t>
            </w:r>
            <w:r w:rsidR="00F205DE" w:rsidRPr="00D85862">
              <w:rPr>
                <w:sz w:val="18"/>
                <w:szCs w:val="18"/>
                <w:lang w:val="fr-FR"/>
              </w:rPr>
              <w:t>’</w:t>
            </w:r>
            <w:r w:rsidRPr="00D85862">
              <w:rPr>
                <w:sz w:val="18"/>
                <w:szCs w:val="18"/>
                <w:lang w:val="fr-FR"/>
              </w:rPr>
              <w:t>acétaldéhyde avec catalyseur contenant du mercure</w:t>
            </w:r>
          </w:p>
        </w:tc>
      </w:tr>
      <w:tr w:rsidR="00FE4330" w:rsidRPr="00D85862" w14:paraId="0425F46E"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43A7F7E2" w14:textId="77777777" w:rsidR="00FE4330" w:rsidRPr="00D85862" w:rsidRDefault="00FE4330" w:rsidP="00DA6AD1">
            <w:pPr>
              <w:pStyle w:val="Normal-pool"/>
              <w:spacing w:after="120"/>
              <w:rPr>
                <w:sz w:val="18"/>
                <w:szCs w:val="18"/>
                <w:lang w:val="fr-FR"/>
              </w:rPr>
            </w:pPr>
            <w:r w:rsidRPr="00D85862">
              <w:rPr>
                <w:sz w:val="18"/>
                <w:szCs w:val="18"/>
                <w:lang w:val="fr-FR"/>
              </w:rPr>
              <w:t>Mercure élémentaire</w:t>
            </w:r>
          </w:p>
        </w:tc>
        <w:tc>
          <w:tcPr>
            <w:tcW w:w="6650" w:type="dxa"/>
            <w:tcBorders>
              <w:top w:val="single" w:sz="4" w:space="0" w:color="000000"/>
              <w:left w:val="single" w:sz="4" w:space="0" w:color="000000"/>
              <w:bottom w:val="single" w:sz="4" w:space="0" w:color="000000"/>
              <w:right w:val="single" w:sz="4" w:space="0" w:color="000000"/>
            </w:tcBorders>
          </w:tcPr>
          <w:p w14:paraId="543EB155" w14:textId="56D71EF1"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Stocks de mercure (laboratoires, cabinets dentaires, établissements d</w:t>
            </w:r>
            <w:r w:rsidR="00F205DE" w:rsidRPr="00D85862">
              <w:rPr>
                <w:sz w:val="18"/>
                <w:szCs w:val="18"/>
                <w:lang w:val="fr-FR"/>
              </w:rPr>
              <w:t>’</w:t>
            </w:r>
            <w:r w:rsidRPr="00D85862">
              <w:rPr>
                <w:sz w:val="18"/>
                <w:szCs w:val="18"/>
                <w:lang w:val="fr-FR"/>
              </w:rPr>
              <w:t>enseignement et de recherche, décharges, institutions gouvernementales, phares)</w:t>
            </w:r>
          </w:p>
        </w:tc>
      </w:tr>
      <w:tr w:rsidR="00FE4330" w:rsidRPr="00D85862" w14:paraId="2DE66810" w14:textId="77777777" w:rsidTr="00FE4330">
        <w:trPr>
          <w:trHeight w:val="1220"/>
          <w:jc w:val="center"/>
        </w:trPr>
        <w:tc>
          <w:tcPr>
            <w:tcW w:w="2835" w:type="dxa"/>
            <w:tcBorders>
              <w:top w:val="single" w:sz="4" w:space="0" w:color="000000"/>
              <w:left w:val="single" w:sz="4" w:space="0" w:color="000000"/>
              <w:bottom w:val="single" w:sz="4" w:space="0" w:color="000000"/>
              <w:right w:val="single" w:sz="4" w:space="0" w:color="000000"/>
            </w:tcBorders>
            <w:hideMark/>
          </w:tcPr>
          <w:p w14:paraId="3F1EDEAD" w14:textId="77777777" w:rsidR="00FE4330" w:rsidRPr="00D85862" w:rsidRDefault="00FE4330" w:rsidP="00DA6AD1">
            <w:pPr>
              <w:pStyle w:val="Normal-pool"/>
              <w:spacing w:after="120"/>
              <w:rPr>
                <w:sz w:val="18"/>
                <w:szCs w:val="18"/>
                <w:lang w:val="fr-FR"/>
              </w:rPr>
            </w:pPr>
            <w:r w:rsidRPr="00D85862">
              <w:rPr>
                <w:sz w:val="18"/>
                <w:szCs w:val="18"/>
                <w:lang w:val="fr-FR"/>
              </w:rPr>
              <w:t xml:space="preserve">Chlorure de mercure (I) et </w:t>
            </w:r>
          </w:p>
          <w:p w14:paraId="1E516DF6" w14:textId="77777777" w:rsidR="00FE4330" w:rsidRPr="00D85862" w:rsidRDefault="00FE4330" w:rsidP="00DA6AD1">
            <w:pPr>
              <w:pStyle w:val="Normal-pool"/>
              <w:spacing w:after="120"/>
              <w:rPr>
                <w:sz w:val="18"/>
                <w:szCs w:val="18"/>
                <w:lang w:val="fr-FR"/>
              </w:rPr>
            </w:pPr>
            <w:r w:rsidRPr="00D85862">
              <w:rPr>
                <w:sz w:val="18"/>
                <w:szCs w:val="18"/>
                <w:lang w:val="fr-FR"/>
              </w:rPr>
              <w:t>chlorure de mercure (II)</w:t>
            </w:r>
          </w:p>
        </w:tc>
        <w:tc>
          <w:tcPr>
            <w:tcW w:w="6650" w:type="dxa"/>
            <w:tcBorders>
              <w:top w:val="single" w:sz="4" w:space="0" w:color="000000"/>
              <w:left w:val="single" w:sz="4" w:space="0" w:color="000000"/>
              <w:bottom w:val="single" w:sz="4" w:space="0" w:color="000000"/>
              <w:right w:val="single" w:sz="4" w:space="0" w:color="000000"/>
            </w:tcBorders>
            <w:hideMark/>
          </w:tcPr>
          <w:p w14:paraId="34F44B69" w14:textId="0048AFED"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Procédés de grillage et de fusion du zinc, du plomb, du cuivre et de l</w:t>
            </w:r>
            <w:r w:rsidR="00F205DE" w:rsidRPr="00D85862">
              <w:rPr>
                <w:sz w:val="18"/>
                <w:szCs w:val="18"/>
                <w:lang w:val="fr-FR"/>
              </w:rPr>
              <w:t>’</w:t>
            </w:r>
            <w:r w:rsidRPr="00D85862">
              <w:rPr>
                <w:sz w:val="18"/>
                <w:szCs w:val="18"/>
                <w:lang w:val="fr-FR"/>
              </w:rPr>
              <w:t xml:space="preserve">or </w:t>
            </w:r>
          </w:p>
          <w:p w14:paraId="1AFDDB35" w14:textId="77777777"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Réactifs</w:t>
            </w:r>
          </w:p>
          <w:p w14:paraId="17CF2E7D" w14:textId="77777777"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 xml:space="preserve">Électrode au calomel pour les mesures électrochimiques </w:t>
            </w:r>
          </w:p>
          <w:p w14:paraId="023727AA" w14:textId="77777777"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Médicaments/ Produits pharmaceutiques</w:t>
            </w:r>
          </w:p>
          <w:p w14:paraId="18F9455B" w14:textId="77777777"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Catalyseur de chlorure de vinyle monomère – chlorure de mercure (II)</w:t>
            </w:r>
          </w:p>
        </w:tc>
      </w:tr>
      <w:tr w:rsidR="00FE4330" w:rsidRPr="00D85862" w14:paraId="7DA3E652"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7B32FA89" w14:textId="77777777" w:rsidR="00FE4330" w:rsidRPr="00D85862" w:rsidRDefault="00FE4330" w:rsidP="00DA6AD1">
            <w:pPr>
              <w:pStyle w:val="Normal-pool"/>
              <w:spacing w:after="120"/>
              <w:rPr>
                <w:sz w:val="18"/>
                <w:szCs w:val="18"/>
                <w:lang w:val="fr-FR"/>
              </w:rPr>
            </w:pPr>
            <w:r w:rsidRPr="00D85862">
              <w:rPr>
                <w:sz w:val="18"/>
                <w:szCs w:val="18"/>
                <w:lang w:val="fr-FR"/>
              </w:rPr>
              <w:t xml:space="preserve">Oxyde de mercure (II) </w:t>
            </w:r>
          </w:p>
          <w:p w14:paraId="6DC259F8" w14:textId="77777777" w:rsidR="00FE4330" w:rsidRPr="00D85862" w:rsidRDefault="00FE4330" w:rsidP="00DA6AD1">
            <w:pPr>
              <w:pStyle w:val="Normal-pool"/>
              <w:spacing w:after="120"/>
              <w:rPr>
                <w:sz w:val="18"/>
                <w:szCs w:val="18"/>
                <w:lang w:val="fr-FR"/>
              </w:rPr>
            </w:pPr>
            <w:r w:rsidRPr="00D85862">
              <w:rPr>
                <w:sz w:val="18"/>
                <w:szCs w:val="18"/>
                <w:lang w:val="fr-FR"/>
              </w:rPr>
              <w:t>(oxyde mercurique)</w:t>
            </w:r>
          </w:p>
        </w:tc>
        <w:tc>
          <w:tcPr>
            <w:tcW w:w="6650" w:type="dxa"/>
            <w:tcBorders>
              <w:top w:val="single" w:sz="4" w:space="0" w:color="000000"/>
              <w:left w:val="single" w:sz="4" w:space="0" w:color="000000"/>
              <w:bottom w:val="single" w:sz="4" w:space="0" w:color="000000"/>
              <w:right w:val="single" w:sz="4" w:space="0" w:color="000000"/>
            </w:tcBorders>
            <w:hideMark/>
          </w:tcPr>
          <w:p w14:paraId="54027734" w14:textId="77777777"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Piles sèches, pigment dans les peintures et les agents de modification du verre, fongicides, cosmétiques, réactifs purs, peintures antisalissures</w:t>
            </w:r>
          </w:p>
        </w:tc>
      </w:tr>
      <w:tr w:rsidR="00FE4330" w:rsidRPr="00D85862" w14:paraId="22D90FC5"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13C7CF3A" w14:textId="77777777" w:rsidR="00FE4330" w:rsidRPr="00D85862" w:rsidRDefault="00FE4330" w:rsidP="00DA6AD1">
            <w:pPr>
              <w:pStyle w:val="Normal-pool"/>
              <w:spacing w:after="120"/>
              <w:rPr>
                <w:sz w:val="18"/>
                <w:szCs w:val="18"/>
                <w:lang w:val="fr-FR"/>
              </w:rPr>
            </w:pPr>
            <w:r w:rsidRPr="00D85862">
              <w:rPr>
                <w:sz w:val="18"/>
                <w:szCs w:val="18"/>
                <w:lang w:val="fr-FR"/>
              </w:rPr>
              <w:t xml:space="preserve">Sulfate de mercure (II) </w:t>
            </w:r>
          </w:p>
          <w:p w14:paraId="7365AC39" w14:textId="77777777" w:rsidR="00FE4330" w:rsidRPr="00D85862" w:rsidRDefault="00FE4330" w:rsidP="00DA6AD1">
            <w:pPr>
              <w:pStyle w:val="Normal-pool"/>
              <w:spacing w:after="120"/>
              <w:rPr>
                <w:sz w:val="18"/>
                <w:szCs w:val="18"/>
                <w:lang w:val="fr-FR"/>
              </w:rPr>
            </w:pPr>
            <w:r w:rsidRPr="00D85862">
              <w:rPr>
                <w:sz w:val="18"/>
                <w:szCs w:val="18"/>
                <w:lang w:val="fr-FR"/>
              </w:rPr>
              <w:t>(sulfate mercurique)</w:t>
            </w:r>
          </w:p>
        </w:tc>
        <w:tc>
          <w:tcPr>
            <w:tcW w:w="6650" w:type="dxa"/>
            <w:tcBorders>
              <w:top w:val="single" w:sz="4" w:space="0" w:color="000000"/>
              <w:left w:val="single" w:sz="4" w:space="0" w:color="000000"/>
              <w:bottom w:val="single" w:sz="4" w:space="0" w:color="000000"/>
              <w:right w:val="single" w:sz="4" w:space="0" w:color="000000"/>
            </w:tcBorders>
            <w:hideMark/>
          </w:tcPr>
          <w:p w14:paraId="1E8D03D7" w14:textId="164EF1A8"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Réactif de laboratoire, catalyseur utilisé pour la production d</w:t>
            </w:r>
            <w:r w:rsidR="00F205DE" w:rsidRPr="00D85862">
              <w:rPr>
                <w:sz w:val="18"/>
                <w:szCs w:val="18"/>
                <w:lang w:val="fr-FR"/>
              </w:rPr>
              <w:t>’</w:t>
            </w:r>
            <w:r w:rsidRPr="00D85862">
              <w:rPr>
                <w:sz w:val="18"/>
                <w:szCs w:val="18"/>
                <w:lang w:val="fr-FR"/>
              </w:rPr>
              <w:t>acétaldéhyde</w:t>
            </w:r>
          </w:p>
        </w:tc>
      </w:tr>
      <w:tr w:rsidR="00FE4330" w:rsidRPr="00D85862" w14:paraId="07404E29"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7C3EC909" w14:textId="77777777" w:rsidR="00FE4330" w:rsidRPr="00D85862" w:rsidRDefault="00FE4330" w:rsidP="00DA6AD1">
            <w:pPr>
              <w:pStyle w:val="Normal-pool"/>
              <w:spacing w:after="120"/>
              <w:rPr>
                <w:sz w:val="18"/>
                <w:szCs w:val="18"/>
                <w:lang w:val="fr-FR"/>
              </w:rPr>
            </w:pPr>
            <w:r w:rsidRPr="00D85862">
              <w:rPr>
                <w:sz w:val="18"/>
                <w:szCs w:val="18"/>
                <w:lang w:val="fr-FR"/>
              </w:rPr>
              <w:t>Nitrate de mercure (II)</w:t>
            </w:r>
          </w:p>
          <w:p w14:paraId="0FB3619F" w14:textId="77777777" w:rsidR="00FE4330" w:rsidRPr="00D85862" w:rsidRDefault="00FE4330" w:rsidP="00DA6AD1">
            <w:pPr>
              <w:pStyle w:val="Normal-pool"/>
              <w:spacing w:after="120"/>
              <w:rPr>
                <w:sz w:val="18"/>
                <w:szCs w:val="18"/>
                <w:lang w:val="fr-FR"/>
              </w:rPr>
            </w:pPr>
            <w:r w:rsidRPr="00D85862">
              <w:rPr>
                <w:sz w:val="18"/>
                <w:szCs w:val="18"/>
                <w:lang w:val="fr-FR"/>
              </w:rPr>
              <w:t>(nitrate mercurique)</w:t>
            </w:r>
          </w:p>
        </w:tc>
        <w:tc>
          <w:tcPr>
            <w:tcW w:w="6650" w:type="dxa"/>
            <w:tcBorders>
              <w:top w:val="single" w:sz="4" w:space="0" w:color="000000"/>
              <w:left w:val="single" w:sz="4" w:space="0" w:color="000000"/>
              <w:bottom w:val="single" w:sz="4" w:space="0" w:color="000000"/>
              <w:right w:val="single" w:sz="4" w:space="0" w:color="000000"/>
            </w:tcBorders>
            <w:hideMark/>
          </w:tcPr>
          <w:p w14:paraId="6FB4D445" w14:textId="77777777"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Agent oxydant, réactif de laboratoire</w:t>
            </w:r>
          </w:p>
        </w:tc>
      </w:tr>
      <w:tr w:rsidR="00FE4330" w:rsidRPr="00D85862" w14:paraId="6BC45B74"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49032E5F" w14:textId="77777777" w:rsidR="00FE4330" w:rsidRPr="00D85862" w:rsidRDefault="00FE4330" w:rsidP="00DA6AD1">
            <w:pPr>
              <w:pStyle w:val="Normal-pool"/>
              <w:spacing w:after="120"/>
              <w:rPr>
                <w:sz w:val="18"/>
                <w:szCs w:val="18"/>
                <w:lang w:val="fr-FR"/>
              </w:rPr>
            </w:pPr>
            <w:r w:rsidRPr="00D85862">
              <w:rPr>
                <w:sz w:val="18"/>
                <w:szCs w:val="18"/>
                <w:lang w:val="fr-FR"/>
              </w:rPr>
              <w:t>Cinabre</w:t>
            </w:r>
          </w:p>
        </w:tc>
        <w:tc>
          <w:tcPr>
            <w:tcW w:w="6650" w:type="dxa"/>
            <w:tcBorders>
              <w:top w:val="single" w:sz="4" w:space="0" w:color="000000"/>
              <w:left w:val="single" w:sz="4" w:space="0" w:color="000000"/>
              <w:bottom w:val="single" w:sz="4" w:space="0" w:color="000000"/>
              <w:right w:val="single" w:sz="4" w:space="0" w:color="000000"/>
            </w:tcBorders>
            <w:hideMark/>
          </w:tcPr>
          <w:p w14:paraId="1A16C430" w14:textId="77777777"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 xml:space="preserve">Extraction minière primaire de mercure </w:t>
            </w:r>
          </w:p>
          <w:p w14:paraId="76711876" w14:textId="77777777"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Stabilisation des déchets de mercure pour stockage et/ou élimination</w:t>
            </w:r>
          </w:p>
        </w:tc>
      </w:tr>
      <w:tr w:rsidR="00FE4330" w:rsidRPr="00D85862" w14:paraId="2B84261E" w14:textId="77777777" w:rsidTr="00FE4330">
        <w:trPr>
          <w:trHeight w:val="680"/>
          <w:jc w:val="center"/>
        </w:trPr>
        <w:tc>
          <w:tcPr>
            <w:tcW w:w="2835" w:type="dxa"/>
            <w:tcBorders>
              <w:top w:val="single" w:sz="4" w:space="0" w:color="000000"/>
              <w:left w:val="single" w:sz="4" w:space="0" w:color="000000"/>
              <w:bottom w:val="single" w:sz="4" w:space="0" w:color="000000"/>
              <w:right w:val="single" w:sz="4" w:space="0" w:color="000000"/>
            </w:tcBorders>
            <w:hideMark/>
          </w:tcPr>
          <w:p w14:paraId="66F56341" w14:textId="77777777" w:rsidR="00FE4330" w:rsidRPr="00D85862" w:rsidRDefault="00FE4330" w:rsidP="00DA6AD1">
            <w:pPr>
              <w:pStyle w:val="Normal-pool"/>
              <w:spacing w:after="120"/>
              <w:rPr>
                <w:sz w:val="18"/>
                <w:szCs w:val="18"/>
                <w:lang w:val="fr-FR"/>
              </w:rPr>
            </w:pPr>
            <w:r w:rsidRPr="00D85862">
              <w:rPr>
                <w:sz w:val="18"/>
                <w:szCs w:val="18"/>
                <w:lang w:val="fr-FR"/>
              </w:rPr>
              <w:t>Sulfure de mercure</w:t>
            </w:r>
          </w:p>
        </w:tc>
        <w:tc>
          <w:tcPr>
            <w:tcW w:w="6650" w:type="dxa"/>
            <w:tcBorders>
              <w:top w:val="single" w:sz="4" w:space="0" w:color="000000"/>
              <w:left w:val="single" w:sz="4" w:space="0" w:color="000000"/>
              <w:bottom w:val="single" w:sz="4" w:space="0" w:color="000000"/>
              <w:right w:val="single" w:sz="4" w:space="0" w:color="000000"/>
            </w:tcBorders>
            <w:hideMark/>
          </w:tcPr>
          <w:p w14:paraId="6EEDA707" w14:textId="77777777"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Pigment</w:t>
            </w:r>
          </w:p>
          <w:p w14:paraId="2E2D9F65" w14:textId="33135A00"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Procédés de grillage et de fusion du zinc, du plomb, du cuivre et de l</w:t>
            </w:r>
            <w:r w:rsidR="00F205DE" w:rsidRPr="00D85862">
              <w:rPr>
                <w:sz w:val="18"/>
                <w:szCs w:val="18"/>
                <w:lang w:val="fr-FR"/>
              </w:rPr>
              <w:t>’</w:t>
            </w:r>
            <w:r w:rsidRPr="00D85862">
              <w:rPr>
                <w:sz w:val="18"/>
                <w:szCs w:val="18"/>
                <w:lang w:val="fr-FR"/>
              </w:rPr>
              <w:t>or</w:t>
            </w:r>
          </w:p>
          <w:p w14:paraId="2748B63E" w14:textId="77777777" w:rsidR="00FE4330" w:rsidRPr="00D85862" w:rsidRDefault="00FE4330" w:rsidP="00A359BF">
            <w:pPr>
              <w:pStyle w:val="Normal-pool"/>
              <w:numPr>
                <w:ilvl w:val="0"/>
                <w:numId w:val="26"/>
              </w:numPr>
              <w:spacing w:after="60"/>
              <w:rPr>
                <w:sz w:val="18"/>
                <w:szCs w:val="18"/>
                <w:lang w:val="fr-FR"/>
              </w:rPr>
            </w:pPr>
            <w:r w:rsidRPr="00D85862">
              <w:rPr>
                <w:sz w:val="18"/>
                <w:szCs w:val="18"/>
                <w:lang w:val="fr-FR"/>
              </w:rPr>
              <w:t>Stabilisation des déchets de mercure pour stockage et/ou élimination</w:t>
            </w:r>
          </w:p>
        </w:tc>
      </w:tr>
      <w:tr w:rsidR="00FE4330" w:rsidRPr="00D85862" w14:paraId="36E012F9"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07B70C37" w14:textId="77777777" w:rsidR="00FE4330" w:rsidRPr="00D85862" w:rsidRDefault="00FE4330" w:rsidP="00DA6AD1">
            <w:pPr>
              <w:pStyle w:val="Normal-pool"/>
              <w:spacing w:after="120"/>
              <w:rPr>
                <w:sz w:val="18"/>
                <w:szCs w:val="18"/>
                <w:lang w:val="fr-FR"/>
              </w:rPr>
            </w:pPr>
            <w:r w:rsidRPr="00D85862">
              <w:rPr>
                <w:sz w:val="18"/>
                <w:szCs w:val="18"/>
                <w:lang w:val="fr-FR"/>
              </w:rPr>
              <w:t>Autres composés du mercure</w:t>
            </w:r>
            <w:r w:rsidRPr="00D85862">
              <w:rPr>
                <w:sz w:val="18"/>
                <w:szCs w:val="18"/>
                <w:vertAlign w:val="superscript"/>
                <w:lang w:val="fr-FR"/>
              </w:rPr>
              <w:t>e</w:t>
            </w:r>
          </w:p>
        </w:tc>
        <w:tc>
          <w:tcPr>
            <w:tcW w:w="6650" w:type="dxa"/>
            <w:tcBorders>
              <w:top w:val="single" w:sz="4" w:space="0" w:color="000000"/>
              <w:left w:val="single" w:sz="4" w:space="0" w:color="000000"/>
              <w:bottom w:val="single" w:sz="4" w:space="0" w:color="000000"/>
              <w:right w:val="single" w:sz="4" w:space="0" w:color="000000"/>
            </w:tcBorders>
          </w:tcPr>
          <w:p w14:paraId="145C601E" w14:textId="77777777" w:rsidR="00FE4330" w:rsidRPr="00D85862" w:rsidRDefault="00FE4330" w:rsidP="00A359BF">
            <w:pPr>
              <w:spacing w:after="60"/>
              <w:rPr>
                <w:sz w:val="18"/>
                <w:szCs w:val="18"/>
              </w:rPr>
            </w:pPr>
          </w:p>
        </w:tc>
      </w:tr>
    </w:tbl>
    <w:p w14:paraId="366B1919" w14:textId="541023A2" w:rsidR="00FE4330" w:rsidRPr="00D85862" w:rsidRDefault="00FE4330" w:rsidP="00006932">
      <w:pPr>
        <w:pStyle w:val="Normal-pool"/>
        <w:tabs>
          <w:tab w:val="clear" w:pos="1247"/>
        </w:tabs>
        <w:spacing w:before="60" w:after="60"/>
        <w:ind w:left="567"/>
        <w:rPr>
          <w:sz w:val="17"/>
          <w:szCs w:val="17"/>
          <w:lang w:val="fr-FR"/>
        </w:rPr>
      </w:pPr>
      <w:r w:rsidRPr="00D85862">
        <w:rPr>
          <w:bCs/>
          <w:sz w:val="17"/>
          <w:szCs w:val="17"/>
          <w:vertAlign w:val="superscript"/>
          <w:lang w:val="fr-FR"/>
        </w:rPr>
        <w:t>a</w:t>
      </w:r>
      <w:r w:rsidRPr="00D85862">
        <w:rPr>
          <w:bCs/>
          <w:sz w:val="17"/>
          <w:szCs w:val="17"/>
          <w:lang w:val="fr-FR"/>
        </w:rPr>
        <w:t xml:space="preserve"> Aux termes de la Convention, un</w:t>
      </w:r>
      <w:r w:rsidRPr="00D85862">
        <w:rPr>
          <w:sz w:val="17"/>
          <w:szCs w:val="17"/>
          <w:lang w:val="fr-FR"/>
        </w:rPr>
        <w:t xml:space="preserve"> « composé du mercure » est défini comme une substance composée d</w:t>
      </w:r>
      <w:r w:rsidR="00F205DE" w:rsidRPr="00D85862">
        <w:rPr>
          <w:sz w:val="17"/>
          <w:szCs w:val="17"/>
          <w:lang w:val="fr-FR"/>
        </w:rPr>
        <w:t>’</w:t>
      </w:r>
      <w:r w:rsidRPr="00D85862">
        <w:rPr>
          <w:sz w:val="17"/>
          <w:szCs w:val="17"/>
          <w:lang w:val="fr-FR"/>
        </w:rPr>
        <w:t>atomes de mercure et d</w:t>
      </w:r>
      <w:r w:rsidR="00F205DE" w:rsidRPr="00D85862">
        <w:rPr>
          <w:sz w:val="17"/>
          <w:szCs w:val="17"/>
          <w:lang w:val="fr-FR"/>
        </w:rPr>
        <w:t>’</w:t>
      </w:r>
      <w:r w:rsidRPr="00D85862">
        <w:rPr>
          <w:sz w:val="17"/>
          <w:szCs w:val="17"/>
          <w:lang w:val="fr-FR"/>
        </w:rPr>
        <w:t>un ou de plusieurs atomes d</w:t>
      </w:r>
      <w:r w:rsidR="00F205DE" w:rsidRPr="00D85862">
        <w:rPr>
          <w:sz w:val="17"/>
          <w:szCs w:val="17"/>
          <w:lang w:val="fr-FR"/>
        </w:rPr>
        <w:t>’</w:t>
      </w:r>
      <w:r w:rsidRPr="00D85862">
        <w:rPr>
          <w:sz w:val="17"/>
          <w:szCs w:val="17"/>
          <w:lang w:val="fr-FR"/>
        </w:rPr>
        <w:t>autres éléments chimiques qui ne peut être séparée en ses différents composants que par réaction chimique.</w:t>
      </w:r>
      <w:r w:rsidRPr="00D85862">
        <w:rPr>
          <w:b/>
          <w:sz w:val="17"/>
          <w:szCs w:val="17"/>
          <w:lang w:val="fr-FR"/>
        </w:rPr>
        <w:t xml:space="preserve"> </w:t>
      </w:r>
      <w:r w:rsidR="00C177D9" w:rsidRPr="00D85862">
        <w:rPr>
          <w:b/>
          <w:sz w:val="17"/>
          <w:szCs w:val="17"/>
          <w:lang w:val="fr-FR"/>
        </w:rPr>
        <w:br/>
      </w:r>
      <w:r w:rsidRPr="00D85862">
        <w:rPr>
          <w:sz w:val="17"/>
          <w:szCs w:val="17"/>
          <w:vertAlign w:val="superscript"/>
          <w:lang w:val="fr-FR"/>
        </w:rPr>
        <w:t>b</w:t>
      </w:r>
      <w:r w:rsidRPr="00D85862">
        <w:rPr>
          <w:sz w:val="17"/>
          <w:szCs w:val="17"/>
          <w:lang w:val="fr-FR"/>
        </w:rPr>
        <w:t xml:space="preserve"> Une installation ou activité dans laquelle il est probable que des déchets soient générés ou accumulés.</w:t>
      </w:r>
      <w:r w:rsidR="00C177D9" w:rsidRPr="00D85862">
        <w:rPr>
          <w:sz w:val="17"/>
          <w:szCs w:val="17"/>
          <w:lang w:val="fr-FR"/>
        </w:rPr>
        <w:br/>
      </w:r>
      <w:r w:rsidRPr="00D85862">
        <w:rPr>
          <w:sz w:val="17"/>
          <w:szCs w:val="17"/>
          <w:vertAlign w:val="superscript"/>
          <w:lang w:val="fr-FR"/>
        </w:rPr>
        <w:t>c</w:t>
      </w:r>
      <w:r w:rsidRPr="00D85862">
        <w:rPr>
          <w:sz w:val="17"/>
          <w:szCs w:val="17"/>
          <w:lang w:val="fr-FR"/>
        </w:rPr>
        <w:t xml:space="preserve"> Mercure récupéré, tel que défini à l</w:t>
      </w:r>
      <w:r w:rsidR="00F205DE" w:rsidRPr="00D85862">
        <w:rPr>
          <w:sz w:val="17"/>
          <w:szCs w:val="17"/>
          <w:lang w:val="fr-FR"/>
        </w:rPr>
        <w:t>’</w:t>
      </w:r>
      <w:r w:rsidRPr="00D85862">
        <w:rPr>
          <w:sz w:val="17"/>
          <w:szCs w:val="17"/>
          <w:lang w:val="fr-FR"/>
        </w:rPr>
        <w:t>alinéa 3 b) de l</w:t>
      </w:r>
      <w:r w:rsidR="00F205DE" w:rsidRPr="00D85862">
        <w:rPr>
          <w:sz w:val="17"/>
          <w:szCs w:val="17"/>
          <w:lang w:val="fr-FR"/>
        </w:rPr>
        <w:t>’</w:t>
      </w:r>
      <w:r w:rsidRPr="00D85862">
        <w:rPr>
          <w:sz w:val="17"/>
          <w:szCs w:val="17"/>
          <w:lang w:val="fr-FR"/>
        </w:rPr>
        <w:t>article 11.</w:t>
      </w:r>
    </w:p>
    <w:p w14:paraId="7B28D4DA" w14:textId="0B317F60" w:rsidR="00FE4330" w:rsidRPr="00D85862" w:rsidRDefault="00FE4330" w:rsidP="00006932">
      <w:pPr>
        <w:pStyle w:val="Normal-pool"/>
        <w:tabs>
          <w:tab w:val="clear" w:pos="1247"/>
        </w:tabs>
        <w:spacing w:before="60" w:after="60"/>
        <w:ind w:left="567"/>
        <w:rPr>
          <w:lang w:val="fr-FR"/>
        </w:rPr>
      </w:pPr>
      <w:r w:rsidRPr="00D85862">
        <w:rPr>
          <w:sz w:val="17"/>
          <w:szCs w:val="17"/>
          <w:vertAlign w:val="superscript"/>
          <w:lang w:val="fr-FR"/>
        </w:rPr>
        <w:t>d</w:t>
      </w:r>
      <w:r w:rsidRPr="00D85862">
        <w:rPr>
          <w:sz w:val="17"/>
          <w:szCs w:val="17"/>
          <w:lang w:val="fr-FR"/>
        </w:rPr>
        <w:t xml:space="preserve"> </w:t>
      </w:r>
      <w:r w:rsidRPr="00D85862">
        <w:rPr>
          <w:color w:val="000000"/>
          <w:sz w:val="17"/>
          <w:szCs w:val="17"/>
          <w:lang w:val="fr-FR"/>
        </w:rPr>
        <w:t>La récupération peut parfois se produire sans traitement.</w:t>
      </w:r>
      <w:r w:rsidR="00C177D9" w:rsidRPr="00D85862">
        <w:rPr>
          <w:color w:val="000000"/>
          <w:sz w:val="17"/>
          <w:szCs w:val="17"/>
          <w:lang w:val="fr-FR"/>
        </w:rPr>
        <w:br/>
      </w:r>
      <w:r w:rsidRPr="00D85862">
        <w:rPr>
          <w:sz w:val="17"/>
          <w:szCs w:val="17"/>
          <w:vertAlign w:val="superscript"/>
          <w:lang w:val="fr-FR"/>
        </w:rPr>
        <w:t>e</w:t>
      </w:r>
      <w:r w:rsidRPr="00D85862">
        <w:rPr>
          <w:sz w:val="17"/>
          <w:szCs w:val="17"/>
          <w:lang w:val="fr-FR"/>
        </w:rPr>
        <w:t xml:space="preserve"> Voir </w:t>
      </w:r>
      <w:r w:rsidRPr="00D85862">
        <w:rPr>
          <w:i/>
          <w:iCs/>
          <w:sz w:val="17"/>
          <w:szCs w:val="17"/>
          <w:lang w:val="fr-FR"/>
        </w:rPr>
        <w:t>Reporting Requirements for the TSCA Mercury Inventory</w:t>
      </w:r>
      <w:r w:rsidRPr="00D85862">
        <w:rPr>
          <w:sz w:val="17"/>
          <w:szCs w:val="17"/>
          <w:lang w:val="fr-FR"/>
        </w:rPr>
        <w:t>, Agence de protection de l</w:t>
      </w:r>
      <w:r w:rsidR="00F205DE" w:rsidRPr="00D85862">
        <w:rPr>
          <w:sz w:val="17"/>
          <w:szCs w:val="17"/>
          <w:lang w:val="fr-FR"/>
        </w:rPr>
        <w:t>’</w:t>
      </w:r>
      <w:r w:rsidRPr="00D85862">
        <w:rPr>
          <w:sz w:val="17"/>
          <w:szCs w:val="17"/>
          <w:lang w:val="fr-FR"/>
        </w:rPr>
        <w:t>environnement des États-Unis (</w:t>
      </w:r>
      <w:hyperlink r:id="rId17" w:history="1">
        <w:r w:rsidRPr="00D85862">
          <w:rPr>
            <w:rStyle w:val="Hyperlink"/>
            <w:sz w:val="17"/>
            <w:szCs w:val="17"/>
          </w:rPr>
          <w:t>https://www.epa.gov/sites/production/files/2018-06/documents/mercury_reporting_requirements_for_the_tsca_mercury_inventory_final_rule.pdf</w:t>
        </w:r>
      </w:hyperlink>
      <w:r w:rsidRPr="00D85862">
        <w:rPr>
          <w:rStyle w:val="Hyperlink"/>
          <w:sz w:val="17"/>
          <w:szCs w:val="17"/>
        </w:rPr>
        <w:t xml:space="preserve">) et </w:t>
      </w:r>
      <w:r w:rsidRPr="00D85862">
        <w:rPr>
          <w:i/>
          <w:iCs/>
          <w:sz w:val="17"/>
          <w:szCs w:val="17"/>
          <w:lang w:val="fr-FR"/>
        </w:rPr>
        <w:t>Inventory of existing mercury-added products and manufacturing processes involving the use of mercury or mercury compounds</w:t>
      </w:r>
      <w:r w:rsidRPr="00D85862">
        <w:rPr>
          <w:iCs/>
          <w:sz w:val="17"/>
          <w:szCs w:val="17"/>
          <w:lang w:val="fr-FR"/>
        </w:rPr>
        <w:t>, Union européenne</w:t>
      </w:r>
      <w:r w:rsidRPr="00D85862">
        <w:rPr>
          <w:sz w:val="17"/>
          <w:szCs w:val="17"/>
          <w:lang w:val="fr-FR"/>
        </w:rPr>
        <w:t xml:space="preserve"> (</w:t>
      </w:r>
      <w:hyperlink r:id="rId18" w:history="1">
        <w:r w:rsidRPr="00D85862">
          <w:rPr>
            <w:rStyle w:val="Hyperlink"/>
            <w:sz w:val="17"/>
            <w:szCs w:val="17"/>
          </w:rPr>
          <w:t>https://circabc.europa.eu/sd/a/ef04cabe-8f8e-484f-8e2f-dcbbc352c5a2/Inventory%20art%208(7)%20Mercury%20Reg%202018-07-02.pdf</w:t>
        </w:r>
      </w:hyperlink>
      <w:r w:rsidRPr="00D85862">
        <w:rPr>
          <w:rStyle w:val="Hyperlink"/>
          <w:sz w:val="17"/>
          <w:szCs w:val="17"/>
        </w:rPr>
        <w:t>)</w:t>
      </w:r>
      <w:r w:rsidRPr="00D85862">
        <w:rPr>
          <w:sz w:val="17"/>
          <w:szCs w:val="17"/>
          <w:lang w:val="fr-FR"/>
        </w:rPr>
        <w:t>.</w:t>
      </w:r>
    </w:p>
    <w:p w14:paraId="687AB6AA" w14:textId="53CAE499" w:rsidR="00FE4330" w:rsidRPr="00D85862" w:rsidRDefault="00FE4330" w:rsidP="00DA6AD1">
      <w:pPr>
        <w:pStyle w:val="Normal-pool"/>
        <w:tabs>
          <w:tab w:val="left" w:pos="720"/>
        </w:tabs>
        <w:spacing w:after="120"/>
        <w:ind w:left="1247"/>
        <w:rPr>
          <w:b/>
          <w:lang w:val="fr-FR"/>
        </w:rPr>
      </w:pPr>
      <w:r w:rsidRPr="00D85862">
        <w:rPr>
          <w:lang w:val="fr-FR"/>
        </w:rPr>
        <w:lastRenderedPageBreak/>
        <w:t>Tableau 2</w:t>
      </w:r>
      <w:r w:rsidRPr="00D85862">
        <w:rPr>
          <w:lang w:val="fr-FR"/>
        </w:rPr>
        <w:br/>
      </w:r>
      <w:r w:rsidRPr="00D85862">
        <w:rPr>
          <w:b/>
          <w:lang w:val="fr-FR"/>
        </w:rPr>
        <w:t>Liste indicative des déchets contenant du mercure ou des composés du mercure (alinéa 2 b) de l</w:t>
      </w:r>
      <w:r w:rsidR="00F205DE" w:rsidRPr="00D85862">
        <w:rPr>
          <w:b/>
          <w:lang w:val="fr-FR"/>
        </w:rPr>
        <w:t>’</w:t>
      </w:r>
      <w:r w:rsidRPr="00D85862">
        <w:rPr>
          <w:b/>
          <w:lang w:val="fr-FR"/>
        </w:rPr>
        <w:t>article 11)</w:t>
      </w:r>
      <w:r w:rsidRPr="00D85862">
        <w:rPr>
          <w:bCs/>
          <w:vertAlign w:val="superscript"/>
          <w:lang w:val="fr-FR"/>
        </w:rPr>
        <w:t>a</w:t>
      </w:r>
    </w:p>
    <w:tbl>
      <w:tblPr>
        <w:tblW w:w="49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00" w:firstRow="0" w:lastRow="0" w:firstColumn="0" w:lastColumn="0" w:noHBand="0" w:noVBand="1"/>
      </w:tblPr>
      <w:tblGrid>
        <w:gridCol w:w="2807"/>
        <w:gridCol w:w="6584"/>
      </w:tblGrid>
      <w:tr w:rsidR="00FE4330" w:rsidRPr="00D85862" w14:paraId="5296BC43"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46BE812F" w14:textId="77777777" w:rsidR="00FE4330" w:rsidRPr="00D85862" w:rsidRDefault="00FE4330" w:rsidP="00DA6AD1">
            <w:pPr>
              <w:pStyle w:val="Normal-pool"/>
              <w:spacing w:after="120"/>
              <w:rPr>
                <w:i/>
                <w:iCs/>
                <w:sz w:val="18"/>
                <w:szCs w:val="18"/>
                <w:lang w:val="fr-FR"/>
              </w:rPr>
            </w:pPr>
            <w:r w:rsidRPr="00D85862">
              <w:rPr>
                <w:i/>
                <w:iCs/>
                <w:sz w:val="18"/>
                <w:szCs w:val="18"/>
                <w:lang w:val="fr-FR"/>
              </w:rPr>
              <w:t>Type de déchet</w:t>
            </w:r>
          </w:p>
        </w:tc>
        <w:tc>
          <w:tcPr>
            <w:tcW w:w="6650" w:type="dxa"/>
            <w:tcBorders>
              <w:top w:val="single" w:sz="4" w:space="0" w:color="000000"/>
              <w:left w:val="single" w:sz="4" w:space="0" w:color="000000"/>
              <w:bottom w:val="single" w:sz="4" w:space="0" w:color="000000"/>
              <w:right w:val="single" w:sz="4" w:space="0" w:color="000000"/>
            </w:tcBorders>
            <w:hideMark/>
          </w:tcPr>
          <w:p w14:paraId="156EB15B" w14:textId="77777777" w:rsidR="00FE4330" w:rsidRPr="00D85862" w:rsidRDefault="00FE4330" w:rsidP="00DA6AD1">
            <w:pPr>
              <w:pStyle w:val="Normal-pool"/>
              <w:spacing w:after="120"/>
              <w:rPr>
                <w:i/>
                <w:iCs/>
                <w:sz w:val="18"/>
                <w:szCs w:val="18"/>
                <w:lang w:val="fr-FR"/>
              </w:rPr>
            </w:pPr>
            <w:r w:rsidRPr="00D85862">
              <w:rPr>
                <w:i/>
                <w:iCs/>
                <w:sz w:val="18"/>
                <w:szCs w:val="18"/>
                <w:lang w:val="fr-FR"/>
              </w:rPr>
              <w:t>Sources de déchets</w:t>
            </w:r>
            <w:r w:rsidRPr="00D85862">
              <w:rPr>
                <w:sz w:val="18"/>
                <w:szCs w:val="18"/>
                <w:vertAlign w:val="superscript"/>
                <w:lang w:val="fr-FR"/>
              </w:rPr>
              <w:t>b</w:t>
            </w:r>
            <w:r w:rsidRPr="00D85862">
              <w:rPr>
                <w:i/>
                <w:iCs/>
                <w:sz w:val="18"/>
                <w:szCs w:val="18"/>
                <w:lang w:val="fr-FR"/>
              </w:rPr>
              <w:t xml:space="preserve"> </w:t>
            </w:r>
          </w:p>
        </w:tc>
      </w:tr>
      <w:tr w:rsidR="00FE4330" w:rsidRPr="00D85862" w14:paraId="4214702F" w14:textId="77777777" w:rsidTr="00FE4330">
        <w:trPr>
          <w:trHeight w:val="702"/>
          <w:jc w:val="center"/>
        </w:trPr>
        <w:tc>
          <w:tcPr>
            <w:tcW w:w="2835" w:type="dxa"/>
            <w:tcBorders>
              <w:top w:val="single" w:sz="4" w:space="0" w:color="000000"/>
              <w:left w:val="single" w:sz="4" w:space="0" w:color="000000"/>
              <w:bottom w:val="single" w:sz="4" w:space="0" w:color="000000"/>
              <w:right w:val="single" w:sz="4" w:space="0" w:color="000000"/>
            </w:tcBorders>
            <w:hideMark/>
          </w:tcPr>
          <w:p w14:paraId="7BC125C3" w14:textId="77777777" w:rsidR="00FE4330" w:rsidRPr="00D85862" w:rsidRDefault="00FE4330" w:rsidP="00A359BF">
            <w:pPr>
              <w:pStyle w:val="Normal-pool"/>
              <w:spacing w:after="60"/>
              <w:rPr>
                <w:sz w:val="18"/>
                <w:szCs w:val="18"/>
                <w:lang w:val="fr-FR"/>
              </w:rPr>
            </w:pPr>
            <w:r w:rsidRPr="00D85862">
              <w:rPr>
                <w:sz w:val="18"/>
                <w:szCs w:val="18"/>
                <w:lang w:val="fr-FR"/>
              </w:rPr>
              <w:t>Instruments de mesure non électroniques (baromètres, hygromètres, manomètres, thermomètres, sphygmomanomètres)</w:t>
            </w:r>
          </w:p>
        </w:tc>
        <w:tc>
          <w:tcPr>
            <w:tcW w:w="6650" w:type="dxa"/>
            <w:tcBorders>
              <w:top w:val="single" w:sz="4" w:space="0" w:color="000000"/>
              <w:left w:val="single" w:sz="4" w:space="0" w:color="000000"/>
              <w:bottom w:val="single" w:sz="4" w:space="0" w:color="000000"/>
              <w:right w:val="single" w:sz="4" w:space="0" w:color="000000"/>
            </w:tcBorders>
          </w:tcPr>
          <w:p w14:paraId="3BD2985C" w14:textId="77777777" w:rsidR="00FE4330" w:rsidRPr="00D85862" w:rsidRDefault="00FE4330" w:rsidP="00A359BF">
            <w:pPr>
              <w:pStyle w:val="Normal-pool"/>
              <w:spacing w:after="60"/>
              <w:rPr>
                <w:sz w:val="18"/>
                <w:szCs w:val="18"/>
                <w:lang w:val="fr-FR"/>
              </w:rPr>
            </w:pPr>
            <w:r w:rsidRPr="00D85862">
              <w:rPr>
                <w:sz w:val="18"/>
                <w:szCs w:val="18"/>
                <w:lang w:val="fr-FR"/>
              </w:rPr>
              <w:t>Hôpitaux, cliniques, établissements de santé (humaine et animale), pharmacies, ménages, écoles, laboratoires, universités, installations industrielles, aéroports, stations météorologiques, chantiers de recyclage des navires</w:t>
            </w:r>
          </w:p>
          <w:p w14:paraId="192BD844" w14:textId="77777777" w:rsidR="00FE4330" w:rsidRPr="00D85862" w:rsidRDefault="00FE4330" w:rsidP="00A359BF">
            <w:pPr>
              <w:pStyle w:val="Normal-pool"/>
              <w:spacing w:after="60"/>
              <w:rPr>
                <w:sz w:val="18"/>
                <w:szCs w:val="18"/>
                <w:lang w:val="fr-FR"/>
              </w:rPr>
            </w:pPr>
          </w:p>
        </w:tc>
      </w:tr>
      <w:tr w:rsidR="00FE4330" w:rsidRPr="00D85862" w14:paraId="1B189EA4" w14:textId="77777777" w:rsidTr="00FE4330">
        <w:trPr>
          <w:trHeight w:val="547"/>
          <w:jc w:val="center"/>
        </w:trPr>
        <w:tc>
          <w:tcPr>
            <w:tcW w:w="2835" w:type="dxa"/>
            <w:tcBorders>
              <w:top w:val="single" w:sz="4" w:space="0" w:color="000000"/>
              <w:left w:val="single" w:sz="4" w:space="0" w:color="000000"/>
              <w:bottom w:val="single" w:sz="4" w:space="0" w:color="000000"/>
              <w:right w:val="single" w:sz="4" w:space="0" w:color="000000"/>
            </w:tcBorders>
            <w:hideMark/>
          </w:tcPr>
          <w:p w14:paraId="25209FDB" w14:textId="77777777" w:rsidR="00FE4330" w:rsidRPr="00D85862" w:rsidRDefault="00FE4330" w:rsidP="00A359BF">
            <w:pPr>
              <w:pStyle w:val="Normal-pool"/>
              <w:spacing w:after="60"/>
              <w:rPr>
                <w:sz w:val="18"/>
                <w:szCs w:val="18"/>
                <w:lang w:val="fr-FR"/>
              </w:rPr>
            </w:pPr>
            <w:r w:rsidRPr="00D85862">
              <w:rPr>
                <w:sz w:val="18"/>
                <w:szCs w:val="18"/>
                <w:lang w:val="fr-FR"/>
              </w:rPr>
              <w:t xml:space="preserve">Commutateurs, contacts, relais électriques et électroniques, et connecteurs électriques rotatifs contenant du mercure  </w:t>
            </w:r>
          </w:p>
        </w:tc>
        <w:tc>
          <w:tcPr>
            <w:tcW w:w="6650" w:type="dxa"/>
            <w:tcBorders>
              <w:top w:val="single" w:sz="4" w:space="0" w:color="000000"/>
              <w:left w:val="single" w:sz="4" w:space="0" w:color="000000"/>
              <w:bottom w:val="single" w:sz="4" w:space="0" w:color="000000"/>
              <w:right w:val="single" w:sz="4" w:space="0" w:color="000000"/>
            </w:tcBorders>
            <w:hideMark/>
          </w:tcPr>
          <w:p w14:paraId="6FA153CC" w14:textId="29B0A5D6" w:rsidR="00FE4330" w:rsidRPr="00D85862" w:rsidRDefault="00FE4330" w:rsidP="00A359BF">
            <w:pPr>
              <w:pStyle w:val="Normal-pool"/>
              <w:spacing w:after="60"/>
              <w:rPr>
                <w:sz w:val="18"/>
                <w:szCs w:val="18"/>
                <w:lang w:val="fr-FR"/>
              </w:rPr>
            </w:pPr>
            <w:r w:rsidRPr="00D85862">
              <w:rPr>
                <w:sz w:val="18"/>
                <w:szCs w:val="18"/>
                <w:lang w:val="fr-FR"/>
              </w:rPr>
              <w:t>Installations de démantèlement des déchets de matériel électrique et électronique (relais, connecteurs et commutateurs), installations industrielles (avec chaudières), ménages, bureaux</w:t>
            </w:r>
          </w:p>
        </w:tc>
      </w:tr>
      <w:tr w:rsidR="00FE4330" w:rsidRPr="00D85862" w14:paraId="03863BDF" w14:textId="77777777" w:rsidTr="00FE4330">
        <w:trPr>
          <w:trHeight w:val="260"/>
          <w:jc w:val="center"/>
        </w:trPr>
        <w:tc>
          <w:tcPr>
            <w:tcW w:w="2835" w:type="dxa"/>
            <w:tcBorders>
              <w:top w:val="single" w:sz="4" w:space="0" w:color="000000"/>
              <w:left w:val="single" w:sz="4" w:space="0" w:color="000000"/>
              <w:bottom w:val="single" w:sz="4" w:space="0" w:color="000000"/>
              <w:right w:val="single" w:sz="4" w:space="0" w:color="000000"/>
            </w:tcBorders>
            <w:hideMark/>
          </w:tcPr>
          <w:p w14:paraId="1A8AB1DA" w14:textId="660CCF79" w:rsidR="00FE4330" w:rsidRPr="00D85862" w:rsidRDefault="00FE4330" w:rsidP="00A359BF">
            <w:pPr>
              <w:pStyle w:val="Normal-pool"/>
              <w:spacing w:after="60"/>
              <w:rPr>
                <w:sz w:val="18"/>
                <w:szCs w:val="18"/>
                <w:lang w:val="fr-FR"/>
              </w:rPr>
            </w:pPr>
            <w:r w:rsidRPr="00D85862">
              <w:rPr>
                <w:sz w:val="18"/>
                <w:szCs w:val="18"/>
                <w:lang w:val="fr-FR"/>
              </w:rPr>
              <w:t>Ampoules fluorescentes, ampoules à décharge à haute intensité (DHI) (ampoules à vapeur de mercure, ampoules sodium aux halogénures métalliques et sous haute pression), lampes au néon/à l</w:t>
            </w:r>
            <w:r w:rsidR="00F205DE" w:rsidRPr="00D85862">
              <w:rPr>
                <w:sz w:val="18"/>
                <w:szCs w:val="18"/>
                <w:lang w:val="fr-FR"/>
              </w:rPr>
              <w:t>’</w:t>
            </w:r>
            <w:r w:rsidRPr="00D85862">
              <w:rPr>
                <w:sz w:val="18"/>
                <w:szCs w:val="18"/>
                <w:lang w:val="fr-FR"/>
              </w:rPr>
              <w:t>argon</w:t>
            </w:r>
          </w:p>
        </w:tc>
        <w:tc>
          <w:tcPr>
            <w:tcW w:w="6650" w:type="dxa"/>
            <w:tcBorders>
              <w:top w:val="single" w:sz="4" w:space="0" w:color="000000"/>
              <w:left w:val="single" w:sz="4" w:space="0" w:color="000000"/>
              <w:bottom w:val="single" w:sz="4" w:space="0" w:color="000000"/>
              <w:right w:val="single" w:sz="4" w:space="0" w:color="000000"/>
            </w:tcBorders>
            <w:hideMark/>
          </w:tcPr>
          <w:p w14:paraId="55D5BB7B" w14:textId="78D6DDED" w:rsidR="00FE4330" w:rsidRPr="00D85862" w:rsidRDefault="00FE4330" w:rsidP="00A359BF">
            <w:pPr>
              <w:pStyle w:val="Normal-pool"/>
              <w:spacing w:after="60"/>
              <w:rPr>
                <w:sz w:val="18"/>
                <w:szCs w:val="18"/>
                <w:lang w:val="fr-FR"/>
              </w:rPr>
            </w:pPr>
            <w:r w:rsidRPr="00D85862">
              <w:rPr>
                <w:sz w:val="18"/>
                <w:szCs w:val="18"/>
                <w:lang w:val="fr-FR"/>
              </w:rPr>
              <w:t xml:space="preserve">Ménages, installations industrielles et commerciales, constructeurs automobiles, points de collecte </w:t>
            </w:r>
          </w:p>
        </w:tc>
      </w:tr>
      <w:tr w:rsidR="00FE4330" w:rsidRPr="00D85862" w14:paraId="0DE92CFB"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4FB399DA" w14:textId="77777777" w:rsidR="00FE4330" w:rsidRPr="00D85862" w:rsidRDefault="00FE4330" w:rsidP="00A359BF">
            <w:pPr>
              <w:pStyle w:val="Normal-pool"/>
              <w:spacing w:after="60"/>
              <w:rPr>
                <w:sz w:val="18"/>
                <w:szCs w:val="18"/>
                <w:lang w:val="fr-FR"/>
              </w:rPr>
            </w:pPr>
            <w:r w:rsidRPr="00D85862">
              <w:rPr>
                <w:sz w:val="18"/>
                <w:szCs w:val="18"/>
                <w:lang w:val="fr-FR"/>
              </w:rPr>
              <w:t>Piles/accumulateurs contenant du mercure</w:t>
            </w:r>
          </w:p>
        </w:tc>
        <w:tc>
          <w:tcPr>
            <w:tcW w:w="6650" w:type="dxa"/>
            <w:tcBorders>
              <w:top w:val="single" w:sz="4" w:space="0" w:color="000000"/>
              <w:left w:val="single" w:sz="4" w:space="0" w:color="000000"/>
              <w:bottom w:val="single" w:sz="4" w:space="0" w:color="000000"/>
              <w:right w:val="single" w:sz="4" w:space="0" w:color="000000"/>
            </w:tcBorders>
            <w:hideMark/>
          </w:tcPr>
          <w:p w14:paraId="382210BE" w14:textId="148030E6" w:rsidR="00FE4330" w:rsidRPr="00D85862" w:rsidRDefault="00FE4330" w:rsidP="00A359BF">
            <w:pPr>
              <w:pStyle w:val="Normal-pool"/>
              <w:spacing w:after="60"/>
              <w:rPr>
                <w:sz w:val="18"/>
                <w:szCs w:val="18"/>
                <w:lang w:val="fr-FR"/>
              </w:rPr>
            </w:pPr>
            <w:r w:rsidRPr="00D85862">
              <w:rPr>
                <w:sz w:val="18"/>
                <w:szCs w:val="18"/>
                <w:lang w:val="fr-FR"/>
              </w:rPr>
              <w:t>Ménages, installations industrielles et commerciales, points de collecte</w:t>
            </w:r>
          </w:p>
        </w:tc>
      </w:tr>
      <w:tr w:rsidR="00FE4330" w:rsidRPr="00D85862" w14:paraId="145CDD4B"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456F587F" w14:textId="77777777" w:rsidR="00FE4330" w:rsidRPr="00D85862" w:rsidRDefault="00FE4330" w:rsidP="00A359BF">
            <w:pPr>
              <w:pStyle w:val="Normal-pool"/>
              <w:spacing w:after="60"/>
              <w:rPr>
                <w:sz w:val="18"/>
                <w:szCs w:val="18"/>
                <w:lang w:val="fr-FR"/>
              </w:rPr>
            </w:pPr>
            <w:r w:rsidRPr="00D85862">
              <w:rPr>
                <w:sz w:val="18"/>
                <w:szCs w:val="18"/>
                <w:lang w:val="fr-FR"/>
              </w:rPr>
              <w:t>Biocides et pesticides contenant du mercure ainsi que leurs formulations et produits dérivés</w:t>
            </w:r>
          </w:p>
        </w:tc>
        <w:tc>
          <w:tcPr>
            <w:tcW w:w="6650" w:type="dxa"/>
            <w:tcBorders>
              <w:top w:val="single" w:sz="4" w:space="0" w:color="000000"/>
              <w:left w:val="single" w:sz="4" w:space="0" w:color="000000"/>
              <w:bottom w:val="single" w:sz="4" w:space="0" w:color="000000"/>
              <w:right w:val="single" w:sz="4" w:space="0" w:color="000000"/>
            </w:tcBorders>
            <w:hideMark/>
          </w:tcPr>
          <w:p w14:paraId="5BA2ECA2" w14:textId="14E0962A" w:rsidR="00FE4330" w:rsidRPr="00D85862" w:rsidRDefault="00FE4330" w:rsidP="00A359BF">
            <w:pPr>
              <w:pStyle w:val="Normal-pool"/>
              <w:spacing w:after="60"/>
              <w:rPr>
                <w:sz w:val="18"/>
                <w:szCs w:val="18"/>
                <w:lang w:val="fr-FR"/>
              </w:rPr>
            </w:pPr>
            <w:r w:rsidRPr="00D85862">
              <w:rPr>
                <w:sz w:val="18"/>
                <w:szCs w:val="18"/>
                <w:lang w:val="fr-FR"/>
              </w:rPr>
              <w:t>Installations agricoles, horticoles, industrielles et commerciales (y compris stocks), laboratoires</w:t>
            </w:r>
          </w:p>
        </w:tc>
      </w:tr>
      <w:tr w:rsidR="00FE4330" w:rsidRPr="00D85862" w14:paraId="14AD54AF"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49A242F0" w14:textId="77777777" w:rsidR="00FE4330" w:rsidRPr="00D85862" w:rsidRDefault="00FE4330" w:rsidP="00A359BF">
            <w:pPr>
              <w:pStyle w:val="Normal-pool"/>
              <w:spacing w:after="60"/>
              <w:rPr>
                <w:sz w:val="18"/>
                <w:szCs w:val="18"/>
                <w:lang w:val="fr-FR"/>
              </w:rPr>
            </w:pPr>
            <w:r w:rsidRPr="00D85862">
              <w:rPr>
                <w:sz w:val="18"/>
                <w:szCs w:val="18"/>
                <w:lang w:val="fr-FR"/>
              </w:rPr>
              <w:t xml:space="preserve">Peintures et vernis contenant du mercure </w:t>
            </w:r>
          </w:p>
        </w:tc>
        <w:tc>
          <w:tcPr>
            <w:tcW w:w="6650" w:type="dxa"/>
            <w:tcBorders>
              <w:top w:val="single" w:sz="4" w:space="0" w:color="000000"/>
              <w:left w:val="single" w:sz="4" w:space="0" w:color="000000"/>
              <w:bottom w:val="single" w:sz="4" w:space="0" w:color="000000"/>
              <w:right w:val="single" w:sz="4" w:space="0" w:color="000000"/>
            </w:tcBorders>
            <w:hideMark/>
          </w:tcPr>
          <w:p w14:paraId="70EECFF8" w14:textId="06ED7BFD" w:rsidR="00FE4330" w:rsidRPr="00D85862" w:rsidRDefault="00FE4330" w:rsidP="00A359BF">
            <w:pPr>
              <w:pStyle w:val="Normal-pool"/>
              <w:spacing w:after="60"/>
              <w:rPr>
                <w:sz w:val="18"/>
                <w:szCs w:val="18"/>
                <w:lang w:val="fr-FR"/>
              </w:rPr>
            </w:pPr>
            <w:r w:rsidRPr="00D85862">
              <w:rPr>
                <w:sz w:val="18"/>
                <w:szCs w:val="18"/>
                <w:lang w:val="fr-FR"/>
              </w:rPr>
              <w:t>Installations industrielles et commerciales, ménages</w:t>
            </w:r>
          </w:p>
        </w:tc>
      </w:tr>
      <w:tr w:rsidR="00FE4330" w:rsidRPr="00D85862" w14:paraId="28CF66C5"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58966D27" w14:textId="77777777" w:rsidR="00FE4330" w:rsidRPr="00D85862" w:rsidRDefault="00FE4330" w:rsidP="00A359BF">
            <w:pPr>
              <w:pStyle w:val="Normal-pool"/>
              <w:spacing w:after="60"/>
              <w:rPr>
                <w:sz w:val="18"/>
                <w:szCs w:val="18"/>
                <w:lang w:val="fr-FR"/>
              </w:rPr>
            </w:pPr>
            <w:r w:rsidRPr="00D85862">
              <w:rPr>
                <w:sz w:val="18"/>
                <w:szCs w:val="18"/>
                <w:lang w:val="fr-FR"/>
              </w:rPr>
              <w:t>Produits pharmaceutiques contenant du mercure à usage humain et vétérinaire, y compris vaccins</w:t>
            </w:r>
          </w:p>
        </w:tc>
        <w:tc>
          <w:tcPr>
            <w:tcW w:w="6650" w:type="dxa"/>
            <w:tcBorders>
              <w:top w:val="single" w:sz="4" w:space="0" w:color="000000"/>
              <w:left w:val="single" w:sz="4" w:space="0" w:color="000000"/>
              <w:bottom w:val="single" w:sz="4" w:space="0" w:color="000000"/>
              <w:right w:val="single" w:sz="4" w:space="0" w:color="000000"/>
            </w:tcBorders>
            <w:hideMark/>
          </w:tcPr>
          <w:p w14:paraId="1DE6581F" w14:textId="5FBA4B43" w:rsidR="00FE4330" w:rsidRPr="00D85862" w:rsidRDefault="00FE4330" w:rsidP="00A359BF">
            <w:pPr>
              <w:pStyle w:val="Normal-pool"/>
              <w:spacing w:after="60"/>
              <w:rPr>
                <w:sz w:val="18"/>
                <w:szCs w:val="18"/>
                <w:lang w:val="fr-FR"/>
              </w:rPr>
            </w:pPr>
            <w:r w:rsidRPr="00D85862">
              <w:rPr>
                <w:sz w:val="18"/>
                <w:szCs w:val="18"/>
                <w:lang w:val="fr-FR"/>
              </w:rPr>
              <w:t>Installations industrielles et établissements de santé (y compris stocks), industrie animale</w:t>
            </w:r>
          </w:p>
        </w:tc>
      </w:tr>
      <w:tr w:rsidR="00FE4330" w:rsidRPr="00D85862" w14:paraId="4AB892E8"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37A64E50" w14:textId="77777777" w:rsidR="00FE4330" w:rsidRPr="00D85862" w:rsidRDefault="00FE4330" w:rsidP="00A359BF">
            <w:pPr>
              <w:pStyle w:val="Normal-pool"/>
              <w:spacing w:after="60"/>
              <w:rPr>
                <w:sz w:val="18"/>
                <w:szCs w:val="18"/>
                <w:lang w:val="fr-FR"/>
              </w:rPr>
            </w:pPr>
            <w:r w:rsidRPr="00D85862">
              <w:rPr>
                <w:sz w:val="18"/>
                <w:szCs w:val="18"/>
                <w:lang w:val="fr-FR"/>
              </w:rPr>
              <w:t>Cosmétiques et produits connexes contenant du mercure</w:t>
            </w:r>
          </w:p>
        </w:tc>
        <w:tc>
          <w:tcPr>
            <w:tcW w:w="6650" w:type="dxa"/>
            <w:tcBorders>
              <w:top w:val="single" w:sz="4" w:space="0" w:color="000000"/>
              <w:left w:val="single" w:sz="4" w:space="0" w:color="000000"/>
              <w:bottom w:val="single" w:sz="4" w:space="0" w:color="000000"/>
              <w:right w:val="single" w:sz="4" w:space="0" w:color="000000"/>
            </w:tcBorders>
            <w:hideMark/>
          </w:tcPr>
          <w:p w14:paraId="02171621" w14:textId="77777777" w:rsidR="00FE4330" w:rsidRPr="00D85862" w:rsidRDefault="00FE4330" w:rsidP="00A359BF">
            <w:pPr>
              <w:pStyle w:val="Normal-pool"/>
              <w:spacing w:after="60"/>
              <w:rPr>
                <w:sz w:val="18"/>
                <w:szCs w:val="18"/>
                <w:lang w:val="fr-FR"/>
              </w:rPr>
            </w:pPr>
            <w:r w:rsidRPr="00D85862">
              <w:rPr>
                <w:sz w:val="18"/>
                <w:szCs w:val="18"/>
                <w:lang w:val="fr-FR"/>
              </w:rPr>
              <w:t>Installations industrielles (y compris stocks)</w:t>
            </w:r>
          </w:p>
        </w:tc>
      </w:tr>
      <w:tr w:rsidR="00FE4330" w:rsidRPr="00D85862" w14:paraId="0523A06A"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25E89A7D" w14:textId="77777777" w:rsidR="00FE4330" w:rsidRPr="00D85862" w:rsidRDefault="00FE4330" w:rsidP="00A359BF">
            <w:pPr>
              <w:pStyle w:val="Normal-pool"/>
              <w:spacing w:after="60"/>
              <w:rPr>
                <w:sz w:val="18"/>
                <w:szCs w:val="18"/>
                <w:lang w:val="fr-FR"/>
              </w:rPr>
            </w:pPr>
            <w:r w:rsidRPr="00D85862">
              <w:rPr>
                <w:sz w:val="18"/>
                <w:szCs w:val="18"/>
                <w:lang w:val="fr-FR"/>
              </w:rPr>
              <w:t>Amalgames dentaires</w:t>
            </w:r>
          </w:p>
        </w:tc>
        <w:tc>
          <w:tcPr>
            <w:tcW w:w="6650" w:type="dxa"/>
            <w:tcBorders>
              <w:top w:val="single" w:sz="4" w:space="0" w:color="000000"/>
              <w:left w:val="single" w:sz="4" w:space="0" w:color="000000"/>
              <w:bottom w:val="single" w:sz="4" w:space="0" w:color="000000"/>
              <w:right w:val="single" w:sz="4" w:space="0" w:color="000000"/>
            </w:tcBorders>
            <w:hideMark/>
          </w:tcPr>
          <w:p w14:paraId="677B6D79" w14:textId="77777777" w:rsidR="00FE4330" w:rsidRPr="00D85862" w:rsidRDefault="00FE4330" w:rsidP="00A359BF">
            <w:pPr>
              <w:pStyle w:val="Normal-pool"/>
              <w:spacing w:after="60"/>
              <w:rPr>
                <w:sz w:val="18"/>
                <w:szCs w:val="18"/>
                <w:lang w:val="fr-FR"/>
              </w:rPr>
            </w:pPr>
            <w:r w:rsidRPr="00D85862">
              <w:rPr>
                <w:sz w:val="18"/>
                <w:szCs w:val="18"/>
                <w:lang w:val="fr-FR"/>
              </w:rPr>
              <w:t>Cabinets dentaires, écoles dentaires, crématoriums</w:t>
            </w:r>
          </w:p>
        </w:tc>
      </w:tr>
      <w:tr w:rsidR="00FE4330" w:rsidRPr="00D85862" w14:paraId="6F771303" w14:textId="77777777" w:rsidTr="00FE4330">
        <w:trPr>
          <w:trHeight w:val="459"/>
          <w:jc w:val="center"/>
        </w:trPr>
        <w:tc>
          <w:tcPr>
            <w:tcW w:w="2835" w:type="dxa"/>
            <w:tcBorders>
              <w:top w:val="single" w:sz="4" w:space="0" w:color="000000"/>
              <w:left w:val="single" w:sz="4" w:space="0" w:color="000000"/>
              <w:bottom w:val="single" w:sz="4" w:space="0" w:color="000000"/>
              <w:right w:val="single" w:sz="4" w:space="0" w:color="000000"/>
            </w:tcBorders>
            <w:hideMark/>
          </w:tcPr>
          <w:p w14:paraId="42CDB3BC" w14:textId="2F57703C" w:rsidR="00FE4330" w:rsidRPr="00D85862" w:rsidRDefault="00FE4330" w:rsidP="00A359BF">
            <w:pPr>
              <w:pStyle w:val="Normal-pool"/>
              <w:spacing w:after="60"/>
              <w:rPr>
                <w:sz w:val="18"/>
                <w:szCs w:val="18"/>
                <w:lang w:val="fr-FR"/>
              </w:rPr>
            </w:pPr>
            <w:r w:rsidRPr="00D85862">
              <w:rPr>
                <w:sz w:val="18"/>
                <w:szCs w:val="18"/>
                <w:lang w:val="fr-FR"/>
              </w:rPr>
              <w:t>Instrument scientifique utilisé pour l</w:t>
            </w:r>
            <w:r w:rsidR="00F205DE" w:rsidRPr="00D85862">
              <w:rPr>
                <w:sz w:val="18"/>
                <w:szCs w:val="18"/>
                <w:lang w:val="fr-FR"/>
              </w:rPr>
              <w:t>’</w:t>
            </w:r>
            <w:r w:rsidRPr="00D85862">
              <w:rPr>
                <w:sz w:val="18"/>
                <w:szCs w:val="18"/>
                <w:lang w:val="fr-FR"/>
              </w:rPr>
              <w:t xml:space="preserve">étalonnage de dispositifs médicaux ou scientifiques </w:t>
            </w:r>
          </w:p>
        </w:tc>
        <w:tc>
          <w:tcPr>
            <w:tcW w:w="6650" w:type="dxa"/>
            <w:tcBorders>
              <w:top w:val="single" w:sz="4" w:space="0" w:color="000000"/>
              <w:left w:val="single" w:sz="4" w:space="0" w:color="000000"/>
              <w:bottom w:val="single" w:sz="4" w:space="0" w:color="000000"/>
              <w:right w:val="single" w:sz="4" w:space="0" w:color="000000"/>
            </w:tcBorders>
            <w:hideMark/>
          </w:tcPr>
          <w:p w14:paraId="68751A19" w14:textId="77777777" w:rsidR="00FE4330" w:rsidRPr="00D85862" w:rsidRDefault="00FE4330" w:rsidP="00A359BF">
            <w:pPr>
              <w:pStyle w:val="Normal-pool"/>
              <w:spacing w:after="60"/>
              <w:rPr>
                <w:sz w:val="18"/>
                <w:szCs w:val="18"/>
                <w:lang w:val="fr-FR"/>
              </w:rPr>
            </w:pPr>
            <w:r w:rsidRPr="00D85862">
              <w:rPr>
                <w:sz w:val="18"/>
                <w:szCs w:val="18"/>
                <w:lang w:val="fr-FR"/>
              </w:rPr>
              <w:t>Laboratoires, institutions</w:t>
            </w:r>
            <w:r w:rsidRPr="00D85862">
              <w:rPr>
                <w:sz w:val="18"/>
                <w:szCs w:val="18"/>
                <w:vertAlign w:val="superscript"/>
                <w:lang w:val="fr-FR"/>
              </w:rPr>
              <w:t>c</w:t>
            </w:r>
            <w:r w:rsidRPr="00D85862">
              <w:rPr>
                <w:sz w:val="18"/>
                <w:szCs w:val="18"/>
                <w:lang w:val="fr-FR"/>
              </w:rPr>
              <w:t xml:space="preserve"> (y compris stocks)</w:t>
            </w:r>
          </w:p>
        </w:tc>
      </w:tr>
      <w:tr w:rsidR="00FE4330" w:rsidRPr="00D85862" w14:paraId="78C467D9"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46214370" w14:textId="77777777" w:rsidR="00FE4330" w:rsidRPr="00D85862" w:rsidRDefault="00FE4330" w:rsidP="00A359BF">
            <w:pPr>
              <w:pStyle w:val="Normal-pool"/>
              <w:spacing w:after="60"/>
              <w:rPr>
                <w:sz w:val="18"/>
                <w:szCs w:val="18"/>
                <w:lang w:val="fr-FR"/>
              </w:rPr>
            </w:pPr>
            <w:r w:rsidRPr="00D85862">
              <w:rPr>
                <w:sz w:val="18"/>
                <w:szCs w:val="18"/>
                <w:lang w:val="fr-FR"/>
              </w:rPr>
              <w:t>Autres produits contenant du mercure</w:t>
            </w:r>
            <w:r w:rsidRPr="00D85862">
              <w:rPr>
                <w:sz w:val="18"/>
                <w:szCs w:val="18"/>
                <w:vertAlign w:val="superscript"/>
                <w:lang w:val="fr-FR"/>
              </w:rPr>
              <w:t>d</w:t>
            </w:r>
            <w:r w:rsidRPr="00D85862">
              <w:rPr>
                <w:sz w:val="18"/>
                <w:szCs w:val="18"/>
                <w:lang w:val="fr-FR"/>
              </w:rPr>
              <w:t xml:space="preserve"> </w:t>
            </w:r>
          </w:p>
        </w:tc>
        <w:tc>
          <w:tcPr>
            <w:tcW w:w="6650" w:type="dxa"/>
            <w:tcBorders>
              <w:top w:val="single" w:sz="4" w:space="0" w:color="000000"/>
              <w:left w:val="single" w:sz="4" w:space="0" w:color="000000"/>
              <w:bottom w:val="single" w:sz="4" w:space="0" w:color="000000"/>
              <w:right w:val="single" w:sz="4" w:space="0" w:color="000000"/>
            </w:tcBorders>
            <w:hideMark/>
          </w:tcPr>
          <w:p w14:paraId="05250884" w14:textId="77777777" w:rsidR="00FE4330" w:rsidRPr="00D85862" w:rsidRDefault="00FE4330" w:rsidP="00A359BF">
            <w:pPr>
              <w:pStyle w:val="Normal-pool"/>
              <w:spacing w:after="60"/>
              <w:rPr>
                <w:sz w:val="18"/>
                <w:szCs w:val="18"/>
                <w:lang w:val="fr-FR"/>
              </w:rPr>
            </w:pPr>
            <w:r w:rsidRPr="00D85862">
              <w:rPr>
                <w:sz w:val="18"/>
                <w:szCs w:val="18"/>
                <w:lang w:val="fr-FR"/>
              </w:rPr>
              <w:t>Nombreuses sources diverses</w:t>
            </w:r>
          </w:p>
        </w:tc>
      </w:tr>
      <w:tr w:rsidR="00FE4330" w:rsidRPr="00D85862" w14:paraId="7DF47894"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21D0DD01" w14:textId="77777777" w:rsidR="00FE4330" w:rsidRPr="00D85862" w:rsidRDefault="00FE4330" w:rsidP="00A359BF">
            <w:pPr>
              <w:pStyle w:val="Normal-pool"/>
              <w:spacing w:after="60"/>
              <w:rPr>
                <w:sz w:val="18"/>
                <w:szCs w:val="18"/>
                <w:lang w:val="fr-FR"/>
              </w:rPr>
            </w:pPr>
            <w:r w:rsidRPr="00D85862">
              <w:rPr>
                <w:sz w:val="18"/>
                <w:szCs w:val="18"/>
                <w:lang w:val="fr-FR"/>
              </w:rPr>
              <w:t>Produits essentiels à des fins militaires et de protection civile</w:t>
            </w:r>
            <w:r w:rsidRPr="00D85862">
              <w:rPr>
                <w:sz w:val="18"/>
                <w:szCs w:val="18"/>
                <w:vertAlign w:val="superscript"/>
                <w:lang w:val="fr-FR"/>
              </w:rPr>
              <w:t>e</w:t>
            </w:r>
          </w:p>
        </w:tc>
        <w:tc>
          <w:tcPr>
            <w:tcW w:w="6650" w:type="dxa"/>
            <w:tcBorders>
              <w:top w:val="single" w:sz="4" w:space="0" w:color="000000"/>
              <w:left w:val="single" w:sz="4" w:space="0" w:color="000000"/>
              <w:bottom w:val="single" w:sz="4" w:space="0" w:color="000000"/>
              <w:right w:val="single" w:sz="4" w:space="0" w:color="000000"/>
            </w:tcBorders>
            <w:hideMark/>
          </w:tcPr>
          <w:p w14:paraId="64BB3BDD" w14:textId="77777777" w:rsidR="00FE4330" w:rsidRPr="00D85862" w:rsidRDefault="00FE4330" w:rsidP="00A359BF">
            <w:pPr>
              <w:pStyle w:val="Normal-pool"/>
              <w:spacing w:after="60"/>
              <w:rPr>
                <w:sz w:val="18"/>
                <w:szCs w:val="18"/>
                <w:lang w:val="fr-FR"/>
              </w:rPr>
            </w:pPr>
            <w:r w:rsidRPr="00D85862">
              <w:rPr>
                <w:sz w:val="18"/>
                <w:szCs w:val="18"/>
                <w:lang w:val="fr-FR"/>
              </w:rPr>
              <w:t>Installations militaires (y compris stocks)</w:t>
            </w:r>
          </w:p>
        </w:tc>
      </w:tr>
    </w:tbl>
    <w:p w14:paraId="147A2309" w14:textId="58613C8E" w:rsidR="00FE4330" w:rsidRPr="00D85862" w:rsidRDefault="00FE4330" w:rsidP="00006932">
      <w:pPr>
        <w:pStyle w:val="Normal-pool"/>
        <w:tabs>
          <w:tab w:val="clear" w:pos="1247"/>
        </w:tabs>
        <w:spacing w:before="60" w:after="60"/>
        <w:ind w:left="567"/>
        <w:rPr>
          <w:sz w:val="17"/>
          <w:szCs w:val="17"/>
          <w:lang w:val="fr-FR"/>
        </w:rPr>
      </w:pPr>
      <w:r w:rsidRPr="00D85862">
        <w:rPr>
          <w:sz w:val="17"/>
          <w:szCs w:val="17"/>
          <w:vertAlign w:val="superscript"/>
          <w:lang w:val="fr-FR"/>
        </w:rPr>
        <w:t>a</w:t>
      </w:r>
      <w:r w:rsidRPr="00D85862">
        <w:rPr>
          <w:sz w:val="17"/>
          <w:szCs w:val="17"/>
          <w:lang w:val="fr-FR"/>
        </w:rPr>
        <w:t xml:space="preserve"> Les produits contenant du mercure ajouté  qui figur</w:t>
      </w:r>
      <w:r w:rsidR="008E5C6B" w:rsidRPr="00D85862">
        <w:rPr>
          <w:sz w:val="17"/>
          <w:szCs w:val="17"/>
          <w:lang w:val="fr-FR"/>
        </w:rPr>
        <w:t>e</w:t>
      </w:r>
      <w:r w:rsidRPr="00D85862">
        <w:rPr>
          <w:sz w:val="17"/>
          <w:szCs w:val="17"/>
          <w:lang w:val="fr-FR"/>
        </w:rPr>
        <w:t>nt dans la colonne « Type de déchet » de ce tableau sont considérés comme des déchets au sens de l</w:t>
      </w:r>
      <w:r w:rsidR="00F205DE" w:rsidRPr="00D85862">
        <w:rPr>
          <w:sz w:val="17"/>
          <w:szCs w:val="17"/>
          <w:lang w:val="fr-FR"/>
        </w:rPr>
        <w:t>’</w:t>
      </w:r>
      <w:r w:rsidRPr="00D85862">
        <w:rPr>
          <w:sz w:val="17"/>
          <w:szCs w:val="17"/>
          <w:lang w:val="fr-FR"/>
        </w:rPr>
        <w:t>alinéa 2 b) de l</w:t>
      </w:r>
      <w:r w:rsidR="00F205DE" w:rsidRPr="00D85862">
        <w:rPr>
          <w:sz w:val="17"/>
          <w:szCs w:val="17"/>
          <w:lang w:val="fr-FR"/>
        </w:rPr>
        <w:t>’</w:t>
      </w:r>
      <w:r w:rsidRPr="00D85862">
        <w:rPr>
          <w:sz w:val="17"/>
          <w:szCs w:val="17"/>
          <w:lang w:val="fr-FR"/>
        </w:rPr>
        <w:t>article 11 lorsqu</w:t>
      </w:r>
      <w:r w:rsidR="00F205DE" w:rsidRPr="00D85862">
        <w:rPr>
          <w:sz w:val="17"/>
          <w:szCs w:val="17"/>
          <w:lang w:val="fr-FR"/>
        </w:rPr>
        <w:t>’</w:t>
      </w:r>
      <w:r w:rsidRPr="00D85862">
        <w:rPr>
          <w:sz w:val="17"/>
          <w:szCs w:val="17"/>
          <w:lang w:val="fr-FR"/>
        </w:rPr>
        <w:t>ils arrivent en fin de vie, qu</w:t>
      </w:r>
      <w:r w:rsidR="00F205DE" w:rsidRPr="00D85862">
        <w:rPr>
          <w:sz w:val="17"/>
          <w:szCs w:val="17"/>
          <w:lang w:val="fr-FR"/>
        </w:rPr>
        <w:t>’</w:t>
      </w:r>
      <w:r w:rsidRPr="00D85862">
        <w:rPr>
          <w:sz w:val="17"/>
          <w:szCs w:val="17"/>
          <w:lang w:val="fr-FR"/>
        </w:rPr>
        <w:t>ils deviennent obsolètes ou cassés, ou qu</w:t>
      </w:r>
      <w:r w:rsidR="00F205DE" w:rsidRPr="00D85862">
        <w:rPr>
          <w:sz w:val="17"/>
          <w:szCs w:val="17"/>
          <w:lang w:val="fr-FR"/>
        </w:rPr>
        <w:t>’</w:t>
      </w:r>
      <w:r w:rsidRPr="00D85862">
        <w:rPr>
          <w:sz w:val="17"/>
          <w:szCs w:val="17"/>
          <w:lang w:val="fr-FR"/>
        </w:rPr>
        <w:t>ils sont mis au rebut.</w:t>
      </w:r>
      <w:r w:rsidR="0065415D" w:rsidRPr="00D85862">
        <w:rPr>
          <w:sz w:val="17"/>
          <w:szCs w:val="17"/>
          <w:lang w:val="fr-FR"/>
        </w:rPr>
        <w:br/>
      </w:r>
      <w:r w:rsidRPr="00D85862">
        <w:rPr>
          <w:sz w:val="17"/>
          <w:szCs w:val="17"/>
          <w:vertAlign w:val="superscript"/>
          <w:lang w:val="fr-FR"/>
        </w:rPr>
        <w:t>b</w:t>
      </w:r>
      <w:r w:rsidRPr="00D85862">
        <w:rPr>
          <w:sz w:val="17"/>
          <w:szCs w:val="17"/>
          <w:lang w:val="fr-FR"/>
        </w:rPr>
        <w:t xml:space="preserve"> Une installation ou activité dans laquelle  il est probable que des déchets soient générés ou accumulés.</w:t>
      </w:r>
      <w:r w:rsidR="0065415D" w:rsidRPr="00D85862">
        <w:rPr>
          <w:sz w:val="17"/>
          <w:szCs w:val="17"/>
          <w:lang w:val="fr-FR"/>
        </w:rPr>
        <w:br/>
      </w:r>
      <w:r w:rsidRPr="00D85862">
        <w:rPr>
          <w:sz w:val="17"/>
          <w:szCs w:val="17"/>
          <w:vertAlign w:val="superscript"/>
          <w:lang w:val="fr-FR"/>
        </w:rPr>
        <w:t>c</w:t>
      </w:r>
      <w:r w:rsidRPr="00D85862">
        <w:rPr>
          <w:sz w:val="17"/>
          <w:szCs w:val="17"/>
          <w:lang w:val="fr-FR"/>
        </w:rPr>
        <w:t xml:space="preserve"> Institutions publiques et privées.</w:t>
      </w:r>
      <w:r w:rsidR="0065415D" w:rsidRPr="00D85862">
        <w:rPr>
          <w:sz w:val="17"/>
          <w:szCs w:val="17"/>
          <w:lang w:val="fr-FR"/>
        </w:rPr>
        <w:br/>
      </w:r>
      <w:r w:rsidRPr="00D85862">
        <w:rPr>
          <w:sz w:val="17"/>
          <w:szCs w:val="17"/>
          <w:vertAlign w:val="superscript"/>
          <w:lang w:val="fr-FR"/>
        </w:rPr>
        <w:t>d</w:t>
      </w:r>
      <w:r w:rsidRPr="00D85862">
        <w:rPr>
          <w:sz w:val="17"/>
          <w:szCs w:val="17"/>
          <w:lang w:val="fr-FR"/>
        </w:rPr>
        <w:t xml:space="preserve"> Voir </w:t>
      </w:r>
      <w:r w:rsidRPr="00D85862">
        <w:rPr>
          <w:i/>
          <w:iCs/>
          <w:sz w:val="17"/>
          <w:szCs w:val="17"/>
          <w:lang w:val="fr-FR"/>
        </w:rPr>
        <w:t>Reporting Requirements for the TSCA Mercury Inventory</w:t>
      </w:r>
      <w:r w:rsidRPr="00D85862">
        <w:rPr>
          <w:sz w:val="17"/>
          <w:szCs w:val="17"/>
          <w:lang w:val="fr-FR"/>
        </w:rPr>
        <w:t>, Agence de protection de l</w:t>
      </w:r>
      <w:r w:rsidR="00F205DE" w:rsidRPr="00D85862">
        <w:rPr>
          <w:sz w:val="17"/>
          <w:szCs w:val="17"/>
          <w:lang w:val="fr-FR"/>
        </w:rPr>
        <w:t>’</w:t>
      </w:r>
      <w:r w:rsidRPr="00D85862">
        <w:rPr>
          <w:sz w:val="17"/>
          <w:szCs w:val="17"/>
          <w:lang w:val="fr-FR"/>
        </w:rPr>
        <w:t>environnement des États-Unis (</w:t>
      </w:r>
      <w:hyperlink r:id="rId19" w:history="1">
        <w:r w:rsidRPr="00D85862">
          <w:rPr>
            <w:rStyle w:val="Hyperlink"/>
            <w:sz w:val="17"/>
            <w:szCs w:val="17"/>
          </w:rPr>
          <w:t>https://www.epa.gov/sites/production/files/2018-06/documents/mercury_reporting_requirements_for_the_tsca_mercury_inventory_final_rule.pdf</w:t>
        </w:r>
      </w:hyperlink>
      <w:r w:rsidRPr="00D85862">
        <w:rPr>
          <w:rStyle w:val="Hyperlink"/>
          <w:sz w:val="17"/>
          <w:szCs w:val="17"/>
        </w:rPr>
        <w:t xml:space="preserve">) et </w:t>
      </w:r>
      <w:r w:rsidRPr="00D85862">
        <w:rPr>
          <w:i/>
          <w:iCs/>
          <w:sz w:val="17"/>
          <w:szCs w:val="17"/>
          <w:lang w:val="fr-FR"/>
        </w:rPr>
        <w:t>Inventory of existing mercury-added products and manufacturing processes involving the use of mercury or mercury compounds</w:t>
      </w:r>
      <w:r w:rsidRPr="00D85862">
        <w:rPr>
          <w:iCs/>
          <w:sz w:val="17"/>
          <w:szCs w:val="17"/>
          <w:lang w:val="fr-FR"/>
        </w:rPr>
        <w:t>, Union européenne</w:t>
      </w:r>
      <w:r w:rsidRPr="00D85862">
        <w:rPr>
          <w:sz w:val="17"/>
          <w:szCs w:val="17"/>
          <w:lang w:val="fr-FR"/>
        </w:rPr>
        <w:t xml:space="preserve"> (</w:t>
      </w:r>
      <w:hyperlink r:id="rId20" w:history="1">
        <w:r w:rsidRPr="00D85862">
          <w:rPr>
            <w:rStyle w:val="Hyperlink"/>
            <w:sz w:val="17"/>
            <w:szCs w:val="17"/>
          </w:rPr>
          <w:t>https://circabc.europa.eu/sd/a/ef04cabe-8f8e-484f-8e2f-dcbbc352c5a2/Inventory%20art%208(7)%20Mercury%20Reg%202018-07-02.pdf</w:t>
        </w:r>
      </w:hyperlink>
      <w:r w:rsidRPr="00D85862">
        <w:rPr>
          <w:rStyle w:val="Hyperlink"/>
          <w:sz w:val="17"/>
          <w:szCs w:val="17"/>
        </w:rPr>
        <w:t>) et les informations ayant trait aux seuils pour les déchets de mercure fournies par le Japon (</w:t>
      </w:r>
      <w:hyperlink r:id="rId21" w:history="1">
        <w:r w:rsidRPr="00D85862">
          <w:rPr>
            <w:rStyle w:val="Hyperlink"/>
            <w:sz w:val="17"/>
            <w:szCs w:val="17"/>
          </w:rPr>
          <w:t>http://www.mercuryconvention.org/Portals/11/documents/meetings/COP3/submissions/Japan-Waste.pdf</w:t>
        </w:r>
      </w:hyperlink>
      <w:r w:rsidRPr="00D85862">
        <w:rPr>
          <w:sz w:val="17"/>
          <w:szCs w:val="17"/>
          <w:lang w:val="fr-FR"/>
        </w:rPr>
        <w:t>).</w:t>
      </w:r>
      <w:r w:rsidR="0065415D" w:rsidRPr="00D85862">
        <w:rPr>
          <w:sz w:val="17"/>
          <w:szCs w:val="17"/>
          <w:lang w:val="fr-FR"/>
        </w:rPr>
        <w:br/>
      </w:r>
      <w:r w:rsidRPr="00D85862">
        <w:rPr>
          <w:sz w:val="17"/>
          <w:szCs w:val="17"/>
          <w:vertAlign w:val="superscript"/>
          <w:lang w:val="fr-FR"/>
        </w:rPr>
        <w:t>e</w:t>
      </w:r>
      <w:r w:rsidRPr="00D85862">
        <w:rPr>
          <w:sz w:val="17"/>
          <w:szCs w:val="17"/>
          <w:lang w:val="fr-FR"/>
        </w:rPr>
        <w:t xml:space="preserve"> Aucun inventaire public.</w:t>
      </w:r>
    </w:p>
    <w:p w14:paraId="2C9ED5BB" w14:textId="77777777" w:rsidR="00FE4330" w:rsidRPr="00D85862" w:rsidRDefault="00FE4330" w:rsidP="00DA6AD1">
      <w:pPr>
        <w:tabs>
          <w:tab w:val="left" w:pos="720"/>
        </w:tabs>
        <w:spacing w:after="120"/>
      </w:pPr>
      <w:r w:rsidRPr="00D85862">
        <w:br w:type="page"/>
      </w:r>
    </w:p>
    <w:p w14:paraId="647A2905" w14:textId="466F2B77" w:rsidR="00FE4330" w:rsidRPr="00D85862" w:rsidRDefault="00FE4330" w:rsidP="00DA6AD1">
      <w:pPr>
        <w:pStyle w:val="Normal-pool"/>
        <w:tabs>
          <w:tab w:val="left" w:pos="720"/>
        </w:tabs>
        <w:spacing w:after="120"/>
        <w:ind w:left="1247"/>
        <w:rPr>
          <w:b/>
          <w:lang w:val="fr-FR"/>
        </w:rPr>
      </w:pPr>
      <w:r w:rsidRPr="00D85862">
        <w:rPr>
          <w:lang w:val="fr-FR"/>
        </w:rPr>
        <w:lastRenderedPageBreak/>
        <w:t>Tableau 3</w:t>
      </w:r>
      <w:r w:rsidRPr="00D85862">
        <w:rPr>
          <w:lang w:val="fr-FR"/>
        </w:rPr>
        <w:br/>
      </w:r>
      <w:r w:rsidRPr="00D85862">
        <w:rPr>
          <w:b/>
          <w:lang w:val="fr-FR"/>
        </w:rPr>
        <w:t>Liste indicative des déchets contaminés par du mercure ou des composés du mercure (alinéa 2 c) de l</w:t>
      </w:r>
      <w:r w:rsidR="00F205DE" w:rsidRPr="00D85862">
        <w:rPr>
          <w:b/>
          <w:lang w:val="fr-FR"/>
        </w:rPr>
        <w:t>’</w:t>
      </w:r>
      <w:r w:rsidRPr="00D85862">
        <w:rPr>
          <w:b/>
          <w:lang w:val="fr-FR"/>
        </w:rPr>
        <w:t>article 11)</w:t>
      </w:r>
      <w:r w:rsidRPr="00D85862">
        <w:rPr>
          <w:bCs/>
          <w:vertAlign w:val="superscript"/>
          <w:lang w:val="fr-FR"/>
        </w:rPr>
        <w:t>a</w:t>
      </w:r>
    </w:p>
    <w:tbl>
      <w:tblPr>
        <w:tblW w:w="49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00" w:firstRow="0" w:lastRow="0" w:firstColumn="0" w:lastColumn="0" w:noHBand="0" w:noVBand="1"/>
      </w:tblPr>
      <w:tblGrid>
        <w:gridCol w:w="2807"/>
        <w:gridCol w:w="6584"/>
      </w:tblGrid>
      <w:tr w:rsidR="00FE4330" w:rsidRPr="00D85862" w14:paraId="64DDDF30" w14:textId="77777777" w:rsidTr="00FE4330">
        <w:trPr>
          <w:tblHeader/>
          <w:jc w:val="center"/>
        </w:trPr>
        <w:tc>
          <w:tcPr>
            <w:tcW w:w="2835" w:type="dxa"/>
            <w:tcBorders>
              <w:top w:val="single" w:sz="4" w:space="0" w:color="000000"/>
              <w:left w:val="single" w:sz="4" w:space="0" w:color="000000"/>
              <w:bottom w:val="single" w:sz="4" w:space="0" w:color="000000"/>
              <w:right w:val="single" w:sz="4" w:space="0" w:color="000000"/>
            </w:tcBorders>
            <w:hideMark/>
          </w:tcPr>
          <w:p w14:paraId="3D848699" w14:textId="77777777" w:rsidR="00FE4330" w:rsidRPr="00D85862" w:rsidRDefault="00FE4330" w:rsidP="00A359BF">
            <w:pPr>
              <w:pStyle w:val="Normal-pool"/>
              <w:spacing w:after="60"/>
              <w:rPr>
                <w:i/>
                <w:iCs/>
                <w:sz w:val="16"/>
                <w:szCs w:val="16"/>
                <w:lang w:val="fr-FR"/>
              </w:rPr>
            </w:pPr>
            <w:r w:rsidRPr="00D85862">
              <w:rPr>
                <w:i/>
                <w:iCs/>
                <w:sz w:val="16"/>
                <w:szCs w:val="16"/>
                <w:lang w:val="fr-FR"/>
              </w:rPr>
              <w:t>Type de déchet</w:t>
            </w:r>
          </w:p>
        </w:tc>
        <w:tc>
          <w:tcPr>
            <w:tcW w:w="6650" w:type="dxa"/>
            <w:tcBorders>
              <w:top w:val="single" w:sz="4" w:space="0" w:color="000000"/>
              <w:left w:val="single" w:sz="4" w:space="0" w:color="000000"/>
              <w:bottom w:val="single" w:sz="4" w:space="0" w:color="000000"/>
              <w:right w:val="single" w:sz="4" w:space="0" w:color="000000"/>
            </w:tcBorders>
            <w:hideMark/>
          </w:tcPr>
          <w:p w14:paraId="202C76FF" w14:textId="77777777" w:rsidR="00FE4330" w:rsidRPr="00D85862" w:rsidRDefault="00FE4330" w:rsidP="00A359BF">
            <w:pPr>
              <w:spacing w:after="60"/>
              <w:rPr>
                <w:iCs/>
                <w:sz w:val="16"/>
                <w:szCs w:val="16"/>
              </w:rPr>
            </w:pPr>
            <w:r w:rsidRPr="00D85862">
              <w:rPr>
                <w:i/>
                <w:iCs/>
                <w:sz w:val="16"/>
                <w:szCs w:val="16"/>
              </w:rPr>
              <w:t>Sources de déchets</w:t>
            </w:r>
            <w:r w:rsidRPr="00D85862">
              <w:rPr>
                <w:sz w:val="16"/>
                <w:szCs w:val="16"/>
                <w:vertAlign w:val="superscript"/>
              </w:rPr>
              <w:t>b</w:t>
            </w:r>
          </w:p>
        </w:tc>
      </w:tr>
      <w:tr w:rsidR="00FE4330" w:rsidRPr="00D85862" w14:paraId="03CEAA5D" w14:textId="77777777" w:rsidTr="00FE4330">
        <w:trPr>
          <w:trHeight w:val="1620"/>
          <w:jc w:val="center"/>
        </w:trPr>
        <w:tc>
          <w:tcPr>
            <w:tcW w:w="2835" w:type="dxa"/>
            <w:tcBorders>
              <w:top w:val="single" w:sz="4" w:space="0" w:color="000000"/>
              <w:left w:val="single" w:sz="4" w:space="0" w:color="000000"/>
              <w:bottom w:val="single" w:sz="4" w:space="0" w:color="000000"/>
              <w:right w:val="single" w:sz="4" w:space="0" w:color="000000"/>
            </w:tcBorders>
            <w:hideMark/>
          </w:tcPr>
          <w:p w14:paraId="2EC82A60" w14:textId="7B029A01" w:rsidR="00FE4330" w:rsidRPr="00D85862" w:rsidRDefault="00FE4330" w:rsidP="00006932">
            <w:pPr>
              <w:pStyle w:val="Normal-pool"/>
              <w:rPr>
                <w:sz w:val="16"/>
                <w:szCs w:val="16"/>
                <w:lang w:val="fr-FR"/>
              </w:rPr>
            </w:pPr>
            <w:r w:rsidRPr="00D85862">
              <w:rPr>
                <w:sz w:val="16"/>
                <w:szCs w:val="16"/>
                <w:lang w:val="fr-FR"/>
              </w:rPr>
              <w:t>Déchets provenant des installations industrielles antipollution d</w:t>
            </w:r>
            <w:r w:rsidR="00F205DE" w:rsidRPr="00D85862">
              <w:rPr>
                <w:sz w:val="16"/>
                <w:szCs w:val="16"/>
                <w:lang w:val="fr-FR"/>
              </w:rPr>
              <w:t>’</w:t>
            </w:r>
            <w:r w:rsidRPr="00D85862">
              <w:rPr>
                <w:sz w:val="16"/>
                <w:szCs w:val="16"/>
                <w:lang w:val="fr-FR"/>
              </w:rPr>
              <w:t>épuration des rejets gazeux industriels</w:t>
            </w:r>
            <w:r w:rsidRPr="00D85862">
              <w:rPr>
                <w:sz w:val="16"/>
                <w:szCs w:val="16"/>
                <w:vertAlign w:val="superscript"/>
                <w:lang w:val="fr-FR"/>
              </w:rPr>
              <w:t>c</w:t>
            </w:r>
          </w:p>
        </w:tc>
        <w:tc>
          <w:tcPr>
            <w:tcW w:w="6650" w:type="dxa"/>
            <w:tcBorders>
              <w:top w:val="single" w:sz="4" w:space="0" w:color="000000"/>
              <w:left w:val="single" w:sz="4" w:space="0" w:color="000000"/>
              <w:bottom w:val="single" w:sz="4" w:space="0" w:color="000000"/>
              <w:right w:val="single" w:sz="4" w:space="0" w:color="000000"/>
            </w:tcBorders>
            <w:hideMark/>
          </w:tcPr>
          <w:p w14:paraId="500E7AF8" w14:textId="77777777" w:rsidR="00FE4330" w:rsidRPr="00D85862" w:rsidRDefault="00FE4330" w:rsidP="00006932">
            <w:pPr>
              <w:rPr>
                <w:sz w:val="16"/>
                <w:szCs w:val="16"/>
              </w:rPr>
            </w:pPr>
            <w:r w:rsidRPr="00D85862">
              <w:rPr>
                <w:sz w:val="16"/>
                <w:szCs w:val="16"/>
              </w:rPr>
              <w:t>Gaz de combustion provenant de sources telles que :</w:t>
            </w:r>
          </w:p>
          <w:p w14:paraId="56904A9E" w14:textId="4AABD497" w:rsidR="00FE4330" w:rsidRPr="00D85862" w:rsidRDefault="00FE4330" w:rsidP="00006932">
            <w:pPr>
              <w:pStyle w:val="Normal-pool"/>
              <w:numPr>
                <w:ilvl w:val="0"/>
                <w:numId w:val="26"/>
              </w:numPr>
              <w:rPr>
                <w:sz w:val="16"/>
                <w:szCs w:val="16"/>
                <w:lang w:val="fr-FR"/>
              </w:rPr>
            </w:pPr>
            <w:r w:rsidRPr="00D85862">
              <w:rPr>
                <w:sz w:val="16"/>
                <w:szCs w:val="16"/>
                <w:lang w:val="fr-FR"/>
              </w:rPr>
              <w:t>Extraction et utilisation de combustibles/sources d</w:t>
            </w:r>
            <w:r w:rsidR="00F205DE" w:rsidRPr="00D85862">
              <w:rPr>
                <w:sz w:val="16"/>
                <w:szCs w:val="16"/>
                <w:lang w:val="fr-FR"/>
              </w:rPr>
              <w:t>’</w:t>
            </w:r>
            <w:r w:rsidRPr="00D85862">
              <w:rPr>
                <w:sz w:val="16"/>
                <w:szCs w:val="16"/>
                <w:lang w:val="fr-FR"/>
              </w:rPr>
              <w:t>énergie</w:t>
            </w:r>
          </w:p>
          <w:p w14:paraId="788B7705" w14:textId="77777777" w:rsidR="00FE4330" w:rsidRPr="00D85862" w:rsidRDefault="00FE4330" w:rsidP="00006932">
            <w:pPr>
              <w:pStyle w:val="Normal-pool"/>
              <w:numPr>
                <w:ilvl w:val="0"/>
                <w:numId w:val="26"/>
              </w:numPr>
              <w:rPr>
                <w:sz w:val="16"/>
                <w:szCs w:val="16"/>
                <w:lang w:val="fr-FR"/>
              </w:rPr>
            </w:pPr>
            <w:r w:rsidRPr="00D85862">
              <w:rPr>
                <w:sz w:val="16"/>
                <w:szCs w:val="16"/>
                <w:lang w:val="fr-FR"/>
              </w:rPr>
              <w:t>Procédés de fusion et de grillage utilisés dans la production de métaux non ferreux</w:t>
            </w:r>
          </w:p>
          <w:p w14:paraId="1962030A" w14:textId="64605B27" w:rsidR="00FE4330" w:rsidRPr="00D85862" w:rsidRDefault="00FE4330" w:rsidP="00006932">
            <w:pPr>
              <w:pStyle w:val="Normal-pool"/>
              <w:numPr>
                <w:ilvl w:val="0"/>
                <w:numId w:val="26"/>
              </w:numPr>
              <w:rPr>
                <w:sz w:val="16"/>
                <w:szCs w:val="16"/>
                <w:lang w:val="fr-FR"/>
              </w:rPr>
            </w:pPr>
            <w:r w:rsidRPr="00D85862">
              <w:rPr>
                <w:sz w:val="16"/>
                <w:szCs w:val="16"/>
                <w:lang w:val="fr-FR"/>
              </w:rPr>
              <w:t>Processus de production dans lesquels le mercure est présent en tant qu</w:t>
            </w:r>
            <w:r w:rsidR="00F205DE" w:rsidRPr="00D85862">
              <w:rPr>
                <w:sz w:val="16"/>
                <w:szCs w:val="16"/>
                <w:lang w:val="fr-FR"/>
              </w:rPr>
              <w:t>’</w:t>
            </w:r>
            <w:r w:rsidRPr="00D85862">
              <w:rPr>
                <w:sz w:val="16"/>
                <w:szCs w:val="16"/>
                <w:lang w:val="fr-FR"/>
              </w:rPr>
              <w:t>impuretés</w:t>
            </w:r>
          </w:p>
          <w:p w14:paraId="601B52CC" w14:textId="112E037A" w:rsidR="00FE4330" w:rsidRPr="00D85862" w:rsidRDefault="00FE4330" w:rsidP="00006932">
            <w:pPr>
              <w:pStyle w:val="Normal-pool"/>
              <w:numPr>
                <w:ilvl w:val="0"/>
                <w:numId w:val="26"/>
              </w:numPr>
              <w:rPr>
                <w:sz w:val="16"/>
                <w:szCs w:val="16"/>
                <w:lang w:val="fr-FR"/>
              </w:rPr>
            </w:pPr>
            <w:r w:rsidRPr="00D85862">
              <w:rPr>
                <w:sz w:val="16"/>
                <w:szCs w:val="16"/>
                <w:lang w:val="fr-FR"/>
              </w:rPr>
              <w:t>Récupération de métaux précieux des déchets d</w:t>
            </w:r>
            <w:r w:rsidR="00F205DE" w:rsidRPr="00D85862">
              <w:rPr>
                <w:sz w:val="16"/>
                <w:szCs w:val="16"/>
                <w:lang w:val="fr-FR"/>
              </w:rPr>
              <w:t>’</w:t>
            </w:r>
            <w:r w:rsidRPr="00D85862">
              <w:rPr>
                <w:sz w:val="16"/>
                <w:szCs w:val="16"/>
                <w:lang w:val="fr-FR"/>
              </w:rPr>
              <w:t>équipements électriques et électroniques</w:t>
            </w:r>
          </w:p>
          <w:p w14:paraId="134456D8" w14:textId="77777777" w:rsidR="00FE4330" w:rsidRPr="00D85862" w:rsidRDefault="00FE4330" w:rsidP="00006932">
            <w:pPr>
              <w:pStyle w:val="Normal-pool"/>
              <w:numPr>
                <w:ilvl w:val="0"/>
                <w:numId w:val="26"/>
              </w:numPr>
              <w:rPr>
                <w:sz w:val="16"/>
                <w:szCs w:val="16"/>
                <w:lang w:val="fr-FR"/>
              </w:rPr>
            </w:pPr>
            <w:r w:rsidRPr="00D85862">
              <w:rPr>
                <w:sz w:val="16"/>
                <w:szCs w:val="16"/>
                <w:lang w:val="fr-FR"/>
              </w:rPr>
              <w:t>Combustion de charbon</w:t>
            </w:r>
          </w:p>
          <w:p w14:paraId="3FC4642D" w14:textId="77777777" w:rsidR="00FE4330" w:rsidRPr="00D85862" w:rsidRDefault="00FE4330" w:rsidP="00006932">
            <w:pPr>
              <w:pStyle w:val="Normal-pool"/>
              <w:numPr>
                <w:ilvl w:val="0"/>
                <w:numId w:val="26"/>
              </w:numPr>
              <w:rPr>
                <w:sz w:val="16"/>
                <w:szCs w:val="16"/>
                <w:lang w:val="fr-FR"/>
              </w:rPr>
            </w:pPr>
            <w:r w:rsidRPr="00D85862">
              <w:rPr>
                <w:sz w:val="16"/>
                <w:szCs w:val="16"/>
                <w:lang w:val="fr-FR"/>
              </w:rPr>
              <w:t>Incinération et co-incinération de déchets</w:t>
            </w:r>
          </w:p>
          <w:p w14:paraId="6C43E5AA" w14:textId="77777777" w:rsidR="00FE4330" w:rsidRPr="00D85862" w:rsidRDefault="00FE4330" w:rsidP="00006932">
            <w:pPr>
              <w:pStyle w:val="Normal-pool"/>
              <w:numPr>
                <w:ilvl w:val="0"/>
                <w:numId w:val="26"/>
              </w:numPr>
              <w:rPr>
                <w:sz w:val="16"/>
                <w:szCs w:val="16"/>
                <w:lang w:val="fr-FR"/>
              </w:rPr>
            </w:pPr>
            <w:r w:rsidRPr="00D85862">
              <w:rPr>
                <w:sz w:val="16"/>
                <w:szCs w:val="16"/>
                <w:lang w:val="fr-FR"/>
              </w:rPr>
              <w:t>Crématoriums</w:t>
            </w:r>
          </w:p>
        </w:tc>
      </w:tr>
      <w:tr w:rsidR="00FE4330" w:rsidRPr="00D85862" w14:paraId="15DFA2DE" w14:textId="77777777" w:rsidTr="00FE4330">
        <w:trPr>
          <w:trHeight w:val="700"/>
          <w:jc w:val="center"/>
        </w:trPr>
        <w:tc>
          <w:tcPr>
            <w:tcW w:w="2835" w:type="dxa"/>
            <w:tcBorders>
              <w:top w:val="single" w:sz="4" w:space="0" w:color="000000"/>
              <w:left w:val="single" w:sz="4" w:space="0" w:color="000000"/>
              <w:bottom w:val="single" w:sz="4" w:space="0" w:color="000000"/>
              <w:right w:val="single" w:sz="4" w:space="0" w:color="000000"/>
            </w:tcBorders>
            <w:hideMark/>
          </w:tcPr>
          <w:p w14:paraId="2A6A7226" w14:textId="77777777" w:rsidR="00FE4330" w:rsidRPr="00D85862" w:rsidRDefault="00FE4330" w:rsidP="00006932">
            <w:pPr>
              <w:pStyle w:val="Normal-pool"/>
              <w:rPr>
                <w:sz w:val="16"/>
                <w:szCs w:val="16"/>
                <w:lang w:val="fr-FR"/>
              </w:rPr>
            </w:pPr>
            <w:r w:rsidRPr="00D85862">
              <w:rPr>
                <w:sz w:val="16"/>
                <w:szCs w:val="16"/>
                <w:lang w:val="fr-FR"/>
              </w:rPr>
              <w:t>Mâchefers</w:t>
            </w:r>
          </w:p>
        </w:tc>
        <w:tc>
          <w:tcPr>
            <w:tcW w:w="6650" w:type="dxa"/>
            <w:tcBorders>
              <w:top w:val="single" w:sz="4" w:space="0" w:color="000000"/>
              <w:left w:val="single" w:sz="4" w:space="0" w:color="000000"/>
              <w:bottom w:val="single" w:sz="4" w:space="0" w:color="000000"/>
              <w:right w:val="single" w:sz="4" w:space="0" w:color="000000"/>
            </w:tcBorders>
            <w:hideMark/>
          </w:tcPr>
          <w:p w14:paraId="50A9F6C4" w14:textId="77777777" w:rsidR="00FE4330" w:rsidRPr="00D85862" w:rsidRDefault="00FE4330" w:rsidP="00006932">
            <w:pPr>
              <w:pStyle w:val="Normal-pool"/>
              <w:numPr>
                <w:ilvl w:val="0"/>
                <w:numId w:val="26"/>
              </w:numPr>
              <w:rPr>
                <w:sz w:val="16"/>
                <w:szCs w:val="16"/>
                <w:lang w:val="fr-FR"/>
              </w:rPr>
            </w:pPr>
            <w:r w:rsidRPr="00D85862">
              <w:rPr>
                <w:sz w:val="16"/>
                <w:szCs w:val="16"/>
                <w:lang w:val="fr-FR"/>
              </w:rPr>
              <w:t xml:space="preserve">Combustion de charbon </w:t>
            </w:r>
          </w:p>
          <w:p w14:paraId="236CAAAD" w14:textId="41AF8627" w:rsidR="00FE4330" w:rsidRPr="00D85862" w:rsidRDefault="00FE4330" w:rsidP="00006932">
            <w:pPr>
              <w:pStyle w:val="Normal-pool"/>
              <w:numPr>
                <w:ilvl w:val="0"/>
                <w:numId w:val="26"/>
              </w:numPr>
              <w:rPr>
                <w:sz w:val="16"/>
                <w:szCs w:val="16"/>
                <w:lang w:val="fr-FR"/>
              </w:rPr>
            </w:pPr>
            <w:r w:rsidRPr="00D85862">
              <w:rPr>
                <w:sz w:val="16"/>
                <w:szCs w:val="16"/>
                <w:lang w:val="fr-FR"/>
              </w:rPr>
              <w:t>Production d</w:t>
            </w:r>
            <w:r w:rsidR="00F205DE" w:rsidRPr="00D85862">
              <w:rPr>
                <w:sz w:val="16"/>
                <w:szCs w:val="16"/>
                <w:lang w:val="fr-FR"/>
              </w:rPr>
              <w:t>’</w:t>
            </w:r>
            <w:r w:rsidRPr="00D85862">
              <w:rPr>
                <w:sz w:val="16"/>
                <w:szCs w:val="16"/>
                <w:lang w:val="fr-FR"/>
              </w:rPr>
              <w:t>électricité et de chaleur à partir de biomasse</w:t>
            </w:r>
          </w:p>
          <w:p w14:paraId="1ADC70CA" w14:textId="77777777" w:rsidR="00FE4330" w:rsidRPr="00D85862" w:rsidRDefault="00FE4330" w:rsidP="00006932">
            <w:pPr>
              <w:pStyle w:val="Normal-pool"/>
              <w:numPr>
                <w:ilvl w:val="0"/>
                <w:numId w:val="26"/>
              </w:numPr>
              <w:rPr>
                <w:sz w:val="16"/>
                <w:szCs w:val="16"/>
                <w:lang w:val="fr-FR"/>
              </w:rPr>
            </w:pPr>
            <w:r w:rsidRPr="00D85862">
              <w:rPr>
                <w:sz w:val="16"/>
                <w:szCs w:val="16"/>
                <w:lang w:val="fr-FR"/>
              </w:rPr>
              <w:t>Incinération et de déchets</w:t>
            </w:r>
          </w:p>
        </w:tc>
      </w:tr>
      <w:tr w:rsidR="00FE4330" w:rsidRPr="00D85862" w14:paraId="7BA08AFC" w14:textId="77777777" w:rsidTr="00FE4330">
        <w:trPr>
          <w:trHeight w:val="1540"/>
          <w:jc w:val="center"/>
        </w:trPr>
        <w:tc>
          <w:tcPr>
            <w:tcW w:w="2835" w:type="dxa"/>
            <w:tcBorders>
              <w:top w:val="single" w:sz="4" w:space="0" w:color="000000"/>
              <w:left w:val="single" w:sz="4" w:space="0" w:color="000000"/>
              <w:bottom w:val="single" w:sz="4" w:space="0" w:color="000000"/>
              <w:right w:val="single" w:sz="4" w:space="0" w:color="000000"/>
            </w:tcBorders>
            <w:hideMark/>
          </w:tcPr>
          <w:p w14:paraId="3F77DBF1" w14:textId="56C5F825" w:rsidR="00FE4330" w:rsidRPr="00D85862" w:rsidRDefault="00FE4330" w:rsidP="00006932">
            <w:pPr>
              <w:pStyle w:val="Normal-pool"/>
              <w:rPr>
                <w:sz w:val="16"/>
                <w:szCs w:val="16"/>
                <w:lang w:val="fr-FR"/>
              </w:rPr>
            </w:pPr>
            <w:r w:rsidRPr="00D85862">
              <w:rPr>
                <w:sz w:val="16"/>
                <w:szCs w:val="16"/>
                <w:lang w:val="fr-FR"/>
              </w:rPr>
              <w:t>Résidus du traitement des eaux usées/boues</w:t>
            </w:r>
            <w:r w:rsidRPr="00D85862">
              <w:rPr>
                <w:sz w:val="16"/>
                <w:szCs w:val="16"/>
                <w:vertAlign w:val="superscript"/>
                <w:lang w:val="fr-FR"/>
              </w:rPr>
              <w:t>d</w:t>
            </w:r>
          </w:p>
        </w:tc>
        <w:tc>
          <w:tcPr>
            <w:tcW w:w="6650" w:type="dxa"/>
            <w:tcBorders>
              <w:top w:val="single" w:sz="4" w:space="0" w:color="000000"/>
              <w:left w:val="single" w:sz="4" w:space="0" w:color="000000"/>
              <w:bottom w:val="single" w:sz="4" w:space="0" w:color="000000"/>
              <w:right w:val="single" w:sz="4" w:space="0" w:color="000000"/>
            </w:tcBorders>
            <w:hideMark/>
          </w:tcPr>
          <w:p w14:paraId="743D765A" w14:textId="77777777" w:rsidR="00FE4330" w:rsidRPr="00D85862" w:rsidRDefault="00FE4330" w:rsidP="00006932">
            <w:pPr>
              <w:rPr>
                <w:sz w:val="16"/>
                <w:szCs w:val="16"/>
              </w:rPr>
            </w:pPr>
            <w:r w:rsidRPr="00D85862">
              <w:rPr>
                <w:sz w:val="16"/>
                <w:szCs w:val="16"/>
              </w:rPr>
              <w:t>Traitement des eaux usées de :</w:t>
            </w:r>
          </w:p>
          <w:p w14:paraId="74F257AC" w14:textId="57FF758C" w:rsidR="00FE4330" w:rsidRPr="00D85862" w:rsidRDefault="00FE4330" w:rsidP="00006932">
            <w:pPr>
              <w:pStyle w:val="Normal-pool"/>
              <w:numPr>
                <w:ilvl w:val="0"/>
                <w:numId w:val="26"/>
              </w:numPr>
              <w:rPr>
                <w:sz w:val="16"/>
                <w:szCs w:val="16"/>
                <w:lang w:val="fr-FR"/>
              </w:rPr>
            </w:pPr>
            <w:r w:rsidRPr="00D85862">
              <w:rPr>
                <w:sz w:val="16"/>
                <w:szCs w:val="16"/>
                <w:lang w:val="fr-FR"/>
              </w:rPr>
              <w:t>Extraction et utilisation de combustibles/sources d</w:t>
            </w:r>
            <w:r w:rsidR="00F205DE" w:rsidRPr="00D85862">
              <w:rPr>
                <w:sz w:val="16"/>
                <w:szCs w:val="16"/>
                <w:lang w:val="fr-FR"/>
              </w:rPr>
              <w:t>’</w:t>
            </w:r>
            <w:r w:rsidRPr="00D85862">
              <w:rPr>
                <w:sz w:val="16"/>
                <w:szCs w:val="16"/>
                <w:lang w:val="fr-FR"/>
              </w:rPr>
              <w:t>énergie</w:t>
            </w:r>
          </w:p>
          <w:p w14:paraId="101A60CA" w14:textId="77777777" w:rsidR="00FE4330" w:rsidRPr="00D85862" w:rsidRDefault="00FE4330" w:rsidP="00006932">
            <w:pPr>
              <w:pStyle w:val="Normal-pool"/>
              <w:numPr>
                <w:ilvl w:val="0"/>
                <w:numId w:val="26"/>
              </w:numPr>
              <w:rPr>
                <w:sz w:val="16"/>
                <w:szCs w:val="16"/>
                <w:lang w:val="fr-FR"/>
              </w:rPr>
            </w:pPr>
            <w:r w:rsidRPr="00D85862">
              <w:rPr>
                <w:sz w:val="16"/>
                <w:szCs w:val="16"/>
                <w:lang w:val="fr-FR"/>
              </w:rPr>
              <w:t>Fabrication de produits contenant du mercure ajouté</w:t>
            </w:r>
          </w:p>
          <w:p w14:paraId="5EFFF03C" w14:textId="77777777" w:rsidR="00FE4330" w:rsidRPr="00D85862" w:rsidRDefault="00FE4330" w:rsidP="00006932">
            <w:pPr>
              <w:pStyle w:val="Normal-pool"/>
              <w:numPr>
                <w:ilvl w:val="0"/>
                <w:numId w:val="26"/>
              </w:numPr>
              <w:rPr>
                <w:sz w:val="16"/>
                <w:szCs w:val="16"/>
                <w:lang w:val="fr-FR"/>
              </w:rPr>
            </w:pPr>
            <w:r w:rsidRPr="00D85862">
              <w:rPr>
                <w:sz w:val="16"/>
                <w:szCs w:val="16"/>
                <w:lang w:val="fr-FR"/>
              </w:rPr>
              <w:t>Procédés de fabrication dans lesquels du mercure ou des composés du mercure sont utilisés</w:t>
            </w:r>
          </w:p>
          <w:p w14:paraId="1BB0193F" w14:textId="77777777" w:rsidR="00FE4330" w:rsidRPr="00D85862" w:rsidRDefault="00FE4330" w:rsidP="00006932">
            <w:pPr>
              <w:pStyle w:val="Normal-pool"/>
              <w:numPr>
                <w:ilvl w:val="0"/>
                <w:numId w:val="26"/>
              </w:numPr>
              <w:rPr>
                <w:sz w:val="16"/>
                <w:szCs w:val="16"/>
                <w:lang w:val="fr-FR"/>
              </w:rPr>
            </w:pPr>
            <w:r w:rsidRPr="00D85862">
              <w:rPr>
                <w:sz w:val="16"/>
                <w:szCs w:val="16"/>
                <w:lang w:val="fr-FR"/>
              </w:rPr>
              <w:t>Production primaire de métaux non ferreux</w:t>
            </w:r>
          </w:p>
          <w:p w14:paraId="4DC54B7F" w14:textId="791C9757" w:rsidR="00FE4330" w:rsidRPr="00D85862" w:rsidRDefault="00FE4330" w:rsidP="00006932">
            <w:pPr>
              <w:pStyle w:val="Normal-pool"/>
              <w:numPr>
                <w:ilvl w:val="0"/>
                <w:numId w:val="26"/>
              </w:numPr>
              <w:rPr>
                <w:sz w:val="16"/>
                <w:szCs w:val="16"/>
                <w:lang w:val="fr-FR"/>
              </w:rPr>
            </w:pPr>
            <w:r w:rsidRPr="00D85862">
              <w:rPr>
                <w:sz w:val="16"/>
                <w:szCs w:val="16"/>
                <w:lang w:val="fr-FR"/>
              </w:rPr>
              <w:t>Processus de production dans lesquels le mercure est présent en tant qu</w:t>
            </w:r>
            <w:r w:rsidR="00F205DE" w:rsidRPr="00D85862">
              <w:rPr>
                <w:sz w:val="16"/>
                <w:szCs w:val="16"/>
                <w:lang w:val="fr-FR"/>
              </w:rPr>
              <w:t>’</w:t>
            </w:r>
            <w:r w:rsidRPr="00D85862">
              <w:rPr>
                <w:sz w:val="16"/>
                <w:szCs w:val="16"/>
                <w:lang w:val="fr-FR"/>
              </w:rPr>
              <w:t xml:space="preserve">impuretés </w:t>
            </w:r>
          </w:p>
          <w:p w14:paraId="24EE172A" w14:textId="2D46668D" w:rsidR="00FE4330" w:rsidRPr="00D85862" w:rsidRDefault="00FE4330" w:rsidP="00006932">
            <w:pPr>
              <w:pStyle w:val="Normal-pool"/>
              <w:numPr>
                <w:ilvl w:val="0"/>
                <w:numId w:val="26"/>
              </w:numPr>
              <w:rPr>
                <w:sz w:val="16"/>
                <w:szCs w:val="16"/>
                <w:lang w:val="fr-FR"/>
              </w:rPr>
            </w:pPr>
            <w:r w:rsidRPr="00D85862">
              <w:rPr>
                <w:sz w:val="16"/>
                <w:szCs w:val="16"/>
                <w:lang w:val="fr-FR"/>
              </w:rPr>
              <w:t>Récupération de métaux précieux des déchets d</w:t>
            </w:r>
            <w:r w:rsidR="00F205DE" w:rsidRPr="00D85862">
              <w:rPr>
                <w:sz w:val="16"/>
                <w:szCs w:val="16"/>
                <w:lang w:val="fr-FR"/>
              </w:rPr>
              <w:t>’</w:t>
            </w:r>
            <w:r w:rsidRPr="00D85862">
              <w:rPr>
                <w:sz w:val="16"/>
                <w:szCs w:val="16"/>
                <w:lang w:val="fr-FR"/>
              </w:rPr>
              <w:t>équipements électriques et électroniques</w:t>
            </w:r>
          </w:p>
          <w:p w14:paraId="5CFB596F" w14:textId="77777777" w:rsidR="00FE4330" w:rsidRPr="00D85862" w:rsidRDefault="00FE4330" w:rsidP="00006932">
            <w:pPr>
              <w:pStyle w:val="Normal-pool"/>
              <w:numPr>
                <w:ilvl w:val="0"/>
                <w:numId w:val="26"/>
              </w:numPr>
              <w:rPr>
                <w:sz w:val="16"/>
                <w:szCs w:val="16"/>
                <w:lang w:val="fr-FR"/>
              </w:rPr>
            </w:pPr>
            <w:r w:rsidRPr="00D85862">
              <w:rPr>
                <w:sz w:val="16"/>
                <w:szCs w:val="16"/>
                <w:lang w:val="fr-FR"/>
              </w:rPr>
              <w:t>Incinération et co-incinération de déchets et autres traitements thermiques</w:t>
            </w:r>
          </w:p>
          <w:p w14:paraId="31A2D37D" w14:textId="77777777" w:rsidR="00FE4330" w:rsidRPr="00D85862" w:rsidRDefault="00FE4330" w:rsidP="00006932">
            <w:pPr>
              <w:pStyle w:val="Normal-pool"/>
              <w:numPr>
                <w:ilvl w:val="0"/>
                <w:numId w:val="26"/>
              </w:numPr>
              <w:rPr>
                <w:sz w:val="16"/>
                <w:szCs w:val="16"/>
                <w:lang w:val="fr-FR"/>
              </w:rPr>
            </w:pPr>
            <w:r w:rsidRPr="00D85862">
              <w:rPr>
                <w:sz w:val="16"/>
                <w:szCs w:val="16"/>
                <w:lang w:val="fr-FR"/>
              </w:rPr>
              <w:t>Crématoriums</w:t>
            </w:r>
          </w:p>
          <w:p w14:paraId="4E9825EC" w14:textId="77777777" w:rsidR="00FE4330" w:rsidRPr="00D85862" w:rsidRDefault="00FE4330" w:rsidP="00006932">
            <w:pPr>
              <w:pStyle w:val="Normal-pool"/>
              <w:numPr>
                <w:ilvl w:val="0"/>
                <w:numId w:val="26"/>
              </w:numPr>
              <w:rPr>
                <w:sz w:val="16"/>
                <w:szCs w:val="16"/>
                <w:lang w:val="fr-FR"/>
              </w:rPr>
            </w:pPr>
            <w:r w:rsidRPr="00D85862">
              <w:rPr>
                <w:sz w:val="16"/>
                <w:szCs w:val="16"/>
                <w:lang w:val="fr-FR"/>
              </w:rPr>
              <w:t>Établissements de santé</w:t>
            </w:r>
          </w:p>
          <w:p w14:paraId="3DF39B76" w14:textId="77777777" w:rsidR="00FE4330" w:rsidRPr="00D85862" w:rsidRDefault="00FE4330" w:rsidP="00006932">
            <w:pPr>
              <w:pStyle w:val="Normal-pool"/>
              <w:numPr>
                <w:ilvl w:val="0"/>
                <w:numId w:val="26"/>
              </w:numPr>
              <w:rPr>
                <w:sz w:val="16"/>
                <w:szCs w:val="16"/>
                <w:lang w:val="fr-FR"/>
              </w:rPr>
            </w:pPr>
            <w:r w:rsidRPr="00D85862">
              <w:rPr>
                <w:sz w:val="16"/>
                <w:szCs w:val="16"/>
                <w:lang w:val="fr-FR"/>
              </w:rPr>
              <w:t>Lixiviats de décharge contrôlés</w:t>
            </w:r>
          </w:p>
          <w:p w14:paraId="459FD7B5" w14:textId="77777777" w:rsidR="00FE4330" w:rsidRPr="00D85862" w:rsidRDefault="00FE4330" w:rsidP="00006932">
            <w:pPr>
              <w:pStyle w:val="Normal-pool"/>
              <w:numPr>
                <w:ilvl w:val="0"/>
                <w:numId w:val="26"/>
              </w:numPr>
              <w:rPr>
                <w:sz w:val="16"/>
                <w:szCs w:val="16"/>
                <w:lang w:val="fr-FR"/>
              </w:rPr>
            </w:pPr>
            <w:r w:rsidRPr="00D85862">
              <w:rPr>
                <w:sz w:val="16"/>
                <w:szCs w:val="16"/>
                <w:lang w:val="fr-FR"/>
              </w:rPr>
              <w:t>Mise en décharge sauvage de déchets</w:t>
            </w:r>
          </w:p>
          <w:p w14:paraId="20230C6E" w14:textId="77777777" w:rsidR="00FE4330" w:rsidRPr="00D85862" w:rsidRDefault="00FE4330" w:rsidP="00006932">
            <w:pPr>
              <w:pStyle w:val="Normal-pool"/>
              <w:numPr>
                <w:ilvl w:val="0"/>
                <w:numId w:val="26"/>
              </w:numPr>
              <w:spacing w:after="40"/>
              <w:ind w:left="357" w:hanging="357"/>
              <w:rPr>
                <w:sz w:val="16"/>
                <w:szCs w:val="16"/>
                <w:lang w:val="fr-FR"/>
              </w:rPr>
            </w:pPr>
            <w:r w:rsidRPr="00D85862">
              <w:rPr>
                <w:sz w:val="16"/>
                <w:szCs w:val="16"/>
                <w:lang w:val="fr-FR"/>
              </w:rPr>
              <w:t>Installations agricoles</w:t>
            </w:r>
          </w:p>
        </w:tc>
      </w:tr>
      <w:tr w:rsidR="00FE4330" w:rsidRPr="00D85862" w14:paraId="24BB28EC"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5900DA22" w14:textId="1E777C6E" w:rsidR="00FE4330" w:rsidRPr="00D85862" w:rsidRDefault="00FE4330" w:rsidP="00006932">
            <w:pPr>
              <w:pStyle w:val="Normal-pool"/>
              <w:rPr>
                <w:sz w:val="16"/>
                <w:szCs w:val="16"/>
                <w:lang w:val="fr-FR"/>
              </w:rPr>
            </w:pPr>
            <w:r w:rsidRPr="00D85862">
              <w:rPr>
                <w:sz w:val="16"/>
                <w:szCs w:val="16"/>
                <w:lang w:val="fr-FR"/>
              </w:rPr>
              <w:t>Boues d</w:t>
            </w:r>
            <w:r w:rsidR="00F205DE" w:rsidRPr="00D85862">
              <w:rPr>
                <w:sz w:val="16"/>
                <w:szCs w:val="16"/>
                <w:lang w:val="fr-FR"/>
              </w:rPr>
              <w:t>’</w:t>
            </w:r>
            <w:r w:rsidRPr="00D85862">
              <w:rPr>
                <w:sz w:val="16"/>
                <w:szCs w:val="16"/>
                <w:lang w:val="fr-FR"/>
              </w:rPr>
              <w:t>épuration</w:t>
            </w:r>
          </w:p>
        </w:tc>
        <w:tc>
          <w:tcPr>
            <w:tcW w:w="6650" w:type="dxa"/>
            <w:tcBorders>
              <w:top w:val="single" w:sz="4" w:space="0" w:color="000000"/>
              <w:left w:val="single" w:sz="4" w:space="0" w:color="000000"/>
              <w:bottom w:val="single" w:sz="4" w:space="0" w:color="000000"/>
              <w:right w:val="single" w:sz="4" w:space="0" w:color="000000"/>
            </w:tcBorders>
            <w:hideMark/>
          </w:tcPr>
          <w:p w14:paraId="10BD3C78" w14:textId="77777777" w:rsidR="00FE4330" w:rsidRPr="00D85862" w:rsidRDefault="00FE4330" w:rsidP="00006932">
            <w:pPr>
              <w:pStyle w:val="Normal-pool"/>
              <w:numPr>
                <w:ilvl w:val="0"/>
                <w:numId w:val="26"/>
              </w:numPr>
              <w:rPr>
                <w:sz w:val="16"/>
                <w:szCs w:val="16"/>
                <w:lang w:val="fr-FR"/>
              </w:rPr>
            </w:pPr>
            <w:r w:rsidRPr="00D85862">
              <w:rPr>
                <w:sz w:val="16"/>
                <w:szCs w:val="16"/>
                <w:lang w:val="fr-FR"/>
              </w:rPr>
              <w:t>Réservoirs de séparation et réservoirs de roches sédimentaires pour le raffinage du pétrole brut, la production et la transformation de gaz naturel, le forage, le nettoyage de navires, les procédés chimiques, etc.</w:t>
            </w:r>
          </w:p>
          <w:p w14:paraId="46C59392" w14:textId="77777777" w:rsidR="00FE4330" w:rsidRPr="00D85862" w:rsidRDefault="00FE4330" w:rsidP="00006932">
            <w:pPr>
              <w:pStyle w:val="Normal-pool"/>
              <w:numPr>
                <w:ilvl w:val="0"/>
                <w:numId w:val="26"/>
              </w:numPr>
              <w:spacing w:after="40"/>
              <w:ind w:left="357" w:hanging="357"/>
              <w:rPr>
                <w:sz w:val="16"/>
                <w:szCs w:val="16"/>
                <w:lang w:val="fr-FR"/>
              </w:rPr>
            </w:pPr>
            <w:r w:rsidRPr="00D85862">
              <w:rPr>
                <w:sz w:val="16"/>
                <w:szCs w:val="16"/>
                <w:lang w:val="fr-FR"/>
              </w:rPr>
              <w:t>Traitement des déchets contaminés par du mercure (par ex. précipitation ou oxydation chimiques)</w:t>
            </w:r>
          </w:p>
        </w:tc>
      </w:tr>
      <w:tr w:rsidR="00FE4330" w:rsidRPr="00D85862" w14:paraId="1B6B933A" w14:textId="77777777" w:rsidTr="00FE4330">
        <w:trPr>
          <w:jc w:val="center"/>
        </w:trPr>
        <w:tc>
          <w:tcPr>
            <w:tcW w:w="2835" w:type="dxa"/>
            <w:tcBorders>
              <w:top w:val="single" w:sz="4" w:space="0" w:color="000000"/>
              <w:left w:val="single" w:sz="4" w:space="0" w:color="000000"/>
              <w:bottom w:val="single" w:sz="4" w:space="0" w:color="000000"/>
              <w:right w:val="single" w:sz="4" w:space="0" w:color="000000"/>
            </w:tcBorders>
            <w:hideMark/>
          </w:tcPr>
          <w:p w14:paraId="3B1DBA41" w14:textId="77777777" w:rsidR="00FE4330" w:rsidRPr="00D85862" w:rsidRDefault="00FE4330" w:rsidP="00006932">
            <w:pPr>
              <w:pStyle w:val="Normal-pool"/>
              <w:rPr>
                <w:sz w:val="16"/>
                <w:szCs w:val="16"/>
                <w:lang w:val="fr-FR"/>
              </w:rPr>
            </w:pPr>
            <w:r w:rsidRPr="00D85862">
              <w:rPr>
                <w:sz w:val="16"/>
                <w:szCs w:val="16"/>
                <w:lang w:val="fr-FR"/>
              </w:rPr>
              <w:t>Catalyseurs utilisés pour le raffinage du pétrole et du gaz</w:t>
            </w:r>
          </w:p>
        </w:tc>
        <w:tc>
          <w:tcPr>
            <w:tcW w:w="6650" w:type="dxa"/>
            <w:tcBorders>
              <w:top w:val="single" w:sz="4" w:space="0" w:color="000000"/>
              <w:left w:val="single" w:sz="4" w:space="0" w:color="000000"/>
              <w:bottom w:val="single" w:sz="4" w:space="0" w:color="000000"/>
              <w:right w:val="single" w:sz="4" w:space="0" w:color="000000"/>
            </w:tcBorders>
            <w:hideMark/>
          </w:tcPr>
          <w:p w14:paraId="7E7F2541" w14:textId="77777777" w:rsidR="00FE4330" w:rsidRPr="00D85862" w:rsidRDefault="00FE4330" w:rsidP="00006932">
            <w:pPr>
              <w:pStyle w:val="Normal-pool"/>
              <w:numPr>
                <w:ilvl w:val="0"/>
                <w:numId w:val="26"/>
              </w:numPr>
              <w:rPr>
                <w:sz w:val="16"/>
                <w:szCs w:val="16"/>
                <w:lang w:val="fr-FR"/>
              </w:rPr>
            </w:pPr>
            <w:r w:rsidRPr="00D85862">
              <w:rPr>
                <w:sz w:val="16"/>
                <w:szCs w:val="16"/>
                <w:lang w:val="fr-FR"/>
              </w:rPr>
              <w:t>Raffinage du pétrole brut</w:t>
            </w:r>
          </w:p>
          <w:p w14:paraId="6EC5200D" w14:textId="77777777" w:rsidR="00FE4330" w:rsidRPr="00D85862" w:rsidRDefault="00FE4330" w:rsidP="00006932">
            <w:pPr>
              <w:pStyle w:val="Normal-pool"/>
              <w:numPr>
                <w:ilvl w:val="0"/>
                <w:numId w:val="26"/>
              </w:numPr>
              <w:spacing w:after="40"/>
              <w:ind w:left="357" w:hanging="357"/>
              <w:rPr>
                <w:sz w:val="16"/>
                <w:szCs w:val="16"/>
                <w:lang w:val="fr-FR"/>
              </w:rPr>
            </w:pPr>
            <w:r w:rsidRPr="00D85862">
              <w:rPr>
                <w:sz w:val="16"/>
                <w:szCs w:val="16"/>
                <w:lang w:val="fr-FR"/>
              </w:rPr>
              <w:t>Transformation du gaz naturel</w:t>
            </w:r>
          </w:p>
        </w:tc>
      </w:tr>
      <w:tr w:rsidR="00FE4330" w:rsidRPr="00D85862" w14:paraId="75344ADD" w14:textId="77777777" w:rsidTr="00FE4330">
        <w:trPr>
          <w:trHeight w:val="260"/>
          <w:jc w:val="center"/>
        </w:trPr>
        <w:tc>
          <w:tcPr>
            <w:tcW w:w="2835" w:type="dxa"/>
            <w:tcBorders>
              <w:top w:val="single" w:sz="4" w:space="0" w:color="000000"/>
              <w:left w:val="single" w:sz="4" w:space="0" w:color="000000"/>
              <w:bottom w:val="single" w:sz="4" w:space="0" w:color="000000"/>
              <w:right w:val="single" w:sz="4" w:space="0" w:color="000000"/>
            </w:tcBorders>
            <w:hideMark/>
          </w:tcPr>
          <w:p w14:paraId="08FBDF55" w14:textId="730D9254" w:rsidR="00FE4330" w:rsidRPr="00D85862" w:rsidRDefault="00FE4330" w:rsidP="00006932">
            <w:pPr>
              <w:pStyle w:val="Normal-pool"/>
              <w:rPr>
                <w:sz w:val="16"/>
                <w:szCs w:val="16"/>
                <w:lang w:val="fr-FR"/>
              </w:rPr>
            </w:pPr>
            <w:r w:rsidRPr="00D85862">
              <w:rPr>
                <w:sz w:val="16"/>
                <w:szCs w:val="16"/>
                <w:lang w:val="fr-FR"/>
              </w:rPr>
              <w:t>Résidus miniers, résidus des procédés d</w:t>
            </w:r>
            <w:r w:rsidR="00F205DE" w:rsidRPr="00D85862">
              <w:rPr>
                <w:sz w:val="16"/>
                <w:szCs w:val="16"/>
                <w:lang w:val="fr-FR"/>
              </w:rPr>
              <w:t>’</w:t>
            </w:r>
            <w:r w:rsidRPr="00D85862">
              <w:rPr>
                <w:sz w:val="16"/>
                <w:szCs w:val="16"/>
                <w:lang w:val="fr-FR"/>
              </w:rPr>
              <w:t>extraction</w:t>
            </w:r>
          </w:p>
        </w:tc>
        <w:tc>
          <w:tcPr>
            <w:tcW w:w="6650" w:type="dxa"/>
            <w:tcBorders>
              <w:top w:val="single" w:sz="4" w:space="0" w:color="000000"/>
              <w:left w:val="single" w:sz="4" w:space="0" w:color="000000"/>
              <w:bottom w:val="single" w:sz="4" w:space="0" w:color="000000"/>
              <w:right w:val="single" w:sz="4" w:space="0" w:color="000000"/>
            </w:tcBorders>
            <w:hideMark/>
          </w:tcPr>
          <w:p w14:paraId="41B36964" w14:textId="77777777" w:rsidR="00FE4330" w:rsidRPr="00D85862" w:rsidRDefault="00FE4330" w:rsidP="00006932">
            <w:pPr>
              <w:pStyle w:val="Normal-pool"/>
              <w:numPr>
                <w:ilvl w:val="0"/>
                <w:numId w:val="26"/>
              </w:numPr>
              <w:spacing w:after="40"/>
              <w:ind w:left="357" w:hanging="357"/>
              <w:rPr>
                <w:sz w:val="16"/>
                <w:szCs w:val="16"/>
                <w:lang w:val="fr-FR"/>
              </w:rPr>
            </w:pPr>
            <w:r w:rsidRPr="00D85862">
              <w:rPr>
                <w:sz w:val="16"/>
                <w:szCs w:val="16"/>
                <w:lang w:val="fr-FR"/>
              </w:rPr>
              <w:t>Extraction minière primaire de mercure</w:t>
            </w:r>
          </w:p>
          <w:p w14:paraId="1ADEECEF" w14:textId="06607915" w:rsidR="00FE4330" w:rsidRPr="00D85862" w:rsidRDefault="00FE4330" w:rsidP="00006932">
            <w:pPr>
              <w:pStyle w:val="Normal-pool"/>
              <w:numPr>
                <w:ilvl w:val="0"/>
                <w:numId w:val="26"/>
              </w:numPr>
              <w:spacing w:after="40"/>
              <w:ind w:left="357" w:hanging="357"/>
              <w:rPr>
                <w:sz w:val="16"/>
                <w:szCs w:val="16"/>
                <w:lang w:val="fr-FR"/>
              </w:rPr>
            </w:pPr>
            <w:r w:rsidRPr="00D85862">
              <w:rPr>
                <w:sz w:val="16"/>
                <w:szCs w:val="16"/>
                <w:lang w:val="fr-FR"/>
              </w:rPr>
              <w:t>Extraction minière artisanale et à petite échelle d</w:t>
            </w:r>
            <w:r w:rsidR="00F205DE" w:rsidRPr="00D85862">
              <w:rPr>
                <w:sz w:val="16"/>
                <w:szCs w:val="16"/>
                <w:lang w:val="fr-FR"/>
              </w:rPr>
              <w:t>’</w:t>
            </w:r>
            <w:r w:rsidRPr="00D85862">
              <w:rPr>
                <w:sz w:val="16"/>
                <w:szCs w:val="16"/>
                <w:lang w:val="fr-FR"/>
              </w:rPr>
              <w:t>or</w:t>
            </w:r>
          </w:p>
        </w:tc>
      </w:tr>
      <w:tr w:rsidR="00FE4330" w:rsidRPr="00D85862" w14:paraId="52DBB15A" w14:textId="77777777" w:rsidTr="00FE4330">
        <w:trPr>
          <w:trHeight w:val="60"/>
          <w:jc w:val="center"/>
        </w:trPr>
        <w:tc>
          <w:tcPr>
            <w:tcW w:w="2835" w:type="dxa"/>
            <w:tcBorders>
              <w:top w:val="single" w:sz="4" w:space="0" w:color="000000"/>
              <w:left w:val="single" w:sz="4" w:space="0" w:color="000000"/>
              <w:bottom w:val="single" w:sz="4" w:space="0" w:color="000000"/>
              <w:right w:val="single" w:sz="4" w:space="0" w:color="000000"/>
            </w:tcBorders>
            <w:hideMark/>
          </w:tcPr>
          <w:p w14:paraId="7228E968" w14:textId="77777777" w:rsidR="00FE4330" w:rsidRPr="00D85862" w:rsidRDefault="00FE4330" w:rsidP="00006932">
            <w:pPr>
              <w:pStyle w:val="Normal-pool"/>
              <w:rPr>
                <w:sz w:val="16"/>
                <w:szCs w:val="16"/>
                <w:lang w:val="fr-FR"/>
              </w:rPr>
            </w:pPr>
            <w:r w:rsidRPr="00D85862">
              <w:rPr>
                <w:sz w:val="16"/>
                <w:szCs w:val="16"/>
                <w:lang w:val="fr-FR"/>
              </w:rPr>
              <w:t>Gravats, rejets et sols</w:t>
            </w:r>
            <w:r w:rsidRPr="00D85862">
              <w:rPr>
                <w:sz w:val="16"/>
                <w:szCs w:val="16"/>
                <w:vertAlign w:val="superscript"/>
                <w:lang w:val="fr-FR"/>
              </w:rPr>
              <w:t>e</w:t>
            </w:r>
          </w:p>
        </w:tc>
        <w:tc>
          <w:tcPr>
            <w:tcW w:w="6650" w:type="dxa"/>
            <w:tcBorders>
              <w:top w:val="single" w:sz="4" w:space="0" w:color="000000"/>
              <w:left w:val="single" w:sz="4" w:space="0" w:color="000000"/>
              <w:bottom w:val="single" w:sz="4" w:space="0" w:color="000000"/>
              <w:right w:val="single" w:sz="4" w:space="0" w:color="000000"/>
            </w:tcBorders>
            <w:hideMark/>
          </w:tcPr>
          <w:p w14:paraId="268F34FE" w14:textId="77777777" w:rsidR="00FE4330" w:rsidRPr="00D85862" w:rsidRDefault="00FE4330" w:rsidP="00006932">
            <w:pPr>
              <w:pStyle w:val="Normal-pool"/>
              <w:numPr>
                <w:ilvl w:val="0"/>
                <w:numId w:val="26"/>
              </w:numPr>
              <w:spacing w:after="40"/>
              <w:ind w:left="357" w:hanging="357"/>
              <w:rPr>
                <w:sz w:val="16"/>
                <w:szCs w:val="16"/>
                <w:lang w:val="fr-FR"/>
              </w:rPr>
            </w:pPr>
            <w:r w:rsidRPr="00D85862">
              <w:rPr>
                <w:sz w:val="16"/>
                <w:szCs w:val="16"/>
                <w:lang w:val="fr-FR"/>
              </w:rPr>
              <w:t>Construction/démolition</w:t>
            </w:r>
          </w:p>
          <w:p w14:paraId="5EF0B1A3" w14:textId="77777777" w:rsidR="00FE4330" w:rsidRPr="00D85862" w:rsidRDefault="00FE4330" w:rsidP="00006932">
            <w:pPr>
              <w:pStyle w:val="Normal-pool"/>
              <w:numPr>
                <w:ilvl w:val="0"/>
                <w:numId w:val="26"/>
              </w:numPr>
              <w:spacing w:after="40"/>
              <w:ind w:left="357" w:hanging="357"/>
              <w:rPr>
                <w:sz w:val="16"/>
                <w:szCs w:val="16"/>
                <w:lang w:val="fr-FR"/>
              </w:rPr>
            </w:pPr>
            <w:r w:rsidRPr="00D85862">
              <w:rPr>
                <w:sz w:val="16"/>
                <w:szCs w:val="16"/>
                <w:lang w:val="fr-FR"/>
              </w:rPr>
              <w:t>Remise en état des sites contaminés</w:t>
            </w:r>
          </w:p>
        </w:tc>
      </w:tr>
      <w:tr w:rsidR="00FE4330" w:rsidRPr="00D85862" w14:paraId="5294C17D" w14:textId="77777777" w:rsidTr="00FE4330">
        <w:trPr>
          <w:trHeight w:val="60"/>
          <w:jc w:val="center"/>
        </w:trPr>
        <w:tc>
          <w:tcPr>
            <w:tcW w:w="2835" w:type="dxa"/>
            <w:tcBorders>
              <w:top w:val="single" w:sz="4" w:space="0" w:color="000000"/>
              <w:left w:val="single" w:sz="4" w:space="0" w:color="000000"/>
              <w:bottom w:val="single" w:sz="4" w:space="0" w:color="000000"/>
              <w:right w:val="single" w:sz="4" w:space="0" w:color="000000"/>
            </w:tcBorders>
            <w:hideMark/>
          </w:tcPr>
          <w:p w14:paraId="512F9C31" w14:textId="77777777" w:rsidR="00FE4330" w:rsidRPr="00D85862" w:rsidRDefault="00FE4330" w:rsidP="00006932">
            <w:pPr>
              <w:pStyle w:val="Normal-pool"/>
              <w:rPr>
                <w:sz w:val="16"/>
                <w:szCs w:val="16"/>
                <w:lang w:val="fr-FR"/>
              </w:rPr>
            </w:pPr>
            <w:r w:rsidRPr="00D85862">
              <w:rPr>
                <w:sz w:val="16"/>
                <w:szCs w:val="16"/>
                <w:lang w:val="fr-FR"/>
              </w:rPr>
              <w:t>Autres déchets des procédés de fabrication utilisant du mercure ou des composés du mercure</w:t>
            </w:r>
            <w:r w:rsidRPr="00D85862">
              <w:rPr>
                <w:sz w:val="16"/>
                <w:szCs w:val="16"/>
                <w:vertAlign w:val="superscript"/>
                <w:lang w:val="fr-FR"/>
              </w:rPr>
              <w:t>f</w:t>
            </w:r>
          </w:p>
        </w:tc>
        <w:tc>
          <w:tcPr>
            <w:tcW w:w="6650" w:type="dxa"/>
            <w:tcBorders>
              <w:top w:val="single" w:sz="4" w:space="0" w:color="000000"/>
              <w:left w:val="single" w:sz="4" w:space="0" w:color="000000"/>
              <w:bottom w:val="single" w:sz="4" w:space="0" w:color="000000"/>
              <w:right w:val="single" w:sz="4" w:space="0" w:color="000000"/>
            </w:tcBorders>
            <w:hideMark/>
          </w:tcPr>
          <w:p w14:paraId="2A87DD1E" w14:textId="77777777" w:rsidR="00FE4330" w:rsidRPr="00D85862" w:rsidRDefault="00FE4330" w:rsidP="00006932">
            <w:pPr>
              <w:pStyle w:val="Normal-pool"/>
              <w:numPr>
                <w:ilvl w:val="0"/>
                <w:numId w:val="26"/>
              </w:numPr>
              <w:spacing w:after="40"/>
              <w:ind w:left="357" w:hanging="357"/>
              <w:rPr>
                <w:sz w:val="16"/>
                <w:szCs w:val="16"/>
                <w:lang w:val="fr-FR"/>
              </w:rPr>
            </w:pPr>
            <w:r w:rsidRPr="00D85862">
              <w:rPr>
                <w:sz w:val="16"/>
                <w:szCs w:val="16"/>
                <w:lang w:val="fr-FR"/>
              </w:rPr>
              <w:t xml:space="preserve">Production de chlore-alkali avec une technologie au mercure </w:t>
            </w:r>
          </w:p>
          <w:p w14:paraId="393A8F28" w14:textId="4C814EF4" w:rsidR="00FE4330" w:rsidRPr="00D85862" w:rsidRDefault="00FE4330" w:rsidP="00006932">
            <w:pPr>
              <w:pStyle w:val="Normal-pool"/>
              <w:numPr>
                <w:ilvl w:val="0"/>
                <w:numId w:val="26"/>
              </w:numPr>
              <w:spacing w:after="40"/>
              <w:ind w:left="357" w:hanging="357"/>
              <w:rPr>
                <w:sz w:val="16"/>
                <w:szCs w:val="16"/>
                <w:lang w:val="fr-FR"/>
              </w:rPr>
            </w:pPr>
            <w:r w:rsidRPr="00D85862">
              <w:rPr>
                <w:sz w:val="16"/>
                <w:szCs w:val="16"/>
                <w:lang w:val="fr-FR"/>
              </w:rPr>
              <w:t>Production d</w:t>
            </w:r>
            <w:r w:rsidR="00F205DE" w:rsidRPr="00D85862">
              <w:rPr>
                <w:sz w:val="16"/>
                <w:szCs w:val="16"/>
                <w:lang w:val="fr-FR"/>
              </w:rPr>
              <w:t>’</w:t>
            </w:r>
            <w:r w:rsidRPr="00D85862">
              <w:rPr>
                <w:sz w:val="16"/>
                <w:szCs w:val="16"/>
                <w:lang w:val="fr-FR"/>
              </w:rPr>
              <w:t>alcoholates (par exemple, méthylate ou éthylate de sodium ou de potassium)</w:t>
            </w:r>
          </w:p>
          <w:p w14:paraId="1692C168" w14:textId="0D3B513A" w:rsidR="00FE4330" w:rsidRPr="00D85862" w:rsidRDefault="00FE4330" w:rsidP="00006932">
            <w:pPr>
              <w:pStyle w:val="Normal-pool"/>
              <w:numPr>
                <w:ilvl w:val="0"/>
                <w:numId w:val="26"/>
              </w:numPr>
              <w:spacing w:after="40"/>
              <w:ind w:left="357" w:hanging="357"/>
              <w:rPr>
                <w:sz w:val="16"/>
                <w:szCs w:val="16"/>
                <w:lang w:val="fr-FR"/>
              </w:rPr>
            </w:pPr>
            <w:r w:rsidRPr="00D85862">
              <w:rPr>
                <w:sz w:val="16"/>
                <w:szCs w:val="16"/>
                <w:lang w:val="fr-FR"/>
              </w:rPr>
              <w:t>Dithionite et solution ultrapure d</w:t>
            </w:r>
            <w:r w:rsidR="00F205DE" w:rsidRPr="00D85862">
              <w:rPr>
                <w:sz w:val="16"/>
                <w:szCs w:val="16"/>
                <w:lang w:val="fr-FR"/>
              </w:rPr>
              <w:t>’</w:t>
            </w:r>
            <w:r w:rsidRPr="00D85862">
              <w:rPr>
                <w:sz w:val="16"/>
                <w:szCs w:val="16"/>
                <w:lang w:val="fr-FR"/>
              </w:rPr>
              <w:t xml:space="preserve">hydroxyde de potassium </w:t>
            </w:r>
          </w:p>
          <w:p w14:paraId="17127E63" w14:textId="77777777" w:rsidR="00FE4330" w:rsidRPr="00D85862" w:rsidRDefault="00FE4330" w:rsidP="00006932">
            <w:pPr>
              <w:pStyle w:val="Normal-pool"/>
              <w:numPr>
                <w:ilvl w:val="0"/>
                <w:numId w:val="26"/>
              </w:numPr>
              <w:spacing w:after="40"/>
              <w:ind w:left="357" w:hanging="357"/>
              <w:rPr>
                <w:sz w:val="16"/>
                <w:szCs w:val="16"/>
                <w:lang w:val="fr-FR"/>
              </w:rPr>
            </w:pPr>
            <w:r w:rsidRPr="00D85862">
              <w:rPr>
                <w:sz w:val="16"/>
                <w:szCs w:val="16"/>
                <w:lang w:val="fr-FR"/>
              </w:rPr>
              <w:t>Production de chlorure de vinyle monomère catalysé au bichlorure de mercure (HgCl</w:t>
            </w:r>
            <w:r w:rsidRPr="00D85862">
              <w:rPr>
                <w:sz w:val="16"/>
                <w:szCs w:val="16"/>
                <w:vertAlign w:val="subscript"/>
                <w:lang w:val="fr-FR"/>
              </w:rPr>
              <w:t>2</w:t>
            </w:r>
            <w:r w:rsidRPr="00D85862">
              <w:rPr>
                <w:sz w:val="16"/>
                <w:szCs w:val="16"/>
                <w:lang w:val="fr-FR"/>
              </w:rPr>
              <w:t>)</w:t>
            </w:r>
          </w:p>
          <w:p w14:paraId="3B875A02" w14:textId="3E88BDBA" w:rsidR="00FE4330" w:rsidRPr="00D85862" w:rsidRDefault="00FE4330" w:rsidP="00006932">
            <w:pPr>
              <w:pStyle w:val="Normal-pool"/>
              <w:numPr>
                <w:ilvl w:val="0"/>
                <w:numId w:val="26"/>
              </w:numPr>
              <w:spacing w:after="40"/>
              <w:ind w:left="357" w:hanging="357"/>
              <w:rPr>
                <w:sz w:val="16"/>
                <w:szCs w:val="16"/>
                <w:lang w:val="fr-FR"/>
              </w:rPr>
            </w:pPr>
            <w:r w:rsidRPr="00D85862">
              <w:rPr>
                <w:sz w:val="16"/>
                <w:szCs w:val="16"/>
                <w:lang w:val="fr-FR"/>
              </w:rPr>
              <w:t>Production d</w:t>
            </w:r>
            <w:r w:rsidR="00F205DE" w:rsidRPr="00D85862">
              <w:rPr>
                <w:sz w:val="16"/>
                <w:szCs w:val="16"/>
                <w:lang w:val="fr-FR"/>
              </w:rPr>
              <w:t>’</w:t>
            </w:r>
            <w:r w:rsidRPr="00D85862">
              <w:rPr>
                <w:sz w:val="16"/>
                <w:szCs w:val="16"/>
                <w:lang w:val="fr-FR"/>
              </w:rPr>
              <w:t>acétaldéhyde catalysé au sulfate de mercure (HgSO</w:t>
            </w:r>
            <w:r w:rsidRPr="00D85862">
              <w:rPr>
                <w:sz w:val="16"/>
                <w:szCs w:val="16"/>
                <w:vertAlign w:val="subscript"/>
                <w:lang w:val="fr-FR"/>
              </w:rPr>
              <w:t>4</w:t>
            </w:r>
            <w:r w:rsidRPr="00D85862">
              <w:rPr>
                <w:sz w:val="16"/>
                <w:szCs w:val="16"/>
                <w:lang w:val="fr-FR"/>
              </w:rPr>
              <w:t>), etc.</w:t>
            </w:r>
          </w:p>
        </w:tc>
      </w:tr>
      <w:tr w:rsidR="00FE4330" w:rsidRPr="00D85862" w14:paraId="0FF93FFC" w14:textId="77777777" w:rsidTr="00FE4330">
        <w:trPr>
          <w:trHeight w:val="60"/>
          <w:jc w:val="center"/>
        </w:trPr>
        <w:tc>
          <w:tcPr>
            <w:tcW w:w="2835" w:type="dxa"/>
            <w:tcBorders>
              <w:top w:val="single" w:sz="4" w:space="0" w:color="000000"/>
              <w:left w:val="single" w:sz="4" w:space="0" w:color="000000"/>
              <w:bottom w:val="single" w:sz="4" w:space="0" w:color="000000"/>
              <w:right w:val="single" w:sz="4" w:space="0" w:color="000000"/>
            </w:tcBorders>
            <w:hideMark/>
          </w:tcPr>
          <w:p w14:paraId="2FCFAC2E" w14:textId="77777777" w:rsidR="00FE4330" w:rsidRPr="00D85862" w:rsidRDefault="00FE4330" w:rsidP="00006932">
            <w:pPr>
              <w:rPr>
                <w:sz w:val="16"/>
                <w:szCs w:val="16"/>
              </w:rPr>
            </w:pPr>
            <w:r w:rsidRPr="00D85862">
              <w:rPr>
                <w:sz w:val="16"/>
                <w:szCs w:val="16"/>
              </w:rPr>
              <w:t>Autres déchets issus de la fabrication de produits contenant du mercure ajouté</w:t>
            </w:r>
            <w:r w:rsidRPr="00D85862">
              <w:rPr>
                <w:sz w:val="16"/>
                <w:szCs w:val="16"/>
                <w:vertAlign w:val="superscript"/>
              </w:rPr>
              <w:t>g</w:t>
            </w:r>
          </w:p>
        </w:tc>
        <w:tc>
          <w:tcPr>
            <w:tcW w:w="6650" w:type="dxa"/>
            <w:tcBorders>
              <w:top w:val="single" w:sz="4" w:space="0" w:color="000000"/>
              <w:left w:val="single" w:sz="4" w:space="0" w:color="000000"/>
              <w:bottom w:val="single" w:sz="4" w:space="0" w:color="000000"/>
              <w:right w:val="single" w:sz="4" w:space="0" w:color="000000"/>
            </w:tcBorders>
            <w:hideMark/>
          </w:tcPr>
          <w:p w14:paraId="4D0D3D66" w14:textId="77777777" w:rsidR="00FE4330" w:rsidRPr="00D85862" w:rsidRDefault="00FE4330" w:rsidP="00006932">
            <w:pPr>
              <w:rPr>
                <w:sz w:val="16"/>
                <w:szCs w:val="16"/>
              </w:rPr>
            </w:pPr>
            <w:r w:rsidRPr="00D85862">
              <w:rPr>
                <w:sz w:val="16"/>
                <w:szCs w:val="16"/>
              </w:rPr>
              <w:t>Fabrication de produits contenant du mercure ajouté</w:t>
            </w:r>
          </w:p>
        </w:tc>
      </w:tr>
      <w:tr w:rsidR="00FE4330" w:rsidRPr="00D85862" w14:paraId="26AFCED6" w14:textId="77777777" w:rsidTr="00FE4330">
        <w:trPr>
          <w:trHeight w:val="60"/>
          <w:jc w:val="center"/>
        </w:trPr>
        <w:tc>
          <w:tcPr>
            <w:tcW w:w="2835" w:type="dxa"/>
            <w:tcBorders>
              <w:top w:val="single" w:sz="4" w:space="0" w:color="000000"/>
              <w:left w:val="single" w:sz="4" w:space="0" w:color="000000"/>
              <w:bottom w:val="single" w:sz="4" w:space="0" w:color="000000"/>
              <w:right w:val="single" w:sz="4" w:space="0" w:color="000000"/>
            </w:tcBorders>
            <w:hideMark/>
          </w:tcPr>
          <w:p w14:paraId="6818566D" w14:textId="13A50EEF" w:rsidR="00FE4330" w:rsidRPr="00D85862" w:rsidRDefault="00FE4330" w:rsidP="00006932">
            <w:pPr>
              <w:rPr>
                <w:sz w:val="16"/>
                <w:szCs w:val="16"/>
              </w:rPr>
            </w:pPr>
            <w:r w:rsidRPr="00D85862">
              <w:rPr>
                <w:sz w:val="16"/>
                <w:szCs w:val="16"/>
              </w:rPr>
              <w:t>Autres déchets issus de l</w:t>
            </w:r>
            <w:r w:rsidR="00F205DE" w:rsidRPr="00D85862">
              <w:rPr>
                <w:sz w:val="16"/>
                <w:szCs w:val="16"/>
              </w:rPr>
              <w:t>’</w:t>
            </w:r>
            <w:r w:rsidRPr="00D85862">
              <w:rPr>
                <w:sz w:val="16"/>
                <w:szCs w:val="16"/>
              </w:rPr>
              <w:t>épuration du gaz naturel</w:t>
            </w:r>
            <w:r w:rsidRPr="00D85862">
              <w:rPr>
                <w:sz w:val="16"/>
                <w:szCs w:val="16"/>
                <w:vertAlign w:val="superscript"/>
              </w:rPr>
              <w:t>h</w:t>
            </w:r>
          </w:p>
        </w:tc>
        <w:tc>
          <w:tcPr>
            <w:tcW w:w="6650" w:type="dxa"/>
            <w:tcBorders>
              <w:top w:val="single" w:sz="4" w:space="0" w:color="000000"/>
              <w:left w:val="single" w:sz="4" w:space="0" w:color="000000"/>
              <w:bottom w:val="single" w:sz="4" w:space="0" w:color="000000"/>
              <w:right w:val="single" w:sz="4" w:space="0" w:color="000000"/>
            </w:tcBorders>
            <w:hideMark/>
          </w:tcPr>
          <w:p w14:paraId="08B87010" w14:textId="77777777" w:rsidR="00FE4330" w:rsidRPr="00D85862" w:rsidRDefault="00FE4330" w:rsidP="00006932">
            <w:pPr>
              <w:rPr>
                <w:sz w:val="16"/>
                <w:szCs w:val="16"/>
              </w:rPr>
            </w:pPr>
            <w:r w:rsidRPr="00D85862">
              <w:rPr>
                <w:sz w:val="16"/>
                <w:szCs w:val="16"/>
              </w:rPr>
              <w:t>Épuration du gaz nature</w:t>
            </w:r>
            <w:bookmarkStart w:id="8" w:name="_GoBack"/>
            <w:bookmarkEnd w:id="8"/>
          </w:p>
        </w:tc>
      </w:tr>
      <w:tr w:rsidR="00FE4330" w:rsidRPr="00D85862" w14:paraId="40EB290D" w14:textId="77777777" w:rsidTr="00FE4330">
        <w:trPr>
          <w:trHeight w:val="60"/>
          <w:jc w:val="center"/>
        </w:trPr>
        <w:tc>
          <w:tcPr>
            <w:tcW w:w="2835" w:type="dxa"/>
            <w:tcBorders>
              <w:top w:val="single" w:sz="4" w:space="0" w:color="000000"/>
              <w:left w:val="single" w:sz="4" w:space="0" w:color="000000"/>
              <w:bottom w:val="single" w:sz="4" w:space="0" w:color="000000"/>
              <w:right w:val="single" w:sz="4" w:space="0" w:color="000000"/>
            </w:tcBorders>
            <w:hideMark/>
          </w:tcPr>
          <w:p w14:paraId="419EA3FC" w14:textId="77777777" w:rsidR="00FE4330" w:rsidRPr="00D85862" w:rsidRDefault="00FE4330" w:rsidP="00006932">
            <w:pPr>
              <w:rPr>
                <w:sz w:val="16"/>
                <w:szCs w:val="16"/>
              </w:rPr>
            </w:pPr>
            <w:r w:rsidRPr="00D85862">
              <w:rPr>
                <w:sz w:val="16"/>
                <w:szCs w:val="16"/>
              </w:rPr>
              <w:t>Déchets des installations de traitement des déchets</w:t>
            </w:r>
            <w:r w:rsidRPr="00D85862">
              <w:rPr>
                <w:sz w:val="16"/>
                <w:szCs w:val="16"/>
                <w:vertAlign w:val="superscript"/>
              </w:rPr>
              <w:t>i</w:t>
            </w:r>
          </w:p>
        </w:tc>
        <w:tc>
          <w:tcPr>
            <w:tcW w:w="6650" w:type="dxa"/>
            <w:tcBorders>
              <w:top w:val="single" w:sz="4" w:space="0" w:color="000000"/>
              <w:left w:val="single" w:sz="4" w:space="0" w:color="000000"/>
              <w:bottom w:val="single" w:sz="4" w:space="0" w:color="000000"/>
              <w:right w:val="single" w:sz="4" w:space="0" w:color="000000"/>
            </w:tcBorders>
            <w:hideMark/>
          </w:tcPr>
          <w:p w14:paraId="7E05D5E2" w14:textId="77777777" w:rsidR="00FE4330" w:rsidRPr="00D85862" w:rsidRDefault="00FE4330" w:rsidP="00006932">
            <w:pPr>
              <w:rPr>
                <w:sz w:val="16"/>
                <w:szCs w:val="16"/>
              </w:rPr>
            </w:pPr>
            <w:r w:rsidRPr="00D85862">
              <w:rPr>
                <w:sz w:val="16"/>
                <w:szCs w:val="16"/>
              </w:rPr>
              <w:t>Installations de traitement des déchets</w:t>
            </w:r>
          </w:p>
        </w:tc>
      </w:tr>
    </w:tbl>
    <w:p w14:paraId="3978301B" w14:textId="659702DD" w:rsidR="00FE4330" w:rsidRPr="00D85862" w:rsidRDefault="00FE4330" w:rsidP="00DA6AD1">
      <w:pPr>
        <w:pStyle w:val="Normal-pool"/>
        <w:tabs>
          <w:tab w:val="clear" w:pos="1247"/>
        </w:tabs>
        <w:spacing w:after="120"/>
        <w:ind w:left="851"/>
        <w:rPr>
          <w:sz w:val="17"/>
          <w:szCs w:val="17"/>
          <w:lang w:val="fr-FR"/>
        </w:rPr>
      </w:pPr>
      <w:r w:rsidRPr="00D85862">
        <w:rPr>
          <w:sz w:val="17"/>
          <w:szCs w:val="17"/>
          <w:vertAlign w:val="superscript"/>
          <w:lang w:val="fr-FR"/>
        </w:rPr>
        <w:t>a</w:t>
      </w:r>
      <w:r w:rsidRPr="00D85862">
        <w:rPr>
          <w:sz w:val="17"/>
          <w:szCs w:val="17"/>
          <w:lang w:val="fr-FR"/>
        </w:rPr>
        <w:t xml:space="preserve"> Les déchets figurant dans ce tableau sont considérés comme des déchets du mercure lorsqu</w:t>
      </w:r>
      <w:r w:rsidR="00F205DE" w:rsidRPr="00D85862">
        <w:rPr>
          <w:sz w:val="17"/>
          <w:szCs w:val="17"/>
          <w:lang w:val="fr-FR"/>
        </w:rPr>
        <w:t>’</w:t>
      </w:r>
      <w:r w:rsidRPr="00D85862">
        <w:rPr>
          <w:sz w:val="17"/>
          <w:szCs w:val="17"/>
          <w:lang w:val="fr-FR"/>
        </w:rPr>
        <w:t>ils dépassent les seuils. Les déchets qui dépassent les seuils fixés mais qui ne figurent pas dans cette liste seraient également considérés comme des déchets du mercure.</w:t>
      </w:r>
      <w:r w:rsidR="00A66608" w:rsidRPr="00D85862">
        <w:rPr>
          <w:sz w:val="17"/>
          <w:szCs w:val="17"/>
          <w:lang w:val="fr-FR"/>
        </w:rPr>
        <w:br/>
      </w:r>
      <w:r w:rsidRPr="00D85862">
        <w:rPr>
          <w:sz w:val="17"/>
          <w:szCs w:val="17"/>
          <w:vertAlign w:val="superscript"/>
          <w:lang w:val="fr-FR"/>
        </w:rPr>
        <w:t>b</w:t>
      </w:r>
      <w:r w:rsidRPr="00D85862">
        <w:rPr>
          <w:sz w:val="17"/>
          <w:szCs w:val="17"/>
          <w:lang w:val="fr-FR"/>
        </w:rPr>
        <w:t xml:space="preserve"> Une installation ou activité dans laquelle il est probable que des déchets soient générés ou accumulés.</w:t>
      </w:r>
      <w:r w:rsidR="00A66608" w:rsidRPr="00D85862">
        <w:rPr>
          <w:sz w:val="17"/>
          <w:szCs w:val="17"/>
          <w:lang w:val="fr-FR"/>
        </w:rPr>
        <w:br/>
      </w:r>
      <w:r w:rsidRPr="00D85862">
        <w:rPr>
          <w:sz w:val="17"/>
          <w:szCs w:val="17"/>
          <w:vertAlign w:val="superscript"/>
          <w:lang w:val="fr-FR"/>
        </w:rPr>
        <w:t>c</w:t>
      </w:r>
      <w:r w:rsidRPr="00D85862">
        <w:rPr>
          <w:sz w:val="17"/>
          <w:szCs w:val="17"/>
          <w:lang w:val="fr-FR"/>
        </w:rPr>
        <w:t xml:space="preserve"> Incluant les filtres et le charbon actif.</w:t>
      </w:r>
      <w:r w:rsidR="00A66608" w:rsidRPr="00D85862">
        <w:rPr>
          <w:sz w:val="17"/>
          <w:szCs w:val="17"/>
          <w:lang w:val="fr-FR"/>
        </w:rPr>
        <w:br/>
      </w:r>
      <w:r w:rsidRPr="00D85862">
        <w:rPr>
          <w:sz w:val="17"/>
          <w:szCs w:val="17"/>
          <w:vertAlign w:val="superscript"/>
          <w:lang w:val="fr-FR"/>
        </w:rPr>
        <w:t>d</w:t>
      </w:r>
      <w:r w:rsidRPr="00D85862">
        <w:rPr>
          <w:sz w:val="17"/>
          <w:szCs w:val="17"/>
          <w:lang w:val="fr-FR"/>
        </w:rPr>
        <w:t xml:space="preserve"> Incluant les filtres et les résines.</w:t>
      </w:r>
      <w:r w:rsidR="00A66608" w:rsidRPr="00D85862">
        <w:rPr>
          <w:sz w:val="17"/>
          <w:szCs w:val="17"/>
          <w:lang w:val="fr-FR"/>
        </w:rPr>
        <w:br/>
      </w:r>
      <w:r w:rsidRPr="00D85862">
        <w:rPr>
          <w:sz w:val="17"/>
          <w:szCs w:val="17"/>
          <w:vertAlign w:val="superscript"/>
          <w:lang w:val="fr-FR"/>
        </w:rPr>
        <w:t>e</w:t>
      </w:r>
      <w:r w:rsidRPr="00D85862">
        <w:rPr>
          <w:sz w:val="17"/>
          <w:szCs w:val="17"/>
          <w:lang w:val="fr-FR"/>
        </w:rPr>
        <w:t xml:space="preserve"> Les sols contaminés transportés hors site sont considérés comme des déchets.</w:t>
      </w:r>
      <w:r w:rsidR="00A66608" w:rsidRPr="00D85862">
        <w:rPr>
          <w:sz w:val="17"/>
          <w:szCs w:val="17"/>
          <w:lang w:val="fr-FR"/>
        </w:rPr>
        <w:br/>
      </w:r>
      <w:r w:rsidRPr="00D85862">
        <w:rPr>
          <w:sz w:val="17"/>
          <w:szCs w:val="17"/>
          <w:vertAlign w:val="superscript"/>
          <w:lang w:val="fr-FR"/>
        </w:rPr>
        <w:t>f</w:t>
      </w:r>
      <w:r w:rsidRPr="00D85862">
        <w:rPr>
          <w:sz w:val="17"/>
          <w:szCs w:val="17"/>
          <w:lang w:val="fr-FR"/>
        </w:rPr>
        <w:t xml:space="preserve"> Cellules à mercure, unités pour la récupération du mercure (cornue), catalyseurs usagés, déchets de démantèlement et de démolition, équipements de protection individuelle, éléments utilisés pour contenir les déversements de mercure, etc.</w:t>
      </w:r>
      <w:r w:rsidR="00A66608" w:rsidRPr="00D85862">
        <w:rPr>
          <w:sz w:val="17"/>
          <w:szCs w:val="17"/>
          <w:lang w:val="fr-FR"/>
        </w:rPr>
        <w:br/>
      </w:r>
      <w:r w:rsidRPr="00D85862">
        <w:rPr>
          <w:sz w:val="17"/>
          <w:szCs w:val="17"/>
          <w:vertAlign w:val="superscript"/>
          <w:lang w:val="fr-FR"/>
        </w:rPr>
        <w:t>g</w:t>
      </w:r>
      <w:r w:rsidRPr="00D85862">
        <w:rPr>
          <w:sz w:val="17"/>
          <w:szCs w:val="17"/>
          <w:lang w:val="fr-FR"/>
        </w:rPr>
        <w:t xml:space="preserve"> Résidus de procédés, déchets de démolition, etc.</w:t>
      </w:r>
      <w:r w:rsidR="00A66608" w:rsidRPr="00D85862">
        <w:rPr>
          <w:sz w:val="17"/>
          <w:szCs w:val="17"/>
          <w:lang w:val="fr-FR"/>
        </w:rPr>
        <w:br/>
      </w:r>
      <w:r w:rsidRPr="00D85862">
        <w:rPr>
          <w:sz w:val="17"/>
          <w:szCs w:val="17"/>
          <w:vertAlign w:val="superscript"/>
          <w:lang w:val="fr-FR"/>
        </w:rPr>
        <w:t>h</w:t>
      </w:r>
      <w:r w:rsidRPr="00D85862">
        <w:rPr>
          <w:sz w:val="17"/>
          <w:szCs w:val="17"/>
          <w:lang w:val="fr-FR"/>
        </w:rPr>
        <w:t xml:space="preserve"> Dépôts enlevés de la tuyauterie et des équipements de nettoyage des canalisations, etc.</w:t>
      </w:r>
      <w:r w:rsidR="00A66608" w:rsidRPr="00D85862">
        <w:rPr>
          <w:sz w:val="17"/>
          <w:szCs w:val="17"/>
          <w:lang w:val="fr-FR"/>
        </w:rPr>
        <w:br/>
      </w:r>
      <w:r w:rsidRPr="00D85862">
        <w:rPr>
          <w:sz w:val="17"/>
          <w:szCs w:val="17"/>
          <w:vertAlign w:val="superscript"/>
          <w:lang w:val="fr-FR"/>
        </w:rPr>
        <w:t>i</w:t>
      </w:r>
      <w:r w:rsidRPr="00D85862">
        <w:rPr>
          <w:sz w:val="17"/>
          <w:szCs w:val="17"/>
          <w:lang w:val="fr-FR"/>
        </w:rPr>
        <w:t xml:space="preserve"> Déchets traités pour stabiliser/solidifier le mercure dans les déchets, revêtements fluorescents, métal et verre.</w:t>
      </w:r>
    </w:p>
    <w:tbl>
      <w:tblPr>
        <w:tblW w:w="9712" w:type="dxa"/>
        <w:tblLayout w:type="fixed"/>
        <w:tblLook w:val="04A0" w:firstRow="1" w:lastRow="0" w:firstColumn="1" w:lastColumn="0" w:noHBand="0" w:noVBand="1"/>
      </w:tblPr>
      <w:tblGrid>
        <w:gridCol w:w="1942"/>
        <w:gridCol w:w="1942"/>
        <w:gridCol w:w="1942"/>
        <w:gridCol w:w="1943"/>
        <w:gridCol w:w="1943"/>
      </w:tblGrid>
      <w:tr w:rsidR="007A517A" w:rsidRPr="00D85862" w14:paraId="4C07A72D" w14:textId="77777777" w:rsidTr="008F76C6">
        <w:tc>
          <w:tcPr>
            <w:tcW w:w="1942" w:type="dxa"/>
            <w:shd w:val="clear" w:color="auto" w:fill="auto"/>
          </w:tcPr>
          <w:p w14:paraId="69AF9CAE" w14:textId="77777777" w:rsidR="007A517A" w:rsidRPr="00D85862" w:rsidRDefault="007A517A" w:rsidP="00A359BF">
            <w:pPr>
              <w:pStyle w:val="Normal-pool"/>
              <w:spacing w:before="120" w:after="120"/>
              <w:rPr>
                <w:lang w:val="fr-FR"/>
              </w:rPr>
            </w:pPr>
          </w:p>
        </w:tc>
        <w:tc>
          <w:tcPr>
            <w:tcW w:w="1942" w:type="dxa"/>
            <w:shd w:val="clear" w:color="auto" w:fill="auto"/>
          </w:tcPr>
          <w:p w14:paraId="111AB095" w14:textId="77777777" w:rsidR="007A517A" w:rsidRPr="00D85862" w:rsidRDefault="007A517A" w:rsidP="00A359BF">
            <w:pPr>
              <w:pStyle w:val="Normal-pool"/>
              <w:spacing w:before="120" w:after="120"/>
              <w:rPr>
                <w:lang w:val="fr-FR"/>
              </w:rPr>
            </w:pPr>
          </w:p>
        </w:tc>
        <w:tc>
          <w:tcPr>
            <w:tcW w:w="1942" w:type="dxa"/>
            <w:tcBorders>
              <w:bottom w:val="single" w:sz="4" w:space="0" w:color="auto"/>
            </w:tcBorders>
            <w:shd w:val="clear" w:color="auto" w:fill="auto"/>
          </w:tcPr>
          <w:p w14:paraId="47F4F0C9" w14:textId="77777777" w:rsidR="007A517A" w:rsidRPr="00D85862" w:rsidRDefault="007A517A" w:rsidP="00A359BF">
            <w:pPr>
              <w:pStyle w:val="Normal-pool"/>
              <w:spacing w:before="120" w:after="120"/>
              <w:rPr>
                <w:lang w:val="fr-FR"/>
              </w:rPr>
            </w:pPr>
          </w:p>
        </w:tc>
        <w:tc>
          <w:tcPr>
            <w:tcW w:w="1943" w:type="dxa"/>
            <w:shd w:val="clear" w:color="auto" w:fill="auto"/>
          </w:tcPr>
          <w:p w14:paraId="1AC632C0" w14:textId="77777777" w:rsidR="007A517A" w:rsidRPr="00D85862" w:rsidRDefault="007A517A" w:rsidP="00A359BF">
            <w:pPr>
              <w:pStyle w:val="Normal-pool"/>
              <w:spacing w:before="120" w:after="120"/>
              <w:rPr>
                <w:lang w:val="fr-FR"/>
              </w:rPr>
            </w:pPr>
          </w:p>
        </w:tc>
        <w:tc>
          <w:tcPr>
            <w:tcW w:w="1943" w:type="dxa"/>
            <w:shd w:val="clear" w:color="auto" w:fill="auto"/>
          </w:tcPr>
          <w:p w14:paraId="4095C086" w14:textId="77777777" w:rsidR="007A517A" w:rsidRPr="00D85862" w:rsidRDefault="007A517A" w:rsidP="00A359BF">
            <w:pPr>
              <w:pStyle w:val="Normal-pool"/>
              <w:spacing w:before="120" w:after="120"/>
              <w:rPr>
                <w:lang w:val="fr-FR"/>
              </w:rPr>
            </w:pPr>
          </w:p>
        </w:tc>
      </w:tr>
    </w:tbl>
    <w:p w14:paraId="5CA542A9" w14:textId="77777777" w:rsidR="007A517A" w:rsidRPr="00D85862" w:rsidRDefault="007A517A" w:rsidP="00DA6AD1">
      <w:pPr>
        <w:pStyle w:val="Normal-pool"/>
        <w:spacing w:after="120"/>
        <w:rPr>
          <w:lang w:val="fr-FR"/>
        </w:rPr>
      </w:pPr>
    </w:p>
    <w:sectPr w:rsidR="007A517A" w:rsidRPr="00D85862" w:rsidSect="00C771A9">
      <w:footnotePr>
        <w:numRestart w:val="eachSect"/>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55E70" w14:textId="77777777" w:rsidR="00DB6B86" w:rsidRDefault="00DB6B86">
      <w:r>
        <w:separator/>
      </w:r>
    </w:p>
  </w:endnote>
  <w:endnote w:type="continuationSeparator" w:id="0">
    <w:p w14:paraId="5B7727B9" w14:textId="77777777" w:rsidR="00DB6B86" w:rsidRDefault="00DB6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60068D54" w:rsidR="00DB6B86" w:rsidRDefault="00DB6B86">
    <w:pPr>
      <w:pStyle w:val="Footer"/>
    </w:pPr>
    <w:r>
      <w:rPr>
        <w:rStyle w:val="PageNumber"/>
      </w:rPr>
      <w:fldChar w:fldCharType="begin"/>
    </w:r>
    <w:r>
      <w:rPr>
        <w:rStyle w:val="PageNumber"/>
      </w:rPr>
      <w:instrText xml:space="preserve"> PAGE </w:instrText>
    </w:r>
    <w:r>
      <w:rPr>
        <w:rStyle w:val="PageNumber"/>
      </w:rPr>
      <w:fldChar w:fldCharType="separate"/>
    </w:r>
    <w:r w:rsidR="00651730">
      <w:rPr>
        <w:rStyle w:val="PageNumber"/>
        <w:noProof/>
      </w:rPr>
      <w:t>12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2AAB5D69" w:rsidR="00DB6B86" w:rsidRDefault="00DB6B86"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651730">
      <w:rPr>
        <w:rStyle w:val="PageNumber"/>
        <w:noProof/>
      </w:rPr>
      <w:t>13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19573" w14:textId="1BA651D5" w:rsidR="00DB6B86" w:rsidRPr="00D25175" w:rsidRDefault="00DB6B86">
    <w:pPr>
      <w:pStyle w:val="Footer"/>
      <w:rPr>
        <w:sz w:val="20"/>
      </w:rPr>
    </w:pPr>
    <w:r w:rsidRPr="00D25175">
      <w:rPr>
        <w:sz w:val="20"/>
      </w:rPr>
      <w:t>K1</w:t>
    </w:r>
    <w:r>
      <w:rPr>
        <w:sz w:val="20"/>
      </w:rPr>
      <w:t>903736</w:t>
    </w:r>
    <w:r w:rsidRPr="00D25175">
      <w:rPr>
        <w:sz w:val="20"/>
      </w:rPr>
      <w:tab/>
    </w:r>
    <w:r w:rsidR="003C03B6">
      <w:rPr>
        <w:sz w:val="20"/>
      </w:rPr>
      <w:t>1</w:t>
    </w:r>
    <w:r w:rsidR="00006932">
      <w:rPr>
        <w:sz w:val="20"/>
      </w:rPr>
      <w:t>7</w:t>
    </w:r>
    <w:r w:rsidR="003C03B6">
      <w:rPr>
        <w:sz w:val="20"/>
      </w:rPr>
      <w:t>10</w:t>
    </w:r>
    <w:r>
      <w:rPr>
        <w:sz w:val="20"/>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79FB2" w14:textId="77777777" w:rsidR="00DB6B86" w:rsidRDefault="00DB6B86" w:rsidP="00D92DE0">
      <w:pPr>
        <w:ind w:left="624"/>
      </w:pPr>
      <w:r>
        <w:separator/>
      </w:r>
    </w:p>
  </w:footnote>
  <w:footnote w:type="continuationSeparator" w:id="0">
    <w:p w14:paraId="43444A2B" w14:textId="77777777" w:rsidR="00DB6B86" w:rsidRDefault="00DB6B86">
      <w:r>
        <w:continuationSeparator/>
      </w:r>
    </w:p>
  </w:footnote>
  <w:footnote w:id="1">
    <w:p w14:paraId="167528C2" w14:textId="7841528B" w:rsidR="00DB6B86" w:rsidRPr="00D01224" w:rsidRDefault="00DB6B86">
      <w:pPr>
        <w:pStyle w:val="FootnoteText"/>
        <w:rPr>
          <w:lang w:val="en-GB"/>
        </w:rPr>
      </w:pPr>
      <w:r w:rsidRPr="00D01224">
        <w:rPr>
          <w:rStyle w:val="FootnoteReference"/>
          <w:lang w:val="en-GB"/>
        </w:rPr>
        <w:t>*</w:t>
      </w:r>
      <w:r w:rsidRPr="00D01224">
        <w:rPr>
          <w:lang w:val="en-GB"/>
        </w:rPr>
        <w:t xml:space="preserve"> </w:t>
      </w:r>
      <w:r w:rsidRPr="00AC097D">
        <w:rPr>
          <w:szCs w:val="18"/>
          <w:lang w:val="en-GB"/>
        </w:rPr>
        <w:t>UNEP/MC/COP.3/1.</w:t>
      </w:r>
    </w:p>
  </w:footnote>
  <w:footnote w:id="2">
    <w:p w14:paraId="7A15FE8D" w14:textId="5D57084E" w:rsidR="00DB6B86" w:rsidRPr="00D01224" w:rsidRDefault="00DB6B86">
      <w:pPr>
        <w:pStyle w:val="FootnoteText"/>
        <w:rPr>
          <w:lang w:val="en-GB"/>
        </w:rPr>
      </w:pPr>
      <w:r>
        <w:rPr>
          <w:rStyle w:val="FootnoteReference"/>
        </w:rPr>
        <w:footnoteRef/>
      </w:r>
      <w:r w:rsidRPr="00D01224">
        <w:rPr>
          <w:lang w:val="en-GB"/>
        </w:rPr>
        <w:t xml:space="preserve"> </w:t>
      </w:r>
      <w:r w:rsidRPr="00AC097D">
        <w:rPr>
          <w:bCs/>
          <w:szCs w:val="18"/>
          <w:lang w:val="en-GB"/>
        </w:rPr>
        <w:t>UNEP/CHW.12/5/Add.8/Rev.1.</w:t>
      </w:r>
    </w:p>
  </w:footnote>
  <w:footnote w:id="3">
    <w:p w14:paraId="55FF519A" w14:textId="2F0EDBC1" w:rsidR="00DB6B86" w:rsidRPr="00AC097D" w:rsidRDefault="00DB6B86" w:rsidP="00AC097D">
      <w:pPr>
        <w:pStyle w:val="FootnoteText"/>
        <w:tabs>
          <w:tab w:val="clear" w:pos="1247"/>
          <w:tab w:val="clear" w:pos="1814"/>
          <w:tab w:val="clear" w:pos="2381"/>
          <w:tab w:val="clear" w:pos="2948"/>
          <w:tab w:val="clear" w:pos="3515"/>
          <w:tab w:val="clear" w:pos="4082"/>
        </w:tabs>
        <w:rPr>
          <w:szCs w:val="18"/>
          <w:highlight w:val="magenta"/>
          <w:lang w:val="en-GB"/>
        </w:rPr>
      </w:pPr>
      <w:r w:rsidRPr="00876789">
        <w:rPr>
          <w:rStyle w:val="FootnoteReference"/>
          <w:sz w:val="18"/>
        </w:rPr>
        <w:footnoteRef/>
      </w:r>
      <w:r w:rsidRPr="00AC097D">
        <w:rPr>
          <w:szCs w:val="18"/>
          <w:lang w:val="en-GB"/>
        </w:rPr>
        <w:t xml:space="preserve"> </w:t>
      </w:r>
      <w:r w:rsidRPr="00AC097D">
        <w:rPr>
          <w:i/>
          <w:iCs/>
          <w:szCs w:val="18"/>
          <w:lang w:val="en-GB"/>
        </w:rPr>
        <w:t>Reporting Requirements for the TSCA Mercury Inventory</w:t>
      </w:r>
      <w:r w:rsidRPr="00AC097D">
        <w:rPr>
          <w:szCs w:val="18"/>
          <w:lang w:val="en-GB"/>
        </w:rPr>
        <w:t>, Agence de protection de l</w:t>
      </w:r>
      <w:r w:rsidR="00FC41B3">
        <w:rPr>
          <w:szCs w:val="18"/>
          <w:lang w:val="en-GB"/>
        </w:rPr>
        <w:t>’</w:t>
      </w:r>
      <w:r w:rsidRPr="00AC097D">
        <w:rPr>
          <w:szCs w:val="18"/>
          <w:lang w:val="en-GB"/>
        </w:rPr>
        <w:t>environnement des États-Unis (</w:t>
      </w:r>
      <w:hyperlink r:id="rId1" w:history="1">
        <w:r w:rsidRPr="00AC097D">
          <w:rPr>
            <w:rStyle w:val="Hyperlink"/>
            <w:sz w:val="18"/>
            <w:szCs w:val="18"/>
            <w:lang w:val="en-GB"/>
          </w:rPr>
          <w:t>https://www.epa.gov/sites/production/files/2018-06/documents/mercury_reporting_requirements_for_the_tsca_mercury_inventory_final_rule.pdf</w:t>
        </w:r>
      </w:hyperlink>
      <w:r w:rsidRPr="00AC097D">
        <w:rPr>
          <w:rStyle w:val="Hyperlink"/>
          <w:sz w:val="18"/>
          <w:szCs w:val="18"/>
          <w:lang w:val="en-GB"/>
        </w:rPr>
        <w:t xml:space="preserve">) et </w:t>
      </w:r>
      <w:r w:rsidRPr="00AC097D">
        <w:rPr>
          <w:i/>
          <w:iCs/>
          <w:szCs w:val="18"/>
          <w:lang w:val="en-GB"/>
        </w:rPr>
        <w:t>Inventory of existing mercury-added products and manufacturing processes involving the use of mercury or mercury compounds</w:t>
      </w:r>
      <w:r w:rsidRPr="00AC097D">
        <w:rPr>
          <w:iCs/>
          <w:szCs w:val="18"/>
          <w:lang w:val="en-GB"/>
        </w:rPr>
        <w:t>, Union européenne</w:t>
      </w:r>
      <w:r w:rsidRPr="00AC097D">
        <w:rPr>
          <w:szCs w:val="18"/>
          <w:lang w:val="en-GB"/>
        </w:rPr>
        <w:t xml:space="preserve"> (</w:t>
      </w:r>
      <w:hyperlink r:id="rId2" w:history="1">
        <w:r w:rsidRPr="00AC097D">
          <w:rPr>
            <w:rStyle w:val="Hyperlink"/>
            <w:sz w:val="18"/>
            <w:szCs w:val="18"/>
            <w:lang w:val="en-GB"/>
          </w:rPr>
          <w:t>https://circabc.europa.eu/sd/a/ef04cabe-8f8e-484f-8e2f-dcbbc352c5a2/Inventory%20art%208(7)%20Mercury%20Reg%202018-07-02.pdf</w:t>
        </w:r>
      </w:hyperlink>
      <w:r w:rsidRPr="00AC097D">
        <w:rPr>
          <w:rStyle w:val="Hyperlink"/>
          <w:sz w:val="18"/>
          <w:szCs w:val="18"/>
          <w:lang w:val="en-GB"/>
        </w:rPr>
        <w:t>)</w:t>
      </w:r>
      <w:r w:rsidRPr="00AC097D">
        <w:rPr>
          <w:szCs w:val="18"/>
          <w:lang w:val="en-GB"/>
        </w:rPr>
        <w:t>.</w:t>
      </w:r>
    </w:p>
  </w:footnote>
  <w:footnote w:id="4">
    <w:p w14:paraId="3EEA6713" w14:textId="77777777" w:rsidR="00DB6B86" w:rsidRPr="00EE342D" w:rsidRDefault="00DB6B86" w:rsidP="00AC097D">
      <w:pPr>
        <w:pStyle w:val="FootnoteText"/>
        <w:tabs>
          <w:tab w:val="clear" w:pos="1247"/>
          <w:tab w:val="clear" w:pos="1814"/>
          <w:tab w:val="clear" w:pos="2381"/>
          <w:tab w:val="clear" w:pos="2948"/>
          <w:tab w:val="clear" w:pos="3515"/>
          <w:tab w:val="clear" w:pos="4082"/>
        </w:tabs>
        <w:rPr>
          <w:szCs w:val="18"/>
          <w:lang w:val="en-US"/>
        </w:rPr>
      </w:pPr>
      <w:r w:rsidRPr="00876789">
        <w:rPr>
          <w:rStyle w:val="FootnoteReference"/>
          <w:sz w:val="18"/>
        </w:rPr>
        <w:footnoteRef/>
      </w:r>
      <w:r w:rsidRPr="00AC097D">
        <w:rPr>
          <w:szCs w:val="18"/>
          <w:lang w:val="en-GB"/>
        </w:rPr>
        <w:t xml:space="preserve"> </w:t>
      </w:r>
      <w:hyperlink r:id="rId3" w:history="1">
        <w:r w:rsidRPr="00AC097D">
          <w:rPr>
            <w:rStyle w:val="Hyperlink"/>
            <w:sz w:val="18"/>
            <w:szCs w:val="18"/>
            <w:lang w:val="en-GB"/>
          </w:rPr>
          <w:t>http://www.mercuryconvention.org/R%C3%A9unions/Travauxintersessions/tabid/7858/language/fr-CH/Default.aspx</w:t>
        </w:r>
      </w:hyperlink>
      <w:r w:rsidRPr="00AC097D">
        <w:rPr>
          <w:szCs w:val="18"/>
          <w:lang w:val="en-GB"/>
        </w:rPr>
        <w:t>.</w:t>
      </w:r>
    </w:p>
  </w:footnote>
  <w:footnote w:id="5">
    <w:p w14:paraId="3AAD5178" w14:textId="4CE639A0" w:rsidR="00FC41B3" w:rsidRPr="00FC41B3" w:rsidRDefault="00FC41B3">
      <w:pPr>
        <w:pStyle w:val="FootnoteText"/>
        <w:rPr>
          <w:lang w:val="fr-CH"/>
        </w:rPr>
      </w:pPr>
      <w:r>
        <w:rPr>
          <w:rStyle w:val="FootnoteReference"/>
        </w:rPr>
        <w:footnoteRef/>
      </w:r>
      <w:r>
        <w:t xml:space="preserve"> </w:t>
      </w:r>
      <w:r>
        <w:rPr>
          <w:szCs w:val="18"/>
          <w:lang w:val="fr-CH"/>
        </w:rPr>
        <w:t>À sa réunion à Osaka (Japon) en mai 2019, l</w:t>
      </w:r>
      <w:r w:rsidRPr="00DF3D7A">
        <w:rPr>
          <w:szCs w:val="18"/>
          <w:lang w:val="fr-CH"/>
        </w:rPr>
        <w:t>e groupe d</w:t>
      </w:r>
      <w:r>
        <w:rPr>
          <w:szCs w:val="18"/>
          <w:lang w:val="fr-CH"/>
        </w:rPr>
        <w:t>’</w:t>
      </w:r>
      <w:r w:rsidRPr="00DF3D7A">
        <w:rPr>
          <w:szCs w:val="18"/>
          <w:lang w:val="fr-CH"/>
        </w:rPr>
        <w:t xml:space="preserve">experts techniques sur les seuils </w:t>
      </w:r>
      <w:r>
        <w:rPr>
          <w:szCs w:val="18"/>
          <w:lang w:val="fr-CH"/>
        </w:rPr>
        <w:t>applicables aux déchets de mercure a noté qu’une proposition de limite de concentration à 25 mg/kg</w:t>
      </w:r>
      <w:r w:rsidRPr="00904F2B">
        <w:rPr>
          <w:szCs w:val="18"/>
          <w:lang w:val="fr-CH"/>
        </w:rPr>
        <w:t xml:space="preserve"> </w:t>
      </w:r>
      <w:r>
        <w:rPr>
          <w:szCs w:val="18"/>
          <w:lang w:val="fr-CH"/>
        </w:rPr>
        <w:t>avait été avancée comme seuil pour définir les déchets contaminés par du mercure ou des composés de mercure au titre de la Convention de Minamata, et qu’aucune autre proposition n’avait été faite. Deux options pour le paragraphe 3 sont soumises à la Conférence des Parties pour examen, selon qu’elle accepte ou non la proposition.</w:t>
      </w:r>
    </w:p>
  </w:footnote>
  <w:footnote w:id="6">
    <w:p w14:paraId="6BF05317" w14:textId="77777777" w:rsidR="00DB6B86" w:rsidRPr="00CD64BB" w:rsidRDefault="00DB6B86" w:rsidP="00CD64BB">
      <w:pPr>
        <w:pStyle w:val="FootnoteText"/>
        <w:rPr>
          <w:szCs w:val="18"/>
          <w:lang w:val="fr-FR"/>
        </w:rPr>
      </w:pPr>
      <w:r w:rsidRPr="0095108D">
        <w:rPr>
          <w:rStyle w:val="FootnoteReference"/>
          <w:sz w:val="18"/>
        </w:rPr>
        <w:footnoteRef/>
      </w:r>
      <w:r w:rsidRPr="00CD64BB">
        <w:rPr>
          <w:szCs w:val="18"/>
          <w:lang w:val="fr-FR"/>
        </w:rPr>
        <w:t xml:space="preserve"> UNEP/CHW.12/5/Add.8/Rev.1.</w:t>
      </w:r>
    </w:p>
  </w:footnote>
  <w:footnote w:id="7">
    <w:p w14:paraId="7DB08673" w14:textId="69A7E5DB" w:rsidR="00DB6B86" w:rsidRPr="005C169C" w:rsidRDefault="00DB6B86" w:rsidP="00CD64BB">
      <w:pPr>
        <w:pBdr>
          <w:top w:val="nil"/>
          <w:left w:val="nil"/>
          <w:bottom w:val="nil"/>
          <w:right w:val="nil"/>
          <w:between w:val="nil"/>
        </w:pBdr>
        <w:tabs>
          <w:tab w:val="left" w:pos="4082"/>
        </w:tabs>
        <w:spacing w:before="20" w:after="40"/>
        <w:ind w:left="1247"/>
        <w:rPr>
          <w:color w:val="000000"/>
          <w:sz w:val="18"/>
          <w:szCs w:val="18"/>
          <w:lang w:val="fr-CH"/>
        </w:rPr>
      </w:pPr>
      <w:r w:rsidRPr="0095108D">
        <w:rPr>
          <w:sz w:val="18"/>
          <w:szCs w:val="18"/>
          <w:vertAlign w:val="superscript"/>
        </w:rPr>
        <w:footnoteRef/>
      </w:r>
      <w:r w:rsidRPr="00285178">
        <w:rPr>
          <w:color w:val="000000"/>
          <w:sz w:val="18"/>
          <w:szCs w:val="18"/>
          <w:lang w:val="fr-CH"/>
        </w:rPr>
        <w:t xml:space="preserve"> L</w:t>
      </w:r>
      <w:r w:rsidR="00FC41B3">
        <w:rPr>
          <w:color w:val="000000"/>
          <w:sz w:val="18"/>
          <w:szCs w:val="18"/>
          <w:lang w:val="fr-CH"/>
        </w:rPr>
        <w:t>’</w:t>
      </w:r>
      <w:r w:rsidRPr="00285178">
        <w:rPr>
          <w:color w:val="000000"/>
          <w:sz w:val="18"/>
          <w:szCs w:val="18"/>
          <w:lang w:val="fr-CH"/>
        </w:rPr>
        <w:t xml:space="preserve">article 11 </w:t>
      </w:r>
      <w:r>
        <w:rPr>
          <w:color w:val="000000"/>
          <w:sz w:val="18"/>
          <w:szCs w:val="18"/>
          <w:lang w:val="fr-CH"/>
        </w:rPr>
        <w:t xml:space="preserve">se fonde </w:t>
      </w:r>
      <w:r w:rsidRPr="00285178">
        <w:rPr>
          <w:color w:val="000000"/>
          <w:sz w:val="18"/>
          <w:szCs w:val="18"/>
          <w:lang w:val="fr-CH"/>
        </w:rPr>
        <w:t xml:space="preserve">également sur les </w:t>
      </w:r>
      <w:r>
        <w:rPr>
          <w:color w:val="000000"/>
          <w:sz w:val="18"/>
          <w:szCs w:val="18"/>
          <w:lang w:val="fr-CH"/>
        </w:rPr>
        <w:t>dé</w:t>
      </w:r>
      <w:r w:rsidRPr="00285178">
        <w:rPr>
          <w:color w:val="000000"/>
          <w:sz w:val="18"/>
          <w:szCs w:val="18"/>
          <w:lang w:val="fr-CH"/>
        </w:rPr>
        <w:t>finitions pertinentes de la Convention de B</w:t>
      </w:r>
      <w:r>
        <w:rPr>
          <w:color w:val="000000"/>
          <w:sz w:val="18"/>
          <w:szCs w:val="18"/>
          <w:lang w:val="fr-CH"/>
        </w:rPr>
        <w:t>âle, en vertu desquelles on entend par « élimination » toute opération prévue à l</w:t>
      </w:r>
      <w:r w:rsidR="00FC41B3">
        <w:rPr>
          <w:color w:val="000000"/>
          <w:sz w:val="18"/>
          <w:szCs w:val="18"/>
          <w:lang w:val="fr-CH"/>
        </w:rPr>
        <w:t>’</w:t>
      </w:r>
      <w:r>
        <w:rPr>
          <w:color w:val="000000"/>
          <w:sz w:val="18"/>
          <w:szCs w:val="18"/>
          <w:lang w:val="fr-CH"/>
        </w:rPr>
        <w:t>annexe IV et inclut le dépôt sur ou dans le sol (D1), le rejet dans le milieu aquatique sauf l</w:t>
      </w:r>
      <w:r w:rsidR="00FC41B3">
        <w:rPr>
          <w:color w:val="000000"/>
          <w:sz w:val="18"/>
          <w:szCs w:val="18"/>
          <w:lang w:val="fr-CH"/>
        </w:rPr>
        <w:t>’</w:t>
      </w:r>
      <w:r>
        <w:rPr>
          <w:color w:val="000000"/>
          <w:sz w:val="18"/>
          <w:szCs w:val="18"/>
          <w:lang w:val="fr-CH"/>
        </w:rPr>
        <w:t>immersion en mer (D6), plusieurs opérations de recyclage/récupération et d</w:t>
      </w:r>
      <w:r w:rsidR="00FC41B3">
        <w:rPr>
          <w:color w:val="000000"/>
          <w:sz w:val="18"/>
          <w:szCs w:val="18"/>
          <w:lang w:val="fr-CH"/>
        </w:rPr>
        <w:t>’</w:t>
      </w:r>
      <w:r>
        <w:rPr>
          <w:color w:val="000000"/>
          <w:sz w:val="18"/>
          <w:szCs w:val="18"/>
          <w:lang w:val="fr-CH"/>
        </w:rPr>
        <w:t>autres opérations. Les opérations d</w:t>
      </w:r>
      <w:r w:rsidR="00FC41B3">
        <w:rPr>
          <w:color w:val="000000"/>
          <w:sz w:val="18"/>
          <w:szCs w:val="18"/>
          <w:lang w:val="fr-CH"/>
        </w:rPr>
        <w:t>’</w:t>
      </w:r>
      <w:r>
        <w:rPr>
          <w:color w:val="000000"/>
          <w:sz w:val="18"/>
          <w:szCs w:val="18"/>
          <w:lang w:val="fr-CH"/>
        </w:rPr>
        <w:t>élimination des déchets conformément à l</w:t>
      </w:r>
      <w:r w:rsidR="00FC41B3">
        <w:rPr>
          <w:color w:val="000000"/>
          <w:sz w:val="18"/>
          <w:szCs w:val="18"/>
          <w:lang w:val="fr-CH"/>
        </w:rPr>
        <w:t>’</w:t>
      </w:r>
      <w:r>
        <w:rPr>
          <w:color w:val="000000"/>
          <w:sz w:val="18"/>
          <w:szCs w:val="18"/>
          <w:lang w:val="fr-CH"/>
        </w:rPr>
        <w:t>annexe IV peuvent ou non représenter une gestion écologiquement rationnelle. Les différences entre les opérations qui représentent une gestion écologiquement rationnelle et celles qui ne le représentent pas sont souvent expliquées dans les directives techniques élaborées au titre de la Convention de Bâle.</w:t>
      </w:r>
    </w:p>
  </w:footnote>
  <w:footnote w:id="8">
    <w:p w14:paraId="7822D599" w14:textId="5C41F9EF" w:rsidR="00DB6B86" w:rsidRPr="00790E9C" w:rsidRDefault="00DB6B86" w:rsidP="00CD64BB">
      <w:pPr>
        <w:pStyle w:val="FootnoteText"/>
        <w:rPr>
          <w:szCs w:val="18"/>
          <w:lang w:val="fr-CH"/>
        </w:rPr>
      </w:pPr>
      <w:r w:rsidRPr="0095108D">
        <w:rPr>
          <w:rStyle w:val="FootnoteReference"/>
          <w:sz w:val="18"/>
        </w:rPr>
        <w:footnoteRef/>
      </w:r>
      <w:r w:rsidRPr="00790E9C">
        <w:rPr>
          <w:szCs w:val="18"/>
          <w:lang w:val="fr-CH"/>
        </w:rPr>
        <w:t xml:space="preserve"> Appelés également déchets B3 dans les directives techniques sur l</w:t>
      </w:r>
      <w:r>
        <w:rPr>
          <w:szCs w:val="18"/>
          <w:lang w:val="fr-CH"/>
        </w:rPr>
        <w:t>a gestion écologiquement rationnelle des déchets constitués de mercure ou de composés du mercure, en contenant ou contaminés par ce</w:t>
      </w:r>
      <w:r w:rsidR="0063159D">
        <w:rPr>
          <w:szCs w:val="18"/>
          <w:lang w:val="fr-CH"/>
        </w:rPr>
        <w:t>s</w:t>
      </w:r>
      <w:r>
        <w:rPr>
          <w:szCs w:val="18"/>
          <w:lang w:val="fr-CH"/>
        </w:rPr>
        <w:t xml:space="preserve"> substances</w:t>
      </w:r>
    </w:p>
    <w:p w14:paraId="6B69371B" w14:textId="77777777" w:rsidR="00DB6B86" w:rsidRPr="00A96D61" w:rsidRDefault="00DB6B86" w:rsidP="00CD64BB">
      <w:pPr>
        <w:pStyle w:val="FootnoteText"/>
        <w:rPr>
          <w:szCs w:val="18"/>
          <w:lang w:val="fr-FR"/>
        </w:rPr>
      </w:pPr>
      <w:r w:rsidRPr="00CD64BB">
        <w:rPr>
          <w:bCs/>
          <w:szCs w:val="18"/>
          <w:lang w:val="fr-FR"/>
        </w:rPr>
        <w:t xml:space="preserve"> </w:t>
      </w:r>
      <w:r w:rsidRPr="00A96D61">
        <w:rPr>
          <w:bCs/>
          <w:szCs w:val="18"/>
          <w:lang w:val="fr-FR"/>
        </w:rPr>
        <w:t>(UNEP/CHW.12/5/Add.8/Rev.1).</w:t>
      </w:r>
    </w:p>
  </w:footnote>
  <w:footnote w:id="9">
    <w:p w14:paraId="276597F8" w14:textId="13D9C347" w:rsidR="00DB6B86" w:rsidRPr="00FC41B3" w:rsidRDefault="00DB6B86" w:rsidP="00505F9F">
      <w:pPr>
        <w:pBdr>
          <w:top w:val="nil"/>
          <w:left w:val="nil"/>
          <w:bottom w:val="nil"/>
          <w:right w:val="nil"/>
          <w:between w:val="nil"/>
        </w:pBdr>
        <w:tabs>
          <w:tab w:val="left" w:pos="4082"/>
        </w:tabs>
        <w:spacing w:before="20" w:after="40"/>
        <w:ind w:left="1247"/>
        <w:rPr>
          <w:color w:val="000000"/>
          <w:sz w:val="18"/>
          <w:szCs w:val="18"/>
        </w:rPr>
      </w:pPr>
      <w:r w:rsidRPr="00117F4F">
        <w:rPr>
          <w:color w:val="000000"/>
          <w:sz w:val="18"/>
          <w:szCs w:val="18"/>
          <w:vertAlign w:val="superscript"/>
        </w:rPr>
        <w:footnoteRef/>
      </w:r>
      <w:r>
        <w:t xml:space="preserve"> </w:t>
      </w:r>
      <w:r w:rsidRPr="00FC41B3">
        <w:rPr>
          <w:sz w:val="18"/>
          <w:szCs w:val="18"/>
        </w:rPr>
        <w:t>À terme, au fur et à mesure que de nouvelles informations deviennent disponibles, on pourrait mettre en place des seuils d</w:t>
      </w:r>
      <w:r w:rsidR="00FC41B3">
        <w:rPr>
          <w:sz w:val="18"/>
          <w:szCs w:val="18"/>
        </w:rPr>
        <w:t>ifférents pour divers déchets.</w:t>
      </w:r>
    </w:p>
  </w:footnote>
  <w:footnote w:id="10">
    <w:p w14:paraId="7F83DDBB" w14:textId="77777777" w:rsidR="00DB6B86" w:rsidRPr="00A96D61" w:rsidRDefault="00DB6B86" w:rsidP="00505F9F">
      <w:pPr>
        <w:pBdr>
          <w:top w:val="nil"/>
          <w:left w:val="nil"/>
          <w:bottom w:val="nil"/>
          <w:right w:val="nil"/>
          <w:between w:val="nil"/>
        </w:pBdr>
        <w:tabs>
          <w:tab w:val="left" w:pos="4082"/>
        </w:tabs>
        <w:spacing w:before="20" w:after="40"/>
        <w:ind w:left="1247"/>
        <w:rPr>
          <w:color w:val="000000"/>
          <w:sz w:val="18"/>
          <w:szCs w:val="18"/>
        </w:rPr>
      </w:pPr>
      <w:r w:rsidRPr="00A96D61">
        <w:rPr>
          <w:color w:val="000000"/>
          <w:sz w:val="18"/>
          <w:szCs w:val="18"/>
          <w:vertAlign w:val="superscript"/>
        </w:rPr>
        <w:footnoteRef/>
      </w:r>
      <w:r w:rsidRPr="00A96D61">
        <w:rPr>
          <w:sz w:val="18"/>
          <w:szCs w:val="18"/>
        </w:rPr>
        <w:t xml:space="preserve"> https://www.unece.org/trans/danger/publi/ghs/ghs_welcome_e.html.</w:t>
      </w:r>
    </w:p>
  </w:footnote>
  <w:footnote w:id="11">
    <w:p w14:paraId="00DE5612" w14:textId="0A1DB702" w:rsidR="00DB6B86" w:rsidRPr="00A96D61" w:rsidRDefault="00DB6B86" w:rsidP="00505F9F">
      <w:pPr>
        <w:pBdr>
          <w:top w:val="nil"/>
          <w:left w:val="nil"/>
          <w:bottom w:val="nil"/>
          <w:right w:val="nil"/>
          <w:between w:val="nil"/>
        </w:pBdr>
        <w:tabs>
          <w:tab w:val="clear" w:pos="1247"/>
          <w:tab w:val="clear" w:pos="1814"/>
          <w:tab w:val="clear" w:pos="2381"/>
          <w:tab w:val="clear" w:pos="2948"/>
          <w:tab w:val="clear" w:pos="3515"/>
        </w:tabs>
        <w:spacing w:before="20" w:after="40"/>
        <w:ind w:left="1247"/>
        <w:rPr>
          <w:sz w:val="18"/>
          <w:szCs w:val="18"/>
        </w:rPr>
      </w:pPr>
      <w:r w:rsidRPr="00A96D61">
        <w:rPr>
          <w:color w:val="000000"/>
          <w:sz w:val="18"/>
          <w:szCs w:val="18"/>
          <w:vertAlign w:val="superscript"/>
        </w:rPr>
        <w:footnoteRef/>
      </w:r>
      <w:r w:rsidRPr="00A96D61">
        <w:rPr>
          <w:sz w:val="18"/>
          <w:szCs w:val="18"/>
        </w:rPr>
        <w:t xml:space="preserve"> Le Système général harmonisé subdivise les matières et les mélanges en trois catégories aiguës (court terme) et quatre catégories chroniques (long terme) pour l</w:t>
      </w:r>
      <w:r w:rsidR="00FC41B3">
        <w:rPr>
          <w:sz w:val="18"/>
          <w:szCs w:val="18"/>
        </w:rPr>
        <w:t>’</w:t>
      </w:r>
      <w:r w:rsidRPr="00A96D61">
        <w:rPr>
          <w:sz w:val="18"/>
          <w:szCs w:val="18"/>
        </w:rPr>
        <w:t>écotoxicité aquatique.</w:t>
      </w:r>
    </w:p>
  </w:footnote>
  <w:footnote w:id="12">
    <w:p w14:paraId="6C98A776" w14:textId="3015855D" w:rsidR="00DB6B86" w:rsidRPr="00A96D61" w:rsidRDefault="00DB6B86" w:rsidP="00505F9F">
      <w:pPr>
        <w:pBdr>
          <w:top w:val="nil"/>
          <w:left w:val="nil"/>
          <w:bottom w:val="nil"/>
          <w:right w:val="nil"/>
          <w:between w:val="nil"/>
        </w:pBdr>
        <w:tabs>
          <w:tab w:val="clear" w:pos="1247"/>
          <w:tab w:val="clear" w:pos="1814"/>
          <w:tab w:val="clear" w:pos="2381"/>
          <w:tab w:val="clear" w:pos="2948"/>
          <w:tab w:val="clear" w:pos="3515"/>
        </w:tabs>
        <w:spacing w:before="20" w:after="40"/>
        <w:ind w:left="1247"/>
        <w:rPr>
          <w:rFonts w:eastAsia="MS Mincho"/>
          <w:color w:val="000000"/>
          <w:sz w:val="18"/>
          <w:szCs w:val="18"/>
        </w:rPr>
      </w:pPr>
      <w:r w:rsidRPr="00A96D61">
        <w:rPr>
          <w:color w:val="000000"/>
          <w:sz w:val="18"/>
          <w:szCs w:val="18"/>
          <w:vertAlign w:val="superscript"/>
        </w:rPr>
        <w:footnoteRef/>
      </w:r>
      <w:r w:rsidRPr="00A96D61">
        <w:rPr>
          <w:sz w:val="18"/>
          <w:szCs w:val="18"/>
        </w:rPr>
        <w:t xml:space="preserve"> UNEP/CHW.12/</w:t>
      </w:r>
      <w:r w:rsidR="0085613E">
        <w:rPr>
          <w:sz w:val="18"/>
          <w:szCs w:val="18"/>
        </w:rPr>
        <w:t>5/Add.8/Rev.1. Voir section III</w:t>
      </w:r>
      <w:r w:rsidRPr="00A96D61">
        <w:rPr>
          <w:sz w:val="18"/>
          <w:szCs w:val="18"/>
        </w:rPr>
        <w:t xml:space="preserve"> D concernant l</w:t>
      </w:r>
      <w:r w:rsidR="00FC41B3">
        <w:rPr>
          <w:sz w:val="18"/>
          <w:szCs w:val="18"/>
        </w:rPr>
        <w:t>’</w:t>
      </w:r>
      <w:r w:rsidRPr="00A96D61">
        <w:rPr>
          <w:sz w:val="18"/>
          <w:szCs w:val="18"/>
        </w:rPr>
        <w:t>échantillonnage, l</w:t>
      </w:r>
      <w:r w:rsidR="00FC41B3">
        <w:rPr>
          <w:sz w:val="18"/>
          <w:szCs w:val="18"/>
        </w:rPr>
        <w:t>’</w:t>
      </w:r>
      <w:r w:rsidRPr="00A96D61">
        <w:rPr>
          <w:sz w:val="18"/>
          <w:szCs w:val="18"/>
        </w:rPr>
        <w:t>analyse et la surveillance.</w:t>
      </w:r>
    </w:p>
  </w:footnote>
  <w:footnote w:id="13">
    <w:p w14:paraId="375D392E" w14:textId="6E6A3608" w:rsidR="00DB6B86" w:rsidRPr="00A96D61" w:rsidRDefault="00DB6B86" w:rsidP="00505F9F">
      <w:pPr>
        <w:pStyle w:val="FootnoteText"/>
        <w:tabs>
          <w:tab w:val="clear" w:pos="1247"/>
          <w:tab w:val="clear" w:pos="1814"/>
          <w:tab w:val="clear" w:pos="2381"/>
          <w:tab w:val="clear" w:pos="2948"/>
          <w:tab w:val="clear" w:pos="3515"/>
          <w:tab w:val="clear" w:pos="4082"/>
        </w:tabs>
        <w:rPr>
          <w:szCs w:val="18"/>
        </w:rPr>
      </w:pPr>
      <w:r w:rsidRPr="00A96D61">
        <w:rPr>
          <w:rStyle w:val="FootnoteReference"/>
          <w:sz w:val="18"/>
        </w:rPr>
        <w:footnoteRef/>
      </w:r>
      <w:r w:rsidRPr="00A96D61">
        <w:rPr>
          <w:szCs w:val="18"/>
        </w:rPr>
        <w:t xml:space="preserve"> Par exemple, les déchets de démolition du procédé chlore-alcali présentent un défi unique en son genre sur le plan tant de l</w:t>
      </w:r>
      <w:r w:rsidR="00FC41B3">
        <w:rPr>
          <w:szCs w:val="18"/>
        </w:rPr>
        <w:t>’</w:t>
      </w:r>
      <w:r w:rsidRPr="00A96D61">
        <w:rPr>
          <w:szCs w:val="18"/>
        </w:rPr>
        <w:t>échantillonnage que de l</w:t>
      </w:r>
      <w:r w:rsidR="00FC41B3">
        <w:rPr>
          <w:szCs w:val="18"/>
        </w:rPr>
        <w:t>’</w:t>
      </w:r>
      <w:r w:rsidRPr="00A96D61">
        <w:rPr>
          <w:szCs w:val="18"/>
        </w:rPr>
        <w:t>analyse. Le mercure est réparti de manière inégale dans la matrice physique de matières solides tels les objets en métal, ce qui pose des problèmes d</w:t>
      </w:r>
      <w:r w:rsidR="00FC41B3">
        <w:rPr>
          <w:szCs w:val="18"/>
        </w:rPr>
        <w:t>’</w:t>
      </w:r>
      <w:r w:rsidRPr="00A96D61">
        <w:rPr>
          <w:szCs w:val="18"/>
        </w:rPr>
        <w:t>échantillonnage.</w:t>
      </w:r>
    </w:p>
  </w:footnote>
  <w:footnote w:id="14">
    <w:p w14:paraId="0E675A87" w14:textId="653EEDC0" w:rsidR="00DB6B86" w:rsidRPr="00A96D61" w:rsidRDefault="00DB6B86" w:rsidP="00505F9F">
      <w:pPr>
        <w:pBdr>
          <w:top w:val="nil"/>
          <w:left w:val="nil"/>
          <w:bottom w:val="nil"/>
          <w:right w:val="nil"/>
          <w:between w:val="nil"/>
        </w:pBdr>
        <w:tabs>
          <w:tab w:val="clear" w:pos="1247"/>
          <w:tab w:val="clear" w:pos="1814"/>
          <w:tab w:val="clear" w:pos="2381"/>
          <w:tab w:val="clear" w:pos="2948"/>
          <w:tab w:val="clear" w:pos="3515"/>
        </w:tabs>
        <w:spacing w:before="20" w:after="40"/>
        <w:ind w:left="1247"/>
        <w:rPr>
          <w:color w:val="000000"/>
          <w:sz w:val="18"/>
          <w:szCs w:val="18"/>
        </w:rPr>
      </w:pPr>
      <w:r w:rsidRPr="00A96D61">
        <w:rPr>
          <w:color w:val="000000"/>
          <w:sz w:val="18"/>
          <w:szCs w:val="18"/>
          <w:vertAlign w:val="superscript"/>
        </w:rPr>
        <w:footnoteRef/>
      </w:r>
      <w:r w:rsidRPr="00A96D61">
        <w:rPr>
          <w:sz w:val="18"/>
          <w:szCs w:val="18"/>
        </w:rPr>
        <w:t xml:space="preserve"> Aux fins de la gestion pratique des déchets, il est essentiel d</w:t>
      </w:r>
      <w:r w:rsidR="00FC41B3">
        <w:rPr>
          <w:sz w:val="18"/>
          <w:szCs w:val="18"/>
        </w:rPr>
        <w:t>’</w:t>
      </w:r>
      <w:r w:rsidRPr="00A96D61">
        <w:rPr>
          <w:sz w:val="18"/>
          <w:szCs w:val="18"/>
        </w:rPr>
        <w:t>identifier et d</w:t>
      </w:r>
      <w:r w:rsidR="00FC41B3">
        <w:rPr>
          <w:sz w:val="18"/>
          <w:szCs w:val="18"/>
        </w:rPr>
        <w:t>’</w:t>
      </w:r>
      <w:r w:rsidRPr="00A96D61">
        <w:rPr>
          <w:sz w:val="18"/>
          <w:szCs w:val="18"/>
        </w:rPr>
        <w:t>étiqueter clairement les conteneurs de déchets, pour garantir que les déchets soient traités de manière appropriée et envoyés là où ils feront l</w:t>
      </w:r>
      <w:r w:rsidR="00FC41B3">
        <w:rPr>
          <w:sz w:val="18"/>
          <w:szCs w:val="18"/>
        </w:rPr>
        <w:t>’</w:t>
      </w:r>
      <w:r w:rsidRPr="00A96D61">
        <w:rPr>
          <w:sz w:val="18"/>
          <w:szCs w:val="18"/>
        </w:rPr>
        <w:t>objet d</w:t>
      </w:r>
      <w:r w:rsidR="00FC41B3">
        <w:rPr>
          <w:sz w:val="18"/>
          <w:szCs w:val="18"/>
        </w:rPr>
        <w:t>’</w:t>
      </w:r>
      <w:r w:rsidRPr="00A96D61">
        <w:rPr>
          <w:sz w:val="18"/>
          <w:szCs w:val="18"/>
        </w:rPr>
        <w:t>une gestion écologiquement rationnelle. L</w:t>
      </w:r>
      <w:r w:rsidR="00FC41B3">
        <w:rPr>
          <w:sz w:val="18"/>
          <w:szCs w:val="18"/>
        </w:rPr>
        <w:t>’</w:t>
      </w:r>
      <w:r w:rsidRPr="00A96D61">
        <w:rPr>
          <w:sz w:val="18"/>
          <w:szCs w:val="18"/>
        </w:rPr>
        <w:t>étiquetage et l</w:t>
      </w:r>
      <w:r w:rsidR="00FC41B3">
        <w:rPr>
          <w:sz w:val="18"/>
          <w:szCs w:val="18"/>
        </w:rPr>
        <w:t>’</w:t>
      </w:r>
      <w:r w:rsidRPr="00A96D61">
        <w:rPr>
          <w:sz w:val="18"/>
          <w:szCs w:val="18"/>
        </w:rPr>
        <w:t>identification des déchets sont traités dans les directives techniques de la Convention de Bâle pour la gestion</w:t>
      </w:r>
      <w:r>
        <w:t xml:space="preserve"> </w:t>
      </w:r>
      <w:r w:rsidRPr="00A96D61">
        <w:rPr>
          <w:sz w:val="18"/>
          <w:szCs w:val="18"/>
        </w:rPr>
        <w:t>écologiquement rationnelle des déchets de mercure et dûment mis en œuvre dans le cadre des procédures des programmes nat</w:t>
      </w:r>
      <w:r w:rsidR="003C03B6">
        <w:rPr>
          <w:sz w:val="18"/>
          <w:szCs w:val="18"/>
        </w:rPr>
        <w:t>ionaux de gestion des déchets.</w:t>
      </w:r>
    </w:p>
  </w:footnote>
  <w:footnote w:id="15">
    <w:p w14:paraId="7FCF00DE" w14:textId="2A01EE63" w:rsidR="00DB6B86" w:rsidRPr="004808CD" w:rsidRDefault="00DB6B86" w:rsidP="00A96D61">
      <w:pPr>
        <w:pBdr>
          <w:top w:val="nil"/>
          <w:left w:val="nil"/>
          <w:bottom w:val="nil"/>
          <w:right w:val="nil"/>
          <w:between w:val="nil"/>
        </w:pBdr>
        <w:tabs>
          <w:tab w:val="clear" w:pos="1247"/>
          <w:tab w:val="clear" w:pos="1814"/>
          <w:tab w:val="clear" w:pos="2381"/>
          <w:tab w:val="clear" w:pos="2948"/>
          <w:tab w:val="clear" w:pos="3515"/>
        </w:tabs>
        <w:spacing w:before="20" w:after="40"/>
        <w:ind w:left="1247"/>
        <w:rPr>
          <w:color w:val="000000"/>
          <w:sz w:val="18"/>
          <w:szCs w:val="18"/>
        </w:rPr>
      </w:pPr>
      <w:r w:rsidRPr="00690F70">
        <w:rPr>
          <w:color w:val="000000"/>
          <w:sz w:val="18"/>
          <w:szCs w:val="18"/>
          <w:vertAlign w:val="superscript"/>
        </w:rPr>
        <w:footnoteRef/>
      </w:r>
      <w:r w:rsidRPr="00690F70">
        <w:rPr>
          <w:color w:val="000000"/>
          <w:sz w:val="18"/>
          <w:szCs w:val="18"/>
        </w:rPr>
        <w:t xml:space="preserve"> </w:t>
      </w:r>
      <w:r w:rsidR="004808CD" w:rsidRPr="00690F70">
        <w:rPr>
          <w:color w:val="000000"/>
          <w:sz w:val="18"/>
          <w:szCs w:val="18"/>
        </w:rPr>
        <w:t>L</w:t>
      </w:r>
      <w:r w:rsidR="004808CD" w:rsidRPr="004808CD">
        <w:rPr>
          <w:color w:val="000000"/>
          <w:sz w:val="18"/>
          <w:szCs w:val="18"/>
        </w:rPr>
        <w:t xml:space="preserve">es rocs </w:t>
      </w:r>
      <w:r w:rsidR="00280FB9">
        <w:rPr>
          <w:color w:val="000000"/>
          <w:sz w:val="18"/>
          <w:szCs w:val="18"/>
        </w:rPr>
        <w:t xml:space="preserve">qui </w:t>
      </w:r>
      <w:r w:rsidR="004808CD" w:rsidRPr="004808CD">
        <w:rPr>
          <w:color w:val="000000"/>
          <w:sz w:val="18"/>
          <w:szCs w:val="18"/>
        </w:rPr>
        <w:t>doivent être cassés et éliminé</w:t>
      </w:r>
      <w:r w:rsidR="004808CD">
        <w:rPr>
          <w:color w:val="000000"/>
          <w:sz w:val="18"/>
          <w:szCs w:val="18"/>
        </w:rPr>
        <w:t xml:space="preserve">s </w:t>
      </w:r>
      <w:r w:rsidR="004808CD" w:rsidRPr="004808CD">
        <w:rPr>
          <w:color w:val="000000"/>
          <w:sz w:val="18"/>
          <w:szCs w:val="18"/>
        </w:rPr>
        <w:t>pour avoir accès au minerai et l</w:t>
      </w:r>
      <w:r w:rsidR="00FC41B3">
        <w:rPr>
          <w:color w:val="000000"/>
          <w:sz w:val="18"/>
          <w:szCs w:val="18"/>
        </w:rPr>
        <w:t>’</w:t>
      </w:r>
      <w:r w:rsidR="004808CD" w:rsidRPr="004808CD">
        <w:rPr>
          <w:color w:val="000000"/>
          <w:sz w:val="18"/>
          <w:szCs w:val="18"/>
        </w:rPr>
        <w:t>extraire</w:t>
      </w:r>
      <w:r w:rsidR="00B9378D">
        <w:rPr>
          <w:color w:val="000000"/>
          <w:sz w:val="18"/>
          <w:szCs w:val="18"/>
        </w:rPr>
        <w:t xml:space="preserve"> </w:t>
      </w:r>
      <w:r w:rsidR="004808CD" w:rsidRPr="004808CD">
        <w:rPr>
          <w:color w:val="000000"/>
          <w:sz w:val="18"/>
          <w:szCs w:val="18"/>
        </w:rPr>
        <w:t>;</w:t>
      </w:r>
      <w:r w:rsidR="004808CD">
        <w:rPr>
          <w:color w:val="000000"/>
          <w:sz w:val="18"/>
          <w:szCs w:val="18"/>
        </w:rPr>
        <w:t xml:space="preserve"> </w:t>
      </w:r>
      <w:r w:rsidR="00280FB9">
        <w:rPr>
          <w:color w:val="000000"/>
          <w:sz w:val="18"/>
          <w:szCs w:val="18"/>
        </w:rPr>
        <w:t>les rocs sans valeur qui doivent être enlevés ou mis de côté avant le processus de broyage</w:t>
      </w:r>
      <w:r w:rsidRPr="004808CD">
        <w:rPr>
          <w:color w:val="000000"/>
          <w:sz w:val="18"/>
          <w:szCs w:val="18"/>
        </w:rPr>
        <w:t xml:space="preserve">. </w:t>
      </w:r>
      <w:r w:rsidRPr="004808CD">
        <w:rPr>
          <w:color w:val="000000"/>
          <w:sz w:val="18"/>
          <w:szCs w:val="18"/>
          <w:lang w:val="en-GB"/>
        </w:rPr>
        <w:t>(</w:t>
      </w:r>
      <w:r w:rsidR="00B9378D">
        <w:rPr>
          <w:color w:val="000000"/>
          <w:sz w:val="18"/>
          <w:szCs w:val="18"/>
          <w:lang w:val="en-GB"/>
        </w:rPr>
        <w:t>Agence de protection de l</w:t>
      </w:r>
      <w:r w:rsidR="00FC41B3">
        <w:rPr>
          <w:color w:val="000000"/>
          <w:sz w:val="18"/>
          <w:szCs w:val="18"/>
          <w:lang w:val="en-GB"/>
        </w:rPr>
        <w:t>’</w:t>
      </w:r>
      <w:r w:rsidR="00B9378D">
        <w:rPr>
          <w:color w:val="000000"/>
          <w:sz w:val="18"/>
          <w:szCs w:val="18"/>
          <w:lang w:val="en-GB"/>
        </w:rPr>
        <w:t>environnement des États-Unis, 1</w:t>
      </w:r>
      <w:r w:rsidR="003C03B6">
        <w:rPr>
          <w:color w:val="000000"/>
          <w:sz w:val="18"/>
          <w:szCs w:val="18"/>
          <w:lang w:val="en-GB"/>
        </w:rPr>
        <w:t xml:space="preserve">985, </w:t>
      </w:r>
      <w:r w:rsidR="003C03B6" w:rsidRPr="003C03B6">
        <w:rPr>
          <w:lang w:val="en-GB"/>
        </w:rPr>
        <w:t>«</w:t>
      </w:r>
      <w:r w:rsidR="003C03B6">
        <w:rPr>
          <w:lang w:val="en-GB"/>
        </w:rPr>
        <w:t xml:space="preserve"> </w:t>
      </w:r>
      <w:r w:rsidRPr="004808CD">
        <w:rPr>
          <w:color w:val="000000"/>
          <w:sz w:val="18"/>
          <w:szCs w:val="18"/>
          <w:lang w:val="en-GB"/>
        </w:rPr>
        <w:t>Report to Congress: Wastes from the Extraction and Beneficiation of Metallic Ores, Phosphate Rock, Asbestos, Overburden fr</w:t>
      </w:r>
      <w:r w:rsidR="003C03B6">
        <w:rPr>
          <w:color w:val="000000"/>
          <w:sz w:val="18"/>
          <w:szCs w:val="18"/>
          <w:lang w:val="en-GB"/>
        </w:rPr>
        <w:t>om Uranium Mining and Oil Shale</w:t>
      </w:r>
      <w:r w:rsidR="003C03B6" w:rsidRPr="003C03B6">
        <w:rPr>
          <w:lang w:val="en-GB"/>
        </w:rPr>
        <w:t> »</w:t>
      </w:r>
      <w:r w:rsidRPr="004808CD">
        <w:rPr>
          <w:color w:val="000000"/>
          <w:sz w:val="18"/>
          <w:szCs w:val="18"/>
          <w:lang w:val="en-GB"/>
        </w:rPr>
        <w:t xml:space="preserve">). </w:t>
      </w:r>
      <w:hyperlink r:id="rId4" w:history="1">
        <w:r w:rsidRPr="004808CD">
          <w:rPr>
            <w:rStyle w:val="Hyperlink"/>
            <w:sz w:val="18"/>
            <w:szCs w:val="18"/>
          </w:rPr>
          <w:t>https://www.epa.gov/hw/report-congress-wastes-extraction-and-beneficiation-metallic-ores-phosphate-rock-asbestos</w:t>
        </w:r>
      </w:hyperlink>
    </w:p>
  </w:footnote>
  <w:footnote w:id="16">
    <w:p w14:paraId="436142E7" w14:textId="09F846D0" w:rsidR="00DB6B86" w:rsidRPr="003C03B6" w:rsidRDefault="00DB6B86" w:rsidP="00A96D61">
      <w:pPr>
        <w:pBdr>
          <w:top w:val="nil"/>
          <w:left w:val="nil"/>
          <w:bottom w:val="nil"/>
          <w:right w:val="nil"/>
          <w:between w:val="nil"/>
        </w:pBdr>
        <w:tabs>
          <w:tab w:val="clear" w:pos="1247"/>
          <w:tab w:val="clear" w:pos="1814"/>
          <w:tab w:val="clear" w:pos="2381"/>
          <w:tab w:val="clear" w:pos="2948"/>
          <w:tab w:val="clear" w:pos="3515"/>
        </w:tabs>
        <w:spacing w:before="20" w:after="40"/>
        <w:ind w:left="1247"/>
        <w:rPr>
          <w:color w:val="000000"/>
          <w:sz w:val="18"/>
          <w:szCs w:val="18"/>
        </w:rPr>
      </w:pPr>
      <w:r w:rsidRPr="004808CD">
        <w:rPr>
          <w:color w:val="000000"/>
          <w:sz w:val="18"/>
          <w:szCs w:val="18"/>
          <w:vertAlign w:val="superscript"/>
        </w:rPr>
        <w:footnoteRef/>
      </w:r>
      <w:r w:rsidRPr="00B9378D">
        <w:rPr>
          <w:color w:val="000000"/>
          <w:sz w:val="18"/>
          <w:szCs w:val="18"/>
        </w:rPr>
        <w:t xml:space="preserve"> </w:t>
      </w:r>
      <w:r w:rsidR="00B9378D" w:rsidRPr="00B9378D">
        <w:rPr>
          <w:color w:val="000000"/>
          <w:sz w:val="18"/>
          <w:szCs w:val="18"/>
        </w:rPr>
        <w:t xml:space="preserve">Matières consolidées ou non consolidées recouvrant la zone </w:t>
      </w:r>
      <w:r w:rsidR="00B9378D">
        <w:rPr>
          <w:color w:val="000000"/>
          <w:sz w:val="18"/>
          <w:szCs w:val="18"/>
        </w:rPr>
        <w:t>d</w:t>
      </w:r>
      <w:r w:rsidR="00FC41B3">
        <w:rPr>
          <w:color w:val="000000"/>
          <w:sz w:val="18"/>
          <w:szCs w:val="18"/>
        </w:rPr>
        <w:t>’</w:t>
      </w:r>
      <w:r w:rsidR="00B9378D">
        <w:rPr>
          <w:color w:val="000000"/>
          <w:sz w:val="18"/>
          <w:szCs w:val="18"/>
        </w:rPr>
        <w:t>extraction min</w:t>
      </w:r>
      <w:r w:rsidR="009B344C">
        <w:rPr>
          <w:color w:val="000000"/>
          <w:sz w:val="18"/>
          <w:szCs w:val="18"/>
        </w:rPr>
        <w:t>i</w:t>
      </w:r>
      <w:r w:rsidR="00B9378D">
        <w:rPr>
          <w:color w:val="000000"/>
          <w:sz w:val="18"/>
          <w:szCs w:val="18"/>
        </w:rPr>
        <w:t>ère</w:t>
      </w:r>
      <w:r w:rsidRPr="00B9378D">
        <w:rPr>
          <w:color w:val="000000"/>
          <w:sz w:val="18"/>
          <w:szCs w:val="18"/>
        </w:rPr>
        <w:t xml:space="preserve">. </w:t>
      </w:r>
      <w:r w:rsidRPr="003C03B6">
        <w:rPr>
          <w:color w:val="000000"/>
          <w:sz w:val="18"/>
          <w:szCs w:val="18"/>
        </w:rPr>
        <w:t>(</w:t>
      </w:r>
      <w:r w:rsidRPr="003C03B6">
        <w:rPr>
          <w:i/>
          <w:iCs/>
          <w:color w:val="000000"/>
          <w:sz w:val="18"/>
          <w:szCs w:val="18"/>
        </w:rPr>
        <w:t>ibid.</w:t>
      </w:r>
      <w:r w:rsidRPr="003C03B6">
        <w:rPr>
          <w:color w:val="000000"/>
          <w:sz w:val="18"/>
          <w:szCs w:val="18"/>
        </w:rPr>
        <w:t>)</w:t>
      </w:r>
    </w:p>
  </w:footnote>
  <w:footnote w:id="17">
    <w:p w14:paraId="06B23088" w14:textId="736A588D" w:rsidR="00DB6B86" w:rsidRPr="00A96D61" w:rsidRDefault="00DB6B86" w:rsidP="00FE4330">
      <w:pPr>
        <w:tabs>
          <w:tab w:val="left" w:pos="720"/>
        </w:tabs>
        <w:spacing w:before="20" w:after="40"/>
        <w:ind w:left="1247"/>
        <w:rPr>
          <w:sz w:val="18"/>
          <w:szCs w:val="18"/>
        </w:rPr>
      </w:pPr>
      <w:r w:rsidRPr="004808CD">
        <w:rPr>
          <w:color w:val="000000"/>
          <w:sz w:val="18"/>
          <w:szCs w:val="18"/>
          <w:vertAlign w:val="superscript"/>
        </w:rPr>
        <w:footnoteRef/>
      </w:r>
      <w:r w:rsidRPr="00B9378D">
        <w:rPr>
          <w:color w:val="000000"/>
          <w:sz w:val="18"/>
          <w:szCs w:val="18"/>
          <w:vertAlign w:val="superscript"/>
        </w:rPr>
        <w:t xml:space="preserve"> </w:t>
      </w:r>
      <w:r w:rsidR="00B9378D" w:rsidRPr="00B9378D">
        <w:rPr>
          <w:color w:val="000000"/>
          <w:sz w:val="18"/>
          <w:szCs w:val="18"/>
        </w:rPr>
        <w:t>Un grand volume de déchets constitués de matières restant après que les co</w:t>
      </w:r>
      <w:r w:rsidR="00B9378D">
        <w:rPr>
          <w:color w:val="000000"/>
          <w:sz w:val="18"/>
          <w:szCs w:val="18"/>
        </w:rPr>
        <w:t xml:space="preserve">mposants </w:t>
      </w:r>
      <w:r w:rsidRPr="00B9378D">
        <w:rPr>
          <w:color w:val="000000"/>
          <w:sz w:val="18"/>
          <w:szCs w:val="18"/>
        </w:rPr>
        <w:t>(</w:t>
      </w:r>
      <w:r w:rsidR="00B9378D" w:rsidRPr="00B9378D">
        <w:rPr>
          <w:color w:val="000000"/>
          <w:sz w:val="18"/>
          <w:szCs w:val="18"/>
        </w:rPr>
        <w:t>également appelés valeurs</w:t>
      </w:r>
      <w:r w:rsidRPr="00B9378D">
        <w:rPr>
          <w:color w:val="000000"/>
          <w:sz w:val="18"/>
          <w:szCs w:val="18"/>
        </w:rPr>
        <w:t>)</w:t>
      </w:r>
      <w:r w:rsidR="00B9378D" w:rsidRPr="00B9378D">
        <w:rPr>
          <w:color w:val="000000"/>
          <w:sz w:val="18"/>
          <w:szCs w:val="18"/>
        </w:rPr>
        <w:t xml:space="preserve"> du minerai ont été enlevés par enrichissement obtenu par une opér</w:t>
      </w:r>
      <w:r w:rsidR="00B9378D">
        <w:rPr>
          <w:color w:val="000000"/>
          <w:sz w:val="18"/>
          <w:szCs w:val="18"/>
        </w:rPr>
        <w:t xml:space="preserve">ation physique ou chimique, </w:t>
      </w:r>
      <w:r w:rsidR="009B344C">
        <w:rPr>
          <w:color w:val="000000"/>
          <w:sz w:val="18"/>
          <w:szCs w:val="18"/>
        </w:rPr>
        <w:t xml:space="preserve">notamment le broyage, le meulage, le triage et la concentration par une série de méthodes. </w:t>
      </w:r>
      <w:r w:rsidRPr="004808CD">
        <w:rPr>
          <w:color w:val="000000"/>
          <w:sz w:val="18"/>
          <w:szCs w:val="18"/>
        </w:rPr>
        <w:t>(</w:t>
      </w:r>
      <w:r w:rsidRPr="004808CD">
        <w:rPr>
          <w:i/>
          <w:iCs/>
          <w:color w:val="000000"/>
          <w:sz w:val="18"/>
          <w:szCs w:val="18"/>
        </w:rPr>
        <w:t>ibid.</w:t>
      </w:r>
      <w:r w:rsidRPr="004808CD">
        <w:rPr>
          <w:color w:val="000000"/>
          <w:sz w:val="18"/>
          <w:szCs w:val="18"/>
        </w:rPr>
        <w:t>)</w:t>
      </w:r>
    </w:p>
  </w:footnote>
  <w:footnote w:id="18">
    <w:p w14:paraId="7CFC78AA" w14:textId="504C858D" w:rsidR="00DB6B86" w:rsidRDefault="00DB6B86" w:rsidP="00FE4330">
      <w:pPr>
        <w:tabs>
          <w:tab w:val="left" w:pos="720"/>
        </w:tabs>
        <w:spacing w:before="20" w:after="40"/>
        <w:ind w:left="1247"/>
        <w:rPr>
          <w:color w:val="000000"/>
          <w:sz w:val="18"/>
          <w:szCs w:val="18"/>
        </w:rPr>
      </w:pPr>
      <w:r>
        <w:rPr>
          <w:color w:val="000000"/>
          <w:sz w:val="18"/>
          <w:szCs w:val="18"/>
          <w:vertAlign w:val="superscript"/>
        </w:rPr>
        <w:footnoteRef/>
      </w:r>
      <w:r>
        <w:rPr>
          <w:color w:val="000000"/>
          <w:sz w:val="18"/>
          <w:szCs w:val="18"/>
        </w:rPr>
        <w:t xml:space="preserve"> </w:t>
      </w:r>
      <w:r w:rsidRPr="009B344C">
        <w:rPr>
          <w:color w:val="000000"/>
          <w:sz w:val="18"/>
          <w:szCs w:val="18"/>
        </w:rPr>
        <w:t>Un nombre limité d</w:t>
      </w:r>
      <w:r w:rsidR="00FC41B3">
        <w:rPr>
          <w:color w:val="000000"/>
          <w:sz w:val="18"/>
          <w:szCs w:val="18"/>
        </w:rPr>
        <w:t>’</w:t>
      </w:r>
      <w:r w:rsidRPr="009B344C">
        <w:rPr>
          <w:color w:val="000000"/>
          <w:sz w:val="18"/>
          <w:szCs w:val="18"/>
        </w:rPr>
        <w:t xml:space="preserve">exceptions à </w:t>
      </w:r>
      <w:r w:rsidRPr="009B344C">
        <w:rPr>
          <w:sz w:val="18"/>
          <w:szCs w:val="18"/>
        </w:rPr>
        <w:t>l</w:t>
      </w:r>
      <w:r w:rsidR="00FC41B3">
        <w:rPr>
          <w:sz w:val="18"/>
          <w:szCs w:val="18"/>
        </w:rPr>
        <w:t>’</w:t>
      </w:r>
      <w:r w:rsidRPr="009B344C">
        <w:rPr>
          <w:sz w:val="18"/>
          <w:szCs w:val="18"/>
        </w:rPr>
        <w:t>élimination à terre sur site</w:t>
      </w:r>
      <w:r w:rsidRPr="009B344C">
        <w:rPr>
          <w:color w:val="000000"/>
          <w:sz w:val="18"/>
          <w:szCs w:val="18"/>
        </w:rPr>
        <w:t xml:space="preserve"> existent.</w:t>
      </w:r>
    </w:p>
  </w:footnote>
  <w:footnote w:id="19">
    <w:p w14:paraId="7CAE18DA" w14:textId="42E05AC5" w:rsidR="00DB6B86" w:rsidRDefault="00DB6B86" w:rsidP="00FE4330">
      <w:pPr>
        <w:tabs>
          <w:tab w:val="left" w:pos="4082"/>
        </w:tabs>
        <w:spacing w:before="20" w:after="40"/>
        <w:ind w:left="1247" w:firstLine="13"/>
        <w:rPr>
          <w:color w:val="000000"/>
          <w:sz w:val="18"/>
          <w:szCs w:val="18"/>
        </w:rPr>
      </w:pPr>
      <w:r>
        <w:rPr>
          <w:color w:val="000000"/>
          <w:sz w:val="18"/>
          <w:szCs w:val="18"/>
          <w:vertAlign w:val="superscript"/>
        </w:rPr>
        <w:footnoteRef/>
      </w:r>
      <w:r>
        <w:rPr>
          <w:color w:val="000000"/>
          <w:sz w:val="18"/>
          <w:szCs w:val="18"/>
        </w:rPr>
        <w:t xml:space="preserve"> Le groupe est d</w:t>
      </w:r>
      <w:r w:rsidR="00FC41B3">
        <w:rPr>
          <w:color w:val="000000"/>
          <w:sz w:val="18"/>
          <w:szCs w:val="18"/>
        </w:rPr>
        <w:t>’</w:t>
      </w:r>
      <w:r>
        <w:rPr>
          <w:color w:val="000000"/>
          <w:sz w:val="18"/>
          <w:szCs w:val="18"/>
        </w:rPr>
        <w:t>avis qu</w:t>
      </w:r>
      <w:r w:rsidR="00FC41B3">
        <w:rPr>
          <w:color w:val="000000"/>
          <w:sz w:val="18"/>
          <w:szCs w:val="18"/>
        </w:rPr>
        <w:t>’</w:t>
      </w:r>
      <w:r>
        <w:rPr>
          <w:color w:val="000000"/>
          <w:sz w:val="18"/>
          <w:szCs w:val="18"/>
        </w:rPr>
        <w:t>il convient de prendre en compte les éléments suivants :</w:t>
      </w:r>
    </w:p>
    <w:p w14:paraId="3DFC5037" w14:textId="06E3CC2C" w:rsidR="00DB6B86" w:rsidRDefault="00DB6B86" w:rsidP="003C03B6">
      <w:pPr>
        <w:pStyle w:val="ListParagraph"/>
        <w:numPr>
          <w:ilvl w:val="0"/>
          <w:numId w:val="27"/>
        </w:numPr>
        <w:tabs>
          <w:tab w:val="clear" w:pos="1247"/>
        </w:tabs>
        <w:spacing w:before="20" w:after="40"/>
        <w:ind w:left="1792" w:hanging="322"/>
        <w:rPr>
          <w:color w:val="000000"/>
          <w:sz w:val="18"/>
          <w:szCs w:val="18"/>
        </w:rPr>
      </w:pPr>
      <w:r>
        <w:rPr>
          <w:color w:val="000000"/>
          <w:sz w:val="18"/>
          <w:szCs w:val="18"/>
        </w:rPr>
        <w:t>Les difficultés d</w:t>
      </w:r>
      <w:r w:rsidR="00FC41B3">
        <w:rPr>
          <w:color w:val="000000"/>
          <w:sz w:val="18"/>
          <w:szCs w:val="18"/>
        </w:rPr>
        <w:t>’</w:t>
      </w:r>
      <w:r>
        <w:rPr>
          <w:color w:val="000000"/>
          <w:sz w:val="18"/>
          <w:szCs w:val="18"/>
        </w:rPr>
        <w:t>échantillonnage posées par certains déchets au début du processus d</w:t>
      </w:r>
      <w:r w:rsidR="00FC41B3">
        <w:rPr>
          <w:color w:val="000000"/>
          <w:sz w:val="18"/>
          <w:szCs w:val="18"/>
        </w:rPr>
        <w:t>’</w:t>
      </w:r>
      <w:r>
        <w:rPr>
          <w:color w:val="000000"/>
          <w:sz w:val="18"/>
          <w:szCs w:val="18"/>
        </w:rPr>
        <w:t>élaboration d</w:t>
      </w:r>
      <w:r w:rsidR="00FC41B3">
        <w:rPr>
          <w:color w:val="000000"/>
          <w:sz w:val="18"/>
          <w:szCs w:val="18"/>
        </w:rPr>
        <w:t>’</w:t>
      </w:r>
      <w:r>
        <w:rPr>
          <w:color w:val="000000"/>
          <w:sz w:val="18"/>
          <w:szCs w:val="18"/>
        </w:rPr>
        <w:t>une approche d</w:t>
      </w:r>
      <w:r w:rsidR="00FC41B3">
        <w:rPr>
          <w:color w:val="000000"/>
          <w:sz w:val="18"/>
          <w:szCs w:val="18"/>
        </w:rPr>
        <w:t>’</w:t>
      </w:r>
      <w:r>
        <w:rPr>
          <w:color w:val="000000"/>
          <w:sz w:val="18"/>
          <w:szCs w:val="18"/>
        </w:rPr>
        <w:t>établissement de seuils.</w:t>
      </w:r>
    </w:p>
    <w:p w14:paraId="139E32E9" w14:textId="255AA4EA" w:rsidR="00DB6B86" w:rsidRDefault="00DB6B86" w:rsidP="003C03B6">
      <w:pPr>
        <w:pStyle w:val="ListParagraph"/>
        <w:numPr>
          <w:ilvl w:val="0"/>
          <w:numId w:val="27"/>
        </w:numPr>
        <w:tabs>
          <w:tab w:val="clear" w:pos="1247"/>
        </w:tabs>
        <w:spacing w:before="20" w:after="40"/>
        <w:ind w:left="1792" w:hanging="322"/>
        <w:rPr>
          <w:color w:val="000000"/>
          <w:sz w:val="18"/>
          <w:szCs w:val="18"/>
        </w:rPr>
      </w:pPr>
      <w:r>
        <w:rPr>
          <w:color w:val="000000"/>
          <w:sz w:val="18"/>
          <w:szCs w:val="18"/>
        </w:rPr>
        <w:t>Le ratio liquide/solide dans l</w:t>
      </w:r>
      <w:r w:rsidR="00FC41B3">
        <w:rPr>
          <w:color w:val="000000"/>
          <w:sz w:val="18"/>
          <w:szCs w:val="18"/>
        </w:rPr>
        <w:t>’</w:t>
      </w:r>
      <w:r>
        <w:rPr>
          <w:color w:val="000000"/>
          <w:sz w:val="18"/>
          <w:szCs w:val="18"/>
        </w:rPr>
        <w:t>essai (grammes de déchets par litre de milieu de lixiviation) et composition chimique du milieu de lixiviation (acide, type d</w:t>
      </w:r>
      <w:r w:rsidR="00FC41B3">
        <w:rPr>
          <w:color w:val="000000"/>
          <w:sz w:val="18"/>
          <w:szCs w:val="18"/>
        </w:rPr>
        <w:t>’</w:t>
      </w:r>
      <w:r>
        <w:rPr>
          <w:color w:val="000000"/>
          <w:sz w:val="18"/>
          <w:szCs w:val="18"/>
        </w:rPr>
        <w:t>acide, pH, eau distillée), ainsi que la manière dont ils se comportent dans les conditions d</w:t>
      </w:r>
      <w:r w:rsidR="00FC41B3">
        <w:rPr>
          <w:color w:val="000000"/>
          <w:sz w:val="18"/>
          <w:szCs w:val="18"/>
        </w:rPr>
        <w:t>’</w:t>
      </w:r>
      <w:r>
        <w:rPr>
          <w:color w:val="000000"/>
          <w:sz w:val="18"/>
          <w:szCs w:val="18"/>
        </w:rPr>
        <w:t xml:space="preserve">élimination probables. </w:t>
      </w:r>
    </w:p>
    <w:p w14:paraId="3713E1D2" w14:textId="2A7EA2C2" w:rsidR="00DB6B86" w:rsidRDefault="00DB6B86" w:rsidP="003C03B6">
      <w:pPr>
        <w:pStyle w:val="ListParagraph"/>
        <w:numPr>
          <w:ilvl w:val="0"/>
          <w:numId w:val="27"/>
        </w:numPr>
        <w:tabs>
          <w:tab w:val="clear" w:pos="1247"/>
        </w:tabs>
        <w:spacing w:before="20" w:after="40"/>
        <w:ind w:left="1792" w:hanging="322"/>
        <w:rPr>
          <w:color w:val="000000"/>
          <w:sz w:val="18"/>
          <w:szCs w:val="18"/>
        </w:rPr>
      </w:pPr>
      <w:r>
        <w:rPr>
          <w:color w:val="000000"/>
          <w:sz w:val="18"/>
          <w:szCs w:val="18"/>
        </w:rPr>
        <w:t>Le scénario d</w:t>
      </w:r>
      <w:r w:rsidR="00FC41B3">
        <w:rPr>
          <w:color w:val="000000"/>
          <w:sz w:val="18"/>
          <w:szCs w:val="18"/>
        </w:rPr>
        <w:t>’</w:t>
      </w:r>
      <w:r>
        <w:rPr>
          <w:color w:val="000000"/>
          <w:sz w:val="18"/>
          <w:szCs w:val="18"/>
        </w:rPr>
        <w:t>exposition envisagé pour l</w:t>
      </w:r>
      <w:r w:rsidR="00FC41B3">
        <w:rPr>
          <w:color w:val="000000"/>
          <w:sz w:val="18"/>
          <w:szCs w:val="18"/>
        </w:rPr>
        <w:t>’</w:t>
      </w:r>
      <w:r>
        <w:rPr>
          <w:color w:val="000000"/>
          <w:sz w:val="18"/>
          <w:szCs w:val="18"/>
        </w:rPr>
        <w:t>établissement des seuils ; par ex</w:t>
      </w:r>
      <w:r w:rsidR="00006932">
        <w:rPr>
          <w:color w:val="000000"/>
          <w:sz w:val="18"/>
          <w:szCs w:val="18"/>
        </w:rPr>
        <w:t>.</w:t>
      </w:r>
      <w:r>
        <w:rPr>
          <w:color w:val="000000"/>
          <w:sz w:val="18"/>
          <w:szCs w:val="18"/>
        </w:rPr>
        <w:t>, protection de l</w:t>
      </w:r>
      <w:r w:rsidR="00FC41B3">
        <w:rPr>
          <w:color w:val="000000"/>
          <w:sz w:val="18"/>
          <w:szCs w:val="18"/>
        </w:rPr>
        <w:t>’</w:t>
      </w:r>
      <w:r>
        <w:rPr>
          <w:color w:val="000000"/>
          <w:sz w:val="18"/>
          <w:szCs w:val="18"/>
        </w:rPr>
        <w:t>eau potable contre la contamination des sources d</w:t>
      </w:r>
      <w:r w:rsidR="00FC41B3">
        <w:rPr>
          <w:color w:val="000000"/>
          <w:sz w:val="18"/>
          <w:szCs w:val="18"/>
        </w:rPr>
        <w:t>’</w:t>
      </w:r>
      <w:r>
        <w:rPr>
          <w:color w:val="000000"/>
          <w:sz w:val="18"/>
          <w:szCs w:val="18"/>
        </w:rPr>
        <w:t>eau souterraine.</w:t>
      </w:r>
    </w:p>
    <w:p w14:paraId="10CB1294" w14:textId="6B38FC95" w:rsidR="00DB6B86" w:rsidRDefault="00DB6B86" w:rsidP="003C03B6">
      <w:pPr>
        <w:pStyle w:val="ListParagraph"/>
        <w:numPr>
          <w:ilvl w:val="0"/>
          <w:numId w:val="27"/>
        </w:numPr>
        <w:tabs>
          <w:tab w:val="clear" w:pos="1247"/>
        </w:tabs>
        <w:spacing w:before="20" w:after="40"/>
        <w:ind w:left="1792" w:hanging="322"/>
        <w:rPr>
          <w:color w:val="000000"/>
          <w:sz w:val="18"/>
          <w:szCs w:val="18"/>
        </w:rPr>
      </w:pPr>
      <w:r>
        <w:rPr>
          <w:color w:val="000000"/>
          <w:sz w:val="18"/>
          <w:szCs w:val="18"/>
        </w:rPr>
        <w:t>Atténuation des facteurs de sécurité, notamment le facteur de dilution dans la migration des déchets vers les eaux souterraines, ou le facteur d</w:t>
      </w:r>
      <w:r w:rsidR="00FC41B3">
        <w:rPr>
          <w:color w:val="000000"/>
          <w:sz w:val="18"/>
          <w:szCs w:val="18"/>
        </w:rPr>
        <w:t>’</w:t>
      </w:r>
      <w:r>
        <w:rPr>
          <w:color w:val="000000"/>
          <w:sz w:val="18"/>
          <w:szCs w:val="18"/>
        </w:rPr>
        <w:t>incertitude pour une approche plus prudente).</w:t>
      </w:r>
    </w:p>
  </w:footnote>
  <w:footnote w:id="20">
    <w:p w14:paraId="599470B6" w14:textId="77777777" w:rsidR="00DB6B86" w:rsidRDefault="00DB6B86" w:rsidP="00FE4330">
      <w:pPr>
        <w:tabs>
          <w:tab w:val="left" w:pos="4082"/>
        </w:tabs>
        <w:spacing w:before="20" w:after="40"/>
        <w:ind w:left="1247" w:firstLine="13"/>
      </w:pPr>
      <w:r>
        <w:rPr>
          <w:color w:val="000000"/>
          <w:sz w:val="18"/>
          <w:szCs w:val="18"/>
          <w:vertAlign w:val="superscript"/>
        </w:rPr>
        <w:footnoteRef/>
      </w:r>
      <w:r>
        <w:rPr>
          <w:color w:val="000000"/>
          <w:sz w:val="18"/>
          <w:szCs w:val="18"/>
        </w:rPr>
        <w:t xml:space="preserve"> Ces travaux techniques supplémentaires devraient tenir compte des procédures et seuils juridiquement contraignants appliqués par les parties pour les essais de lixiviation.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5EFBF7AD" w:rsidR="00DB6B86" w:rsidRPr="00CA5CA9" w:rsidRDefault="00DB6B86" w:rsidP="006B4C09">
    <w:pPr>
      <w:pStyle w:val="Header-pool"/>
    </w:pPr>
    <w:r w:rsidRPr="00CA5CA9">
      <w:rPr>
        <w:bCs/>
      </w:rPr>
      <w:t>UNEP</w:t>
    </w:r>
    <w:r w:rsidRPr="00CA5CA9">
      <w:t>/</w:t>
    </w:r>
    <w:r>
      <w:t>MC</w:t>
    </w:r>
    <w:r w:rsidRPr="00CA5CA9">
      <w:t>/</w:t>
    </w:r>
    <w:r>
      <w:t>COP.3</w:t>
    </w:r>
    <w:r w:rsidRPr="00CA5CA9">
      <w:t>/</w:t>
    </w:r>
    <w: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056E42AF" w:rsidR="00DB6B86" w:rsidRPr="00CA5CA9" w:rsidRDefault="00DB6B86"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70C0CA95" w:rsidR="00DB6B86" w:rsidRDefault="00DB6B86"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E2830"/>
    <w:multiLevelType w:val="hybridMultilevel"/>
    <w:tmpl w:val="454A88AE"/>
    <w:lvl w:ilvl="0" w:tplc="100C0017">
      <w:start w:val="1"/>
      <w:numFmt w:val="lowerLetter"/>
      <w:lvlText w:val="%1)"/>
      <w:lvlJc w:val="left"/>
      <w:pPr>
        <w:ind w:left="722" w:hanging="360"/>
      </w:pPr>
      <w:rPr>
        <w:rFonts w:hint="default"/>
        <w:lang w:val="fr-CH"/>
      </w:rPr>
    </w:lvl>
    <w:lvl w:ilvl="1" w:tplc="08090019" w:tentative="1">
      <w:start w:val="1"/>
      <w:numFmt w:val="lowerLetter"/>
      <w:lvlText w:val="%2."/>
      <w:lvlJc w:val="left"/>
      <w:pPr>
        <w:ind w:left="1442" w:hanging="360"/>
      </w:pPr>
    </w:lvl>
    <w:lvl w:ilvl="2" w:tplc="0809001B" w:tentative="1">
      <w:start w:val="1"/>
      <w:numFmt w:val="lowerRoman"/>
      <w:lvlText w:val="%3."/>
      <w:lvlJc w:val="right"/>
      <w:pPr>
        <w:ind w:left="2162" w:hanging="180"/>
      </w:pPr>
    </w:lvl>
    <w:lvl w:ilvl="3" w:tplc="0809000F" w:tentative="1">
      <w:start w:val="1"/>
      <w:numFmt w:val="decimal"/>
      <w:lvlText w:val="%4."/>
      <w:lvlJc w:val="left"/>
      <w:pPr>
        <w:ind w:left="2882" w:hanging="360"/>
      </w:pPr>
    </w:lvl>
    <w:lvl w:ilvl="4" w:tplc="08090019" w:tentative="1">
      <w:start w:val="1"/>
      <w:numFmt w:val="lowerLetter"/>
      <w:lvlText w:val="%5."/>
      <w:lvlJc w:val="left"/>
      <w:pPr>
        <w:ind w:left="3602" w:hanging="360"/>
      </w:pPr>
    </w:lvl>
    <w:lvl w:ilvl="5" w:tplc="0809001B" w:tentative="1">
      <w:start w:val="1"/>
      <w:numFmt w:val="lowerRoman"/>
      <w:lvlText w:val="%6."/>
      <w:lvlJc w:val="right"/>
      <w:pPr>
        <w:ind w:left="4322" w:hanging="180"/>
      </w:pPr>
    </w:lvl>
    <w:lvl w:ilvl="6" w:tplc="0809000F" w:tentative="1">
      <w:start w:val="1"/>
      <w:numFmt w:val="decimal"/>
      <w:lvlText w:val="%7."/>
      <w:lvlJc w:val="left"/>
      <w:pPr>
        <w:ind w:left="5042" w:hanging="360"/>
      </w:pPr>
    </w:lvl>
    <w:lvl w:ilvl="7" w:tplc="08090019" w:tentative="1">
      <w:start w:val="1"/>
      <w:numFmt w:val="lowerLetter"/>
      <w:lvlText w:val="%8."/>
      <w:lvlJc w:val="left"/>
      <w:pPr>
        <w:ind w:left="5762" w:hanging="360"/>
      </w:pPr>
    </w:lvl>
    <w:lvl w:ilvl="8" w:tplc="0809001B" w:tentative="1">
      <w:start w:val="1"/>
      <w:numFmt w:val="lowerRoman"/>
      <w:lvlText w:val="%9."/>
      <w:lvlJc w:val="right"/>
      <w:pPr>
        <w:ind w:left="6482" w:hanging="180"/>
      </w:pPr>
    </w:lvl>
  </w:abstractNum>
  <w:abstractNum w:abstractNumId="1" w15:restartNumberingAfterBreak="0">
    <w:nsid w:val="07810A86"/>
    <w:multiLevelType w:val="hybridMultilevel"/>
    <w:tmpl w:val="DD825F80"/>
    <w:lvl w:ilvl="0" w:tplc="BB262D30">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15:restartNumberingAfterBreak="0">
    <w:nsid w:val="097469E3"/>
    <w:multiLevelType w:val="hybridMultilevel"/>
    <w:tmpl w:val="1B1C5F4E"/>
    <w:lvl w:ilvl="0" w:tplc="A072B35A">
      <w:start w:val="1"/>
      <w:numFmt w:val="lowerLetter"/>
      <w:lvlText w:val="(%1)"/>
      <w:lvlJc w:val="left"/>
      <w:pPr>
        <w:ind w:left="3716" w:hanging="1845"/>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shadow w:val="0"/>
        <w:emboss w:val="0"/>
        <w:imprint w:val="0"/>
        <w:color w:val="000000"/>
        <w:spacing w:val="0"/>
        <w:w w:val="100"/>
        <w:kern w:val="0"/>
        <w:position w:val="0"/>
        <w:u w:val="none"/>
        <w:effect w:val="none"/>
        <w:vertAlign w:val="baseline"/>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5A761D3"/>
    <w:multiLevelType w:val="hybridMultilevel"/>
    <w:tmpl w:val="12C2FAAE"/>
    <w:lvl w:ilvl="0" w:tplc="99D4E356">
      <w:start w:val="1"/>
      <w:numFmt w:val="decimal"/>
      <w:lvlText w:val="%1."/>
      <w:lvlJc w:val="left"/>
      <w:pPr>
        <w:ind w:left="2629"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01C7F90"/>
    <w:multiLevelType w:val="hybridMultilevel"/>
    <w:tmpl w:val="799009CE"/>
    <w:lvl w:ilvl="0" w:tplc="0809000F">
      <w:start w:val="1"/>
      <w:numFmt w:val="decimal"/>
      <w:lvlText w:val="%1."/>
      <w:lvlJc w:val="left"/>
      <w:pPr>
        <w:ind w:left="2591" w:hanging="360"/>
      </w:pPr>
    </w:lvl>
    <w:lvl w:ilvl="1" w:tplc="A072B35A">
      <w:start w:val="1"/>
      <w:numFmt w:val="lowerLetter"/>
      <w:lvlText w:val="(%2)"/>
      <w:lvlJc w:val="left"/>
      <w:pPr>
        <w:ind w:left="3311" w:hanging="360"/>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7" w15:restartNumberingAfterBreak="0">
    <w:nsid w:val="2F9D5D50"/>
    <w:multiLevelType w:val="hybridMultilevel"/>
    <w:tmpl w:val="F9ACE9BC"/>
    <w:lvl w:ilvl="0" w:tplc="99D4E356">
      <w:start w:val="1"/>
      <w:numFmt w:val="decimal"/>
      <w:lvlText w:val="%1."/>
      <w:lvlJc w:val="left"/>
      <w:pPr>
        <w:ind w:left="2629"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8"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15:restartNumberingAfterBreak="0">
    <w:nsid w:val="39291CC6"/>
    <w:multiLevelType w:val="hybridMultilevel"/>
    <w:tmpl w:val="CF3606D2"/>
    <w:lvl w:ilvl="0" w:tplc="3BA80EB6">
      <w:start w:val="1"/>
      <w:numFmt w:val="decimal"/>
      <w:lvlText w:val="%1."/>
      <w:lvlJc w:val="left"/>
      <w:pPr>
        <w:ind w:left="2591" w:hanging="360"/>
      </w:pPr>
      <w:rPr>
        <w:rFonts w:hint="default"/>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3D7B6B85"/>
    <w:multiLevelType w:val="hybridMultilevel"/>
    <w:tmpl w:val="44AAA15E"/>
    <w:lvl w:ilvl="0" w:tplc="02B8910E">
      <w:start w:val="1"/>
      <w:numFmt w:val="lowerLetter"/>
      <w:lvlText w:val="%1)"/>
      <w:lvlJc w:val="left"/>
      <w:pPr>
        <w:ind w:left="3716" w:hanging="1845"/>
      </w:pPr>
      <w:rPr>
        <w:rFonts w:ascii="Times New Roman" w:eastAsia="MS PGothic" w:hAnsi="Times New Roman" w:cs="Times New Roman"/>
      </w:rPr>
    </w:lvl>
    <w:lvl w:ilvl="1" w:tplc="52C02030">
      <w:start w:val="1"/>
      <w:numFmt w:val="decimal"/>
      <w:lvlText w:val="(%2)"/>
      <w:lvlJc w:val="left"/>
      <w:pPr>
        <w:ind w:left="2951" w:hanging="360"/>
      </w:pPr>
      <w:rPr>
        <w:rFonts w:hint="default"/>
      </w:r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1"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15:restartNumberingAfterBreak="0">
    <w:nsid w:val="62291BF8"/>
    <w:multiLevelType w:val="multilevel"/>
    <w:tmpl w:val="F4ACF36E"/>
    <w:numStyleLink w:val="Normallist"/>
  </w:abstractNum>
  <w:abstractNum w:abstractNumId="13" w15:restartNumberingAfterBreak="0">
    <w:nsid w:val="688D265B"/>
    <w:multiLevelType w:val="hybridMultilevel"/>
    <w:tmpl w:val="7BAAB0AE"/>
    <w:lvl w:ilvl="0" w:tplc="DCF2EF60">
      <w:start w:val="24"/>
      <w:numFmt w:val="decimal"/>
      <w:lvlText w:val="%1."/>
      <w:lvlJc w:val="left"/>
      <w:pPr>
        <w:ind w:left="262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6667F6C"/>
    <w:multiLevelType w:val="hybridMultilevel"/>
    <w:tmpl w:val="60E215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F3D1B82"/>
    <w:multiLevelType w:val="hybridMultilevel"/>
    <w:tmpl w:val="F9ACE9BC"/>
    <w:lvl w:ilvl="0" w:tplc="99D4E356">
      <w:start w:val="1"/>
      <w:numFmt w:val="decimal"/>
      <w:lvlText w:val="%1."/>
      <w:lvlJc w:val="left"/>
      <w:pPr>
        <w:ind w:left="2629"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num w:numId="1">
    <w:abstractNumId w:val="11"/>
  </w:num>
  <w:num w:numId="2">
    <w:abstractNumId w:val="5"/>
  </w:num>
  <w:num w:numId="3">
    <w:abstractNumId w:val="8"/>
  </w:num>
  <w:num w:numId="4">
    <w:abstractNumId w:val="12"/>
  </w:num>
  <w:num w:numId="5">
    <w:abstractNumId w:val="11"/>
    <w:lvlOverride w:ilvl="0">
      <w:lvl w:ilvl="0">
        <w:start w:val="1"/>
        <w:numFmt w:val="decimal"/>
        <w:pStyle w:val="Normalnumber"/>
        <w:lvlText w:val="%1."/>
        <w:lvlJc w:val="left"/>
        <w:pPr>
          <w:tabs>
            <w:tab w:val="num" w:pos="1134"/>
          </w:tabs>
          <w:ind w:left="1247" w:firstLine="0"/>
        </w:pPr>
        <w:rPr>
          <w:rFonts w:hint="default"/>
        </w:rPr>
      </w:lvl>
    </w:lvlOverride>
  </w:num>
  <w:num w:numId="6">
    <w:abstractNumId w:val="6"/>
  </w:num>
  <w:num w:numId="7">
    <w:abstractNumId w:val="2"/>
  </w:num>
  <w:num w:numId="8">
    <w:abstractNumId w:val="10"/>
  </w:num>
  <w:num w:numId="9">
    <w:abstractNumId w:val="12"/>
  </w:num>
  <w:num w:numId="10">
    <w:abstractNumId w:val="9"/>
  </w:num>
  <w:num w:numId="11">
    <w:abstractNumId w:val="0"/>
  </w:num>
  <w:num w:numId="12">
    <w:abstractNumId w:val="4"/>
  </w:num>
  <w:num w:numId="13">
    <w:abstractNumId w:val="1"/>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4"/>
  </w:num>
  <w:num w:numId="28">
    <w:abstractNumId w:val="3"/>
  </w:num>
  <w:num w:numId="29">
    <w:abstractNumId w:val="13"/>
  </w:num>
  <w:num w:numId="30">
    <w:abstractNumId w:val="4"/>
    <w:lvlOverride w:ilvl="0">
      <w:lvl w:ilvl="0" w:tplc="99D4E356">
        <w:start w:val="1"/>
        <w:numFmt w:val="decimal"/>
        <w:lvlText w:val="%1."/>
        <w:lvlJc w:val="left"/>
        <w:pPr>
          <w:ind w:left="1607" w:hanging="360"/>
        </w:pPr>
        <w:rPr>
          <w:rFonts w:hint="default"/>
        </w:rPr>
      </w:lvl>
    </w:lvlOverride>
  </w:num>
  <w:num w:numId="31">
    <w:abstractNumId w:val="7"/>
  </w:num>
  <w:num w:numId="32">
    <w:abstractNumId w:val="15"/>
  </w:num>
  <w:num w:numId="33">
    <w:abstractNumId w:val="9"/>
  </w:num>
  <w:num w:numId="34">
    <w:abstractNumId w:val="12"/>
  </w:num>
  <w:num w:numId="3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0"/>
  <w:activeWritingStyle w:appName="MSWord" w:lang="fr-CH"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624"/>
  <w:hyphenationZone w:val="425"/>
  <w:evenAndOddHeaders/>
  <w:noPunctuationKerning/>
  <w:characterSpacingControl w:val="doNotCompress"/>
  <w:hdrShapeDefaults>
    <o:shapedefaults v:ext="edit" spidmax="2457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6932"/>
    <w:rsid w:val="000077AD"/>
    <w:rsid w:val="00011A16"/>
    <w:rsid w:val="000149E6"/>
    <w:rsid w:val="00015E17"/>
    <w:rsid w:val="00023DA9"/>
    <w:rsid w:val="000247B0"/>
    <w:rsid w:val="00026997"/>
    <w:rsid w:val="00026A08"/>
    <w:rsid w:val="00026DCB"/>
    <w:rsid w:val="00032E4E"/>
    <w:rsid w:val="00032FB0"/>
    <w:rsid w:val="00033E0B"/>
    <w:rsid w:val="00035EDE"/>
    <w:rsid w:val="0003679F"/>
    <w:rsid w:val="00047A9A"/>
    <w:rsid w:val="0005064E"/>
    <w:rsid w:val="000509B4"/>
    <w:rsid w:val="0006035B"/>
    <w:rsid w:val="0006096F"/>
    <w:rsid w:val="00061DC6"/>
    <w:rsid w:val="000649C5"/>
    <w:rsid w:val="00071886"/>
    <w:rsid w:val="00073EAE"/>
    <w:rsid w:val="000742BC"/>
    <w:rsid w:val="00076CC6"/>
    <w:rsid w:val="0007707B"/>
    <w:rsid w:val="00082A0C"/>
    <w:rsid w:val="00083504"/>
    <w:rsid w:val="00086E40"/>
    <w:rsid w:val="0009315C"/>
    <w:rsid w:val="0009640C"/>
    <w:rsid w:val="000B22A2"/>
    <w:rsid w:val="000B26FB"/>
    <w:rsid w:val="000B73F9"/>
    <w:rsid w:val="000C2A52"/>
    <w:rsid w:val="000C2A88"/>
    <w:rsid w:val="000C5D45"/>
    <w:rsid w:val="000D33C0"/>
    <w:rsid w:val="000D4CF6"/>
    <w:rsid w:val="000D6941"/>
    <w:rsid w:val="000F4829"/>
    <w:rsid w:val="000F6215"/>
    <w:rsid w:val="00105827"/>
    <w:rsid w:val="00116A38"/>
    <w:rsid w:val="0011704C"/>
    <w:rsid w:val="001202E3"/>
    <w:rsid w:val="00123699"/>
    <w:rsid w:val="001241FB"/>
    <w:rsid w:val="00126CB5"/>
    <w:rsid w:val="0013059D"/>
    <w:rsid w:val="00136187"/>
    <w:rsid w:val="00141A55"/>
    <w:rsid w:val="0014293F"/>
    <w:rsid w:val="0014397D"/>
    <w:rsid w:val="001446A3"/>
    <w:rsid w:val="0014759F"/>
    <w:rsid w:val="00152B6B"/>
    <w:rsid w:val="00155395"/>
    <w:rsid w:val="00155A2F"/>
    <w:rsid w:val="00156B6B"/>
    <w:rsid w:val="00157D8C"/>
    <w:rsid w:val="00160D74"/>
    <w:rsid w:val="0016347E"/>
    <w:rsid w:val="001646EA"/>
    <w:rsid w:val="00164E5A"/>
    <w:rsid w:val="00167D02"/>
    <w:rsid w:val="001759D8"/>
    <w:rsid w:val="00177D7F"/>
    <w:rsid w:val="00180C3F"/>
    <w:rsid w:val="00181EC8"/>
    <w:rsid w:val="00184349"/>
    <w:rsid w:val="00195F33"/>
    <w:rsid w:val="001B1617"/>
    <w:rsid w:val="001B504B"/>
    <w:rsid w:val="001B6F98"/>
    <w:rsid w:val="001C191A"/>
    <w:rsid w:val="001C1C77"/>
    <w:rsid w:val="001D3874"/>
    <w:rsid w:val="001D7E75"/>
    <w:rsid w:val="001E0D73"/>
    <w:rsid w:val="001E45BD"/>
    <w:rsid w:val="001E4C14"/>
    <w:rsid w:val="001E56D2"/>
    <w:rsid w:val="001E7D56"/>
    <w:rsid w:val="001F75DE"/>
    <w:rsid w:val="00200D58"/>
    <w:rsid w:val="002011C1"/>
    <w:rsid w:val="002013BE"/>
    <w:rsid w:val="00201EDC"/>
    <w:rsid w:val="002063A4"/>
    <w:rsid w:val="0021145B"/>
    <w:rsid w:val="00220C23"/>
    <w:rsid w:val="00222A82"/>
    <w:rsid w:val="002247F6"/>
    <w:rsid w:val="00225E21"/>
    <w:rsid w:val="00232F4F"/>
    <w:rsid w:val="00234E78"/>
    <w:rsid w:val="00241EF0"/>
    <w:rsid w:val="00243D36"/>
    <w:rsid w:val="00246151"/>
    <w:rsid w:val="00247707"/>
    <w:rsid w:val="00247D22"/>
    <w:rsid w:val="00255D9A"/>
    <w:rsid w:val="0026018E"/>
    <w:rsid w:val="0026643C"/>
    <w:rsid w:val="0027029C"/>
    <w:rsid w:val="00280FB9"/>
    <w:rsid w:val="00286740"/>
    <w:rsid w:val="00286BD3"/>
    <w:rsid w:val="00291EAE"/>
    <w:rsid w:val="002929D8"/>
    <w:rsid w:val="002A237D"/>
    <w:rsid w:val="002A4C53"/>
    <w:rsid w:val="002B0672"/>
    <w:rsid w:val="002B1420"/>
    <w:rsid w:val="002B247F"/>
    <w:rsid w:val="002B50D4"/>
    <w:rsid w:val="002B58BF"/>
    <w:rsid w:val="002C145D"/>
    <w:rsid w:val="002C1B41"/>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5277E"/>
    <w:rsid w:val="00355EA9"/>
    <w:rsid w:val="00356BF0"/>
    <w:rsid w:val="003578DE"/>
    <w:rsid w:val="00361688"/>
    <w:rsid w:val="0036716A"/>
    <w:rsid w:val="003848EA"/>
    <w:rsid w:val="003877D5"/>
    <w:rsid w:val="003929B8"/>
    <w:rsid w:val="00392FD9"/>
    <w:rsid w:val="00393432"/>
    <w:rsid w:val="00394274"/>
    <w:rsid w:val="00396257"/>
    <w:rsid w:val="00397EB8"/>
    <w:rsid w:val="003A4FD0"/>
    <w:rsid w:val="003A69D1"/>
    <w:rsid w:val="003A7705"/>
    <w:rsid w:val="003A77F1"/>
    <w:rsid w:val="003B1545"/>
    <w:rsid w:val="003C03B6"/>
    <w:rsid w:val="003C3219"/>
    <w:rsid w:val="003C409D"/>
    <w:rsid w:val="003C5583"/>
    <w:rsid w:val="003C5BA6"/>
    <w:rsid w:val="003C74CF"/>
    <w:rsid w:val="003D3752"/>
    <w:rsid w:val="003D3F5C"/>
    <w:rsid w:val="003E35DA"/>
    <w:rsid w:val="003E455D"/>
    <w:rsid w:val="003E54D3"/>
    <w:rsid w:val="003E57B8"/>
    <w:rsid w:val="003F0E85"/>
    <w:rsid w:val="003F5FAB"/>
    <w:rsid w:val="00402F02"/>
    <w:rsid w:val="00410C55"/>
    <w:rsid w:val="00415553"/>
    <w:rsid w:val="00416854"/>
    <w:rsid w:val="00416CB1"/>
    <w:rsid w:val="00417725"/>
    <w:rsid w:val="0042266F"/>
    <w:rsid w:val="00437F26"/>
    <w:rsid w:val="00444097"/>
    <w:rsid w:val="00445487"/>
    <w:rsid w:val="00447E0D"/>
    <w:rsid w:val="00453EA8"/>
    <w:rsid w:val="00454769"/>
    <w:rsid w:val="00465AA0"/>
    <w:rsid w:val="00466991"/>
    <w:rsid w:val="0047064C"/>
    <w:rsid w:val="004765C5"/>
    <w:rsid w:val="004808CD"/>
    <w:rsid w:val="004822B7"/>
    <w:rsid w:val="0049469E"/>
    <w:rsid w:val="004A2217"/>
    <w:rsid w:val="004A24F9"/>
    <w:rsid w:val="004A42E1"/>
    <w:rsid w:val="004B162C"/>
    <w:rsid w:val="004B2ABE"/>
    <w:rsid w:val="004B4A7C"/>
    <w:rsid w:val="004C3DBE"/>
    <w:rsid w:val="004C5C96"/>
    <w:rsid w:val="004D06A4"/>
    <w:rsid w:val="004D0CAE"/>
    <w:rsid w:val="004D2151"/>
    <w:rsid w:val="004D4BC2"/>
    <w:rsid w:val="004E0192"/>
    <w:rsid w:val="004F1A81"/>
    <w:rsid w:val="004F50F0"/>
    <w:rsid w:val="005027FF"/>
    <w:rsid w:val="00503DF7"/>
    <w:rsid w:val="005050D2"/>
    <w:rsid w:val="00505F9F"/>
    <w:rsid w:val="005218D9"/>
    <w:rsid w:val="00536186"/>
    <w:rsid w:val="00536E36"/>
    <w:rsid w:val="00536EFA"/>
    <w:rsid w:val="00544CBB"/>
    <w:rsid w:val="00546F9D"/>
    <w:rsid w:val="00551B65"/>
    <w:rsid w:val="00556704"/>
    <w:rsid w:val="005656D7"/>
    <w:rsid w:val="0057315F"/>
    <w:rsid w:val="00576104"/>
    <w:rsid w:val="0057733C"/>
    <w:rsid w:val="00580A18"/>
    <w:rsid w:val="00580D79"/>
    <w:rsid w:val="00582B57"/>
    <w:rsid w:val="00586418"/>
    <w:rsid w:val="00592B21"/>
    <w:rsid w:val="005B44BF"/>
    <w:rsid w:val="005C67C8"/>
    <w:rsid w:val="005D0249"/>
    <w:rsid w:val="005D18FA"/>
    <w:rsid w:val="005D4FD4"/>
    <w:rsid w:val="005D6E8C"/>
    <w:rsid w:val="005E3004"/>
    <w:rsid w:val="005E6391"/>
    <w:rsid w:val="005F100C"/>
    <w:rsid w:val="005F68DA"/>
    <w:rsid w:val="005F7419"/>
    <w:rsid w:val="00601BC9"/>
    <w:rsid w:val="0060773B"/>
    <w:rsid w:val="00613FD6"/>
    <w:rsid w:val="006157B5"/>
    <w:rsid w:val="00617224"/>
    <w:rsid w:val="00617237"/>
    <w:rsid w:val="00626FC6"/>
    <w:rsid w:val="0062743E"/>
    <w:rsid w:val="006303B4"/>
    <w:rsid w:val="00630ADC"/>
    <w:rsid w:val="0063159D"/>
    <w:rsid w:val="00633D3D"/>
    <w:rsid w:val="00641703"/>
    <w:rsid w:val="006431A6"/>
    <w:rsid w:val="00643E3A"/>
    <w:rsid w:val="006459F6"/>
    <w:rsid w:val="006476E6"/>
    <w:rsid w:val="006501AD"/>
    <w:rsid w:val="00651730"/>
    <w:rsid w:val="00651BFA"/>
    <w:rsid w:val="0065415D"/>
    <w:rsid w:val="00654475"/>
    <w:rsid w:val="00656DF0"/>
    <w:rsid w:val="00665A4B"/>
    <w:rsid w:val="006662EC"/>
    <w:rsid w:val="00673471"/>
    <w:rsid w:val="006747D1"/>
    <w:rsid w:val="00690F70"/>
    <w:rsid w:val="00692E2A"/>
    <w:rsid w:val="0069496A"/>
    <w:rsid w:val="00695A76"/>
    <w:rsid w:val="006A76F2"/>
    <w:rsid w:val="006A7F6D"/>
    <w:rsid w:val="006B4C09"/>
    <w:rsid w:val="006B7D29"/>
    <w:rsid w:val="006D19D4"/>
    <w:rsid w:val="006D5644"/>
    <w:rsid w:val="006D572B"/>
    <w:rsid w:val="006D718E"/>
    <w:rsid w:val="006D7EFB"/>
    <w:rsid w:val="006E6672"/>
    <w:rsid w:val="006E6722"/>
    <w:rsid w:val="006F7AFF"/>
    <w:rsid w:val="007027B9"/>
    <w:rsid w:val="007066B5"/>
    <w:rsid w:val="007079E7"/>
    <w:rsid w:val="007145DA"/>
    <w:rsid w:val="00715E88"/>
    <w:rsid w:val="007320CA"/>
    <w:rsid w:val="00734CAA"/>
    <w:rsid w:val="00736DB6"/>
    <w:rsid w:val="00740EE2"/>
    <w:rsid w:val="00742680"/>
    <w:rsid w:val="0075533C"/>
    <w:rsid w:val="00757581"/>
    <w:rsid w:val="00757800"/>
    <w:rsid w:val="007602F5"/>
    <w:rsid w:val="00760D36"/>
    <w:rsid w:val="007611A0"/>
    <w:rsid w:val="00772574"/>
    <w:rsid w:val="00772BD1"/>
    <w:rsid w:val="00773E54"/>
    <w:rsid w:val="00787688"/>
    <w:rsid w:val="007935E6"/>
    <w:rsid w:val="00796D3F"/>
    <w:rsid w:val="007A1683"/>
    <w:rsid w:val="007A424C"/>
    <w:rsid w:val="007A517A"/>
    <w:rsid w:val="007A5C12"/>
    <w:rsid w:val="007A6E29"/>
    <w:rsid w:val="007A7CB0"/>
    <w:rsid w:val="007B68A3"/>
    <w:rsid w:val="007C2541"/>
    <w:rsid w:val="007D66A8"/>
    <w:rsid w:val="007E003F"/>
    <w:rsid w:val="007F0CF8"/>
    <w:rsid w:val="007F62CB"/>
    <w:rsid w:val="008142EC"/>
    <w:rsid w:val="008164F2"/>
    <w:rsid w:val="00821395"/>
    <w:rsid w:val="0082238A"/>
    <w:rsid w:val="00830E26"/>
    <w:rsid w:val="00843576"/>
    <w:rsid w:val="00843B64"/>
    <w:rsid w:val="008478FC"/>
    <w:rsid w:val="00851C51"/>
    <w:rsid w:val="0085613E"/>
    <w:rsid w:val="00867BFF"/>
    <w:rsid w:val="00871232"/>
    <w:rsid w:val="00871542"/>
    <w:rsid w:val="00872BF6"/>
    <w:rsid w:val="00876DF4"/>
    <w:rsid w:val="0088480A"/>
    <w:rsid w:val="0088757A"/>
    <w:rsid w:val="0089431B"/>
    <w:rsid w:val="00895668"/>
    <w:rsid w:val="008957DD"/>
    <w:rsid w:val="00897D98"/>
    <w:rsid w:val="008A000F"/>
    <w:rsid w:val="008A6DF2"/>
    <w:rsid w:val="008A7807"/>
    <w:rsid w:val="008B4CC9"/>
    <w:rsid w:val="008C0B15"/>
    <w:rsid w:val="008D75E4"/>
    <w:rsid w:val="008D7C99"/>
    <w:rsid w:val="008E0FCB"/>
    <w:rsid w:val="008E5C6B"/>
    <w:rsid w:val="008F6DFE"/>
    <w:rsid w:val="008F76C6"/>
    <w:rsid w:val="008F7FDA"/>
    <w:rsid w:val="0090529F"/>
    <w:rsid w:val="00906037"/>
    <w:rsid w:val="0091498F"/>
    <w:rsid w:val="00921098"/>
    <w:rsid w:val="0092178C"/>
    <w:rsid w:val="0092593C"/>
    <w:rsid w:val="00930B88"/>
    <w:rsid w:val="00935376"/>
    <w:rsid w:val="00940DCC"/>
    <w:rsid w:val="0094179A"/>
    <w:rsid w:val="00941B09"/>
    <w:rsid w:val="0094459E"/>
    <w:rsid w:val="00944DBC"/>
    <w:rsid w:val="00950977"/>
    <w:rsid w:val="00951A7B"/>
    <w:rsid w:val="00955512"/>
    <w:rsid w:val="009564A6"/>
    <w:rsid w:val="00957EF8"/>
    <w:rsid w:val="00966A53"/>
    <w:rsid w:val="00967621"/>
    <w:rsid w:val="00967E6A"/>
    <w:rsid w:val="00972BD8"/>
    <w:rsid w:val="00973495"/>
    <w:rsid w:val="0097371D"/>
    <w:rsid w:val="00983763"/>
    <w:rsid w:val="0098459C"/>
    <w:rsid w:val="009907B9"/>
    <w:rsid w:val="00990918"/>
    <w:rsid w:val="00996E81"/>
    <w:rsid w:val="009A3A83"/>
    <w:rsid w:val="009A6751"/>
    <w:rsid w:val="009B002C"/>
    <w:rsid w:val="009B344C"/>
    <w:rsid w:val="009B4A0F"/>
    <w:rsid w:val="009C11D2"/>
    <w:rsid w:val="009C6C70"/>
    <w:rsid w:val="009C7B0A"/>
    <w:rsid w:val="009D0B63"/>
    <w:rsid w:val="009D5CB8"/>
    <w:rsid w:val="009D75C4"/>
    <w:rsid w:val="009E12F4"/>
    <w:rsid w:val="009E307E"/>
    <w:rsid w:val="009F4431"/>
    <w:rsid w:val="00A002CD"/>
    <w:rsid w:val="00A07870"/>
    <w:rsid w:val="00A07C54"/>
    <w:rsid w:val="00A07F19"/>
    <w:rsid w:val="00A1348D"/>
    <w:rsid w:val="00A13C99"/>
    <w:rsid w:val="00A232EE"/>
    <w:rsid w:val="00A359BF"/>
    <w:rsid w:val="00A3615C"/>
    <w:rsid w:val="00A4175F"/>
    <w:rsid w:val="00A44411"/>
    <w:rsid w:val="00A469FA"/>
    <w:rsid w:val="00A47916"/>
    <w:rsid w:val="00A53662"/>
    <w:rsid w:val="00A55B01"/>
    <w:rsid w:val="00A56B5B"/>
    <w:rsid w:val="00A579E6"/>
    <w:rsid w:val="00A603FF"/>
    <w:rsid w:val="00A619B6"/>
    <w:rsid w:val="00A648CA"/>
    <w:rsid w:val="00A657DD"/>
    <w:rsid w:val="00A66608"/>
    <w:rsid w:val="00A666A6"/>
    <w:rsid w:val="00A675FD"/>
    <w:rsid w:val="00A72437"/>
    <w:rsid w:val="00A8048B"/>
    <w:rsid w:val="00A80611"/>
    <w:rsid w:val="00A81AE1"/>
    <w:rsid w:val="00A84E43"/>
    <w:rsid w:val="00A96D61"/>
    <w:rsid w:val="00AA53DD"/>
    <w:rsid w:val="00AA5BF4"/>
    <w:rsid w:val="00AA7BBE"/>
    <w:rsid w:val="00AB5340"/>
    <w:rsid w:val="00AC097D"/>
    <w:rsid w:val="00AC0A89"/>
    <w:rsid w:val="00AC7C96"/>
    <w:rsid w:val="00AE0812"/>
    <w:rsid w:val="00AE237D"/>
    <w:rsid w:val="00AE502A"/>
    <w:rsid w:val="00AE7564"/>
    <w:rsid w:val="00AF0010"/>
    <w:rsid w:val="00AF2B3B"/>
    <w:rsid w:val="00AF2C1F"/>
    <w:rsid w:val="00AF36D3"/>
    <w:rsid w:val="00AF7C07"/>
    <w:rsid w:val="00B06C64"/>
    <w:rsid w:val="00B11CAC"/>
    <w:rsid w:val="00B15A29"/>
    <w:rsid w:val="00B22C93"/>
    <w:rsid w:val="00B23F0C"/>
    <w:rsid w:val="00B26B97"/>
    <w:rsid w:val="00B27589"/>
    <w:rsid w:val="00B35F1F"/>
    <w:rsid w:val="00B405B7"/>
    <w:rsid w:val="00B45AC8"/>
    <w:rsid w:val="00B52222"/>
    <w:rsid w:val="00B531DA"/>
    <w:rsid w:val="00B54895"/>
    <w:rsid w:val="00B54FE7"/>
    <w:rsid w:val="00B647C6"/>
    <w:rsid w:val="00B655F9"/>
    <w:rsid w:val="00B66901"/>
    <w:rsid w:val="00B66F60"/>
    <w:rsid w:val="00B71E6D"/>
    <w:rsid w:val="00B72070"/>
    <w:rsid w:val="00B779E1"/>
    <w:rsid w:val="00B81E3A"/>
    <w:rsid w:val="00B85CFB"/>
    <w:rsid w:val="00B86FA6"/>
    <w:rsid w:val="00B914E9"/>
    <w:rsid w:val="00B91EE1"/>
    <w:rsid w:val="00B9378D"/>
    <w:rsid w:val="00B94602"/>
    <w:rsid w:val="00B9739E"/>
    <w:rsid w:val="00BA0090"/>
    <w:rsid w:val="00BA1A67"/>
    <w:rsid w:val="00BA6434"/>
    <w:rsid w:val="00BA6A80"/>
    <w:rsid w:val="00BB4ABB"/>
    <w:rsid w:val="00BC235A"/>
    <w:rsid w:val="00BC62BA"/>
    <w:rsid w:val="00BD72C3"/>
    <w:rsid w:val="00BE5B5F"/>
    <w:rsid w:val="00BE7993"/>
    <w:rsid w:val="00C177D9"/>
    <w:rsid w:val="00C26F55"/>
    <w:rsid w:val="00C30C63"/>
    <w:rsid w:val="00C30FF3"/>
    <w:rsid w:val="00C36B8B"/>
    <w:rsid w:val="00C415C1"/>
    <w:rsid w:val="00C47DBF"/>
    <w:rsid w:val="00C552FF"/>
    <w:rsid w:val="00C558DA"/>
    <w:rsid w:val="00C55AF3"/>
    <w:rsid w:val="00C648D9"/>
    <w:rsid w:val="00C70A88"/>
    <w:rsid w:val="00C72226"/>
    <w:rsid w:val="00C771A9"/>
    <w:rsid w:val="00C8074B"/>
    <w:rsid w:val="00C84759"/>
    <w:rsid w:val="00C93096"/>
    <w:rsid w:val="00CA5CA9"/>
    <w:rsid w:val="00CA6C7F"/>
    <w:rsid w:val="00CA77B4"/>
    <w:rsid w:val="00CB60CA"/>
    <w:rsid w:val="00CC0FC7"/>
    <w:rsid w:val="00CC10A6"/>
    <w:rsid w:val="00CD1D1D"/>
    <w:rsid w:val="00CD5EB8"/>
    <w:rsid w:val="00CD64BB"/>
    <w:rsid w:val="00CD7044"/>
    <w:rsid w:val="00CE08B9"/>
    <w:rsid w:val="00CE3515"/>
    <w:rsid w:val="00CE524C"/>
    <w:rsid w:val="00CF141F"/>
    <w:rsid w:val="00CF4777"/>
    <w:rsid w:val="00CF65C8"/>
    <w:rsid w:val="00D01224"/>
    <w:rsid w:val="00D013F5"/>
    <w:rsid w:val="00D05E3F"/>
    <w:rsid w:val="00D067BB"/>
    <w:rsid w:val="00D1352A"/>
    <w:rsid w:val="00D1638E"/>
    <w:rsid w:val="00D169AF"/>
    <w:rsid w:val="00D23804"/>
    <w:rsid w:val="00D25175"/>
    <w:rsid w:val="00D25249"/>
    <w:rsid w:val="00D26854"/>
    <w:rsid w:val="00D44172"/>
    <w:rsid w:val="00D47BE3"/>
    <w:rsid w:val="00D60C87"/>
    <w:rsid w:val="00D63B8C"/>
    <w:rsid w:val="00D728AC"/>
    <w:rsid w:val="00D739CC"/>
    <w:rsid w:val="00D806F9"/>
    <w:rsid w:val="00D8093D"/>
    <w:rsid w:val="00D8108C"/>
    <w:rsid w:val="00D842AE"/>
    <w:rsid w:val="00D85862"/>
    <w:rsid w:val="00D9211C"/>
    <w:rsid w:val="00D92DE0"/>
    <w:rsid w:val="00D92FEF"/>
    <w:rsid w:val="00D931F9"/>
    <w:rsid w:val="00D93A0F"/>
    <w:rsid w:val="00DA1BCA"/>
    <w:rsid w:val="00DA3663"/>
    <w:rsid w:val="00DA6AD1"/>
    <w:rsid w:val="00DB6B86"/>
    <w:rsid w:val="00DC11B9"/>
    <w:rsid w:val="00DC46FF"/>
    <w:rsid w:val="00DC5254"/>
    <w:rsid w:val="00DC569D"/>
    <w:rsid w:val="00DC7E4B"/>
    <w:rsid w:val="00DD1A4F"/>
    <w:rsid w:val="00DD3107"/>
    <w:rsid w:val="00DD3E55"/>
    <w:rsid w:val="00DD7C2C"/>
    <w:rsid w:val="00DE5BDA"/>
    <w:rsid w:val="00DE7837"/>
    <w:rsid w:val="00DF433C"/>
    <w:rsid w:val="00DF519F"/>
    <w:rsid w:val="00E0035A"/>
    <w:rsid w:val="00E06797"/>
    <w:rsid w:val="00E1265B"/>
    <w:rsid w:val="00E12E09"/>
    <w:rsid w:val="00E13B48"/>
    <w:rsid w:val="00E1404F"/>
    <w:rsid w:val="00E21C83"/>
    <w:rsid w:val="00E24ADA"/>
    <w:rsid w:val="00E32F59"/>
    <w:rsid w:val="00E41908"/>
    <w:rsid w:val="00E46D9A"/>
    <w:rsid w:val="00E473D7"/>
    <w:rsid w:val="00E55C41"/>
    <w:rsid w:val="00E565FF"/>
    <w:rsid w:val="00E65388"/>
    <w:rsid w:val="00E66366"/>
    <w:rsid w:val="00E7741D"/>
    <w:rsid w:val="00E808CD"/>
    <w:rsid w:val="00E8348F"/>
    <w:rsid w:val="00E84755"/>
    <w:rsid w:val="00E84C80"/>
    <w:rsid w:val="00E85B7D"/>
    <w:rsid w:val="00E9121B"/>
    <w:rsid w:val="00E923E3"/>
    <w:rsid w:val="00E9302E"/>
    <w:rsid w:val="00E976AB"/>
    <w:rsid w:val="00EA0AE2"/>
    <w:rsid w:val="00EA39E5"/>
    <w:rsid w:val="00EA57A3"/>
    <w:rsid w:val="00EA5CE4"/>
    <w:rsid w:val="00EA7B35"/>
    <w:rsid w:val="00EC1068"/>
    <w:rsid w:val="00EC2813"/>
    <w:rsid w:val="00EC5A46"/>
    <w:rsid w:val="00EC63E2"/>
    <w:rsid w:val="00ED0225"/>
    <w:rsid w:val="00ED366A"/>
    <w:rsid w:val="00ED379B"/>
    <w:rsid w:val="00ED6BB7"/>
    <w:rsid w:val="00EF22B3"/>
    <w:rsid w:val="00F03B69"/>
    <w:rsid w:val="00F07A50"/>
    <w:rsid w:val="00F113DA"/>
    <w:rsid w:val="00F120E7"/>
    <w:rsid w:val="00F1470C"/>
    <w:rsid w:val="00F147D0"/>
    <w:rsid w:val="00F205DE"/>
    <w:rsid w:val="00F215E6"/>
    <w:rsid w:val="00F266FC"/>
    <w:rsid w:val="00F26B89"/>
    <w:rsid w:val="00F3037A"/>
    <w:rsid w:val="00F3465A"/>
    <w:rsid w:val="00F37DC8"/>
    <w:rsid w:val="00F439B3"/>
    <w:rsid w:val="00F62B2D"/>
    <w:rsid w:val="00F650C3"/>
    <w:rsid w:val="00F65D85"/>
    <w:rsid w:val="00F6700B"/>
    <w:rsid w:val="00F7137B"/>
    <w:rsid w:val="00F8091E"/>
    <w:rsid w:val="00F8615C"/>
    <w:rsid w:val="00F969E5"/>
    <w:rsid w:val="00FA4972"/>
    <w:rsid w:val="00FA6BB0"/>
    <w:rsid w:val="00FB2DBD"/>
    <w:rsid w:val="00FB35E8"/>
    <w:rsid w:val="00FC41B3"/>
    <w:rsid w:val="00FC70A7"/>
    <w:rsid w:val="00FD27BC"/>
    <w:rsid w:val="00FD48DF"/>
    <w:rsid w:val="00FD5860"/>
    <w:rsid w:val="00FE352D"/>
    <w:rsid w:val="00FE40EB"/>
    <w:rsid w:val="00FE4330"/>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4406B4B"/>
  <w15:docId w15:val="{3CF9EC45-7E01-45C2-8169-4DE9218F4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86E40"/>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qFormat/>
    <w:rsid w:val="00086E40"/>
    <w:pPr>
      <w:keepNext/>
      <w:spacing w:before="240" w:after="120"/>
      <w:ind w:left="1247" w:hanging="680"/>
      <w:outlineLvl w:val="0"/>
    </w:pPr>
    <w:rPr>
      <w:b/>
      <w:sz w:val="28"/>
    </w:rPr>
  </w:style>
  <w:style w:type="paragraph" w:styleId="Heading2">
    <w:name w:val="heading 2"/>
    <w:basedOn w:val="Normal"/>
    <w:next w:val="Normalnumber"/>
    <w:qFormat/>
    <w:rsid w:val="00086E40"/>
    <w:pPr>
      <w:keepNext/>
      <w:spacing w:before="240" w:after="120"/>
      <w:ind w:left="1247" w:hanging="680"/>
      <w:outlineLvl w:val="1"/>
    </w:pPr>
    <w:rPr>
      <w:b/>
      <w:sz w:val="24"/>
      <w:szCs w:val="24"/>
    </w:rPr>
  </w:style>
  <w:style w:type="paragraph" w:styleId="Heading3">
    <w:name w:val="heading 3"/>
    <w:basedOn w:val="Normal"/>
    <w:next w:val="Normalnumber"/>
    <w:qFormat/>
    <w:rsid w:val="00086E40"/>
    <w:pPr>
      <w:spacing w:after="120"/>
      <w:ind w:left="1247" w:hanging="680"/>
      <w:outlineLvl w:val="2"/>
    </w:pPr>
    <w:rPr>
      <w:b/>
    </w:rPr>
  </w:style>
  <w:style w:type="paragraph" w:styleId="Heading4">
    <w:name w:val="heading 4"/>
    <w:basedOn w:val="Heading3"/>
    <w:next w:val="Normalnumber"/>
    <w:qFormat/>
    <w:rsid w:val="00086E40"/>
    <w:pPr>
      <w:keepNext/>
      <w:outlineLvl w:val="3"/>
    </w:pPr>
  </w:style>
  <w:style w:type="paragraph" w:styleId="Heading5">
    <w:name w:val="heading 5"/>
    <w:basedOn w:val="Normal"/>
    <w:next w:val="Normal"/>
    <w:qFormat/>
    <w:rsid w:val="00086E40"/>
    <w:pPr>
      <w:keepNext/>
      <w:outlineLvl w:val="4"/>
    </w:pPr>
    <w:rPr>
      <w:rFonts w:ascii="Univers" w:hAnsi="Univers"/>
      <w:b/>
      <w:sz w:val="24"/>
    </w:rPr>
  </w:style>
  <w:style w:type="paragraph" w:styleId="Heading6">
    <w:name w:val="heading 6"/>
    <w:basedOn w:val="Normal"/>
    <w:next w:val="Normal"/>
    <w:qFormat/>
    <w:rsid w:val="00086E40"/>
    <w:pPr>
      <w:keepNext/>
      <w:ind w:left="578"/>
      <w:outlineLvl w:val="5"/>
    </w:pPr>
    <w:rPr>
      <w:b/>
      <w:bCs/>
      <w:sz w:val="24"/>
    </w:rPr>
  </w:style>
  <w:style w:type="paragraph" w:styleId="Heading7">
    <w:name w:val="heading 7"/>
    <w:basedOn w:val="Normal"/>
    <w:next w:val="Normal"/>
    <w:qFormat/>
    <w:rsid w:val="00086E40"/>
    <w:pPr>
      <w:keepNext/>
      <w:widowControl w:val="0"/>
      <w:jc w:val="center"/>
      <w:outlineLvl w:val="6"/>
    </w:pPr>
    <w:rPr>
      <w:snapToGrid w:val="0"/>
      <w:u w:val="single"/>
      <w:lang w:val="en-US"/>
    </w:rPr>
  </w:style>
  <w:style w:type="paragraph" w:styleId="Heading8">
    <w:name w:val="heading 8"/>
    <w:basedOn w:val="Normal"/>
    <w:next w:val="Normal"/>
    <w:qFormat/>
    <w:rsid w:val="00086E40"/>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86E40"/>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86E40"/>
    <w:rPr>
      <w:rFonts w:ascii="Times New Roman" w:hAnsi="Times New Roman"/>
      <w:b/>
      <w:sz w:val="18"/>
    </w:rPr>
  </w:style>
  <w:style w:type="table" w:customStyle="1" w:styleId="Tabledocright">
    <w:name w:val="Table_doc_right"/>
    <w:basedOn w:val="TableNormal"/>
    <w:rsid w:val="00086E40"/>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86E40"/>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86E40"/>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86E40"/>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86E40"/>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86E40"/>
    <w:rPr>
      <w:bCs w:val="0"/>
    </w:rPr>
  </w:style>
  <w:style w:type="paragraph" w:styleId="TableofFigures">
    <w:name w:val="table of figures"/>
    <w:basedOn w:val="Normal"/>
    <w:next w:val="Normal"/>
    <w:autoRedefine/>
    <w:semiHidden/>
    <w:rsid w:val="00086E40"/>
    <w:pPr>
      <w:tabs>
        <w:tab w:val="clear" w:pos="1814"/>
        <w:tab w:val="clear" w:pos="2381"/>
        <w:tab w:val="clear" w:pos="2948"/>
        <w:tab w:val="clear" w:pos="3515"/>
      </w:tabs>
      <w:ind w:left="1814" w:hanging="567"/>
    </w:pPr>
  </w:style>
  <w:style w:type="paragraph" w:customStyle="1" w:styleId="CH1">
    <w:name w:val="CH1"/>
    <w:basedOn w:val="Normalpool"/>
    <w:next w:val="CH2"/>
    <w:rsid w:val="00086E4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086E40"/>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086E40"/>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086E40"/>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086E40"/>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086E40"/>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086E40"/>
    <w:pPr>
      <w:tabs>
        <w:tab w:val="left" w:pos="4321"/>
        <w:tab w:val="right" w:pos="8641"/>
      </w:tabs>
      <w:spacing w:before="60" w:after="120"/>
    </w:pPr>
    <w:rPr>
      <w:b/>
      <w:sz w:val="18"/>
    </w:rPr>
  </w:style>
  <w:style w:type="paragraph" w:customStyle="1" w:styleId="Headerpool">
    <w:name w:val="Header_pool"/>
    <w:basedOn w:val="Normal"/>
    <w:next w:val="Normal"/>
    <w:semiHidden/>
    <w:rsid w:val="00086E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086E40"/>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086E40"/>
    <w:pPr>
      <w:tabs>
        <w:tab w:val="left" w:pos="4321"/>
        <w:tab w:val="right" w:pos="8641"/>
      </w:tabs>
      <w:spacing w:before="60" w:after="120"/>
    </w:pPr>
    <w:rPr>
      <w:b/>
      <w:sz w:val="18"/>
    </w:rPr>
  </w:style>
  <w:style w:type="paragraph" w:customStyle="1" w:styleId="Header-pool">
    <w:name w:val="Header-pool"/>
    <w:basedOn w:val="Normal-pool"/>
    <w:next w:val="Normal-pool"/>
    <w:rsid w:val="00086E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086E40"/>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86E40"/>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86E40"/>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CA"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086E40"/>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086E40"/>
    <w:pPr>
      <w:keepNext/>
      <w:keepLines/>
      <w:suppressAutoHyphens/>
      <w:ind w:right="5103"/>
    </w:pPr>
    <w:rPr>
      <w:b/>
    </w:rPr>
  </w:style>
  <w:style w:type="paragraph" w:customStyle="1" w:styleId="AATitle2">
    <w:name w:val="AA_Title2"/>
    <w:basedOn w:val="AATitle"/>
    <w:rsid w:val="00086E40"/>
    <w:pPr>
      <w:tabs>
        <w:tab w:val="clear" w:pos="4082"/>
      </w:tabs>
      <w:spacing w:before="120" w:after="120"/>
      <w:ind w:right="4536"/>
    </w:pPr>
  </w:style>
  <w:style w:type="paragraph" w:customStyle="1" w:styleId="BBTitle">
    <w:name w:val="BB_Title"/>
    <w:basedOn w:val="Normalpool"/>
    <w:link w:val="BBTitleChar"/>
    <w:rsid w:val="00086E40"/>
    <w:pPr>
      <w:keepNext/>
      <w:keepLines/>
      <w:suppressAutoHyphens/>
      <w:spacing w:before="320" w:after="240"/>
      <w:ind w:left="1247" w:right="567"/>
    </w:pPr>
    <w:rPr>
      <w:b/>
      <w:sz w:val="28"/>
      <w:szCs w:val="28"/>
    </w:rPr>
  </w:style>
  <w:style w:type="paragraph" w:styleId="Footer">
    <w:name w:val="footer"/>
    <w:basedOn w:val="Normal"/>
    <w:link w:val="FooterChar"/>
    <w:uiPriority w:val="99"/>
    <w:rsid w:val="00086E40"/>
    <w:pPr>
      <w:tabs>
        <w:tab w:val="center" w:pos="4320"/>
        <w:tab w:val="right" w:pos="8640"/>
      </w:tabs>
      <w:spacing w:before="60" w:after="120"/>
    </w:pPr>
    <w:rPr>
      <w:sz w:val="18"/>
    </w:rPr>
  </w:style>
  <w:style w:type="paragraph" w:styleId="Header">
    <w:name w:val="header"/>
    <w:basedOn w:val="Normal"/>
    <w:semiHidden/>
    <w:rsid w:val="00086E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86E40"/>
    <w:rPr>
      <w:rFonts w:ascii="Times New Roman" w:hAnsi="Times New Roman"/>
      <w:color w:val="auto"/>
      <w:sz w:val="20"/>
      <w:szCs w:val="20"/>
      <w:u w:val="none"/>
      <w:lang w:val="fr-FR"/>
    </w:rPr>
  </w:style>
  <w:style w:type="numbering" w:customStyle="1" w:styleId="Normallist">
    <w:name w:val="Normal_list"/>
    <w:basedOn w:val="NoList"/>
    <w:rsid w:val="00086E40"/>
    <w:pPr>
      <w:numPr>
        <w:numId w:val="1"/>
      </w:numPr>
    </w:pPr>
  </w:style>
  <w:style w:type="paragraph" w:customStyle="1" w:styleId="NormalNonumber">
    <w:name w:val="Normal_No_number"/>
    <w:basedOn w:val="Normalpool"/>
    <w:rsid w:val="00086E40"/>
    <w:pPr>
      <w:spacing w:after="120"/>
      <w:ind w:left="1247"/>
    </w:pPr>
  </w:style>
  <w:style w:type="paragraph" w:customStyle="1" w:styleId="Normalnumber">
    <w:name w:val="Normal_number"/>
    <w:basedOn w:val="Normalpool"/>
    <w:link w:val="NormalnumberChar"/>
    <w:rsid w:val="00086E40"/>
    <w:pPr>
      <w:numPr>
        <w:numId w:val="4"/>
      </w:numPr>
      <w:spacing w:after="120"/>
    </w:pPr>
  </w:style>
  <w:style w:type="paragraph" w:customStyle="1" w:styleId="Titletable">
    <w:name w:val="Title_table"/>
    <w:basedOn w:val="Normalpool"/>
    <w:rsid w:val="00086E40"/>
    <w:pPr>
      <w:keepNext/>
      <w:keepLines/>
      <w:suppressAutoHyphens/>
      <w:spacing w:after="60"/>
      <w:ind w:left="1247"/>
    </w:pPr>
    <w:rPr>
      <w:b/>
      <w:bCs/>
    </w:rPr>
  </w:style>
  <w:style w:type="paragraph" w:styleId="TOC1">
    <w:name w:val="toc 1"/>
    <w:basedOn w:val="Normalpool"/>
    <w:next w:val="Normalpool"/>
    <w:rsid w:val="00086E40"/>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86E40"/>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86E40"/>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86E40"/>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86E40"/>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086E40"/>
    <w:rPr>
      <w:b/>
      <w:bCs/>
      <w:sz w:val="28"/>
      <w:szCs w:val="22"/>
    </w:rPr>
  </w:style>
  <w:style w:type="paragraph" w:customStyle="1" w:styleId="ZZAnxtitle">
    <w:name w:val="ZZ_Anx_title"/>
    <w:basedOn w:val="Normalpool"/>
    <w:link w:val="ZZAnxtitleChar"/>
    <w:rsid w:val="00086E40"/>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AC097D"/>
    <w:rPr>
      <w:b/>
      <w:sz w:val="28"/>
      <w:szCs w:val="28"/>
      <w:lang w:val="fr-CA" w:eastAsia="en-US"/>
    </w:rPr>
  </w:style>
  <w:style w:type="character" w:customStyle="1" w:styleId="CH2Char">
    <w:name w:val="CH2 Char"/>
    <w:link w:val="CH2"/>
    <w:locked/>
    <w:rsid w:val="00AC097D"/>
    <w:rPr>
      <w:b/>
      <w:sz w:val="24"/>
      <w:szCs w:val="24"/>
      <w:lang w:val="fr-CA" w:eastAsia="en-US"/>
    </w:rPr>
  </w:style>
  <w:style w:type="character" w:customStyle="1" w:styleId="NormalnumberChar">
    <w:name w:val="Normal_number Char"/>
    <w:link w:val="Normalnumber"/>
    <w:locked/>
    <w:rsid w:val="00AC097D"/>
    <w:rPr>
      <w:lang w:val="fr-CA" w:eastAsia="en-US"/>
    </w:rPr>
  </w:style>
  <w:style w:type="character" w:customStyle="1" w:styleId="Normal-poolChar">
    <w:name w:val="Normal-pool Char"/>
    <w:link w:val="Normal-pool"/>
    <w:rsid w:val="00CD64BB"/>
    <w:rPr>
      <w:lang w:val="fr-CA" w:eastAsia="en-US"/>
    </w:rPr>
  </w:style>
  <w:style w:type="character" w:customStyle="1" w:styleId="ZZAnxtitleChar">
    <w:name w:val="ZZ_Anx_title Char"/>
    <w:link w:val="ZZAnxtitle"/>
    <w:rsid w:val="00CD64BB"/>
    <w:rPr>
      <w:b/>
      <w:bCs/>
      <w:sz w:val="28"/>
      <w:szCs w:val="26"/>
      <w:lang w:val="fr-CA" w:eastAsia="en-US"/>
    </w:rPr>
  </w:style>
  <w:style w:type="character" w:customStyle="1" w:styleId="ZZAnxheaderChar">
    <w:name w:val="ZZ_Anx_header Char"/>
    <w:link w:val="ZZAnxheader"/>
    <w:rsid w:val="00CD64BB"/>
    <w:rPr>
      <w:b/>
      <w:bCs/>
      <w:sz w:val="28"/>
      <w:szCs w:val="22"/>
      <w:lang w:val="fr-CA" w:eastAsia="en-US"/>
    </w:rPr>
  </w:style>
  <w:style w:type="character" w:customStyle="1" w:styleId="FooterChar">
    <w:name w:val="Footer Char"/>
    <w:basedOn w:val="DefaultParagraphFont"/>
    <w:link w:val="Footer"/>
    <w:uiPriority w:val="99"/>
    <w:rsid w:val="00CD64BB"/>
    <w:rPr>
      <w:sz w:val="18"/>
      <w:lang w:val="fr-FR" w:eastAsia="en-US"/>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locked/>
    <w:rsid w:val="00FE4330"/>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1304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yperlink" Target="https://circabc.europa.eu/sd/a/ef04cabe-8f8e-484f-8e2f-dcbbc352c5a2/Inventory%20art%208(7)%20Mercury%20Reg%202018-07-02.pdf" TargetMode="External"/><Relationship Id="rId3" Type="http://schemas.openxmlformats.org/officeDocument/2006/relationships/styles" Target="styles.xml"/><Relationship Id="rId21" Type="http://schemas.openxmlformats.org/officeDocument/2006/relationships/hyperlink" Target="http://www.mercuryconvention.org/Portals/11/documents/meetings/COP3/submissions/Japan-Waste.pdf"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pa.gov/sites/production/files/2018-06/documents/mercury_reporting_requirements_for_the_tsca_mercury_inventory_final_rule.pdf"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circabc.europa.eu/sd/a/ef04cabe-8f8e-484f-8e2f-dcbbc352c5a2/Inventory%20art%208(7)%20Mercury%20Reg%202018-07-0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epa.gov/sites/production/files/2018-06/documents/mercury_reporting_requirements_for_the_tsca_mercury_inventory_final_rule.pdf"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mercuryconvention.org/R%C3%A9unions/Travauxintersessions/tabid/7858/language/fr-CH/Default.aspx" TargetMode="External"/><Relationship Id="rId2" Type="http://schemas.openxmlformats.org/officeDocument/2006/relationships/hyperlink" Target="https://circabc.europa.eu/sd/a/ef04cabe-8f8e-484f-8e2f-dcbbc352c5a2/Inventory%20art%208(7)%20Mercury%20Reg%202018-07-02.pdf" TargetMode="External"/><Relationship Id="rId1" Type="http://schemas.openxmlformats.org/officeDocument/2006/relationships/hyperlink" Target="https://www.epa.gov/sites/production/files/2018-06/documents/mercury_reporting_requirements_for_the_tsca_mercury_inventory_final_rule.pdf" TargetMode="External"/><Relationship Id="rId4" Type="http://schemas.openxmlformats.org/officeDocument/2006/relationships/hyperlink" Target="https://www.epa.gov/hw/report-congress-wastes-extraction-and-beneficiation-metallic-ores-phosphate-rock-asbest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019B7-17E2-4A39-BA21-ED4B4D243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5610</Words>
  <Characters>31898</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Herimalala Raveloarinjato</cp:lastModifiedBy>
  <cp:revision>2</cp:revision>
  <cp:lastPrinted>2019-10-10T12:56:00Z</cp:lastPrinted>
  <dcterms:created xsi:type="dcterms:W3CDTF">2019-10-17T13:09:00Z</dcterms:created>
  <dcterms:modified xsi:type="dcterms:W3CDTF">2019-10-17T13:09:00Z</dcterms:modified>
</cp:coreProperties>
</file>