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5003"/>
        <w:gridCol w:w="2975"/>
      </w:tblGrid>
      <w:tr w:rsidR="00032E4E" w:rsidRPr="007C41F2" w14:paraId="62560B0E" w14:textId="77777777" w:rsidTr="00B53DD9">
        <w:trPr>
          <w:cantSplit/>
          <w:trHeight w:val="57"/>
          <w:jc w:val="right"/>
        </w:trPr>
        <w:tc>
          <w:tcPr>
            <w:tcW w:w="1518" w:type="dxa"/>
          </w:tcPr>
          <w:p w14:paraId="47D5A83D" w14:textId="77777777" w:rsidR="00032E4E" w:rsidRPr="007C41F2" w:rsidRDefault="00032E4E" w:rsidP="00023DA9">
            <w:pPr>
              <w:rPr>
                <w:rFonts w:ascii="Arial" w:hAnsi="Arial" w:cs="Arial"/>
                <w:b/>
                <w:noProof/>
                <w:sz w:val="27"/>
                <w:szCs w:val="27"/>
                <w:lang w:val="fr-FR"/>
              </w:rPr>
            </w:pPr>
            <w:r w:rsidRPr="007C41F2">
              <w:rPr>
                <w:rFonts w:ascii="Arial" w:hAnsi="Arial" w:cs="Arial"/>
                <w:b/>
                <w:bCs/>
                <w:sz w:val="27"/>
                <w:szCs w:val="27"/>
                <w:lang w:val="fr-FR"/>
              </w:rPr>
              <w:t>NATIONS UNIES</w:t>
            </w:r>
          </w:p>
        </w:tc>
        <w:tc>
          <w:tcPr>
            <w:tcW w:w="5003" w:type="dxa"/>
          </w:tcPr>
          <w:p w14:paraId="6AA3FAE8" w14:textId="77777777" w:rsidR="00032E4E" w:rsidRPr="007C41F2" w:rsidRDefault="00032E4E" w:rsidP="00023DA9">
            <w:pPr>
              <w:rPr>
                <w:rFonts w:ascii="Univers" w:hAnsi="Univers"/>
                <w:b/>
                <w:sz w:val="27"/>
                <w:szCs w:val="27"/>
                <w:lang w:val="fr-FR"/>
              </w:rPr>
            </w:pPr>
          </w:p>
        </w:tc>
        <w:tc>
          <w:tcPr>
            <w:tcW w:w="2975" w:type="dxa"/>
          </w:tcPr>
          <w:p w14:paraId="2FDD92D0" w14:textId="77777777" w:rsidR="00032E4E" w:rsidRPr="007C41F2" w:rsidRDefault="00787688" w:rsidP="00023DA9">
            <w:pPr>
              <w:jc w:val="right"/>
              <w:rPr>
                <w:rFonts w:ascii="Arial" w:hAnsi="Arial" w:cs="Arial"/>
                <w:b/>
                <w:sz w:val="64"/>
                <w:szCs w:val="64"/>
                <w:lang w:val="fr-FR"/>
              </w:rPr>
            </w:pPr>
            <w:r w:rsidRPr="007C41F2">
              <w:rPr>
                <w:rFonts w:ascii="Arial" w:hAnsi="Arial" w:cs="Arial"/>
                <w:b/>
                <w:bCs/>
                <w:sz w:val="64"/>
                <w:szCs w:val="64"/>
                <w:lang w:val="fr-FR"/>
              </w:rPr>
              <w:t>MC</w:t>
            </w:r>
          </w:p>
        </w:tc>
      </w:tr>
      <w:tr w:rsidR="00032E4E" w:rsidRPr="007C41F2" w14:paraId="50B88763" w14:textId="77777777" w:rsidTr="00B53DD9">
        <w:trPr>
          <w:cantSplit/>
          <w:trHeight w:val="57"/>
          <w:jc w:val="right"/>
        </w:trPr>
        <w:tc>
          <w:tcPr>
            <w:tcW w:w="1518" w:type="dxa"/>
            <w:tcBorders>
              <w:bottom w:val="single" w:sz="4" w:space="0" w:color="auto"/>
            </w:tcBorders>
          </w:tcPr>
          <w:p w14:paraId="19F2FB98" w14:textId="77777777" w:rsidR="00032E4E" w:rsidRPr="007C41F2" w:rsidRDefault="00032E4E" w:rsidP="00023DA9">
            <w:pPr>
              <w:rPr>
                <w:noProof/>
                <w:sz w:val="18"/>
                <w:szCs w:val="18"/>
                <w:lang w:val="fr-FR"/>
              </w:rPr>
            </w:pPr>
          </w:p>
        </w:tc>
        <w:tc>
          <w:tcPr>
            <w:tcW w:w="5003" w:type="dxa"/>
            <w:tcBorders>
              <w:bottom w:val="single" w:sz="4" w:space="0" w:color="auto"/>
            </w:tcBorders>
          </w:tcPr>
          <w:p w14:paraId="19AAB217" w14:textId="77777777" w:rsidR="00032E4E" w:rsidRPr="007C41F2" w:rsidRDefault="00032E4E" w:rsidP="00023DA9">
            <w:pPr>
              <w:rPr>
                <w:rFonts w:ascii="Univers" w:hAnsi="Univers"/>
                <w:b/>
                <w:sz w:val="18"/>
                <w:szCs w:val="18"/>
                <w:lang w:val="fr-FR"/>
              </w:rPr>
            </w:pPr>
          </w:p>
        </w:tc>
        <w:tc>
          <w:tcPr>
            <w:tcW w:w="2975" w:type="dxa"/>
            <w:tcBorders>
              <w:bottom w:val="single" w:sz="4" w:space="0" w:color="auto"/>
            </w:tcBorders>
          </w:tcPr>
          <w:p w14:paraId="447ED4DA" w14:textId="49550332" w:rsidR="00032E4E" w:rsidRPr="007C41F2" w:rsidRDefault="00032E4E" w:rsidP="00434321">
            <w:pPr>
              <w:rPr>
                <w:noProof/>
                <w:sz w:val="18"/>
                <w:szCs w:val="18"/>
                <w:lang w:val="fr-FR"/>
              </w:rPr>
            </w:pPr>
            <w:r w:rsidRPr="007C41F2">
              <w:rPr>
                <w:b/>
                <w:sz w:val="28"/>
                <w:szCs w:val="28"/>
                <w:lang w:val="fr-FR"/>
              </w:rPr>
              <w:t>UNEP</w:t>
            </w:r>
            <w:r w:rsidRPr="007C41F2">
              <w:rPr>
                <w:lang w:val="fr-FR"/>
              </w:rPr>
              <w:t>/MC/COP.3/6</w:t>
            </w:r>
            <w:bookmarkStart w:id="0" w:name="OLE_LINK1"/>
            <w:bookmarkStart w:id="1" w:name="OLE_LINK2"/>
            <w:bookmarkEnd w:id="0"/>
            <w:bookmarkEnd w:id="1"/>
          </w:p>
        </w:tc>
      </w:tr>
      <w:bookmarkStart w:id="2" w:name="_MON_1021710510"/>
      <w:bookmarkEnd w:id="2"/>
      <w:bookmarkStart w:id="3" w:name="_MON_1021710482"/>
      <w:bookmarkEnd w:id="3"/>
      <w:tr w:rsidR="00032E4E" w:rsidRPr="007C41F2" w14:paraId="5129AE65" w14:textId="77777777" w:rsidTr="00B53DD9">
        <w:trPr>
          <w:cantSplit/>
          <w:trHeight w:val="57"/>
          <w:jc w:val="right"/>
        </w:trPr>
        <w:tc>
          <w:tcPr>
            <w:tcW w:w="1518" w:type="dxa"/>
            <w:tcBorders>
              <w:top w:val="single" w:sz="4" w:space="0" w:color="auto"/>
              <w:bottom w:val="single" w:sz="24" w:space="0" w:color="auto"/>
            </w:tcBorders>
          </w:tcPr>
          <w:p w14:paraId="522EB2C9" w14:textId="77777777" w:rsidR="00032E4E" w:rsidRPr="007C41F2" w:rsidRDefault="00F37DFC" w:rsidP="00023DA9">
            <w:pPr>
              <w:rPr>
                <w:noProof/>
                <w:lang w:val="fr-FR"/>
              </w:rPr>
            </w:pPr>
            <w:r w:rsidRPr="007C41F2">
              <w:rPr>
                <w:noProof/>
                <w:lang w:val="fr-FR"/>
              </w:rPr>
              <w:object w:dxaOrig="1831" w:dyaOrig="1726" w14:anchorId="39F8CA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pt;height:56.25pt;mso-width-percent:0;mso-height-percent:0;mso-width-percent:0;mso-height-percent:0" o:ole="" fillcolor="window">
                  <v:imagedata r:id="rId11" o:title=""/>
                </v:shape>
                <o:OLEObject Type="Embed" ProgID="Word.Picture.8" ShapeID="_x0000_i1025" DrawAspect="Content" ObjectID="_1630932759" r:id="rId12"/>
              </w:object>
            </w:r>
            <w:r w:rsidR="00011A16" w:rsidRPr="007C41F2">
              <w:rPr>
                <w:noProof/>
                <w:lang w:val="fr-FR" w:eastAsia="en-GB"/>
              </w:rPr>
              <w:drawing>
                <wp:inline distT="0" distB="0" distL="0" distR="0" wp14:anchorId="731DCC7A" wp14:editId="593A5A5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5003" w:type="dxa"/>
            <w:tcBorders>
              <w:top w:val="single" w:sz="4" w:space="0" w:color="auto"/>
              <w:bottom w:val="single" w:sz="24" w:space="0" w:color="auto"/>
            </w:tcBorders>
          </w:tcPr>
          <w:p w14:paraId="648DB058" w14:textId="68B54AED" w:rsidR="00032E4E" w:rsidRPr="007C41F2" w:rsidRDefault="0048550E" w:rsidP="0048550E">
            <w:pPr>
              <w:spacing w:before="1200"/>
              <w:rPr>
                <w:rFonts w:ascii="Arial" w:hAnsi="Arial" w:cs="Arial"/>
                <w:b/>
                <w:sz w:val="32"/>
                <w:szCs w:val="32"/>
                <w:lang w:val="fr-FR"/>
              </w:rPr>
            </w:pPr>
            <w:r w:rsidRPr="007C41F2">
              <w:rPr>
                <w:rFonts w:ascii="Arial" w:hAnsi="Arial" w:cs="Arial"/>
                <w:b/>
                <w:bCs/>
                <w:sz w:val="32"/>
                <w:szCs w:val="32"/>
                <w:lang w:val="fr-FR"/>
              </w:rPr>
              <w:t xml:space="preserve">Programme des Nations Unies </w:t>
            </w:r>
            <w:r w:rsidR="00032E4E" w:rsidRPr="007C41F2">
              <w:rPr>
                <w:rFonts w:ascii="Arial" w:hAnsi="Arial" w:cs="Arial"/>
                <w:b/>
                <w:bCs/>
                <w:sz w:val="32"/>
                <w:szCs w:val="32"/>
                <w:lang w:val="fr-FR"/>
              </w:rPr>
              <w:t>pour l</w:t>
            </w:r>
            <w:r w:rsidR="00CA739D" w:rsidRPr="007C41F2">
              <w:rPr>
                <w:rFonts w:ascii="Arial" w:hAnsi="Arial" w:cs="Arial"/>
                <w:b/>
                <w:bCs/>
                <w:sz w:val="32"/>
                <w:szCs w:val="32"/>
                <w:lang w:val="fr-FR"/>
              </w:rPr>
              <w:t>’</w:t>
            </w:r>
            <w:r w:rsidR="00032E4E" w:rsidRPr="007C41F2">
              <w:rPr>
                <w:rFonts w:ascii="Arial" w:hAnsi="Arial" w:cs="Arial"/>
                <w:b/>
                <w:bCs/>
                <w:sz w:val="32"/>
                <w:szCs w:val="32"/>
                <w:lang w:val="fr-FR"/>
              </w:rPr>
              <w:t>environnement</w:t>
            </w:r>
          </w:p>
        </w:tc>
        <w:tc>
          <w:tcPr>
            <w:tcW w:w="2975" w:type="dxa"/>
            <w:tcBorders>
              <w:top w:val="single" w:sz="4" w:space="0" w:color="auto"/>
              <w:bottom w:val="single" w:sz="24" w:space="0" w:color="auto"/>
            </w:tcBorders>
            <w:shd w:val="clear" w:color="auto" w:fill="auto"/>
          </w:tcPr>
          <w:p w14:paraId="2AB30C51" w14:textId="110DAE23" w:rsidR="00032E4E" w:rsidRPr="007C41F2" w:rsidRDefault="00032E4E" w:rsidP="00434321">
            <w:pPr>
              <w:spacing w:before="120"/>
              <w:rPr>
                <w:lang w:val="fr-FR"/>
              </w:rPr>
            </w:pPr>
            <w:r w:rsidRPr="007C41F2">
              <w:rPr>
                <w:lang w:val="fr-FR"/>
              </w:rPr>
              <w:t>Distr. générale</w:t>
            </w:r>
            <w:r w:rsidR="0048550E" w:rsidRPr="007C41F2">
              <w:rPr>
                <w:lang w:val="fr-FR"/>
              </w:rPr>
              <w:br/>
              <w:t>13 </w:t>
            </w:r>
            <w:r w:rsidRPr="007C41F2">
              <w:rPr>
                <w:lang w:val="fr-FR"/>
              </w:rPr>
              <w:t>août 2019</w:t>
            </w:r>
          </w:p>
          <w:p w14:paraId="0765B83A" w14:textId="77777777" w:rsidR="0048550E" w:rsidRPr="007C41F2" w:rsidRDefault="0048550E" w:rsidP="000855ED">
            <w:pPr>
              <w:spacing w:before="120"/>
              <w:rPr>
                <w:lang w:val="fr-FR"/>
              </w:rPr>
            </w:pPr>
          </w:p>
          <w:p w14:paraId="31EC4BEE" w14:textId="74B2B8BA" w:rsidR="00032E4E" w:rsidRPr="007C41F2" w:rsidRDefault="00032E4E" w:rsidP="000855ED">
            <w:pPr>
              <w:spacing w:before="120"/>
              <w:rPr>
                <w:lang w:val="fr-FR"/>
              </w:rPr>
            </w:pPr>
            <w:r w:rsidRPr="007C41F2">
              <w:rPr>
                <w:lang w:val="fr-FR"/>
              </w:rPr>
              <w:t xml:space="preserve">Français </w:t>
            </w:r>
            <w:r w:rsidR="0048550E" w:rsidRPr="007C41F2">
              <w:rPr>
                <w:lang w:val="fr-FR"/>
              </w:rPr>
              <w:br/>
            </w:r>
            <w:r w:rsidRPr="007C41F2">
              <w:rPr>
                <w:lang w:val="fr-FR"/>
              </w:rPr>
              <w:t>Original : anglais</w:t>
            </w:r>
          </w:p>
        </w:tc>
      </w:tr>
    </w:tbl>
    <w:p w14:paraId="471436BA" w14:textId="7D6642D5" w:rsidR="00E976AB" w:rsidRPr="007C41F2" w:rsidRDefault="00CB007D" w:rsidP="00E976AB">
      <w:pPr>
        <w:pStyle w:val="AATitle"/>
        <w:keepNext w:val="0"/>
        <w:keepLines w:val="0"/>
        <w:rPr>
          <w:lang w:val="fr-FR"/>
        </w:rPr>
      </w:pPr>
      <w:r w:rsidRPr="007C41F2">
        <w:rPr>
          <w:bCs/>
          <w:lang w:val="fr-FR"/>
        </w:rPr>
        <w:t>Conférence des Parties à la Convention de</w:t>
      </w:r>
      <w:r w:rsidR="0048550E" w:rsidRPr="007C41F2">
        <w:rPr>
          <w:bCs/>
          <w:lang w:val="fr-FR"/>
        </w:rPr>
        <w:t> </w:t>
      </w:r>
      <w:r w:rsidRPr="007C41F2">
        <w:rPr>
          <w:bCs/>
          <w:lang w:val="fr-FR"/>
        </w:rPr>
        <w:t>Minamata sur le mercure</w:t>
      </w:r>
    </w:p>
    <w:p w14:paraId="6D8455D5" w14:textId="2644D697" w:rsidR="00E976AB" w:rsidRPr="007C41F2" w:rsidRDefault="00BB4998" w:rsidP="00E976AB">
      <w:pPr>
        <w:pStyle w:val="AATitle"/>
        <w:keepNext w:val="0"/>
        <w:keepLines w:val="0"/>
        <w:rPr>
          <w:lang w:val="fr-FR"/>
        </w:rPr>
      </w:pPr>
      <w:r w:rsidRPr="007C41F2">
        <w:rPr>
          <w:bCs/>
          <w:lang w:val="fr-FR"/>
        </w:rPr>
        <w:t>Troisième réunion</w:t>
      </w:r>
    </w:p>
    <w:p w14:paraId="08DDCB89" w14:textId="0106C4B7" w:rsidR="00787688" w:rsidRPr="007C41F2" w:rsidRDefault="00787688" w:rsidP="00434321">
      <w:pPr>
        <w:pStyle w:val="AATitle"/>
        <w:rPr>
          <w:b w:val="0"/>
          <w:lang w:val="fr-FR"/>
        </w:rPr>
      </w:pPr>
      <w:r w:rsidRPr="007C41F2">
        <w:rPr>
          <w:b w:val="0"/>
          <w:lang w:val="fr-FR"/>
        </w:rPr>
        <w:t>Genève, 25–29 novembre 2019</w:t>
      </w:r>
    </w:p>
    <w:p w14:paraId="3FD603B0" w14:textId="3A792267" w:rsidR="000C65B1" w:rsidRPr="007C41F2" w:rsidRDefault="000C65B1" w:rsidP="000C65B1">
      <w:pPr>
        <w:pStyle w:val="AATitle"/>
        <w:keepNext w:val="0"/>
        <w:keepLines w:val="0"/>
        <w:rPr>
          <w:b w:val="0"/>
          <w:lang w:val="fr-FR"/>
        </w:rPr>
      </w:pPr>
      <w:r w:rsidRPr="007C41F2">
        <w:rPr>
          <w:b w:val="0"/>
          <w:lang w:val="fr-FR"/>
        </w:rPr>
        <w:t>Point 5 b) de l</w:t>
      </w:r>
      <w:r w:rsidR="00CA739D" w:rsidRPr="007C41F2">
        <w:rPr>
          <w:b w:val="0"/>
          <w:lang w:val="fr-FR"/>
        </w:rPr>
        <w:t>’</w:t>
      </w:r>
      <w:r w:rsidRPr="007C41F2">
        <w:rPr>
          <w:b w:val="0"/>
          <w:lang w:val="fr-FR"/>
        </w:rPr>
        <w:t>ordre du jour provisoire</w:t>
      </w:r>
      <w:r w:rsidRPr="007C41F2">
        <w:rPr>
          <w:b w:val="0"/>
          <w:lang w:val="fr-FR"/>
        </w:rPr>
        <w:footnoteReference w:customMarkFollows="1" w:id="1"/>
        <w:t>*</w:t>
      </w:r>
    </w:p>
    <w:p w14:paraId="10584444" w14:textId="3967C174" w:rsidR="000C65B1" w:rsidRPr="007C41F2" w:rsidRDefault="000C65B1" w:rsidP="00E8302A">
      <w:pPr>
        <w:pStyle w:val="AATitle2"/>
        <w:rPr>
          <w:lang w:val="fr-FR"/>
        </w:rPr>
      </w:pPr>
      <w:r w:rsidRPr="007C41F2">
        <w:rPr>
          <w:bCs/>
          <w:lang w:val="fr-FR"/>
        </w:rPr>
        <w:t>Questions soumises à la Conférence des Parties pour</w:t>
      </w:r>
      <w:r w:rsidR="005723CD" w:rsidRPr="007C41F2">
        <w:rPr>
          <w:bCs/>
          <w:lang w:val="fr-FR"/>
        </w:rPr>
        <w:t> </w:t>
      </w:r>
      <w:r w:rsidRPr="007C41F2">
        <w:rPr>
          <w:bCs/>
          <w:lang w:val="fr-FR"/>
        </w:rPr>
        <w:t>examen ou décision : rejets de mercure</w:t>
      </w:r>
    </w:p>
    <w:p w14:paraId="1658D062" w14:textId="5228892C" w:rsidR="000C65B1" w:rsidRPr="007C41F2" w:rsidRDefault="00DC153D" w:rsidP="00601E9A">
      <w:pPr>
        <w:pStyle w:val="BBTitle"/>
        <w:rPr>
          <w:lang w:val="fr-FR"/>
        </w:rPr>
      </w:pPr>
      <w:r w:rsidRPr="007C41F2">
        <w:rPr>
          <w:lang w:val="fr-FR"/>
        </w:rPr>
        <w:t>Rapport du</w:t>
      </w:r>
      <w:r w:rsidR="00601E9A" w:rsidRPr="007C41F2">
        <w:rPr>
          <w:lang w:val="fr-FR"/>
        </w:rPr>
        <w:t xml:space="preserve"> g</w:t>
      </w:r>
      <w:r w:rsidRPr="007C41F2">
        <w:rPr>
          <w:lang w:val="fr-FR"/>
        </w:rPr>
        <w:t>roupe d</w:t>
      </w:r>
      <w:r w:rsidR="00CA739D" w:rsidRPr="007C41F2">
        <w:rPr>
          <w:lang w:val="fr-FR"/>
        </w:rPr>
        <w:t>’</w:t>
      </w:r>
      <w:r w:rsidRPr="007C41F2">
        <w:rPr>
          <w:lang w:val="fr-FR"/>
        </w:rPr>
        <w:t>experts techniques sur les orientations concernant les rejets de mercure</w:t>
      </w:r>
    </w:p>
    <w:p w14:paraId="683EF59F" w14:textId="77777777" w:rsidR="000C65B1" w:rsidRPr="007C41F2" w:rsidRDefault="0004341B" w:rsidP="00241EF8">
      <w:pPr>
        <w:pStyle w:val="CH2"/>
        <w:spacing w:before="0"/>
        <w:rPr>
          <w:lang w:val="fr-FR"/>
        </w:rPr>
      </w:pPr>
      <w:r w:rsidRPr="007C41F2">
        <w:rPr>
          <w:lang w:val="fr-FR"/>
        </w:rPr>
        <w:tab/>
      </w:r>
      <w:r w:rsidRPr="007C41F2">
        <w:rPr>
          <w:lang w:val="fr-FR"/>
        </w:rPr>
        <w:tab/>
      </w:r>
      <w:r w:rsidRPr="007C41F2">
        <w:rPr>
          <w:bCs/>
          <w:lang w:val="fr-FR"/>
        </w:rPr>
        <w:t>Note du secrétariat</w:t>
      </w:r>
    </w:p>
    <w:p w14:paraId="221997AF" w14:textId="342F7CC8" w:rsidR="00CB292C" w:rsidRPr="007C41F2" w:rsidRDefault="00CB292C" w:rsidP="00241EF8">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fr-FR"/>
        </w:rPr>
      </w:pPr>
      <w:r w:rsidRPr="007C41F2">
        <w:rPr>
          <w:lang w:val="fr-FR"/>
        </w:rPr>
        <w:t>L</w:t>
      </w:r>
      <w:r w:rsidR="00CA739D" w:rsidRPr="007C41F2">
        <w:rPr>
          <w:lang w:val="fr-FR"/>
        </w:rPr>
        <w:t>’</w:t>
      </w:r>
      <w:r w:rsidRPr="007C41F2">
        <w:rPr>
          <w:lang w:val="fr-FR"/>
        </w:rPr>
        <w:t>article 9 de la Convention de Minamata sur le mercure porte sur le contrôle et, dans la mesure du possible, sur la réduction des rejets de mercure et composés du mercure dans le sol et l</w:t>
      </w:r>
      <w:r w:rsidR="00CA739D" w:rsidRPr="007C41F2">
        <w:rPr>
          <w:lang w:val="fr-FR"/>
        </w:rPr>
        <w:t>’</w:t>
      </w:r>
      <w:r w:rsidRPr="007C41F2">
        <w:rPr>
          <w:lang w:val="fr-FR"/>
        </w:rPr>
        <w:t>eau par des sources ponctuelles pertinentes qui ne sont pas traitées dans d</w:t>
      </w:r>
      <w:r w:rsidR="00CA739D" w:rsidRPr="007C41F2">
        <w:rPr>
          <w:lang w:val="fr-FR"/>
        </w:rPr>
        <w:t>’</w:t>
      </w:r>
      <w:r w:rsidRPr="007C41F2">
        <w:rPr>
          <w:lang w:val="fr-FR"/>
        </w:rPr>
        <w:t>autres dispositions de la Convention. L</w:t>
      </w:r>
      <w:r w:rsidR="00CA739D" w:rsidRPr="007C41F2">
        <w:rPr>
          <w:lang w:val="fr-FR"/>
        </w:rPr>
        <w:t>’alinéa</w:t>
      </w:r>
      <w:r w:rsidRPr="007C41F2">
        <w:rPr>
          <w:lang w:val="fr-FR"/>
        </w:rPr>
        <w:t xml:space="preserve"> b) du paragraphe 2 indique que l</w:t>
      </w:r>
      <w:r w:rsidR="00CA739D" w:rsidRPr="007C41F2">
        <w:rPr>
          <w:lang w:val="fr-FR"/>
        </w:rPr>
        <w:t>’</w:t>
      </w:r>
      <w:r w:rsidRPr="007C41F2">
        <w:rPr>
          <w:lang w:val="fr-FR"/>
        </w:rPr>
        <w:t xml:space="preserve">on entend par </w:t>
      </w:r>
      <w:r w:rsidR="00077B04" w:rsidRPr="007C41F2">
        <w:rPr>
          <w:lang w:val="fr-FR"/>
        </w:rPr>
        <w:t>« source pertinente », « </w:t>
      </w:r>
      <w:r w:rsidRPr="007C41F2">
        <w:rPr>
          <w:lang w:val="fr-FR"/>
        </w:rPr>
        <w:t>toute source anthropique ponctuelle notable de rejets identifiée par une Partie, qui n</w:t>
      </w:r>
      <w:r w:rsidR="00CA739D" w:rsidRPr="007C41F2">
        <w:rPr>
          <w:lang w:val="fr-FR"/>
        </w:rPr>
        <w:t>’</w:t>
      </w:r>
      <w:r w:rsidRPr="007C41F2">
        <w:rPr>
          <w:lang w:val="fr-FR"/>
        </w:rPr>
        <w:t>est pas traitée dans d</w:t>
      </w:r>
      <w:r w:rsidR="00CA739D" w:rsidRPr="007C41F2">
        <w:rPr>
          <w:lang w:val="fr-FR"/>
        </w:rPr>
        <w:t>’</w:t>
      </w:r>
      <w:r w:rsidRPr="007C41F2">
        <w:rPr>
          <w:lang w:val="fr-FR"/>
        </w:rPr>
        <w:t>autres dispositions de la présente Convention</w:t>
      </w:r>
      <w:r w:rsidR="00077B04" w:rsidRPr="007C41F2">
        <w:rPr>
          <w:lang w:val="fr-FR"/>
        </w:rPr>
        <w:t> ».</w:t>
      </w:r>
      <w:r w:rsidRPr="007C41F2">
        <w:rPr>
          <w:lang w:val="fr-FR"/>
        </w:rPr>
        <w:t xml:space="preserve"> Le paragraphe 3 de ce même article </w:t>
      </w:r>
      <w:r w:rsidR="00601E9A" w:rsidRPr="007C41F2">
        <w:rPr>
          <w:lang w:val="fr-FR"/>
        </w:rPr>
        <w:t xml:space="preserve">dispose </w:t>
      </w:r>
      <w:r w:rsidRPr="007C41F2">
        <w:rPr>
          <w:lang w:val="fr-FR"/>
        </w:rPr>
        <w:t>que «</w:t>
      </w:r>
      <w:r w:rsidR="00601E9A" w:rsidRPr="007C41F2">
        <w:rPr>
          <w:lang w:val="fr-FR"/>
        </w:rPr>
        <w:t> [c]</w:t>
      </w:r>
      <w:r w:rsidRPr="007C41F2">
        <w:rPr>
          <w:lang w:val="fr-FR"/>
        </w:rPr>
        <w:t>haque Partie identifie, au plus tard trois ans après la date d</w:t>
      </w:r>
      <w:r w:rsidR="00CA739D" w:rsidRPr="007C41F2">
        <w:rPr>
          <w:lang w:val="fr-FR"/>
        </w:rPr>
        <w:t>’</w:t>
      </w:r>
      <w:r w:rsidRPr="007C41F2">
        <w:rPr>
          <w:lang w:val="fr-FR"/>
        </w:rPr>
        <w:t>entrée en vigueur de la Convention à son égard et, par la suite, à intervalles réguliers, les catégories de sources ponctuell</w:t>
      </w:r>
      <w:r w:rsidR="00601E9A" w:rsidRPr="007C41F2">
        <w:rPr>
          <w:lang w:val="fr-FR"/>
        </w:rPr>
        <w:t>es pertinentes</w:t>
      </w:r>
      <w:r w:rsidR="00077B04" w:rsidRPr="007C41F2">
        <w:rPr>
          <w:lang w:val="fr-FR"/>
        </w:rPr>
        <w:t> ».</w:t>
      </w:r>
      <w:r w:rsidR="00601E9A" w:rsidRPr="007C41F2">
        <w:rPr>
          <w:lang w:val="fr-FR"/>
        </w:rPr>
        <w:t xml:space="preserve"> Le</w:t>
      </w:r>
      <w:r w:rsidR="00077B04" w:rsidRPr="007C41F2">
        <w:rPr>
          <w:lang w:val="fr-FR"/>
        </w:rPr>
        <w:t> </w:t>
      </w:r>
      <w:r w:rsidR="00601E9A" w:rsidRPr="007C41F2">
        <w:rPr>
          <w:lang w:val="fr-FR"/>
        </w:rPr>
        <w:t>paragraphe </w:t>
      </w:r>
      <w:r w:rsidRPr="007C41F2">
        <w:rPr>
          <w:lang w:val="fr-FR"/>
        </w:rPr>
        <w:t xml:space="preserve">6 </w:t>
      </w:r>
      <w:r w:rsidR="00601E9A" w:rsidRPr="007C41F2">
        <w:rPr>
          <w:lang w:val="fr-FR"/>
        </w:rPr>
        <w:t xml:space="preserve">prévoit </w:t>
      </w:r>
      <w:r w:rsidR="00077B04" w:rsidRPr="007C41F2">
        <w:rPr>
          <w:lang w:val="fr-FR"/>
        </w:rPr>
        <w:t>que « </w:t>
      </w:r>
      <w:r w:rsidR="00601E9A" w:rsidRPr="007C41F2">
        <w:rPr>
          <w:lang w:val="fr-FR"/>
        </w:rPr>
        <w:t>[c]</w:t>
      </w:r>
      <w:r w:rsidRPr="007C41F2">
        <w:rPr>
          <w:lang w:val="fr-FR"/>
        </w:rPr>
        <w:t>haque Partie établit, dès que possible et au plus tard cinq ans après la date d</w:t>
      </w:r>
      <w:r w:rsidR="00CA739D" w:rsidRPr="007C41F2">
        <w:rPr>
          <w:lang w:val="fr-FR"/>
        </w:rPr>
        <w:t>’</w:t>
      </w:r>
      <w:r w:rsidRPr="007C41F2">
        <w:rPr>
          <w:lang w:val="fr-FR"/>
        </w:rPr>
        <w:t>entrée en vigueur de la Convention à son égard, un inventaire des rejets des sources pertinentes qu</w:t>
      </w:r>
      <w:r w:rsidR="00CA739D" w:rsidRPr="007C41F2">
        <w:rPr>
          <w:lang w:val="fr-FR"/>
        </w:rPr>
        <w:t>’</w:t>
      </w:r>
      <w:r w:rsidRPr="007C41F2">
        <w:rPr>
          <w:lang w:val="fr-FR"/>
        </w:rPr>
        <w:t>elle tient à jou</w:t>
      </w:r>
      <w:r w:rsidR="00601E9A" w:rsidRPr="007C41F2">
        <w:rPr>
          <w:lang w:val="fr-FR"/>
        </w:rPr>
        <w:t>r par la suite</w:t>
      </w:r>
      <w:r w:rsidR="00077B04" w:rsidRPr="007C41F2">
        <w:rPr>
          <w:lang w:val="fr-FR"/>
        </w:rPr>
        <w:t> ».</w:t>
      </w:r>
      <w:r w:rsidR="00601E9A" w:rsidRPr="007C41F2">
        <w:rPr>
          <w:lang w:val="fr-FR"/>
        </w:rPr>
        <w:t xml:space="preserve"> Le paragraphe 7 </w:t>
      </w:r>
      <w:r w:rsidR="003A28BC" w:rsidRPr="007C41F2">
        <w:rPr>
          <w:lang w:val="fr-FR"/>
        </w:rPr>
        <w:t xml:space="preserve">précise </w:t>
      </w:r>
      <w:r w:rsidR="00077B04" w:rsidRPr="007C41F2">
        <w:rPr>
          <w:lang w:val="fr-FR"/>
        </w:rPr>
        <w:t>que « </w:t>
      </w:r>
      <w:r w:rsidR="00601E9A" w:rsidRPr="007C41F2">
        <w:rPr>
          <w:lang w:val="fr-FR"/>
        </w:rPr>
        <w:t>[l]</w:t>
      </w:r>
      <w:r w:rsidRPr="007C41F2">
        <w:rPr>
          <w:lang w:val="fr-FR"/>
        </w:rPr>
        <w:t xml:space="preserve">a Conférence des Partie adopte, dès que possible, des orientations concernant les meilleures techniques disponibles et les meilleures pratiques environnementales </w:t>
      </w:r>
      <w:r w:rsidR="00601E9A" w:rsidRPr="007C41F2">
        <w:rPr>
          <w:lang w:val="fr-FR"/>
        </w:rPr>
        <w:t>[</w:t>
      </w:r>
      <w:r w:rsidRPr="007C41F2">
        <w:rPr>
          <w:lang w:val="fr-FR"/>
        </w:rPr>
        <w:t>et concernant la</w:t>
      </w:r>
      <w:r w:rsidR="00601E9A" w:rsidRPr="007C41F2">
        <w:rPr>
          <w:lang w:val="fr-FR"/>
        </w:rPr>
        <w:t>]</w:t>
      </w:r>
      <w:r w:rsidRPr="007C41F2">
        <w:rPr>
          <w:lang w:val="fr-FR"/>
        </w:rPr>
        <w:t xml:space="preserve"> méthode à suivre pour établir les inventaires des rejets</w:t>
      </w:r>
      <w:r w:rsidR="00077B04" w:rsidRPr="007C41F2">
        <w:rPr>
          <w:lang w:val="fr-FR"/>
        </w:rPr>
        <w:t> ».</w:t>
      </w:r>
    </w:p>
    <w:p w14:paraId="4ADCDE9A" w14:textId="01D2E562" w:rsidR="00CB292C" w:rsidRPr="007C41F2" w:rsidRDefault="00601E9A" w:rsidP="00241EF8">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fr-FR"/>
        </w:rPr>
      </w:pPr>
      <w:r w:rsidRPr="007C41F2">
        <w:rPr>
          <w:lang w:val="fr-FR"/>
        </w:rPr>
        <w:t xml:space="preserve">Par </w:t>
      </w:r>
      <w:r w:rsidR="00CB292C" w:rsidRPr="007C41F2">
        <w:rPr>
          <w:lang w:val="fr-FR"/>
        </w:rPr>
        <w:t xml:space="preserve">sa décision MC-2/3, </w:t>
      </w:r>
      <w:r w:rsidRPr="007C41F2">
        <w:rPr>
          <w:lang w:val="fr-FR"/>
        </w:rPr>
        <w:t xml:space="preserve">la Conférence des Parties </w:t>
      </w:r>
      <w:r w:rsidR="00CB292C" w:rsidRPr="007C41F2">
        <w:rPr>
          <w:lang w:val="fr-FR"/>
        </w:rPr>
        <w:t>a créé un groupe d</w:t>
      </w:r>
      <w:r w:rsidR="00CA739D" w:rsidRPr="007C41F2">
        <w:rPr>
          <w:lang w:val="fr-FR"/>
        </w:rPr>
        <w:t>’</w:t>
      </w:r>
      <w:r w:rsidR="00CB292C" w:rsidRPr="007C41F2">
        <w:rPr>
          <w:lang w:val="fr-FR"/>
        </w:rPr>
        <w:t xml:space="preserve">experts techniques </w:t>
      </w:r>
      <w:r w:rsidRPr="007C41F2">
        <w:rPr>
          <w:lang w:val="fr-FR"/>
        </w:rPr>
        <w:t xml:space="preserve">chargé </w:t>
      </w:r>
      <w:r w:rsidR="00CB292C" w:rsidRPr="007C41F2">
        <w:rPr>
          <w:lang w:val="fr-FR"/>
        </w:rPr>
        <w:t>d</w:t>
      </w:r>
      <w:r w:rsidR="00CA739D" w:rsidRPr="007C41F2">
        <w:rPr>
          <w:lang w:val="fr-FR"/>
        </w:rPr>
        <w:t>’</w:t>
      </w:r>
      <w:r w:rsidR="00CB292C" w:rsidRPr="007C41F2">
        <w:rPr>
          <w:lang w:val="fr-FR"/>
        </w:rPr>
        <w:t>élaborer un projet d</w:t>
      </w:r>
      <w:r w:rsidR="00CA739D" w:rsidRPr="007C41F2">
        <w:rPr>
          <w:lang w:val="fr-FR"/>
        </w:rPr>
        <w:t>’</w:t>
      </w:r>
      <w:r w:rsidR="00CB292C" w:rsidRPr="007C41F2">
        <w:rPr>
          <w:lang w:val="fr-FR"/>
        </w:rPr>
        <w:t>orientations sur les méthodes d</w:t>
      </w:r>
      <w:r w:rsidR="00CA739D" w:rsidRPr="007C41F2">
        <w:rPr>
          <w:lang w:val="fr-FR"/>
        </w:rPr>
        <w:t>’</w:t>
      </w:r>
      <w:r w:rsidR="00CB292C" w:rsidRPr="007C41F2">
        <w:rPr>
          <w:lang w:val="fr-FR"/>
        </w:rPr>
        <w:t>établissement d</w:t>
      </w:r>
      <w:r w:rsidR="00CA739D" w:rsidRPr="007C41F2">
        <w:rPr>
          <w:lang w:val="fr-FR"/>
        </w:rPr>
        <w:t>’</w:t>
      </w:r>
      <w:r w:rsidR="00CB292C" w:rsidRPr="007C41F2">
        <w:rPr>
          <w:lang w:val="fr-FR"/>
        </w:rPr>
        <w:t>inventaires pour la définition d</w:t>
      </w:r>
      <w:r w:rsidR="00CA739D" w:rsidRPr="007C41F2">
        <w:rPr>
          <w:lang w:val="fr-FR"/>
        </w:rPr>
        <w:t>’</w:t>
      </w:r>
      <w:r w:rsidR="00CB292C" w:rsidRPr="007C41F2">
        <w:rPr>
          <w:lang w:val="fr-FR"/>
        </w:rPr>
        <w:t>une liste des catégories de sources ponctuelles potentiellement pertinentes, qui travaille principalement par voie électronique. Elle a tout d</w:t>
      </w:r>
      <w:r w:rsidR="00CA739D" w:rsidRPr="007C41F2">
        <w:rPr>
          <w:lang w:val="fr-FR"/>
        </w:rPr>
        <w:t>’</w:t>
      </w:r>
      <w:r w:rsidR="00CB292C" w:rsidRPr="007C41F2">
        <w:rPr>
          <w:lang w:val="fr-FR"/>
        </w:rPr>
        <w:t>abord prié le secrétariat d</w:t>
      </w:r>
      <w:r w:rsidR="00CA739D" w:rsidRPr="007C41F2">
        <w:rPr>
          <w:lang w:val="fr-FR"/>
        </w:rPr>
        <w:t>’</w:t>
      </w:r>
      <w:r w:rsidR="00CB292C" w:rsidRPr="007C41F2">
        <w:rPr>
          <w:lang w:val="fr-FR"/>
        </w:rPr>
        <w:t xml:space="preserve">inviter les Parties, les signataires et autres parties prenantes à identifier les catégories possibles de sources ponctuelles de rejets à inclure dans la liste, puis de compiler en un rapport </w:t>
      </w:r>
      <w:r w:rsidRPr="007C41F2">
        <w:rPr>
          <w:lang w:val="fr-FR"/>
        </w:rPr>
        <w:t>l</w:t>
      </w:r>
      <w:r w:rsidR="00CB292C" w:rsidRPr="007C41F2">
        <w:rPr>
          <w:lang w:val="fr-FR"/>
        </w:rPr>
        <w:t xml:space="preserve">es informations </w:t>
      </w:r>
      <w:r w:rsidRPr="007C41F2">
        <w:rPr>
          <w:lang w:val="fr-FR"/>
        </w:rPr>
        <w:t xml:space="preserve">recueillies </w:t>
      </w:r>
      <w:r w:rsidR="00CB292C" w:rsidRPr="007C41F2">
        <w:rPr>
          <w:lang w:val="fr-FR"/>
        </w:rPr>
        <w:t xml:space="preserve">et de mettre ledit rapport </w:t>
      </w:r>
      <w:r w:rsidR="00CB292C" w:rsidRPr="007C41F2">
        <w:rPr>
          <w:lang w:val="fr-FR"/>
        </w:rPr>
        <w:lastRenderedPageBreak/>
        <w:t>à la disposition du groupe. L</w:t>
      </w:r>
      <w:r w:rsidRPr="007C41F2">
        <w:rPr>
          <w:lang w:val="fr-FR"/>
        </w:rPr>
        <w:t xml:space="preserve">a Conférence des Parties a </w:t>
      </w:r>
      <w:r w:rsidR="00CB292C" w:rsidRPr="007C41F2">
        <w:rPr>
          <w:lang w:val="fr-FR"/>
        </w:rPr>
        <w:t xml:space="preserve">prié </w:t>
      </w:r>
      <w:r w:rsidRPr="007C41F2">
        <w:rPr>
          <w:lang w:val="fr-FR"/>
        </w:rPr>
        <w:t xml:space="preserve">le groupe </w:t>
      </w:r>
      <w:r w:rsidR="00CB292C" w:rsidRPr="007C41F2">
        <w:rPr>
          <w:lang w:val="fr-FR"/>
        </w:rPr>
        <w:t>de présenter le rapport, y compris la liste de toutes les catégories importantes de sources anthropiques ponctuelles non visées par les dispositions de la Convention, à l</w:t>
      </w:r>
      <w:r w:rsidR="00CA739D" w:rsidRPr="007C41F2">
        <w:rPr>
          <w:lang w:val="fr-FR"/>
        </w:rPr>
        <w:t>’</w:t>
      </w:r>
      <w:r w:rsidR="00CB292C" w:rsidRPr="007C41F2">
        <w:rPr>
          <w:lang w:val="fr-FR"/>
        </w:rPr>
        <w:t>exception de l</w:t>
      </w:r>
      <w:r w:rsidR="00CA739D" w:rsidRPr="007C41F2">
        <w:rPr>
          <w:lang w:val="fr-FR"/>
        </w:rPr>
        <w:t>’</w:t>
      </w:r>
      <w:r w:rsidR="00CB292C" w:rsidRPr="007C41F2">
        <w:rPr>
          <w:lang w:val="fr-FR"/>
        </w:rPr>
        <w:t>article 9, ainsi qu</w:t>
      </w:r>
      <w:r w:rsidR="00CA739D" w:rsidRPr="007C41F2">
        <w:rPr>
          <w:lang w:val="fr-FR"/>
        </w:rPr>
        <w:t>’</w:t>
      </w:r>
      <w:r w:rsidR="00CB292C" w:rsidRPr="007C41F2">
        <w:rPr>
          <w:lang w:val="fr-FR"/>
        </w:rPr>
        <w:t>une proposition de feuille de route et de structure en vue de l</w:t>
      </w:r>
      <w:r w:rsidR="00CA739D" w:rsidRPr="007C41F2">
        <w:rPr>
          <w:lang w:val="fr-FR"/>
        </w:rPr>
        <w:t>’</w:t>
      </w:r>
      <w:r w:rsidR="00CB292C" w:rsidRPr="007C41F2">
        <w:rPr>
          <w:lang w:val="fr-FR"/>
        </w:rPr>
        <w:t>élaboration d</w:t>
      </w:r>
      <w:r w:rsidR="00CA739D" w:rsidRPr="007C41F2">
        <w:rPr>
          <w:lang w:val="fr-FR"/>
        </w:rPr>
        <w:t>’</w:t>
      </w:r>
      <w:r w:rsidR="00CB292C" w:rsidRPr="007C41F2">
        <w:rPr>
          <w:lang w:val="fr-FR"/>
        </w:rPr>
        <w:t>un projet d</w:t>
      </w:r>
      <w:r w:rsidR="00CA739D" w:rsidRPr="007C41F2">
        <w:rPr>
          <w:lang w:val="fr-FR"/>
        </w:rPr>
        <w:t>’</w:t>
      </w:r>
      <w:r w:rsidR="00CB292C" w:rsidRPr="007C41F2">
        <w:rPr>
          <w:lang w:val="fr-FR"/>
        </w:rPr>
        <w:t>orientations sur les méthodes à suivre pour l</w:t>
      </w:r>
      <w:r w:rsidR="00CA739D" w:rsidRPr="007C41F2">
        <w:rPr>
          <w:lang w:val="fr-FR"/>
        </w:rPr>
        <w:t>’</w:t>
      </w:r>
      <w:r w:rsidR="00CB292C" w:rsidRPr="007C41F2">
        <w:rPr>
          <w:lang w:val="fr-FR"/>
        </w:rPr>
        <w:t xml:space="preserve">établissement de ses inventaires, pour </w:t>
      </w:r>
      <w:r w:rsidRPr="007C41F2">
        <w:rPr>
          <w:lang w:val="fr-FR"/>
        </w:rPr>
        <w:t xml:space="preserve">qu’elle les adopte </w:t>
      </w:r>
      <w:r w:rsidR="00CB292C" w:rsidRPr="007C41F2">
        <w:rPr>
          <w:lang w:val="fr-FR"/>
        </w:rPr>
        <w:t>éventuelle</w:t>
      </w:r>
      <w:r w:rsidRPr="007C41F2">
        <w:rPr>
          <w:lang w:val="fr-FR"/>
        </w:rPr>
        <w:t>ment</w:t>
      </w:r>
      <w:r w:rsidR="00CB292C" w:rsidRPr="007C41F2">
        <w:rPr>
          <w:lang w:val="fr-FR"/>
        </w:rPr>
        <w:t xml:space="preserve"> à sa troisième</w:t>
      </w:r>
      <w:r w:rsidRPr="007C41F2">
        <w:rPr>
          <w:lang w:val="fr-FR"/>
        </w:rPr>
        <w:t> </w:t>
      </w:r>
      <w:r w:rsidR="00CB292C" w:rsidRPr="007C41F2">
        <w:rPr>
          <w:lang w:val="fr-FR"/>
        </w:rPr>
        <w:t>réunion</w:t>
      </w:r>
      <w:r w:rsidRPr="007C41F2">
        <w:rPr>
          <w:lang w:val="fr-FR"/>
        </w:rPr>
        <w:t xml:space="preserve">. Elle l’a </w:t>
      </w:r>
      <w:r w:rsidR="00CB292C" w:rsidRPr="007C41F2">
        <w:rPr>
          <w:lang w:val="fr-FR"/>
        </w:rPr>
        <w:t>également prié d</w:t>
      </w:r>
      <w:r w:rsidR="00CA739D" w:rsidRPr="007C41F2">
        <w:rPr>
          <w:lang w:val="fr-FR"/>
        </w:rPr>
        <w:t>’</w:t>
      </w:r>
      <w:r w:rsidR="00CB292C" w:rsidRPr="007C41F2">
        <w:rPr>
          <w:lang w:val="fr-FR"/>
        </w:rPr>
        <w:t>élaborer un projet d</w:t>
      </w:r>
      <w:r w:rsidR="00CA739D" w:rsidRPr="007C41F2">
        <w:rPr>
          <w:lang w:val="fr-FR"/>
        </w:rPr>
        <w:t>’</w:t>
      </w:r>
      <w:r w:rsidR="00CB292C" w:rsidRPr="007C41F2">
        <w:rPr>
          <w:lang w:val="fr-FR"/>
        </w:rPr>
        <w:t>orientations sur les méthodes normalisées et connues d</w:t>
      </w:r>
      <w:r w:rsidR="00CA739D" w:rsidRPr="007C41F2">
        <w:rPr>
          <w:lang w:val="fr-FR"/>
        </w:rPr>
        <w:t>’</w:t>
      </w:r>
      <w:r w:rsidR="00CB292C" w:rsidRPr="007C41F2">
        <w:rPr>
          <w:lang w:val="fr-FR"/>
        </w:rPr>
        <w:t>établissement d</w:t>
      </w:r>
      <w:r w:rsidR="00CA739D" w:rsidRPr="007C41F2">
        <w:rPr>
          <w:lang w:val="fr-FR"/>
        </w:rPr>
        <w:t>’</w:t>
      </w:r>
      <w:r w:rsidR="00CB292C" w:rsidRPr="007C41F2">
        <w:rPr>
          <w:lang w:val="fr-FR"/>
        </w:rPr>
        <w:t xml:space="preserve">inventaires applicables aux sources figurant dans cette liste, pour </w:t>
      </w:r>
      <w:r w:rsidRPr="007C41F2">
        <w:rPr>
          <w:lang w:val="fr-FR"/>
        </w:rPr>
        <w:t xml:space="preserve">qu’elle l’adopte </w:t>
      </w:r>
      <w:r w:rsidR="00CB292C" w:rsidRPr="007C41F2">
        <w:rPr>
          <w:lang w:val="fr-FR"/>
        </w:rPr>
        <w:t>éventuelle</w:t>
      </w:r>
      <w:r w:rsidRPr="007C41F2">
        <w:rPr>
          <w:lang w:val="fr-FR"/>
        </w:rPr>
        <w:t xml:space="preserve">ment </w:t>
      </w:r>
      <w:r w:rsidR="00077B04" w:rsidRPr="007C41F2">
        <w:rPr>
          <w:lang w:val="fr-FR"/>
        </w:rPr>
        <w:t>à sa quatrième </w:t>
      </w:r>
      <w:r w:rsidR="00CB292C" w:rsidRPr="007C41F2">
        <w:rPr>
          <w:lang w:val="fr-FR"/>
        </w:rPr>
        <w:t>réunion. La Conférence des Parties a décidé de réexaminer, à sa troisième réunion, la composition du groupe d</w:t>
      </w:r>
      <w:r w:rsidR="00CA739D" w:rsidRPr="007C41F2">
        <w:rPr>
          <w:lang w:val="fr-FR"/>
        </w:rPr>
        <w:t>’</w:t>
      </w:r>
      <w:r w:rsidR="00CB292C" w:rsidRPr="007C41F2">
        <w:rPr>
          <w:lang w:val="fr-FR"/>
        </w:rPr>
        <w:t>experts et la nécessité d</w:t>
      </w:r>
      <w:r w:rsidR="00CA739D" w:rsidRPr="007C41F2">
        <w:rPr>
          <w:lang w:val="fr-FR"/>
        </w:rPr>
        <w:t>’</w:t>
      </w:r>
      <w:r w:rsidR="00CB292C" w:rsidRPr="007C41F2">
        <w:rPr>
          <w:lang w:val="fr-FR"/>
        </w:rPr>
        <w:t>une réunion en présentiel de ses membres.</w:t>
      </w:r>
    </w:p>
    <w:p w14:paraId="1654A578" w14:textId="0B3EF34E" w:rsidR="00CB292C" w:rsidRPr="007C41F2" w:rsidRDefault="00CB292C" w:rsidP="00241EF8">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fr-FR"/>
        </w:rPr>
      </w:pPr>
      <w:r w:rsidRPr="007C41F2">
        <w:rPr>
          <w:lang w:val="fr-FR"/>
        </w:rPr>
        <w:t xml:space="preserve">Le </w:t>
      </w:r>
      <w:r w:rsidR="00601E9A" w:rsidRPr="007C41F2">
        <w:rPr>
          <w:lang w:val="fr-FR"/>
        </w:rPr>
        <w:t>g</w:t>
      </w:r>
      <w:r w:rsidRPr="007C41F2">
        <w:rPr>
          <w:lang w:val="fr-FR"/>
        </w:rPr>
        <w:t>roupe est composé de 22 membres désignés par les représentants du Bureau, comme suit : pour la région Afrique : Eswatini, Gabon, Nigéria, Rwanda et Zambie ; pour la région Asie-Pacifique : Chine, Indonésie, Iran (République islamique d</w:t>
      </w:r>
      <w:r w:rsidR="00CA739D" w:rsidRPr="007C41F2">
        <w:rPr>
          <w:lang w:val="fr-FR"/>
        </w:rPr>
        <w:t>’</w:t>
      </w:r>
      <w:r w:rsidRPr="007C41F2">
        <w:rPr>
          <w:lang w:val="fr-FR"/>
        </w:rPr>
        <w:t>) (2 membres) et Japon ; pour la région Europe orientale</w:t>
      </w:r>
      <w:r w:rsidR="00601E9A" w:rsidRPr="007C41F2">
        <w:rPr>
          <w:lang w:val="fr-FR"/>
        </w:rPr>
        <w:t xml:space="preserve"> : </w:t>
      </w:r>
      <w:r w:rsidRPr="007C41F2">
        <w:rPr>
          <w:lang w:val="fr-FR"/>
        </w:rPr>
        <w:t>Commission européenne et Agence européenne pour l</w:t>
      </w:r>
      <w:r w:rsidR="00CA739D" w:rsidRPr="007C41F2">
        <w:rPr>
          <w:lang w:val="fr-FR"/>
        </w:rPr>
        <w:t>’</w:t>
      </w:r>
      <w:r w:rsidRPr="007C41F2">
        <w:rPr>
          <w:lang w:val="fr-FR"/>
        </w:rPr>
        <w:t>environnement ; pour la région Amérique latine et Caraïbes : Argentine, Costa Rica, Guyana (2 membres) et Uruguay ; pour la région Europe occidentale et autres États : Allemagne, Canada, États-Unis d</w:t>
      </w:r>
      <w:r w:rsidR="00CA739D" w:rsidRPr="007C41F2">
        <w:rPr>
          <w:lang w:val="fr-FR"/>
        </w:rPr>
        <w:t>’</w:t>
      </w:r>
      <w:r w:rsidRPr="007C41F2">
        <w:rPr>
          <w:lang w:val="fr-FR"/>
        </w:rPr>
        <w:t>Amérique, Norvège et Suède.</w:t>
      </w:r>
    </w:p>
    <w:p w14:paraId="485CB92C" w14:textId="1D2E7155" w:rsidR="00CB292C" w:rsidRPr="007C41F2" w:rsidRDefault="00CB292C" w:rsidP="00241EF8">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fr-FR"/>
        </w:rPr>
      </w:pPr>
      <w:r w:rsidRPr="007C41F2">
        <w:rPr>
          <w:lang w:val="fr-FR"/>
        </w:rPr>
        <w:t>Des informations sur les catégories possibles de sources ponctuelles de rejets ont été reçues de l</w:t>
      </w:r>
      <w:r w:rsidR="00CA739D" w:rsidRPr="007C41F2">
        <w:rPr>
          <w:lang w:val="fr-FR"/>
        </w:rPr>
        <w:t>’</w:t>
      </w:r>
      <w:r w:rsidRPr="007C41F2">
        <w:rPr>
          <w:lang w:val="fr-FR"/>
        </w:rPr>
        <w:t xml:space="preserve">Argentine, du Canada, du Costa Rica, de Maurice, du Monténégro, </w:t>
      </w:r>
      <w:r w:rsidR="00601E9A" w:rsidRPr="007C41F2">
        <w:rPr>
          <w:lang w:val="fr-FR"/>
        </w:rPr>
        <w:t xml:space="preserve">de la Norvège, et </w:t>
      </w:r>
      <w:r w:rsidRPr="007C41F2">
        <w:rPr>
          <w:lang w:val="fr-FR"/>
        </w:rPr>
        <w:t>du Natural Resources Defense Council (NRDC), du secrétariat de la Convention de Barcelone et de l</w:t>
      </w:r>
      <w:r w:rsidR="00CA739D" w:rsidRPr="007C41F2">
        <w:rPr>
          <w:lang w:val="fr-FR"/>
        </w:rPr>
        <w:t>’</w:t>
      </w:r>
      <w:r w:rsidRPr="007C41F2">
        <w:rPr>
          <w:lang w:val="fr-FR"/>
        </w:rPr>
        <w:t xml:space="preserve">Union </w:t>
      </w:r>
      <w:bookmarkStart w:id="4" w:name="_GoBack"/>
      <w:bookmarkEnd w:id="4"/>
      <w:r w:rsidRPr="007C41F2">
        <w:rPr>
          <w:lang w:val="fr-FR"/>
        </w:rPr>
        <w:t>européenne.</w:t>
      </w:r>
    </w:p>
    <w:p w14:paraId="283898E3" w14:textId="5A1DDDC4" w:rsidR="00CB292C" w:rsidRPr="007C41F2" w:rsidRDefault="00CB292C" w:rsidP="00241EF8">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fr-FR"/>
        </w:rPr>
      </w:pPr>
      <w:r w:rsidRPr="007C41F2">
        <w:rPr>
          <w:lang w:val="fr-FR"/>
        </w:rPr>
        <w:t xml:space="preserve">Le </w:t>
      </w:r>
      <w:r w:rsidR="00601E9A" w:rsidRPr="007C41F2">
        <w:rPr>
          <w:lang w:val="fr-FR"/>
        </w:rPr>
        <w:t>g</w:t>
      </w:r>
      <w:r w:rsidRPr="007C41F2">
        <w:rPr>
          <w:lang w:val="fr-FR"/>
        </w:rPr>
        <w:t xml:space="preserve">roupe a tenu deux téléconférences organisées par le secrétariat et a élaboré un projet de rapport, qui a été </w:t>
      </w:r>
      <w:r w:rsidR="00601E9A" w:rsidRPr="007C41F2">
        <w:rPr>
          <w:lang w:val="fr-FR"/>
        </w:rPr>
        <w:t xml:space="preserve">publié </w:t>
      </w:r>
      <w:r w:rsidRPr="007C41F2">
        <w:rPr>
          <w:lang w:val="fr-FR"/>
        </w:rPr>
        <w:t>sur le site Web de la Convention de Minamata le 15 mai 2019, pour observations d</w:t>
      </w:r>
      <w:r w:rsidR="00CA739D" w:rsidRPr="007C41F2">
        <w:rPr>
          <w:lang w:val="fr-FR"/>
        </w:rPr>
        <w:t>’</w:t>
      </w:r>
      <w:r w:rsidRPr="007C41F2">
        <w:rPr>
          <w:lang w:val="fr-FR"/>
        </w:rPr>
        <w:t>ici au 15 juin 2019. Des observations ont été reçues du Canada, du Chili, du Costa Rica, des États-Unis d</w:t>
      </w:r>
      <w:r w:rsidR="00CA739D" w:rsidRPr="007C41F2">
        <w:rPr>
          <w:lang w:val="fr-FR"/>
        </w:rPr>
        <w:t>’</w:t>
      </w:r>
      <w:r w:rsidRPr="007C41F2">
        <w:rPr>
          <w:lang w:val="fr-FR"/>
        </w:rPr>
        <w:t xml:space="preserve">Amérique, du Japon, de la Norvège, de la Thaïlande et </w:t>
      </w:r>
      <w:r w:rsidR="00601E9A" w:rsidRPr="007C41F2">
        <w:rPr>
          <w:lang w:val="fr-FR"/>
        </w:rPr>
        <w:t xml:space="preserve">du NRDC, et </w:t>
      </w:r>
      <w:r w:rsidRPr="007C41F2">
        <w:rPr>
          <w:lang w:val="fr-FR"/>
        </w:rPr>
        <w:t>de l</w:t>
      </w:r>
      <w:r w:rsidR="00CA739D" w:rsidRPr="007C41F2">
        <w:rPr>
          <w:lang w:val="fr-FR"/>
        </w:rPr>
        <w:t>’</w:t>
      </w:r>
      <w:r w:rsidRPr="007C41F2">
        <w:rPr>
          <w:lang w:val="fr-FR"/>
        </w:rPr>
        <w:t>Union européenne, dont certaines ont été soumises au nom d</w:t>
      </w:r>
      <w:r w:rsidR="00CA739D" w:rsidRPr="007C41F2">
        <w:rPr>
          <w:lang w:val="fr-FR"/>
        </w:rPr>
        <w:t>’</w:t>
      </w:r>
      <w:r w:rsidRPr="007C41F2">
        <w:rPr>
          <w:lang w:val="fr-FR"/>
        </w:rPr>
        <w:t>experts. Le groupe a ensuite tenu deux autres téléconférences, l</w:t>
      </w:r>
      <w:r w:rsidR="00CA739D" w:rsidRPr="007C41F2">
        <w:rPr>
          <w:lang w:val="fr-FR"/>
        </w:rPr>
        <w:t>’</w:t>
      </w:r>
      <w:r w:rsidRPr="007C41F2">
        <w:rPr>
          <w:lang w:val="fr-FR"/>
        </w:rPr>
        <w:t xml:space="preserve">une en juin pour </w:t>
      </w:r>
      <w:r w:rsidR="00601E9A" w:rsidRPr="007C41F2">
        <w:rPr>
          <w:lang w:val="fr-FR"/>
        </w:rPr>
        <w:t xml:space="preserve">examiner </w:t>
      </w:r>
      <w:r w:rsidRPr="007C41F2">
        <w:rPr>
          <w:lang w:val="fr-FR"/>
        </w:rPr>
        <w:t>les observations, et l</w:t>
      </w:r>
      <w:r w:rsidR="00CA739D" w:rsidRPr="007C41F2">
        <w:rPr>
          <w:lang w:val="fr-FR"/>
        </w:rPr>
        <w:t>’</w:t>
      </w:r>
      <w:r w:rsidRPr="007C41F2">
        <w:rPr>
          <w:lang w:val="fr-FR"/>
        </w:rPr>
        <w:t xml:space="preserve">autre en juillet pour débattre des modifications à apporter au projet de rapport. Le secrétariat a ensuite apporté la dernière touche au rapport en se </w:t>
      </w:r>
      <w:r w:rsidR="00601E9A" w:rsidRPr="007C41F2">
        <w:rPr>
          <w:lang w:val="fr-FR"/>
        </w:rPr>
        <w:t xml:space="preserve">fondant </w:t>
      </w:r>
      <w:r w:rsidRPr="007C41F2">
        <w:rPr>
          <w:lang w:val="fr-FR"/>
        </w:rPr>
        <w:t>sur les échanges électroniques du groupe.</w:t>
      </w:r>
    </w:p>
    <w:p w14:paraId="1E4E1662" w14:textId="5DDDA177" w:rsidR="00CB292C" w:rsidRPr="007C41F2" w:rsidRDefault="00CB292C" w:rsidP="00241EF8">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fr-FR"/>
        </w:rPr>
      </w:pPr>
      <w:r w:rsidRPr="007C41F2">
        <w:rPr>
          <w:lang w:val="fr-FR"/>
        </w:rPr>
        <w:t>Un projet de décision concernant les rejets de mercure, fondé sur les travaux du groupe, figure à l</w:t>
      </w:r>
      <w:r w:rsidR="00CA739D" w:rsidRPr="007C41F2">
        <w:rPr>
          <w:lang w:val="fr-FR"/>
        </w:rPr>
        <w:t>’</w:t>
      </w:r>
      <w:r w:rsidRPr="007C41F2">
        <w:rPr>
          <w:lang w:val="fr-FR"/>
        </w:rPr>
        <w:t>annexe I de la présente note. Le rapport du groupe figure à l</w:t>
      </w:r>
      <w:r w:rsidR="00CA739D" w:rsidRPr="007C41F2">
        <w:rPr>
          <w:lang w:val="fr-FR"/>
        </w:rPr>
        <w:t>’</w:t>
      </w:r>
      <w:r w:rsidRPr="007C41F2">
        <w:rPr>
          <w:lang w:val="fr-FR"/>
        </w:rPr>
        <w:t>annexe II.</w:t>
      </w:r>
    </w:p>
    <w:p w14:paraId="34BD5FE1" w14:textId="2AC85DA0" w:rsidR="00CB292C" w:rsidRPr="007C41F2" w:rsidRDefault="003053E8" w:rsidP="00241EF8">
      <w:pPr>
        <w:pStyle w:val="CH2"/>
        <w:spacing w:before="0"/>
        <w:rPr>
          <w:bCs/>
          <w:lang w:val="fr-FR"/>
        </w:rPr>
      </w:pPr>
      <w:r w:rsidRPr="007C41F2">
        <w:rPr>
          <w:lang w:val="fr-FR"/>
        </w:rPr>
        <w:tab/>
      </w:r>
      <w:r w:rsidRPr="007C41F2">
        <w:rPr>
          <w:lang w:val="fr-FR"/>
        </w:rPr>
        <w:tab/>
      </w:r>
      <w:r w:rsidRPr="007C41F2">
        <w:rPr>
          <w:bCs/>
          <w:lang w:val="fr-FR"/>
        </w:rPr>
        <w:t>Mesures que pourrait prendre la Conférence des Parties</w:t>
      </w:r>
    </w:p>
    <w:p w14:paraId="60141001" w14:textId="1D1CC64E" w:rsidR="00CB292C" w:rsidRPr="007C41F2" w:rsidRDefault="00CB292C" w:rsidP="00241EF8">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fr-FR"/>
        </w:rPr>
      </w:pPr>
      <w:r w:rsidRPr="007C41F2">
        <w:rPr>
          <w:lang w:val="fr-FR"/>
        </w:rPr>
        <w:t>La Conférence des Parties souhaitera peut-être se pencher sur les progrès réalisés par le groupe au cours de l</w:t>
      </w:r>
      <w:r w:rsidR="00601E9A" w:rsidRPr="007C41F2">
        <w:rPr>
          <w:lang w:val="fr-FR"/>
        </w:rPr>
        <w:t>’</w:t>
      </w:r>
      <w:r w:rsidRPr="007C41F2">
        <w:rPr>
          <w:lang w:val="fr-FR"/>
        </w:rPr>
        <w:t>intersessions, tels que présentés dans son rapport, sachant que le groupe n</w:t>
      </w:r>
      <w:r w:rsidR="00CA739D" w:rsidRPr="007C41F2">
        <w:rPr>
          <w:lang w:val="fr-FR"/>
        </w:rPr>
        <w:t>’</w:t>
      </w:r>
      <w:r w:rsidRPr="007C41F2">
        <w:rPr>
          <w:lang w:val="fr-FR"/>
        </w:rPr>
        <w:t xml:space="preserve">est pas </w:t>
      </w:r>
      <w:r w:rsidR="00601E9A" w:rsidRPr="007C41F2">
        <w:rPr>
          <w:lang w:val="fr-FR"/>
        </w:rPr>
        <w:t xml:space="preserve">parvenu </w:t>
      </w:r>
      <w:r w:rsidRPr="007C41F2">
        <w:rPr>
          <w:lang w:val="fr-FR"/>
        </w:rPr>
        <w:t xml:space="preserve">à un consensus sur un certain nombre de questions, dont celles </w:t>
      </w:r>
      <w:r w:rsidR="00601E9A" w:rsidRPr="007C41F2">
        <w:rPr>
          <w:lang w:val="fr-FR"/>
        </w:rPr>
        <w:t xml:space="preserve">énoncées </w:t>
      </w:r>
      <w:r w:rsidRPr="007C41F2">
        <w:rPr>
          <w:lang w:val="fr-FR"/>
        </w:rPr>
        <w:t xml:space="preserve">aux paragraphes 8, 16, 18 et 22 du rapport et au paragraphe 2 de son appendice, </w:t>
      </w:r>
      <w:r w:rsidR="00601E9A" w:rsidRPr="007C41F2">
        <w:rPr>
          <w:lang w:val="fr-FR"/>
        </w:rPr>
        <w:t xml:space="preserve">et </w:t>
      </w:r>
      <w:r w:rsidRPr="007C41F2">
        <w:rPr>
          <w:lang w:val="fr-FR"/>
        </w:rPr>
        <w:t>examiner le projet de décision figurant à l</w:t>
      </w:r>
      <w:r w:rsidR="00CA739D" w:rsidRPr="007C41F2">
        <w:rPr>
          <w:lang w:val="fr-FR"/>
        </w:rPr>
        <w:t>’</w:t>
      </w:r>
      <w:r w:rsidRPr="007C41F2">
        <w:rPr>
          <w:lang w:val="fr-FR"/>
        </w:rPr>
        <w:t>annexe I de la présente note.</w:t>
      </w:r>
    </w:p>
    <w:p w14:paraId="541855D6" w14:textId="77777777" w:rsidR="003053E8" w:rsidRPr="007C41F2" w:rsidRDefault="003053E8" w:rsidP="00241EF8">
      <w:pPr>
        <w:tabs>
          <w:tab w:val="clear" w:pos="1247"/>
          <w:tab w:val="clear" w:pos="1814"/>
          <w:tab w:val="clear" w:pos="2381"/>
          <w:tab w:val="clear" w:pos="2948"/>
          <w:tab w:val="clear" w:pos="3515"/>
        </w:tabs>
        <w:spacing w:after="120"/>
        <w:rPr>
          <w:bCs/>
          <w:lang w:val="fr-FR"/>
        </w:rPr>
      </w:pPr>
      <w:r w:rsidRPr="007C41F2">
        <w:rPr>
          <w:bCs/>
          <w:lang w:val="fr-FR"/>
        </w:rPr>
        <w:br w:type="page"/>
      </w:r>
    </w:p>
    <w:p w14:paraId="1B67A8EC" w14:textId="5C3F7E5D" w:rsidR="003053E8" w:rsidRPr="007C41F2" w:rsidRDefault="003053E8" w:rsidP="00241EF8">
      <w:pPr>
        <w:pStyle w:val="ZZAnxheader"/>
        <w:spacing w:after="120"/>
        <w:rPr>
          <w:lang w:val="fr-FR"/>
        </w:rPr>
      </w:pPr>
      <w:r w:rsidRPr="007C41F2">
        <w:rPr>
          <w:lang w:val="fr-FR"/>
        </w:rPr>
        <w:lastRenderedPageBreak/>
        <w:t>Annexe I</w:t>
      </w:r>
    </w:p>
    <w:p w14:paraId="03722620" w14:textId="6E4FF34F" w:rsidR="00CB292C" w:rsidRPr="007C41F2" w:rsidRDefault="00CB292C" w:rsidP="00241EF8">
      <w:pPr>
        <w:pStyle w:val="ZZAnxtitle"/>
        <w:spacing w:before="0"/>
        <w:rPr>
          <w:lang w:val="fr-FR"/>
        </w:rPr>
      </w:pPr>
      <w:r w:rsidRPr="007C41F2">
        <w:rPr>
          <w:lang w:val="fr-FR"/>
        </w:rPr>
        <w:t>Projet de décision MC-3</w:t>
      </w:r>
      <w:r w:rsidR="00CA739D" w:rsidRPr="007C41F2">
        <w:rPr>
          <w:lang w:val="fr-FR"/>
        </w:rPr>
        <w:t>/ [</w:t>
      </w:r>
      <w:r w:rsidRPr="007C41F2">
        <w:rPr>
          <w:lang w:val="fr-FR"/>
        </w:rPr>
        <w:t xml:space="preserve">--] : Rejets de mercure </w:t>
      </w:r>
    </w:p>
    <w:p w14:paraId="4D2D5604" w14:textId="77777777" w:rsidR="00CB292C" w:rsidRPr="007C41F2" w:rsidRDefault="00CB292C" w:rsidP="00241EF8">
      <w:pPr>
        <w:pStyle w:val="Normal-pool"/>
        <w:tabs>
          <w:tab w:val="left" w:pos="624"/>
        </w:tabs>
        <w:spacing w:after="120"/>
        <w:ind w:left="1247" w:firstLine="624"/>
        <w:rPr>
          <w:bCs/>
          <w:i/>
          <w:iCs/>
          <w:lang w:val="fr-FR"/>
        </w:rPr>
      </w:pPr>
      <w:r w:rsidRPr="007C41F2">
        <w:rPr>
          <w:i/>
          <w:iCs/>
          <w:lang w:val="fr-FR"/>
        </w:rPr>
        <w:t>La Conférence des Parties,</w:t>
      </w:r>
    </w:p>
    <w:p w14:paraId="5F49C0BA" w14:textId="4DD0E007" w:rsidR="00CB292C" w:rsidRPr="007C41F2" w:rsidRDefault="00CB292C" w:rsidP="00241EF8">
      <w:pPr>
        <w:pStyle w:val="Normalnumber"/>
        <w:numPr>
          <w:ilvl w:val="0"/>
          <w:numId w:val="0"/>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lang w:val="fr-FR"/>
        </w:rPr>
      </w:pPr>
      <w:r w:rsidRPr="007C41F2">
        <w:rPr>
          <w:i/>
          <w:iCs/>
          <w:lang w:val="fr-FR"/>
        </w:rPr>
        <w:t xml:space="preserve">Se félicitant </w:t>
      </w:r>
      <w:r w:rsidRPr="007C41F2">
        <w:rPr>
          <w:lang w:val="fr-FR"/>
        </w:rPr>
        <w:t>du rapport du groupe d</w:t>
      </w:r>
      <w:r w:rsidR="00CA739D" w:rsidRPr="007C41F2">
        <w:rPr>
          <w:lang w:val="fr-FR"/>
        </w:rPr>
        <w:t>’</w:t>
      </w:r>
      <w:r w:rsidRPr="007C41F2">
        <w:rPr>
          <w:lang w:val="fr-FR"/>
        </w:rPr>
        <w:t xml:space="preserve">experts techniques sur les orientations concernant les rejets de mercure, établi </w:t>
      </w:r>
      <w:r w:rsidR="00F7055D" w:rsidRPr="007C41F2">
        <w:rPr>
          <w:lang w:val="fr-FR"/>
        </w:rPr>
        <w:t xml:space="preserve">comme suite </w:t>
      </w:r>
      <w:r w:rsidRPr="007C41F2">
        <w:rPr>
          <w:lang w:val="fr-FR"/>
        </w:rPr>
        <w:t>à la décision MC-2/3,</w:t>
      </w:r>
    </w:p>
    <w:p w14:paraId="0A0FB4D6" w14:textId="2D6E2BA0" w:rsidR="00A4392E" w:rsidRPr="007C41F2" w:rsidRDefault="00F7055D" w:rsidP="00241EF8">
      <w:pPr>
        <w:pStyle w:val="Normalnumber"/>
        <w:numPr>
          <w:ilvl w:val="0"/>
          <w:numId w:val="0"/>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lang w:val="fr-FR"/>
        </w:rPr>
      </w:pPr>
      <w:r w:rsidRPr="007C41F2">
        <w:rPr>
          <w:i/>
          <w:iCs/>
          <w:lang w:val="fr-FR"/>
        </w:rPr>
        <w:t xml:space="preserve">Sachant </w:t>
      </w:r>
      <w:r w:rsidRPr="007C41F2">
        <w:rPr>
          <w:iCs/>
          <w:lang w:val="fr-FR"/>
        </w:rPr>
        <w:t xml:space="preserve">qu’elle a, dans sa </w:t>
      </w:r>
      <w:r w:rsidR="00220099" w:rsidRPr="007C41F2">
        <w:rPr>
          <w:lang w:val="fr-FR"/>
        </w:rPr>
        <w:t>décision MC-2/3</w:t>
      </w:r>
      <w:r w:rsidRPr="007C41F2">
        <w:rPr>
          <w:lang w:val="fr-FR"/>
        </w:rPr>
        <w:t xml:space="preserve">, prié le groupe </w:t>
      </w:r>
      <w:r w:rsidR="00220099" w:rsidRPr="007C41F2">
        <w:rPr>
          <w:lang w:val="fr-FR"/>
        </w:rPr>
        <w:t>d</w:t>
      </w:r>
      <w:r w:rsidR="00CA739D" w:rsidRPr="007C41F2">
        <w:rPr>
          <w:lang w:val="fr-FR"/>
        </w:rPr>
        <w:t>’</w:t>
      </w:r>
      <w:r w:rsidR="00220099" w:rsidRPr="007C41F2">
        <w:rPr>
          <w:lang w:val="fr-FR"/>
        </w:rPr>
        <w:t>élaborer un projet d</w:t>
      </w:r>
      <w:r w:rsidR="00CA739D" w:rsidRPr="007C41F2">
        <w:rPr>
          <w:lang w:val="fr-FR"/>
        </w:rPr>
        <w:t>’</w:t>
      </w:r>
      <w:r w:rsidR="00220099" w:rsidRPr="007C41F2">
        <w:rPr>
          <w:lang w:val="fr-FR"/>
        </w:rPr>
        <w:t>orientations sur les méthodes normalisées et connues d</w:t>
      </w:r>
      <w:r w:rsidR="00CA739D" w:rsidRPr="007C41F2">
        <w:rPr>
          <w:lang w:val="fr-FR"/>
        </w:rPr>
        <w:t>’</w:t>
      </w:r>
      <w:r w:rsidR="00220099" w:rsidRPr="007C41F2">
        <w:rPr>
          <w:lang w:val="fr-FR"/>
        </w:rPr>
        <w:t>établissement d</w:t>
      </w:r>
      <w:r w:rsidR="00CA739D" w:rsidRPr="007C41F2">
        <w:rPr>
          <w:lang w:val="fr-FR"/>
        </w:rPr>
        <w:t>’</w:t>
      </w:r>
      <w:r w:rsidR="00220099" w:rsidRPr="007C41F2">
        <w:rPr>
          <w:lang w:val="fr-FR"/>
        </w:rPr>
        <w:t xml:space="preserve">inventaires applicables aux sources ponctuelles pertinentes identifiées, pour </w:t>
      </w:r>
      <w:r w:rsidRPr="007C41F2">
        <w:rPr>
          <w:lang w:val="fr-FR"/>
        </w:rPr>
        <w:t xml:space="preserve">qu’elle l’adopte </w:t>
      </w:r>
      <w:r w:rsidR="00220099" w:rsidRPr="007C41F2">
        <w:rPr>
          <w:lang w:val="fr-FR"/>
        </w:rPr>
        <w:t>éventuelle</w:t>
      </w:r>
      <w:r w:rsidRPr="007C41F2">
        <w:rPr>
          <w:lang w:val="fr-FR"/>
        </w:rPr>
        <w:t>ment</w:t>
      </w:r>
      <w:r w:rsidR="00220099" w:rsidRPr="007C41F2">
        <w:rPr>
          <w:lang w:val="fr-FR"/>
        </w:rPr>
        <w:t xml:space="preserve"> à sa quatrième réunion,</w:t>
      </w:r>
    </w:p>
    <w:p w14:paraId="13149D6E" w14:textId="05AFA3CE" w:rsidR="00014428" w:rsidRPr="007C41F2" w:rsidRDefault="00F7055D" w:rsidP="00241EF8">
      <w:pPr>
        <w:pStyle w:val="Normalnumber"/>
        <w:numPr>
          <w:ilvl w:val="0"/>
          <w:numId w:val="0"/>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lang w:val="fr-FR"/>
        </w:rPr>
      </w:pPr>
      <w:r w:rsidRPr="007C41F2">
        <w:rPr>
          <w:i/>
          <w:iCs/>
          <w:lang w:val="fr-FR"/>
        </w:rPr>
        <w:t xml:space="preserve">Sachant </w:t>
      </w:r>
      <w:r w:rsidR="006D5A0A" w:rsidRPr="007C41F2">
        <w:rPr>
          <w:i/>
          <w:iCs/>
          <w:lang w:val="fr-FR"/>
        </w:rPr>
        <w:t>également</w:t>
      </w:r>
      <w:r w:rsidR="006D5A0A" w:rsidRPr="007C41F2">
        <w:rPr>
          <w:lang w:val="fr-FR"/>
        </w:rPr>
        <w:t xml:space="preserve"> qu</w:t>
      </w:r>
      <w:r w:rsidRPr="007C41F2">
        <w:rPr>
          <w:lang w:val="fr-FR"/>
        </w:rPr>
        <w:t xml:space="preserve">’elle </w:t>
      </w:r>
      <w:r w:rsidR="006D5A0A" w:rsidRPr="007C41F2">
        <w:rPr>
          <w:lang w:val="fr-FR"/>
        </w:rPr>
        <w:t>a indiqué</w:t>
      </w:r>
      <w:r w:rsidRPr="007C41F2">
        <w:rPr>
          <w:lang w:val="fr-FR"/>
        </w:rPr>
        <w:t>,</w:t>
      </w:r>
      <w:r w:rsidR="006D5A0A" w:rsidRPr="007C41F2">
        <w:rPr>
          <w:lang w:val="fr-FR"/>
        </w:rPr>
        <w:t xml:space="preserve"> dans </w:t>
      </w:r>
      <w:r w:rsidRPr="007C41F2">
        <w:rPr>
          <w:lang w:val="fr-FR"/>
        </w:rPr>
        <w:t>s</w:t>
      </w:r>
      <w:r w:rsidR="006D5A0A" w:rsidRPr="007C41F2">
        <w:rPr>
          <w:lang w:val="fr-FR"/>
        </w:rPr>
        <w:t>a décision MC-2/3</w:t>
      </w:r>
      <w:r w:rsidRPr="007C41F2">
        <w:rPr>
          <w:lang w:val="fr-FR"/>
        </w:rPr>
        <w:t>,</w:t>
      </w:r>
      <w:r w:rsidR="006D5A0A" w:rsidRPr="007C41F2">
        <w:rPr>
          <w:lang w:val="fr-FR"/>
        </w:rPr>
        <w:t xml:space="preserve"> qu</w:t>
      </w:r>
      <w:r w:rsidR="00CA739D" w:rsidRPr="007C41F2">
        <w:rPr>
          <w:lang w:val="fr-FR"/>
        </w:rPr>
        <w:t>’</w:t>
      </w:r>
      <w:r w:rsidR="006D5A0A" w:rsidRPr="007C41F2">
        <w:rPr>
          <w:lang w:val="fr-FR"/>
        </w:rPr>
        <w:t>elle réexaminerait, à sa troisième réunion, la composition du groupe d</w:t>
      </w:r>
      <w:r w:rsidR="00CA739D" w:rsidRPr="007C41F2">
        <w:rPr>
          <w:lang w:val="fr-FR"/>
        </w:rPr>
        <w:t>’</w:t>
      </w:r>
      <w:r w:rsidR="006D5A0A" w:rsidRPr="007C41F2">
        <w:rPr>
          <w:lang w:val="fr-FR"/>
        </w:rPr>
        <w:t>experts et la nécessité d</w:t>
      </w:r>
      <w:r w:rsidR="00CA739D" w:rsidRPr="007C41F2">
        <w:rPr>
          <w:lang w:val="fr-FR"/>
        </w:rPr>
        <w:t>’</w:t>
      </w:r>
      <w:r w:rsidR="006D5A0A" w:rsidRPr="007C41F2">
        <w:rPr>
          <w:lang w:val="fr-FR"/>
        </w:rPr>
        <w:t>une réunion en présentiel de ses membres</w:t>
      </w:r>
      <w:r w:rsidRPr="007C41F2">
        <w:rPr>
          <w:lang w:val="fr-FR"/>
        </w:rPr>
        <w:t>,</w:t>
      </w:r>
    </w:p>
    <w:p w14:paraId="2B738147" w14:textId="7D616304" w:rsidR="00CB292C" w:rsidRPr="007C41F2" w:rsidRDefault="00CB292C" w:rsidP="00241EF8">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624"/>
        <w:rPr>
          <w:bCs/>
          <w:lang w:val="fr-FR"/>
        </w:rPr>
      </w:pPr>
      <w:r w:rsidRPr="007C41F2">
        <w:rPr>
          <w:i/>
          <w:iCs/>
          <w:lang w:val="fr-FR"/>
        </w:rPr>
        <w:t xml:space="preserve">Invite </w:t>
      </w:r>
      <w:r w:rsidRPr="007C41F2">
        <w:rPr>
          <w:lang w:val="fr-FR"/>
        </w:rPr>
        <w:t xml:space="preserve">les </w:t>
      </w:r>
      <w:r w:rsidR="00F7055D" w:rsidRPr="007C41F2">
        <w:rPr>
          <w:lang w:val="fr-FR"/>
        </w:rPr>
        <w:t>P</w:t>
      </w:r>
      <w:r w:rsidRPr="007C41F2">
        <w:rPr>
          <w:lang w:val="fr-FR"/>
        </w:rPr>
        <w:t xml:space="preserve">arties à confirmer les membres actuels du groupe, </w:t>
      </w:r>
      <w:r w:rsidR="00F7055D" w:rsidRPr="007C41F2">
        <w:rPr>
          <w:lang w:val="fr-FR"/>
        </w:rPr>
        <w:t xml:space="preserve">à </w:t>
      </w:r>
      <w:r w:rsidRPr="007C41F2">
        <w:rPr>
          <w:lang w:val="fr-FR"/>
        </w:rPr>
        <w:t xml:space="preserve">désigner de nouveaux membres ou </w:t>
      </w:r>
      <w:r w:rsidR="00F7055D" w:rsidRPr="007C41F2">
        <w:rPr>
          <w:lang w:val="fr-FR"/>
        </w:rPr>
        <w:t xml:space="preserve">à </w:t>
      </w:r>
      <w:r w:rsidRPr="007C41F2">
        <w:rPr>
          <w:lang w:val="fr-FR"/>
        </w:rPr>
        <w:t>remplacer les membres, selon qu</w:t>
      </w:r>
      <w:r w:rsidR="00CA739D" w:rsidRPr="007C41F2">
        <w:rPr>
          <w:lang w:val="fr-FR"/>
        </w:rPr>
        <w:t>’</w:t>
      </w:r>
      <w:r w:rsidRPr="007C41F2">
        <w:rPr>
          <w:lang w:val="fr-FR"/>
        </w:rPr>
        <w:t>il conviendra, par l</w:t>
      </w:r>
      <w:r w:rsidR="00CA739D" w:rsidRPr="007C41F2">
        <w:rPr>
          <w:lang w:val="fr-FR"/>
        </w:rPr>
        <w:t>’</w:t>
      </w:r>
      <w:r w:rsidRPr="007C41F2">
        <w:rPr>
          <w:lang w:val="fr-FR"/>
        </w:rPr>
        <w:t xml:space="preserve">intermédiaire </w:t>
      </w:r>
      <w:r w:rsidR="00F7055D" w:rsidRPr="007C41F2">
        <w:rPr>
          <w:lang w:val="fr-FR"/>
        </w:rPr>
        <w:t xml:space="preserve">leurs </w:t>
      </w:r>
      <w:r w:rsidRPr="007C41F2">
        <w:rPr>
          <w:lang w:val="fr-FR"/>
        </w:rPr>
        <w:t xml:space="preserve">représentants </w:t>
      </w:r>
      <w:r w:rsidR="00F7055D" w:rsidRPr="007C41F2">
        <w:rPr>
          <w:lang w:val="fr-FR"/>
        </w:rPr>
        <w:t>a</w:t>
      </w:r>
      <w:r w:rsidRPr="007C41F2">
        <w:rPr>
          <w:lang w:val="fr-FR"/>
        </w:rPr>
        <w:t>u Bureau ;</w:t>
      </w:r>
    </w:p>
    <w:p w14:paraId="0933553E" w14:textId="359A547E" w:rsidR="00CB292C" w:rsidRPr="007C41F2" w:rsidRDefault="00CB292C" w:rsidP="00241EF8">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624"/>
        <w:rPr>
          <w:bCs/>
          <w:lang w:val="fr-FR"/>
        </w:rPr>
      </w:pPr>
      <w:r w:rsidRPr="007C41F2">
        <w:rPr>
          <w:i/>
          <w:iCs/>
          <w:lang w:val="fr-FR"/>
        </w:rPr>
        <w:t xml:space="preserve">Prie </w:t>
      </w:r>
      <w:r w:rsidRPr="007C41F2">
        <w:rPr>
          <w:lang w:val="fr-FR"/>
        </w:rPr>
        <w:t xml:space="preserve">le Groupe de continuer à travailler par voie électronique, </w:t>
      </w:r>
      <w:r w:rsidR="00F7055D" w:rsidRPr="007C41F2">
        <w:rPr>
          <w:lang w:val="fr-FR"/>
        </w:rPr>
        <w:t xml:space="preserve">conformément à </w:t>
      </w:r>
      <w:r w:rsidRPr="007C41F2">
        <w:rPr>
          <w:lang w:val="fr-FR"/>
        </w:rPr>
        <w:t>la feuille de route figurant dans l</w:t>
      </w:r>
      <w:r w:rsidR="00CA739D" w:rsidRPr="007C41F2">
        <w:rPr>
          <w:lang w:val="fr-FR"/>
        </w:rPr>
        <w:t>’</w:t>
      </w:r>
      <w:r w:rsidRPr="007C41F2">
        <w:rPr>
          <w:lang w:val="fr-FR"/>
        </w:rPr>
        <w:t xml:space="preserve">annexe II </w:t>
      </w:r>
      <w:r w:rsidR="00F7055D" w:rsidRPr="007C41F2">
        <w:rPr>
          <w:lang w:val="fr-FR"/>
        </w:rPr>
        <w:t>d</w:t>
      </w:r>
      <w:r w:rsidRPr="007C41F2">
        <w:rPr>
          <w:lang w:val="fr-FR"/>
        </w:rPr>
        <w:t>u document UNEP/MC/COP.3/6, et de rédiger un rapport comprenant un projet d</w:t>
      </w:r>
      <w:r w:rsidR="00CA739D" w:rsidRPr="007C41F2">
        <w:rPr>
          <w:lang w:val="fr-FR"/>
        </w:rPr>
        <w:t>’</w:t>
      </w:r>
      <w:r w:rsidRPr="007C41F2">
        <w:rPr>
          <w:lang w:val="fr-FR"/>
        </w:rPr>
        <w:t>orientations sur la méthode à suivre pour dresser des inventaires des rejets, les catégories proposées de sources ponctuelles et une feuille de route pour l</w:t>
      </w:r>
      <w:r w:rsidR="00CA739D" w:rsidRPr="007C41F2">
        <w:rPr>
          <w:lang w:val="fr-FR"/>
        </w:rPr>
        <w:t>’</w:t>
      </w:r>
      <w:r w:rsidRPr="007C41F2">
        <w:rPr>
          <w:lang w:val="fr-FR"/>
        </w:rPr>
        <w:t>élaboration des orientations sur les meilleures techniques disponibles et les meilleu</w:t>
      </w:r>
      <w:r w:rsidR="00F7055D" w:rsidRPr="007C41F2">
        <w:rPr>
          <w:lang w:val="fr-FR"/>
        </w:rPr>
        <w:t>res pratiques environnementales ;</w:t>
      </w:r>
    </w:p>
    <w:p w14:paraId="4E0030A1" w14:textId="0AC6B39A" w:rsidR="00DC153D" w:rsidRPr="007C41F2" w:rsidRDefault="00CB292C" w:rsidP="00241EF8">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624"/>
        <w:rPr>
          <w:bCs/>
          <w:lang w:val="fr-FR"/>
        </w:rPr>
      </w:pPr>
      <w:r w:rsidRPr="007C41F2">
        <w:rPr>
          <w:i/>
          <w:iCs/>
          <w:lang w:val="fr-FR"/>
        </w:rPr>
        <w:t xml:space="preserve">Prie </w:t>
      </w:r>
      <w:r w:rsidRPr="007C41F2">
        <w:rPr>
          <w:lang w:val="fr-FR"/>
        </w:rPr>
        <w:t>le secrétariat de continuer à appuyer les travaux du groupe.</w:t>
      </w:r>
    </w:p>
    <w:p w14:paraId="6A44C016" w14:textId="77777777" w:rsidR="000C65B1" w:rsidRPr="007C41F2" w:rsidRDefault="000C65B1" w:rsidP="00241EF8">
      <w:pPr>
        <w:pStyle w:val="Normal-pool"/>
        <w:spacing w:after="120"/>
        <w:rPr>
          <w:lang w:val="fr-FR"/>
        </w:rPr>
      </w:pPr>
      <w:r w:rsidRPr="007C41F2">
        <w:rPr>
          <w:lang w:val="fr-FR"/>
        </w:rPr>
        <w:br w:type="page"/>
      </w:r>
    </w:p>
    <w:p w14:paraId="7B780EE1" w14:textId="56999E95" w:rsidR="009E40F6" w:rsidRPr="007C41F2" w:rsidRDefault="000C65B1" w:rsidP="00241EF8">
      <w:pPr>
        <w:pStyle w:val="ZZAnxheader"/>
        <w:spacing w:after="120"/>
        <w:rPr>
          <w:lang w:val="fr-FR"/>
        </w:rPr>
      </w:pPr>
      <w:r w:rsidRPr="007C41F2">
        <w:rPr>
          <w:lang w:val="fr-FR"/>
        </w:rPr>
        <w:t>Annexe II</w:t>
      </w:r>
    </w:p>
    <w:p w14:paraId="311B1DEF" w14:textId="031B7365" w:rsidR="003053E8" w:rsidRPr="007C41F2" w:rsidRDefault="003053E8" w:rsidP="00241EF8">
      <w:pPr>
        <w:pStyle w:val="ZZAnxtitle"/>
        <w:spacing w:before="0"/>
        <w:rPr>
          <w:lang w:val="fr-FR"/>
        </w:rPr>
      </w:pPr>
      <w:r w:rsidRPr="007C41F2">
        <w:rPr>
          <w:lang w:val="fr-FR"/>
        </w:rPr>
        <w:t>Rapport sur l</w:t>
      </w:r>
      <w:r w:rsidR="00CA739D" w:rsidRPr="007C41F2">
        <w:rPr>
          <w:lang w:val="fr-FR"/>
        </w:rPr>
        <w:t>’</w:t>
      </w:r>
      <w:r w:rsidRPr="007C41F2">
        <w:rPr>
          <w:lang w:val="fr-FR"/>
        </w:rPr>
        <w:t>élaboration d</w:t>
      </w:r>
      <w:r w:rsidR="00CA739D" w:rsidRPr="007C41F2">
        <w:rPr>
          <w:lang w:val="fr-FR"/>
        </w:rPr>
        <w:t>’</w:t>
      </w:r>
      <w:r w:rsidRPr="007C41F2">
        <w:rPr>
          <w:lang w:val="fr-FR"/>
        </w:rPr>
        <w:t>orientations concernant les méthodes à</w:t>
      </w:r>
      <w:r w:rsidR="00077B04" w:rsidRPr="007C41F2">
        <w:rPr>
          <w:lang w:val="fr-FR"/>
        </w:rPr>
        <w:t> </w:t>
      </w:r>
      <w:r w:rsidRPr="007C41F2">
        <w:rPr>
          <w:lang w:val="fr-FR"/>
        </w:rPr>
        <w:t>suivre pour établir les inventaires des rejets de mercure dans le sol et l</w:t>
      </w:r>
      <w:r w:rsidR="00CA739D" w:rsidRPr="007C41F2">
        <w:rPr>
          <w:lang w:val="fr-FR"/>
        </w:rPr>
        <w:t>’</w:t>
      </w:r>
      <w:r w:rsidRPr="007C41F2">
        <w:rPr>
          <w:lang w:val="fr-FR"/>
        </w:rPr>
        <w:t>eau conformément à l</w:t>
      </w:r>
      <w:r w:rsidR="00CA739D" w:rsidRPr="007C41F2">
        <w:rPr>
          <w:lang w:val="fr-FR"/>
        </w:rPr>
        <w:t>’</w:t>
      </w:r>
      <w:r w:rsidRPr="007C41F2">
        <w:rPr>
          <w:lang w:val="fr-FR"/>
        </w:rPr>
        <w:t>article 9 de la Convention</w:t>
      </w:r>
    </w:p>
    <w:p w14:paraId="78582054" w14:textId="22A8E48E" w:rsidR="003053E8" w:rsidRPr="007C41F2" w:rsidRDefault="00680452" w:rsidP="00241EF8">
      <w:pPr>
        <w:pStyle w:val="CH1"/>
        <w:numPr>
          <w:ilvl w:val="0"/>
          <w:numId w:val="18"/>
        </w:numPr>
        <w:tabs>
          <w:tab w:val="clear" w:pos="851"/>
        </w:tabs>
        <w:spacing w:before="0"/>
        <w:ind w:hanging="720"/>
        <w:rPr>
          <w:lang w:val="fr-FR"/>
        </w:rPr>
      </w:pPr>
      <w:r w:rsidRPr="007C41F2">
        <w:rPr>
          <w:bCs/>
          <w:lang w:val="fr-FR"/>
        </w:rPr>
        <w:t>Introduction</w:t>
      </w:r>
    </w:p>
    <w:p w14:paraId="67DD33CB" w14:textId="56434DB4" w:rsidR="003053E8" w:rsidRPr="007C41F2" w:rsidRDefault="00564007"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D</w:t>
      </w:r>
      <w:r w:rsidR="003053E8" w:rsidRPr="007C41F2">
        <w:rPr>
          <w:sz w:val="20"/>
          <w:szCs w:val="20"/>
          <w:lang w:val="fr-FR"/>
        </w:rPr>
        <w:t>ans sa décision MC-2/3 sur les rejets dans le sol et l</w:t>
      </w:r>
      <w:r w:rsidR="00CA739D" w:rsidRPr="007C41F2">
        <w:rPr>
          <w:sz w:val="20"/>
          <w:szCs w:val="20"/>
          <w:lang w:val="fr-FR"/>
        </w:rPr>
        <w:t>’</w:t>
      </w:r>
      <w:r w:rsidR="003053E8" w:rsidRPr="007C41F2">
        <w:rPr>
          <w:sz w:val="20"/>
          <w:szCs w:val="20"/>
          <w:lang w:val="fr-FR"/>
        </w:rPr>
        <w:t xml:space="preserve">eau, </w:t>
      </w:r>
      <w:r w:rsidRPr="007C41F2">
        <w:rPr>
          <w:sz w:val="20"/>
          <w:szCs w:val="20"/>
          <w:lang w:val="fr-FR"/>
        </w:rPr>
        <w:t xml:space="preserve">la Conférence des Parties à la Convention de Minamata, </w:t>
      </w:r>
      <w:r w:rsidR="003053E8" w:rsidRPr="007C41F2">
        <w:rPr>
          <w:sz w:val="20"/>
          <w:szCs w:val="20"/>
          <w:lang w:val="fr-FR"/>
        </w:rPr>
        <w:t>a créé un groupe d</w:t>
      </w:r>
      <w:r w:rsidR="00CA739D" w:rsidRPr="007C41F2">
        <w:rPr>
          <w:sz w:val="20"/>
          <w:szCs w:val="20"/>
          <w:lang w:val="fr-FR"/>
        </w:rPr>
        <w:t>’</w:t>
      </w:r>
      <w:r w:rsidR="003053E8" w:rsidRPr="007C41F2">
        <w:rPr>
          <w:sz w:val="20"/>
          <w:szCs w:val="20"/>
          <w:lang w:val="fr-FR"/>
        </w:rPr>
        <w:t xml:space="preserve">experts techniques </w:t>
      </w:r>
      <w:r w:rsidRPr="007C41F2">
        <w:rPr>
          <w:sz w:val="20"/>
          <w:szCs w:val="20"/>
          <w:lang w:val="fr-FR"/>
        </w:rPr>
        <w:t xml:space="preserve">chargé </w:t>
      </w:r>
      <w:r w:rsidR="003053E8" w:rsidRPr="007C41F2">
        <w:rPr>
          <w:sz w:val="20"/>
          <w:szCs w:val="20"/>
          <w:lang w:val="fr-FR"/>
        </w:rPr>
        <w:t>d</w:t>
      </w:r>
      <w:r w:rsidR="00CA739D" w:rsidRPr="007C41F2">
        <w:rPr>
          <w:sz w:val="20"/>
          <w:szCs w:val="20"/>
          <w:lang w:val="fr-FR"/>
        </w:rPr>
        <w:t>’</w:t>
      </w:r>
      <w:r w:rsidR="003053E8" w:rsidRPr="007C41F2">
        <w:rPr>
          <w:sz w:val="20"/>
          <w:szCs w:val="20"/>
          <w:lang w:val="fr-FR"/>
        </w:rPr>
        <w:t>élaborer un projet d</w:t>
      </w:r>
      <w:r w:rsidR="00CA739D" w:rsidRPr="007C41F2">
        <w:rPr>
          <w:sz w:val="20"/>
          <w:szCs w:val="20"/>
          <w:lang w:val="fr-FR"/>
        </w:rPr>
        <w:t>’</w:t>
      </w:r>
      <w:r w:rsidR="003053E8" w:rsidRPr="007C41F2">
        <w:rPr>
          <w:sz w:val="20"/>
          <w:szCs w:val="20"/>
          <w:lang w:val="fr-FR"/>
        </w:rPr>
        <w:t>orientations sur les méthodes d</w:t>
      </w:r>
      <w:r w:rsidR="00CA739D" w:rsidRPr="007C41F2">
        <w:rPr>
          <w:sz w:val="20"/>
          <w:szCs w:val="20"/>
          <w:lang w:val="fr-FR"/>
        </w:rPr>
        <w:t>’</w:t>
      </w:r>
      <w:r w:rsidR="003053E8" w:rsidRPr="007C41F2">
        <w:rPr>
          <w:sz w:val="20"/>
          <w:szCs w:val="20"/>
          <w:lang w:val="fr-FR"/>
        </w:rPr>
        <w:t>établissement d</w:t>
      </w:r>
      <w:r w:rsidR="00CA739D" w:rsidRPr="007C41F2">
        <w:rPr>
          <w:sz w:val="20"/>
          <w:szCs w:val="20"/>
          <w:lang w:val="fr-FR"/>
        </w:rPr>
        <w:t>’</w:t>
      </w:r>
      <w:r w:rsidR="003053E8" w:rsidRPr="007C41F2">
        <w:rPr>
          <w:sz w:val="20"/>
          <w:szCs w:val="20"/>
          <w:lang w:val="fr-FR"/>
        </w:rPr>
        <w:t>inventaires pour la définition d</w:t>
      </w:r>
      <w:r w:rsidR="00CA739D" w:rsidRPr="007C41F2">
        <w:rPr>
          <w:sz w:val="20"/>
          <w:szCs w:val="20"/>
          <w:lang w:val="fr-FR"/>
        </w:rPr>
        <w:t>’</w:t>
      </w:r>
      <w:r w:rsidR="003053E8" w:rsidRPr="007C41F2">
        <w:rPr>
          <w:sz w:val="20"/>
          <w:szCs w:val="20"/>
          <w:lang w:val="fr-FR"/>
        </w:rPr>
        <w:t>une liste des catégories de sources ponctuelles potentiellement pertinentes, et a prié le groupe d</w:t>
      </w:r>
      <w:r w:rsidR="00CA739D" w:rsidRPr="007C41F2">
        <w:rPr>
          <w:sz w:val="20"/>
          <w:szCs w:val="20"/>
          <w:lang w:val="fr-FR"/>
        </w:rPr>
        <w:t>’</w:t>
      </w:r>
      <w:r w:rsidR="003053E8" w:rsidRPr="007C41F2">
        <w:rPr>
          <w:sz w:val="20"/>
          <w:szCs w:val="20"/>
          <w:lang w:val="fr-FR"/>
        </w:rPr>
        <w:t xml:space="preserve">établir un rapport comprenant : </w:t>
      </w:r>
    </w:p>
    <w:p w14:paraId="2C18E790" w14:textId="2F9520D9" w:rsidR="003053E8" w:rsidRPr="007C41F2" w:rsidRDefault="00D438CF" w:rsidP="00241EF8">
      <w:pPr>
        <w:pStyle w:val="ListParagraph"/>
        <w:numPr>
          <w:ilvl w:val="0"/>
          <w:numId w:val="17"/>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lang w:val="fr-FR"/>
        </w:rPr>
      </w:pPr>
      <w:r w:rsidRPr="007C41F2">
        <w:rPr>
          <w:lang w:val="fr-FR"/>
        </w:rPr>
        <w:t>Une liste de toutes les catégories importantes de sources anthropiques ponctuelles de rejets non visées par les dispositions de la Convention, à l</w:t>
      </w:r>
      <w:r w:rsidR="00CA739D" w:rsidRPr="007C41F2">
        <w:rPr>
          <w:lang w:val="fr-FR"/>
        </w:rPr>
        <w:t>’</w:t>
      </w:r>
      <w:r w:rsidRPr="007C41F2">
        <w:rPr>
          <w:lang w:val="fr-FR"/>
        </w:rPr>
        <w:t>exception de l</w:t>
      </w:r>
      <w:r w:rsidR="00CA739D" w:rsidRPr="007C41F2">
        <w:rPr>
          <w:lang w:val="fr-FR"/>
        </w:rPr>
        <w:t>’</w:t>
      </w:r>
      <w:r w:rsidRPr="007C41F2">
        <w:rPr>
          <w:lang w:val="fr-FR"/>
        </w:rPr>
        <w:t xml:space="preserve">article 9 ; </w:t>
      </w:r>
    </w:p>
    <w:p w14:paraId="5278399B" w14:textId="7A4ACC47" w:rsidR="003053E8" w:rsidRPr="007C41F2" w:rsidRDefault="00D438CF" w:rsidP="00241EF8">
      <w:pPr>
        <w:pStyle w:val="ListParagraph"/>
        <w:numPr>
          <w:ilvl w:val="0"/>
          <w:numId w:val="17"/>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lang w:val="fr-FR"/>
        </w:rPr>
      </w:pPr>
      <w:r w:rsidRPr="007C41F2">
        <w:rPr>
          <w:lang w:val="fr-FR"/>
        </w:rPr>
        <w:t>Une proposition de feuille de route et de structure en vue de l</w:t>
      </w:r>
      <w:r w:rsidR="00CA739D" w:rsidRPr="007C41F2">
        <w:rPr>
          <w:lang w:val="fr-FR"/>
        </w:rPr>
        <w:t>’</w:t>
      </w:r>
      <w:r w:rsidRPr="007C41F2">
        <w:rPr>
          <w:lang w:val="fr-FR"/>
        </w:rPr>
        <w:t>élaboration d</w:t>
      </w:r>
      <w:r w:rsidR="00CA739D" w:rsidRPr="007C41F2">
        <w:rPr>
          <w:lang w:val="fr-FR"/>
        </w:rPr>
        <w:t>’</w:t>
      </w:r>
      <w:r w:rsidRPr="007C41F2">
        <w:rPr>
          <w:lang w:val="fr-FR"/>
        </w:rPr>
        <w:t>un projet d</w:t>
      </w:r>
      <w:r w:rsidR="00CA739D" w:rsidRPr="007C41F2">
        <w:rPr>
          <w:lang w:val="fr-FR"/>
        </w:rPr>
        <w:t>’</w:t>
      </w:r>
      <w:r w:rsidRPr="007C41F2">
        <w:rPr>
          <w:lang w:val="fr-FR"/>
        </w:rPr>
        <w:t>orientations sur les méthodes à suivre pour l</w:t>
      </w:r>
      <w:r w:rsidR="00CA739D" w:rsidRPr="007C41F2">
        <w:rPr>
          <w:lang w:val="fr-FR"/>
        </w:rPr>
        <w:t>’</w:t>
      </w:r>
      <w:r w:rsidRPr="007C41F2">
        <w:rPr>
          <w:lang w:val="fr-FR"/>
        </w:rPr>
        <w:t>établissement des inventaires utiles.</w:t>
      </w:r>
    </w:p>
    <w:p w14:paraId="6946D549" w14:textId="4D5BA21E" w:rsidR="003053E8" w:rsidRPr="007C41F2" w:rsidRDefault="008252A8"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Dans cette même décision, le secrétariat a été prié d</w:t>
      </w:r>
      <w:r w:rsidR="00CA739D" w:rsidRPr="007C41F2">
        <w:rPr>
          <w:sz w:val="20"/>
          <w:szCs w:val="20"/>
          <w:lang w:val="fr-FR"/>
        </w:rPr>
        <w:t>’</w:t>
      </w:r>
      <w:r w:rsidRPr="007C41F2">
        <w:rPr>
          <w:sz w:val="20"/>
          <w:szCs w:val="20"/>
          <w:lang w:val="fr-FR"/>
        </w:rPr>
        <w:t xml:space="preserve">inviter les Parties, les signataires et autres parties prenantes à identifier les catégories possibles de sources ponctuelles de rejets à inclure dans la liste visée au paragraphe 1 ci-dessus. Le </w:t>
      </w:r>
      <w:r w:rsidR="00770914" w:rsidRPr="007C41F2">
        <w:rPr>
          <w:sz w:val="20"/>
          <w:szCs w:val="20"/>
          <w:lang w:val="fr-FR"/>
        </w:rPr>
        <w:t>s</w:t>
      </w:r>
      <w:r w:rsidRPr="007C41F2">
        <w:rPr>
          <w:sz w:val="20"/>
          <w:szCs w:val="20"/>
          <w:lang w:val="fr-FR"/>
        </w:rPr>
        <w:t>ecrétariat a été prié de compiler en un rapport les informations susvisées et d</w:t>
      </w:r>
      <w:r w:rsidR="00CA739D" w:rsidRPr="007C41F2">
        <w:rPr>
          <w:sz w:val="20"/>
          <w:szCs w:val="20"/>
          <w:lang w:val="fr-FR"/>
        </w:rPr>
        <w:t>’</w:t>
      </w:r>
      <w:r w:rsidRPr="007C41F2">
        <w:rPr>
          <w:sz w:val="20"/>
          <w:szCs w:val="20"/>
          <w:lang w:val="fr-FR"/>
        </w:rPr>
        <w:t>y inclure les catégories de sources ponctuelles pertinentes identifiées, notamment, au moyen de l</w:t>
      </w:r>
      <w:r w:rsidR="00CA739D" w:rsidRPr="007C41F2">
        <w:rPr>
          <w:sz w:val="20"/>
          <w:szCs w:val="20"/>
          <w:lang w:val="fr-FR"/>
        </w:rPr>
        <w:t>’</w:t>
      </w:r>
      <w:r w:rsidRPr="007C41F2">
        <w:rPr>
          <w:sz w:val="20"/>
          <w:szCs w:val="20"/>
          <w:lang w:val="fr-FR"/>
        </w:rPr>
        <w:t>Outil</w:t>
      </w:r>
      <w:r w:rsidR="00770914" w:rsidRPr="007C41F2">
        <w:rPr>
          <w:sz w:val="20"/>
          <w:szCs w:val="20"/>
          <w:lang w:val="fr-FR"/>
        </w:rPr>
        <w:t xml:space="preserve"> d</w:t>
      </w:r>
      <w:r w:rsidR="00CA739D" w:rsidRPr="007C41F2">
        <w:rPr>
          <w:sz w:val="20"/>
          <w:szCs w:val="20"/>
          <w:lang w:val="fr-FR"/>
        </w:rPr>
        <w:t>’</w:t>
      </w:r>
      <w:r w:rsidRPr="007C41F2">
        <w:rPr>
          <w:sz w:val="20"/>
          <w:szCs w:val="20"/>
          <w:lang w:val="fr-FR"/>
        </w:rPr>
        <w:t xml:space="preserve">identification et </w:t>
      </w:r>
      <w:r w:rsidR="00770914" w:rsidRPr="007C41F2">
        <w:rPr>
          <w:sz w:val="20"/>
          <w:szCs w:val="20"/>
          <w:lang w:val="fr-FR"/>
        </w:rPr>
        <w:t xml:space="preserve">de </w:t>
      </w:r>
      <w:r w:rsidRPr="007C41F2">
        <w:rPr>
          <w:sz w:val="20"/>
          <w:szCs w:val="20"/>
          <w:lang w:val="fr-FR"/>
        </w:rPr>
        <w:t xml:space="preserve">quantification des rejets de mercure </w:t>
      </w:r>
      <w:r w:rsidR="00770914" w:rsidRPr="007C41F2">
        <w:rPr>
          <w:sz w:val="20"/>
          <w:szCs w:val="20"/>
          <w:lang w:val="fr-FR"/>
        </w:rPr>
        <w:t>(</w:t>
      </w:r>
      <w:r w:rsidR="00077B04" w:rsidRPr="007C41F2">
        <w:rPr>
          <w:sz w:val="20"/>
          <w:szCs w:val="20"/>
          <w:lang w:val="fr-FR"/>
        </w:rPr>
        <w:t>l’</w:t>
      </w:r>
      <w:r w:rsidR="00770914" w:rsidRPr="007C41F2">
        <w:rPr>
          <w:sz w:val="20"/>
          <w:szCs w:val="20"/>
          <w:lang w:val="fr-FR"/>
        </w:rPr>
        <w:t xml:space="preserve">« Outil »), </w:t>
      </w:r>
      <w:r w:rsidRPr="007C41F2">
        <w:rPr>
          <w:sz w:val="20"/>
          <w:szCs w:val="20"/>
          <w:lang w:val="fr-FR"/>
        </w:rPr>
        <w:t>mis au point par le Programme des Nations Unies pour l</w:t>
      </w:r>
      <w:r w:rsidR="00CA739D" w:rsidRPr="007C41F2">
        <w:rPr>
          <w:sz w:val="20"/>
          <w:szCs w:val="20"/>
          <w:lang w:val="fr-FR"/>
        </w:rPr>
        <w:t>’</w:t>
      </w:r>
      <w:r w:rsidRPr="007C41F2">
        <w:rPr>
          <w:sz w:val="20"/>
          <w:szCs w:val="20"/>
          <w:lang w:val="fr-FR"/>
        </w:rPr>
        <w:t>environnement, les évaluations initiales de la Convention de Minamata et l</w:t>
      </w:r>
      <w:r w:rsidR="00CA739D" w:rsidRPr="007C41F2">
        <w:rPr>
          <w:sz w:val="20"/>
          <w:szCs w:val="20"/>
          <w:lang w:val="fr-FR"/>
        </w:rPr>
        <w:t>’</w:t>
      </w:r>
      <w:r w:rsidRPr="007C41F2">
        <w:rPr>
          <w:sz w:val="20"/>
          <w:szCs w:val="20"/>
          <w:lang w:val="fr-FR"/>
        </w:rPr>
        <w:t>Évaluation mondiale du mercure 2018, et enfin de mettre ce rapport à la disposition du groupe.</w:t>
      </w:r>
    </w:p>
    <w:p w14:paraId="5AD28BFF" w14:textId="4A41B309" w:rsidR="003053E8" w:rsidRPr="007C41F2" w:rsidRDefault="009F42CF"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Les contributions ont été compilées et transmises au groupe d</w:t>
      </w:r>
      <w:r w:rsidR="00CA739D" w:rsidRPr="007C41F2">
        <w:rPr>
          <w:sz w:val="20"/>
          <w:szCs w:val="20"/>
          <w:lang w:val="fr-FR"/>
        </w:rPr>
        <w:t>’</w:t>
      </w:r>
      <w:r w:rsidRPr="007C41F2">
        <w:rPr>
          <w:sz w:val="20"/>
          <w:szCs w:val="20"/>
          <w:lang w:val="fr-FR"/>
        </w:rPr>
        <w:t>experts techniques</w:t>
      </w:r>
      <w:r w:rsidR="00770914" w:rsidRPr="007C41F2">
        <w:rPr>
          <w:sz w:val="20"/>
          <w:szCs w:val="20"/>
          <w:lang w:val="fr-FR"/>
        </w:rPr>
        <w:t xml:space="preserve">, lequel </w:t>
      </w:r>
      <w:r w:rsidRPr="007C41F2">
        <w:rPr>
          <w:sz w:val="20"/>
          <w:szCs w:val="20"/>
          <w:lang w:val="fr-FR"/>
        </w:rPr>
        <w:t>a examiné les contributions au cours de deux téléconférences organisées par le secrétariat en vue de l</w:t>
      </w:r>
      <w:r w:rsidR="00CA739D" w:rsidRPr="007C41F2">
        <w:rPr>
          <w:sz w:val="20"/>
          <w:szCs w:val="20"/>
          <w:lang w:val="fr-FR"/>
        </w:rPr>
        <w:t>’</w:t>
      </w:r>
      <w:r w:rsidRPr="007C41F2">
        <w:rPr>
          <w:sz w:val="20"/>
          <w:szCs w:val="20"/>
          <w:lang w:val="fr-FR"/>
        </w:rPr>
        <w:t xml:space="preserve">établissement du projet de rapport. Le rapport a été </w:t>
      </w:r>
      <w:r w:rsidR="00770914" w:rsidRPr="007C41F2">
        <w:rPr>
          <w:sz w:val="20"/>
          <w:szCs w:val="20"/>
          <w:lang w:val="fr-FR"/>
        </w:rPr>
        <w:t xml:space="preserve">publié </w:t>
      </w:r>
      <w:r w:rsidRPr="007C41F2">
        <w:rPr>
          <w:sz w:val="20"/>
          <w:szCs w:val="20"/>
          <w:lang w:val="fr-FR"/>
        </w:rPr>
        <w:t>sur le site Web de la Convention pour observations. Deux autres téléconférences ont suivi, au cours desquelles le groupe a passé en revue les observations reçues, et ses membres et observateurs ont fourni des commentaires écrits concernant un projet de rapport révisé établi par le secrétariat. Le présent rapport a été mis au point par le secrétariat sur la base des échanges électroniques du groupe.</w:t>
      </w:r>
    </w:p>
    <w:p w14:paraId="5A519A30" w14:textId="510B2B4B" w:rsidR="003053E8" w:rsidRPr="007C41F2" w:rsidRDefault="00680452" w:rsidP="00241EF8">
      <w:pPr>
        <w:pStyle w:val="CH1"/>
        <w:numPr>
          <w:ilvl w:val="0"/>
          <w:numId w:val="18"/>
        </w:numPr>
        <w:tabs>
          <w:tab w:val="clear" w:pos="851"/>
        </w:tabs>
        <w:spacing w:before="0"/>
        <w:ind w:hanging="720"/>
        <w:rPr>
          <w:b w:val="0"/>
          <w:lang w:val="fr-FR"/>
        </w:rPr>
      </w:pPr>
      <w:r w:rsidRPr="007C41F2">
        <w:rPr>
          <w:bCs/>
          <w:lang w:val="fr-FR"/>
        </w:rPr>
        <w:t>Définition des termes clefs</w:t>
      </w:r>
    </w:p>
    <w:p w14:paraId="07951A81" w14:textId="667B4404" w:rsidR="003053E8" w:rsidRPr="007C41F2" w:rsidRDefault="003053E8"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L</w:t>
      </w:r>
      <w:r w:rsidR="00CA739D" w:rsidRPr="007C41F2">
        <w:rPr>
          <w:sz w:val="20"/>
          <w:szCs w:val="20"/>
          <w:lang w:val="fr-FR"/>
        </w:rPr>
        <w:t>’alinéa</w:t>
      </w:r>
      <w:r w:rsidRPr="007C41F2">
        <w:rPr>
          <w:sz w:val="20"/>
          <w:szCs w:val="20"/>
          <w:lang w:val="fr-FR"/>
        </w:rPr>
        <w:t xml:space="preserve"> b) du paragraphe 2 de l</w:t>
      </w:r>
      <w:r w:rsidR="00CA739D" w:rsidRPr="007C41F2">
        <w:rPr>
          <w:sz w:val="20"/>
          <w:szCs w:val="20"/>
          <w:lang w:val="fr-FR"/>
        </w:rPr>
        <w:t>’</w:t>
      </w:r>
      <w:r w:rsidR="00770914" w:rsidRPr="007C41F2">
        <w:rPr>
          <w:sz w:val="20"/>
          <w:szCs w:val="20"/>
          <w:lang w:val="fr-FR"/>
        </w:rPr>
        <w:t>a</w:t>
      </w:r>
      <w:r w:rsidRPr="007C41F2">
        <w:rPr>
          <w:sz w:val="20"/>
          <w:szCs w:val="20"/>
          <w:lang w:val="fr-FR"/>
        </w:rPr>
        <w:t>rticle 9 de la Convention indique que l</w:t>
      </w:r>
      <w:r w:rsidR="00CA739D" w:rsidRPr="007C41F2">
        <w:rPr>
          <w:sz w:val="20"/>
          <w:szCs w:val="20"/>
          <w:lang w:val="fr-FR"/>
        </w:rPr>
        <w:t>’</w:t>
      </w:r>
      <w:r w:rsidRPr="007C41F2">
        <w:rPr>
          <w:sz w:val="20"/>
          <w:szCs w:val="20"/>
          <w:lang w:val="fr-FR"/>
        </w:rPr>
        <w:t xml:space="preserve">on entend par </w:t>
      </w:r>
      <w:r w:rsidR="00077B04" w:rsidRPr="007C41F2">
        <w:rPr>
          <w:sz w:val="20"/>
          <w:szCs w:val="20"/>
          <w:lang w:val="fr-FR"/>
        </w:rPr>
        <w:t>« source pertinente », « </w:t>
      </w:r>
      <w:r w:rsidRPr="007C41F2">
        <w:rPr>
          <w:sz w:val="20"/>
          <w:szCs w:val="20"/>
          <w:lang w:val="fr-FR"/>
        </w:rPr>
        <w:t>toute source anthropique ponctuelle notable de rejets identifiée par une Partie, qui n</w:t>
      </w:r>
      <w:r w:rsidR="00CA739D" w:rsidRPr="007C41F2">
        <w:rPr>
          <w:sz w:val="20"/>
          <w:szCs w:val="20"/>
          <w:lang w:val="fr-FR"/>
        </w:rPr>
        <w:t>’</w:t>
      </w:r>
      <w:r w:rsidRPr="007C41F2">
        <w:rPr>
          <w:sz w:val="20"/>
          <w:szCs w:val="20"/>
          <w:lang w:val="fr-FR"/>
        </w:rPr>
        <w:t>est pas traitée dans d</w:t>
      </w:r>
      <w:r w:rsidR="00CA739D" w:rsidRPr="007C41F2">
        <w:rPr>
          <w:sz w:val="20"/>
          <w:szCs w:val="20"/>
          <w:lang w:val="fr-FR"/>
        </w:rPr>
        <w:t>’</w:t>
      </w:r>
      <w:r w:rsidRPr="007C41F2">
        <w:rPr>
          <w:sz w:val="20"/>
          <w:szCs w:val="20"/>
          <w:lang w:val="fr-FR"/>
        </w:rPr>
        <w:t>autres dispositions de la présente Convention</w:t>
      </w:r>
      <w:r w:rsidR="00077B04" w:rsidRPr="007C41F2">
        <w:rPr>
          <w:sz w:val="20"/>
          <w:szCs w:val="20"/>
          <w:lang w:val="fr-FR"/>
        </w:rPr>
        <w:t> ».</w:t>
      </w:r>
      <w:r w:rsidRPr="007C41F2">
        <w:rPr>
          <w:sz w:val="20"/>
          <w:szCs w:val="20"/>
          <w:lang w:val="fr-FR"/>
        </w:rPr>
        <w:t xml:space="preserve"> Le </w:t>
      </w:r>
      <w:r w:rsidR="00770914" w:rsidRPr="007C41F2">
        <w:rPr>
          <w:sz w:val="20"/>
          <w:szCs w:val="20"/>
          <w:lang w:val="fr-FR"/>
        </w:rPr>
        <w:t>g</w:t>
      </w:r>
      <w:r w:rsidRPr="007C41F2">
        <w:rPr>
          <w:sz w:val="20"/>
          <w:szCs w:val="20"/>
          <w:lang w:val="fr-FR"/>
        </w:rPr>
        <w:t>roupe considère qu</w:t>
      </w:r>
      <w:r w:rsidR="00CA739D" w:rsidRPr="007C41F2">
        <w:rPr>
          <w:sz w:val="20"/>
          <w:szCs w:val="20"/>
          <w:lang w:val="fr-FR"/>
        </w:rPr>
        <w:t>’</w:t>
      </w:r>
      <w:r w:rsidRPr="007C41F2">
        <w:rPr>
          <w:sz w:val="20"/>
          <w:szCs w:val="20"/>
          <w:lang w:val="fr-FR"/>
        </w:rPr>
        <w:t xml:space="preserve">il faut </w:t>
      </w:r>
      <w:r w:rsidR="00770914" w:rsidRPr="007C41F2">
        <w:rPr>
          <w:sz w:val="20"/>
          <w:szCs w:val="20"/>
          <w:lang w:val="fr-FR"/>
        </w:rPr>
        <w:t>se mettre d’accord sur la définition d</w:t>
      </w:r>
      <w:r w:rsidRPr="007C41F2">
        <w:rPr>
          <w:sz w:val="20"/>
          <w:szCs w:val="20"/>
          <w:lang w:val="fr-FR"/>
        </w:rPr>
        <w:t xml:space="preserve">es termes clefs </w:t>
      </w:r>
      <w:r w:rsidR="00770914" w:rsidRPr="007C41F2">
        <w:rPr>
          <w:sz w:val="20"/>
          <w:szCs w:val="20"/>
          <w:lang w:val="fr-FR"/>
        </w:rPr>
        <w:t xml:space="preserve">que sont </w:t>
      </w:r>
      <w:r w:rsidR="00077B04" w:rsidRPr="007C41F2">
        <w:rPr>
          <w:sz w:val="20"/>
          <w:szCs w:val="20"/>
          <w:lang w:val="fr-FR"/>
        </w:rPr>
        <w:t xml:space="preserve">« source ponctuelle », « notable » </w:t>
      </w:r>
      <w:r w:rsidRPr="007C41F2">
        <w:rPr>
          <w:sz w:val="20"/>
          <w:szCs w:val="20"/>
          <w:lang w:val="fr-FR"/>
        </w:rPr>
        <w:t xml:space="preserve">et </w:t>
      </w:r>
      <w:r w:rsidR="00077B04" w:rsidRPr="007C41F2">
        <w:rPr>
          <w:sz w:val="20"/>
          <w:szCs w:val="20"/>
          <w:lang w:val="fr-FR"/>
        </w:rPr>
        <w:t>« t</w:t>
      </w:r>
      <w:r w:rsidRPr="007C41F2">
        <w:rPr>
          <w:sz w:val="20"/>
          <w:szCs w:val="20"/>
          <w:lang w:val="fr-FR"/>
        </w:rPr>
        <w:t>raité</w:t>
      </w:r>
      <w:r w:rsidR="00770914" w:rsidRPr="007C41F2">
        <w:rPr>
          <w:sz w:val="20"/>
          <w:szCs w:val="20"/>
          <w:lang w:val="fr-FR"/>
        </w:rPr>
        <w:t>e</w:t>
      </w:r>
      <w:r w:rsidR="00077B04" w:rsidRPr="007C41F2">
        <w:rPr>
          <w:sz w:val="20"/>
          <w:szCs w:val="20"/>
          <w:lang w:val="fr-FR"/>
        </w:rPr>
        <w:t> »</w:t>
      </w:r>
      <w:r w:rsidRPr="007C41F2">
        <w:rPr>
          <w:sz w:val="20"/>
          <w:szCs w:val="20"/>
          <w:lang w:val="fr-FR"/>
        </w:rPr>
        <w:t>.</w:t>
      </w:r>
    </w:p>
    <w:p w14:paraId="7E266C06" w14:textId="278BB702" w:rsidR="003053E8" w:rsidRPr="007C41F2" w:rsidRDefault="008C40F6" w:rsidP="00241EF8">
      <w:pPr>
        <w:pStyle w:val="CH2"/>
        <w:numPr>
          <w:ilvl w:val="0"/>
          <w:numId w:val="20"/>
        </w:numPr>
        <w:tabs>
          <w:tab w:val="clear" w:pos="851"/>
        </w:tabs>
        <w:spacing w:before="0"/>
        <w:ind w:hanging="727"/>
        <w:rPr>
          <w:lang w:val="fr-FR"/>
        </w:rPr>
      </w:pPr>
      <w:r w:rsidRPr="007C41F2">
        <w:rPr>
          <w:lang w:val="fr-FR"/>
        </w:rPr>
        <w:t>Source ponctuelle</w:t>
      </w:r>
    </w:p>
    <w:p w14:paraId="230B25FB" w14:textId="6A3154CD" w:rsidR="003053E8" w:rsidRPr="007C41F2" w:rsidRDefault="003053E8"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L</w:t>
      </w:r>
      <w:r w:rsidR="00CA739D" w:rsidRPr="007C41F2">
        <w:rPr>
          <w:sz w:val="20"/>
          <w:szCs w:val="20"/>
          <w:lang w:val="fr-FR"/>
        </w:rPr>
        <w:t>’</w:t>
      </w:r>
      <w:r w:rsidRPr="007C41F2">
        <w:rPr>
          <w:sz w:val="20"/>
          <w:szCs w:val="20"/>
          <w:lang w:val="fr-FR"/>
        </w:rPr>
        <w:t>article 9 de la Convention ne fournit aucune définition du terme « source ponctuelle ». L</w:t>
      </w:r>
      <w:r w:rsidR="00CA739D" w:rsidRPr="007C41F2">
        <w:rPr>
          <w:sz w:val="20"/>
          <w:szCs w:val="20"/>
          <w:lang w:val="fr-FR"/>
        </w:rPr>
        <w:t>’</w:t>
      </w:r>
      <w:r w:rsidRPr="007C41F2">
        <w:rPr>
          <w:sz w:val="20"/>
          <w:szCs w:val="20"/>
          <w:lang w:val="fr-FR"/>
        </w:rPr>
        <w:t>article 8 porte sur les émissions atmosphériques de mercure et composés du mercure émanant de sources ponctuelles et l</w:t>
      </w:r>
      <w:r w:rsidR="00CA739D" w:rsidRPr="007C41F2">
        <w:rPr>
          <w:sz w:val="20"/>
          <w:szCs w:val="20"/>
          <w:lang w:val="fr-FR"/>
        </w:rPr>
        <w:t>’</w:t>
      </w:r>
      <w:r w:rsidRPr="007C41F2">
        <w:rPr>
          <w:sz w:val="20"/>
          <w:szCs w:val="20"/>
          <w:lang w:val="fr-FR"/>
        </w:rPr>
        <w:t>annexe D fournit une liste d</w:t>
      </w:r>
      <w:r w:rsidR="00CA739D" w:rsidRPr="007C41F2">
        <w:rPr>
          <w:sz w:val="20"/>
          <w:szCs w:val="20"/>
          <w:lang w:val="fr-FR"/>
        </w:rPr>
        <w:t>’</w:t>
      </w:r>
      <w:r w:rsidRPr="007C41F2">
        <w:rPr>
          <w:sz w:val="20"/>
          <w:szCs w:val="20"/>
          <w:lang w:val="fr-FR"/>
        </w:rPr>
        <w:t>installations considérées comme des sources ponctuelles d</w:t>
      </w:r>
      <w:r w:rsidR="00CA739D" w:rsidRPr="007C41F2">
        <w:rPr>
          <w:sz w:val="20"/>
          <w:szCs w:val="20"/>
          <w:lang w:val="fr-FR"/>
        </w:rPr>
        <w:t>’</w:t>
      </w:r>
      <w:r w:rsidRPr="007C41F2">
        <w:rPr>
          <w:sz w:val="20"/>
          <w:szCs w:val="20"/>
          <w:lang w:val="fr-FR"/>
        </w:rPr>
        <w:t>émissions.</w:t>
      </w:r>
    </w:p>
    <w:p w14:paraId="7DBCD523" w14:textId="36B08AB2" w:rsidR="003053E8" w:rsidRPr="007C41F2" w:rsidRDefault="003053E8"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Certaines Parties ont inclus une définition de ce terme dans leurs lois et réglementations environnementales. Selon la loi américaine sur la protection de l</w:t>
      </w:r>
      <w:r w:rsidR="00CA739D" w:rsidRPr="007C41F2">
        <w:rPr>
          <w:sz w:val="20"/>
          <w:szCs w:val="20"/>
          <w:lang w:val="fr-FR"/>
        </w:rPr>
        <w:t>’</w:t>
      </w:r>
      <w:r w:rsidRPr="007C41F2">
        <w:rPr>
          <w:sz w:val="20"/>
          <w:szCs w:val="20"/>
          <w:lang w:val="fr-FR"/>
        </w:rPr>
        <w:t>eau (US Clear Water Act), le terme «</w:t>
      </w:r>
      <w:r w:rsidR="00AF63DD" w:rsidRPr="007C41F2">
        <w:rPr>
          <w:sz w:val="20"/>
          <w:szCs w:val="20"/>
          <w:lang w:val="fr-FR"/>
        </w:rPr>
        <w:t xml:space="preserve"> source ponctuelle » fait </w:t>
      </w:r>
      <w:r w:rsidR="00CA739D" w:rsidRPr="007C41F2">
        <w:rPr>
          <w:sz w:val="20"/>
          <w:szCs w:val="20"/>
          <w:lang w:val="fr-FR"/>
        </w:rPr>
        <w:t>référence</w:t>
      </w:r>
      <w:r w:rsidRPr="007C41F2">
        <w:rPr>
          <w:sz w:val="20"/>
          <w:szCs w:val="20"/>
          <w:lang w:val="fr-FR"/>
        </w:rPr>
        <w:t xml:space="preserve"> à tout moyen de transport discernable, confiné et discret, y</w:t>
      </w:r>
      <w:r w:rsidR="00AF63DD" w:rsidRPr="007C41F2">
        <w:rPr>
          <w:sz w:val="20"/>
          <w:szCs w:val="20"/>
          <w:lang w:val="fr-FR"/>
        </w:rPr>
        <w:t> </w:t>
      </w:r>
      <w:r w:rsidRPr="007C41F2">
        <w:rPr>
          <w:sz w:val="20"/>
          <w:szCs w:val="20"/>
          <w:lang w:val="fr-FR"/>
        </w:rPr>
        <w:t>compris, sans s</w:t>
      </w:r>
      <w:r w:rsidR="00CA739D" w:rsidRPr="007C41F2">
        <w:rPr>
          <w:sz w:val="20"/>
          <w:szCs w:val="20"/>
          <w:lang w:val="fr-FR"/>
        </w:rPr>
        <w:t>’</w:t>
      </w:r>
      <w:r w:rsidRPr="007C41F2">
        <w:rPr>
          <w:sz w:val="20"/>
          <w:szCs w:val="20"/>
          <w:lang w:val="fr-FR"/>
        </w:rPr>
        <w:t>y limiter, tout tuyau, fossé, canal, tunnel, conduit, puits, fissure discrète, conteneur, matériel roulant, opération d</w:t>
      </w:r>
      <w:r w:rsidR="00CA739D" w:rsidRPr="007C41F2">
        <w:rPr>
          <w:sz w:val="20"/>
          <w:szCs w:val="20"/>
          <w:lang w:val="fr-FR"/>
        </w:rPr>
        <w:t>’</w:t>
      </w:r>
      <w:r w:rsidRPr="007C41F2">
        <w:rPr>
          <w:sz w:val="20"/>
          <w:szCs w:val="20"/>
          <w:lang w:val="fr-FR"/>
        </w:rPr>
        <w:t>alimentation animale concentrée ou navire ou autre engin flottant dont des polluants sont ou peuvent être rejetés. Le terme ne comprend pas les rejets d</w:t>
      </w:r>
      <w:r w:rsidR="00CA739D" w:rsidRPr="007C41F2">
        <w:rPr>
          <w:sz w:val="20"/>
          <w:szCs w:val="20"/>
          <w:lang w:val="fr-FR"/>
        </w:rPr>
        <w:t>’</w:t>
      </w:r>
      <w:r w:rsidRPr="007C41F2">
        <w:rPr>
          <w:sz w:val="20"/>
          <w:szCs w:val="20"/>
          <w:lang w:val="fr-FR"/>
        </w:rPr>
        <w:t>eaux pluviales agricoles et les flux de retour de l</w:t>
      </w:r>
      <w:r w:rsidR="00CA739D" w:rsidRPr="007C41F2">
        <w:rPr>
          <w:sz w:val="20"/>
          <w:szCs w:val="20"/>
          <w:lang w:val="fr-FR"/>
        </w:rPr>
        <w:t>’</w:t>
      </w:r>
      <w:r w:rsidRPr="007C41F2">
        <w:rPr>
          <w:sz w:val="20"/>
          <w:szCs w:val="20"/>
          <w:lang w:val="fr-FR"/>
        </w:rPr>
        <w:t>agriculture irriguée</w:t>
      </w:r>
      <w:r w:rsidR="0052557D" w:rsidRPr="007C41F2">
        <w:rPr>
          <w:rFonts w:asciiTheme="majorBidi" w:hAnsiTheme="majorBidi"/>
          <w:sz w:val="20"/>
          <w:szCs w:val="20"/>
          <w:vertAlign w:val="superscript"/>
          <w:lang w:val="fr-FR"/>
        </w:rPr>
        <w:footnoteReference w:id="2"/>
      </w:r>
      <w:r w:rsidR="00DF3A66" w:rsidRPr="007C41F2">
        <w:rPr>
          <w:sz w:val="20"/>
          <w:szCs w:val="20"/>
          <w:lang w:val="fr-FR"/>
        </w:rPr>
        <w:t>.</w:t>
      </w:r>
      <w:r w:rsidRPr="007C41F2">
        <w:rPr>
          <w:sz w:val="20"/>
          <w:szCs w:val="20"/>
          <w:lang w:val="fr-FR"/>
        </w:rPr>
        <w:t xml:space="preserve"> L</w:t>
      </w:r>
      <w:r w:rsidR="00CA739D" w:rsidRPr="007C41F2">
        <w:rPr>
          <w:sz w:val="20"/>
          <w:szCs w:val="20"/>
          <w:lang w:val="fr-FR"/>
        </w:rPr>
        <w:t>’</w:t>
      </w:r>
      <w:r w:rsidRPr="007C41F2">
        <w:rPr>
          <w:sz w:val="20"/>
          <w:szCs w:val="20"/>
          <w:lang w:val="fr-FR"/>
        </w:rPr>
        <w:t>Agence européenne pour l</w:t>
      </w:r>
      <w:r w:rsidR="00CA739D" w:rsidRPr="007C41F2">
        <w:rPr>
          <w:sz w:val="20"/>
          <w:szCs w:val="20"/>
          <w:lang w:val="fr-FR"/>
        </w:rPr>
        <w:t>’</w:t>
      </w:r>
      <w:r w:rsidRPr="007C41F2">
        <w:rPr>
          <w:sz w:val="20"/>
          <w:szCs w:val="20"/>
          <w:lang w:val="fr-FR"/>
        </w:rPr>
        <w:t>environnement définit une source ponctuelle (source fixe) comme tout bâtiment, structure, dispositif, installation ou équipement fixe qui émet des polluants dans l</w:t>
      </w:r>
      <w:r w:rsidR="00CA739D" w:rsidRPr="007C41F2">
        <w:rPr>
          <w:sz w:val="20"/>
          <w:szCs w:val="20"/>
          <w:lang w:val="fr-FR"/>
        </w:rPr>
        <w:t>’</w:t>
      </w:r>
      <w:r w:rsidRPr="007C41F2">
        <w:rPr>
          <w:sz w:val="20"/>
          <w:szCs w:val="20"/>
          <w:lang w:val="fr-FR"/>
        </w:rPr>
        <w:t>atmosphère, ou toute source unique de pollution identifiable, par ex. un conduit, une tranchée, un navire, une fosse de minerai ou une cheminée d</w:t>
      </w:r>
      <w:r w:rsidR="00CA739D" w:rsidRPr="007C41F2">
        <w:rPr>
          <w:sz w:val="20"/>
          <w:szCs w:val="20"/>
          <w:lang w:val="fr-FR"/>
        </w:rPr>
        <w:t>’</w:t>
      </w:r>
      <w:r w:rsidRPr="007C41F2">
        <w:rPr>
          <w:sz w:val="20"/>
          <w:szCs w:val="20"/>
          <w:lang w:val="fr-FR"/>
        </w:rPr>
        <w:t>usine</w:t>
      </w:r>
      <w:r w:rsidR="0052557D" w:rsidRPr="007C41F2">
        <w:rPr>
          <w:rFonts w:asciiTheme="majorBidi" w:hAnsiTheme="majorBidi"/>
          <w:sz w:val="20"/>
          <w:szCs w:val="20"/>
          <w:vertAlign w:val="superscript"/>
          <w:lang w:val="fr-FR"/>
        </w:rPr>
        <w:footnoteReference w:id="3"/>
      </w:r>
      <w:r w:rsidR="00DF3A66" w:rsidRPr="007C41F2">
        <w:rPr>
          <w:sz w:val="20"/>
          <w:szCs w:val="20"/>
          <w:lang w:val="fr-FR"/>
        </w:rPr>
        <w:t>.</w:t>
      </w:r>
      <w:r w:rsidRPr="007C41F2">
        <w:rPr>
          <w:sz w:val="20"/>
          <w:szCs w:val="20"/>
          <w:lang w:val="fr-FR"/>
        </w:rPr>
        <w:t xml:space="preserve"> Les experts ont partagé des définitions similaires utilisées dans plusieurs autres pays.</w:t>
      </w:r>
    </w:p>
    <w:p w14:paraId="5049A071" w14:textId="022C9D95" w:rsidR="003053E8" w:rsidRPr="007C41F2" w:rsidRDefault="008C40F6" w:rsidP="00241EF8">
      <w:pPr>
        <w:pStyle w:val="CH2"/>
        <w:numPr>
          <w:ilvl w:val="0"/>
          <w:numId w:val="20"/>
        </w:numPr>
        <w:tabs>
          <w:tab w:val="clear" w:pos="851"/>
        </w:tabs>
        <w:spacing w:before="0"/>
        <w:ind w:hanging="727"/>
        <w:rPr>
          <w:b w:val="0"/>
          <w:lang w:val="fr-FR"/>
        </w:rPr>
      </w:pPr>
      <w:r w:rsidRPr="007C41F2">
        <w:rPr>
          <w:bCs/>
          <w:lang w:val="fr-FR"/>
        </w:rPr>
        <w:t>Notable</w:t>
      </w:r>
    </w:p>
    <w:p w14:paraId="339CEB4A" w14:textId="4E4566D7" w:rsidR="003053E8" w:rsidRPr="007C41F2" w:rsidRDefault="0061657A"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Les P</w:t>
      </w:r>
      <w:r w:rsidR="003053E8" w:rsidRPr="007C41F2">
        <w:rPr>
          <w:sz w:val="20"/>
          <w:szCs w:val="20"/>
          <w:lang w:val="fr-FR"/>
        </w:rPr>
        <w:t>arties doivent déterminer quelles sources anthropiques ponctuelles de rejets dans le sol ou l</w:t>
      </w:r>
      <w:r w:rsidR="00CA739D" w:rsidRPr="007C41F2">
        <w:rPr>
          <w:sz w:val="20"/>
          <w:szCs w:val="20"/>
          <w:lang w:val="fr-FR"/>
        </w:rPr>
        <w:t>’</w:t>
      </w:r>
      <w:r w:rsidR="003053E8" w:rsidRPr="007C41F2">
        <w:rPr>
          <w:sz w:val="20"/>
          <w:szCs w:val="20"/>
          <w:lang w:val="fr-FR"/>
        </w:rPr>
        <w:t>eau à l</w:t>
      </w:r>
      <w:r w:rsidR="00CA739D" w:rsidRPr="007C41F2">
        <w:rPr>
          <w:sz w:val="20"/>
          <w:szCs w:val="20"/>
          <w:lang w:val="fr-FR"/>
        </w:rPr>
        <w:t>’</w:t>
      </w:r>
      <w:r w:rsidR="003053E8" w:rsidRPr="007C41F2">
        <w:rPr>
          <w:sz w:val="20"/>
          <w:szCs w:val="20"/>
          <w:lang w:val="fr-FR"/>
        </w:rPr>
        <w:t>intérieur de leur territoire sont notables. À cette fin, elles peuvent prendre en compte la quantité de rejets, leur emplacement, les conditions environnementales et voies d</w:t>
      </w:r>
      <w:r w:rsidR="00CA739D" w:rsidRPr="007C41F2">
        <w:rPr>
          <w:sz w:val="20"/>
          <w:szCs w:val="20"/>
          <w:lang w:val="fr-FR"/>
        </w:rPr>
        <w:t>’</w:t>
      </w:r>
      <w:r w:rsidR="003053E8" w:rsidRPr="007C41F2">
        <w:rPr>
          <w:sz w:val="20"/>
          <w:szCs w:val="20"/>
          <w:lang w:val="fr-FR"/>
        </w:rPr>
        <w:t>exposition, ainsi que d</w:t>
      </w:r>
      <w:r w:rsidR="00CA739D" w:rsidRPr="007C41F2">
        <w:rPr>
          <w:sz w:val="20"/>
          <w:szCs w:val="20"/>
          <w:lang w:val="fr-FR"/>
        </w:rPr>
        <w:t>’</w:t>
      </w:r>
      <w:r w:rsidR="003053E8" w:rsidRPr="007C41F2">
        <w:rPr>
          <w:sz w:val="20"/>
          <w:szCs w:val="20"/>
          <w:lang w:val="fr-FR"/>
        </w:rPr>
        <w:t>autres facteurs d</w:t>
      </w:r>
      <w:r w:rsidR="00CA739D" w:rsidRPr="007C41F2">
        <w:rPr>
          <w:sz w:val="20"/>
          <w:szCs w:val="20"/>
          <w:lang w:val="fr-FR"/>
        </w:rPr>
        <w:t>’</w:t>
      </w:r>
      <w:r w:rsidR="003053E8" w:rsidRPr="007C41F2">
        <w:rPr>
          <w:sz w:val="20"/>
          <w:szCs w:val="20"/>
          <w:lang w:val="fr-FR"/>
        </w:rPr>
        <w:t xml:space="preserve">importance sur le plan national. </w:t>
      </w:r>
    </w:p>
    <w:p w14:paraId="25FB405D" w14:textId="6A5E7D95" w:rsidR="003053E8" w:rsidRPr="007C41F2" w:rsidRDefault="008C40F6" w:rsidP="00241EF8">
      <w:pPr>
        <w:pStyle w:val="CH2"/>
        <w:numPr>
          <w:ilvl w:val="0"/>
          <w:numId w:val="20"/>
        </w:numPr>
        <w:tabs>
          <w:tab w:val="clear" w:pos="851"/>
        </w:tabs>
        <w:spacing w:before="0"/>
        <w:ind w:hanging="727"/>
        <w:rPr>
          <w:b w:val="0"/>
          <w:lang w:val="fr-FR"/>
        </w:rPr>
      </w:pPr>
      <w:r w:rsidRPr="007C41F2">
        <w:rPr>
          <w:bCs/>
          <w:lang w:val="fr-FR"/>
        </w:rPr>
        <w:t>Traité</w:t>
      </w:r>
      <w:r w:rsidR="00DF3A66" w:rsidRPr="007C41F2">
        <w:rPr>
          <w:bCs/>
          <w:lang w:val="fr-FR"/>
        </w:rPr>
        <w:t>e</w:t>
      </w:r>
      <w:r w:rsidRPr="007C41F2">
        <w:rPr>
          <w:bCs/>
          <w:lang w:val="fr-FR"/>
        </w:rPr>
        <w:t xml:space="preserve"> dans d</w:t>
      </w:r>
      <w:r w:rsidR="00CA739D" w:rsidRPr="007C41F2">
        <w:rPr>
          <w:bCs/>
          <w:lang w:val="fr-FR"/>
        </w:rPr>
        <w:t>’</w:t>
      </w:r>
      <w:r w:rsidRPr="007C41F2">
        <w:rPr>
          <w:bCs/>
          <w:lang w:val="fr-FR"/>
        </w:rPr>
        <w:t>autres dispositions de la Convention</w:t>
      </w:r>
    </w:p>
    <w:p w14:paraId="32E0F864" w14:textId="449FECEA" w:rsidR="003053E8" w:rsidRPr="007C41F2" w:rsidRDefault="003053E8"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L</w:t>
      </w:r>
      <w:r w:rsidR="00CA739D" w:rsidRPr="007C41F2">
        <w:rPr>
          <w:sz w:val="20"/>
          <w:szCs w:val="20"/>
          <w:lang w:val="fr-FR"/>
        </w:rPr>
        <w:t>’</w:t>
      </w:r>
      <w:r w:rsidRPr="007C41F2">
        <w:rPr>
          <w:sz w:val="20"/>
          <w:szCs w:val="20"/>
          <w:lang w:val="fr-FR"/>
        </w:rPr>
        <w:t>article 9 indique que l</w:t>
      </w:r>
      <w:r w:rsidR="00CA739D" w:rsidRPr="007C41F2">
        <w:rPr>
          <w:sz w:val="20"/>
          <w:szCs w:val="20"/>
          <w:lang w:val="fr-FR"/>
        </w:rPr>
        <w:t>’</w:t>
      </w:r>
      <w:r w:rsidR="0061657A" w:rsidRPr="007C41F2">
        <w:rPr>
          <w:sz w:val="20"/>
          <w:szCs w:val="20"/>
          <w:lang w:val="fr-FR"/>
        </w:rPr>
        <w:t>on entend par « source pertinente »</w:t>
      </w:r>
      <w:r w:rsidRPr="007C41F2">
        <w:rPr>
          <w:sz w:val="20"/>
          <w:szCs w:val="20"/>
          <w:lang w:val="fr-FR"/>
        </w:rPr>
        <w:t>, toute source anthropique ponctuelle notable de rejets dans le sol et l</w:t>
      </w:r>
      <w:r w:rsidR="00CA739D" w:rsidRPr="007C41F2">
        <w:rPr>
          <w:sz w:val="20"/>
          <w:szCs w:val="20"/>
          <w:lang w:val="fr-FR"/>
        </w:rPr>
        <w:t>’</w:t>
      </w:r>
      <w:r w:rsidRPr="007C41F2">
        <w:rPr>
          <w:sz w:val="20"/>
          <w:szCs w:val="20"/>
          <w:lang w:val="fr-FR"/>
        </w:rPr>
        <w:t>eau qui n</w:t>
      </w:r>
      <w:r w:rsidR="00CA739D" w:rsidRPr="007C41F2">
        <w:rPr>
          <w:sz w:val="20"/>
          <w:szCs w:val="20"/>
          <w:lang w:val="fr-FR"/>
        </w:rPr>
        <w:t>’</w:t>
      </w:r>
      <w:r w:rsidR="0061657A" w:rsidRPr="007C41F2">
        <w:rPr>
          <w:sz w:val="20"/>
          <w:szCs w:val="20"/>
          <w:lang w:val="fr-FR"/>
        </w:rPr>
        <w:t>est « </w:t>
      </w:r>
      <w:r w:rsidRPr="007C41F2">
        <w:rPr>
          <w:sz w:val="20"/>
          <w:szCs w:val="20"/>
          <w:lang w:val="fr-FR"/>
        </w:rPr>
        <w:t>pas traitée dans d</w:t>
      </w:r>
      <w:r w:rsidR="00CA739D" w:rsidRPr="007C41F2">
        <w:rPr>
          <w:sz w:val="20"/>
          <w:szCs w:val="20"/>
          <w:lang w:val="fr-FR"/>
        </w:rPr>
        <w:t>’</w:t>
      </w:r>
      <w:r w:rsidRPr="007C41F2">
        <w:rPr>
          <w:sz w:val="20"/>
          <w:szCs w:val="20"/>
          <w:lang w:val="fr-FR"/>
        </w:rPr>
        <w:t>autres dispositions de la présente Convention</w:t>
      </w:r>
      <w:r w:rsidR="0061657A" w:rsidRPr="007C41F2">
        <w:rPr>
          <w:sz w:val="20"/>
          <w:szCs w:val="20"/>
          <w:lang w:val="fr-FR"/>
        </w:rPr>
        <w:t> ».</w:t>
      </w:r>
      <w:r w:rsidRPr="007C41F2">
        <w:rPr>
          <w:sz w:val="20"/>
          <w:szCs w:val="20"/>
          <w:lang w:val="fr-FR"/>
        </w:rPr>
        <w:t xml:space="preserve"> Afin de permettre une interprétation commune des « sources pertinentes », la présente section du rapport fournit des informations sur la mesure dans laquelle d</w:t>
      </w:r>
      <w:r w:rsidR="00CA739D" w:rsidRPr="007C41F2">
        <w:rPr>
          <w:sz w:val="20"/>
          <w:szCs w:val="20"/>
          <w:lang w:val="fr-FR"/>
        </w:rPr>
        <w:t>’</w:t>
      </w:r>
      <w:r w:rsidRPr="007C41F2">
        <w:rPr>
          <w:sz w:val="20"/>
          <w:szCs w:val="20"/>
          <w:lang w:val="fr-FR"/>
        </w:rPr>
        <w:t>autres articles de la Convention traitent les sources de rejets. Certains experts ont considéré que, l</w:t>
      </w:r>
      <w:r w:rsidR="00CA739D" w:rsidRPr="007C41F2">
        <w:rPr>
          <w:sz w:val="20"/>
          <w:szCs w:val="20"/>
          <w:lang w:val="fr-FR"/>
        </w:rPr>
        <w:t>’</w:t>
      </w:r>
      <w:r w:rsidRPr="007C41F2">
        <w:rPr>
          <w:sz w:val="20"/>
          <w:szCs w:val="20"/>
          <w:lang w:val="fr-FR"/>
        </w:rPr>
        <w:t>article 9 énonçant deux</w:t>
      </w:r>
      <w:r w:rsidR="0061657A" w:rsidRPr="007C41F2">
        <w:rPr>
          <w:sz w:val="20"/>
          <w:szCs w:val="20"/>
          <w:lang w:val="fr-FR"/>
        </w:rPr>
        <w:t> </w:t>
      </w:r>
      <w:r w:rsidRPr="007C41F2">
        <w:rPr>
          <w:sz w:val="20"/>
          <w:szCs w:val="20"/>
          <w:lang w:val="fr-FR"/>
        </w:rPr>
        <w:t>obligations (le contrôle des rejets, au paragraphe 4, et l</w:t>
      </w:r>
      <w:r w:rsidR="00CA739D" w:rsidRPr="007C41F2">
        <w:rPr>
          <w:sz w:val="20"/>
          <w:szCs w:val="20"/>
          <w:lang w:val="fr-FR"/>
        </w:rPr>
        <w:t>’</w:t>
      </w:r>
      <w:r w:rsidRPr="007C41F2">
        <w:rPr>
          <w:sz w:val="20"/>
          <w:szCs w:val="20"/>
          <w:lang w:val="fr-FR"/>
        </w:rPr>
        <w:t>établissement et la tenue à jour d</w:t>
      </w:r>
      <w:r w:rsidR="00CA739D" w:rsidRPr="007C41F2">
        <w:rPr>
          <w:sz w:val="20"/>
          <w:szCs w:val="20"/>
          <w:lang w:val="fr-FR"/>
        </w:rPr>
        <w:t>’</w:t>
      </w:r>
      <w:r w:rsidRPr="007C41F2">
        <w:rPr>
          <w:sz w:val="20"/>
          <w:szCs w:val="20"/>
          <w:lang w:val="fr-FR"/>
        </w:rPr>
        <w:t>un inventaire, au paragraphe 6), toutes deux formulées de manière impérative et considérées d</w:t>
      </w:r>
      <w:r w:rsidR="00CA739D" w:rsidRPr="007C41F2">
        <w:rPr>
          <w:sz w:val="20"/>
          <w:szCs w:val="20"/>
          <w:lang w:val="fr-FR"/>
        </w:rPr>
        <w:t>’</w:t>
      </w:r>
      <w:r w:rsidRPr="007C41F2">
        <w:rPr>
          <w:sz w:val="20"/>
          <w:szCs w:val="20"/>
          <w:lang w:val="fr-FR"/>
        </w:rPr>
        <w:t>une importance égale dans l</w:t>
      </w:r>
      <w:r w:rsidR="00CA739D" w:rsidRPr="007C41F2">
        <w:rPr>
          <w:sz w:val="20"/>
          <w:szCs w:val="20"/>
          <w:lang w:val="fr-FR"/>
        </w:rPr>
        <w:t>’</w:t>
      </w:r>
      <w:r w:rsidRPr="007C41F2">
        <w:rPr>
          <w:sz w:val="20"/>
          <w:szCs w:val="20"/>
          <w:lang w:val="fr-FR"/>
        </w:rPr>
        <w:t>article, les Parties souhaiteront peut-être examiner quelles autres dispositions de la Convention portent sur ces deux obligations. Selon ces experts, si un article porte sur le contrôle des rejets mais non sur l</w:t>
      </w:r>
      <w:r w:rsidR="00CA739D" w:rsidRPr="007C41F2">
        <w:rPr>
          <w:sz w:val="20"/>
          <w:szCs w:val="20"/>
          <w:lang w:val="fr-FR"/>
        </w:rPr>
        <w:t>’</w:t>
      </w:r>
      <w:r w:rsidRPr="007C41F2">
        <w:rPr>
          <w:sz w:val="20"/>
          <w:szCs w:val="20"/>
          <w:lang w:val="fr-FR"/>
        </w:rPr>
        <w:t>établissement d</w:t>
      </w:r>
      <w:r w:rsidR="00CA739D" w:rsidRPr="007C41F2">
        <w:rPr>
          <w:sz w:val="20"/>
          <w:szCs w:val="20"/>
          <w:lang w:val="fr-FR"/>
        </w:rPr>
        <w:t>’</w:t>
      </w:r>
      <w:r w:rsidRPr="007C41F2">
        <w:rPr>
          <w:sz w:val="20"/>
          <w:szCs w:val="20"/>
          <w:lang w:val="fr-FR"/>
        </w:rPr>
        <w:t>un inventaire, l</w:t>
      </w:r>
      <w:r w:rsidR="00CA739D" w:rsidRPr="007C41F2">
        <w:rPr>
          <w:sz w:val="20"/>
          <w:szCs w:val="20"/>
          <w:lang w:val="fr-FR"/>
        </w:rPr>
        <w:t>’</w:t>
      </w:r>
      <w:r w:rsidRPr="007C41F2">
        <w:rPr>
          <w:sz w:val="20"/>
          <w:szCs w:val="20"/>
          <w:lang w:val="fr-FR"/>
        </w:rPr>
        <w:t>article 9 devrait alors exiger l</w:t>
      </w:r>
      <w:r w:rsidR="00CA739D" w:rsidRPr="007C41F2">
        <w:rPr>
          <w:sz w:val="20"/>
          <w:szCs w:val="20"/>
          <w:lang w:val="fr-FR"/>
        </w:rPr>
        <w:t>’</w:t>
      </w:r>
      <w:r w:rsidRPr="007C41F2">
        <w:rPr>
          <w:sz w:val="20"/>
          <w:szCs w:val="20"/>
          <w:lang w:val="fr-FR"/>
        </w:rPr>
        <w:t>établissement d</w:t>
      </w:r>
      <w:r w:rsidR="00CA739D" w:rsidRPr="007C41F2">
        <w:rPr>
          <w:sz w:val="20"/>
          <w:szCs w:val="20"/>
          <w:lang w:val="fr-FR"/>
        </w:rPr>
        <w:t>’</w:t>
      </w:r>
      <w:r w:rsidRPr="007C41F2">
        <w:rPr>
          <w:sz w:val="20"/>
          <w:szCs w:val="20"/>
          <w:lang w:val="fr-FR"/>
        </w:rPr>
        <w:t xml:space="preserve">un inventaire </w:t>
      </w:r>
      <w:r w:rsidR="00CA739D" w:rsidRPr="007C41F2">
        <w:rPr>
          <w:sz w:val="20"/>
          <w:szCs w:val="20"/>
          <w:lang w:val="fr-FR"/>
        </w:rPr>
        <w:t>uniquement</w:t>
      </w:r>
      <w:r w:rsidRPr="007C41F2">
        <w:rPr>
          <w:sz w:val="20"/>
          <w:szCs w:val="20"/>
          <w:lang w:val="fr-FR"/>
        </w:rPr>
        <w:t>. D</w:t>
      </w:r>
      <w:r w:rsidR="00CA739D" w:rsidRPr="007C41F2">
        <w:rPr>
          <w:sz w:val="20"/>
          <w:szCs w:val="20"/>
          <w:lang w:val="fr-FR"/>
        </w:rPr>
        <w:t>’</w:t>
      </w:r>
      <w:r w:rsidRPr="007C41F2">
        <w:rPr>
          <w:sz w:val="20"/>
          <w:szCs w:val="20"/>
          <w:lang w:val="fr-FR"/>
        </w:rPr>
        <w:t xml:space="preserve">autres experts, toutefois, se sont </w:t>
      </w:r>
      <w:r w:rsidR="00DF3A66" w:rsidRPr="007C41F2">
        <w:rPr>
          <w:sz w:val="20"/>
          <w:szCs w:val="20"/>
          <w:lang w:val="fr-FR"/>
        </w:rPr>
        <w:t xml:space="preserve">intéressés principalement au </w:t>
      </w:r>
      <w:r w:rsidRPr="007C41F2">
        <w:rPr>
          <w:sz w:val="20"/>
          <w:szCs w:val="20"/>
          <w:lang w:val="fr-FR"/>
        </w:rPr>
        <w:t>contrôle des rejets et n</w:t>
      </w:r>
      <w:r w:rsidR="00CA739D" w:rsidRPr="007C41F2">
        <w:rPr>
          <w:sz w:val="20"/>
          <w:szCs w:val="20"/>
          <w:lang w:val="fr-FR"/>
        </w:rPr>
        <w:t>’</w:t>
      </w:r>
      <w:r w:rsidRPr="007C41F2">
        <w:rPr>
          <w:sz w:val="20"/>
          <w:szCs w:val="20"/>
          <w:lang w:val="fr-FR"/>
        </w:rPr>
        <w:t xml:space="preserve">ont pas jugé </w:t>
      </w:r>
      <w:r w:rsidR="009755E3" w:rsidRPr="007C41F2">
        <w:rPr>
          <w:sz w:val="20"/>
          <w:szCs w:val="20"/>
          <w:lang w:val="fr-FR"/>
        </w:rPr>
        <w:t xml:space="preserve">qu’il fallait exiger l’établissement </w:t>
      </w:r>
      <w:r w:rsidRPr="007C41F2">
        <w:rPr>
          <w:sz w:val="20"/>
          <w:szCs w:val="20"/>
          <w:lang w:val="fr-FR"/>
        </w:rPr>
        <w:t>d</w:t>
      </w:r>
      <w:r w:rsidR="00CA739D" w:rsidRPr="007C41F2">
        <w:rPr>
          <w:sz w:val="20"/>
          <w:szCs w:val="20"/>
          <w:lang w:val="fr-FR"/>
        </w:rPr>
        <w:t>’</w:t>
      </w:r>
      <w:r w:rsidRPr="007C41F2">
        <w:rPr>
          <w:sz w:val="20"/>
          <w:szCs w:val="20"/>
          <w:lang w:val="fr-FR"/>
        </w:rPr>
        <w:t>un inventaire po</w:t>
      </w:r>
      <w:r w:rsidR="0061657A" w:rsidRPr="007C41F2">
        <w:rPr>
          <w:sz w:val="20"/>
          <w:szCs w:val="20"/>
          <w:lang w:val="fr-FR"/>
        </w:rPr>
        <w:t xml:space="preserve">ur déterminer si un rejet est « traité » </w:t>
      </w:r>
      <w:r w:rsidRPr="007C41F2">
        <w:rPr>
          <w:sz w:val="20"/>
          <w:szCs w:val="20"/>
          <w:lang w:val="fr-FR"/>
        </w:rPr>
        <w:t>par l</w:t>
      </w:r>
      <w:r w:rsidR="00CA739D" w:rsidRPr="007C41F2">
        <w:rPr>
          <w:sz w:val="20"/>
          <w:szCs w:val="20"/>
          <w:lang w:val="fr-FR"/>
        </w:rPr>
        <w:t>’</w:t>
      </w:r>
      <w:r w:rsidRPr="007C41F2">
        <w:rPr>
          <w:sz w:val="20"/>
          <w:szCs w:val="20"/>
          <w:lang w:val="fr-FR"/>
        </w:rPr>
        <w:t>article en question.</w:t>
      </w:r>
    </w:p>
    <w:p w14:paraId="7BA5EE8A" w14:textId="46A15709" w:rsidR="003053E8" w:rsidRPr="007C41F2" w:rsidRDefault="008C40F6" w:rsidP="00241EF8">
      <w:pPr>
        <w:pStyle w:val="CH3"/>
        <w:tabs>
          <w:tab w:val="clear" w:pos="851"/>
        </w:tabs>
        <w:spacing w:before="0"/>
        <w:ind w:hanging="680"/>
        <w:rPr>
          <w:lang w:val="fr-FR"/>
        </w:rPr>
      </w:pPr>
      <w:r w:rsidRPr="007C41F2">
        <w:rPr>
          <w:lang w:val="fr-FR"/>
        </w:rPr>
        <w:t>1.</w:t>
      </w:r>
      <w:r w:rsidRPr="007C41F2">
        <w:rPr>
          <w:lang w:val="fr-FR"/>
        </w:rPr>
        <w:tab/>
        <w:t>Article 3. Sources d</w:t>
      </w:r>
      <w:r w:rsidR="00CA739D" w:rsidRPr="007C41F2">
        <w:rPr>
          <w:lang w:val="fr-FR"/>
        </w:rPr>
        <w:t>’</w:t>
      </w:r>
      <w:r w:rsidRPr="007C41F2">
        <w:rPr>
          <w:lang w:val="fr-FR"/>
        </w:rPr>
        <w:t>approvisionnement en mercure et commerce</w:t>
      </w:r>
    </w:p>
    <w:p w14:paraId="27BD18A6" w14:textId="5171871D" w:rsidR="003053E8" w:rsidRPr="007C41F2" w:rsidRDefault="003053E8"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En application du paragraphe 4 de l</w:t>
      </w:r>
      <w:r w:rsidR="00CA739D" w:rsidRPr="007C41F2">
        <w:rPr>
          <w:sz w:val="20"/>
          <w:szCs w:val="20"/>
          <w:lang w:val="fr-FR"/>
        </w:rPr>
        <w:t>’</w:t>
      </w:r>
      <w:r w:rsidRPr="007C41F2">
        <w:rPr>
          <w:sz w:val="20"/>
          <w:szCs w:val="20"/>
          <w:lang w:val="fr-FR"/>
        </w:rPr>
        <w:t>article 3, la Partie concernée ne permet la poursuite des activités d</w:t>
      </w:r>
      <w:r w:rsidR="00CA739D" w:rsidRPr="007C41F2">
        <w:rPr>
          <w:sz w:val="20"/>
          <w:szCs w:val="20"/>
          <w:lang w:val="fr-FR"/>
        </w:rPr>
        <w:t>’</w:t>
      </w:r>
      <w:r w:rsidRPr="007C41F2">
        <w:rPr>
          <w:sz w:val="20"/>
          <w:szCs w:val="20"/>
          <w:lang w:val="fr-FR"/>
        </w:rPr>
        <w:t>extraction minière primaire de mercure menées à la date d</w:t>
      </w:r>
      <w:r w:rsidR="00CA739D" w:rsidRPr="007C41F2">
        <w:rPr>
          <w:sz w:val="20"/>
          <w:szCs w:val="20"/>
          <w:lang w:val="fr-FR"/>
        </w:rPr>
        <w:t>’</w:t>
      </w:r>
      <w:r w:rsidRPr="007C41F2">
        <w:rPr>
          <w:sz w:val="20"/>
          <w:szCs w:val="20"/>
          <w:lang w:val="fr-FR"/>
        </w:rPr>
        <w:t>entrée en vigueur de la Convention à son égard que pendant une période maximale de 15 ans après cette date. Les rejets dans le sol et l</w:t>
      </w:r>
      <w:r w:rsidR="00CA739D" w:rsidRPr="007C41F2">
        <w:rPr>
          <w:sz w:val="20"/>
          <w:szCs w:val="20"/>
          <w:lang w:val="fr-FR"/>
        </w:rPr>
        <w:t>’</w:t>
      </w:r>
      <w:r w:rsidRPr="007C41F2">
        <w:rPr>
          <w:sz w:val="20"/>
          <w:szCs w:val="20"/>
          <w:lang w:val="fr-FR"/>
        </w:rPr>
        <w:t>eau découlant des activités d</w:t>
      </w:r>
      <w:r w:rsidR="00CA739D" w:rsidRPr="007C41F2">
        <w:rPr>
          <w:sz w:val="20"/>
          <w:szCs w:val="20"/>
          <w:lang w:val="fr-FR"/>
        </w:rPr>
        <w:t>’</w:t>
      </w:r>
      <w:r w:rsidRPr="007C41F2">
        <w:rPr>
          <w:sz w:val="20"/>
          <w:szCs w:val="20"/>
          <w:lang w:val="fr-FR"/>
        </w:rPr>
        <w:t>extraction minière primaire de mercure pendant cette période ne sont pas traités dans l</w:t>
      </w:r>
      <w:r w:rsidR="00CA739D" w:rsidRPr="007C41F2">
        <w:rPr>
          <w:sz w:val="20"/>
          <w:szCs w:val="20"/>
          <w:lang w:val="fr-FR"/>
        </w:rPr>
        <w:t>’</w:t>
      </w:r>
      <w:r w:rsidRPr="007C41F2">
        <w:rPr>
          <w:sz w:val="20"/>
          <w:szCs w:val="20"/>
          <w:lang w:val="fr-FR"/>
        </w:rPr>
        <w:t>article. L</w:t>
      </w:r>
      <w:r w:rsidR="00CA739D" w:rsidRPr="007C41F2">
        <w:rPr>
          <w:sz w:val="20"/>
          <w:szCs w:val="20"/>
          <w:lang w:val="fr-FR"/>
        </w:rPr>
        <w:t>’</w:t>
      </w:r>
      <w:r w:rsidRPr="007C41F2">
        <w:rPr>
          <w:sz w:val="20"/>
          <w:szCs w:val="20"/>
          <w:lang w:val="fr-FR"/>
        </w:rPr>
        <w:t>article 11 énonce les prescriptions relatives à la gestion des déchets de mercure provenant de l</w:t>
      </w:r>
      <w:r w:rsidR="00CA739D" w:rsidRPr="007C41F2">
        <w:rPr>
          <w:sz w:val="20"/>
          <w:szCs w:val="20"/>
          <w:lang w:val="fr-FR"/>
        </w:rPr>
        <w:t>’</w:t>
      </w:r>
      <w:r w:rsidRPr="007C41F2">
        <w:rPr>
          <w:sz w:val="20"/>
          <w:szCs w:val="20"/>
          <w:lang w:val="fr-FR"/>
        </w:rPr>
        <w:t xml:space="preserve">extraction minière primaire de mercure. </w:t>
      </w:r>
    </w:p>
    <w:p w14:paraId="1C675D2B" w14:textId="12EB8FF8" w:rsidR="003053E8" w:rsidRPr="007C41F2" w:rsidRDefault="009F1AA4" w:rsidP="00241EF8">
      <w:pPr>
        <w:pStyle w:val="CH3"/>
        <w:spacing w:before="0"/>
        <w:rPr>
          <w:lang w:val="fr-FR"/>
        </w:rPr>
      </w:pPr>
      <w:r w:rsidRPr="007C41F2">
        <w:rPr>
          <w:lang w:val="fr-FR"/>
        </w:rPr>
        <w:tab/>
      </w:r>
      <w:r w:rsidR="008C40F6" w:rsidRPr="007C41F2">
        <w:rPr>
          <w:lang w:val="fr-FR"/>
        </w:rPr>
        <w:t>2.</w:t>
      </w:r>
      <w:r w:rsidR="008C40F6" w:rsidRPr="007C41F2">
        <w:rPr>
          <w:lang w:val="fr-FR"/>
        </w:rPr>
        <w:tab/>
      </w:r>
      <w:r w:rsidR="008C40F6" w:rsidRPr="007C41F2">
        <w:rPr>
          <w:bCs/>
          <w:lang w:val="fr-FR"/>
        </w:rPr>
        <w:t>Article 4.</w:t>
      </w:r>
      <w:r w:rsidR="008C40F6" w:rsidRPr="007C41F2">
        <w:rPr>
          <w:lang w:val="fr-FR"/>
        </w:rPr>
        <w:t xml:space="preserve"> </w:t>
      </w:r>
      <w:r w:rsidR="008C40F6" w:rsidRPr="007C41F2">
        <w:rPr>
          <w:bCs/>
          <w:lang w:val="fr-FR"/>
        </w:rPr>
        <w:t>Produits contenant du mercure ajouté</w:t>
      </w:r>
    </w:p>
    <w:p w14:paraId="446DEB53" w14:textId="096B790A" w:rsidR="003053E8" w:rsidRPr="007C41F2" w:rsidRDefault="003053E8"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L</w:t>
      </w:r>
      <w:r w:rsidR="00CA739D" w:rsidRPr="007C41F2">
        <w:rPr>
          <w:sz w:val="20"/>
          <w:szCs w:val="20"/>
          <w:lang w:val="fr-FR"/>
        </w:rPr>
        <w:t>’</w:t>
      </w:r>
      <w:r w:rsidRPr="007C41F2">
        <w:rPr>
          <w:sz w:val="20"/>
          <w:szCs w:val="20"/>
          <w:lang w:val="fr-FR"/>
        </w:rPr>
        <w:t>article 4 interdit la fabrication des produits figurant dans la première partie de l</w:t>
      </w:r>
      <w:r w:rsidR="00CA739D" w:rsidRPr="007C41F2">
        <w:rPr>
          <w:sz w:val="20"/>
          <w:szCs w:val="20"/>
          <w:lang w:val="fr-FR"/>
        </w:rPr>
        <w:t>’</w:t>
      </w:r>
      <w:r w:rsidR="00C92742" w:rsidRPr="007C41F2">
        <w:rPr>
          <w:sz w:val="20"/>
          <w:szCs w:val="20"/>
          <w:lang w:val="fr-FR"/>
        </w:rPr>
        <w:t>a</w:t>
      </w:r>
      <w:r w:rsidRPr="007C41F2">
        <w:rPr>
          <w:sz w:val="20"/>
          <w:szCs w:val="20"/>
          <w:lang w:val="fr-FR"/>
        </w:rPr>
        <w:t>nnexe A à la Convention après la date d</w:t>
      </w:r>
      <w:r w:rsidR="00CA739D" w:rsidRPr="007C41F2">
        <w:rPr>
          <w:sz w:val="20"/>
          <w:szCs w:val="20"/>
          <w:lang w:val="fr-FR"/>
        </w:rPr>
        <w:t>’</w:t>
      </w:r>
      <w:r w:rsidRPr="007C41F2">
        <w:rPr>
          <w:sz w:val="20"/>
          <w:szCs w:val="20"/>
          <w:lang w:val="fr-FR"/>
        </w:rPr>
        <w:t xml:space="preserve">abandon définitif fixée pour ces produits (2020), laquelle peut être prorogée si une dérogation a été enregistrée pour </w:t>
      </w:r>
      <w:r w:rsidR="00CA739D" w:rsidRPr="007C41F2">
        <w:rPr>
          <w:sz w:val="20"/>
          <w:szCs w:val="20"/>
          <w:lang w:val="fr-FR"/>
        </w:rPr>
        <w:t>une Partie</w:t>
      </w:r>
      <w:r w:rsidRPr="007C41F2">
        <w:rPr>
          <w:sz w:val="20"/>
          <w:szCs w:val="20"/>
          <w:lang w:val="fr-FR"/>
        </w:rPr>
        <w:t xml:space="preserve"> conformément à l</w:t>
      </w:r>
      <w:r w:rsidR="00CA739D" w:rsidRPr="007C41F2">
        <w:rPr>
          <w:sz w:val="20"/>
          <w:szCs w:val="20"/>
          <w:lang w:val="fr-FR"/>
        </w:rPr>
        <w:t>’</w:t>
      </w:r>
      <w:r w:rsidRPr="007C41F2">
        <w:rPr>
          <w:sz w:val="20"/>
          <w:szCs w:val="20"/>
          <w:lang w:val="fr-FR"/>
        </w:rPr>
        <w:t>article 6. Si un produit est inscrit à l</w:t>
      </w:r>
      <w:r w:rsidR="00CA739D" w:rsidRPr="007C41F2">
        <w:rPr>
          <w:sz w:val="20"/>
          <w:szCs w:val="20"/>
          <w:lang w:val="fr-FR"/>
        </w:rPr>
        <w:t>’</w:t>
      </w:r>
      <w:r w:rsidR="00C92742" w:rsidRPr="007C41F2">
        <w:rPr>
          <w:sz w:val="20"/>
          <w:szCs w:val="20"/>
          <w:lang w:val="fr-FR"/>
        </w:rPr>
        <w:t>a</w:t>
      </w:r>
      <w:r w:rsidRPr="007C41F2">
        <w:rPr>
          <w:sz w:val="20"/>
          <w:szCs w:val="20"/>
          <w:lang w:val="fr-FR"/>
        </w:rPr>
        <w:t>nnexe A et fait l</w:t>
      </w:r>
      <w:r w:rsidR="00CA739D" w:rsidRPr="007C41F2">
        <w:rPr>
          <w:sz w:val="20"/>
          <w:szCs w:val="20"/>
          <w:lang w:val="fr-FR"/>
        </w:rPr>
        <w:t>’</w:t>
      </w:r>
      <w:r w:rsidRPr="007C41F2">
        <w:rPr>
          <w:sz w:val="20"/>
          <w:szCs w:val="20"/>
          <w:lang w:val="fr-FR"/>
        </w:rPr>
        <w:t>objet d</w:t>
      </w:r>
      <w:r w:rsidR="00CA739D" w:rsidRPr="007C41F2">
        <w:rPr>
          <w:sz w:val="20"/>
          <w:szCs w:val="20"/>
          <w:lang w:val="fr-FR"/>
        </w:rPr>
        <w:t>’</w:t>
      </w:r>
      <w:r w:rsidRPr="007C41F2">
        <w:rPr>
          <w:sz w:val="20"/>
          <w:szCs w:val="20"/>
          <w:lang w:val="fr-FR"/>
        </w:rPr>
        <w:t>une interdiction totale de fabrication, les rejets dans le sol et l</w:t>
      </w:r>
      <w:r w:rsidR="00CA739D" w:rsidRPr="007C41F2">
        <w:rPr>
          <w:sz w:val="20"/>
          <w:szCs w:val="20"/>
          <w:lang w:val="fr-FR"/>
        </w:rPr>
        <w:t>’</w:t>
      </w:r>
      <w:r w:rsidRPr="007C41F2">
        <w:rPr>
          <w:sz w:val="20"/>
          <w:szCs w:val="20"/>
          <w:lang w:val="fr-FR"/>
        </w:rPr>
        <w:t>eau émanant de sa fabrication sont considérés comme traités au titre de l</w:t>
      </w:r>
      <w:r w:rsidR="00CA739D" w:rsidRPr="007C41F2">
        <w:rPr>
          <w:sz w:val="20"/>
          <w:szCs w:val="20"/>
          <w:lang w:val="fr-FR"/>
        </w:rPr>
        <w:t>’</w:t>
      </w:r>
      <w:r w:rsidRPr="007C41F2">
        <w:rPr>
          <w:sz w:val="20"/>
          <w:szCs w:val="20"/>
          <w:lang w:val="fr-FR"/>
        </w:rPr>
        <w:t>article 4 après la date d</w:t>
      </w:r>
      <w:r w:rsidR="00CA739D" w:rsidRPr="007C41F2">
        <w:rPr>
          <w:sz w:val="20"/>
          <w:szCs w:val="20"/>
          <w:lang w:val="fr-FR"/>
        </w:rPr>
        <w:t>’</w:t>
      </w:r>
      <w:r w:rsidRPr="007C41F2">
        <w:rPr>
          <w:sz w:val="20"/>
          <w:szCs w:val="20"/>
          <w:lang w:val="fr-FR"/>
        </w:rPr>
        <w:t>abandon définitif telle que précisée à l</w:t>
      </w:r>
      <w:r w:rsidR="00CA739D" w:rsidRPr="007C41F2">
        <w:rPr>
          <w:sz w:val="20"/>
          <w:szCs w:val="20"/>
          <w:lang w:val="fr-FR"/>
        </w:rPr>
        <w:t>’</w:t>
      </w:r>
      <w:r w:rsidR="00C92742" w:rsidRPr="007C41F2">
        <w:rPr>
          <w:sz w:val="20"/>
          <w:szCs w:val="20"/>
          <w:lang w:val="fr-FR"/>
        </w:rPr>
        <w:t>a</w:t>
      </w:r>
      <w:r w:rsidRPr="007C41F2">
        <w:rPr>
          <w:sz w:val="20"/>
          <w:szCs w:val="20"/>
          <w:lang w:val="fr-FR"/>
        </w:rPr>
        <w:t xml:space="preserve">nnexe A ou prorogée à titre individuel. </w:t>
      </w:r>
      <w:r w:rsidR="00C92742" w:rsidRPr="007C41F2">
        <w:rPr>
          <w:sz w:val="20"/>
          <w:szCs w:val="20"/>
          <w:lang w:val="fr-FR"/>
        </w:rPr>
        <w:t>Toutefois, l</w:t>
      </w:r>
      <w:r w:rsidRPr="007C41F2">
        <w:rPr>
          <w:sz w:val="20"/>
          <w:szCs w:val="20"/>
          <w:lang w:val="fr-FR"/>
        </w:rPr>
        <w:t>es rejets dans le sol et l</w:t>
      </w:r>
      <w:r w:rsidR="00CA739D" w:rsidRPr="007C41F2">
        <w:rPr>
          <w:sz w:val="20"/>
          <w:szCs w:val="20"/>
          <w:lang w:val="fr-FR"/>
        </w:rPr>
        <w:t>’</w:t>
      </w:r>
      <w:r w:rsidRPr="007C41F2">
        <w:rPr>
          <w:sz w:val="20"/>
          <w:szCs w:val="20"/>
          <w:lang w:val="fr-FR"/>
        </w:rPr>
        <w:t>eau issus de la fabrication de produits non inscrits à l</w:t>
      </w:r>
      <w:r w:rsidR="00CA739D" w:rsidRPr="007C41F2">
        <w:rPr>
          <w:sz w:val="20"/>
          <w:szCs w:val="20"/>
          <w:lang w:val="fr-FR"/>
        </w:rPr>
        <w:t>’</w:t>
      </w:r>
      <w:r w:rsidR="00C92742" w:rsidRPr="007C41F2">
        <w:rPr>
          <w:sz w:val="20"/>
          <w:szCs w:val="20"/>
          <w:lang w:val="fr-FR"/>
        </w:rPr>
        <w:t>a</w:t>
      </w:r>
      <w:r w:rsidRPr="007C41F2">
        <w:rPr>
          <w:sz w:val="20"/>
          <w:szCs w:val="20"/>
          <w:lang w:val="fr-FR"/>
        </w:rPr>
        <w:t>nnexe A, y compris les produits dont la teneur en mercure est inférieure aux limites indiquées à l</w:t>
      </w:r>
      <w:r w:rsidR="00CA739D" w:rsidRPr="007C41F2">
        <w:rPr>
          <w:sz w:val="20"/>
          <w:szCs w:val="20"/>
          <w:lang w:val="fr-FR"/>
        </w:rPr>
        <w:t>’</w:t>
      </w:r>
      <w:r w:rsidRPr="007C41F2">
        <w:rPr>
          <w:sz w:val="20"/>
          <w:szCs w:val="20"/>
          <w:lang w:val="fr-FR"/>
        </w:rPr>
        <w:t>annexe A, ne sont pas traités par l</w:t>
      </w:r>
      <w:r w:rsidR="00CA739D" w:rsidRPr="007C41F2">
        <w:rPr>
          <w:sz w:val="20"/>
          <w:szCs w:val="20"/>
          <w:lang w:val="fr-FR"/>
        </w:rPr>
        <w:t>’</w:t>
      </w:r>
      <w:r w:rsidRPr="007C41F2">
        <w:rPr>
          <w:sz w:val="20"/>
          <w:szCs w:val="20"/>
          <w:lang w:val="fr-FR"/>
        </w:rPr>
        <w:t xml:space="preserve">article 4.  </w:t>
      </w:r>
    </w:p>
    <w:p w14:paraId="47E9AB8A" w14:textId="76AD700E" w:rsidR="003053E8" w:rsidRPr="007C41F2" w:rsidRDefault="003053E8"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 xml:space="preserve">Pour les amalgames dentaires </w:t>
      </w:r>
      <w:r w:rsidR="00C92742" w:rsidRPr="007C41F2">
        <w:rPr>
          <w:sz w:val="20"/>
          <w:szCs w:val="20"/>
          <w:lang w:val="fr-FR"/>
        </w:rPr>
        <w:t xml:space="preserve">visés </w:t>
      </w:r>
      <w:r w:rsidRPr="007C41F2">
        <w:rPr>
          <w:sz w:val="20"/>
          <w:szCs w:val="20"/>
          <w:lang w:val="fr-FR"/>
        </w:rPr>
        <w:t>dans la partie II de l</w:t>
      </w:r>
      <w:r w:rsidR="00CA739D" w:rsidRPr="007C41F2">
        <w:rPr>
          <w:sz w:val="20"/>
          <w:szCs w:val="20"/>
          <w:lang w:val="fr-FR"/>
        </w:rPr>
        <w:t>’</w:t>
      </w:r>
      <w:r w:rsidRPr="007C41F2">
        <w:rPr>
          <w:sz w:val="20"/>
          <w:szCs w:val="20"/>
          <w:lang w:val="fr-FR"/>
        </w:rPr>
        <w:t>annexe A, les Parties peuvent choisir entre neuf mesures destinées à promouvoir les meilleures pratiques environnementales afin de réduire les rejets. Ainsi, les rejets de mercure attribuables à la pratique dentaire sont traités pour les Parties qui choisissent de promouvoir les meilleures pratiques environnementales, mais pas pour celles qui ne le font pas. Il est également important de noter que les rejets provenant de l</w:t>
      </w:r>
      <w:r w:rsidR="00CA739D" w:rsidRPr="007C41F2">
        <w:rPr>
          <w:sz w:val="20"/>
          <w:szCs w:val="20"/>
          <w:lang w:val="fr-FR"/>
        </w:rPr>
        <w:t>’</w:t>
      </w:r>
      <w:r w:rsidRPr="007C41F2">
        <w:rPr>
          <w:sz w:val="20"/>
          <w:szCs w:val="20"/>
          <w:lang w:val="fr-FR"/>
        </w:rPr>
        <w:t>utilisation de produits contenant du mercure émanent selon toute vraisemblance de sources diffuses, qui dépassent la portée de l</w:t>
      </w:r>
      <w:r w:rsidR="00CA739D" w:rsidRPr="007C41F2">
        <w:rPr>
          <w:sz w:val="20"/>
          <w:szCs w:val="20"/>
          <w:lang w:val="fr-FR"/>
        </w:rPr>
        <w:t>’</w:t>
      </w:r>
      <w:r w:rsidRPr="007C41F2">
        <w:rPr>
          <w:sz w:val="20"/>
          <w:szCs w:val="20"/>
          <w:lang w:val="fr-FR"/>
        </w:rPr>
        <w:t>article 9.</w:t>
      </w:r>
    </w:p>
    <w:p w14:paraId="6A66A58C" w14:textId="08BACF3F" w:rsidR="003053E8" w:rsidRPr="007C41F2" w:rsidRDefault="009F1AA4" w:rsidP="00241EF8">
      <w:pPr>
        <w:pStyle w:val="CH3"/>
        <w:spacing w:before="0"/>
        <w:rPr>
          <w:lang w:val="fr-FR"/>
        </w:rPr>
      </w:pPr>
      <w:r w:rsidRPr="007C41F2">
        <w:rPr>
          <w:lang w:val="fr-FR"/>
        </w:rPr>
        <w:tab/>
      </w:r>
      <w:r w:rsidR="008C40F6" w:rsidRPr="007C41F2">
        <w:rPr>
          <w:lang w:val="fr-FR"/>
        </w:rPr>
        <w:t>3.</w:t>
      </w:r>
      <w:r w:rsidR="008C40F6" w:rsidRPr="007C41F2">
        <w:rPr>
          <w:lang w:val="fr-FR"/>
        </w:rPr>
        <w:tab/>
      </w:r>
      <w:r w:rsidR="008C40F6" w:rsidRPr="007C41F2">
        <w:rPr>
          <w:bCs/>
          <w:lang w:val="fr-FR"/>
        </w:rPr>
        <w:t>Article 5.</w:t>
      </w:r>
      <w:r w:rsidR="008C40F6" w:rsidRPr="007C41F2">
        <w:rPr>
          <w:lang w:val="fr-FR"/>
        </w:rPr>
        <w:t xml:space="preserve"> </w:t>
      </w:r>
      <w:r w:rsidR="008C40F6" w:rsidRPr="007C41F2">
        <w:rPr>
          <w:bCs/>
          <w:lang w:val="fr-FR"/>
        </w:rPr>
        <w:t>Procédés de fabrication dans lesquels du mercure ou des composés du mercure sont utilisés</w:t>
      </w:r>
    </w:p>
    <w:p w14:paraId="7EE9D295" w14:textId="7BBAEEFC" w:rsidR="003053E8" w:rsidRPr="007C41F2" w:rsidRDefault="003053E8"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L</w:t>
      </w:r>
      <w:r w:rsidR="00CA739D" w:rsidRPr="007C41F2">
        <w:rPr>
          <w:sz w:val="20"/>
          <w:szCs w:val="20"/>
          <w:lang w:val="fr-FR"/>
        </w:rPr>
        <w:t>’</w:t>
      </w:r>
      <w:r w:rsidRPr="007C41F2">
        <w:rPr>
          <w:sz w:val="20"/>
          <w:szCs w:val="20"/>
          <w:lang w:val="fr-FR"/>
        </w:rPr>
        <w:t>alinéa a) du paragraphe 5 exige de chaque Partie disposant d</w:t>
      </w:r>
      <w:r w:rsidR="00CA739D" w:rsidRPr="007C41F2">
        <w:rPr>
          <w:sz w:val="20"/>
          <w:szCs w:val="20"/>
          <w:lang w:val="fr-FR"/>
        </w:rPr>
        <w:t>’</w:t>
      </w:r>
      <w:r w:rsidRPr="007C41F2">
        <w:rPr>
          <w:sz w:val="20"/>
          <w:szCs w:val="20"/>
          <w:lang w:val="fr-FR"/>
        </w:rPr>
        <w:t>une ou de plusieurs installations qui utilisent du mercure ou des composés du mercure dans des procédés de fabrication inscrits à l</w:t>
      </w:r>
      <w:r w:rsidR="00CA739D" w:rsidRPr="007C41F2">
        <w:rPr>
          <w:sz w:val="20"/>
          <w:szCs w:val="20"/>
          <w:lang w:val="fr-FR"/>
        </w:rPr>
        <w:t>’</w:t>
      </w:r>
      <w:r w:rsidR="005B41F9" w:rsidRPr="007C41F2">
        <w:rPr>
          <w:sz w:val="20"/>
          <w:szCs w:val="20"/>
          <w:lang w:val="fr-FR"/>
        </w:rPr>
        <w:t>a</w:t>
      </w:r>
      <w:r w:rsidRPr="007C41F2">
        <w:rPr>
          <w:sz w:val="20"/>
          <w:szCs w:val="20"/>
          <w:lang w:val="fr-FR"/>
        </w:rPr>
        <w:t>nnexe B qu</w:t>
      </w:r>
      <w:r w:rsidR="00CA739D" w:rsidRPr="007C41F2">
        <w:rPr>
          <w:sz w:val="20"/>
          <w:szCs w:val="20"/>
          <w:lang w:val="fr-FR"/>
        </w:rPr>
        <w:t>’</w:t>
      </w:r>
      <w:r w:rsidRPr="007C41F2">
        <w:rPr>
          <w:sz w:val="20"/>
          <w:szCs w:val="20"/>
          <w:lang w:val="fr-FR"/>
        </w:rPr>
        <w:t>elle prenne des mesures pour lutter contre les émissions et rejets de mercure ou de composés du mercure. Les rejets provenant de ces installations sont donc traités par l</w:t>
      </w:r>
      <w:r w:rsidR="00CA739D" w:rsidRPr="007C41F2">
        <w:rPr>
          <w:sz w:val="20"/>
          <w:szCs w:val="20"/>
          <w:lang w:val="fr-FR"/>
        </w:rPr>
        <w:t>’</w:t>
      </w:r>
      <w:r w:rsidRPr="007C41F2">
        <w:rPr>
          <w:sz w:val="20"/>
          <w:szCs w:val="20"/>
          <w:lang w:val="fr-FR"/>
        </w:rPr>
        <w:t>article 5. Ce dernier ne fait toutefois pas explicitement mention d</w:t>
      </w:r>
      <w:r w:rsidR="00CA739D" w:rsidRPr="007C41F2">
        <w:rPr>
          <w:sz w:val="20"/>
          <w:szCs w:val="20"/>
          <w:lang w:val="fr-FR"/>
        </w:rPr>
        <w:t>’</w:t>
      </w:r>
      <w:r w:rsidRPr="007C41F2">
        <w:rPr>
          <w:sz w:val="20"/>
          <w:szCs w:val="20"/>
          <w:lang w:val="fr-FR"/>
        </w:rPr>
        <w:t>un inventaire des rejets. Les rejets des procédés de fabrication non inscrits à l</w:t>
      </w:r>
      <w:r w:rsidR="00CA739D" w:rsidRPr="007C41F2">
        <w:rPr>
          <w:sz w:val="20"/>
          <w:szCs w:val="20"/>
          <w:lang w:val="fr-FR"/>
        </w:rPr>
        <w:t>’</w:t>
      </w:r>
      <w:r w:rsidRPr="007C41F2">
        <w:rPr>
          <w:sz w:val="20"/>
          <w:szCs w:val="20"/>
          <w:lang w:val="fr-FR"/>
        </w:rPr>
        <w:t>annexe B ne sont pas traités par l</w:t>
      </w:r>
      <w:r w:rsidR="00CA739D" w:rsidRPr="007C41F2">
        <w:rPr>
          <w:sz w:val="20"/>
          <w:szCs w:val="20"/>
          <w:lang w:val="fr-FR"/>
        </w:rPr>
        <w:t>’</w:t>
      </w:r>
      <w:r w:rsidRPr="007C41F2">
        <w:rPr>
          <w:sz w:val="20"/>
          <w:szCs w:val="20"/>
          <w:lang w:val="fr-FR"/>
        </w:rPr>
        <w:t>article 5.</w:t>
      </w:r>
    </w:p>
    <w:p w14:paraId="6B409F74" w14:textId="6F102353" w:rsidR="003053E8" w:rsidRPr="007C41F2" w:rsidRDefault="009F1AA4" w:rsidP="00241EF8">
      <w:pPr>
        <w:pStyle w:val="CH3"/>
        <w:spacing w:before="0"/>
        <w:rPr>
          <w:lang w:val="fr-FR"/>
        </w:rPr>
      </w:pPr>
      <w:r w:rsidRPr="007C41F2">
        <w:rPr>
          <w:lang w:val="fr-FR"/>
        </w:rPr>
        <w:tab/>
      </w:r>
      <w:r w:rsidR="008C40F6" w:rsidRPr="007C41F2">
        <w:rPr>
          <w:lang w:val="fr-FR"/>
        </w:rPr>
        <w:t>4.</w:t>
      </w:r>
      <w:r w:rsidR="008C40F6" w:rsidRPr="007C41F2">
        <w:rPr>
          <w:lang w:val="fr-FR"/>
        </w:rPr>
        <w:tab/>
      </w:r>
      <w:r w:rsidR="008C40F6" w:rsidRPr="007C41F2">
        <w:rPr>
          <w:bCs/>
          <w:lang w:val="fr-FR"/>
        </w:rPr>
        <w:t>Article 7.</w:t>
      </w:r>
      <w:r w:rsidR="008C40F6" w:rsidRPr="007C41F2">
        <w:rPr>
          <w:lang w:val="fr-FR"/>
        </w:rPr>
        <w:t xml:space="preserve"> </w:t>
      </w:r>
      <w:r w:rsidR="008C40F6" w:rsidRPr="007C41F2">
        <w:rPr>
          <w:bCs/>
          <w:lang w:val="fr-FR"/>
        </w:rPr>
        <w:t>Extraction minière artisanale et à petite échelle d</w:t>
      </w:r>
      <w:r w:rsidR="00CA739D" w:rsidRPr="007C41F2">
        <w:rPr>
          <w:bCs/>
          <w:lang w:val="fr-FR"/>
        </w:rPr>
        <w:t>’</w:t>
      </w:r>
      <w:r w:rsidR="008C40F6" w:rsidRPr="007C41F2">
        <w:rPr>
          <w:bCs/>
          <w:lang w:val="fr-FR"/>
        </w:rPr>
        <w:t>or</w:t>
      </w:r>
      <w:r w:rsidR="008C40F6" w:rsidRPr="007C41F2">
        <w:rPr>
          <w:lang w:val="fr-FR"/>
        </w:rPr>
        <w:t xml:space="preserve"> </w:t>
      </w:r>
    </w:p>
    <w:p w14:paraId="293212C3" w14:textId="311FB159" w:rsidR="003053E8" w:rsidRPr="007C41F2" w:rsidRDefault="003053E8"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L</w:t>
      </w:r>
      <w:r w:rsidR="00CA739D" w:rsidRPr="007C41F2">
        <w:rPr>
          <w:sz w:val="20"/>
          <w:szCs w:val="20"/>
          <w:lang w:val="fr-FR"/>
        </w:rPr>
        <w:t>’</w:t>
      </w:r>
      <w:r w:rsidRPr="007C41F2">
        <w:rPr>
          <w:sz w:val="20"/>
          <w:szCs w:val="20"/>
          <w:lang w:val="fr-FR"/>
        </w:rPr>
        <w:t>article 7 dispose que chaque Partie sur le territoire de laquelle sont menées des activités d</w:t>
      </w:r>
      <w:r w:rsidR="00CA739D" w:rsidRPr="007C41F2">
        <w:rPr>
          <w:sz w:val="20"/>
          <w:szCs w:val="20"/>
          <w:lang w:val="fr-FR"/>
        </w:rPr>
        <w:t>’</w:t>
      </w:r>
      <w:r w:rsidRPr="007C41F2">
        <w:rPr>
          <w:sz w:val="20"/>
          <w:szCs w:val="20"/>
          <w:lang w:val="fr-FR"/>
        </w:rPr>
        <w:t>extraction minière et de transformation artisanales et à petite échelle d</w:t>
      </w:r>
      <w:r w:rsidR="00CA739D" w:rsidRPr="007C41F2">
        <w:rPr>
          <w:sz w:val="20"/>
          <w:szCs w:val="20"/>
          <w:lang w:val="fr-FR"/>
        </w:rPr>
        <w:t>’</w:t>
      </w:r>
      <w:r w:rsidRPr="007C41F2">
        <w:rPr>
          <w:sz w:val="20"/>
          <w:szCs w:val="20"/>
          <w:lang w:val="fr-FR"/>
        </w:rPr>
        <w:t>or prend des mesures pour réduire et, si possible, éliminer l</w:t>
      </w:r>
      <w:r w:rsidR="00CA739D" w:rsidRPr="007C41F2">
        <w:rPr>
          <w:sz w:val="20"/>
          <w:szCs w:val="20"/>
          <w:lang w:val="fr-FR"/>
        </w:rPr>
        <w:t>’</w:t>
      </w:r>
      <w:r w:rsidRPr="007C41F2">
        <w:rPr>
          <w:sz w:val="20"/>
          <w:szCs w:val="20"/>
          <w:lang w:val="fr-FR"/>
        </w:rPr>
        <w:t>utilisation de mercure et de composés du mercure dans le cadre de ces activités ainsi que les émissions et rejets consécutifs de mercure dans l</w:t>
      </w:r>
      <w:r w:rsidR="00CA739D" w:rsidRPr="007C41F2">
        <w:rPr>
          <w:sz w:val="20"/>
          <w:szCs w:val="20"/>
          <w:lang w:val="fr-FR"/>
        </w:rPr>
        <w:t>’</w:t>
      </w:r>
      <w:r w:rsidRPr="007C41F2">
        <w:rPr>
          <w:sz w:val="20"/>
          <w:szCs w:val="20"/>
          <w:lang w:val="fr-FR"/>
        </w:rPr>
        <w:t>environnement. En outre, toute Partie qui constate que les activités d</w:t>
      </w:r>
      <w:r w:rsidR="00CA739D" w:rsidRPr="007C41F2">
        <w:rPr>
          <w:sz w:val="20"/>
          <w:szCs w:val="20"/>
          <w:lang w:val="fr-FR"/>
        </w:rPr>
        <w:t>’</w:t>
      </w:r>
      <w:r w:rsidRPr="007C41F2">
        <w:rPr>
          <w:sz w:val="20"/>
          <w:szCs w:val="20"/>
          <w:lang w:val="fr-FR"/>
        </w:rPr>
        <w:t>extraction minière et de transformation artisanales et à petite échelle d</w:t>
      </w:r>
      <w:r w:rsidR="00CA739D" w:rsidRPr="007C41F2">
        <w:rPr>
          <w:sz w:val="20"/>
          <w:szCs w:val="20"/>
          <w:lang w:val="fr-FR"/>
        </w:rPr>
        <w:t>’</w:t>
      </w:r>
      <w:r w:rsidRPr="007C41F2">
        <w:rPr>
          <w:sz w:val="20"/>
          <w:szCs w:val="20"/>
          <w:lang w:val="fr-FR"/>
        </w:rPr>
        <w:t>or menées sur son territoire sont non négligeables élabore un plan d</w:t>
      </w:r>
      <w:r w:rsidR="00CA739D" w:rsidRPr="007C41F2">
        <w:rPr>
          <w:sz w:val="20"/>
          <w:szCs w:val="20"/>
          <w:lang w:val="fr-FR"/>
        </w:rPr>
        <w:t>’</w:t>
      </w:r>
      <w:r w:rsidRPr="007C41F2">
        <w:rPr>
          <w:sz w:val="20"/>
          <w:szCs w:val="20"/>
          <w:lang w:val="fr-FR"/>
        </w:rPr>
        <w:t>action national qui, conformément à l</w:t>
      </w:r>
      <w:r w:rsidR="00CA739D" w:rsidRPr="007C41F2">
        <w:rPr>
          <w:sz w:val="20"/>
          <w:szCs w:val="20"/>
          <w:lang w:val="fr-FR"/>
        </w:rPr>
        <w:t>’</w:t>
      </w:r>
      <w:r w:rsidRPr="007C41F2">
        <w:rPr>
          <w:sz w:val="20"/>
          <w:szCs w:val="20"/>
          <w:lang w:val="fr-FR"/>
        </w:rPr>
        <w:t>alinéa e) du paragraphe 1 de l</w:t>
      </w:r>
      <w:r w:rsidR="00CA739D" w:rsidRPr="007C41F2">
        <w:rPr>
          <w:sz w:val="20"/>
          <w:szCs w:val="20"/>
          <w:lang w:val="fr-FR"/>
        </w:rPr>
        <w:t>’</w:t>
      </w:r>
      <w:r w:rsidR="001E6FF3" w:rsidRPr="007C41F2">
        <w:rPr>
          <w:sz w:val="20"/>
          <w:szCs w:val="20"/>
          <w:lang w:val="fr-FR"/>
        </w:rPr>
        <w:t>a</w:t>
      </w:r>
      <w:r w:rsidRPr="007C41F2">
        <w:rPr>
          <w:sz w:val="20"/>
          <w:szCs w:val="20"/>
          <w:lang w:val="fr-FR"/>
        </w:rPr>
        <w:t>nnexe C, doit comporter des stratégies pour promouvoir la réduction des émissions et rejets de mercure.  Les orientations du plan d</w:t>
      </w:r>
      <w:r w:rsidR="00CA739D" w:rsidRPr="007C41F2">
        <w:rPr>
          <w:sz w:val="20"/>
          <w:szCs w:val="20"/>
          <w:lang w:val="fr-FR"/>
        </w:rPr>
        <w:t>’</w:t>
      </w:r>
      <w:r w:rsidRPr="007C41F2">
        <w:rPr>
          <w:sz w:val="20"/>
          <w:szCs w:val="20"/>
          <w:lang w:val="fr-FR"/>
        </w:rPr>
        <w:t>action national comprennent des mesures visant à réduire les rejets provenant de l</w:t>
      </w:r>
      <w:r w:rsidR="00CA739D" w:rsidRPr="007C41F2">
        <w:rPr>
          <w:sz w:val="20"/>
          <w:szCs w:val="20"/>
          <w:lang w:val="fr-FR"/>
        </w:rPr>
        <w:t>’</w:t>
      </w:r>
      <w:r w:rsidRPr="007C41F2">
        <w:rPr>
          <w:sz w:val="20"/>
          <w:szCs w:val="20"/>
          <w:lang w:val="fr-FR"/>
        </w:rPr>
        <w:t>extraction minière artisanale et à petite échelle d</w:t>
      </w:r>
      <w:r w:rsidR="00CA739D" w:rsidRPr="007C41F2">
        <w:rPr>
          <w:sz w:val="20"/>
          <w:szCs w:val="20"/>
          <w:lang w:val="fr-FR"/>
        </w:rPr>
        <w:t>’</w:t>
      </w:r>
      <w:r w:rsidRPr="007C41F2">
        <w:rPr>
          <w:sz w:val="20"/>
          <w:szCs w:val="20"/>
          <w:lang w:val="fr-FR"/>
        </w:rPr>
        <w:t>or. Les rejets provenant de l</w:t>
      </w:r>
      <w:r w:rsidR="00CA739D" w:rsidRPr="007C41F2">
        <w:rPr>
          <w:sz w:val="20"/>
          <w:szCs w:val="20"/>
          <w:lang w:val="fr-FR"/>
        </w:rPr>
        <w:t>’</w:t>
      </w:r>
      <w:r w:rsidRPr="007C41F2">
        <w:rPr>
          <w:sz w:val="20"/>
          <w:szCs w:val="20"/>
          <w:lang w:val="fr-FR"/>
        </w:rPr>
        <w:t>extraction minière sont donc traités par l</w:t>
      </w:r>
      <w:r w:rsidR="00CA739D" w:rsidRPr="007C41F2">
        <w:rPr>
          <w:sz w:val="20"/>
          <w:szCs w:val="20"/>
          <w:lang w:val="fr-FR"/>
        </w:rPr>
        <w:t>’</w:t>
      </w:r>
      <w:r w:rsidRPr="007C41F2">
        <w:rPr>
          <w:sz w:val="20"/>
          <w:szCs w:val="20"/>
          <w:lang w:val="fr-FR"/>
        </w:rPr>
        <w:t xml:space="preserve">article 7. Qui plus est, ces rejets émanent dans une large mesure de sources diffuses, </w:t>
      </w:r>
      <w:r w:rsidR="005B41F9" w:rsidRPr="007C41F2">
        <w:rPr>
          <w:sz w:val="20"/>
          <w:szCs w:val="20"/>
          <w:lang w:val="fr-FR"/>
        </w:rPr>
        <w:t xml:space="preserve">qui n’entrent pas dans le champ </w:t>
      </w:r>
      <w:r w:rsidRPr="007C41F2">
        <w:rPr>
          <w:sz w:val="20"/>
          <w:szCs w:val="20"/>
          <w:lang w:val="fr-FR"/>
        </w:rPr>
        <w:t>de l</w:t>
      </w:r>
      <w:r w:rsidR="00CA739D" w:rsidRPr="007C41F2">
        <w:rPr>
          <w:sz w:val="20"/>
          <w:szCs w:val="20"/>
          <w:lang w:val="fr-FR"/>
        </w:rPr>
        <w:t>’</w:t>
      </w:r>
      <w:r w:rsidRPr="007C41F2">
        <w:rPr>
          <w:sz w:val="20"/>
          <w:szCs w:val="20"/>
          <w:lang w:val="fr-FR"/>
        </w:rPr>
        <w:t>article 9. Un inventaire des rejets n</w:t>
      </w:r>
      <w:r w:rsidR="00CA739D" w:rsidRPr="007C41F2">
        <w:rPr>
          <w:sz w:val="20"/>
          <w:szCs w:val="20"/>
          <w:lang w:val="fr-FR"/>
        </w:rPr>
        <w:t>’</w:t>
      </w:r>
      <w:r w:rsidRPr="007C41F2">
        <w:rPr>
          <w:sz w:val="20"/>
          <w:szCs w:val="20"/>
          <w:lang w:val="fr-FR"/>
        </w:rPr>
        <w:t>est pas mentionné explicitement à l</w:t>
      </w:r>
      <w:r w:rsidR="00CA739D" w:rsidRPr="007C41F2">
        <w:rPr>
          <w:sz w:val="20"/>
          <w:szCs w:val="20"/>
          <w:lang w:val="fr-FR"/>
        </w:rPr>
        <w:t>’</w:t>
      </w:r>
      <w:r w:rsidRPr="007C41F2">
        <w:rPr>
          <w:sz w:val="20"/>
          <w:szCs w:val="20"/>
          <w:lang w:val="fr-FR"/>
        </w:rPr>
        <w:t>article 7 mais, dans le cadre de l</w:t>
      </w:r>
      <w:r w:rsidR="00CA739D" w:rsidRPr="007C41F2">
        <w:rPr>
          <w:sz w:val="20"/>
          <w:szCs w:val="20"/>
          <w:lang w:val="fr-FR"/>
        </w:rPr>
        <w:t>’</w:t>
      </w:r>
      <w:r w:rsidRPr="007C41F2">
        <w:rPr>
          <w:sz w:val="20"/>
          <w:szCs w:val="20"/>
          <w:lang w:val="fr-FR"/>
        </w:rPr>
        <w:t>élaboration d</w:t>
      </w:r>
      <w:r w:rsidR="00CA739D" w:rsidRPr="007C41F2">
        <w:rPr>
          <w:sz w:val="20"/>
          <w:szCs w:val="20"/>
          <w:lang w:val="fr-FR"/>
        </w:rPr>
        <w:t>’</w:t>
      </w:r>
      <w:r w:rsidRPr="007C41F2">
        <w:rPr>
          <w:sz w:val="20"/>
          <w:szCs w:val="20"/>
          <w:lang w:val="fr-FR"/>
        </w:rPr>
        <w:t>un plan d</w:t>
      </w:r>
      <w:r w:rsidR="00CA739D" w:rsidRPr="007C41F2">
        <w:rPr>
          <w:sz w:val="20"/>
          <w:szCs w:val="20"/>
          <w:lang w:val="fr-FR"/>
        </w:rPr>
        <w:t>’</w:t>
      </w:r>
      <w:r w:rsidRPr="007C41F2">
        <w:rPr>
          <w:sz w:val="20"/>
          <w:szCs w:val="20"/>
          <w:lang w:val="fr-FR"/>
        </w:rPr>
        <w:t>action national, les Parties doivent présenter des estimations initiales des quantités de mercure utilisées ainsi que les pratiques employées dans le secteur de l</w:t>
      </w:r>
      <w:r w:rsidR="00CA739D" w:rsidRPr="007C41F2">
        <w:rPr>
          <w:sz w:val="20"/>
          <w:szCs w:val="20"/>
          <w:lang w:val="fr-FR"/>
        </w:rPr>
        <w:t>’</w:t>
      </w:r>
      <w:r w:rsidRPr="007C41F2">
        <w:rPr>
          <w:sz w:val="20"/>
          <w:szCs w:val="20"/>
          <w:lang w:val="fr-FR"/>
        </w:rPr>
        <w:t>extraction minière et de la transformation artisanales et à petite échelle d</w:t>
      </w:r>
      <w:r w:rsidR="00CA739D" w:rsidRPr="007C41F2">
        <w:rPr>
          <w:sz w:val="20"/>
          <w:szCs w:val="20"/>
          <w:lang w:val="fr-FR"/>
        </w:rPr>
        <w:t>’</w:t>
      </w:r>
      <w:r w:rsidRPr="007C41F2">
        <w:rPr>
          <w:sz w:val="20"/>
          <w:szCs w:val="20"/>
          <w:lang w:val="fr-FR"/>
        </w:rPr>
        <w:t>or, ce qui constitue une sorte d</w:t>
      </w:r>
      <w:r w:rsidR="00CA739D" w:rsidRPr="007C41F2">
        <w:rPr>
          <w:sz w:val="20"/>
          <w:szCs w:val="20"/>
          <w:lang w:val="fr-FR"/>
        </w:rPr>
        <w:t>’</w:t>
      </w:r>
      <w:r w:rsidRPr="007C41F2">
        <w:rPr>
          <w:sz w:val="20"/>
          <w:szCs w:val="20"/>
          <w:lang w:val="fr-FR"/>
        </w:rPr>
        <w:t>inventaire couvrant un grand nombre de sources.</w:t>
      </w:r>
    </w:p>
    <w:p w14:paraId="010692CB" w14:textId="15919239" w:rsidR="003053E8" w:rsidRPr="007C41F2" w:rsidRDefault="009F1AA4" w:rsidP="00241EF8">
      <w:pPr>
        <w:pStyle w:val="CH3"/>
        <w:spacing w:before="0"/>
        <w:rPr>
          <w:lang w:val="fr-FR"/>
        </w:rPr>
      </w:pPr>
      <w:r w:rsidRPr="007C41F2">
        <w:rPr>
          <w:lang w:val="fr-FR"/>
        </w:rPr>
        <w:tab/>
      </w:r>
      <w:r w:rsidR="008C40F6" w:rsidRPr="007C41F2">
        <w:rPr>
          <w:lang w:val="fr-FR"/>
        </w:rPr>
        <w:t>5.</w:t>
      </w:r>
      <w:r w:rsidR="008C40F6" w:rsidRPr="007C41F2">
        <w:rPr>
          <w:lang w:val="fr-FR"/>
        </w:rPr>
        <w:tab/>
      </w:r>
      <w:r w:rsidR="008C40F6" w:rsidRPr="007C41F2">
        <w:rPr>
          <w:bCs/>
          <w:lang w:val="fr-FR"/>
        </w:rPr>
        <w:t>Article 8.</w:t>
      </w:r>
      <w:r w:rsidR="008C40F6" w:rsidRPr="007C41F2">
        <w:rPr>
          <w:lang w:val="fr-FR"/>
        </w:rPr>
        <w:t xml:space="preserve"> </w:t>
      </w:r>
      <w:r w:rsidR="008C40F6" w:rsidRPr="007C41F2">
        <w:rPr>
          <w:bCs/>
          <w:lang w:val="fr-FR"/>
        </w:rPr>
        <w:t>Émissions</w:t>
      </w:r>
    </w:p>
    <w:p w14:paraId="743A21F3" w14:textId="24C464F6" w:rsidR="003053E8" w:rsidRPr="007C41F2" w:rsidRDefault="003053E8"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L</w:t>
      </w:r>
      <w:r w:rsidR="00CA739D" w:rsidRPr="007C41F2">
        <w:rPr>
          <w:sz w:val="20"/>
          <w:szCs w:val="20"/>
          <w:lang w:val="fr-FR"/>
        </w:rPr>
        <w:t>’</w:t>
      </w:r>
      <w:r w:rsidRPr="007C41F2">
        <w:rPr>
          <w:sz w:val="20"/>
          <w:szCs w:val="20"/>
          <w:lang w:val="fr-FR"/>
        </w:rPr>
        <w:t>article 8 dispose que chaque Partie exige l</w:t>
      </w:r>
      <w:r w:rsidR="00CA739D" w:rsidRPr="007C41F2">
        <w:rPr>
          <w:sz w:val="20"/>
          <w:szCs w:val="20"/>
          <w:lang w:val="fr-FR"/>
        </w:rPr>
        <w:t>’</w:t>
      </w:r>
      <w:r w:rsidRPr="007C41F2">
        <w:rPr>
          <w:sz w:val="20"/>
          <w:szCs w:val="20"/>
          <w:lang w:val="fr-FR"/>
        </w:rPr>
        <w:t>utilisation des meilleures techniques disponibles et des meilleures pratiques environnementales pour contrôler, et dans la mesure du possible, réduire les émissions atmosphériques provenant de nouvelles sources. Il dispose également, s</w:t>
      </w:r>
      <w:r w:rsidR="00CA739D" w:rsidRPr="007C41F2">
        <w:rPr>
          <w:sz w:val="20"/>
          <w:szCs w:val="20"/>
          <w:lang w:val="fr-FR"/>
        </w:rPr>
        <w:t>’</w:t>
      </w:r>
      <w:r w:rsidRPr="007C41F2">
        <w:rPr>
          <w:sz w:val="20"/>
          <w:szCs w:val="20"/>
          <w:lang w:val="fr-FR"/>
        </w:rPr>
        <w:t>agissant des sources existantes, que les Parties prennent des mesures pouvant inclure un objectif quantifié pour contrôler et, dans la mesure du possible, réduire les émissions ; des valeurs limites d</w:t>
      </w:r>
      <w:r w:rsidR="00CA739D" w:rsidRPr="007C41F2">
        <w:rPr>
          <w:sz w:val="20"/>
          <w:szCs w:val="20"/>
          <w:lang w:val="fr-FR"/>
        </w:rPr>
        <w:t>’</w:t>
      </w:r>
      <w:r w:rsidRPr="007C41F2">
        <w:rPr>
          <w:sz w:val="20"/>
          <w:szCs w:val="20"/>
          <w:lang w:val="fr-FR"/>
        </w:rPr>
        <w:t>émission ; et l</w:t>
      </w:r>
      <w:r w:rsidR="00CA739D" w:rsidRPr="007C41F2">
        <w:rPr>
          <w:sz w:val="20"/>
          <w:szCs w:val="20"/>
          <w:lang w:val="fr-FR"/>
        </w:rPr>
        <w:t>’</w:t>
      </w:r>
      <w:r w:rsidRPr="007C41F2">
        <w:rPr>
          <w:sz w:val="20"/>
          <w:szCs w:val="20"/>
          <w:lang w:val="fr-FR"/>
        </w:rPr>
        <w:t>utilisation des meilleures techniques disponibles et des meilleures pratiques environnementales. L</w:t>
      </w:r>
      <w:r w:rsidR="00CA739D" w:rsidRPr="007C41F2">
        <w:rPr>
          <w:sz w:val="20"/>
          <w:szCs w:val="20"/>
          <w:lang w:val="fr-FR"/>
        </w:rPr>
        <w:t>’</w:t>
      </w:r>
      <w:r w:rsidRPr="007C41F2">
        <w:rPr>
          <w:sz w:val="20"/>
          <w:szCs w:val="20"/>
          <w:lang w:val="fr-FR"/>
        </w:rPr>
        <w:t>article 8 ne traite pas des rejets de mercure dans le sol et l</w:t>
      </w:r>
      <w:r w:rsidR="00CA739D" w:rsidRPr="007C41F2">
        <w:rPr>
          <w:sz w:val="20"/>
          <w:szCs w:val="20"/>
          <w:lang w:val="fr-FR"/>
        </w:rPr>
        <w:t>’</w:t>
      </w:r>
      <w:r w:rsidRPr="007C41F2">
        <w:rPr>
          <w:sz w:val="20"/>
          <w:szCs w:val="20"/>
          <w:lang w:val="fr-FR"/>
        </w:rPr>
        <w:t>eau. Les orientations concernant les meilleures techniques disponibles et les meilleures pratiques environnementales pour les émissions atmosphériques tiennent compte de la nécessité de réduire au minimum les effets entre différents milieux, comme les rejets dans le sol, l</w:t>
      </w:r>
      <w:r w:rsidR="00CA739D" w:rsidRPr="007C41F2">
        <w:rPr>
          <w:sz w:val="20"/>
          <w:szCs w:val="20"/>
          <w:lang w:val="fr-FR"/>
        </w:rPr>
        <w:t>’</w:t>
      </w:r>
      <w:r w:rsidRPr="007C41F2">
        <w:rPr>
          <w:sz w:val="20"/>
          <w:szCs w:val="20"/>
          <w:lang w:val="fr-FR"/>
        </w:rPr>
        <w:t xml:space="preserve">eau et les déchets. Les directives sur les émissions atmosphériques, toutefois, ne portent pas sur </w:t>
      </w:r>
      <w:r w:rsidR="005B41F9" w:rsidRPr="007C41F2">
        <w:rPr>
          <w:sz w:val="20"/>
          <w:szCs w:val="20"/>
          <w:lang w:val="fr-FR"/>
        </w:rPr>
        <w:t xml:space="preserve">les moyens </w:t>
      </w:r>
      <w:r w:rsidRPr="007C41F2">
        <w:rPr>
          <w:sz w:val="20"/>
          <w:szCs w:val="20"/>
          <w:lang w:val="fr-FR"/>
        </w:rPr>
        <w:t>de réduire les rejets dans le sol et l</w:t>
      </w:r>
      <w:r w:rsidR="00CA739D" w:rsidRPr="007C41F2">
        <w:rPr>
          <w:sz w:val="20"/>
          <w:szCs w:val="20"/>
          <w:lang w:val="fr-FR"/>
        </w:rPr>
        <w:t>’</w:t>
      </w:r>
      <w:r w:rsidRPr="007C41F2">
        <w:rPr>
          <w:sz w:val="20"/>
          <w:szCs w:val="20"/>
          <w:lang w:val="fr-FR"/>
        </w:rPr>
        <w:t>eau, pas plus qu</w:t>
      </w:r>
      <w:r w:rsidR="00CA739D" w:rsidRPr="007C41F2">
        <w:rPr>
          <w:sz w:val="20"/>
          <w:szCs w:val="20"/>
          <w:lang w:val="fr-FR"/>
        </w:rPr>
        <w:t>’</w:t>
      </w:r>
      <w:r w:rsidRPr="007C41F2">
        <w:rPr>
          <w:sz w:val="20"/>
          <w:szCs w:val="20"/>
          <w:lang w:val="fr-FR"/>
        </w:rPr>
        <w:t>elles n</w:t>
      </w:r>
      <w:r w:rsidR="00CA739D" w:rsidRPr="007C41F2">
        <w:rPr>
          <w:sz w:val="20"/>
          <w:szCs w:val="20"/>
          <w:lang w:val="fr-FR"/>
        </w:rPr>
        <w:t>’</w:t>
      </w:r>
      <w:r w:rsidRPr="007C41F2">
        <w:rPr>
          <w:sz w:val="20"/>
          <w:szCs w:val="20"/>
          <w:lang w:val="fr-FR"/>
        </w:rPr>
        <w:t>offrent d</w:t>
      </w:r>
      <w:r w:rsidR="00CA739D" w:rsidRPr="007C41F2">
        <w:rPr>
          <w:sz w:val="20"/>
          <w:szCs w:val="20"/>
          <w:lang w:val="fr-FR"/>
        </w:rPr>
        <w:t>’</w:t>
      </w:r>
      <w:r w:rsidRPr="007C41F2">
        <w:rPr>
          <w:sz w:val="20"/>
          <w:szCs w:val="20"/>
          <w:lang w:val="fr-FR"/>
        </w:rPr>
        <w:t>orientations sur les meilleures techniques disponibles et les meilleures pratiques environnementales en matière de rejets. Les rejets de mercure dans le sol et l</w:t>
      </w:r>
      <w:r w:rsidR="00CA739D" w:rsidRPr="007C41F2">
        <w:rPr>
          <w:sz w:val="20"/>
          <w:szCs w:val="20"/>
          <w:lang w:val="fr-FR"/>
        </w:rPr>
        <w:t>’</w:t>
      </w:r>
      <w:r w:rsidRPr="007C41F2">
        <w:rPr>
          <w:sz w:val="20"/>
          <w:szCs w:val="20"/>
          <w:lang w:val="fr-FR"/>
        </w:rPr>
        <w:t>eau issus des catégories de sources ponctuelles inscrites à l</w:t>
      </w:r>
      <w:r w:rsidR="00CA739D" w:rsidRPr="007C41F2">
        <w:rPr>
          <w:sz w:val="20"/>
          <w:szCs w:val="20"/>
          <w:lang w:val="fr-FR"/>
        </w:rPr>
        <w:t>’</w:t>
      </w:r>
      <w:r w:rsidRPr="007C41F2">
        <w:rPr>
          <w:sz w:val="20"/>
          <w:szCs w:val="20"/>
          <w:lang w:val="fr-FR"/>
        </w:rPr>
        <w:t>annexe D ne sont donc pas traitées dans l</w:t>
      </w:r>
      <w:r w:rsidR="00CA739D" w:rsidRPr="007C41F2">
        <w:rPr>
          <w:sz w:val="20"/>
          <w:szCs w:val="20"/>
          <w:lang w:val="fr-FR"/>
        </w:rPr>
        <w:t>’</w:t>
      </w:r>
      <w:r w:rsidRPr="007C41F2">
        <w:rPr>
          <w:sz w:val="20"/>
          <w:szCs w:val="20"/>
          <w:lang w:val="fr-FR"/>
        </w:rPr>
        <w:t xml:space="preserve">article 8. Les Parties pourraient par conséquent avoir déjà mis en </w:t>
      </w:r>
      <w:r w:rsidR="00CA739D" w:rsidRPr="007C41F2">
        <w:rPr>
          <w:sz w:val="20"/>
          <w:szCs w:val="20"/>
          <w:lang w:val="fr-FR"/>
        </w:rPr>
        <w:t xml:space="preserve">œuvre </w:t>
      </w:r>
      <w:r w:rsidRPr="007C41F2">
        <w:rPr>
          <w:sz w:val="20"/>
          <w:szCs w:val="20"/>
          <w:lang w:val="fr-FR"/>
        </w:rPr>
        <w:t xml:space="preserve">des technologies </w:t>
      </w:r>
      <w:r w:rsidR="005B41F9" w:rsidRPr="007C41F2">
        <w:rPr>
          <w:sz w:val="20"/>
          <w:szCs w:val="20"/>
          <w:lang w:val="fr-FR"/>
        </w:rPr>
        <w:t xml:space="preserve">permettant de </w:t>
      </w:r>
      <w:r w:rsidRPr="007C41F2">
        <w:rPr>
          <w:sz w:val="20"/>
          <w:szCs w:val="20"/>
          <w:lang w:val="fr-FR"/>
        </w:rPr>
        <w:t>diminuer les rejets au moment de l</w:t>
      </w:r>
      <w:r w:rsidR="00CA739D" w:rsidRPr="007C41F2">
        <w:rPr>
          <w:sz w:val="20"/>
          <w:szCs w:val="20"/>
          <w:lang w:val="fr-FR"/>
        </w:rPr>
        <w:t>’</w:t>
      </w:r>
      <w:r w:rsidRPr="007C41F2">
        <w:rPr>
          <w:sz w:val="20"/>
          <w:szCs w:val="20"/>
          <w:lang w:val="fr-FR"/>
        </w:rPr>
        <w:t>in</w:t>
      </w:r>
      <w:r w:rsidR="005B41F9" w:rsidRPr="007C41F2">
        <w:rPr>
          <w:sz w:val="20"/>
          <w:szCs w:val="20"/>
          <w:lang w:val="fr-FR"/>
        </w:rPr>
        <w:t xml:space="preserve">troduction </w:t>
      </w:r>
      <w:r w:rsidRPr="007C41F2">
        <w:rPr>
          <w:sz w:val="20"/>
          <w:szCs w:val="20"/>
          <w:lang w:val="fr-FR"/>
        </w:rPr>
        <w:t>de technologies de réduction des émissions de mercure dans l</w:t>
      </w:r>
      <w:r w:rsidR="00CA739D" w:rsidRPr="007C41F2">
        <w:rPr>
          <w:sz w:val="20"/>
          <w:szCs w:val="20"/>
          <w:lang w:val="fr-FR"/>
        </w:rPr>
        <w:t>’</w:t>
      </w:r>
      <w:r w:rsidRPr="007C41F2">
        <w:rPr>
          <w:sz w:val="20"/>
          <w:szCs w:val="20"/>
          <w:lang w:val="fr-FR"/>
        </w:rPr>
        <w:t>atmosphère. L</w:t>
      </w:r>
      <w:r w:rsidR="00CA739D" w:rsidRPr="007C41F2">
        <w:rPr>
          <w:sz w:val="20"/>
          <w:szCs w:val="20"/>
          <w:lang w:val="fr-FR"/>
        </w:rPr>
        <w:t>’</w:t>
      </w:r>
      <w:r w:rsidRPr="007C41F2">
        <w:rPr>
          <w:sz w:val="20"/>
          <w:szCs w:val="20"/>
          <w:lang w:val="fr-FR"/>
        </w:rPr>
        <w:t>établissement d</w:t>
      </w:r>
      <w:r w:rsidR="00CA739D" w:rsidRPr="007C41F2">
        <w:rPr>
          <w:sz w:val="20"/>
          <w:szCs w:val="20"/>
          <w:lang w:val="fr-FR"/>
        </w:rPr>
        <w:t>’</w:t>
      </w:r>
      <w:r w:rsidRPr="007C41F2">
        <w:rPr>
          <w:sz w:val="20"/>
          <w:szCs w:val="20"/>
          <w:lang w:val="fr-FR"/>
        </w:rPr>
        <w:t>un inventaire est obligatoire pour les émissions, mais l</w:t>
      </w:r>
      <w:r w:rsidR="00CA739D" w:rsidRPr="007C41F2">
        <w:rPr>
          <w:sz w:val="20"/>
          <w:szCs w:val="20"/>
          <w:lang w:val="fr-FR"/>
        </w:rPr>
        <w:t>’</w:t>
      </w:r>
      <w:r w:rsidRPr="007C41F2">
        <w:rPr>
          <w:sz w:val="20"/>
          <w:szCs w:val="20"/>
          <w:lang w:val="fr-FR"/>
        </w:rPr>
        <w:t>article 8 ne fait pas explicitement mention d</w:t>
      </w:r>
      <w:r w:rsidR="00CA739D" w:rsidRPr="007C41F2">
        <w:rPr>
          <w:sz w:val="20"/>
          <w:szCs w:val="20"/>
          <w:lang w:val="fr-FR"/>
        </w:rPr>
        <w:t>’</w:t>
      </w:r>
      <w:r w:rsidRPr="007C41F2">
        <w:rPr>
          <w:sz w:val="20"/>
          <w:szCs w:val="20"/>
          <w:lang w:val="fr-FR"/>
        </w:rPr>
        <w:t>un inventaire des rejets.</w:t>
      </w:r>
    </w:p>
    <w:p w14:paraId="75356DEC" w14:textId="28F79901" w:rsidR="003053E8" w:rsidRPr="007C41F2" w:rsidRDefault="009F1AA4" w:rsidP="00241EF8">
      <w:pPr>
        <w:pStyle w:val="CH3"/>
        <w:spacing w:before="0"/>
        <w:rPr>
          <w:lang w:val="fr-FR"/>
        </w:rPr>
      </w:pPr>
      <w:r w:rsidRPr="007C41F2">
        <w:rPr>
          <w:lang w:val="fr-FR"/>
        </w:rPr>
        <w:tab/>
      </w:r>
      <w:r w:rsidR="008C40F6" w:rsidRPr="007C41F2">
        <w:rPr>
          <w:lang w:val="fr-FR"/>
        </w:rPr>
        <w:t>6.</w:t>
      </w:r>
      <w:r w:rsidR="008C40F6" w:rsidRPr="007C41F2">
        <w:rPr>
          <w:lang w:val="fr-FR"/>
        </w:rPr>
        <w:tab/>
      </w:r>
      <w:r w:rsidR="008C40F6" w:rsidRPr="007C41F2">
        <w:rPr>
          <w:bCs/>
          <w:lang w:val="fr-FR"/>
        </w:rPr>
        <w:t>Article 10.</w:t>
      </w:r>
      <w:r w:rsidR="008C40F6" w:rsidRPr="007C41F2">
        <w:rPr>
          <w:lang w:val="fr-FR"/>
        </w:rPr>
        <w:t xml:space="preserve"> </w:t>
      </w:r>
      <w:r w:rsidR="008C40F6" w:rsidRPr="007C41F2">
        <w:rPr>
          <w:bCs/>
          <w:lang w:val="fr-FR"/>
        </w:rPr>
        <w:t>Stockage provisoire écologiquement rationnel du mercure, à l</w:t>
      </w:r>
      <w:r w:rsidR="00CA739D" w:rsidRPr="007C41F2">
        <w:rPr>
          <w:bCs/>
          <w:lang w:val="fr-FR"/>
        </w:rPr>
        <w:t>’</w:t>
      </w:r>
      <w:r w:rsidR="008C40F6" w:rsidRPr="007C41F2">
        <w:rPr>
          <w:bCs/>
          <w:lang w:val="fr-FR"/>
        </w:rPr>
        <w:t>exclusion des déchets de mercure</w:t>
      </w:r>
    </w:p>
    <w:p w14:paraId="1DC6EBDA" w14:textId="3A131AC5" w:rsidR="003053E8" w:rsidRPr="007C41F2" w:rsidRDefault="003053E8"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L</w:t>
      </w:r>
      <w:r w:rsidR="00CA739D" w:rsidRPr="007C41F2">
        <w:rPr>
          <w:sz w:val="20"/>
          <w:szCs w:val="20"/>
          <w:lang w:val="fr-FR"/>
        </w:rPr>
        <w:t>’</w:t>
      </w:r>
      <w:r w:rsidRPr="007C41F2">
        <w:rPr>
          <w:sz w:val="20"/>
          <w:szCs w:val="20"/>
          <w:lang w:val="fr-FR"/>
        </w:rPr>
        <w:t>article 10 dispose que chaque Partie prend des mesures pour faire en sorte que le stockage provisoire du mercure et des composés du mercure, à l</w:t>
      </w:r>
      <w:r w:rsidR="00CA739D" w:rsidRPr="007C41F2">
        <w:rPr>
          <w:sz w:val="20"/>
          <w:szCs w:val="20"/>
          <w:lang w:val="fr-FR"/>
        </w:rPr>
        <w:t>’</w:t>
      </w:r>
      <w:r w:rsidRPr="007C41F2">
        <w:rPr>
          <w:sz w:val="20"/>
          <w:szCs w:val="20"/>
          <w:lang w:val="fr-FR"/>
        </w:rPr>
        <w:t>exclusion des déchets, soit assuré d</w:t>
      </w:r>
      <w:r w:rsidR="00CA739D" w:rsidRPr="007C41F2">
        <w:rPr>
          <w:sz w:val="20"/>
          <w:szCs w:val="20"/>
          <w:lang w:val="fr-FR"/>
        </w:rPr>
        <w:t>’</w:t>
      </w:r>
      <w:r w:rsidRPr="007C41F2">
        <w:rPr>
          <w:sz w:val="20"/>
          <w:szCs w:val="20"/>
          <w:lang w:val="fr-FR"/>
        </w:rPr>
        <w:t>une manière écologiquement rationnelle. Les rejets de mercure et de composés du mercure provenant du stockage provisoire sont donc traités par cet article. Les directives concernant le stockage provisoire écologiquement rationnel du mercure, à l</w:t>
      </w:r>
      <w:r w:rsidR="00CA739D" w:rsidRPr="007C41F2">
        <w:rPr>
          <w:sz w:val="20"/>
          <w:szCs w:val="20"/>
          <w:lang w:val="fr-FR"/>
        </w:rPr>
        <w:t>’</w:t>
      </w:r>
      <w:r w:rsidRPr="007C41F2">
        <w:rPr>
          <w:sz w:val="20"/>
          <w:szCs w:val="20"/>
          <w:lang w:val="fr-FR"/>
        </w:rPr>
        <w:t xml:space="preserve">exclusion des déchets de mercure, incluent des mesures tendant à prévenir les rejets. Il est important de noter que les rejets provenant du stockage provisoire peuvent émaner de sources diffuses, qui </w:t>
      </w:r>
      <w:r w:rsidR="005B41F9" w:rsidRPr="007C41F2">
        <w:rPr>
          <w:sz w:val="20"/>
          <w:szCs w:val="20"/>
          <w:lang w:val="fr-FR"/>
        </w:rPr>
        <w:t xml:space="preserve">n’entrent pas dans le champ </w:t>
      </w:r>
      <w:r w:rsidRPr="007C41F2">
        <w:rPr>
          <w:sz w:val="20"/>
          <w:szCs w:val="20"/>
          <w:lang w:val="fr-FR"/>
        </w:rPr>
        <w:t>de l</w:t>
      </w:r>
      <w:r w:rsidR="00CA739D" w:rsidRPr="007C41F2">
        <w:rPr>
          <w:sz w:val="20"/>
          <w:szCs w:val="20"/>
          <w:lang w:val="fr-FR"/>
        </w:rPr>
        <w:t>’</w:t>
      </w:r>
      <w:r w:rsidRPr="007C41F2">
        <w:rPr>
          <w:sz w:val="20"/>
          <w:szCs w:val="20"/>
          <w:lang w:val="fr-FR"/>
        </w:rPr>
        <w:t>article 9.</w:t>
      </w:r>
    </w:p>
    <w:p w14:paraId="7352BA12" w14:textId="606E56B0" w:rsidR="003053E8" w:rsidRPr="007C41F2" w:rsidRDefault="009F1AA4" w:rsidP="00241EF8">
      <w:pPr>
        <w:pStyle w:val="CH3"/>
        <w:spacing w:before="0"/>
        <w:rPr>
          <w:lang w:val="fr-FR"/>
        </w:rPr>
      </w:pPr>
      <w:r w:rsidRPr="007C41F2">
        <w:rPr>
          <w:lang w:val="fr-FR"/>
        </w:rPr>
        <w:tab/>
      </w:r>
      <w:r w:rsidR="008C40F6" w:rsidRPr="007C41F2">
        <w:rPr>
          <w:lang w:val="fr-FR"/>
        </w:rPr>
        <w:t>7.</w:t>
      </w:r>
      <w:r w:rsidR="008C40F6" w:rsidRPr="007C41F2">
        <w:rPr>
          <w:lang w:val="fr-FR"/>
        </w:rPr>
        <w:tab/>
      </w:r>
      <w:r w:rsidR="008C40F6" w:rsidRPr="007C41F2">
        <w:rPr>
          <w:bCs/>
          <w:lang w:val="fr-FR"/>
        </w:rPr>
        <w:t>Article 11.</w:t>
      </w:r>
      <w:r w:rsidR="008C40F6" w:rsidRPr="007C41F2">
        <w:rPr>
          <w:lang w:val="fr-FR"/>
        </w:rPr>
        <w:t xml:space="preserve"> </w:t>
      </w:r>
      <w:r w:rsidR="008C40F6" w:rsidRPr="007C41F2">
        <w:rPr>
          <w:bCs/>
          <w:lang w:val="fr-FR"/>
        </w:rPr>
        <w:t>Déchets de mercure</w:t>
      </w:r>
    </w:p>
    <w:p w14:paraId="47B9475D" w14:textId="3BD503B1" w:rsidR="003053E8" w:rsidRPr="007C41F2" w:rsidRDefault="003053E8"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La relation entre l</w:t>
      </w:r>
      <w:r w:rsidR="00CA739D" w:rsidRPr="007C41F2">
        <w:rPr>
          <w:sz w:val="20"/>
          <w:szCs w:val="20"/>
          <w:lang w:val="fr-FR"/>
        </w:rPr>
        <w:t>’</w:t>
      </w:r>
      <w:r w:rsidRPr="007C41F2">
        <w:rPr>
          <w:sz w:val="20"/>
          <w:szCs w:val="20"/>
          <w:lang w:val="fr-FR"/>
        </w:rPr>
        <w:t>article 9 et l</w:t>
      </w:r>
      <w:r w:rsidR="00CA739D" w:rsidRPr="007C41F2">
        <w:rPr>
          <w:sz w:val="20"/>
          <w:szCs w:val="20"/>
          <w:lang w:val="fr-FR"/>
        </w:rPr>
        <w:t>’</w:t>
      </w:r>
      <w:r w:rsidRPr="007C41F2">
        <w:rPr>
          <w:sz w:val="20"/>
          <w:szCs w:val="20"/>
          <w:lang w:val="fr-FR"/>
        </w:rPr>
        <w:t>article 11 est complexe. L</w:t>
      </w:r>
      <w:r w:rsidR="00CA739D" w:rsidRPr="007C41F2">
        <w:rPr>
          <w:sz w:val="20"/>
          <w:szCs w:val="20"/>
          <w:lang w:val="fr-FR"/>
        </w:rPr>
        <w:t>’</w:t>
      </w:r>
      <w:r w:rsidRPr="007C41F2">
        <w:rPr>
          <w:sz w:val="20"/>
          <w:szCs w:val="20"/>
          <w:lang w:val="fr-FR"/>
        </w:rPr>
        <w:t>article 11 fait obligation aux Parties de prendre des mesures appropriées pour que les déchets de mercure fassent l</w:t>
      </w:r>
      <w:r w:rsidR="00CA739D" w:rsidRPr="007C41F2">
        <w:rPr>
          <w:sz w:val="20"/>
          <w:szCs w:val="20"/>
          <w:lang w:val="fr-FR"/>
        </w:rPr>
        <w:t>’</w:t>
      </w:r>
      <w:r w:rsidRPr="007C41F2">
        <w:rPr>
          <w:sz w:val="20"/>
          <w:szCs w:val="20"/>
          <w:lang w:val="fr-FR"/>
        </w:rPr>
        <w:t>objet d</w:t>
      </w:r>
      <w:r w:rsidR="00CA739D" w:rsidRPr="007C41F2">
        <w:rPr>
          <w:sz w:val="20"/>
          <w:szCs w:val="20"/>
          <w:lang w:val="fr-FR"/>
        </w:rPr>
        <w:t>’</w:t>
      </w:r>
      <w:r w:rsidRPr="007C41F2">
        <w:rPr>
          <w:sz w:val="20"/>
          <w:szCs w:val="20"/>
          <w:lang w:val="fr-FR"/>
        </w:rPr>
        <w:t>une gestion écologiquement rationnelle, en tenant compte des directives élaborées au titre de la Convention de Bâle sur le contrôle des mouvements transfrontières de déchets dangereux et de leur élimination. Aux fins de ladite Convention, par « déchets de mercure », on entend les substances ou objets constitués de mercure ou de composés du mercure, en contenant ou contaminés par ces substances, qu</w:t>
      </w:r>
      <w:r w:rsidR="00CA739D" w:rsidRPr="007C41F2">
        <w:rPr>
          <w:sz w:val="20"/>
          <w:szCs w:val="20"/>
          <w:lang w:val="fr-FR"/>
        </w:rPr>
        <w:t>’</w:t>
      </w:r>
      <w:r w:rsidRPr="007C41F2">
        <w:rPr>
          <w:sz w:val="20"/>
          <w:szCs w:val="20"/>
          <w:lang w:val="fr-FR"/>
        </w:rPr>
        <w:t>on élimine, qu</w:t>
      </w:r>
      <w:r w:rsidR="00CA739D" w:rsidRPr="007C41F2">
        <w:rPr>
          <w:sz w:val="20"/>
          <w:szCs w:val="20"/>
          <w:lang w:val="fr-FR"/>
        </w:rPr>
        <w:t>’</w:t>
      </w:r>
      <w:r w:rsidRPr="007C41F2">
        <w:rPr>
          <w:sz w:val="20"/>
          <w:szCs w:val="20"/>
          <w:lang w:val="fr-FR"/>
        </w:rPr>
        <w:t>on a l</w:t>
      </w:r>
      <w:r w:rsidR="00CA739D" w:rsidRPr="007C41F2">
        <w:rPr>
          <w:sz w:val="20"/>
          <w:szCs w:val="20"/>
          <w:lang w:val="fr-FR"/>
        </w:rPr>
        <w:t>’</w:t>
      </w:r>
      <w:r w:rsidRPr="007C41F2">
        <w:rPr>
          <w:sz w:val="20"/>
          <w:szCs w:val="20"/>
          <w:lang w:val="fr-FR"/>
        </w:rPr>
        <w:t>intention d</w:t>
      </w:r>
      <w:r w:rsidR="00CA739D" w:rsidRPr="007C41F2">
        <w:rPr>
          <w:sz w:val="20"/>
          <w:szCs w:val="20"/>
          <w:lang w:val="fr-FR"/>
        </w:rPr>
        <w:t>’</w:t>
      </w:r>
      <w:r w:rsidRPr="007C41F2">
        <w:rPr>
          <w:sz w:val="20"/>
          <w:szCs w:val="20"/>
          <w:lang w:val="fr-FR"/>
        </w:rPr>
        <w:t>éliminer ou qu</w:t>
      </w:r>
      <w:r w:rsidR="00CA739D" w:rsidRPr="007C41F2">
        <w:rPr>
          <w:sz w:val="20"/>
          <w:szCs w:val="20"/>
          <w:lang w:val="fr-FR"/>
        </w:rPr>
        <w:t>’</w:t>
      </w:r>
      <w:r w:rsidRPr="007C41F2">
        <w:rPr>
          <w:sz w:val="20"/>
          <w:szCs w:val="20"/>
          <w:lang w:val="fr-FR"/>
        </w:rPr>
        <w:t>on est tenu d</w:t>
      </w:r>
      <w:r w:rsidR="00CA739D" w:rsidRPr="007C41F2">
        <w:rPr>
          <w:sz w:val="20"/>
          <w:szCs w:val="20"/>
          <w:lang w:val="fr-FR"/>
        </w:rPr>
        <w:t>’</w:t>
      </w:r>
      <w:r w:rsidRPr="007C41F2">
        <w:rPr>
          <w:sz w:val="20"/>
          <w:szCs w:val="20"/>
          <w:lang w:val="fr-FR"/>
        </w:rPr>
        <w:t xml:space="preserve">éliminer en </w:t>
      </w:r>
      <w:r w:rsidR="0043775B" w:rsidRPr="007C41F2">
        <w:rPr>
          <w:sz w:val="20"/>
          <w:szCs w:val="20"/>
          <w:lang w:val="fr-FR"/>
        </w:rPr>
        <w:t xml:space="preserve">application </w:t>
      </w:r>
      <w:r w:rsidRPr="007C41F2">
        <w:rPr>
          <w:sz w:val="20"/>
          <w:szCs w:val="20"/>
          <w:lang w:val="fr-FR"/>
        </w:rPr>
        <w:t>des dispositions du droit national. L</w:t>
      </w:r>
      <w:r w:rsidR="00CA739D" w:rsidRPr="007C41F2">
        <w:rPr>
          <w:sz w:val="20"/>
          <w:szCs w:val="20"/>
          <w:lang w:val="fr-FR"/>
        </w:rPr>
        <w:t>’</w:t>
      </w:r>
      <w:r w:rsidRPr="007C41F2">
        <w:rPr>
          <w:sz w:val="20"/>
          <w:szCs w:val="20"/>
          <w:lang w:val="fr-FR"/>
        </w:rPr>
        <w:t>article 11 de la Convention de Minamata incorpore les définitions pertinentes de la Convention de Bâle. Le rejet dans le sol et l</w:t>
      </w:r>
      <w:r w:rsidR="00CA739D" w:rsidRPr="007C41F2">
        <w:rPr>
          <w:sz w:val="20"/>
          <w:szCs w:val="20"/>
          <w:lang w:val="fr-FR"/>
        </w:rPr>
        <w:t>’</w:t>
      </w:r>
      <w:r w:rsidRPr="007C41F2">
        <w:rPr>
          <w:sz w:val="20"/>
          <w:szCs w:val="20"/>
          <w:lang w:val="fr-FR"/>
        </w:rPr>
        <w:t>eau de substances ou objets constitués de mercure, en contenant ou contaminés par cette substance équivaut pour la Convention de Bâle à leur «</w:t>
      </w:r>
      <w:r w:rsidR="0043775B" w:rsidRPr="007C41F2">
        <w:rPr>
          <w:sz w:val="20"/>
          <w:szCs w:val="20"/>
          <w:lang w:val="fr-FR"/>
        </w:rPr>
        <w:t> </w:t>
      </w:r>
      <w:r w:rsidRPr="007C41F2">
        <w:rPr>
          <w:sz w:val="20"/>
          <w:szCs w:val="20"/>
          <w:lang w:val="fr-FR"/>
        </w:rPr>
        <w:t>élimination</w:t>
      </w:r>
      <w:r w:rsidR="0043775B" w:rsidRPr="007C41F2">
        <w:rPr>
          <w:sz w:val="20"/>
          <w:szCs w:val="20"/>
          <w:lang w:val="fr-FR"/>
        </w:rPr>
        <w:t> </w:t>
      </w:r>
      <w:r w:rsidRPr="007C41F2">
        <w:rPr>
          <w:sz w:val="20"/>
          <w:szCs w:val="20"/>
          <w:lang w:val="fr-FR"/>
        </w:rPr>
        <w:t>»</w:t>
      </w:r>
      <w:r w:rsidR="008572F4" w:rsidRPr="007C41F2">
        <w:rPr>
          <w:rFonts w:asciiTheme="majorBidi" w:hAnsiTheme="majorBidi"/>
          <w:sz w:val="20"/>
          <w:szCs w:val="20"/>
          <w:vertAlign w:val="superscript"/>
          <w:lang w:val="fr-FR"/>
        </w:rPr>
        <w:footnoteReference w:id="4"/>
      </w:r>
      <w:r w:rsidR="0043775B" w:rsidRPr="007C41F2">
        <w:rPr>
          <w:sz w:val="20"/>
          <w:szCs w:val="20"/>
          <w:lang w:val="fr-FR"/>
        </w:rPr>
        <w:t>.</w:t>
      </w:r>
      <w:r w:rsidRPr="007C41F2">
        <w:rPr>
          <w:sz w:val="20"/>
          <w:szCs w:val="20"/>
          <w:lang w:val="fr-FR"/>
        </w:rPr>
        <w:t xml:space="preserve"> Au titre de cette Convention, le fait de les éliminer entraîne leur assimilation à des déchets. L</w:t>
      </w:r>
      <w:r w:rsidR="00CA739D" w:rsidRPr="007C41F2">
        <w:rPr>
          <w:sz w:val="20"/>
          <w:szCs w:val="20"/>
          <w:lang w:val="fr-FR"/>
        </w:rPr>
        <w:t>’</w:t>
      </w:r>
      <w:r w:rsidRPr="007C41F2">
        <w:rPr>
          <w:sz w:val="20"/>
          <w:szCs w:val="20"/>
          <w:lang w:val="fr-FR"/>
        </w:rPr>
        <w:t>article 11 de la Convention de Minamata traite donc des rejets de mercure dans le sol et l</w:t>
      </w:r>
      <w:r w:rsidR="00CA739D" w:rsidRPr="007C41F2">
        <w:rPr>
          <w:sz w:val="20"/>
          <w:szCs w:val="20"/>
          <w:lang w:val="fr-FR"/>
        </w:rPr>
        <w:t>’</w:t>
      </w:r>
      <w:r w:rsidRPr="007C41F2">
        <w:rPr>
          <w:sz w:val="20"/>
          <w:szCs w:val="20"/>
          <w:lang w:val="fr-FR"/>
        </w:rPr>
        <w:t xml:space="preserve">eau résultant de la production et </w:t>
      </w:r>
      <w:r w:rsidR="0043775B" w:rsidRPr="007C41F2">
        <w:rPr>
          <w:sz w:val="20"/>
          <w:szCs w:val="20"/>
          <w:lang w:val="fr-FR"/>
        </w:rPr>
        <w:t xml:space="preserve">de la </w:t>
      </w:r>
      <w:r w:rsidRPr="007C41F2">
        <w:rPr>
          <w:sz w:val="20"/>
          <w:szCs w:val="20"/>
          <w:lang w:val="fr-FR"/>
        </w:rPr>
        <w:t>gestion des déchets de mercure provenant de tous types d</w:t>
      </w:r>
      <w:r w:rsidR="00CA739D" w:rsidRPr="007C41F2">
        <w:rPr>
          <w:sz w:val="20"/>
          <w:szCs w:val="20"/>
          <w:lang w:val="fr-FR"/>
        </w:rPr>
        <w:t>’</w:t>
      </w:r>
      <w:r w:rsidRPr="007C41F2">
        <w:rPr>
          <w:sz w:val="20"/>
          <w:szCs w:val="20"/>
          <w:lang w:val="fr-FR"/>
        </w:rPr>
        <w:t>installations et d</w:t>
      </w:r>
      <w:r w:rsidR="00CA739D" w:rsidRPr="007C41F2">
        <w:rPr>
          <w:sz w:val="20"/>
          <w:szCs w:val="20"/>
          <w:lang w:val="fr-FR"/>
        </w:rPr>
        <w:t>’</w:t>
      </w:r>
      <w:r w:rsidRPr="007C41F2">
        <w:rPr>
          <w:sz w:val="20"/>
          <w:szCs w:val="20"/>
          <w:lang w:val="fr-FR"/>
        </w:rPr>
        <w:t>activités. Différentes opinions ont été exprimées quant à la relation entre l</w:t>
      </w:r>
      <w:r w:rsidR="00CA739D" w:rsidRPr="007C41F2">
        <w:rPr>
          <w:sz w:val="20"/>
          <w:szCs w:val="20"/>
          <w:lang w:val="fr-FR"/>
        </w:rPr>
        <w:t>’</w:t>
      </w:r>
      <w:r w:rsidRPr="007C41F2">
        <w:rPr>
          <w:sz w:val="20"/>
          <w:szCs w:val="20"/>
          <w:lang w:val="fr-FR"/>
        </w:rPr>
        <w:t>existence d</w:t>
      </w:r>
      <w:r w:rsidR="00CA739D" w:rsidRPr="007C41F2">
        <w:rPr>
          <w:sz w:val="20"/>
          <w:szCs w:val="20"/>
          <w:lang w:val="fr-FR"/>
        </w:rPr>
        <w:t>’</w:t>
      </w:r>
      <w:r w:rsidRPr="007C41F2">
        <w:rPr>
          <w:sz w:val="20"/>
          <w:szCs w:val="20"/>
          <w:lang w:val="fr-FR"/>
        </w:rPr>
        <w:t>orientations et la question de savoir si les rejets pertinents peuvent être considérés comme ayant été traités. Certains experts ont jugé que la gestion écologiquement rationnelle des rejets impliquait que les rejets étaient contrôlés, et ce</w:t>
      </w:r>
      <w:r w:rsidR="0043775B" w:rsidRPr="007C41F2">
        <w:rPr>
          <w:sz w:val="20"/>
          <w:szCs w:val="20"/>
          <w:lang w:val="fr-FR"/>
        </w:rPr>
        <w:t>,</w:t>
      </w:r>
      <w:r w:rsidRPr="007C41F2">
        <w:rPr>
          <w:sz w:val="20"/>
          <w:szCs w:val="20"/>
          <w:lang w:val="fr-FR"/>
        </w:rPr>
        <w:t xml:space="preserve"> indépendamment des orientations à disposition ; à leur avis, toute autre interprétation affaiblirait le concept juridique de gestion écologiquement rationnelle et la Convention de Minamata dans son ensemble. D</w:t>
      </w:r>
      <w:r w:rsidR="00CA739D" w:rsidRPr="007C41F2">
        <w:rPr>
          <w:sz w:val="20"/>
          <w:szCs w:val="20"/>
          <w:lang w:val="fr-FR"/>
        </w:rPr>
        <w:t>’</w:t>
      </w:r>
      <w:r w:rsidRPr="007C41F2">
        <w:rPr>
          <w:sz w:val="20"/>
          <w:szCs w:val="20"/>
          <w:lang w:val="fr-FR"/>
        </w:rPr>
        <w:t>autres experts ont considéré que la décision de savoir si les rejets pertinents avaient été traités revenait à déterminer si ces derniers avaient en fait été traités de manière constructive ou non.</w:t>
      </w:r>
    </w:p>
    <w:p w14:paraId="29F39A52" w14:textId="2AD1AFFE" w:rsidR="003053E8" w:rsidRPr="007C41F2" w:rsidRDefault="003053E8"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La portée de l</w:t>
      </w:r>
      <w:r w:rsidR="00CA739D" w:rsidRPr="007C41F2">
        <w:rPr>
          <w:sz w:val="20"/>
          <w:szCs w:val="20"/>
          <w:lang w:val="fr-FR"/>
        </w:rPr>
        <w:t>’</w:t>
      </w:r>
      <w:r w:rsidRPr="007C41F2">
        <w:rPr>
          <w:sz w:val="20"/>
          <w:szCs w:val="20"/>
          <w:lang w:val="fr-FR"/>
        </w:rPr>
        <w:t>article 11, y compris les listes des types de déchets et les seuils applicables aux déchets de mercure, a récemment été examinée par le groupe d</w:t>
      </w:r>
      <w:r w:rsidR="00CA739D" w:rsidRPr="007C41F2">
        <w:rPr>
          <w:sz w:val="20"/>
          <w:szCs w:val="20"/>
          <w:lang w:val="fr-FR"/>
        </w:rPr>
        <w:t>’</w:t>
      </w:r>
      <w:r w:rsidRPr="007C41F2">
        <w:rPr>
          <w:sz w:val="20"/>
          <w:szCs w:val="20"/>
          <w:lang w:val="fr-FR"/>
        </w:rPr>
        <w:t xml:space="preserve">experts techniques sur les seuils applicables aux déchets créé </w:t>
      </w:r>
      <w:r w:rsidR="0043775B" w:rsidRPr="007C41F2">
        <w:rPr>
          <w:sz w:val="20"/>
          <w:szCs w:val="20"/>
          <w:lang w:val="fr-FR"/>
        </w:rPr>
        <w:t xml:space="preserve">comme suite à </w:t>
      </w:r>
      <w:r w:rsidRPr="007C41F2">
        <w:rPr>
          <w:sz w:val="20"/>
          <w:szCs w:val="20"/>
          <w:lang w:val="fr-FR"/>
        </w:rPr>
        <w:t>la décision MC-2/2, qui a également soumis un rapport à la troisième réunion de la Conférence des Parties (UNEP/MC/COP.3/7). Lors de ses délibérations, le groupe s</w:t>
      </w:r>
      <w:r w:rsidR="00CA739D" w:rsidRPr="007C41F2">
        <w:rPr>
          <w:sz w:val="20"/>
          <w:szCs w:val="20"/>
          <w:lang w:val="fr-FR"/>
        </w:rPr>
        <w:t>’</w:t>
      </w:r>
      <w:r w:rsidRPr="007C41F2">
        <w:rPr>
          <w:sz w:val="20"/>
          <w:szCs w:val="20"/>
          <w:lang w:val="fr-FR"/>
        </w:rPr>
        <w:t>est penché sur la question de savoir si les eaux usées devraient figurer au nombre des déchets traités dans le cadre de l</w:t>
      </w:r>
      <w:r w:rsidR="00CA739D" w:rsidRPr="007C41F2">
        <w:rPr>
          <w:sz w:val="20"/>
          <w:szCs w:val="20"/>
          <w:lang w:val="fr-FR"/>
        </w:rPr>
        <w:t>’</w:t>
      </w:r>
      <w:r w:rsidRPr="007C41F2">
        <w:rPr>
          <w:sz w:val="20"/>
          <w:szCs w:val="20"/>
          <w:lang w:val="fr-FR"/>
        </w:rPr>
        <w:t>article 11. Deux principaux facteurs étaient en jeu dans le débat. Premièrement, si certains gouvernements contrôlent les eaux usées par une approche réglementaire double axée sur les déchets et la qualité de l</w:t>
      </w:r>
      <w:r w:rsidR="00CA739D" w:rsidRPr="007C41F2">
        <w:rPr>
          <w:sz w:val="20"/>
          <w:szCs w:val="20"/>
          <w:lang w:val="fr-FR"/>
        </w:rPr>
        <w:t>’</w:t>
      </w:r>
      <w:r w:rsidRPr="007C41F2">
        <w:rPr>
          <w:sz w:val="20"/>
          <w:szCs w:val="20"/>
          <w:lang w:val="fr-FR"/>
        </w:rPr>
        <w:t>eau, d</w:t>
      </w:r>
      <w:r w:rsidR="00CA739D" w:rsidRPr="007C41F2">
        <w:rPr>
          <w:sz w:val="20"/>
          <w:szCs w:val="20"/>
          <w:lang w:val="fr-FR"/>
        </w:rPr>
        <w:t>’</w:t>
      </w:r>
      <w:r w:rsidRPr="007C41F2">
        <w:rPr>
          <w:sz w:val="20"/>
          <w:szCs w:val="20"/>
          <w:lang w:val="fr-FR"/>
        </w:rPr>
        <w:t>autres ne contrôlent les eaux usées que dans les limites de leurs programmes sur la qualité de l</w:t>
      </w:r>
      <w:r w:rsidR="00CA739D" w:rsidRPr="007C41F2">
        <w:rPr>
          <w:sz w:val="20"/>
          <w:szCs w:val="20"/>
          <w:lang w:val="fr-FR"/>
        </w:rPr>
        <w:t>’</w:t>
      </w:r>
      <w:r w:rsidR="0043775B" w:rsidRPr="007C41F2">
        <w:rPr>
          <w:sz w:val="20"/>
          <w:szCs w:val="20"/>
          <w:lang w:val="fr-FR"/>
        </w:rPr>
        <w:t xml:space="preserve">eau, – une </w:t>
      </w:r>
      <w:r w:rsidRPr="007C41F2">
        <w:rPr>
          <w:sz w:val="20"/>
          <w:szCs w:val="20"/>
          <w:lang w:val="fr-FR"/>
        </w:rPr>
        <w:t>approche peut-être plus étroitement alignée sur l</w:t>
      </w:r>
      <w:r w:rsidR="00CA739D" w:rsidRPr="007C41F2">
        <w:rPr>
          <w:sz w:val="20"/>
          <w:szCs w:val="20"/>
          <w:lang w:val="fr-FR"/>
        </w:rPr>
        <w:t>’</w:t>
      </w:r>
      <w:r w:rsidRPr="007C41F2">
        <w:rPr>
          <w:sz w:val="20"/>
          <w:szCs w:val="20"/>
          <w:lang w:val="fr-FR"/>
        </w:rPr>
        <w:t xml:space="preserve">article 9. Deuxièmement, si les eaux usées sont régies uniquement </w:t>
      </w:r>
      <w:r w:rsidR="0043775B" w:rsidRPr="007C41F2">
        <w:rPr>
          <w:sz w:val="20"/>
          <w:szCs w:val="20"/>
          <w:lang w:val="fr-FR"/>
        </w:rPr>
        <w:t xml:space="preserve">par </w:t>
      </w:r>
      <w:r w:rsidRPr="007C41F2">
        <w:rPr>
          <w:sz w:val="20"/>
          <w:szCs w:val="20"/>
          <w:lang w:val="fr-FR"/>
        </w:rPr>
        <w:t>l</w:t>
      </w:r>
      <w:r w:rsidR="00CA739D" w:rsidRPr="007C41F2">
        <w:rPr>
          <w:sz w:val="20"/>
          <w:szCs w:val="20"/>
          <w:lang w:val="fr-FR"/>
        </w:rPr>
        <w:t>’</w:t>
      </w:r>
      <w:r w:rsidRPr="007C41F2">
        <w:rPr>
          <w:sz w:val="20"/>
          <w:szCs w:val="20"/>
          <w:lang w:val="fr-FR"/>
        </w:rPr>
        <w:t>article 11, l</w:t>
      </w:r>
      <w:r w:rsidR="00CA739D" w:rsidRPr="007C41F2">
        <w:rPr>
          <w:sz w:val="20"/>
          <w:szCs w:val="20"/>
          <w:lang w:val="fr-FR"/>
        </w:rPr>
        <w:t>’</w:t>
      </w:r>
      <w:r w:rsidRPr="007C41F2">
        <w:rPr>
          <w:sz w:val="20"/>
          <w:szCs w:val="20"/>
          <w:lang w:val="fr-FR"/>
        </w:rPr>
        <w:t>élaboration de directives sur les meilleures pratiques en matière de contrôle s</w:t>
      </w:r>
      <w:r w:rsidR="00CA739D" w:rsidRPr="007C41F2">
        <w:rPr>
          <w:sz w:val="20"/>
          <w:szCs w:val="20"/>
          <w:lang w:val="fr-FR"/>
        </w:rPr>
        <w:t>’</w:t>
      </w:r>
      <w:r w:rsidRPr="007C41F2">
        <w:rPr>
          <w:sz w:val="20"/>
          <w:szCs w:val="20"/>
          <w:lang w:val="fr-FR"/>
        </w:rPr>
        <w:t>inscrira dans le cadre du processus de mise à jour des directives techniques de la Convention de Bâle</w:t>
      </w:r>
      <w:r w:rsidRPr="007C41F2">
        <w:rPr>
          <w:rStyle w:val="FootnoteReference"/>
          <w:rFonts w:asciiTheme="majorBidi" w:hAnsiTheme="majorBidi" w:cstheme="majorBidi"/>
          <w:szCs w:val="20"/>
          <w:lang w:val="fr-FR"/>
        </w:rPr>
        <w:footnoteReference w:id="5"/>
      </w:r>
      <w:r w:rsidR="0043775B" w:rsidRPr="007C41F2">
        <w:rPr>
          <w:sz w:val="20"/>
          <w:szCs w:val="20"/>
          <w:lang w:val="fr-FR"/>
        </w:rPr>
        <w:t>.</w:t>
      </w:r>
      <w:r w:rsidRPr="007C41F2">
        <w:rPr>
          <w:sz w:val="20"/>
          <w:szCs w:val="20"/>
          <w:lang w:val="fr-FR"/>
        </w:rPr>
        <w:t xml:space="preserve"> Si, en revanche, les eaux usées sont régies par l</w:t>
      </w:r>
      <w:r w:rsidR="00CA739D" w:rsidRPr="007C41F2">
        <w:rPr>
          <w:sz w:val="20"/>
          <w:szCs w:val="20"/>
          <w:lang w:val="fr-FR"/>
        </w:rPr>
        <w:t>’</w:t>
      </w:r>
      <w:r w:rsidRPr="007C41F2">
        <w:rPr>
          <w:sz w:val="20"/>
          <w:szCs w:val="20"/>
          <w:lang w:val="fr-FR"/>
        </w:rPr>
        <w:t>article 9, les mesures utiles seront prises en application du paragraphe 5 de l</w:t>
      </w:r>
      <w:r w:rsidR="00CA739D" w:rsidRPr="007C41F2">
        <w:rPr>
          <w:sz w:val="20"/>
          <w:szCs w:val="20"/>
          <w:lang w:val="fr-FR"/>
        </w:rPr>
        <w:t>’</w:t>
      </w:r>
      <w:r w:rsidRPr="007C41F2">
        <w:rPr>
          <w:sz w:val="20"/>
          <w:szCs w:val="20"/>
          <w:lang w:val="fr-FR"/>
        </w:rPr>
        <w:t>article 9.</w:t>
      </w:r>
    </w:p>
    <w:p w14:paraId="017405F9" w14:textId="007E16EB" w:rsidR="003053E8" w:rsidRPr="007C41F2" w:rsidRDefault="003053E8"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Le présent rapport n</w:t>
      </w:r>
      <w:r w:rsidR="00CA739D" w:rsidRPr="007C41F2">
        <w:rPr>
          <w:sz w:val="20"/>
          <w:szCs w:val="20"/>
          <w:lang w:val="fr-FR"/>
        </w:rPr>
        <w:t>’</w:t>
      </w:r>
      <w:r w:rsidRPr="007C41F2">
        <w:rPr>
          <w:sz w:val="20"/>
          <w:szCs w:val="20"/>
          <w:lang w:val="fr-FR"/>
        </w:rPr>
        <w:t>émet aucune recommandation quant à quel article utiliser pour contrôler les rejets des eaux usées, le groupe d</w:t>
      </w:r>
      <w:r w:rsidR="00CA739D" w:rsidRPr="007C41F2">
        <w:rPr>
          <w:sz w:val="20"/>
          <w:szCs w:val="20"/>
          <w:lang w:val="fr-FR"/>
        </w:rPr>
        <w:t>’</w:t>
      </w:r>
      <w:r w:rsidRPr="007C41F2">
        <w:rPr>
          <w:sz w:val="20"/>
          <w:szCs w:val="20"/>
          <w:lang w:val="fr-FR"/>
        </w:rPr>
        <w:t>experts techniques sur les seuils applicables aux déchets de mercure étant chargé d</w:t>
      </w:r>
      <w:r w:rsidR="00CA739D" w:rsidRPr="007C41F2">
        <w:rPr>
          <w:sz w:val="20"/>
          <w:szCs w:val="20"/>
          <w:lang w:val="fr-FR"/>
        </w:rPr>
        <w:t>’</w:t>
      </w:r>
      <w:r w:rsidRPr="007C41F2">
        <w:rPr>
          <w:sz w:val="20"/>
          <w:szCs w:val="20"/>
          <w:lang w:val="fr-FR"/>
        </w:rPr>
        <w:t>étudier la définition des déchets de mercure. Le groupe actuel a néanmoins circonscrit trois options pour examen par la Conférence des Parties :</w:t>
      </w:r>
    </w:p>
    <w:p w14:paraId="5B15CE30" w14:textId="7C047933" w:rsidR="003053E8" w:rsidRPr="007C41F2" w:rsidRDefault="00210E90" w:rsidP="00241EF8">
      <w:pPr>
        <w:pStyle w:val="ListParagraph"/>
        <w:numPr>
          <w:ilvl w:val="0"/>
          <w:numId w:val="14"/>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lang w:val="fr-FR"/>
        </w:rPr>
      </w:pPr>
      <w:r w:rsidRPr="007C41F2">
        <w:rPr>
          <w:lang w:val="fr-FR"/>
        </w:rPr>
        <w:t>Réglementer les eaux usées conformément à l</w:t>
      </w:r>
      <w:r w:rsidR="00CA739D" w:rsidRPr="007C41F2">
        <w:rPr>
          <w:lang w:val="fr-FR"/>
        </w:rPr>
        <w:t>’</w:t>
      </w:r>
      <w:r w:rsidRPr="007C41F2">
        <w:rPr>
          <w:lang w:val="fr-FR"/>
        </w:rPr>
        <w:t>article 9, ce qui se recoupe avec la manière dont de nombreux programmes nationaux sont organisés ;</w:t>
      </w:r>
    </w:p>
    <w:p w14:paraId="6E93F222" w14:textId="75ED0A6F" w:rsidR="003053E8" w:rsidRPr="007C41F2" w:rsidRDefault="00210E90" w:rsidP="00241EF8">
      <w:pPr>
        <w:pStyle w:val="ListParagraph"/>
        <w:numPr>
          <w:ilvl w:val="0"/>
          <w:numId w:val="14"/>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lang w:val="fr-FR"/>
        </w:rPr>
      </w:pPr>
      <w:r w:rsidRPr="007C41F2">
        <w:rPr>
          <w:lang w:val="fr-FR"/>
        </w:rPr>
        <w:t>Réglementer les eaux usées conformément à l</w:t>
      </w:r>
      <w:r w:rsidR="00CA739D" w:rsidRPr="007C41F2">
        <w:rPr>
          <w:lang w:val="fr-FR"/>
        </w:rPr>
        <w:t>’</w:t>
      </w:r>
      <w:r w:rsidRPr="007C41F2">
        <w:rPr>
          <w:lang w:val="fr-FR"/>
        </w:rPr>
        <w:t>article 11, ce qui se recoupe avec les définitions de la Convention de Bâle, et tenter d</w:t>
      </w:r>
      <w:r w:rsidR="00CA739D" w:rsidRPr="007C41F2">
        <w:rPr>
          <w:lang w:val="fr-FR"/>
        </w:rPr>
        <w:t>’</w:t>
      </w:r>
      <w:r w:rsidRPr="007C41F2">
        <w:rPr>
          <w:lang w:val="fr-FR"/>
        </w:rPr>
        <w:t xml:space="preserve">améliorer les directives de la Convention de Bâle concernant la gestion des eaux usées dans le contexte de leur actuelle mise à jour ; ou </w:t>
      </w:r>
    </w:p>
    <w:p w14:paraId="3CBD00D5" w14:textId="03F0C2DE" w:rsidR="003053E8" w:rsidRPr="007C41F2" w:rsidRDefault="00210E90" w:rsidP="00241EF8">
      <w:pPr>
        <w:pStyle w:val="ListParagraph"/>
        <w:numPr>
          <w:ilvl w:val="0"/>
          <w:numId w:val="14"/>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lang w:val="fr-FR"/>
        </w:rPr>
      </w:pPr>
      <w:r w:rsidRPr="007C41F2">
        <w:rPr>
          <w:lang w:val="fr-FR"/>
        </w:rPr>
        <w:t xml:space="preserve">Adopter une approche hybride dans le cadre de laquelle les Parties pourraient choisir de contrôler les eaux usées en </w:t>
      </w:r>
      <w:r w:rsidR="004565DC" w:rsidRPr="007C41F2">
        <w:rPr>
          <w:lang w:val="fr-FR"/>
        </w:rPr>
        <w:t xml:space="preserve">application </w:t>
      </w:r>
      <w:r w:rsidRPr="007C41F2">
        <w:rPr>
          <w:lang w:val="fr-FR"/>
        </w:rPr>
        <w:t>soit de l</w:t>
      </w:r>
      <w:r w:rsidR="00CA739D" w:rsidRPr="007C41F2">
        <w:rPr>
          <w:lang w:val="fr-FR"/>
        </w:rPr>
        <w:t>’</w:t>
      </w:r>
      <w:r w:rsidRPr="007C41F2">
        <w:rPr>
          <w:lang w:val="fr-FR"/>
        </w:rPr>
        <w:t>article 9, soit de l</w:t>
      </w:r>
      <w:r w:rsidR="00CA739D" w:rsidRPr="007C41F2">
        <w:rPr>
          <w:lang w:val="fr-FR"/>
        </w:rPr>
        <w:t>’</w:t>
      </w:r>
      <w:r w:rsidRPr="007C41F2">
        <w:rPr>
          <w:lang w:val="fr-FR"/>
        </w:rPr>
        <w:t xml:space="preserve">article 11, selon leur législation nationale. </w:t>
      </w:r>
    </w:p>
    <w:p w14:paraId="39D5B63C" w14:textId="4F8C97C7" w:rsidR="003053E8" w:rsidRPr="007C41F2" w:rsidRDefault="003053E8"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Les morts-terrains, les déchets de rocs et les résidus provenant de l</w:t>
      </w:r>
      <w:r w:rsidR="00CA739D" w:rsidRPr="007C41F2">
        <w:rPr>
          <w:sz w:val="20"/>
          <w:szCs w:val="20"/>
          <w:lang w:val="fr-FR"/>
        </w:rPr>
        <w:t>’</w:t>
      </w:r>
      <w:r w:rsidRPr="007C41F2">
        <w:rPr>
          <w:sz w:val="20"/>
          <w:szCs w:val="20"/>
          <w:lang w:val="fr-FR"/>
        </w:rPr>
        <w:t>extraction minière, à l</w:t>
      </w:r>
      <w:r w:rsidR="00CA739D" w:rsidRPr="007C41F2">
        <w:rPr>
          <w:sz w:val="20"/>
          <w:szCs w:val="20"/>
          <w:lang w:val="fr-FR"/>
        </w:rPr>
        <w:t>’</w:t>
      </w:r>
      <w:r w:rsidRPr="007C41F2">
        <w:rPr>
          <w:sz w:val="20"/>
          <w:szCs w:val="20"/>
          <w:lang w:val="fr-FR"/>
        </w:rPr>
        <w:t>exception de l</w:t>
      </w:r>
      <w:r w:rsidR="00CA739D" w:rsidRPr="007C41F2">
        <w:rPr>
          <w:sz w:val="20"/>
          <w:szCs w:val="20"/>
          <w:lang w:val="fr-FR"/>
        </w:rPr>
        <w:t>’</w:t>
      </w:r>
      <w:r w:rsidRPr="007C41F2">
        <w:rPr>
          <w:sz w:val="20"/>
          <w:szCs w:val="20"/>
          <w:lang w:val="fr-FR"/>
        </w:rPr>
        <w:t>extraction minière primaire de mercure, ne sont pas couverts par l</w:t>
      </w:r>
      <w:r w:rsidR="00CA739D" w:rsidRPr="007C41F2">
        <w:rPr>
          <w:sz w:val="20"/>
          <w:szCs w:val="20"/>
          <w:lang w:val="fr-FR"/>
        </w:rPr>
        <w:t>’</w:t>
      </w:r>
      <w:r w:rsidRPr="007C41F2">
        <w:rPr>
          <w:sz w:val="20"/>
          <w:szCs w:val="20"/>
          <w:lang w:val="fr-FR"/>
        </w:rPr>
        <w:t>article 11 à moins qu</w:t>
      </w:r>
      <w:r w:rsidR="00CA739D" w:rsidRPr="007C41F2">
        <w:rPr>
          <w:sz w:val="20"/>
          <w:szCs w:val="20"/>
          <w:lang w:val="fr-FR"/>
        </w:rPr>
        <w:t>’</w:t>
      </w:r>
      <w:r w:rsidRPr="007C41F2">
        <w:rPr>
          <w:sz w:val="20"/>
          <w:szCs w:val="20"/>
          <w:lang w:val="fr-FR"/>
        </w:rPr>
        <w:t>ils ne contiennent du mercure ou des composés du mercure en quantité supérieure aux seuils définis par la Conférence des Parties à la Convention de Minamata. En conséquence, les rejets dans le sol et l</w:t>
      </w:r>
      <w:r w:rsidR="00CA739D" w:rsidRPr="007C41F2">
        <w:rPr>
          <w:sz w:val="20"/>
          <w:szCs w:val="20"/>
          <w:lang w:val="fr-FR"/>
        </w:rPr>
        <w:t>’</w:t>
      </w:r>
      <w:r w:rsidRPr="007C41F2">
        <w:rPr>
          <w:sz w:val="20"/>
          <w:szCs w:val="20"/>
          <w:lang w:val="fr-FR"/>
        </w:rPr>
        <w:t>eau issus de ces déchets ne sont pas actuellement traités à l</w:t>
      </w:r>
      <w:r w:rsidR="00CA739D" w:rsidRPr="007C41F2">
        <w:rPr>
          <w:sz w:val="20"/>
          <w:szCs w:val="20"/>
          <w:lang w:val="fr-FR"/>
        </w:rPr>
        <w:t>’</w:t>
      </w:r>
      <w:r w:rsidRPr="007C41F2">
        <w:rPr>
          <w:sz w:val="20"/>
          <w:szCs w:val="20"/>
          <w:lang w:val="fr-FR"/>
        </w:rPr>
        <w:t>article 11</w:t>
      </w:r>
      <w:r w:rsidRPr="007C41F2">
        <w:rPr>
          <w:rStyle w:val="FootnoteReference"/>
          <w:rFonts w:asciiTheme="majorBidi" w:hAnsiTheme="majorBidi" w:cstheme="majorBidi"/>
          <w:szCs w:val="20"/>
          <w:lang w:val="fr-FR"/>
        </w:rPr>
        <w:footnoteReference w:id="6"/>
      </w:r>
      <w:r w:rsidR="004565DC" w:rsidRPr="007C41F2">
        <w:rPr>
          <w:sz w:val="20"/>
          <w:szCs w:val="20"/>
          <w:lang w:val="fr-FR"/>
        </w:rPr>
        <w:t>.</w:t>
      </w:r>
      <w:r w:rsidRPr="007C41F2">
        <w:rPr>
          <w:sz w:val="20"/>
          <w:szCs w:val="20"/>
          <w:lang w:val="fr-FR"/>
        </w:rPr>
        <w:t xml:space="preserve"> Le groupe d</w:t>
      </w:r>
      <w:r w:rsidR="00CA739D" w:rsidRPr="007C41F2">
        <w:rPr>
          <w:sz w:val="20"/>
          <w:szCs w:val="20"/>
          <w:lang w:val="fr-FR"/>
        </w:rPr>
        <w:t>’</w:t>
      </w:r>
      <w:r w:rsidRPr="007C41F2">
        <w:rPr>
          <w:sz w:val="20"/>
          <w:szCs w:val="20"/>
          <w:lang w:val="fr-FR"/>
        </w:rPr>
        <w:t xml:space="preserve">experts techniques sur les seuils applicables aux déchets de mercure a recommandé une </w:t>
      </w:r>
      <w:r w:rsidR="004565DC" w:rsidRPr="007C41F2">
        <w:rPr>
          <w:sz w:val="20"/>
          <w:szCs w:val="20"/>
          <w:lang w:val="fr-FR"/>
        </w:rPr>
        <w:t xml:space="preserve">méthode de </w:t>
      </w:r>
      <w:r w:rsidRPr="007C41F2">
        <w:rPr>
          <w:sz w:val="20"/>
          <w:szCs w:val="20"/>
          <w:lang w:val="fr-FR"/>
        </w:rPr>
        <w:t>définition de seuils applicables aux résidus provenant de ces activités minières. Si lesdits seuils sont établis, les résidus qui les atteignent ou les dépassent seront couverts par l</w:t>
      </w:r>
      <w:r w:rsidR="00CA739D" w:rsidRPr="007C41F2">
        <w:rPr>
          <w:sz w:val="20"/>
          <w:szCs w:val="20"/>
          <w:lang w:val="fr-FR"/>
        </w:rPr>
        <w:t>’</w:t>
      </w:r>
      <w:r w:rsidRPr="007C41F2">
        <w:rPr>
          <w:sz w:val="20"/>
          <w:szCs w:val="20"/>
          <w:lang w:val="fr-FR"/>
        </w:rPr>
        <w:t xml:space="preserve">article 11. </w:t>
      </w:r>
    </w:p>
    <w:p w14:paraId="56BCE0E1" w14:textId="1DC86812" w:rsidR="003053E8" w:rsidRPr="007C41F2" w:rsidRDefault="009F1AA4" w:rsidP="00241EF8">
      <w:pPr>
        <w:pStyle w:val="CH3"/>
        <w:spacing w:before="0"/>
        <w:rPr>
          <w:lang w:val="fr-FR"/>
        </w:rPr>
      </w:pPr>
      <w:r w:rsidRPr="007C41F2">
        <w:rPr>
          <w:lang w:val="fr-FR"/>
        </w:rPr>
        <w:tab/>
      </w:r>
      <w:r w:rsidR="008C40F6" w:rsidRPr="007C41F2">
        <w:rPr>
          <w:lang w:val="fr-FR"/>
        </w:rPr>
        <w:t>8.</w:t>
      </w:r>
      <w:r w:rsidR="008C40F6" w:rsidRPr="007C41F2">
        <w:rPr>
          <w:lang w:val="fr-FR"/>
        </w:rPr>
        <w:tab/>
      </w:r>
      <w:r w:rsidR="008C40F6" w:rsidRPr="007C41F2">
        <w:rPr>
          <w:bCs/>
          <w:lang w:val="fr-FR"/>
        </w:rPr>
        <w:t>Article 12.</w:t>
      </w:r>
      <w:r w:rsidR="008C40F6" w:rsidRPr="007C41F2">
        <w:rPr>
          <w:lang w:val="fr-FR"/>
        </w:rPr>
        <w:t xml:space="preserve"> </w:t>
      </w:r>
      <w:r w:rsidR="008C40F6" w:rsidRPr="007C41F2">
        <w:rPr>
          <w:bCs/>
          <w:lang w:val="fr-FR"/>
        </w:rPr>
        <w:t>Sites contaminés</w:t>
      </w:r>
    </w:p>
    <w:p w14:paraId="270C03B6" w14:textId="636B321C" w:rsidR="003053E8" w:rsidRPr="007C41F2" w:rsidRDefault="003053E8"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Aux termes de l</w:t>
      </w:r>
      <w:r w:rsidR="00CA739D" w:rsidRPr="007C41F2">
        <w:rPr>
          <w:sz w:val="20"/>
          <w:szCs w:val="20"/>
          <w:lang w:val="fr-FR"/>
        </w:rPr>
        <w:t>’</w:t>
      </w:r>
      <w:r w:rsidRPr="007C41F2">
        <w:rPr>
          <w:sz w:val="20"/>
          <w:szCs w:val="20"/>
          <w:lang w:val="fr-FR"/>
        </w:rPr>
        <w:t>article 12, les Parties s</w:t>
      </w:r>
      <w:r w:rsidR="00CA739D" w:rsidRPr="007C41F2">
        <w:rPr>
          <w:sz w:val="20"/>
          <w:szCs w:val="20"/>
          <w:lang w:val="fr-FR"/>
        </w:rPr>
        <w:t>’</w:t>
      </w:r>
      <w:r w:rsidRPr="007C41F2">
        <w:rPr>
          <w:sz w:val="20"/>
          <w:szCs w:val="20"/>
          <w:lang w:val="fr-FR"/>
        </w:rPr>
        <w:t>efforcent d</w:t>
      </w:r>
      <w:r w:rsidR="00CA739D" w:rsidRPr="007C41F2">
        <w:rPr>
          <w:sz w:val="20"/>
          <w:szCs w:val="20"/>
          <w:lang w:val="fr-FR"/>
        </w:rPr>
        <w:t>’</w:t>
      </w:r>
      <w:r w:rsidRPr="007C41F2">
        <w:rPr>
          <w:sz w:val="20"/>
          <w:szCs w:val="20"/>
          <w:lang w:val="fr-FR"/>
        </w:rPr>
        <w:t>élaborer des stratégies appropriées pour identifier et évaluer les sites contaminés par du mercure ou des composés du mercure, et les actions visant à réduire les risques présentés par ces sites sont menées d</w:t>
      </w:r>
      <w:r w:rsidR="00CA739D" w:rsidRPr="007C41F2">
        <w:rPr>
          <w:sz w:val="20"/>
          <w:szCs w:val="20"/>
          <w:lang w:val="fr-FR"/>
        </w:rPr>
        <w:t>’</w:t>
      </w:r>
      <w:r w:rsidRPr="007C41F2">
        <w:rPr>
          <w:sz w:val="20"/>
          <w:szCs w:val="20"/>
          <w:lang w:val="fr-FR"/>
        </w:rPr>
        <w:t>une manière écologiquement rationnelle. Les rejets provenant de sites contaminés sont donc traités à l</w:t>
      </w:r>
      <w:r w:rsidR="00CA739D" w:rsidRPr="007C41F2">
        <w:rPr>
          <w:sz w:val="20"/>
          <w:szCs w:val="20"/>
          <w:lang w:val="fr-FR"/>
        </w:rPr>
        <w:t>’</w:t>
      </w:r>
      <w:r w:rsidRPr="007C41F2">
        <w:rPr>
          <w:sz w:val="20"/>
          <w:szCs w:val="20"/>
          <w:lang w:val="fr-FR"/>
        </w:rPr>
        <w:t>article 12. En outre, les sites contaminés peuvent être des sources diffuses.</w:t>
      </w:r>
    </w:p>
    <w:p w14:paraId="12F72D25" w14:textId="138124F0" w:rsidR="003053E8" w:rsidRPr="007C41F2" w:rsidRDefault="00680452" w:rsidP="00241EF8">
      <w:pPr>
        <w:pStyle w:val="CH1"/>
        <w:numPr>
          <w:ilvl w:val="0"/>
          <w:numId w:val="18"/>
        </w:numPr>
        <w:tabs>
          <w:tab w:val="clear" w:pos="851"/>
        </w:tabs>
        <w:spacing w:before="0"/>
        <w:ind w:hanging="720"/>
        <w:rPr>
          <w:lang w:val="fr-FR"/>
        </w:rPr>
      </w:pPr>
      <w:r w:rsidRPr="007C41F2">
        <w:rPr>
          <w:bCs/>
          <w:lang w:val="fr-FR"/>
        </w:rPr>
        <w:t>Liste des catégories de sources ponctuelles pouvant être considérées comme pertinentes</w:t>
      </w:r>
      <w:r w:rsidRPr="007C41F2">
        <w:rPr>
          <w:lang w:val="fr-FR"/>
        </w:rPr>
        <w:t xml:space="preserve"> </w:t>
      </w:r>
    </w:p>
    <w:p w14:paraId="6AF982AA" w14:textId="669CC1C5" w:rsidR="00CE78EF" w:rsidRPr="007C41F2" w:rsidRDefault="003053E8"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Les contributions des Parties et d</w:t>
      </w:r>
      <w:r w:rsidR="00CA739D" w:rsidRPr="007C41F2">
        <w:rPr>
          <w:sz w:val="20"/>
          <w:szCs w:val="20"/>
          <w:lang w:val="fr-FR"/>
        </w:rPr>
        <w:t>’</w:t>
      </w:r>
      <w:r w:rsidRPr="007C41F2">
        <w:rPr>
          <w:sz w:val="20"/>
          <w:szCs w:val="20"/>
          <w:lang w:val="fr-FR"/>
        </w:rPr>
        <w:t>autres parties prenantes sur les catégories de sources ponctuelles pouvant être considérées comme pertinentes sont rassemblées dans l</w:t>
      </w:r>
      <w:r w:rsidR="00CA739D" w:rsidRPr="007C41F2">
        <w:rPr>
          <w:sz w:val="20"/>
          <w:szCs w:val="20"/>
          <w:lang w:val="fr-FR"/>
        </w:rPr>
        <w:t>’</w:t>
      </w:r>
      <w:r w:rsidRPr="007C41F2">
        <w:rPr>
          <w:sz w:val="20"/>
          <w:szCs w:val="20"/>
          <w:lang w:val="fr-FR"/>
        </w:rPr>
        <w:t xml:space="preserve">appendice </w:t>
      </w:r>
      <w:r w:rsidR="004565DC" w:rsidRPr="007C41F2">
        <w:rPr>
          <w:sz w:val="20"/>
          <w:szCs w:val="20"/>
          <w:lang w:val="fr-FR"/>
        </w:rPr>
        <w:t>d</w:t>
      </w:r>
      <w:r w:rsidRPr="007C41F2">
        <w:rPr>
          <w:sz w:val="20"/>
          <w:szCs w:val="20"/>
          <w:lang w:val="fr-FR"/>
        </w:rPr>
        <w:t>u présent rapport. Le groupe a examiné les contributions et noté que la liste comportait des sources diffuses, des sources ponctuelles traitées dans d</w:t>
      </w:r>
      <w:r w:rsidR="00CA739D" w:rsidRPr="007C41F2">
        <w:rPr>
          <w:sz w:val="20"/>
          <w:szCs w:val="20"/>
          <w:lang w:val="fr-FR"/>
        </w:rPr>
        <w:t>’</w:t>
      </w:r>
      <w:r w:rsidRPr="007C41F2">
        <w:rPr>
          <w:sz w:val="20"/>
          <w:szCs w:val="20"/>
          <w:lang w:val="fr-FR"/>
        </w:rPr>
        <w:t xml:space="preserve">autres articles et des sources ponctuelles pour lesquelles on ne disposait pas de données suffisantes. </w:t>
      </w:r>
    </w:p>
    <w:p w14:paraId="01169864" w14:textId="79CBF654" w:rsidR="00CE78EF" w:rsidRPr="007C41F2" w:rsidRDefault="00CE78EF"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Certains experts ont proposé que le présent rapport inclue une liste non exhaustive des sources ponctuelles pouvant être considérées comme pertinentes et en fournisse un exemple. Malgré les discussions tenues au cours des quatre téléconférences et par voie électronique, toutefois, le groupe n</w:t>
      </w:r>
      <w:r w:rsidR="00CA739D" w:rsidRPr="007C41F2">
        <w:rPr>
          <w:sz w:val="20"/>
          <w:szCs w:val="20"/>
          <w:lang w:val="fr-FR"/>
        </w:rPr>
        <w:t>’</w:t>
      </w:r>
      <w:r w:rsidRPr="007C41F2">
        <w:rPr>
          <w:sz w:val="20"/>
          <w:szCs w:val="20"/>
          <w:lang w:val="fr-FR"/>
        </w:rPr>
        <w:t>est pas parvenu à un accord sur ladite liste.</w:t>
      </w:r>
    </w:p>
    <w:p w14:paraId="27292B0C" w14:textId="08FBEF86" w:rsidR="00CE78EF" w:rsidRPr="007C41F2" w:rsidRDefault="00163484"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Davantage de travaux sont donc nécessaires pour recueillir des informations sur les sources ponctuelles que les Parties considèrent notables dans la liste préliminaire et qui ne sont pas visées dans les articles de la Convention, à l</w:t>
      </w:r>
      <w:r w:rsidR="00CA739D" w:rsidRPr="007C41F2">
        <w:rPr>
          <w:sz w:val="20"/>
          <w:szCs w:val="20"/>
          <w:lang w:val="fr-FR"/>
        </w:rPr>
        <w:t>’</w:t>
      </w:r>
      <w:r w:rsidRPr="007C41F2">
        <w:rPr>
          <w:sz w:val="20"/>
          <w:szCs w:val="20"/>
          <w:lang w:val="fr-FR"/>
        </w:rPr>
        <w:t>exception de l</w:t>
      </w:r>
      <w:r w:rsidR="00CA739D" w:rsidRPr="007C41F2">
        <w:rPr>
          <w:sz w:val="20"/>
          <w:szCs w:val="20"/>
          <w:lang w:val="fr-FR"/>
        </w:rPr>
        <w:t>’</w:t>
      </w:r>
      <w:r w:rsidRPr="007C41F2">
        <w:rPr>
          <w:sz w:val="20"/>
          <w:szCs w:val="20"/>
          <w:lang w:val="fr-FR"/>
        </w:rPr>
        <w:t>article 9, ainsi que pour déterminer quelles sources ponctuelles devraient être couvertes par les orientations sur la méthode d</w:t>
      </w:r>
      <w:r w:rsidR="00CA739D" w:rsidRPr="007C41F2">
        <w:rPr>
          <w:sz w:val="20"/>
          <w:szCs w:val="20"/>
          <w:lang w:val="fr-FR"/>
        </w:rPr>
        <w:t>’</w:t>
      </w:r>
      <w:r w:rsidRPr="007C41F2">
        <w:rPr>
          <w:sz w:val="20"/>
          <w:szCs w:val="20"/>
          <w:lang w:val="fr-FR"/>
        </w:rPr>
        <w:t>établissement des inventaires des rejets.</w:t>
      </w:r>
    </w:p>
    <w:p w14:paraId="79CF30BF" w14:textId="693C3D39" w:rsidR="003053E8" w:rsidRPr="007C41F2" w:rsidRDefault="00680452" w:rsidP="00241EF8">
      <w:pPr>
        <w:pStyle w:val="CH1"/>
        <w:numPr>
          <w:ilvl w:val="0"/>
          <w:numId w:val="18"/>
        </w:numPr>
        <w:tabs>
          <w:tab w:val="clear" w:pos="851"/>
        </w:tabs>
        <w:spacing w:before="0"/>
        <w:ind w:hanging="720"/>
        <w:rPr>
          <w:b w:val="0"/>
          <w:lang w:val="fr-FR"/>
        </w:rPr>
      </w:pPr>
      <w:r w:rsidRPr="007C41F2">
        <w:rPr>
          <w:bCs/>
          <w:lang w:val="fr-FR"/>
        </w:rPr>
        <w:t>Structure et feuille de route pour l</w:t>
      </w:r>
      <w:r w:rsidR="00CA739D" w:rsidRPr="007C41F2">
        <w:rPr>
          <w:bCs/>
          <w:lang w:val="fr-FR"/>
        </w:rPr>
        <w:t>’</w:t>
      </w:r>
      <w:r w:rsidRPr="007C41F2">
        <w:rPr>
          <w:bCs/>
          <w:lang w:val="fr-FR"/>
        </w:rPr>
        <w:t>élaboration d</w:t>
      </w:r>
      <w:r w:rsidR="00CA739D" w:rsidRPr="007C41F2">
        <w:rPr>
          <w:bCs/>
          <w:lang w:val="fr-FR"/>
        </w:rPr>
        <w:t>’</w:t>
      </w:r>
      <w:r w:rsidRPr="007C41F2">
        <w:rPr>
          <w:bCs/>
          <w:lang w:val="fr-FR"/>
        </w:rPr>
        <w:t>orientations sur l</w:t>
      </w:r>
      <w:r w:rsidR="00CA739D" w:rsidRPr="007C41F2">
        <w:rPr>
          <w:bCs/>
          <w:lang w:val="fr-FR"/>
        </w:rPr>
        <w:t>’</w:t>
      </w:r>
      <w:r w:rsidRPr="007C41F2">
        <w:rPr>
          <w:bCs/>
          <w:lang w:val="fr-FR"/>
        </w:rPr>
        <w:t>établissement d</w:t>
      </w:r>
      <w:r w:rsidR="00CA739D" w:rsidRPr="007C41F2">
        <w:rPr>
          <w:bCs/>
          <w:lang w:val="fr-FR"/>
        </w:rPr>
        <w:t>’</w:t>
      </w:r>
      <w:r w:rsidRPr="007C41F2">
        <w:rPr>
          <w:bCs/>
          <w:lang w:val="fr-FR"/>
        </w:rPr>
        <w:t>inventaires</w:t>
      </w:r>
    </w:p>
    <w:p w14:paraId="1C8E0387" w14:textId="2441F9D3" w:rsidR="003053E8" w:rsidRPr="007C41F2" w:rsidRDefault="003053E8"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La structure ci-après est proposée pour l</w:t>
      </w:r>
      <w:r w:rsidR="00CA739D" w:rsidRPr="007C41F2">
        <w:rPr>
          <w:sz w:val="20"/>
          <w:szCs w:val="20"/>
          <w:lang w:val="fr-FR"/>
        </w:rPr>
        <w:t>’</w:t>
      </w:r>
      <w:r w:rsidRPr="007C41F2">
        <w:rPr>
          <w:sz w:val="20"/>
          <w:szCs w:val="20"/>
          <w:lang w:val="fr-FR"/>
        </w:rPr>
        <w:t>élaboration d</w:t>
      </w:r>
      <w:r w:rsidR="00CA739D" w:rsidRPr="007C41F2">
        <w:rPr>
          <w:sz w:val="20"/>
          <w:szCs w:val="20"/>
          <w:lang w:val="fr-FR"/>
        </w:rPr>
        <w:t>’</w:t>
      </w:r>
      <w:r w:rsidRPr="007C41F2">
        <w:rPr>
          <w:sz w:val="20"/>
          <w:szCs w:val="20"/>
          <w:lang w:val="fr-FR"/>
        </w:rPr>
        <w:t>orientations sur l</w:t>
      </w:r>
      <w:r w:rsidR="00CA739D" w:rsidRPr="007C41F2">
        <w:rPr>
          <w:sz w:val="20"/>
          <w:szCs w:val="20"/>
          <w:lang w:val="fr-FR"/>
        </w:rPr>
        <w:t>’</w:t>
      </w:r>
      <w:r w:rsidRPr="007C41F2">
        <w:rPr>
          <w:sz w:val="20"/>
          <w:szCs w:val="20"/>
          <w:lang w:val="fr-FR"/>
        </w:rPr>
        <w:t>établissement d</w:t>
      </w:r>
      <w:r w:rsidR="00CA739D" w:rsidRPr="007C41F2">
        <w:rPr>
          <w:sz w:val="20"/>
          <w:szCs w:val="20"/>
          <w:lang w:val="fr-FR"/>
        </w:rPr>
        <w:t>’</w:t>
      </w:r>
      <w:r w:rsidRPr="007C41F2">
        <w:rPr>
          <w:sz w:val="20"/>
          <w:szCs w:val="20"/>
          <w:lang w:val="fr-FR"/>
        </w:rPr>
        <w:t>inventaires et repose sur les orientations existantes concernant la méthode à suivre pour établir les inventaires des émissions conformément à l</w:t>
      </w:r>
      <w:r w:rsidR="00CA739D" w:rsidRPr="007C41F2">
        <w:rPr>
          <w:sz w:val="20"/>
          <w:szCs w:val="20"/>
          <w:lang w:val="fr-FR"/>
        </w:rPr>
        <w:t>’</w:t>
      </w:r>
      <w:r w:rsidRPr="007C41F2">
        <w:rPr>
          <w:sz w:val="20"/>
          <w:szCs w:val="20"/>
          <w:lang w:val="fr-FR"/>
        </w:rPr>
        <w:t>article</w:t>
      </w:r>
      <w:r w:rsidR="009F1AA4" w:rsidRPr="007C41F2">
        <w:rPr>
          <w:sz w:val="20"/>
          <w:szCs w:val="20"/>
          <w:lang w:val="fr-FR"/>
        </w:rPr>
        <w:t> </w:t>
      </w:r>
      <w:r w:rsidRPr="007C41F2">
        <w:rPr>
          <w:sz w:val="20"/>
          <w:szCs w:val="20"/>
          <w:lang w:val="fr-FR"/>
        </w:rPr>
        <w:t>8</w:t>
      </w:r>
      <w:r w:rsidRPr="007C41F2">
        <w:rPr>
          <w:rStyle w:val="FootnoteReference"/>
          <w:rFonts w:asciiTheme="majorBidi" w:hAnsiTheme="majorBidi" w:cstheme="majorBidi"/>
          <w:szCs w:val="20"/>
          <w:lang w:val="fr-FR"/>
        </w:rPr>
        <w:footnoteReference w:id="7"/>
      </w:r>
      <w:r w:rsidR="00956EA4" w:rsidRPr="007C41F2">
        <w:rPr>
          <w:sz w:val="20"/>
          <w:szCs w:val="20"/>
          <w:lang w:val="fr-FR"/>
        </w:rPr>
        <w:t> :</w:t>
      </w:r>
    </w:p>
    <w:p w14:paraId="0F2A1A80" w14:textId="2CCF099A" w:rsidR="003053E8" w:rsidRPr="007C41F2" w:rsidRDefault="003053E8" w:rsidP="00241EF8">
      <w:pPr>
        <w:pStyle w:val="ListParagraph"/>
        <w:numPr>
          <w:ilvl w:val="0"/>
          <w:numId w:val="15"/>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lang w:val="fr-FR"/>
        </w:rPr>
      </w:pPr>
      <w:r w:rsidRPr="007C41F2">
        <w:rPr>
          <w:lang w:val="fr-FR"/>
        </w:rPr>
        <w:t>Informations générales</w:t>
      </w:r>
      <w:r w:rsidR="00956EA4" w:rsidRPr="007C41F2">
        <w:rPr>
          <w:lang w:val="fr-FR"/>
        </w:rPr>
        <w:t> ;</w:t>
      </w:r>
    </w:p>
    <w:p w14:paraId="5D476CC7" w14:textId="1ABD1480" w:rsidR="003053E8" w:rsidRPr="007C41F2" w:rsidRDefault="003053E8" w:rsidP="00241EF8">
      <w:pPr>
        <w:pStyle w:val="ListParagraph"/>
        <w:numPr>
          <w:ilvl w:val="0"/>
          <w:numId w:val="15"/>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lang w:val="fr-FR"/>
        </w:rPr>
      </w:pPr>
      <w:r w:rsidRPr="007C41F2">
        <w:rPr>
          <w:lang w:val="fr-FR"/>
        </w:rPr>
        <w:t>Mesures que les Parties doivent prendre pour établir un inventaire des rejets, en utilisant les outils disponibles, dont l</w:t>
      </w:r>
      <w:r w:rsidR="00CA739D" w:rsidRPr="007C41F2">
        <w:rPr>
          <w:lang w:val="fr-FR"/>
        </w:rPr>
        <w:t>’</w:t>
      </w:r>
      <w:r w:rsidRPr="007C41F2">
        <w:rPr>
          <w:lang w:val="fr-FR"/>
        </w:rPr>
        <w:t xml:space="preserve">Outil </w:t>
      </w:r>
      <w:r w:rsidR="00956EA4" w:rsidRPr="007C41F2">
        <w:rPr>
          <w:lang w:val="fr-FR"/>
        </w:rPr>
        <w:t>d</w:t>
      </w:r>
      <w:r w:rsidR="00CA739D" w:rsidRPr="007C41F2">
        <w:rPr>
          <w:lang w:val="fr-FR"/>
        </w:rPr>
        <w:t>’</w:t>
      </w:r>
      <w:r w:rsidRPr="007C41F2">
        <w:rPr>
          <w:lang w:val="fr-FR"/>
        </w:rPr>
        <w:t xml:space="preserve">identification et </w:t>
      </w:r>
      <w:r w:rsidR="00956EA4" w:rsidRPr="007C41F2">
        <w:rPr>
          <w:lang w:val="fr-FR"/>
        </w:rPr>
        <w:t xml:space="preserve">de </w:t>
      </w:r>
      <w:r w:rsidRPr="007C41F2">
        <w:rPr>
          <w:lang w:val="fr-FR"/>
        </w:rPr>
        <w:t>quantification des rejets de mercure</w:t>
      </w:r>
      <w:r w:rsidR="00956EA4" w:rsidRPr="007C41F2">
        <w:rPr>
          <w:lang w:val="fr-FR"/>
        </w:rPr>
        <w:t> ;</w:t>
      </w:r>
    </w:p>
    <w:p w14:paraId="1824E4B0" w14:textId="575C30D1" w:rsidR="003053E8" w:rsidRPr="007C41F2" w:rsidRDefault="003053E8" w:rsidP="00241EF8">
      <w:pPr>
        <w:pStyle w:val="ListParagraph"/>
        <w:numPr>
          <w:ilvl w:val="0"/>
          <w:numId w:val="15"/>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lang w:val="fr-FR"/>
        </w:rPr>
      </w:pPr>
      <w:r w:rsidRPr="007C41F2">
        <w:rPr>
          <w:lang w:val="fr-FR"/>
        </w:rPr>
        <w:t>Première étape : recenser les catégories de sources ponctuelles potentiellement pertinentes et les différentes installations libérant du mercure ou des composés du mercure</w:t>
      </w:r>
      <w:r w:rsidR="00956EA4" w:rsidRPr="007C41F2">
        <w:rPr>
          <w:lang w:val="fr-FR"/>
        </w:rPr>
        <w:t> ;</w:t>
      </w:r>
    </w:p>
    <w:p w14:paraId="5A65F7F9" w14:textId="1D54817D" w:rsidR="003053E8" w:rsidRPr="007C41F2" w:rsidRDefault="003053E8" w:rsidP="00241EF8">
      <w:pPr>
        <w:pStyle w:val="ListParagraph"/>
        <w:numPr>
          <w:ilvl w:val="0"/>
          <w:numId w:val="15"/>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lang w:val="fr-FR"/>
        </w:rPr>
      </w:pPr>
      <w:r w:rsidRPr="007C41F2">
        <w:rPr>
          <w:lang w:val="fr-FR"/>
        </w:rPr>
        <w:t>Recueillir des informations sur les rejets auprès des différentes installations, dont la source (type et emplacement de l</w:t>
      </w:r>
      <w:r w:rsidR="00CA739D" w:rsidRPr="007C41F2">
        <w:rPr>
          <w:lang w:val="fr-FR"/>
        </w:rPr>
        <w:t>’</w:t>
      </w:r>
      <w:r w:rsidRPr="007C41F2">
        <w:rPr>
          <w:lang w:val="fr-FR"/>
        </w:rPr>
        <w:t>installation), les quantités de rejets et la forme de mercure rejeté, dans la mesure du possible</w:t>
      </w:r>
      <w:r w:rsidR="00956EA4" w:rsidRPr="007C41F2">
        <w:rPr>
          <w:lang w:val="fr-FR"/>
        </w:rPr>
        <w:t> ;</w:t>
      </w:r>
    </w:p>
    <w:p w14:paraId="14E6E29A" w14:textId="6F3A5ED6" w:rsidR="003053E8" w:rsidRPr="007C41F2" w:rsidRDefault="003053E8" w:rsidP="00241EF8">
      <w:pPr>
        <w:pStyle w:val="ListParagraph"/>
        <w:numPr>
          <w:ilvl w:val="0"/>
          <w:numId w:val="15"/>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lang w:val="fr-FR"/>
        </w:rPr>
      </w:pPr>
      <w:r w:rsidRPr="007C41F2">
        <w:rPr>
          <w:lang w:val="fr-FR"/>
        </w:rPr>
        <w:t>Mettre au point une base de données nationale des inventaires des rejets</w:t>
      </w:r>
      <w:r w:rsidR="00956EA4" w:rsidRPr="007C41F2">
        <w:rPr>
          <w:lang w:val="fr-FR"/>
        </w:rPr>
        <w:t> ;</w:t>
      </w:r>
    </w:p>
    <w:p w14:paraId="788FEAEF" w14:textId="37F2A5AB" w:rsidR="003053E8" w:rsidRPr="007C41F2" w:rsidRDefault="003053E8" w:rsidP="00241EF8">
      <w:pPr>
        <w:pStyle w:val="ListParagraph"/>
        <w:numPr>
          <w:ilvl w:val="0"/>
          <w:numId w:val="15"/>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lang w:val="fr-FR"/>
        </w:rPr>
      </w:pPr>
      <w:r w:rsidRPr="007C41F2">
        <w:rPr>
          <w:lang w:val="fr-FR"/>
        </w:rPr>
        <w:t>Faire en sorte que les données soient accessibles au public et consultables</w:t>
      </w:r>
      <w:r w:rsidR="00956EA4" w:rsidRPr="007C41F2">
        <w:rPr>
          <w:lang w:val="fr-FR"/>
        </w:rPr>
        <w:t>.</w:t>
      </w:r>
    </w:p>
    <w:p w14:paraId="38BBCEDC" w14:textId="7CA5E7D0" w:rsidR="003053E8" w:rsidRPr="007C41F2" w:rsidRDefault="003053E8"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Concernant la feuille de route, il a été suggéré qu</w:t>
      </w:r>
      <w:r w:rsidR="00CA739D" w:rsidRPr="007C41F2">
        <w:rPr>
          <w:sz w:val="20"/>
          <w:szCs w:val="20"/>
          <w:lang w:val="fr-FR"/>
        </w:rPr>
        <w:t>’</w:t>
      </w:r>
      <w:r w:rsidRPr="007C41F2">
        <w:rPr>
          <w:sz w:val="20"/>
          <w:szCs w:val="20"/>
          <w:lang w:val="fr-FR"/>
        </w:rPr>
        <w:t>attendu qu</w:t>
      </w:r>
      <w:r w:rsidR="00CA739D" w:rsidRPr="007C41F2">
        <w:rPr>
          <w:sz w:val="20"/>
          <w:szCs w:val="20"/>
          <w:lang w:val="fr-FR"/>
        </w:rPr>
        <w:t>’</w:t>
      </w:r>
      <w:r w:rsidRPr="007C41F2">
        <w:rPr>
          <w:sz w:val="20"/>
          <w:szCs w:val="20"/>
          <w:lang w:val="fr-FR"/>
        </w:rPr>
        <w:t>une période de deux ans séparera la troisième et la quatrième réunion de la Conférence des Parties, la feuille de route pourrait inclure la planification de l</w:t>
      </w:r>
      <w:r w:rsidR="00CA739D" w:rsidRPr="007C41F2">
        <w:rPr>
          <w:sz w:val="20"/>
          <w:szCs w:val="20"/>
          <w:lang w:val="fr-FR"/>
        </w:rPr>
        <w:t>’</w:t>
      </w:r>
      <w:r w:rsidRPr="007C41F2">
        <w:rPr>
          <w:sz w:val="20"/>
          <w:szCs w:val="20"/>
          <w:lang w:val="fr-FR"/>
        </w:rPr>
        <w:t>élaboration du projet d</w:t>
      </w:r>
      <w:r w:rsidR="00CA739D" w:rsidRPr="007C41F2">
        <w:rPr>
          <w:sz w:val="20"/>
          <w:szCs w:val="20"/>
          <w:lang w:val="fr-FR"/>
        </w:rPr>
        <w:t>’</w:t>
      </w:r>
      <w:r w:rsidRPr="007C41F2">
        <w:rPr>
          <w:sz w:val="20"/>
          <w:szCs w:val="20"/>
          <w:lang w:val="fr-FR"/>
        </w:rPr>
        <w:t>orientations sur les meilleures techniques disponibles et les meilleures pratiques environnementales pour les rejets, telle l</w:t>
      </w:r>
      <w:r w:rsidR="00CA739D" w:rsidRPr="007C41F2">
        <w:rPr>
          <w:sz w:val="20"/>
          <w:szCs w:val="20"/>
          <w:lang w:val="fr-FR"/>
        </w:rPr>
        <w:t>’</w:t>
      </w:r>
      <w:r w:rsidRPr="007C41F2">
        <w:rPr>
          <w:sz w:val="20"/>
          <w:szCs w:val="20"/>
          <w:lang w:val="fr-FR"/>
        </w:rPr>
        <w:t>identification des catégories de rejets pour lesquelles il serait nécessaire d</w:t>
      </w:r>
      <w:r w:rsidR="00CA739D" w:rsidRPr="007C41F2">
        <w:rPr>
          <w:sz w:val="20"/>
          <w:szCs w:val="20"/>
          <w:lang w:val="fr-FR"/>
        </w:rPr>
        <w:t>’</w:t>
      </w:r>
      <w:r w:rsidRPr="007C41F2">
        <w:rPr>
          <w:sz w:val="20"/>
          <w:szCs w:val="20"/>
          <w:lang w:val="fr-FR"/>
        </w:rPr>
        <w:t>élaborer ce type d</w:t>
      </w:r>
      <w:r w:rsidR="00CA739D" w:rsidRPr="007C41F2">
        <w:rPr>
          <w:sz w:val="20"/>
          <w:szCs w:val="20"/>
          <w:lang w:val="fr-FR"/>
        </w:rPr>
        <w:t>’</w:t>
      </w:r>
      <w:r w:rsidRPr="007C41F2">
        <w:rPr>
          <w:sz w:val="20"/>
          <w:szCs w:val="20"/>
          <w:lang w:val="fr-FR"/>
        </w:rPr>
        <w:t>orientations, comme indiqué à l</w:t>
      </w:r>
      <w:r w:rsidR="00CA739D" w:rsidRPr="007C41F2">
        <w:rPr>
          <w:sz w:val="20"/>
          <w:szCs w:val="20"/>
          <w:lang w:val="fr-FR"/>
        </w:rPr>
        <w:t>’</w:t>
      </w:r>
      <w:r w:rsidRPr="007C41F2">
        <w:rPr>
          <w:sz w:val="20"/>
          <w:szCs w:val="20"/>
          <w:lang w:val="fr-FR"/>
        </w:rPr>
        <w:t>alinéa a) du paragraphe 7</w:t>
      </w:r>
      <w:r w:rsidR="0061657A" w:rsidRPr="007C41F2">
        <w:rPr>
          <w:sz w:val="20"/>
          <w:szCs w:val="20"/>
          <w:lang w:val="fr-FR"/>
        </w:rPr>
        <w:t xml:space="preserve"> de l’article 9</w:t>
      </w:r>
      <w:r w:rsidRPr="007C41F2">
        <w:rPr>
          <w:sz w:val="20"/>
          <w:szCs w:val="20"/>
          <w:lang w:val="fr-FR"/>
        </w:rPr>
        <w:t>. Ainsi, les discussions sur ces orientations pourraient débuter avant la quatrième réunion de la Conférence des Parties. Contrairement à l</w:t>
      </w:r>
      <w:r w:rsidR="00CA739D" w:rsidRPr="007C41F2">
        <w:rPr>
          <w:sz w:val="20"/>
          <w:szCs w:val="20"/>
          <w:lang w:val="fr-FR"/>
        </w:rPr>
        <w:t>’</w:t>
      </w:r>
      <w:r w:rsidRPr="007C41F2">
        <w:rPr>
          <w:sz w:val="20"/>
          <w:szCs w:val="20"/>
          <w:lang w:val="fr-FR"/>
        </w:rPr>
        <w:t>article 8, aux termes duquel les meilleures techniques disponibles et les meilleures pratiques environnementales sont obligatoires pour les nouvelles sources, l</w:t>
      </w:r>
      <w:r w:rsidR="00CA739D" w:rsidRPr="007C41F2">
        <w:rPr>
          <w:sz w:val="20"/>
          <w:szCs w:val="20"/>
          <w:lang w:val="fr-FR"/>
        </w:rPr>
        <w:t>’</w:t>
      </w:r>
      <w:r w:rsidRPr="007C41F2">
        <w:rPr>
          <w:sz w:val="20"/>
          <w:szCs w:val="20"/>
          <w:lang w:val="fr-FR"/>
        </w:rPr>
        <w:t>article 9 dispose que leur application est une option parmi d</w:t>
      </w:r>
      <w:r w:rsidR="00CA739D" w:rsidRPr="007C41F2">
        <w:rPr>
          <w:sz w:val="20"/>
          <w:szCs w:val="20"/>
          <w:lang w:val="fr-FR"/>
        </w:rPr>
        <w:t>’</w:t>
      </w:r>
      <w:r w:rsidRPr="007C41F2">
        <w:rPr>
          <w:sz w:val="20"/>
          <w:szCs w:val="20"/>
          <w:lang w:val="fr-FR"/>
        </w:rPr>
        <w:t>autres, tant pour les nouvelles sources que pour les sources existantes. Compte tenu de cette différence, l</w:t>
      </w:r>
      <w:r w:rsidR="00CA739D" w:rsidRPr="007C41F2">
        <w:rPr>
          <w:sz w:val="20"/>
          <w:szCs w:val="20"/>
          <w:lang w:val="fr-FR"/>
        </w:rPr>
        <w:t>’</w:t>
      </w:r>
      <w:r w:rsidRPr="007C41F2">
        <w:rPr>
          <w:sz w:val="20"/>
          <w:szCs w:val="20"/>
          <w:lang w:val="fr-FR"/>
        </w:rPr>
        <w:t xml:space="preserve">utilité et la faisabilité des meilleures techniques disponibles et des meilleures pratiques environnementales pour des procédés spécifiques </w:t>
      </w:r>
      <w:r w:rsidR="00AE3442" w:rsidRPr="007C41F2">
        <w:rPr>
          <w:sz w:val="20"/>
          <w:szCs w:val="20"/>
          <w:lang w:val="fr-FR"/>
        </w:rPr>
        <w:t>seront examinés au cours de l’</w:t>
      </w:r>
      <w:r w:rsidRPr="007C41F2">
        <w:rPr>
          <w:sz w:val="20"/>
          <w:szCs w:val="20"/>
          <w:lang w:val="fr-FR"/>
        </w:rPr>
        <w:t>intersessions. La Conférence d</w:t>
      </w:r>
      <w:r w:rsidR="00AE3442" w:rsidRPr="007C41F2">
        <w:rPr>
          <w:sz w:val="20"/>
          <w:szCs w:val="20"/>
          <w:lang w:val="fr-FR"/>
        </w:rPr>
        <w:t xml:space="preserve">es Parties, pourrait, </w:t>
      </w:r>
      <w:r w:rsidRPr="007C41F2">
        <w:rPr>
          <w:sz w:val="20"/>
          <w:szCs w:val="20"/>
          <w:lang w:val="fr-FR"/>
        </w:rPr>
        <w:t>à sa quatrième</w:t>
      </w:r>
      <w:r w:rsidR="00AE3442" w:rsidRPr="007C41F2">
        <w:rPr>
          <w:sz w:val="20"/>
          <w:szCs w:val="20"/>
          <w:lang w:val="fr-FR"/>
        </w:rPr>
        <w:t> </w:t>
      </w:r>
      <w:r w:rsidRPr="007C41F2">
        <w:rPr>
          <w:sz w:val="20"/>
          <w:szCs w:val="20"/>
          <w:lang w:val="fr-FR"/>
        </w:rPr>
        <w:t>réunion</w:t>
      </w:r>
      <w:r w:rsidR="00AE3442" w:rsidRPr="007C41F2">
        <w:rPr>
          <w:sz w:val="20"/>
          <w:szCs w:val="20"/>
          <w:lang w:val="fr-FR"/>
        </w:rPr>
        <w:t>,</w:t>
      </w:r>
      <w:r w:rsidRPr="007C41F2">
        <w:rPr>
          <w:sz w:val="20"/>
          <w:szCs w:val="20"/>
          <w:lang w:val="fr-FR"/>
        </w:rPr>
        <w:t xml:space="preserve"> adopter les catégories et la feuille de route, sous réserve de l</w:t>
      </w:r>
      <w:r w:rsidR="00CA739D" w:rsidRPr="007C41F2">
        <w:rPr>
          <w:sz w:val="20"/>
          <w:szCs w:val="20"/>
          <w:lang w:val="fr-FR"/>
        </w:rPr>
        <w:t>’</w:t>
      </w:r>
      <w:r w:rsidRPr="007C41F2">
        <w:rPr>
          <w:sz w:val="20"/>
          <w:szCs w:val="20"/>
          <w:lang w:val="fr-FR"/>
        </w:rPr>
        <w:t>élaboration d</w:t>
      </w:r>
      <w:r w:rsidR="00CA739D" w:rsidRPr="007C41F2">
        <w:rPr>
          <w:sz w:val="20"/>
          <w:szCs w:val="20"/>
          <w:lang w:val="fr-FR"/>
        </w:rPr>
        <w:t>’</w:t>
      </w:r>
      <w:r w:rsidRPr="007C41F2">
        <w:rPr>
          <w:sz w:val="20"/>
          <w:szCs w:val="20"/>
          <w:lang w:val="fr-FR"/>
        </w:rPr>
        <w:t>orientations sur les meilleures techniques disponibles et les meilleures pratiques environnementales.</w:t>
      </w:r>
    </w:p>
    <w:p w14:paraId="17FBAC56" w14:textId="7E3876FD" w:rsidR="003053E8" w:rsidRPr="007C41F2" w:rsidRDefault="003053E8" w:rsidP="00241EF8">
      <w:pPr>
        <w:pStyle w:val="Default"/>
        <w:numPr>
          <w:ilvl w:val="0"/>
          <w:numId w:val="13"/>
        </w:numPr>
        <w:tabs>
          <w:tab w:val="left" w:pos="624"/>
        </w:tabs>
        <w:spacing w:after="120"/>
        <w:ind w:left="1247" w:firstLine="0"/>
        <w:rPr>
          <w:rFonts w:asciiTheme="majorBidi" w:hAnsiTheme="majorBidi" w:cstheme="majorBidi"/>
          <w:sz w:val="20"/>
          <w:szCs w:val="20"/>
          <w:lang w:val="fr-FR"/>
        </w:rPr>
      </w:pPr>
      <w:r w:rsidRPr="007C41F2">
        <w:rPr>
          <w:sz w:val="20"/>
          <w:szCs w:val="20"/>
          <w:lang w:val="fr-FR"/>
        </w:rPr>
        <w:t>La feuille de route suivante est proposée pour l</w:t>
      </w:r>
      <w:r w:rsidR="00CA739D" w:rsidRPr="007C41F2">
        <w:rPr>
          <w:sz w:val="20"/>
          <w:szCs w:val="20"/>
          <w:lang w:val="fr-FR"/>
        </w:rPr>
        <w:t>’</w:t>
      </w:r>
      <w:r w:rsidRPr="007C41F2">
        <w:rPr>
          <w:sz w:val="20"/>
          <w:szCs w:val="20"/>
          <w:lang w:val="fr-FR"/>
        </w:rPr>
        <w:t>élaboration d</w:t>
      </w:r>
      <w:r w:rsidR="00CA739D" w:rsidRPr="007C41F2">
        <w:rPr>
          <w:sz w:val="20"/>
          <w:szCs w:val="20"/>
          <w:lang w:val="fr-FR"/>
        </w:rPr>
        <w:t>’</w:t>
      </w:r>
      <w:r w:rsidRPr="007C41F2">
        <w:rPr>
          <w:sz w:val="20"/>
          <w:szCs w:val="20"/>
          <w:lang w:val="fr-FR"/>
        </w:rPr>
        <w:t>un projet d</w:t>
      </w:r>
      <w:r w:rsidR="00CA739D" w:rsidRPr="007C41F2">
        <w:rPr>
          <w:sz w:val="20"/>
          <w:szCs w:val="20"/>
          <w:lang w:val="fr-FR"/>
        </w:rPr>
        <w:t>’</w:t>
      </w:r>
      <w:r w:rsidRPr="007C41F2">
        <w:rPr>
          <w:sz w:val="20"/>
          <w:szCs w:val="20"/>
          <w:lang w:val="fr-FR"/>
        </w:rPr>
        <w:t>orientations sur les méthodes normalisées et connues d</w:t>
      </w:r>
      <w:r w:rsidR="00CA739D" w:rsidRPr="007C41F2">
        <w:rPr>
          <w:sz w:val="20"/>
          <w:szCs w:val="20"/>
          <w:lang w:val="fr-FR"/>
        </w:rPr>
        <w:t>’</w:t>
      </w:r>
      <w:r w:rsidRPr="007C41F2">
        <w:rPr>
          <w:sz w:val="20"/>
          <w:szCs w:val="20"/>
          <w:lang w:val="fr-FR"/>
        </w:rPr>
        <w:t>établissement d</w:t>
      </w:r>
      <w:r w:rsidR="00CA739D" w:rsidRPr="007C41F2">
        <w:rPr>
          <w:sz w:val="20"/>
          <w:szCs w:val="20"/>
          <w:lang w:val="fr-FR"/>
        </w:rPr>
        <w:t>’</w:t>
      </w:r>
      <w:r w:rsidRPr="007C41F2">
        <w:rPr>
          <w:sz w:val="20"/>
          <w:szCs w:val="20"/>
          <w:lang w:val="fr-FR"/>
        </w:rPr>
        <w:t>inventaires applicables aux sources figurant dans la liste de toutes les catégories importantes de sources anthropiques ponctuelles non visées par les dispositions de la Convention, à l</w:t>
      </w:r>
      <w:r w:rsidR="00CA739D" w:rsidRPr="007C41F2">
        <w:rPr>
          <w:sz w:val="20"/>
          <w:szCs w:val="20"/>
          <w:lang w:val="fr-FR"/>
        </w:rPr>
        <w:t>’</w:t>
      </w:r>
      <w:r w:rsidRPr="007C41F2">
        <w:rPr>
          <w:sz w:val="20"/>
          <w:szCs w:val="20"/>
          <w:lang w:val="fr-FR"/>
        </w:rPr>
        <w:t>exception de l</w:t>
      </w:r>
      <w:r w:rsidR="00CA739D" w:rsidRPr="007C41F2">
        <w:rPr>
          <w:sz w:val="20"/>
          <w:szCs w:val="20"/>
          <w:lang w:val="fr-FR"/>
        </w:rPr>
        <w:t>’</w:t>
      </w:r>
      <w:r w:rsidRPr="007C41F2">
        <w:rPr>
          <w:sz w:val="20"/>
          <w:szCs w:val="20"/>
          <w:lang w:val="fr-FR"/>
        </w:rPr>
        <w:t>article 9.</w:t>
      </w:r>
    </w:p>
    <w:p w14:paraId="2D0F0DA0" w14:textId="60821DE7" w:rsidR="003053E8" w:rsidRPr="007C41F2" w:rsidRDefault="003053E8" w:rsidP="00241EF8">
      <w:pPr>
        <w:adjustRightInd w:val="0"/>
        <w:snapToGrid w:val="0"/>
        <w:spacing w:after="120"/>
        <w:ind w:left="1247"/>
        <w:rPr>
          <w:rFonts w:asciiTheme="majorBidi" w:hAnsiTheme="majorBidi" w:cstheme="majorBidi"/>
          <w:b/>
          <w:lang w:val="fr-FR"/>
        </w:rPr>
      </w:pPr>
      <w:r w:rsidRPr="007C41F2">
        <w:rPr>
          <w:b/>
          <w:bCs/>
          <w:lang w:val="fr-FR"/>
        </w:rPr>
        <w:t>Projet de feuille de route pour la mise au point d</w:t>
      </w:r>
      <w:r w:rsidR="00CA739D" w:rsidRPr="007C41F2">
        <w:rPr>
          <w:b/>
          <w:bCs/>
          <w:lang w:val="fr-FR"/>
        </w:rPr>
        <w:t>’</w:t>
      </w:r>
      <w:r w:rsidRPr="007C41F2">
        <w:rPr>
          <w:b/>
          <w:bCs/>
          <w:lang w:val="fr-FR"/>
        </w:rPr>
        <w:t>orientations sur les inventaires des rejets</w:t>
      </w:r>
    </w:p>
    <w:tbl>
      <w:tblPr>
        <w:tblStyle w:val="TableGrid"/>
        <w:tblW w:w="0" w:type="auto"/>
        <w:tblInd w:w="1134" w:type="dxa"/>
        <w:tblLayout w:type="fixed"/>
        <w:tblLook w:val="04A0" w:firstRow="1" w:lastRow="0" w:firstColumn="1" w:lastColumn="0" w:noHBand="0" w:noVBand="1"/>
      </w:tblPr>
      <w:tblGrid>
        <w:gridCol w:w="6373"/>
        <w:gridCol w:w="1842"/>
      </w:tblGrid>
      <w:tr w:rsidR="003053E8" w:rsidRPr="007C41F2" w14:paraId="2B7B0B68" w14:textId="77777777" w:rsidTr="00C14994">
        <w:tc>
          <w:tcPr>
            <w:tcW w:w="6373" w:type="dxa"/>
          </w:tcPr>
          <w:p w14:paraId="358A7750" w14:textId="5E582801" w:rsidR="003053E8" w:rsidRPr="007C41F2" w:rsidRDefault="003053E8" w:rsidP="00241EF8">
            <w:pPr>
              <w:spacing w:after="120"/>
              <w:rPr>
                <w:rFonts w:asciiTheme="majorBidi" w:hAnsiTheme="majorBidi" w:cstheme="majorBidi"/>
                <w:sz w:val="18"/>
                <w:szCs w:val="18"/>
                <w:lang w:val="fr-FR"/>
              </w:rPr>
            </w:pPr>
            <w:r w:rsidRPr="007C41F2">
              <w:rPr>
                <w:sz w:val="18"/>
                <w:szCs w:val="18"/>
                <w:lang w:val="fr-FR"/>
              </w:rPr>
              <w:t xml:space="preserve">Le </w:t>
            </w:r>
            <w:r w:rsidR="00AE3442" w:rsidRPr="007C41F2">
              <w:rPr>
                <w:sz w:val="18"/>
                <w:szCs w:val="18"/>
                <w:lang w:val="fr-FR"/>
              </w:rPr>
              <w:t>s</w:t>
            </w:r>
            <w:r w:rsidRPr="007C41F2">
              <w:rPr>
                <w:sz w:val="18"/>
                <w:szCs w:val="18"/>
                <w:lang w:val="fr-FR"/>
              </w:rPr>
              <w:t>ecrétariat lance un appel aux Parties et autres parties prenantes afin qu</w:t>
            </w:r>
            <w:r w:rsidR="00CA739D" w:rsidRPr="007C41F2">
              <w:rPr>
                <w:sz w:val="18"/>
                <w:szCs w:val="18"/>
                <w:lang w:val="fr-FR"/>
              </w:rPr>
              <w:t>’</w:t>
            </w:r>
            <w:r w:rsidRPr="007C41F2">
              <w:rPr>
                <w:sz w:val="18"/>
                <w:szCs w:val="18"/>
                <w:lang w:val="fr-FR"/>
              </w:rPr>
              <w:t>elles soumettent les informations existantes sur le calcul des rejets et sur d</w:t>
            </w:r>
            <w:r w:rsidR="00CA739D" w:rsidRPr="007C41F2">
              <w:rPr>
                <w:sz w:val="18"/>
                <w:szCs w:val="18"/>
                <w:lang w:val="fr-FR"/>
              </w:rPr>
              <w:t>’</w:t>
            </w:r>
            <w:r w:rsidRPr="007C41F2">
              <w:rPr>
                <w:sz w:val="18"/>
                <w:szCs w:val="18"/>
                <w:lang w:val="fr-FR"/>
              </w:rPr>
              <w:t>autres méthodes tendant à évaluer les rejets issus des catégories de sources identifiées. Le processus impliquera des contacts avec les associations sectorielles concernées et une invitation à participer aux travaux du groupe d</w:t>
            </w:r>
            <w:r w:rsidR="00CA739D" w:rsidRPr="007C41F2">
              <w:rPr>
                <w:sz w:val="18"/>
                <w:szCs w:val="18"/>
                <w:lang w:val="fr-FR"/>
              </w:rPr>
              <w:t>’</w:t>
            </w:r>
            <w:r w:rsidRPr="007C41F2">
              <w:rPr>
                <w:sz w:val="18"/>
                <w:szCs w:val="18"/>
                <w:lang w:val="fr-FR"/>
              </w:rPr>
              <w:t>experts techniques.</w:t>
            </w:r>
          </w:p>
        </w:tc>
        <w:tc>
          <w:tcPr>
            <w:tcW w:w="1842" w:type="dxa"/>
          </w:tcPr>
          <w:p w14:paraId="1C0FF6C8" w14:textId="77777777" w:rsidR="003053E8" w:rsidRPr="007C41F2" w:rsidRDefault="003053E8" w:rsidP="00241EF8">
            <w:pPr>
              <w:spacing w:after="120"/>
              <w:rPr>
                <w:rFonts w:asciiTheme="majorBidi" w:hAnsiTheme="majorBidi" w:cstheme="majorBidi"/>
                <w:sz w:val="18"/>
                <w:szCs w:val="18"/>
                <w:lang w:val="fr-FR"/>
              </w:rPr>
            </w:pPr>
            <w:r w:rsidRPr="007C41F2">
              <w:rPr>
                <w:sz w:val="18"/>
                <w:szCs w:val="18"/>
                <w:lang w:val="fr-FR"/>
              </w:rPr>
              <w:t>Janvier 2020</w:t>
            </w:r>
          </w:p>
        </w:tc>
      </w:tr>
      <w:tr w:rsidR="003053E8" w:rsidRPr="007C41F2" w14:paraId="799651B5" w14:textId="77777777" w:rsidTr="00C14994">
        <w:tc>
          <w:tcPr>
            <w:tcW w:w="6373" w:type="dxa"/>
          </w:tcPr>
          <w:p w14:paraId="2A7169D4" w14:textId="7CEB54F0" w:rsidR="003053E8" w:rsidRPr="007C41F2" w:rsidRDefault="003053E8" w:rsidP="00241EF8">
            <w:pPr>
              <w:spacing w:after="120"/>
              <w:rPr>
                <w:rFonts w:asciiTheme="majorBidi" w:hAnsiTheme="majorBidi" w:cstheme="majorBidi"/>
                <w:sz w:val="18"/>
                <w:szCs w:val="18"/>
                <w:lang w:val="fr-FR"/>
              </w:rPr>
            </w:pPr>
            <w:r w:rsidRPr="007C41F2">
              <w:rPr>
                <w:sz w:val="18"/>
                <w:szCs w:val="18"/>
                <w:lang w:val="fr-FR"/>
              </w:rPr>
              <w:t xml:space="preserve">Le </w:t>
            </w:r>
            <w:r w:rsidR="00AE3442" w:rsidRPr="007C41F2">
              <w:rPr>
                <w:sz w:val="18"/>
                <w:szCs w:val="18"/>
                <w:lang w:val="fr-FR"/>
              </w:rPr>
              <w:t>s</w:t>
            </w:r>
            <w:r w:rsidRPr="007C41F2">
              <w:rPr>
                <w:sz w:val="18"/>
                <w:szCs w:val="18"/>
                <w:lang w:val="fr-FR"/>
              </w:rPr>
              <w:t>ecrétariat élabore des orientations générales concernant les inventaires des rejets en se fondant sur les outils disponibles, notamment l</w:t>
            </w:r>
            <w:r w:rsidR="00CA739D" w:rsidRPr="007C41F2">
              <w:rPr>
                <w:sz w:val="18"/>
                <w:szCs w:val="18"/>
                <w:lang w:val="fr-FR"/>
              </w:rPr>
              <w:t>’</w:t>
            </w:r>
            <w:r w:rsidRPr="007C41F2">
              <w:rPr>
                <w:sz w:val="18"/>
                <w:szCs w:val="18"/>
                <w:lang w:val="fr-FR"/>
              </w:rPr>
              <w:t>Outil du PNUE.</w:t>
            </w:r>
          </w:p>
        </w:tc>
        <w:tc>
          <w:tcPr>
            <w:tcW w:w="1842" w:type="dxa"/>
          </w:tcPr>
          <w:p w14:paraId="5BF5A3B6" w14:textId="77777777" w:rsidR="003053E8" w:rsidRPr="007C41F2" w:rsidRDefault="003053E8" w:rsidP="00241EF8">
            <w:pPr>
              <w:spacing w:after="120"/>
              <w:rPr>
                <w:rFonts w:asciiTheme="majorBidi" w:hAnsiTheme="majorBidi" w:cstheme="majorBidi"/>
                <w:sz w:val="18"/>
                <w:szCs w:val="18"/>
                <w:lang w:val="fr-FR"/>
              </w:rPr>
            </w:pPr>
            <w:r w:rsidRPr="007C41F2">
              <w:rPr>
                <w:sz w:val="18"/>
                <w:szCs w:val="18"/>
                <w:lang w:val="fr-FR"/>
              </w:rPr>
              <w:t>Mars 2020</w:t>
            </w:r>
          </w:p>
        </w:tc>
      </w:tr>
      <w:tr w:rsidR="003053E8" w:rsidRPr="007C41F2" w14:paraId="6B1D6830" w14:textId="77777777" w:rsidTr="00C14994">
        <w:tc>
          <w:tcPr>
            <w:tcW w:w="6373" w:type="dxa"/>
          </w:tcPr>
          <w:p w14:paraId="16C98FBB" w14:textId="0ED5DFFC" w:rsidR="003053E8" w:rsidRPr="007C41F2" w:rsidRDefault="004E7250" w:rsidP="00241EF8">
            <w:pPr>
              <w:spacing w:after="120"/>
              <w:rPr>
                <w:rFonts w:asciiTheme="majorBidi" w:hAnsiTheme="majorBidi" w:cstheme="majorBidi"/>
                <w:sz w:val="18"/>
                <w:szCs w:val="18"/>
                <w:lang w:val="fr-FR"/>
              </w:rPr>
            </w:pPr>
            <w:r w:rsidRPr="007C41F2">
              <w:rPr>
                <w:sz w:val="18"/>
                <w:szCs w:val="18"/>
                <w:lang w:val="fr-FR"/>
              </w:rPr>
              <w:t>Le groupe d</w:t>
            </w:r>
            <w:r w:rsidR="00CA739D" w:rsidRPr="007C41F2">
              <w:rPr>
                <w:sz w:val="18"/>
                <w:szCs w:val="18"/>
                <w:lang w:val="fr-FR"/>
              </w:rPr>
              <w:t>’</w:t>
            </w:r>
            <w:r w:rsidRPr="007C41F2">
              <w:rPr>
                <w:sz w:val="18"/>
                <w:szCs w:val="18"/>
                <w:lang w:val="fr-FR"/>
              </w:rPr>
              <w:t>experts techniques examine les contributions et le projet d</w:t>
            </w:r>
            <w:r w:rsidR="00CA739D" w:rsidRPr="007C41F2">
              <w:rPr>
                <w:sz w:val="18"/>
                <w:szCs w:val="18"/>
                <w:lang w:val="fr-FR"/>
              </w:rPr>
              <w:t>’</w:t>
            </w:r>
            <w:r w:rsidRPr="007C41F2">
              <w:rPr>
                <w:sz w:val="18"/>
                <w:szCs w:val="18"/>
                <w:lang w:val="fr-FR"/>
              </w:rPr>
              <w:t>orientations générales. Le groupe informe le secrétariat, le cas échéant, de la nécessité de recueillir des informations supplémentaires.</w:t>
            </w:r>
          </w:p>
        </w:tc>
        <w:tc>
          <w:tcPr>
            <w:tcW w:w="1842" w:type="dxa"/>
          </w:tcPr>
          <w:p w14:paraId="4D9BBFE4" w14:textId="77777777" w:rsidR="003053E8" w:rsidRPr="007C41F2" w:rsidRDefault="003053E8" w:rsidP="00241EF8">
            <w:pPr>
              <w:spacing w:after="120"/>
              <w:rPr>
                <w:rFonts w:asciiTheme="majorBidi" w:hAnsiTheme="majorBidi" w:cstheme="majorBidi"/>
                <w:sz w:val="18"/>
                <w:szCs w:val="18"/>
                <w:lang w:val="fr-FR"/>
              </w:rPr>
            </w:pPr>
            <w:r w:rsidRPr="007C41F2">
              <w:rPr>
                <w:sz w:val="18"/>
                <w:szCs w:val="18"/>
                <w:lang w:val="fr-FR"/>
              </w:rPr>
              <w:t>Avril 2020</w:t>
            </w:r>
          </w:p>
        </w:tc>
      </w:tr>
      <w:tr w:rsidR="003053E8" w:rsidRPr="007C41F2" w14:paraId="73C7EB3A" w14:textId="77777777" w:rsidTr="00C14994">
        <w:tc>
          <w:tcPr>
            <w:tcW w:w="6373" w:type="dxa"/>
          </w:tcPr>
          <w:p w14:paraId="6232FBE3" w14:textId="27FDD417" w:rsidR="003053E8" w:rsidRPr="007C41F2" w:rsidRDefault="00AE3442" w:rsidP="00241EF8">
            <w:pPr>
              <w:spacing w:after="120"/>
              <w:rPr>
                <w:rFonts w:asciiTheme="majorBidi" w:hAnsiTheme="majorBidi" w:cstheme="majorBidi"/>
                <w:sz w:val="18"/>
                <w:szCs w:val="18"/>
                <w:lang w:val="fr-FR"/>
              </w:rPr>
            </w:pPr>
            <w:r w:rsidRPr="007C41F2">
              <w:rPr>
                <w:sz w:val="18"/>
                <w:szCs w:val="18"/>
                <w:lang w:val="fr-FR"/>
              </w:rPr>
              <w:t xml:space="preserve">Publier </w:t>
            </w:r>
            <w:r w:rsidR="003053E8" w:rsidRPr="007C41F2">
              <w:rPr>
                <w:sz w:val="18"/>
                <w:szCs w:val="18"/>
                <w:lang w:val="fr-FR"/>
              </w:rPr>
              <w:t>le projet d</w:t>
            </w:r>
            <w:r w:rsidR="00CA739D" w:rsidRPr="007C41F2">
              <w:rPr>
                <w:sz w:val="18"/>
                <w:szCs w:val="18"/>
                <w:lang w:val="fr-FR"/>
              </w:rPr>
              <w:t>’</w:t>
            </w:r>
            <w:r w:rsidR="003053E8" w:rsidRPr="007C41F2">
              <w:rPr>
                <w:sz w:val="18"/>
                <w:szCs w:val="18"/>
                <w:lang w:val="fr-FR"/>
              </w:rPr>
              <w:t>orientations générales sur le site Web de la Convention pour observations.</w:t>
            </w:r>
          </w:p>
        </w:tc>
        <w:tc>
          <w:tcPr>
            <w:tcW w:w="1842" w:type="dxa"/>
          </w:tcPr>
          <w:p w14:paraId="58F61672" w14:textId="77777777" w:rsidR="003053E8" w:rsidRPr="007C41F2" w:rsidRDefault="003053E8" w:rsidP="00241EF8">
            <w:pPr>
              <w:spacing w:after="120"/>
              <w:rPr>
                <w:rFonts w:asciiTheme="majorBidi" w:hAnsiTheme="majorBidi" w:cstheme="majorBidi"/>
                <w:sz w:val="18"/>
                <w:szCs w:val="18"/>
                <w:lang w:val="fr-FR"/>
              </w:rPr>
            </w:pPr>
            <w:r w:rsidRPr="007C41F2">
              <w:rPr>
                <w:sz w:val="18"/>
                <w:szCs w:val="18"/>
                <w:lang w:val="fr-FR"/>
              </w:rPr>
              <w:t>Mai 2020</w:t>
            </w:r>
          </w:p>
        </w:tc>
      </w:tr>
      <w:tr w:rsidR="003053E8" w:rsidRPr="007C41F2" w14:paraId="09F91045" w14:textId="77777777" w:rsidTr="00C14994">
        <w:tc>
          <w:tcPr>
            <w:tcW w:w="6373" w:type="dxa"/>
          </w:tcPr>
          <w:p w14:paraId="57980BC7" w14:textId="2DF30597" w:rsidR="003053E8" w:rsidRPr="007C41F2" w:rsidRDefault="003053E8" w:rsidP="00241EF8">
            <w:pPr>
              <w:spacing w:after="120"/>
              <w:rPr>
                <w:rFonts w:asciiTheme="majorBidi" w:hAnsiTheme="majorBidi" w:cstheme="majorBidi"/>
                <w:sz w:val="18"/>
                <w:szCs w:val="18"/>
                <w:lang w:val="fr-FR"/>
              </w:rPr>
            </w:pPr>
            <w:r w:rsidRPr="007C41F2">
              <w:rPr>
                <w:sz w:val="18"/>
                <w:szCs w:val="18"/>
                <w:lang w:val="fr-FR"/>
              </w:rPr>
              <w:t>Procéder à la collecte d</w:t>
            </w:r>
            <w:r w:rsidR="00CA739D" w:rsidRPr="007C41F2">
              <w:rPr>
                <w:sz w:val="18"/>
                <w:szCs w:val="18"/>
                <w:lang w:val="fr-FR"/>
              </w:rPr>
              <w:t>’</w:t>
            </w:r>
            <w:r w:rsidRPr="007C41F2">
              <w:rPr>
                <w:sz w:val="18"/>
                <w:szCs w:val="18"/>
                <w:lang w:val="fr-FR"/>
              </w:rPr>
              <w:t>informations supplémentaires, si recommandé par le groupe.</w:t>
            </w:r>
          </w:p>
        </w:tc>
        <w:tc>
          <w:tcPr>
            <w:tcW w:w="1842" w:type="dxa"/>
          </w:tcPr>
          <w:p w14:paraId="7F08A6EF" w14:textId="2B39F4CC" w:rsidR="003053E8" w:rsidRPr="007C41F2" w:rsidRDefault="00AE3442" w:rsidP="00241EF8">
            <w:pPr>
              <w:spacing w:after="120"/>
              <w:rPr>
                <w:rFonts w:asciiTheme="majorBidi" w:hAnsiTheme="majorBidi" w:cstheme="majorBidi"/>
                <w:sz w:val="18"/>
                <w:szCs w:val="18"/>
                <w:lang w:val="fr-FR"/>
              </w:rPr>
            </w:pPr>
            <w:r w:rsidRPr="007C41F2">
              <w:rPr>
                <w:sz w:val="18"/>
                <w:szCs w:val="18"/>
                <w:lang w:val="fr-FR"/>
              </w:rPr>
              <w:t>Mai</w:t>
            </w:r>
            <w:r w:rsidR="0061657A" w:rsidRPr="007C41F2">
              <w:rPr>
                <w:sz w:val="18"/>
                <w:szCs w:val="18"/>
                <w:lang w:val="fr-FR"/>
              </w:rPr>
              <w:t>–</w:t>
            </w:r>
            <w:r w:rsidRPr="007C41F2">
              <w:rPr>
                <w:sz w:val="18"/>
                <w:szCs w:val="18"/>
                <w:lang w:val="fr-FR"/>
              </w:rPr>
              <w:t>a</w:t>
            </w:r>
            <w:r w:rsidR="003053E8" w:rsidRPr="007C41F2">
              <w:rPr>
                <w:sz w:val="18"/>
                <w:szCs w:val="18"/>
                <w:lang w:val="fr-FR"/>
              </w:rPr>
              <w:t>oût 2020</w:t>
            </w:r>
          </w:p>
        </w:tc>
      </w:tr>
      <w:tr w:rsidR="003053E8" w:rsidRPr="007C41F2" w14:paraId="61E06A92" w14:textId="77777777" w:rsidTr="00C14994">
        <w:tc>
          <w:tcPr>
            <w:tcW w:w="6373" w:type="dxa"/>
          </w:tcPr>
          <w:p w14:paraId="32F1DAD8" w14:textId="721A3AB1" w:rsidR="003053E8" w:rsidRPr="007C41F2" w:rsidRDefault="003053E8" w:rsidP="00241EF8">
            <w:pPr>
              <w:spacing w:after="120"/>
              <w:rPr>
                <w:rFonts w:asciiTheme="majorBidi" w:hAnsiTheme="majorBidi" w:cstheme="majorBidi"/>
                <w:sz w:val="18"/>
                <w:szCs w:val="18"/>
                <w:lang w:val="fr-FR"/>
              </w:rPr>
            </w:pPr>
            <w:r w:rsidRPr="007C41F2">
              <w:rPr>
                <w:sz w:val="18"/>
                <w:szCs w:val="18"/>
                <w:lang w:val="fr-FR"/>
              </w:rPr>
              <w:t>Le secrétariat compile les informations sur les méthodes d</w:t>
            </w:r>
            <w:r w:rsidR="00CA739D" w:rsidRPr="007C41F2">
              <w:rPr>
                <w:sz w:val="18"/>
                <w:szCs w:val="18"/>
                <w:lang w:val="fr-FR"/>
              </w:rPr>
              <w:t>’</w:t>
            </w:r>
            <w:r w:rsidRPr="007C41F2">
              <w:rPr>
                <w:sz w:val="18"/>
                <w:szCs w:val="18"/>
                <w:lang w:val="fr-FR"/>
              </w:rPr>
              <w:t>estimation des rejets.</w:t>
            </w:r>
          </w:p>
        </w:tc>
        <w:tc>
          <w:tcPr>
            <w:tcW w:w="1842" w:type="dxa"/>
          </w:tcPr>
          <w:p w14:paraId="036557A8" w14:textId="77777777" w:rsidR="003053E8" w:rsidRPr="007C41F2" w:rsidRDefault="003053E8" w:rsidP="00241EF8">
            <w:pPr>
              <w:spacing w:after="120"/>
              <w:rPr>
                <w:rFonts w:asciiTheme="majorBidi" w:hAnsiTheme="majorBidi" w:cstheme="majorBidi"/>
                <w:sz w:val="18"/>
                <w:szCs w:val="18"/>
                <w:lang w:val="fr-FR"/>
              </w:rPr>
            </w:pPr>
            <w:r w:rsidRPr="007C41F2">
              <w:rPr>
                <w:sz w:val="18"/>
                <w:szCs w:val="18"/>
                <w:lang w:val="fr-FR"/>
              </w:rPr>
              <w:t>Septembre 2020</w:t>
            </w:r>
          </w:p>
        </w:tc>
      </w:tr>
      <w:tr w:rsidR="003053E8" w:rsidRPr="007C41F2" w14:paraId="1AD46764" w14:textId="77777777" w:rsidTr="00C14994">
        <w:tc>
          <w:tcPr>
            <w:tcW w:w="6373" w:type="dxa"/>
          </w:tcPr>
          <w:p w14:paraId="7965591F" w14:textId="1271BA26" w:rsidR="003053E8" w:rsidRPr="007C41F2" w:rsidRDefault="004E7250" w:rsidP="00241EF8">
            <w:pPr>
              <w:spacing w:after="120"/>
              <w:rPr>
                <w:rFonts w:asciiTheme="majorBidi" w:hAnsiTheme="majorBidi" w:cstheme="majorBidi"/>
                <w:sz w:val="18"/>
                <w:szCs w:val="18"/>
                <w:lang w:val="fr-FR"/>
              </w:rPr>
            </w:pPr>
            <w:r w:rsidRPr="007C41F2">
              <w:rPr>
                <w:sz w:val="18"/>
                <w:szCs w:val="18"/>
                <w:lang w:val="fr-FR"/>
              </w:rPr>
              <w:t>Le groupe d</w:t>
            </w:r>
            <w:r w:rsidR="00CA739D" w:rsidRPr="007C41F2">
              <w:rPr>
                <w:sz w:val="18"/>
                <w:szCs w:val="18"/>
                <w:lang w:val="fr-FR"/>
              </w:rPr>
              <w:t>’</w:t>
            </w:r>
            <w:r w:rsidRPr="007C41F2">
              <w:rPr>
                <w:sz w:val="18"/>
                <w:szCs w:val="18"/>
                <w:lang w:val="fr-FR"/>
              </w:rPr>
              <w:t>experts techniques passe en revue le projet d</w:t>
            </w:r>
            <w:r w:rsidR="00CA739D" w:rsidRPr="007C41F2">
              <w:rPr>
                <w:sz w:val="18"/>
                <w:szCs w:val="18"/>
                <w:lang w:val="fr-FR"/>
              </w:rPr>
              <w:t>’</w:t>
            </w:r>
            <w:r w:rsidRPr="007C41F2">
              <w:rPr>
                <w:sz w:val="18"/>
                <w:szCs w:val="18"/>
                <w:lang w:val="fr-FR"/>
              </w:rPr>
              <w:t>orientations générales et examine les informations sur les méthodes d</w:t>
            </w:r>
            <w:r w:rsidR="00CA739D" w:rsidRPr="007C41F2">
              <w:rPr>
                <w:sz w:val="18"/>
                <w:szCs w:val="18"/>
                <w:lang w:val="fr-FR"/>
              </w:rPr>
              <w:t>’</w:t>
            </w:r>
            <w:r w:rsidRPr="007C41F2">
              <w:rPr>
                <w:sz w:val="18"/>
                <w:szCs w:val="18"/>
                <w:lang w:val="fr-FR"/>
              </w:rPr>
              <w:t>estimation des rejets avant publication sur le site Web de la Convention.</w:t>
            </w:r>
          </w:p>
        </w:tc>
        <w:tc>
          <w:tcPr>
            <w:tcW w:w="1842" w:type="dxa"/>
          </w:tcPr>
          <w:p w14:paraId="401904A8" w14:textId="1FDD65A2" w:rsidR="003053E8" w:rsidRPr="007C41F2" w:rsidRDefault="00AE3442" w:rsidP="00241EF8">
            <w:pPr>
              <w:spacing w:after="120"/>
              <w:rPr>
                <w:rFonts w:asciiTheme="majorBidi" w:hAnsiTheme="majorBidi" w:cstheme="majorBidi"/>
                <w:sz w:val="18"/>
                <w:szCs w:val="18"/>
                <w:lang w:val="fr-FR"/>
              </w:rPr>
            </w:pPr>
            <w:r w:rsidRPr="007C41F2">
              <w:rPr>
                <w:sz w:val="18"/>
                <w:szCs w:val="18"/>
                <w:lang w:val="fr-FR"/>
              </w:rPr>
              <w:t>Septembre</w:t>
            </w:r>
            <w:r w:rsidR="0061657A" w:rsidRPr="007C41F2">
              <w:rPr>
                <w:sz w:val="18"/>
                <w:szCs w:val="18"/>
                <w:lang w:val="fr-FR"/>
              </w:rPr>
              <w:t>–</w:t>
            </w:r>
            <w:r w:rsidRPr="007C41F2">
              <w:rPr>
                <w:sz w:val="18"/>
                <w:szCs w:val="18"/>
                <w:lang w:val="fr-FR"/>
              </w:rPr>
              <w:t>n</w:t>
            </w:r>
            <w:r w:rsidR="003053E8" w:rsidRPr="007C41F2">
              <w:rPr>
                <w:sz w:val="18"/>
                <w:szCs w:val="18"/>
                <w:lang w:val="fr-FR"/>
              </w:rPr>
              <w:t>ovembre</w:t>
            </w:r>
            <w:r w:rsidR="00241EF8" w:rsidRPr="007C41F2">
              <w:rPr>
                <w:sz w:val="18"/>
                <w:szCs w:val="18"/>
                <w:lang w:val="fr-FR"/>
              </w:rPr>
              <w:t> </w:t>
            </w:r>
            <w:r w:rsidR="003053E8" w:rsidRPr="007C41F2">
              <w:rPr>
                <w:sz w:val="18"/>
                <w:szCs w:val="18"/>
                <w:lang w:val="fr-FR"/>
              </w:rPr>
              <w:t>2020</w:t>
            </w:r>
          </w:p>
        </w:tc>
      </w:tr>
      <w:tr w:rsidR="003053E8" w:rsidRPr="007C41F2" w14:paraId="3C9D653D" w14:textId="77777777" w:rsidTr="00C14994">
        <w:tc>
          <w:tcPr>
            <w:tcW w:w="6373" w:type="dxa"/>
          </w:tcPr>
          <w:p w14:paraId="618F304E" w14:textId="0F4D027E" w:rsidR="003053E8" w:rsidRPr="007C41F2" w:rsidRDefault="003053E8" w:rsidP="00241EF8">
            <w:pPr>
              <w:spacing w:after="120"/>
              <w:rPr>
                <w:rFonts w:asciiTheme="majorBidi" w:hAnsiTheme="majorBidi" w:cstheme="majorBidi"/>
                <w:sz w:val="18"/>
                <w:szCs w:val="18"/>
                <w:lang w:val="fr-FR"/>
              </w:rPr>
            </w:pPr>
            <w:r w:rsidRPr="007C41F2">
              <w:rPr>
                <w:sz w:val="18"/>
                <w:szCs w:val="18"/>
                <w:lang w:val="fr-FR"/>
              </w:rPr>
              <w:t>Procéder à la collecte d</w:t>
            </w:r>
            <w:r w:rsidR="00CA739D" w:rsidRPr="007C41F2">
              <w:rPr>
                <w:sz w:val="18"/>
                <w:szCs w:val="18"/>
                <w:lang w:val="fr-FR"/>
              </w:rPr>
              <w:t>’</w:t>
            </w:r>
            <w:r w:rsidRPr="007C41F2">
              <w:rPr>
                <w:sz w:val="18"/>
                <w:szCs w:val="18"/>
                <w:lang w:val="fr-FR"/>
              </w:rPr>
              <w:t>informations supplémentaires, grâce notamment à l</w:t>
            </w:r>
            <w:r w:rsidR="00CA739D" w:rsidRPr="007C41F2">
              <w:rPr>
                <w:sz w:val="18"/>
                <w:szCs w:val="18"/>
                <w:lang w:val="fr-FR"/>
              </w:rPr>
              <w:t>’</w:t>
            </w:r>
            <w:r w:rsidRPr="007C41F2">
              <w:rPr>
                <w:sz w:val="18"/>
                <w:szCs w:val="18"/>
                <w:lang w:val="fr-FR"/>
              </w:rPr>
              <w:t>utilisation pilote des orientations par plusieurs Parties, aux fins de recenser des sources pertinentes spécifiques et d</w:t>
            </w:r>
            <w:r w:rsidR="00CA739D" w:rsidRPr="007C41F2">
              <w:rPr>
                <w:sz w:val="18"/>
                <w:szCs w:val="18"/>
                <w:lang w:val="fr-FR"/>
              </w:rPr>
              <w:t>’</w:t>
            </w:r>
            <w:r w:rsidRPr="007C41F2">
              <w:rPr>
                <w:sz w:val="18"/>
                <w:szCs w:val="18"/>
                <w:lang w:val="fr-FR"/>
              </w:rPr>
              <w:t>estimer les rejets de mercure.</w:t>
            </w:r>
          </w:p>
        </w:tc>
        <w:tc>
          <w:tcPr>
            <w:tcW w:w="1842" w:type="dxa"/>
          </w:tcPr>
          <w:p w14:paraId="4D3D1D64" w14:textId="58188BB5" w:rsidR="003053E8" w:rsidRPr="007C41F2" w:rsidRDefault="00AE3442" w:rsidP="00241EF8">
            <w:pPr>
              <w:spacing w:after="120"/>
              <w:rPr>
                <w:rFonts w:asciiTheme="majorBidi" w:hAnsiTheme="majorBidi" w:cstheme="majorBidi"/>
                <w:sz w:val="18"/>
                <w:szCs w:val="18"/>
                <w:lang w:val="fr-FR"/>
              </w:rPr>
            </w:pPr>
            <w:r w:rsidRPr="007C41F2">
              <w:rPr>
                <w:sz w:val="18"/>
                <w:szCs w:val="18"/>
                <w:lang w:val="fr-FR"/>
              </w:rPr>
              <w:t>Décembre 2020 – m</w:t>
            </w:r>
            <w:r w:rsidR="003053E8" w:rsidRPr="007C41F2">
              <w:rPr>
                <w:sz w:val="18"/>
                <w:szCs w:val="18"/>
                <w:lang w:val="fr-FR"/>
              </w:rPr>
              <w:t>ars 2021</w:t>
            </w:r>
          </w:p>
        </w:tc>
      </w:tr>
      <w:tr w:rsidR="003053E8" w:rsidRPr="007C41F2" w14:paraId="77301003" w14:textId="77777777" w:rsidTr="00C14994">
        <w:tc>
          <w:tcPr>
            <w:tcW w:w="6373" w:type="dxa"/>
          </w:tcPr>
          <w:p w14:paraId="7D419BD0" w14:textId="55CE7962" w:rsidR="003053E8" w:rsidRPr="007C41F2" w:rsidRDefault="00391FC2" w:rsidP="00241EF8">
            <w:pPr>
              <w:spacing w:after="120"/>
              <w:rPr>
                <w:rFonts w:asciiTheme="majorBidi" w:hAnsiTheme="majorBidi" w:cstheme="majorBidi"/>
                <w:sz w:val="18"/>
                <w:szCs w:val="18"/>
                <w:lang w:val="fr-FR"/>
              </w:rPr>
            </w:pPr>
            <w:r w:rsidRPr="007C41F2">
              <w:rPr>
                <w:sz w:val="18"/>
                <w:szCs w:val="18"/>
                <w:lang w:val="fr-FR"/>
              </w:rPr>
              <w:t>Le groupe d</w:t>
            </w:r>
            <w:r w:rsidR="00CA739D" w:rsidRPr="007C41F2">
              <w:rPr>
                <w:sz w:val="18"/>
                <w:szCs w:val="18"/>
                <w:lang w:val="fr-FR"/>
              </w:rPr>
              <w:t>’</w:t>
            </w:r>
            <w:r w:rsidRPr="007C41F2">
              <w:rPr>
                <w:sz w:val="18"/>
                <w:szCs w:val="18"/>
                <w:lang w:val="fr-FR"/>
              </w:rPr>
              <w:t>experts techniques examine les résultats du processus pilote et d</w:t>
            </w:r>
            <w:r w:rsidR="00CA739D" w:rsidRPr="007C41F2">
              <w:rPr>
                <w:sz w:val="18"/>
                <w:szCs w:val="18"/>
                <w:lang w:val="fr-FR"/>
              </w:rPr>
              <w:t>’</w:t>
            </w:r>
            <w:r w:rsidRPr="007C41F2">
              <w:rPr>
                <w:sz w:val="18"/>
                <w:szCs w:val="18"/>
                <w:lang w:val="fr-FR"/>
              </w:rPr>
              <w:t xml:space="preserve">autres informations techniques. </w:t>
            </w:r>
          </w:p>
        </w:tc>
        <w:tc>
          <w:tcPr>
            <w:tcW w:w="1842" w:type="dxa"/>
          </w:tcPr>
          <w:p w14:paraId="590385C7" w14:textId="77777777" w:rsidR="003053E8" w:rsidRPr="007C41F2" w:rsidRDefault="003053E8" w:rsidP="00241EF8">
            <w:pPr>
              <w:spacing w:after="120"/>
              <w:rPr>
                <w:rFonts w:asciiTheme="majorBidi" w:hAnsiTheme="majorBidi" w:cstheme="majorBidi"/>
                <w:sz w:val="18"/>
                <w:szCs w:val="18"/>
                <w:lang w:val="fr-FR"/>
              </w:rPr>
            </w:pPr>
            <w:r w:rsidRPr="007C41F2">
              <w:rPr>
                <w:sz w:val="18"/>
                <w:szCs w:val="18"/>
                <w:lang w:val="fr-FR"/>
              </w:rPr>
              <w:t>Avril 2021</w:t>
            </w:r>
          </w:p>
        </w:tc>
      </w:tr>
      <w:tr w:rsidR="003053E8" w:rsidRPr="007C41F2" w14:paraId="220A701B" w14:textId="77777777" w:rsidTr="00C14994">
        <w:tc>
          <w:tcPr>
            <w:tcW w:w="6373" w:type="dxa"/>
          </w:tcPr>
          <w:p w14:paraId="09E33270" w14:textId="271840F9" w:rsidR="003053E8" w:rsidRPr="007C41F2" w:rsidRDefault="00AE3442" w:rsidP="00241EF8">
            <w:pPr>
              <w:spacing w:after="120"/>
              <w:rPr>
                <w:rFonts w:asciiTheme="majorBidi" w:hAnsiTheme="majorBidi" w:cstheme="majorBidi"/>
                <w:sz w:val="18"/>
                <w:szCs w:val="18"/>
                <w:lang w:val="fr-FR"/>
              </w:rPr>
            </w:pPr>
            <w:r w:rsidRPr="007C41F2">
              <w:rPr>
                <w:sz w:val="18"/>
                <w:szCs w:val="18"/>
                <w:lang w:val="fr-FR"/>
              </w:rPr>
              <w:t xml:space="preserve">Publier </w:t>
            </w:r>
            <w:r w:rsidR="003053E8" w:rsidRPr="007C41F2">
              <w:rPr>
                <w:sz w:val="18"/>
                <w:szCs w:val="18"/>
                <w:lang w:val="fr-FR"/>
              </w:rPr>
              <w:t>sur le site Web de la Convention, pour observations, le projet de rapport sur les travaux intersessions, y compris les catégories proposées de sources ponctuelles de rejets et la feuille de route pour la sélection des catégories de sources ponctuelles et l</w:t>
            </w:r>
            <w:r w:rsidR="00CA739D" w:rsidRPr="007C41F2">
              <w:rPr>
                <w:sz w:val="18"/>
                <w:szCs w:val="18"/>
                <w:lang w:val="fr-FR"/>
              </w:rPr>
              <w:t>’</w:t>
            </w:r>
            <w:r w:rsidR="003053E8" w:rsidRPr="007C41F2">
              <w:rPr>
                <w:sz w:val="18"/>
                <w:szCs w:val="18"/>
                <w:lang w:val="fr-FR"/>
              </w:rPr>
              <w:t>élaboration d</w:t>
            </w:r>
            <w:r w:rsidR="00CA739D" w:rsidRPr="007C41F2">
              <w:rPr>
                <w:sz w:val="18"/>
                <w:szCs w:val="18"/>
                <w:lang w:val="fr-FR"/>
              </w:rPr>
              <w:t>’</w:t>
            </w:r>
            <w:r w:rsidR="003053E8" w:rsidRPr="007C41F2">
              <w:rPr>
                <w:sz w:val="18"/>
                <w:szCs w:val="18"/>
                <w:lang w:val="fr-FR"/>
              </w:rPr>
              <w:t>orientations sur les meilleures techniques disponibles et les meilleures pratiques environnementales.</w:t>
            </w:r>
          </w:p>
        </w:tc>
        <w:tc>
          <w:tcPr>
            <w:tcW w:w="1842" w:type="dxa"/>
          </w:tcPr>
          <w:p w14:paraId="6C12A32A" w14:textId="77777777" w:rsidR="003053E8" w:rsidRPr="007C41F2" w:rsidRDefault="003053E8" w:rsidP="00241EF8">
            <w:pPr>
              <w:spacing w:after="120"/>
              <w:rPr>
                <w:rFonts w:asciiTheme="majorBidi" w:hAnsiTheme="majorBidi" w:cstheme="majorBidi"/>
                <w:sz w:val="18"/>
                <w:szCs w:val="18"/>
                <w:lang w:val="fr-FR"/>
              </w:rPr>
            </w:pPr>
            <w:r w:rsidRPr="007C41F2">
              <w:rPr>
                <w:sz w:val="18"/>
                <w:szCs w:val="18"/>
                <w:lang w:val="fr-FR"/>
              </w:rPr>
              <w:t>Mai 2021</w:t>
            </w:r>
          </w:p>
        </w:tc>
      </w:tr>
      <w:tr w:rsidR="003053E8" w:rsidRPr="007C41F2" w14:paraId="7A140A01" w14:textId="77777777" w:rsidTr="00C14994">
        <w:tc>
          <w:tcPr>
            <w:tcW w:w="6373" w:type="dxa"/>
          </w:tcPr>
          <w:p w14:paraId="057B7A61" w14:textId="0EE96DC6" w:rsidR="003053E8" w:rsidRPr="007C41F2" w:rsidRDefault="003053E8" w:rsidP="00241EF8">
            <w:pPr>
              <w:spacing w:after="120"/>
              <w:rPr>
                <w:rFonts w:asciiTheme="majorBidi" w:hAnsiTheme="majorBidi" w:cstheme="majorBidi"/>
                <w:sz w:val="18"/>
                <w:szCs w:val="18"/>
                <w:lang w:val="fr-FR"/>
              </w:rPr>
            </w:pPr>
            <w:r w:rsidRPr="007C41F2">
              <w:rPr>
                <w:sz w:val="18"/>
                <w:szCs w:val="18"/>
                <w:lang w:val="fr-FR"/>
              </w:rPr>
              <w:t>Mettre la dernière main au rapport d</w:t>
            </w:r>
            <w:r w:rsidR="00062287" w:rsidRPr="007C41F2">
              <w:rPr>
                <w:sz w:val="18"/>
                <w:szCs w:val="18"/>
                <w:lang w:val="fr-FR"/>
              </w:rPr>
              <w:t xml:space="preserve">ont la </w:t>
            </w:r>
            <w:r w:rsidRPr="007C41F2">
              <w:rPr>
                <w:sz w:val="18"/>
                <w:szCs w:val="18"/>
                <w:lang w:val="fr-FR"/>
              </w:rPr>
              <w:t>Conférence des Parties</w:t>
            </w:r>
            <w:r w:rsidR="00062287" w:rsidRPr="007C41F2">
              <w:rPr>
                <w:sz w:val="18"/>
                <w:szCs w:val="18"/>
                <w:lang w:val="fr-FR"/>
              </w:rPr>
              <w:t xml:space="preserve"> sera saisie à sa quatrième réunion</w:t>
            </w:r>
            <w:r w:rsidRPr="007C41F2">
              <w:rPr>
                <w:sz w:val="18"/>
                <w:szCs w:val="18"/>
                <w:lang w:val="fr-FR"/>
              </w:rPr>
              <w:t>.</w:t>
            </w:r>
          </w:p>
        </w:tc>
        <w:tc>
          <w:tcPr>
            <w:tcW w:w="1842" w:type="dxa"/>
          </w:tcPr>
          <w:p w14:paraId="6D12820C" w14:textId="77777777" w:rsidR="003053E8" w:rsidRPr="007C41F2" w:rsidRDefault="003053E8" w:rsidP="00241EF8">
            <w:pPr>
              <w:spacing w:after="120"/>
              <w:rPr>
                <w:rFonts w:asciiTheme="majorBidi" w:hAnsiTheme="majorBidi" w:cstheme="majorBidi"/>
                <w:sz w:val="18"/>
                <w:szCs w:val="18"/>
                <w:lang w:val="fr-FR"/>
              </w:rPr>
            </w:pPr>
            <w:r w:rsidRPr="007C41F2">
              <w:rPr>
                <w:sz w:val="18"/>
                <w:szCs w:val="18"/>
                <w:lang w:val="fr-FR"/>
              </w:rPr>
              <w:t>Juillet 2021</w:t>
            </w:r>
          </w:p>
        </w:tc>
      </w:tr>
    </w:tbl>
    <w:p w14:paraId="7E7FEAD9" w14:textId="77777777" w:rsidR="003053E8" w:rsidRPr="007C41F2" w:rsidRDefault="003053E8" w:rsidP="00241EF8">
      <w:pPr>
        <w:spacing w:after="120"/>
        <w:rPr>
          <w:rFonts w:asciiTheme="majorBidi" w:hAnsiTheme="majorBidi" w:cstheme="majorBidi"/>
          <w:lang w:val="fr-FR"/>
        </w:rPr>
      </w:pPr>
      <w:r w:rsidRPr="007C41F2">
        <w:rPr>
          <w:rFonts w:asciiTheme="majorBidi" w:hAnsiTheme="majorBidi" w:cstheme="majorBidi"/>
          <w:lang w:val="fr-FR"/>
        </w:rPr>
        <w:br w:type="page"/>
      </w:r>
    </w:p>
    <w:p w14:paraId="0C618F94" w14:textId="3A73E5CF" w:rsidR="003053E8" w:rsidRPr="007C41F2" w:rsidRDefault="006D3295" w:rsidP="009607F6">
      <w:pPr>
        <w:pStyle w:val="CH2"/>
        <w:spacing w:before="0" w:line="360" w:lineRule="auto"/>
        <w:rPr>
          <w:lang w:val="fr-FR"/>
        </w:rPr>
      </w:pPr>
      <w:r w:rsidRPr="007C41F2">
        <w:rPr>
          <w:lang w:val="fr-FR"/>
        </w:rPr>
        <w:tab/>
      </w:r>
      <w:r w:rsidRPr="007C41F2">
        <w:rPr>
          <w:lang w:val="fr-FR"/>
        </w:rPr>
        <w:tab/>
      </w:r>
      <w:r w:rsidRPr="007C41F2">
        <w:rPr>
          <w:bCs/>
          <w:lang w:val="fr-FR"/>
        </w:rPr>
        <w:t>Appendice</w:t>
      </w:r>
    </w:p>
    <w:p w14:paraId="3C1292C6" w14:textId="6A022819" w:rsidR="005014A1" w:rsidRPr="007C41F2" w:rsidRDefault="005014A1" w:rsidP="002D16A2">
      <w:pPr>
        <w:pStyle w:val="ListParagraph"/>
        <w:numPr>
          <w:ilvl w:val="0"/>
          <w:numId w:val="16"/>
        </w:numPr>
        <w:tabs>
          <w:tab w:val="clear" w:pos="1247"/>
          <w:tab w:val="clear" w:pos="1814"/>
          <w:tab w:val="clear" w:pos="2381"/>
          <w:tab w:val="clear" w:pos="2948"/>
          <w:tab w:val="clear" w:pos="3515"/>
          <w:tab w:val="left" w:pos="624"/>
        </w:tabs>
        <w:adjustRightInd w:val="0"/>
        <w:snapToGrid w:val="0"/>
        <w:spacing w:after="120"/>
        <w:ind w:left="1247" w:firstLine="624"/>
        <w:rPr>
          <w:rFonts w:asciiTheme="majorBidi" w:hAnsiTheme="majorBidi" w:cstheme="majorBidi"/>
          <w:lang w:val="fr-FR"/>
        </w:rPr>
      </w:pPr>
      <w:r w:rsidRPr="007C41F2">
        <w:rPr>
          <w:lang w:val="fr-FR"/>
        </w:rPr>
        <w:t>Le tableau 1 est une compilation de contributions concernant les catégories de sources de rejets pouvant être considérées comme pertinentes, sur la base de l</w:t>
      </w:r>
      <w:r w:rsidR="00CA739D" w:rsidRPr="007C41F2">
        <w:rPr>
          <w:lang w:val="fr-FR"/>
        </w:rPr>
        <w:t>’</w:t>
      </w:r>
      <w:r w:rsidRPr="007C41F2">
        <w:rPr>
          <w:lang w:val="fr-FR"/>
        </w:rPr>
        <w:t xml:space="preserve">Outil </w:t>
      </w:r>
      <w:r w:rsidR="000B4A2E" w:rsidRPr="007C41F2">
        <w:rPr>
          <w:lang w:val="fr-FR"/>
        </w:rPr>
        <w:t>d</w:t>
      </w:r>
      <w:r w:rsidR="00CA739D" w:rsidRPr="007C41F2">
        <w:rPr>
          <w:lang w:val="fr-FR"/>
        </w:rPr>
        <w:t>’</w:t>
      </w:r>
      <w:r w:rsidRPr="007C41F2">
        <w:rPr>
          <w:lang w:val="fr-FR"/>
        </w:rPr>
        <w:t xml:space="preserve">identification et </w:t>
      </w:r>
      <w:r w:rsidR="000B4A2E" w:rsidRPr="007C41F2">
        <w:rPr>
          <w:lang w:val="fr-FR"/>
        </w:rPr>
        <w:t xml:space="preserve">de </w:t>
      </w:r>
      <w:r w:rsidRPr="007C41F2">
        <w:rPr>
          <w:lang w:val="fr-FR"/>
        </w:rPr>
        <w:t xml:space="preserve">quantification des rejets de mercure. Attendu que les catégories de sources peuvent être composées à la fois de sources ponctuelles et de sources diffuses, dans des proportions différentes, il </w:t>
      </w:r>
      <w:r w:rsidR="00F81C3C" w:rsidRPr="007C41F2">
        <w:rPr>
          <w:lang w:val="fr-FR"/>
        </w:rPr>
        <w:t xml:space="preserve">importe </w:t>
      </w:r>
      <w:r w:rsidRPr="007C41F2">
        <w:rPr>
          <w:lang w:val="fr-FR"/>
        </w:rPr>
        <w:t>de définir la nature de la catégorie de sources en ces termes. En outre, du fait que les Parties peuvent décider si une source de rejets dans le sol ou l</w:t>
      </w:r>
      <w:r w:rsidR="00CA739D" w:rsidRPr="007C41F2">
        <w:rPr>
          <w:lang w:val="fr-FR"/>
        </w:rPr>
        <w:t>’</w:t>
      </w:r>
      <w:r w:rsidRPr="007C41F2">
        <w:rPr>
          <w:lang w:val="fr-FR"/>
        </w:rPr>
        <w:t>eau à l</w:t>
      </w:r>
      <w:r w:rsidR="00CA739D" w:rsidRPr="007C41F2">
        <w:rPr>
          <w:lang w:val="fr-FR"/>
        </w:rPr>
        <w:t>’</w:t>
      </w:r>
      <w:r w:rsidRPr="007C41F2">
        <w:rPr>
          <w:lang w:val="fr-FR"/>
        </w:rPr>
        <w:t>intérieur de leur territoire est « notable », certaines des sources ci-après peuvent ne pas être considérées comme notables dans tous les cas (par</w:t>
      </w:r>
      <w:r w:rsidR="002D16A2" w:rsidRPr="007C41F2">
        <w:rPr>
          <w:lang w:val="fr-FR"/>
        </w:rPr>
        <w:t> </w:t>
      </w:r>
      <w:r w:rsidRPr="007C41F2">
        <w:rPr>
          <w:lang w:val="fr-FR"/>
        </w:rPr>
        <w:t>ex. les rejets peu</w:t>
      </w:r>
      <w:r w:rsidR="00F81C3C" w:rsidRPr="007C41F2">
        <w:rPr>
          <w:lang w:val="fr-FR"/>
        </w:rPr>
        <w:t>ven</w:t>
      </w:r>
      <w:r w:rsidRPr="007C41F2">
        <w:rPr>
          <w:lang w:val="fr-FR"/>
        </w:rPr>
        <w:t>t être faibles en termes de quantité ou de concentration).</w:t>
      </w:r>
    </w:p>
    <w:p w14:paraId="15CDE747" w14:textId="31B67AA4" w:rsidR="003053E8" w:rsidRPr="007C41F2" w:rsidRDefault="005014A1" w:rsidP="002D16A2">
      <w:pPr>
        <w:pStyle w:val="ListParagraph"/>
        <w:numPr>
          <w:ilvl w:val="0"/>
          <w:numId w:val="16"/>
        </w:numPr>
        <w:tabs>
          <w:tab w:val="clear" w:pos="1247"/>
          <w:tab w:val="clear" w:pos="1814"/>
          <w:tab w:val="clear" w:pos="2381"/>
          <w:tab w:val="clear" w:pos="2948"/>
          <w:tab w:val="clear" w:pos="3515"/>
          <w:tab w:val="left" w:pos="624"/>
        </w:tabs>
        <w:adjustRightInd w:val="0"/>
        <w:snapToGrid w:val="0"/>
        <w:spacing w:after="120"/>
        <w:ind w:left="1247" w:firstLine="624"/>
        <w:rPr>
          <w:rFonts w:asciiTheme="majorBidi" w:hAnsiTheme="majorBidi" w:cstheme="majorBidi"/>
          <w:lang w:val="fr-FR"/>
        </w:rPr>
      </w:pPr>
      <w:r w:rsidRPr="007C41F2">
        <w:rPr>
          <w:lang w:val="fr-FR"/>
        </w:rPr>
        <w:t xml:space="preserve">Les sources qui sont dans une large mesure diffuses ou pour lesquelles les données disponibles ne suffisent pas </w:t>
      </w:r>
      <w:r w:rsidR="00F81C3C" w:rsidRPr="007C41F2">
        <w:rPr>
          <w:lang w:val="fr-FR"/>
        </w:rPr>
        <w:t xml:space="preserve">pour </w:t>
      </w:r>
      <w:r w:rsidRPr="007C41F2">
        <w:rPr>
          <w:lang w:val="fr-FR"/>
        </w:rPr>
        <w:t>déterminer si elles sont notables figurent séparément dans le tableau</w:t>
      </w:r>
      <w:r w:rsidR="002D16A2" w:rsidRPr="007C41F2">
        <w:rPr>
          <w:lang w:val="fr-FR"/>
        </w:rPr>
        <w:t> </w:t>
      </w:r>
      <w:r w:rsidRPr="007C41F2">
        <w:rPr>
          <w:lang w:val="fr-FR"/>
        </w:rPr>
        <w:t>2. Un examen plus poussé de la nature des catégories de sources, de la question de savoir si elles sont traitées dans d</w:t>
      </w:r>
      <w:r w:rsidR="00CA739D" w:rsidRPr="007C41F2">
        <w:rPr>
          <w:lang w:val="fr-FR"/>
        </w:rPr>
        <w:t>’</w:t>
      </w:r>
      <w:r w:rsidRPr="007C41F2">
        <w:rPr>
          <w:lang w:val="fr-FR"/>
        </w:rPr>
        <w:t>autres articles et de la disponibilité des données connexes s</w:t>
      </w:r>
      <w:r w:rsidR="00CA739D" w:rsidRPr="007C41F2">
        <w:rPr>
          <w:lang w:val="fr-FR"/>
        </w:rPr>
        <w:t>’</w:t>
      </w:r>
      <w:r w:rsidRPr="007C41F2">
        <w:rPr>
          <w:lang w:val="fr-FR"/>
        </w:rPr>
        <w:t>impose dans les deux tableaux.</w:t>
      </w:r>
    </w:p>
    <w:p w14:paraId="764A7A3F" w14:textId="100A32B0" w:rsidR="00D442F1" w:rsidRPr="007C41F2" w:rsidRDefault="005014A1" w:rsidP="002D16A2">
      <w:pPr>
        <w:spacing w:after="120"/>
        <w:ind w:left="1247"/>
        <w:rPr>
          <w:rFonts w:asciiTheme="majorBidi" w:hAnsiTheme="majorBidi" w:cstheme="majorBidi"/>
          <w:b/>
          <w:bCs/>
          <w:lang w:val="fr-FR"/>
        </w:rPr>
      </w:pPr>
      <w:r w:rsidRPr="007C41F2">
        <w:rPr>
          <w:lang w:val="fr-FR"/>
        </w:rPr>
        <w:t xml:space="preserve">Tableau 1 </w:t>
      </w:r>
      <w:r w:rsidRPr="007C41F2">
        <w:rPr>
          <w:b/>
          <w:bCs/>
          <w:lang w:val="fr-FR"/>
        </w:rPr>
        <w:t>Liste préliminaire des catégories de sources ponctuelles pouvant être considérées comme pertinentes</w:t>
      </w:r>
    </w:p>
    <w:tbl>
      <w:tblPr>
        <w:tblStyle w:val="TableGrid"/>
        <w:tblW w:w="0" w:type="auto"/>
        <w:tblLayout w:type="fixed"/>
        <w:tblLook w:val="04A0" w:firstRow="1" w:lastRow="0" w:firstColumn="1" w:lastColumn="0" w:noHBand="0" w:noVBand="1"/>
      </w:tblPr>
      <w:tblGrid>
        <w:gridCol w:w="827"/>
        <w:gridCol w:w="2206"/>
        <w:gridCol w:w="2537"/>
        <w:gridCol w:w="1538"/>
        <w:gridCol w:w="2242"/>
      </w:tblGrid>
      <w:tr w:rsidR="003053E8" w:rsidRPr="007C41F2" w14:paraId="0A615CA5" w14:textId="77777777" w:rsidTr="00C14994">
        <w:trPr>
          <w:tblHeader/>
        </w:trPr>
        <w:tc>
          <w:tcPr>
            <w:tcW w:w="3033" w:type="dxa"/>
            <w:gridSpan w:val="2"/>
            <w:tcBorders>
              <w:top w:val="single" w:sz="4" w:space="0" w:color="auto"/>
              <w:left w:val="single" w:sz="4" w:space="0" w:color="auto"/>
              <w:bottom w:val="single" w:sz="4" w:space="0" w:color="auto"/>
              <w:right w:val="single" w:sz="4" w:space="0" w:color="auto"/>
            </w:tcBorders>
            <w:shd w:val="clear" w:color="auto" w:fill="EEECE1" w:themeFill="background2"/>
            <w:hideMark/>
          </w:tcPr>
          <w:p w14:paraId="172E3F59" w14:textId="123B5719" w:rsidR="003053E8" w:rsidRPr="007C41F2" w:rsidRDefault="003053E8" w:rsidP="002D16A2">
            <w:pPr>
              <w:spacing w:after="120"/>
              <w:jc w:val="center"/>
              <w:rPr>
                <w:sz w:val="18"/>
                <w:szCs w:val="18"/>
                <w:lang w:val="fr-FR"/>
              </w:rPr>
            </w:pPr>
            <w:bookmarkStart w:id="5" w:name="_Hlk12268170"/>
            <w:r w:rsidRPr="007C41F2">
              <w:rPr>
                <w:sz w:val="18"/>
                <w:szCs w:val="18"/>
                <w:lang w:val="fr-FR"/>
              </w:rPr>
              <w:t>Catégorie de sources dans l</w:t>
            </w:r>
            <w:r w:rsidR="00CA739D" w:rsidRPr="007C41F2">
              <w:rPr>
                <w:sz w:val="18"/>
                <w:szCs w:val="18"/>
                <w:lang w:val="fr-FR"/>
              </w:rPr>
              <w:t>’</w:t>
            </w:r>
            <w:r w:rsidR="000B4A2E" w:rsidRPr="007C41F2">
              <w:rPr>
                <w:sz w:val="18"/>
                <w:szCs w:val="18"/>
                <w:lang w:val="fr-FR"/>
              </w:rPr>
              <w:t>Outil d</w:t>
            </w:r>
            <w:r w:rsidR="00CA739D" w:rsidRPr="007C41F2">
              <w:rPr>
                <w:sz w:val="18"/>
                <w:szCs w:val="18"/>
                <w:lang w:val="fr-FR"/>
              </w:rPr>
              <w:t>’</w:t>
            </w:r>
            <w:r w:rsidRPr="007C41F2">
              <w:rPr>
                <w:sz w:val="18"/>
                <w:szCs w:val="18"/>
                <w:lang w:val="fr-FR"/>
              </w:rPr>
              <w:t xml:space="preserve">identification et </w:t>
            </w:r>
            <w:r w:rsidR="000B4A2E" w:rsidRPr="007C41F2">
              <w:rPr>
                <w:sz w:val="18"/>
                <w:szCs w:val="18"/>
                <w:lang w:val="fr-FR"/>
              </w:rPr>
              <w:t xml:space="preserve">de </w:t>
            </w:r>
            <w:r w:rsidRPr="007C41F2">
              <w:rPr>
                <w:sz w:val="18"/>
                <w:szCs w:val="18"/>
                <w:lang w:val="fr-FR"/>
              </w:rPr>
              <w:t>quantification des rejets de mercure</w:t>
            </w:r>
          </w:p>
        </w:tc>
        <w:tc>
          <w:tcPr>
            <w:tcW w:w="2537"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644107C8" w14:textId="77777777" w:rsidR="003053E8" w:rsidRPr="007C41F2" w:rsidRDefault="003053E8" w:rsidP="002D16A2">
            <w:pPr>
              <w:spacing w:after="120"/>
              <w:jc w:val="center"/>
              <w:rPr>
                <w:sz w:val="18"/>
                <w:szCs w:val="18"/>
                <w:lang w:val="fr-FR"/>
              </w:rPr>
            </w:pPr>
            <w:r w:rsidRPr="007C41F2">
              <w:rPr>
                <w:sz w:val="18"/>
                <w:szCs w:val="18"/>
                <w:lang w:val="fr-FR"/>
              </w:rPr>
              <w:t>Points de rejet*</w:t>
            </w:r>
          </w:p>
        </w:tc>
        <w:tc>
          <w:tcPr>
            <w:tcW w:w="153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2DD46451" w14:textId="77777777" w:rsidR="003053E8" w:rsidRPr="007C41F2" w:rsidRDefault="003053E8" w:rsidP="002D16A2">
            <w:pPr>
              <w:spacing w:after="120"/>
              <w:jc w:val="center"/>
              <w:rPr>
                <w:sz w:val="18"/>
                <w:szCs w:val="18"/>
                <w:lang w:val="fr-FR"/>
              </w:rPr>
            </w:pPr>
            <w:r w:rsidRPr="007C41F2">
              <w:rPr>
                <w:sz w:val="18"/>
                <w:szCs w:val="18"/>
                <w:lang w:val="fr-FR"/>
              </w:rPr>
              <w:t>Source ponctuelle ou diffuse</w:t>
            </w:r>
          </w:p>
        </w:tc>
        <w:tc>
          <w:tcPr>
            <w:tcW w:w="2242" w:type="dxa"/>
            <w:tcBorders>
              <w:top w:val="single" w:sz="4" w:space="0" w:color="auto"/>
              <w:left w:val="single" w:sz="4" w:space="0" w:color="auto"/>
              <w:bottom w:val="single" w:sz="4" w:space="0" w:color="auto"/>
              <w:right w:val="single" w:sz="4" w:space="0" w:color="auto"/>
            </w:tcBorders>
            <w:shd w:val="clear" w:color="auto" w:fill="EEECE1" w:themeFill="background2"/>
          </w:tcPr>
          <w:p w14:paraId="4819370A" w14:textId="32B7D134" w:rsidR="003053E8" w:rsidRPr="007C41F2" w:rsidRDefault="003053E8" w:rsidP="002D16A2">
            <w:pPr>
              <w:spacing w:after="120"/>
              <w:jc w:val="center"/>
              <w:rPr>
                <w:sz w:val="18"/>
                <w:szCs w:val="18"/>
                <w:lang w:val="fr-FR"/>
              </w:rPr>
            </w:pPr>
            <w:r w:rsidRPr="007C41F2">
              <w:rPr>
                <w:sz w:val="18"/>
                <w:szCs w:val="18"/>
                <w:lang w:val="fr-FR"/>
              </w:rPr>
              <w:t>Traité</w:t>
            </w:r>
            <w:r w:rsidR="00F81C3C" w:rsidRPr="007C41F2">
              <w:rPr>
                <w:sz w:val="18"/>
                <w:szCs w:val="18"/>
                <w:lang w:val="fr-FR"/>
              </w:rPr>
              <w:t xml:space="preserve">e ou non </w:t>
            </w:r>
            <w:r w:rsidRPr="007C41F2">
              <w:rPr>
                <w:sz w:val="18"/>
                <w:szCs w:val="18"/>
                <w:lang w:val="fr-FR"/>
              </w:rPr>
              <w:t>dans</w:t>
            </w:r>
            <w:r w:rsidR="00F81C3C" w:rsidRPr="007C41F2">
              <w:rPr>
                <w:sz w:val="18"/>
                <w:szCs w:val="18"/>
                <w:lang w:val="fr-FR"/>
              </w:rPr>
              <w:t> </w:t>
            </w:r>
            <w:r w:rsidRPr="007C41F2">
              <w:rPr>
                <w:sz w:val="18"/>
                <w:szCs w:val="18"/>
                <w:lang w:val="fr-FR"/>
              </w:rPr>
              <w:t>d</w:t>
            </w:r>
            <w:r w:rsidR="00CA739D" w:rsidRPr="007C41F2">
              <w:rPr>
                <w:sz w:val="18"/>
                <w:szCs w:val="18"/>
                <w:lang w:val="fr-FR"/>
              </w:rPr>
              <w:t>’</w:t>
            </w:r>
            <w:r w:rsidRPr="007C41F2">
              <w:rPr>
                <w:sz w:val="18"/>
                <w:szCs w:val="18"/>
                <w:lang w:val="fr-FR"/>
              </w:rPr>
              <w:t>autres articles</w:t>
            </w:r>
          </w:p>
        </w:tc>
      </w:tr>
      <w:bookmarkEnd w:id="5"/>
      <w:tr w:rsidR="003053E8" w:rsidRPr="007C41F2" w14:paraId="2EDF4AF6" w14:textId="77777777" w:rsidTr="003053E8">
        <w:tc>
          <w:tcPr>
            <w:tcW w:w="9350" w:type="dxa"/>
            <w:gridSpan w:val="5"/>
            <w:tcBorders>
              <w:top w:val="single" w:sz="4" w:space="0" w:color="auto"/>
              <w:left w:val="single" w:sz="4" w:space="0" w:color="auto"/>
              <w:bottom w:val="single" w:sz="4" w:space="0" w:color="auto"/>
              <w:right w:val="single" w:sz="4" w:space="0" w:color="auto"/>
            </w:tcBorders>
            <w:shd w:val="clear" w:color="auto" w:fill="EEECE1" w:themeFill="background2"/>
          </w:tcPr>
          <w:p w14:paraId="542BC988" w14:textId="24C153BE" w:rsidR="003053E8" w:rsidRPr="007C41F2" w:rsidRDefault="003053E8" w:rsidP="002D16A2">
            <w:pPr>
              <w:spacing w:after="120"/>
              <w:rPr>
                <w:sz w:val="18"/>
                <w:szCs w:val="18"/>
                <w:lang w:val="fr-FR"/>
              </w:rPr>
            </w:pPr>
            <w:r w:rsidRPr="007C41F2">
              <w:rPr>
                <w:sz w:val="18"/>
                <w:szCs w:val="18"/>
                <w:lang w:val="fr-FR"/>
              </w:rPr>
              <w:t>Catégorie de sources : Extraction et utilisation de combustibles/sources d</w:t>
            </w:r>
            <w:r w:rsidR="00CA739D" w:rsidRPr="007C41F2">
              <w:rPr>
                <w:sz w:val="18"/>
                <w:szCs w:val="18"/>
                <w:lang w:val="fr-FR"/>
              </w:rPr>
              <w:t>’</w:t>
            </w:r>
            <w:r w:rsidRPr="007C41F2">
              <w:rPr>
                <w:sz w:val="18"/>
                <w:szCs w:val="18"/>
                <w:lang w:val="fr-FR"/>
              </w:rPr>
              <w:t>énergie</w:t>
            </w:r>
          </w:p>
        </w:tc>
      </w:tr>
      <w:tr w:rsidR="003053E8" w:rsidRPr="007C41F2" w14:paraId="3B585B73"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474B9011" w14:textId="77777777" w:rsidR="003053E8" w:rsidRPr="007C41F2" w:rsidRDefault="003053E8" w:rsidP="002D16A2">
            <w:pPr>
              <w:spacing w:after="120"/>
              <w:rPr>
                <w:sz w:val="18"/>
                <w:szCs w:val="18"/>
                <w:lang w:val="fr-FR"/>
              </w:rPr>
            </w:pPr>
            <w:r w:rsidRPr="007C41F2">
              <w:rPr>
                <w:sz w:val="18"/>
                <w:szCs w:val="18"/>
                <w:lang w:val="fr-FR"/>
              </w:rPr>
              <w:t>5.1.1</w:t>
            </w:r>
          </w:p>
        </w:tc>
        <w:tc>
          <w:tcPr>
            <w:tcW w:w="2206" w:type="dxa"/>
            <w:tcBorders>
              <w:top w:val="single" w:sz="4" w:space="0" w:color="auto"/>
              <w:left w:val="single" w:sz="4" w:space="0" w:color="auto"/>
              <w:bottom w:val="single" w:sz="4" w:space="0" w:color="auto"/>
              <w:right w:val="single" w:sz="4" w:space="0" w:color="auto"/>
            </w:tcBorders>
            <w:hideMark/>
          </w:tcPr>
          <w:p w14:paraId="38E2A7B4" w14:textId="77777777" w:rsidR="003053E8" w:rsidRPr="007C41F2" w:rsidRDefault="003053E8" w:rsidP="002D16A2">
            <w:pPr>
              <w:spacing w:after="120"/>
              <w:rPr>
                <w:sz w:val="18"/>
                <w:szCs w:val="18"/>
                <w:lang w:val="fr-FR"/>
              </w:rPr>
            </w:pPr>
            <w:r w:rsidRPr="007C41F2">
              <w:rPr>
                <w:sz w:val="18"/>
                <w:szCs w:val="18"/>
                <w:lang w:val="fr-FR"/>
              </w:rPr>
              <w:t>Combustion de charbon dans les centrales électriques</w:t>
            </w:r>
          </w:p>
        </w:tc>
        <w:tc>
          <w:tcPr>
            <w:tcW w:w="2537" w:type="dxa"/>
            <w:tcBorders>
              <w:top w:val="single" w:sz="4" w:space="0" w:color="auto"/>
              <w:left w:val="single" w:sz="4" w:space="0" w:color="auto"/>
              <w:bottom w:val="single" w:sz="4" w:space="0" w:color="auto"/>
              <w:right w:val="single" w:sz="4" w:space="0" w:color="auto"/>
            </w:tcBorders>
            <w:hideMark/>
          </w:tcPr>
          <w:p w14:paraId="6A4881D3" w14:textId="1CB8F89E" w:rsidR="003053E8" w:rsidRPr="007C41F2" w:rsidRDefault="00AF08F8" w:rsidP="002D16A2">
            <w:pPr>
              <w:spacing w:after="120"/>
              <w:rPr>
                <w:sz w:val="18"/>
                <w:szCs w:val="18"/>
                <w:lang w:val="fr-FR"/>
              </w:rPr>
            </w:pPr>
            <w:r w:rsidRPr="007C41F2">
              <w:rPr>
                <w:sz w:val="18"/>
                <w:szCs w:val="18"/>
                <w:lang w:val="fr-FR"/>
              </w:rPr>
              <w:t>Le mercure peut être rejeté dans l</w:t>
            </w:r>
            <w:r w:rsidR="00CA739D" w:rsidRPr="007C41F2">
              <w:rPr>
                <w:sz w:val="18"/>
                <w:szCs w:val="18"/>
                <w:lang w:val="fr-FR"/>
              </w:rPr>
              <w:t>’</w:t>
            </w:r>
            <w:r w:rsidRPr="007C41F2">
              <w:rPr>
                <w:sz w:val="18"/>
                <w:szCs w:val="18"/>
                <w:lang w:val="fr-FR"/>
              </w:rPr>
              <w:t xml:space="preserve">eau dû au lavage du charbon. Les épurateurs de gaz de combustion par voie humide et semi-humide peuvent aussi rejeter des eaux usées. </w:t>
            </w:r>
          </w:p>
          <w:p w14:paraId="7AA968E5" w14:textId="03C9A61A" w:rsidR="003053E8" w:rsidRPr="007C41F2" w:rsidRDefault="00A20309" w:rsidP="002D16A2">
            <w:pPr>
              <w:spacing w:after="120"/>
              <w:rPr>
                <w:sz w:val="18"/>
                <w:szCs w:val="18"/>
                <w:lang w:val="fr-FR"/>
              </w:rPr>
            </w:pPr>
            <w:r w:rsidRPr="007C41F2">
              <w:rPr>
                <w:sz w:val="18"/>
                <w:szCs w:val="18"/>
                <w:lang w:val="fr-FR"/>
              </w:rPr>
              <w:t>Les rejets dans le sol peuvent provenir de résidus solides contenus dans les gaz de fumée déposés sur place ou éliminés dans des décharges, ainsi que de matières solides provenant du nettoyage de l</w:t>
            </w:r>
            <w:r w:rsidR="00CA739D" w:rsidRPr="007C41F2">
              <w:rPr>
                <w:sz w:val="18"/>
                <w:szCs w:val="18"/>
                <w:lang w:val="fr-FR"/>
              </w:rPr>
              <w:t>’</w:t>
            </w:r>
            <w:r w:rsidRPr="007C41F2">
              <w:rPr>
                <w:sz w:val="18"/>
                <w:szCs w:val="18"/>
                <w:lang w:val="fr-FR"/>
              </w:rPr>
              <w:t xml:space="preserve">eau. </w:t>
            </w:r>
          </w:p>
        </w:tc>
        <w:tc>
          <w:tcPr>
            <w:tcW w:w="1538" w:type="dxa"/>
            <w:tcBorders>
              <w:top w:val="single" w:sz="4" w:space="0" w:color="auto"/>
              <w:left w:val="single" w:sz="4" w:space="0" w:color="auto"/>
              <w:bottom w:val="single" w:sz="4" w:space="0" w:color="auto"/>
              <w:right w:val="single" w:sz="4" w:space="0" w:color="auto"/>
            </w:tcBorders>
            <w:hideMark/>
          </w:tcPr>
          <w:p w14:paraId="502A12F3" w14:textId="77777777" w:rsidR="003053E8" w:rsidRPr="007C41F2" w:rsidRDefault="003053E8"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7925D48F" w14:textId="174758D3" w:rsidR="0034256F" w:rsidRPr="007C41F2" w:rsidRDefault="003053E8" w:rsidP="002D16A2">
            <w:pPr>
              <w:spacing w:after="120"/>
              <w:rPr>
                <w:sz w:val="18"/>
                <w:szCs w:val="18"/>
                <w:lang w:val="fr-FR"/>
              </w:rPr>
            </w:pPr>
            <w:r w:rsidRPr="007C41F2">
              <w:rPr>
                <w:sz w:val="18"/>
                <w:szCs w:val="18"/>
                <w:lang w:val="fr-FR"/>
              </w:rPr>
              <w:t>Les rejets provenant des déchets sont traités à l</w:t>
            </w:r>
            <w:r w:rsidR="00CA739D" w:rsidRPr="007C41F2">
              <w:rPr>
                <w:sz w:val="18"/>
                <w:szCs w:val="18"/>
                <w:lang w:val="fr-FR"/>
              </w:rPr>
              <w:t>’</w:t>
            </w:r>
            <w:r w:rsidRPr="007C41F2">
              <w:rPr>
                <w:sz w:val="18"/>
                <w:szCs w:val="18"/>
                <w:lang w:val="fr-FR"/>
              </w:rPr>
              <w:t>article 11.</w:t>
            </w:r>
          </w:p>
        </w:tc>
      </w:tr>
      <w:tr w:rsidR="003053E8" w:rsidRPr="007C41F2" w14:paraId="08E96F42"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47B91B07" w14:textId="77777777" w:rsidR="003053E8" w:rsidRPr="007C41F2" w:rsidRDefault="003053E8" w:rsidP="002D16A2">
            <w:pPr>
              <w:spacing w:after="120"/>
              <w:rPr>
                <w:sz w:val="18"/>
                <w:szCs w:val="18"/>
                <w:lang w:val="fr-FR"/>
              </w:rPr>
            </w:pPr>
            <w:r w:rsidRPr="007C41F2">
              <w:rPr>
                <w:sz w:val="18"/>
                <w:szCs w:val="18"/>
                <w:lang w:val="fr-FR"/>
              </w:rPr>
              <w:t>5.1.2.1</w:t>
            </w:r>
          </w:p>
        </w:tc>
        <w:tc>
          <w:tcPr>
            <w:tcW w:w="2206" w:type="dxa"/>
            <w:tcBorders>
              <w:top w:val="single" w:sz="4" w:space="0" w:color="auto"/>
              <w:left w:val="single" w:sz="4" w:space="0" w:color="auto"/>
              <w:bottom w:val="single" w:sz="4" w:space="0" w:color="auto"/>
              <w:right w:val="single" w:sz="4" w:space="0" w:color="auto"/>
            </w:tcBorders>
            <w:hideMark/>
          </w:tcPr>
          <w:p w14:paraId="234EA3A0" w14:textId="1C6383F7" w:rsidR="003053E8" w:rsidRPr="007C41F2" w:rsidRDefault="003053E8" w:rsidP="002D16A2">
            <w:pPr>
              <w:spacing w:after="120"/>
              <w:rPr>
                <w:sz w:val="18"/>
                <w:szCs w:val="18"/>
                <w:lang w:val="fr-FR"/>
              </w:rPr>
            </w:pPr>
            <w:r w:rsidRPr="007C41F2">
              <w:rPr>
                <w:sz w:val="18"/>
                <w:szCs w:val="18"/>
                <w:lang w:val="fr-FR"/>
              </w:rPr>
              <w:t>Combustion de charbon dans les chaudières industrielles alimentées au charbon</w:t>
            </w:r>
          </w:p>
        </w:tc>
        <w:tc>
          <w:tcPr>
            <w:tcW w:w="2537" w:type="dxa"/>
            <w:tcBorders>
              <w:top w:val="single" w:sz="4" w:space="0" w:color="auto"/>
              <w:left w:val="single" w:sz="4" w:space="0" w:color="auto"/>
              <w:bottom w:val="single" w:sz="4" w:space="0" w:color="auto"/>
              <w:right w:val="single" w:sz="4" w:space="0" w:color="auto"/>
            </w:tcBorders>
            <w:hideMark/>
          </w:tcPr>
          <w:p w14:paraId="1AE800ED" w14:textId="410E0350" w:rsidR="003053E8" w:rsidRPr="007C41F2" w:rsidRDefault="006429FC" w:rsidP="002D16A2">
            <w:pPr>
              <w:spacing w:after="120"/>
              <w:rPr>
                <w:sz w:val="18"/>
                <w:szCs w:val="18"/>
                <w:lang w:val="fr-FR"/>
              </w:rPr>
            </w:pPr>
            <w:r w:rsidRPr="007C41F2">
              <w:rPr>
                <w:sz w:val="18"/>
                <w:szCs w:val="18"/>
                <w:lang w:val="fr-FR"/>
              </w:rPr>
              <w:t xml:space="preserve">Les rejets sont similaires à 5.1.1 pour certaines grandes installations. </w:t>
            </w:r>
            <w:r w:rsidR="00CA739D" w:rsidRPr="007C41F2">
              <w:rPr>
                <w:sz w:val="18"/>
                <w:szCs w:val="18"/>
                <w:lang w:val="fr-FR"/>
              </w:rPr>
              <w:t>Les petites installa</w:t>
            </w:r>
            <w:r w:rsidRPr="007C41F2">
              <w:rPr>
                <w:sz w:val="18"/>
                <w:szCs w:val="18"/>
                <w:lang w:val="fr-FR"/>
              </w:rPr>
              <w:t>tions peuvent libérer des résidus solides des filtres à poussières.</w:t>
            </w:r>
          </w:p>
        </w:tc>
        <w:tc>
          <w:tcPr>
            <w:tcW w:w="1538" w:type="dxa"/>
            <w:tcBorders>
              <w:top w:val="single" w:sz="4" w:space="0" w:color="auto"/>
              <w:left w:val="single" w:sz="4" w:space="0" w:color="auto"/>
              <w:bottom w:val="single" w:sz="4" w:space="0" w:color="auto"/>
              <w:right w:val="single" w:sz="4" w:space="0" w:color="auto"/>
            </w:tcBorders>
            <w:hideMark/>
          </w:tcPr>
          <w:p w14:paraId="517848BB" w14:textId="77777777" w:rsidR="003053E8" w:rsidRPr="007C41F2" w:rsidRDefault="003053E8"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0E8B1676" w14:textId="2DB4B339" w:rsidR="003053E8" w:rsidRPr="007C41F2" w:rsidRDefault="003053E8" w:rsidP="002D16A2">
            <w:pPr>
              <w:spacing w:after="120"/>
              <w:rPr>
                <w:sz w:val="18"/>
                <w:szCs w:val="18"/>
                <w:lang w:val="fr-FR"/>
              </w:rPr>
            </w:pPr>
            <w:r w:rsidRPr="007C41F2">
              <w:rPr>
                <w:sz w:val="18"/>
                <w:szCs w:val="18"/>
                <w:lang w:val="fr-FR"/>
              </w:rPr>
              <w:t>Les rejets provenant des déchets sont traités à l</w:t>
            </w:r>
            <w:r w:rsidR="00CA739D" w:rsidRPr="007C41F2">
              <w:rPr>
                <w:sz w:val="18"/>
                <w:szCs w:val="18"/>
                <w:lang w:val="fr-FR"/>
              </w:rPr>
              <w:t>’</w:t>
            </w:r>
            <w:r w:rsidRPr="007C41F2">
              <w:rPr>
                <w:sz w:val="18"/>
                <w:szCs w:val="18"/>
                <w:lang w:val="fr-FR"/>
              </w:rPr>
              <w:t>article 11.</w:t>
            </w:r>
          </w:p>
        </w:tc>
      </w:tr>
      <w:tr w:rsidR="003053E8" w:rsidRPr="007C41F2" w14:paraId="72079956"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7E5DE7E7" w14:textId="77777777" w:rsidR="003053E8" w:rsidRPr="007C41F2" w:rsidRDefault="003053E8" w:rsidP="002D16A2">
            <w:pPr>
              <w:spacing w:after="120"/>
              <w:rPr>
                <w:sz w:val="18"/>
                <w:szCs w:val="18"/>
                <w:lang w:val="fr-FR"/>
              </w:rPr>
            </w:pPr>
            <w:r w:rsidRPr="007C41F2">
              <w:rPr>
                <w:sz w:val="18"/>
                <w:szCs w:val="18"/>
                <w:lang w:val="fr-FR"/>
              </w:rPr>
              <w:t>5.1.2.2</w:t>
            </w:r>
          </w:p>
        </w:tc>
        <w:tc>
          <w:tcPr>
            <w:tcW w:w="2206" w:type="dxa"/>
            <w:tcBorders>
              <w:top w:val="single" w:sz="4" w:space="0" w:color="auto"/>
              <w:left w:val="single" w:sz="4" w:space="0" w:color="auto"/>
              <w:bottom w:val="single" w:sz="4" w:space="0" w:color="auto"/>
              <w:right w:val="single" w:sz="4" w:space="0" w:color="auto"/>
            </w:tcBorders>
            <w:hideMark/>
          </w:tcPr>
          <w:p w14:paraId="73967A35" w14:textId="77777777" w:rsidR="003053E8" w:rsidRPr="007C41F2" w:rsidRDefault="003053E8" w:rsidP="002D16A2">
            <w:pPr>
              <w:spacing w:after="120"/>
              <w:rPr>
                <w:sz w:val="18"/>
                <w:szCs w:val="18"/>
                <w:lang w:val="fr-FR"/>
              </w:rPr>
            </w:pPr>
            <w:r w:rsidRPr="007C41F2">
              <w:rPr>
                <w:sz w:val="18"/>
                <w:szCs w:val="18"/>
                <w:lang w:val="fr-FR"/>
              </w:rPr>
              <w:t>Autre utilisation du charbon</w:t>
            </w:r>
          </w:p>
        </w:tc>
        <w:tc>
          <w:tcPr>
            <w:tcW w:w="2537" w:type="dxa"/>
            <w:tcBorders>
              <w:top w:val="single" w:sz="4" w:space="0" w:color="auto"/>
              <w:left w:val="single" w:sz="4" w:space="0" w:color="auto"/>
              <w:bottom w:val="single" w:sz="4" w:space="0" w:color="auto"/>
              <w:right w:val="single" w:sz="4" w:space="0" w:color="auto"/>
            </w:tcBorders>
            <w:hideMark/>
          </w:tcPr>
          <w:p w14:paraId="6EDB35AB" w14:textId="438CEB9C" w:rsidR="003053E8" w:rsidRPr="007C41F2" w:rsidRDefault="003053E8" w:rsidP="002D16A2">
            <w:pPr>
              <w:spacing w:after="120"/>
              <w:rPr>
                <w:sz w:val="18"/>
                <w:szCs w:val="18"/>
                <w:lang w:val="fr-FR"/>
              </w:rPr>
            </w:pPr>
            <w:r w:rsidRPr="007C41F2">
              <w:rPr>
                <w:sz w:val="18"/>
                <w:szCs w:val="18"/>
                <w:lang w:val="fr-FR"/>
              </w:rPr>
              <w:t>Les rejets prennent dans certains cas la forme de poussières de filtres.</w:t>
            </w:r>
          </w:p>
        </w:tc>
        <w:tc>
          <w:tcPr>
            <w:tcW w:w="1538" w:type="dxa"/>
            <w:tcBorders>
              <w:top w:val="single" w:sz="4" w:space="0" w:color="auto"/>
              <w:left w:val="single" w:sz="4" w:space="0" w:color="auto"/>
              <w:bottom w:val="single" w:sz="4" w:space="0" w:color="auto"/>
              <w:right w:val="single" w:sz="4" w:space="0" w:color="auto"/>
            </w:tcBorders>
            <w:hideMark/>
          </w:tcPr>
          <w:p w14:paraId="6AA6C90B" w14:textId="77777777" w:rsidR="003053E8" w:rsidRPr="007C41F2" w:rsidRDefault="003053E8"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1B7BA8CE" w14:textId="7750A552" w:rsidR="003053E8" w:rsidRPr="007C41F2" w:rsidRDefault="003053E8" w:rsidP="002D16A2">
            <w:pPr>
              <w:spacing w:after="120"/>
              <w:rPr>
                <w:sz w:val="18"/>
                <w:szCs w:val="18"/>
                <w:lang w:val="fr-FR"/>
              </w:rPr>
            </w:pPr>
            <w:r w:rsidRPr="007C41F2">
              <w:rPr>
                <w:sz w:val="18"/>
                <w:szCs w:val="18"/>
                <w:lang w:val="fr-FR"/>
              </w:rPr>
              <w:t>Les rejets provenant des déchets sont traités à l</w:t>
            </w:r>
            <w:r w:rsidR="00CA739D" w:rsidRPr="007C41F2">
              <w:rPr>
                <w:sz w:val="18"/>
                <w:szCs w:val="18"/>
                <w:lang w:val="fr-FR"/>
              </w:rPr>
              <w:t>’</w:t>
            </w:r>
            <w:r w:rsidRPr="007C41F2">
              <w:rPr>
                <w:sz w:val="18"/>
                <w:szCs w:val="18"/>
                <w:lang w:val="fr-FR"/>
              </w:rPr>
              <w:t>article 11.</w:t>
            </w:r>
          </w:p>
        </w:tc>
      </w:tr>
      <w:tr w:rsidR="003053E8" w:rsidRPr="007C41F2" w14:paraId="2E152F6C"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2892626B" w14:textId="77777777" w:rsidR="003053E8" w:rsidRPr="007C41F2" w:rsidRDefault="003053E8" w:rsidP="002D16A2">
            <w:pPr>
              <w:spacing w:after="120"/>
              <w:rPr>
                <w:sz w:val="12"/>
                <w:szCs w:val="12"/>
                <w:lang w:val="fr-FR"/>
              </w:rPr>
            </w:pPr>
            <w:r w:rsidRPr="007C41F2">
              <w:rPr>
                <w:sz w:val="12"/>
                <w:szCs w:val="12"/>
                <w:lang w:val="fr-FR"/>
              </w:rPr>
              <w:t>NOUVEAU</w:t>
            </w:r>
          </w:p>
        </w:tc>
        <w:tc>
          <w:tcPr>
            <w:tcW w:w="2206" w:type="dxa"/>
            <w:tcBorders>
              <w:top w:val="single" w:sz="4" w:space="0" w:color="auto"/>
              <w:left w:val="single" w:sz="4" w:space="0" w:color="auto"/>
              <w:bottom w:val="single" w:sz="4" w:space="0" w:color="auto"/>
              <w:right w:val="single" w:sz="4" w:space="0" w:color="auto"/>
            </w:tcBorders>
            <w:hideMark/>
          </w:tcPr>
          <w:p w14:paraId="12D66530" w14:textId="77777777" w:rsidR="003053E8" w:rsidRPr="007C41F2" w:rsidRDefault="003053E8" w:rsidP="002D16A2">
            <w:pPr>
              <w:spacing w:after="120"/>
              <w:rPr>
                <w:sz w:val="18"/>
                <w:szCs w:val="18"/>
                <w:lang w:val="fr-FR"/>
              </w:rPr>
            </w:pPr>
            <w:r w:rsidRPr="007C41F2">
              <w:rPr>
                <w:sz w:val="18"/>
                <w:szCs w:val="18"/>
                <w:lang w:val="fr-FR"/>
              </w:rPr>
              <w:t>Extraction du charbon</w:t>
            </w:r>
          </w:p>
        </w:tc>
        <w:tc>
          <w:tcPr>
            <w:tcW w:w="2537" w:type="dxa"/>
            <w:tcBorders>
              <w:top w:val="single" w:sz="4" w:space="0" w:color="auto"/>
              <w:left w:val="single" w:sz="4" w:space="0" w:color="auto"/>
              <w:bottom w:val="single" w:sz="4" w:space="0" w:color="auto"/>
              <w:right w:val="single" w:sz="4" w:space="0" w:color="auto"/>
            </w:tcBorders>
            <w:hideMark/>
          </w:tcPr>
          <w:p w14:paraId="45F48C66" w14:textId="51B42AE2" w:rsidR="003053E8" w:rsidRPr="007C41F2" w:rsidRDefault="003053E8" w:rsidP="002D16A2">
            <w:pPr>
              <w:spacing w:after="120"/>
              <w:rPr>
                <w:sz w:val="18"/>
                <w:szCs w:val="18"/>
                <w:lang w:val="fr-FR"/>
              </w:rPr>
            </w:pPr>
            <w:r w:rsidRPr="007C41F2">
              <w:rPr>
                <w:sz w:val="18"/>
                <w:szCs w:val="18"/>
                <w:lang w:val="fr-FR"/>
              </w:rPr>
              <w:t>Les niveaux de mercure sont faibles sauf concentration due par exemple au lavage du charbon, dont on sait qu</w:t>
            </w:r>
            <w:r w:rsidR="00CA739D" w:rsidRPr="007C41F2">
              <w:rPr>
                <w:sz w:val="18"/>
                <w:szCs w:val="18"/>
                <w:lang w:val="fr-FR"/>
              </w:rPr>
              <w:t>’</w:t>
            </w:r>
            <w:r w:rsidRPr="007C41F2">
              <w:rPr>
                <w:sz w:val="18"/>
                <w:szCs w:val="18"/>
                <w:lang w:val="fr-FR"/>
              </w:rPr>
              <w:t>il entraîne des rejets de mercure dans l</w:t>
            </w:r>
            <w:r w:rsidR="00CA739D" w:rsidRPr="007C41F2">
              <w:rPr>
                <w:sz w:val="18"/>
                <w:szCs w:val="18"/>
                <w:lang w:val="fr-FR"/>
              </w:rPr>
              <w:t>’</w:t>
            </w:r>
            <w:r w:rsidRPr="007C41F2">
              <w:rPr>
                <w:sz w:val="18"/>
                <w:szCs w:val="18"/>
                <w:lang w:val="fr-FR"/>
              </w:rPr>
              <w:t>eau et le sol et les dépôts de déchets. Certains pays pratiquent le lavage du charbon dans les zones minières.</w:t>
            </w:r>
          </w:p>
        </w:tc>
        <w:tc>
          <w:tcPr>
            <w:tcW w:w="1538" w:type="dxa"/>
            <w:tcBorders>
              <w:top w:val="single" w:sz="4" w:space="0" w:color="auto"/>
              <w:left w:val="single" w:sz="4" w:space="0" w:color="auto"/>
              <w:bottom w:val="single" w:sz="4" w:space="0" w:color="auto"/>
              <w:right w:val="single" w:sz="4" w:space="0" w:color="auto"/>
            </w:tcBorders>
            <w:hideMark/>
          </w:tcPr>
          <w:p w14:paraId="51BAF41A" w14:textId="77777777" w:rsidR="003053E8" w:rsidRPr="007C41F2" w:rsidRDefault="003053E8"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0C337B7D" w14:textId="6C42C7C5" w:rsidR="003053E8" w:rsidRPr="007C41F2" w:rsidRDefault="003053E8" w:rsidP="002D16A2">
            <w:pPr>
              <w:spacing w:after="120"/>
              <w:rPr>
                <w:sz w:val="18"/>
                <w:szCs w:val="18"/>
                <w:lang w:val="fr-FR"/>
              </w:rPr>
            </w:pPr>
            <w:r w:rsidRPr="007C41F2">
              <w:rPr>
                <w:sz w:val="18"/>
                <w:szCs w:val="18"/>
                <w:lang w:val="fr-FR"/>
              </w:rPr>
              <w:t>Les rejets provenant des déchets sont traités à l</w:t>
            </w:r>
            <w:r w:rsidR="00CA739D" w:rsidRPr="007C41F2">
              <w:rPr>
                <w:sz w:val="18"/>
                <w:szCs w:val="18"/>
                <w:lang w:val="fr-FR"/>
              </w:rPr>
              <w:t>’</w:t>
            </w:r>
            <w:r w:rsidRPr="007C41F2">
              <w:rPr>
                <w:sz w:val="18"/>
                <w:szCs w:val="18"/>
                <w:lang w:val="fr-FR"/>
              </w:rPr>
              <w:t>article 11.</w:t>
            </w:r>
          </w:p>
        </w:tc>
      </w:tr>
      <w:tr w:rsidR="003053E8" w:rsidRPr="007C41F2" w14:paraId="435E57C2"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7DC900DF" w14:textId="77777777" w:rsidR="003053E8" w:rsidRPr="007C41F2" w:rsidRDefault="003053E8" w:rsidP="00241EF8">
            <w:pPr>
              <w:keepNext/>
              <w:keepLines/>
              <w:spacing w:after="120"/>
              <w:rPr>
                <w:sz w:val="18"/>
                <w:szCs w:val="18"/>
                <w:lang w:val="fr-FR"/>
              </w:rPr>
            </w:pPr>
            <w:r w:rsidRPr="007C41F2">
              <w:rPr>
                <w:sz w:val="18"/>
                <w:szCs w:val="18"/>
                <w:lang w:val="fr-FR"/>
              </w:rPr>
              <w:t>5.1.3</w:t>
            </w:r>
          </w:p>
        </w:tc>
        <w:tc>
          <w:tcPr>
            <w:tcW w:w="2206" w:type="dxa"/>
            <w:tcBorders>
              <w:top w:val="single" w:sz="4" w:space="0" w:color="auto"/>
              <w:left w:val="single" w:sz="4" w:space="0" w:color="auto"/>
              <w:bottom w:val="single" w:sz="4" w:space="0" w:color="auto"/>
              <w:right w:val="single" w:sz="4" w:space="0" w:color="auto"/>
            </w:tcBorders>
            <w:hideMark/>
          </w:tcPr>
          <w:p w14:paraId="23336586" w14:textId="74BD1F0F" w:rsidR="003053E8" w:rsidRPr="007C41F2" w:rsidRDefault="003053E8" w:rsidP="00241EF8">
            <w:pPr>
              <w:keepNext/>
              <w:keepLines/>
              <w:spacing w:after="120"/>
              <w:rPr>
                <w:sz w:val="18"/>
                <w:szCs w:val="18"/>
                <w:lang w:val="fr-FR"/>
              </w:rPr>
            </w:pPr>
            <w:r w:rsidRPr="007C41F2">
              <w:rPr>
                <w:sz w:val="18"/>
                <w:szCs w:val="18"/>
                <w:lang w:val="fr-FR"/>
              </w:rPr>
              <w:t>Huiles minérales – extraction, raffinage et utilisation</w:t>
            </w:r>
          </w:p>
        </w:tc>
        <w:tc>
          <w:tcPr>
            <w:tcW w:w="2537" w:type="dxa"/>
            <w:tcBorders>
              <w:top w:val="single" w:sz="4" w:space="0" w:color="auto"/>
              <w:left w:val="single" w:sz="4" w:space="0" w:color="auto"/>
              <w:bottom w:val="single" w:sz="4" w:space="0" w:color="auto"/>
              <w:right w:val="single" w:sz="4" w:space="0" w:color="auto"/>
            </w:tcBorders>
            <w:hideMark/>
          </w:tcPr>
          <w:p w14:paraId="05CA788F" w14:textId="78FECFF7" w:rsidR="003053E8" w:rsidRPr="007C41F2" w:rsidRDefault="003053E8" w:rsidP="00241EF8">
            <w:pPr>
              <w:keepNext/>
              <w:keepLines/>
              <w:spacing w:after="120"/>
              <w:rPr>
                <w:sz w:val="18"/>
                <w:szCs w:val="18"/>
                <w:lang w:val="fr-FR"/>
              </w:rPr>
            </w:pPr>
            <w:r w:rsidRPr="007C41F2">
              <w:rPr>
                <w:sz w:val="18"/>
                <w:szCs w:val="18"/>
                <w:lang w:val="fr-FR"/>
              </w:rPr>
              <w:t>Le mercure peut être rejeté dans l</w:t>
            </w:r>
            <w:r w:rsidR="00CA739D" w:rsidRPr="007C41F2">
              <w:rPr>
                <w:sz w:val="18"/>
                <w:szCs w:val="18"/>
                <w:lang w:val="fr-FR"/>
              </w:rPr>
              <w:t>’</w:t>
            </w:r>
            <w:r w:rsidRPr="007C41F2">
              <w:rPr>
                <w:sz w:val="18"/>
                <w:szCs w:val="18"/>
                <w:lang w:val="fr-FR"/>
              </w:rPr>
              <w:t>eau du fait de l</w:t>
            </w:r>
            <w:r w:rsidR="00CA739D" w:rsidRPr="007C41F2">
              <w:rPr>
                <w:sz w:val="18"/>
                <w:szCs w:val="18"/>
                <w:lang w:val="fr-FR"/>
              </w:rPr>
              <w:t>’</w:t>
            </w:r>
            <w:r w:rsidRPr="007C41F2">
              <w:rPr>
                <w:sz w:val="18"/>
                <w:szCs w:val="18"/>
                <w:lang w:val="fr-FR"/>
              </w:rPr>
              <w:t>extraction de pétrole en mer, du raffinage du pétrole et probablement aussi de l</w:t>
            </w:r>
            <w:r w:rsidR="00CA739D" w:rsidRPr="007C41F2">
              <w:rPr>
                <w:sz w:val="18"/>
                <w:szCs w:val="18"/>
                <w:lang w:val="fr-FR"/>
              </w:rPr>
              <w:t>’</w:t>
            </w:r>
            <w:r w:rsidRPr="007C41F2">
              <w:rPr>
                <w:sz w:val="18"/>
                <w:szCs w:val="18"/>
                <w:lang w:val="fr-FR"/>
              </w:rPr>
              <w:t>extraction onshore. Les grandes chaudières industrielles à base d</w:t>
            </w:r>
            <w:r w:rsidR="00CA739D" w:rsidRPr="007C41F2">
              <w:rPr>
                <w:sz w:val="18"/>
                <w:szCs w:val="18"/>
                <w:lang w:val="fr-FR"/>
              </w:rPr>
              <w:t>’</w:t>
            </w:r>
            <w:r w:rsidRPr="007C41F2">
              <w:rPr>
                <w:sz w:val="18"/>
                <w:szCs w:val="18"/>
                <w:lang w:val="fr-FR"/>
              </w:rPr>
              <w:t>hydrocarbures et les centrales électriques avec filtres à poussières génèrent des résidus de filtres contenant du mercure qui peuvent être gérés comme des déchets ou libérés dans le sol.</w:t>
            </w:r>
          </w:p>
        </w:tc>
        <w:tc>
          <w:tcPr>
            <w:tcW w:w="1538" w:type="dxa"/>
            <w:tcBorders>
              <w:top w:val="single" w:sz="4" w:space="0" w:color="auto"/>
              <w:left w:val="single" w:sz="4" w:space="0" w:color="auto"/>
              <w:bottom w:val="single" w:sz="4" w:space="0" w:color="auto"/>
              <w:right w:val="single" w:sz="4" w:space="0" w:color="auto"/>
            </w:tcBorders>
            <w:hideMark/>
          </w:tcPr>
          <w:p w14:paraId="437FC63D" w14:textId="77777777" w:rsidR="003053E8" w:rsidRPr="007C41F2" w:rsidRDefault="003053E8" w:rsidP="00241EF8">
            <w:pPr>
              <w:keepNext/>
              <w:keepLines/>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17E4E628" w14:textId="7621DE0E" w:rsidR="003053E8" w:rsidRPr="007C41F2" w:rsidRDefault="003053E8" w:rsidP="00241EF8">
            <w:pPr>
              <w:keepNext/>
              <w:keepLines/>
              <w:spacing w:after="120"/>
              <w:rPr>
                <w:sz w:val="18"/>
                <w:szCs w:val="18"/>
                <w:lang w:val="fr-FR"/>
              </w:rPr>
            </w:pPr>
            <w:r w:rsidRPr="007C41F2">
              <w:rPr>
                <w:sz w:val="18"/>
                <w:szCs w:val="18"/>
                <w:lang w:val="fr-FR"/>
              </w:rPr>
              <w:t>Les rejets provenant de filtres à poussières qui sont traités comme des déchets sont traités à l</w:t>
            </w:r>
            <w:r w:rsidR="00CA739D" w:rsidRPr="007C41F2">
              <w:rPr>
                <w:sz w:val="18"/>
                <w:szCs w:val="18"/>
                <w:lang w:val="fr-FR"/>
              </w:rPr>
              <w:t>’</w:t>
            </w:r>
            <w:r w:rsidRPr="007C41F2">
              <w:rPr>
                <w:sz w:val="18"/>
                <w:szCs w:val="18"/>
                <w:lang w:val="fr-FR"/>
              </w:rPr>
              <w:t>article 11.</w:t>
            </w:r>
          </w:p>
        </w:tc>
      </w:tr>
      <w:tr w:rsidR="003053E8" w:rsidRPr="007C41F2" w14:paraId="15C4D97B"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15599568" w14:textId="77777777" w:rsidR="003053E8" w:rsidRPr="007C41F2" w:rsidRDefault="003053E8" w:rsidP="002D16A2">
            <w:pPr>
              <w:spacing w:after="120"/>
              <w:rPr>
                <w:sz w:val="18"/>
                <w:szCs w:val="18"/>
                <w:lang w:val="fr-FR"/>
              </w:rPr>
            </w:pPr>
            <w:r w:rsidRPr="007C41F2">
              <w:rPr>
                <w:sz w:val="18"/>
                <w:szCs w:val="18"/>
                <w:lang w:val="fr-FR"/>
              </w:rPr>
              <w:t>5.1.4</w:t>
            </w:r>
          </w:p>
        </w:tc>
        <w:tc>
          <w:tcPr>
            <w:tcW w:w="2206" w:type="dxa"/>
            <w:tcBorders>
              <w:top w:val="single" w:sz="4" w:space="0" w:color="auto"/>
              <w:left w:val="single" w:sz="4" w:space="0" w:color="auto"/>
              <w:bottom w:val="single" w:sz="4" w:space="0" w:color="auto"/>
              <w:right w:val="single" w:sz="4" w:space="0" w:color="auto"/>
            </w:tcBorders>
            <w:hideMark/>
          </w:tcPr>
          <w:p w14:paraId="28C567C9" w14:textId="2471849F" w:rsidR="003053E8" w:rsidRPr="007C41F2" w:rsidRDefault="003053E8" w:rsidP="002D16A2">
            <w:pPr>
              <w:spacing w:after="120"/>
              <w:rPr>
                <w:sz w:val="18"/>
                <w:szCs w:val="18"/>
                <w:lang w:val="fr-FR"/>
              </w:rPr>
            </w:pPr>
            <w:r w:rsidRPr="007C41F2">
              <w:rPr>
                <w:sz w:val="18"/>
                <w:szCs w:val="18"/>
                <w:lang w:val="fr-FR"/>
              </w:rPr>
              <w:t>Gaz naturel – extraction, raffinage et utilisation</w:t>
            </w:r>
          </w:p>
        </w:tc>
        <w:tc>
          <w:tcPr>
            <w:tcW w:w="2537" w:type="dxa"/>
            <w:tcBorders>
              <w:top w:val="single" w:sz="4" w:space="0" w:color="auto"/>
              <w:left w:val="single" w:sz="4" w:space="0" w:color="auto"/>
              <w:bottom w:val="single" w:sz="4" w:space="0" w:color="auto"/>
              <w:right w:val="single" w:sz="4" w:space="0" w:color="auto"/>
            </w:tcBorders>
            <w:hideMark/>
          </w:tcPr>
          <w:p w14:paraId="382B5BEB" w14:textId="0329593E" w:rsidR="003053E8" w:rsidRPr="007C41F2" w:rsidRDefault="003053E8" w:rsidP="002D16A2">
            <w:pPr>
              <w:spacing w:after="120"/>
              <w:rPr>
                <w:sz w:val="18"/>
                <w:szCs w:val="18"/>
                <w:lang w:val="fr-FR"/>
              </w:rPr>
            </w:pPr>
            <w:r w:rsidRPr="007C41F2">
              <w:rPr>
                <w:sz w:val="18"/>
                <w:szCs w:val="18"/>
                <w:lang w:val="fr-FR"/>
              </w:rPr>
              <w:t>L</w:t>
            </w:r>
            <w:r w:rsidR="00CA739D" w:rsidRPr="007C41F2">
              <w:rPr>
                <w:sz w:val="18"/>
                <w:szCs w:val="18"/>
                <w:lang w:val="fr-FR"/>
              </w:rPr>
              <w:t>’</w:t>
            </w:r>
            <w:r w:rsidRPr="007C41F2">
              <w:rPr>
                <w:sz w:val="18"/>
                <w:szCs w:val="18"/>
                <w:lang w:val="fr-FR"/>
              </w:rPr>
              <w:t>extraction de gaz naturel offshore peut, tout comme l</w:t>
            </w:r>
            <w:r w:rsidR="00CA739D" w:rsidRPr="007C41F2">
              <w:rPr>
                <w:sz w:val="18"/>
                <w:szCs w:val="18"/>
                <w:lang w:val="fr-FR"/>
              </w:rPr>
              <w:t>’</w:t>
            </w:r>
            <w:r w:rsidRPr="007C41F2">
              <w:rPr>
                <w:sz w:val="18"/>
                <w:szCs w:val="18"/>
                <w:lang w:val="fr-FR"/>
              </w:rPr>
              <w:t>extraction onshore, entraîner des rejets de mercure dans l</w:t>
            </w:r>
            <w:r w:rsidR="00CA739D" w:rsidRPr="007C41F2">
              <w:rPr>
                <w:sz w:val="18"/>
                <w:szCs w:val="18"/>
                <w:lang w:val="fr-FR"/>
              </w:rPr>
              <w:t>’</w:t>
            </w:r>
            <w:r w:rsidRPr="007C41F2">
              <w:rPr>
                <w:sz w:val="18"/>
                <w:szCs w:val="18"/>
                <w:lang w:val="fr-FR"/>
              </w:rPr>
              <w:t>eau. L</w:t>
            </w:r>
            <w:r w:rsidR="00CA739D" w:rsidRPr="007C41F2">
              <w:rPr>
                <w:sz w:val="18"/>
                <w:szCs w:val="18"/>
                <w:lang w:val="fr-FR"/>
              </w:rPr>
              <w:t>’</w:t>
            </w:r>
            <w:r w:rsidRPr="007C41F2">
              <w:rPr>
                <w:sz w:val="18"/>
                <w:szCs w:val="18"/>
                <w:lang w:val="fr-FR"/>
              </w:rPr>
              <w:t>extraction de gaz dans les régions à forte teneur en mercure peut se faire au moyen de filtres à mercure, dont les résidus sont éliminés comme déchets hors site. (Les condensats de gaz contiennent du mercure concentré qui peut être retiré dans le cadre de procédés en amont et éliminé en tant que déchets ou libéré dans le sol. Le mercure est également extrait de condensats dans les procédés pétrochimiques au moyen de filtres à mercure, et peut être géré en tant que déchets ou libéré dans le sol.)</w:t>
            </w:r>
          </w:p>
        </w:tc>
        <w:tc>
          <w:tcPr>
            <w:tcW w:w="1538" w:type="dxa"/>
            <w:tcBorders>
              <w:top w:val="single" w:sz="4" w:space="0" w:color="auto"/>
              <w:left w:val="single" w:sz="4" w:space="0" w:color="auto"/>
              <w:bottom w:val="single" w:sz="4" w:space="0" w:color="auto"/>
              <w:right w:val="single" w:sz="4" w:space="0" w:color="auto"/>
            </w:tcBorders>
            <w:hideMark/>
          </w:tcPr>
          <w:p w14:paraId="72720E4D" w14:textId="77777777" w:rsidR="003053E8" w:rsidRPr="007C41F2" w:rsidRDefault="003053E8"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1C9B8833" w14:textId="1E8B1CF2" w:rsidR="003053E8" w:rsidRPr="007C41F2" w:rsidRDefault="003053E8" w:rsidP="002D16A2">
            <w:pPr>
              <w:spacing w:after="120"/>
              <w:rPr>
                <w:sz w:val="18"/>
                <w:szCs w:val="18"/>
                <w:lang w:val="fr-FR"/>
              </w:rPr>
            </w:pPr>
            <w:r w:rsidRPr="007C41F2">
              <w:rPr>
                <w:sz w:val="18"/>
                <w:szCs w:val="18"/>
                <w:lang w:val="fr-FR"/>
              </w:rPr>
              <w:t>Les rejets provenant de filtres à mercure qui sont gérés comme des déchets sont traités à l</w:t>
            </w:r>
            <w:r w:rsidR="00CA739D" w:rsidRPr="007C41F2">
              <w:rPr>
                <w:sz w:val="18"/>
                <w:szCs w:val="18"/>
                <w:lang w:val="fr-FR"/>
              </w:rPr>
              <w:t>’</w:t>
            </w:r>
            <w:r w:rsidRPr="007C41F2">
              <w:rPr>
                <w:sz w:val="18"/>
                <w:szCs w:val="18"/>
                <w:lang w:val="fr-FR"/>
              </w:rPr>
              <w:t>article 11.</w:t>
            </w:r>
          </w:p>
        </w:tc>
      </w:tr>
      <w:tr w:rsidR="00521A74" w:rsidRPr="007C41F2" w14:paraId="2C1ECD03"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3BD80C11" w14:textId="77777777" w:rsidR="00521A74" w:rsidRPr="007C41F2" w:rsidRDefault="00521A74" w:rsidP="002D16A2">
            <w:pPr>
              <w:spacing w:after="120"/>
              <w:rPr>
                <w:sz w:val="18"/>
                <w:szCs w:val="18"/>
                <w:lang w:val="fr-FR"/>
              </w:rPr>
            </w:pPr>
            <w:r w:rsidRPr="007C41F2">
              <w:rPr>
                <w:sz w:val="18"/>
                <w:szCs w:val="18"/>
                <w:lang w:val="fr-FR"/>
              </w:rPr>
              <w:t>5.1.6</w:t>
            </w:r>
          </w:p>
        </w:tc>
        <w:tc>
          <w:tcPr>
            <w:tcW w:w="2206" w:type="dxa"/>
            <w:tcBorders>
              <w:top w:val="single" w:sz="4" w:space="0" w:color="auto"/>
              <w:left w:val="single" w:sz="4" w:space="0" w:color="auto"/>
              <w:bottom w:val="single" w:sz="4" w:space="0" w:color="auto"/>
              <w:right w:val="single" w:sz="4" w:space="0" w:color="auto"/>
            </w:tcBorders>
            <w:hideMark/>
          </w:tcPr>
          <w:p w14:paraId="6A53AD7B" w14:textId="5437FC34" w:rsidR="00521A74" w:rsidRPr="007C41F2" w:rsidRDefault="00521A74" w:rsidP="002D16A2">
            <w:pPr>
              <w:spacing w:after="120"/>
              <w:rPr>
                <w:sz w:val="18"/>
                <w:szCs w:val="18"/>
                <w:lang w:val="fr-FR"/>
              </w:rPr>
            </w:pPr>
            <w:r w:rsidRPr="007C41F2">
              <w:rPr>
                <w:sz w:val="18"/>
                <w:szCs w:val="18"/>
                <w:lang w:val="fr-FR"/>
              </w:rPr>
              <w:t>Production d</w:t>
            </w:r>
            <w:r w:rsidR="00CA739D" w:rsidRPr="007C41F2">
              <w:rPr>
                <w:sz w:val="18"/>
                <w:szCs w:val="18"/>
                <w:lang w:val="fr-FR"/>
              </w:rPr>
              <w:t>’</w:t>
            </w:r>
            <w:r w:rsidRPr="007C41F2">
              <w:rPr>
                <w:sz w:val="18"/>
                <w:szCs w:val="18"/>
                <w:lang w:val="fr-FR"/>
              </w:rPr>
              <w:t>électricité et de chaleur à partir de biomasse</w:t>
            </w:r>
          </w:p>
        </w:tc>
        <w:tc>
          <w:tcPr>
            <w:tcW w:w="2537" w:type="dxa"/>
            <w:tcBorders>
              <w:top w:val="single" w:sz="4" w:space="0" w:color="auto"/>
              <w:left w:val="single" w:sz="4" w:space="0" w:color="auto"/>
              <w:bottom w:val="single" w:sz="4" w:space="0" w:color="auto"/>
              <w:right w:val="single" w:sz="4" w:space="0" w:color="auto"/>
            </w:tcBorders>
            <w:hideMark/>
          </w:tcPr>
          <w:p w14:paraId="27334890" w14:textId="652A98AE" w:rsidR="00521A74" w:rsidRPr="007C41F2" w:rsidRDefault="00521A74" w:rsidP="002D16A2">
            <w:pPr>
              <w:spacing w:after="120"/>
              <w:rPr>
                <w:sz w:val="18"/>
                <w:szCs w:val="18"/>
                <w:lang w:val="fr-FR"/>
              </w:rPr>
            </w:pPr>
            <w:r w:rsidRPr="007C41F2">
              <w:rPr>
                <w:sz w:val="18"/>
                <w:szCs w:val="18"/>
                <w:lang w:val="fr-FR"/>
              </w:rPr>
              <w:t>Les grandes chaudières industrielles à biomasse et les centrales électriques avec filtres à poussières peuvent générer des résidus contenant du mercure qui peuvent être gérés comme des déchets ou libérés dans le sol.</w:t>
            </w:r>
          </w:p>
        </w:tc>
        <w:tc>
          <w:tcPr>
            <w:tcW w:w="1538" w:type="dxa"/>
            <w:tcBorders>
              <w:top w:val="single" w:sz="4" w:space="0" w:color="auto"/>
              <w:left w:val="single" w:sz="4" w:space="0" w:color="auto"/>
              <w:bottom w:val="single" w:sz="4" w:space="0" w:color="auto"/>
              <w:right w:val="single" w:sz="4" w:space="0" w:color="auto"/>
            </w:tcBorders>
            <w:hideMark/>
          </w:tcPr>
          <w:p w14:paraId="75737FF8"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6B014E1E" w14:textId="7EEF5A56" w:rsidR="00521A74" w:rsidRPr="007C41F2" w:rsidRDefault="00521A74" w:rsidP="002D16A2">
            <w:pPr>
              <w:spacing w:after="120"/>
              <w:rPr>
                <w:sz w:val="18"/>
                <w:szCs w:val="18"/>
                <w:lang w:val="fr-FR"/>
              </w:rPr>
            </w:pPr>
            <w:r w:rsidRPr="007C41F2">
              <w:rPr>
                <w:sz w:val="18"/>
                <w:szCs w:val="18"/>
                <w:lang w:val="fr-FR"/>
              </w:rPr>
              <w:t>Les rejets provenant de filtres à poussières qui sont gérés comme des déchets sont traités à l</w:t>
            </w:r>
            <w:r w:rsidR="00CA739D" w:rsidRPr="007C41F2">
              <w:rPr>
                <w:sz w:val="18"/>
                <w:szCs w:val="18"/>
                <w:lang w:val="fr-FR"/>
              </w:rPr>
              <w:t>’</w:t>
            </w:r>
            <w:r w:rsidRPr="007C41F2">
              <w:rPr>
                <w:sz w:val="18"/>
                <w:szCs w:val="18"/>
                <w:lang w:val="fr-FR"/>
              </w:rPr>
              <w:t>article 11.</w:t>
            </w:r>
          </w:p>
        </w:tc>
      </w:tr>
      <w:tr w:rsidR="00521A74" w:rsidRPr="007C41F2" w14:paraId="52222A02"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34ABA629" w14:textId="77777777" w:rsidR="00521A74" w:rsidRPr="007C41F2" w:rsidRDefault="00521A74" w:rsidP="002D16A2">
            <w:pPr>
              <w:spacing w:after="120"/>
              <w:rPr>
                <w:sz w:val="18"/>
                <w:szCs w:val="18"/>
                <w:lang w:val="fr-FR"/>
              </w:rPr>
            </w:pPr>
            <w:r w:rsidRPr="007C41F2">
              <w:rPr>
                <w:sz w:val="18"/>
                <w:szCs w:val="18"/>
                <w:lang w:val="fr-FR"/>
              </w:rPr>
              <w:t>5.1.7</w:t>
            </w:r>
          </w:p>
        </w:tc>
        <w:tc>
          <w:tcPr>
            <w:tcW w:w="2206" w:type="dxa"/>
            <w:tcBorders>
              <w:top w:val="single" w:sz="4" w:space="0" w:color="auto"/>
              <w:left w:val="single" w:sz="4" w:space="0" w:color="auto"/>
              <w:bottom w:val="single" w:sz="4" w:space="0" w:color="auto"/>
              <w:right w:val="single" w:sz="4" w:space="0" w:color="auto"/>
            </w:tcBorders>
            <w:hideMark/>
          </w:tcPr>
          <w:p w14:paraId="381243F8" w14:textId="52D60539" w:rsidR="00521A74" w:rsidRPr="007C41F2" w:rsidRDefault="00521A74" w:rsidP="002D16A2">
            <w:pPr>
              <w:spacing w:after="120"/>
              <w:rPr>
                <w:sz w:val="18"/>
                <w:szCs w:val="18"/>
                <w:lang w:val="fr-FR"/>
              </w:rPr>
            </w:pPr>
            <w:r w:rsidRPr="007C41F2">
              <w:rPr>
                <w:sz w:val="18"/>
                <w:szCs w:val="18"/>
                <w:lang w:val="fr-FR"/>
              </w:rPr>
              <w:t>Production d</w:t>
            </w:r>
            <w:r w:rsidR="00CA739D" w:rsidRPr="007C41F2">
              <w:rPr>
                <w:sz w:val="18"/>
                <w:szCs w:val="18"/>
                <w:lang w:val="fr-FR"/>
              </w:rPr>
              <w:t>’</w:t>
            </w:r>
            <w:r w:rsidRPr="007C41F2">
              <w:rPr>
                <w:sz w:val="18"/>
                <w:szCs w:val="18"/>
                <w:lang w:val="fr-FR"/>
              </w:rPr>
              <w:t>énergie géothermique</w:t>
            </w:r>
          </w:p>
        </w:tc>
        <w:tc>
          <w:tcPr>
            <w:tcW w:w="2537" w:type="dxa"/>
            <w:tcBorders>
              <w:top w:val="single" w:sz="4" w:space="0" w:color="auto"/>
              <w:left w:val="single" w:sz="4" w:space="0" w:color="auto"/>
              <w:bottom w:val="single" w:sz="4" w:space="0" w:color="auto"/>
              <w:right w:val="single" w:sz="4" w:space="0" w:color="auto"/>
            </w:tcBorders>
            <w:hideMark/>
          </w:tcPr>
          <w:p w14:paraId="2FC6491A" w14:textId="00FBF54D" w:rsidR="00521A74" w:rsidRPr="007C41F2" w:rsidRDefault="00521A74" w:rsidP="002D16A2">
            <w:pPr>
              <w:spacing w:after="120"/>
              <w:rPr>
                <w:sz w:val="18"/>
                <w:szCs w:val="18"/>
                <w:lang w:val="fr-FR"/>
              </w:rPr>
            </w:pPr>
            <w:r w:rsidRPr="007C41F2">
              <w:rPr>
                <w:sz w:val="18"/>
                <w:szCs w:val="18"/>
                <w:lang w:val="fr-FR"/>
              </w:rPr>
              <w:t>Selon la technologie utilisée, les évents peuvent contenir du mercure si le sol est riche en mercure. Parfois, le mercure est absorbé dans les filtres et les absorbants sont régénérés hors site (le mercure extrait est commercialisé ou éliminé en tant que déchets) ou directement éliminés en tant que déchets.</w:t>
            </w:r>
          </w:p>
        </w:tc>
        <w:tc>
          <w:tcPr>
            <w:tcW w:w="1538" w:type="dxa"/>
            <w:tcBorders>
              <w:top w:val="single" w:sz="4" w:space="0" w:color="auto"/>
              <w:left w:val="single" w:sz="4" w:space="0" w:color="auto"/>
              <w:bottom w:val="single" w:sz="4" w:space="0" w:color="auto"/>
              <w:right w:val="single" w:sz="4" w:space="0" w:color="auto"/>
            </w:tcBorders>
          </w:tcPr>
          <w:p w14:paraId="64EF3346"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478EF38C" w14:textId="6703DBD0" w:rsidR="00521A74" w:rsidRPr="007C41F2" w:rsidRDefault="00521A74" w:rsidP="002D16A2">
            <w:pPr>
              <w:spacing w:after="120"/>
              <w:rPr>
                <w:sz w:val="18"/>
                <w:szCs w:val="18"/>
                <w:lang w:val="fr-FR"/>
              </w:rPr>
            </w:pPr>
            <w:r w:rsidRPr="007C41F2">
              <w:rPr>
                <w:sz w:val="18"/>
                <w:szCs w:val="18"/>
                <w:lang w:val="fr-FR"/>
              </w:rPr>
              <w:t>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71257488" w14:textId="77777777" w:rsidTr="003053E8">
        <w:tc>
          <w:tcPr>
            <w:tcW w:w="9350"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03B27B00" w14:textId="77777777" w:rsidR="00521A74" w:rsidRPr="007C41F2" w:rsidRDefault="00521A74" w:rsidP="002D16A2">
            <w:pPr>
              <w:spacing w:after="120"/>
              <w:rPr>
                <w:sz w:val="18"/>
                <w:szCs w:val="18"/>
                <w:lang w:val="fr-FR"/>
              </w:rPr>
            </w:pPr>
            <w:r w:rsidRPr="007C41F2">
              <w:rPr>
                <w:sz w:val="18"/>
                <w:szCs w:val="18"/>
                <w:lang w:val="fr-FR"/>
              </w:rPr>
              <w:t>Catégorie de sources : Production de métal primaire (vierge)</w:t>
            </w:r>
          </w:p>
        </w:tc>
      </w:tr>
      <w:tr w:rsidR="00521A74" w:rsidRPr="007C41F2" w14:paraId="3B955689"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44F474D3" w14:textId="77777777" w:rsidR="00521A74" w:rsidRPr="007C41F2" w:rsidRDefault="00521A74" w:rsidP="002D16A2">
            <w:pPr>
              <w:spacing w:after="120"/>
              <w:rPr>
                <w:sz w:val="18"/>
                <w:szCs w:val="18"/>
                <w:lang w:val="fr-FR"/>
              </w:rPr>
            </w:pPr>
            <w:r w:rsidRPr="007C41F2">
              <w:rPr>
                <w:sz w:val="18"/>
                <w:szCs w:val="18"/>
                <w:lang w:val="fr-FR"/>
              </w:rPr>
              <w:t>5.2.1</w:t>
            </w:r>
          </w:p>
        </w:tc>
        <w:tc>
          <w:tcPr>
            <w:tcW w:w="2206" w:type="dxa"/>
            <w:tcBorders>
              <w:top w:val="single" w:sz="4" w:space="0" w:color="auto"/>
              <w:left w:val="single" w:sz="4" w:space="0" w:color="auto"/>
              <w:bottom w:val="single" w:sz="4" w:space="0" w:color="auto"/>
              <w:right w:val="single" w:sz="4" w:space="0" w:color="auto"/>
            </w:tcBorders>
            <w:hideMark/>
          </w:tcPr>
          <w:p w14:paraId="7132A063" w14:textId="39BA69A2" w:rsidR="00521A74" w:rsidRPr="007C41F2" w:rsidRDefault="00521A74" w:rsidP="002D16A2">
            <w:pPr>
              <w:spacing w:after="120"/>
              <w:rPr>
                <w:sz w:val="18"/>
                <w:szCs w:val="18"/>
                <w:lang w:val="fr-FR"/>
              </w:rPr>
            </w:pPr>
            <w:r w:rsidRPr="007C41F2">
              <w:rPr>
                <w:sz w:val="18"/>
                <w:szCs w:val="18"/>
                <w:lang w:val="fr-FR"/>
              </w:rPr>
              <w:t>Extraction (primaire) de</w:t>
            </w:r>
            <w:r w:rsidR="002D16A2" w:rsidRPr="007C41F2">
              <w:rPr>
                <w:sz w:val="18"/>
                <w:szCs w:val="18"/>
                <w:lang w:val="fr-FR"/>
              </w:rPr>
              <w:t> </w:t>
            </w:r>
            <w:r w:rsidRPr="007C41F2">
              <w:rPr>
                <w:sz w:val="18"/>
                <w:szCs w:val="18"/>
                <w:lang w:val="fr-FR"/>
              </w:rPr>
              <w:t>mercure et première transformation</w:t>
            </w:r>
          </w:p>
        </w:tc>
        <w:tc>
          <w:tcPr>
            <w:tcW w:w="2537" w:type="dxa"/>
            <w:tcBorders>
              <w:top w:val="single" w:sz="4" w:space="0" w:color="auto"/>
              <w:left w:val="single" w:sz="4" w:space="0" w:color="auto"/>
              <w:bottom w:val="single" w:sz="4" w:space="0" w:color="auto"/>
              <w:right w:val="single" w:sz="4" w:space="0" w:color="auto"/>
            </w:tcBorders>
            <w:hideMark/>
          </w:tcPr>
          <w:p w14:paraId="3E3FD8B9" w14:textId="5F2575FF" w:rsidR="00521A74" w:rsidRPr="007C41F2" w:rsidRDefault="00521A74" w:rsidP="002D16A2">
            <w:pPr>
              <w:spacing w:after="120"/>
              <w:rPr>
                <w:sz w:val="18"/>
                <w:szCs w:val="18"/>
                <w:lang w:val="fr-FR"/>
              </w:rPr>
            </w:pPr>
            <w:r w:rsidRPr="007C41F2">
              <w:rPr>
                <w:sz w:val="18"/>
                <w:szCs w:val="18"/>
                <w:lang w:val="fr-FR"/>
              </w:rPr>
              <w:t>Le mercure est libéré dans l</w:t>
            </w:r>
            <w:r w:rsidR="00CA739D" w:rsidRPr="007C41F2">
              <w:rPr>
                <w:sz w:val="18"/>
                <w:szCs w:val="18"/>
                <w:lang w:val="fr-FR"/>
              </w:rPr>
              <w:t>’</w:t>
            </w:r>
            <w:r w:rsidRPr="007C41F2">
              <w:rPr>
                <w:sz w:val="18"/>
                <w:szCs w:val="18"/>
                <w:lang w:val="fr-FR"/>
              </w:rPr>
              <w:t>eau et la terre dû tant à la production qu</w:t>
            </w:r>
            <w:r w:rsidR="00CA739D" w:rsidRPr="007C41F2">
              <w:rPr>
                <w:sz w:val="18"/>
                <w:szCs w:val="18"/>
                <w:lang w:val="fr-FR"/>
              </w:rPr>
              <w:t>’</w:t>
            </w:r>
            <w:r w:rsidRPr="007C41F2">
              <w:rPr>
                <w:sz w:val="18"/>
                <w:szCs w:val="18"/>
                <w:lang w:val="fr-FR"/>
              </w:rPr>
              <w:t>à la gestion des déchets.</w:t>
            </w:r>
          </w:p>
        </w:tc>
        <w:tc>
          <w:tcPr>
            <w:tcW w:w="1538" w:type="dxa"/>
            <w:tcBorders>
              <w:top w:val="single" w:sz="4" w:space="0" w:color="auto"/>
              <w:left w:val="single" w:sz="4" w:space="0" w:color="auto"/>
              <w:bottom w:val="single" w:sz="4" w:space="0" w:color="auto"/>
              <w:right w:val="single" w:sz="4" w:space="0" w:color="auto"/>
            </w:tcBorders>
            <w:hideMark/>
          </w:tcPr>
          <w:p w14:paraId="3269F445"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25CCC459" w14:textId="3C539343" w:rsidR="00521A74" w:rsidRPr="007C41F2" w:rsidRDefault="00521A74" w:rsidP="002D16A2">
            <w:pPr>
              <w:spacing w:after="120"/>
              <w:rPr>
                <w:sz w:val="18"/>
                <w:szCs w:val="18"/>
                <w:lang w:val="fr-FR"/>
              </w:rPr>
            </w:pPr>
            <w:r w:rsidRPr="007C41F2">
              <w:rPr>
                <w:sz w:val="18"/>
                <w:szCs w:val="18"/>
                <w:lang w:val="fr-FR"/>
              </w:rPr>
              <w:t>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7C3B045F"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6B259531" w14:textId="77777777" w:rsidR="00521A74" w:rsidRPr="007C41F2" w:rsidRDefault="00521A74" w:rsidP="00241EF8">
            <w:pPr>
              <w:keepNext/>
              <w:keepLines/>
              <w:spacing w:after="120"/>
              <w:rPr>
                <w:sz w:val="18"/>
                <w:szCs w:val="18"/>
                <w:lang w:val="fr-FR"/>
              </w:rPr>
            </w:pPr>
            <w:r w:rsidRPr="007C41F2">
              <w:rPr>
                <w:sz w:val="18"/>
                <w:szCs w:val="18"/>
                <w:lang w:val="fr-FR"/>
              </w:rPr>
              <w:t>5.2.2</w:t>
            </w:r>
          </w:p>
        </w:tc>
        <w:tc>
          <w:tcPr>
            <w:tcW w:w="2206" w:type="dxa"/>
            <w:tcBorders>
              <w:top w:val="single" w:sz="4" w:space="0" w:color="auto"/>
              <w:left w:val="single" w:sz="4" w:space="0" w:color="auto"/>
              <w:bottom w:val="single" w:sz="4" w:space="0" w:color="auto"/>
              <w:right w:val="single" w:sz="4" w:space="0" w:color="auto"/>
            </w:tcBorders>
            <w:hideMark/>
          </w:tcPr>
          <w:p w14:paraId="1BD96753" w14:textId="20D058D2" w:rsidR="00521A74" w:rsidRPr="007C41F2" w:rsidRDefault="00521A74" w:rsidP="00241EF8">
            <w:pPr>
              <w:keepNext/>
              <w:keepLines/>
              <w:spacing w:after="120"/>
              <w:rPr>
                <w:sz w:val="18"/>
                <w:szCs w:val="18"/>
                <w:lang w:val="fr-FR"/>
              </w:rPr>
            </w:pPr>
            <w:r w:rsidRPr="007C41F2">
              <w:rPr>
                <w:sz w:val="18"/>
                <w:szCs w:val="18"/>
                <w:lang w:val="fr-FR"/>
              </w:rPr>
              <w:t>Extraction d</w:t>
            </w:r>
            <w:r w:rsidR="00CA739D" w:rsidRPr="007C41F2">
              <w:rPr>
                <w:sz w:val="18"/>
                <w:szCs w:val="18"/>
                <w:lang w:val="fr-FR"/>
              </w:rPr>
              <w:t>’</w:t>
            </w:r>
            <w:r w:rsidRPr="007C41F2">
              <w:rPr>
                <w:sz w:val="18"/>
                <w:szCs w:val="18"/>
                <w:lang w:val="fr-FR"/>
              </w:rPr>
              <w:t>or (et</w:t>
            </w:r>
            <w:r w:rsidR="002D16A2" w:rsidRPr="007C41F2">
              <w:rPr>
                <w:sz w:val="18"/>
                <w:szCs w:val="18"/>
                <w:lang w:val="fr-FR"/>
              </w:rPr>
              <w:t> </w:t>
            </w:r>
            <w:r w:rsidRPr="007C41F2">
              <w:rPr>
                <w:sz w:val="18"/>
                <w:szCs w:val="18"/>
                <w:lang w:val="fr-FR"/>
              </w:rPr>
              <w:t>d</w:t>
            </w:r>
            <w:r w:rsidR="00CA739D" w:rsidRPr="007C41F2">
              <w:rPr>
                <w:sz w:val="18"/>
                <w:szCs w:val="18"/>
                <w:lang w:val="fr-FR"/>
              </w:rPr>
              <w:t>’</w:t>
            </w:r>
            <w:r w:rsidRPr="007C41F2">
              <w:rPr>
                <w:sz w:val="18"/>
                <w:szCs w:val="18"/>
                <w:lang w:val="fr-FR"/>
              </w:rPr>
              <w:t>argent) par des procédés d</w:t>
            </w:r>
            <w:r w:rsidR="00CA739D" w:rsidRPr="007C41F2">
              <w:rPr>
                <w:sz w:val="18"/>
                <w:szCs w:val="18"/>
                <w:lang w:val="fr-FR"/>
              </w:rPr>
              <w:t>’</w:t>
            </w:r>
            <w:r w:rsidRPr="007C41F2">
              <w:rPr>
                <w:sz w:val="18"/>
                <w:szCs w:val="18"/>
                <w:lang w:val="fr-FR"/>
              </w:rPr>
              <w:t>amalgamation au mercure</w:t>
            </w:r>
          </w:p>
        </w:tc>
        <w:tc>
          <w:tcPr>
            <w:tcW w:w="2537" w:type="dxa"/>
            <w:tcBorders>
              <w:top w:val="single" w:sz="4" w:space="0" w:color="auto"/>
              <w:left w:val="single" w:sz="4" w:space="0" w:color="auto"/>
              <w:bottom w:val="single" w:sz="4" w:space="0" w:color="auto"/>
              <w:right w:val="single" w:sz="4" w:space="0" w:color="auto"/>
            </w:tcBorders>
            <w:hideMark/>
          </w:tcPr>
          <w:p w14:paraId="7E5D8BA1" w14:textId="166F4B6A" w:rsidR="00521A74" w:rsidRPr="007C41F2" w:rsidRDefault="00521A74" w:rsidP="00241EF8">
            <w:pPr>
              <w:keepNext/>
              <w:keepLines/>
              <w:spacing w:after="120"/>
              <w:rPr>
                <w:sz w:val="18"/>
                <w:szCs w:val="18"/>
                <w:lang w:val="fr-FR"/>
              </w:rPr>
            </w:pPr>
            <w:r w:rsidRPr="007C41F2">
              <w:rPr>
                <w:sz w:val="18"/>
                <w:szCs w:val="18"/>
                <w:lang w:val="fr-FR"/>
              </w:rPr>
              <w:t>Le mercure est libéré dans le sol et l</w:t>
            </w:r>
            <w:r w:rsidR="00CA739D" w:rsidRPr="007C41F2">
              <w:rPr>
                <w:sz w:val="18"/>
                <w:szCs w:val="18"/>
                <w:lang w:val="fr-FR"/>
              </w:rPr>
              <w:t>’</w:t>
            </w:r>
            <w:r w:rsidRPr="007C41F2">
              <w:rPr>
                <w:sz w:val="18"/>
                <w:szCs w:val="18"/>
                <w:lang w:val="fr-FR"/>
              </w:rPr>
              <w:t>eau.</w:t>
            </w:r>
          </w:p>
        </w:tc>
        <w:tc>
          <w:tcPr>
            <w:tcW w:w="1538" w:type="dxa"/>
            <w:tcBorders>
              <w:top w:val="single" w:sz="4" w:space="0" w:color="auto"/>
              <w:left w:val="single" w:sz="4" w:space="0" w:color="auto"/>
              <w:bottom w:val="single" w:sz="4" w:space="0" w:color="auto"/>
              <w:right w:val="single" w:sz="4" w:space="0" w:color="auto"/>
            </w:tcBorders>
            <w:hideMark/>
          </w:tcPr>
          <w:p w14:paraId="65C28D55" w14:textId="3EA6C0F4" w:rsidR="00521A74" w:rsidRPr="007C41F2" w:rsidRDefault="00521A74" w:rsidP="00241EF8">
            <w:pPr>
              <w:keepNext/>
              <w:keepLines/>
              <w:spacing w:after="120"/>
              <w:rPr>
                <w:sz w:val="18"/>
                <w:szCs w:val="18"/>
                <w:lang w:val="fr-FR"/>
              </w:rPr>
            </w:pPr>
            <w:r w:rsidRPr="007C41F2">
              <w:rPr>
                <w:sz w:val="18"/>
                <w:szCs w:val="18"/>
                <w:lang w:val="fr-FR"/>
              </w:rPr>
              <w:t>Source ponctuelle ou source diffuse</w:t>
            </w:r>
          </w:p>
        </w:tc>
        <w:tc>
          <w:tcPr>
            <w:tcW w:w="2242" w:type="dxa"/>
            <w:tcBorders>
              <w:top w:val="single" w:sz="4" w:space="0" w:color="auto"/>
              <w:left w:val="single" w:sz="4" w:space="0" w:color="auto"/>
              <w:bottom w:val="single" w:sz="4" w:space="0" w:color="auto"/>
              <w:right w:val="single" w:sz="4" w:space="0" w:color="auto"/>
            </w:tcBorders>
          </w:tcPr>
          <w:p w14:paraId="73B4DACE" w14:textId="62036692" w:rsidR="00521A74" w:rsidRPr="007C41F2" w:rsidRDefault="00702162" w:rsidP="00241EF8">
            <w:pPr>
              <w:keepNext/>
              <w:keepLines/>
              <w:spacing w:after="120"/>
              <w:rPr>
                <w:sz w:val="18"/>
                <w:szCs w:val="18"/>
                <w:lang w:val="fr-FR"/>
              </w:rPr>
            </w:pPr>
            <w:r w:rsidRPr="007C41F2">
              <w:rPr>
                <w:sz w:val="18"/>
                <w:szCs w:val="18"/>
                <w:lang w:val="fr-FR"/>
              </w:rPr>
              <w:t>L</w:t>
            </w:r>
            <w:r w:rsidR="00CA739D" w:rsidRPr="007C41F2">
              <w:rPr>
                <w:sz w:val="18"/>
                <w:szCs w:val="18"/>
                <w:lang w:val="fr-FR"/>
              </w:rPr>
              <w:t>’</w:t>
            </w:r>
            <w:r w:rsidRPr="007C41F2">
              <w:rPr>
                <w:sz w:val="18"/>
                <w:szCs w:val="18"/>
                <w:lang w:val="fr-FR"/>
              </w:rPr>
              <w:t>extraction minière artisanale et à petite échelle d</w:t>
            </w:r>
            <w:r w:rsidR="00CA739D" w:rsidRPr="007C41F2">
              <w:rPr>
                <w:sz w:val="18"/>
                <w:szCs w:val="18"/>
                <w:lang w:val="fr-FR"/>
              </w:rPr>
              <w:t>’</w:t>
            </w:r>
            <w:r w:rsidRPr="007C41F2">
              <w:rPr>
                <w:sz w:val="18"/>
                <w:szCs w:val="18"/>
                <w:lang w:val="fr-FR"/>
              </w:rPr>
              <w:t>or est traitée à l</w:t>
            </w:r>
            <w:r w:rsidR="00CA739D" w:rsidRPr="007C41F2">
              <w:rPr>
                <w:sz w:val="18"/>
                <w:szCs w:val="18"/>
                <w:lang w:val="fr-FR"/>
              </w:rPr>
              <w:t>’</w:t>
            </w:r>
            <w:r w:rsidRPr="007C41F2">
              <w:rPr>
                <w:sz w:val="18"/>
                <w:szCs w:val="18"/>
                <w:lang w:val="fr-FR"/>
              </w:rPr>
              <w:t>article 7. 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77A8A593"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7F23B44F" w14:textId="77777777" w:rsidR="00521A74" w:rsidRPr="007C41F2" w:rsidRDefault="00521A74" w:rsidP="002D16A2">
            <w:pPr>
              <w:spacing w:after="120"/>
              <w:rPr>
                <w:sz w:val="18"/>
                <w:szCs w:val="18"/>
                <w:lang w:val="fr-FR"/>
              </w:rPr>
            </w:pPr>
            <w:r w:rsidRPr="007C41F2">
              <w:rPr>
                <w:sz w:val="18"/>
                <w:szCs w:val="18"/>
                <w:lang w:val="fr-FR"/>
              </w:rPr>
              <w:t>5.2.3</w:t>
            </w:r>
          </w:p>
        </w:tc>
        <w:tc>
          <w:tcPr>
            <w:tcW w:w="2206" w:type="dxa"/>
            <w:tcBorders>
              <w:top w:val="single" w:sz="4" w:space="0" w:color="auto"/>
              <w:left w:val="single" w:sz="4" w:space="0" w:color="auto"/>
              <w:bottom w:val="single" w:sz="4" w:space="0" w:color="auto"/>
              <w:right w:val="single" w:sz="4" w:space="0" w:color="auto"/>
            </w:tcBorders>
            <w:hideMark/>
          </w:tcPr>
          <w:p w14:paraId="17C92806" w14:textId="77777777" w:rsidR="00521A74" w:rsidRPr="007C41F2" w:rsidRDefault="00521A74" w:rsidP="002D16A2">
            <w:pPr>
              <w:spacing w:after="120"/>
              <w:rPr>
                <w:sz w:val="18"/>
                <w:szCs w:val="18"/>
                <w:lang w:val="fr-FR"/>
              </w:rPr>
            </w:pPr>
            <w:r w:rsidRPr="007C41F2">
              <w:rPr>
                <w:sz w:val="18"/>
                <w:szCs w:val="18"/>
                <w:lang w:val="fr-FR"/>
              </w:rPr>
              <w:t>Extraction de zinc et première transformation</w:t>
            </w:r>
          </w:p>
        </w:tc>
        <w:tc>
          <w:tcPr>
            <w:tcW w:w="2537" w:type="dxa"/>
            <w:tcBorders>
              <w:top w:val="single" w:sz="4" w:space="0" w:color="auto"/>
              <w:left w:val="single" w:sz="4" w:space="0" w:color="auto"/>
              <w:bottom w:val="single" w:sz="4" w:space="0" w:color="auto"/>
              <w:right w:val="single" w:sz="4" w:space="0" w:color="auto"/>
            </w:tcBorders>
            <w:hideMark/>
          </w:tcPr>
          <w:p w14:paraId="1B112242" w14:textId="17BF0EEE" w:rsidR="00521A74" w:rsidRPr="007C41F2" w:rsidRDefault="00DA0FBD" w:rsidP="002D16A2">
            <w:pPr>
              <w:spacing w:after="120"/>
              <w:rPr>
                <w:sz w:val="18"/>
                <w:szCs w:val="18"/>
                <w:lang w:val="fr-FR"/>
              </w:rPr>
            </w:pPr>
            <w:r w:rsidRPr="007C41F2">
              <w:rPr>
                <w:sz w:val="18"/>
                <w:szCs w:val="18"/>
                <w:lang w:val="fr-FR"/>
              </w:rPr>
              <w:t>Les phases d</w:t>
            </w:r>
            <w:r w:rsidR="00CA739D" w:rsidRPr="007C41F2">
              <w:rPr>
                <w:sz w:val="18"/>
                <w:szCs w:val="18"/>
                <w:lang w:val="fr-FR"/>
              </w:rPr>
              <w:t>’</w:t>
            </w:r>
            <w:r w:rsidRPr="007C41F2">
              <w:rPr>
                <w:sz w:val="18"/>
                <w:szCs w:val="18"/>
                <w:lang w:val="fr-FR"/>
              </w:rPr>
              <w:t>extraction et de concentration entraînent selon toute vraisemblance des rejets notables de mercure dans l</w:t>
            </w:r>
            <w:r w:rsidR="00CA739D" w:rsidRPr="007C41F2">
              <w:rPr>
                <w:sz w:val="18"/>
                <w:szCs w:val="18"/>
                <w:lang w:val="fr-FR"/>
              </w:rPr>
              <w:t>’</w:t>
            </w:r>
            <w:r w:rsidRPr="007C41F2">
              <w:rPr>
                <w:sz w:val="18"/>
                <w:szCs w:val="18"/>
                <w:lang w:val="fr-FR"/>
              </w:rPr>
              <w:t>eau et le sol, mais les données en la matière font défaut. La phase d</w:t>
            </w:r>
            <w:r w:rsidR="00CA739D" w:rsidRPr="007C41F2">
              <w:rPr>
                <w:sz w:val="18"/>
                <w:szCs w:val="18"/>
                <w:lang w:val="fr-FR"/>
              </w:rPr>
              <w:t>’</w:t>
            </w:r>
            <w:r w:rsidRPr="007C41F2">
              <w:rPr>
                <w:sz w:val="18"/>
                <w:szCs w:val="18"/>
                <w:lang w:val="fr-FR"/>
              </w:rPr>
              <w:t>extraction (fusion) entraîne des rejets dans l</w:t>
            </w:r>
            <w:r w:rsidR="00CA739D" w:rsidRPr="007C41F2">
              <w:rPr>
                <w:sz w:val="18"/>
                <w:szCs w:val="18"/>
                <w:lang w:val="fr-FR"/>
              </w:rPr>
              <w:t>’</w:t>
            </w:r>
            <w:r w:rsidRPr="007C41F2">
              <w:rPr>
                <w:sz w:val="18"/>
                <w:szCs w:val="18"/>
                <w:lang w:val="fr-FR"/>
              </w:rPr>
              <w:t>eau découlant de l</w:t>
            </w:r>
            <w:r w:rsidR="00CA739D" w:rsidRPr="007C41F2">
              <w:rPr>
                <w:sz w:val="18"/>
                <w:szCs w:val="18"/>
                <w:lang w:val="fr-FR"/>
              </w:rPr>
              <w:t>’</w:t>
            </w:r>
            <w:r w:rsidRPr="007C41F2">
              <w:rPr>
                <w:sz w:val="18"/>
                <w:szCs w:val="18"/>
                <w:lang w:val="fr-FR"/>
              </w:rPr>
              <w:t>épuration des gaz par voie humide et peut aussi entraîner des rejets dans le sol. La technologie de lixiviation directe peut entraîner des rejets dans l</w:t>
            </w:r>
            <w:r w:rsidR="00CA739D" w:rsidRPr="007C41F2">
              <w:rPr>
                <w:sz w:val="18"/>
                <w:szCs w:val="18"/>
                <w:lang w:val="fr-FR"/>
              </w:rPr>
              <w:t>’</w:t>
            </w:r>
            <w:r w:rsidRPr="007C41F2">
              <w:rPr>
                <w:sz w:val="18"/>
                <w:szCs w:val="18"/>
                <w:lang w:val="fr-FR"/>
              </w:rPr>
              <w:t>eau et le sol, même l</w:t>
            </w:r>
            <w:r w:rsidR="00CA739D" w:rsidRPr="007C41F2">
              <w:rPr>
                <w:sz w:val="18"/>
                <w:szCs w:val="18"/>
                <w:lang w:val="fr-FR"/>
              </w:rPr>
              <w:t>’</w:t>
            </w:r>
            <w:r w:rsidRPr="007C41F2">
              <w:rPr>
                <w:sz w:val="18"/>
                <w:szCs w:val="18"/>
                <w:lang w:val="fr-FR"/>
              </w:rPr>
              <w:t>on ne dispose en la matière d</w:t>
            </w:r>
            <w:r w:rsidR="00CA739D" w:rsidRPr="007C41F2">
              <w:rPr>
                <w:sz w:val="18"/>
                <w:szCs w:val="18"/>
                <w:lang w:val="fr-FR"/>
              </w:rPr>
              <w:t>’</w:t>
            </w:r>
            <w:r w:rsidRPr="007C41F2">
              <w:rPr>
                <w:sz w:val="18"/>
                <w:szCs w:val="18"/>
                <w:lang w:val="fr-FR"/>
              </w:rPr>
              <w:t>aucune donnée quantitative.</w:t>
            </w:r>
          </w:p>
        </w:tc>
        <w:tc>
          <w:tcPr>
            <w:tcW w:w="1538" w:type="dxa"/>
            <w:tcBorders>
              <w:top w:val="single" w:sz="4" w:space="0" w:color="auto"/>
              <w:left w:val="single" w:sz="4" w:space="0" w:color="auto"/>
              <w:bottom w:val="single" w:sz="4" w:space="0" w:color="auto"/>
              <w:right w:val="single" w:sz="4" w:space="0" w:color="auto"/>
            </w:tcBorders>
            <w:hideMark/>
          </w:tcPr>
          <w:p w14:paraId="7B5BFAAA"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12AC50E9" w14:textId="4D309823" w:rsidR="00521A74" w:rsidRPr="007C41F2" w:rsidRDefault="00521A74" w:rsidP="002D16A2">
            <w:pPr>
              <w:spacing w:after="120"/>
              <w:rPr>
                <w:sz w:val="18"/>
                <w:szCs w:val="18"/>
                <w:lang w:val="fr-FR"/>
              </w:rPr>
            </w:pPr>
            <w:r w:rsidRPr="007C41F2">
              <w:rPr>
                <w:sz w:val="18"/>
                <w:szCs w:val="18"/>
                <w:lang w:val="fr-FR"/>
              </w:rPr>
              <w:t>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43A5879C"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1BE4FBAE" w14:textId="77777777" w:rsidR="00521A74" w:rsidRPr="007C41F2" w:rsidRDefault="00521A74" w:rsidP="002D16A2">
            <w:pPr>
              <w:spacing w:after="120"/>
              <w:rPr>
                <w:sz w:val="18"/>
                <w:szCs w:val="18"/>
                <w:lang w:val="fr-FR"/>
              </w:rPr>
            </w:pPr>
            <w:r w:rsidRPr="007C41F2">
              <w:rPr>
                <w:sz w:val="18"/>
                <w:szCs w:val="18"/>
                <w:lang w:val="fr-FR"/>
              </w:rPr>
              <w:t>5.2.4</w:t>
            </w:r>
          </w:p>
        </w:tc>
        <w:tc>
          <w:tcPr>
            <w:tcW w:w="2206" w:type="dxa"/>
            <w:tcBorders>
              <w:top w:val="single" w:sz="4" w:space="0" w:color="auto"/>
              <w:left w:val="single" w:sz="4" w:space="0" w:color="auto"/>
              <w:bottom w:val="single" w:sz="4" w:space="0" w:color="auto"/>
              <w:right w:val="single" w:sz="4" w:space="0" w:color="auto"/>
            </w:tcBorders>
            <w:hideMark/>
          </w:tcPr>
          <w:p w14:paraId="3A97FEAE" w14:textId="77777777" w:rsidR="00521A74" w:rsidRPr="007C41F2" w:rsidRDefault="00521A74" w:rsidP="002D16A2">
            <w:pPr>
              <w:spacing w:after="120"/>
              <w:rPr>
                <w:sz w:val="18"/>
                <w:szCs w:val="18"/>
                <w:lang w:val="fr-FR"/>
              </w:rPr>
            </w:pPr>
            <w:r w:rsidRPr="007C41F2">
              <w:rPr>
                <w:sz w:val="18"/>
                <w:szCs w:val="18"/>
                <w:lang w:val="fr-FR"/>
              </w:rPr>
              <w:t>Extraction de cuivre et première transformation</w:t>
            </w:r>
          </w:p>
        </w:tc>
        <w:tc>
          <w:tcPr>
            <w:tcW w:w="2537" w:type="dxa"/>
            <w:tcBorders>
              <w:top w:val="single" w:sz="4" w:space="0" w:color="auto"/>
              <w:left w:val="single" w:sz="4" w:space="0" w:color="auto"/>
              <w:bottom w:val="single" w:sz="4" w:space="0" w:color="auto"/>
              <w:right w:val="single" w:sz="4" w:space="0" w:color="auto"/>
            </w:tcBorders>
            <w:hideMark/>
          </w:tcPr>
          <w:p w14:paraId="74122316" w14:textId="409920A6" w:rsidR="00521A74" w:rsidRPr="007C41F2" w:rsidRDefault="00DA0FBD" w:rsidP="002D16A2">
            <w:pPr>
              <w:spacing w:after="120"/>
              <w:rPr>
                <w:sz w:val="18"/>
                <w:szCs w:val="18"/>
                <w:lang w:val="fr-FR"/>
              </w:rPr>
            </w:pPr>
            <w:r w:rsidRPr="007C41F2">
              <w:rPr>
                <w:sz w:val="18"/>
                <w:szCs w:val="18"/>
                <w:lang w:val="fr-FR"/>
              </w:rPr>
              <w:t>Les phases d</w:t>
            </w:r>
            <w:r w:rsidR="00CA739D" w:rsidRPr="007C41F2">
              <w:rPr>
                <w:sz w:val="18"/>
                <w:szCs w:val="18"/>
                <w:lang w:val="fr-FR"/>
              </w:rPr>
              <w:t>’</w:t>
            </w:r>
            <w:r w:rsidRPr="007C41F2">
              <w:rPr>
                <w:sz w:val="18"/>
                <w:szCs w:val="18"/>
                <w:lang w:val="fr-FR"/>
              </w:rPr>
              <w:t>extraction et de concentration entraînent selon toute vraisemblance des rejets notables de mercure dans l</w:t>
            </w:r>
            <w:r w:rsidR="00CA739D" w:rsidRPr="007C41F2">
              <w:rPr>
                <w:sz w:val="18"/>
                <w:szCs w:val="18"/>
                <w:lang w:val="fr-FR"/>
              </w:rPr>
              <w:t>’</w:t>
            </w:r>
            <w:r w:rsidRPr="007C41F2">
              <w:rPr>
                <w:sz w:val="18"/>
                <w:szCs w:val="18"/>
                <w:lang w:val="fr-FR"/>
              </w:rPr>
              <w:t>eau et le sol, mais les données en la matière font défaut. La phase d</w:t>
            </w:r>
            <w:r w:rsidR="00CA739D" w:rsidRPr="007C41F2">
              <w:rPr>
                <w:sz w:val="18"/>
                <w:szCs w:val="18"/>
                <w:lang w:val="fr-FR"/>
              </w:rPr>
              <w:t>’</w:t>
            </w:r>
            <w:r w:rsidRPr="007C41F2">
              <w:rPr>
                <w:sz w:val="18"/>
                <w:szCs w:val="18"/>
                <w:lang w:val="fr-FR"/>
              </w:rPr>
              <w:t>extraction (fusion) entraîne des rejets dans l</w:t>
            </w:r>
            <w:r w:rsidR="00CA739D" w:rsidRPr="007C41F2">
              <w:rPr>
                <w:sz w:val="18"/>
                <w:szCs w:val="18"/>
                <w:lang w:val="fr-FR"/>
              </w:rPr>
              <w:t>’</w:t>
            </w:r>
            <w:r w:rsidRPr="007C41F2">
              <w:rPr>
                <w:sz w:val="18"/>
                <w:szCs w:val="18"/>
                <w:lang w:val="fr-FR"/>
              </w:rPr>
              <w:t>eau découlant de l</w:t>
            </w:r>
            <w:r w:rsidR="00CA739D" w:rsidRPr="007C41F2">
              <w:rPr>
                <w:sz w:val="18"/>
                <w:szCs w:val="18"/>
                <w:lang w:val="fr-FR"/>
              </w:rPr>
              <w:t>’</w:t>
            </w:r>
            <w:r w:rsidRPr="007C41F2">
              <w:rPr>
                <w:sz w:val="18"/>
                <w:szCs w:val="18"/>
                <w:lang w:val="fr-FR"/>
              </w:rPr>
              <w:t>épuration des gaz par voie humide et peut aussi entraîner des rejets dans le sol. La technologie de lixiviation directe peut entraîner des rejets dans l</w:t>
            </w:r>
            <w:r w:rsidR="00CA739D" w:rsidRPr="007C41F2">
              <w:rPr>
                <w:sz w:val="18"/>
                <w:szCs w:val="18"/>
                <w:lang w:val="fr-FR"/>
              </w:rPr>
              <w:t>’</w:t>
            </w:r>
            <w:r w:rsidRPr="007C41F2">
              <w:rPr>
                <w:sz w:val="18"/>
                <w:szCs w:val="18"/>
                <w:lang w:val="fr-FR"/>
              </w:rPr>
              <w:t>eau et le sol, même l</w:t>
            </w:r>
            <w:r w:rsidR="00CA739D" w:rsidRPr="007C41F2">
              <w:rPr>
                <w:sz w:val="18"/>
                <w:szCs w:val="18"/>
                <w:lang w:val="fr-FR"/>
              </w:rPr>
              <w:t>’</w:t>
            </w:r>
            <w:r w:rsidRPr="007C41F2">
              <w:rPr>
                <w:sz w:val="18"/>
                <w:szCs w:val="18"/>
                <w:lang w:val="fr-FR"/>
              </w:rPr>
              <w:t>on ne dispose en la matière d</w:t>
            </w:r>
            <w:r w:rsidR="00CA739D" w:rsidRPr="007C41F2">
              <w:rPr>
                <w:sz w:val="18"/>
                <w:szCs w:val="18"/>
                <w:lang w:val="fr-FR"/>
              </w:rPr>
              <w:t>’</w:t>
            </w:r>
            <w:r w:rsidRPr="007C41F2">
              <w:rPr>
                <w:sz w:val="18"/>
                <w:szCs w:val="18"/>
                <w:lang w:val="fr-FR"/>
              </w:rPr>
              <w:t>aucune donnée quantitative.</w:t>
            </w:r>
          </w:p>
        </w:tc>
        <w:tc>
          <w:tcPr>
            <w:tcW w:w="1538" w:type="dxa"/>
            <w:tcBorders>
              <w:top w:val="single" w:sz="4" w:space="0" w:color="auto"/>
              <w:left w:val="single" w:sz="4" w:space="0" w:color="auto"/>
              <w:bottom w:val="single" w:sz="4" w:space="0" w:color="auto"/>
              <w:right w:val="single" w:sz="4" w:space="0" w:color="auto"/>
            </w:tcBorders>
          </w:tcPr>
          <w:p w14:paraId="76D906F0"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7EEC2071" w14:textId="371D4507" w:rsidR="00521A74" w:rsidRPr="007C41F2" w:rsidRDefault="00521A74" w:rsidP="002D16A2">
            <w:pPr>
              <w:spacing w:after="120"/>
              <w:rPr>
                <w:sz w:val="18"/>
                <w:szCs w:val="18"/>
                <w:lang w:val="fr-FR"/>
              </w:rPr>
            </w:pPr>
            <w:r w:rsidRPr="007C41F2">
              <w:rPr>
                <w:sz w:val="18"/>
                <w:szCs w:val="18"/>
                <w:lang w:val="fr-FR"/>
              </w:rPr>
              <w:t>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424988D2"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40504F8D" w14:textId="77777777" w:rsidR="00521A74" w:rsidRPr="007C41F2" w:rsidRDefault="00521A74" w:rsidP="002D16A2">
            <w:pPr>
              <w:spacing w:after="120"/>
              <w:rPr>
                <w:sz w:val="18"/>
                <w:szCs w:val="18"/>
                <w:lang w:val="fr-FR"/>
              </w:rPr>
            </w:pPr>
            <w:r w:rsidRPr="007C41F2">
              <w:rPr>
                <w:sz w:val="18"/>
                <w:szCs w:val="18"/>
                <w:lang w:val="fr-FR"/>
              </w:rPr>
              <w:t>5.2.5</w:t>
            </w:r>
          </w:p>
        </w:tc>
        <w:tc>
          <w:tcPr>
            <w:tcW w:w="2206" w:type="dxa"/>
            <w:tcBorders>
              <w:top w:val="single" w:sz="4" w:space="0" w:color="auto"/>
              <w:left w:val="single" w:sz="4" w:space="0" w:color="auto"/>
              <w:bottom w:val="single" w:sz="4" w:space="0" w:color="auto"/>
              <w:right w:val="single" w:sz="4" w:space="0" w:color="auto"/>
            </w:tcBorders>
            <w:hideMark/>
          </w:tcPr>
          <w:p w14:paraId="6408B2EE" w14:textId="77777777" w:rsidR="00521A74" w:rsidRPr="007C41F2" w:rsidRDefault="00521A74" w:rsidP="002D16A2">
            <w:pPr>
              <w:spacing w:after="120"/>
              <w:rPr>
                <w:sz w:val="18"/>
                <w:szCs w:val="18"/>
                <w:lang w:val="fr-FR"/>
              </w:rPr>
            </w:pPr>
            <w:r w:rsidRPr="007C41F2">
              <w:rPr>
                <w:sz w:val="18"/>
                <w:szCs w:val="18"/>
                <w:lang w:val="fr-FR"/>
              </w:rPr>
              <w:t>Extraction de plomb et première transformation</w:t>
            </w:r>
          </w:p>
        </w:tc>
        <w:tc>
          <w:tcPr>
            <w:tcW w:w="2537" w:type="dxa"/>
            <w:tcBorders>
              <w:top w:val="single" w:sz="4" w:space="0" w:color="auto"/>
              <w:left w:val="single" w:sz="4" w:space="0" w:color="auto"/>
              <w:bottom w:val="single" w:sz="4" w:space="0" w:color="auto"/>
              <w:right w:val="single" w:sz="4" w:space="0" w:color="auto"/>
            </w:tcBorders>
            <w:hideMark/>
          </w:tcPr>
          <w:p w14:paraId="3CC54514" w14:textId="78341CB5" w:rsidR="00521A74" w:rsidRPr="007C41F2" w:rsidRDefault="00DA0FBD" w:rsidP="002D16A2">
            <w:pPr>
              <w:spacing w:after="120"/>
              <w:rPr>
                <w:sz w:val="18"/>
                <w:szCs w:val="18"/>
                <w:lang w:val="fr-FR"/>
              </w:rPr>
            </w:pPr>
            <w:r w:rsidRPr="007C41F2">
              <w:rPr>
                <w:sz w:val="18"/>
                <w:szCs w:val="18"/>
                <w:lang w:val="fr-FR"/>
              </w:rPr>
              <w:t>Les phases d</w:t>
            </w:r>
            <w:r w:rsidR="00CA739D" w:rsidRPr="007C41F2">
              <w:rPr>
                <w:sz w:val="18"/>
                <w:szCs w:val="18"/>
                <w:lang w:val="fr-FR"/>
              </w:rPr>
              <w:t>’</w:t>
            </w:r>
            <w:r w:rsidRPr="007C41F2">
              <w:rPr>
                <w:sz w:val="18"/>
                <w:szCs w:val="18"/>
                <w:lang w:val="fr-FR"/>
              </w:rPr>
              <w:t>extraction et de concentration entraînent selon toute vraisemblance des rejets notables de mercure dans l</w:t>
            </w:r>
            <w:r w:rsidR="00CA739D" w:rsidRPr="007C41F2">
              <w:rPr>
                <w:sz w:val="18"/>
                <w:szCs w:val="18"/>
                <w:lang w:val="fr-FR"/>
              </w:rPr>
              <w:t>’</w:t>
            </w:r>
            <w:r w:rsidRPr="007C41F2">
              <w:rPr>
                <w:sz w:val="18"/>
                <w:szCs w:val="18"/>
                <w:lang w:val="fr-FR"/>
              </w:rPr>
              <w:t>eau et le sol, mais les données en la matière font défaut. La phase d</w:t>
            </w:r>
            <w:r w:rsidR="00CA739D" w:rsidRPr="007C41F2">
              <w:rPr>
                <w:sz w:val="18"/>
                <w:szCs w:val="18"/>
                <w:lang w:val="fr-FR"/>
              </w:rPr>
              <w:t>’</w:t>
            </w:r>
            <w:r w:rsidRPr="007C41F2">
              <w:rPr>
                <w:sz w:val="18"/>
                <w:szCs w:val="18"/>
                <w:lang w:val="fr-FR"/>
              </w:rPr>
              <w:t>extraction (fusion) entraîne des rejets dans l</w:t>
            </w:r>
            <w:r w:rsidR="00CA739D" w:rsidRPr="007C41F2">
              <w:rPr>
                <w:sz w:val="18"/>
                <w:szCs w:val="18"/>
                <w:lang w:val="fr-FR"/>
              </w:rPr>
              <w:t>’</w:t>
            </w:r>
            <w:r w:rsidRPr="007C41F2">
              <w:rPr>
                <w:sz w:val="18"/>
                <w:szCs w:val="18"/>
                <w:lang w:val="fr-FR"/>
              </w:rPr>
              <w:t>eau découlant de l</w:t>
            </w:r>
            <w:r w:rsidR="00CA739D" w:rsidRPr="007C41F2">
              <w:rPr>
                <w:sz w:val="18"/>
                <w:szCs w:val="18"/>
                <w:lang w:val="fr-FR"/>
              </w:rPr>
              <w:t>’</w:t>
            </w:r>
            <w:r w:rsidRPr="007C41F2">
              <w:rPr>
                <w:sz w:val="18"/>
                <w:szCs w:val="18"/>
                <w:lang w:val="fr-FR"/>
              </w:rPr>
              <w:t>épuration des gaz par voie humide et peut aussi entraîner des rejets dans le sol. La technologie de lixiviation directe peut entraîner des rejets dans l</w:t>
            </w:r>
            <w:r w:rsidR="00CA739D" w:rsidRPr="007C41F2">
              <w:rPr>
                <w:sz w:val="18"/>
                <w:szCs w:val="18"/>
                <w:lang w:val="fr-FR"/>
              </w:rPr>
              <w:t>’</w:t>
            </w:r>
            <w:r w:rsidRPr="007C41F2">
              <w:rPr>
                <w:sz w:val="18"/>
                <w:szCs w:val="18"/>
                <w:lang w:val="fr-FR"/>
              </w:rPr>
              <w:t>eau et le sol, même l</w:t>
            </w:r>
            <w:r w:rsidR="00CA739D" w:rsidRPr="007C41F2">
              <w:rPr>
                <w:sz w:val="18"/>
                <w:szCs w:val="18"/>
                <w:lang w:val="fr-FR"/>
              </w:rPr>
              <w:t>’</w:t>
            </w:r>
            <w:r w:rsidRPr="007C41F2">
              <w:rPr>
                <w:sz w:val="18"/>
                <w:szCs w:val="18"/>
                <w:lang w:val="fr-FR"/>
              </w:rPr>
              <w:t>on ne dispose en la matière d</w:t>
            </w:r>
            <w:r w:rsidR="00CA739D" w:rsidRPr="007C41F2">
              <w:rPr>
                <w:sz w:val="18"/>
                <w:szCs w:val="18"/>
                <w:lang w:val="fr-FR"/>
              </w:rPr>
              <w:t>’</w:t>
            </w:r>
            <w:r w:rsidRPr="007C41F2">
              <w:rPr>
                <w:sz w:val="18"/>
                <w:szCs w:val="18"/>
                <w:lang w:val="fr-FR"/>
              </w:rPr>
              <w:t>aucune donnée quantitative.</w:t>
            </w:r>
          </w:p>
        </w:tc>
        <w:tc>
          <w:tcPr>
            <w:tcW w:w="1538" w:type="dxa"/>
            <w:tcBorders>
              <w:top w:val="single" w:sz="4" w:space="0" w:color="auto"/>
              <w:left w:val="single" w:sz="4" w:space="0" w:color="auto"/>
              <w:bottom w:val="single" w:sz="4" w:space="0" w:color="auto"/>
              <w:right w:val="single" w:sz="4" w:space="0" w:color="auto"/>
            </w:tcBorders>
            <w:hideMark/>
          </w:tcPr>
          <w:p w14:paraId="76F7EA54"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1FE57F18" w14:textId="28BBA15C" w:rsidR="00521A74" w:rsidRPr="007C41F2" w:rsidRDefault="00521A74" w:rsidP="002D16A2">
            <w:pPr>
              <w:spacing w:after="120"/>
              <w:rPr>
                <w:sz w:val="18"/>
                <w:szCs w:val="18"/>
                <w:lang w:val="fr-FR"/>
              </w:rPr>
            </w:pPr>
            <w:r w:rsidRPr="007C41F2">
              <w:rPr>
                <w:sz w:val="18"/>
                <w:szCs w:val="18"/>
                <w:lang w:val="fr-FR"/>
              </w:rPr>
              <w:t>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5A0A38F4"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1A12B69C" w14:textId="77777777" w:rsidR="00521A74" w:rsidRPr="007C41F2" w:rsidRDefault="00521A74" w:rsidP="002D16A2">
            <w:pPr>
              <w:spacing w:after="120"/>
              <w:rPr>
                <w:sz w:val="18"/>
                <w:szCs w:val="18"/>
                <w:lang w:val="fr-FR"/>
              </w:rPr>
            </w:pPr>
            <w:r w:rsidRPr="007C41F2">
              <w:rPr>
                <w:sz w:val="18"/>
                <w:szCs w:val="18"/>
                <w:lang w:val="fr-FR"/>
              </w:rPr>
              <w:t>5.2.6</w:t>
            </w:r>
          </w:p>
        </w:tc>
        <w:tc>
          <w:tcPr>
            <w:tcW w:w="2206" w:type="dxa"/>
            <w:tcBorders>
              <w:top w:val="single" w:sz="4" w:space="0" w:color="auto"/>
              <w:left w:val="single" w:sz="4" w:space="0" w:color="auto"/>
              <w:bottom w:val="single" w:sz="4" w:space="0" w:color="auto"/>
              <w:right w:val="single" w:sz="4" w:space="0" w:color="auto"/>
            </w:tcBorders>
            <w:hideMark/>
          </w:tcPr>
          <w:p w14:paraId="5AF43BBD" w14:textId="4C504726" w:rsidR="00521A74" w:rsidRPr="007C41F2" w:rsidRDefault="00521A74" w:rsidP="002D16A2">
            <w:pPr>
              <w:spacing w:after="120"/>
              <w:rPr>
                <w:sz w:val="18"/>
                <w:szCs w:val="18"/>
                <w:lang w:val="fr-FR"/>
              </w:rPr>
            </w:pPr>
            <w:r w:rsidRPr="007C41F2">
              <w:rPr>
                <w:sz w:val="18"/>
                <w:szCs w:val="18"/>
                <w:lang w:val="fr-FR"/>
              </w:rPr>
              <w:t>Extraction et première transformation de l</w:t>
            </w:r>
            <w:r w:rsidR="00CA739D" w:rsidRPr="007C41F2">
              <w:rPr>
                <w:sz w:val="18"/>
                <w:szCs w:val="18"/>
                <w:lang w:val="fr-FR"/>
              </w:rPr>
              <w:t>’</w:t>
            </w:r>
            <w:r w:rsidRPr="007C41F2">
              <w:rPr>
                <w:sz w:val="18"/>
                <w:szCs w:val="18"/>
                <w:lang w:val="fr-FR"/>
              </w:rPr>
              <w:t>or par des procédés autres que l</w:t>
            </w:r>
            <w:r w:rsidR="00CA739D" w:rsidRPr="007C41F2">
              <w:rPr>
                <w:sz w:val="18"/>
                <w:szCs w:val="18"/>
                <w:lang w:val="fr-FR"/>
              </w:rPr>
              <w:t>’</w:t>
            </w:r>
            <w:r w:rsidRPr="007C41F2">
              <w:rPr>
                <w:sz w:val="18"/>
                <w:szCs w:val="18"/>
                <w:lang w:val="fr-FR"/>
              </w:rPr>
              <w:t>amalgamation au mercure</w:t>
            </w:r>
          </w:p>
        </w:tc>
        <w:tc>
          <w:tcPr>
            <w:tcW w:w="2537" w:type="dxa"/>
            <w:tcBorders>
              <w:top w:val="single" w:sz="4" w:space="0" w:color="auto"/>
              <w:left w:val="single" w:sz="4" w:space="0" w:color="auto"/>
              <w:bottom w:val="single" w:sz="4" w:space="0" w:color="auto"/>
              <w:right w:val="single" w:sz="4" w:space="0" w:color="auto"/>
            </w:tcBorders>
            <w:hideMark/>
          </w:tcPr>
          <w:p w14:paraId="66A49CEC" w14:textId="59D44B2A" w:rsidR="00521A74" w:rsidRPr="007C41F2" w:rsidRDefault="00521A74" w:rsidP="002D16A2">
            <w:pPr>
              <w:spacing w:after="120"/>
              <w:rPr>
                <w:sz w:val="18"/>
                <w:szCs w:val="18"/>
                <w:lang w:val="fr-FR"/>
              </w:rPr>
            </w:pPr>
            <w:r w:rsidRPr="007C41F2">
              <w:rPr>
                <w:sz w:val="18"/>
                <w:szCs w:val="18"/>
                <w:lang w:val="fr-FR"/>
              </w:rPr>
              <w:t>Des rejets notables dans le sol (sur place) et dans l</w:t>
            </w:r>
            <w:r w:rsidR="00CA739D" w:rsidRPr="007C41F2">
              <w:rPr>
                <w:sz w:val="18"/>
                <w:szCs w:val="18"/>
                <w:lang w:val="fr-FR"/>
              </w:rPr>
              <w:t>’</w:t>
            </w:r>
            <w:r w:rsidRPr="007C41F2">
              <w:rPr>
                <w:sz w:val="18"/>
                <w:szCs w:val="18"/>
                <w:lang w:val="fr-FR"/>
              </w:rPr>
              <w:t>eau ont été signalés.</w:t>
            </w:r>
          </w:p>
        </w:tc>
        <w:tc>
          <w:tcPr>
            <w:tcW w:w="1538" w:type="dxa"/>
            <w:tcBorders>
              <w:top w:val="single" w:sz="4" w:space="0" w:color="auto"/>
              <w:left w:val="single" w:sz="4" w:space="0" w:color="auto"/>
              <w:bottom w:val="single" w:sz="4" w:space="0" w:color="auto"/>
              <w:right w:val="single" w:sz="4" w:space="0" w:color="auto"/>
            </w:tcBorders>
            <w:hideMark/>
          </w:tcPr>
          <w:p w14:paraId="5424ECB7"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279A004C" w14:textId="02291265" w:rsidR="00521A74" w:rsidRPr="007C41F2" w:rsidRDefault="00521A74" w:rsidP="002D16A2">
            <w:pPr>
              <w:spacing w:after="120"/>
              <w:rPr>
                <w:sz w:val="18"/>
                <w:szCs w:val="18"/>
                <w:lang w:val="fr-FR"/>
              </w:rPr>
            </w:pPr>
            <w:r w:rsidRPr="007C41F2">
              <w:rPr>
                <w:sz w:val="18"/>
                <w:szCs w:val="18"/>
                <w:lang w:val="fr-FR"/>
              </w:rPr>
              <w:t>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00A26F36"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5537BE35" w14:textId="77777777" w:rsidR="00521A74" w:rsidRPr="007C41F2" w:rsidRDefault="00521A74" w:rsidP="00241EF8">
            <w:pPr>
              <w:keepNext/>
              <w:keepLines/>
              <w:spacing w:after="120"/>
              <w:rPr>
                <w:sz w:val="18"/>
                <w:szCs w:val="18"/>
                <w:lang w:val="fr-FR"/>
              </w:rPr>
            </w:pPr>
            <w:r w:rsidRPr="007C41F2">
              <w:rPr>
                <w:sz w:val="18"/>
                <w:szCs w:val="18"/>
                <w:lang w:val="fr-FR"/>
              </w:rPr>
              <w:t>5.2.7</w:t>
            </w:r>
          </w:p>
        </w:tc>
        <w:tc>
          <w:tcPr>
            <w:tcW w:w="2206" w:type="dxa"/>
            <w:tcBorders>
              <w:top w:val="single" w:sz="4" w:space="0" w:color="auto"/>
              <w:left w:val="single" w:sz="4" w:space="0" w:color="auto"/>
              <w:bottom w:val="single" w:sz="4" w:space="0" w:color="auto"/>
              <w:right w:val="single" w:sz="4" w:space="0" w:color="auto"/>
            </w:tcBorders>
            <w:hideMark/>
          </w:tcPr>
          <w:p w14:paraId="5688E1BA" w14:textId="06F634E3" w:rsidR="00521A74" w:rsidRPr="007C41F2" w:rsidRDefault="00521A74" w:rsidP="00241EF8">
            <w:pPr>
              <w:keepNext/>
              <w:keepLines/>
              <w:spacing w:after="120"/>
              <w:rPr>
                <w:sz w:val="18"/>
                <w:szCs w:val="18"/>
                <w:lang w:val="fr-FR"/>
              </w:rPr>
            </w:pPr>
            <w:r w:rsidRPr="007C41F2">
              <w:rPr>
                <w:sz w:val="18"/>
                <w:szCs w:val="18"/>
                <w:lang w:val="fr-FR"/>
              </w:rPr>
              <w:t>Extraction d</w:t>
            </w:r>
            <w:r w:rsidR="00CA739D" w:rsidRPr="007C41F2">
              <w:rPr>
                <w:sz w:val="18"/>
                <w:szCs w:val="18"/>
                <w:lang w:val="fr-FR"/>
              </w:rPr>
              <w:t>’</w:t>
            </w:r>
            <w:r w:rsidRPr="007C41F2">
              <w:rPr>
                <w:sz w:val="18"/>
                <w:szCs w:val="18"/>
                <w:lang w:val="fr-FR"/>
              </w:rPr>
              <w:t>aluminium et transformation initiale</w:t>
            </w:r>
          </w:p>
        </w:tc>
        <w:tc>
          <w:tcPr>
            <w:tcW w:w="2537" w:type="dxa"/>
            <w:tcBorders>
              <w:top w:val="single" w:sz="4" w:space="0" w:color="auto"/>
              <w:left w:val="single" w:sz="4" w:space="0" w:color="auto"/>
              <w:bottom w:val="single" w:sz="4" w:space="0" w:color="auto"/>
              <w:right w:val="single" w:sz="4" w:space="0" w:color="auto"/>
            </w:tcBorders>
            <w:hideMark/>
          </w:tcPr>
          <w:p w14:paraId="5C487AAE" w14:textId="1C9879F3" w:rsidR="00521A74" w:rsidRPr="007C41F2" w:rsidRDefault="00DA0FBD" w:rsidP="00241EF8">
            <w:pPr>
              <w:keepNext/>
              <w:keepLines/>
              <w:spacing w:after="120"/>
              <w:rPr>
                <w:sz w:val="18"/>
                <w:szCs w:val="18"/>
                <w:lang w:val="fr-FR"/>
              </w:rPr>
            </w:pPr>
            <w:r w:rsidRPr="007C41F2">
              <w:rPr>
                <w:sz w:val="18"/>
                <w:szCs w:val="18"/>
                <w:lang w:val="fr-FR"/>
              </w:rPr>
              <w:t>L</w:t>
            </w:r>
            <w:r w:rsidR="00CA739D" w:rsidRPr="007C41F2">
              <w:rPr>
                <w:sz w:val="18"/>
                <w:szCs w:val="18"/>
                <w:lang w:val="fr-FR"/>
              </w:rPr>
              <w:t>’</w:t>
            </w:r>
            <w:r w:rsidRPr="007C41F2">
              <w:rPr>
                <w:sz w:val="18"/>
                <w:szCs w:val="18"/>
                <w:lang w:val="fr-FR"/>
              </w:rPr>
              <w:t>étape intermédiaire de production de l</w:t>
            </w:r>
            <w:r w:rsidR="00CA739D" w:rsidRPr="007C41F2">
              <w:rPr>
                <w:sz w:val="18"/>
                <w:szCs w:val="18"/>
                <w:lang w:val="fr-FR"/>
              </w:rPr>
              <w:t>’</w:t>
            </w:r>
            <w:r w:rsidRPr="007C41F2">
              <w:rPr>
                <w:sz w:val="18"/>
                <w:szCs w:val="18"/>
                <w:lang w:val="fr-FR"/>
              </w:rPr>
              <w:t>alumine à partir de la bauxite peut donner lieu à des rejets de mercure dans l</w:t>
            </w:r>
            <w:r w:rsidR="00CA739D" w:rsidRPr="007C41F2">
              <w:rPr>
                <w:sz w:val="18"/>
                <w:szCs w:val="18"/>
                <w:lang w:val="fr-FR"/>
              </w:rPr>
              <w:t>’</w:t>
            </w:r>
            <w:r w:rsidRPr="007C41F2">
              <w:rPr>
                <w:sz w:val="18"/>
                <w:szCs w:val="18"/>
                <w:lang w:val="fr-FR"/>
              </w:rPr>
              <w:t>eau et le sol. Aucune donnée n</w:t>
            </w:r>
            <w:r w:rsidR="00CA739D" w:rsidRPr="007C41F2">
              <w:rPr>
                <w:sz w:val="18"/>
                <w:szCs w:val="18"/>
                <w:lang w:val="fr-FR"/>
              </w:rPr>
              <w:t>’</w:t>
            </w:r>
            <w:r w:rsidRPr="007C41F2">
              <w:rPr>
                <w:sz w:val="18"/>
                <w:szCs w:val="18"/>
                <w:lang w:val="fr-FR"/>
              </w:rPr>
              <w:t>est disponible concernant les rejets issus de l</w:t>
            </w:r>
            <w:r w:rsidR="00CA739D" w:rsidRPr="007C41F2">
              <w:rPr>
                <w:sz w:val="18"/>
                <w:szCs w:val="18"/>
                <w:lang w:val="fr-FR"/>
              </w:rPr>
              <w:t>’</w:t>
            </w:r>
            <w:r w:rsidRPr="007C41F2">
              <w:rPr>
                <w:sz w:val="18"/>
                <w:szCs w:val="18"/>
                <w:lang w:val="fr-FR"/>
              </w:rPr>
              <w:t>étape finale de la production d</w:t>
            </w:r>
            <w:r w:rsidR="00CA739D" w:rsidRPr="007C41F2">
              <w:rPr>
                <w:sz w:val="18"/>
                <w:szCs w:val="18"/>
                <w:lang w:val="fr-FR"/>
              </w:rPr>
              <w:t>’</w:t>
            </w:r>
            <w:r w:rsidRPr="007C41F2">
              <w:rPr>
                <w:sz w:val="18"/>
                <w:szCs w:val="18"/>
                <w:lang w:val="fr-FR"/>
              </w:rPr>
              <w:t>aluminium à partir d</w:t>
            </w:r>
            <w:r w:rsidR="00CA739D" w:rsidRPr="007C41F2">
              <w:rPr>
                <w:sz w:val="18"/>
                <w:szCs w:val="18"/>
                <w:lang w:val="fr-FR"/>
              </w:rPr>
              <w:t>’</w:t>
            </w:r>
            <w:r w:rsidRPr="007C41F2">
              <w:rPr>
                <w:sz w:val="18"/>
                <w:szCs w:val="18"/>
                <w:lang w:val="fr-FR"/>
              </w:rPr>
              <w:t>alumine.</w:t>
            </w:r>
          </w:p>
        </w:tc>
        <w:tc>
          <w:tcPr>
            <w:tcW w:w="1538" w:type="dxa"/>
            <w:tcBorders>
              <w:top w:val="single" w:sz="4" w:space="0" w:color="auto"/>
              <w:left w:val="single" w:sz="4" w:space="0" w:color="auto"/>
              <w:bottom w:val="single" w:sz="4" w:space="0" w:color="auto"/>
              <w:right w:val="single" w:sz="4" w:space="0" w:color="auto"/>
            </w:tcBorders>
          </w:tcPr>
          <w:p w14:paraId="63974471" w14:textId="77777777" w:rsidR="00521A74" w:rsidRPr="007C41F2" w:rsidRDefault="00521A74" w:rsidP="00241EF8">
            <w:pPr>
              <w:keepNext/>
              <w:keepLines/>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3D299E15" w14:textId="11EE0CB4" w:rsidR="00521A74" w:rsidRPr="007C41F2" w:rsidRDefault="00521A74" w:rsidP="00241EF8">
            <w:pPr>
              <w:keepNext/>
              <w:keepLines/>
              <w:spacing w:after="120"/>
              <w:rPr>
                <w:sz w:val="18"/>
                <w:szCs w:val="18"/>
                <w:lang w:val="fr-FR"/>
              </w:rPr>
            </w:pPr>
            <w:r w:rsidRPr="007C41F2">
              <w:rPr>
                <w:sz w:val="18"/>
                <w:szCs w:val="18"/>
                <w:lang w:val="fr-FR"/>
              </w:rPr>
              <w:t>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0536947A"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72912D73" w14:textId="77777777" w:rsidR="00521A74" w:rsidRPr="007C41F2" w:rsidRDefault="00521A74" w:rsidP="002D16A2">
            <w:pPr>
              <w:keepNext/>
              <w:keepLines/>
              <w:spacing w:after="120"/>
              <w:rPr>
                <w:sz w:val="18"/>
                <w:szCs w:val="18"/>
                <w:lang w:val="fr-FR"/>
              </w:rPr>
            </w:pPr>
            <w:r w:rsidRPr="007C41F2">
              <w:rPr>
                <w:sz w:val="18"/>
                <w:szCs w:val="18"/>
                <w:lang w:val="fr-FR"/>
              </w:rPr>
              <w:t>5.2.8</w:t>
            </w:r>
          </w:p>
        </w:tc>
        <w:tc>
          <w:tcPr>
            <w:tcW w:w="2206" w:type="dxa"/>
            <w:tcBorders>
              <w:top w:val="single" w:sz="4" w:space="0" w:color="auto"/>
              <w:left w:val="single" w:sz="4" w:space="0" w:color="auto"/>
              <w:bottom w:val="single" w:sz="4" w:space="0" w:color="auto"/>
              <w:right w:val="single" w:sz="4" w:space="0" w:color="auto"/>
            </w:tcBorders>
            <w:hideMark/>
          </w:tcPr>
          <w:p w14:paraId="468995E1" w14:textId="4CF6B580" w:rsidR="00521A74" w:rsidRPr="007C41F2" w:rsidRDefault="00521A74" w:rsidP="002D16A2">
            <w:pPr>
              <w:keepNext/>
              <w:keepLines/>
              <w:spacing w:after="120"/>
              <w:rPr>
                <w:sz w:val="18"/>
                <w:szCs w:val="18"/>
                <w:lang w:val="fr-FR"/>
              </w:rPr>
            </w:pPr>
            <w:r w:rsidRPr="007C41F2">
              <w:rPr>
                <w:sz w:val="18"/>
                <w:szCs w:val="18"/>
                <w:lang w:val="fr-FR"/>
              </w:rPr>
              <w:t>Autres métaux non ferreux – extraction et traitement</w:t>
            </w:r>
          </w:p>
        </w:tc>
        <w:tc>
          <w:tcPr>
            <w:tcW w:w="2537" w:type="dxa"/>
            <w:tcBorders>
              <w:top w:val="single" w:sz="4" w:space="0" w:color="auto"/>
              <w:left w:val="single" w:sz="4" w:space="0" w:color="auto"/>
              <w:bottom w:val="single" w:sz="4" w:space="0" w:color="auto"/>
              <w:right w:val="single" w:sz="4" w:space="0" w:color="auto"/>
            </w:tcBorders>
            <w:hideMark/>
          </w:tcPr>
          <w:p w14:paraId="2747BCEB" w14:textId="490BACCD" w:rsidR="00521A74" w:rsidRPr="007C41F2" w:rsidRDefault="00521A74" w:rsidP="002D16A2">
            <w:pPr>
              <w:keepNext/>
              <w:keepLines/>
              <w:spacing w:after="120"/>
              <w:rPr>
                <w:sz w:val="18"/>
                <w:szCs w:val="18"/>
                <w:lang w:val="fr-FR"/>
              </w:rPr>
            </w:pPr>
            <w:r w:rsidRPr="007C41F2">
              <w:rPr>
                <w:sz w:val="18"/>
                <w:szCs w:val="18"/>
                <w:lang w:val="fr-FR"/>
              </w:rPr>
              <w:t>Des rejets de mercure dans le sol provenant de l</w:t>
            </w:r>
            <w:r w:rsidR="00CA739D" w:rsidRPr="007C41F2">
              <w:rPr>
                <w:sz w:val="18"/>
                <w:szCs w:val="18"/>
                <w:lang w:val="fr-FR"/>
              </w:rPr>
              <w:t>’</w:t>
            </w:r>
            <w:r w:rsidRPr="007C41F2">
              <w:rPr>
                <w:sz w:val="18"/>
                <w:szCs w:val="18"/>
                <w:lang w:val="fr-FR"/>
              </w:rPr>
              <w:t>extraction de l</w:t>
            </w:r>
            <w:r w:rsidR="00CA739D" w:rsidRPr="007C41F2">
              <w:rPr>
                <w:sz w:val="18"/>
                <w:szCs w:val="18"/>
                <w:lang w:val="fr-FR"/>
              </w:rPr>
              <w:t>’</w:t>
            </w:r>
            <w:r w:rsidRPr="007C41F2">
              <w:rPr>
                <w:sz w:val="18"/>
                <w:szCs w:val="18"/>
                <w:lang w:val="fr-FR"/>
              </w:rPr>
              <w:t>argent ont été signalés. Des rejets dans le sol et l</w:t>
            </w:r>
            <w:r w:rsidR="00CA739D" w:rsidRPr="007C41F2">
              <w:rPr>
                <w:sz w:val="18"/>
                <w:szCs w:val="18"/>
                <w:lang w:val="fr-FR"/>
              </w:rPr>
              <w:t>’</w:t>
            </w:r>
            <w:r w:rsidRPr="007C41F2">
              <w:rPr>
                <w:sz w:val="18"/>
                <w:szCs w:val="18"/>
                <w:lang w:val="fr-FR"/>
              </w:rPr>
              <w:t>eau se produisent sans doute pendant l</w:t>
            </w:r>
            <w:r w:rsidR="00CA739D" w:rsidRPr="007C41F2">
              <w:rPr>
                <w:sz w:val="18"/>
                <w:szCs w:val="18"/>
                <w:lang w:val="fr-FR"/>
              </w:rPr>
              <w:t>’</w:t>
            </w:r>
            <w:r w:rsidRPr="007C41F2">
              <w:rPr>
                <w:sz w:val="18"/>
                <w:szCs w:val="18"/>
                <w:lang w:val="fr-FR"/>
              </w:rPr>
              <w:t>extraction d</w:t>
            </w:r>
            <w:r w:rsidR="00CA739D" w:rsidRPr="007C41F2">
              <w:rPr>
                <w:sz w:val="18"/>
                <w:szCs w:val="18"/>
                <w:lang w:val="fr-FR"/>
              </w:rPr>
              <w:t>’</w:t>
            </w:r>
            <w:r w:rsidRPr="007C41F2">
              <w:rPr>
                <w:sz w:val="18"/>
                <w:szCs w:val="18"/>
                <w:lang w:val="fr-FR"/>
              </w:rPr>
              <w:t>autres métaux non ferreux, mais aucune donnée n</w:t>
            </w:r>
            <w:r w:rsidR="00CA739D" w:rsidRPr="007C41F2">
              <w:rPr>
                <w:sz w:val="18"/>
                <w:szCs w:val="18"/>
                <w:lang w:val="fr-FR"/>
              </w:rPr>
              <w:t>’</w:t>
            </w:r>
            <w:r w:rsidRPr="007C41F2">
              <w:rPr>
                <w:sz w:val="18"/>
                <w:szCs w:val="18"/>
                <w:lang w:val="fr-FR"/>
              </w:rPr>
              <w:t xml:space="preserve">est disponible en la </w:t>
            </w:r>
            <w:r w:rsidR="00CA739D" w:rsidRPr="007C41F2">
              <w:rPr>
                <w:sz w:val="18"/>
                <w:szCs w:val="18"/>
                <w:lang w:val="fr-FR"/>
              </w:rPr>
              <w:t>matière</w:t>
            </w:r>
            <w:r w:rsidRPr="007C41F2">
              <w:rPr>
                <w:sz w:val="18"/>
                <w:szCs w:val="18"/>
                <w:lang w:val="fr-FR"/>
              </w:rPr>
              <w:t>.</w:t>
            </w:r>
          </w:p>
        </w:tc>
        <w:tc>
          <w:tcPr>
            <w:tcW w:w="1538" w:type="dxa"/>
            <w:tcBorders>
              <w:top w:val="single" w:sz="4" w:space="0" w:color="auto"/>
              <w:left w:val="single" w:sz="4" w:space="0" w:color="auto"/>
              <w:bottom w:val="single" w:sz="4" w:space="0" w:color="auto"/>
              <w:right w:val="single" w:sz="4" w:space="0" w:color="auto"/>
            </w:tcBorders>
            <w:hideMark/>
          </w:tcPr>
          <w:p w14:paraId="06275798" w14:textId="77777777" w:rsidR="00521A74" w:rsidRPr="007C41F2" w:rsidRDefault="00521A74" w:rsidP="002D16A2">
            <w:pPr>
              <w:keepNext/>
              <w:keepLines/>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2E581BFD" w14:textId="61DAE961" w:rsidR="00521A74" w:rsidRPr="007C41F2" w:rsidRDefault="00521A74" w:rsidP="002D16A2">
            <w:pPr>
              <w:keepNext/>
              <w:keepLines/>
              <w:spacing w:after="120"/>
              <w:rPr>
                <w:sz w:val="18"/>
                <w:szCs w:val="18"/>
                <w:lang w:val="fr-FR"/>
              </w:rPr>
            </w:pPr>
            <w:r w:rsidRPr="007C41F2">
              <w:rPr>
                <w:sz w:val="18"/>
                <w:szCs w:val="18"/>
                <w:lang w:val="fr-FR"/>
              </w:rPr>
              <w:t>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3647B486" w14:textId="77777777" w:rsidTr="003053E8">
        <w:tc>
          <w:tcPr>
            <w:tcW w:w="9350"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7D1C0062" w14:textId="4ED4365A" w:rsidR="00521A74" w:rsidRPr="007C41F2" w:rsidRDefault="00521A74" w:rsidP="002D16A2">
            <w:pPr>
              <w:spacing w:after="120"/>
              <w:rPr>
                <w:sz w:val="18"/>
                <w:szCs w:val="18"/>
                <w:lang w:val="fr-FR"/>
              </w:rPr>
            </w:pPr>
            <w:r w:rsidRPr="007C41F2">
              <w:rPr>
                <w:sz w:val="18"/>
                <w:szCs w:val="18"/>
                <w:lang w:val="fr-FR"/>
              </w:rPr>
              <w:t>Catégorie de sources : Production d</w:t>
            </w:r>
            <w:r w:rsidR="00CA739D" w:rsidRPr="007C41F2">
              <w:rPr>
                <w:sz w:val="18"/>
                <w:szCs w:val="18"/>
                <w:lang w:val="fr-FR"/>
              </w:rPr>
              <w:t>’</w:t>
            </w:r>
            <w:r w:rsidRPr="007C41F2">
              <w:rPr>
                <w:sz w:val="18"/>
                <w:szCs w:val="18"/>
                <w:lang w:val="fr-FR"/>
              </w:rPr>
              <w:t>autres minerais et matériaux contenant des impuretés de mercure ;</w:t>
            </w:r>
          </w:p>
        </w:tc>
      </w:tr>
      <w:tr w:rsidR="00521A74" w:rsidRPr="007C41F2" w14:paraId="17310351"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77E55B82" w14:textId="77777777" w:rsidR="00521A74" w:rsidRPr="007C41F2" w:rsidRDefault="00521A74" w:rsidP="002D16A2">
            <w:pPr>
              <w:spacing w:after="120"/>
              <w:rPr>
                <w:sz w:val="18"/>
                <w:szCs w:val="18"/>
                <w:lang w:val="fr-FR"/>
              </w:rPr>
            </w:pPr>
            <w:r w:rsidRPr="007C41F2">
              <w:rPr>
                <w:sz w:val="18"/>
                <w:szCs w:val="18"/>
                <w:lang w:val="fr-FR"/>
              </w:rPr>
              <w:t>5.3.1</w:t>
            </w:r>
          </w:p>
        </w:tc>
        <w:tc>
          <w:tcPr>
            <w:tcW w:w="2206" w:type="dxa"/>
            <w:tcBorders>
              <w:top w:val="single" w:sz="4" w:space="0" w:color="auto"/>
              <w:left w:val="single" w:sz="4" w:space="0" w:color="auto"/>
              <w:bottom w:val="single" w:sz="4" w:space="0" w:color="auto"/>
              <w:right w:val="single" w:sz="4" w:space="0" w:color="auto"/>
            </w:tcBorders>
            <w:hideMark/>
          </w:tcPr>
          <w:p w14:paraId="34F47A78" w14:textId="54BC8356" w:rsidR="00521A74" w:rsidRPr="007C41F2" w:rsidRDefault="00521A74" w:rsidP="002D16A2">
            <w:pPr>
              <w:spacing w:after="120"/>
              <w:rPr>
                <w:sz w:val="18"/>
                <w:szCs w:val="18"/>
                <w:lang w:val="fr-FR"/>
              </w:rPr>
            </w:pPr>
            <w:r w:rsidRPr="007C41F2">
              <w:rPr>
                <w:sz w:val="18"/>
                <w:szCs w:val="18"/>
                <w:lang w:val="fr-FR"/>
              </w:rPr>
              <w:t>Production de clinker de ciment</w:t>
            </w:r>
          </w:p>
        </w:tc>
        <w:tc>
          <w:tcPr>
            <w:tcW w:w="2537" w:type="dxa"/>
            <w:tcBorders>
              <w:top w:val="single" w:sz="4" w:space="0" w:color="auto"/>
              <w:left w:val="single" w:sz="4" w:space="0" w:color="auto"/>
              <w:bottom w:val="single" w:sz="4" w:space="0" w:color="auto"/>
              <w:right w:val="single" w:sz="4" w:space="0" w:color="auto"/>
            </w:tcBorders>
            <w:hideMark/>
          </w:tcPr>
          <w:p w14:paraId="220B2B55" w14:textId="3607480C" w:rsidR="00521A74" w:rsidRPr="007C41F2" w:rsidRDefault="00521A74" w:rsidP="002D16A2">
            <w:pPr>
              <w:spacing w:after="120"/>
              <w:rPr>
                <w:sz w:val="18"/>
                <w:szCs w:val="18"/>
                <w:lang w:val="fr-FR"/>
              </w:rPr>
            </w:pPr>
            <w:r w:rsidRPr="007C41F2">
              <w:rPr>
                <w:sz w:val="18"/>
                <w:szCs w:val="18"/>
                <w:lang w:val="fr-FR"/>
              </w:rPr>
              <w:t>Le mercure est concentré lors du recyclage des poussières de filtres. Les poussières peuvent donc être purgées régulièrement et déposées comme déchets ou dans la terre. Aucune donnée détaillée n</w:t>
            </w:r>
            <w:r w:rsidR="00CA739D" w:rsidRPr="007C41F2">
              <w:rPr>
                <w:sz w:val="18"/>
                <w:szCs w:val="18"/>
                <w:lang w:val="fr-FR"/>
              </w:rPr>
              <w:t>’</w:t>
            </w:r>
            <w:r w:rsidRPr="007C41F2">
              <w:rPr>
                <w:sz w:val="18"/>
                <w:szCs w:val="18"/>
                <w:lang w:val="fr-FR"/>
              </w:rPr>
              <w:t>est disponible concernant le sort de ce type de poussières.</w:t>
            </w:r>
          </w:p>
        </w:tc>
        <w:tc>
          <w:tcPr>
            <w:tcW w:w="1538" w:type="dxa"/>
            <w:tcBorders>
              <w:top w:val="single" w:sz="4" w:space="0" w:color="auto"/>
              <w:left w:val="single" w:sz="4" w:space="0" w:color="auto"/>
              <w:bottom w:val="single" w:sz="4" w:space="0" w:color="auto"/>
              <w:right w:val="single" w:sz="4" w:space="0" w:color="auto"/>
            </w:tcBorders>
            <w:hideMark/>
          </w:tcPr>
          <w:p w14:paraId="218A1846" w14:textId="42A52AC0"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49D1F857" w14:textId="1EBF59A7" w:rsidR="00521A74" w:rsidRPr="007C41F2" w:rsidRDefault="00521A74" w:rsidP="002D16A2">
            <w:pPr>
              <w:spacing w:after="120"/>
              <w:rPr>
                <w:sz w:val="18"/>
                <w:szCs w:val="18"/>
                <w:lang w:val="fr-FR"/>
              </w:rPr>
            </w:pPr>
            <w:r w:rsidRPr="007C41F2">
              <w:rPr>
                <w:sz w:val="18"/>
                <w:szCs w:val="18"/>
                <w:lang w:val="fr-FR"/>
              </w:rPr>
              <w:t>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31A50699"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4E58E882" w14:textId="77777777" w:rsidR="00521A74" w:rsidRPr="007C41F2" w:rsidRDefault="00521A74" w:rsidP="002D16A2">
            <w:pPr>
              <w:spacing w:after="120"/>
              <w:rPr>
                <w:sz w:val="18"/>
                <w:szCs w:val="18"/>
                <w:lang w:val="fr-FR"/>
              </w:rPr>
            </w:pPr>
            <w:r w:rsidRPr="007C41F2">
              <w:rPr>
                <w:sz w:val="18"/>
                <w:szCs w:val="18"/>
                <w:lang w:val="fr-FR"/>
              </w:rPr>
              <w:t>5.3.2</w:t>
            </w:r>
          </w:p>
        </w:tc>
        <w:tc>
          <w:tcPr>
            <w:tcW w:w="2206" w:type="dxa"/>
            <w:tcBorders>
              <w:top w:val="single" w:sz="4" w:space="0" w:color="auto"/>
              <w:left w:val="single" w:sz="4" w:space="0" w:color="auto"/>
              <w:bottom w:val="single" w:sz="4" w:space="0" w:color="auto"/>
              <w:right w:val="single" w:sz="4" w:space="0" w:color="auto"/>
            </w:tcBorders>
            <w:hideMark/>
          </w:tcPr>
          <w:p w14:paraId="43DC91E7" w14:textId="77777777" w:rsidR="00521A74" w:rsidRPr="007C41F2" w:rsidRDefault="00521A74" w:rsidP="002D16A2">
            <w:pPr>
              <w:spacing w:after="120"/>
              <w:rPr>
                <w:sz w:val="18"/>
                <w:szCs w:val="18"/>
                <w:lang w:val="fr-FR"/>
              </w:rPr>
            </w:pPr>
            <w:r w:rsidRPr="007C41F2">
              <w:rPr>
                <w:sz w:val="18"/>
                <w:szCs w:val="18"/>
                <w:lang w:val="fr-FR"/>
              </w:rPr>
              <w:t>Production de papier et de pâte à papier</w:t>
            </w:r>
          </w:p>
        </w:tc>
        <w:tc>
          <w:tcPr>
            <w:tcW w:w="2537" w:type="dxa"/>
            <w:tcBorders>
              <w:top w:val="single" w:sz="4" w:space="0" w:color="auto"/>
              <w:left w:val="single" w:sz="4" w:space="0" w:color="auto"/>
              <w:bottom w:val="single" w:sz="4" w:space="0" w:color="auto"/>
              <w:right w:val="single" w:sz="4" w:space="0" w:color="auto"/>
            </w:tcBorders>
            <w:hideMark/>
          </w:tcPr>
          <w:p w14:paraId="7FD61A1D" w14:textId="62408582" w:rsidR="00521A74" w:rsidRPr="007C41F2" w:rsidRDefault="00521A74" w:rsidP="002D16A2">
            <w:pPr>
              <w:spacing w:after="120"/>
              <w:rPr>
                <w:sz w:val="18"/>
                <w:szCs w:val="18"/>
                <w:lang w:val="fr-FR"/>
              </w:rPr>
            </w:pPr>
            <w:r w:rsidRPr="007C41F2">
              <w:rPr>
                <w:sz w:val="18"/>
                <w:szCs w:val="18"/>
                <w:lang w:val="fr-FR"/>
              </w:rPr>
              <w:t>Des rejets dans le sol et l</w:t>
            </w:r>
            <w:r w:rsidR="00CA739D" w:rsidRPr="007C41F2">
              <w:rPr>
                <w:sz w:val="18"/>
                <w:szCs w:val="18"/>
                <w:lang w:val="fr-FR"/>
              </w:rPr>
              <w:t>’</w:t>
            </w:r>
            <w:r w:rsidRPr="007C41F2">
              <w:rPr>
                <w:sz w:val="18"/>
                <w:szCs w:val="18"/>
                <w:lang w:val="fr-FR"/>
              </w:rPr>
              <w:t>eau ont été signalés.</w:t>
            </w:r>
          </w:p>
        </w:tc>
        <w:tc>
          <w:tcPr>
            <w:tcW w:w="1538" w:type="dxa"/>
            <w:tcBorders>
              <w:top w:val="single" w:sz="4" w:space="0" w:color="auto"/>
              <w:left w:val="single" w:sz="4" w:space="0" w:color="auto"/>
              <w:bottom w:val="single" w:sz="4" w:space="0" w:color="auto"/>
              <w:right w:val="single" w:sz="4" w:space="0" w:color="auto"/>
            </w:tcBorders>
          </w:tcPr>
          <w:p w14:paraId="53B4CA83"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59C9E6B8" w14:textId="454E1FF3" w:rsidR="00521A74" w:rsidRPr="007C41F2" w:rsidRDefault="00521A74" w:rsidP="002D16A2">
            <w:pPr>
              <w:spacing w:after="120"/>
              <w:rPr>
                <w:sz w:val="18"/>
                <w:szCs w:val="18"/>
                <w:lang w:val="fr-FR"/>
              </w:rPr>
            </w:pPr>
            <w:r w:rsidRPr="007C41F2">
              <w:rPr>
                <w:sz w:val="18"/>
                <w:szCs w:val="18"/>
                <w:lang w:val="fr-FR"/>
              </w:rPr>
              <w:t>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336C0BE5"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22FAE8AF" w14:textId="77777777" w:rsidR="00521A74" w:rsidRPr="007C41F2" w:rsidRDefault="00521A74" w:rsidP="002D16A2">
            <w:pPr>
              <w:spacing w:after="120"/>
              <w:rPr>
                <w:sz w:val="18"/>
                <w:szCs w:val="18"/>
                <w:lang w:val="fr-FR"/>
              </w:rPr>
            </w:pPr>
            <w:r w:rsidRPr="007C41F2">
              <w:rPr>
                <w:sz w:val="18"/>
                <w:szCs w:val="18"/>
                <w:lang w:val="fr-FR"/>
              </w:rPr>
              <w:t>5.3.3</w:t>
            </w:r>
          </w:p>
        </w:tc>
        <w:tc>
          <w:tcPr>
            <w:tcW w:w="2206" w:type="dxa"/>
            <w:tcBorders>
              <w:top w:val="single" w:sz="4" w:space="0" w:color="auto"/>
              <w:left w:val="single" w:sz="4" w:space="0" w:color="auto"/>
              <w:bottom w:val="single" w:sz="4" w:space="0" w:color="auto"/>
              <w:right w:val="single" w:sz="4" w:space="0" w:color="auto"/>
            </w:tcBorders>
            <w:hideMark/>
          </w:tcPr>
          <w:p w14:paraId="0EBD57E5" w14:textId="3A8A2AFD" w:rsidR="00521A74" w:rsidRPr="007C41F2" w:rsidRDefault="00521A74" w:rsidP="002D16A2">
            <w:pPr>
              <w:spacing w:after="120"/>
              <w:rPr>
                <w:sz w:val="18"/>
                <w:szCs w:val="18"/>
                <w:lang w:val="fr-FR"/>
              </w:rPr>
            </w:pPr>
            <w:r w:rsidRPr="007C41F2">
              <w:rPr>
                <w:sz w:val="18"/>
                <w:szCs w:val="18"/>
                <w:lang w:val="fr-FR"/>
              </w:rPr>
              <w:t>Production de chaux et granulats légers</w:t>
            </w:r>
          </w:p>
        </w:tc>
        <w:tc>
          <w:tcPr>
            <w:tcW w:w="2537" w:type="dxa"/>
            <w:tcBorders>
              <w:top w:val="single" w:sz="4" w:space="0" w:color="auto"/>
              <w:left w:val="single" w:sz="4" w:space="0" w:color="auto"/>
              <w:bottom w:val="single" w:sz="4" w:space="0" w:color="auto"/>
              <w:right w:val="single" w:sz="4" w:space="0" w:color="auto"/>
            </w:tcBorders>
            <w:hideMark/>
          </w:tcPr>
          <w:p w14:paraId="10E1A943" w14:textId="04E39497" w:rsidR="00521A74" w:rsidRPr="007C41F2" w:rsidRDefault="00521A74" w:rsidP="002D16A2">
            <w:pPr>
              <w:spacing w:after="120"/>
              <w:rPr>
                <w:sz w:val="18"/>
                <w:szCs w:val="18"/>
                <w:lang w:val="fr-FR"/>
              </w:rPr>
            </w:pPr>
            <w:r w:rsidRPr="007C41F2">
              <w:rPr>
                <w:sz w:val="18"/>
                <w:szCs w:val="18"/>
                <w:lang w:val="fr-FR"/>
              </w:rPr>
              <w:t>Des rejets dans le sol et l</w:t>
            </w:r>
            <w:r w:rsidR="00CA739D" w:rsidRPr="007C41F2">
              <w:rPr>
                <w:sz w:val="18"/>
                <w:szCs w:val="18"/>
                <w:lang w:val="fr-FR"/>
              </w:rPr>
              <w:t>’</w:t>
            </w:r>
            <w:r w:rsidRPr="007C41F2">
              <w:rPr>
                <w:sz w:val="18"/>
                <w:szCs w:val="18"/>
                <w:lang w:val="fr-FR"/>
              </w:rPr>
              <w:t>eau découlant de la production de chaux ont été signalés.</w:t>
            </w:r>
          </w:p>
        </w:tc>
        <w:tc>
          <w:tcPr>
            <w:tcW w:w="1538" w:type="dxa"/>
            <w:tcBorders>
              <w:top w:val="single" w:sz="4" w:space="0" w:color="auto"/>
              <w:left w:val="single" w:sz="4" w:space="0" w:color="auto"/>
              <w:bottom w:val="single" w:sz="4" w:space="0" w:color="auto"/>
              <w:right w:val="single" w:sz="4" w:space="0" w:color="auto"/>
            </w:tcBorders>
          </w:tcPr>
          <w:p w14:paraId="3C27243D"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44A61B24" w14:textId="7D6E3A22" w:rsidR="00521A74" w:rsidRPr="007C41F2" w:rsidRDefault="00521A74" w:rsidP="002D16A2">
            <w:pPr>
              <w:spacing w:after="120"/>
              <w:rPr>
                <w:sz w:val="18"/>
                <w:szCs w:val="18"/>
                <w:lang w:val="fr-FR"/>
              </w:rPr>
            </w:pPr>
            <w:r w:rsidRPr="007C41F2">
              <w:rPr>
                <w:sz w:val="18"/>
                <w:szCs w:val="18"/>
                <w:lang w:val="fr-FR"/>
              </w:rPr>
              <w:t>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00961007"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53112589" w14:textId="77777777" w:rsidR="00521A74" w:rsidRPr="007C41F2" w:rsidRDefault="00521A74" w:rsidP="002D16A2">
            <w:pPr>
              <w:spacing w:after="120"/>
              <w:rPr>
                <w:sz w:val="18"/>
                <w:szCs w:val="18"/>
                <w:lang w:val="fr-FR"/>
              </w:rPr>
            </w:pPr>
            <w:r w:rsidRPr="007C41F2">
              <w:rPr>
                <w:sz w:val="18"/>
                <w:szCs w:val="18"/>
                <w:lang w:val="fr-FR"/>
              </w:rPr>
              <w:t>5.3.4</w:t>
            </w:r>
          </w:p>
        </w:tc>
        <w:tc>
          <w:tcPr>
            <w:tcW w:w="2206" w:type="dxa"/>
            <w:tcBorders>
              <w:top w:val="single" w:sz="4" w:space="0" w:color="auto"/>
              <w:left w:val="single" w:sz="4" w:space="0" w:color="auto"/>
              <w:bottom w:val="single" w:sz="4" w:space="0" w:color="auto"/>
              <w:right w:val="single" w:sz="4" w:space="0" w:color="auto"/>
            </w:tcBorders>
            <w:hideMark/>
          </w:tcPr>
          <w:p w14:paraId="53D9CE56" w14:textId="77777777" w:rsidR="00521A74" w:rsidRPr="007C41F2" w:rsidRDefault="00521A74" w:rsidP="002D16A2">
            <w:pPr>
              <w:spacing w:after="120"/>
              <w:rPr>
                <w:sz w:val="18"/>
                <w:szCs w:val="18"/>
                <w:lang w:val="fr-FR"/>
              </w:rPr>
            </w:pPr>
            <w:r w:rsidRPr="007C41F2">
              <w:rPr>
                <w:sz w:val="18"/>
                <w:szCs w:val="18"/>
                <w:lang w:val="fr-FR"/>
              </w:rPr>
              <w:t xml:space="preserve">Autres minéraux et matières </w:t>
            </w:r>
          </w:p>
        </w:tc>
        <w:tc>
          <w:tcPr>
            <w:tcW w:w="2537" w:type="dxa"/>
            <w:tcBorders>
              <w:top w:val="single" w:sz="4" w:space="0" w:color="auto"/>
              <w:left w:val="single" w:sz="4" w:space="0" w:color="auto"/>
              <w:bottom w:val="single" w:sz="4" w:space="0" w:color="auto"/>
              <w:right w:val="single" w:sz="4" w:space="0" w:color="auto"/>
            </w:tcBorders>
            <w:hideMark/>
          </w:tcPr>
          <w:p w14:paraId="65CDA3B7" w14:textId="30DE689B" w:rsidR="00521A74" w:rsidRPr="007C41F2" w:rsidRDefault="009B4273" w:rsidP="002D16A2">
            <w:pPr>
              <w:spacing w:after="120"/>
              <w:rPr>
                <w:sz w:val="18"/>
                <w:szCs w:val="18"/>
                <w:lang w:val="fr-FR"/>
              </w:rPr>
            </w:pPr>
            <w:r w:rsidRPr="007C41F2">
              <w:rPr>
                <w:sz w:val="18"/>
                <w:szCs w:val="18"/>
                <w:lang w:val="fr-FR"/>
              </w:rPr>
              <w:t>Il est établi que la production d</w:t>
            </w:r>
            <w:r w:rsidR="00CA739D" w:rsidRPr="007C41F2">
              <w:rPr>
                <w:sz w:val="18"/>
                <w:szCs w:val="18"/>
                <w:lang w:val="fr-FR"/>
              </w:rPr>
              <w:t>’</w:t>
            </w:r>
            <w:r w:rsidRPr="007C41F2">
              <w:rPr>
                <w:sz w:val="18"/>
                <w:szCs w:val="18"/>
                <w:lang w:val="fr-FR"/>
              </w:rPr>
              <w:t>engrais dans certains pays entraîne des rejets de mercure, mais aucune donnée publiée n</w:t>
            </w:r>
            <w:r w:rsidR="00CA739D" w:rsidRPr="007C41F2">
              <w:rPr>
                <w:sz w:val="18"/>
                <w:szCs w:val="18"/>
                <w:lang w:val="fr-FR"/>
              </w:rPr>
              <w:t>’</w:t>
            </w:r>
            <w:r w:rsidRPr="007C41F2">
              <w:rPr>
                <w:sz w:val="18"/>
                <w:szCs w:val="18"/>
                <w:lang w:val="fr-FR"/>
              </w:rPr>
              <w:t>a été trouvée sur le sujet.</w:t>
            </w:r>
          </w:p>
        </w:tc>
        <w:tc>
          <w:tcPr>
            <w:tcW w:w="1538" w:type="dxa"/>
            <w:tcBorders>
              <w:top w:val="single" w:sz="4" w:space="0" w:color="auto"/>
              <w:left w:val="single" w:sz="4" w:space="0" w:color="auto"/>
              <w:bottom w:val="single" w:sz="4" w:space="0" w:color="auto"/>
              <w:right w:val="single" w:sz="4" w:space="0" w:color="auto"/>
            </w:tcBorders>
          </w:tcPr>
          <w:p w14:paraId="1D0E8198"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508E5D17" w14:textId="77777777" w:rsidR="00521A74" w:rsidRPr="007C41F2" w:rsidRDefault="00521A74" w:rsidP="002D16A2">
            <w:pPr>
              <w:spacing w:after="120"/>
              <w:rPr>
                <w:sz w:val="18"/>
                <w:szCs w:val="18"/>
                <w:lang w:val="fr-FR"/>
              </w:rPr>
            </w:pPr>
          </w:p>
        </w:tc>
      </w:tr>
      <w:tr w:rsidR="00521A74" w:rsidRPr="007C41F2" w14:paraId="2AA490AE" w14:textId="77777777" w:rsidTr="003053E8">
        <w:tc>
          <w:tcPr>
            <w:tcW w:w="9350" w:type="dxa"/>
            <w:gridSpan w:val="5"/>
            <w:tcBorders>
              <w:top w:val="single" w:sz="4" w:space="0" w:color="auto"/>
              <w:left w:val="single" w:sz="4" w:space="0" w:color="auto"/>
              <w:bottom w:val="single" w:sz="4" w:space="0" w:color="auto"/>
              <w:right w:val="single" w:sz="4" w:space="0" w:color="auto"/>
            </w:tcBorders>
            <w:shd w:val="clear" w:color="auto" w:fill="EEECE1" w:themeFill="background2"/>
          </w:tcPr>
          <w:p w14:paraId="17F199C3" w14:textId="77777777" w:rsidR="00521A74" w:rsidRPr="007C41F2" w:rsidRDefault="00521A74" w:rsidP="002D16A2">
            <w:pPr>
              <w:spacing w:after="120"/>
              <w:rPr>
                <w:sz w:val="18"/>
                <w:szCs w:val="18"/>
                <w:lang w:val="fr-FR"/>
              </w:rPr>
            </w:pPr>
            <w:r w:rsidRPr="007C41F2">
              <w:rPr>
                <w:sz w:val="18"/>
                <w:szCs w:val="18"/>
                <w:lang w:val="fr-FR"/>
              </w:rPr>
              <w:t>Catégorie de sources : Utilisation intentionnelle du mercure dans les procédés industriels</w:t>
            </w:r>
          </w:p>
        </w:tc>
      </w:tr>
      <w:tr w:rsidR="00521A74" w:rsidRPr="007C41F2" w14:paraId="32F80706"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064F2317" w14:textId="77777777" w:rsidR="00521A74" w:rsidRPr="007C41F2" w:rsidRDefault="00521A74" w:rsidP="002D16A2">
            <w:pPr>
              <w:spacing w:after="120"/>
              <w:rPr>
                <w:sz w:val="18"/>
                <w:szCs w:val="18"/>
                <w:lang w:val="fr-FR"/>
              </w:rPr>
            </w:pPr>
            <w:r w:rsidRPr="007C41F2">
              <w:rPr>
                <w:sz w:val="18"/>
                <w:szCs w:val="18"/>
                <w:lang w:val="fr-FR"/>
              </w:rPr>
              <w:t>5.4.1</w:t>
            </w:r>
          </w:p>
        </w:tc>
        <w:tc>
          <w:tcPr>
            <w:tcW w:w="2206" w:type="dxa"/>
            <w:tcBorders>
              <w:top w:val="single" w:sz="4" w:space="0" w:color="auto"/>
              <w:left w:val="single" w:sz="4" w:space="0" w:color="auto"/>
              <w:bottom w:val="single" w:sz="4" w:space="0" w:color="auto"/>
              <w:right w:val="single" w:sz="4" w:space="0" w:color="auto"/>
            </w:tcBorders>
            <w:hideMark/>
          </w:tcPr>
          <w:p w14:paraId="2501EA35" w14:textId="24503B3A" w:rsidR="00521A74" w:rsidRPr="007C41F2" w:rsidRDefault="00521A74" w:rsidP="002D16A2">
            <w:pPr>
              <w:spacing w:after="120"/>
              <w:rPr>
                <w:sz w:val="18"/>
                <w:szCs w:val="18"/>
                <w:lang w:val="fr-FR"/>
              </w:rPr>
            </w:pPr>
            <w:r w:rsidRPr="007C41F2">
              <w:rPr>
                <w:sz w:val="18"/>
                <w:szCs w:val="18"/>
                <w:lang w:val="fr-FR"/>
              </w:rPr>
              <w:t>Production de chlore-alkali avec une technologie au mercure</w:t>
            </w:r>
          </w:p>
        </w:tc>
        <w:tc>
          <w:tcPr>
            <w:tcW w:w="2537" w:type="dxa"/>
            <w:tcBorders>
              <w:top w:val="single" w:sz="4" w:space="0" w:color="auto"/>
              <w:left w:val="single" w:sz="4" w:space="0" w:color="auto"/>
              <w:bottom w:val="single" w:sz="4" w:space="0" w:color="auto"/>
              <w:right w:val="single" w:sz="4" w:space="0" w:color="auto"/>
            </w:tcBorders>
            <w:hideMark/>
          </w:tcPr>
          <w:p w14:paraId="5582C1F7" w14:textId="092D1BFA" w:rsidR="00521A74" w:rsidRPr="007C41F2" w:rsidRDefault="00521A74" w:rsidP="002D16A2">
            <w:pPr>
              <w:spacing w:after="120"/>
              <w:rPr>
                <w:sz w:val="18"/>
                <w:szCs w:val="18"/>
                <w:lang w:val="fr-FR"/>
              </w:rPr>
            </w:pPr>
            <w:r w:rsidRPr="007C41F2">
              <w:rPr>
                <w:sz w:val="18"/>
                <w:szCs w:val="18"/>
                <w:lang w:val="fr-FR"/>
              </w:rPr>
              <w:t>Des rejets dans l</w:t>
            </w:r>
            <w:r w:rsidR="00CA739D" w:rsidRPr="007C41F2">
              <w:rPr>
                <w:sz w:val="18"/>
                <w:szCs w:val="18"/>
                <w:lang w:val="fr-FR"/>
              </w:rPr>
              <w:t>’</w:t>
            </w:r>
            <w:r w:rsidRPr="007C41F2">
              <w:rPr>
                <w:sz w:val="18"/>
                <w:szCs w:val="18"/>
                <w:lang w:val="fr-FR"/>
              </w:rPr>
              <w:t>eau et le sol ont été signalés, au même titre que l</w:t>
            </w:r>
            <w:r w:rsidR="00CA739D" w:rsidRPr="007C41F2">
              <w:rPr>
                <w:sz w:val="18"/>
                <w:szCs w:val="18"/>
                <w:lang w:val="fr-FR"/>
              </w:rPr>
              <w:t>’</w:t>
            </w:r>
            <w:r w:rsidRPr="007C41F2">
              <w:rPr>
                <w:sz w:val="18"/>
                <w:szCs w:val="18"/>
                <w:lang w:val="fr-FR"/>
              </w:rPr>
              <w:t>absorption dans les matériaux de construction. Une part notable des rejets/émissions doit encore être mesurée.</w:t>
            </w:r>
          </w:p>
        </w:tc>
        <w:tc>
          <w:tcPr>
            <w:tcW w:w="1538" w:type="dxa"/>
            <w:tcBorders>
              <w:top w:val="single" w:sz="4" w:space="0" w:color="auto"/>
              <w:left w:val="single" w:sz="4" w:space="0" w:color="auto"/>
              <w:bottom w:val="single" w:sz="4" w:space="0" w:color="auto"/>
              <w:right w:val="single" w:sz="4" w:space="0" w:color="auto"/>
            </w:tcBorders>
            <w:hideMark/>
          </w:tcPr>
          <w:p w14:paraId="14580699"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1001DFEB" w14:textId="0800C238" w:rsidR="0034256F" w:rsidRPr="007C41F2" w:rsidRDefault="00521A74" w:rsidP="002D16A2">
            <w:pPr>
              <w:spacing w:after="120"/>
              <w:rPr>
                <w:sz w:val="18"/>
                <w:szCs w:val="18"/>
                <w:lang w:val="fr-FR"/>
              </w:rPr>
            </w:pPr>
            <w:r w:rsidRPr="007C41F2">
              <w:rPr>
                <w:sz w:val="18"/>
                <w:szCs w:val="18"/>
                <w:lang w:val="fr-FR"/>
              </w:rPr>
              <w:t>La fabrication cessera en application de l</w:t>
            </w:r>
            <w:r w:rsidR="00CA739D" w:rsidRPr="007C41F2">
              <w:rPr>
                <w:sz w:val="18"/>
                <w:szCs w:val="18"/>
                <w:lang w:val="fr-FR"/>
              </w:rPr>
              <w:t>’</w:t>
            </w:r>
            <w:r w:rsidRPr="007C41F2">
              <w:rPr>
                <w:sz w:val="18"/>
                <w:szCs w:val="18"/>
                <w:lang w:val="fr-FR"/>
              </w:rPr>
              <w:t>article 5. 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238F168A"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7032440C" w14:textId="77777777" w:rsidR="00521A74" w:rsidRPr="007C41F2" w:rsidRDefault="00521A74" w:rsidP="002D16A2">
            <w:pPr>
              <w:spacing w:after="120"/>
              <w:rPr>
                <w:sz w:val="18"/>
                <w:szCs w:val="18"/>
                <w:lang w:val="fr-FR"/>
              </w:rPr>
            </w:pPr>
            <w:r w:rsidRPr="007C41F2">
              <w:rPr>
                <w:sz w:val="18"/>
                <w:szCs w:val="18"/>
                <w:lang w:val="fr-FR"/>
              </w:rPr>
              <w:t>5.4.2</w:t>
            </w:r>
          </w:p>
        </w:tc>
        <w:tc>
          <w:tcPr>
            <w:tcW w:w="2206" w:type="dxa"/>
            <w:tcBorders>
              <w:top w:val="single" w:sz="4" w:space="0" w:color="auto"/>
              <w:left w:val="single" w:sz="4" w:space="0" w:color="auto"/>
              <w:bottom w:val="single" w:sz="4" w:space="0" w:color="auto"/>
              <w:right w:val="single" w:sz="4" w:space="0" w:color="auto"/>
            </w:tcBorders>
            <w:hideMark/>
          </w:tcPr>
          <w:p w14:paraId="53697C84" w14:textId="77777777" w:rsidR="00521A74" w:rsidRPr="007C41F2" w:rsidRDefault="00521A74" w:rsidP="002D16A2">
            <w:pPr>
              <w:spacing w:after="120"/>
              <w:rPr>
                <w:sz w:val="18"/>
                <w:szCs w:val="18"/>
                <w:lang w:val="fr-FR"/>
              </w:rPr>
            </w:pPr>
            <w:r w:rsidRPr="007C41F2">
              <w:rPr>
                <w:sz w:val="18"/>
                <w:szCs w:val="18"/>
                <w:lang w:val="fr-FR"/>
              </w:rPr>
              <w:t>Production de chlorure de vinyle monomère avec catalyseur au mercure</w:t>
            </w:r>
          </w:p>
        </w:tc>
        <w:tc>
          <w:tcPr>
            <w:tcW w:w="2537" w:type="dxa"/>
            <w:tcBorders>
              <w:top w:val="single" w:sz="4" w:space="0" w:color="auto"/>
              <w:left w:val="single" w:sz="4" w:space="0" w:color="auto"/>
              <w:bottom w:val="single" w:sz="4" w:space="0" w:color="auto"/>
              <w:right w:val="single" w:sz="4" w:space="0" w:color="auto"/>
            </w:tcBorders>
            <w:hideMark/>
          </w:tcPr>
          <w:p w14:paraId="10DAAD0C" w14:textId="7590E962" w:rsidR="00521A74" w:rsidRPr="007C41F2" w:rsidRDefault="009E3E37" w:rsidP="002D16A2">
            <w:pPr>
              <w:spacing w:after="120"/>
              <w:rPr>
                <w:sz w:val="18"/>
                <w:szCs w:val="18"/>
                <w:lang w:val="fr-FR"/>
              </w:rPr>
            </w:pPr>
            <w:r w:rsidRPr="007C41F2">
              <w:rPr>
                <w:sz w:val="18"/>
                <w:szCs w:val="18"/>
                <w:lang w:val="fr-FR"/>
              </w:rPr>
              <w:t>La présence de mercure dans les eaux usées et les résidus de traitement est bien documentée.</w:t>
            </w:r>
          </w:p>
        </w:tc>
        <w:tc>
          <w:tcPr>
            <w:tcW w:w="1538" w:type="dxa"/>
            <w:tcBorders>
              <w:top w:val="single" w:sz="4" w:space="0" w:color="auto"/>
              <w:left w:val="single" w:sz="4" w:space="0" w:color="auto"/>
              <w:bottom w:val="single" w:sz="4" w:space="0" w:color="auto"/>
              <w:right w:val="single" w:sz="4" w:space="0" w:color="auto"/>
            </w:tcBorders>
            <w:hideMark/>
          </w:tcPr>
          <w:p w14:paraId="302D57B6"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568ABD5A" w14:textId="7D8A767C" w:rsidR="00521A74" w:rsidRPr="007C41F2" w:rsidRDefault="00521A74" w:rsidP="002D16A2">
            <w:pPr>
              <w:spacing w:after="120"/>
              <w:rPr>
                <w:sz w:val="18"/>
                <w:szCs w:val="18"/>
                <w:lang w:val="fr-FR"/>
              </w:rPr>
            </w:pPr>
            <w:r w:rsidRPr="007C41F2">
              <w:rPr>
                <w:sz w:val="18"/>
                <w:szCs w:val="18"/>
                <w:lang w:val="fr-FR"/>
              </w:rPr>
              <w:t>Traité à l</w:t>
            </w:r>
            <w:r w:rsidR="00CA739D" w:rsidRPr="007C41F2">
              <w:rPr>
                <w:sz w:val="18"/>
                <w:szCs w:val="18"/>
                <w:lang w:val="fr-FR"/>
              </w:rPr>
              <w:t>’</w:t>
            </w:r>
            <w:r w:rsidRPr="007C41F2">
              <w:rPr>
                <w:sz w:val="18"/>
                <w:szCs w:val="18"/>
                <w:lang w:val="fr-FR"/>
              </w:rPr>
              <w:t>article 5. 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5C78BC0B"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436074BD" w14:textId="77777777" w:rsidR="00521A74" w:rsidRPr="007C41F2" w:rsidRDefault="00521A74" w:rsidP="002D16A2">
            <w:pPr>
              <w:spacing w:after="120"/>
              <w:rPr>
                <w:sz w:val="18"/>
                <w:szCs w:val="18"/>
                <w:lang w:val="fr-FR"/>
              </w:rPr>
            </w:pPr>
            <w:r w:rsidRPr="007C41F2">
              <w:rPr>
                <w:sz w:val="18"/>
                <w:szCs w:val="18"/>
                <w:lang w:val="fr-FR"/>
              </w:rPr>
              <w:t>5.4.3</w:t>
            </w:r>
          </w:p>
        </w:tc>
        <w:tc>
          <w:tcPr>
            <w:tcW w:w="2206" w:type="dxa"/>
            <w:tcBorders>
              <w:top w:val="single" w:sz="4" w:space="0" w:color="auto"/>
              <w:left w:val="single" w:sz="4" w:space="0" w:color="auto"/>
              <w:bottom w:val="single" w:sz="4" w:space="0" w:color="auto"/>
              <w:right w:val="single" w:sz="4" w:space="0" w:color="auto"/>
            </w:tcBorders>
            <w:hideMark/>
          </w:tcPr>
          <w:p w14:paraId="666B50DF" w14:textId="7C4B526F" w:rsidR="00521A74" w:rsidRPr="007C41F2" w:rsidRDefault="00521A74" w:rsidP="002D16A2">
            <w:pPr>
              <w:spacing w:after="120"/>
              <w:rPr>
                <w:sz w:val="18"/>
                <w:szCs w:val="18"/>
                <w:lang w:val="fr-FR"/>
              </w:rPr>
            </w:pPr>
            <w:r w:rsidRPr="007C41F2">
              <w:rPr>
                <w:sz w:val="18"/>
                <w:szCs w:val="18"/>
                <w:lang w:val="fr-FR"/>
              </w:rPr>
              <w:t>Production d</w:t>
            </w:r>
            <w:r w:rsidR="00CA739D" w:rsidRPr="007C41F2">
              <w:rPr>
                <w:sz w:val="18"/>
                <w:szCs w:val="18"/>
                <w:lang w:val="fr-FR"/>
              </w:rPr>
              <w:t>’</w:t>
            </w:r>
            <w:r w:rsidRPr="007C41F2">
              <w:rPr>
                <w:sz w:val="18"/>
                <w:szCs w:val="18"/>
                <w:lang w:val="fr-FR"/>
              </w:rPr>
              <w:t>acétaldéhyde avec catalyseur au mercure</w:t>
            </w:r>
          </w:p>
        </w:tc>
        <w:tc>
          <w:tcPr>
            <w:tcW w:w="2537" w:type="dxa"/>
            <w:tcBorders>
              <w:top w:val="single" w:sz="4" w:space="0" w:color="auto"/>
              <w:left w:val="single" w:sz="4" w:space="0" w:color="auto"/>
              <w:bottom w:val="single" w:sz="4" w:space="0" w:color="auto"/>
              <w:right w:val="single" w:sz="4" w:space="0" w:color="auto"/>
            </w:tcBorders>
            <w:hideMark/>
          </w:tcPr>
          <w:p w14:paraId="3E0A6F87" w14:textId="3AC6B26A" w:rsidR="00521A74" w:rsidRPr="007C41F2" w:rsidRDefault="00521A74" w:rsidP="002D16A2">
            <w:pPr>
              <w:spacing w:after="120"/>
              <w:rPr>
                <w:sz w:val="18"/>
                <w:szCs w:val="18"/>
                <w:lang w:val="fr-FR"/>
              </w:rPr>
            </w:pPr>
            <w:r w:rsidRPr="007C41F2">
              <w:rPr>
                <w:sz w:val="18"/>
                <w:szCs w:val="18"/>
                <w:lang w:val="fr-FR"/>
              </w:rPr>
              <w:t>Des rejets dans l</w:t>
            </w:r>
            <w:r w:rsidR="00CA739D" w:rsidRPr="007C41F2">
              <w:rPr>
                <w:sz w:val="18"/>
                <w:szCs w:val="18"/>
                <w:lang w:val="fr-FR"/>
              </w:rPr>
              <w:t>’</w:t>
            </w:r>
            <w:r w:rsidRPr="007C41F2">
              <w:rPr>
                <w:sz w:val="18"/>
                <w:szCs w:val="18"/>
                <w:lang w:val="fr-FR"/>
              </w:rPr>
              <w:t>eau ont été signalés.</w:t>
            </w:r>
          </w:p>
        </w:tc>
        <w:tc>
          <w:tcPr>
            <w:tcW w:w="1538" w:type="dxa"/>
            <w:tcBorders>
              <w:top w:val="single" w:sz="4" w:space="0" w:color="auto"/>
              <w:left w:val="single" w:sz="4" w:space="0" w:color="auto"/>
              <w:bottom w:val="single" w:sz="4" w:space="0" w:color="auto"/>
              <w:right w:val="single" w:sz="4" w:space="0" w:color="auto"/>
            </w:tcBorders>
            <w:hideMark/>
          </w:tcPr>
          <w:p w14:paraId="316552D4"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17275F1E" w14:textId="374007F2" w:rsidR="00521A74" w:rsidRPr="007C41F2" w:rsidRDefault="00521A74" w:rsidP="002D16A2">
            <w:pPr>
              <w:spacing w:after="120"/>
              <w:rPr>
                <w:sz w:val="18"/>
                <w:szCs w:val="18"/>
                <w:lang w:val="fr-FR"/>
              </w:rPr>
            </w:pPr>
            <w:r w:rsidRPr="007C41F2">
              <w:rPr>
                <w:sz w:val="18"/>
                <w:szCs w:val="18"/>
                <w:lang w:val="fr-FR"/>
              </w:rPr>
              <w:t>La fabrication cessera en application de l</w:t>
            </w:r>
            <w:r w:rsidR="00CA739D" w:rsidRPr="007C41F2">
              <w:rPr>
                <w:sz w:val="18"/>
                <w:szCs w:val="18"/>
                <w:lang w:val="fr-FR"/>
              </w:rPr>
              <w:t>’</w:t>
            </w:r>
            <w:r w:rsidRPr="007C41F2">
              <w:rPr>
                <w:sz w:val="18"/>
                <w:szCs w:val="18"/>
                <w:lang w:val="fr-FR"/>
              </w:rPr>
              <w:t>article 5. Les rejets sont traités à l</w:t>
            </w:r>
            <w:r w:rsidR="00CA739D" w:rsidRPr="007C41F2">
              <w:rPr>
                <w:sz w:val="18"/>
                <w:szCs w:val="18"/>
                <w:lang w:val="fr-FR"/>
              </w:rPr>
              <w:t>’</w:t>
            </w:r>
            <w:r w:rsidRPr="007C41F2">
              <w:rPr>
                <w:sz w:val="18"/>
                <w:szCs w:val="18"/>
                <w:lang w:val="fr-FR"/>
              </w:rPr>
              <w:t>article 11.</w:t>
            </w:r>
          </w:p>
        </w:tc>
      </w:tr>
      <w:tr w:rsidR="00521A74" w:rsidRPr="007C41F2" w14:paraId="4C118C5E"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1ED2CA0A" w14:textId="77777777" w:rsidR="00521A74" w:rsidRPr="007C41F2" w:rsidRDefault="00521A74" w:rsidP="00241EF8">
            <w:pPr>
              <w:keepNext/>
              <w:keepLines/>
              <w:spacing w:after="120"/>
              <w:rPr>
                <w:sz w:val="18"/>
                <w:szCs w:val="18"/>
                <w:lang w:val="fr-FR"/>
              </w:rPr>
            </w:pPr>
            <w:r w:rsidRPr="007C41F2">
              <w:rPr>
                <w:sz w:val="18"/>
                <w:szCs w:val="18"/>
                <w:lang w:val="fr-FR"/>
              </w:rPr>
              <w:t>5.4.4</w:t>
            </w:r>
          </w:p>
        </w:tc>
        <w:tc>
          <w:tcPr>
            <w:tcW w:w="2206" w:type="dxa"/>
            <w:tcBorders>
              <w:top w:val="single" w:sz="4" w:space="0" w:color="auto"/>
              <w:left w:val="single" w:sz="4" w:space="0" w:color="auto"/>
              <w:bottom w:val="single" w:sz="4" w:space="0" w:color="auto"/>
              <w:right w:val="single" w:sz="4" w:space="0" w:color="auto"/>
            </w:tcBorders>
            <w:hideMark/>
          </w:tcPr>
          <w:p w14:paraId="179DA585" w14:textId="77777777" w:rsidR="00521A74" w:rsidRPr="007C41F2" w:rsidRDefault="00521A74" w:rsidP="00241EF8">
            <w:pPr>
              <w:keepNext/>
              <w:keepLines/>
              <w:spacing w:after="120"/>
              <w:rPr>
                <w:sz w:val="18"/>
                <w:szCs w:val="18"/>
                <w:lang w:val="fr-FR"/>
              </w:rPr>
            </w:pPr>
            <w:r w:rsidRPr="007C41F2">
              <w:rPr>
                <w:sz w:val="18"/>
                <w:szCs w:val="18"/>
                <w:lang w:val="fr-FR"/>
              </w:rPr>
              <w:t>Autre production de produits chimiques et polymères avec mercure</w:t>
            </w:r>
          </w:p>
        </w:tc>
        <w:tc>
          <w:tcPr>
            <w:tcW w:w="2537" w:type="dxa"/>
            <w:tcBorders>
              <w:top w:val="single" w:sz="4" w:space="0" w:color="auto"/>
              <w:left w:val="single" w:sz="4" w:space="0" w:color="auto"/>
              <w:bottom w:val="single" w:sz="4" w:space="0" w:color="auto"/>
              <w:right w:val="single" w:sz="4" w:space="0" w:color="auto"/>
            </w:tcBorders>
            <w:hideMark/>
          </w:tcPr>
          <w:p w14:paraId="15E3A886" w14:textId="7FBDAB76" w:rsidR="00521A74" w:rsidRPr="007C41F2" w:rsidRDefault="00521A74" w:rsidP="00241EF8">
            <w:pPr>
              <w:keepNext/>
              <w:keepLines/>
              <w:spacing w:after="120"/>
              <w:rPr>
                <w:sz w:val="18"/>
                <w:szCs w:val="18"/>
                <w:lang w:val="fr-FR"/>
              </w:rPr>
            </w:pPr>
            <w:r w:rsidRPr="007C41F2">
              <w:rPr>
                <w:sz w:val="18"/>
                <w:szCs w:val="18"/>
                <w:lang w:val="fr-FR"/>
              </w:rPr>
              <w:t>Des rejets dans l</w:t>
            </w:r>
            <w:r w:rsidR="00CA739D" w:rsidRPr="007C41F2">
              <w:rPr>
                <w:sz w:val="18"/>
                <w:szCs w:val="18"/>
                <w:lang w:val="fr-FR"/>
              </w:rPr>
              <w:t>’</w:t>
            </w:r>
            <w:r w:rsidRPr="007C41F2">
              <w:rPr>
                <w:sz w:val="18"/>
                <w:szCs w:val="18"/>
                <w:lang w:val="fr-FR"/>
              </w:rPr>
              <w:t>eau et le sol provenant de la production de produits chimiques contenant du mercure ou de l</w:t>
            </w:r>
            <w:r w:rsidR="00CA739D" w:rsidRPr="007C41F2">
              <w:rPr>
                <w:sz w:val="18"/>
                <w:szCs w:val="18"/>
                <w:lang w:val="fr-FR"/>
              </w:rPr>
              <w:t>’</w:t>
            </w:r>
            <w:r w:rsidRPr="007C41F2">
              <w:rPr>
                <w:sz w:val="18"/>
                <w:szCs w:val="18"/>
                <w:lang w:val="fr-FR"/>
              </w:rPr>
              <w:t>utilisation du mercure dans les procédés de production ont été signalés. Des rejets peuvent également se produire durant la production d</w:t>
            </w:r>
            <w:r w:rsidR="00CA739D" w:rsidRPr="007C41F2">
              <w:rPr>
                <w:sz w:val="18"/>
                <w:szCs w:val="18"/>
                <w:lang w:val="fr-FR"/>
              </w:rPr>
              <w:t>’</w:t>
            </w:r>
            <w:r w:rsidRPr="007C41F2">
              <w:rPr>
                <w:sz w:val="18"/>
                <w:szCs w:val="18"/>
                <w:lang w:val="fr-FR"/>
              </w:rPr>
              <w:t>alcoolate.</w:t>
            </w:r>
          </w:p>
        </w:tc>
        <w:tc>
          <w:tcPr>
            <w:tcW w:w="1538" w:type="dxa"/>
            <w:tcBorders>
              <w:top w:val="single" w:sz="4" w:space="0" w:color="auto"/>
              <w:left w:val="single" w:sz="4" w:space="0" w:color="auto"/>
              <w:bottom w:val="single" w:sz="4" w:space="0" w:color="auto"/>
              <w:right w:val="single" w:sz="4" w:space="0" w:color="auto"/>
            </w:tcBorders>
            <w:hideMark/>
          </w:tcPr>
          <w:p w14:paraId="59C4E1EA" w14:textId="77777777" w:rsidR="00521A74" w:rsidRPr="007C41F2" w:rsidRDefault="00521A74" w:rsidP="00241EF8">
            <w:pPr>
              <w:keepNext/>
              <w:keepLines/>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711BA18D" w14:textId="4F19AB4C" w:rsidR="00521A74" w:rsidRPr="007C41F2" w:rsidRDefault="00C22746" w:rsidP="00241EF8">
            <w:pPr>
              <w:keepNext/>
              <w:keepLines/>
              <w:spacing w:after="120"/>
              <w:rPr>
                <w:sz w:val="18"/>
                <w:szCs w:val="18"/>
                <w:lang w:val="fr-FR"/>
              </w:rPr>
            </w:pPr>
            <w:r w:rsidRPr="007C41F2">
              <w:rPr>
                <w:sz w:val="18"/>
                <w:szCs w:val="18"/>
                <w:lang w:val="fr-FR"/>
              </w:rPr>
              <w:t>La production de méthylate et d</w:t>
            </w:r>
            <w:r w:rsidR="00CA739D" w:rsidRPr="007C41F2">
              <w:rPr>
                <w:sz w:val="18"/>
                <w:szCs w:val="18"/>
                <w:lang w:val="fr-FR"/>
              </w:rPr>
              <w:t>’</w:t>
            </w:r>
            <w:r w:rsidRPr="007C41F2">
              <w:rPr>
                <w:sz w:val="18"/>
                <w:szCs w:val="18"/>
                <w:lang w:val="fr-FR"/>
              </w:rPr>
              <w:t>éthylate de sodium ou de potassium est traitée à l</w:t>
            </w:r>
            <w:r w:rsidR="00CA739D" w:rsidRPr="007C41F2">
              <w:rPr>
                <w:sz w:val="18"/>
                <w:szCs w:val="18"/>
                <w:lang w:val="fr-FR"/>
              </w:rPr>
              <w:t>’</w:t>
            </w:r>
            <w:r w:rsidRPr="007C41F2">
              <w:rPr>
                <w:sz w:val="18"/>
                <w:szCs w:val="18"/>
                <w:lang w:val="fr-FR"/>
              </w:rPr>
              <w:t>article 5. 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15AF798D" w14:textId="77777777" w:rsidTr="003053E8">
        <w:tc>
          <w:tcPr>
            <w:tcW w:w="9350"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5842CC96" w14:textId="56BA1C7D" w:rsidR="00521A74" w:rsidRPr="007C41F2" w:rsidRDefault="00521A74" w:rsidP="002D16A2">
            <w:pPr>
              <w:keepNext/>
              <w:keepLines/>
              <w:spacing w:after="120"/>
              <w:rPr>
                <w:sz w:val="18"/>
                <w:szCs w:val="18"/>
                <w:lang w:val="fr-FR"/>
              </w:rPr>
            </w:pPr>
            <w:r w:rsidRPr="007C41F2">
              <w:rPr>
                <w:sz w:val="18"/>
                <w:szCs w:val="18"/>
                <w:lang w:val="fr-FR"/>
              </w:rPr>
              <w:t>Catégorie de sources : La fabrication de produits de consommation avec utilisation intentionnelle de mercure</w:t>
            </w:r>
          </w:p>
        </w:tc>
      </w:tr>
      <w:tr w:rsidR="00521A74" w:rsidRPr="007C41F2" w14:paraId="1061234A"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07D6CEA6" w14:textId="77777777" w:rsidR="00521A74" w:rsidRPr="007C41F2" w:rsidRDefault="00521A74" w:rsidP="002D16A2">
            <w:pPr>
              <w:spacing w:after="120"/>
              <w:rPr>
                <w:sz w:val="18"/>
                <w:szCs w:val="18"/>
                <w:lang w:val="fr-FR"/>
              </w:rPr>
            </w:pPr>
            <w:r w:rsidRPr="007C41F2">
              <w:rPr>
                <w:sz w:val="18"/>
                <w:szCs w:val="18"/>
                <w:lang w:val="fr-FR"/>
              </w:rPr>
              <w:t>5.5.1</w:t>
            </w:r>
          </w:p>
        </w:tc>
        <w:tc>
          <w:tcPr>
            <w:tcW w:w="2206" w:type="dxa"/>
            <w:tcBorders>
              <w:top w:val="single" w:sz="4" w:space="0" w:color="auto"/>
              <w:left w:val="single" w:sz="4" w:space="0" w:color="auto"/>
              <w:bottom w:val="single" w:sz="4" w:space="0" w:color="auto"/>
              <w:right w:val="single" w:sz="4" w:space="0" w:color="auto"/>
            </w:tcBorders>
            <w:hideMark/>
          </w:tcPr>
          <w:p w14:paraId="56C2612A" w14:textId="77777777" w:rsidR="00521A74" w:rsidRPr="007C41F2" w:rsidRDefault="00521A74" w:rsidP="002D16A2">
            <w:pPr>
              <w:keepNext/>
              <w:keepLines/>
              <w:spacing w:after="120"/>
              <w:rPr>
                <w:sz w:val="18"/>
                <w:szCs w:val="18"/>
                <w:lang w:val="fr-FR"/>
              </w:rPr>
            </w:pPr>
            <w:r w:rsidRPr="007C41F2">
              <w:rPr>
                <w:sz w:val="18"/>
                <w:szCs w:val="18"/>
                <w:lang w:val="fr-FR"/>
              </w:rPr>
              <w:t>Thermomètres au mercure</w:t>
            </w:r>
          </w:p>
        </w:tc>
        <w:tc>
          <w:tcPr>
            <w:tcW w:w="2537" w:type="dxa"/>
            <w:tcBorders>
              <w:top w:val="single" w:sz="4" w:space="0" w:color="auto"/>
              <w:left w:val="single" w:sz="4" w:space="0" w:color="auto"/>
              <w:bottom w:val="single" w:sz="4" w:space="0" w:color="auto"/>
              <w:right w:val="single" w:sz="4" w:space="0" w:color="auto"/>
            </w:tcBorders>
            <w:hideMark/>
          </w:tcPr>
          <w:p w14:paraId="7A165E33" w14:textId="09D21F7E" w:rsidR="00521A74" w:rsidRPr="007C41F2" w:rsidRDefault="00521A74" w:rsidP="002D16A2">
            <w:pPr>
              <w:keepNext/>
              <w:keepLines/>
              <w:spacing w:after="120"/>
              <w:rPr>
                <w:sz w:val="18"/>
                <w:szCs w:val="18"/>
                <w:lang w:val="fr-FR"/>
              </w:rPr>
            </w:pPr>
            <w:r w:rsidRPr="007C41F2">
              <w:rPr>
                <w:sz w:val="18"/>
                <w:szCs w:val="18"/>
                <w:lang w:val="fr-FR"/>
              </w:rPr>
              <w:t>Des rejets dans le sol et/ou l</w:t>
            </w:r>
            <w:r w:rsidR="00CA739D" w:rsidRPr="007C41F2">
              <w:rPr>
                <w:sz w:val="18"/>
                <w:szCs w:val="18"/>
                <w:lang w:val="fr-FR"/>
              </w:rPr>
              <w:t>’</w:t>
            </w:r>
            <w:r w:rsidRPr="007C41F2">
              <w:rPr>
                <w:sz w:val="18"/>
                <w:szCs w:val="18"/>
                <w:lang w:val="fr-FR"/>
              </w:rPr>
              <w:t>eau ont été signalés en rapport à la fabrication de certains produits contenant du mercure ajouté (consécutifs à des bris/déversements). Il devrait en être de même pour ce qui est d</w:t>
            </w:r>
            <w:r w:rsidR="00CA739D" w:rsidRPr="007C41F2">
              <w:rPr>
                <w:sz w:val="18"/>
                <w:szCs w:val="18"/>
                <w:lang w:val="fr-FR"/>
              </w:rPr>
              <w:t>’</w:t>
            </w:r>
            <w:r w:rsidRPr="007C41F2">
              <w:rPr>
                <w:sz w:val="18"/>
                <w:szCs w:val="18"/>
                <w:lang w:val="fr-FR"/>
              </w:rPr>
              <w:t>autres produits contenant du mercure ajouté.</w:t>
            </w:r>
          </w:p>
        </w:tc>
        <w:tc>
          <w:tcPr>
            <w:tcW w:w="1538" w:type="dxa"/>
            <w:tcBorders>
              <w:top w:val="single" w:sz="4" w:space="0" w:color="auto"/>
              <w:left w:val="single" w:sz="4" w:space="0" w:color="auto"/>
              <w:bottom w:val="single" w:sz="4" w:space="0" w:color="auto"/>
              <w:right w:val="single" w:sz="4" w:space="0" w:color="auto"/>
            </w:tcBorders>
          </w:tcPr>
          <w:p w14:paraId="4728B17B" w14:textId="77777777" w:rsidR="00521A74" w:rsidRPr="007C41F2" w:rsidRDefault="00521A74" w:rsidP="002D16A2">
            <w:pPr>
              <w:keepNext/>
              <w:keepLines/>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7F2D8556" w14:textId="2F6D9877" w:rsidR="00521A74" w:rsidRPr="007C41F2" w:rsidRDefault="00521A74" w:rsidP="002D16A2">
            <w:pPr>
              <w:keepNext/>
              <w:keepLines/>
              <w:spacing w:after="120"/>
              <w:rPr>
                <w:sz w:val="18"/>
                <w:szCs w:val="18"/>
                <w:lang w:val="fr-FR"/>
              </w:rPr>
            </w:pPr>
            <w:r w:rsidRPr="007C41F2">
              <w:rPr>
                <w:sz w:val="18"/>
                <w:szCs w:val="18"/>
                <w:lang w:val="fr-FR"/>
              </w:rPr>
              <w:t>La fabrication cessera en application de l</w:t>
            </w:r>
            <w:r w:rsidR="00CA739D" w:rsidRPr="007C41F2">
              <w:rPr>
                <w:sz w:val="18"/>
                <w:szCs w:val="18"/>
                <w:lang w:val="fr-FR"/>
              </w:rPr>
              <w:t>’</w:t>
            </w:r>
            <w:r w:rsidRPr="007C41F2">
              <w:rPr>
                <w:sz w:val="18"/>
                <w:szCs w:val="18"/>
                <w:lang w:val="fr-FR"/>
              </w:rPr>
              <w:t>article 4. Les rejets provenant des déchets sont traités à l</w:t>
            </w:r>
            <w:r w:rsidR="00CA739D" w:rsidRPr="007C41F2">
              <w:rPr>
                <w:sz w:val="18"/>
                <w:szCs w:val="18"/>
                <w:lang w:val="fr-FR"/>
              </w:rPr>
              <w:t>’</w:t>
            </w:r>
            <w:r w:rsidRPr="007C41F2">
              <w:rPr>
                <w:sz w:val="18"/>
                <w:szCs w:val="18"/>
                <w:lang w:val="fr-FR"/>
              </w:rPr>
              <w:t xml:space="preserve">article 11. </w:t>
            </w:r>
          </w:p>
        </w:tc>
      </w:tr>
      <w:tr w:rsidR="00521A74" w:rsidRPr="007C41F2" w14:paraId="54FD0A3A"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799388D9" w14:textId="77777777" w:rsidR="00521A74" w:rsidRPr="007C41F2" w:rsidRDefault="00521A74" w:rsidP="002D16A2">
            <w:pPr>
              <w:spacing w:after="120"/>
              <w:rPr>
                <w:sz w:val="18"/>
                <w:szCs w:val="18"/>
                <w:lang w:val="fr-FR"/>
              </w:rPr>
            </w:pPr>
            <w:r w:rsidRPr="007C41F2">
              <w:rPr>
                <w:sz w:val="18"/>
                <w:szCs w:val="18"/>
                <w:lang w:val="fr-FR"/>
              </w:rPr>
              <w:t>5.5.2</w:t>
            </w:r>
          </w:p>
        </w:tc>
        <w:tc>
          <w:tcPr>
            <w:tcW w:w="2206" w:type="dxa"/>
            <w:tcBorders>
              <w:top w:val="single" w:sz="4" w:space="0" w:color="auto"/>
              <w:left w:val="single" w:sz="4" w:space="0" w:color="auto"/>
              <w:bottom w:val="single" w:sz="4" w:space="0" w:color="auto"/>
              <w:right w:val="single" w:sz="4" w:space="0" w:color="auto"/>
            </w:tcBorders>
            <w:hideMark/>
          </w:tcPr>
          <w:p w14:paraId="2BF5EB2A" w14:textId="77777777" w:rsidR="00521A74" w:rsidRPr="007C41F2" w:rsidRDefault="00521A74" w:rsidP="002D16A2">
            <w:pPr>
              <w:spacing w:after="120"/>
              <w:rPr>
                <w:sz w:val="18"/>
                <w:szCs w:val="18"/>
                <w:lang w:val="fr-FR"/>
              </w:rPr>
            </w:pPr>
            <w:r w:rsidRPr="007C41F2">
              <w:rPr>
                <w:sz w:val="18"/>
                <w:szCs w:val="18"/>
                <w:lang w:val="fr-FR"/>
              </w:rPr>
              <w:t>Interrupteurs et relais électriques contenant du mercure</w:t>
            </w:r>
          </w:p>
        </w:tc>
        <w:tc>
          <w:tcPr>
            <w:tcW w:w="2537" w:type="dxa"/>
            <w:tcBorders>
              <w:top w:val="single" w:sz="4" w:space="0" w:color="auto"/>
              <w:left w:val="single" w:sz="4" w:space="0" w:color="auto"/>
              <w:bottom w:val="single" w:sz="4" w:space="0" w:color="auto"/>
              <w:right w:val="single" w:sz="4" w:space="0" w:color="auto"/>
            </w:tcBorders>
            <w:hideMark/>
          </w:tcPr>
          <w:p w14:paraId="144B6754" w14:textId="0E7C915B" w:rsidR="00521A74" w:rsidRPr="007C41F2" w:rsidRDefault="00521A74" w:rsidP="002D16A2">
            <w:pPr>
              <w:spacing w:after="120"/>
              <w:rPr>
                <w:sz w:val="18"/>
                <w:szCs w:val="18"/>
                <w:lang w:val="fr-FR"/>
              </w:rPr>
            </w:pPr>
            <w:r w:rsidRPr="007C41F2">
              <w:rPr>
                <w:sz w:val="18"/>
                <w:szCs w:val="18"/>
                <w:lang w:val="fr-FR"/>
              </w:rPr>
              <w:t>Des rejets pouvant atteindre le sol et l</w:t>
            </w:r>
            <w:r w:rsidR="00CA739D" w:rsidRPr="007C41F2">
              <w:rPr>
                <w:sz w:val="18"/>
                <w:szCs w:val="18"/>
                <w:lang w:val="fr-FR"/>
              </w:rPr>
              <w:t>’</w:t>
            </w:r>
            <w:r w:rsidRPr="007C41F2">
              <w:rPr>
                <w:sz w:val="18"/>
                <w:szCs w:val="18"/>
                <w:lang w:val="fr-FR"/>
              </w:rPr>
              <w:t>eau ont été signalés.</w:t>
            </w:r>
          </w:p>
        </w:tc>
        <w:tc>
          <w:tcPr>
            <w:tcW w:w="1538" w:type="dxa"/>
            <w:tcBorders>
              <w:top w:val="single" w:sz="4" w:space="0" w:color="auto"/>
              <w:left w:val="single" w:sz="4" w:space="0" w:color="auto"/>
              <w:bottom w:val="single" w:sz="4" w:space="0" w:color="auto"/>
              <w:right w:val="single" w:sz="4" w:space="0" w:color="auto"/>
            </w:tcBorders>
          </w:tcPr>
          <w:p w14:paraId="2BC7B66B"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27ADE37D" w14:textId="0D50195F" w:rsidR="00521A74" w:rsidRPr="007C41F2" w:rsidRDefault="00521A74" w:rsidP="002D16A2">
            <w:pPr>
              <w:spacing w:after="120"/>
              <w:rPr>
                <w:sz w:val="18"/>
                <w:szCs w:val="18"/>
                <w:lang w:val="fr-FR"/>
              </w:rPr>
            </w:pPr>
            <w:r w:rsidRPr="007C41F2">
              <w:rPr>
                <w:sz w:val="18"/>
                <w:szCs w:val="18"/>
                <w:lang w:val="fr-FR"/>
              </w:rPr>
              <w:t>La fabrication cessera en application de l</w:t>
            </w:r>
            <w:r w:rsidR="00CA739D" w:rsidRPr="007C41F2">
              <w:rPr>
                <w:sz w:val="18"/>
                <w:szCs w:val="18"/>
                <w:lang w:val="fr-FR"/>
              </w:rPr>
              <w:t>’</w:t>
            </w:r>
            <w:r w:rsidRPr="007C41F2">
              <w:rPr>
                <w:sz w:val="18"/>
                <w:szCs w:val="18"/>
                <w:lang w:val="fr-FR"/>
              </w:rPr>
              <w:t>article 4, exception faite de certains produits très spécialisés. 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748CF653"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0A7E286B" w14:textId="77777777" w:rsidR="00521A74" w:rsidRPr="007C41F2" w:rsidRDefault="00521A74" w:rsidP="002D16A2">
            <w:pPr>
              <w:spacing w:after="120"/>
              <w:rPr>
                <w:sz w:val="18"/>
                <w:szCs w:val="18"/>
                <w:lang w:val="fr-FR"/>
              </w:rPr>
            </w:pPr>
            <w:r w:rsidRPr="007C41F2">
              <w:rPr>
                <w:sz w:val="18"/>
                <w:szCs w:val="18"/>
                <w:lang w:val="fr-FR"/>
              </w:rPr>
              <w:t>5.5.3</w:t>
            </w:r>
          </w:p>
        </w:tc>
        <w:tc>
          <w:tcPr>
            <w:tcW w:w="2206" w:type="dxa"/>
            <w:tcBorders>
              <w:top w:val="single" w:sz="4" w:space="0" w:color="auto"/>
              <w:left w:val="single" w:sz="4" w:space="0" w:color="auto"/>
              <w:bottom w:val="single" w:sz="4" w:space="0" w:color="auto"/>
              <w:right w:val="single" w:sz="4" w:space="0" w:color="auto"/>
            </w:tcBorders>
            <w:hideMark/>
          </w:tcPr>
          <w:p w14:paraId="24E14014" w14:textId="77777777" w:rsidR="00521A74" w:rsidRPr="007C41F2" w:rsidRDefault="00521A74" w:rsidP="002D16A2">
            <w:pPr>
              <w:spacing w:after="120"/>
              <w:rPr>
                <w:sz w:val="18"/>
                <w:szCs w:val="18"/>
                <w:lang w:val="fr-FR"/>
              </w:rPr>
            </w:pPr>
            <w:r w:rsidRPr="007C41F2">
              <w:rPr>
                <w:sz w:val="18"/>
                <w:szCs w:val="18"/>
                <w:lang w:val="fr-FR"/>
              </w:rPr>
              <w:t>Sources de lumière au mercure</w:t>
            </w:r>
          </w:p>
        </w:tc>
        <w:tc>
          <w:tcPr>
            <w:tcW w:w="2537" w:type="dxa"/>
            <w:tcBorders>
              <w:top w:val="single" w:sz="4" w:space="0" w:color="auto"/>
              <w:left w:val="single" w:sz="4" w:space="0" w:color="auto"/>
              <w:bottom w:val="single" w:sz="4" w:space="0" w:color="auto"/>
              <w:right w:val="single" w:sz="4" w:space="0" w:color="auto"/>
            </w:tcBorders>
            <w:hideMark/>
          </w:tcPr>
          <w:p w14:paraId="7064035F" w14:textId="327D5C2F" w:rsidR="00521A74" w:rsidRPr="007C41F2" w:rsidRDefault="00521A74" w:rsidP="002D16A2">
            <w:pPr>
              <w:spacing w:after="120"/>
              <w:rPr>
                <w:sz w:val="18"/>
                <w:szCs w:val="18"/>
                <w:lang w:val="fr-FR"/>
              </w:rPr>
            </w:pPr>
            <w:r w:rsidRPr="007C41F2">
              <w:rPr>
                <w:sz w:val="18"/>
                <w:szCs w:val="18"/>
                <w:lang w:val="fr-FR"/>
              </w:rPr>
              <w:t>Des rejets pouvant atteindre le sol et/ou l</w:t>
            </w:r>
            <w:r w:rsidR="00CA739D" w:rsidRPr="007C41F2">
              <w:rPr>
                <w:sz w:val="18"/>
                <w:szCs w:val="18"/>
                <w:lang w:val="fr-FR"/>
              </w:rPr>
              <w:t>’</w:t>
            </w:r>
            <w:r w:rsidRPr="007C41F2">
              <w:rPr>
                <w:sz w:val="18"/>
                <w:szCs w:val="18"/>
                <w:lang w:val="fr-FR"/>
              </w:rPr>
              <w:t>eau ont été signalés.</w:t>
            </w:r>
          </w:p>
        </w:tc>
        <w:tc>
          <w:tcPr>
            <w:tcW w:w="1538" w:type="dxa"/>
            <w:tcBorders>
              <w:top w:val="single" w:sz="4" w:space="0" w:color="auto"/>
              <w:left w:val="single" w:sz="4" w:space="0" w:color="auto"/>
              <w:bottom w:val="single" w:sz="4" w:space="0" w:color="auto"/>
              <w:right w:val="single" w:sz="4" w:space="0" w:color="auto"/>
            </w:tcBorders>
          </w:tcPr>
          <w:p w14:paraId="47E257FC"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51563DC8" w14:textId="075BFBA1" w:rsidR="00521A74" w:rsidRPr="007C41F2" w:rsidRDefault="00521A74" w:rsidP="002D16A2">
            <w:pPr>
              <w:spacing w:after="120"/>
              <w:rPr>
                <w:sz w:val="18"/>
                <w:szCs w:val="18"/>
                <w:lang w:val="fr-FR"/>
              </w:rPr>
            </w:pPr>
            <w:r w:rsidRPr="007C41F2">
              <w:rPr>
                <w:sz w:val="18"/>
                <w:szCs w:val="18"/>
                <w:lang w:val="fr-FR"/>
              </w:rPr>
              <w:t>Les rejets provenant de la fabrication de tels produits présentant des concentrations de mercure inférieures à celles indiquées à l</w:t>
            </w:r>
            <w:r w:rsidR="00CA739D" w:rsidRPr="007C41F2">
              <w:rPr>
                <w:sz w:val="18"/>
                <w:szCs w:val="18"/>
                <w:lang w:val="fr-FR"/>
              </w:rPr>
              <w:t>’</w:t>
            </w:r>
            <w:r w:rsidRPr="007C41F2">
              <w:rPr>
                <w:sz w:val="18"/>
                <w:szCs w:val="18"/>
                <w:lang w:val="fr-FR"/>
              </w:rPr>
              <w:t>annexe A ne sont pas couverts par l</w:t>
            </w:r>
            <w:r w:rsidR="00CA739D" w:rsidRPr="007C41F2">
              <w:rPr>
                <w:sz w:val="18"/>
                <w:szCs w:val="18"/>
                <w:lang w:val="fr-FR"/>
              </w:rPr>
              <w:t>’</w:t>
            </w:r>
            <w:r w:rsidRPr="007C41F2">
              <w:rPr>
                <w:sz w:val="18"/>
                <w:szCs w:val="18"/>
                <w:lang w:val="fr-FR"/>
              </w:rPr>
              <w:t>article 4. 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50F2D45C"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5ED2B1BB" w14:textId="77777777" w:rsidR="00521A74" w:rsidRPr="007C41F2" w:rsidRDefault="00521A74" w:rsidP="002D16A2">
            <w:pPr>
              <w:spacing w:after="120"/>
              <w:rPr>
                <w:sz w:val="18"/>
                <w:szCs w:val="18"/>
                <w:lang w:val="fr-FR"/>
              </w:rPr>
            </w:pPr>
            <w:r w:rsidRPr="007C41F2">
              <w:rPr>
                <w:sz w:val="18"/>
                <w:szCs w:val="18"/>
                <w:lang w:val="fr-FR"/>
              </w:rPr>
              <w:t>5.5.4</w:t>
            </w:r>
          </w:p>
        </w:tc>
        <w:tc>
          <w:tcPr>
            <w:tcW w:w="2206" w:type="dxa"/>
            <w:tcBorders>
              <w:top w:val="single" w:sz="4" w:space="0" w:color="auto"/>
              <w:left w:val="single" w:sz="4" w:space="0" w:color="auto"/>
              <w:bottom w:val="single" w:sz="4" w:space="0" w:color="auto"/>
              <w:right w:val="single" w:sz="4" w:space="0" w:color="auto"/>
            </w:tcBorders>
            <w:hideMark/>
          </w:tcPr>
          <w:p w14:paraId="53F93C35" w14:textId="77777777" w:rsidR="00521A74" w:rsidRPr="007C41F2" w:rsidRDefault="00521A74" w:rsidP="002D16A2">
            <w:pPr>
              <w:spacing w:after="120"/>
              <w:rPr>
                <w:sz w:val="18"/>
                <w:szCs w:val="18"/>
                <w:lang w:val="fr-FR"/>
              </w:rPr>
            </w:pPr>
            <w:r w:rsidRPr="007C41F2">
              <w:rPr>
                <w:sz w:val="18"/>
                <w:szCs w:val="18"/>
                <w:lang w:val="fr-FR"/>
              </w:rPr>
              <w:t>Batteries au mercure</w:t>
            </w:r>
          </w:p>
        </w:tc>
        <w:tc>
          <w:tcPr>
            <w:tcW w:w="2537" w:type="dxa"/>
            <w:tcBorders>
              <w:top w:val="single" w:sz="4" w:space="0" w:color="auto"/>
              <w:left w:val="single" w:sz="4" w:space="0" w:color="auto"/>
              <w:bottom w:val="single" w:sz="4" w:space="0" w:color="auto"/>
              <w:right w:val="single" w:sz="4" w:space="0" w:color="auto"/>
            </w:tcBorders>
            <w:hideMark/>
          </w:tcPr>
          <w:p w14:paraId="1B879EF7" w14:textId="63C78B43" w:rsidR="00521A74" w:rsidRPr="007C41F2" w:rsidRDefault="00521A74" w:rsidP="002D16A2">
            <w:pPr>
              <w:spacing w:after="120"/>
              <w:rPr>
                <w:sz w:val="18"/>
                <w:szCs w:val="18"/>
                <w:lang w:val="fr-FR"/>
              </w:rPr>
            </w:pPr>
            <w:r w:rsidRPr="007C41F2">
              <w:rPr>
                <w:sz w:val="18"/>
                <w:szCs w:val="18"/>
                <w:lang w:val="fr-FR"/>
              </w:rPr>
              <w:t>Des rejets dans le sol et l</w:t>
            </w:r>
            <w:r w:rsidR="00CA739D" w:rsidRPr="007C41F2">
              <w:rPr>
                <w:sz w:val="18"/>
                <w:szCs w:val="18"/>
                <w:lang w:val="fr-FR"/>
              </w:rPr>
              <w:t>’</w:t>
            </w:r>
            <w:r w:rsidRPr="007C41F2">
              <w:rPr>
                <w:sz w:val="18"/>
                <w:szCs w:val="18"/>
                <w:lang w:val="fr-FR"/>
              </w:rPr>
              <w:t>eau ont été signalés.</w:t>
            </w:r>
          </w:p>
        </w:tc>
        <w:tc>
          <w:tcPr>
            <w:tcW w:w="1538" w:type="dxa"/>
            <w:tcBorders>
              <w:top w:val="single" w:sz="4" w:space="0" w:color="auto"/>
              <w:left w:val="single" w:sz="4" w:space="0" w:color="auto"/>
              <w:bottom w:val="single" w:sz="4" w:space="0" w:color="auto"/>
              <w:right w:val="single" w:sz="4" w:space="0" w:color="auto"/>
            </w:tcBorders>
          </w:tcPr>
          <w:p w14:paraId="3CEA17D0"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7BA0553C" w14:textId="74DA686C" w:rsidR="00521A74" w:rsidRPr="007C41F2" w:rsidRDefault="00521A74" w:rsidP="002D16A2">
            <w:pPr>
              <w:spacing w:after="120"/>
              <w:rPr>
                <w:sz w:val="18"/>
                <w:szCs w:val="18"/>
                <w:lang w:val="fr-FR"/>
              </w:rPr>
            </w:pPr>
            <w:r w:rsidRPr="007C41F2">
              <w:rPr>
                <w:sz w:val="18"/>
                <w:szCs w:val="18"/>
                <w:lang w:val="fr-FR"/>
              </w:rPr>
              <w:t>Les rejets provenant de la fabrication de tels produits présentant des concentrations de mercure inférieures à celles indiquées à l</w:t>
            </w:r>
            <w:r w:rsidR="00CA739D" w:rsidRPr="007C41F2">
              <w:rPr>
                <w:sz w:val="18"/>
                <w:szCs w:val="18"/>
                <w:lang w:val="fr-FR"/>
              </w:rPr>
              <w:t>’</w:t>
            </w:r>
            <w:r w:rsidRPr="007C41F2">
              <w:rPr>
                <w:sz w:val="18"/>
                <w:szCs w:val="18"/>
                <w:lang w:val="fr-FR"/>
              </w:rPr>
              <w:t>annexe A ne sont pas couverts par l</w:t>
            </w:r>
            <w:r w:rsidR="00CA739D" w:rsidRPr="007C41F2">
              <w:rPr>
                <w:sz w:val="18"/>
                <w:szCs w:val="18"/>
                <w:lang w:val="fr-FR"/>
              </w:rPr>
              <w:t>’</w:t>
            </w:r>
            <w:r w:rsidRPr="007C41F2">
              <w:rPr>
                <w:sz w:val="18"/>
                <w:szCs w:val="18"/>
                <w:lang w:val="fr-FR"/>
              </w:rPr>
              <w:t>article 4. 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469E7C38"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0EC9A71D" w14:textId="77777777" w:rsidR="00521A74" w:rsidRPr="007C41F2" w:rsidRDefault="00521A74" w:rsidP="002D16A2">
            <w:pPr>
              <w:spacing w:after="120"/>
              <w:rPr>
                <w:sz w:val="18"/>
                <w:szCs w:val="18"/>
                <w:lang w:val="fr-FR"/>
              </w:rPr>
            </w:pPr>
            <w:r w:rsidRPr="007C41F2">
              <w:rPr>
                <w:sz w:val="18"/>
                <w:szCs w:val="18"/>
                <w:lang w:val="fr-FR"/>
              </w:rPr>
              <w:t>5.5.5</w:t>
            </w:r>
          </w:p>
        </w:tc>
        <w:tc>
          <w:tcPr>
            <w:tcW w:w="2206" w:type="dxa"/>
            <w:tcBorders>
              <w:top w:val="single" w:sz="4" w:space="0" w:color="auto"/>
              <w:left w:val="single" w:sz="4" w:space="0" w:color="auto"/>
              <w:bottom w:val="single" w:sz="4" w:space="0" w:color="auto"/>
              <w:right w:val="single" w:sz="4" w:space="0" w:color="auto"/>
            </w:tcBorders>
            <w:hideMark/>
          </w:tcPr>
          <w:p w14:paraId="691CC745" w14:textId="74A78576" w:rsidR="00521A74" w:rsidRPr="007C41F2" w:rsidRDefault="00521A74" w:rsidP="002D16A2">
            <w:pPr>
              <w:spacing w:after="120"/>
              <w:rPr>
                <w:sz w:val="18"/>
                <w:szCs w:val="18"/>
                <w:lang w:val="fr-FR"/>
              </w:rPr>
            </w:pPr>
            <w:r w:rsidRPr="007C41F2">
              <w:rPr>
                <w:sz w:val="18"/>
                <w:szCs w:val="18"/>
                <w:lang w:val="fr-FR"/>
              </w:rPr>
              <w:t>Polyuréthane avec catalyseurs au mercure</w:t>
            </w:r>
          </w:p>
        </w:tc>
        <w:tc>
          <w:tcPr>
            <w:tcW w:w="2537" w:type="dxa"/>
            <w:tcBorders>
              <w:top w:val="single" w:sz="4" w:space="0" w:color="auto"/>
              <w:left w:val="single" w:sz="4" w:space="0" w:color="auto"/>
              <w:bottom w:val="single" w:sz="4" w:space="0" w:color="auto"/>
              <w:right w:val="single" w:sz="4" w:space="0" w:color="auto"/>
            </w:tcBorders>
            <w:hideMark/>
          </w:tcPr>
          <w:p w14:paraId="101583B4" w14:textId="5F31DE3A" w:rsidR="00521A74" w:rsidRPr="007C41F2" w:rsidRDefault="00521A74" w:rsidP="002D16A2">
            <w:pPr>
              <w:spacing w:after="120"/>
              <w:rPr>
                <w:sz w:val="18"/>
                <w:szCs w:val="18"/>
                <w:lang w:val="fr-FR"/>
              </w:rPr>
            </w:pPr>
            <w:r w:rsidRPr="007C41F2">
              <w:rPr>
                <w:sz w:val="18"/>
                <w:szCs w:val="18"/>
                <w:lang w:val="fr-FR"/>
              </w:rPr>
              <w:t>Des rejets dans le sol et/ou l</w:t>
            </w:r>
            <w:r w:rsidR="00CA739D" w:rsidRPr="007C41F2">
              <w:rPr>
                <w:sz w:val="18"/>
                <w:szCs w:val="18"/>
                <w:lang w:val="fr-FR"/>
              </w:rPr>
              <w:t>’</w:t>
            </w:r>
            <w:r w:rsidRPr="007C41F2">
              <w:rPr>
                <w:sz w:val="18"/>
                <w:szCs w:val="18"/>
                <w:lang w:val="fr-FR"/>
              </w:rPr>
              <w:t>eau ont été signalés en rapport à la fabrication de certains produits contenant du mercure ajouté.</w:t>
            </w:r>
          </w:p>
        </w:tc>
        <w:tc>
          <w:tcPr>
            <w:tcW w:w="1538" w:type="dxa"/>
            <w:tcBorders>
              <w:top w:val="single" w:sz="4" w:space="0" w:color="auto"/>
              <w:left w:val="single" w:sz="4" w:space="0" w:color="auto"/>
              <w:bottom w:val="single" w:sz="4" w:space="0" w:color="auto"/>
              <w:right w:val="single" w:sz="4" w:space="0" w:color="auto"/>
            </w:tcBorders>
          </w:tcPr>
          <w:p w14:paraId="246A3781"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19E022A9" w14:textId="48EEA9A0" w:rsidR="00521A74" w:rsidRPr="007C41F2" w:rsidRDefault="00521A74" w:rsidP="002D16A2">
            <w:pPr>
              <w:spacing w:after="120"/>
              <w:rPr>
                <w:sz w:val="18"/>
                <w:szCs w:val="18"/>
                <w:lang w:val="fr-FR"/>
              </w:rPr>
            </w:pPr>
            <w:r w:rsidRPr="007C41F2">
              <w:rPr>
                <w:sz w:val="18"/>
                <w:szCs w:val="18"/>
                <w:lang w:val="fr-FR"/>
              </w:rPr>
              <w:t>La fabrication est traitée à l</w:t>
            </w:r>
            <w:r w:rsidR="00CA739D" w:rsidRPr="007C41F2">
              <w:rPr>
                <w:sz w:val="18"/>
                <w:szCs w:val="18"/>
                <w:lang w:val="fr-FR"/>
              </w:rPr>
              <w:t>’</w:t>
            </w:r>
            <w:r w:rsidRPr="007C41F2">
              <w:rPr>
                <w:sz w:val="18"/>
                <w:szCs w:val="18"/>
                <w:lang w:val="fr-FR"/>
              </w:rPr>
              <w:t>article 5. 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4470A666"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49104D7B" w14:textId="77777777" w:rsidR="00521A74" w:rsidRPr="007C41F2" w:rsidRDefault="00521A74" w:rsidP="002D16A2">
            <w:pPr>
              <w:spacing w:after="120"/>
              <w:rPr>
                <w:sz w:val="18"/>
                <w:szCs w:val="18"/>
                <w:lang w:val="fr-FR"/>
              </w:rPr>
            </w:pPr>
            <w:r w:rsidRPr="007C41F2">
              <w:rPr>
                <w:sz w:val="18"/>
                <w:szCs w:val="18"/>
                <w:lang w:val="fr-FR"/>
              </w:rPr>
              <w:t>5.5.6</w:t>
            </w:r>
          </w:p>
        </w:tc>
        <w:tc>
          <w:tcPr>
            <w:tcW w:w="2206" w:type="dxa"/>
            <w:tcBorders>
              <w:top w:val="single" w:sz="4" w:space="0" w:color="auto"/>
              <w:left w:val="single" w:sz="4" w:space="0" w:color="auto"/>
              <w:bottom w:val="single" w:sz="4" w:space="0" w:color="auto"/>
              <w:right w:val="single" w:sz="4" w:space="0" w:color="auto"/>
            </w:tcBorders>
            <w:hideMark/>
          </w:tcPr>
          <w:p w14:paraId="1179390F" w14:textId="77777777" w:rsidR="00521A74" w:rsidRPr="007C41F2" w:rsidRDefault="00521A74" w:rsidP="002D16A2">
            <w:pPr>
              <w:spacing w:after="120"/>
              <w:rPr>
                <w:sz w:val="18"/>
                <w:szCs w:val="18"/>
                <w:lang w:val="fr-FR"/>
              </w:rPr>
            </w:pPr>
            <w:r w:rsidRPr="007C41F2">
              <w:rPr>
                <w:sz w:val="18"/>
                <w:szCs w:val="18"/>
                <w:lang w:val="fr-FR"/>
              </w:rPr>
              <w:t>Biocides et pesticides contenant du mercure</w:t>
            </w:r>
          </w:p>
        </w:tc>
        <w:tc>
          <w:tcPr>
            <w:tcW w:w="2537" w:type="dxa"/>
            <w:tcBorders>
              <w:top w:val="single" w:sz="4" w:space="0" w:color="auto"/>
              <w:left w:val="single" w:sz="4" w:space="0" w:color="auto"/>
              <w:bottom w:val="single" w:sz="4" w:space="0" w:color="auto"/>
              <w:right w:val="single" w:sz="4" w:space="0" w:color="auto"/>
            </w:tcBorders>
            <w:hideMark/>
          </w:tcPr>
          <w:p w14:paraId="728EB1F6" w14:textId="7D651DE1" w:rsidR="00521A74" w:rsidRPr="007C41F2" w:rsidRDefault="00521A74" w:rsidP="002D16A2">
            <w:pPr>
              <w:spacing w:after="120"/>
              <w:rPr>
                <w:sz w:val="18"/>
                <w:szCs w:val="18"/>
                <w:lang w:val="fr-FR"/>
              </w:rPr>
            </w:pPr>
            <w:r w:rsidRPr="007C41F2">
              <w:rPr>
                <w:sz w:val="18"/>
                <w:szCs w:val="18"/>
                <w:lang w:val="fr-FR"/>
              </w:rPr>
              <w:t>Des rejets dans le sol et/ou l</w:t>
            </w:r>
            <w:r w:rsidR="00CA739D" w:rsidRPr="007C41F2">
              <w:rPr>
                <w:sz w:val="18"/>
                <w:szCs w:val="18"/>
                <w:lang w:val="fr-FR"/>
              </w:rPr>
              <w:t>’</w:t>
            </w:r>
            <w:r w:rsidRPr="007C41F2">
              <w:rPr>
                <w:sz w:val="18"/>
                <w:szCs w:val="18"/>
                <w:lang w:val="fr-FR"/>
              </w:rPr>
              <w:t>eau ont été signalés en rapport à la fabrication de certains produits contenant du mercure ajouté.</w:t>
            </w:r>
          </w:p>
        </w:tc>
        <w:tc>
          <w:tcPr>
            <w:tcW w:w="1538" w:type="dxa"/>
            <w:tcBorders>
              <w:top w:val="single" w:sz="4" w:space="0" w:color="auto"/>
              <w:left w:val="single" w:sz="4" w:space="0" w:color="auto"/>
              <w:bottom w:val="single" w:sz="4" w:space="0" w:color="auto"/>
              <w:right w:val="single" w:sz="4" w:space="0" w:color="auto"/>
            </w:tcBorders>
          </w:tcPr>
          <w:p w14:paraId="674E2F70"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3D7ECC4E" w14:textId="06D3DC57" w:rsidR="00521A74" w:rsidRPr="007C41F2" w:rsidRDefault="00521A74" w:rsidP="002D16A2">
            <w:pPr>
              <w:spacing w:after="120"/>
              <w:rPr>
                <w:sz w:val="18"/>
                <w:szCs w:val="18"/>
                <w:lang w:val="fr-FR"/>
              </w:rPr>
            </w:pPr>
            <w:r w:rsidRPr="007C41F2">
              <w:rPr>
                <w:sz w:val="18"/>
                <w:szCs w:val="18"/>
                <w:lang w:val="fr-FR"/>
              </w:rPr>
              <w:t>La fabrication cessera en application de l</w:t>
            </w:r>
            <w:r w:rsidR="00CA739D" w:rsidRPr="007C41F2">
              <w:rPr>
                <w:sz w:val="18"/>
                <w:szCs w:val="18"/>
                <w:lang w:val="fr-FR"/>
              </w:rPr>
              <w:t>’</w:t>
            </w:r>
            <w:r w:rsidRPr="007C41F2">
              <w:rPr>
                <w:sz w:val="18"/>
                <w:szCs w:val="18"/>
                <w:lang w:val="fr-FR"/>
              </w:rPr>
              <w:t>article 4. 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0477132F"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30AC7DA2" w14:textId="77777777" w:rsidR="00521A74" w:rsidRPr="007C41F2" w:rsidRDefault="00521A74" w:rsidP="00241EF8">
            <w:pPr>
              <w:keepNext/>
              <w:keepLines/>
              <w:spacing w:after="120"/>
              <w:rPr>
                <w:sz w:val="18"/>
                <w:szCs w:val="18"/>
                <w:lang w:val="fr-FR"/>
              </w:rPr>
            </w:pPr>
            <w:r w:rsidRPr="007C41F2">
              <w:rPr>
                <w:sz w:val="18"/>
                <w:szCs w:val="18"/>
                <w:lang w:val="fr-FR"/>
              </w:rPr>
              <w:t>5.5.7</w:t>
            </w:r>
          </w:p>
        </w:tc>
        <w:tc>
          <w:tcPr>
            <w:tcW w:w="2206" w:type="dxa"/>
            <w:tcBorders>
              <w:top w:val="single" w:sz="4" w:space="0" w:color="auto"/>
              <w:left w:val="single" w:sz="4" w:space="0" w:color="auto"/>
              <w:bottom w:val="single" w:sz="4" w:space="0" w:color="auto"/>
              <w:right w:val="single" w:sz="4" w:space="0" w:color="auto"/>
            </w:tcBorders>
            <w:hideMark/>
          </w:tcPr>
          <w:p w14:paraId="645C7CE0" w14:textId="77777777" w:rsidR="00521A74" w:rsidRPr="007C41F2" w:rsidRDefault="00521A74" w:rsidP="00241EF8">
            <w:pPr>
              <w:keepNext/>
              <w:keepLines/>
              <w:spacing w:after="120"/>
              <w:rPr>
                <w:sz w:val="18"/>
                <w:szCs w:val="18"/>
                <w:lang w:val="fr-FR"/>
              </w:rPr>
            </w:pPr>
            <w:r w:rsidRPr="007C41F2">
              <w:rPr>
                <w:sz w:val="18"/>
                <w:szCs w:val="18"/>
                <w:lang w:val="fr-FR"/>
              </w:rPr>
              <w:t>Peintures au mercure</w:t>
            </w:r>
          </w:p>
        </w:tc>
        <w:tc>
          <w:tcPr>
            <w:tcW w:w="2537" w:type="dxa"/>
            <w:tcBorders>
              <w:top w:val="single" w:sz="4" w:space="0" w:color="auto"/>
              <w:left w:val="single" w:sz="4" w:space="0" w:color="auto"/>
              <w:bottom w:val="single" w:sz="4" w:space="0" w:color="auto"/>
              <w:right w:val="single" w:sz="4" w:space="0" w:color="auto"/>
            </w:tcBorders>
            <w:hideMark/>
          </w:tcPr>
          <w:p w14:paraId="4B2F9316" w14:textId="2F8BD8AE" w:rsidR="00521A74" w:rsidRPr="007C41F2" w:rsidRDefault="00521A74" w:rsidP="00241EF8">
            <w:pPr>
              <w:keepNext/>
              <w:keepLines/>
              <w:spacing w:after="120"/>
              <w:rPr>
                <w:sz w:val="18"/>
                <w:szCs w:val="18"/>
                <w:lang w:val="fr-FR"/>
              </w:rPr>
            </w:pPr>
            <w:r w:rsidRPr="007C41F2">
              <w:rPr>
                <w:sz w:val="18"/>
                <w:szCs w:val="18"/>
                <w:lang w:val="fr-FR"/>
              </w:rPr>
              <w:t>Des rejets dans le sol et/ou l</w:t>
            </w:r>
            <w:r w:rsidR="00CA739D" w:rsidRPr="007C41F2">
              <w:rPr>
                <w:sz w:val="18"/>
                <w:szCs w:val="18"/>
                <w:lang w:val="fr-FR"/>
              </w:rPr>
              <w:t>’</w:t>
            </w:r>
            <w:r w:rsidRPr="007C41F2">
              <w:rPr>
                <w:sz w:val="18"/>
                <w:szCs w:val="18"/>
                <w:lang w:val="fr-FR"/>
              </w:rPr>
              <w:t>eau ont été signalés en rapport à la fabrication de certains produits contenant du mercure ajouté.</w:t>
            </w:r>
          </w:p>
        </w:tc>
        <w:tc>
          <w:tcPr>
            <w:tcW w:w="1538" w:type="dxa"/>
            <w:tcBorders>
              <w:top w:val="single" w:sz="4" w:space="0" w:color="auto"/>
              <w:left w:val="single" w:sz="4" w:space="0" w:color="auto"/>
              <w:bottom w:val="single" w:sz="4" w:space="0" w:color="auto"/>
              <w:right w:val="single" w:sz="4" w:space="0" w:color="auto"/>
            </w:tcBorders>
          </w:tcPr>
          <w:p w14:paraId="7B2A9A8A" w14:textId="77777777" w:rsidR="00521A74" w:rsidRPr="007C41F2" w:rsidRDefault="00521A74" w:rsidP="00241EF8">
            <w:pPr>
              <w:keepNext/>
              <w:keepLines/>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2C77A163" w14:textId="18C0DADE" w:rsidR="00521A74" w:rsidRPr="007C41F2" w:rsidRDefault="00C22746" w:rsidP="00241EF8">
            <w:pPr>
              <w:keepNext/>
              <w:keepLines/>
              <w:spacing w:after="120"/>
              <w:rPr>
                <w:sz w:val="18"/>
                <w:szCs w:val="18"/>
                <w:lang w:val="fr-FR"/>
              </w:rPr>
            </w:pPr>
            <w:r w:rsidRPr="007C41F2">
              <w:rPr>
                <w:sz w:val="18"/>
                <w:szCs w:val="18"/>
                <w:lang w:val="fr-FR"/>
              </w:rPr>
              <w:t>La fabrication de peintures biocides cessera en application de l</w:t>
            </w:r>
            <w:r w:rsidR="00CA739D" w:rsidRPr="007C41F2">
              <w:rPr>
                <w:sz w:val="18"/>
                <w:szCs w:val="18"/>
                <w:lang w:val="fr-FR"/>
              </w:rPr>
              <w:t>’</w:t>
            </w:r>
            <w:r w:rsidRPr="007C41F2">
              <w:rPr>
                <w:sz w:val="18"/>
                <w:szCs w:val="18"/>
                <w:lang w:val="fr-FR"/>
              </w:rPr>
              <w:t>article 4. Les rejets issus de la production de peintures dans lesquelles le cinabre est utilisé comme pigment ne sont pas traités au titre de l</w:t>
            </w:r>
            <w:r w:rsidR="00CA739D" w:rsidRPr="007C41F2">
              <w:rPr>
                <w:sz w:val="18"/>
                <w:szCs w:val="18"/>
                <w:lang w:val="fr-FR"/>
              </w:rPr>
              <w:t>’</w:t>
            </w:r>
            <w:r w:rsidRPr="007C41F2">
              <w:rPr>
                <w:sz w:val="18"/>
                <w:szCs w:val="18"/>
                <w:lang w:val="fr-FR"/>
              </w:rPr>
              <w:t>article 4. 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4DB7E752"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672798BC" w14:textId="77777777" w:rsidR="00521A74" w:rsidRPr="007C41F2" w:rsidRDefault="00521A74" w:rsidP="002D16A2">
            <w:pPr>
              <w:spacing w:after="120"/>
              <w:rPr>
                <w:sz w:val="18"/>
                <w:szCs w:val="18"/>
                <w:lang w:val="fr-FR"/>
              </w:rPr>
            </w:pPr>
            <w:r w:rsidRPr="007C41F2">
              <w:rPr>
                <w:sz w:val="18"/>
                <w:szCs w:val="18"/>
                <w:lang w:val="fr-FR"/>
              </w:rPr>
              <w:t>5.5.8</w:t>
            </w:r>
          </w:p>
        </w:tc>
        <w:tc>
          <w:tcPr>
            <w:tcW w:w="2206" w:type="dxa"/>
            <w:tcBorders>
              <w:top w:val="single" w:sz="4" w:space="0" w:color="auto"/>
              <w:left w:val="single" w:sz="4" w:space="0" w:color="auto"/>
              <w:bottom w:val="single" w:sz="4" w:space="0" w:color="auto"/>
              <w:right w:val="single" w:sz="4" w:space="0" w:color="auto"/>
            </w:tcBorders>
            <w:hideMark/>
          </w:tcPr>
          <w:p w14:paraId="751B5A02" w14:textId="77777777" w:rsidR="00521A74" w:rsidRPr="007C41F2" w:rsidRDefault="00521A74" w:rsidP="002D16A2">
            <w:pPr>
              <w:spacing w:after="120"/>
              <w:rPr>
                <w:sz w:val="18"/>
                <w:szCs w:val="18"/>
                <w:lang w:val="fr-FR"/>
              </w:rPr>
            </w:pPr>
            <w:r w:rsidRPr="007C41F2">
              <w:rPr>
                <w:sz w:val="18"/>
                <w:szCs w:val="18"/>
                <w:lang w:val="fr-FR"/>
              </w:rPr>
              <w:t>Produits pharmaceutiques à usage humain et vétérinaire</w:t>
            </w:r>
          </w:p>
        </w:tc>
        <w:tc>
          <w:tcPr>
            <w:tcW w:w="2537" w:type="dxa"/>
            <w:tcBorders>
              <w:top w:val="single" w:sz="4" w:space="0" w:color="auto"/>
              <w:left w:val="single" w:sz="4" w:space="0" w:color="auto"/>
              <w:bottom w:val="single" w:sz="4" w:space="0" w:color="auto"/>
              <w:right w:val="single" w:sz="4" w:space="0" w:color="auto"/>
            </w:tcBorders>
            <w:hideMark/>
          </w:tcPr>
          <w:p w14:paraId="3558E647" w14:textId="47FF909C" w:rsidR="00521A74" w:rsidRPr="007C41F2" w:rsidRDefault="00521A74" w:rsidP="002D16A2">
            <w:pPr>
              <w:spacing w:after="120"/>
              <w:rPr>
                <w:sz w:val="18"/>
                <w:szCs w:val="18"/>
                <w:lang w:val="fr-FR"/>
              </w:rPr>
            </w:pPr>
            <w:r w:rsidRPr="007C41F2">
              <w:rPr>
                <w:sz w:val="18"/>
                <w:szCs w:val="18"/>
                <w:lang w:val="fr-FR"/>
              </w:rPr>
              <w:t>Des rejets dans le sol et/ou l</w:t>
            </w:r>
            <w:r w:rsidR="00CA739D" w:rsidRPr="007C41F2">
              <w:rPr>
                <w:sz w:val="18"/>
                <w:szCs w:val="18"/>
                <w:lang w:val="fr-FR"/>
              </w:rPr>
              <w:t>’</w:t>
            </w:r>
            <w:r w:rsidRPr="007C41F2">
              <w:rPr>
                <w:sz w:val="18"/>
                <w:szCs w:val="18"/>
                <w:lang w:val="fr-FR"/>
              </w:rPr>
              <w:t>eau ont été signalés en rapport à la fabrication de certains produits contenant du mercure ajouté.</w:t>
            </w:r>
          </w:p>
        </w:tc>
        <w:tc>
          <w:tcPr>
            <w:tcW w:w="1538" w:type="dxa"/>
            <w:tcBorders>
              <w:top w:val="single" w:sz="4" w:space="0" w:color="auto"/>
              <w:left w:val="single" w:sz="4" w:space="0" w:color="auto"/>
              <w:bottom w:val="single" w:sz="4" w:space="0" w:color="auto"/>
              <w:right w:val="single" w:sz="4" w:space="0" w:color="auto"/>
            </w:tcBorders>
          </w:tcPr>
          <w:p w14:paraId="2E870CD5"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0E041575" w14:textId="7E11276C" w:rsidR="00521A74" w:rsidRPr="007C41F2" w:rsidRDefault="00521A74" w:rsidP="002D16A2">
            <w:pPr>
              <w:spacing w:after="120"/>
              <w:rPr>
                <w:sz w:val="18"/>
                <w:szCs w:val="18"/>
                <w:lang w:val="fr-FR"/>
              </w:rPr>
            </w:pPr>
            <w:r w:rsidRPr="007C41F2">
              <w:rPr>
                <w:sz w:val="18"/>
                <w:szCs w:val="18"/>
                <w:lang w:val="fr-FR"/>
              </w:rPr>
              <w:t>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51EA2212"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23320903" w14:textId="77777777" w:rsidR="00521A74" w:rsidRPr="007C41F2" w:rsidRDefault="00521A74" w:rsidP="002D16A2">
            <w:pPr>
              <w:spacing w:after="120"/>
              <w:rPr>
                <w:sz w:val="18"/>
                <w:szCs w:val="18"/>
                <w:lang w:val="fr-FR"/>
              </w:rPr>
            </w:pPr>
            <w:r w:rsidRPr="007C41F2">
              <w:rPr>
                <w:sz w:val="18"/>
                <w:szCs w:val="18"/>
                <w:lang w:val="fr-FR"/>
              </w:rPr>
              <w:t>5.5.9</w:t>
            </w:r>
          </w:p>
        </w:tc>
        <w:tc>
          <w:tcPr>
            <w:tcW w:w="2206" w:type="dxa"/>
            <w:tcBorders>
              <w:top w:val="single" w:sz="4" w:space="0" w:color="auto"/>
              <w:left w:val="single" w:sz="4" w:space="0" w:color="auto"/>
              <w:bottom w:val="single" w:sz="4" w:space="0" w:color="auto"/>
              <w:right w:val="single" w:sz="4" w:space="0" w:color="auto"/>
            </w:tcBorders>
            <w:hideMark/>
          </w:tcPr>
          <w:p w14:paraId="519071DC" w14:textId="77777777" w:rsidR="00521A74" w:rsidRPr="007C41F2" w:rsidRDefault="00521A74" w:rsidP="002D16A2">
            <w:pPr>
              <w:spacing w:after="120"/>
              <w:rPr>
                <w:sz w:val="18"/>
                <w:szCs w:val="18"/>
                <w:lang w:val="fr-FR"/>
              </w:rPr>
            </w:pPr>
            <w:r w:rsidRPr="007C41F2">
              <w:rPr>
                <w:sz w:val="18"/>
                <w:szCs w:val="18"/>
                <w:lang w:val="fr-FR"/>
              </w:rPr>
              <w:t>Cosmétiques et produits connexes contenant du mercure</w:t>
            </w:r>
          </w:p>
        </w:tc>
        <w:tc>
          <w:tcPr>
            <w:tcW w:w="2537" w:type="dxa"/>
            <w:tcBorders>
              <w:top w:val="single" w:sz="4" w:space="0" w:color="auto"/>
              <w:left w:val="single" w:sz="4" w:space="0" w:color="auto"/>
              <w:bottom w:val="single" w:sz="4" w:space="0" w:color="auto"/>
              <w:right w:val="single" w:sz="4" w:space="0" w:color="auto"/>
            </w:tcBorders>
            <w:hideMark/>
          </w:tcPr>
          <w:p w14:paraId="2D6CE07C" w14:textId="050BCDDC" w:rsidR="00521A74" w:rsidRPr="007C41F2" w:rsidRDefault="00521A74" w:rsidP="002D16A2">
            <w:pPr>
              <w:spacing w:after="120"/>
              <w:rPr>
                <w:sz w:val="18"/>
                <w:szCs w:val="18"/>
                <w:lang w:val="fr-FR"/>
              </w:rPr>
            </w:pPr>
            <w:r w:rsidRPr="007C41F2">
              <w:rPr>
                <w:sz w:val="18"/>
                <w:szCs w:val="18"/>
                <w:lang w:val="fr-FR"/>
              </w:rPr>
              <w:t>Des rejets dans le sol et/ou l</w:t>
            </w:r>
            <w:r w:rsidR="00CA739D" w:rsidRPr="007C41F2">
              <w:rPr>
                <w:sz w:val="18"/>
                <w:szCs w:val="18"/>
                <w:lang w:val="fr-FR"/>
              </w:rPr>
              <w:t>’</w:t>
            </w:r>
            <w:r w:rsidRPr="007C41F2">
              <w:rPr>
                <w:sz w:val="18"/>
                <w:szCs w:val="18"/>
                <w:lang w:val="fr-FR"/>
              </w:rPr>
              <w:t>eau ont été signalés en rapport à la fabrication de certains produits contenant du mercure ajouté.</w:t>
            </w:r>
          </w:p>
        </w:tc>
        <w:tc>
          <w:tcPr>
            <w:tcW w:w="1538" w:type="dxa"/>
            <w:tcBorders>
              <w:top w:val="single" w:sz="4" w:space="0" w:color="auto"/>
              <w:left w:val="single" w:sz="4" w:space="0" w:color="auto"/>
              <w:bottom w:val="single" w:sz="4" w:space="0" w:color="auto"/>
              <w:right w:val="single" w:sz="4" w:space="0" w:color="auto"/>
            </w:tcBorders>
          </w:tcPr>
          <w:p w14:paraId="44ECCD8A"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4B95EE77" w14:textId="46AE58DF" w:rsidR="00521A74" w:rsidRPr="007C41F2" w:rsidRDefault="00521A74" w:rsidP="002D16A2">
            <w:pPr>
              <w:spacing w:after="120"/>
              <w:rPr>
                <w:sz w:val="18"/>
                <w:szCs w:val="18"/>
                <w:lang w:val="fr-FR"/>
              </w:rPr>
            </w:pPr>
            <w:r w:rsidRPr="007C41F2">
              <w:rPr>
                <w:sz w:val="18"/>
                <w:szCs w:val="18"/>
                <w:lang w:val="fr-FR"/>
              </w:rPr>
              <w:t>La fabrication cessera en application de l</w:t>
            </w:r>
            <w:r w:rsidR="00CA739D" w:rsidRPr="007C41F2">
              <w:rPr>
                <w:sz w:val="18"/>
                <w:szCs w:val="18"/>
                <w:lang w:val="fr-FR"/>
              </w:rPr>
              <w:t>’</w:t>
            </w:r>
            <w:r w:rsidRPr="007C41F2">
              <w:rPr>
                <w:sz w:val="18"/>
                <w:szCs w:val="18"/>
                <w:lang w:val="fr-FR"/>
              </w:rPr>
              <w:t>article 4, exception faite de certains produits pour la zone oculaire qui ne sont pas couverts par l</w:t>
            </w:r>
            <w:r w:rsidR="00CA739D" w:rsidRPr="007C41F2">
              <w:rPr>
                <w:sz w:val="18"/>
                <w:szCs w:val="18"/>
                <w:lang w:val="fr-FR"/>
              </w:rPr>
              <w:t>’</w:t>
            </w:r>
            <w:r w:rsidRPr="007C41F2">
              <w:rPr>
                <w:sz w:val="18"/>
                <w:szCs w:val="18"/>
                <w:lang w:val="fr-FR"/>
              </w:rPr>
              <w:t>article</w:t>
            </w:r>
            <w:r w:rsidR="00A47F6A" w:rsidRPr="007C41F2">
              <w:rPr>
                <w:sz w:val="18"/>
                <w:szCs w:val="18"/>
                <w:lang w:val="fr-FR"/>
              </w:rPr>
              <w:t> </w:t>
            </w:r>
            <w:r w:rsidRPr="007C41F2">
              <w:rPr>
                <w:sz w:val="18"/>
                <w:szCs w:val="18"/>
                <w:lang w:val="fr-FR"/>
              </w:rPr>
              <w:t>4. 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48EB40D3"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1E29FA63" w14:textId="77777777" w:rsidR="00521A74" w:rsidRPr="007C41F2" w:rsidRDefault="00521A74" w:rsidP="002D16A2">
            <w:pPr>
              <w:spacing w:after="120"/>
              <w:rPr>
                <w:sz w:val="14"/>
                <w:szCs w:val="14"/>
                <w:lang w:val="fr-FR"/>
              </w:rPr>
            </w:pPr>
            <w:r w:rsidRPr="007C41F2">
              <w:rPr>
                <w:sz w:val="14"/>
                <w:szCs w:val="14"/>
                <w:lang w:val="fr-FR"/>
              </w:rPr>
              <w:t>Transféré de 5.6.2</w:t>
            </w:r>
          </w:p>
        </w:tc>
        <w:tc>
          <w:tcPr>
            <w:tcW w:w="2206" w:type="dxa"/>
            <w:tcBorders>
              <w:top w:val="single" w:sz="4" w:space="0" w:color="auto"/>
              <w:left w:val="single" w:sz="4" w:space="0" w:color="auto"/>
              <w:bottom w:val="single" w:sz="4" w:space="0" w:color="auto"/>
              <w:right w:val="single" w:sz="4" w:space="0" w:color="auto"/>
            </w:tcBorders>
            <w:hideMark/>
          </w:tcPr>
          <w:p w14:paraId="4B776661" w14:textId="77777777" w:rsidR="00521A74" w:rsidRPr="007C41F2" w:rsidRDefault="00521A74" w:rsidP="002D16A2">
            <w:pPr>
              <w:spacing w:after="120"/>
              <w:rPr>
                <w:sz w:val="18"/>
                <w:szCs w:val="18"/>
                <w:lang w:val="fr-FR"/>
              </w:rPr>
            </w:pPr>
            <w:r w:rsidRPr="007C41F2">
              <w:rPr>
                <w:sz w:val="18"/>
                <w:szCs w:val="18"/>
                <w:lang w:val="fr-FR"/>
              </w:rPr>
              <w:t>Manomètres et jauges contenant du mercure</w:t>
            </w:r>
          </w:p>
        </w:tc>
        <w:tc>
          <w:tcPr>
            <w:tcW w:w="2537" w:type="dxa"/>
            <w:tcBorders>
              <w:top w:val="single" w:sz="4" w:space="0" w:color="auto"/>
              <w:left w:val="single" w:sz="4" w:space="0" w:color="auto"/>
              <w:bottom w:val="single" w:sz="4" w:space="0" w:color="auto"/>
              <w:right w:val="single" w:sz="4" w:space="0" w:color="auto"/>
            </w:tcBorders>
            <w:hideMark/>
          </w:tcPr>
          <w:p w14:paraId="3E9F7CD7" w14:textId="7616CB27" w:rsidR="00521A74" w:rsidRPr="007C41F2" w:rsidRDefault="00521A74" w:rsidP="002D16A2">
            <w:pPr>
              <w:spacing w:after="120"/>
              <w:rPr>
                <w:sz w:val="18"/>
                <w:szCs w:val="18"/>
                <w:lang w:val="fr-FR"/>
              </w:rPr>
            </w:pPr>
            <w:r w:rsidRPr="007C41F2">
              <w:rPr>
                <w:sz w:val="18"/>
                <w:szCs w:val="18"/>
                <w:lang w:val="fr-FR"/>
              </w:rPr>
              <w:t>Des rejets dans le sol et/ou l</w:t>
            </w:r>
            <w:r w:rsidR="00CA739D" w:rsidRPr="007C41F2">
              <w:rPr>
                <w:sz w:val="18"/>
                <w:szCs w:val="18"/>
                <w:lang w:val="fr-FR"/>
              </w:rPr>
              <w:t>’</w:t>
            </w:r>
            <w:r w:rsidRPr="007C41F2">
              <w:rPr>
                <w:sz w:val="18"/>
                <w:szCs w:val="18"/>
                <w:lang w:val="fr-FR"/>
              </w:rPr>
              <w:t xml:space="preserve">eau ont été signalés en rapport à la fabrication de certains produits contenant du mercure ajouté (consécutifs à des bris/déversements). </w:t>
            </w:r>
          </w:p>
        </w:tc>
        <w:tc>
          <w:tcPr>
            <w:tcW w:w="1538" w:type="dxa"/>
            <w:tcBorders>
              <w:top w:val="single" w:sz="4" w:space="0" w:color="auto"/>
              <w:left w:val="single" w:sz="4" w:space="0" w:color="auto"/>
              <w:bottom w:val="single" w:sz="4" w:space="0" w:color="auto"/>
              <w:right w:val="single" w:sz="4" w:space="0" w:color="auto"/>
            </w:tcBorders>
          </w:tcPr>
          <w:p w14:paraId="078529A3"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1A9B0A6A" w14:textId="4E223386" w:rsidR="00521A74" w:rsidRPr="007C41F2" w:rsidRDefault="00521A74" w:rsidP="002D16A2">
            <w:pPr>
              <w:spacing w:after="120"/>
              <w:rPr>
                <w:sz w:val="18"/>
                <w:szCs w:val="18"/>
                <w:lang w:val="fr-FR"/>
              </w:rPr>
            </w:pPr>
            <w:r w:rsidRPr="007C41F2">
              <w:rPr>
                <w:sz w:val="18"/>
                <w:szCs w:val="18"/>
                <w:lang w:val="fr-FR"/>
              </w:rPr>
              <w:t>La fabrication cessera en application de l</w:t>
            </w:r>
            <w:r w:rsidR="00CA739D" w:rsidRPr="007C41F2">
              <w:rPr>
                <w:sz w:val="18"/>
                <w:szCs w:val="18"/>
                <w:lang w:val="fr-FR"/>
              </w:rPr>
              <w:t>’</w:t>
            </w:r>
            <w:r w:rsidRPr="007C41F2">
              <w:rPr>
                <w:sz w:val="18"/>
                <w:szCs w:val="18"/>
                <w:lang w:val="fr-FR"/>
              </w:rPr>
              <w:t>article 4. 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44515CD5" w14:textId="77777777" w:rsidTr="003053E8">
        <w:tc>
          <w:tcPr>
            <w:tcW w:w="9350"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0422C0F6" w14:textId="77777777" w:rsidR="00521A74" w:rsidRPr="007C41F2" w:rsidRDefault="00521A74" w:rsidP="002D16A2">
            <w:pPr>
              <w:keepNext/>
              <w:keepLines/>
              <w:spacing w:after="120"/>
              <w:rPr>
                <w:sz w:val="18"/>
                <w:szCs w:val="18"/>
                <w:lang w:val="fr-FR"/>
              </w:rPr>
            </w:pPr>
            <w:r w:rsidRPr="007C41F2">
              <w:rPr>
                <w:sz w:val="18"/>
                <w:szCs w:val="18"/>
                <w:lang w:val="fr-FR"/>
              </w:rPr>
              <w:t xml:space="preserve">Catégorie de sources : Autre utilisation intentionnelle du produit/procédé </w:t>
            </w:r>
          </w:p>
        </w:tc>
      </w:tr>
      <w:tr w:rsidR="00521A74" w:rsidRPr="007C41F2" w14:paraId="2B72F110"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00632B74" w14:textId="77777777" w:rsidR="00521A74" w:rsidRPr="007C41F2" w:rsidRDefault="00521A74" w:rsidP="002D16A2">
            <w:pPr>
              <w:spacing w:after="120"/>
              <w:rPr>
                <w:sz w:val="18"/>
                <w:szCs w:val="18"/>
                <w:lang w:val="fr-FR"/>
              </w:rPr>
            </w:pPr>
            <w:r w:rsidRPr="007C41F2">
              <w:rPr>
                <w:sz w:val="18"/>
                <w:szCs w:val="18"/>
                <w:lang w:val="fr-FR"/>
              </w:rPr>
              <w:t>5.6.1</w:t>
            </w:r>
          </w:p>
        </w:tc>
        <w:tc>
          <w:tcPr>
            <w:tcW w:w="2206" w:type="dxa"/>
            <w:tcBorders>
              <w:top w:val="single" w:sz="4" w:space="0" w:color="auto"/>
              <w:left w:val="single" w:sz="4" w:space="0" w:color="auto"/>
              <w:bottom w:val="single" w:sz="4" w:space="0" w:color="auto"/>
              <w:right w:val="single" w:sz="4" w:space="0" w:color="auto"/>
            </w:tcBorders>
            <w:hideMark/>
          </w:tcPr>
          <w:p w14:paraId="7786ACF8" w14:textId="0258F98C" w:rsidR="00521A74" w:rsidRPr="007C41F2" w:rsidRDefault="00521A74" w:rsidP="002D16A2">
            <w:pPr>
              <w:spacing w:after="120"/>
              <w:rPr>
                <w:sz w:val="18"/>
                <w:szCs w:val="18"/>
                <w:lang w:val="fr-FR"/>
              </w:rPr>
            </w:pPr>
            <w:r w:rsidRPr="007C41F2">
              <w:rPr>
                <w:sz w:val="18"/>
                <w:szCs w:val="18"/>
                <w:lang w:val="fr-FR"/>
              </w:rPr>
              <w:t>Cliniques dentaires utilisant des plombages à base d</w:t>
            </w:r>
            <w:r w:rsidR="00CA739D" w:rsidRPr="007C41F2">
              <w:rPr>
                <w:sz w:val="18"/>
                <w:szCs w:val="18"/>
                <w:lang w:val="fr-FR"/>
              </w:rPr>
              <w:t>’</w:t>
            </w:r>
            <w:r w:rsidRPr="007C41F2">
              <w:rPr>
                <w:sz w:val="18"/>
                <w:szCs w:val="18"/>
                <w:lang w:val="fr-FR"/>
              </w:rPr>
              <w:t xml:space="preserve">amalgames de mercure </w:t>
            </w:r>
          </w:p>
        </w:tc>
        <w:tc>
          <w:tcPr>
            <w:tcW w:w="2537" w:type="dxa"/>
            <w:tcBorders>
              <w:top w:val="single" w:sz="4" w:space="0" w:color="auto"/>
              <w:left w:val="single" w:sz="4" w:space="0" w:color="auto"/>
              <w:bottom w:val="single" w:sz="4" w:space="0" w:color="auto"/>
              <w:right w:val="single" w:sz="4" w:space="0" w:color="auto"/>
            </w:tcBorders>
            <w:hideMark/>
          </w:tcPr>
          <w:p w14:paraId="04A6B044" w14:textId="3C779BE5" w:rsidR="00521A74" w:rsidRPr="007C41F2" w:rsidRDefault="00521A74" w:rsidP="002D16A2">
            <w:pPr>
              <w:spacing w:after="120"/>
              <w:rPr>
                <w:sz w:val="18"/>
                <w:szCs w:val="18"/>
                <w:lang w:val="fr-FR"/>
              </w:rPr>
            </w:pPr>
            <w:r w:rsidRPr="007C41F2">
              <w:rPr>
                <w:sz w:val="18"/>
                <w:szCs w:val="18"/>
                <w:lang w:val="fr-FR"/>
              </w:rPr>
              <w:t>Des rejets dans l</w:t>
            </w:r>
            <w:r w:rsidR="00CA739D" w:rsidRPr="007C41F2">
              <w:rPr>
                <w:sz w:val="18"/>
                <w:szCs w:val="18"/>
                <w:lang w:val="fr-FR"/>
              </w:rPr>
              <w:t>’</w:t>
            </w:r>
            <w:r w:rsidRPr="007C41F2">
              <w:rPr>
                <w:sz w:val="18"/>
                <w:szCs w:val="18"/>
                <w:lang w:val="fr-FR"/>
              </w:rPr>
              <w:t>eau ont été signalés tout au long du cycle de vie des amalgames dentaires, à partir de nouvelles obturations ou du fraisage d</w:t>
            </w:r>
            <w:r w:rsidR="00CA739D" w:rsidRPr="007C41F2">
              <w:rPr>
                <w:sz w:val="18"/>
                <w:szCs w:val="18"/>
                <w:lang w:val="fr-FR"/>
              </w:rPr>
              <w:t>’</w:t>
            </w:r>
            <w:r w:rsidRPr="007C41F2">
              <w:rPr>
                <w:sz w:val="18"/>
                <w:szCs w:val="18"/>
                <w:lang w:val="fr-FR"/>
              </w:rPr>
              <w:t xml:space="preserve">anciennes obturations dans les cliniques dentaires. </w:t>
            </w:r>
          </w:p>
        </w:tc>
        <w:tc>
          <w:tcPr>
            <w:tcW w:w="1538" w:type="dxa"/>
            <w:tcBorders>
              <w:top w:val="single" w:sz="4" w:space="0" w:color="auto"/>
              <w:left w:val="single" w:sz="4" w:space="0" w:color="auto"/>
              <w:bottom w:val="single" w:sz="4" w:space="0" w:color="auto"/>
              <w:right w:val="single" w:sz="4" w:space="0" w:color="auto"/>
            </w:tcBorders>
            <w:hideMark/>
          </w:tcPr>
          <w:p w14:paraId="09C4E079" w14:textId="611CCBD3" w:rsidR="00521A74" w:rsidRPr="007C41F2" w:rsidRDefault="00521A74" w:rsidP="002D16A2">
            <w:pPr>
              <w:keepNext/>
              <w:keepLines/>
              <w:spacing w:after="120"/>
              <w:rPr>
                <w:sz w:val="18"/>
                <w:szCs w:val="18"/>
                <w:lang w:val="fr-FR"/>
              </w:rPr>
            </w:pPr>
            <w:r w:rsidRPr="007C41F2">
              <w:rPr>
                <w:sz w:val="18"/>
                <w:szCs w:val="18"/>
                <w:lang w:val="fr-FR"/>
              </w:rPr>
              <w:t>Source ponctuelle ou source diffuse</w:t>
            </w:r>
          </w:p>
        </w:tc>
        <w:tc>
          <w:tcPr>
            <w:tcW w:w="2242" w:type="dxa"/>
            <w:tcBorders>
              <w:top w:val="single" w:sz="4" w:space="0" w:color="auto"/>
              <w:left w:val="single" w:sz="4" w:space="0" w:color="auto"/>
              <w:bottom w:val="single" w:sz="4" w:space="0" w:color="auto"/>
              <w:right w:val="single" w:sz="4" w:space="0" w:color="auto"/>
            </w:tcBorders>
          </w:tcPr>
          <w:p w14:paraId="60E4252C" w14:textId="33A7DFBC" w:rsidR="00521A74" w:rsidRPr="007C41F2" w:rsidRDefault="00521A74" w:rsidP="002D16A2">
            <w:pPr>
              <w:keepNext/>
              <w:keepLines/>
              <w:spacing w:after="120"/>
              <w:rPr>
                <w:sz w:val="18"/>
                <w:szCs w:val="18"/>
                <w:lang w:val="fr-FR"/>
              </w:rPr>
            </w:pPr>
            <w:r w:rsidRPr="007C41F2">
              <w:rPr>
                <w:sz w:val="18"/>
                <w:szCs w:val="18"/>
                <w:lang w:val="fr-FR"/>
              </w:rPr>
              <w:t>Les Parties peuvent traiter ces rejets au titre de l</w:t>
            </w:r>
            <w:r w:rsidR="00CA739D" w:rsidRPr="007C41F2">
              <w:rPr>
                <w:sz w:val="18"/>
                <w:szCs w:val="18"/>
                <w:lang w:val="fr-FR"/>
              </w:rPr>
              <w:t>’</w:t>
            </w:r>
            <w:r w:rsidRPr="007C41F2">
              <w:rPr>
                <w:sz w:val="18"/>
                <w:szCs w:val="18"/>
                <w:lang w:val="fr-FR"/>
              </w:rPr>
              <w:t>article 4 mais ne sont pas tenues de le faire. Les déchets d</w:t>
            </w:r>
            <w:r w:rsidR="00CA739D" w:rsidRPr="007C41F2">
              <w:rPr>
                <w:sz w:val="18"/>
                <w:szCs w:val="18"/>
                <w:lang w:val="fr-FR"/>
              </w:rPr>
              <w:t>’</w:t>
            </w:r>
            <w:r w:rsidRPr="007C41F2">
              <w:rPr>
                <w:sz w:val="18"/>
                <w:szCs w:val="18"/>
                <w:lang w:val="fr-FR"/>
              </w:rPr>
              <w:t>amalgame sont traités à l</w:t>
            </w:r>
            <w:r w:rsidR="00CA739D" w:rsidRPr="007C41F2">
              <w:rPr>
                <w:sz w:val="18"/>
                <w:szCs w:val="18"/>
                <w:lang w:val="fr-FR"/>
              </w:rPr>
              <w:t>’</w:t>
            </w:r>
            <w:r w:rsidRPr="007C41F2">
              <w:rPr>
                <w:sz w:val="18"/>
                <w:szCs w:val="18"/>
                <w:lang w:val="fr-FR"/>
              </w:rPr>
              <w:t>article 11.</w:t>
            </w:r>
          </w:p>
        </w:tc>
      </w:tr>
      <w:tr w:rsidR="00521A74" w:rsidRPr="007C41F2" w14:paraId="08EEF64C"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7396B1C0" w14:textId="77777777" w:rsidR="00521A74" w:rsidRPr="007C41F2" w:rsidRDefault="00521A74" w:rsidP="002D16A2">
            <w:pPr>
              <w:spacing w:after="120"/>
              <w:rPr>
                <w:sz w:val="18"/>
                <w:szCs w:val="18"/>
                <w:lang w:val="fr-FR"/>
              </w:rPr>
            </w:pPr>
            <w:r w:rsidRPr="007C41F2">
              <w:rPr>
                <w:sz w:val="18"/>
                <w:szCs w:val="18"/>
                <w:lang w:val="fr-FR"/>
              </w:rPr>
              <w:t>5.6.3</w:t>
            </w:r>
          </w:p>
        </w:tc>
        <w:tc>
          <w:tcPr>
            <w:tcW w:w="2206" w:type="dxa"/>
            <w:tcBorders>
              <w:top w:val="single" w:sz="4" w:space="0" w:color="auto"/>
              <w:left w:val="single" w:sz="4" w:space="0" w:color="auto"/>
              <w:bottom w:val="single" w:sz="4" w:space="0" w:color="auto"/>
              <w:right w:val="single" w:sz="4" w:space="0" w:color="auto"/>
            </w:tcBorders>
            <w:hideMark/>
          </w:tcPr>
          <w:p w14:paraId="772E02C4" w14:textId="77777777" w:rsidR="00521A74" w:rsidRPr="007C41F2" w:rsidRDefault="00521A74" w:rsidP="002D16A2">
            <w:pPr>
              <w:spacing w:after="120"/>
              <w:rPr>
                <w:sz w:val="18"/>
                <w:szCs w:val="18"/>
                <w:lang w:val="fr-FR"/>
              </w:rPr>
            </w:pPr>
            <w:r w:rsidRPr="007C41F2">
              <w:rPr>
                <w:sz w:val="18"/>
                <w:szCs w:val="18"/>
                <w:lang w:val="fr-FR"/>
              </w:rPr>
              <w:t>Produits chimiques et équipement de laboratoire contenant du mercure</w:t>
            </w:r>
          </w:p>
        </w:tc>
        <w:tc>
          <w:tcPr>
            <w:tcW w:w="2537" w:type="dxa"/>
            <w:tcBorders>
              <w:top w:val="single" w:sz="4" w:space="0" w:color="auto"/>
              <w:left w:val="single" w:sz="4" w:space="0" w:color="auto"/>
              <w:bottom w:val="single" w:sz="4" w:space="0" w:color="auto"/>
              <w:right w:val="single" w:sz="4" w:space="0" w:color="auto"/>
            </w:tcBorders>
            <w:hideMark/>
          </w:tcPr>
          <w:p w14:paraId="3B2D0853" w14:textId="6D266E37" w:rsidR="00521A74" w:rsidRPr="007C41F2" w:rsidRDefault="00521A74" w:rsidP="002D16A2">
            <w:pPr>
              <w:spacing w:after="120"/>
              <w:rPr>
                <w:sz w:val="18"/>
                <w:szCs w:val="18"/>
                <w:lang w:val="fr-FR"/>
              </w:rPr>
            </w:pPr>
            <w:r w:rsidRPr="007C41F2">
              <w:rPr>
                <w:sz w:val="18"/>
                <w:szCs w:val="18"/>
                <w:lang w:val="fr-FR"/>
              </w:rPr>
              <w:t>Des rejets dans le sol et/ou l</w:t>
            </w:r>
            <w:r w:rsidR="00CA739D" w:rsidRPr="007C41F2">
              <w:rPr>
                <w:sz w:val="18"/>
                <w:szCs w:val="18"/>
                <w:lang w:val="fr-FR"/>
              </w:rPr>
              <w:t>’</w:t>
            </w:r>
            <w:r w:rsidRPr="007C41F2">
              <w:rPr>
                <w:sz w:val="18"/>
                <w:szCs w:val="18"/>
                <w:lang w:val="fr-FR"/>
              </w:rPr>
              <w:t xml:space="preserve">eau ont été signalés. </w:t>
            </w:r>
          </w:p>
        </w:tc>
        <w:tc>
          <w:tcPr>
            <w:tcW w:w="1538" w:type="dxa"/>
            <w:tcBorders>
              <w:top w:val="single" w:sz="4" w:space="0" w:color="auto"/>
              <w:left w:val="single" w:sz="4" w:space="0" w:color="auto"/>
              <w:bottom w:val="single" w:sz="4" w:space="0" w:color="auto"/>
              <w:right w:val="single" w:sz="4" w:space="0" w:color="auto"/>
            </w:tcBorders>
            <w:hideMark/>
          </w:tcPr>
          <w:p w14:paraId="49A51A04" w14:textId="7F4B0F82" w:rsidR="00521A74" w:rsidRPr="007C41F2" w:rsidRDefault="00521A74" w:rsidP="002D16A2">
            <w:pPr>
              <w:spacing w:after="120"/>
              <w:rPr>
                <w:sz w:val="18"/>
                <w:szCs w:val="18"/>
                <w:lang w:val="fr-FR"/>
              </w:rPr>
            </w:pPr>
            <w:r w:rsidRPr="007C41F2">
              <w:rPr>
                <w:sz w:val="18"/>
                <w:szCs w:val="18"/>
                <w:lang w:val="fr-FR"/>
              </w:rPr>
              <w:t>Source ponctuelle ou source diffuse</w:t>
            </w:r>
          </w:p>
        </w:tc>
        <w:tc>
          <w:tcPr>
            <w:tcW w:w="2242" w:type="dxa"/>
            <w:tcBorders>
              <w:top w:val="single" w:sz="4" w:space="0" w:color="auto"/>
              <w:left w:val="single" w:sz="4" w:space="0" w:color="auto"/>
              <w:bottom w:val="single" w:sz="4" w:space="0" w:color="auto"/>
              <w:right w:val="single" w:sz="4" w:space="0" w:color="auto"/>
            </w:tcBorders>
          </w:tcPr>
          <w:p w14:paraId="5DE3D854" w14:textId="3B289A6E" w:rsidR="00521A74" w:rsidRPr="007C41F2" w:rsidRDefault="00521A74" w:rsidP="002D16A2">
            <w:pPr>
              <w:spacing w:after="120"/>
              <w:rPr>
                <w:sz w:val="18"/>
                <w:szCs w:val="18"/>
                <w:lang w:val="fr-FR"/>
              </w:rPr>
            </w:pPr>
            <w:r w:rsidRPr="007C41F2">
              <w:rPr>
                <w:sz w:val="18"/>
                <w:szCs w:val="18"/>
                <w:lang w:val="fr-FR"/>
              </w:rPr>
              <w:t>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2CD919A5"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526B64AD" w14:textId="77777777" w:rsidR="00521A74" w:rsidRPr="007C41F2" w:rsidRDefault="00521A74" w:rsidP="002D16A2">
            <w:pPr>
              <w:spacing w:after="120"/>
              <w:rPr>
                <w:sz w:val="18"/>
                <w:szCs w:val="18"/>
                <w:lang w:val="fr-FR"/>
              </w:rPr>
            </w:pPr>
            <w:r w:rsidRPr="007C41F2">
              <w:rPr>
                <w:sz w:val="18"/>
                <w:szCs w:val="18"/>
                <w:lang w:val="fr-FR"/>
              </w:rPr>
              <w:t>5.6.4</w:t>
            </w:r>
          </w:p>
        </w:tc>
        <w:tc>
          <w:tcPr>
            <w:tcW w:w="2206" w:type="dxa"/>
            <w:tcBorders>
              <w:top w:val="single" w:sz="4" w:space="0" w:color="auto"/>
              <w:left w:val="single" w:sz="4" w:space="0" w:color="auto"/>
              <w:bottom w:val="single" w:sz="4" w:space="0" w:color="auto"/>
              <w:right w:val="single" w:sz="4" w:space="0" w:color="auto"/>
            </w:tcBorders>
            <w:hideMark/>
          </w:tcPr>
          <w:p w14:paraId="7D021AFC" w14:textId="77777777" w:rsidR="00521A74" w:rsidRPr="007C41F2" w:rsidRDefault="00521A74" w:rsidP="002D16A2">
            <w:pPr>
              <w:spacing w:after="120"/>
              <w:rPr>
                <w:sz w:val="18"/>
                <w:szCs w:val="18"/>
                <w:lang w:val="fr-FR"/>
              </w:rPr>
            </w:pPr>
            <w:r w:rsidRPr="007C41F2">
              <w:rPr>
                <w:sz w:val="18"/>
                <w:szCs w:val="18"/>
                <w:lang w:val="fr-FR"/>
              </w:rPr>
              <w:t>Mercure élémentaire utilisé lors de rites religieux et dans la médecine populaire</w:t>
            </w:r>
          </w:p>
        </w:tc>
        <w:tc>
          <w:tcPr>
            <w:tcW w:w="2537" w:type="dxa"/>
            <w:tcBorders>
              <w:top w:val="single" w:sz="4" w:space="0" w:color="auto"/>
              <w:left w:val="single" w:sz="4" w:space="0" w:color="auto"/>
              <w:bottom w:val="single" w:sz="4" w:space="0" w:color="auto"/>
              <w:right w:val="single" w:sz="4" w:space="0" w:color="auto"/>
            </w:tcBorders>
            <w:hideMark/>
          </w:tcPr>
          <w:p w14:paraId="54D22317" w14:textId="44B53A8C" w:rsidR="00521A74" w:rsidRPr="007C41F2" w:rsidRDefault="00035C99" w:rsidP="002D16A2">
            <w:pPr>
              <w:spacing w:after="120"/>
              <w:rPr>
                <w:sz w:val="18"/>
                <w:szCs w:val="18"/>
                <w:lang w:val="fr-FR"/>
              </w:rPr>
            </w:pPr>
            <w:r w:rsidRPr="007C41F2">
              <w:rPr>
                <w:sz w:val="18"/>
                <w:szCs w:val="18"/>
                <w:lang w:val="fr-FR"/>
              </w:rPr>
              <w:t>Il est entendu que des rejets se produisent dans le sol et l</w:t>
            </w:r>
            <w:r w:rsidR="00CA739D" w:rsidRPr="007C41F2">
              <w:rPr>
                <w:sz w:val="18"/>
                <w:szCs w:val="18"/>
                <w:lang w:val="fr-FR"/>
              </w:rPr>
              <w:t>’</w:t>
            </w:r>
            <w:r w:rsidRPr="007C41F2">
              <w:rPr>
                <w:sz w:val="18"/>
                <w:szCs w:val="18"/>
                <w:lang w:val="fr-FR"/>
              </w:rPr>
              <w:t>eau lors de la fabrication, du commerce et de l</w:t>
            </w:r>
            <w:r w:rsidR="00CA739D" w:rsidRPr="007C41F2">
              <w:rPr>
                <w:sz w:val="18"/>
                <w:szCs w:val="18"/>
                <w:lang w:val="fr-FR"/>
              </w:rPr>
              <w:t>’</w:t>
            </w:r>
            <w:r w:rsidRPr="007C41F2">
              <w:rPr>
                <w:sz w:val="18"/>
                <w:szCs w:val="18"/>
                <w:lang w:val="fr-FR"/>
              </w:rPr>
              <w:t>utilisation, même si aucune donnée quantitative n</w:t>
            </w:r>
            <w:r w:rsidR="00CA739D" w:rsidRPr="007C41F2">
              <w:rPr>
                <w:sz w:val="18"/>
                <w:szCs w:val="18"/>
                <w:lang w:val="fr-FR"/>
              </w:rPr>
              <w:t>’</w:t>
            </w:r>
            <w:r w:rsidRPr="007C41F2">
              <w:rPr>
                <w:sz w:val="18"/>
                <w:szCs w:val="18"/>
                <w:lang w:val="fr-FR"/>
              </w:rPr>
              <w:t>est disponible. Par exemple, des quantités notables de mercure sont utilisées dans la médecine ayurvédique en Inde.</w:t>
            </w:r>
          </w:p>
        </w:tc>
        <w:tc>
          <w:tcPr>
            <w:tcW w:w="1538" w:type="dxa"/>
            <w:tcBorders>
              <w:top w:val="single" w:sz="4" w:space="0" w:color="auto"/>
              <w:left w:val="single" w:sz="4" w:space="0" w:color="auto"/>
              <w:bottom w:val="single" w:sz="4" w:space="0" w:color="auto"/>
              <w:right w:val="single" w:sz="4" w:space="0" w:color="auto"/>
            </w:tcBorders>
          </w:tcPr>
          <w:p w14:paraId="1C9918C7" w14:textId="515C3B8E" w:rsidR="00521A74" w:rsidRPr="007C41F2" w:rsidRDefault="00521A74" w:rsidP="002D16A2">
            <w:pPr>
              <w:spacing w:after="120"/>
              <w:rPr>
                <w:sz w:val="18"/>
                <w:szCs w:val="18"/>
                <w:lang w:val="fr-FR"/>
              </w:rPr>
            </w:pPr>
            <w:r w:rsidRPr="007C41F2">
              <w:rPr>
                <w:sz w:val="18"/>
                <w:szCs w:val="18"/>
                <w:lang w:val="fr-FR"/>
              </w:rPr>
              <w:t>Source diffuse, sauf peut-être dans la fabrication</w:t>
            </w:r>
          </w:p>
        </w:tc>
        <w:tc>
          <w:tcPr>
            <w:tcW w:w="2242" w:type="dxa"/>
            <w:tcBorders>
              <w:top w:val="single" w:sz="4" w:space="0" w:color="auto"/>
              <w:left w:val="single" w:sz="4" w:space="0" w:color="auto"/>
              <w:bottom w:val="single" w:sz="4" w:space="0" w:color="auto"/>
              <w:right w:val="single" w:sz="4" w:space="0" w:color="auto"/>
            </w:tcBorders>
          </w:tcPr>
          <w:p w14:paraId="38584197" w14:textId="01482438" w:rsidR="00521A74" w:rsidRPr="007C41F2" w:rsidRDefault="00521A74" w:rsidP="002D16A2">
            <w:pPr>
              <w:spacing w:after="120"/>
              <w:rPr>
                <w:sz w:val="18"/>
                <w:szCs w:val="18"/>
                <w:lang w:val="fr-FR"/>
              </w:rPr>
            </w:pPr>
            <w:r w:rsidRPr="007C41F2">
              <w:rPr>
                <w:sz w:val="18"/>
                <w:szCs w:val="18"/>
                <w:lang w:val="fr-FR"/>
              </w:rPr>
              <w:t>Les rejets provenant des déchets sont traités à l</w:t>
            </w:r>
            <w:r w:rsidR="00CA739D" w:rsidRPr="007C41F2">
              <w:rPr>
                <w:sz w:val="18"/>
                <w:szCs w:val="18"/>
                <w:lang w:val="fr-FR"/>
              </w:rPr>
              <w:t>’</w:t>
            </w:r>
            <w:r w:rsidRPr="007C41F2">
              <w:rPr>
                <w:sz w:val="18"/>
                <w:szCs w:val="18"/>
                <w:lang w:val="fr-FR"/>
              </w:rPr>
              <w:t>article 11.</w:t>
            </w:r>
          </w:p>
        </w:tc>
      </w:tr>
      <w:tr w:rsidR="00521A74" w:rsidRPr="007C41F2" w14:paraId="6BCCFAD2" w14:textId="77777777" w:rsidTr="003053E8">
        <w:tc>
          <w:tcPr>
            <w:tcW w:w="9350"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234D694A" w14:textId="077EDEF6" w:rsidR="00521A74" w:rsidRPr="007C41F2" w:rsidRDefault="00521A74" w:rsidP="002D16A2">
            <w:pPr>
              <w:spacing w:after="120"/>
              <w:rPr>
                <w:sz w:val="18"/>
                <w:szCs w:val="18"/>
                <w:lang w:val="fr-FR"/>
              </w:rPr>
            </w:pPr>
            <w:r w:rsidRPr="007C41F2">
              <w:rPr>
                <w:sz w:val="18"/>
                <w:szCs w:val="18"/>
                <w:lang w:val="fr-FR"/>
              </w:rPr>
              <w:t>Catégorie de sources : Production de métaux recyclés (production secondaire de métaux)</w:t>
            </w:r>
          </w:p>
        </w:tc>
      </w:tr>
      <w:tr w:rsidR="00521A74" w:rsidRPr="007C41F2" w14:paraId="7624D73A"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31BF3A4F" w14:textId="77777777" w:rsidR="00521A74" w:rsidRPr="007C41F2" w:rsidRDefault="00521A74" w:rsidP="002D16A2">
            <w:pPr>
              <w:spacing w:after="120"/>
              <w:rPr>
                <w:sz w:val="18"/>
                <w:szCs w:val="18"/>
                <w:lang w:val="fr-FR"/>
              </w:rPr>
            </w:pPr>
            <w:r w:rsidRPr="007C41F2">
              <w:rPr>
                <w:sz w:val="18"/>
                <w:szCs w:val="18"/>
                <w:lang w:val="fr-FR"/>
              </w:rPr>
              <w:t>5.7.1</w:t>
            </w:r>
          </w:p>
        </w:tc>
        <w:tc>
          <w:tcPr>
            <w:tcW w:w="2206" w:type="dxa"/>
            <w:tcBorders>
              <w:top w:val="single" w:sz="4" w:space="0" w:color="auto"/>
              <w:left w:val="single" w:sz="4" w:space="0" w:color="auto"/>
              <w:bottom w:val="single" w:sz="4" w:space="0" w:color="auto"/>
              <w:right w:val="single" w:sz="4" w:space="0" w:color="auto"/>
            </w:tcBorders>
            <w:hideMark/>
          </w:tcPr>
          <w:p w14:paraId="102CB175" w14:textId="04E01BDA" w:rsidR="00521A74" w:rsidRPr="007C41F2" w:rsidRDefault="00521A74" w:rsidP="002D16A2">
            <w:pPr>
              <w:spacing w:after="120"/>
              <w:rPr>
                <w:sz w:val="18"/>
                <w:szCs w:val="18"/>
                <w:lang w:val="fr-FR"/>
              </w:rPr>
            </w:pPr>
            <w:r w:rsidRPr="007C41F2">
              <w:rPr>
                <w:sz w:val="18"/>
                <w:szCs w:val="18"/>
                <w:lang w:val="fr-FR"/>
              </w:rPr>
              <w:t>Production de mercure recyclé (production secondaire)</w:t>
            </w:r>
          </w:p>
        </w:tc>
        <w:tc>
          <w:tcPr>
            <w:tcW w:w="2537" w:type="dxa"/>
            <w:tcBorders>
              <w:top w:val="single" w:sz="4" w:space="0" w:color="auto"/>
              <w:left w:val="single" w:sz="4" w:space="0" w:color="auto"/>
              <w:bottom w:val="single" w:sz="4" w:space="0" w:color="auto"/>
              <w:right w:val="single" w:sz="4" w:space="0" w:color="auto"/>
            </w:tcBorders>
            <w:hideMark/>
          </w:tcPr>
          <w:p w14:paraId="1DA0974B" w14:textId="333E6B8D" w:rsidR="00521A74" w:rsidRPr="007C41F2" w:rsidRDefault="00521A74" w:rsidP="002D16A2">
            <w:pPr>
              <w:spacing w:after="120"/>
              <w:rPr>
                <w:sz w:val="18"/>
                <w:szCs w:val="18"/>
                <w:lang w:val="fr-FR"/>
              </w:rPr>
            </w:pPr>
            <w:r w:rsidRPr="007C41F2">
              <w:rPr>
                <w:sz w:val="18"/>
                <w:szCs w:val="18"/>
                <w:lang w:val="fr-FR"/>
              </w:rPr>
              <w:t>Des rejets dans l</w:t>
            </w:r>
            <w:r w:rsidR="00CA739D" w:rsidRPr="007C41F2">
              <w:rPr>
                <w:sz w:val="18"/>
                <w:szCs w:val="18"/>
                <w:lang w:val="fr-FR"/>
              </w:rPr>
              <w:t>’</w:t>
            </w:r>
            <w:r w:rsidRPr="007C41F2">
              <w:rPr>
                <w:sz w:val="18"/>
                <w:szCs w:val="18"/>
                <w:lang w:val="fr-FR"/>
              </w:rPr>
              <w:t>eau et le sol/déchets ont été signalés.</w:t>
            </w:r>
          </w:p>
        </w:tc>
        <w:tc>
          <w:tcPr>
            <w:tcW w:w="1538" w:type="dxa"/>
            <w:tcBorders>
              <w:top w:val="single" w:sz="4" w:space="0" w:color="auto"/>
              <w:left w:val="single" w:sz="4" w:space="0" w:color="auto"/>
              <w:bottom w:val="single" w:sz="4" w:space="0" w:color="auto"/>
              <w:right w:val="single" w:sz="4" w:space="0" w:color="auto"/>
            </w:tcBorders>
            <w:hideMark/>
          </w:tcPr>
          <w:p w14:paraId="34D8DE28"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7ECF6A10" w14:textId="246BAEDD" w:rsidR="00521A74" w:rsidRPr="007C41F2" w:rsidRDefault="00521A74" w:rsidP="002D16A2">
            <w:pPr>
              <w:spacing w:after="120"/>
              <w:rPr>
                <w:sz w:val="18"/>
                <w:szCs w:val="18"/>
                <w:lang w:val="fr-FR"/>
              </w:rPr>
            </w:pPr>
            <w:r w:rsidRPr="007C41F2">
              <w:rPr>
                <w:sz w:val="18"/>
                <w:szCs w:val="18"/>
                <w:lang w:val="fr-FR"/>
              </w:rPr>
              <w:t>Les rejets sont traités à l</w:t>
            </w:r>
            <w:r w:rsidR="00CA739D" w:rsidRPr="007C41F2">
              <w:rPr>
                <w:sz w:val="18"/>
                <w:szCs w:val="18"/>
                <w:lang w:val="fr-FR"/>
              </w:rPr>
              <w:t>’</w:t>
            </w:r>
            <w:r w:rsidRPr="007C41F2">
              <w:rPr>
                <w:sz w:val="18"/>
                <w:szCs w:val="18"/>
                <w:lang w:val="fr-FR"/>
              </w:rPr>
              <w:t>article 11.</w:t>
            </w:r>
          </w:p>
        </w:tc>
      </w:tr>
      <w:tr w:rsidR="00521A74" w:rsidRPr="007C41F2" w14:paraId="0C35F856"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7E61D02A" w14:textId="77777777" w:rsidR="00521A74" w:rsidRPr="007C41F2" w:rsidRDefault="00521A74" w:rsidP="002D16A2">
            <w:pPr>
              <w:spacing w:after="120"/>
              <w:rPr>
                <w:sz w:val="18"/>
                <w:szCs w:val="18"/>
                <w:lang w:val="fr-FR"/>
              </w:rPr>
            </w:pPr>
            <w:r w:rsidRPr="007C41F2">
              <w:rPr>
                <w:sz w:val="18"/>
                <w:szCs w:val="18"/>
                <w:lang w:val="fr-FR"/>
              </w:rPr>
              <w:t>5.7.2</w:t>
            </w:r>
          </w:p>
        </w:tc>
        <w:tc>
          <w:tcPr>
            <w:tcW w:w="2206" w:type="dxa"/>
            <w:tcBorders>
              <w:top w:val="single" w:sz="4" w:space="0" w:color="auto"/>
              <w:left w:val="single" w:sz="4" w:space="0" w:color="auto"/>
              <w:bottom w:val="single" w:sz="4" w:space="0" w:color="auto"/>
              <w:right w:val="single" w:sz="4" w:space="0" w:color="auto"/>
            </w:tcBorders>
            <w:hideMark/>
          </w:tcPr>
          <w:p w14:paraId="097BE475" w14:textId="64FC06D8" w:rsidR="00521A74" w:rsidRPr="007C41F2" w:rsidRDefault="00521A74" w:rsidP="002D16A2">
            <w:pPr>
              <w:spacing w:after="120"/>
              <w:rPr>
                <w:sz w:val="18"/>
                <w:szCs w:val="18"/>
                <w:lang w:val="fr-FR"/>
              </w:rPr>
            </w:pPr>
            <w:r w:rsidRPr="007C41F2">
              <w:rPr>
                <w:sz w:val="18"/>
                <w:szCs w:val="18"/>
                <w:lang w:val="fr-FR"/>
              </w:rPr>
              <w:t>Production de métaux ferreux recyclés (fer et acier). (Inclut le recyclage de carcasses de véhicules.)</w:t>
            </w:r>
          </w:p>
        </w:tc>
        <w:tc>
          <w:tcPr>
            <w:tcW w:w="2537" w:type="dxa"/>
            <w:tcBorders>
              <w:top w:val="single" w:sz="4" w:space="0" w:color="auto"/>
              <w:left w:val="single" w:sz="4" w:space="0" w:color="auto"/>
              <w:bottom w:val="single" w:sz="4" w:space="0" w:color="auto"/>
              <w:right w:val="single" w:sz="4" w:space="0" w:color="auto"/>
            </w:tcBorders>
            <w:hideMark/>
          </w:tcPr>
          <w:p w14:paraId="70F80018" w14:textId="3BF45E0F" w:rsidR="00521A74" w:rsidRPr="007C41F2" w:rsidRDefault="00521A74" w:rsidP="002D16A2">
            <w:pPr>
              <w:spacing w:after="120"/>
              <w:rPr>
                <w:sz w:val="18"/>
                <w:szCs w:val="18"/>
                <w:lang w:val="fr-FR"/>
              </w:rPr>
            </w:pPr>
            <w:r w:rsidRPr="007C41F2">
              <w:rPr>
                <w:sz w:val="18"/>
                <w:szCs w:val="18"/>
                <w:lang w:val="fr-FR"/>
              </w:rPr>
              <w:t>Des rejets dans l</w:t>
            </w:r>
            <w:r w:rsidR="00CA739D" w:rsidRPr="007C41F2">
              <w:rPr>
                <w:sz w:val="18"/>
                <w:szCs w:val="18"/>
                <w:lang w:val="fr-FR"/>
              </w:rPr>
              <w:t>’</w:t>
            </w:r>
            <w:r w:rsidRPr="007C41F2">
              <w:rPr>
                <w:sz w:val="18"/>
                <w:szCs w:val="18"/>
                <w:lang w:val="fr-FR"/>
              </w:rPr>
              <w:t>eau et le sol/déchets ont été signalés, même si aucune donnée quantitative n</w:t>
            </w:r>
            <w:r w:rsidR="00CA739D" w:rsidRPr="007C41F2">
              <w:rPr>
                <w:sz w:val="18"/>
                <w:szCs w:val="18"/>
                <w:lang w:val="fr-FR"/>
              </w:rPr>
              <w:t>’</w:t>
            </w:r>
            <w:r w:rsidRPr="007C41F2">
              <w:rPr>
                <w:sz w:val="18"/>
                <w:szCs w:val="18"/>
                <w:lang w:val="fr-FR"/>
              </w:rPr>
              <w:t>est disponible.</w:t>
            </w:r>
          </w:p>
        </w:tc>
        <w:tc>
          <w:tcPr>
            <w:tcW w:w="1538" w:type="dxa"/>
            <w:tcBorders>
              <w:top w:val="single" w:sz="4" w:space="0" w:color="auto"/>
              <w:left w:val="single" w:sz="4" w:space="0" w:color="auto"/>
              <w:bottom w:val="single" w:sz="4" w:space="0" w:color="auto"/>
              <w:right w:val="single" w:sz="4" w:space="0" w:color="auto"/>
            </w:tcBorders>
          </w:tcPr>
          <w:p w14:paraId="75287D45"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2D5AB747" w14:textId="4B710CD9" w:rsidR="00521A74" w:rsidRPr="007C41F2" w:rsidRDefault="00521A74" w:rsidP="002D16A2">
            <w:pPr>
              <w:spacing w:after="120"/>
              <w:rPr>
                <w:sz w:val="18"/>
                <w:szCs w:val="18"/>
                <w:lang w:val="fr-FR"/>
              </w:rPr>
            </w:pPr>
            <w:r w:rsidRPr="007C41F2">
              <w:rPr>
                <w:sz w:val="18"/>
                <w:szCs w:val="18"/>
                <w:lang w:val="fr-FR"/>
              </w:rPr>
              <w:t>Les rejets sont traités à l</w:t>
            </w:r>
            <w:r w:rsidR="00CA739D" w:rsidRPr="007C41F2">
              <w:rPr>
                <w:sz w:val="18"/>
                <w:szCs w:val="18"/>
                <w:lang w:val="fr-FR"/>
              </w:rPr>
              <w:t>’</w:t>
            </w:r>
            <w:r w:rsidRPr="007C41F2">
              <w:rPr>
                <w:sz w:val="18"/>
                <w:szCs w:val="18"/>
                <w:lang w:val="fr-FR"/>
              </w:rPr>
              <w:t>article 11.</w:t>
            </w:r>
          </w:p>
        </w:tc>
      </w:tr>
      <w:tr w:rsidR="00521A74" w:rsidRPr="007C41F2" w14:paraId="3688B682" w14:textId="77777777" w:rsidTr="003053E8">
        <w:tc>
          <w:tcPr>
            <w:tcW w:w="9350"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0D84B10B" w14:textId="77777777" w:rsidR="00521A74" w:rsidRPr="007C41F2" w:rsidRDefault="00521A74" w:rsidP="002D16A2">
            <w:pPr>
              <w:spacing w:after="120"/>
              <w:rPr>
                <w:sz w:val="18"/>
                <w:szCs w:val="18"/>
                <w:lang w:val="fr-FR"/>
              </w:rPr>
            </w:pPr>
            <w:r w:rsidRPr="007C41F2">
              <w:rPr>
                <w:sz w:val="18"/>
                <w:szCs w:val="18"/>
                <w:lang w:val="fr-FR"/>
              </w:rPr>
              <w:t>Catégorie de sources : Incinération de déchets</w:t>
            </w:r>
          </w:p>
        </w:tc>
      </w:tr>
      <w:tr w:rsidR="00521A74" w:rsidRPr="007C41F2" w14:paraId="52A33B1D"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35CE65F4" w14:textId="77777777" w:rsidR="00521A74" w:rsidRPr="007C41F2" w:rsidRDefault="00521A74" w:rsidP="002D16A2">
            <w:pPr>
              <w:spacing w:after="120"/>
              <w:rPr>
                <w:sz w:val="18"/>
                <w:szCs w:val="18"/>
                <w:lang w:val="fr-FR"/>
              </w:rPr>
            </w:pPr>
            <w:r w:rsidRPr="007C41F2">
              <w:rPr>
                <w:sz w:val="18"/>
                <w:szCs w:val="18"/>
                <w:lang w:val="fr-FR"/>
              </w:rPr>
              <w:t>5.8.1</w:t>
            </w:r>
          </w:p>
        </w:tc>
        <w:tc>
          <w:tcPr>
            <w:tcW w:w="2206" w:type="dxa"/>
            <w:tcBorders>
              <w:top w:val="single" w:sz="4" w:space="0" w:color="auto"/>
              <w:left w:val="single" w:sz="4" w:space="0" w:color="auto"/>
              <w:bottom w:val="single" w:sz="4" w:space="0" w:color="auto"/>
              <w:right w:val="single" w:sz="4" w:space="0" w:color="auto"/>
            </w:tcBorders>
            <w:hideMark/>
          </w:tcPr>
          <w:p w14:paraId="4A2A1B7B" w14:textId="77777777" w:rsidR="00521A74" w:rsidRPr="007C41F2" w:rsidRDefault="00521A74" w:rsidP="002D16A2">
            <w:pPr>
              <w:spacing w:after="120"/>
              <w:rPr>
                <w:sz w:val="18"/>
                <w:szCs w:val="18"/>
                <w:lang w:val="fr-FR"/>
              </w:rPr>
            </w:pPr>
            <w:r w:rsidRPr="007C41F2">
              <w:rPr>
                <w:sz w:val="18"/>
                <w:szCs w:val="18"/>
                <w:lang w:val="fr-FR"/>
              </w:rPr>
              <w:t>Incinération des déchets municipaux/ordinaires</w:t>
            </w:r>
          </w:p>
        </w:tc>
        <w:tc>
          <w:tcPr>
            <w:tcW w:w="2537" w:type="dxa"/>
            <w:tcBorders>
              <w:top w:val="single" w:sz="4" w:space="0" w:color="auto"/>
              <w:left w:val="single" w:sz="4" w:space="0" w:color="auto"/>
              <w:bottom w:val="single" w:sz="4" w:space="0" w:color="auto"/>
              <w:right w:val="single" w:sz="4" w:space="0" w:color="auto"/>
            </w:tcBorders>
            <w:hideMark/>
          </w:tcPr>
          <w:p w14:paraId="4C6D0F5B" w14:textId="5C902604" w:rsidR="00521A74" w:rsidRPr="007C41F2" w:rsidRDefault="00521A74" w:rsidP="002D16A2">
            <w:pPr>
              <w:spacing w:after="120"/>
              <w:rPr>
                <w:sz w:val="18"/>
                <w:szCs w:val="18"/>
                <w:lang w:val="fr-FR"/>
              </w:rPr>
            </w:pPr>
            <w:r w:rsidRPr="007C41F2">
              <w:rPr>
                <w:sz w:val="18"/>
                <w:szCs w:val="18"/>
                <w:lang w:val="fr-FR"/>
              </w:rPr>
              <w:t>Des rejets dans l</w:t>
            </w:r>
            <w:r w:rsidR="00CA739D" w:rsidRPr="007C41F2">
              <w:rPr>
                <w:sz w:val="18"/>
                <w:szCs w:val="18"/>
                <w:lang w:val="fr-FR"/>
              </w:rPr>
              <w:t>’</w:t>
            </w:r>
            <w:r w:rsidRPr="007C41F2">
              <w:rPr>
                <w:sz w:val="18"/>
                <w:szCs w:val="18"/>
                <w:lang w:val="fr-FR"/>
              </w:rPr>
              <w:t>eau découlant du nettoyage des gaz de combustion par voie humide ont été signalés. Des rejets dans le sol et/ou des flux de déchets de cendres et de résidus du nettoyage des gaz de combustion ont également été signalés.</w:t>
            </w:r>
          </w:p>
        </w:tc>
        <w:tc>
          <w:tcPr>
            <w:tcW w:w="1538" w:type="dxa"/>
            <w:tcBorders>
              <w:top w:val="single" w:sz="4" w:space="0" w:color="auto"/>
              <w:left w:val="single" w:sz="4" w:space="0" w:color="auto"/>
              <w:bottom w:val="single" w:sz="4" w:space="0" w:color="auto"/>
              <w:right w:val="single" w:sz="4" w:space="0" w:color="auto"/>
            </w:tcBorders>
          </w:tcPr>
          <w:p w14:paraId="0EF2EF74"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18D8DD01" w14:textId="64734772" w:rsidR="00521A74" w:rsidRPr="007C41F2" w:rsidRDefault="00C22746" w:rsidP="002D16A2">
            <w:pPr>
              <w:spacing w:after="120"/>
              <w:rPr>
                <w:sz w:val="18"/>
                <w:szCs w:val="18"/>
                <w:lang w:val="fr-FR"/>
              </w:rPr>
            </w:pPr>
            <w:r w:rsidRPr="007C41F2">
              <w:rPr>
                <w:sz w:val="18"/>
                <w:szCs w:val="18"/>
                <w:lang w:val="fr-FR"/>
              </w:rPr>
              <w:t>Les rejets sont traités à l</w:t>
            </w:r>
            <w:r w:rsidR="00CA739D" w:rsidRPr="007C41F2">
              <w:rPr>
                <w:sz w:val="18"/>
                <w:szCs w:val="18"/>
                <w:lang w:val="fr-FR"/>
              </w:rPr>
              <w:t>’</w:t>
            </w:r>
            <w:r w:rsidRPr="007C41F2">
              <w:rPr>
                <w:sz w:val="18"/>
                <w:szCs w:val="18"/>
                <w:lang w:val="fr-FR"/>
              </w:rPr>
              <w:t>article 11.</w:t>
            </w:r>
          </w:p>
        </w:tc>
      </w:tr>
      <w:tr w:rsidR="00521A74" w:rsidRPr="007C41F2" w14:paraId="7E065148"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5B1FB9E0" w14:textId="77777777" w:rsidR="00521A74" w:rsidRPr="007C41F2" w:rsidRDefault="00521A74" w:rsidP="002D16A2">
            <w:pPr>
              <w:keepNext/>
              <w:keepLines/>
              <w:spacing w:after="120"/>
              <w:rPr>
                <w:sz w:val="18"/>
                <w:szCs w:val="18"/>
                <w:lang w:val="fr-FR"/>
              </w:rPr>
            </w:pPr>
            <w:r w:rsidRPr="007C41F2">
              <w:rPr>
                <w:sz w:val="18"/>
                <w:szCs w:val="18"/>
                <w:lang w:val="fr-FR"/>
              </w:rPr>
              <w:t>5.8.2</w:t>
            </w:r>
          </w:p>
        </w:tc>
        <w:tc>
          <w:tcPr>
            <w:tcW w:w="2206" w:type="dxa"/>
            <w:tcBorders>
              <w:top w:val="single" w:sz="4" w:space="0" w:color="auto"/>
              <w:left w:val="single" w:sz="4" w:space="0" w:color="auto"/>
              <w:bottom w:val="single" w:sz="4" w:space="0" w:color="auto"/>
              <w:right w:val="single" w:sz="4" w:space="0" w:color="auto"/>
            </w:tcBorders>
            <w:hideMark/>
          </w:tcPr>
          <w:p w14:paraId="6B2AA741" w14:textId="77777777" w:rsidR="00521A74" w:rsidRPr="007C41F2" w:rsidRDefault="00521A74" w:rsidP="002D16A2">
            <w:pPr>
              <w:keepNext/>
              <w:keepLines/>
              <w:spacing w:after="120"/>
              <w:rPr>
                <w:sz w:val="18"/>
                <w:szCs w:val="18"/>
                <w:lang w:val="fr-FR"/>
              </w:rPr>
            </w:pPr>
            <w:r w:rsidRPr="007C41F2">
              <w:rPr>
                <w:sz w:val="18"/>
                <w:szCs w:val="18"/>
                <w:lang w:val="fr-FR"/>
              </w:rPr>
              <w:t>Incinération de déchets dangereux</w:t>
            </w:r>
          </w:p>
        </w:tc>
        <w:tc>
          <w:tcPr>
            <w:tcW w:w="2537" w:type="dxa"/>
            <w:tcBorders>
              <w:top w:val="single" w:sz="4" w:space="0" w:color="auto"/>
              <w:left w:val="single" w:sz="4" w:space="0" w:color="auto"/>
              <w:bottom w:val="single" w:sz="4" w:space="0" w:color="auto"/>
              <w:right w:val="single" w:sz="4" w:space="0" w:color="auto"/>
            </w:tcBorders>
            <w:hideMark/>
          </w:tcPr>
          <w:p w14:paraId="5E5F637F" w14:textId="5D5D733E" w:rsidR="00521A74" w:rsidRPr="007C41F2" w:rsidRDefault="00D442F1" w:rsidP="002D16A2">
            <w:pPr>
              <w:keepNext/>
              <w:keepLines/>
              <w:spacing w:after="120"/>
              <w:rPr>
                <w:sz w:val="18"/>
                <w:szCs w:val="18"/>
                <w:lang w:val="fr-FR"/>
              </w:rPr>
            </w:pPr>
            <w:r w:rsidRPr="007C41F2">
              <w:rPr>
                <w:sz w:val="18"/>
                <w:szCs w:val="18"/>
                <w:lang w:val="fr-FR"/>
              </w:rPr>
              <w:t>Des rejets dans l</w:t>
            </w:r>
            <w:r w:rsidR="00CA739D" w:rsidRPr="007C41F2">
              <w:rPr>
                <w:sz w:val="18"/>
                <w:szCs w:val="18"/>
                <w:lang w:val="fr-FR"/>
              </w:rPr>
              <w:t>’</w:t>
            </w:r>
            <w:r w:rsidRPr="007C41F2">
              <w:rPr>
                <w:sz w:val="18"/>
                <w:szCs w:val="18"/>
                <w:lang w:val="fr-FR"/>
              </w:rPr>
              <w:t>eau découlant du nettoyage des gaz de combustion par voie humide ont été signalés. Des rejets dans le sol et/ou des flux de déchets de cendres et de résidus du nettoyage des gaz de combustion ont également été signalés.</w:t>
            </w:r>
          </w:p>
        </w:tc>
        <w:tc>
          <w:tcPr>
            <w:tcW w:w="1538" w:type="dxa"/>
            <w:tcBorders>
              <w:top w:val="single" w:sz="4" w:space="0" w:color="auto"/>
              <w:left w:val="single" w:sz="4" w:space="0" w:color="auto"/>
              <w:bottom w:val="single" w:sz="4" w:space="0" w:color="auto"/>
              <w:right w:val="single" w:sz="4" w:space="0" w:color="auto"/>
            </w:tcBorders>
          </w:tcPr>
          <w:p w14:paraId="0C78D4C9" w14:textId="77777777" w:rsidR="00521A74" w:rsidRPr="007C41F2" w:rsidRDefault="00521A74" w:rsidP="002D16A2">
            <w:pPr>
              <w:keepNext/>
              <w:keepLines/>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1287C7BD" w14:textId="590E2F0E" w:rsidR="00521A74" w:rsidRPr="007C41F2" w:rsidRDefault="00C22746" w:rsidP="002D16A2">
            <w:pPr>
              <w:keepNext/>
              <w:keepLines/>
              <w:spacing w:after="120"/>
              <w:rPr>
                <w:sz w:val="18"/>
                <w:szCs w:val="18"/>
                <w:lang w:val="fr-FR"/>
              </w:rPr>
            </w:pPr>
            <w:r w:rsidRPr="007C41F2">
              <w:rPr>
                <w:sz w:val="18"/>
                <w:szCs w:val="18"/>
                <w:lang w:val="fr-FR"/>
              </w:rPr>
              <w:t>Les rejets sont traités à l</w:t>
            </w:r>
            <w:r w:rsidR="00CA739D" w:rsidRPr="007C41F2">
              <w:rPr>
                <w:sz w:val="18"/>
                <w:szCs w:val="18"/>
                <w:lang w:val="fr-FR"/>
              </w:rPr>
              <w:t>’</w:t>
            </w:r>
            <w:r w:rsidRPr="007C41F2">
              <w:rPr>
                <w:sz w:val="18"/>
                <w:szCs w:val="18"/>
                <w:lang w:val="fr-FR"/>
              </w:rPr>
              <w:t>article 11.</w:t>
            </w:r>
          </w:p>
        </w:tc>
      </w:tr>
      <w:tr w:rsidR="00521A74" w:rsidRPr="007C41F2" w14:paraId="1DB5E4FA"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53693D21" w14:textId="77777777" w:rsidR="00521A74" w:rsidRPr="007C41F2" w:rsidRDefault="00521A74" w:rsidP="002D16A2">
            <w:pPr>
              <w:spacing w:after="120"/>
              <w:rPr>
                <w:sz w:val="18"/>
                <w:szCs w:val="18"/>
                <w:lang w:val="fr-FR"/>
              </w:rPr>
            </w:pPr>
            <w:r w:rsidRPr="007C41F2">
              <w:rPr>
                <w:sz w:val="18"/>
                <w:szCs w:val="18"/>
                <w:lang w:val="fr-FR"/>
              </w:rPr>
              <w:t>5.8.3</w:t>
            </w:r>
          </w:p>
        </w:tc>
        <w:tc>
          <w:tcPr>
            <w:tcW w:w="2206" w:type="dxa"/>
            <w:tcBorders>
              <w:top w:val="single" w:sz="4" w:space="0" w:color="auto"/>
              <w:left w:val="single" w:sz="4" w:space="0" w:color="auto"/>
              <w:bottom w:val="single" w:sz="4" w:space="0" w:color="auto"/>
              <w:right w:val="single" w:sz="4" w:space="0" w:color="auto"/>
            </w:tcBorders>
            <w:hideMark/>
          </w:tcPr>
          <w:p w14:paraId="075AEC24" w14:textId="77777777" w:rsidR="00521A74" w:rsidRPr="007C41F2" w:rsidRDefault="00521A74" w:rsidP="002D16A2">
            <w:pPr>
              <w:spacing w:after="120"/>
              <w:rPr>
                <w:sz w:val="18"/>
                <w:szCs w:val="18"/>
                <w:lang w:val="fr-FR"/>
              </w:rPr>
            </w:pPr>
            <w:r w:rsidRPr="007C41F2">
              <w:rPr>
                <w:sz w:val="18"/>
                <w:szCs w:val="18"/>
                <w:lang w:val="fr-FR"/>
              </w:rPr>
              <w:t>Incinération des déchets médicaux</w:t>
            </w:r>
          </w:p>
        </w:tc>
        <w:tc>
          <w:tcPr>
            <w:tcW w:w="2537" w:type="dxa"/>
            <w:tcBorders>
              <w:top w:val="single" w:sz="4" w:space="0" w:color="auto"/>
              <w:left w:val="single" w:sz="4" w:space="0" w:color="auto"/>
              <w:bottom w:val="single" w:sz="4" w:space="0" w:color="auto"/>
              <w:right w:val="single" w:sz="4" w:space="0" w:color="auto"/>
            </w:tcBorders>
            <w:hideMark/>
          </w:tcPr>
          <w:p w14:paraId="4621C9B0" w14:textId="7BD4CC13" w:rsidR="00521A74" w:rsidRPr="007C41F2" w:rsidRDefault="00521A74" w:rsidP="002D16A2">
            <w:pPr>
              <w:spacing w:after="120"/>
              <w:rPr>
                <w:sz w:val="18"/>
                <w:szCs w:val="18"/>
                <w:lang w:val="fr-FR"/>
              </w:rPr>
            </w:pPr>
            <w:r w:rsidRPr="007C41F2">
              <w:rPr>
                <w:sz w:val="18"/>
                <w:szCs w:val="18"/>
                <w:lang w:val="fr-FR"/>
              </w:rPr>
              <w:t>Les déchets médicaux étant incinérés dans des conditions sous-optimales dans de nombreux pays en développement, des rejets dans le sol accompagnés de résidus solides sont donc à prévoir. Pour les pays développés, les rejets devraient être tels que dans la description relative aux déchets municipaux, ci-dessus.</w:t>
            </w:r>
          </w:p>
        </w:tc>
        <w:tc>
          <w:tcPr>
            <w:tcW w:w="1538" w:type="dxa"/>
            <w:tcBorders>
              <w:top w:val="single" w:sz="4" w:space="0" w:color="auto"/>
              <w:left w:val="single" w:sz="4" w:space="0" w:color="auto"/>
              <w:bottom w:val="single" w:sz="4" w:space="0" w:color="auto"/>
              <w:right w:val="single" w:sz="4" w:space="0" w:color="auto"/>
            </w:tcBorders>
          </w:tcPr>
          <w:p w14:paraId="19435003"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46614C38" w14:textId="1D1B29E0" w:rsidR="00521A74" w:rsidRPr="007C41F2" w:rsidRDefault="00C22746" w:rsidP="002D16A2">
            <w:pPr>
              <w:spacing w:after="120"/>
              <w:rPr>
                <w:sz w:val="18"/>
                <w:szCs w:val="18"/>
                <w:lang w:val="fr-FR"/>
              </w:rPr>
            </w:pPr>
            <w:r w:rsidRPr="007C41F2">
              <w:rPr>
                <w:sz w:val="18"/>
                <w:szCs w:val="18"/>
                <w:lang w:val="fr-FR"/>
              </w:rPr>
              <w:t>Les rejets sont traités à l</w:t>
            </w:r>
            <w:r w:rsidR="00CA739D" w:rsidRPr="007C41F2">
              <w:rPr>
                <w:sz w:val="18"/>
                <w:szCs w:val="18"/>
                <w:lang w:val="fr-FR"/>
              </w:rPr>
              <w:t>’</w:t>
            </w:r>
            <w:r w:rsidRPr="007C41F2">
              <w:rPr>
                <w:sz w:val="18"/>
                <w:szCs w:val="18"/>
                <w:lang w:val="fr-FR"/>
              </w:rPr>
              <w:t>article 11.</w:t>
            </w:r>
          </w:p>
        </w:tc>
      </w:tr>
      <w:tr w:rsidR="00521A74" w:rsidRPr="007C41F2" w14:paraId="5DF29D13"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661DFC1F" w14:textId="77777777" w:rsidR="00521A74" w:rsidRPr="007C41F2" w:rsidRDefault="00521A74" w:rsidP="002D16A2">
            <w:pPr>
              <w:spacing w:after="120"/>
              <w:rPr>
                <w:sz w:val="18"/>
                <w:szCs w:val="18"/>
                <w:lang w:val="fr-FR"/>
              </w:rPr>
            </w:pPr>
            <w:r w:rsidRPr="007C41F2">
              <w:rPr>
                <w:sz w:val="18"/>
                <w:szCs w:val="18"/>
                <w:lang w:val="fr-FR"/>
              </w:rPr>
              <w:t>5.8.4</w:t>
            </w:r>
          </w:p>
        </w:tc>
        <w:tc>
          <w:tcPr>
            <w:tcW w:w="2206" w:type="dxa"/>
            <w:tcBorders>
              <w:top w:val="single" w:sz="4" w:space="0" w:color="auto"/>
              <w:left w:val="single" w:sz="4" w:space="0" w:color="auto"/>
              <w:bottom w:val="single" w:sz="4" w:space="0" w:color="auto"/>
              <w:right w:val="single" w:sz="4" w:space="0" w:color="auto"/>
            </w:tcBorders>
            <w:hideMark/>
          </w:tcPr>
          <w:p w14:paraId="275E1F09" w14:textId="5AEDFC5D" w:rsidR="00521A74" w:rsidRPr="007C41F2" w:rsidRDefault="00521A74" w:rsidP="002D16A2">
            <w:pPr>
              <w:spacing w:after="120"/>
              <w:rPr>
                <w:sz w:val="18"/>
                <w:szCs w:val="18"/>
                <w:lang w:val="fr-FR"/>
              </w:rPr>
            </w:pPr>
            <w:r w:rsidRPr="007C41F2">
              <w:rPr>
                <w:sz w:val="18"/>
                <w:szCs w:val="18"/>
                <w:lang w:val="fr-FR"/>
              </w:rPr>
              <w:t>Incinération des boues d</w:t>
            </w:r>
            <w:r w:rsidR="00CA739D" w:rsidRPr="007C41F2">
              <w:rPr>
                <w:sz w:val="18"/>
                <w:szCs w:val="18"/>
                <w:lang w:val="fr-FR"/>
              </w:rPr>
              <w:t>’</w:t>
            </w:r>
            <w:r w:rsidRPr="007C41F2">
              <w:rPr>
                <w:sz w:val="18"/>
                <w:szCs w:val="18"/>
                <w:lang w:val="fr-FR"/>
              </w:rPr>
              <w:t>épuration</w:t>
            </w:r>
          </w:p>
        </w:tc>
        <w:tc>
          <w:tcPr>
            <w:tcW w:w="2537" w:type="dxa"/>
            <w:tcBorders>
              <w:top w:val="single" w:sz="4" w:space="0" w:color="auto"/>
              <w:left w:val="single" w:sz="4" w:space="0" w:color="auto"/>
              <w:bottom w:val="single" w:sz="4" w:space="0" w:color="auto"/>
              <w:right w:val="single" w:sz="4" w:space="0" w:color="auto"/>
            </w:tcBorders>
            <w:hideMark/>
          </w:tcPr>
          <w:p w14:paraId="60D953B7" w14:textId="08AB37AA" w:rsidR="00521A74" w:rsidRPr="007C41F2" w:rsidRDefault="00D442F1" w:rsidP="002D16A2">
            <w:pPr>
              <w:spacing w:after="120"/>
              <w:rPr>
                <w:sz w:val="18"/>
                <w:szCs w:val="18"/>
                <w:lang w:val="fr-FR"/>
              </w:rPr>
            </w:pPr>
            <w:r w:rsidRPr="007C41F2">
              <w:rPr>
                <w:sz w:val="18"/>
                <w:szCs w:val="18"/>
                <w:lang w:val="fr-FR"/>
              </w:rPr>
              <w:t>Des rejets dans l</w:t>
            </w:r>
            <w:r w:rsidR="00CA739D" w:rsidRPr="007C41F2">
              <w:rPr>
                <w:sz w:val="18"/>
                <w:szCs w:val="18"/>
                <w:lang w:val="fr-FR"/>
              </w:rPr>
              <w:t>’</w:t>
            </w:r>
            <w:r w:rsidRPr="007C41F2">
              <w:rPr>
                <w:sz w:val="18"/>
                <w:szCs w:val="18"/>
                <w:lang w:val="fr-FR"/>
              </w:rPr>
              <w:t>eau découlant du nettoyage des gaz de combustion par voie humide ont été signalés. Des rejets dans le sol et/ou des flux de déchets de cendres et de résidus du nettoyage des gaz de combustion ont également été signalés.</w:t>
            </w:r>
          </w:p>
        </w:tc>
        <w:tc>
          <w:tcPr>
            <w:tcW w:w="1538" w:type="dxa"/>
            <w:tcBorders>
              <w:top w:val="single" w:sz="4" w:space="0" w:color="auto"/>
              <w:left w:val="single" w:sz="4" w:space="0" w:color="auto"/>
              <w:bottom w:val="single" w:sz="4" w:space="0" w:color="auto"/>
              <w:right w:val="single" w:sz="4" w:space="0" w:color="auto"/>
            </w:tcBorders>
          </w:tcPr>
          <w:p w14:paraId="0C6D7D35"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5F69190B" w14:textId="61C2566F" w:rsidR="00521A74" w:rsidRPr="007C41F2" w:rsidRDefault="00C22746" w:rsidP="002D16A2">
            <w:pPr>
              <w:spacing w:after="120"/>
              <w:rPr>
                <w:sz w:val="18"/>
                <w:szCs w:val="18"/>
                <w:lang w:val="fr-FR"/>
              </w:rPr>
            </w:pPr>
            <w:r w:rsidRPr="007C41F2">
              <w:rPr>
                <w:sz w:val="18"/>
                <w:szCs w:val="18"/>
                <w:lang w:val="fr-FR"/>
              </w:rPr>
              <w:t>Les rejets sont traités à l</w:t>
            </w:r>
            <w:r w:rsidR="00CA739D" w:rsidRPr="007C41F2">
              <w:rPr>
                <w:sz w:val="18"/>
                <w:szCs w:val="18"/>
                <w:lang w:val="fr-FR"/>
              </w:rPr>
              <w:t>’</w:t>
            </w:r>
            <w:r w:rsidRPr="007C41F2">
              <w:rPr>
                <w:sz w:val="18"/>
                <w:szCs w:val="18"/>
                <w:lang w:val="fr-FR"/>
              </w:rPr>
              <w:t>article 11.</w:t>
            </w:r>
          </w:p>
        </w:tc>
      </w:tr>
      <w:tr w:rsidR="00521A74" w:rsidRPr="007C41F2" w14:paraId="517FACC5" w14:textId="77777777" w:rsidTr="003053E8">
        <w:tc>
          <w:tcPr>
            <w:tcW w:w="9350"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5C80BA80" w14:textId="3B026665" w:rsidR="00521A74" w:rsidRPr="007C41F2" w:rsidRDefault="00521A74" w:rsidP="002D16A2">
            <w:pPr>
              <w:spacing w:after="120"/>
              <w:rPr>
                <w:sz w:val="18"/>
                <w:szCs w:val="18"/>
                <w:lang w:val="fr-FR"/>
              </w:rPr>
            </w:pPr>
            <w:r w:rsidRPr="007C41F2">
              <w:rPr>
                <w:sz w:val="18"/>
                <w:szCs w:val="18"/>
                <w:lang w:val="fr-FR"/>
              </w:rPr>
              <w:t>Catégorie de sources : Décharges/sites d</w:t>
            </w:r>
            <w:r w:rsidR="00CA739D" w:rsidRPr="007C41F2">
              <w:rPr>
                <w:sz w:val="18"/>
                <w:szCs w:val="18"/>
                <w:lang w:val="fr-FR"/>
              </w:rPr>
              <w:t>’</w:t>
            </w:r>
            <w:r w:rsidRPr="007C41F2">
              <w:rPr>
                <w:sz w:val="18"/>
                <w:szCs w:val="18"/>
                <w:lang w:val="fr-FR"/>
              </w:rPr>
              <w:t>enfouissement et traitement des eaux usées</w:t>
            </w:r>
          </w:p>
        </w:tc>
      </w:tr>
      <w:tr w:rsidR="00521A74" w:rsidRPr="007C41F2" w14:paraId="17D370BE"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2A13ED77" w14:textId="77777777" w:rsidR="00521A74" w:rsidRPr="007C41F2" w:rsidRDefault="00521A74" w:rsidP="002D16A2">
            <w:pPr>
              <w:spacing w:after="120"/>
              <w:rPr>
                <w:sz w:val="18"/>
                <w:szCs w:val="18"/>
                <w:lang w:val="fr-FR"/>
              </w:rPr>
            </w:pPr>
            <w:r w:rsidRPr="007C41F2">
              <w:rPr>
                <w:sz w:val="18"/>
                <w:szCs w:val="18"/>
                <w:lang w:val="fr-FR"/>
              </w:rPr>
              <w:t>5.9.1</w:t>
            </w:r>
          </w:p>
        </w:tc>
        <w:tc>
          <w:tcPr>
            <w:tcW w:w="2206" w:type="dxa"/>
            <w:tcBorders>
              <w:top w:val="single" w:sz="4" w:space="0" w:color="auto"/>
              <w:left w:val="single" w:sz="4" w:space="0" w:color="auto"/>
              <w:bottom w:val="single" w:sz="4" w:space="0" w:color="auto"/>
              <w:right w:val="single" w:sz="4" w:space="0" w:color="auto"/>
            </w:tcBorders>
            <w:hideMark/>
          </w:tcPr>
          <w:p w14:paraId="5989B749" w14:textId="77777777" w:rsidR="00521A74" w:rsidRPr="007C41F2" w:rsidRDefault="00521A74" w:rsidP="002D16A2">
            <w:pPr>
              <w:spacing w:after="120"/>
              <w:rPr>
                <w:sz w:val="18"/>
                <w:szCs w:val="18"/>
                <w:lang w:val="fr-FR"/>
              </w:rPr>
            </w:pPr>
            <w:r w:rsidRPr="007C41F2">
              <w:rPr>
                <w:sz w:val="18"/>
                <w:szCs w:val="18"/>
                <w:lang w:val="fr-FR"/>
              </w:rPr>
              <w:t>Décharges/dépôts contrôlés</w:t>
            </w:r>
          </w:p>
        </w:tc>
        <w:tc>
          <w:tcPr>
            <w:tcW w:w="2537" w:type="dxa"/>
            <w:tcBorders>
              <w:top w:val="single" w:sz="4" w:space="0" w:color="auto"/>
              <w:left w:val="single" w:sz="4" w:space="0" w:color="auto"/>
              <w:bottom w:val="single" w:sz="4" w:space="0" w:color="auto"/>
              <w:right w:val="single" w:sz="4" w:space="0" w:color="auto"/>
            </w:tcBorders>
            <w:hideMark/>
          </w:tcPr>
          <w:p w14:paraId="1349492F" w14:textId="4F4E5BCD" w:rsidR="00521A74" w:rsidRPr="007C41F2" w:rsidRDefault="00521A74" w:rsidP="002D16A2">
            <w:pPr>
              <w:spacing w:after="120"/>
              <w:rPr>
                <w:sz w:val="18"/>
                <w:szCs w:val="18"/>
                <w:lang w:val="fr-FR"/>
              </w:rPr>
            </w:pPr>
            <w:r w:rsidRPr="007C41F2">
              <w:rPr>
                <w:sz w:val="18"/>
                <w:szCs w:val="18"/>
                <w:lang w:val="fr-FR"/>
              </w:rPr>
              <w:t>Des rejets dans l</w:t>
            </w:r>
            <w:r w:rsidR="00CA739D" w:rsidRPr="007C41F2">
              <w:rPr>
                <w:sz w:val="18"/>
                <w:szCs w:val="18"/>
                <w:lang w:val="fr-FR"/>
              </w:rPr>
              <w:t>’</w:t>
            </w:r>
            <w:r w:rsidRPr="007C41F2">
              <w:rPr>
                <w:sz w:val="18"/>
                <w:szCs w:val="18"/>
                <w:lang w:val="fr-FR"/>
              </w:rPr>
              <w:t>eau découlant de la lixiviation ont été signalés.</w:t>
            </w:r>
          </w:p>
        </w:tc>
        <w:tc>
          <w:tcPr>
            <w:tcW w:w="1538" w:type="dxa"/>
            <w:tcBorders>
              <w:top w:val="single" w:sz="4" w:space="0" w:color="auto"/>
              <w:left w:val="single" w:sz="4" w:space="0" w:color="auto"/>
              <w:bottom w:val="single" w:sz="4" w:space="0" w:color="auto"/>
              <w:right w:val="single" w:sz="4" w:space="0" w:color="auto"/>
            </w:tcBorders>
            <w:hideMark/>
          </w:tcPr>
          <w:p w14:paraId="7D89457F"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163C0689" w14:textId="779A65B6" w:rsidR="00521A74" w:rsidRPr="007C41F2" w:rsidRDefault="00C22746" w:rsidP="002D16A2">
            <w:pPr>
              <w:spacing w:after="120"/>
              <w:rPr>
                <w:sz w:val="18"/>
                <w:szCs w:val="18"/>
                <w:lang w:val="fr-FR"/>
              </w:rPr>
            </w:pPr>
            <w:r w:rsidRPr="007C41F2">
              <w:rPr>
                <w:sz w:val="18"/>
                <w:szCs w:val="18"/>
                <w:lang w:val="fr-FR"/>
              </w:rPr>
              <w:t>Les rejets sont traités à l</w:t>
            </w:r>
            <w:r w:rsidR="00CA739D" w:rsidRPr="007C41F2">
              <w:rPr>
                <w:sz w:val="18"/>
                <w:szCs w:val="18"/>
                <w:lang w:val="fr-FR"/>
              </w:rPr>
              <w:t>’</w:t>
            </w:r>
            <w:r w:rsidRPr="007C41F2">
              <w:rPr>
                <w:sz w:val="18"/>
                <w:szCs w:val="18"/>
                <w:lang w:val="fr-FR"/>
              </w:rPr>
              <w:t>article 11.</w:t>
            </w:r>
          </w:p>
        </w:tc>
      </w:tr>
      <w:tr w:rsidR="00521A74" w:rsidRPr="007C41F2" w14:paraId="24B37CF7"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65FFB8D4" w14:textId="77777777" w:rsidR="00521A74" w:rsidRPr="007C41F2" w:rsidRDefault="00521A74" w:rsidP="002D16A2">
            <w:pPr>
              <w:spacing w:after="120"/>
              <w:rPr>
                <w:sz w:val="18"/>
                <w:szCs w:val="18"/>
                <w:lang w:val="fr-FR"/>
              </w:rPr>
            </w:pPr>
            <w:r w:rsidRPr="007C41F2">
              <w:rPr>
                <w:sz w:val="18"/>
                <w:szCs w:val="18"/>
                <w:lang w:val="fr-FR"/>
              </w:rPr>
              <w:t>5.9.5</w:t>
            </w:r>
          </w:p>
        </w:tc>
        <w:tc>
          <w:tcPr>
            <w:tcW w:w="2206" w:type="dxa"/>
            <w:tcBorders>
              <w:top w:val="single" w:sz="4" w:space="0" w:color="auto"/>
              <w:left w:val="single" w:sz="4" w:space="0" w:color="auto"/>
              <w:bottom w:val="single" w:sz="4" w:space="0" w:color="auto"/>
              <w:right w:val="single" w:sz="4" w:space="0" w:color="auto"/>
            </w:tcBorders>
            <w:hideMark/>
          </w:tcPr>
          <w:p w14:paraId="1E627D73" w14:textId="2F7EFDDA" w:rsidR="00521A74" w:rsidRPr="007C41F2" w:rsidRDefault="00521A74" w:rsidP="002D16A2">
            <w:pPr>
              <w:spacing w:after="120"/>
              <w:rPr>
                <w:sz w:val="18"/>
                <w:szCs w:val="18"/>
                <w:lang w:val="fr-FR"/>
              </w:rPr>
            </w:pPr>
            <w:r w:rsidRPr="007C41F2">
              <w:rPr>
                <w:sz w:val="18"/>
                <w:szCs w:val="18"/>
                <w:lang w:val="fr-FR"/>
              </w:rPr>
              <w:t>Système d</w:t>
            </w:r>
            <w:r w:rsidR="00CA739D" w:rsidRPr="007C41F2">
              <w:rPr>
                <w:sz w:val="18"/>
                <w:szCs w:val="18"/>
                <w:lang w:val="fr-FR"/>
              </w:rPr>
              <w:t>’</w:t>
            </w:r>
            <w:r w:rsidRPr="007C41F2">
              <w:rPr>
                <w:sz w:val="18"/>
                <w:szCs w:val="18"/>
                <w:lang w:val="fr-FR"/>
              </w:rPr>
              <w:t>évacuation/de traitement des eaux usées</w:t>
            </w:r>
          </w:p>
        </w:tc>
        <w:tc>
          <w:tcPr>
            <w:tcW w:w="2537" w:type="dxa"/>
            <w:tcBorders>
              <w:top w:val="single" w:sz="4" w:space="0" w:color="auto"/>
              <w:left w:val="single" w:sz="4" w:space="0" w:color="auto"/>
              <w:bottom w:val="single" w:sz="4" w:space="0" w:color="auto"/>
              <w:right w:val="single" w:sz="4" w:space="0" w:color="auto"/>
            </w:tcBorders>
            <w:hideMark/>
          </w:tcPr>
          <w:p w14:paraId="437375DA" w14:textId="54759252" w:rsidR="00521A74" w:rsidRPr="007C41F2" w:rsidRDefault="00521A74" w:rsidP="002D16A2">
            <w:pPr>
              <w:spacing w:after="120"/>
              <w:rPr>
                <w:sz w:val="18"/>
                <w:szCs w:val="18"/>
                <w:lang w:val="fr-FR"/>
              </w:rPr>
            </w:pPr>
            <w:r w:rsidRPr="007C41F2">
              <w:rPr>
                <w:sz w:val="18"/>
                <w:szCs w:val="18"/>
                <w:lang w:val="fr-FR"/>
              </w:rPr>
              <w:t>Il peut arriver que du mercure soit libéré dans l</w:t>
            </w:r>
            <w:r w:rsidR="00CA739D" w:rsidRPr="007C41F2">
              <w:rPr>
                <w:sz w:val="18"/>
                <w:szCs w:val="18"/>
                <w:lang w:val="fr-FR"/>
              </w:rPr>
              <w:t>’</w:t>
            </w:r>
            <w:r w:rsidRPr="007C41F2">
              <w:rPr>
                <w:sz w:val="18"/>
                <w:szCs w:val="18"/>
                <w:lang w:val="fr-FR"/>
              </w:rPr>
              <w:t>eau s</w:t>
            </w:r>
            <w:r w:rsidR="00CA739D" w:rsidRPr="007C41F2">
              <w:rPr>
                <w:sz w:val="18"/>
                <w:szCs w:val="18"/>
                <w:lang w:val="fr-FR"/>
              </w:rPr>
              <w:t>’</w:t>
            </w:r>
            <w:r w:rsidRPr="007C41F2">
              <w:rPr>
                <w:sz w:val="18"/>
                <w:szCs w:val="18"/>
                <w:lang w:val="fr-FR"/>
              </w:rPr>
              <w:t>il fait l</w:t>
            </w:r>
            <w:r w:rsidR="00CA739D" w:rsidRPr="007C41F2">
              <w:rPr>
                <w:sz w:val="18"/>
                <w:szCs w:val="18"/>
                <w:lang w:val="fr-FR"/>
              </w:rPr>
              <w:t>’</w:t>
            </w:r>
            <w:r w:rsidRPr="007C41F2">
              <w:rPr>
                <w:sz w:val="18"/>
                <w:szCs w:val="18"/>
                <w:lang w:val="fr-FR"/>
              </w:rPr>
              <w:t>objet d</w:t>
            </w:r>
            <w:r w:rsidR="00CA739D" w:rsidRPr="007C41F2">
              <w:rPr>
                <w:sz w:val="18"/>
                <w:szCs w:val="18"/>
                <w:lang w:val="fr-FR"/>
              </w:rPr>
              <w:t>’</w:t>
            </w:r>
            <w:r w:rsidRPr="007C41F2">
              <w:rPr>
                <w:sz w:val="18"/>
                <w:szCs w:val="18"/>
                <w:lang w:val="fr-FR"/>
              </w:rPr>
              <w:t>un contrôle insuffisant. Des rejets dans l</w:t>
            </w:r>
            <w:r w:rsidR="00CA739D" w:rsidRPr="007C41F2">
              <w:rPr>
                <w:sz w:val="18"/>
                <w:szCs w:val="18"/>
                <w:lang w:val="fr-FR"/>
              </w:rPr>
              <w:t>’</w:t>
            </w:r>
            <w:r w:rsidRPr="007C41F2">
              <w:rPr>
                <w:sz w:val="18"/>
                <w:szCs w:val="18"/>
                <w:lang w:val="fr-FR"/>
              </w:rPr>
              <w:t>eau et le sol (par ex. dû à l</w:t>
            </w:r>
            <w:r w:rsidR="00CA739D" w:rsidRPr="007C41F2">
              <w:rPr>
                <w:sz w:val="18"/>
                <w:szCs w:val="18"/>
                <w:lang w:val="fr-FR"/>
              </w:rPr>
              <w:t>’</w:t>
            </w:r>
            <w:r w:rsidRPr="007C41F2">
              <w:rPr>
                <w:sz w:val="18"/>
                <w:szCs w:val="18"/>
                <w:lang w:val="fr-FR"/>
              </w:rPr>
              <w:t>utilisation de boues d</w:t>
            </w:r>
            <w:r w:rsidR="00CA739D" w:rsidRPr="007C41F2">
              <w:rPr>
                <w:sz w:val="18"/>
                <w:szCs w:val="18"/>
                <w:lang w:val="fr-FR"/>
              </w:rPr>
              <w:t>’</w:t>
            </w:r>
            <w:r w:rsidRPr="007C41F2">
              <w:rPr>
                <w:sz w:val="18"/>
                <w:szCs w:val="18"/>
                <w:lang w:val="fr-FR"/>
              </w:rPr>
              <w:t>épuration comme engrais) ont été signalés.</w:t>
            </w:r>
          </w:p>
        </w:tc>
        <w:tc>
          <w:tcPr>
            <w:tcW w:w="1538" w:type="dxa"/>
            <w:tcBorders>
              <w:top w:val="single" w:sz="4" w:space="0" w:color="auto"/>
              <w:left w:val="single" w:sz="4" w:space="0" w:color="auto"/>
              <w:bottom w:val="single" w:sz="4" w:space="0" w:color="auto"/>
              <w:right w:val="single" w:sz="4" w:space="0" w:color="auto"/>
            </w:tcBorders>
            <w:hideMark/>
          </w:tcPr>
          <w:p w14:paraId="3F7CF434" w14:textId="77777777" w:rsidR="00521A74" w:rsidRPr="007C41F2" w:rsidRDefault="00521A74" w:rsidP="002D16A2">
            <w:pPr>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37B137B9" w14:textId="3D525FF7" w:rsidR="00521A74" w:rsidRPr="007C41F2" w:rsidRDefault="00C22746" w:rsidP="002D16A2">
            <w:pPr>
              <w:spacing w:after="120"/>
              <w:rPr>
                <w:sz w:val="18"/>
                <w:szCs w:val="18"/>
                <w:lang w:val="fr-FR"/>
              </w:rPr>
            </w:pPr>
            <w:r w:rsidRPr="007C41F2">
              <w:rPr>
                <w:sz w:val="18"/>
                <w:szCs w:val="18"/>
                <w:lang w:val="fr-FR"/>
              </w:rPr>
              <w:t>Les résidus issus du traitement des eaux usées qui ont été éliminés sont couverts par l</w:t>
            </w:r>
            <w:r w:rsidR="00CA739D" w:rsidRPr="007C41F2">
              <w:rPr>
                <w:sz w:val="18"/>
                <w:szCs w:val="18"/>
                <w:lang w:val="fr-FR"/>
              </w:rPr>
              <w:t>’</w:t>
            </w:r>
            <w:r w:rsidRPr="007C41F2">
              <w:rPr>
                <w:sz w:val="18"/>
                <w:szCs w:val="18"/>
                <w:lang w:val="fr-FR"/>
              </w:rPr>
              <w:t>article 11.</w:t>
            </w:r>
          </w:p>
        </w:tc>
      </w:tr>
      <w:tr w:rsidR="00521A74" w:rsidRPr="007C41F2" w14:paraId="36EBA13A" w14:textId="77777777" w:rsidTr="003053E8">
        <w:tc>
          <w:tcPr>
            <w:tcW w:w="9350"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14CDD185" w14:textId="77777777" w:rsidR="00521A74" w:rsidRPr="007C41F2" w:rsidRDefault="00521A74" w:rsidP="00241EF8">
            <w:pPr>
              <w:keepNext/>
              <w:keepLines/>
              <w:spacing w:after="120"/>
              <w:rPr>
                <w:sz w:val="18"/>
                <w:szCs w:val="18"/>
                <w:lang w:val="fr-FR"/>
              </w:rPr>
            </w:pPr>
            <w:r w:rsidRPr="007C41F2">
              <w:rPr>
                <w:sz w:val="18"/>
                <w:szCs w:val="18"/>
                <w:lang w:val="fr-FR"/>
              </w:rPr>
              <w:t>Catégorie de sources : Crématoriums et cimetières</w:t>
            </w:r>
          </w:p>
        </w:tc>
      </w:tr>
      <w:tr w:rsidR="00521A74" w:rsidRPr="007C41F2" w14:paraId="26409011" w14:textId="77777777" w:rsidTr="003053E8">
        <w:tc>
          <w:tcPr>
            <w:tcW w:w="827" w:type="dxa"/>
            <w:tcBorders>
              <w:top w:val="single" w:sz="4" w:space="0" w:color="auto"/>
              <w:left w:val="single" w:sz="4" w:space="0" w:color="auto"/>
              <w:bottom w:val="single" w:sz="4" w:space="0" w:color="auto"/>
              <w:right w:val="single" w:sz="4" w:space="0" w:color="auto"/>
            </w:tcBorders>
            <w:hideMark/>
          </w:tcPr>
          <w:p w14:paraId="0894F39C" w14:textId="77777777" w:rsidR="00521A74" w:rsidRPr="007C41F2" w:rsidRDefault="00521A74" w:rsidP="002D16A2">
            <w:pPr>
              <w:spacing w:after="120"/>
              <w:rPr>
                <w:sz w:val="18"/>
                <w:szCs w:val="18"/>
                <w:lang w:val="fr-FR"/>
              </w:rPr>
            </w:pPr>
            <w:r w:rsidRPr="007C41F2">
              <w:rPr>
                <w:sz w:val="18"/>
                <w:szCs w:val="18"/>
                <w:lang w:val="fr-FR"/>
              </w:rPr>
              <w:t>5.10.1</w:t>
            </w:r>
          </w:p>
        </w:tc>
        <w:tc>
          <w:tcPr>
            <w:tcW w:w="2206" w:type="dxa"/>
            <w:tcBorders>
              <w:top w:val="single" w:sz="4" w:space="0" w:color="auto"/>
              <w:left w:val="single" w:sz="4" w:space="0" w:color="auto"/>
              <w:bottom w:val="single" w:sz="4" w:space="0" w:color="auto"/>
              <w:right w:val="single" w:sz="4" w:space="0" w:color="auto"/>
            </w:tcBorders>
            <w:hideMark/>
          </w:tcPr>
          <w:p w14:paraId="55524A5D" w14:textId="77777777" w:rsidR="00521A74" w:rsidRPr="007C41F2" w:rsidRDefault="00521A74" w:rsidP="00241EF8">
            <w:pPr>
              <w:keepNext/>
              <w:keepLines/>
              <w:spacing w:after="120"/>
              <w:rPr>
                <w:sz w:val="18"/>
                <w:szCs w:val="18"/>
                <w:lang w:val="fr-FR"/>
              </w:rPr>
            </w:pPr>
            <w:r w:rsidRPr="007C41F2">
              <w:rPr>
                <w:sz w:val="18"/>
                <w:szCs w:val="18"/>
                <w:lang w:val="fr-FR"/>
              </w:rPr>
              <w:t>Crématoriums/crémation</w:t>
            </w:r>
          </w:p>
        </w:tc>
        <w:tc>
          <w:tcPr>
            <w:tcW w:w="2537" w:type="dxa"/>
            <w:tcBorders>
              <w:top w:val="single" w:sz="4" w:space="0" w:color="auto"/>
              <w:left w:val="single" w:sz="4" w:space="0" w:color="auto"/>
              <w:bottom w:val="single" w:sz="4" w:space="0" w:color="auto"/>
              <w:right w:val="single" w:sz="4" w:space="0" w:color="auto"/>
            </w:tcBorders>
            <w:hideMark/>
          </w:tcPr>
          <w:p w14:paraId="50FBAF72" w14:textId="3A7E8B78" w:rsidR="00521A74" w:rsidRPr="007C41F2" w:rsidRDefault="00521A74" w:rsidP="00241EF8">
            <w:pPr>
              <w:keepNext/>
              <w:keepLines/>
              <w:spacing w:after="120"/>
              <w:rPr>
                <w:sz w:val="18"/>
                <w:szCs w:val="18"/>
                <w:lang w:val="fr-FR"/>
              </w:rPr>
            </w:pPr>
            <w:r w:rsidRPr="007C41F2">
              <w:rPr>
                <w:sz w:val="18"/>
                <w:szCs w:val="18"/>
                <w:lang w:val="fr-FR"/>
              </w:rPr>
              <w:t>Lorsque les cadavres abritent des amalgames dentaires, ces derniers donneront lieu à des émissions atmosphériques pendant l</w:t>
            </w:r>
            <w:r w:rsidR="00CA739D" w:rsidRPr="007C41F2">
              <w:rPr>
                <w:sz w:val="18"/>
                <w:szCs w:val="18"/>
                <w:lang w:val="fr-FR"/>
              </w:rPr>
              <w:t>’</w:t>
            </w:r>
            <w:r w:rsidRPr="007C41F2">
              <w:rPr>
                <w:sz w:val="18"/>
                <w:szCs w:val="18"/>
                <w:lang w:val="fr-FR"/>
              </w:rPr>
              <w:t>incinération. Rejets dans le sol et/ou flux de déchets peuvent se produire lorsque les crématoriums sont équipés de filtres à mercure.</w:t>
            </w:r>
          </w:p>
        </w:tc>
        <w:tc>
          <w:tcPr>
            <w:tcW w:w="1538" w:type="dxa"/>
            <w:tcBorders>
              <w:top w:val="single" w:sz="4" w:space="0" w:color="auto"/>
              <w:left w:val="single" w:sz="4" w:space="0" w:color="auto"/>
              <w:bottom w:val="single" w:sz="4" w:space="0" w:color="auto"/>
              <w:right w:val="single" w:sz="4" w:space="0" w:color="auto"/>
            </w:tcBorders>
          </w:tcPr>
          <w:p w14:paraId="62868433" w14:textId="77777777" w:rsidR="00521A74" w:rsidRPr="007C41F2" w:rsidRDefault="00521A74" w:rsidP="00241EF8">
            <w:pPr>
              <w:keepNext/>
              <w:keepLines/>
              <w:spacing w:after="12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5D8A85EC" w14:textId="701336ED" w:rsidR="00521A74" w:rsidRPr="007C41F2" w:rsidRDefault="00521A74" w:rsidP="002D16A2">
            <w:pPr>
              <w:spacing w:after="120"/>
              <w:rPr>
                <w:sz w:val="18"/>
                <w:szCs w:val="18"/>
                <w:lang w:val="fr-FR"/>
              </w:rPr>
            </w:pPr>
            <w:r w:rsidRPr="007C41F2">
              <w:rPr>
                <w:sz w:val="18"/>
                <w:szCs w:val="18"/>
                <w:lang w:val="fr-FR"/>
              </w:rPr>
              <w:t>Les résidus du contrôle de la pollution de l</w:t>
            </w:r>
            <w:r w:rsidR="00CA739D" w:rsidRPr="007C41F2">
              <w:rPr>
                <w:sz w:val="18"/>
                <w:szCs w:val="18"/>
                <w:lang w:val="fr-FR"/>
              </w:rPr>
              <w:t>’</w:t>
            </w:r>
            <w:r w:rsidRPr="007C41F2">
              <w:rPr>
                <w:sz w:val="18"/>
                <w:szCs w:val="18"/>
                <w:lang w:val="fr-FR"/>
              </w:rPr>
              <w:t>air sont traités à l</w:t>
            </w:r>
            <w:r w:rsidR="00CA739D" w:rsidRPr="007C41F2">
              <w:rPr>
                <w:sz w:val="18"/>
                <w:szCs w:val="18"/>
                <w:lang w:val="fr-FR"/>
              </w:rPr>
              <w:t>’</w:t>
            </w:r>
            <w:r w:rsidRPr="007C41F2">
              <w:rPr>
                <w:sz w:val="18"/>
                <w:szCs w:val="18"/>
                <w:lang w:val="fr-FR"/>
              </w:rPr>
              <w:t>article 11.</w:t>
            </w:r>
          </w:p>
        </w:tc>
      </w:tr>
    </w:tbl>
    <w:p w14:paraId="51226CA6" w14:textId="77777777" w:rsidR="00241EF8" w:rsidRPr="007C41F2" w:rsidRDefault="00241EF8" w:rsidP="00241EF8">
      <w:pPr>
        <w:tabs>
          <w:tab w:val="clear" w:pos="1247"/>
        </w:tabs>
        <w:adjustRightInd w:val="0"/>
        <w:snapToGrid w:val="0"/>
        <w:spacing w:before="120" w:after="120"/>
        <w:ind w:left="811"/>
        <w:rPr>
          <w:rFonts w:asciiTheme="majorBidi" w:hAnsiTheme="majorBidi" w:cstheme="majorBidi"/>
          <w:sz w:val="18"/>
          <w:szCs w:val="18"/>
          <w:lang w:val="fr-FR"/>
        </w:rPr>
      </w:pPr>
      <w:r w:rsidRPr="007C41F2">
        <w:rPr>
          <w:sz w:val="18"/>
          <w:szCs w:val="18"/>
          <w:lang w:val="fr-FR"/>
        </w:rPr>
        <w:t>* Sur la base d’informations regroupées pour l’Outil d’identification et de quantification des rejets de mercure, disponible à l’adresse suivante : www.unenvironment.org/explore-topics/chemicals-waste/what-we-do/mercury/mercury-inventory-toolkit.</w:t>
      </w:r>
    </w:p>
    <w:p w14:paraId="1B19E36D" w14:textId="77777777" w:rsidR="00241EF8" w:rsidRPr="007C41F2" w:rsidRDefault="00241EF8">
      <w:pPr>
        <w:tabs>
          <w:tab w:val="clear" w:pos="1247"/>
          <w:tab w:val="clear" w:pos="1814"/>
          <w:tab w:val="clear" w:pos="2381"/>
          <w:tab w:val="clear" w:pos="2948"/>
          <w:tab w:val="clear" w:pos="3515"/>
        </w:tabs>
        <w:rPr>
          <w:sz w:val="18"/>
          <w:szCs w:val="18"/>
          <w:lang w:val="fr-FR"/>
        </w:rPr>
      </w:pPr>
      <w:r w:rsidRPr="007C41F2">
        <w:rPr>
          <w:sz w:val="18"/>
          <w:szCs w:val="18"/>
          <w:lang w:val="fr-FR"/>
        </w:rPr>
        <w:br w:type="page"/>
      </w:r>
    </w:p>
    <w:p w14:paraId="5C695115" w14:textId="542F4C18" w:rsidR="00D442F1" w:rsidRPr="007C41F2" w:rsidRDefault="003747A3" w:rsidP="002D16A2">
      <w:pPr>
        <w:spacing w:after="120"/>
        <w:ind w:left="1247"/>
        <w:rPr>
          <w:rFonts w:asciiTheme="majorBidi" w:hAnsiTheme="majorBidi" w:cstheme="majorBidi"/>
          <w:sz w:val="18"/>
          <w:szCs w:val="18"/>
          <w:lang w:val="fr-FR"/>
        </w:rPr>
      </w:pPr>
      <w:r w:rsidRPr="007C41F2">
        <w:rPr>
          <w:sz w:val="18"/>
          <w:szCs w:val="18"/>
          <w:lang w:val="fr-FR"/>
        </w:rPr>
        <w:t xml:space="preserve">Tableau 2 </w:t>
      </w:r>
      <w:r w:rsidRPr="007C41F2">
        <w:rPr>
          <w:b/>
          <w:bCs/>
          <w:sz w:val="18"/>
          <w:szCs w:val="18"/>
          <w:lang w:val="fr-FR"/>
        </w:rPr>
        <w:t>Autres sources incluses dans la soumission de catégories de sources potentiellement pertinentes</w:t>
      </w:r>
    </w:p>
    <w:tbl>
      <w:tblPr>
        <w:tblStyle w:val="TableGrid"/>
        <w:tblW w:w="0" w:type="auto"/>
        <w:tblLayout w:type="fixed"/>
        <w:tblLook w:val="04A0" w:firstRow="1" w:lastRow="0" w:firstColumn="1" w:lastColumn="0" w:noHBand="0" w:noVBand="1"/>
      </w:tblPr>
      <w:tblGrid>
        <w:gridCol w:w="827"/>
        <w:gridCol w:w="2206"/>
        <w:gridCol w:w="2537"/>
        <w:gridCol w:w="1538"/>
        <w:gridCol w:w="2242"/>
      </w:tblGrid>
      <w:tr w:rsidR="00341A94" w:rsidRPr="007C41F2" w14:paraId="01482D3B" w14:textId="77777777" w:rsidTr="009F1AA4">
        <w:trPr>
          <w:tblHeader/>
        </w:trPr>
        <w:tc>
          <w:tcPr>
            <w:tcW w:w="3033" w:type="dxa"/>
            <w:gridSpan w:val="2"/>
            <w:shd w:val="clear" w:color="auto" w:fill="EEECE1" w:themeFill="background2"/>
          </w:tcPr>
          <w:p w14:paraId="320E704D" w14:textId="6A39E0C5" w:rsidR="00341A94" w:rsidRPr="007C41F2" w:rsidRDefault="00341A94" w:rsidP="002D16A2">
            <w:pPr>
              <w:spacing w:after="120"/>
              <w:rPr>
                <w:sz w:val="18"/>
                <w:szCs w:val="18"/>
                <w:lang w:val="fr-FR"/>
              </w:rPr>
            </w:pPr>
            <w:r w:rsidRPr="007C41F2">
              <w:rPr>
                <w:sz w:val="18"/>
                <w:szCs w:val="18"/>
                <w:lang w:val="fr-FR"/>
              </w:rPr>
              <w:t>Catégorie de sources dans l</w:t>
            </w:r>
            <w:r w:rsidR="00CA739D" w:rsidRPr="007C41F2">
              <w:rPr>
                <w:sz w:val="18"/>
                <w:szCs w:val="18"/>
                <w:lang w:val="fr-FR"/>
              </w:rPr>
              <w:t>’</w:t>
            </w:r>
            <w:r w:rsidRPr="007C41F2">
              <w:rPr>
                <w:sz w:val="18"/>
                <w:szCs w:val="18"/>
                <w:lang w:val="fr-FR"/>
              </w:rPr>
              <w:t xml:space="preserve">Outil </w:t>
            </w:r>
            <w:r w:rsidR="000B4A2E" w:rsidRPr="007C41F2">
              <w:rPr>
                <w:sz w:val="18"/>
                <w:szCs w:val="18"/>
                <w:lang w:val="fr-FR"/>
              </w:rPr>
              <w:t>d</w:t>
            </w:r>
            <w:r w:rsidR="00CA739D" w:rsidRPr="007C41F2">
              <w:rPr>
                <w:sz w:val="18"/>
                <w:szCs w:val="18"/>
                <w:lang w:val="fr-FR"/>
              </w:rPr>
              <w:t>’</w:t>
            </w:r>
            <w:r w:rsidRPr="007C41F2">
              <w:rPr>
                <w:sz w:val="18"/>
                <w:szCs w:val="18"/>
                <w:lang w:val="fr-FR"/>
              </w:rPr>
              <w:t xml:space="preserve">identification et </w:t>
            </w:r>
            <w:r w:rsidR="000B4A2E" w:rsidRPr="007C41F2">
              <w:rPr>
                <w:sz w:val="18"/>
                <w:szCs w:val="18"/>
                <w:lang w:val="fr-FR"/>
              </w:rPr>
              <w:t xml:space="preserve">de </w:t>
            </w:r>
            <w:r w:rsidRPr="007C41F2">
              <w:rPr>
                <w:sz w:val="18"/>
                <w:szCs w:val="18"/>
                <w:lang w:val="fr-FR"/>
              </w:rPr>
              <w:t>quantification des rejets de mercure</w:t>
            </w:r>
          </w:p>
        </w:tc>
        <w:tc>
          <w:tcPr>
            <w:tcW w:w="2537" w:type="dxa"/>
            <w:shd w:val="clear" w:color="auto" w:fill="EEECE1" w:themeFill="background2"/>
          </w:tcPr>
          <w:p w14:paraId="6EF70D5E" w14:textId="13071C70" w:rsidR="00341A94" w:rsidRPr="007C41F2" w:rsidRDefault="00341A94" w:rsidP="002D16A2">
            <w:pPr>
              <w:spacing w:after="120"/>
              <w:rPr>
                <w:sz w:val="18"/>
                <w:szCs w:val="18"/>
                <w:lang w:val="fr-FR"/>
              </w:rPr>
            </w:pPr>
            <w:r w:rsidRPr="007C41F2">
              <w:rPr>
                <w:sz w:val="18"/>
                <w:szCs w:val="18"/>
                <w:lang w:val="fr-FR"/>
              </w:rPr>
              <w:t>Points de rejet*</w:t>
            </w:r>
          </w:p>
        </w:tc>
        <w:tc>
          <w:tcPr>
            <w:tcW w:w="1538" w:type="dxa"/>
            <w:shd w:val="clear" w:color="auto" w:fill="EEECE1" w:themeFill="background2"/>
          </w:tcPr>
          <w:p w14:paraId="16C8AF5C" w14:textId="12DAABFD" w:rsidR="00341A94" w:rsidRPr="007C41F2" w:rsidRDefault="00341A94" w:rsidP="002D16A2">
            <w:pPr>
              <w:spacing w:after="120"/>
              <w:rPr>
                <w:rFonts w:eastAsia="Yu Mincho"/>
                <w:sz w:val="18"/>
                <w:szCs w:val="18"/>
                <w:lang w:val="fr-FR"/>
              </w:rPr>
            </w:pPr>
            <w:r w:rsidRPr="007C41F2">
              <w:rPr>
                <w:sz w:val="18"/>
                <w:szCs w:val="18"/>
                <w:lang w:val="fr-FR"/>
              </w:rPr>
              <w:t>Source ponctuelle ou diffuse</w:t>
            </w:r>
          </w:p>
        </w:tc>
        <w:tc>
          <w:tcPr>
            <w:tcW w:w="2242" w:type="dxa"/>
            <w:shd w:val="clear" w:color="auto" w:fill="EEECE1" w:themeFill="background2"/>
          </w:tcPr>
          <w:p w14:paraId="2BFC1897" w14:textId="655F1F96" w:rsidR="00341A94" w:rsidRPr="007C41F2" w:rsidRDefault="00341A94" w:rsidP="002D16A2">
            <w:pPr>
              <w:spacing w:after="120"/>
              <w:rPr>
                <w:sz w:val="18"/>
                <w:szCs w:val="18"/>
                <w:lang w:val="fr-FR"/>
              </w:rPr>
            </w:pPr>
            <w:r w:rsidRPr="007C41F2">
              <w:rPr>
                <w:sz w:val="18"/>
                <w:szCs w:val="18"/>
                <w:lang w:val="fr-FR"/>
              </w:rPr>
              <w:t>Traité dans d</w:t>
            </w:r>
            <w:r w:rsidR="00CA739D" w:rsidRPr="007C41F2">
              <w:rPr>
                <w:sz w:val="18"/>
                <w:szCs w:val="18"/>
                <w:lang w:val="fr-FR"/>
              </w:rPr>
              <w:t>’</w:t>
            </w:r>
            <w:r w:rsidRPr="007C41F2">
              <w:rPr>
                <w:sz w:val="18"/>
                <w:szCs w:val="18"/>
                <w:lang w:val="fr-FR"/>
              </w:rPr>
              <w:t>autres articles, ou non</w:t>
            </w:r>
          </w:p>
        </w:tc>
      </w:tr>
      <w:tr w:rsidR="00D442F1" w:rsidRPr="007C41F2" w14:paraId="43061994" w14:textId="77777777" w:rsidTr="00D442F1">
        <w:tc>
          <w:tcPr>
            <w:tcW w:w="827" w:type="dxa"/>
          </w:tcPr>
          <w:p w14:paraId="763DD151" w14:textId="77777777" w:rsidR="00D442F1" w:rsidRPr="007C41F2" w:rsidRDefault="00D442F1" w:rsidP="002D16A2">
            <w:pPr>
              <w:spacing w:after="120"/>
              <w:rPr>
                <w:sz w:val="18"/>
                <w:szCs w:val="18"/>
                <w:lang w:val="fr-FR"/>
              </w:rPr>
            </w:pPr>
            <w:r w:rsidRPr="007C41F2">
              <w:rPr>
                <w:sz w:val="18"/>
                <w:szCs w:val="18"/>
                <w:lang w:val="fr-FR"/>
              </w:rPr>
              <w:t>5.1.5</w:t>
            </w:r>
          </w:p>
        </w:tc>
        <w:tc>
          <w:tcPr>
            <w:tcW w:w="2206" w:type="dxa"/>
          </w:tcPr>
          <w:p w14:paraId="3C93F6EE" w14:textId="358713E1" w:rsidR="00D442F1" w:rsidRPr="007C41F2" w:rsidRDefault="00D442F1" w:rsidP="002D16A2">
            <w:pPr>
              <w:spacing w:after="120"/>
              <w:rPr>
                <w:sz w:val="18"/>
                <w:szCs w:val="18"/>
                <w:lang w:val="fr-FR"/>
              </w:rPr>
            </w:pPr>
            <w:r w:rsidRPr="007C41F2">
              <w:rPr>
                <w:sz w:val="18"/>
                <w:szCs w:val="18"/>
                <w:lang w:val="fr-FR"/>
              </w:rPr>
              <w:t>Autres combustibles fossiles – extraction et utilisation</w:t>
            </w:r>
          </w:p>
        </w:tc>
        <w:tc>
          <w:tcPr>
            <w:tcW w:w="2537" w:type="dxa"/>
          </w:tcPr>
          <w:p w14:paraId="1374CE86" w14:textId="4BDC261B" w:rsidR="00D442F1" w:rsidRPr="007C41F2" w:rsidRDefault="005272B6" w:rsidP="00D3083D">
            <w:pPr>
              <w:spacing w:after="60"/>
              <w:rPr>
                <w:sz w:val="18"/>
                <w:szCs w:val="18"/>
                <w:lang w:val="fr-FR"/>
              </w:rPr>
            </w:pPr>
            <w:r w:rsidRPr="007C41F2">
              <w:rPr>
                <w:sz w:val="18"/>
                <w:szCs w:val="18"/>
                <w:lang w:val="fr-FR"/>
              </w:rPr>
              <w:t>Des rejets issus de la combustion de tourbe, de l</w:t>
            </w:r>
            <w:r w:rsidR="00CA739D" w:rsidRPr="007C41F2">
              <w:rPr>
                <w:sz w:val="18"/>
                <w:szCs w:val="18"/>
                <w:lang w:val="fr-FR"/>
              </w:rPr>
              <w:t>’</w:t>
            </w:r>
            <w:r w:rsidRPr="007C41F2">
              <w:rPr>
                <w:sz w:val="18"/>
                <w:szCs w:val="18"/>
                <w:lang w:val="fr-FR"/>
              </w:rPr>
              <w:t>utilisation de schiste bitumineux et de la combustion d</w:t>
            </w:r>
            <w:r w:rsidR="00CA739D" w:rsidRPr="007C41F2">
              <w:rPr>
                <w:sz w:val="18"/>
                <w:szCs w:val="18"/>
                <w:lang w:val="fr-FR"/>
              </w:rPr>
              <w:t>’</w:t>
            </w:r>
            <w:r w:rsidRPr="007C41F2">
              <w:rPr>
                <w:sz w:val="18"/>
                <w:szCs w:val="18"/>
                <w:lang w:val="fr-FR"/>
              </w:rPr>
              <w:t>autres combustibles fossiles peuvent se produire.</w:t>
            </w:r>
          </w:p>
        </w:tc>
        <w:tc>
          <w:tcPr>
            <w:tcW w:w="1538" w:type="dxa"/>
          </w:tcPr>
          <w:p w14:paraId="032397CA" w14:textId="77777777" w:rsidR="00D442F1" w:rsidRPr="007C41F2" w:rsidRDefault="00D442F1" w:rsidP="00D3083D">
            <w:pPr>
              <w:spacing w:after="60"/>
              <w:rPr>
                <w:sz w:val="18"/>
                <w:szCs w:val="18"/>
                <w:lang w:val="fr-FR"/>
              </w:rPr>
            </w:pPr>
            <w:r w:rsidRPr="007C41F2">
              <w:rPr>
                <w:sz w:val="18"/>
                <w:szCs w:val="18"/>
                <w:lang w:val="fr-FR"/>
              </w:rPr>
              <w:t>Source ponctuelle</w:t>
            </w:r>
          </w:p>
        </w:tc>
        <w:tc>
          <w:tcPr>
            <w:tcW w:w="2242" w:type="dxa"/>
          </w:tcPr>
          <w:p w14:paraId="0782E133" w14:textId="62153129" w:rsidR="00D442F1" w:rsidRPr="007C41F2" w:rsidRDefault="00D442F1" w:rsidP="00D3083D">
            <w:pPr>
              <w:spacing w:after="60"/>
              <w:rPr>
                <w:sz w:val="18"/>
                <w:szCs w:val="18"/>
                <w:lang w:val="fr-FR"/>
              </w:rPr>
            </w:pPr>
            <w:r w:rsidRPr="007C41F2">
              <w:rPr>
                <w:sz w:val="18"/>
                <w:szCs w:val="18"/>
                <w:lang w:val="fr-FR"/>
              </w:rPr>
              <w:t>Les rejets provenant des déchets sont traités à l</w:t>
            </w:r>
            <w:r w:rsidR="00CA739D" w:rsidRPr="007C41F2">
              <w:rPr>
                <w:sz w:val="18"/>
                <w:szCs w:val="18"/>
                <w:lang w:val="fr-FR"/>
              </w:rPr>
              <w:t>’</w:t>
            </w:r>
            <w:r w:rsidRPr="007C41F2">
              <w:rPr>
                <w:sz w:val="18"/>
                <w:szCs w:val="18"/>
                <w:lang w:val="fr-FR"/>
              </w:rPr>
              <w:t>article 11.</w:t>
            </w:r>
          </w:p>
        </w:tc>
      </w:tr>
      <w:tr w:rsidR="00D442F1" w:rsidRPr="007C41F2" w14:paraId="4C587AE9" w14:textId="77777777" w:rsidTr="00CA3C32">
        <w:tc>
          <w:tcPr>
            <w:tcW w:w="827" w:type="dxa"/>
            <w:tcBorders>
              <w:top w:val="single" w:sz="4" w:space="0" w:color="auto"/>
              <w:left w:val="single" w:sz="4" w:space="0" w:color="auto"/>
              <w:bottom w:val="single" w:sz="4" w:space="0" w:color="auto"/>
              <w:right w:val="single" w:sz="4" w:space="0" w:color="auto"/>
            </w:tcBorders>
            <w:hideMark/>
          </w:tcPr>
          <w:p w14:paraId="7A06CD51" w14:textId="77777777" w:rsidR="00D442F1" w:rsidRPr="007C41F2" w:rsidRDefault="00D442F1" w:rsidP="002D16A2">
            <w:pPr>
              <w:spacing w:after="120"/>
              <w:rPr>
                <w:sz w:val="18"/>
                <w:szCs w:val="18"/>
                <w:lang w:val="fr-FR"/>
              </w:rPr>
            </w:pPr>
            <w:r w:rsidRPr="007C41F2">
              <w:rPr>
                <w:sz w:val="18"/>
                <w:szCs w:val="18"/>
                <w:lang w:val="fr-FR"/>
              </w:rPr>
              <w:t>5.2.9</w:t>
            </w:r>
          </w:p>
        </w:tc>
        <w:tc>
          <w:tcPr>
            <w:tcW w:w="2206" w:type="dxa"/>
            <w:tcBorders>
              <w:top w:val="single" w:sz="4" w:space="0" w:color="auto"/>
              <w:left w:val="single" w:sz="4" w:space="0" w:color="auto"/>
              <w:bottom w:val="single" w:sz="4" w:space="0" w:color="auto"/>
              <w:right w:val="single" w:sz="4" w:space="0" w:color="auto"/>
            </w:tcBorders>
            <w:hideMark/>
          </w:tcPr>
          <w:p w14:paraId="71FF9F06" w14:textId="62A401C0" w:rsidR="00D442F1" w:rsidRPr="007C41F2" w:rsidRDefault="00D442F1" w:rsidP="002D16A2">
            <w:pPr>
              <w:spacing w:after="120"/>
              <w:rPr>
                <w:sz w:val="18"/>
                <w:szCs w:val="18"/>
                <w:lang w:val="fr-FR"/>
              </w:rPr>
            </w:pPr>
            <w:r w:rsidRPr="007C41F2">
              <w:rPr>
                <w:sz w:val="18"/>
                <w:szCs w:val="18"/>
                <w:lang w:val="fr-FR"/>
              </w:rPr>
              <w:t>Production primaire de métaux ferreux</w:t>
            </w:r>
          </w:p>
        </w:tc>
        <w:tc>
          <w:tcPr>
            <w:tcW w:w="2537" w:type="dxa"/>
            <w:tcBorders>
              <w:top w:val="single" w:sz="4" w:space="0" w:color="auto"/>
              <w:left w:val="single" w:sz="4" w:space="0" w:color="auto"/>
              <w:bottom w:val="single" w:sz="4" w:space="0" w:color="auto"/>
              <w:right w:val="single" w:sz="4" w:space="0" w:color="auto"/>
            </w:tcBorders>
            <w:hideMark/>
          </w:tcPr>
          <w:p w14:paraId="76849A18" w14:textId="34274E2E" w:rsidR="00D442F1" w:rsidRPr="007C41F2" w:rsidRDefault="005272B6" w:rsidP="00D3083D">
            <w:pPr>
              <w:spacing w:after="60"/>
              <w:rPr>
                <w:sz w:val="18"/>
                <w:szCs w:val="18"/>
                <w:lang w:val="fr-FR"/>
              </w:rPr>
            </w:pPr>
            <w:r w:rsidRPr="007C41F2">
              <w:rPr>
                <w:sz w:val="18"/>
                <w:szCs w:val="18"/>
                <w:lang w:val="fr-FR"/>
              </w:rPr>
              <w:t>Des rejets dans le sol et/ou des flux de déchets ont été signalés, et des rejets dans l</w:t>
            </w:r>
            <w:r w:rsidR="00CA739D" w:rsidRPr="007C41F2">
              <w:rPr>
                <w:sz w:val="18"/>
                <w:szCs w:val="18"/>
                <w:lang w:val="fr-FR"/>
              </w:rPr>
              <w:t>’</w:t>
            </w:r>
            <w:r w:rsidRPr="007C41F2">
              <w:rPr>
                <w:sz w:val="18"/>
                <w:szCs w:val="18"/>
                <w:lang w:val="fr-FR"/>
              </w:rPr>
              <w:t>eau provenant d</w:t>
            </w:r>
            <w:r w:rsidR="00CA739D" w:rsidRPr="007C41F2">
              <w:rPr>
                <w:sz w:val="18"/>
                <w:szCs w:val="18"/>
                <w:lang w:val="fr-FR"/>
              </w:rPr>
              <w:t>’</w:t>
            </w:r>
            <w:r w:rsidRPr="007C41F2">
              <w:rPr>
                <w:sz w:val="18"/>
                <w:szCs w:val="18"/>
                <w:lang w:val="fr-FR"/>
              </w:rPr>
              <w:t>épurateurs par voie humide peuvent se produire.</w:t>
            </w:r>
          </w:p>
        </w:tc>
        <w:tc>
          <w:tcPr>
            <w:tcW w:w="1538" w:type="dxa"/>
            <w:tcBorders>
              <w:top w:val="single" w:sz="4" w:space="0" w:color="auto"/>
              <w:left w:val="single" w:sz="4" w:space="0" w:color="auto"/>
              <w:bottom w:val="single" w:sz="4" w:space="0" w:color="auto"/>
              <w:right w:val="single" w:sz="4" w:space="0" w:color="auto"/>
            </w:tcBorders>
            <w:hideMark/>
          </w:tcPr>
          <w:p w14:paraId="581880BB" w14:textId="77777777" w:rsidR="00D442F1" w:rsidRPr="007C41F2" w:rsidRDefault="00D442F1" w:rsidP="00D3083D">
            <w:pPr>
              <w:spacing w:after="6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3F0F6312" w14:textId="0941DEE8" w:rsidR="00D442F1" w:rsidRPr="007C41F2" w:rsidRDefault="00D442F1" w:rsidP="00D3083D">
            <w:pPr>
              <w:spacing w:after="60"/>
              <w:rPr>
                <w:sz w:val="18"/>
                <w:szCs w:val="18"/>
                <w:lang w:val="fr-FR"/>
              </w:rPr>
            </w:pPr>
            <w:r w:rsidRPr="007C41F2">
              <w:rPr>
                <w:sz w:val="18"/>
                <w:szCs w:val="18"/>
                <w:lang w:val="fr-FR"/>
              </w:rPr>
              <w:t>Les rejets provenant des déchets sont traités à l</w:t>
            </w:r>
            <w:r w:rsidR="00CA739D" w:rsidRPr="007C41F2">
              <w:rPr>
                <w:sz w:val="18"/>
                <w:szCs w:val="18"/>
                <w:lang w:val="fr-FR"/>
              </w:rPr>
              <w:t>’</w:t>
            </w:r>
            <w:r w:rsidRPr="007C41F2">
              <w:rPr>
                <w:sz w:val="18"/>
                <w:szCs w:val="18"/>
                <w:lang w:val="fr-FR"/>
              </w:rPr>
              <w:t>article 11.</w:t>
            </w:r>
          </w:p>
        </w:tc>
      </w:tr>
      <w:tr w:rsidR="00D442F1" w:rsidRPr="007C41F2" w14:paraId="6053BE8F" w14:textId="77777777" w:rsidTr="00D442F1">
        <w:tc>
          <w:tcPr>
            <w:tcW w:w="827" w:type="dxa"/>
            <w:hideMark/>
          </w:tcPr>
          <w:p w14:paraId="591C4DF4" w14:textId="77777777" w:rsidR="00D442F1" w:rsidRPr="007C41F2" w:rsidRDefault="00D442F1" w:rsidP="002D16A2">
            <w:pPr>
              <w:spacing w:after="120"/>
              <w:rPr>
                <w:sz w:val="18"/>
                <w:szCs w:val="18"/>
                <w:lang w:val="fr-FR"/>
              </w:rPr>
            </w:pPr>
            <w:r w:rsidRPr="007C41F2">
              <w:rPr>
                <w:sz w:val="18"/>
                <w:szCs w:val="18"/>
                <w:lang w:val="fr-FR"/>
              </w:rPr>
              <w:t>5.6.5</w:t>
            </w:r>
          </w:p>
        </w:tc>
        <w:tc>
          <w:tcPr>
            <w:tcW w:w="2206" w:type="dxa"/>
            <w:hideMark/>
          </w:tcPr>
          <w:p w14:paraId="2DE76D85" w14:textId="7E2C4E68" w:rsidR="00D442F1" w:rsidRPr="007C41F2" w:rsidRDefault="00D442F1" w:rsidP="002D16A2">
            <w:pPr>
              <w:spacing w:after="120"/>
              <w:rPr>
                <w:sz w:val="18"/>
                <w:szCs w:val="18"/>
                <w:lang w:val="fr-FR"/>
              </w:rPr>
            </w:pPr>
            <w:r w:rsidRPr="007C41F2">
              <w:rPr>
                <w:sz w:val="18"/>
                <w:szCs w:val="18"/>
                <w:lang w:val="fr-FR"/>
              </w:rPr>
              <w:t>Utilisation de produits divers, de métal de mercure et autres sources</w:t>
            </w:r>
          </w:p>
        </w:tc>
        <w:tc>
          <w:tcPr>
            <w:tcW w:w="2537" w:type="dxa"/>
            <w:hideMark/>
          </w:tcPr>
          <w:p w14:paraId="22616607" w14:textId="11642DFC" w:rsidR="00D442F1" w:rsidRPr="007C41F2" w:rsidRDefault="00D442F1" w:rsidP="00D3083D">
            <w:pPr>
              <w:spacing w:after="60"/>
              <w:rPr>
                <w:sz w:val="18"/>
                <w:szCs w:val="18"/>
                <w:lang w:val="fr-FR"/>
              </w:rPr>
            </w:pPr>
            <w:r w:rsidRPr="007C41F2">
              <w:rPr>
                <w:sz w:val="18"/>
                <w:szCs w:val="18"/>
                <w:lang w:val="fr-FR"/>
              </w:rPr>
              <w:t>Des rejets dans le sol et/ou l</w:t>
            </w:r>
            <w:r w:rsidR="00CA739D" w:rsidRPr="007C41F2">
              <w:rPr>
                <w:sz w:val="18"/>
                <w:szCs w:val="18"/>
                <w:lang w:val="fr-FR"/>
              </w:rPr>
              <w:t>’</w:t>
            </w:r>
            <w:r w:rsidRPr="007C41F2">
              <w:rPr>
                <w:sz w:val="18"/>
                <w:szCs w:val="18"/>
                <w:lang w:val="fr-FR"/>
              </w:rPr>
              <w:t>eau ont été signalés.</w:t>
            </w:r>
          </w:p>
        </w:tc>
        <w:tc>
          <w:tcPr>
            <w:tcW w:w="1538" w:type="dxa"/>
          </w:tcPr>
          <w:p w14:paraId="0D93E4CD" w14:textId="0D1D4F4C" w:rsidR="00D442F1" w:rsidRPr="007C41F2" w:rsidRDefault="00D442F1" w:rsidP="00D3083D">
            <w:pPr>
              <w:spacing w:after="60"/>
              <w:rPr>
                <w:sz w:val="18"/>
                <w:szCs w:val="18"/>
                <w:lang w:val="fr-FR"/>
              </w:rPr>
            </w:pPr>
            <w:r w:rsidRPr="007C41F2">
              <w:rPr>
                <w:sz w:val="18"/>
                <w:szCs w:val="18"/>
                <w:lang w:val="fr-FR"/>
              </w:rPr>
              <w:t>Source ponctuelle ou source diffuse</w:t>
            </w:r>
          </w:p>
        </w:tc>
        <w:tc>
          <w:tcPr>
            <w:tcW w:w="2242" w:type="dxa"/>
          </w:tcPr>
          <w:p w14:paraId="7DBD402B" w14:textId="2A7FE142" w:rsidR="00D442F1" w:rsidRPr="007C41F2" w:rsidRDefault="00D442F1" w:rsidP="00D3083D">
            <w:pPr>
              <w:spacing w:after="60"/>
              <w:rPr>
                <w:sz w:val="18"/>
                <w:szCs w:val="18"/>
                <w:lang w:val="fr-FR"/>
              </w:rPr>
            </w:pPr>
            <w:r w:rsidRPr="007C41F2">
              <w:rPr>
                <w:sz w:val="18"/>
                <w:szCs w:val="18"/>
                <w:lang w:val="fr-FR"/>
              </w:rPr>
              <w:t>Les rejets provenant des déchets sont traités à l</w:t>
            </w:r>
            <w:r w:rsidR="00CA739D" w:rsidRPr="007C41F2">
              <w:rPr>
                <w:sz w:val="18"/>
                <w:szCs w:val="18"/>
                <w:lang w:val="fr-FR"/>
              </w:rPr>
              <w:t>’</w:t>
            </w:r>
            <w:r w:rsidRPr="007C41F2">
              <w:rPr>
                <w:sz w:val="18"/>
                <w:szCs w:val="18"/>
                <w:lang w:val="fr-FR"/>
              </w:rPr>
              <w:t>article 11.</w:t>
            </w:r>
          </w:p>
        </w:tc>
      </w:tr>
      <w:tr w:rsidR="00D442F1" w:rsidRPr="007C41F2" w14:paraId="1F47B304" w14:textId="77777777" w:rsidTr="00D442F1">
        <w:tc>
          <w:tcPr>
            <w:tcW w:w="827" w:type="dxa"/>
            <w:hideMark/>
          </w:tcPr>
          <w:p w14:paraId="07C2676B" w14:textId="77777777" w:rsidR="00D442F1" w:rsidRPr="007C41F2" w:rsidRDefault="00D442F1" w:rsidP="002D16A2">
            <w:pPr>
              <w:spacing w:after="120"/>
              <w:rPr>
                <w:sz w:val="12"/>
                <w:szCs w:val="12"/>
                <w:lang w:val="fr-FR"/>
              </w:rPr>
            </w:pPr>
            <w:r w:rsidRPr="007C41F2">
              <w:rPr>
                <w:sz w:val="12"/>
                <w:szCs w:val="12"/>
                <w:lang w:val="fr-FR"/>
              </w:rPr>
              <w:t>NOUVEAU</w:t>
            </w:r>
          </w:p>
        </w:tc>
        <w:tc>
          <w:tcPr>
            <w:tcW w:w="2206" w:type="dxa"/>
            <w:hideMark/>
          </w:tcPr>
          <w:p w14:paraId="480623D3" w14:textId="77777777" w:rsidR="00D442F1" w:rsidRPr="007C41F2" w:rsidRDefault="00D442F1" w:rsidP="002D16A2">
            <w:pPr>
              <w:spacing w:after="120"/>
              <w:rPr>
                <w:sz w:val="18"/>
                <w:szCs w:val="18"/>
                <w:lang w:val="fr-FR"/>
              </w:rPr>
            </w:pPr>
            <w:r w:rsidRPr="007C41F2">
              <w:rPr>
                <w:sz w:val="18"/>
                <w:szCs w:val="18"/>
                <w:lang w:val="fr-FR"/>
              </w:rPr>
              <w:t>Phares</w:t>
            </w:r>
          </w:p>
        </w:tc>
        <w:tc>
          <w:tcPr>
            <w:tcW w:w="2537" w:type="dxa"/>
            <w:hideMark/>
          </w:tcPr>
          <w:p w14:paraId="2E993915" w14:textId="762FF60E" w:rsidR="00D442F1" w:rsidRPr="007C41F2" w:rsidRDefault="00D442F1" w:rsidP="00D3083D">
            <w:pPr>
              <w:spacing w:after="60"/>
              <w:rPr>
                <w:sz w:val="18"/>
                <w:szCs w:val="18"/>
                <w:lang w:val="fr-FR"/>
              </w:rPr>
            </w:pPr>
            <w:r w:rsidRPr="007C41F2">
              <w:rPr>
                <w:sz w:val="18"/>
                <w:szCs w:val="18"/>
                <w:lang w:val="fr-FR"/>
              </w:rPr>
              <w:t>Des rejets dans le sol et l</w:t>
            </w:r>
            <w:r w:rsidR="00CA739D" w:rsidRPr="007C41F2">
              <w:rPr>
                <w:sz w:val="18"/>
                <w:szCs w:val="18"/>
                <w:lang w:val="fr-FR"/>
              </w:rPr>
              <w:t>’</w:t>
            </w:r>
            <w:r w:rsidRPr="007C41F2">
              <w:rPr>
                <w:sz w:val="18"/>
                <w:szCs w:val="18"/>
                <w:lang w:val="fr-FR"/>
              </w:rPr>
              <w:t>eau peuvent se produire dû au lavage du mercure évaporé condensé et suite à des déversements.</w:t>
            </w:r>
          </w:p>
        </w:tc>
        <w:tc>
          <w:tcPr>
            <w:tcW w:w="1538" w:type="dxa"/>
          </w:tcPr>
          <w:p w14:paraId="472FB5E4" w14:textId="77777777" w:rsidR="00D442F1" w:rsidRPr="007C41F2" w:rsidRDefault="00D442F1" w:rsidP="00D3083D">
            <w:pPr>
              <w:spacing w:after="60"/>
              <w:rPr>
                <w:sz w:val="18"/>
                <w:szCs w:val="18"/>
                <w:lang w:val="fr-FR"/>
              </w:rPr>
            </w:pPr>
            <w:r w:rsidRPr="007C41F2">
              <w:rPr>
                <w:sz w:val="18"/>
                <w:szCs w:val="18"/>
                <w:lang w:val="fr-FR"/>
              </w:rPr>
              <w:t>Source ponctuelle</w:t>
            </w:r>
          </w:p>
        </w:tc>
        <w:tc>
          <w:tcPr>
            <w:tcW w:w="2242" w:type="dxa"/>
          </w:tcPr>
          <w:p w14:paraId="0C61CED0" w14:textId="6B4846EF" w:rsidR="00D442F1" w:rsidRPr="007C41F2" w:rsidRDefault="00D442F1" w:rsidP="00D3083D">
            <w:pPr>
              <w:spacing w:after="60"/>
              <w:rPr>
                <w:sz w:val="18"/>
                <w:szCs w:val="18"/>
                <w:lang w:val="fr-FR"/>
              </w:rPr>
            </w:pPr>
            <w:r w:rsidRPr="007C41F2">
              <w:rPr>
                <w:sz w:val="18"/>
                <w:szCs w:val="18"/>
                <w:lang w:val="fr-FR"/>
              </w:rPr>
              <w:t>Les rejets provenant des déchets sont traités à l</w:t>
            </w:r>
            <w:r w:rsidR="00CA739D" w:rsidRPr="007C41F2">
              <w:rPr>
                <w:sz w:val="18"/>
                <w:szCs w:val="18"/>
                <w:lang w:val="fr-FR"/>
              </w:rPr>
              <w:t>’</w:t>
            </w:r>
            <w:r w:rsidRPr="007C41F2">
              <w:rPr>
                <w:sz w:val="18"/>
                <w:szCs w:val="18"/>
                <w:lang w:val="fr-FR"/>
              </w:rPr>
              <w:t>article 11.</w:t>
            </w:r>
          </w:p>
        </w:tc>
      </w:tr>
      <w:tr w:rsidR="005014A1" w:rsidRPr="007C41F2" w14:paraId="47A110B8" w14:textId="77777777" w:rsidTr="00CA3C32">
        <w:tc>
          <w:tcPr>
            <w:tcW w:w="827" w:type="dxa"/>
            <w:tcBorders>
              <w:top w:val="single" w:sz="4" w:space="0" w:color="auto"/>
              <w:left w:val="single" w:sz="4" w:space="0" w:color="auto"/>
              <w:bottom w:val="single" w:sz="4" w:space="0" w:color="auto"/>
              <w:right w:val="single" w:sz="4" w:space="0" w:color="auto"/>
            </w:tcBorders>
          </w:tcPr>
          <w:p w14:paraId="09D611C7" w14:textId="77777777" w:rsidR="005014A1" w:rsidRPr="007C41F2" w:rsidRDefault="005014A1" w:rsidP="002D16A2">
            <w:pPr>
              <w:spacing w:after="120"/>
              <w:rPr>
                <w:sz w:val="18"/>
                <w:szCs w:val="18"/>
                <w:lang w:val="fr-FR"/>
              </w:rPr>
            </w:pPr>
            <w:r w:rsidRPr="007C41F2">
              <w:rPr>
                <w:sz w:val="18"/>
                <w:szCs w:val="18"/>
                <w:lang w:val="fr-FR"/>
              </w:rPr>
              <w:t>5.7.3</w:t>
            </w:r>
          </w:p>
        </w:tc>
        <w:tc>
          <w:tcPr>
            <w:tcW w:w="2206" w:type="dxa"/>
            <w:tcBorders>
              <w:top w:val="single" w:sz="4" w:space="0" w:color="auto"/>
              <w:left w:val="single" w:sz="4" w:space="0" w:color="auto"/>
              <w:bottom w:val="single" w:sz="4" w:space="0" w:color="auto"/>
              <w:right w:val="single" w:sz="4" w:space="0" w:color="auto"/>
            </w:tcBorders>
          </w:tcPr>
          <w:p w14:paraId="7474B07B" w14:textId="0C735EE9" w:rsidR="005014A1" w:rsidRPr="007C41F2" w:rsidRDefault="005014A1" w:rsidP="002D16A2">
            <w:pPr>
              <w:spacing w:after="120"/>
              <w:rPr>
                <w:sz w:val="18"/>
                <w:szCs w:val="18"/>
                <w:lang w:val="fr-FR"/>
              </w:rPr>
            </w:pPr>
            <w:r w:rsidRPr="007C41F2">
              <w:rPr>
                <w:sz w:val="18"/>
                <w:szCs w:val="18"/>
                <w:lang w:val="fr-FR"/>
              </w:rPr>
              <w:t>Production d</w:t>
            </w:r>
            <w:r w:rsidR="00CA739D" w:rsidRPr="007C41F2">
              <w:rPr>
                <w:sz w:val="18"/>
                <w:szCs w:val="18"/>
                <w:lang w:val="fr-FR"/>
              </w:rPr>
              <w:t>’</w:t>
            </w:r>
            <w:r w:rsidRPr="007C41F2">
              <w:rPr>
                <w:sz w:val="18"/>
                <w:szCs w:val="18"/>
                <w:lang w:val="fr-FR"/>
              </w:rPr>
              <w:t>autres métaux recyclés</w:t>
            </w:r>
          </w:p>
        </w:tc>
        <w:tc>
          <w:tcPr>
            <w:tcW w:w="2537" w:type="dxa"/>
            <w:tcBorders>
              <w:top w:val="single" w:sz="4" w:space="0" w:color="auto"/>
              <w:left w:val="single" w:sz="4" w:space="0" w:color="auto"/>
              <w:bottom w:val="single" w:sz="4" w:space="0" w:color="auto"/>
              <w:right w:val="single" w:sz="4" w:space="0" w:color="auto"/>
            </w:tcBorders>
          </w:tcPr>
          <w:p w14:paraId="3BA3552F" w14:textId="3A981872" w:rsidR="005014A1" w:rsidRPr="007C41F2" w:rsidRDefault="005272B6" w:rsidP="00D3083D">
            <w:pPr>
              <w:spacing w:after="60"/>
              <w:rPr>
                <w:sz w:val="18"/>
                <w:szCs w:val="18"/>
                <w:lang w:val="fr-FR"/>
              </w:rPr>
            </w:pPr>
            <w:r w:rsidRPr="007C41F2">
              <w:rPr>
                <w:sz w:val="18"/>
                <w:szCs w:val="18"/>
                <w:lang w:val="fr-FR"/>
              </w:rPr>
              <w:t>Des rejets peuvent intervenir lors démantèlement d</w:t>
            </w:r>
            <w:r w:rsidR="00CA739D" w:rsidRPr="007C41F2">
              <w:rPr>
                <w:sz w:val="18"/>
                <w:szCs w:val="18"/>
                <w:lang w:val="fr-FR"/>
              </w:rPr>
              <w:t>’</w:t>
            </w:r>
            <w:r w:rsidRPr="007C41F2">
              <w:rPr>
                <w:sz w:val="18"/>
                <w:szCs w:val="18"/>
                <w:lang w:val="fr-FR"/>
              </w:rPr>
              <w:t>usines, de plates-formes pétrolières, etc. lorsque l</w:t>
            </w:r>
            <w:r w:rsidR="00CA739D" w:rsidRPr="007C41F2">
              <w:rPr>
                <w:sz w:val="18"/>
                <w:szCs w:val="18"/>
                <w:lang w:val="fr-FR"/>
              </w:rPr>
              <w:t>’</w:t>
            </w:r>
            <w:r w:rsidRPr="007C41F2">
              <w:rPr>
                <w:sz w:val="18"/>
                <w:szCs w:val="18"/>
                <w:lang w:val="fr-FR"/>
              </w:rPr>
              <w:t xml:space="preserve">équipement contaminé par du mercure (p. ex., oléoducs, citernes, échangeurs thermiques) est recyclé. </w:t>
            </w:r>
          </w:p>
        </w:tc>
        <w:tc>
          <w:tcPr>
            <w:tcW w:w="1538" w:type="dxa"/>
            <w:tcBorders>
              <w:top w:val="single" w:sz="4" w:space="0" w:color="auto"/>
              <w:left w:val="single" w:sz="4" w:space="0" w:color="auto"/>
              <w:bottom w:val="single" w:sz="4" w:space="0" w:color="auto"/>
              <w:right w:val="single" w:sz="4" w:space="0" w:color="auto"/>
            </w:tcBorders>
          </w:tcPr>
          <w:p w14:paraId="0407BCED" w14:textId="77777777" w:rsidR="005014A1" w:rsidRPr="007C41F2" w:rsidRDefault="005014A1" w:rsidP="00D3083D">
            <w:pPr>
              <w:spacing w:after="60"/>
              <w:rPr>
                <w:sz w:val="18"/>
                <w:szCs w:val="18"/>
                <w:lang w:val="fr-FR"/>
              </w:rPr>
            </w:pPr>
            <w:r w:rsidRPr="007C41F2">
              <w:rPr>
                <w:sz w:val="18"/>
                <w:szCs w:val="18"/>
                <w:lang w:val="fr-FR"/>
              </w:rPr>
              <w:t>Source ponctuelle</w:t>
            </w:r>
          </w:p>
        </w:tc>
        <w:tc>
          <w:tcPr>
            <w:tcW w:w="2242" w:type="dxa"/>
            <w:tcBorders>
              <w:top w:val="single" w:sz="4" w:space="0" w:color="auto"/>
              <w:left w:val="single" w:sz="4" w:space="0" w:color="auto"/>
              <w:bottom w:val="single" w:sz="4" w:space="0" w:color="auto"/>
              <w:right w:val="single" w:sz="4" w:space="0" w:color="auto"/>
            </w:tcBorders>
          </w:tcPr>
          <w:p w14:paraId="37E78333" w14:textId="19C9D7D5" w:rsidR="005014A1" w:rsidRPr="007C41F2" w:rsidRDefault="005014A1" w:rsidP="00D3083D">
            <w:pPr>
              <w:spacing w:after="60"/>
              <w:rPr>
                <w:sz w:val="18"/>
                <w:szCs w:val="18"/>
                <w:lang w:val="fr-FR"/>
              </w:rPr>
            </w:pPr>
            <w:r w:rsidRPr="007C41F2">
              <w:rPr>
                <w:sz w:val="18"/>
                <w:szCs w:val="18"/>
                <w:lang w:val="fr-FR"/>
              </w:rPr>
              <w:t>Les rejets sont traités à l</w:t>
            </w:r>
            <w:r w:rsidR="00CA739D" w:rsidRPr="007C41F2">
              <w:rPr>
                <w:sz w:val="18"/>
                <w:szCs w:val="18"/>
                <w:lang w:val="fr-FR"/>
              </w:rPr>
              <w:t>’</w:t>
            </w:r>
            <w:r w:rsidRPr="007C41F2">
              <w:rPr>
                <w:sz w:val="18"/>
                <w:szCs w:val="18"/>
                <w:lang w:val="fr-FR"/>
              </w:rPr>
              <w:t>article 11.</w:t>
            </w:r>
          </w:p>
        </w:tc>
      </w:tr>
      <w:tr w:rsidR="00D442F1" w:rsidRPr="007C41F2" w14:paraId="5752A2E0" w14:textId="77777777" w:rsidTr="00CA3C32">
        <w:tc>
          <w:tcPr>
            <w:tcW w:w="827" w:type="dxa"/>
            <w:tcBorders>
              <w:top w:val="single" w:sz="4" w:space="0" w:color="auto"/>
              <w:left w:val="single" w:sz="4" w:space="0" w:color="auto"/>
              <w:bottom w:val="single" w:sz="4" w:space="0" w:color="auto"/>
              <w:right w:val="single" w:sz="4" w:space="0" w:color="auto"/>
            </w:tcBorders>
            <w:hideMark/>
          </w:tcPr>
          <w:p w14:paraId="4B78EA4D" w14:textId="77777777" w:rsidR="00D442F1" w:rsidRPr="007C41F2" w:rsidRDefault="00D442F1" w:rsidP="002D16A2">
            <w:pPr>
              <w:spacing w:after="120"/>
              <w:rPr>
                <w:sz w:val="18"/>
                <w:szCs w:val="18"/>
                <w:lang w:val="fr-FR"/>
              </w:rPr>
            </w:pPr>
            <w:r w:rsidRPr="007C41F2">
              <w:rPr>
                <w:sz w:val="18"/>
                <w:szCs w:val="18"/>
                <w:lang w:val="fr-FR"/>
              </w:rPr>
              <w:t>5.8.5</w:t>
            </w:r>
          </w:p>
        </w:tc>
        <w:tc>
          <w:tcPr>
            <w:tcW w:w="2206" w:type="dxa"/>
            <w:tcBorders>
              <w:top w:val="single" w:sz="4" w:space="0" w:color="auto"/>
              <w:left w:val="single" w:sz="4" w:space="0" w:color="auto"/>
              <w:bottom w:val="single" w:sz="4" w:space="0" w:color="auto"/>
              <w:right w:val="single" w:sz="4" w:space="0" w:color="auto"/>
            </w:tcBorders>
            <w:hideMark/>
          </w:tcPr>
          <w:p w14:paraId="78C157DF" w14:textId="77777777" w:rsidR="00D442F1" w:rsidRPr="007C41F2" w:rsidRDefault="00D442F1" w:rsidP="002D16A2">
            <w:pPr>
              <w:spacing w:after="120"/>
              <w:rPr>
                <w:sz w:val="18"/>
                <w:szCs w:val="18"/>
                <w:lang w:val="fr-FR"/>
              </w:rPr>
            </w:pPr>
            <w:r w:rsidRPr="007C41F2">
              <w:rPr>
                <w:sz w:val="18"/>
                <w:szCs w:val="18"/>
                <w:lang w:val="fr-FR"/>
              </w:rPr>
              <w:t>Brûlage informel des déchets</w:t>
            </w:r>
          </w:p>
        </w:tc>
        <w:tc>
          <w:tcPr>
            <w:tcW w:w="2537" w:type="dxa"/>
            <w:tcBorders>
              <w:top w:val="single" w:sz="4" w:space="0" w:color="auto"/>
              <w:left w:val="single" w:sz="4" w:space="0" w:color="auto"/>
              <w:bottom w:val="single" w:sz="4" w:space="0" w:color="auto"/>
              <w:right w:val="single" w:sz="4" w:space="0" w:color="auto"/>
            </w:tcBorders>
            <w:hideMark/>
          </w:tcPr>
          <w:p w14:paraId="2C55064A" w14:textId="3A310D2F" w:rsidR="00D442F1" w:rsidRPr="007C41F2" w:rsidRDefault="00D442F1" w:rsidP="00D3083D">
            <w:pPr>
              <w:spacing w:after="60"/>
              <w:rPr>
                <w:sz w:val="18"/>
                <w:szCs w:val="18"/>
                <w:lang w:val="fr-FR"/>
              </w:rPr>
            </w:pPr>
            <w:r w:rsidRPr="007C41F2">
              <w:rPr>
                <w:sz w:val="18"/>
                <w:szCs w:val="18"/>
                <w:lang w:val="fr-FR"/>
              </w:rPr>
              <w:t>Les produits contenant du mercure ajouté peuvent être brûlé à l</w:t>
            </w:r>
            <w:r w:rsidR="00CA739D" w:rsidRPr="007C41F2">
              <w:rPr>
                <w:sz w:val="18"/>
                <w:szCs w:val="18"/>
                <w:lang w:val="fr-FR"/>
              </w:rPr>
              <w:t>’</w:t>
            </w:r>
            <w:r w:rsidRPr="007C41F2">
              <w:rPr>
                <w:sz w:val="18"/>
                <w:szCs w:val="18"/>
                <w:lang w:val="fr-FR"/>
              </w:rPr>
              <w:t>air libre dans les pays en développement. Une partie du mercure peut échapper à l</w:t>
            </w:r>
            <w:r w:rsidR="00CA739D" w:rsidRPr="007C41F2">
              <w:rPr>
                <w:sz w:val="18"/>
                <w:szCs w:val="18"/>
                <w:lang w:val="fr-FR"/>
              </w:rPr>
              <w:t>’</w:t>
            </w:r>
            <w:r w:rsidRPr="007C41F2">
              <w:rPr>
                <w:sz w:val="18"/>
                <w:szCs w:val="18"/>
                <w:lang w:val="fr-FR"/>
              </w:rPr>
              <w:t>évaporation dû aux basses températures et entraîner des rejets dans l</w:t>
            </w:r>
            <w:r w:rsidR="00CA739D" w:rsidRPr="007C41F2">
              <w:rPr>
                <w:sz w:val="18"/>
                <w:szCs w:val="18"/>
                <w:lang w:val="fr-FR"/>
              </w:rPr>
              <w:t>’</w:t>
            </w:r>
            <w:r w:rsidRPr="007C41F2">
              <w:rPr>
                <w:sz w:val="18"/>
                <w:szCs w:val="18"/>
                <w:lang w:val="fr-FR"/>
              </w:rPr>
              <w:t>eau et le sol (lixiviation des restes).</w:t>
            </w:r>
          </w:p>
        </w:tc>
        <w:tc>
          <w:tcPr>
            <w:tcW w:w="1538" w:type="dxa"/>
            <w:tcBorders>
              <w:top w:val="single" w:sz="4" w:space="0" w:color="auto"/>
              <w:left w:val="single" w:sz="4" w:space="0" w:color="auto"/>
              <w:bottom w:val="single" w:sz="4" w:space="0" w:color="auto"/>
              <w:right w:val="single" w:sz="4" w:space="0" w:color="auto"/>
            </w:tcBorders>
          </w:tcPr>
          <w:p w14:paraId="54DF1D86" w14:textId="1E317108" w:rsidR="00D442F1" w:rsidRPr="007C41F2" w:rsidRDefault="00D442F1" w:rsidP="00D3083D">
            <w:pPr>
              <w:spacing w:after="60"/>
              <w:rPr>
                <w:sz w:val="18"/>
                <w:szCs w:val="18"/>
                <w:lang w:val="fr-FR"/>
              </w:rPr>
            </w:pPr>
            <w:r w:rsidRPr="007C41F2">
              <w:rPr>
                <w:sz w:val="18"/>
                <w:szCs w:val="18"/>
                <w:lang w:val="fr-FR"/>
              </w:rPr>
              <w:t xml:space="preserve">Source diffuse </w:t>
            </w:r>
          </w:p>
        </w:tc>
        <w:tc>
          <w:tcPr>
            <w:tcW w:w="2242" w:type="dxa"/>
            <w:tcBorders>
              <w:top w:val="single" w:sz="4" w:space="0" w:color="auto"/>
              <w:left w:val="single" w:sz="4" w:space="0" w:color="auto"/>
              <w:bottom w:val="single" w:sz="4" w:space="0" w:color="auto"/>
              <w:right w:val="single" w:sz="4" w:space="0" w:color="auto"/>
            </w:tcBorders>
          </w:tcPr>
          <w:p w14:paraId="0E7C72F4" w14:textId="7EDF715E" w:rsidR="00D442F1" w:rsidRPr="007C41F2" w:rsidRDefault="00EB7A75" w:rsidP="00D3083D">
            <w:pPr>
              <w:spacing w:after="60"/>
              <w:rPr>
                <w:sz w:val="18"/>
                <w:szCs w:val="18"/>
                <w:lang w:val="fr-FR"/>
              </w:rPr>
            </w:pPr>
            <w:r w:rsidRPr="007C41F2">
              <w:rPr>
                <w:sz w:val="18"/>
                <w:szCs w:val="18"/>
                <w:lang w:val="fr-FR"/>
              </w:rPr>
              <w:t>Les rejets sont traités à l</w:t>
            </w:r>
            <w:r w:rsidR="00CA739D" w:rsidRPr="007C41F2">
              <w:rPr>
                <w:sz w:val="18"/>
                <w:szCs w:val="18"/>
                <w:lang w:val="fr-FR"/>
              </w:rPr>
              <w:t>’</w:t>
            </w:r>
            <w:r w:rsidRPr="007C41F2">
              <w:rPr>
                <w:sz w:val="18"/>
                <w:szCs w:val="18"/>
                <w:lang w:val="fr-FR"/>
              </w:rPr>
              <w:t>article 11.</w:t>
            </w:r>
          </w:p>
        </w:tc>
      </w:tr>
      <w:tr w:rsidR="00D442F1" w:rsidRPr="007C41F2" w14:paraId="2F8C1D7B" w14:textId="77777777" w:rsidTr="00CA3C32">
        <w:tc>
          <w:tcPr>
            <w:tcW w:w="827" w:type="dxa"/>
            <w:tcBorders>
              <w:top w:val="single" w:sz="4" w:space="0" w:color="auto"/>
              <w:left w:val="single" w:sz="4" w:space="0" w:color="auto"/>
              <w:bottom w:val="single" w:sz="4" w:space="0" w:color="auto"/>
              <w:right w:val="single" w:sz="4" w:space="0" w:color="auto"/>
            </w:tcBorders>
            <w:hideMark/>
          </w:tcPr>
          <w:p w14:paraId="7CDE2C62" w14:textId="77777777" w:rsidR="00D442F1" w:rsidRPr="007C41F2" w:rsidRDefault="00D442F1" w:rsidP="002D16A2">
            <w:pPr>
              <w:spacing w:after="120"/>
              <w:rPr>
                <w:sz w:val="18"/>
                <w:szCs w:val="18"/>
                <w:lang w:val="fr-FR"/>
              </w:rPr>
            </w:pPr>
            <w:r w:rsidRPr="007C41F2">
              <w:rPr>
                <w:sz w:val="18"/>
                <w:szCs w:val="18"/>
                <w:lang w:val="fr-FR"/>
              </w:rPr>
              <w:t>5.9.2</w:t>
            </w:r>
          </w:p>
        </w:tc>
        <w:tc>
          <w:tcPr>
            <w:tcW w:w="2206" w:type="dxa"/>
            <w:tcBorders>
              <w:top w:val="single" w:sz="4" w:space="0" w:color="auto"/>
              <w:left w:val="single" w:sz="4" w:space="0" w:color="auto"/>
              <w:bottom w:val="single" w:sz="4" w:space="0" w:color="auto"/>
              <w:right w:val="single" w:sz="4" w:space="0" w:color="auto"/>
            </w:tcBorders>
            <w:hideMark/>
          </w:tcPr>
          <w:p w14:paraId="7259B46B" w14:textId="77777777" w:rsidR="00D442F1" w:rsidRPr="007C41F2" w:rsidRDefault="00D442F1" w:rsidP="002D16A2">
            <w:pPr>
              <w:spacing w:after="120"/>
              <w:rPr>
                <w:sz w:val="18"/>
                <w:szCs w:val="18"/>
                <w:lang w:val="fr-FR"/>
              </w:rPr>
            </w:pPr>
            <w:r w:rsidRPr="007C41F2">
              <w:rPr>
                <w:sz w:val="18"/>
                <w:szCs w:val="18"/>
                <w:lang w:val="fr-FR"/>
              </w:rPr>
              <w:t>Élimination diffuse sous un certain contrôle</w:t>
            </w:r>
          </w:p>
        </w:tc>
        <w:tc>
          <w:tcPr>
            <w:tcW w:w="2537" w:type="dxa"/>
            <w:tcBorders>
              <w:top w:val="single" w:sz="4" w:space="0" w:color="auto"/>
              <w:left w:val="single" w:sz="4" w:space="0" w:color="auto"/>
              <w:bottom w:val="single" w:sz="4" w:space="0" w:color="auto"/>
              <w:right w:val="single" w:sz="4" w:space="0" w:color="auto"/>
            </w:tcBorders>
            <w:hideMark/>
          </w:tcPr>
          <w:p w14:paraId="766B60C8" w14:textId="45F6765B" w:rsidR="00D442F1" w:rsidRPr="007C41F2" w:rsidRDefault="00D442F1" w:rsidP="002D16A2">
            <w:pPr>
              <w:spacing w:after="120"/>
              <w:rPr>
                <w:sz w:val="18"/>
                <w:szCs w:val="18"/>
                <w:lang w:val="fr-FR"/>
              </w:rPr>
            </w:pPr>
            <w:r w:rsidRPr="007C41F2">
              <w:rPr>
                <w:sz w:val="18"/>
                <w:szCs w:val="18"/>
                <w:lang w:val="fr-FR"/>
              </w:rPr>
              <w:t>Cette catégorie de sources renvoie à l</w:t>
            </w:r>
            <w:r w:rsidR="00CA739D" w:rsidRPr="007C41F2">
              <w:rPr>
                <w:sz w:val="18"/>
                <w:szCs w:val="18"/>
                <w:lang w:val="fr-FR"/>
              </w:rPr>
              <w:t>’</w:t>
            </w:r>
            <w:r w:rsidRPr="007C41F2">
              <w:rPr>
                <w:sz w:val="18"/>
                <w:szCs w:val="18"/>
                <w:lang w:val="fr-FR"/>
              </w:rPr>
              <w:t>utilisation de résidus sous les routes, par exemple, lesquels peuvent être considérés comme des rejets dans le sol, assortis d</w:t>
            </w:r>
            <w:r w:rsidR="00CA739D" w:rsidRPr="007C41F2">
              <w:rPr>
                <w:sz w:val="18"/>
                <w:szCs w:val="18"/>
                <w:lang w:val="fr-FR"/>
              </w:rPr>
              <w:t>’</w:t>
            </w:r>
            <w:r w:rsidRPr="007C41F2">
              <w:rPr>
                <w:sz w:val="18"/>
                <w:szCs w:val="18"/>
                <w:lang w:val="fr-FR"/>
              </w:rPr>
              <w:t>un potentiel de libération lente dans l</w:t>
            </w:r>
            <w:r w:rsidR="00CA739D" w:rsidRPr="007C41F2">
              <w:rPr>
                <w:sz w:val="18"/>
                <w:szCs w:val="18"/>
                <w:lang w:val="fr-FR"/>
              </w:rPr>
              <w:t>’</w:t>
            </w:r>
            <w:r w:rsidRPr="007C41F2">
              <w:rPr>
                <w:sz w:val="18"/>
                <w:szCs w:val="18"/>
                <w:lang w:val="fr-FR"/>
              </w:rPr>
              <w:t>eau.</w:t>
            </w:r>
          </w:p>
        </w:tc>
        <w:tc>
          <w:tcPr>
            <w:tcW w:w="1538" w:type="dxa"/>
            <w:tcBorders>
              <w:top w:val="single" w:sz="4" w:space="0" w:color="auto"/>
              <w:left w:val="single" w:sz="4" w:space="0" w:color="auto"/>
              <w:bottom w:val="single" w:sz="4" w:space="0" w:color="auto"/>
              <w:right w:val="single" w:sz="4" w:space="0" w:color="auto"/>
            </w:tcBorders>
          </w:tcPr>
          <w:p w14:paraId="106CD8DD" w14:textId="77777777" w:rsidR="00D442F1" w:rsidRPr="007C41F2" w:rsidRDefault="00D442F1" w:rsidP="002D16A2">
            <w:pPr>
              <w:spacing w:after="120"/>
              <w:rPr>
                <w:sz w:val="18"/>
                <w:szCs w:val="18"/>
                <w:lang w:val="fr-FR"/>
              </w:rPr>
            </w:pPr>
            <w:r w:rsidRPr="007C41F2">
              <w:rPr>
                <w:sz w:val="18"/>
                <w:szCs w:val="18"/>
                <w:lang w:val="fr-FR"/>
              </w:rPr>
              <w:t>Source diffuse</w:t>
            </w:r>
          </w:p>
        </w:tc>
        <w:tc>
          <w:tcPr>
            <w:tcW w:w="2242" w:type="dxa"/>
            <w:tcBorders>
              <w:top w:val="single" w:sz="4" w:space="0" w:color="auto"/>
              <w:left w:val="single" w:sz="4" w:space="0" w:color="auto"/>
              <w:bottom w:val="single" w:sz="4" w:space="0" w:color="auto"/>
              <w:right w:val="single" w:sz="4" w:space="0" w:color="auto"/>
            </w:tcBorders>
          </w:tcPr>
          <w:p w14:paraId="3AC841AB" w14:textId="4D10FB2B" w:rsidR="00D442F1" w:rsidRPr="007C41F2" w:rsidRDefault="00EB7A75" w:rsidP="002D16A2">
            <w:pPr>
              <w:spacing w:after="120"/>
              <w:rPr>
                <w:sz w:val="18"/>
                <w:szCs w:val="18"/>
                <w:lang w:val="fr-FR"/>
              </w:rPr>
            </w:pPr>
            <w:r w:rsidRPr="007C41F2">
              <w:rPr>
                <w:sz w:val="18"/>
                <w:szCs w:val="18"/>
                <w:lang w:val="fr-FR"/>
              </w:rPr>
              <w:t>Les rejets sont traités à l</w:t>
            </w:r>
            <w:r w:rsidR="00CA739D" w:rsidRPr="007C41F2">
              <w:rPr>
                <w:sz w:val="18"/>
                <w:szCs w:val="18"/>
                <w:lang w:val="fr-FR"/>
              </w:rPr>
              <w:t>’</w:t>
            </w:r>
            <w:r w:rsidRPr="007C41F2">
              <w:rPr>
                <w:sz w:val="18"/>
                <w:szCs w:val="18"/>
                <w:lang w:val="fr-FR"/>
              </w:rPr>
              <w:t>article 11.</w:t>
            </w:r>
          </w:p>
        </w:tc>
      </w:tr>
      <w:tr w:rsidR="00D442F1" w:rsidRPr="007C41F2" w14:paraId="6EBC4011" w14:textId="77777777" w:rsidTr="00CA3C32">
        <w:tc>
          <w:tcPr>
            <w:tcW w:w="827" w:type="dxa"/>
            <w:tcBorders>
              <w:top w:val="single" w:sz="4" w:space="0" w:color="auto"/>
              <w:left w:val="single" w:sz="4" w:space="0" w:color="auto"/>
              <w:bottom w:val="single" w:sz="4" w:space="0" w:color="auto"/>
              <w:right w:val="single" w:sz="4" w:space="0" w:color="auto"/>
            </w:tcBorders>
            <w:hideMark/>
          </w:tcPr>
          <w:p w14:paraId="2D53C1CA" w14:textId="77777777" w:rsidR="00D442F1" w:rsidRPr="007C41F2" w:rsidRDefault="00D442F1" w:rsidP="002D16A2">
            <w:pPr>
              <w:spacing w:after="120"/>
              <w:rPr>
                <w:sz w:val="18"/>
                <w:szCs w:val="18"/>
                <w:lang w:val="fr-FR"/>
              </w:rPr>
            </w:pPr>
            <w:r w:rsidRPr="007C41F2">
              <w:rPr>
                <w:sz w:val="18"/>
                <w:szCs w:val="18"/>
                <w:lang w:val="fr-FR"/>
              </w:rPr>
              <w:t>5.9.3</w:t>
            </w:r>
          </w:p>
        </w:tc>
        <w:tc>
          <w:tcPr>
            <w:tcW w:w="2206" w:type="dxa"/>
            <w:tcBorders>
              <w:top w:val="single" w:sz="4" w:space="0" w:color="auto"/>
              <w:left w:val="single" w:sz="4" w:space="0" w:color="auto"/>
              <w:bottom w:val="single" w:sz="4" w:space="0" w:color="auto"/>
              <w:right w:val="single" w:sz="4" w:space="0" w:color="auto"/>
            </w:tcBorders>
            <w:hideMark/>
          </w:tcPr>
          <w:p w14:paraId="013E2E84" w14:textId="1B1A17D1" w:rsidR="00D442F1" w:rsidRPr="007C41F2" w:rsidRDefault="00D442F1" w:rsidP="002D16A2">
            <w:pPr>
              <w:spacing w:after="120"/>
              <w:rPr>
                <w:sz w:val="18"/>
                <w:szCs w:val="18"/>
                <w:lang w:val="fr-FR"/>
              </w:rPr>
            </w:pPr>
            <w:r w:rsidRPr="007C41F2">
              <w:rPr>
                <w:sz w:val="18"/>
                <w:szCs w:val="18"/>
                <w:lang w:val="fr-FR"/>
              </w:rPr>
              <w:t>Élimination locale informelle des déchets de la production industrielle</w:t>
            </w:r>
          </w:p>
        </w:tc>
        <w:tc>
          <w:tcPr>
            <w:tcW w:w="2537" w:type="dxa"/>
            <w:tcBorders>
              <w:top w:val="single" w:sz="4" w:space="0" w:color="auto"/>
              <w:left w:val="single" w:sz="4" w:space="0" w:color="auto"/>
              <w:bottom w:val="single" w:sz="4" w:space="0" w:color="auto"/>
              <w:right w:val="single" w:sz="4" w:space="0" w:color="auto"/>
            </w:tcBorders>
            <w:hideMark/>
          </w:tcPr>
          <w:p w14:paraId="498B200C" w14:textId="21E65003" w:rsidR="00D442F1" w:rsidRPr="007C41F2" w:rsidRDefault="00D442F1" w:rsidP="002D16A2">
            <w:pPr>
              <w:spacing w:after="120"/>
              <w:rPr>
                <w:sz w:val="18"/>
                <w:szCs w:val="18"/>
                <w:lang w:val="fr-FR"/>
              </w:rPr>
            </w:pPr>
            <w:r w:rsidRPr="007C41F2">
              <w:rPr>
                <w:sz w:val="18"/>
                <w:szCs w:val="18"/>
                <w:lang w:val="fr-FR"/>
              </w:rPr>
              <w:t>En pareil cas, des rejets dans le sol et l</w:t>
            </w:r>
            <w:r w:rsidR="00CA739D" w:rsidRPr="007C41F2">
              <w:rPr>
                <w:sz w:val="18"/>
                <w:szCs w:val="18"/>
                <w:lang w:val="fr-FR"/>
              </w:rPr>
              <w:t>’</w:t>
            </w:r>
            <w:r w:rsidRPr="007C41F2">
              <w:rPr>
                <w:sz w:val="18"/>
                <w:szCs w:val="18"/>
                <w:lang w:val="fr-FR"/>
              </w:rPr>
              <w:t>eau peuvent se produire.</w:t>
            </w:r>
          </w:p>
        </w:tc>
        <w:tc>
          <w:tcPr>
            <w:tcW w:w="1538" w:type="dxa"/>
            <w:tcBorders>
              <w:top w:val="single" w:sz="4" w:space="0" w:color="auto"/>
              <w:left w:val="single" w:sz="4" w:space="0" w:color="auto"/>
              <w:bottom w:val="single" w:sz="4" w:space="0" w:color="auto"/>
              <w:right w:val="single" w:sz="4" w:space="0" w:color="auto"/>
            </w:tcBorders>
          </w:tcPr>
          <w:p w14:paraId="795938A2" w14:textId="77777777" w:rsidR="00D442F1" w:rsidRPr="007C41F2" w:rsidRDefault="00D442F1" w:rsidP="002D16A2">
            <w:pPr>
              <w:spacing w:after="120"/>
              <w:rPr>
                <w:sz w:val="18"/>
                <w:szCs w:val="18"/>
                <w:lang w:val="fr-FR"/>
              </w:rPr>
            </w:pPr>
            <w:r w:rsidRPr="007C41F2">
              <w:rPr>
                <w:sz w:val="18"/>
                <w:szCs w:val="18"/>
                <w:lang w:val="fr-FR"/>
              </w:rPr>
              <w:t>Source diffuse</w:t>
            </w:r>
          </w:p>
        </w:tc>
        <w:tc>
          <w:tcPr>
            <w:tcW w:w="2242" w:type="dxa"/>
            <w:tcBorders>
              <w:top w:val="single" w:sz="4" w:space="0" w:color="auto"/>
              <w:left w:val="single" w:sz="4" w:space="0" w:color="auto"/>
              <w:bottom w:val="single" w:sz="4" w:space="0" w:color="auto"/>
              <w:right w:val="single" w:sz="4" w:space="0" w:color="auto"/>
            </w:tcBorders>
          </w:tcPr>
          <w:p w14:paraId="6EDEA712" w14:textId="3B35760B" w:rsidR="00D442F1" w:rsidRPr="007C41F2" w:rsidRDefault="00EB7A75" w:rsidP="002D16A2">
            <w:pPr>
              <w:spacing w:after="120"/>
              <w:rPr>
                <w:sz w:val="18"/>
                <w:szCs w:val="18"/>
                <w:lang w:val="fr-FR"/>
              </w:rPr>
            </w:pPr>
            <w:r w:rsidRPr="007C41F2">
              <w:rPr>
                <w:sz w:val="18"/>
                <w:szCs w:val="18"/>
                <w:lang w:val="fr-FR"/>
              </w:rPr>
              <w:t>Les rejets sont traités à l</w:t>
            </w:r>
            <w:r w:rsidR="00CA739D" w:rsidRPr="007C41F2">
              <w:rPr>
                <w:sz w:val="18"/>
                <w:szCs w:val="18"/>
                <w:lang w:val="fr-FR"/>
              </w:rPr>
              <w:t>’</w:t>
            </w:r>
            <w:r w:rsidRPr="007C41F2">
              <w:rPr>
                <w:sz w:val="18"/>
                <w:szCs w:val="18"/>
                <w:lang w:val="fr-FR"/>
              </w:rPr>
              <w:t>article 11.</w:t>
            </w:r>
          </w:p>
        </w:tc>
      </w:tr>
      <w:tr w:rsidR="00D442F1" w:rsidRPr="007C41F2" w14:paraId="6B9340B1" w14:textId="77777777" w:rsidTr="00CA3C32">
        <w:tc>
          <w:tcPr>
            <w:tcW w:w="827" w:type="dxa"/>
            <w:tcBorders>
              <w:top w:val="single" w:sz="4" w:space="0" w:color="auto"/>
              <w:left w:val="single" w:sz="4" w:space="0" w:color="auto"/>
              <w:bottom w:val="single" w:sz="4" w:space="0" w:color="auto"/>
              <w:right w:val="single" w:sz="4" w:space="0" w:color="auto"/>
            </w:tcBorders>
            <w:hideMark/>
          </w:tcPr>
          <w:p w14:paraId="46F2C6FC" w14:textId="77777777" w:rsidR="00D442F1" w:rsidRPr="007C41F2" w:rsidRDefault="00D442F1" w:rsidP="002D16A2">
            <w:pPr>
              <w:spacing w:after="120"/>
              <w:rPr>
                <w:sz w:val="18"/>
                <w:szCs w:val="18"/>
                <w:lang w:val="fr-FR"/>
              </w:rPr>
            </w:pPr>
            <w:r w:rsidRPr="007C41F2">
              <w:rPr>
                <w:sz w:val="18"/>
                <w:szCs w:val="18"/>
                <w:lang w:val="fr-FR"/>
              </w:rPr>
              <w:t>5.9.4</w:t>
            </w:r>
          </w:p>
        </w:tc>
        <w:tc>
          <w:tcPr>
            <w:tcW w:w="2206" w:type="dxa"/>
            <w:tcBorders>
              <w:top w:val="single" w:sz="4" w:space="0" w:color="auto"/>
              <w:left w:val="single" w:sz="4" w:space="0" w:color="auto"/>
              <w:bottom w:val="single" w:sz="4" w:space="0" w:color="auto"/>
              <w:right w:val="single" w:sz="4" w:space="0" w:color="auto"/>
            </w:tcBorders>
            <w:hideMark/>
          </w:tcPr>
          <w:p w14:paraId="6AC8804B" w14:textId="77777777" w:rsidR="00D442F1" w:rsidRPr="007C41F2" w:rsidRDefault="00D442F1" w:rsidP="002D16A2">
            <w:pPr>
              <w:spacing w:after="120"/>
              <w:rPr>
                <w:sz w:val="18"/>
                <w:szCs w:val="18"/>
                <w:lang w:val="fr-FR"/>
              </w:rPr>
            </w:pPr>
            <w:r w:rsidRPr="007C41F2">
              <w:rPr>
                <w:sz w:val="18"/>
                <w:szCs w:val="18"/>
                <w:lang w:val="fr-FR"/>
              </w:rPr>
              <w:t>Déversement non contrôlé de déchets ordinaires</w:t>
            </w:r>
          </w:p>
        </w:tc>
        <w:tc>
          <w:tcPr>
            <w:tcW w:w="2537" w:type="dxa"/>
            <w:tcBorders>
              <w:top w:val="single" w:sz="4" w:space="0" w:color="auto"/>
              <w:left w:val="single" w:sz="4" w:space="0" w:color="auto"/>
              <w:bottom w:val="single" w:sz="4" w:space="0" w:color="auto"/>
              <w:right w:val="single" w:sz="4" w:space="0" w:color="auto"/>
            </w:tcBorders>
            <w:hideMark/>
          </w:tcPr>
          <w:p w14:paraId="28EEB9C7" w14:textId="1617C445" w:rsidR="00D442F1" w:rsidRPr="007C41F2" w:rsidRDefault="00D442F1" w:rsidP="002D16A2">
            <w:pPr>
              <w:spacing w:after="120"/>
              <w:rPr>
                <w:sz w:val="18"/>
                <w:szCs w:val="18"/>
                <w:lang w:val="fr-FR"/>
              </w:rPr>
            </w:pPr>
            <w:r w:rsidRPr="007C41F2">
              <w:rPr>
                <w:sz w:val="18"/>
                <w:szCs w:val="18"/>
                <w:lang w:val="fr-FR"/>
              </w:rPr>
              <w:t>Le déversement non contrôlé constitue en soi un rejet dans le sol. Il peut également entraîner des rejets dans l</w:t>
            </w:r>
            <w:r w:rsidR="00CA739D" w:rsidRPr="007C41F2">
              <w:rPr>
                <w:sz w:val="18"/>
                <w:szCs w:val="18"/>
                <w:lang w:val="fr-FR"/>
              </w:rPr>
              <w:t>’</w:t>
            </w:r>
            <w:r w:rsidRPr="007C41F2">
              <w:rPr>
                <w:sz w:val="18"/>
                <w:szCs w:val="18"/>
                <w:lang w:val="fr-FR"/>
              </w:rPr>
              <w:t>eau.</w:t>
            </w:r>
          </w:p>
        </w:tc>
        <w:tc>
          <w:tcPr>
            <w:tcW w:w="1538" w:type="dxa"/>
            <w:tcBorders>
              <w:top w:val="single" w:sz="4" w:space="0" w:color="auto"/>
              <w:left w:val="single" w:sz="4" w:space="0" w:color="auto"/>
              <w:bottom w:val="single" w:sz="4" w:space="0" w:color="auto"/>
              <w:right w:val="single" w:sz="4" w:space="0" w:color="auto"/>
            </w:tcBorders>
          </w:tcPr>
          <w:p w14:paraId="6959DCEF" w14:textId="77777777" w:rsidR="00D442F1" w:rsidRPr="007C41F2" w:rsidRDefault="00D442F1" w:rsidP="002D16A2">
            <w:pPr>
              <w:spacing w:after="120"/>
              <w:rPr>
                <w:sz w:val="18"/>
                <w:szCs w:val="18"/>
                <w:lang w:val="fr-FR"/>
              </w:rPr>
            </w:pPr>
            <w:r w:rsidRPr="007C41F2">
              <w:rPr>
                <w:sz w:val="18"/>
                <w:szCs w:val="18"/>
                <w:lang w:val="fr-FR"/>
              </w:rPr>
              <w:t>Source diffuse</w:t>
            </w:r>
          </w:p>
        </w:tc>
        <w:tc>
          <w:tcPr>
            <w:tcW w:w="2242" w:type="dxa"/>
            <w:tcBorders>
              <w:top w:val="single" w:sz="4" w:space="0" w:color="auto"/>
              <w:left w:val="single" w:sz="4" w:space="0" w:color="auto"/>
              <w:bottom w:val="single" w:sz="4" w:space="0" w:color="auto"/>
              <w:right w:val="single" w:sz="4" w:space="0" w:color="auto"/>
            </w:tcBorders>
          </w:tcPr>
          <w:p w14:paraId="377DAE44" w14:textId="7F9DFD8D" w:rsidR="00D442F1" w:rsidRPr="007C41F2" w:rsidRDefault="00EB7A75" w:rsidP="002D16A2">
            <w:pPr>
              <w:spacing w:after="120"/>
              <w:rPr>
                <w:sz w:val="18"/>
                <w:szCs w:val="18"/>
                <w:lang w:val="fr-FR"/>
              </w:rPr>
            </w:pPr>
            <w:r w:rsidRPr="007C41F2">
              <w:rPr>
                <w:sz w:val="18"/>
                <w:szCs w:val="18"/>
                <w:lang w:val="fr-FR"/>
              </w:rPr>
              <w:t>Les rejets sont traités à l</w:t>
            </w:r>
            <w:r w:rsidR="00CA739D" w:rsidRPr="007C41F2">
              <w:rPr>
                <w:sz w:val="18"/>
                <w:szCs w:val="18"/>
                <w:lang w:val="fr-FR"/>
              </w:rPr>
              <w:t>’</w:t>
            </w:r>
            <w:r w:rsidRPr="007C41F2">
              <w:rPr>
                <w:sz w:val="18"/>
                <w:szCs w:val="18"/>
                <w:lang w:val="fr-FR"/>
              </w:rPr>
              <w:t>article 11.</w:t>
            </w:r>
          </w:p>
        </w:tc>
      </w:tr>
      <w:tr w:rsidR="00D442F1" w:rsidRPr="007C41F2" w14:paraId="6A14C5F9" w14:textId="77777777" w:rsidTr="00D442F1">
        <w:tc>
          <w:tcPr>
            <w:tcW w:w="827" w:type="dxa"/>
          </w:tcPr>
          <w:p w14:paraId="4B82B972" w14:textId="77777777" w:rsidR="00D442F1" w:rsidRPr="007C41F2" w:rsidRDefault="00D442F1" w:rsidP="002D16A2">
            <w:pPr>
              <w:spacing w:after="120"/>
              <w:rPr>
                <w:sz w:val="18"/>
                <w:szCs w:val="18"/>
                <w:lang w:val="fr-FR"/>
              </w:rPr>
            </w:pPr>
            <w:r w:rsidRPr="007C41F2">
              <w:rPr>
                <w:sz w:val="18"/>
                <w:szCs w:val="18"/>
                <w:lang w:val="fr-FR"/>
              </w:rPr>
              <w:t>5.10.2</w:t>
            </w:r>
          </w:p>
        </w:tc>
        <w:tc>
          <w:tcPr>
            <w:tcW w:w="2206" w:type="dxa"/>
          </w:tcPr>
          <w:p w14:paraId="71112AFE" w14:textId="77777777" w:rsidR="00D442F1" w:rsidRPr="007C41F2" w:rsidRDefault="00D442F1" w:rsidP="002D16A2">
            <w:pPr>
              <w:spacing w:after="120"/>
              <w:rPr>
                <w:sz w:val="18"/>
                <w:szCs w:val="18"/>
                <w:lang w:val="fr-FR"/>
              </w:rPr>
            </w:pPr>
            <w:r w:rsidRPr="007C41F2">
              <w:rPr>
                <w:sz w:val="18"/>
                <w:szCs w:val="18"/>
                <w:lang w:val="fr-FR"/>
              </w:rPr>
              <w:t>Cimetières</w:t>
            </w:r>
          </w:p>
        </w:tc>
        <w:tc>
          <w:tcPr>
            <w:tcW w:w="2537" w:type="dxa"/>
          </w:tcPr>
          <w:p w14:paraId="3AAB57A5" w14:textId="03AD0154" w:rsidR="00D442F1" w:rsidRPr="007C41F2" w:rsidRDefault="00D442F1" w:rsidP="00D3083D">
            <w:pPr>
              <w:rPr>
                <w:sz w:val="18"/>
                <w:szCs w:val="18"/>
                <w:lang w:val="fr-FR"/>
              </w:rPr>
            </w:pPr>
            <w:r w:rsidRPr="007C41F2">
              <w:rPr>
                <w:sz w:val="18"/>
                <w:szCs w:val="18"/>
                <w:lang w:val="fr-FR"/>
              </w:rPr>
              <w:t>Lorsque des cadavres sont enterrés qui abritent des amalgames dentaires, le mercure sera directement libéré dans la terre.</w:t>
            </w:r>
          </w:p>
        </w:tc>
        <w:tc>
          <w:tcPr>
            <w:tcW w:w="1538" w:type="dxa"/>
          </w:tcPr>
          <w:p w14:paraId="5A4E3B11" w14:textId="77777777" w:rsidR="00D442F1" w:rsidRPr="007C41F2" w:rsidRDefault="00D442F1" w:rsidP="002D16A2">
            <w:pPr>
              <w:spacing w:after="120"/>
              <w:rPr>
                <w:sz w:val="18"/>
                <w:szCs w:val="18"/>
                <w:lang w:val="fr-FR"/>
              </w:rPr>
            </w:pPr>
            <w:r w:rsidRPr="007C41F2">
              <w:rPr>
                <w:sz w:val="18"/>
                <w:szCs w:val="18"/>
                <w:lang w:val="fr-FR"/>
              </w:rPr>
              <w:t>Source diffuse</w:t>
            </w:r>
          </w:p>
        </w:tc>
        <w:tc>
          <w:tcPr>
            <w:tcW w:w="2242" w:type="dxa"/>
          </w:tcPr>
          <w:p w14:paraId="063CEB1F" w14:textId="77777777" w:rsidR="00D442F1" w:rsidRPr="007C41F2" w:rsidRDefault="00D442F1" w:rsidP="002D16A2">
            <w:pPr>
              <w:spacing w:after="120"/>
              <w:rPr>
                <w:sz w:val="18"/>
                <w:szCs w:val="18"/>
                <w:lang w:val="fr-FR"/>
              </w:rPr>
            </w:pPr>
          </w:p>
        </w:tc>
      </w:tr>
    </w:tbl>
    <w:p w14:paraId="08F34766" w14:textId="58B520D4" w:rsidR="006D3295" w:rsidRPr="007C41F2" w:rsidRDefault="003053E8" w:rsidP="00E56B5B">
      <w:pPr>
        <w:tabs>
          <w:tab w:val="clear" w:pos="1247"/>
        </w:tabs>
        <w:adjustRightInd w:val="0"/>
        <w:snapToGrid w:val="0"/>
        <w:spacing w:before="120" w:after="120"/>
        <w:ind w:left="284"/>
        <w:rPr>
          <w:rFonts w:asciiTheme="majorBidi" w:hAnsiTheme="majorBidi" w:cstheme="majorBidi"/>
          <w:sz w:val="18"/>
          <w:szCs w:val="18"/>
          <w:lang w:val="fr-FR"/>
        </w:rPr>
      </w:pPr>
      <w:r w:rsidRPr="007C41F2">
        <w:rPr>
          <w:sz w:val="18"/>
          <w:szCs w:val="18"/>
          <w:lang w:val="fr-FR"/>
        </w:rPr>
        <w:t>* Sur la base d</w:t>
      </w:r>
      <w:r w:rsidR="00CA739D" w:rsidRPr="007C41F2">
        <w:rPr>
          <w:sz w:val="18"/>
          <w:szCs w:val="18"/>
          <w:lang w:val="fr-FR"/>
        </w:rPr>
        <w:t>’</w:t>
      </w:r>
      <w:r w:rsidRPr="007C41F2">
        <w:rPr>
          <w:sz w:val="18"/>
          <w:szCs w:val="18"/>
          <w:lang w:val="fr-FR"/>
        </w:rPr>
        <w:t>informations regroupées pour l</w:t>
      </w:r>
      <w:r w:rsidR="00CA739D" w:rsidRPr="007C41F2">
        <w:rPr>
          <w:sz w:val="18"/>
          <w:szCs w:val="18"/>
          <w:lang w:val="fr-FR"/>
        </w:rPr>
        <w:t>’</w:t>
      </w:r>
      <w:r w:rsidRPr="007C41F2">
        <w:rPr>
          <w:sz w:val="18"/>
          <w:szCs w:val="18"/>
          <w:lang w:val="fr-FR"/>
        </w:rPr>
        <w:t xml:space="preserve">Outil </w:t>
      </w:r>
      <w:r w:rsidR="00F81C3C" w:rsidRPr="007C41F2">
        <w:rPr>
          <w:sz w:val="18"/>
          <w:szCs w:val="18"/>
          <w:lang w:val="fr-FR"/>
        </w:rPr>
        <w:t>d’identification et de quantification des rejets de mercure</w:t>
      </w:r>
      <w:r w:rsidRPr="007C41F2">
        <w:rPr>
          <w:sz w:val="18"/>
          <w:szCs w:val="18"/>
          <w:lang w:val="fr-FR"/>
        </w:rPr>
        <w:t>, disponible à l</w:t>
      </w:r>
      <w:r w:rsidR="00CA739D" w:rsidRPr="007C41F2">
        <w:rPr>
          <w:sz w:val="18"/>
          <w:szCs w:val="18"/>
          <w:lang w:val="fr-FR"/>
        </w:rPr>
        <w:t>’</w:t>
      </w:r>
      <w:r w:rsidRPr="007C41F2">
        <w:rPr>
          <w:sz w:val="18"/>
          <w:szCs w:val="18"/>
          <w:lang w:val="fr-FR"/>
        </w:rPr>
        <w:t xml:space="preserve">adresse </w:t>
      </w:r>
      <w:r w:rsidR="00F81C3C" w:rsidRPr="007C41F2">
        <w:rPr>
          <w:sz w:val="18"/>
          <w:szCs w:val="18"/>
          <w:lang w:val="fr-FR"/>
        </w:rPr>
        <w:t xml:space="preserve">suivante : </w:t>
      </w:r>
      <w:r w:rsidRPr="007C41F2">
        <w:rPr>
          <w:sz w:val="18"/>
          <w:szCs w:val="18"/>
          <w:lang w:val="fr-FR"/>
        </w:rPr>
        <w:t>www.unenvironment.org/explore-topics/chemicals-waste/what-we-do/mercury/mercury-inventory-toolkit.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6D3295" w:rsidRPr="007C41F2" w14:paraId="29FFCBD5" w14:textId="77777777" w:rsidTr="00C14994">
        <w:tc>
          <w:tcPr>
            <w:tcW w:w="1897" w:type="dxa"/>
          </w:tcPr>
          <w:p w14:paraId="633C9227" w14:textId="77777777" w:rsidR="006D3295" w:rsidRPr="007C41F2" w:rsidRDefault="006D3295" w:rsidP="00D3083D">
            <w:pPr>
              <w:pStyle w:val="Normal-pool"/>
              <w:rPr>
                <w:lang w:val="fr-FR"/>
              </w:rPr>
            </w:pPr>
          </w:p>
        </w:tc>
        <w:tc>
          <w:tcPr>
            <w:tcW w:w="1897" w:type="dxa"/>
          </w:tcPr>
          <w:p w14:paraId="25BFC740" w14:textId="77777777" w:rsidR="006D3295" w:rsidRPr="007C41F2" w:rsidRDefault="006D3295" w:rsidP="00D3083D">
            <w:pPr>
              <w:pStyle w:val="Normal-pool"/>
              <w:rPr>
                <w:lang w:val="fr-FR"/>
              </w:rPr>
            </w:pPr>
          </w:p>
        </w:tc>
        <w:tc>
          <w:tcPr>
            <w:tcW w:w="1897" w:type="dxa"/>
            <w:tcBorders>
              <w:bottom w:val="single" w:sz="4" w:space="0" w:color="auto"/>
            </w:tcBorders>
          </w:tcPr>
          <w:p w14:paraId="494B9700" w14:textId="77777777" w:rsidR="006D3295" w:rsidRPr="007C41F2" w:rsidRDefault="006D3295" w:rsidP="00D3083D">
            <w:pPr>
              <w:pStyle w:val="Normal-pool"/>
              <w:rPr>
                <w:lang w:val="fr-FR"/>
              </w:rPr>
            </w:pPr>
          </w:p>
        </w:tc>
        <w:tc>
          <w:tcPr>
            <w:tcW w:w="1897" w:type="dxa"/>
          </w:tcPr>
          <w:p w14:paraId="73ECB00A" w14:textId="77777777" w:rsidR="006D3295" w:rsidRPr="007C41F2" w:rsidRDefault="006D3295" w:rsidP="00D3083D">
            <w:pPr>
              <w:pStyle w:val="Normal-pool"/>
              <w:rPr>
                <w:lang w:val="fr-FR"/>
              </w:rPr>
            </w:pPr>
          </w:p>
        </w:tc>
        <w:tc>
          <w:tcPr>
            <w:tcW w:w="1898" w:type="dxa"/>
          </w:tcPr>
          <w:p w14:paraId="5A2A760E" w14:textId="77777777" w:rsidR="006D3295" w:rsidRPr="007C41F2" w:rsidRDefault="006D3295" w:rsidP="00D3083D">
            <w:pPr>
              <w:pStyle w:val="Normal-pool"/>
              <w:rPr>
                <w:lang w:val="fr-FR"/>
              </w:rPr>
            </w:pPr>
          </w:p>
        </w:tc>
      </w:tr>
    </w:tbl>
    <w:p w14:paraId="04C34461" w14:textId="77777777" w:rsidR="00F61AB4" w:rsidRPr="007C41F2" w:rsidRDefault="00F61AB4" w:rsidP="002D16A2">
      <w:pPr>
        <w:pStyle w:val="CH1"/>
        <w:tabs>
          <w:tab w:val="clear" w:pos="851"/>
        </w:tabs>
        <w:spacing w:before="0"/>
        <w:ind w:left="1287" w:firstLine="0"/>
        <w:rPr>
          <w:bCs/>
          <w:lang w:val="fr-FR"/>
        </w:rPr>
      </w:pPr>
    </w:p>
    <w:sectPr w:rsidR="00F61AB4" w:rsidRPr="007C41F2" w:rsidSect="009E40F6">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C41EBE" w14:textId="77777777" w:rsidR="005723CD" w:rsidRDefault="005723CD">
      <w:r>
        <w:separator/>
      </w:r>
    </w:p>
  </w:endnote>
  <w:endnote w:type="continuationSeparator" w:id="0">
    <w:p w14:paraId="23962079" w14:textId="77777777" w:rsidR="005723CD" w:rsidRDefault="00572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altName w:val="Malgun Gothic Semilight"/>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FA249" w14:textId="708F4FD1" w:rsidR="005723CD" w:rsidRDefault="005723CD" w:rsidP="000855ED">
    <w:pPr>
      <w:pStyle w:val="Normal-pool"/>
    </w:pPr>
    <w:r>
      <w:rPr>
        <w:rStyle w:val="PageNumber"/>
      </w:rPr>
      <w:fldChar w:fldCharType="begin"/>
    </w:r>
    <w:r>
      <w:rPr>
        <w:rStyle w:val="PageNumber"/>
      </w:rPr>
      <w:instrText xml:space="preserve"> PAGE </w:instrText>
    </w:r>
    <w:r>
      <w:rPr>
        <w:rStyle w:val="PageNumber"/>
      </w:rPr>
      <w:fldChar w:fldCharType="separate"/>
    </w:r>
    <w:r w:rsidR="00AE1D8C">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823B8" w14:textId="5083AB36" w:rsidR="005723CD" w:rsidRDefault="005723CD" w:rsidP="000855ED">
    <w:pPr>
      <w:pStyle w:val="Normal-pool"/>
      <w:jc w:val="right"/>
    </w:pPr>
    <w:r>
      <w:rPr>
        <w:rStyle w:val="PageNumber"/>
      </w:rPr>
      <w:fldChar w:fldCharType="begin"/>
    </w:r>
    <w:r>
      <w:rPr>
        <w:rStyle w:val="PageNumber"/>
      </w:rPr>
      <w:instrText xml:space="preserve"> PAGE </w:instrText>
    </w:r>
    <w:r>
      <w:rPr>
        <w:rStyle w:val="PageNumber"/>
      </w:rPr>
      <w:fldChar w:fldCharType="separate"/>
    </w:r>
    <w:r w:rsidR="00AE1D8C">
      <w:rPr>
        <w:rStyle w:val="PageNumber"/>
        <w:noProof/>
      </w:rPr>
      <w:t>17</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3ADF2" w14:textId="3BCBB3F8" w:rsidR="005723CD" w:rsidRPr="003110C2" w:rsidRDefault="005723CD" w:rsidP="000855ED">
    <w:pPr>
      <w:pStyle w:val="Normal-pool"/>
    </w:pPr>
    <w:r w:rsidRPr="003110C2">
      <w:rPr>
        <w:noProof/>
      </w:rPr>
      <w:t>K1903766</w:t>
    </w:r>
    <w:r w:rsidRPr="003110C2">
      <w:rPr>
        <w:noProof/>
      </w:rPr>
      <w:tab/>
      <w:t>2</w:t>
    </w:r>
    <w:r>
      <w:rPr>
        <w:noProof/>
      </w:rPr>
      <w:t>5</w:t>
    </w:r>
    <w:r w:rsidRPr="003110C2">
      <w:rPr>
        <w:noProof/>
      </w:rPr>
      <w:t>0919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BAB24" w14:textId="77777777" w:rsidR="005723CD" w:rsidRPr="000855ED" w:rsidRDefault="005723CD" w:rsidP="000855ED">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0855ED">
        <w:rPr>
          <w:sz w:val="18"/>
          <w:szCs w:val="18"/>
        </w:rPr>
        <w:separator/>
      </w:r>
    </w:p>
  </w:footnote>
  <w:footnote w:type="continuationSeparator" w:id="0">
    <w:p w14:paraId="4196C5AF" w14:textId="77777777" w:rsidR="005723CD" w:rsidRDefault="005723CD">
      <w:r>
        <w:continuationSeparator/>
      </w:r>
    </w:p>
  </w:footnote>
  <w:footnote w:id="1">
    <w:p w14:paraId="373BC07E" w14:textId="2AF94F9F" w:rsidR="005723CD" w:rsidRPr="00077B04" w:rsidRDefault="005723CD">
      <w:pPr>
        <w:tabs>
          <w:tab w:val="left" w:pos="624"/>
        </w:tabs>
        <w:spacing w:before="20" w:after="40"/>
        <w:ind w:left="1247"/>
        <w:rPr>
          <w:sz w:val="18"/>
          <w:szCs w:val="18"/>
          <w:lang w:val="fr-FR"/>
        </w:rPr>
      </w:pPr>
      <w:r w:rsidRPr="00077B04">
        <w:rPr>
          <w:sz w:val="18"/>
          <w:szCs w:val="18"/>
          <w:lang w:val="fr-FR"/>
        </w:rPr>
        <w:t>* UNEP/MC/COP.3/1.</w:t>
      </w:r>
    </w:p>
  </w:footnote>
  <w:footnote w:id="2">
    <w:p w14:paraId="16C39F2E" w14:textId="2262BD3B" w:rsidR="005723CD" w:rsidRPr="00C50242" w:rsidRDefault="005723CD" w:rsidP="00C14994">
      <w:pPr>
        <w:pStyle w:val="FootnoteText"/>
        <w:tabs>
          <w:tab w:val="clear" w:pos="1247"/>
          <w:tab w:val="clear" w:pos="1814"/>
          <w:tab w:val="clear" w:pos="2381"/>
          <w:tab w:val="clear" w:pos="2948"/>
          <w:tab w:val="clear" w:pos="3515"/>
          <w:tab w:val="clear" w:pos="4082"/>
        </w:tabs>
        <w:rPr>
          <w:szCs w:val="18"/>
        </w:rPr>
      </w:pPr>
      <w:r w:rsidRPr="007A395C">
        <w:rPr>
          <w:rStyle w:val="FootnoteReference"/>
          <w:sz w:val="18"/>
        </w:rPr>
        <w:footnoteRef/>
      </w:r>
      <w:r>
        <w:t xml:space="preserve"> Disponible à l’adresse www.epa.gov/cwa-404/clean-water-act-section-502-general-definitions.</w:t>
      </w:r>
    </w:p>
  </w:footnote>
  <w:footnote w:id="3">
    <w:p w14:paraId="5320BEA5" w14:textId="41023ACE" w:rsidR="005723CD" w:rsidRPr="007A395C" w:rsidRDefault="005723CD" w:rsidP="00C14994">
      <w:pPr>
        <w:pStyle w:val="FootnoteText"/>
        <w:tabs>
          <w:tab w:val="clear" w:pos="1247"/>
          <w:tab w:val="clear" w:pos="1814"/>
          <w:tab w:val="clear" w:pos="2381"/>
          <w:tab w:val="clear" w:pos="2948"/>
          <w:tab w:val="clear" w:pos="3515"/>
          <w:tab w:val="clear" w:pos="4082"/>
        </w:tabs>
        <w:rPr>
          <w:szCs w:val="18"/>
        </w:rPr>
      </w:pPr>
      <w:r w:rsidRPr="007A395C">
        <w:rPr>
          <w:rStyle w:val="FootnoteReference"/>
          <w:sz w:val="18"/>
        </w:rPr>
        <w:footnoteRef/>
      </w:r>
      <w:r>
        <w:t xml:space="preserve"> Disponible à l’adresse www.eea.europa.eu/help/glossary/eea-glossary/point-source.</w:t>
      </w:r>
    </w:p>
  </w:footnote>
  <w:footnote w:id="4">
    <w:p w14:paraId="08DAB742" w14:textId="5A782D4C" w:rsidR="005723CD" w:rsidRPr="00523134" w:rsidRDefault="005723CD" w:rsidP="00C14994">
      <w:pPr>
        <w:pStyle w:val="FootnoteText"/>
        <w:rPr>
          <w:szCs w:val="18"/>
        </w:rPr>
      </w:pPr>
      <w:r w:rsidRPr="00523134">
        <w:rPr>
          <w:rStyle w:val="FootnoteReference"/>
          <w:sz w:val="18"/>
        </w:rPr>
        <w:footnoteRef/>
      </w:r>
      <w:r>
        <w:t xml:space="preserve"> Annexe IV de la Convention de Bâle : Opérations d’élimination D1 (Dépôt sur ou dans le sol (par ex. mise en décharge, etc.) et D6 (Rejet dans le milieu aquatique sauf l’immersion en mer), etc.</w:t>
      </w:r>
    </w:p>
  </w:footnote>
  <w:footnote w:id="5">
    <w:p w14:paraId="0CAB149D" w14:textId="2014509F" w:rsidR="005723CD" w:rsidRPr="00680452" w:rsidRDefault="005723CD" w:rsidP="00C14994">
      <w:pPr>
        <w:pStyle w:val="FootnoteText"/>
        <w:rPr>
          <w:szCs w:val="18"/>
        </w:rPr>
      </w:pPr>
      <w:r w:rsidRPr="00523134">
        <w:rPr>
          <w:rStyle w:val="FootnoteReference"/>
          <w:sz w:val="18"/>
        </w:rPr>
        <w:footnoteRef/>
      </w:r>
      <w:r>
        <w:t xml:space="preserve"> Les directives actuelles de la Convention de Bâle n’incluent pas le dépôt sur ou dans le sol, ni le rejet, non traité, dans le milieu aquatique au nombre des options de gestion écologiquement rationnelle. Elles indiquent que les eaux usées qui proviennent d'opérations de récupération et contiennent du mercure ne devraient pas être rejetées non traitées dans le milieu aquatique. Le document décrit également la réduction des rejets de mercure provenant d'opérations de récupération par un traitement thermique et un traitement de solidification/stabilisation des déchets à mettre en décharge. Dans sa décision BC-14/8, la Conférence des Parties à la Convention de Bâle a décidé que les directives techniques devraient être mises à jour. </w:t>
      </w:r>
    </w:p>
  </w:footnote>
  <w:footnote w:id="6">
    <w:p w14:paraId="1A427BBE" w14:textId="0A9212D1" w:rsidR="005723CD" w:rsidRPr="008C40F6" w:rsidRDefault="005723CD" w:rsidP="00C14994">
      <w:pPr>
        <w:pStyle w:val="FootnoteText"/>
        <w:rPr>
          <w:szCs w:val="18"/>
        </w:rPr>
      </w:pPr>
      <w:r w:rsidRPr="00C14994">
        <w:rPr>
          <w:rStyle w:val="FootnoteReference"/>
          <w:sz w:val="18"/>
        </w:rPr>
        <w:footnoteRef/>
      </w:r>
      <w:r>
        <w:t xml:space="preserve"> Le groupe d’experts techniques sur les seuils applicables aux déchets de mercure considère que le niveau de risque associé aux morts-terrains et déchets de rocs au niveau industriel est actuellement trop faible pour nécessiter la mise en place d’un seuil pour ces sources.</w:t>
      </w:r>
    </w:p>
  </w:footnote>
  <w:footnote w:id="7">
    <w:p w14:paraId="0391DE0D" w14:textId="20E88DE8" w:rsidR="005723CD" w:rsidRPr="006D3295" w:rsidRDefault="005723CD" w:rsidP="00C14994">
      <w:pPr>
        <w:pStyle w:val="FootnoteText"/>
        <w:rPr>
          <w:szCs w:val="18"/>
        </w:rPr>
      </w:pPr>
      <w:r w:rsidRPr="00C14994">
        <w:rPr>
          <w:rStyle w:val="FootnoteReference"/>
          <w:sz w:val="18"/>
        </w:rPr>
        <w:footnoteRef/>
      </w:r>
      <w:r>
        <w:t xml:space="preserve"> Disponible à l’adresse www.mercuryconvention.org/Convention/Formsandguidance/tabid/5527/language/en-US/Default.aspx.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62D0A" w14:textId="4770C4B5" w:rsidR="005723CD" w:rsidRPr="00CA5CA9" w:rsidRDefault="005723CD"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331DC" w14:textId="4DF2A7FC" w:rsidR="005723CD" w:rsidRPr="00CA5CA9" w:rsidRDefault="005723CD"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CE33E" w14:textId="4FDC98A6" w:rsidR="005723CD" w:rsidRPr="00046DBC" w:rsidRDefault="005723CD" w:rsidP="00046DB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71156"/>
    <w:multiLevelType w:val="hybridMultilevel"/>
    <w:tmpl w:val="AC4EA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01C7F90"/>
    <w:multiLevelType w:val="hybridMultilevel"/>
    <w:tmpl w:val="A0C05F62"/>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 w15:restartNumberingAfterBreak="0">
    <w:nsid w:val="20E23DCB"/>
    <w:multiLevelType w:val="hybridMultilevel"/>
    <w:tmpl w:val="9C2A64A0"/>
    <w:lvl w:ilvl="0" w:tplc="B032D95A">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DD529B"/>
    <w:multiLevelType w:val="hybridMultilevel"/>
    <w:tmpl w:val="D38ADCA2"/>
    <w:lvl w:ilvl="0" w:tplc="B8C01AA0">
      <w:start w:val="1"/>
      <w:numFmt w:val="upperLetter"/>
      <w:lvlText w:val="%1."/>
      <w:lvlJc w:val="left"/>
      <w:pPr>
        <w:ind w:left="1294" w:hanging="360"/>
      </w:pPr>
      <w:rPr>
        <w:b/>
      </w:rPr>
    </w:lvl>
    <w:lvl w:ilvl="1" w:tplc="08090019" w:tentative="1">
      <w:start w:val="1"/>
      <w:numFmt w:val="lowerLetter"/>
      <w:lvlText w:val="%2."/>
      <w:lvlJc w:val="left"/>
      <w:pPr>
        <w:ind w:left="2014" w:hanging="360"/>
      </w:pPr>
    </w:lvl>
    <w:lvl w:ilvl="2" w:tplc="0809001B" w:tentative="1">
      <w:start w:val="1"/>
      <w:numFmt w:val="lowerRoman"/>
      <w:lvlText w:val="%3."/>
      <w:lvlJc w:val="right"/>
      <w:pPr>
        <w:ind w:left="2734" w:hanging="180"/>
      </w:pPr>
    </w:lvl>
    <w:lvl w:ilvl="3" w:tplc="0809000F" w:tentative="1">
      <w:start w:val="1"/>
      <w:numFmt w:val="decimal"/>
      <w:lvlText w:val="%4."/>
      <w:lvlJc w:val="left"/>
      <w:pPr>
        <w:ind w:left="3454" w:hanging="360"/>
      </w:pPr>
    </w:lvl>
    <w:lvl w:ilvl="4" w:tplc="08090019" w:tentative="1">
      <w:start w:val="1"/>
      <w:numFmt w:val="lowerLetter"/>
      <w:lvlText w:val="%5."/>
      <w:lvlJc w:val="left"/>
      <w:pPr>
        <w:ind w:left="4174" w:hanging="360"/>
      </w:pPr>
    </w:lvl>
    <w:lvl w:ilvl="5" w:tplc="0809001B" w:tentative="1">
      <w:start w:val="1"/>
      <w:numFmt w:val="lowerRoman"/>
      <w:lvlText w:val="%6."/>
      <w:lvlJc w:val="right"/>
      <w:pPr>
        <w:ind w:left="4894" w:hanging="180"/>
      </w:pPr>
    </w:lvl>
    <w:lvl w:ilvl="6" w:tplc="0809000F" w:tentative="1">
      <w:start w:val="1"/>
      <w:numFmt w:val="decimal"/>
      <w:lvlText w:val="%7."/>
      <w:lvlJc w:val="left"/>
      <w:pPr>
        <w:ind w:left="5614" w:hanging="360"/>
      </w:pPr>
    </w:lvl>
    <w:lvl w:ilvl="7" w:tplc="08090019" w:tentative="1">
      <w:start w:val="1"/>
      <w:numFmt w:val="lowerLetter"/>
      <w:lvlText w:val="%8."/>
      <w:lvlJc w:val="left"/>
      <w:pPr>
        <w:ind w:left="6334" w:hanging="360"/>
      </w:pPr>
    </w:lvl>
    <w:lvl w:ilvl="8" w:tplc="0809001B" w:tentative="1">
      <w:start w:val="1"/>
      <w:numFmt w:val="lowerRoman"/>
      <w:lvlText w:val="%9."/>
      <w:lvlJc w:val="right"/>
      <w:pPr>
        <w:ind w:left="7054" w:hanging="180"/>
      </w:pPr>
    </w:lvl>
  </w:abstractNum>
  <w:abstractNum w:abstractNumId="5" w15:restartNumberingAfterBreak="0">
    <w:nsid w:val="26FE0FA3"/>
    <w:multiLevelType w:val="hybridMultilevel"/>
    <w:tmpl w:val="231E7D3A"/>
    <w:lvl w:ilvl="0" w:tplc="0809000F">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6" w15:restartNumberingAfterBreak="0">
    <w:nsid w:val="2E0F2A71"/>
    <w:multiLevelType w:val="hybridMultilevel"/>
    <w:tmpl w:val="A0C05F62"/>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15:restartNumberingAfterBreak="0">
    <w:nsid w:val="3C7F2358"/>
    <w:multiLevelType w:val="hybridMultilevel"/>
    <w:tmpl w:val="3D0C6BF8"/>
    <w:lvl w:ilvl="0" w:tplc="B032D95A">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9" w15:restartNumberingAfterBreak="0">
    <w:nsid w:val="42BA1DF5"/>
    <w:multiLevelType w:val="hybridMultilevel"/>
    <w:tmpl w:val="E2BC0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F26519"/>
    <w:multiLevelType w:val="hybridMultilevel"/>
    <w:tmpl w:val="55C85E72"/>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1" w15:restartNumberingAfterBreak="0">
    <w:nsid w:val="445408A8"/>
    <w:multiLevelType w:val="hybridMultilevel"/>
    <w:tmpl w:val="3DFEC0CE"/>
    <w:lvl w:ilvl="0" w:tplc="A4A02AD2">
      <w:start w:val="1"/>
      <w:numFmt w:val="upp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4D434F1A"/>
    <w:multiLevelType w:val="hybridMultilevel"/>
    <w:tmpl w:val="B3F40E90"/>
    <w:lvl w:ilvl="0" w:tplc="B032D95A">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14" w15:restartNumberingAfterBreak="0">
    <w:nsid w:val="6D151C9B"/>
    <w:multiLevelType w:val="hybridMultilevel"/>
    <w:tmpl w:val="275C725C"/>
    <w:lvl w:ilvl="0" w:tplc="0809000F">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15" w15:restartNumberingAfterBreak="0">
    <w:nsid w:val="74E835BF"/>
    <w:multiLevelType w:val="hybridMultilevel"/>
    <w:tmpl w:val="67D00358"/>
    <w:lvl w:ilvl="0" w:tplc="AB30BCF0">
      <w:start w:val="1"/>
      <w:numFmt w:val="upperRoman"/>
      <w:lvlText w:val="%1."/>
      <w:lvlJc w:val="left"/>
      <w:pPr>
        <w:ind w:left="1287" w:hanging="360"/>
      </w:pPr>
      <w:rPr>
        <w:rFonts w:hint="default"/>
        <w:b/>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79C37A5B"/>
    <w:multiLevelType w:val="hybridMultilevel"/>
    <w:tmpl w:val="00C830E4"/>
    <w:lvl w:ilvl="0" w:tplc="5E0E9EA8">
      <w:start w:val="1100"/>
      <w:numFmt w:val="bullet"/>
      <w:lvlText w:val="-"/>
      <w:lvlJc w:val="left"/>
      <w:pPr>
        <w:ind w:left="1607" w:hanging="360"/>
      </w:pPr>
      <w:rPr>
        <w:rFonts w:ascii="Times New Roman" w:eastAsia="Times New Roman" w:hAnsi="Times New Roman" w:cs="Times New Roman" w:hint="default"/>
        <w:i/>
      </w:rPr>
    </w:lvl>
    <w:lvl w:ilvl="1" w:tplc="04090003" w:tentative="1">
      <w:start w:val="1"/>
      <w:numFmt w:val="bullet"/>
      <w:lvlText w:val="o"/>
      <w:lvlJc w:val="left"/>
      <w:pPr>
        <w:ind w:left="2327" w:hanging="360"/>
      </w:pPr>
      <w:rPr>
        <w:rFonts w:ascii="Courier New" w:hAnsi="Courier New" w:cs="Courier New" w:hint="default"/>
      </w:rPr>
    </w:lvl>
    <w:lvl w:ilvl="2" w:tplc="04090005" w:tentative="1">
      <w:start w:val="1"/>
      <w:numFmt w:val="bullet"/>
      <w:lvlText w:val=""/>
      <w:lvlJc w:val="left"/>
      <w:pPr>
        <w:ind w:left="3047" w:hanging="360"/>
      </w:pPr>
      <w:rPr>
        <w:rFonts w:ascii="Wingdings" w:hAnsi="Wingdings" w:hint="default"/>
      </w:rPr>
    </w:lvl>
    <w:lvl w:ilvl="3" w:tplc="04090001" w:tentative="1">
      <w:start w:val="1"/>
      <w:numFmt w:val="bullet"/>
      <w:lvlText w:val=""/>
      <w:lvlJc w:val="left"/>
      <w:pPr>
        <w:ind w:left="3767" w:hanging="360"/>
      </w:pPr>
      <w:rPr>
        <w:rFonts w:ascii="Symbol" w:hAnsi="Symbol" w:hint="default"/>
      </w:rPr>
    </w:lvl>
    <w:lvl w:ilvl="4" w:tplc="04090003" w:tentative="1">
      <w:start w:val="1"/>
      <w:numFmt w:val="bullet"/>
      <w:lvlText w:val="o"/>
      <w:lvlJc w:val="left"/>
      <w:pPr>
        <w:ind w:left="4487" w:hanging="360"/>
      </w:pPr>
      <w:rPr>
        <w:rFonts w:ascii="Courier New" w:hAnsi="Courier New" w:cs="Courier New" w:hint="default"/>
      </w:rPr>
    </w:lvl>
    <w:lvl w:ilvl="5" w:tplc="04090005" w:tentative="1">
      <w:start w:val="1"/>
      <w:numFmt w:val="bullet"/>
      <w:lvlText w:val=""/>
      <w:lvlJc w:val="left"/>
      <w:pPr>
        <w:ind w:left="5207" w:hanging="360"/>
      </w:pPr>
      <w:rPr>
        <w:rFonts w:ascii="Wingdings" w:hAnsi="Wingdings" w:hint="default"/>
      </w:rPr>
    </w:lvl>
    <w:lvl w:ilvl="6" w:tplc="04090001" w:tentative="1">
      <w:start w:val="1"/>
      <w:numFmt w:val="bullet"/>
      <w:lvlText w:val=""/>
      <w:lvlJc w:val="left"/>
      <w:pPr>
        <w:ind w:left="5927" w:hanging="360"/>
      </w:pPr>
      <w:rPr>
        <w:rFonts w:ascii="Symbol" w:hAnsi="Symbol" w:hint="default"/>
      </w:rPr>
    </w:lvl>
    <w:lvl w:ilvl="7" w:tplc="04090003" w:tentative="1">
      <w:start w:val="1"/>
      <w:numFmt w:val="bullet"/>
      <w:lvlText w:val="o"/>
      <w:lvlJc w:val="left"/>
      <w:pPr>
        <w:ind w:left="6647" w:hanging="360"/>
      </w:pPr>
      <w:rPr>
        <w:rFonts w:ascii="Courier New" w:hAnsi="Courier New" w:cs="Courier New" w:hint="default"/>
      </w:rPr>
    </w:lvl>
    <w:lvl w:ilvl="8" w:tplc="04090005" w:tentative="1">
      <w:start w:val="1"/>
      <w:numFmt w:val="bullet"/>
      <w:lvlText w:val=""/>
      <w:lvlJc w:val="left"/>
      <w:pPr>
        <w:ind w:left="7367" w:hanging="360"/>
      </w:pPr>
      <w:rPr>
        <w:rFonts w:ascii="Wingdings" w:hAnsi="Wingdings" w:hint="default"/>
      </w:rPr>
    </w:lvl>
  </w:abstractNum>
  <w:num w:numId="1">
    <w:abstractNumId w:val="13"/>
  </w:num>
  <w:num w:numId="2">
    <w:abstractNumId w:val="1"/>
  </w:num>
  <w:num w:numId="3">
    <w:abstractNumId w:val="7"/>
  </w:num>
  <w:num w:numId="4">
    <w:abstractNumId w:val="13"/>
    <w:lvlOverride w:ilvl="0">
      <w:lvl w:ilvl="0">
        <w:start w:val="1"/>
        <w:numFmt w:val="decimal"/>
        <w:pStyle w:val="Normalnumber"/>
        <w:lvlText w:val="%1."/>
        <w:lvlJc w:val="left"/>
        <w:pPr>
          <w:tabs>
            <w:tab w:val="num" w:pos="1701"/>
          </w:tabs>
          <w:ind w:left="1814" w:firstLine="0"/>
        </w:pPr>
        <w:rPr>
          <w:rFonts w:hint="default"/>
        </w:rPr>
      </w:lvl>
    </w:lvlOverride>
  </w:num>
  <w:num w:numId="5">
    <w:abstractNumId w:val="2"/>
  </w:num>
  <w:num w:numId="6">
    <w:abstractNumId w:val="9"/>
  </w:num>
  <w:num w:numId="7">
    <w:abstractNumId w:val="0"/>
  </w:num>
  <w:num w:numId="8">
    <w:abstractNumId w:val="10"/>
  </w:num>
  <w:num w:numId="9">
    <w:abstractNumId w:val="16"/>
  </w:num>
  <w:num w:numId="10">
    <w:abstractNumId w:val="6"/>
    <w:lvlOverride w:ilvl="0">
      <w:lvl w:ilvl="0" w:tplc="0809000F">
        <w:start w:val="1"/>
        <w:numFmt w:val="decimal"/>
        <w:lvlText w:val="%1."/>
        <w:lvlJc w:val="left"/>
        <w:pPr>
          <w:ind w:left="2591" w:hanging="360"/>
        </w:pPr>
      </w:lvl>
    </w:lvlOverride>
  </w:num>
  <w:num w:numId="11">
    <w:abstractNumId w:val="13"/>
  </w:num>
  <w:num w:numId="12">
    <w:abstractNumId w:val="13"/>
  </w:num>
  <w:num w:numId="13">
    <w:abstractNumId w:val="14"/>
    <w:lvlOverride w:ilvl="0">
      <w:lvl w:ilvl="0" w:tplc="0809000F">
        <w:start w:val="1"/>
        <w:numFmt w:val="decimal"/>
        <w:lvlText w:val="%1."/>
        <w:lvlJc w:val="left"/>
        <w:pPr>
          <w:ind w:left="1967" w:hanging="360"/>
        </w:pPr>
      </w:lvl>
    </w:lvlOverride>
  </w:num>
  <w:num w:numId="14">
    <w:abstractNumId w:val="8"/>
    <w:lvlOverride w:ilvl="0">
      <w:lvl w:ilvl="0" w:tplc="B032D95A">
        <w:start w:val="1"/>
        <w:numFmt w:val="lowerLetter"/>
        <w:lvlText w:val="%1)"/>
        <w:lvlJc w:val="left"/>
        <w:pPr>
          <w:ind w:left="765" w:hanging="360"/>
        </w:pPr>
        <w:rPr>
          <w:rFonts w:hint="default"/>
        </w:rPr>
      </w:lvl>
    </w:lvlOverride>
  </w:num>
  <w:num w:numId="15">
    <w:abstractNumId w:val="3"/>
    <w:lvlOverride w:ilvl="0">
      <w:lvl w:ilvl="0" w:tplc="B032D95A">
        <w:start w:val="1"/>
        <w:numFmt w:val="lowerLetter"/>
        <w:lvlText w:val="%1)"/>
        <w:lvlJc w:val="left"/>
        <w:pPr>
          <w:ind w:left="720" w:hanging="360"/>
        </w:pPr>
        <w:rPr>
          <w:rFonts w:hint="default"/>
        </w:rPr>
      </w:lvl>
    </w:lvlOverride>
  </w:num>
  <w:num w:numId="16">
    <w:abstractNumId w:val="5"/>
    <w:lvlOverride w:ilvl="0">
      <w:lvl w:ilvl="0" w:tplc="0809000F">
        <w:start w:val="1"/>
        <w:numFmt w:val="decimal"/>
        <w:lvlText w:val="%1."/>
        <w:lvlJc w:val="left"/>
        <w:pPr>
          <w:ind w:left="1967" w:hanging="360"/>
        </w:pPr>
      </w:lvl>
    </w:lvlOverride>
  </w:num>
  <w:num w:numId="17">
    <w:abstractNumId w:val="12"/>
    <w:lvlOverride w:ilvl="0">
      <w:lvl w:ilvl="0" w:tplc="B032D95A">
        <w:start w:val="1"/>
        <w:numFmt w:val="lowerLetter"/>
        <w:lvlText w:val="%1)"/>
        <w:lvlJc w:val="left"/>
        <w:pPr>
          <w:ind w:left="720" w:hanging="360"/>
        </w:pPr>
        <w:rPr>
          <w:rFonts w:hint="default"/>
        </w:rPr>
      </w:lvl>
    </w:lvlOverride>
  </w:num>
  <w:num w:numId="18">
    <w:abstractNumId w:val="15"/>
  </w:num>
  <w:num w:numId="19">
    <w:abstractNumId w:val="11"/>
  </w:num>
  <w:num w:numId="2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H" w:vendorID="64" w:dllVersion="0" w:nlCheck="1" w:checkStyle="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1367"/>
    <w:rsid w:val="0000162A"/>
    <w:rsid w:val="000017CC"/>
    <w:rsid w:val="000024A3"/>
    <w:rsid w:val="000057BB"/>
    <w:rsid w:val="00007100"/>
    <w:rsid w:val="00007474"/>
    <w:rsid w:val="000077AD"/>
    <w:rsid w:val="00011A16"/>
    <w:rsid w:val="00014428"/>
    <w:rsid w:val="000149E6"/>
    <w:rsid w:val="0002024E"/>
    <w:rsid w:val="00020884"/>
    <w:rsid w:val="00023DA9"/>
    <w:rsid w:val="000247B0"/>
    <w:rsid w:val="00026997"/>
    <w:rsid w:val="00026A08"/>
    <w:rsid w:val="00030A34"/>
    <w:rsid w:val="00032E4E"/>
    <w:rsid w:val="00033733"/>
    <w:rsid w:val="00033E0B"/>
    <w:rsid w:val="000340A3"/>
    <w:rsid w:val="00035400"/>
    <w:rsid w:val="00035C99"/>
    <w:rsid w:val="00035EDE"/>
    <w:rsid w:val="000403B8"/>
    <w:rsid w:val="00042A9F"/>
    <w:rsid w:val="0004341B"/>
    <w:rsid w:val="00044AF4"/>
    <w:rsid w:val="00045A73"/>
    <w:rsid w:val="000468F2"/>
    <w:rsid w:val="00046DBC"/>
    <w:rsid w:val="000509B4"/>
    <w:rsid w:val="00051622"/>
    <w:rsid w:val="00057976"/>
    <w:rsid w:val="0006035B"/>
    <w:rsid w:val="0006096F"/>
    <w:rsid w:val="00062287"/>
    <w:rsid w:val="000649C5"/>
    <w:rsid w:val="00071886"/>
    <w:rsid w:val="000742BC"/>
    <w:rsid w:val="00074A93"/>
    <w:rsid w:val="00075F0C"/>
    <w:rsid w:val="00076CC6"/>
    <w:rsid w:val="00077B04"/>
    <w:rsid w:val="00080C5C"/>
    <w:rsid w:val="00081333"/>
    <w:rsid w:val="00081FC8"/>
    <w:rsid w:val="00082A0C"/>
    <w:rsid w:val="00083504"/>
    <w:rsid w:val="000855ED"/>
    <w:rsid w:val="000878AF"/>
    <w:rsid w:val="00090DF7"/>
    <w:rsid w:val="00091E0A"/>
    <w:rsid w:val="00092864"/>
    <w:rsid w:val="00095DF8"/>
    <w:rsid w:val="0009640C"/>
    <w:rsid w:val="000A2B9C"/>
    <w:rsid w:val="000A3B42"/>
    <w:rsid w:val="000A581D"/>
    <w:rsid w:val="000A62E4"/>
    <w:rsid w:val="000B0104"/>
    <w:rsid w:val="000B1CF1"/>
    <w:rsid w:val="000B22A2"/>
    <w:rsid w:val="000B4A2E"/>
    <w:rsid w:val="000B541B"/>
    <w:rsid w:val="000B73F9"/>
    <w:rsid w:val="000C03BA"/>
    <w:rsid w:val="000C2A52"/>
    <w:rsid w:val="000C2A88"/>
    <w:rsid w:val="000C65B1"/>
    <w:rsid w:val="000C715B"/>
    <w:rsid w:val="000C7F47"/>
    <w:rsid w:val="000D05FA"/>
    <w:rsid w:val="000D1969"/>
    <w:rsid w:val="000D33C0"/>
    <w:rsid w:val="000D3DF4"/>
    <w:rsid w:val="000D4CF6"/>
    <w:rsid w:val="000D55A1"/>
    <w:rsid w:val="000D6941"/>
    <w:rsid w:val="000D76B1"/>
    <w:rsid w:val="000E7CEF"/>
    <w:rsid w:val="000E7D74"/>
    <w:rsid w:val="000F4829"/>
    <w:rsid w:val="000F6B21"/>
    <w:rsid w:val="00100843"/>
    <w:rsid w:val="00102D6D"/>
    <w:rsid w:val="00102EFB"/>
    <w:rsid w:val="00107CC0"/>
    <w:rsid w:val="00116DA2"/>
    <w:rsid w:val="001202E3"/>
    <w:rsid w:val="00122E90"/>
    <w:rsid w:val="00123699"/>
    <w:rsid w:val="001241FB"/>
    <w:rsid w:val="00127825"/>
    <w:rsid w:val="0013059D"/>
    <w:rsid w:val="0013072C"/>
    <w:rsid w:val="0013246E"/>
    <w:rsid w:val="00136187"/>
    <w:rsid w:val="0014033B"/>
    <w:rsid w:val="00141A55"/>
    <w:rsid w:val="0014293F"/>
    <w:rsid w:val="0014397D"/>
    <w:rsid w:val="001446A3"/>
    <w:rsid w:val="00146CD9"/>
    <w:rsid w:val="00152B6B"/>
    <w:rsid w:val="00155395"/>
    <w:rsid w:val="00155A2F"/>
    <w:rsid w:val="00156B6B"/>
    <w:rsid w:val="001577EC"/>
    <w:rsid w:val="00160D74"/>
    <w:rsid w:val="00163484"/>
    <w:rsid w:val="001646EA"/>
    <w:rsid w:val="0016687F"/>
    <w:rsid w:val="00166B0E"/>
    <w:rsid w:val="00167D02"/>
    <w:rsid w:val="00171541"/>
    <w:rsid w:val="001759D8"/>
    <w:rsid w:val="001766B8"/>
    <w:rsid w:val="00177D7F"/>
    <w:rsid w:val="00180C3F"/>
    <w:rsid w:val="00181EC8"/>
    <w:rsid w:val="00184349"/>
    <w:rsid w:val="00184612"/>
    <w:rsid w:val="00193B6B"/>
    <w:rsid w:val="0019519D"/>
    <w:rsid w:val="00195F33"/>
    <w:rsid w:val="0019652D"/>
    <w:rsid w:val="00197FB6"/>
    <w:rsid w:val="001A47E5"/>
    <w:rsid w:val="001B1617"/>
    <w:rsid w:val="001B504B"/>
    <w:rsid w:val="001B59A2"/>
    <w:rsid w:val="001B6F98"/>
    <w:rsid w:val="001C191A"/>
    <w:rsid w:val="001D2872"/>
    <w:rsid w:val="001D3874"/>
    <w:rsid w:val="001D47B1"/>
    <w:rsid w:val="001D7E75"/>
    <w:rsid w:val="001E0D73"/>
    <w:rsid w:val="001E11C6"/>
    <w:rsid w:val="001E45BD"/>
    <w:rsid w:val="001E56D2"/>
    <w:rsid w:val="001E6F70"/>
    <w:rsid w:val="001E6FF3"/>
    <w:rsid w:val="001E7D56"/>
    <w:rsid w:val="001F0449"/>
    <w:rsid w:val="001F0625"/>
    <w:rsid w:val="001F13F5"/>
    <w:rsid w:val="001F5186"/>
    <w:rsid w:val="001F75DE"/>
    <w:rsid w:val="00200D58"/>
    <w:rsid w:val="002011C1"/>
    <w:rsid w:val="00201210"/>
    <w:rsid w:val="002013BE"/>
    <w:rsid w:val="00201EDC"/>
    <w:rsid w:val="00204E6B"/>
    <w:rsid w:val="002063A4"/>
    <w:rsid w:val="00207B14"/>
    <w:rsid w:val="0021036F"/>
    <w:rsid w:val="00210E90"/>
    <w:rsid w:val="0021145B"/>
    <w:rsid w:val="00215127"/>
    <w:rsid w:val="002162B3"/>
    <w:rsid w:val="0021702C"/>
    <w:rsid w:val="00220099"/>
    <w:rsid w:val="00220C23"/>
    <w:rsid w:val="00224608"/>
    <w:rsid w:val="002247F6"/>
    <w:rsid w:val="0022584B"/>
    <w:rsid w:val="00225E21"/>
    <w:rsid w:val="00225E44"/>
    <w:rsid w:val="0022629D"/>
    <w:rsid w:val="0023008A"/>
    <w:rsid w:val="0023212A"/>
    <w:rsid w:val="00234E78"/>
    <w:rsid w:val="0023594E"/>
    <w:rsid w:val="00241EF8"/>
    <w:rsid w:val="00243D36"/>
    <w:rsid w:val="00244E8F"/>
    <w:rsid w:val="00246151"/>
    <w:rsid w:val="00247707"/>
    <w:rsid w:val="00250731"/>
    <w:rsid w:val="00252456"/>
    <w:rsid w:val="0026018E"/>
    <w:rsid w:val="00265E0D"/>
    <w:rsid w:val="00271321"/>
    <w:rsid w:val="00273D8F"/>
    <w:rsid w:val="00274F0E"/>
    <w:rsid w:val="002816A3"/>
    <w:rsid w:val="00286740"/>
    <w:rsid w:val="00291C1D"/>
    <w:rsid w:val="00291EAE"/>
    <w:rsid w:val="002929D8"/>
    <w:rsid w:val="002A0079"/>
    <w:rsid w:val="002A20B4"/>
    <w:rsid w:val="002A237D"/>
    <w:rsid w:val="002A47EE"/>
    <w:rsid w:val="002A4C53"/>
    <w:rsid w:val="002B0672"/>
    <w:rsid w:val="002B247F"/>
    <w:rsid w:val="002B3D55"/>
    <w:rsid w:val="002B50D4"/>
    <w:rsid w:val="002B58BF"/>
    <w:rsid w:val="002C145D"/>
    <w:rsid w:val="002C2C3E"/>
    <w:rsid w:val="002C533E"/>
    <w:rsid w:val="002C7856"/>
    <w:rsid w:val="002D027F"/>
    <w:rsid w:val="002D10C6"/>
    <w:rsid w:val="002D16A2"/>
    <w:rsid w:val="002D3E15"/>
    <w:rsid w:val="002D7A85"/>
    <w:rsid w:val="002D7B60"/>
    <w:rsid w:val="002E2861"/>
    <w:rsid w:val="002F4761"/>
    <w:rsid w:val="002F5C79"/>
    <w:rsid w:val="002F68EE"/>
    <w:rsid w:val="003019E2"/>
    <w:rsid w:val="003053E8"/>
    <w:rsid w:val="00310BEB"/>
    <w:rsid w:val="003110C2"/>
    <w:rsid w:val="0031413F"/>
    <w:rsid w:val="00314854"/>
    <w:rsid w:val="003148BB"/>
    <w:rsid w:val="00317976"/>
    <w:rsid w:val="00320F2F"/>
    <w:rsid w:val="0032197D"/>
    <w:rsid w:val="0032457E"/>
    <w:rsid w:val="0032565C"/>
    <w:rsid w:val="00325D38"/>
    <w:rsid w:val="00327305"/>
    <w:rsid w:val="00330FB1"/>
    <w:rsid w:val="00332550"/>
    <w:rsid w:val="0034087A"/>
    <w:rsid w:val="00341A94"/>
    <w:rsid w:val="0034256F"/>
    <w:rsid w:val="0035070E"/>
    <w:rsid w:val="0035277E"/>
    <w:rsid w:val="00353F18"/>
    <w:rsid w:val="00354E3F"/>
    <w:rsid w:val="00355EA9"/>
    <w:rsid w:val="003578DE"/>
    <w:rsid w:val="00361688"/>
    <w:rsid w:val="00361B6B"/>
    <w:rsid w:val="00361C3B"/>
    <w:rsid w:val="003640BC"/>
    <w:rsid w:val="00366C54"/>
    <w:rsid w:val="00372EC0"/>
    <w:rsid w:val="003747A3"/>
    <w:rsid w:val="00380921"/>
    <w:rsid w:val="00382292"/>
    <w:rsid w:val="003877D5"/>
    <w:rsid w:val="00390BC0"/>
    <w:rsid w:val="00391FC2"/>
    <w:rsid w:val="003929B8"/>
    <w:rsid w:val="00392D24"/>
    <w:rsid w:val="00393432"/>
    <w:rsid w:val="00396257"/>
    <w:rsid w:val="00397EB8"/>
    <w:rsid w:val="003A11B3"/>
    <w:rsid w:val="003A28BC"/>
    <w:rsid w:val="003A4FD0"/>
    <w:rsid w:val="003A69D1"/>
    <w:rsid w:val="003A7705"/>
    <w:rsid w:val="003A77F1"/>
    <w:rsid w:val="003B0EB6"/>
    <w:rsid w:val="003B1545"/>
    <w:rsid w:val="003B31D7"/>
    <w:rsid w:val="003C3219"/>
    <w:rsid w:val="003C409D"/>
    <w:rsid w:val="003C4544"/>
    <w:rsid w:val="003C5583"/>
    <w:rsid w:val="003C5BA6"/>
    <w:rsid w:val="003C74CF"/>
    <w:rsid w:val="003D3752"/>
    <w:rsid w:val="003D393F"/>
    <w:rsid w:val="003E2E57"/>
    <w:rsid w:val="003E35DA"/>
    <w:rsid w:val="003E455D"/>
    <w:rsid w:val="003F0E85"/>
    <w:rsid w:val="004051E4"/>
    <w:rsid w:val="00410C55"/>
    <w:rsid w:val="00416854"/>
    <w:rsid w:val="00417725"/>
    <w:rsid w:val="0042266F"/>
    <w:rsid w:val="00424036"/>
    <w:rsid w:val="004250FA"/>
    <w:rsid w:val="00431AA3"/>
    <w:rsid w:val="00434321"/>
    <w:rsid w:val="004349B9"/>
    <w:rsid w:val="004349FE"/>
    <w:rsid w:val="0043775B"/>
    <w:rsid w:val="00437F26"/>
    <w:rsid w:val="00441018"/>
    <w:rsid w:val="00444097"/>
    <w:rsid w:val="004448BC"/>
    <w:rsid w:val="00445487"/>
    <w:rsid w:val="00446C6B"/>
    <w:rsid w:val="00447E0D"/>
    <w:rsid w:val="00453EA8"/>
    <w:rsid w:val="00454769"/>
    <w:rsid w:val="00455209"/>
    <w:rsid w:val="004565DC"/>
    <w:rsid w:val="00466991"/>
    <w:rsid w:val="0047064C"/>
    <w:rsid w:val="00472E5B"/>
    <w:rsid w:val="004730F2"/>
    <w:rsid w:val="0047603A"/>
    <w:rsid w:val="004822B7"/>
    <w:rsid w:val="0048550E"/>
    <w:rsid w:val="00486224"/>
    <w:rsid w:val="004862F6"/>
    <w:rsid w:val="0048787B"/>
    <w:rsid w:val="0048792D"/>
    <w:rsid w:val="004929D9"/>
    <w:rsid w:val="0049469E"/>
    <w:rsid w:val="004A2217"/>
    <w:rsid w:val="004A24F9"/>
    <w:rsid w:val="004A42E1"/>
    <w:rsid w:val="004A7A97"/>
    <w:rsid w:val="004B07A5"/>
    <w:rsid w:val="004B0E3E"/>
    <w:rsid w:val="004B162C"/>
    <w:rsid w:val="004B2ABE"/>
    <w:rsid w:val="004C10C8"/>
    <w:rsid w:val="004C3DBE"/>
    <w:rsid w:val="004C5C96"/>
    <w:rsid w:val="004D06A4"/>
    <w:rsid w:val="004D6E67"/>
    <w:rsid w:val="004E2C92"/>
    <w:rsid w:val="004E574D"/>
    <w:rsid w:val="004E6002"/>
    <w:rsid w:val="004E7250"/>
    <w:rsid w:val="004F1A81"/>
    <w:rsid w:val="004F1D76"/>
    <w:rsid w:val="004F5D88"/>
    <w:rsid w:val="0050084A"/>
    <w:rsid w:val="00501354"/>
    <w:rsid w:val="005014A1"/>
    <w:rsid w:val="005050D2"/>
    <w:rsid w:val="00505591"/>
    <w:rsid w:val="005146C2"/>
    <w:rsid w:val="005218D9"/>
    <w:rsid w:val="00521A74"/>
    <w:rsid w:val="005228DC"/>
    <w:rsid w:val="00523134"/>
    <w:rsid w:val="00525448"/>
    <w:rsid w:val="0052557D"/>
    <w:rsid w:val="005272B6"/>
    <w:rsid w:val="00536186"/>
    <w:rsid w:val="00536462"/>
    <w:rsid w:val="00544CBB"/>
    <w:rsid w:val="0055044F"/>
    <w:rsid w:val="00551915"/>
    <w:rsid w:val="00551B65"/>
    <w:rsid w:val="00552A05"/>
    <w:rsid w:val="00553BED"/>
    <w:rsid w:val="00556704"/>
    <w:rsid w:val="00564007"/>
    <w:rsid w:val="005656D7"/>
    <w:rsid w:val="00571369"/>
    <w:rsid w:val="005723CD"/>
    <w:rsid w:val="0057315F"/>
    <w:rsid w:val="00573A90"/>
    <w:rsid w:val="00574578"/>
    <w:rsid w:val="00576104"/>
    <w:rsid w:val="005840CD"/>
    <w:rsid w:val="00584F08"/>
    <w:rsid w:val="00586418"/>
    <w:rsid w:val="00590614"/>
    <w:rsid w:val="0059140A"/>
    <w:rsid w:val="00592B21"/>
    <w:rsid w:val="005A27AA"/>
    <w:rsid w:val="005A601C"/>
    <w:rsid w:val="005A78F8"/>
    <w:rsid w:val="005B2DF4"/>
    <w:rsid w:val="005B41F9"/>
    <w:rsid w:val="005B44BF"/>
    <w:rsid w:val="005B5BA2"/>
    <w:rsid w:val="005B6045"/>
    <w:rsid w:val="005B73AD"/>
    <w:rsid w:val="005C4911"/>
    <w:rsid w:val="005C5FA4"/>
    <w:rsid w:val="005C67C8"/>
    <w:rsid w:val="005D0249"/>
    <w:rsid w:val="005D087A"/>
    <w:rsid w:val="005D18FA"/>
    <w:rsid w:val="005D4FD4"/>
    <w:rsid w:val="005D55B7"/>
    <w:rsid w:val="005D6E8C"/>
    <w:rsid w:val="005E1625"/>
    <w:rsid w:val="005E252F"/>
    <w:rsid w:val="005E3004"/>
    <w:rsid w:val="005E4780"/>
    <w:rsid w:val="005F100C"/>
    <w:rsid w:val="005F3B1F"/>
    <w:rsid w:val="005F4430"/>
    <w:rsid w:val="005F68DA"/>
    <w:rsid w:val="005F7419"/>
    <w:rsid w:val="006018AE"/>
    <w:rsid w:val="00601BC9"/>
    <w:rsid w:val="00601E9A"/>
    <w:rsid w:val="00605B02"/>
    <w:rsid w:val="0060610D"/>
    <w:rsid w:val="0060773B"/>
    <w:rsid w:val="00613FD6"/>
    <w:rsid w:val="00614D0A"/>
    <w:rsid w:val="006157B5"/>
    <w:rsid w:val="0061657A"/>
    <w:rsid w:val="00617224"/>
    <w:rsid w:val="00622C8D"/>
    <w:rsid w:val="00623A4E"/>
    <w:rsid w:val="0062647A"/>
    <w:rsid w:val="00626FC6"/>
    <w:rsid w:val="00627CBC"/>
    <w:rsid w:val="006303B4"/>
    <w:rsid w:val="006304C5"/>
    <w:rsid w:val="00630ADC"/>
    <w:rsid w:val="00630C64"/>
    <w:rsid w:val="00633D3D"/>
    <w:rsid w:val="006358EB"/>
    <w:rsid w:val="00637133"/>
    <w:rsid w:val="00641703"/>
    <w:rsid w:val="006421DC"/>
    <w:rsid w:val="006429FC"/>
    <w:rsid w:val="006431A6"/>
    <w:rsid w:val="00643372"/>
    <w:rsid w:val="00643E3A"/>
    <w:rsid w:val="006459F6"/>
    <w:rsid w:val="006501AD"/>
    <w:rsid w:val="00651BFA"/>
    <w:rsid w:val="00653D2C"/>
    <w:rsid w:val="00654475"/>
    <w:rsid w:val="00656DF0"/>
    <w:rsid w:val="00663544"/>
    <w:rsid w:val="00665A4B"/>
    <w:rsid w:val="00670060"/>
    <w:rsid w:val="00670FAE"/>
    <w:rsid w:val="00680452"/>
    <w:rsid w:val="00692C11"/>
    <w:rsid w:val="00692C30"/>
    <w:rsid w:val="00692E2A"/>
    <w:rsid w:val="006937BE"/>
    <w:rsid w:val="0069496A"/>
    <w:rsid w:val="00696087"/>
    <w:rsid w:val="00696C1C"/>
    <w:rsid w:val="006A76F2"/>
    <w:rsid w:val="006B7D29"/>
    <w:rsid w:val="006C1555"/>
    <w:rsid w:val="006C2D95"/>
    <w:rsid w:val="006C3F5D"/>
    <w:rsid w:val="006C55BA"/>
    <w:rsid w:val="006C7106"/>
    <w:rsid w:val="006D19D4"/>
    <w:rsid w:val="006D2163"/>
    <w:rsid w:val="006D3295"/>
    <w:rsid w:val="006D41BA"/>
    <w:rsid w:val="006D5644"/>
    <w:rsid w:val="006D5A0A"/>
    <w:rsid w:val="006D7EFB"/>
    <w:rsid w:val="006E0455"/>
    <w:rsid w:val="006E0DB0"/>
    <w:rsid w:val="006E6672"/>
    <w:rsid w:val="006E6722"/>
    <w:rsid w:val="006E7C37"/>
    <w:rsid w:val="006F458D"/>
    <w:rsid w:val="006F46BD"/>
    <w:rsid w:val="006F4DE1"/>
    <w:rsid w:val="006F5777"/>
    <w:rsid w:val="006F718B"/>
    <w:rsid w:val="006F7AFF"/>
    <w:rsid w:val="007003C4"/>
    <w:rsid w:val="00701AF7"/>
    <w:rsid w:val="00702162"/>
    <w:rsid w:val="007027B9"/>
    <w:rsid w:val="007066B5"/>
    <w:rsid w:val="00707B18"/>
    <w:rsid w:val="007145DA"/>
    <w:rsid w:val="00715E88"/>
    <w:rsid w:val="00716D8B"/>
    <w:rsid w:val="00731576"/>
    <w:rsid w:val="00734CAA"/>
    <w:rsid w:val="00736E26"/>
    <w:rsid w:val="0074001B"/>
    <w:rsid w:val="00740ADB"/>
    <w:rsid w:val="00740EE2"/>
    <w:rsid w:val="00742680"/>
    <w:rsid w:val="007533CA"/>
    <w:rsid w:val="0075533C"/>
    <w:rsid w:val="00755A18"/>
    <w:rsid w:val="00757581"/>
    <w:rsid w:val="007602F5"/>
    <w:rsid w:val="00760D36"/>
    <w:rsid w:val="007611A0"/>
    <w:rsid w:val="00770914"/>
    <w:rsid w:val="007719C5"/>
    <w:rsid w:val="00772574"/>
    <w:rsid w:val="00772F55"/>
    <w:rsid w:val="00773E54"/>
    <w:rsid w:val="0077642E"/>
    <w:rsid w:val="007801D3"/>
    <w:rsid w:val="00782A1C"/>
    <w:rsid w:val="00783C62"/>
    <w:rsid w:val="00784A03"/>
    <w:rsid w:val="00787688"/>
    <w:rsid w:val="007935E6"/>
    <w:rsid w:val="00796D3F"/>
    <w:rsid w:val="0079742F"/>
    <w:rsid w:val="00797DDD"/>
    <w:rsid w:val="007A1683"/>
    <w:rsid w:val="007A395C"/>
    <w:rsid w:val="007A5C12"/>
    <w:rsid w:val="007A7CB0"/>
    <w:rsid w:val="007B3293"/>
    <w:rsid w:val="007B68A3"/>
    <w:rsid w:val="007C2541"/>
    <w:rsid w:val="007C3069"/>
    <w:rsid w:val="007C41F2"/>
    <w:rsid w:val="007C62F7"/>
    <w:rsid w:val="007C6842"/>
    <w:rsid w:val="007C75F5"/>
    <w:rsid w:val="007D66A8"/>
    <w:rsid w:val="007E003F"/>
    <w:rsid w:val="007E2691"/>
    <w:rsid w:val="007E65A8"/>
    <w:rsid w:val="007F04B7"/>
    <w:rsid w:val="007F0CF8"/>
    <w:rsid w:val="007F41C2"/>
    <w:rsid w:val="007F503A"/>
    <w:rsid w:val="007F5E1B"/>
    <w:rsid w:val="007F5E7D"/>
    <w:rsid w:val="007F62CB"/>
    <w:rsid w:val="007F74EA"/>
    <w:rsid w:val="00804E45"/>
    <w:rsid w:val="008142EC"/>
    <w:rsid w:val="008164F2"/>
    <w:rsid w:val="00821395"/>
    <w:rsid w:val="008252A8"/>
    <w:rsid w:val="00830E26"/>
    <w:rsid w:val="00834368"/>
    <w:rsid w:val="0083441A"/>
    <w:rsid w:val="00835626"/>
    <w:rsid w:val="00836357"/>
    <w:rsid w:val="00843576"/>
    <w:rsid w:val="00843B64"/>
    <w:rsid w:val="00845261"/>
    <w:rsid w:val="008478FC"/>
    <w:rsid w:val="00851C51"/>
    <w:rsid w:val="008538F7"/>
    <w:rsid w:val="00856156"/>
    <w:rsid w:val="008572F4"/>
    <w:rsid w:val="008607BB"/>
    <w:rsid w:val="00864979"/>
    <w:rsid w:val="00867BFF"/>
    <w:rsid w:val="00870345"/>
    <w:rsid w:val="00871542"/>
    <w:rsid w:val="00872BF6"/>
    <w:rsid w:val="008731E4"/>
    <w:rsid w:val="008767BD"/>
    <w:rsid w:val="00877AA5"/>
    <w:rsid w:val="0088480A"/>
    <w:rsid w:val="00886660"/>
    <w:rsid w:val="0088757A"/>
    <w:rsid w:val="00891A8C"/>
    <w:rsid w:val="0089431B"/>
    <w:rsid w:val="00895668"/>
    <w:rsid w:val="008957DD"/>
    <w:rsid w:val="00897D98"/>
    <w:rsid w:val="008A4FE9"/>
    <w:rsid w:val="008A59AD"/>
    <w:rsid w:val="008A694F"/>
    <w:rsid w:val="008A6DF2"/>
    <w:rsid w:val="008A7807"/>
    <w:rsid w:val="008B4CC9"/>
    <w:rsid w:val="008C0B15"/>
    <w:rsid w:val="008C3940"/>
    <w:rsid w:val="008C40F6"/>
    <w:rsid w:val="008C4869"/>
    <w:rsid w:val="008C5465"/>
    <w:rsid w:val="008D5CB8"/>
    <w:rsid w:val="008D6A44"/>
    <w:rsid w:val="008D75E4"/>
    <w:rsid w:val="008D79D7"/>
    <w:rsid w:val="008D7C99"/>
    <w:rsid w:val="008E0FCB"/>
    <w:rsid w:val="008E3B94"/>
    <w:rsid w:val="008F2BF4"/>
    <w:rsid w:val="008F4B16"/>
    <w:rsid w:val="008F6567"/>
    <w:rsid w:val="008F6DFE"/>
    <w:rsid w:val="0090049C"/>
    <w:rsid w:val="0090529F"/>
    <w:rsid w:val="00907E2F"/>
    <w:rsid w:val="00912C2C"/>
    <w:rsid w:val="009158F6"/>
    <w:rsid w:val="00915D85"/>
    <w:rsid w:val="009176E4"/>
    <w:rsid w:val="00917EB6"/>
    <w:rsid w:val="0092178C"/>
    <w:rsid w:val="00930B88"/>
    <w:rsid w:val="00930F37"/>
    <w:rsid w:val="009319C5"/>
    <w:rsid w:val="00935376"/>
    <w:rsid w:val="00940DCC"/>
    <w:rsid w:val="0094179A"/>
    <w:rsid w:val="0094459E"/>
    <w:rsid w:val="00944DBC"/>
    <w:rsid w:val="00945B21"/>
    <w:rsid w:val="00950221"/>
    <w:rsid w:val="00950977"/>
    <w:rsid w:val="00951A7B"/>
    <w:rsid w:val="00955512"/>
    <w:rsid w:val="009564A6"/>
    <w:rsid w:val="00956EA4"/>
    <w:rsid w:val="00957EF8"/>
    <w:rsid w:val="009607F6"/>
    <w:rsid w:val="00966A53"/>
    <w:rsid w:val="00967621"/>
    <w:rsid w:val="00967E6A"/>
    <w:rsid w:val="0097109D"/>
    <w:rsid w:val="00974F45"/>
    <w:rsid w:val="009755E3"/>
    <w:rsid w:val="00976D4E"/>
    <w:rsid w:val="009813AA"/>
    <w:rsid w:val="00983BFE"/>
    <w:rsid w:val="00985027"/>
    <w:rsid w:val="009907B9"/>
    <w:rsid w:val="00990918"/>
    <w:rsid w:val="00992D46"/>
    <w:rsid w:val="009A05F0"/>
    <w:rsid w:val="009A09AA"/>
    <w:rsid w:val="009A1AF8"/>
    <w:rsid w:val="009A399C"/>
    <w:rsid w:val="009A3A83"/>
    <w:rsid w:val="009A3C5E"/>
    <w:rsid w:val="009A3EAF"/>
    <w:rsid w:val="009B4273"/>
    <w:rsid w:val="009B4A0F"/>
    <w:rsid w:val="009B4AD7"/>
    <w:rsid w:val="009B5E6E"/>
    <w:rsid w:val="009C02C5"/>
    <w:rsid w:val="009C11D2"/>
    <w:rsid w:val="009C53B2"/>
    <w:rsid w:val="009C6595"/>
    <w:rsid w:val="009C6C70"/>
    <w:rsid w:val="009C7B0A"/>
    <w:rsid w:val="009D0B63"/>
    <w:rsid w:val="009D5CB8"/>
    <w:rsid w:val="009D5EC9"/>
    <w:rsid w:val="009D7E6D"/>
    <w:rsid w:val="009E307E"/>
    <w:rsid w:val="009E3E37"/>
    <w:rsid w:val="009E40F6"/>
    <w:rsid w:val="009E7DE9"/>
    <w:rsid w:val="009F1AA4"/>
    <w:rsid w:val="009F42CF"/>
    <w:rsid w:val="009F4E54"/>
    <w:rsid w:val="009F5D9A"/>
    <w:rsid w:val="00A02710"/>
    <w:rsid w:val="00A058C9"/>
    <w:rsid w:val="00A07870"/>
    <w:rsid w:val="00A07C54"/>
    <w:rsid w:val="00A07F19"/>
    <w:rsid w:val="00A10264"/>
    <w:rsid w:val="00A109BC"/>
    <w:rsid w:val="00A10ABB"/>
    <w:rsid w:val="00A10CEA"/>
    <w:rsid w:val="00A1348D"/>
    <w:rsid w:val="00A13C99"/>
    <w:rsid w:val="00A20309"/>
    <w:rsid w:val="00A219F7"/>
    <w:rsid w:val="00A232EE"/>
    <w:rsid w:val="00A279A1"/>
    <w:rsid w:val="00A27E10"/>
    <w:rsid w:val="00A32323"/>
    <w:rsid w:val="00A37E45"/>
    <w:rsid w:val="00A4175F"/>
    <w:rsid w:val="00A4392E"/>
    <w:rsid w:val="00A44411"/>
    <w:rsid w:val="00A46724"/>
    <w:rsid w:val="00A469FA"/>
    <w:rsid w:val="00A47F6A"/>
    <w:rsid w:val="00A50C65"/>
    <w:rsid w:val="00A51A7B"/>
    <w:rsid w:val="00A51E44"/>
    <w:rsid w:val="00A53662"/>
    <w:rsid w:val="00A55B01"/>
    <w:rsid w:val="00A56B5B"/>
    <w:rsid w:val="00A603FF"/>
    <w:rsid w:val="00A60DC8"/>
    <w:rsid w:val="00A619B6"/>
    <w:rsid w:val="00A648CA"/>
    <w:rsid w:val="00A657DD"/>
    <w:rsid w:val="00A666A6"/>
    <w:rsid w:val="00A67252"/>
    <w:rsid w:val="00A6730C"/>
    <w:rsid w:val="00A675FD"/>
    <w:rsid w:val="00A72437"/>
    <w:rsid w:val="00A75B5D"/>
    <w:rsid w:val="00A8010F"/>
    <w:rsid w:val="00A8048B"/>
    <w:rsid w:val="00A80611"/>
    <w:rsid w:val="00A8341E"/>
    <w:rsid w:val="00A84118"/>
    <w:rsid w:val="00A845B6"/>
    <w:rsid w:val="00A91D90"/>
    <w:rsid w:val="00AA5BF4"/>
    <w:rsid w:val="00AB1323"/>
    <w:rsid w:val="00AB5340"/>
    <w:rsid w:val="00AC0A89"/>
    <w:rsid w:val="00AC7117"/>
    <w:rsid w:val="00AC7C96"/>
    <w:rsid w:val="00AD3222"/>
    <w:rsid w:val="00AD3593"/>
    <w:rsid w:val="00AE0812"/>
    <w:rsid w:val="00AE1D8C"/>
    <w:rsid w:val="00AE237D"/>
    <w:rsid w:val="00AE3442"/>
    <w:rsid w:val="00AE502A"/>
    <w:rsid w:val="00AF0010"/>
    <w:rsid w:val="00AF08F8"/>
    <w:rsid w:val="00AF1A0D"/>
    <w:rsid w:val="00AF1AA8"/>
    <w:rsid w:val="00AF2C1F"/>
    <w:rsid w:val="00AF432B"/>
    <w:rsid w:val="00AF45E0"/>
    <w:rsid w:val="00AF4678"/>
    <w:rsid w:val="00AF63DD"/>
    <w:rsid w:val="00AF7C07"/>
    <w:rsid w:val="00B06C64"/>
    <w:rsid w:val="00B076F2"/>
    <w:rsid w:val="00B07D8E"/>
    <w:rsid w:val="00B11CAC"/>
    <w:rsid w:val="00B15A29"/>
    <w:rsid w:val="00B22C93"/>
    <w:rsid w:val="00B24F2A"/>
    <w:rsid w:val="00B259B2"/>
    <w:rsid w:val="00B25A66"/>
    <w:rsid w:val="00B27589"/>
    <w:rsid w:val="00B31A48"/>
    <w:rsid w:val="00B405B7"/>
    <w:rsid w:val="00B43921"/>
    <w:rsid w:val="00B468C0"/>
    <w:rsid w:val="00B47E32"/>
    <w:rsid w:val="00B5195E"/>
    <w:rsid w:val="00B52222"/>
    <w:rsid w:val="00B531DA"/>
    <w:rsid w:val="00B53DD9"/>
    <w:rsid w:val="00B54895"/>
    <w:rsid w:val="00B54FE7"/>
    <w:rsid w:val="00B56125"/>
    <w:rsid w:val="00B60B51"/>
    <w:rsid w:val="00B61E61"/>
    <w:rsid w:val="00B6474C"/>
    <w:rsid w:val="00B647C6"/>
    <w:rsid w:val="00B655F9"/>
    <w:rsid w:val="00B66901"/>
    <w:rsid w:val="00B66F60"/>
    <w:rsid w:val="00B6796F"/>
    <w:rsid w:val="00B67E99"/>
    <w:rsid w:val="00B71E6D"/>
    <w:rsid w:val="00B72070"/>
    <w:rsid w:val="00B729A4"/>
    <w:rsid w:val="00B73405"/>
    <w:rsid w:val="00B779E1"/>
    <w:rsid w:val="00B81E3A"/>
    <w:rsid w:val="00B84F2C"/>
    <w:rsid w:val="00B85807"/>
    <w:rsid w:val="00B85CFB"/>
    <w:rsid w:val="00B914E9"/>
    <w:rsid w:val="00B91DCA"/>
    <w:rsid w:val="00B91EE1"/>
    <w:rsid w:val="00B94602"/>
    <w:rsid w:val="00B94787"/>
    <w:rsid w:val="00B96229"/>
    <w:rsid w:val="00BA0090"/>
    <w:rsid w:val="00BA1A67"/>
    <w:rsid w:val="00BA1FAE"/>
    <w:rsid w:val="00BA6A80"/>
    <w:rsid w:val="00BB4998"/>
    <w:rsid w:val="00BB4ABB"/>
    <w:rsid w:val="00BC62BA"/>
    <w:rsid w:val="00BD1809"/>
    <w:rsid w:val="00BD4037"/>
    <w:rsid w:val="00BD5573"/>
    <w:rsid w:val="00BD5AC3"/>
    <w:rsid w:val="00BD6959"/>
    <w:rsid w:val="00BE1C4F"/>
    <w:rsid w:val="00BE2E9A"/>
    <w:rsid w:val="00BE2F41"/>
    <w:rsid w:val="00BE5B5F"/>
    <w:rsid w:val="00BE7993"/>
    <w:rsid w:val="00BF2760"/>
    <w:rsid w:val="00BF3726"/>
    <w:rsid w:val="00C0032B"/>
    <w:rsid w:val="00C055B1"/>
    <w:rsid w:val="00C11971"/>
    <w:rsid w:val="00C14994"/>
    <w:rsid w:val="00C179DE"/>
    <w:rsid w:val="00C2189F"/>
    <w:rsid w:val="00C22746"/>
    <w:rsid w:val="00C26F55"/>
    <w:rsid w:val="00C27140"/>
    <w:rsid w:val="00C30C63"/>
    <w:rsid w:val="00C30FF3"/>
    <w:rsid w:val="00C34D5C"/>
    <w:rsid w:val="00C36179"/>
    <w:rsid w:val="00C36B8B"/>
    <w:rsid w:val="00C36CDF"/>
    <w:rsid w:val="00C36F8C"/>
    <w:rsid w:val="00C415C1"/>
    <w:rsid w:val="00C4262A"/>
    <w:rsid w:val="00C47DBF"/>
    <w:rsid w:val="00C50242"/>
    <w:rsid w:val="00C50E70"/>
    <w:rsid w:val="00C54468"/>
    <w:rsid w:val="00C552FF"/>
    <w:rsid w:val="00C558DA"/>
    <w:rsid w:val="00C55AF3"/>
    <w:rsid w:val="00C61721"/>
    <w:rsid w:val="00C657F5"/>
    <w:rsid w:val="00C745B8"/>
    <w:rsid w:val="00C771A9"/>
    <w:rsid w:val="00C77439"/>
    <w:rsid w:val="00C82943"/>
    <w:rsid w:val="00C82EBE"/>
    <w:rsid w:val="00C84329"/>
    <w:rsid w:val="00C84759"/>
    <w:rsid w:val="00C8513A"/>
    <w:rsid w:val="00C86F5A"/>
    <w:rsid w:val="00C9102A"/>
    <w:rsid w:val="00C9267D"/>
    <w:rsid w:val="00C92742"/>
    <w:rsid w:val="00C92D54"/>
    <w:rsid w:val="00C93096"/>
    <w:rsid w:val="00C96761"/>
    <w:rsid w:val="00CA19C3"/>
    <w:rsid w:val="00CA3C32"/>
    <w:rsid w:val="00CA519E"/>
    <w:rsid w:val="00CA5CA9"/>
    <w:rsid w:val="00CA63CB"/>
    <w:rsid w:val="00CA6C7F"/>
    <w:rsid w:val="00CA739D"/>
    <w:rsid w:val="00CB007D"/>
    <w:rsid w:val="00CB1A4C"/>
    <w:rsid w:val="00CB292C"/>
    <w:rsid w:val="00CB30C3"/>
    <w:rsid w:val="00CB45B3"/>
    <w:rsid w:val="00CB60CA"/>
    <w:rsid w:val="00CC0FC7"/>
    <w:rsid w:val="00CC10A6"/>
    <w:rsid w:val="00CC5AEB"/>
    <w:rsid w:val="00CD016B"/>
    <w:rsid w:val="00CD5EB8"/>
    <w:rsid w:val="00CD7044"/>
    <w:rsid w:val="00CE08B9"/>
    <w:rsid w:val="00CE1BED"/>
    <w:rsid w:val="00CE3515"/>
    <w:rsid w:val="00CE4E08"/>
    <w:rsid w:val="00CE524C"/>
    <w:rsid w:val="00CE78EF"/>
    <w:rsid w:val="00CF08CF"/>
    <w:rsid w:val="00CF141F"/>
    <w:rsid w:val="00CF1C44"/>
    <w:rsid w:val="00CF1C83"/>
    <w:rsid w:val="00CF4777"/>
    <w:rsid w:val="00CF65C8"/>
    <w:rsid w:val="00D013F5"/>
    <w:rsid w:val="00D05E3F"/>
    <w:rsid w:val="00D067BB"/>
    <w:rsid w:val="00D113E2"/>
    <w:rsid w:val="00D121A8"/>
    <w:rsid w:val="00D1352A"/>
    <w:rsid w:val="00D1480F"/>
    <w:rsid w:val="00D1638E"/>
    <w:rsid w:val="00D169AF"/>
    <w:rsid w:val="00D200EF"/>
    <w:rsid w:val="00D25175"/>
    <w:rsid w:val="00D25249"/>
    <w:rsid w:val="00D26854"/>
    <w:rsid w:val="00D3083D"/>
    <w:rsid w:val="00D319AD"/>
    <w:rsid w:val="00D324EE"/>
    <w:rsid w:val="00D33AA7"/>
    <w:rsid w:val="00D36416"/>
    <w:rsid w:val="00D37CDE"/>
    <w:rsid w:val="00D438CF"/>
    <w:rsid w:val="00D44172"/>
    <w:rsid w:val="00D442F1"/>
    <w:rsid w:val="00D45057"/>
    <w:rsid w:val="00D47BE3"/>
    <w:rsid w:val="00D5142C"/>
    <w:rsid w:val="00D62136"/>
    <w:rsid w:val="00D63B8C"/>
    <w:rsid w:val="00D64F1C"/>
    <w:rsid w:val="00D6720D"/>
    <w:rsid w:val="00D739CC"/>
    <w:rsid w:val="00D76205"/>
    <w:rsid w:val="00D77FE8"/>
    <w:rsid w:val="00D806F9"/>
    <w:rsid w:val="00D8093D"/>
    <w:rsid w:val="00D8108C"/>
    <w:rsid w:val="00D842AE"/>
    <w:rsid w:val="00D86FCB"/>
    <w:rsid w:val="00D9211C"/>
    <w:rsid w:val="00D92DE0"/>
    <w:rsid w:val="00D92FEF"/>
    <w:rsid w:val="00D931F9"/>
    <w:rsid w:val="00D93A0F"/>
    <w:rsid w:val="00D9494F"/>
    <w:rsid w:val="00D954FE"/>
    <w:rsid w:val="00D95F19"/>
    <w:rsid w:val="00DA0FBD"/>
    <w:rsid w:val="00DA1BCA"/>
    <w:rsid w:val="00DA2D68"/>
    <w:rsid w:val="00DA3663"/>
    <w:rsid w:val="00DB24F4"/>
    <w:rsid w:val="00DB295A"/>
    <w:rsid w:val="00DB56BA"/>
    <w:rsid w:val="00DC0726"/>
    <w:rsid w:val="00DC1101"/>
    <w:rsid w:val="00DC153D"/>
    <w:rsid w:val="00DC274A"/>
    <w:rsid w:val="00DC46FF"/>
    <w:rsid w:val="00DC5254"/>
    <w:rsid w:val="00DC569D"/>
    <w:rsid w:val="00DC61F4"/>
    <w:rsid w:val="00DD1A4F"/>
    <w:rsid w:val="00DD1CF9"/>
    <w:rsid w:val="00DD3107"/>
    <w:rsid w:val="00DD4C70"/>
    <w:rsid w:val="00DD68AD"/>
    <w:rsid w:val="00DD7C2C"/>
    <w:rsid w:val="00DE4B92"/>
    <w:rsid w:val="00DE5BDA"/>
    <w:rsid w:val="00DE5C2A"/>
    <w:rsid w:val="00DF3813"/>
    <w:rsid w:val="00DF3A66"/>
    <w:rsid w:val="00DF433C"/>
    <w:rsid w:val="00DF519F"/>
    <w:rsid w:val="00E0035A"/>
    <w:rsid w:val="00E00A22"/>
    <w:rsid w:val="00E00F2E"/>
    <w:rsid w:val="00E06797"/>
    <w:rsid w:val="00E1265B"/>
    <w:rsid w:val="00E12E09"/>
    <w:rsid w:val="00E13B48"/>
    <w:rsid w:val="00E1404F"/>
    <w:rsid w:val="00E21BAB"/>
    <w:rsid w:val="00E21C83"/>
    <w:rsid w:val="00E243AB"/>
    <w:rsid w:val="00E24ADA"/>
    <w:rsid w:val="00E32F59"/>
    <w:rsid w:val="00E362FE"/>
    <w:rsid w:val="00E406DE"/>
    <w:rsid w:val="00E407DB"/>
    <w:rsid w:val="00E41908"/>
    <w:rsid w:val="00E41E77"/>
    <w:rsid w:val="00E43618"/>
    <w:rsid w:val="00E46D9A"/>
    <w:rsid w:val="00E52EFC"/>
    <w:rsid w:val="00E54058"/>
    <w:rsid w:val="00E565FF"/>
    <w:rsid w:val="00E5693F"/>
    <w:rsid w:val="00E56B5B"/>
    <w:rsid w:val="00E56D12"/>
    <w:rsid w:val="00E573A9"/>
    <w:rsid w:val="00E65388"/>
    <w:rsid w:val="00E70089"/>
    <w:rsid w:val="00E7741D"/>
    <w:rsid w:val="00E808CD"/>
    <w:rsid w:val="00E8302A"/>
    <w:rsid w:val="00E8348F"/>
    <w:rsid w:val="00E85B7D"/>
    <w:rsid w:val="00E85D5B"/>
    <w:rsid w:val="00E8734F"/>
    <w:rsid w:val="00E9121B"/>
    <w:rsid w:val="00E9302E"/>
    <w:rsid w:val="00E976AB"/>
    <w:rsid w:val="00E979C9"/>
    <w:rsid w:val="00EA0AE2"/>
    <w:rsid w:val="00EA2362"/>
    <w:rsid w:val="00EA39E5"/>
    <w:rsid w:val="00EA4378"/>
    <w:rsid w:val="00EA549D"/>
    <w:rsid w:val="00EA57A3"/>
    <w:rsid w:val="00EB4597"/>
    <w:rsid w:val="00EB7A75"/>
    <w:rsid w:val="00EC2813"/>
    <w:rsid w:val="00EC5A46"/>
    <w:rsid w:val="00EC63E2"/>
    <w:rsid w:val="00EC693E"/>
    <w:rsid w:val="00ED0225"/>
    <w:rsid w:val="00ED325C"/>
    <w:rsid w:val="00ED366A"/>
    <w:rsid w:val="00ED6BB7"/>
    <w:rsid w:val="00EE0237"/>
    <w:rsid w:val="00EE0FBF"/>
    <w:rsid w:val="00EE2807"/>
    <w:rsid w:val="00EE3A9B"/>
    <w:rsid w:val="00EF22B3"/>
    <w:rsid w:val="00EF4140"/>
    <w:rsid w:val="00F03B69"/>
    <w:rsid w:val="00F064B1"/>
    <w:rsid w:val="00F07927"/>
    <w:rsid w:val="00F07A50"/>
    <w:rsid w:val="00F103CF"/>
    <w:rsid w:val="00F104EE"/>
    <w:rsid w:val="00F113DA"/>
    <w:rsid w:val="00F1705F"/>
    <w:rsid w:val="00F21AD8"/>
    <w:rsid w:val="00F22911"/>
    <w:rsid w:val="00F23FF4"/>
    <w:rsid w:val="00F24167"/>
    <w:rsid w:val="00F24DC6"/>
    <w:rsid w:val="00F266FC"/>
    <w:rsid w:val="00F3037A"/>
    <w:rsid w:val="00F33009"/>
    <w:rsid w:val="00F3465A"/>
    <w:rsid w:val="00F35F13"/>
    <w:rsid w:val="00F37DC8"/>
    <w:rsid w:val="00F37DFC"/>
    <w:rsid w:val="00F42179"/>
    <w:rsid w:val="00F439B3"/>
    <w:rsid w:val="00F5283D"/>
    <w:rsid w:val="00F6061C"/>
    <w:rsid w:val="00F61AB4"/>
    <w:rsid w:val="00F623C9"/>
    <w:rsid w:val="00F63743"/>
    <w:rsid w:val="00F650C3"/>
    <w:rsid w:val="00F65D85"/>
    <w:rsid w:val="00F6700B"/>
    <w:rsid w:val="00F6760B"/>
    <w:rsid w:val="00F7055D"/>
    <w:rsid w:val="00F707A6"/>
    <w:rsid w:val="00F70FDF"/>
    <w:rsid w:val="00F7137B"/>
    <w:rsid w:val="00F73346"/>
    <w:rsid w:val="00F7774E"/>
    <w:rsid w:val="00F8091E"/>
    <w:rsid w:val="00F81C3C"/>
    <w:rsid w:val="00F8431A"/>
    <w:rsid w:val="00F84AFE"/>
    <w:rsid w:val="00F86108"/>
    <w:rsid w:val="00F8615C"/>
    <w:rsid w:val="00F87E9D"/>
    <w:rsid w:val="00F930DD"/>
    <w:rsid w:val="00F93C0E"/>
    <w:rsid w:val="00F969E5"/>
    <w:rsid w:val="00FA4972"/>
    <w:rsid w:val="00FA6BB0"/>
    <w:rsid w:val="00FB2DBD"/>
    <w:rsid w:val="00FC1FF1"/>
    <w:rsid w:val="00FC2256"/>
    <w:rsid w:val="00FC6049"/>
    <w:rsid w:val="00FC65A0"/>
    <w:rsid w:val="00FD0645"/>
    <w:rsid w:val="00FD48DF"/>
    <w:rsid w:val="00FD5860"/>
    <w:rsid w:val="00FD6376"/>
    <w:rsid w:val="00FD6D4F"/>
    <w:rsid w:val="00FE14AA"/>
    <w:rsid w:val="00FE20B2"/>
    <w:rsid w:val="00FE352D"/>
    <w:rsid w:val="00FE40EB"/>
    <w:rsid w:val="00FE4D02"/>
    <w:rsid w:val="00FE7D62"/>
    <w:rsid w:val="00FF0BF0"/>
    <w:rsid w:val="00FF0DA0"/>
    <w:rsid w:val="00FF2B35"/>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3BB233"/>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523134"/>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5231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E8302A"/>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0C65B1"/>
    <w:rPr>
      <w:b/>
      <w:sz w:val="28"/>
      <w:szCs w:val="28"/>
      <w:lang w:eastAsia="en-US"/>
    </w:rPr>
  </w:style>
  <w:style w:type="character" w:customStyle="1" w:styleId="CH2Char">
    <w:name w:val="CH2 Char"/>
    <w:link w:val="CH2"/>
    <w:locked/>
    <w:rsid w:val="00523134"/>
    <w:rPr>
      <w:b/>
      <w:sz w:val="24"/>
      <w:szCs w:val="24"/>
      <w:lang w:eastAsia="en-US"/>
    </w:rPr>
  </w:style>
  <w:style w:type="character" w:customStyle="1" w:styleId="Normal-poolChar">
    <w:name w:val="Normal-pool Char"/>
    <w:link w:val="Normal-pool"/>
    <w:rsid w:val="000C65B1"/>
    <w:rPr>
      <w:lang w:eastAsia="en-US"/>
    </w:rPr>
  </w:style>
  <w:style w:type="character" w:customStyle="1" w:styleId="NormalnumberChar">
    <w:name w:val="Normal_number Char"/>
    <w:link w:val="Normalnumber"/>
    <w:locked/>
    <w:rsid w:val="000C65B1"/>
    <w:rPr>
      <w:lang w:eastAsia="en-US"/>
    </w:rPr>
  </w:style>
  <w:style w:type="character" w:customStyle="1" w:styleId="FooterChar">
    <w:name w:val="Footer Char"/>
    <w:basedOn w:val="DefaultParagraphFont"/>
    <w:link w:val="Footer"/>
    <w:uiPriority w:val="99"/>
    <w:rsid w:val="000C65B1"/>
    <w:rPr>
      <w:sz w:val="18"/>
      <w:lang w:eastAsia="en-US"/>
    </w:rPr>
  </w:style>
  <w:style w:type="paragraph" w:customStyle="1" w:styleId="main">
    <w:name w:val="main"/>
    <w:rsid w:val="000C65B1"/>
    <w:pPr>
      <w:pBdr>
        <w:top w:val="nil"/>
        <w:left w:val="nil"/>
        <w:bottom w:val="nil"/>
        <w:right w:val="nil"/>
        <w:between w:val="nil"/>
        <w:bar w:val="nil"/>
      </w:pBdr>
      <w:spacing w:after="240"/>
    </w:pPr>
    <w:rPr>
      <w:rFonts w:eastAsiaTheme="minorEastAsia" w:cs="Arial Unicode MS"/>
      <w:b/>
      <w:bCs/>
      <w:color w:val="000000"/>
      <w:sz w:val="24"/>
      <w:szCs w:val="24"/>
      <w:u w:color="000000"/>
      <w:bdr w:val="nil"/>
      <w:lang w:val="en-US"/>
    </w:rPr>
  </w:style>
  <w:style w:type="paragraph" w:styleId="Title">
    <w:name w:val="Title"/>
    <w:basedOn w:val="Normal"/>
    <w:link w:val="TitleChar"/>
    <w:autoRedefine/>
    <w:qFormat/>
    <w:rsid w:val="000C65B1"/>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lang w:val="en-US"/>
    </w:rPr>
  </w:style>
  <w:style w:type="character" w:customStyle="1" w:styleId="TitleChar">
    <w:name w:val="Title Char"/>
    <w:basedOn w:val="DefaultParagraphFont"/>
    <w:link w:val="Title"/>
    <w:rsid w:val="000C65B1"/>
    <w:rPr>
      <w:rFonts w:eastAsia="Yu Mincho"/>
      <w:b/>
      <w:bCs/>
      <w:kern w:val="28"/>
      <w:sz w:val="28"/>
      <w:szCs w:val="28"/>
      <w:lang w:val="en-US" w:eastAsia="en-US"/>
    </w:rPr>
  </w:style>
  <w:style w:type="character" w:customStyle="1" w:styleId="HeaderChar">
    <w:name w:val="Header Char"/>
    <w:link w:val="Header"/>
    <w:uiPriority w:val="99"/>
    <w:rsid w:val="000C65B1"/>
    <w:rPr>
      <w:b/>
      <w:sz w:val="18"/>
      <w:lang w:eastAsia="en-US"/>
    </w:rPr>
  </w:style>
  <w:style w:type="paragraph" w:customStyle="1" w:styleId="ListParagraph2">
    <w:name w:val="List Paragraph2"/>
    <w:basedOn w:val="Normal"/>
    <w:qFormat/>
    <w:rsid w:val="000C65B1"/>
    <w:pPr>
      <w:ind w:left="720"/>
    </w:pPr>
    <w:rPr>
      <w:rFonts w:eastAsia="MS Mincho"/>
      <w:sz w:val="21"/>
      <w:szCs w:val="21"/>
      <w:lang w:eastAsia="ja-JP"/>
    </w:rPr>
  </w:style>
  <w:style w:type="character" w:customStyle="1" w:styleId="ZZAnxtitleChar">
    <w:name w:val="ZZ_Anx_title Char"/>
    <w:link w:val="ZZAnxtitle"/>
    <w:rsid w:val="009E40F6"/>
    <w:rPr>
      <w:b/>
      <w:bCs/>
      <w:sz w:val="28"/>
      <w:szCs w:val="26"/>
      <w:lang w:eastAsia="en-US"/>
    </w:rPr>
  </w:style>
  <w:style w:type="character" w:customStyle="1" w:styleId="UnresolvedMention1">
    <w:name w:val="Unresolved Mention1"/>
    <w:basedOn w:val="DefaultParagraphFont"/>
    <w:uiPriority w:val="99"/>
    <w:semiHidden/>
    <w:unhideWhenUsed/>
    <w:rsid w:val="003053E8"/>
    <w:rPr>
      <w:color w:val="605E5C"/>
      <w:shd w:val="clear" w:color="auto" w:fill="E1DFDD"/>
    </w:rPr>
  </w:style>
  <w:style w:type="paragraph" w:customStyle="1" w:styleId="Default">
    <w:name w:val="Default"/>
    <w:rsid w:val="003053E8"/>
    <w:pPr>
      <w:autoSpaceDE w:val="0"/>
      <w:autoSpaceDN w:val="0"/>
      <w:adjustRightInd w:val="0"/>
    </w:pPr>
    <w:rPr>
      <w:rFonts w:eastAsiaTheme="minorEastAsia"/>
      <w:color w:val="000000"/>
      <w:sz w:val="24"/>
      <w:szCs w:val="24"/>
      <w:lang w:val="en-US"/>
    </w:rPr>
  </w:style>
  <w:style w:type="character" w:customStyle="1" w:styleId="UnresolvedMention2">
    <w:name w:val="Unresolved Mention2"/>
    <w:basedOn w:val="DefaultParagraphFont"/>
    <w:uiPriority w:val="99"/>
    <w:semiHidden/>
    <w:unhideWhenUsed/>
    <w:rsid w:val="00E52EFC"/>
    <w:rPr>
      <w:color w:val="605E5C"/>
      <w:shd w:val="clear" w:color="auto" w:fill="E1DFDD"/>
    </w:rPr>
  </w:style>
  <w:style w:type="character" w:styleId="FollowedHyperlink">
    <w:name w:val="FollowedHyperlink"/>
    <w:basedOn w:val="DefaultParagraphFont"/>
    <w:semiHidden/>
    <w:unhideWhenUsed/>
    <w:rsid w:val="005A27AA"/>
    <w:rPr>
      <w:color w:val="800080" w:themeColor="followedHyperlink"/>
      <w:u w:val="single"/>
    </w:rPr>
  </w:style>
  <w:style w:type="character" w:customStyle="1" w:styleId="UnresolvedMention3">
    <w:name w:val="Unresolved Mention3"/>
    <w:basedOn w:val="DefaultParagraphFont"/>
    <w:uiPriority w:val="99"/>
    <w:semiHidden/>
    <w:unhideWhenUsed/>
    <w:rsid w:val="00FC1F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044809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1454BBBC1CDE42AB175907F3F7B4C8" ma:contentTypeVersion="11" ma:contentTypeDescription="Create a new document." ma:contentTypeScope="" ma:versionID="0992cbdc4f5bbcb8e361be6395f03726">
  <xsd:schema xmlns:xsd="http://www.w3.org/2001/XMLSchema" xmlns:xs="http://www.w3.org/2001/XMLSchema" xmlns:p="http://schemas.microsoft.com/office/2006/metadata/properties" xmlns:ns3="d18b2cca-499f-4557-a4e9-65dcf311f482" xmlns:ns4="f500b1e4-de7e-4e77-a903-0925b28ae6a4" targetNamespace="http://schemas.microsoft.com/office/2006/metadata/properties" ma:root="true" ma:fieldsID="d6551fd0daded6097ec55b1000056b70" ns3:_="" ns4:_="">
    <xsd:import namespace="d18b2cca-499f-4557-a4e9-65dcf311f482"/>
    <xsd:import namespace="f500b1e4-de7e-4e77-a903-0925b28ae6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b2cca-499f-4557-a4e9-65dcf311f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00b1e4-de7e-4e77-a903-0925b28ae6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3506F-497D-4754-A5F0-8D7FBBCFA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b2cca-499f-4557-a4e9-65dcf311f482"/>
    <ds:schemaRef ds:uri="f500b1e4-de7e-4e77-a903-0925b28ae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5F83DC-3671-441A-A980-6B7A1D246B3C}">
  <ds:schemaRefs>
    <ds:schemaRef ds:uri="http://purl.org/dc/terms/"/>
    <ds:schemaRef ds:uri="http://schemas.microsoft.com/office/2006/documentManagement/types"/>
    <ds:schemaRef ds:uri="f500b1e4-de7e-4e77-a903-0925b28ae6a4"/>
    <ds:schemaRef ds:uri="http://purl.org/dc/elements/1.1/"/>
    <ds:schemaRef ds:uri="http://schemas.microsoft.com/office/2006/metadata/properties"/>
    <ds:schemaRef ds:uri="http://schemas.microsoft.com/office/infopath/2007/PartnerControls"/>
    <ds:schemaRef ds:uri="d18b2cca-499f-4557-a4e9-65dcf311f482"/>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29DEF890-21D3-4622-B5CC-5B0277231F9F}">
  <ds:schemaRefs>
    <ds:schemaRef ds:uri="http://schemas.microsoft.com/sharepoint/v3/contenttype/forms"/>
  </ds:schemaRefs>
</ds:datastoreItem>
</file>

<file path=customXml/itemProps4.xml><?xml version="1.0" encoding="utf-8"?>
<ds:datastoreItem xmlns:ds="http://schemas.openxmlformats.org/officeDocument/2006/customXml" ds:itemID="{4521A998-D50D-4B1F-9286-47BE9FFCC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8192</Words>
  <Characters>46696</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54779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Herimalala Raveloarinjato</cp:lastModifiedBy>
  <cp:revision>2</cp:revision>
  <cp:lastPrinted>2019-09-25T09:09:00Z</cp:lastPrinted>
  <dcterms:created xsi:type="dcterms:W3CDTF">2019-09-25T13:06:00Z</dcterms:created>
  <dcterms:modified xsi:type="dcterms:W3CDTF">2019-09-25T13:06:00Z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0x0101009B1454BBBC1CDE42AB175907F3F7B4C8</vt:lpwstr>
  </property>
  <property fmtid="{D5CDD505-2E9C-101B-9397-08002B2CF9AE}" pid="3" name="TranslatedWith">
    <vt:lpwstr>Mercury</vt:lpwstr>
  </property>
  <property fmtid="{D5CDD505-2E9C-101B-9397-08002B2CF9AE}" pid="4" name="GeneratedBy">
    <vt:lpwstr>veronique.racine espinosa</vt:lpwstr>
  </property>
  <property fmtid="{D5CDD505-2E9C-101B-9397-08002B2CF9AE}" pid="5" name="GeneratedDate">
    <vt:lpwstr>9/18/2019 10:21:31 AM</vt:lpwstr>
  </property>
  <property fmtid="{D5CDD505-2E9C-101B-9397-08002B2CF9AE}" pid="6" name="OriginalDocID">
    <vt:lpwstr>8f174b40-bf71-45d5-a9fa-553db04dfa0f</vt:lpwstr>
  </property>
</Properties>
</file>