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0B650A" w:rsidRPr="0038024A" w14:paraId="5C5D1CC6" w14:textId="77777777" w:rsidTr="0029790E">
        <w:trPr>
          <w:cantSplit/>
          <w:trHeight w:val="850"/>
          <w:jc w:val="right"/>
        </w:trPr>
        <w:tc>
          <w:tcPr>
            <w:tcW w:w="1701" w:type="dxa"/>
          </w:tcPr>
          <w:p w14:paraId="43D1E36E" w14:textId="77777777" w:rsidR="000B650A" w:rsidRPr="0038024A" w:rsidRDefault="000B650A" w:rsidP="0029790E">
            <w:pPr>
              <w:tabs>
                <w:tab w:val="left" w:pos="624"/>
                <w:tab w:val="left" w:pos="1871"/>
                <w:tab w:val="left" w:pos="2495"/>
              </w:tabs>
              <w:rPr>
                <w:rFonts w:ascii="Arial" w:hAnsi="Arial" w:cs="Arial"/>
                <w:b/>
                <w:sz w:val="27"/>
                <w:szCs w:val="27"/>
                <w:lang w:val="es-ES"/>
              </w:rPr>
            </w:pPr>
            <w:r w:rsidRPr="0038024A">
              <w:rPr>
                <w:rFonts w:ascii="Arial" w:hAnsi="Arial" w:cs="Arial"/>
                <w:b/>
                <w:sz w:val="27"/>
                <w:szCs w:val="27"/>
                <w:lang w:val="es-ES"/>
              </w:rPr>
              <w:t>NACIONES UNIDAS</w:t>
            </w:r>
          </w:p>
        </w:tc>
        <w:tc>
          <w:tcPr>
            <w:tcW w:w="4460" w:type="dxa"/>
          </w:tcPr>
          <w:p w14:paraId="660EBC63" w14:textId="77777777" w:rsidR="000B650A" w:rsidRPr="0038024A" w:rsidRDefault="000B650A" w:rsidP="0029790E">
            <w:pPr>
              <w:tabs>
                <w:tab w:val="left" w:pos="624"/>
                <w:tab w:val="left" w:pos="1871"/>
                <w:tab w:val="left" w:pos="2495"/>
              </w:tabs>
              <w:rPr>
                <w:rFonts w:ascii="Univers" w:hAnsi="Univers"/>
                <w:b/>
                <w:sz w:val="27"/>
                <w:szCs w:val="27"/>
                <w:lang w:val="es-ES"/>
              </w:rPr>
            </w:pPr>
          </w:p>
        </w:tc>
        <w:tc>
          <w:tcPr>
            <w:tcW w:w="3335" w:type="dxa"/>
          </w:tcPr>
          <w:p w14:paraId="5E5E2277" w14:textId="77777777" w:rsidR="000B650A" w:rsidRPr="0038024A" w:rsidRDefault="000B650A" w:rsidP="0029790E">
            <w:pPr>
              <w:tabs>
                <w:tab w:val="left" w:pos="624"/>
                <w:tab w:val="left" w:pos="1871"/>
                <w:tab w:val="left" w:pos="2495"/>
              </w:tabs>
              <w:jc w:val="right"/>
              <w:rPr>
                <w:rFonts w:ascii="Arial" w:hAnsi="Arial" w:cs="Arial"/>
                <w:b/>
                <w:sz w:val="64"/>
                <w:szCs w:val="64"/>
                <w:lang w:val="es-ES"/>
              </w:rPr>
            </w:pPr>
            <w:r w:rsidRPr="0038024A">
              <w:rPr>
                <w:rFonts w:ascii="Arial" w:hAnsi="Arial" w:cs="Arial"/>
                <w:b/>
                <w:sz w:val="64"/>
                <w:szCs w:val="64"/>
                <w:lang w:val="es-ES"/>
              </w:rPr>
              <w:t>MC</w:t>
            </w:r>
          </w:p>
        </w:tc>
      </w:tr>
      <w:tr w:rsidR="000B650A" w:rsidRPr="0038024A" w14:paraId="216C3684" w14:textId="77777777" w:rsidTr="0029790E">
        <w:trPr>
          <w:cantSplit/>
          <w:trHeight w:val="281"/>
          <w:jc w:val="right"/>
        </w:trPr>
        <w:tc>
          <w:tcPr>
            <w:tcW w:w="1701" w:type="dxa"/>
            <w:tcBorders>
              <w:bottom w:val="single" w:sz="4" w:space="0" w:color="auto"/>
            </w:tcBorders>
          </w:tcPr>
          <w:p w14:paraId="7B25C732" w14:textId="77777777" w:rsidR="000B650A" w:rsidRPr="0038024A" w:rsidRDefault="000B650A" w:rsidP="0029790E">
            <w:pPr>
              <w:tabs>
                <w:tab w:val="left" w:pos="624"/>
                <w:tab w:val="left" w:pos="1871"/>
                <w:tab w:val="left" w:pos="2495"/>
              </w:tabs>
              <w:rPr>
                <w:sz w:val="18"/>
                <w:szCs w:val="18"/>
                <w:lang w:val="es-ES"/>
              </w:rPr>
            </w:pPr>
          </w:p>
        </w:tc>
        <w:tc>
          <w:tcPr>
            <w:tcW w:w="4460" w:type="dxa"/>
            <w:tcBorders>
              <w:bottom w:val="single" w:sz="4" w:space="0" w:color="auto"/>
            </w:tcBorders>
          </w:tcPr>
          <w:p w14:paraId="7357BF40" w14:textId="77777777" w:rsidR="000B650A" w:rsidRPr="0038024A" w:rsidRDefault="000B650A" w:rsidP="0029790E">
            <w:pPr>
              <w:tabs>
                <w:tab w:val="left" w:pos="624"/>
                <w:tab w:val="left" w:pos="1871"/>
                <w:tab w:val="left" w:pos="2495"/>
              </w:tabs>
              <w:rPr>
                <w:rFonts w:ascii="Univers" w:hAnsi="Univers"/>
                <w:b/>
                <w:sz w:val="18"/>
                <w:szCs w:val="18"/>
                <w:lang w:val="es-ES"/>
              </w:rPr>
            </w:pPr>
          </w:p>
        </w:tc>
        <w:tc>
          <w:tcPr>
            <w:tcW w:w="3335" w:type="dxa"/>
            <w:tcBorders>
              <w:bottom w:val="single" w:sz="4" w:space="0" w:color="auto"/>
            </w:tcBorders>
          </w:tcPr>
          <w:p w14:paraId="0850DE48" w14:textId="17849E8B" w:rsidR="000B650A" w:rsidRPr="0038024A" w:rsidRDefault="000B650A" w:rsidP="0029790E">
            <w:pPr>
              <w:tabs>
                <w:tab w:val="left" w:pos="624"/>
                <w:tab w:val="left" w:pos="1871"/>
                <w:tab w:val="left" w:pos="2495"/>
              </w:tabs>
              <w:rPr>
                <w:sz w:val="18"/>
                <w:szCs w:val="18"/>
                <w:lang w:val="es-ES"/>
              </w:rPr>
            </w:pPr>
            <w:proofErr w:type="spellStart"/>
            <w:r w:rsidRPr="0038024A">
              <w:rPr>
                <w:b/>
                <w:bCs/>
                <w:sz w:val="28"/>
                <w:lang w:val="es-ES"/>
              </w:rPr>
              <w:t>UNEP</w:t>
            </w:r>
            <w:proofErr w:type="spellEnd"/>
            <w:r w:rsidRPr="0038024A">
              <w:rPr>
                <w:b/>
                <w:bCs/>
                <w:lang w:val="es-ES"/>
              </w:rPr>
              <w:t>/</w:t>
            </w:r>
            <w:r w:rsidRPr="0038024A">
              <w:rPr>
                <w:lang w:val="es-ES"/>
              </w:rPr>
              <w:t>MC/COP.3/4</w:t>
            </w:r>
          </w:p>
        </w:tc>
      </w:tr>
      <w:tr w:rsidR="000B650A" w:rsidRPr="0038024A" w14:paraId="5769C667" w14:textId="77777777" w:rsidTr="0029790E">
        <w:trPr>
          <w:cantSplit/>
          <w:trHeight w:val="2549"/>
          <w:jc w:val="right"/>
        </w:trPr>
        <w:tc>
          <w:tcPr>
            <w:tcW w:w="1701" w:type="dxa"/>
            <w:tcBorders>
              <w:top w:val="single" w:sz="4" w:space="0" w:color="auto"/>
              <w:bottom w:val="single" w:sz="24" w:space="0" w:color="auto"/>
            </w:tcBorders>
          </w:tcPr>
          <w:p w14:paraId="4F742EEF" w14:textId="77777777" w:rsidR="000B650A" w:rsidRPr="0038024A" w:rsidRDefault="000B650A" w:rsidP="0029790E">
            <w:pPr>
              <w:tabs>
                <w:tab w:val="left" w:pos="624"/>
                <w:tab w:val="left" w:pos="1871"/>
                <w:tab w:val="left" w:pos="2495"/>
              </w:tabs>
              <w:rPr>
                <w:lang w:val="es-ES"/>
              </w:rPr>
            </w:pPr>
            <w:r w:rsidRPr="0038024A">
              <w:rPr>
                <w:lang w:val="es-ES"/>
              </w:rPr>
              <w:object w:dxaOrig="1831" w:dyaOrig="1726" w14:anchorId="648B0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61.4pt" o:ole="" fillcolor="window">
                  <v:imagedata r:id="rId8" o:title=""/>
                </v:shape>
                <o:OLEObject Type="Embed" ProgID="Word.Picture.8" ShapeID="_x0000_i1025" DrawAspect="Content" ObjectID="_1629699413" r:id="rId9"/>
              </w:object>
            </w:r>
            <w:r w:rsidRPr="0038024A">
              <w:rPr>
                <w:lang w:val="es-ES" w:eastAsia="es-ES"/>
              </w:rPr>
              <w:drawing>
                <wp:inline distT="0" distB="0" distL="0" distR="0" wp14:anchorId="54E73294" wp14:editId="448C4BD4">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37395D84" w14:textId="7FFBC3F4" w:rsidR="000B650A" w:rsidRPr="0038024A" w:rsidRDefault="000B650A" w:rsidP="0029790E">
            <w:pPr>
              <w:tabs>
                <w:tab w:val="left" w:pos="624"/>
                <w:tab w:val="left" w:pos="1871"/>
                <w:tab w:val="left" w:pos="2495"/>
              </w:tabs>
              <w:spacing w:before="1200"/>
              <w:rPr>
                <w:rFonts w:ascii="Arial" w:hAnsi="Arial" w:cs="Arial"/>
                <w:b/>
                <w:sz w:val="32"/>
                <w:lang w:val="es-ES"/>
              </w:rPr>
            </w:pPr>
            <w:r w:rsidRPr="0038024A">
              <w:rPr>
                <w:rFonts w:ascii="Arial" w:hAnsi="Arial" w:cs="Arial"/>
                <w:b/>
                <w:bCs/>
                <w:sz w:val="32"/>
                <w:lang w:val="es-ES"/>
              </w:rPr>
              <w:t xml:space="preserve">Programa de las Naciones Unidas </w:t>
            </w:r>
            <w:r w:rsidR="000D78A7" w:rsidRPr="0038024A">
              <w:rPr>
                <w:rFonts w:ascii="Arial" w:hAnsi="Arial" w:cs="Arial"/>
                <w:b/>
                <w:bCs/>
                <w:sz w:val="32"/>
                <w:lang w:val="es-ES"/>
              </w:rPr>
              <w:br/>
            </w:r>
            <w:r w:rsidRPr="0038024A">
              <w:rPr>
                <w:rFonts w:ascii="Arial" w:hAnsi="Arial" w:cs="Arial"/>
                <w:b/>
                <w:bCs/>
                <w:sz w:val="32"/>
                <w:lang w:val="es-ES"/>
              </w:rPr>
              <w:t>para el Medio Ambiente</w:t>
            </w:r>
          </w:p>
        </w:tc>
        <w:tc>
          <w:tcPr>
            <w:tcW w:w="3335" w:type="dxa"/>
            <w:tcBorders>
              <w:top w:val="single" w:sz="4" w:space="0" w:color="auto"/>
              <w:bottom w:val="single" w:sz="24" w:space="0" w:color="auto"/>
            </w:tcBorders>
          </w:tcPr>
          <w:p w14:paraId="2EC570DD" w14:textId="03461F9E" w:rsidR="000B650A" w:rsidRPr="0038024A" w:rsidRDefault="000B650A" w:rsidP="0029790E">
            <w:pPr>
              <w:tabs>
                <w:tab w:val="left" w:pos="624"/>
                <w:tab w:val="left" w:pos="1871"/>
                <w:tab w:val="left" w:pos="2495"/>
              </w:tabs>
              <w:spacing w:before="120"/>
              <w:rPr>
                <w:lang w:val="es-ES"/>
              </w:rPr>
            </w:pPr>
            <w:proofErr w:type="spellStart"/>
            <w:r w:rsidRPr="0038024A">
              <w:rPr>
                <w:lang w:val="es-ES"/>
              </w:rPr>
              <w:t>Distr</w:t>
            </w:r>
            <w:proofErr w:type="spellEnd"/>
            <w:r w:rsidRPr="0038024A">
              <w:rPr>
                <w:lang w:val="es-ES"/>
              </w:rPr>
              <w:t>. general</w:t>
            </w:r>
            <w:r w:rsidRPr="0038024A">
              <w:rPr>
                <w:lang w:val="es-ES"/>
              </w:rPr>
              <w:br/>
              <w:t>1 de septiembre de 2019</w:t>
            </w:r>
          </w:p>
          <w:p w14:paraId="678794F1" w14:textId="77777777" w:rsidR="000B650A" w:rsidRPr="0038024A" w:rsidRDefault="000B650A" w:rsidP="0029790E">
            <w:pPr>
              <w:tabs>
                <w:tab w:val="left" w:pos="624"/>
                <w:tab w:val="left" w:pos="1871"/>
                <w:tab w:val="left" w:pos="2495"/>
              </w:tabs>
              <w:spacing w:before="240"/>
              <w:rPr>
                <w:lang w:val="es-ES"/>
              </w:rPr>
            </w:pPr>
            <w:r w:rsidRPr="0038024A">
              <w:rPr>
                <w:lang w:val="es-ES"/>
              </w:rPr>
              <w:t>Español</w:t>
            </w:r>
            <w:r w:rsidRPr="0038024A">
              <w:rPr>
                <w:lang w:val="es-ES"/>
              </w:rPr>
              <w:br/>
              <w:t>Original: inglés</w:t>
            </w:r>
          </w:p>
        </w:tc>
      </w:tr>
    </w:tbl>
    <w:p w14:paraId="0FED49FE" w14:textId="77777777" w:rsidR="000B650A" w:rsidRPr="0038024A" w:rsidRDefault="000B650A" w:rsidP="000B650A">
      <w:pPr>
        <w:pStyle w:val="AATitle"/>
        <w:keepNext w:val="0"/>
        <w:keepLines w:val="0"/>
        <w:tabs>
          <w:tab w:val="left" w:pos="624"/>
          <w:tab w:val="left" w:pos="1871"/>
          <w:tab w:val="left" w:pos="2495"/>
        </w:tabs>
        <w:rPr>
          <w:lang w:val="es-ES"/>
        </w:rPr>
      </w:pPr>
      <w:r w:rsidRPr="0038024A">
        <w:rPr>
          <w:bCs/>
          <w:lang w:val="es-ES"/>
        </w:rPr>
        <w:t xml:space="preserve">Conferencia de las Partes en el Convenio de </w:t>
      </w:r>
      <w:proofErr w:type="spellStart"/>
      <w:r w:rsidRPr="0038024A">
        <w:rPr>
          <w:bCs/>
          <w:lang w:val="es-ES"/>
        </w:rPr>
        <w:t>Minamata</w:t>
      </w:r>
      <w:proofErr w:type="spellEnd"/>
      <w:r w:rsidRPr="0038024A">
        <w:rPr>
          <w:bCs/>
          <w:lang w:val="es-ES"/>
        </w:rPr>
        <w:t xml:space="preserve"> sobre el Mercurio</w:t>
      </w:r>
    </w:p>
    <w:p w14:paraId="1D3C5052" w14:textId="77777777" w:rsidR="000B650A" w:rsidRPr="0038024A" w:rsidRDefault="000B650A" w:rsidP="000B650A">
      <w:pPr>
        <w:pStyle w:val="AATitle"/>
        <w:keepNext w:val="0"/>
        <w:keepLines w:val="0"/>
        <w:tabs>
          <w:tab w:val="left" w:pos="624"/>
          <w:tab w:val="left" w:pos="1871"/>
          <w:tab w:val="left" w:pos="2495"/>
        </w:tabs>
        <w:ind w:left="624" w:hanging="624"/>
        <w:rPr>
          <w:b w:val="0"/>
          <w:lang w:val="es-ES"/>
        </w:rPr>
      </w:pPr>
      <w:r w:rsidRPr="0038024A">
        <w:rPr>
          <w:bCs/>
          <w:lang w:val="es-ES"/>
        </w:rPr>
        <w:t>Tercera reunión</w:t>
      </w:r>
    </w:p>
    <w:p w14:paraId="2DE2125D" w14:textId="77777777" w:rsidR="000B650A" w:rsidRPr="0038024A" w:rsidRDefault="000B650A" w:rsidP="000B650A">
      <w:pPr>
        <w:pStyle w:val="AATitle"/>
        <w:rPr>
          <w:b w:val="0"/>
          <w:lang w:val="es-ES"/>
        </w:rPr>
      </w:pPr>
      <w:r w:rsidRPr="0038024A">
        <w:rPr>
          <w:b w:val="0"/>
          <w:lang w:val="es-ES"/>
        </w:rPr>
        <w:t>Ginebra, 25 a 29 de noviembre de 2019</w:t>
      </w:r>
    </w:p>
    <w:p w14:paraId="3FD603B0" w14:textId="6E206B77" w:rsidR="000C65B1" w:rsidRPr="0038024A" w:rsidRDefault="000C65B1" w:rsidP="00CC278D">
      <w:pPr>
        <w:pStyle w:val="AATitle"/>
        <w:rPr>
          <w:b w:val="0"/>
          <w:bCs/>
          <w:lang w:val="es-ES"/>
        </w:rPr>
      </w:pPr>
      <w:r w:rsidRPr="0038024A">
        <w:rPr>
          <w:b w:val="0"/>
          <w:bCs/>
          <w:lang w:val="es-ES"/>
        </w:rPr>
        <w:t>Tema 5 a) i) del programa provisional</w:t>
      </w:r>
      <w:r w:rsidRPr="0038024A">
        <w:rPr>
          <w:b w:val="0"/>
          <w:bCs/>
          <w:lang w:val="es-ES"/>
        </w:rPr>
        <w:footnoteReference w:customMarkFollows="1" w:id="1"/>
        <w:t>*</w:t>
      </w:r>
    </w:p>
    <w:p w14:paraId="10584444" w14:textId="17C2775C" w:rsidR="000C65B1" w:rsidRPr="0038024A" w:rsidRDefault="000C65B1" w:rsidP="005D1702">
      <w:pPr>
        <w:pStyle w:val="AATitle2"/>
        <w:ind w:right="4933"/>
        <w:rPr>
          <w:lang w:val="es-ES"/>
        </w:rPr>
      </w:pPr>
      <w:r w:rsidRPr="0038024A">
        <w:rPr>
          <w:bCs/>
          <w:lang w:val="es-ES"/>
        </w:rPr>
        <w:t xml:space="preserve">Cuestiones para </w:t>
      </w:r>
      <w:r w:rsidR="009167EF" w:rsidRPr="0038024A">
        <w:rPr>
          <w:bCs/>
          <w:lang w:val="es-ES"/>
        </w:rPr>
        <w:t>el examen</w:t>
      </w:r>
      <w:r w:rsidRPr="0038024A">
        <w:rPr>
          <w:bCs/>
          <w:lang w:val="es-ES"/>
        </w:rPr>
        <w:t xml:space="preserve"> o la adopción de medidas por la Conferencia de las Partes: productos con mercurio añadido y procesos de producción en los que se utilizan mercurio o compuestos de mercurio</w:t>
      </w:r>
      <w:r w:rsidR="002604CD" w:rsidRPr="0038024A">
        <w:rPr>
          <w:bCs/>
          <w:lang w:val="es-ES"/>
        </w:rPr>
        <w:t>:</w:t>
      </w:r>
      <w:r w:rsidRPr="0038024A">
        <w:rPr>
          <w:bCs/>
          <w:lang w:val="es-ES"/>
        </w:rPr>
        <w:t xml:space="preserve"> examen de los anexos A y B</w:t>
      </w:r>
    </w:p>
    <w:p w14:paraId="1658D062" w14:textId="5A275451" w:rsidR="000C65B1" w:rsidRPr="0038024A" w:rsidRDefault="00BB4998" w:rsidP="00CC278D">
      <w:pPr>
        <w:pStyle w:val="BBTitle"/>
        <w:rPr>
          <w:lang w:val="es-ES"/>
        </w:rPr>
      </w:pPr>
      <w:r w:rsidRPr="0038024A">
        <w:rPr>
          <w:bCs/>
          <w:lang w:val="es-ES"/>
        </w:rPr>
        <w:t>Examen de los anexos A y B</w:t>
      </w:r>
    </w:p>
    <w:p w14:paraId="683EF59F" w14:textId="3400AFAE" w:rsidR="000C65B1" w:rsidRPr="0038024A" w:rsidRDefault="0004341B" w:rsidP="00CC278D">
      <w:pPr>
        <w:pStyle w:val="CH2"/>
        <w:rPr>
          <w:lang w:val="es-ES"/>
        </w:rPr>
      </w:pPr>
      <w:r w:rsidRPr="0038024A">
        <w:rPr>
          <w:lang w:val="es-ES"/>
        </w:rPr>
        <w:tab/>
      </w:r>
      <w:r w:rsidRPr="0038024A">
        <w:rPr>
          <w:lang w:val="es-ES"/>
        </w:rPr>
        <w:tab/>
      </w:r>
      <w:r w:rsidRPr="0038024A">
        <w:rPr>
          <w:bCs/>
          <w:lang w:val="es-ES"/>
        </w:rPr>
        <w:t xml:space="preserve">Nota de la </w:t>
      </w:r>
      <w:r w:rsidR="0094327D" w:rsidRPr="0038024A">
        <w:rPr>
          <w:bCs/>
          <w:lang w:val="es-ES"/>
        </w:rPr>
        <w:t>S</w:t>
      </w:r>
      <w:r w:rsidRPr="0038024A">
        <w:rPr>
          <w:bCs/>
          <w:lang w:val="es-ES"/>
        </w:rPr>
        <w:t>ecretaría</w:t>
      </w:r>
    </w:p>
    <w:p w14:paraId="0E99DB51" w14:textId="3B56BBD4" w:rsidR="00BE2E9A" w:rsidRPr="0038024A" w:rsidRDefault="00BE2E9A" w:rsidP="00CC278D">
      <w:pPr>
        <w:pStyle w:val="Normalnumber"/>
        <w:tabs>
          <w:tab w:val="clear" w:pos="1701"/>
        </w:tabs>
        <w:ind w:left="1247"/>
        <w:rPr>
          <w:lang w:val="es-ES"/>
        </w:rPr>
      </w:pPr>
      <w:r w:rsidRPr="0038024A">
        <w:rPr>
          <w:lang w:val="es-ES"/>
        </w:rPr>
        <w:t xml:space="preserve">En los artículos 4 y 5 del Convenio de </w:t>
      </w:r>
      <w:proofErr w:type="spellStart"/>
      <w:r w:rsidRPr="0038024A">
        <w:rPr>
          <w:lang w:val="es-ES"/>
        </w:rPr>
        <w:t>Minamata</w:t>
      </w:r>
      <w:proofErr w:type="spellEnd"/>
      <w:r w:rsidRPr="0038024A">
        <w:rPr>
          <w:lang w:val="es-ES"/>
        </w:rPr>
        <w:t xml:space="preserve"> sobre el Mercurio se prevé el examen de los</w:t>
      </w:r>
      <w:r w:rsidR="0094327D" w:rsidRPr="0038024A">
        <w:rPr>
          <w:lang w:val="es-ES"/>
        </w:rPr>
        <w:t> </w:t>
      </w:r>
      <w:r w:rsidRPr="0038024A">
        <w:rPr>
          <w:lang w:val="es-ES"/>
        </w:rPr>
        <w:t xml:space="preserve">anexos A y B, a más tardar cinco años después de la fecha de entrada en vigor del Convenio. La Conferencia </w:t>
      </w:r>
      <w:r w:rsidR="006B037A" w:rsidRPr="0038024A">
        <w:rPr>
          <w:lang w:val="es-ES"/>
        </w:rPr>
        <w:t xml:space="preserve">de las Partes </w:t>
      </w:r>
      <w:r w:rsidRPr="0038024A">
        <w:rPr>
          <w:lang w:val="es-ES"/>
        </w:rPr>
        <w:t>examinó la cuestión en su segunda reunión y acordó aplazar el examen hasta su tercera reunión, y pidió a la Secretaría que preparara un documento al respecto para su examen en esa reunión.</w:t>
      </w:r>
    </w:p>
    <w:p w14:paraId="3F7F7CC1" w14:textId="53BFC89C" w:rsidR="00BE2E9A" w:rsidRPr="0038024A" w:rsidRDefault="00BE2E9A" w:rsidP="00765562">
      <w:pPr>
        <w:pStyle w:val="Normalnumber"/>
        <w:tabs>
          <w:tab w:val="clear" w:pos="1701"/>
        </w:tabs>
        <w:ind w:left="1247"/>
        <w:rPr>
          <w:lang w:val="es-ES"/>
        </w:rPr>
      </w:pPr>
      <w:r w:rsidRPr="0038024A">
        <w:rPr>
          <w:lang w:val="es-ES"/>
        </w:rPr>
        <w:t>En la presente nota se explica el procedimiento para el examen de los anexos A y B, en respuesta a la petición formulada por la Conferencia.</w:t>
      </w:r>
    </w:p>
    <w:p w14:paraId="18E1D926" w14:textId="50EDF599" w:rsidR="00BE2E9A" w:rsidRPr="0038024A" w:rsidRDefault="009E40F6" w:rsidP="009E40F6">
      <w:pPr>
        <w:pStyle w:val="CH2"/>
        <w:rPr>
          <w:lang w:val="es-ES"/>
        </w:rPr>
      </w:pPr>
      <w:r w:rsidRPr="0038024A">
        <w:rPr>
          <w:lang w:val="es-ES"/>
        </w:rPr>
        <w:tab/>
      </w:r>
      <w:r w:rsidRPr="0038024A">
        <w:rPr>
          <w:lang w:val="es-ES"/>
        </w:rPr>
        <w:tab/>
      </w:r>
      <w:r w:rsidRPr="0038024A">
        <w:rPr>
          <w:bCs/>
          <w:lang w:val="es-ES"/>
        </w:rPr>
        <w:t>Examen del anexo A</w:t>
      </w:r>
    </w:p>
    <w:p w14:paraId="2B5442E6" w14:textId="36210A06" w:rsidR="00BE2E9A" w:rsidRPr="0038024A" w:rsidRDefault="00BE2E9A" w:rsidP="00765562">
      <w:pPr>
        <w:pStyle w:val="Normalnumber"/>
        <w:tabs>
          <w:tab w:val="clear" w:pos="1701"/>
        </w:tabs>
        <w:ind w:left="1247"/>
        <w:rPr>
          <w:lang w:val="es-ES"/>
        </w:rPr>
      </w:pPr>
      <w:r w:rsidRPr="0038024A">
        <w:rPr>
          <w:lang w:val="es-ES"/>
        </w:rPr>
        <w:t>El anexo A del Convenio consta de tres secciones, en concreto la de los productos excluidos del anexo, la parte I y la parte II. Hay cinco categorías de productos excluidos del anexo. En la parte I se enumeran nueve productos con mercurio añadido sujetos a lo dispuesto en el párrafo 1 del artículo</w:t>
      </w:r>
      <w:r w:rsidR="0094327D" w:rsidRPr="0038024A">
        <w:rPr>
          <w:lang w:val="es-ES"/>
        </w:rPr>
        <w:t> </w:t>
      </w:r>
      <w:r w:rsidRPr="0038024A">
        <w:rPr>
          <w:lang w:val="es-ES"/>
        </w:rPr>
        <w:t xml:space="preserve">4, </w:t>
      </w:r>
      <w:r w:rsidR="000544DA" w:rsidRPr="0038024A">
        <w:rPr>
          <w:lang w:val="es-ES"/>
        </w:rPr>
        <w:t xml:space="preserve">a saber, que las Partes </w:t>
      </w:r>
      <w:r w:rsidR="009167EF" w:rsidRPr="0038024A">
        <w:rPr>
          <w:lang w:val="es-ES"/>
        </w:rPr>
        <w:t>prohíban</w:t>
      </w:r>
      <w:r w:rsidRPr="0038024A">
        <w:rPr>
          <w:lang w:val="es-ES"/>
        </w:rPr>
        <w:t>, adoptando las medidas pertinentes, la fabricación, la importación y la exportación de esos productos después de la fecha de eliminación especificada para ellos. En la parte II se enumeran los productos sujetos a lo dispuesto en el párrafo 3 del artículo 4, y se establecen las medidas que las Partes deberán adoptar respecto a los productos que figuran en la lista. La amalgama dental es el único producto enumerado en la parte II.</w:t>
      </w:r>
    </w:p>
    <w:p w14:paraId="5A973EF4" w14:textId="3533C9E1" w:rsidR="00BE2E9A" w:rsidRPr="0038024A" w:rsidRDefault="00BE2E9A" w:rsidP="00765562">
      <w:pPr>
        <w:pStyle w:val="Normalnumber"/>
        <w:tabs>
          <w:tab w:val="clear" w:pos="1701"/>
        </w:tabs>
        <w:ind w:left="1247"/>
        <w:rPr>
          <w:lang w:val="es-ES"/>
        </w:rPr>
      </w:pPr>
      <w:r w:rsidRPr="0038024A">
        <w:rPr>
          <w:lang w:val="es-ES"/>
        </w:rPr>
        <w:t>En el párrafo 8 del artículo 4 se establece que, a más tardar cinco años después de la fecha de entrada en vigor del Convenio, la Conferencia de las Partes examinará el anexo A y podrá considerar la posibilidad de introducir enmiendas a ese anexo de acuerdo con lo dispuesto en el artículo 27. El párrafo 9 dispone que, en el examen del anexo A, la Conferencia tendrá en cuenta, como mínimo:</w:t>
      </w:r>
    </w:p>
    <w:p w14:paraId="775708D4" w14:textId="0725E251" w:rsidR="00BE2E9A" w:rsidRPr="0038024A" w:rsidRDefault="00BE2E9A" w:rsidP="00D537A1">
      <w:pPr>
        <w:pStyle w:val="Normalnumber"/>
        <w:numPr>
          <w:ilvl w:val="0"/>
          <w:numId w:val="6"/>
        </w:numPr>
        <w:tabs>
          <w:tab w:val="clear" w:pos="624"/>
        </w:tabs>
        <w:ind w:left="1247" w:firstLine="624"/>
        <w:rPr>
          <w:lang w:val="es-ES"/>
        </w:rPr>
      </w:pPr>
      <w:r w:rsidRPr="0038024A">
        <w:rPr>
          <w:lang w:val="es-ES"/>
        </w:rPr>
        <w:t>Cualquier propuesta presentada con arreglo al párrafo 7 del artículo 4;</w:t>
      </w:r>
    </w:p>
    <w:p w14:paraId="60FAA653" w14:textId="1ED48280" w:rsidR="00BE2E9A" w:rsidRPr="0038024A" w:rsidRDefault="00BE2E9A" w:rsidP="000B650A">
      <w:pPr>
        <w:pStyle w:val="Normalnumber"/>
        <w:numPr>
          <w:ilvl w:val="0"/>
          <w:numId w:val="6"/>
        </w:numPr>
        <w:ind w:left="1247" w:firstLine="624"/>
        <w:rPr>
          <w:lang w:val="es-ES"/>
        </w:rPr>
      </w:pPr>
      <w:r w:rsidRPr="0038024A">
        <w:rPr>
          <w:lang w:val="es-ES"/>
        </w:rPr>
        <w:t xml:space="preserve">La información hecha pública con arreglo al párrafo 4 del artículo 4; y </w:t>
      </w:r>
    </w:p>
    <w:p w14:paraId="0ACB9AFE" w14:textId="488C0B22" w:rsidR="00BE2E9A" w:rsidRPr="0038024A" w:rsidRDefault="00BE2E9A" w:rsidP="000B650A">
      <w:pPr>
        <w:pStyle w:val="Normalnumber"/>
        <w:numPr>
          <w:ilvl w:val="0"/>
          <w:numId w:val="6"/>
        </w:numPr>
        <w:ind w:left="1247" w:firstLine="624"/>
        <w:rPr>
          <w:lang w:val="es-ES"/>
        </w:rPr>
      </w:pPr>
      <w:r w:rsidRPr="0038024A">
        <w:rPr>
          <w:lang w:val="es-ES"/>
        </w:rPr>
        <w:lastRenderedPageBreak/>
        <w:t>El acceso de las Partes a alternativas sin mercurio que sean viables desde el punto de vista técnico y económico y que tengan en cuenta los riesgos y beneficios para el medio ambiente y la</w:t>
      </w:r>
      <w:r w:rsidR="00D537A1" w:rsidRPr="0038024A">
        <w:rPr>
          <w:lang w:val="es-ES"/>
        </w:rPr>
        <w:t> </w:t>
      </w:r>
      <w:r w:rsidRPr="0038024A">
        <w:rPr>
          <w:lang w:val="es-ES"/>
        </w:rPr>
        <w:t>salud humana.</w:t>
      </w:r>
    </w:p>
    <w:p w14:paraId="4005B7C6" w14:textId="599F2018" w:rsidR="00BE2E9A" w:rsidRPr="0038024A" w:rsidRDefault="00BE2E9A" w:rsidP="00944E96">
      <w:pPr>
        <w:pStyle w:val="Normalnumber"/>
        <w:keepNext/>
        <w:keepLines/>
        <w:tabs>
          <w:tab w:val="clear" w:pos="1701"/>
        </w:tabs>
        <w:ind w:left="1247"/>
        <w:rPr>
          <w:lang w:val="es-ES"/>
        </w:rPr>
      </w:pPr>
      <w:r w:rsidRPr="0038024A">
        <w:rPr>
          <w:lang w:val="es-ES"/>
        </w:rPr>
        <w:t>En el párrafo 7 se estipula que cualquiera de las Partes podrá presentar a la Secretaría una propuesta de inclusión de un producto con mercurio añadido en el anexo A, en la que figurará información relacionada con la disponibilidad, la viabilidad técnica y económica, y los riesgos y beneficios para la salud y el medio ambiente de las alternativas a este producto sin mercurio, teniendo en cuenta la información conforme al párrafo 4.</w:t>
      </w:r>
    </w:p>
    <w:p w14:paraId="3F67463B" w14:textId="4695AB88" w:rsidR="00BE2E9A" w:rsidRPr="0038024A" w:rsidRDefault="00BE2E9A" w:rsidP="00765562">
      <w:pPr>
        <w:pStyle w:val="Normalnumber"/>
        <w:tabs>
          <w:tab w:val="clear" w:pos="1701"/>
        </w:tabs>
        <w:ind w:left="1247"/>
        <w:rPr>
          <w:lang w:val="es-ES"/>
        </w:rPr>
      </w:pPr>
      <w:r w:rsidRPr="0038024A">
        <w:rPr>
          <w:lang w:val="es-ES"/>
        </w:rPr>
        <w:t>En el párrafo 2 se establece que, como alternativa a lo dispuesto en el párrafo 1, una Parte podría indicar, en el momento de la ratificación o en la fecha de entrada en vigor de una enmienda del anexo A para ella, que aplicará medidas o estrategias diferentes en relación con los productos incluidos en la parte I del anexo A. La Parte solamente podrá optar por esta alternativa si puede demostrar que ya ha reducido a un nivel mínimo la fabricación, la importación y la exportación de la gran mayoría de los productos incluidos en la parte I del anexo A y que ha aplicado medidas o estrategias para reducir el uso de mercurio en otros productos no incluidos en la parte I del anexo A. En el mismo párrafo se establece que, a más tardar cinco años después de la entrada en vigor del Convenio, la Conferencia de las Partes, dentro del proceso de examen establecido en el párrafo 8, examinará los progresos y la eficacia de las medidas adoptadas de conformidad con el párrafo 2.</w:t>
      </w:r>
    </w:p>
    <w:p w14:paraId="77FE0C3D" w14:textId="453C4179" w:rsidR="00BE2E9A" w:rsidRPr="0038024A" w:rsidRDefault="009E40F6" w:rsidP="009E40F6">
      <w:pPr>
        <w:pStyle w:val="CH2"/>
        <w:rPr>
          <w:lang w:val="es-ES"/>
        </w:rPr>
      </w:pPr>
      <w:r w:rsidRPr="0038024A">
        <w:rPr>
          <w:lang w:val="es-ES"/>
        </w:rPr>
        <w:tab/>
      </w:r>
      <w:r w:rsidRPr="0038024A">
        <w:rPr>
          <w:lang w:val="es-ES"/>
        </w:rPr>
        <w:tab/>
      </w:r>
      <w:r w:rsidRPr="0038024A">
        <w:rPr>
          <w:bCs/>
          <w:lang w:val="es-ES"/>
        </w:rPr>
        <w:t>Examen del anexo B</w:t>
      </w:r>
    </w:p>
    <w:p w14:paraId="72CEB89B" w14:textId="30C8D8DE" w:rsidR="00BE2E9A" w:rsidRPr="0038024A" w:rsidRDefault="00BE2E9A" w:rsidP="00765562">
      <w:pPr>
        <w:pStyle w:val="Normalnumber"/>
        <w:tabs>
          <w:tab w:val="clear" w:pos="1701"/>
        </w:tabs>
        <w:ind w:left="1247"/>
        <w:rPr>
          <w:lang w:val="es-ES"/>
        </w:rPr>
      </w:pPr>
      <w:r w:rsidRPr="0038024A">
        <w:rPr>
          <w:lang w:val="es-ES"/>
        </w:rPr>
        <w:t>El anexo B del Convenio consta de dos partes. En la parte I se enumeran dos procesos de fabricación sujetos a lo dispuesto en el párrafo 2 del artículo 5, en el que se pide a las Partes que, adoptando las medidas pertinentes, no permitan el uso de mercurio ni de compuestos de mercurio en esos procesos tras la fecha de eliminación especificada. En la parte II se enumeran tres procesos de fabricación con sujeción a lo dispuesto en el párrafo 3 del artículo 5, y se establece que cada Parte adoptará medidas para restringir el uso de mercurio o compuestos de mercurio en esos procesos.</w:t>
      </w:r>
    </w:p>
    <w:p w14:paraId="7F8CF476" w14:textId="0C7059C6" w:rsidR="00BE2E9A" w:rsidRPr="0038024A" w:rsidRDefault="00BE2E9A" w:rsidP="00765562">
      <w:pPr>
        <w:pStyle w:val="Normalnumber"/>
        <w:tabs>
          <w:tab w:val="clear" w:pos="1701"/>
        </w:tabs>
        <w:ind w:left="1247"/>
        <w:rPr>
          <w:lang w:val="es-ES"/>
        </w:rPr>
      </w:pPr>
      <w:r w:rsidRPr="0038024A">
        <w:rPr>
          <w:lang w:val="es-ES"/>
        </w:rPr>
        <w:t>En el párrafo 10 del artículo 5 se establece que, a más tardar cinco años después de la fecha de entrada en vigor del Convenio, la Conferencia de las Partes examinará el anexo B y podrá considerar la posibilidad de introducir enmiendas a ese anexo de acuerdo con lo dispuesto en el artículo 27. En el párrafo 11 del artículo 5 se dispone que, en el examen del anexo B, la Conferencia tendrá en cuenta, como mínimo:</w:t>
      </w:r>
      <w:bookmarkStart w:id="0" w:name="_GoBack"/>
      <w:bookmarkEnd w:id="0"/>
    </w:p>
    <w:p w14:paraId="5D8B5145" w14:textId="7D2EF3BB" w:rsidR="00BE2E9A" w:rsidRPr="0038024A" w:rsidRDefault="00BE2E9A" w:rsidP="000B650A">
      <w:pPr>
        <w:pStyle w:val="Normalnumber"/>
        <w:numPr>
          <w:ilvl w:val="0"/>
          <w:numId w:val="12"/>
        </w:numPr>
        <w:tabs>
          <w:tab w:val="clear" w:pos="624"/>
        </w:tabs>
        <w:ind w:left="1247" w:firstLine="624"/>
        <w:rPr>
          <w:lang w:val="es-ES"/>
        </w:rPr>
      </w:pPr>
      <w:r w:rsidRPr="0038024A">
        <w:rPr>
          <w:lang w:val="es-ES"/>
        </w:rPr>
        <w:t>Cualquier propuesta presentada con arreglo al párrafo 9 del artículo 5;</w:t>
      </w:r>
    </w:p>
    <w:p w14:paraId="44B9AE64" w14:textId="4D30AB7D" w:rsidR="00BE2E9A" w:rsidRPr="0038024A" w:rsidRDefault="00BE2E9A" w:rsidP="000B650A">
      <w:pPr>
        <w:pStyle w:val="Normalnumber"/>
        <w:numPr>
          <w:ilvl w:val="0"/>
          <w:numId w:val="12"/>
        </w:numPr>
        <w:tabs>
          <w:tab w:val="clear" w:pos="624"/>
        </w:tabs>
        <w:ind w:left="1247" w:firstLine="624"/>
        <w:rPr>
          <w:lang w:val="es-ES"/>
        </w:rPr>
      </w:pPr>
      <w:r w:rsidRPr="0038024A">
        <w:rPr>
          <w:lang w:val="es-ES"/>
        </w:rPr>
        <w:t xml:space="preserve">La información hecha pública en virtud del párrafo 4 del artículo 5; y </w:t>
      </w:r>
    </w:p>
    <w:p w14:paraId="22640281" w14:textId="4921B173" w:rsidR="00BE2E9A" w:rsidRPr="0038024A" w:rsidRDefault="00BE2E9A" w:rsidP="000B650A">
      <w:pPr>
        <w:pStyle w:val="Normalnumber"/>
        <w:numPr>
          <w:ilvl w:val="0"/>
          <w:numId w:val="12"/>
        </w:numPr>
        <w:tabs>
          <w:tab w:val="clear" w:pos="624"/>
        </w:tabs>
        <w:ind w:left="1247" w:firstLine="624"/>
        <w:rPr>
          <w:lang w:val="es-ES"/>
        </w:rPr>
      </w:pPr>
      <w:r w:rsidRPr="0038024A">
        <w:rPr>
          <w:lang w:val="es-ES"/>
        </w:rPr>
        <w:t>El acceso de las Partes a alternativas sin mercurio que sean viables desde el punto de</w:t>
      </w:r>
      <w:r w:rsidR="000B650A" w:rsidRPr="0038024A">
        <w:rPr>
          <w:lang w:val="es-ES"/>
        </w:rPr>
        <w:t> </w:t>
      </w:r>
      <w:r w:rsidRPr="0038024A">
        <w:rPr>
          <w:lang w:val="es-ES"/>
        </w:rPr>
        <w:t>vista técnico y económico y que tengan en cuenta los riesgos y beneficios para el medio ambiente y</w:t>
      </w:r>
      <w:r w:rsidR="000B650A" w:rsidRPr="0038024A">
        <w:rPr>
          <w:lang w:val="es-ES"/>
        </w:rPr>
        <w:t> </w:t>
      </w:r>
      <w:r w:rsidRPr="0038024A">
        <w:rPr>
          <w:lang w:val="es-ES"/>
        </w:rPr>
        <w:t xml:space="preserve">la salud. </w:t>
      </w:r>
    </w:p>
    <w:p w14:paraId="71C0CFF9" w14:textId="451FC18B" w:rsidR="00BE2E9A" w:rsidRPr="0038024A" w:rsidRDefault="00BE2E9A" w:rsidP="00765562">
      <w:pPr>
        <w:pStyle w:val="Normalnumber"/>
        <w:tabs>
          <w:tab w:val="clear" w:pos="1701"/>
        </w:tabs>
        <w:ind w:left="1247"/>
        <w:rPr>
          <w:bCs/>
          <w:lang w:val="es-ES"/>
        </w:rPr>
      </w:pPr>
      <w:r w:rsidRPr="0038024A">
        <w:rPr>
          <w:lang w:val="es-ES"/>
        </w:rPr>
        <w:t>En el párrafo 9 se dispone que cualquiera de las Partes podrá presentar una propuesta de modificación del anexo B con objeto de incluir un proceso de fabricación en el que se utilice mercurio o compuestos de mercurio, y que esa propuesta incluirá información relacionada con la disponibilidad, la viabilidad técnica y económica, y los riesgos y beneficios para la salud humana y el medio ambiente de las alternativas sin mercurio.</w:t>
      </w:r>
    </w:p>
    <w:p w14:paraId="129C1820" w14:textId="712225B7" w:rsidR="00224608" w:rsidRPr="0038024A" w:rsidRDefault="00224608" w:rsidP="00A7603F">
      <w:pPr>
        <w:pStyle w:val="CH2"/>
        <w:rPr>
          <w:lang w:val="es-ES"/>
        </w:rPr>
      </w:pPr>
      <w:r w:rsidRPr="0038024A">
        <w:rPr>
          <w:lang w:val="es-ES"/>
        </w:rPr>
        <w:tab/>
      </w:r>
      <w:r w:rsidRPr="0038024A">
        <w:rPr>
          <w:lang w:val="es-ES"/>
        </w:rPr>
        <w:tab/>
      </w:r>
      <w:r w:rsidRPr="0038024A">
        <w:rPr>
          <w:bCs/>
          <w:lang w:val="es-ES"/>
        </w:rPr>
        <w:t>Información facilitada por la Secretaría</w:t>
      </w:r>
    </w:p>
    <w:p w14:paraId="509049A0" w14:textId="0897FE1D" w:rsidR="00224608" w:rsidRPr="0038024A" w:rsidRDefault="00224608" w:rsidP="000B650A">
      <w:pPr>
        <w:pStyle w:val="Normalnumber"/>
        <w:tabs>
          <w:tab w:val="clear" w:pos="624"/>
          <w:tab w:val="clear" w:pos="1701"/>
        </w:tabs>
        <w:ind w:left="1247"/>
        <w:rPr>
          <w:lang w:val="es-ES"/>
        </w:rPr>
      </w:pPr>
      <w:r w:rsidRPr="0038024A">
        <w:rPr>
          <w:lang w:val="es-ES"/>
        </w:rPr>
        <w:t xml:space="preserve">En el párrafo 4 del artículo 4 y el párrafo 4 del artículo 5 se establece </w:t>
      </w:r>
      <w:proofErr w:type="gramStart"/>
      <w:r w:rsidRPr="0038024A">
        <w:rPr>
          <w:lang w:val="es-ES"/>
        </w:rPr>
        <w:t>que</w:t>
      </w:r>
      <w:proofErr w:type="gramEnd"/>
      <w:r w:rsidRPr="0038024A">
        <w:rPr>
          <w:lang w:val="es-ES"/>
        </w:rPr>
        <w:t xml:space="preserve"> sobre la base de</w:t>
      </w:r>
      <w:r w:rsidR="0094327D" w:rsidRPr="0038024A">
        <w:rPr>
          <w:lang w:val="es-ES"/>
        </w:rPr>
        <w:t> </w:t>
      </w:r>
      <w:r w:rsidRPr="0038024A">
        <w:rPr>
          <w:lang w:val="es-ES"/>
        </w:rPr>
        <w:t>la</w:t>
      </w:r>
      <w:r w:rsidR="0094327D" w:rsidRPr="0038024A">
        <w:rPr>
          <w:lang w:val="es-ES"/>
        </w:rPr>
        <w:t> </w:t>
      </w:r>
      <w:r w:rsidRPr="0038024A">
        <w:rPr>
          <w:lang w:val="es-ES"/>
        </w:rPr>
        <w:t>información proporcionada por las Partes, la Secretaría reunirá y mantendrá información, respectivamente, sobre los productos con mercurio añadido y los procesos en los que se utiliza mercurio o compuestos de mercurio, así como sobre sus alternativas, y que pondrá esa información a</w:t>
      </w:r>
      <w:r w:rsidR="0094327D" w:rsidRPr="0038024A">
        <w:rPr>
          <w:lang w:val="es-ES"/>
        </w:rPr>
        <w:t> </w:t>
      </w:r>
      <w:r w:rsidRPr="0038024A">
        <w:rPr>
          <w:lang w:val="es-ES"/>
        </w:rPr>
        <w:t>disposición del público. También se establece que la Secretaría hará pública cualquier otra información pertinente presentada por las Partes.</w:t>
      </w:r>
    </w:p>
    <w:p w14:paraId="4A656D58" w14:textId="1E0D8D55" w:rsidR="00224608" w:rsidRPr="0038024A" w:rsidRDefault="00224608" w:rsidP="00765562">
      <w:pPr>
        <w:pStyle w:val="Normalnumber"/>
        <w:tabs>
          <w:tab w:val="clear" w:pos="1701"/>
        </w:tabs>
        <w:ind w:left="1247"/>
        <w:rPr>
          <w:bCs/>
          <w:lang w:val="es-ES"/>
        </w:rPr>
      </w:pPr>
      <w:r w:rsidRPr="0038024A">
        <w:rPr>
          <w:lang w:val="es-ES"/>
        </w:rPr>
        <w:t>En el artículo 17 se prevé el intercambio de información entre las Partes, incluida la información sobre alternativas viables desde el punto de vista técnico y económico a los productos con</w:t>
      </w:r>
      <w:r w:rsidR="0094327D" w:rsidRPr="0038024A">
        <w:rPr>
          <w:lang w:val="es-ES"/>
        </w:rPr>
        <w:t> </w:t>
      </w:r>
      <w:r w:rsidRPr="0038024A">
        <w:rPr>
          <w:lang w:val="es-ES"/>
        </w:rPr>
        <w:t>mercurio añadido y los procesos de fabricación en los que se utiliza mercurio o compuestos de mercurio. En el párrafo 3 de ese artículo se establece que la Secretaría facilitará la cooperación en el</w:t>
      </w:r>
      <w:r w:rsidR="0094327D" w:rsidRPr="0038024A">
        <w:rPr>
          <w:lang w:val="es-ES"/>
        </w:rPr>
        <w:t> </w:t>
      </w:r>
      <w:r w:rsidRPr="0038024A">
        <w:rPr>
          <w:lang w:val="es-ES"/>
        </w:rPr>
        <w:t>intercambio de información entre las Partes y con las organizaciones pertinentes, incluidas las secretarías de los acuerdos ambientales multilaterales y otras iniciativas internacionales.</w:t>
      </w:r>
    </w:p>
    <w:p w14:paraId="05C4D43E" w14:textId="31DCF2AA" w:rsidR="00224608" w:rsidRPr="0038024A" w:rsidRDefault="00224608" w:rsidP="00765562">
      <w:pPr>
        <w:pStyle w:val="Normalnumber"/>
        <w:tabs>
          <w:tab w:val="clear" w:pos="1701"/>
        </w:tabs>
        <w:ind w:left="1247"/>
        <w:rPr>
          <w:bCs/>
          <w:lang w:val="es-ES"/>
        </w:rPr>
      </w:pPr>
      <w:r w:rsidRPr="0038024A">
        <w:rPr>
          <w:lang w:val="es-ES"/>
        </w:rPr>
        <w:t>La información presentada por las Partes y otros interesados, de conformidad con las disposiciones anteriormente mencionadas, se ha publicado en el sitio web del Convenio</w:t>
      </w:r>
      <w:r w:rsidRPr="0038024A">
        <w:rPr>
          <w:rStyle w:val="FootnoteReference"/>
          <w:bCs/>
          <w:lang w:val="es-ES"/>
        </w:rPr>
        <w:footnoteReference w:id="2"/>
      </w:r>
      <w:r w:rsidRPr="0038024A">
        <w:rPr>
          <w:lang w:val="es-ES"/>
        </w:rPr>
        <w:t>.</w:t>
      </w:r>
    </w:p>
    <w:p w14:paraId="43FF7602" w14:textId="77777777" w:rsidR="000C65B1" w:rsidRPr="0038024A" w:rsidRDefault="007E65A8" w:rsidP="00A7603F">
      <w:pPr>
        <w:pStyle w:val="CH2"/>
        <w:rPr>
          <w:lang w:val="es-ES"/>
        </w:rPr>
      </w:pPr>
      <w:r w:rsidRPr="0038024A">
        <w:rPr>
          <w:lang w:val="es-ES"/>
        </w:rPr>
        <w:tab/>
      </w:r>
      <w:r w:rsidRPr="0038024A">
        <w:rPr>
          <w:lang w:val="es-ES"/>
        </w:rPr>
        <w:tab/>
      </w:r>
      <w:r w:rsidRPr="0038024A">
        <w:rPr>
          <w:bCs/>
          <w:lang w:val="es-ES"/>
        </w:rPr>
        <w:t>Medida que podría adoptar la Conferencia de las Partes</w:t>
      </w:r>
    </w:p>
    <w:p w14:paraId="35C61159" w14:textId="53D0CC22" w:rsidR="00944E96" w:rsidRPr="0038024A" w:rsidRDefault="00C54468" w:rsidP="00024D73">
      <w:pPr>
        <w:pStyle w:val="Normalnumber"/>
        <w:tabs>
          <w:tab w:val="clear" w:pos="1701"/>
        </w:tabs>
        <w:ind w:left="1247"/>
        <w:rPr>
          <w:lang w:val="es-ES"/>
        </w:rPr>
      </w:pPr>
      <w:r w:rsidRPr="0038024A">
        <w:rPr>
          <w:lang w:val="es-ES"/>
        </w:rPr>
        <w:t>En el anexo de la presente nota figura un proyecto de decisión. La Conferencia de las Partes tal vez deseará considerar el proceso para</w:t>
      </w:r>
      <w:r w:rsidR="000544DA" w:rsidRPr="0038024A">
        <w:rPr>
          <w:lang w:val="es-ES"/>
        </w:rPr>
        <w:t xml:space="preserve"> el examen de los anexos A y B del Convenio.</w:t>
      </w:r>
    </w:p>
    <w:p w14:paraId="6A44C016" w14:textId="6FC00D2B" w:rsidR="000C65B1" w:rsidRPr="0038024A" w:rsidRDefault="000C65B1" w:rsidP="00024D73">
      <w:pPr>
        <w:pStyle w:val="Normalnumber"/>
        <w:tabs>
          <w:tab w:val="clear" w:pos="1701"/>
        </w:tabs>
        <w:ind w:left="1247"/>
        <w:rPr>
          <w:lang w:val="es-ES"/>
        </w:rPr>
      </w:pPr>
      <w:r w:rsidRPr="0038024A">
        <w:rPr>
          <w:lang w:val="es-ES"/>
        </w:rPr>
        <w:br w:type="page"/>
      </w:r>
    </w:p>
    <w:p w14:paraId="7B780EE1" w14:textId="1D3750AC" w:rsidR="009E40F6" w:rsidRPr="0038024A" w:rsidRDefault="000C65B1" w:rsidP="00A7603F">
      <w:pPr>
        <w:pStyle w:val="ZZAnxheader"/>
        <w:rPr>
          <w:lang w:val="es-ES"/>
        </w:rPr>
      </w:pPr>
      <w:r w:rsidRPr="0038024A">
        <w:rPr>
          <w:lang w:val="es-ES"/>
        </w:rPr>
        <w:t>Anexo</w:t>
      </w:r>
    </w:p>
    <w:p w14:paraId="0CA9E910" w14:textId="0DBB6234" w:rsidR="009E40F6" w:rsidRPr="0038024A" w:rsidRDefault="00B933DA" w:rsidP="00A7603F">
      <w:pPr>
        <w:pStyle w:val="ZZAnxtitle"/>
        <w:rPr>
          <w:lang w:val="es-ES"/>
        </w:rPr>
      </w:pPr>
      <w:r w:rsidRPr="0038024A">
        <w:rPr>
          <w:lang w:val="es-ES"/>
        </w:rPr>
        <w:t>Proyecto de decisión MC-3</w:t>
      </w:r>
      <w:proofErr w:type="gramStart"/>
      <w:r w:rsidRPr="0038024A">
        <w:rPr>
          <w:lang w:val="es-ES"/>
        </w:rPr>
        <w:t>/[</w:t>
      </w:r>
      <w:proofErr w:type="gramEnd"/>
      <w:r w:rsidRPr="0038024A">
        <w:rPr>
          <w:lang w:val="es-ES"/>
        </w:rPr>
        <w:t>--</w:t>
      </w:r>
      <w:r w:rsidR="009E40F6" w:rsidRPr="0038024A">
        <w:rPr>
          <w:lang w:val="es-ES"/>
        </w:rPr>
        <w:t>]: examen de los anexos A y B</w:t>
      </w:r>
    </w:p>
    <w:p w14:paraId="3CAB2334" w14:textId="77777777" w:rsidR="009E40F6" w:rsidRPr="0038024A" w:rsidRDefault="009E40F6" w:rsidP="00AB4F18">
      <w:pPr>
        <w:pStyle w:val="Normal-pool"/>
        <w:tabs>
          <w:tab w:val="clear" w:pos="1247"/>
          <w:tab w:val="clear" w:pos="1814"/>
          <w:tab w:val="clear" w:pos="2381"/>
          <w:tab w:val="clear" w:pos="2948"/>
          <w:tab w:val="clear" w:pos="3515"/>
          <w:tab w:val="left" w:pos="624"/>
        </w:tabs>
        <w:spacing w:after="120"/>
        <w:ind w:left="1247" w:firstLine="624"/>
        <w:rPr>
          <w:i/>
          <w:iCs/>
          <w:lang w:val="es-ES"/>
        </w:rPr>
      </w:pPr>
      <w:r w:rsidRPr="0038024A">
        <w:rPr>
          <w:i/>
          <w:iCs/>
          <w:lang w:val="es-ES"/>
        </w:rPr>
        <w:t>La Conferencia de las Partes,</w:t>
      </w:r>
    </w:p>
    <w:p w14:paraId="0C725570" w14:textId="0456422C" w:rsidR="009E40F6" w:rsidRPr="0038024A" w:rsidRDefault="009E40F6" w:rsidP="00AB4F18">
      <w:pPr>
        <w:pStyle w:val="Normal-pool"/>
        <w:tabs>
          <w:tab w:val="clear" w:pos="1247"/>
          <w:tab w:val="clear" w:pos="1814"/>
          <w:tab w:val="clear" w:pos="2381"/>
          <w:tab w:val="clear" w:pos="2948"/>
          <w:tab w:val="clear" w:pos="3515"/>
          <w:tab w:val="left" w:pos="624"/>
        </w:tabs>
        <w:spacing w:after="120"/>
        <w:ind w:left="1247" w:firstLine="624"/>
        <w:rPr>
          <w:lang w:val="es-ES"/>
        </w:rPr>
      </w:pPr>
      <w:r w:rsidRPr="0038024A">
        <w:rPr>
          <w:i/>
          <w:iCs/>
          <w:lang w:val="es-ES"/>
        </w:rPr>
        <w:t xml:space="preserve">Recordando </w:t>
      </w:r>
      <w:r w:rsidRPr="0038024A">
        <w:rPr>
          <w:lang w:val="es-ES"/>
        </w:rPr>
        <w:t>que el párrafo 8 del artículo 4 y el párrafo 10 del artículo 5 del Convenio estipulan que, a más tardar cinco años después de la fecha de entrada en vigor del Convenio, la Conferencia de las Partes examinará los anexos A y B, respectivamente,</w:t>
      </w:r>
    </w:p>
    <w:p w14:paraId="6402F6EE" w14:textId="68B324A7" w:rsidR="0034087A" w:rsidRPr="0038024A" w:rsidRDefault="0034087A" w:rsidP="00AB4F18">
      <w:pPr>
        <w:pStyle w:val="Normal-pool"/>
        <w:tabs>
          <w:tab w:val="clear" w:pos="1247"/>
          <w:tab w:val="clear" w:pos="1814"/>
          <w:tab w:val="clear" w:pos="2381"/>
          <w:tab w:val="clear" w:pos="2948"/>
          <w:tab w:val="clear" w:pos="3515"/>
          <w:tab w:val="left" w:pos="624"/>
        </w:tabs>
        <w:spacing w:after="120"/>
        <w:ind w:left="1247" w:firstLine="624"/>
        <w:rPr>
          <w:lang w:val="es-ES"/>
        </w:rPr>
      </w:pPr>
      <w:bookmarkStart w:id="1" w:name="_Hlk15060905"/>
      <w:r w:rsidRPr="0038024A">
        <w:rPr>
          <w:i/>
          <w:iCs/>
          <w:lang w:val="es-ES"/>
        </w:rPr>
        <w:t xml:space="preserve">Recordando también </w:t>
      </w:r>
      <w:r w:rsidRPr="0038024A">
        <w:rPr>
          <w:lang w:val="es-ES"/>
        </w:rPr>
        <w:t>que en el párrafo 9 del artículo 4 y el párrafo 11 del artículo 5 se establece lo que la Conferencia de las Partes tendrá en cuenta, como mínimo, en el examen de los anexos A y B</w:t>
      </w:r>
      <w:r w:rsidR="00B933DA" w:rsidRPr="0038024A">
        <w:rPr>
          <w:lang w:val="es-ES"/>
        </w:rPr>
        <w:t xml:space="preserve"> del Convenio</w:t>
      </w:r>
      <w:r w:rsidRPr="0038024A">
        <w:rPr>
          <w:lang w:val="es-ES"/>
        </w:rPr>
        <w:t>, respectivamente,</w:t>
      </w:r>
    </w:p>
    <w:bookmarkEnd w:id="1"/>
    <w:p w14:paraId="19447179" w14:textId="164996F4" w:rsidR="009E40F6" w:rsidRPr="0038024A" w:rsidRDefault="0034087A" w:rsidP="00AB4F18">
      <w:pPr>
        <w:pStyle w:val="Normal-pool"/>
        <w:tabs>
          <w:tab w:val="clear" w:pos="1247"/>
          <w:tab w:val="clear" w:pos="1814"/>
          <w:tab w:val="clear" w:pos="2381"/>
          <w:tab w:val="clear" w:pos="2948"/>
          <w:tab w:val="clear" w:pos="3515"/>
          <w:tab w:val="left" w:pos="624"/>
        </w:tabs>
        <w:spacing w:after="120"/>
        <w:ind w:left="1247" w:firstLine="624"/>
        <w:rPr>
          <w:lang w:val="es-ES"/>
        </w:rPr>
      </w:pPr>
      <w:r w:rsidRPr="0038024A">
        <w:rPr>
          <w:i/>
          <w:iCs/>
          <w:lang w:val="es-ES"/>
        </w:rPr>
        <w:t xml:space="preserve">Tomando en consideración </w:t>
      </w:r>
      <w:r w:rsidRPr="0038024A">
        <w:rPr>
          <w:lang w:val="es-ES"/>
        </w:rPr>
        <w:t>que el párrafo 2 del artículo 4 del Convenio establece que la Conferencia de las Partes, dentro del proceso de examen establecido en el párrafo 8 del artículo 4, examinará los progresos y la eficacia de las medidas adoptadas de conformidad con el párrafo 2 del artículo 4,</w:t>
      </w:r>
    </w:p>
    <w:p w14:paraId="5222F715" w14:textId="7757E869" w:rsidR="00F61AB4"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38024A">
        <w:rPr>
          <w:lang w:val="es-ES"/>
        </w:rPr>
        <w:t>1.</w:t>
      </w:r>
      <w:r w:rsidRPr="0038024A">
        <w:rPr>
          <w:lang w:val="es-ES"/>
        </w:rPr>
        <w:tab/>
      </w:r>
      <w:r w:rsidRPr="0038024A">
        <w:rPr>
          <w:i/>
          <w:iCs/>
          <w:lang w:val="es-ES"/>
        </w:rPr>
        <w:t xml:space="preserve">Decide </w:t>
      </w:r>
      <w:r w:rsidRPr="0038024A">
        <w:rPr>
          <w:lang w:val="es-ES"/>
        </w:rPr>
        <w:t>establecer un grupo especial de expertos con el mandato que figura en el apéndice de la presente decisión;</w:t>
      </w:r>
    </w:p>
    <w:p w14:paraId="226DC329" w14:textId="3B920A9D" w:rsidR="00F61AB4"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38024A">
        <w:rPr>
          <w:lang w:val="es-ES"/>
        </w:rPr>
        <w:t>2.</w:t>
      </w:r>
      <w:r w:rsidRPr="0038024A">
        <w:rPr>
          <w:lang w:val="es-ES"/>
        </w:rPr>
        <w:tab/>
      </w:r>
      <w:r w:rsidRPr="0038024A">
        <w:rPr>
          <w:i/>
          <w:iCs/>
          <w:lang w:val="es-ES"/>
        </w:rPr>
        <w:t xml:space="preserve">Pide </w:t>
      </w:r>
      <w:r w:rsidRPr="0038024A">
        <w:rPr>
          <w:lang w:val="es-ES"/>
        </w:rPr>
        <w:t>a la Secretaría que solicite a las Partes, por conducto de los representantes de la Mesa, la presentación de candidaturas, no más tarde del 29 de febrero de 2020, para cuatro expertos de cada una de las cinco regiones de las Naciones Unidas, y que preste asistencia a la labor del grupo</w:t>
      </w:r>
      <w:r w:rsidR="00B933DA" w:rsidRPr="0038024A">
        <w:rPr>
          <w:lang w:val="es-ES"/>
        </w:rPr>
        <w:t xml:space="preserve"> especial de expertos</w:t>
      </w:r>
      <w:r w:rsidRPr="0038024A">
        <w:rPr>
          <w:lang w:val="es-ES"/>
        </w:rPr>
        <w:t>;</w:t>
      </w:r>
    </w:p>
    <w:p w14:paraId="2D14E806" w14:textId="51E41559" w:rsidR="00696087"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38024A">
        <w:rPr>
          <w:lang w:val="es-ES"/>
        </w:rPr>
        <w:t>3.</w:t>
      </w:r>
      <w:r w:rsidRPr="0038024A">
        <w:rPr>
          <w:lang w:val="es-ES"/>
        </w:rPr>
        <w:tab/>
      </w:r>
      <w:r w:rsidRPr="0038024A">
        <w:rPr>
          <w:i/>
          <w:iCs/>
          <w:lang w:val="es-ES"/>
        </w:rPr>
        <w:t xml:space="preserve">Pide </w:t>
      </w:r>
      <w:r w:rsidRPr="0038024A">
        <w:rPr>
          <w:lang w:val="es-ES"/>
        </w:rPr>
        <w:t>a las Partes que hayan notificado a la Secretaría en el momento de su ratificación del Convenio que aplicarán medidas o estrategias diferentes en relación con los productos incluidos en</w:t>
      </w:r>
      <w:r w:rsidR="002A5026" w:rsidRPr="0038024A">
        <w:rPr>
          <w:lang w:val="es-ES"/>
        </w:rPr>
        <w:t> </w:t>
      </w:r>
      <w:r w:rsidRPr="0038024A">
        <w:rPr>
          <w:lang w:val="es-ES"/>
        </w:rPr>
        <w:t>la parte I del anexo A del informe que informen, a más tardar el 30 de junio de 2020, sobre las</w:t>
      </w:r>
      <w:r w:rsidR="002A5026" w:rsidRPr="0038024A">
        <w:rPr>
          <w:lang w:val="es-ES"/>
        </w:rPr>
        <w:t> </w:t>
      </w:r>
      <w:r w:rsidRPr="0038024A">
        <w:rPr>
          <w:lang w:val="es-ES"/>
        </w:rPr>
        <w:t>medidas o estrategias que hayan aplicado, en particular la cuantificación de las reducciones alcanzadas;</w:t>
      </w:r>
    </w:p>
    <w:p w14:paraId="6C8445A5" w14:textId="6CADEABF" w:rsidR="000468F2"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r w:rsidRPr="0038024A">
        <w:rPr>
          <w:lang w:val="es-ES"/>
        </w:rPr>
        <w:t>4.</w:t>
      </w:r>
      <w:r w:rsidRPr="0038024A">
        <w:rPr>
          <w:lang w:val="es-ES"/>
        </w:rPr>
        <w:tab/>
      </w:r>
      <w:r w:rsidRPr="0038024A">
        <w:rPr>
          <w:i/>
          <w:iCs/>
          <w:lang w:val="es-ES"/>
        </w:rPr>
        <w:t xml:space="preserve">Solicita </w:t>
      </w:r>
      <w:r w:rsidRPr="0038024A">
        <w:rPr>
          <w:lang w:val="es-ES"/>
        </w:rPr>
        <w:t xml:space="preserve">a la </w:t>
      </w:r>
      <w:r w:rsidR="002A5026" w:rsidRPr="0038024A">
        <w:rPr>
          <w:lang w:val="es-ES"/>
        </w:rPr>
        <w:t>S</w:t>
      </w:r>
      <w:r w:rsidRPr="0038024A">
        <w:rPr>
          <w:lang w:val="es-ES"/>
        </w:rPr>
        <w:t>ecretaría que recopile las comunicaciones de las Partes, para su examen por el grupo</w:t>
      </w:r>
      <w:r w:rsidR="00B933DA" w:rsidRPr="0038024A">
        <w:rPr>
          <w:lang w:val="es-ES"/>
        </w:rPr>
        <w:t xml:space="preserve"> especial de expertos</w:t>
      </w:r>
      <w:r w:rsidRPr="0038024A">
        <w:rPr>
          <w:lang w:val="es-ES"/>
        </w:rPr>
        <w:t>;</w:t>
      </w:r>
    </w:p>
    <w:p w14:paraId="75CACFE1" w14:textId="671386B0" w:rsidR="00F61AB4"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es-ES"/>
        </w:rPr>
      </w:pPr>
      <w:bookmarkStart w:id="2" w:name="_Hlk15061071"/>
      <w:r w:rsidRPr="0038024A">
        <w:rPr>
          <w:lang w:val="es-ES"/>
        </w:rPr>
        <w:t>5.</w:t>
      </w:r>
      <w:r w:rsidRPr="0038024A">
        <w:rPr>
          <w:lang w:val="es-ES"/>
        </w:rPr>
        <w:tab/>
      </w:r>
      <w:r w:rsidRPr="0038024A">
        <w:rPr>
          <w:i/>
          <w:iCs/>
          <w:lang w:val="es-ES"/>
        </w:rPr>
        <w:t>Solicita también</w:t>
      </w:r>
      <w:r w:rsidRPr="0038024A">
        <w:rPr>
          <w:lang w:val="es-ES"/>
        </w:rPr>
        <w:t xml:space="preserve"> a la Secretaría que, sobre la base del informe del grupo</w:t>
      </w:r>
      <w:r w:rsidR="00B933DA" w:rsidRPr="0038024A">
        <w:rPr>
          <w:lang w:val="es-ES"/>
        </w:rPr>
        <w:t xml:space="preserve"> especial de expertos</w:t>
      </w:r>
      <w:r w:rsidRPr="0038024A">
        <w:rPr>
          <w:lang w:val="es-ES"/>
        </w:rPr>
        <w:t>, prepare un documento para su examen por la Conferencia de las Partes en su cuarta reunión, señalando que, en caso de que en el documento se incluyan propuestas de enmiendas a los anexos A o B, la Secretaría deberá comunicar el texto de toda propuesta de enmienda a las Partes al menos seis meses antes de la reunión de la Conferencia de las Partes en que se proponga su aprobación, de conformidad con las disposiciones del párrafo 2 del artículo 26;</w:t>
      </w:r>
    </w:p>
    <w:p w14:paraId="0095DC55" w14:textId="7322FDF4" w:rsidR="00F61AB4" w:rsidRPr="0038024A"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b/>
          <w:lang w:val="es-ES"/>
        </w:rPr>
      </w:pPr>
      <w:r w:rsidRPr="0038024A">
        <w:rPr>
          <w:lang w:val="es-ES"/>
        </w:rPr>
        <w:t>6.</w:t>
      </w:r>
      <w:r w:rsidRPr="0038024A">
        <w:rPr>
          <w:lang w:val="es-ES"/>
        </w:rPr>
        <w:tab/>
      </w:r>
      <w:r w:rsidRPr="0038024A">
        <w:rPr>
          <w:i/>
          <w:iCs/>
          <w:lang w:val="es-ES"/>
        </w:rPr>
        <w:t>Decide</w:t>
      </w:r>
      <w:r w:rsidRPr="0038024A">
        <w:rPr>
          <w:lang w:val="es-ES"/>
        </w:rPr>
        <w:t xml:space="preserve"> examinar en su cuarta reunión el progreso alcanzado por el grupo</w:t>
      </w:r>
      <w:r w:rsidR="00B933DA" w:rsidRPr="0038024A">
        <w:rPr>
          <w:lang w:val="es-ES"/>
        </w:rPr>
        <w:t xml:space="preserve"> especial de expertos</w:t>
      </w:r>
      <w:r w:rsidRPr="0038024A">
        <w:rPr>
          <w:lang w:val="es-ES"/>
        </w:rPr>
        <w:t>, y considerar la adopción de nuevas medidas.</w:t>
      </w:r>
    </w:p>
    <w:bookmarkEnd w:id="2"/>
    <w:p w14:paraId="10326A72" w14:textId="533DE2E8" w:rsidR="00F61AB4" w:rsidRPr="0038024A" w:rsidRDefault="00F61AB4" w:rsidP="00F61AB4">
      <w:pPr>
        <w:pStyle w:val="CH2"/>
        <w:rPr>
          <w:lang w:val="es-ES"/>
        </w:rPr>
      </w:pPr>
      <w:r w:rsidRPr="0038024A">
        <w:rPr>
          <w:lang w:val="es-ES"/>
        </w:rPr>
        <w:tab/>
      </w:r>
      <w:r w:rsidRPr="0038024A">
        <w:rPr>
          <w:lang w:val="es-ES"/>
        </w:rPr>
        <w:tab/>
      </w:r>
      <w:r w:rsidR="00B933DA" w:rsidRPr="0038024A">
        <w:rPr>
          <w:bCs/>
          <w:lang w:val="es-ES"/>
        </w:rPr>
        <w:t>Apéndice a la decisión MC-3</w:t>
      </w:r>
      <w:proofErr w:type="gramStart"/>
      <w:r w:rsidR="00B933DA" w:rsidRPr="0038024A">
        <w:rPr>
          <w:bCs/>
          <w:lang w:val="es-ES"/>
        </w:rPr>
        <w:t>/[</w:t>
      </w:r>
      <w:proofErr w:type="gramEnd"/>
      <w:r w:rsidR="00B933DA" w:rsidRPr="0038024A">
        <w:rPr>
          <w:bCs/>
          <w:lang w:val="es-ES"/>
        </w:rPr>
        <w:t>--</w:t>
      </w:r>
      <w:r w:rsidRPr="0038024A">
        <w:rPr>
          <w:bCs/>
          <w:lang w:val="es-ES"/>
        </w:rPr>
        <w:t>]</w:t>
      </w:r>
    </w:p>
    <w:p w14:paraId="792A486A" w14:textId="08223F73" w:rsidR="00F61AB4" w:rsidRPr="0038024A" w:rsidRDefault="00F61AB4" w:rsidP="00AB4F18">
      <w:pPr>
        <w:pStyle w:val="CH2"/>
        <w:rPr>
          <w:lang w:val="es-ES"/>
        </w:rPr>
      </w:pPr>
      <w:r w:rsidRPr="0038024A">
        <w:rPr>
          <w:lang w:val="es-ES"/>
        </w:rPr>
        <w:tab/>
      </w:r>
      <w:r w:rsidRPr="0038024A">
        <w:rPr>
          <w:lang w:val="es-ES"/>
        </w:rPr>
        <w:tab/>
      </w:r>
      <w:r w:rsidRPr="0038024A">
        <w:rPr>
          <w:bCs/>
          <w:lang w:val="es-ES"/>
        </w:rPr>
        <w:t>Proyecto de mandato de un grupo especial de expertos sobre productos con mercurio añadido y procesos de fabricación en los que se utiliza mercurio o compuestos de mercurio</w:t>
      </w:r>
    </w:p>
    <w:p w14:paraId="66290E44" w14:textId="6BAF6623" w:rsidR="00F61AB4" w:rsidRPr="0038024A" w:rsidRDefault="00F73A80" w:rsidP="00765562">
      <w:pPr>
        <w:pStyle w:val="CH1"/>
        <w:rPr>
          <w:lang w:val="es-ES"/>
        </w:rPr>
      </w:pPr>
      <w:r w:rsidRPr="0038024A">
        <w:rPr>
          <w:lang w:val="es-ES"/>
        </w:rPr>
        <w:tab/>
      </w:r>
      <w:r w:rsidR="00F61AB4" w:rsidRPr="0038024A">
        <w:rPr>
          <w:lang w:val="es-ES"/>
        </w:rPr>
        <w:t>I.</w:t>
      </w:r>
      <w:r w:rsidR="00F61AB4" w:rsidRPr="0038024A">
        <w:rPr>
          <w:lang w:val="es-ES"/>
        </w:rPr>
        <w:tab/>
      </w:r>
      <w:r w:rsidR="00F61AB4" w:rsidRPr="0038024A">
        <w:rPr>
          <w:bCs/>
          <w:lang w:val="es-ES"/>
        </w:rPr>
        <w:t>Mandato</w:t>
      </w:r>
      <w:bookmarkStart w:id="3" w:name="_Toc7079414"/>
      <w:bookmarkEnd w:id="3"/>
    </w:p>
    <w:p w14:paraId="5AD54962" w14:textId="35FA722B" w:rsidR="00F61AB4" w:rsidRPr="0038024A" w:rsidRDefault="00F61AB4" w:rsidP="00765562">
      <w:pPr>
        <w:pStyle w:val="Normal-pool"/>
        <w:numPr>
          <w:ilvl w:val="0"/>
          <w:numId w:val="5"/>
        </w:numPr>
        <w:tabs>
          <w:tab w:val="left" w:pos="624"/>
        </w:tabs>
        <w:spacing w:after="120"/>
        <w:ind w:left="1247" w:firstLine="0"/>
        <w:rPr>
          <w:lang w:val="es-ES"/>
        </w:rPr>
      </w:pPr>
      <w:r w:rsidRPr="0038024A">
        <w:rPr>
          <w:lang w:val="es-ES"/>
        </w:rPr>
        <w:t xml:space="preserve">La Conferencia de las Partes en el Convenio de </w:t>
      </w:r>
      <w:proofErr w:type="spellStart"/>
      <w:r w:rsidRPr="0038024A">
        <w:rPr>
          <w:lang w:val="es-ES"/>
        </w:rPr>
        <w:t>Minamata</w:t>
      </w:r>
      <w:proofErr w:type="spellEnd"/>
      <w:r w:rsidRPr="0038024A">
        <w:rPr>
          <w:lang w:val="es-ES"/>
        </w:rPr>
        <w:t xml:space="preserve"> sobre el Mercuri</w:t>
      </w:r>
      <w:r w:rsidR="00B933DA" w:rsidRPr="0038024A">
        <w:rPr>
          <w:lang w:val="es-ES"/>
        </w:rPr>
        <w:t>o, mediante la decisión MC-3</w:t>
      </w:r>
      <w:proofErr w:type="gramStart"/>
      <w:r w:rsidR="00B933DA" w:rsidRPr="0038024A">
        <w:rPr>
          <w:lang w:val="es-ES"/>
        </w:rPr>
        <w:t>/[</w:t>
      </w:r>
      <w:proofErr w:type="gramEnd"/>
      <w:r w:rsidR="00B933DA" w:rsidRPr="0038024A">
        <w:rPr>
          <w:lang w:val="es-ES"/>
        </w:rPr>
        <w:t>--</w:t>
      </w:r>
      <w:r w:rsidRPr="0038024A">
        <w:rPr>
          <w:lang w:val="es-ES"/>
        </w:rPr>
        <w:t>], estableció en su tercera reunión un grupo especial de expertos para emprender las siguientes tareas:</w:t>
      </w:r>
    </w:p>
    <w:p w14:paraId="4CAFB59D" w14:textId="22C59D64" w:rsidR="00F61AB4" w:rsidRPr="0038024A" w:rsidRDefault="00536462" w:rsidP="002A5026">
      <w:pPr>
        <w:pStyle w:val="Normal-pool"/>
        <w:numPr>
          <w:ilvl w:val="1"/>
          <w:numId w:val="5"/>
        </w:numPr>
        <w:tabs>
          <w:tab w:val="clear" w:pos="1247"/>
          <w:tab w:val="clear" w:pos="1814"/>
          <w:tab w:val="clear" w:pos="2381"/>
          <w:tab w:val="clear" w:pos="2948"/>
          <w:tab w:val="clear" w:pos="3515"/>
          <w:tab w:val="clear" w:pos="4082"/>
        </w:tabs>
        <w:spacing w:after="120"/>
        <w:ind w:left="1247" w:firstLine="624"/>
        <w:rPr>
          <w:lang w:val="es-ES"/>
        </w:rPr>
      </w:pPr>
      <w:r w:rsidRPr="0038024A">
        <w:rPr>
          <w:lang w:val="es-ES"/>
        </w:rPr>
        <w:t>Examinar las disposiciones de los anexos A y B del Convenio, teniendo en cuenta la información presentada por las Partes con arreglo al párrafo 4 del artículo 4 y del párrafo 4 del artículo</w:t>
      </w:r>
      <w:r w:rsidR="002A5026" w:rsidRPr="0038024A">
        <w:rPr>
          <w:lang w:val="es-ES"/>
        </w:rPr>
        <w:t> </w:t>
      </w:r>
      <w:r w:rsidRPr="0038024A">
        <w:rPr>
          <w:lang w:val="es-ES"/>
        </w:rPr>
        <w:t>5, todo informe presentado de conformidad con lo dispuesto en el párrafo 2 del artículo 4 y otras informaciones sobre productos con mercurio añadido y procesos de fabricación en los que se utiliza mercurio o compuestos de mercurio y sus alternativas;</w:t>
      </w:r>
    </w:p>
    <w:p w14:paraId="08DE5AFA" w14:textId="59CC4011" w:rsidR="00FE20B2" w:rsidRPr="0038024A" w:rsidRDefault="001D47B1"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lang w:val="es-ES"/>
        </w:rPr>
      </w:pPr>
      <w:r w:rsidRPr="0038024A">
        <w:rPr>
          <w:lang w:val="es-ES"/>
        </w:rPr>
        <w:t>Presentar un informe sobre el examen de los anexos A y B, incluidos los avances y la eficacia de las medidas adoptadas de conformidad con el párrafo 2 del artículo 4, para su examen por la Conferencia de las Partes en su cuarta reunión;</w:t>
      </w:r>
    </w:p>
    <w:p w14:paraId="52416748" w14:textId="2122CBC2" w:rsidR="00551915" w:rsidRPr="0038024A" w:rsidRDefault="00551915"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i/>
          <w:iCs/>
          <w:lang w:val="es-ES"/>
        </w:rPr>
      </w:pPr>
      <w:r w:rsidRPr="0038024A">
        <w:rPr>
          <w:lang w:val="es-ES"/>
        </w:rPr>
        <w:t>[</w:t>
      </w:r>
      <w:r w:rsidRPr="0038024A">
        <w:rPr>
          <w:i/>
          <w:iCs/>
          <w:lang w:val="es-ES"/>
        </w:rPr>
        <w:t>Puede añadirse otro mandato sobre el uso y la armonización de los códigos aduaneros para identificar y distinguir entre los productos con y sin mercurio añadido enumerados en el anexo A</w:t>
      </w:r>
      <w:r w:rsidRPr="0038024A">
        <w:rPr>
          <w:lang w:val="es-ES"/>
        </w:rPr>
        <w:t>].</w:t>
      </w:r>
    </w:p>
    <w:p w14:paraId="4CA3EE6A" w14:textId="7B20BC2A" w:rsidR="00F61AB4" w:rsidRPr="0038024A" w:rsidRDefault="00F73A80" w:rsidP="00765562">
      <w:pPr>
        <w:pStyle w:val="CH1"/>
        <w:rPr>
          <w:lang w:val="es-ES"/>
        </w:rPr>
      </w:pPr>
      <w:r w:rsidRPr="0038024A">
        <w:rPr>
          <w:lang w:val="es-ES"/>
        </w:rPr>
        <w:tab/>
      </w:r>
      <w:r w:rsidR="00F61AB4" w:rsidRPr="0038024A">
        <w:rPr>
          <w:lang w:val="es-ES"/>
        </w:rPr>
        <w:t>II.</w:t>
      </w:r>
      <w:r w:rsidR="00F61AB4" w:rsidRPr="0038024A">
        <w:rPr>
          <w:lang w:val="es-ES"/>
        </w:rPr>
        <w:tab/>
      </w:r>
      <w:r w:rsidR="00F61AB4" w:rsidRPr="0038024A">
        <w:rPr>
          <w:bCs/>
          <w:lang w:val="es-ES"/>
        </w:rPr>
        <w:t>Miembros</w:t>
      </w:r>
      <w:bookmarkStart w:id="4" w:name="_Toc7079415"/>
      <w:bookmarkEnd w:id="4"/>
    </w:p>
    <w:p w14:paraId="47FE37AB" w14:textId="63FAA8F2"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El grupo</w:t>
      </w:r>
      <w:r w:rsidR="00B933DA" w:rsidRPr="0038024A">
        <w:rPr>
          <w:lang w:val="es-ES"/>
        </w:rPr>
        <w:t xml:space="preserve"> especial de expertos</w:t>
      </w:r>
      <w:r w:rsidRPr="0038024A">
        <w:rPr>
          <w:lang w:val="es-ES"/>
        </w:rPr>
        <w:t xml:space="preserve">, que en su primera reunión elegirá a dos copresidentes, estará integrado por expertos [técnicos] designados por Partes de las cinco regiones de las Naciones Unidas de la siguiente forma: [cuatro] de los Estados de África, </w:t>
      </w:r>
      <w:r w:rsidR="002A5026" w:rsidRPr="0038024A">
        <w:rPr>
          <w:lang w:val="es-ES"/>
        </w:rPr>
        <w:t xml:space="preserve">[cuatro] de los Estados de América Latina y el Caribe, </w:t>
      </w:r>
      <w:r w:rsidRPr="0038024A">
        <w:rPr>
          <w:lang w:val="es-ES"/>
        </w:rPr>
        <w:t>[cuatro] de los Estados de Asia y el Pacífico</w:t>
      </w:r>
      <w:r w:rsidR="002A5026" w:rsidRPr="0038024A">
        <w:rPr>
          <w:lang w:val="es-ES"/>
        </w:rPr>
        <w:t xml:space="preserve"> y [cuatro] de los Estados de Europa Occidental y otros Estados</w:t>
      </w:r>
      <w:r w:rsidRPr="0038024A">
        <w:rPr>
          <w:lang w:val="es-ES"/>
        </w:rPr>
        <w:t xml:space="preserve"> [cuatro] de los Estados de Europa </w:t>
      </w:r>
      <w:r w:rsidR="002A5026" w:rsidRPr="0038024A">
        <w:rPr>
          <w:lang w:val="es-ES"/>
        </w:rPr>
        <w:t>O</w:t>
      </w:r>
      <w:r w:rsidRPr="0038024A">
        <w:rPr>
          <w:lang w:val="es-ES"/>
        </w:rPr>
        <w:t>riental. Antes de la primera reunión del grupo, este y la Secretaría del Convenio invitarán a [diez] expertos de organizaciones intergubernamentales, la industria, la sociedad civil y la comunidad científica a participar en calidad de observadores. El grupo podrá también invitar a gobiernos, organizaciones intergubernamentales, la industria y organizaciones de la</w:t>
      </w:r>
      <w:r w:rsidR="002A5026" w:rsidRPr="0038024A">
        <w:rPr>
          <w:lang w:val="es-ES"/>
        </w:rPr>
        <w:t> </w:t>
      </w:r>
      <w:r w:rsidRPr="0038024A">
        <w:rPr>
          <w:lang w:val="es-ES"/>
        </w:rPr>
        <w:t>sociedad civil a que hagan sus aportaciones para ayudarlo en su labor, cuando proceda.</w:t>
      </w:r>
    </w:p>
    <w:p w14:paraId="7EAA68D1" w14:textId="31DF84BB" w:rsidR="00F61AB4" w:rsidRPr="0038024A" w:rsidRDefault="00F73A80" w:rsidP="00765562">
      <w:pPr>
        <w:pStyle w:val="CH1"/>
        <w:rPr>
          <w:lang w:val="es-ES"/>
        </w:rPr>
      </w:pPr>
      <w:r w:rsidRPr="0038024A">
        <w:rPr>
          <w:lang w:val="es-ES"/>
        </w:rPr>
        <w:tab/>
      </w:r>
      <w:r w:rsidR="00F61AB4" w:rsidRPr="0038024A">
        <w:rPr>
          <w:lang w:val="es-ES"/>
        </w:rPr>
        <w:t>III.</w:t>
      </w:r>
      <w:r w:rsidR="00F61AB4" w:rsidRPr="0038024A">
        <w:rPr>
          <w:lang w:val="es-ES"/>
        </w:rPr>
        <w:tab/>
      </w:r>
      <w:r w:rsidR="00F61AB4" w:rsidRPr="0038024A">
        <w:rPr>
          <w:bCs/>
          <w:lang w:val="es-ES"/>
        </w:rPr>
        <w:t>Cualificaciones que deben reunir los miembros y observadores</w:t>
      </w:r>
      <w:bookmarkStart w:id="5" w:name="_Toc7079416"/>
      <w:bookmarkEnd w:id="5"/>
    </w:p>
    <w:p w14:paraId="6A8427FD" w14:textId="22303723"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 xml:space="preserve">Los miembros y observadores del grupo </w:t>
      </w:r>
      <w:r w:rsidR="00B933DA" w:rsidRPr="0038024A">
        <w:rPr>
          <w:lang w:val="es-ES"/>
        </w:rPr>
        <w:t xml:space="preserve">especial de expertos </w:t>
      </w:r>
      <w:r w:rsidRPr="0038024A">
        <w:rPr>
          <w:lang w:val="es-ES"/>
        </w:rPr>
        <w:t>deberán contar con conocimientos especializados en al menos uno de los siguientes ámbitos:</w:t>
      </w:r>
    </w:p>
    <w:p w14:paraId="6AFEFDBC" w14:textId="1FA8D90D" w:rsidR="00F61AB4" w:rsidRPr="0038024A" w:rsidRDefault="00A856ED" w:rsidP="000B650A">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
        </w:rPr>
      </w:pPr>
      <w:r w:rsidRPr="0038024A">
        <w:rPr>
          <w:lang w:val="es-ES"/>
        </w:rPr>
        <w:t>El uso de mercurio y compuestos de mercurio en productos o procesos de fabricación;</w:t>
      </w:r>
    </w:p>
    <w:p w14:paraId="16847BE9" w14:textId="7BB959EC" w:rsidR="00F61AB4" w:rsidRPr="0038024A" w:rsidRDefault="00A856ED" w:rsidP="000B650A">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
        </w:rPr>
      </w:pPr>
      <w:r w:rsidRPr="0038024A">
        <w:rPr>
          <w:lang w:val="es-ES"/>
        </w:rPr>
        <w:t>Repercusiones ambientales y sanitarias de la exposición al mercurio;</w:t>
      </w:r>
    </w:p>
    <w:p w14:paraId="26A47885" w14:textId="0956EF2F" w:rsidR="006C7106" w:rsidRPr="0038024A" w:rsidRDefault="00A856ED" w:rsidP="000B650A">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
        </w:rPr>
      </w:pPr>
      <w:r w:rsidRPr="0038024A">
        <w:rPr>
          <w:lang w:val="es-ES"/>
        </w:rPr>
        <w:t>Política normativa, a fin de abordar los riesgos ambientales del mercurio para el medio ambiente y la salud humana;</w:t>
      </w:r>
    </w:p>
    <w:p w14:paraId="73924DA4" w14:textId="3302CADF" w:rsidR="00F61AB4" w:rsidRPr="0038024A" w:rsidRDefault="006C7106" w:rsidP="004A3F05">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
        </w:rPr>
      </w:pPr>
      <w:r w:rsidRPr="0038024A">
        <w:rPr>
          <w:lang w:val="es-ES"/>
        </w:rPr>
        <w:t>[</w:t>
      </w:r>
      <w:r w:rsidRPr="0038024A">
        <w:rPr>
          <w:i/>
          <w:iCs/>
          <w:lang w:val="es-ES"/>
        </w:rPr>
        <w:t>Conocimientos especializados en códigos aduaneros o el comercio de productos con mercurio añadido</w:t>
      </w:r>
      <w:r w:rsidRPr="0038024A">
        <w:rPr>
          <w:lang w:val="es-ES"/>
        </w:rPr>
        <w:t>].</w:t>
      </w:r>
    </w:p>
    <w:p w14:paraId="4EB98F07" w14:textId="66F3BBF2" w:rsidR="00F61AB4" w:rsidRPr="0038024A" w:rsidRDefault="00F73A80" w:rsidP="00F61AB4">
      <w:pPr>
        <w:pStyle w:val="CH1"/>
        <w:rPr>
          <w:lang w:val="es-ES"/>
        </w:rPr>
      </w:pPr>
      <w:r w:rsidRPr="0038024A">
        <w:rPr>
          <w:lang w:val="es-ES"/>
        </w:rPr>
        <w:tab/>
      </w:r>
      <w:r w:rsidR="00F61AB4" w:rsidRPr="0038024A">
        <w:rPr>
          <w:lang w:val="es-ES"/>
        </w:rPr>
        <w:t>IV.</w:t>
      </w:r>
      <w:r w:rsidR="00F61AB4" w:rsidRPr="0038024A">
        <w:rPr>
          <w:lang w:val="es-ES"/>
        </w:rPr>
        <w:tab/>
      </w:r>
      <w:r w:rsidR="00F61AB4" w:rsidRPr="0038024A">
        <w:rPr>
          <w:bCs/>
          <w:lang w:val="es-ES"/>
        </w:rPr>
        <w:t>Oficiales</w:t>
      </w:r>
      <w:bookmarkStart w:id="6" w:name="_Toc7079417"/>
      <w:bookmarkEnd w:id="6"/>
    </w:p>
    <w:p w14:paraId="3FB0E286" w14:textId="2EC010C8" w:rsidR="00F61AB4" w:rsidRPr="0038024A" w:rsidRDefault="00F61AB4" w:rsidP="004A3F05">
      <w:pPr>
        <w:pStyle w:val="Normal-pool"/>
        <w:numPr>
          <w:ilvl w:val="0"/>
          <w:numId w:val="5"/>
        </w:numPr>
        <w:tabs>
          <w:tab w:val="clear" w:pos="1247"/>
          <w:tab w:val="clear" w:pos="1814"/>
          <w:tab w:val="clear" w:pos="2381"/>
          <w:tab w:val="clear" w:pos="2948"/>
          <w:tab w:val="clear" w:pos="3515"/>
          <w:tab w:val="clear" w:pos="4082"/>
        </w:tabs>
        <w:spacing w:after="120"/>
        <w:ind w:left="1247" w:firstLine="0"/>
        <w:rPr>
          <w:lang w:val="es-ES"/>
        </w:rPr>
      </w:pPr>
      <w:r w:rsidRPr="0038024A">
        <w:rPr>
          <w:lang w:val="es-ES"/>
        </w:rPr>
        <w:t xml:space="preserve">El grupo </w:t>
      </w:r>
      <w:r w:rsidR="00B933DA" w:rsidRPr="0038024A">
        <w:rPr>
          <w:lang w:val="es-ES"/>
        </w:rPr>
        <w:t xml:space="preserve">especial de expertos </w:t>
      </w:r>
      <w:r w:rsidRPr="0038024A">
        <w:rPr>
          <w:lang w:val="es-ES"/>
        </w:rPr>
        <w:t xml:space="preserve">elegirá dos copresidentes para facilitar las reuniones. </w:t>
      </w:r>
    </w:p>
    <w:p w14:paraId="7FEF067E" w14:textId="2F7E0DBA" w:rsidR="00F61AB4" w:rsidRPr="0038024A" w:rsidRDefault="00F73A80" w:rsidP="00F61AB4">
      <w:pPr>
        <w:pStyle w:val="CH1"/>
        <w:rPr>
          <w:lang w:val="es-ES"/>
        </w:rPr>
      </w:pPr>
      <w:r w:rsidRPr="0038024A">
        <w:rPr>
          <w:lang w:val="es-ES"/>
        </w:rPr>
        <w:tab/>
      </w:r>
      <w:r w:rsidR="00F61AB4" w:rsidRPr="0038024A">
        <w:rPr>
          <w:lang w:val="es-ES"/>
        </w:rPr>
        <w:t>V.</w:t>
      </w:r>
      <w:r w:rsidR="00F61AB4" w:rsidRPr="0038024A">
        <w:rPr>
          <w:lang w:val="es-ES"/>
        </w:rPr>
        <w:tab/>
      </w:r>
      <w:r w:rsidR="00F61AB4" w:rsidRPr="0038024A">
        <w:rPr>
          <w:bCs/>
          <w:lang w:val="es-ES"/>
        </w:rPr>
        <w:t>Secretaría</w:t>
      </w:r>
      <w:bookmarkStart w:id="7" w:name="_Toc7079418"/>
      <w:bookmarkEnd w:id="7"/>
    </w:p>
    <w:p w14:paraId="0FD90B7C" w14:textId="36C67186"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La Secretaría del Convenio proporcionará apoyo al grupo.</w:t>
      </w:r>
    </w:p>
    <w:p w14:paraId="149A4354" w14:textId="11E1781B" w:rsidR="00F61AB4" w:rsidRPr="0038024A" w:rsidRDefault="00F73A80" w:rsidP="00F61AB4">
      <w:pPr>
        <w:pStyle w:val="CH1"/>
        <w:rPr>
          <w:lang w:val="es-ES"/>
        </w:rPr>
      </w:pPr>
      <w:r w:rsidRPr="0038024A">
        <w:rPr>
          <w:lang w:val="es-ES"/>
        </w:rPr>
        <w:tab/>
      </w:r>
      <w:r w:rsidR="00F61AB4" w:rsidRPr="0038024A">
        <w:rPr>
          <w:lang w:val="es-ES"/>
        </w:rPr>
        <w:t>VI.</w:t>
      </w:r>
      <w:r w:rsidR="00F61AB4" w:rsidRPr="0038024A">
        <w:rPr>
          <w:lang w:val="es-ES"/>
        </w:rPr>
        <w:tab/>
      </w:r>
      <w:r w:rsidR="00F61AB4" w:rsidRPr="0038024A">
        <w:rPr>
          <w:bCs/>
          <w:lang w:val="es-ES"/>
        </w:rPr>
        <w:t>Cuestiones administrativas y de procedimiento</w:t>
      </w:r>
      <w:bookmarkStart w:id="8" w:name="_Toc7079419"/>
      <w:bookmarkEnd w:id="8"/>
    </w:p>
    <w:p w14:paraId="7D15B897" w14:textId="75FDE6E9"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 xml:space="preserve">El reglamento de la Conferencia de las Partes se aplicará </w:t>
      </w:r>
      <w:r w:rsidRPr="0038024A">
        <w:rPr>
          <w:i/>
          <w:iCs/>
          <w:lang w:val="es-ES"/>
        </w:rPr>
        <w:t>mutatis mutandis</w:t>
      </w:r>
      <w:r w:rsidRPr="0038024A">
        <w:rPr>
          <w:lang w:val="es-ES"/>
        </w:rPr>
        <w:t xml:space="preserve"> al grupo.</w:t>
      </w:r>
    </w:p>
    <w:p w14:paraId="45577935" w14:textId="11C96DFE" w:rsidR="00F61AB4" w:rsidRPr="0038024A" w:rsidRDefault="00F73A80" w:rsidP="00F61AB4">
      <w:pPr>
        <w:pStyle w:val="CH1"/>
        <w:rPr>
          <w:lang w:val="es-ES"/>
        </w:rPr>
      </w:pPr>
      <w:r w:rsidRPr="0038024A">
        <w:rPr>
          <w:lang w:val="es-ES"/>
        </w:rPr>
        <w:tab/>
      </w:r>
      <w:r w:rsidR="00F61AB4" w:rsidRPr="0038024A">
        <w:rPr>
          <w:lang w:val="es-ES"/>
        </w:rPr>
        <w:t>VII.</w:t>
      </w:r>
      <w:r w:rsidR="00F61AB4" w:rsidRPr="0038024A">
        <w:rPr>
          <w:lang w:val="es-ES"/>
        </w:rPr>
        <w:tab/>
      </w:r>
      <w:r w:rsidR="00F61AB4" w:rsidRPr="0038024A">
        <w:rPr>
          <w:bCs/>
          <w:lang w:val="es-ES"/>
        </w:rPr>
        <w:t>Reuniones</w:t>
      </w:r>
      <w:bookmarkStart w:id="9" w:name="_Toc7079420"/>
      <w:bookmarkEnd w:id="9"/>
    </w:p>
    <w:p w14:paraId="47D1C5F0" w14:textId="1546ABEE"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El grupo</w:t>
      </w:r>
      <w:r w:rsidR="00B933DA" w:rsidRPr="0038024A">
        <w:rPr>
          <w:lang w:val="es-ES"/>
        </w:rPr>
        <w:t xml:space="preserve"> especial de expertos</w:t>
      </w:r>
      <w:r w:rsidRPr="0038024A">
        <w:rPr>
          <w:lang w:val="es-ES"/>
        </w:rPr>
        <w:t xml:space="preserve"> trabajará por medios electrónicos y celebrará reuniones presenciales por lo menos [dos veces] en el </w:t>
      </w:r>
      <w:r w:rsidR="00B933DA" w:rsidRPr="0038024A">
        <w:rPr>
          <w:lang w:val="es-ES"/>
        </w:rPr>
        <w:t>período entre reuniones</w:t>
      </w:r>
      <w:r w:rsidRPr="0038024A">
        <w:rPr>
          <w:lang w:val="es-ES"/>
        </w:rPr>
        <w:t xml:space="preserve"> anterior a la cuarta reunión de la Conferencia de</w:t>
      </w:r>
      <w:r w:rsidR="004A3F05" w:rsidRPr="0038024A">
        <w:rPr>
          <w:lang w:val="es-ES"/>
        </w:rPr>
        <w:t> </w:t>
      </w:r>
      <w:r w:rsidRPr="0038024A">
        <w:rPr>
          <w:lang w:val="es-ES"/>
        </w:rPr>
        <w:t>las Partes.</w:t>
      </w:r>
    </w:p>
    <w:p w14:paraId="55A3604D" w14:textId="778D5601" w:rsidR="00F61AB4" w:rsidRPr="0038024A" w:rsidRDefault="00F73A80" w:rsidP="00F61AB4">
      <w:pPr>
        <w:pStyle w:val="CH1"/>
        <w:rPr>
          <w:lang w:val="es-ES"/>
        </w:rPr>
      </w:pPr>
      <w:r w:rsidRPr="0038024A">
        <w:rPr>
          <w:lang w:val="es-ES"/>
        </w:rPr>
        <w:tab/>
      </w:r>
      <w:r w:rsidR="00F61AB4" w:rsidRPr="0038024A">
        <w:rPr>
          <w:lang w:val="es-ES"/>
        </w:rPr>
        <w:t>VIII.</w:t>
      </w:r>
      <w:r w:rsidR="00F61AB4" w:rsidRPr="0038024A">
        <w:rPr>
          <w:lang w:val="es-ES"/>
        </w:rPr>
        <w:tab/>
      </w:r>
      <w:r w:rsidR="00F61AB4" w:rsidRPr="0038024A">
        <w:rPr>
          <w:bCs/>
          <w:lang w:val="es-ES"/>
        </w:rPr>
        <w:t>Idioma</w:t>
      </w:r>
      <w:bookmarkStart w:id="10" w:name="_Toc7079421"/>
      <w:bookmarkEnd w:id="10"/>
    </w:p>
    <w:p w14:paraId="77B25B30" w14:textId="785D2EB5" w:rsidR="00F61AB4" w:rsidRPr="0038024A"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es-ES"/>
        </w:rPr>
      </w:pPr>
      <w:r w:rsidRPr="0038024A">
        <w:rPr>
          <w:lang w:val="es-ES"/>
        </w:rPr>
        <w:t>El idioma de trabajo de las reuniones será el inglés.</w:t>
      </w:r>
    </w:p>
    <w:p w14:paraId="04C34461" w14:textId="484934BE" w:rsidR="00F61AB4" w:rsidRPr="0038024A" w:rsidRDefault="00F61AB4" w:rsidP="00A7603F">
      <w:pPr>
        <w:pStyle w:val="Normal-pool"/>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A7603F" w:rsidRPr="0038024A" w14:paraId="57589BA2" w14:textId="77777777" w:rsidTr="00A7603F">
        <w:tc>
          <w:tcPr>
            <w:tcW w:w="1897" w:type="dxa"/>
          </w:tcPr>
          <w:p w14:paraId="519C65F1" w14:textId="77777777" w:rsidR="00A7603F" w:rsidRPr="0038024A" w:rsidRDefault="00A7603F" w:rsidP="00A7603F">
            <w:pPr>
              <w:pStyle w:val="Normal-pool"/>
              <w:spacing w:before="520"/>
              <w:rPr>
                <w:lang w:val="es-ES"/>
              </w:rPr>
            </w:pPr>
          </w:p>
        </w:tc>
        <w:tc>
          <w:tcPr>
            <w:tcW w:w="1897" w:type="dxa"/>
          </w:tcPr>
          <w:p w14:paraId="77FFBA85" w14:textId="77777777" w:rsidR="00A7603F" w:rsidRPr="0038024A" w:rsidRDefault="00A7603F" w:rsidP="00A7603F">
            <w:pPr>
              <w:pStyle w:val="Normal-pool"/>
              <w:spacing w:before="520"/>
              <w:rPr>
                <w:lang w:val="es-ES"/>
              </w:rPr>
            </w:pPr>
          </w:p>
        </w:tc>
        <w:tc>
          <w:tcPr>
            <w:tcW w:w="1897" w:type="dxa"/>
            <w:tcBorders>
              <w:bottom w:val="single" w:sz="4" w:space="0" w:color="auto"/>
            </w:tcBorders>
          </w:tcPr>
          <w:p w14:paraId="28A376B4" w14:textId="77777777" w:rsidR="00A7603F" w:rsidRPr="0038024A" w:rsidRDefault="00A7603F" w:rsidP="00A7603F">
            <w:pPr>
              <w:pStyle w:val="Normal-pool"/>
              <w:spacing w:before="520"/>
              <w:rPr>
                <w:lang w:val="es-ES"/>
              </w:rPr>
            </w:pPr>
          </w:p>
        </w:tc>
        <w:tc>
          <w:tcPr>
            <w:tcW w:w="1897" w:type="dxa"/>
          </w:tcPr>
          <w:p w14:paraId="220DB0EF" w14:textId="77777777" w:rsidR="00A7603F" w:rsidRPr="0038024A" w:rsidRDefault="00A7603F" w:rsidP="00A7603F">
            <w:pPr>
              <w:pStyle w:val="Normal-pool"/>
              <w:spacing w:before="520"/>
              <w:rPr>
                <w:lang w:val="es-ES"/>
              </w:rPr>
            </w:pPr>
          </w:p>
        </w:tc>
        <w:tc>
          <w:tcPr>
            <w:tcW w:w="1898" w:type="dxa"/>
          </w:tcPr>
          <w:p w14:paraId="024976A0" w14:textId="77777777" w:rsidR="00A7603F" w:rsidRPr="0038024A" w:rsidRDefault="00A7603F" w:rsidP="00A7603F">
            <w:pPr>
              <w:pStyle w:val="Normal-pool"/>
              <w:spacing w:before="520"/>
              <w:rPr>
                <w:lang w:val="es-ES"/>
              </w:rPr>
            </w:pPr>
          </w:p>
        </w:tc>
      </w:tr>
    </w:tbl>
    <w:p w14:paraId="3B793344" w14:textId="77777777" w:rsidR="00A7603F" w:rsidRPr="0038024A" w:rsidRDefault="00A7603F" w:rsidP="00A7603F">
      <w:pPr>
        <w:pStyle w:val="Normal-pool"/>
        <w:rPr>
          <w:lang w:val="es-ES"/>
        </w:rPr>
      </w:pPr>
    </w:p>
    <w:sectPr w:rsidR="00A7603F" w:rsidRPr="0038024A"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6BEC0" w14:textId="77777777" w:rsidR="00AF0C07" w:rsidRDefault="00AF0C07">
      <w:r>
        <w:separator/>
      </w:r>
    </w:p>
  </w:endnote>
  <w:endnote w:type="continuationSeparator" w:id="0">
    <w:p w14:paraId="27797A7F" w14:textId="77777777" w:rsidR="00AF0C07" w:rsidRDefault="00AF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54A10AEE" w:rsidR="00BE2E9A" w:rsidRDefault="00BE2E9A" w:rsidP="000855ED">
    <w:pPr>
      <w:pStyle w:val="Normal-pool"/>
    </w:pPr>
    <w:r>
      <w:rPr>
        <w:rStyle w:val="PageNumber"/>
      </w:rPr>
      <w:fldChar w:fldCharType="begin"/>
    </w:r>
    <w:r>
      <w:rPr>
        <w:rStyle w:val="PageNumber"/>
      </w:rPr>
      <w:instrText xml:space="preserve"> PAGE </w:instrText>
    </w:r>
    <w:r>
      <w:rPr>
        <w:rStyle w:val="PageNumber"/>
      </w:rPr>
      <w:fldChar w:fldCharType="separate"/>
    </w:r>
    <w:r w:rsidR="00523E91">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7AF2775A" w:rsidR="00BE2E9A" w:rsidRDefault="00BE2E9A"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523E91">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b w:val="0"/>
        <w:noProof/>
        <w:sz w:val="20"/>
        <w:szCs w:val="20"/>
      </w:rPr>
    </w:sdtEndPr>
    <w:sdtContent>
      <w:p w14:paraId="1593ADF2" w14:textId="038AB882" w:rsidR="00BE2E9A" w:rsidRPr="00CC278D" w:rsidRDefault="00CC278D" w:rsidP="00CC278D">
        <w:pPr>
          <w:pStyle w:val="Normal-pool"/>
          <w:tabs>
            <w:tab w:val="clear" w:pos="1247"/>
            <w:tab w:val="clear" w:pos="1814"/>
            <w:tab w:val="clear" w:pos="2381"/>
            <w:tab w:val="clear" w:pos="2948"/>
            <w:tab w:val="clear" w:pos="3515"/>
            <w:tab w:val="clear" w:pos="4082"/>
            <w:tab w:val="left" w:pos="624"/>
          </w:tabs>
        </w:pPr>
        <w:r w:rsidRPr="00CC278D">
          <w:t>K190362</w:t>
        </w:r>
        <w:r w:rsidR="0094327D">
          <w:t>7</w:t>
        </w:r>
        <w:r w:rsidRPr="00CC278D">
          <w:tab/>
        </w:r>
        <w:r w:rsidR="0094327D">
          <w:t>1109</w:t>
        </w:r>
        <w:r w:rsidRPr="00CC278D">
          <w:t>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43816" w14:textId="77777777" w:rsidR="00AF0C07" w:rsidRPr="000855ED" w:rsidRDefault="00AF0C07" w:rsidP="000B650A">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1A96F542" w14:textId="77777777" w:rsidR="00AF0C07" w:rsidRDefault="00AF0C07">
      <w:r>
        <w:continuationSeparator/>
      </w:r>
    </w:p>
  </w:footnote>
  <w:footnote w:id="1">
    <w:p w14:paraId="373BC07E" w14:textId="78F7B6D2" w:rsidR="00BE2E9A" w:rsidRPr="000B650A" w:rsidRDefault="00BE2E9A" w:rsidP="00A7603F">
      <w:pPr>
        <w:tabs>
          <w:tab w:val="left" w:pos="624"/>
        </w:tabs>
        <w:spacing w:before="20" w:after="40"/>
        <w:ind w:left="1247"/>
        <w:rPr>
          <w:sz w:val="18"/>
          <w:szCs w:val="18"/>
        </w:rPr>
      </w:pPr>
      <w:r w:rsidRPr="000B650A">
        <w:rPr>
          <w:sz w:val="18"/>
          <w:szCs w:val="18"/>
          <w:lang w:val="en-US"/>
        </w:rPr>
        <w:t>* UNEP/MC/COP.3/1.</w:t>
      </w:r>
    </w:p>
  </w:footnote>
  <w:footnote w:id="2">
    <w:p w14:paraId="7FE871C9" w14:textId="09A4EEAB" w:rsidR="00224608" w:rsidRPr="000B650A" w:rsidRDefault="00224608" w:rsidP="00AB4F18">
      <w:pPr>
        <w:pStyle w:val="FootnoteText"/>
        <w:tabs>
          <w:tab w:val="clear" w:pos="1247"/>
          <w:tab w:val="clear" w:pos="1814"/>
          <w:tab w:val="clear" w:pos="2381"/>
          <w:tab w:val="clear" w:pos="2948"/>
          <w:tab w:val="clear" w:pos="3515"/>
          <w:tab w:val="clear" w:pos="4082"/>
        </w:tabs>
        <w:rPr>
          <w:szCs w:val="18"/>
        </w:rPr>
      </w:pPr>
      <w:r w:rsidRPr="000B650A">
        <w:rPr>
          <w:rStyle w:val="FootnoteReference"/>
          <w:sz w:val="18"/>
          <w:lang w:val="es-ES"/>
        </w:rPr>
        <w:footnoteRef/>
      </w:r>
      <w:r w:rsidR="000B650A" w:rsidRPr="000B650A">
        <w:rPr>
          <w:szCs w:val="18"/>
          <w:lang w:val="en-US"/>
        </w:rPr>
        <w:t> </w:t>
      </w:r>
      <w:hyperlink r:id="rId1" w:history="1">
        <w:r w:rsidRPr="0094327D">
          <w:rPr>
            <w:rStyle w:val="Hyperlink"/>
            <w:sz w:val="18"/>
            <w:szCs w:val="18"/>
            <w:lang w:val="en-US"/>
          </w:rPr>
          <w:t>http://www.mercuryconvention.org/Aplicaci%C3%B3n/Intercambiodeinformaci%C3%B3n/tabid/8083/language/es-CO/Default.aspx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543DA991" w:rsidR="00BE2E9A" w:rsidRPr="00CA5CA9" w:rsidRDefault="00BE2E9A"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224608">
      <w:rPr>
        <w:szCs w:val="18"/>
      </w:rPr>
      <w:t>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5C9F0BDF" w:rsidR="00BE2E9A" w:rsidRPr="00CA5CA9" w:rsidRDefault="00BE2E9A"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224608">
      <w:rPr>
        <w:szCs w:val="18"/>
      </w:rPr>
      <w:t>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73A83" w14:textId="34379AE2" w:rsidR="00944E96" w:rsidRDefault="00944E96" w:rsidP="00944E9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A94"/>
    <w:multiLevelType w:val="hybridMultilevel"/>
    <w:tmpl w:val="541C13D8"/>
    <w:lvl w:ilvl="0" w:tplc="2000000F">
      <w:start w:val="1"/>
      <w:numFmt w:val="decimal"/>
      <w:lvlText w:val="%1."/>
      <w:lvlJc w:val="left"/>
      <w:pPr>
        <w:ind w:left="720" w:hanging="360"/>
      </w:pPr>
    </w:lvl>
    <w:lvl w:ilvl="1" w:tplc="93D6FD86">
      <w:start w:val="1"/>
      <w:numFmt w:val="lowerLetter"/>
      <w:lvlText w:val="%2)"/>
      <w:lvlJc w:val="left"/>
      <w:pPr>
        <w:ind w:left="1440" w:hanging="360"/>
      </w:pPr>
      <w:rPr>
        <w:rFonts w:ascii="Times New Roman" w:eastAsia="Times New Roman" w:hAnsi="Times New Roman" w:cs="Times New Roman"/>
        <w:i w:val="0"/>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4E10CA3"/>
    <w:multiLevelType w:val="hybridMultilevel"/>
    <w:tmpl w:val="E0024F76"/>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 w15:restartNumberingAfterBreak="0">
    <w:nsid w:val="34E32DDE"/>
    <w:multiLevelType w:val="hybridMultilevel"/>
    <w:tmpl w:val="E0024F76"/>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7CF2C8C"/>
    <w:multiLevelType w:val="hybridMultilevel"/>
    <w:tmpl w:val="48FC7D48"/>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7" w15:restartNumberingAfterBreak="0">
    <w:nsid w:val="70042BF7"/>
    <w:multiLevelType w:val="hybridMultilevel"/>
    <w:tmpl w:val="9880E7AA"/>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num w:numId="1">
    <w:abstractNumId w:val="6"/>
  </w:num>
  <w:num w:numId="2">
    <w:abstractNumId w:val="1"/>
  </w:num>
  <w:num w:numId="3">
    <w:abstractNumId w:val="4"/>
  </w:num>
  <w:num w:numId="4">
    <w:abstractNumId w:val="6"/>
    <w:lvlOverride w:ilvl="0">
      <w:lvl w:ilvl="0">
        <w:start w:val="1"/>
        <w:numFmt w:val="decimal"/>
        <w:pStyle w:val="Normalnumber"/>
        <w:lvlText w:val="%1."/>
        <w:lvlJc w:val="left"/>
        <w:pPr>
          <w:tabs>
            <w:tab w:val="num" w:pos="1701"/>
          </w:tabs>
          <w:ind w:left="1814" w:firstLine="0"/>
        </w:pPr>
        <w:rPr>
          <w:rFonts w:hint="default"/>
        </w:rPr>
      </w:lvl>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7"/>
  </w:num>
  <w:num w:numId="9">
    <w:abstractNumId w:val="6"/>
    <w:lvlOverride w:ilvl="0">
      <w:lvl w:ilvl="0">
        <w:start w:val="1"/>
        <w:numFmt w:val="decimal"/>
        <w:pStyle w:val="Normalnumber"/>
        <w:lvlText w:val="%1."/>
        <w:lvlJc w:val="left"/>
        <w:pPr>
          <w:tabs>
            <w:tab w:val="num" w:pos="1701"/>
          </w:tabs>
          <w:ind w:left="1814" w:firstLine="0"/>
        </w:pPr>
        <w:rPr>
          <w:rFonts w:hint="default"/>
        </w:rPr>
      </w:lvl>
    </w:lvlOverride>
  </w:num>
  <w:num w:numId="10">
    <w:abstractNumId w:val="6"/>
    <w:lvlOverride w:ilvl="0">
      <w:lvl w:ilvl="0">
        <w:start w:val="1"/>
        <w:numFmt w:val="decimal"/>
        <w:pStyle w:val="Normalnumber"/>
        <w:lvlText w:val="%1."/>
        <w:lvlJc w:val="left"/>
        <w:pPr>
          <w:tabs>
            <w:tab w:val="num" w:pos="1701"/>
          </w:tabs>
          <w:ind w:left="1814" w:firstLine="0"/>
        </w:pPr>
        <w:rPr>
          <w:rFonts w:hint="default"/>
        </w:rPr>
      </w:lvl>
    </w:lvlOverride>
  </w:num>
  <w:num w:numId="11">
    <w:abstractNumId w:val="6"/>
    <w:lvlOverride w:ilvl="0">
      <w:lvl w:ilvl="0">
        <w:start w:val="1"/>
        <w:numFmt w:val="decimal"/>
        <w:pStyle w:val="Normalnumber"/>
        <w:lvlText w:val="%1."/>
        <w:lvlJc w:val="left"/>
        <w:pPr>
          <w:tabs>
            <w:tab w:val="num" w:pos="1701"/>
          </w:tabs>
          <w:ind w:left="1814" w:firstLine="0"/>
        </w:pPr>
        <w:rPr>
          <w:rFonts w:hint="default"/>
        </w:rPr>
      </w:lvl>
    </w:lvlOverride>
  </w:num>
  <w:num w:numId="12">
    <w:abstractNumId w:val="3"/>
  </w:num>
  <w:num w:numId="13">
    <w:abstractNumId w:val="6"/>
    <w:lvlOverride w:ilvl="0">
      <w:lvl w:ilvl="0">
        <w:start w:val="1"/>
        <w:numFmt w:val="decimal"/>
        <w:pStyle w:val="Normalnumber"/>
        <w:lvlText w:val="%1."/>
        <w:lvlJc w:val="left"/>
        <w:pPr>
          <w:tabs>
            <w:tab w:val="num" w:pos="1701"/>
          </w:tabs>
          <w:ind w:left="1814" w:firstLine="0"/>
        </w:pPr>
        <w:rPr>
          <w:rFonts w:hint="default"/>
        </w:rPr>
      </w:lvl>
    </w:lvlOverride>
  </w:num>
  <w:num w:numId="14">
    <w:abstractNumId w:val="6"/>
    <w:lvlOverride w:ilvl="0">
      <w:lvl w:ilvl="0">
        <w:start w:val="1"/>
        <w:numFmt w:val="decimal"/>
        <w:pStyle w:val="Normalnumber"/>
        <w:lvlText w:val="%1."/>
        <w:lvlJc w:val="left"/>
        <w:pPr>
          <w:tabs>
            <w:tab w:val="num" w:pos="1701"/>
          </w:tabs>
          <w:ind w:left="1814"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6997"/>
    <w:rsid w:val="00026A08"/>
    <w:rsid w:val="00032300"/>
    <w:rsid w:val="00032E4E"/>
    <w:rsid w:val="00033733"/>
    <w:rsid w:val="00033E0B"/>
    <w:rsid w:val="000340A3"/>
    <w:rsid w:val="00035EDE"/>
    <w:rsid w:val="000403B8"/>
    <w:rsid w:val="0004341B"/>
    <w:rsid w:val="000468F2"/>
    <w:rsid w:val="000509B4"/>
    <w:rsid w:val="00051622"/>
    <w:rsid w:val="000544DA"/>
    <w:rsid w:val="0006035B"/>
    <w:rsid w:val="0006096F"/>
    <w:rsid w:val="000649C5"/>
    <w:rsid w:val="00071886"/>
    <w:rsid w:val="000742BC"/>
    <w:rsid w:val="00074A93"/>
    <w:rsid w:val="00075F0C"/>
    <w:rsid w:val="00076CC6"/>
    <w:rsid w:val="00080C5C"/>
    <w:rsid w:val="00081FC8"/>
    <w:rsid w:val="00082A0C"/>
    <w:rsid w:val="00083504"/>
    <w:rsid w:val="000855ED"/>
    <w:rsid w:val="000878AF"/>
    <w:rsid w:val="0009640C"/>
    <w:rsid w:val="000A2B9C"/>
    <w:rsid w:val="000A3B42"/>
    <w:rsid w:val="000A581D"/>
    <w:rsid w:val="000B22A2"/>
    <w:rsid w:val="000B541B"/>
    <w:rsid w:val="000B650A"/>
    <w:rsid w:val="000B73F9"/>
    <w:rsid w:val="000C2A52"/>
    <w:rsid w:val="000C2A88"/>
    <w:rsid w:val="000C65B1"/>
    <w:rsid w:val="000C7F47"/>
    <w:rsid w:val="000D05FA"/>
    <w:rsid w:val="000D1969"/>
    <w:rsid w:val="000D33C0"/>
    <w:rsid w:val="000D4CF6"/>
    <w:rsid w:val="000D55A1"/>
    <w:rsid w:val="000D6941"/>
    <w:rsid w:val="000D76B1"/>
    <w:rsid w:val="000D78A7"/>
    <w:rsid w:val="000F4829"/>
    <w:rsid w:val="000F6B21"/>
    <w:rsid w:val="00100843"/>
    <w:rsid w:val="00102D6D"/>
    <w:rsid w:val="00102EFB"/>
    <w:rsid w:val="00107CC0"/>
    <w:rsid w:val="001202E3"/>
    <w:rsid w:val="00123699"/>
    <w:rsid w:val="001241FB"/>
    <w:rsid w:val="0013059D"/>
    <w:rsid w:val="0013072C"/>
    <w:rsid w:val="0013246E"/>
    <w:rsid w:val="00136187"/>
    <w:rsid w:val="00141A55"/>
    <w:rsid w:val="0014293F"/>
    <w:rsid w:val="0014397D"/>
    <w:rsid w:val="001446A3"/>
    <w:rsid w:val="00146CD9"/>
    <w:rsid w:val="00152B6B"/>
    <w:rsid w:val="00155395"/>
    <w:rsid w:val="00155A2F"/>
    <w:rsid w:val="00156B6B"/>
    <w:rsid w:val="001577EC"/>
    <w:rsid w:val="00160D74"/>
    <w:rsid w:val="001646EA"/>
    <w:rsid w:val="00167D02"/>
    <w:rsid w:val="001759D8"/>
    <w:rsid w:val="00176D74"/>
    <w:rsid w:val="00177D7F"/>
    <w:rsid w:val="00180C3F"/>
    <w:rsid w:val="00181EC8"/>
    <w:rsid w:val="00184349"/>
    <w:rsid w:val="00184612"/>
    <w:rsid w:val="001867BA"/>
    <w:rsid w:val="00195F33"/>
    <w:rsid w:val="00197FB6"/>
    <w:rsid w:val="001A47E5"/>
    <w:rsid w:val="001B1617"/>
    <w:rsid w:val="001B45B0"/>
    <w:rsid w:val="001B504B"/>
    <w:rsid w:val="001B6F98"/>
    <w:rsid w:val="001C191A"/>
    <w:rsid w:val="001D3874"/>
    <w:rsid w:val="001D47B1"/>
    <w:rsid w:val="001D7E75"/>
    <w:rsid w:val="001E0D73"/>
    <w:rsid w:val="001E45BD"/>
    <w:rsid w:val="001E56D2"/>
    <w:rsid w:val="001E6F70"/>
    <w:rsid w:val="001E7D56"/>
    <w:rsid w:val="001F0625"/>
    <w:rsid w:val="001F5186"/>
    <w:rsid w:val="001F6F74"/>
    <w:rsid w:val="001F75DE"/>
    <w:rsid w:val="00200D58"/>
    <w:rsid w:val="002011C1"/>
    <w:rsid w:val="002013BE"/>
    <w:rsid w:val="00201EDC"/>
    <w:rsid w:val="00204E6B"/>
    <w:rsid w:val="002063A4"/>
    <w:rsid w:val="00207B14"/>
    <w:rsid w:val="0021145B"/>
    <w:rsid w:val="0021267A"/>
    <w:rsid w:val="00215127"/>
    <w:rsid w:val="002162B3"/>
    <w:rsid w:val="0021702C"/>
    <w:rsid w:val="00220C23"/>
    <w:rsid w:val="00224608"/>
    <w:rsid w:val="002247F6"/>
    <w:rsid w:val="0022584B"/>
    <w:rsid w:val="00225E21"/>
    <w:rsid w:val="00225E44"/>
    <w:rsid w:val="00234E78"/>
    <w:rsid w:val="00243D36"/>
    <w:rsid w:val="00246151"/>
    <w:rsid w:val="00247707"/>
    <w:rsid w:val="00252456"/>
    <w:rsid w:val="0026018E"/>
    <w:rsid w:val="002604CD"/>
    <w:rsid w:val="00271321"/>
    <w:rsid w:val="00274F0E"/>
    <w:rsid w:val="002816A3"/>
    <w:rsid w:val="00286740"/>
    <w:rsid w:val="00291EAE"/>
    <w:rsid w:val="002929D8"/>
    <w:rsid w:val="00296787"/>
    <w:rsid w:val="002A237D"/>
    <w:rsid w:val="002A47EE"/>
    <w:rsid w:val="002A4C53"/>
    <w:rsid w:val="002A5026"/>
    <w:rsid w:val="002B0672"/>
    <w:rsid w:val="002B247F"/>
    <w:rsid w:val="002B50D4"/>
    <w:rsid w:val="002B58BF"/>
    <w:rsid w:val="002C145D"/>
    <w:rsid w:val="002C2C3E"/>
    <w:rsid w:val="002C533E"/>
    <w:rsid w:val="002C7856"/>
    <w:rsid w:val="002D027F"/>
    <w:rsid w:val="002D10C6"/>
    <w:rsid w:val="002D3E15"/>
    <w:rsid w:val="002D7A85"/>
    <w:rsid w:val="002D7B60"/>
    <w:rsid w:val="002D7BD8"/>
    <w:rsid w:val="002E2861"/>
    <w:rsid w:val="002F4761"/>
    <w:rsid w:val="002F5C79"/>
    <w:rsid w:val="002F68EE"/>
    <w:rsid w:val="003019E2"/>
    <w:rsid w:val="00310BEB"/>
    <w:rsid w:val="0031413F"/>
    <w:rsid w:val="00314854"/>
    <w:rsid w:val="003148BB"/>
    <w:rsid w:val="00317976"/>
    <w:rsid w:val="00320F2F"/>
    <w:rsid w:val="0032457E"/>
    <w:rsid w:val="00325D38"/>
    <w:rsid w:val="00332550"/>
    <w:rsid w:val="0034087A"/>
    <w:rsid w:val="0035277E"/>
    <w:rsid w:val="00352EF8"/>
    <w:rsid w:val="00353F18"/>
    <w:rsid w:val="00355EA9"/>
    <w:rsid w:val="003578DE"/>
    <w:rsid w:val="00361688"/>
    <w:rsid w:val="00361B6B"/>
    <w:rsid w:val="00361C3B"/>
    <w:rsid w:val="00363E4E"/>
    <w:rsid w:val="003640BC"/>
    <w:rsid w:val="00366C54"/>
    <w:rsid w:val="00372EC0"/>
    <w:rsid w:val="0038024A"/>
    <w:rsid w:val="00380921"/>
    <w:rsid w:val="003877D5"/>
    <w:rsid w:val="003929B8"/>
    <w:rsid w:val="00393432"/>
    <w:rsid w:val="00396257"/>
    <w:rsid w:val="003965D0"/>
    <w:rsid w:val="00397EB8"/>
    <w:rsid w:val="003A11B3"/>
    <w:rsid w:val="003A19E3"/>
    <w:rsid w:val="003A4FD0"/>
    <w:rsid w:val="003A69D1"/>
    <w:rsid w:val="003A7705"/>
    <w:rsid w:val="003A77F1"/>
    <w:rsid w:val="003B1545"/>
    <w:rsid w:val="003C3219"/>
    <w:rsid w:val="003C409D"/>
    <w:rsid w:val="003C4544"/>
    <w:rsid w:val="003C5583"/>
    <w:rsid w:val="003C5BA6"/>
    <w:rsid w:val="003C74CF"/>
    <w:rsid w:val="003D3752"/>
    <w:rsid w:val="003E2E57"/>
    <w:rsid w:val="003E35DA"/>
    <w:rsid w:val="003E455D"/>
    <w:rsid w:val="003F0E85"/>
    <w:rsid w:val="004029DD"/>
    <w:rsid w:val="00410918"/>
    <w:rsid w:val="00410C55"/>
    <w:rsid w:val="00411223"/>
    <w:rsid w:val="00416854"/>
    <w:rsid w:val="00417725"/>
    <w:rsid w:val="0042266F"/>
    <w:rsid w:val="004250FA"/>
    <w:rsid w:val="00434321"/>
    <w:rsid w:val="004349B9"/>
    <w:rsid w:val="00437F26"/>
    <w:rsid w:val="00441018"/>
    <w:rsid w:val="00444097"/>
    <w:rsid w:val="00445487"/>
    <w:rsid w:val="00447E0D"/>
    <w:rsid w:val="00451698"/>
    <w:rsid w:val="00453EA8"/>
    <w:rsid w:val="00454769"/>
    <w:rsid w:val="00455209"/>
    <w:rsid w:val="00466991"/>
    <w:rsid w:val="0047064C"/>
    <w:rsid w:val="004822B7"/>
    <w:rsid w:val="0048787B"/>
    <w:rsid w:val="004929D9"/>
    <w:rsid w:val="0049469E"/>
    <w:rsid w:val="004A2217"/>
    <w:rsid w:val="004A24F9"/>
    <w:rsid w:val="004A3F05"/>
    <w:rsid w:val="004A42E1"/>
    <w:rsid w:val="004A7A97"/>
    <w:rsid w:val="004B0E3E"/>
    <w:rsid w:val="004B162C"/>
    <w:rsid w:val="004B2ABE"/>
    <w:rsid w:val="004B723A"/>
    <w:rsid w:val="004C10C8"/>
    <w:rsid w:val="004C3DBE"/>
    <w:rsid w:val="004C5C96"/>
    <w:rsid w:val="004D06A4"/>
    <w:rsid w:val="004E574D"/>
    <w:rsid w:val="004F1A81"/>
    <w:rsid w:val="004F5D88"/>
    <w:rsid w:val="0050084A"/>
    <w:rsid w:val="00501354"/>
    <w:rsid w:val="005050D2"/>
    <w:rsid w:val="005146C2"/>
    <w:rsid w:val="005218D9"/>
    <w:rsid w:val="005228DC"/>
    <w:rsid w:val="00523E91"/>
    <w:rsid w:val="00525448"/>
    <w:rsid w:val="00536186"/>
    <w:rsid w:val="00536462"/>
    <w:rsid w:val="00544CBB"/>
    <w:rsid w:val="00551915"/>
    <w:rsid w:val="00551B65"/>
    <w:rsid w:val="00552A05"/>
    <w:rsid w:val="00553BED"/>
    <w:rsid w:val="00556704"/>
    <w:rsid w:val="005656D7"/>
    <w:rsid w:val="0057315F"/>
    <w:rsid w:val="00574578"/>
    <w:rsid w:val="00576104"/>
    <w:rsid w:val="005840CD"/>
    <w:rsid w:val="00584F08"/>
    <w:rsid w:val="00586418"/>
    <w:rsid w:val="00590614"/>
    <w:rsid w:val="0059140A"/>
    <w:rsid w:val="00592B21"/>
    <w:rsid w:val="005A6DCA"/>
    <w:rsid w:val="005B2DF4"/>
    <w:rsid w:val="005B44BF"/>
    <w:rsid w:val="005C28CE"/>
    <w:rsid w:val="005C4911"/>
    <w:rsid w:val="005C67C8"/>
    <w:rsid w:val="005D0249"/>
    <w:rsid w:val="005D1702"/>
    <w:rsid w:val="005D18FA"/>
    <w:rsid w:val="005D4FD4"/>
    <w:rsid w:val="005D6E8C"/>
    <w:rsid w:val="005E1625"/>
    <w:rsid w:val="005E252F"/>
    <w:rsid w:val="005E3004"/>
    <w:rsid w:val="005E4780"/>
    <w:rsid w:val="005F100C"/>
    <w:rsid w:val="005F68DA"/>
    <w:rsid w:val="005F7419"/>
    <w:rsid w:val="006018AE"/>
    <w:rsid w:val="00601BC9"/>
    <w:rsid w:val="0060610D"/>
    <w:rsid w:val="0060773B"/>
    <w:rsid w:val="00613FD6"/>
    <w:rsid w:val="006157B5"/>
    <w:rsid w:val="00617224"/>
    <w:rsid w:val="00626FC6"/>
    <w:rsid w:val="00627CBC"/>
    <w:rsid w:val="006303B4"/>
    <w:rsid w:val="006304C5"/>
    <w:rsid w:val="00630ADC"/>
    <w:rsid w:val="00630C64"/>
    <w:rsid w:val="00633D3D"/>
    <w:rsid w:val="006358EB"/>
    <w:rsid w:val="00637133"/>
    <w:rsid w:val="00641703"/>
    <w:rsid w:val="006431A6"/>
    <w:rsid w:val="00643372"/>
    <w:rsid w:val="00643E3A"/>
    <w:rsid w:val="006459F6"/>
    <w:rsid w:val="006501AD"/>
    <w:rsid w:val="00651BFA"/>
    <w:rsid w:val="00653D2C"/>
    <w:rsid w:val="00654475"/>
    <w:rsid w:val="00656DF0"/>
    <w:rsid w:val="00665A4B"/>
    <w:rsid w:val="00670FAE"/>
    <w:rsid w:val="00692C30"/>
    <w:rsid w:val="00692E09"/>
    <w:rsid w:val="00692E2A"/>
    <w:rsid w:val="006937BE"/>
    <w:rsid w:val="0069496A"/>
    <w:rsid w:val="00696087"/>
    <w:rsid w:val="00696C1C"/>
    <w:rsid w:val="006A76F2"/>
    <w:rsid w:val="006B037A"/>
    <w:rsid w:val="006B7D29"/>
    <w:rsid w:val="006C1555"/>
    <w:rsid w:val="006C3F5D"/>
    <w:rsid w:val="006C55BA"/>
    <w:rsid w:val="006C7106"/>
    <w:rsid w:val="006D19D4"/>
    <w:rsid w:val="006D41BA"/>
    <w:rsid w:val="006D5644"/>
    <w:rsid w:val="006D7EFB"/>
    <w:rsid w:val="006E0455"/>
    <w:rsid w:val="006E6672"/>
    <w:rsid w:val="006E6722"/>
    <w:rsid w:val="006E7C37"/>
    <w:rsid w:val="006F46BD"/>
    <w:rsid w:val="006F4DE1"/>
    <w:rsid w:val="006F718B"/>
    <w:rsid w:val="006F7AFF"/>
    <w:rsid w:val="007027B9"/>
    <w:rsid w:val="007066B5"/>
    <w:rsid w:val="00707B18"/>
    <w:rsid w:val="007145DA"/>
    <w:rsid w:val="00715E88"/>
    <w:rsid w:val="00716D8B"/>
    <w:rsid w:val="007313EB"/>
    <w:rsid w:val="00731576"/>
    <w:rsid w:val="00734CAA"/>
    <w:rsid w:val="00740ADB"/>
    <w:rsid w:val="00740EE2"/>
    <w:rsid w:val="00742680"/>
    <w:rsid w:val="00753DE7"/>
    <w:rsid w:val="0075533C"/>
    <w:rsid w:val="00755A18"/>
    <w:rsid w:val="00757581"/>
    <w:rsid w:val="007602F5"/>
    <w:rsid w:val="00760D36"/>
    <w:rsid w:val="007611A0"/>
    <w:rsid w:val="00765562"/>
    <w:rsid w:val="00772574"/>
    <w:rsid w:val="00772F55"/>
    <w:rsid w:val="00773E54"/>
    <w:rsid w:val="0077642E"/>
    <w:rsid w:val="00784A03"/>
    <w:rsid w:val="00787688"/>
    <w:rsid w:val="007935E6"/>
    <w:rsid w:val="00796D3F"/>
    <w:rsid w:val="007A0B56"/>
    <w:rsid w:val="007A1683"/>
    <w:rsid w:val="007A5C12"/>
    <w:rsid w:val="007A7CB0"/>
    <w:rsid w:val="007B68A3"/>
    <w:rsid w:val="007C2541"/>
    <w:rsid w:val="007C6842"/>
    <w:rsid w:val="007C75F5"/>
    <w:rsid w:val="007D66A8"/>
    <w:rsid w:val="007E003F"/>
    <w:rsid w:val="007E2691"/>
    <w:rsid w:val="007E65A8"/>
    <w:rsid w:val="007F0CF8"/>
    <w:rsid w:val="007F41C2"/>
    <w:rsid w:val="007F5E1B"/>
    <w:rsid w:val="007F5E7D"/>
    <w:rsid w:val="007F62CB"/>
    <w:rsid w:val="007F74EA"/>
    <w:rsid w:val="00807CF2"/>
    <w:rsid w:val="008142EC"/>
    <w:rsid w:val="008164F2"/>
    <w:rsid w:val="00821395"/>
    <w:rsid w:val="00830E26"/>
    <w:rsid w:val="00834368"/>
    <w:rsid w:val="0083441A"/>
    <w:rsid w:val="00843576"/>
    <w:rsid w:val="00843B64"/>
    <w:rsid w:val="00845261"/>
    <w:rsid w:val="008478FC"/>
    <w:rsid w:val="00851AFA"/>
    <w:rsid w:val="00851C51"/>
    <w:rsid w:val="008538F7"/>
    <w:rsid w:val="00867BFF"/>
    <w:rsid w:val="00870345"/>
    <w:rsid w:val="00871542"/>
    <w:rsid w:val="00872BF6"/>
    <w:rsid w:val="0088480A"/>
    <w:rsid w:val="00886660"/>
    <w:rsid w:val="0088757A"/>
    <w:rsid w:val="00891A8C"/>
    <w:rsid w:val="008942A0"/>
    <w:rsid w:val="0089431B"/>
    <w:rsid w:val="00895668"/>
    <w:rsid w:val="008957DD"/>
    <w:rsid w:val="00897D98"/>
    <w:rsid w:val="008A4FE9"/>
    <w:rsid w:val="008A59AD"/>
    <w:rsid w:val="008A6DF2"/>
    <w:rsid w:val="008A7807"/>
    <w:rsid w:val="008B4CC9"/>
    <w:rsid w:val="008C0B15"/>
    <w:rsid w:val="008C3940"/>
    <w:rsid w:val="008C4869"/>
    <w:rsid w:val="008C719D"/>
    <w:rsid w:val="008D5CB8"/>
    <w:rsid w:val="008D75E4"/>
    <w:rsid w:val="008D7C99"/>
    <w:rsid w:val="008E0FCB"/>
    <w:rsid w:val="008E3B94"/>
    <w:rsid w:val="008F4B16"/>
    <w:rsid w:val="008F6567"/>
    <w:rsid w:val="008F6DFE"/>
    <w:rsid w:val="0090529F"/>
    <w:rsid w:val="00907E2F"/>
    <w:rsid w:val="00912C2C"/>
    <w:rsid w:val="0091300B"/>
    <w:rsid w:val="00915D85"/>
    <w:rsid w:val="009167EF"/>
    <w:rsid w:val="009176E4"/>
    <w:rsid w:val="0092178C"/>
    <w:rsid w:val="00930B88"/>
    <w:rsid w:val="009319C5"/>
    <w:rsid w:val="00935376"/>
    <w:rsid w:val="00940DCC"/>
    <w:rsid w:val="0094179A"/>
    <w:rsid w:val="0094327D"/>
    <w:rsid w:val="0094459E"/>
    <w:rsid w:val="00944DBC"/>
    <w:rsid w:val="00944E96"/>
    <w:rsid w:val="00950221"/>
    <w:rsid w:val="00950977"/>
    <w:rsid w:val="00951A7B"/>
    <w:rsid w:val="00955512"/>
    <w:rsid w:val="009564A6"/>
    <w:rsid w:val="00957EF8"/>
    <w:rsid w:val="00966A53"/>
    <w:rsid w:val="00967621"/>
    <w:rsid w:val="00967E6A"/>
    <w:rsid w:val="0097109D"/>
    <w:rsid w:val="00974F45"/>
    <w:rsid w:val="009813AA"/>
    <w:rsid w:val="00985027"/>
    <w:rsid w:val="009907B9"/>
    <w:rsid w:val="00990918"/>
    <w:rsid w:val="009A399C"/>
    <w:rsid w:val="009A3A83"/>
    <w:rsid w:val="009A3EAF"/>
    <w:rsid w:val="009B4A0F"/>
    <w:rsid w:val="009B4AD7"/>
    <w:rsid w:val="009C11D2"/>
    <w:rsid w:val="009C6595"/>
    <w:rsid w:val="009C6C70"/>
    <w:rsid w:val="009C7B0A"/>
    <w:rsid w:val="009D0B63"/>
    <w:rsid w:val="009D5CB8"/>
    <w:rsid w:val="009D5EC9"/>
    <w:rsid w:val="009E307E"/>
    <w:rsid w:val="009E40F6"/>
    <w:rsid w:val="009E7DE9"/>
    <w:rsid w:val="00A07870"/>
    <w:rsid w:val="00A07C54"/>
    <w:rsid w:val="00A07F19"/>
    <w:rsid w:val="00A109BC"/>
    <w:rsid w:val="00A10ABB"/>
    <w:rsid w:val="00A1348D"/>
    <w:rsid w:val="00A13C99"/>
    <w:rsid w:val="00A219F7"/>
    <w:rsid w:val="00A232EE"/>
    <w:rsid w:val="00A279A1"/>
    <w:rsid w:val="00A4175F"/>
    <w:rsid w:val="00A44411"/>
    <w:rsid w:val="00A45215"/>
    <w:rsid w:val="00A46724"/>
    <w:rsid w:val="00A469FA"/>
    <w:rsid w:val="00A50C65"/>
    <w:rsid w:val="00A51A7B"/>
    <w:rsid w:val="00A52EA9"/>
    <w:rsid w:val="00A53662"/>
    <w:rsid w:val="00A55B01"/>
    <w:rsid w:val="00A56B5B"/>
    <w:rsid w:val="00A603FF"/>
    <w:rsid w:val="00A60DC8"/>
    <w:rsid w:val="00A619B6"/>
    <w:rsid w:val="00A648CA"/>
    <w:rsid w:val="00A657DD"/>
    <w:rsid w:val="00A666A6"/>
    <w:rsid w:val="00A675FD"/>
    <w:rsid w:val="00A72437"/>
    <w:rsid w:val="00A7603F"/>
    <w:rsid w:val="00A8048B"/>
    <w:rsid w:val="00A80611"/>
    <w:rsid w:val="00A8341E"/>
    <w:rsid w:val="00A84118"/>
    <w:rsid w:val="00A845B6"/>
    <w:rsid w:val="00A856ED"/>
    <w:rsid w:val="00A91D90"/>
    <w:rsid w:val="00AA5BF4"/>
    <w:rsid w:val="00AA5E8C"/>
    <w:rsid w:val="00AA6407"/>
    <w:rsid w:val="00AB4F18"/>
    <w:rsid w:val="00AB5340"/>
    <w:rsid w:val="00AC0A89"/>
    <w:rsid w:val="00AC7C96"/>
    <w:rsid w:val="00AD282B"/>
    <w:rsid w:val="00AD3593"/>
    <w:rsid w:val="00AE0812"/>
    <w:rsid w:val="00AE237D"/>
    <w:rsid w:val="00AE502A"/>
    <w:rsid w:val="00AF0010"/>
    <w:rsid w:val="00AF0C07"/>
    <w:rsid w:val="00AF1AA8"/>
    <w:rsid w:val="00AF2C1F"/>
    <w:rsid w:val="00AF7C07"/>
    <w:rsid w:val="00B06C64"/>
    <w:rsid w:val="00B076F2"/>
    <w:rsid w:val="00B07D8E"/>
    <w:rsid w:val="00B11CAC"/>
    <w:rsid w:val="00B15A29"/>
    <w:rsid w:val="00B22C93"/>
    <w:rsid w:val="00B24F2A"/>
    <w:rsid w:val="00B259B2"/>
    <w:rsid w:val="00B27589"/>
    <w:rsid w:val="00B405B7"/>
    <w:rsid w:val="00B468C0"/>
    <w:rsid w:val="00B52222"/>
    <w:rsid w:val="00B531DA"/>
    <w:rsid w:val="00B54895"/>
    <w:rsid w:val="00B54FE7"/>
    <w:rsid w:val="00B56125"/>
    <w:rsid w:val="00B647C6"/>
    <w:rsid w:val="00B655F9"/>
    <w:rsid w:val="00B66901"/>
    <w:rsid w:val="00B66F60"/>
    <w:rsid w:val="00B6796F"/>
    <w:rsid w:val="00B71E6D"/>
    <w:rsid w:val="00B72070"/>
    <w:rsid w:val="00B73405"/>
    <w:rsid w:val="00B779E1"/>
    <w:rsid w:val="00B81E3A"/>
    <w:rsid w:val="00B84F2C"/>
    <w:rsid w:val="00B85CFB"/>
    <w:rsid w:val="00B914E9"/>
    <w:rsid w:val="00B91DCA"/>
    <w:rsid w:val="00B91EE1"/>
    <w:rsid w:val="00B933DA"/>
    <w:rsid w:val="00B94602"/>
    <w:rsid w:val="00B94787"/>
    <w:rsid w:val="00BA0090"/>
    <w:rsid w:val="00BA1A67"/>
    <w:rsid w:val="00BA6A80"/>
    <w:rsid w:val="00BB4998"/>
    <w:rsid w:val="00BB4ABB"/>
    <w:rsid w:val="00BC62BA"/>
    <w:rsid w:val="00BD5573"/>
    <w:rsid w:val="00BD6959"/>
    <w:rsid w:val="00BD7544"/>
    <w:rsid w:val="00BE2E9A"/>
    <w:rsid w:val="00BE2F41"/>
    <w:rsid w:val="00BE5B5F"/>
    <w:rsid w:val="00BE7993"/>
    <w:rsid w:val="00BF2760"/>
    <w:rsid w:val="00C0032B"/>
    <w:rsid w:val="00C055B1"/>
    <w:rsid w:val="00C11971"/>
    <w:rsid w:val="00C179DE"/>
    <w:rsid w:val="00C2189F"/>
    <w:rsid w:val="00C26F55"/>
    <w:rsid w:val="00C27140"/>
    <w:rsid w:val="00C30C63"/>
    <w:rsid w:val="00C30FF3"/>
    <w:rsid w:val="00C34D5C"/>
    <w:rsid w:val="00C36B8B"/>
    <w:rsid w:val="00C415C1"/>
    <w:rsid w:val="00C47DBF"/>
    <w:rsid w:val="00C54468"/>
    <w:rsid w:val="00C552FF"/>
    <w:rsid w:val="00C558DA"/>
    <w:rsid w:val="00C55AF3"/>
    <w:rsid w:val="00C72380"/>
    <w:rsid w:val="00C745B8"/>
    <w:rsid w:val="00C771A9"/>
    <w:rsid w:val="00C77439"/>
    <w:rsid w:val="00C82943"/>
    <w:rsid w:val="00C84329"/>
    <w:rsid w:val="00C84759"/>
    <w:rsid w:val="00C86F5A"/>
    <w:rsid w:val="00C9267D"/>
    <w:rsid w:val="00C93096"/>
    <w:rsid w:val="00C93C9E"/>
    <w:rsid w:val="00C96761"/>
    <w:rsid w:val="00CA5CA9"/>
    <w:rsid w:val="00CA6C7F"/>
    <w:rsid w:val="00CB007D"/>
    <w:rsid w:val="00CB1A4C"/>
    <w:rsid w:val="00CB30C3"/>
    <w:rsid w:val="00CB60CA"/>
    <w:rsid w:val="00CC0FC7"/>
    <w:rsid w:val="00CC10A6"/>
    <w:rsid w:val="00CC278D"/>
    <w:rsid w:val="00CC41D8"/>
    <w:rsid w:val="00CC771B"/>
    <w:rsid w:val="00CD5EB8"/>
    <w:rsid w:val="00CD7044"/>
    <w:rsid w:val="00CE08B9"/>
    <w:rsid w:val="00CE1BED"/>
    <w:rsid w:val="00CE3515"/>
    <w:rsid w:val="00CE4E08"/>
    <w:rsid w:val="00CE524C"/>
    <w:rsid w:val="00CF141F"/>
    <w:rsid w:val="00CF1C83"/>
    <w:rsid w:val="00CF4777"/>
    <w:rsid w:val="00CF65C8"/>
    <w:rsid w:val="00D013F5"/>
    <w:rsid w:val="00D05E3F"/>
    <w:rsid w:val="00D067BB"/>
    <w:rsid w:val="00D113E2"/>
    <w:rsid w:val="00D1352A"/>
    <w:rsid w:val="00D1638E"/>
    <w:rsid w:val="00D169AF"/>
    <w:rsid w:val="00D200EF"/>
    <w:rsid w:val="00D25175"/>
    <w:rsid w:val="00D25249"/>
    <w:rsid w:val="00D26854"/>
    <w:rsid w:val="00D319AD"/>
    <w:rsid w:val="00D324EE"/>
    <w:rsid w:val="00D37CDE"/>
    <w:rsid w:val="00D44172"/>
    <w:rsid w:val="00D47BE3"/>
    <w:rsid w:val="00D537A1"/>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A37B4"/>
    <w:rsid w:val="00DB24F4"/>
    <w:rsid w:val="00DB295A"/>
    <w:rsid w:val="00DB56BA"/>
    <w:rsid w:val="00DC274A"/>
    <w:rsid w:val="00DC46FF"/>
    <w:rsid w:val="00DC5254"/>
    <w:rsid w:val="00DC569D"/>
    <w:rsid w:val="00DC61F4"/>
    <w:rsid w:val="00DD1A4F"/>
    <w:rsid w:val="00DD1CF9"/>
    <w:rsid w:val="00DD3107"/>
    <w:rsid w:val="00DD4C70"/>
    <w:rsid w:val="00DD68AD"/>
    <w:rsid w:val="00DD7C2C"/>
    <w:rsid w:val="00DE0ECD"/>
    <w:rsid w:val="00DE5BDA"/>
    <w:rsid w:val="00DE5C2A"/>
    <w:rsid w:val="00DF38F6"/>
    <w:rsid w:val="00DF433C"/>
    <w:rsid w:val="00DF519F"/>
    <w:rsid w:val="00E0035A"/>
    <w:rsid w:val="00E06797"/>
    <w:rsid w:val="00E1265B"/>
    <w:rsid w:val="00E12E09"/>
    <w:rsid w:val="00E13113"/>
    <w:rsid w:val="00E132C1"/>
    <w:rsid w:val="00E13B48"/>
    <w:rsid w:val="00E1404F"/>
    <w:rsid w:val="00E21C83"/>
    <w:rsid w:val="00E243AB"/>
    <w:rsid w:val="00E24ADA"/>
    <w:rsid w:val="00E32F59"/>
    <w:rsid w:val="00E406DE"/>
    <w:rsid w:val="00E41908"/>
    <w:rsid w:val="00E41E77"/>
    <w:rsid w:val="00E46D9A"/>
    <w:rsid w:val="00E565FF"/>
    <w:rsid w:val="00E5693F"/>
    <w:rsid w:val="00E56D12"/>
    <w:rsid w:val="00E65388"/>
    <w:rsid w:val="00E70089"/>
    <w:rsid w:val="00E7741D"/>
    <w:rsid w:val="00E808CD"/>
    <w:rsid w:val="00E8302A"/>
    <w:rsid w:val="00E8348F"/>
    <w:rsid w:val="00E85B7D"/>
    <w:rsid w:val="00E9121B"/>
    <w:rsid w:val="00E9302E"/>
    <w:rsid w:val="00E976AB"/>
    <w:rsid w:val="00EA0AE2"/>
    <w:rsid w:val="00EA39E5"/>
    <w:rsid w:val="00EA549D"/>
    <w:rsid w:val="00EA57A3"/>
    <w:rsid w:val="00EB4597"/>
    <w:rsid w:val="00EC2813"/>
    <w:rsid w:val="00EC5A46"/>
    <w:rsid w:val="00EC63E2"/>
    <w:rsid w:val="00EC693E"/>
    <w:rsid w:val="00ED0225"/>
    <w:rsid w:val="00ED325C"/>
    <w:rsid w:val="00ED366A"/>
    <w:rsid w:val="00ED6BB7"/>
    <w:rsid w:val="00EE0FBF"/>
    <w:rsid w:val="00EE2807"/>
    <w:rsid w:val="00EE3A9B"/>
    <w:rsid w:val="00EE6A46"/>
    <w:rsid w:val="00EF22B3"/>
    <w:rsid w:val="00EF4140"/>
    <w:rsid w:val="00EF6BD0"/>
    <w:rsid w:val="00F03B69"/>
    <w:rsid w:val="00F07A50"/>
    <w:rsid w:val="00F103CF"/>
    <w:rsid w:val="00F113DA"/>
    <w:rsid w:val="00F24167"/>
    <w:rsid w:val="00F266FC"/>
    <w:rsid w:val="00F3037A"/>
    <w:rsid w:val="00F33009"/>
    <w:rsid w:val="00F3465A"/>
    <w:rsid w:val="00F35F13"/>
    <w:rsid w:val="00F37DC8"/>
    <w:rsid w:val="00F42179"/>
    <w:rsid w:val="00F439B3"/>
    <w:rsid w:val="00F5283D"/>
    <w:rsid w:val="00F6061C"/>
    <w:rsid w:val="00F61AB4"/>
    <w:rsid w:val="00F623C9"/>
    <w:rsid w:val="00F650C3"/>
    <w:rsid w:val="00F65D85"/>
    <w:rsid w:val="00F6700B"/>
    <w:rsid w:val="00F6760B"/>
    <w:rsid w:val="00F707A6"/>
    <w:rsid w:val="00F7137B"/>
    <w:rsid w:val="00F73346"/>
    <w:rsid w:val="00F73A80"/>
    <w:rsid w:val="00F7454E"/>
    <w:rsid w:val="00F762CD"/>
    <w:rsid w:val="00F8091E"/>
    <w:rsid w:val="00F8431A"/>
    <w:rsid w:val="00F84AFE"/>
    <w:rsid w:val="00F8615C"/>
    <w:rsid w:val="00F87AB0"/>
    <w:rsid w:val="00F93C0E"/>
    <w:rsid w:val="00F969E5"/>
    <w:rsid w:val="00FA4972"/>
    <w:rsid w:val="00FA6BB0"/>
    <w:rsid w:val="00FB2DBD"/>
    <w:rsid w:val="00FC65A0"/>
    <w:rsid w:val="00FD48DF"/>
    <w:rsid w:val="00FD5860"/>
    <w:rsid w:val="00FD6376"/>
    <w:rsid w:val="00FD6D4F"/>
    <w:rsid w:val="00FE20B2"/>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3BB233"/>
  <w15:docId w15:val="{61131276-CA9A-4351-95BE-D52EF387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A7603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C278D"/>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A7603F"/>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C278D"/>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943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Aplicaci%C3%B3n/Intercambiodeinformaci%C3%B3n/tabid/8083/language/es-CO/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F98F0-79EA-4901-A8FB-73563AFA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2062</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2019-09-11T06:30:00Z</cp:lastPrinted>
  <dcterms:created xsi:type="dcterms:W3CDTF">2019-09-11T06:30:00Z</dcterms:created>
  <dcterms:modified xsi:type="dcterms:W3CDTF">2019-09-11T06:30:00Z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8/30/2019 7:07:12 AM</vt:lpwstr>
  </property>
  <property fmtid="{D5CDD505-2E9C-101B-9397-08002B2CF9AE}" pid="5" name="OriginalDocID">
    <vt:lpwstr>76d3bfc9-9a91-480a-aa4d-80c1a165a1ec</vt:lpwstr>
  </property>
</Properties>
</file>