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AD3A44" w14:paraId="62560B0E" w14:textId="77777777" w:rsidTr="002B25BD">
        <w:trPr>
          <w:cantSplit/>
          <w:trHeight w:val="850"/>
          <w:jc w:val="right"/>
        </w:trPr>
        <w:tc>
          <w:tcPr>
            <w:tcW w:w="1518" w:type="dxa"/>
          </w:tcPr>
          <w:p w14:paraId="47D5A83D" w14:textId="3ABB3480" w:rsidR="00032E4E" w:rsidRPr="00AD3A44" w:rsidRDefault="002B25BD" w:rsidP="00CC278D">
            <w:pPr>
              <w:pStyle w:val="Normal-pool"/>
              <w:rPr>
                <w:rFonts w:ascii="Arial" w:hAnsi="Arial" w:cs="Arial"/>
                <w:b/>
                <w:sz w:val="24"/>
                <w:szCs w:val="27"/>
                <w:lang w:val="fr-FR"/>
              </w:rPr>
            </w:pPr>
            <w:r w:rsidRPr="00AD3A44">
              <w:rPr>
                <w:rFonts w:ascii="Arial" w:hAnsi="Arial" w:cs="Arial"/>
                <w:b/>
                <w:sz w:val="24"/>
                <w:szCs w:val="27"/>
                <w:lang w:val="fr-FR"/>
              </w:rPr>
              <w:t>NATIONS</w:t>
            </w:r>
            <w:r w:rsidR="003E2E57" w:rsidRPr="00AD3A44">
              <w:rPr>
                <w:rFonts w:ascii="Arial" w:hAnsi="Arial" w:cs="Arial"/>
                <w:b/>
                <w:sz w:val="24"/>
                <w:szCs w:val="27"/>
                <w:lang w:val="fr-FR"/>
              </w:rPr>
              <w:t xml:space="preserve"> </w:t>
            </w:r>
            <w:r w:rsidR="00032E4E" w:rsidRPr="00AD3A44">
              <w:rPr>
                <w:rFonts w:ascii="Arial" w:hAnsi="Arial" w:cs="Arial"/>
                <w:b/>
                <w:sz w:val="24"/>
                <w:szCs w:val="27"/>
                <w:lang w:val="fr-FR"/>
              </w:rPr>
              <w:br/>
            </w:r>
            <w:r w:rsidRPr="00AD3A44">
              <w:rPr>
                <w:rFonts w:ascii="Arial" w:hAnsi="Arial" w:cs="Arial"/>
                <w:b/>
                <w:sz w:val="24"/>
                <w:szCs w:val="27"/>
                <w:lang w:val="fr-FR"/>
              </w:rPr>
              <w:t>UNIES</w:t>
            </w:r>
          </w:p>
        </w:tc>
        <w:tc>
          <w:tcPr>
            <w:tcW w:w="4643" w:type="dxa"/>
          </w:tcPr>
          <w:p w14:paraId="6AA3FAE8" w14:textId="77777777" w:rsidR="00032E4E" w:rsidRPr="00AD3A44" w:rsidRDefault="00032E4E" w:rsidP="00CC278D">
            <w:pPr>
              <w:pStyle w:val="Normal-pool"/>
              <w:rPr>
                <w:rFonts w:ascii="Univers" w:hAnsi="Univers"/>
                <w:lang w:val="fr-FR"/>
              </w:rPr>
            </w:pPr>
          </w:p>
        </w:tc>
        <w:tc>
          <w:tcPr>
            <w:tcW w:w="3335" w:type="dxa"/>
          </w:tcPr>
          <w:p w14:paraId="2FDD92D0" w14:textId="77777777" w:rsidR="00032E4E" w:rsidRPr="00AD3A44" w:rsidRDefault="00787688" w:rsidP="00CC278D">
            <w:pPr>
              <w:pStyle w:val="Normal-pool"/>
              <w:jc w:val="right"/>
              <w:rPr>
                <w:rFonts w:ascii="Arial" w:hAnsi="Arial" w:cs="Arial"/>
                <w:b/>
                <w:sz w:val="56"/>
                <w:szCs w:val="64"/>
                <w:lang w:val="fr-FR"/>
              </w:rPr>
            </w:pPr>
            <w:r w:rsidRPr="00AD3A44">
              <w:rPr>
                <w:rFonts w:ascii="Arial" w:hAnsi="Arial" w:cs="Arial"/>
                <w:b/>
                <w:sz w:val="56"/>
                <w:szCs w:val="64"/>
                <w:lang w:val="fr-FR"/>
              </w:rPr>
              <w:t>MC</w:t>
            </w:r>
          </w:p>
        </w:tc>
      </w:tr>
      <w:tr w:rsidR="00032E4E" w:rsidRPr="00AD3A44" w14:paraId="50B88763" w14:textId="77777777" w:rsidTr="002B25BD">
        <w:trPr>
          <w:cantSplit/>
          <w:trHeight w:val="281"/>
          <w:jc w:val="right"/>
        </w:trPr>
        <w:tc>
          <w:tcPr>
            <w:tcW w:w="1518" w:type="dxa"/>
            <w:tcBorders>
              <w:bottom w:val="single" w:sz="4" w:space="0" w:color="auto"/>
            </w:tcBorders>
          </w:tcPr>
          <w:p w14:paraId="19F2FB98" w14:textId="77777777" w:rsidR="00032E4E" w:rsidRPr="00AD3A44" w:rsidRDefault="00032E4E" w:rsidP="00CC278D">
            <w:pPr>
              <w:pStyle w:val="Normal-pool"/>
              <w:rPr>
                <w:sz w:val="18"/>
                <w:szCs w:val="18"/>
                <w:lang w:val="fr-FR"/>
              </w:rPr>
            </w:pPr>
          </w:p>
        </w:tc>
        <w:tc>
          <w:tcPr>
            <w:tcW w:w="4643" w:type="dxa"/>
            <w:tcBorders>
              <w:bottom w:val="single" w:sz="4" w:space="0" w:color="auto"/>
            </w:tcBorders>
          </w:tcPr>
          <w:p w14:paraId="19AAB217" w14:textId="77777777" w:rsidR="00032E4E" w:rsidRPr="00AD3A44" w:rsidRDefault="00032E4E" w:rsidP="00CC278D">
            <w:pPr>
              <w:pStyle w:val="Normal-pool"/>
              <w:rPr>
                <w:sz w:val="18"/>
                <w:szCs w:val="18"/>
                <w:lang w:val="fr-FR"/>
              </w:rPr>
            </w:pPr>
          </w:p>
        </w:tc>
        <w:tc>
          <w:tcPr>
            <w:tcW w:w="3335" w:type="dxa"/>
            <w:tcBorders>
              <w:bottom w:val="single" w:sz="4" w:space="0" w:color="auto"/>
            </w:tcBorders>
          </w:tcPr>
          <w:p w14:paraId="447ED4DA" w14:textId="5736A151" w:rsidR="00032E4E" w:rsidRPr="00AD3A44" w:rsidRDefault="00032E4E" w:rsidP="00CC278D">
            <w:pPr>
              <w:pStyle w:val="Normal-pool"/>
              <w:rPr>
                <w:sz w:val="18"/>
                <w:szCs w:val="18"/>
                <w:lang w:val="fr-FR"/>
              </w:rPr>
            </w:pPr>
            <w:r w:rsidRPr="00AD3A44">
              <w:rPr>
                <w:b/>
                <w:bCs/>
                <w:sz w:val="28"/>
                <w:lang w:val="fr-FR"/>
              </w:rPr>
              <w:t>UNEP</w:t>
            </w:r>
            <w:bookmarkStart w:id="0" w:name="OLE_LINK1"/>
            <w:bookmarkStart w:id="1" w:name="OLE_LINK2"/>
            <w:r w:rsidR="00787688" w:rsidRPr="00AD3A44">
              <w:rPr>
                <w:b/>
                <w:bCs/>
                <w:sz w:val="28"/>
                <w:lang w:val="fr-FR"/>
              </w:rPr>
              <w:t>/</w:t>
            </w:r>
            <w:r w:rsidR="00787688" w:rsidRPr="00AD3A44">
              <w:rPr>
                <w:lang w:val="fr-FR"/>
              </w:rPr>
              <w:t>MC</w:t>
            </w:r>
            <w:r w:rsidRPr="00AD3A44">
              <w:rPr>
                <w:lang w:val="fr-FR"/>
              </w:rPr>
              <w:t>/</w:t>
            </w:r>
            <w:bookmarkEnd w:id="0"/>
            <w:bookmarkEnd w:id="1"/>
            <w:r w:rsidR="00787688" w:rsidRPr="00AD3A44">
              <w:rPr>
                <w:lang w:val="fr-FR"/>
              </w:rPr>
              <w:t>COP.</w:t>
            </w:r>
            <w:r w:rsidR="00BB4998" w:rsidRPr="00AD3A44">
              <w:rPr>
                <w:lang w:val="fr-FR"/>
              </w:rPr>
              <w:t>3</w:t>
            </w:r>
            <w:r w:rsidRPr="00AD3A44">
              <w:rPr>
                <w:lang w:val="fr-FR"/>
              </w:rPr>
              <w:t>/</w:t>
            </w:r>
            <w:r w:rsidR="00BB4998" w:rsidRPr="00AD3A44">
              <w:rPr>
                <w:lang w:val="fr-FR"/>
              </w:rPr>
              <w:t>4</w:t>
            </w:r>
          </w:p>
        </w:tc>
      </w:tr>
      <w:bookmarkStart w:id="2" w:name="_MON_1021710482"/>
      <w:bookmarkEnd w:id="2"/>
      <w:bookmarkStart w:id="3" w:name="_MON_1021710510"/>
      <w:bookmarkEnd w:id="3"/>
      <w:tr w:rsidR="00032E4E" w:rsidRPr="00E4126D" w14:paraId="5129AE65" w14:textId="77777777" w:rsidTr="002B25BD">
        <w:trPr>
          <w:cantSplit/>
          <w:trHeight w:val="2549"/>
          <w:jc w:val="right"/>
        </w:trPr>
        <w:tc>
          <w:tcPr>
            <w:tcW w:w="1518" w:type="dxa"/>
            <w:tcBorders>
              <w:top w:val="single" w:sz="4" w:space="0" w:color="auto"/>
              <w:bottom w:val="single" w:sz="24" w:space="0" w:color="auto"/>
            </w:tcBorders>
          </w:tcPr>
          <w:p w14:paraId="522EB2C9" w14:textId="77777777" w:rsidR="00032E4E" w:rsidRPr="00AD3A44" w:rsidRDefault="00A279A1" w:rsidP="00CC278D">
            <w:pPr>
              <w:pStyle w:val="Normal-pool"/>
              <w:rPr>
                <w:lang w:val="fr-FR"/>
              </w:rPr>
            </w:pPr>
            <w:r w:rsidRPr="00AD3A44">
              <w:rPr>
                <w:lang w:val="fr-FR"/>
              </w:rPr>
              <w:object w:dxaOrig="1831" w:dyaOrig="1726" w14:anchorId="7F3D70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1pt;height:56.3pt;mso-width-percent:0;mso-height-percent:0;mso-width-percent:0;mso-height-percent:0" o:ole="" fillcolor="window">
                  <v:imagedata r:id="rId8" o:title=""/>
                </v:shape>
                <o:OLEObject Type="Embed" ProgID="Word.Picture.8" ShapeID="_x0000_i1025" DrawAspect="Content" ObjectID="_1630215848" r:id="rId9"/>
              </w:object>
            </w:r>
            <w:r w:rsidR="00011A16" w:rsidRPr="00AD3A44">
              <w:rPr>
                <w:noProof/>
                <w:lang w:val="fr-FR" w:eastAsia="fr-FR"/>
              </w:rPr>
              <w:drawing>
                <wp:inline distT="0" distB="0" distL="0" distR="0" wp14:anchorId="731DCC7A" wp14:editId="593A5A55">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648DB058" w14:textId="79CD5340" w:rsidR="00032E4E" w:rsidRPr="00AD3A44" w:rsidRDefault="002B25BD" w:rsidP="00CC278D">
            <w:pPr>
              <w:pStyle w:val="Normal-pool"/>
              <w:spacing w:before="1200"/>
              <w:rPr>
                <w:rFonts w:ascii="Arial" w:hAnsi="Arial" w:cs="Arial"/>
                <w:b/>
                <w:sz w:val="28"/>
                <w:lang w:val="fr-FR"/>
              </w:rPr>
            </w:pPr>
            <w:r w:rsidRPr="00AD3A44">
              <w:rPr>
                <w:rFonts w:ascii="Arial" w:hAnsi="Arial" w:cs="Arial"/>
                <w:b/>
                <w:sz w:val="32"/>
                <w:szCs w:val="32"/>
                <w:lang w:val="fr-FR"/>
              </w:rPr>
              <w:t>Programme</w:t>
            </w:r>
            <w:r w:rsidRPr="00AD3A44">
              <w:rPr>
                <w:rFonts w:ascii="Arial" w:hAnsi="Arial" w:cs="Arial"/>
                <w:b/>
                <w:sz w:val="32"/>
                <w:szCs w:val="32"/>
                <w:lang w:val="fr-FR"/>
              </w:rPr>
              <w:br/>
              <w:t>des Nations</w:t>
            </w:r>
            <w:r w:rsidR="001D333A">
              <w:rPr>
                <w:rFonts w:ascii="Arial" w:hAnsi="Arial" w:cs="Arial"/>
                <w:b/>
                <w:sz w:val="32"/>
                <w:szCs w:val="32"/>
                <w:lang w:val="fr-FR"/>
              </w:rPr>
              <w:t> </w:t>
            </w:r>
            <w:r w:rsidRPr="00AD3A44">
              <w:rPr>
                <w:rFonts w:ascii="Arial" w:hAnsi="Arial" w:cs="Arial"/>
                <w:b/>
                <w:sz w:val="32"/>
                <w:szCs w:val="32"/>
                <w:lang w:val="fr-FR"/>
              </w:rPr>
              <w:t>Unies</w:t>
            </w:r>
            <w:r w:rsidRPr="00AD3A44">
              <w:rPr>
                <w:rFonts w:ascii="Arial" w:hAnsi="Arial" w:cs="Arial"/>
                <w:b/>
                <w:sz w:val="32"/>
                <w:szCs w:val="32"/>
                <w:lang w:val="fr-FR"/>
              </w:rPr>
              <w:br/>
              <w:t>pour l’environnement</w:t>
            </w:r>
          </w:p>
        </w:tc>
        <w:tc>
          <w:tcPr>
            <w:tcW w:w="3335" w:type="dxa"/>
            <w:tcBorders>
              <w:top w:val="single" w:sz="4" w:space="0" w:color="auto"/>
              <w:bottom w:val="single" w:sz="24" w:space="0" w:color="auto"/>
            </w:tcBorders>
            <w:shd w:val="clear" w:color="auto" w:fill="auto"/>
          </w:tcPr>
          <w:p w14:paraId="2AB30C51" w14:textId="35B2139B" w:rsidR="00032E4E" w:rsidRPr="00AD3A44" w:rsidRDefault="00032E4E" w:rsidP="00CC278D">
            <w:pPr>
              <w:pStyle w:val="Normal-pool"/>
              <w:spacing w:before="120"/>
              <w:rPr>
                <w:lang w:val="fr-FR"/>
              </w:rPr>
            </w:pPr>
            <w:r w:rsidRPr="00AD3A44">
              <w:rPr>
                <w:lang w:val="fr-FR"/>
              </w:rPr>
              <w:t>Distr.</w:t>
            </w:r>
            <w:r w:rsidR="002B25BD" w:rsidRPr="00AD3A44">
              <w:rPr>
                <w:lang w:val="fr-FR"/>
              </w:rPr>
              <w:t xml:space="preserve"> générale</w:t>
            </w:r>
            <w:r w:rsidR="005B2DF4" w:rsidRPr="00AD3A44">
              <w:rPr>
                <w:lang w:val="fr-FR"/>
              </w:rPr>
              <w:t xml:space="preserve"> </w:t>
            </w:r>
            <w:r w:rsidRPr="00AD3A44">
              <w:rPr>
                <w:lang w:val="fr-FR"/>
              </w:rPr>
              <w:br w:type="textWrapping" w:clear="all"/>
            </w:r>
            <w:r w:rsidR="00CC278D" w:rsidRPr="00AD3A44">
              <w:rPr>
                <w:lang w:val="fr-FR"/>
              </w:rPr>
              <w:t>1</w:t>
            </w:r>
            <w:r w:rsidR="002B25BD" w:rsidRPr="00AD3A44">
              <w:rPr>
                <w:vertAlign w:val="superscript"/>
                <w:lang w:val="fr-FR"/>
              </w:rPr>
              <w:t>er</w:t>
            </w:r>
            <w:r w:rsidR="002B25BD" w:rsidRPr="00AD3A44">
              <w:rPr>
                <w:lang w:val="fr-FR"/>
              </w:rPr>
              <w:t> septembre </w:t>
            </w:r>
            <w:r w:rsidR="00BB4998" w:rsidRPr="00AD3A44">
              <w:rPr>
                <w:lang w:val="fr-FR"/>
              </w:rPr>
              <w:t>2019</w:t>
            </w:r>
          </w:p>
          <w:p w14:paraId="6420B41C" w14:textId="77777777" w:rsidR="002B25BD" w:rsidRPr="00AD3A44" w:rsidRDefault="002B25BD" w:rsidP="002B25BD">
            <w:pPr>
              <w:pStyle w:val="Normal-pool"/>
              <w:rPr>
                <w:lang w:val="fr-FR"/>
              </w:rPr>
            </w:pPr>
          </w:p>
          <w:p w14:paraId="0B18A0E8" w14:textId="6B93AD02" w:rsidR="002B25BD" w:rsidRPr="00AD3A44" w:rsidRDefault="002B25BD" w:rsidP="002B25BD">
            <w:pPr>
              <w:pStyle w:val="Normal-pool"/>
              <w:rPr>
                <w:lang w:val="fr-FR"/>
              </w:rPr>
            </w:pPr>
            <w:r w:rsidRPr="00AD3A44">
              <w:rPr>
                <w:lang w:val="fr-FR"/>
              </w:rPr>
              <w:t>Français</w:t>
            </w:r>
          </w:p>
          <w:p w14:paraId="31EC4BEE" w14:textId="505457D0" w:rsidR="00032E4E" w:rsidRPr="00AD3A44" w:rsidRDefault="00032E4E" w:rsidP="002B25BD">
            <w:pPr>
              <w:pStyle w:val="Normal-pool"/>
              <w:rPr>
                <w:lang w:val="fr-FR"/>
              </w:rPr>
            </w:pPr>
            <w:r w:rsidRPr="00AD3A44">
              <w:rPr>
                <w:lang w:val="fr-FR"/>
              </w:rPr>
              <w:t>Original</w:t>
            </w:r>
            <w:r w:rsidR="002B25BD" w:rsidRPr="00AD3A44">
              <w:rPr>
                <w:lang w:val="fr-FR"/>
              </w:rPr>
              <w:t> </w:t>
            </w:r>
            <w:r w:rsidRPr="00AD3A44">
              <w:rPr>
                <w:lang w:val="fr-FR"/>
              </w:rPr>
              <w:t xml:space="preserve">: </w:t>
            </w:r>
            <w:r w:rsidR="002B25BD" w:rsidRPr="00AD3A44">
              <w:rPr>
                <w:lang w:val="fr-FR"/>
              </w:rPr>
              <w:t>anglais</w:t>
            </w:r>
          </w:p>
        </w:tc>
      </w:tr>
    </w:tbl>
    <w:p w14:paraId="471436BA" w14:textId="50102C7F" w:rsidR="00E976AB" w:rsidRPr="00AD3A44" w:rsidRDefault="002B25BD" w:rsidP="00E976AB">
      <w:pPr>
        <w:pStyle w:val="AATitle"/>
        <w:keepNext w:val="0"/>
        <w:keepLines w:val="0"/>
        <w:rPr>
          <w:lang w:val="fr-FR"/>
        </w:rPr>
      </w:pPr>
      <w:r w:rsidRPr="00AD3A44">
        <w:rPr>
          <w:lang w:val="fr-FR"/>
        </w:rPr>
        <w:t>Conférence des Parties à la Convention de Minamata sur le mercure</w:t>
      </w:r>
    </w:p>
    <w:p w14:paraId="6D8455D5" w14:textId="183C69D8" w:rsidR="00E976AB" w:rsidRPr="00AD3A44" w:rsidRDefault="002B25BD" w:rsidP="00E976AB">
      <w:pPr>
        <w:pStyle w:val="AATitle"/>
        <w:keepNext w:val="0"/>
        <w:keepLines w:val="0"/>
        <w:rPr>
          <w:lang w:val="fr-FR"/>
        </w:rPr>
      </w:pPr>
      <w:r w:rsidRPr="00AD3A44">
        <w:rPr>
          <w:lang w:val="fr-FR"/>
        </w:rPr>
        <w:t>Troisième réunion</w:t>
      </w:r>
    </w:p>
    <w:p w14:paraId="08DDCB89" w14:textId="62C75E4D" w:rsidR="00787688" w:rsidRPr="00AD3A44" w:rsidRDefault="00787688" w:rsidP="00434321">
      <w:pPr>
        <w:pStyle w:val="AATitle"/>
        <w:rPr>
          <w:b w:val="0"/>
          <w:lang w:val="fr-FR"/>
        </w:rPr>
      </w:pPr>
      <w:r w:rsidRPr="00AD3A44">
        <w:rPr>
          <w:b w:val="0"/>
          <w:lang w:val="fr-FR"/>
        </w:rPr>
        <w:t>Gen</w:t>
      </w:r>
      <w:r w:rsidR="002B25BD" w:rsidRPr="00AD3A44">
        <w:rPr>
          <w:b w:val="0"/>
          <w:lang w:val="fr-FR"/>
        </w:rPr>
        <w:t>ève</w:t>
      </w:r>
      <w:r w:rsidR="00E976AB" w:rsidRPr="00AD3A44">
        <w:rPr>
          <w:b w:val="0"/>
          <w:lang w:val="fr-FR"/>
        </w:rPr>
        <w:t xml:space="preserve">, </w:t>
      </w:r>
      <w:r w:rsidR="00BB4998" w:rsidRPr="00AD3A44">
        <w:rPr>
          <w:b w:val="0"/>
          <w:lang w:val="fr-FR"/>
        </w:rPr>
        <w:t>25</w:t>
      </w:r>
      <w:r w:rsidR="00363E4E" w:rsidRPr="00AD3A44">
        <w:rPr>
          <w:b w:val="0"/>
          <w:lang w:val="fr-FR"/>
        </w:rPr>
        <w:t>–</w:t>
      </w:r>
      <w:r w:rsidR="00BB4998" w:rsidRPr="00AD3A44">
        <w:rPr>
          <w:b w:val="0"/>
          <w:lang w:val="fr-FR"/>
        </w:rPr>
        <w:t>29</w:t>
      </w:r>
      <w:r w:rsidR="002B25BD" w:rsidRPr="00AD3A44">
        <w:rPr>
          <w:b w:val="0"/>
          <w:lang w:val="fr-FR"/>
        </w:rPr>
        <w:t> novembre </w:t>
      </w:r>
      <w:r w:rsidR="00434321" w:rsidRPr="00AD3A44">
        <w:rPr>
          <w:b w:val="0"/>
          <w:lang w:val="fr-FR"/>
        </w:rPr>
        <w:t>201</w:t>
      </w:r>
      <w:r w:rsidR="00BB4998" w:rsidRPr="00AD3A44">
        <w:rPr>
          <w:b w:val="0"/>
          <w:lang w:val="fr-FR"/>
        </w:rPr>
        <w:t>9</w:t>
      </w:r>
    </w:p>
    <w:p w14:paraId="3FD603B0" w14:textId="1266A9DF" w:rsidR="000C65B1" w:rsidRPr="00AD3A44" w:rsidRDefault="002B25BD" w:rsidP="00CC278D">
      <w:pPr>
        <w:pStyle w:val="AATitle"/>
        <w:rPr>
          <w:b w:val="0"/>
          <w:lang w:val="fr-FR"/>
        </w:rPr>
      </w:pPr>
      <w:r w:rsidRPr="00AD3A44">
        <w:rPr>
          <w:b w:val="0"/>
          <w:lang w:val="fr-FR"/>
        </w:rPr>
        <w:t>Point </w:t>
      </w:r>
      <w:r w:rsidR="000C65B1" w:rsidRPr="00AD3A44">
        <w:rPr>
          <w:b w:val="0"/>
          <w:lang w:val="fr-FR"/>
        </w:rPr>
        <w:t>5</w:t>
      </w:r>
      <w:r w:rsidRPr="00AD3A44">
        <w:rPr>
          <w:b w:val="0"/>
          <w:lang w:val="fr-FR"/>
        </w:rPr>
        <w:t> </w:t>
      </w:r>
      <w:r w:rsidR="00BB4998" w:rsidRPr="00AD3A44">
        <w:rPr>
          <w:b w:val="0"/>
          <w:lang w:val="fr-FR"/>
        </w:rPr>
        <w:t>a</w:t>
      </w:r>
      <w:r w:rsidR="000C65B1" w:rsidRPr="00AD3A44">
        <w:rPr>
          <w:b w:val="0"/>
          <w:lang w:val="fr-FR"/>
        </w:rPr>
        <w:t>)</w:t>
      </w:r>
      <w:r w:rsidRPr="00AD3A44">
        <w:rPr>
          <w:b w:val="0"/>
          <w:lang w:val="fr-FR"/>
        </w:rPr>
        <w:t> </w:t>
      </w:r>
      <w:r w:rsidR="00BB4998" w:rsidRPr="00AD3A44">
        <w:rPr>
          <w:b w:val="0"/>
          <w:lang w:val="fr-FR"/>
        </w:rPr>
        <w:t xml:space="preserve">i) </w:t>
      </w:r>
      <w:r w:rsidRPr="00AD3A44">
        <w:rPr>
          <w:b w:val="0"/>
          <w:lang w:val="fr-FR"/>
        </w:rPr>
        <w:t>de l’ordre du jour provisoire</w:t>
      </w:r>
      <w:r w:rsidR="000C65B1" w:rsidRPr="00AD3A44">
        <w:rPr>
          <w:b w:val="0"/>
          <w:lang w:val="fr-FR"/>
        </w:rPr>
        <w:footnoteReference w:customMarkFollows="1" w:id="1"/>
        <w:t>*</w:t>
      </w:r>
    </w:p>
    <w:p w14:paraId="10584444" w14:textId="46F58AFF" w:rsidR="000C65B1" w:rsidRPr="00AD3A44" w:rsidRDefault="00A1743C" w:rsidP="00CC278D">
      <w:pPr>
        <w:pStyle w:val="AATitle2"/>
        <w:ind w:right="3119"/>
        <w:rPr>
          <w:lang w:val="fr-FR"/>
        </w:rPr>
      </w:pPr>
      <w:r w:rsidRPr="00AD3A44">
        <w:rPr>
          <w:lang w:val="fr-FR"/>
        </w:rPr>
        <w:t>Questions soumises à la Conférence des Parties pour examen ou décision </w:t>
      </w:r>
      <w:r w:rsidR="000C65B1" w:rsidRPr="00AD3A44">
        <w:rPr>
          <w:lang w:val="fr-FR"/>
        </w:rPr>
        <w:t xml:space="preserve">: </w:t>
      </w:r>
      <w:r w:rsidRPr="00AD3A44">
        <w:rPr>
          <w:lang w:val="fr-FR"/>
        </w:rPr>
        <w:t>produits contenant du mercure ajouté et procédés de fabrication utilisant du mercure ou des composés du mercure </w:t>
      </w:r>
      <w:r w:rsidR="00BE2E9A" w:rsidRPr="00AD3A44">
        <w:rPr>
          <w:lang w:val="fr-FR"/>
        </w:rPr>
        <w:t xml:space="preserve">: </w:t>
      </w:r>
      <w:r w:rsidR="00613507">
        <w:rPr>
          <w:lang w:val="fr-FR"/>
        </w:rPr>
        <w:t>examen des Annexes A et </w:t>
      </w:r>
      <w:r w:rsidRPr="00AD3A44">
        <w:rPr>
          <w:lang w:val="fr-FR"/>
        </w:rPr>
        <w:t>B</w:t>
      </w:r>
    </w:p>
    <w:p w14:paraId="1658D062" w14:textId="4E599C8F" w:rsidR="000C65B1" w:rsidRPr="00AD3A44" w:rsidRDefault="00A1743C" w:rsidP="00CC278D">
      <w:pPr>
        <w:pStyle w:val="BBTitle"/>
        <w:rPr>
          <w:lang w:val="fr-FR"/>
        </w:rPr>
      </w:pPr>
      <w:r w:rsidRPr="00AD3A44">
        <w:rPr>
          <w:lang w:val="fr-FR"/>
        </w:rPr>
        <w:t>Examen des Annexes A et B</w:t>
      </w:r>
    </w:p>
    <w:p w14:paraId="683EF59F" w14:textId="0A4DDB40" w:rsidR="000C65B1" w:rsidRPr="00AD3A44" w:rsidRDefault="0004341B" w:rsidP="00CC278D">
      <w:pPr>
        <w:pStyle w:val="CH2"/>
        <w:rPr>
          <w:lang w:val="fr-FR"/>
        </w:rPr>
      </w:pPr>
      <w:r w:rsidRPr="00AD3A44">
        <w:rPr>
          <w:lang w:val="fr-FR"/>
        </w:rPr>
        <w:tab/>
      </w:r>
      <w:r w:rsidRPr="00AD3A44">
        <w:rPr>
          <w:lang w:val="fr-FR"/>
        </w:rPr>
        <w:tab/>
      </w:r>
      <w:r w:rsidR="000C65B1" w:rsidRPr="00AD3A44">
        <w:rPr>
          <w:lang w:val="fr-FR"/>
        </w:rPr>
        <w:t xml:space="preserve">Note </w:t>
      </w:r>
      <w:r w:rsidR="00A1743C" w:rsidRPr="00AD3A44">
        <w:rPr>
          <w:lang w:val="fr-FR"/>
        </w:rPr>
        <w:t>du secrétariat</w:t>
      </w:r>
    </w:p>
    <w:p w14:paraId="0E99DB51" w14:textId="4160E7B5" w:rsidR="00BE2E9A" w:rsidRPr="00AD3A44" w:rsidRDefault="00A1743C" w:rsidP="00CC278D">
      <w:pPr>
        <w:pStyle w:val="Normalnumber"/>
        <w:tabs>
          <w:tab w:val="clear" w:pos="1701"/>
        </w:tabs>
        <w:ind w:left="1247"/>
        <w:rPr>
          <w:lang w:val="fr-FR"/>
        </w:rPr>
      </w:pPr>
      <w:r w:rsidRPr="00AD3A44">
        <w:rPr>
          <w:lang w:val="fr-FR"/>
        </w:rPr>
        <w:t>Les articles </w:t>
      </w:r>
      <w:r w:rsidR="00BE2E9A" w:rsidRPr="00AD3A44">
        <w:rPr>
          <w:lang w:val="fr-FR"/>
        </w:rPr>
        <w:t xml:space="preserve">4 </w:t>
      </w:r>
      <w:r w:rsidRPr="00AD3A44">
        <w:rPr>
          <w:lang w:val="fr-FR"/>
        </w:rPr>
        <w:t>et</w:t>
      </w:r>
      <w:r w:rsidR="00613507">
        <w:rPr>
          <w:lang w:val="fr-FR"/>
        </w:rPr>
        <w:t> </w:t>
      </w:r>
      <w:r w:rsidR="00BE2E9A" w:rsidRPr="00AD3A44">
        <w:rPr>
          <w:lang w:val="fr-FR"/>
        </w:rPr>
        <w:t>5</w:t>
      </w:r>
      <w:r w:rsidRPr="00AD3A44">
        <w:rPr>
          <w:lang w:val="fr-FR"/>
        </w:rPr>
        <w:t xml:space="preserve"> de la Convention de </w:t>
      </w:r>
      <w:r w:rsidR="001F6F74" w:rsidRPr="00AD3A44">
        <w:rPr>
          <w:lang w:val="fr-FR"/>
        </w:rPr>
        <w:t>Minamata</w:t>
      </w:r>
      <w:r w:rsidRPr="00AD3A44">
        <w:rPr>
          <w:lang w:val="fr-FR"/>
        </w:rPr>
        <w:t xml:space="preserve"> sur le mercure prévoient l’examen des Annexes A et B</w:t>
      </w:r>
      <w:r w:rsidR="001F6F74" w:rsidRPr="00AD3A44">
        <w:rPr>
          <w:lang w:val="fr-FR"/>
        </w:rPr>
        <w:t xml:space="preserve"> </w:t>
      </w:r>
      <w:r w:rsidRPr="00AD3A44">
        <w:rPr>
          <w:lang w:val="fr-FR"/>
        </w:rPr>
        <w:t>au plus tard cinq ans après la date d’entrée en vigueur de la Convention</w:t>
      </w:r>
      <w:r w:rsidR="00BE2E9A" w:rsidRPr="00AD3A44">
        <w:rPr>
          <w:lang w:val="fr-FR"/>
        </w:rPr>
        <w:t xml:space="preserve">. </w:t>
      </w:r>
      <w:r w:rsidR="00613507">
        <w:rPr>
          <w:lang w:val="fr-FR"/>
        </w:rPr>
        <w:t>La </w:t>
      </w:r>
      <w:r w:rsidRPr="00AD3A44">
        <w:rPr>
          <w:lang w:val="fr-FR"/>
        </w:rPr>
        <w:t>Conférence</w:t>
      </w:r>
      <w:r w:rsidR="00190A70">
        <w:rPr>
          <w:lang w:val="fr-FR"/>
        </w:rPr>
        <w:t xml:space="preserve"> des Parties</w:t>
      </w:r>
      <w:r w:rsidR="00AA23EF" w:rsidRPr="00AD3A44">
        <w:rPr>
          <w:lang w:val="fr-FR"/>
        </w:rPr>
        <w:t xml:space="preserve"> s’est penchée sur la question à sa deuxième réunion et a convenu d’en reporter l’examen plus poussé à sa troisième réunion</w:t>
      </w:r>
      <w:r w:rsidR="00BE2E9A" w:rsidRPr="00AD3A44">
        <w:rPr>
          <w:lang w:val="fr-FR"/>
        </w:rPr>
        <w:t>,</w:t>
      </w:r>
      <w:r w:rsidR="00AA23EF" w:rsidRPr="00AD3A44">
        <w:rPr>
          <w:lang w:val="fr-FR"/>
        </w:rPr>
        <w:t xml:space="preserve"> priant le secrétariat d’élaborer un document</w:t>
      </w:r>
      <w:r w:rsidR="00613507">
        <w:rPr>
          <w:lang w:val="fr-FR"/>
        </w:rPr>
        <w:t xml:space="preserve"> à ce </w:t>
      </w:r>
      <w:r w:rsidR="005A214D" w:rsidRPr="00AD3A44">
        <w:rPr>
          <w:lang w:val="fr-FR"/>
        </w:rPr>
        <w:t>sujet pour examen à cette réunion</w:t>
      </w:r>
      <w:r w:rsidR="00BE2E9A" w:rsidRPr="00AD3A44">
        <w:rPr>
          <w:lang w:val="fr-FR"/>
        </w:rPr>
        <w:t>.</w:t>
      </w:r>
    </w:p>
    <w:p w14:paraId="3F7F7CC1" w14:textId="534A8CEF" w:rsidR="00BE2E9A" w:rsidRPr="00AD3A44" w:rsidRDefault="005A214D" w:rsidP="00765562">
      <w:pPr>
        <w:pStyle w:val="Normalnumber"/>
        <w:tabs>
          <w:tab w:val="clear" w:pos="1701"/>
        </w:tabs>
        <w:ind w:left="1247"/>
        <w:rPr>
          <w:lang w:val="fr-FR"/>
        </w:rPr>
      </w:pPr>
      <w:r w:rsidRPr="00AD3A44">
        <w:rPr>
          <w:lang w:val="fr-FR"/>
        </w:rPr>
        <w:t xml:space="preserve">La présente note explique </w:t>
      </w:r>
      <w:r w:rsidR="008C74CA" w:rsidRPr="00AD3A44">
        <w:rPr>
          <w:lang w:val="fr-FR"/>
        </w:rPr>
        <w:t>la procédure</w:t>
      </w:r>
      <w:r w:rsidRPr="00AD3A44">
        <w:rPr>
          <w:lang w:val="fr-FR"/>
        </w:rPr>
        <w:t xml:space="preserve"> d’examen des Annexes A et B, </w:t>
      </w:r>
      <w:r w:rsidR="00190A70">
        <w:rPr>
          <w:lang w:val="fr-FR"/>
        </w:rPr>
        <w:t>comme suite</w:t>
      </w:r>
      <w:r w:rsidR="00613507">
        <w:rPr>
          <w:lang w:val="fr-FR"/>
        </w:rPr>
        <w:t xml:space="preserve"> à la </w:t>
      </w:r>
      <w:r w:rsidRPr="00AD3A44">
        <w:rPr>
          <w:lang w:val="fr-FR"/>
        </w:rPr>
        <w:t>demande formulée par la Conférence</w:t>
      </w:r>
      <w:r w:rsidR="00BE2E9A" w:rsidRPr="00AD3A44">
        <w:rPr>
          <w:lang w:val="fr-FR"/>
        </w:rPr>
        <w:t>.</w:t>
      </w:r>
    </w:p>
    <w:p w14:paraId="18E1D926" w14:textId="1EE51B1F" w:rsidR="00BE2E9A" w:rsidRPr="00AD3A44" w:rsidRDefault="00740EA2" w:rsidP="00740EA2">
      <w:pPr>
        <w:pStyle w:val="CH2"/>
        <w:ind w:firstLine="0"/>
        <w:rPr>
          <w:lang w:val="fr-FR"/>
        </w:rPr>
      </w:pPr>
      <w:r w:rsidRPr="00AD3A44">
        <w:rPr>
          <w:lang w:val="fr-FR"/>
        </w:rPr>
        <w:t>Examen de l’Annexe </w:t>
      </w:r>
      <w:r w:rsidR="00BE2E9A" w:rsidRPr="00AD3A44">
        <w:rPr>
          <w:lang w:val="fr-FR"/>
        </w:rPr>
        <w:t>A</w:t>
      </w:r>
    </w:p>
    <w:p w14:paraId="2B5442E6" w14:textId="6FA47194" w:rsidR="00BE2E9A" w:rsidRPr="00AD3A44" w:rsidRDefault="00C42078" w:rsidP="00765562">
      <w:pPr>
        <w:pStyle w:val="Normalnumber"/>
        <w:tabs>
          <w:tab w:val="clear" w:pos="1701"/>
        </w:tabs>
        <w:ind w:left="1247"/>
        <w:rPr>
          <w:lang w:val="fr-FR"/>
        </w:rPr>
      </w:pPr>
      <w:r w:rsidRPr="00AD3A44">
        <w:rPr>
          <w:bCs/>
          <w:lang w:val="fr-FR"/>
        </w:rPr>
        <w:t>L’</w:t>
      </w:r>
      <w:r w:rsidR="00BE2E9A" w:rsidRPr="00AD3A44">
        <w:rPr>
          <w:bCs/>
          <w:lang w:val="fr-FR"/>
        </w:rPr>
        <w:t>Annex</w:t>
      </w:r>
      <w:r w:rsidRPr="00AD3A44">
        <w:rPr>
          <w:bCs/>
          <w:lang w:val="fr-FR"/>
        </w:rPr>
        <w:t>e </w:t>
      </w:r>
      <w:r w:rsidR="00BE2E9A" w:rsidRPr="00AD3A44">
        <w:rPr>
          <w:bCs/>
          <w:lang w:val="fr-FR"/>
        </w:rPr>
        <w:t xml:space="preserve">A </w:t>
      </w:r>
      <w:r w:rsidRPr="00AD3A44">
        <w:rPr>
          <w:bCs/>
          <w:lang w:val="fr-FR"/>
        </w:rPr>
        <w:t>de la</w:t>
      </w:r>
      <w:r w:rsidR="00BE2E9A" w:rsidRPr="00AD3A44">
        <w:rPr>
          <w:bCs/>
          <w:lang w:val="fr-FR"/>
        </w:rPr>
        <w:t xml:space="preserve"> Convention </w:t>
      </w:r>
      <w:r w:rsidR="0061252E">
        <w:rPr>
          <w:bCs/>
          <w:lang w:val="fr-FR"/>
        </w:rPr>
        <w:t xml:space="preserve">se divise en </w:t>
      </w:r>
      <w:r w:rsidRPr="00AD3A44">
        <w:rPr>
          <w:bCs/>
          <w:lang w:val="fr-FR"/>
        </w:rPr>
        <w:t>trois </w:t>
      </w:r>
      <w:r w:rsidR="00F24167" w:rsidRPr="00AD3A44">
        <w:rPr>
          <w:bCs/>
          <w:lang w:val="fr-FR"/>
        </w:rPr>
        <w:t>sections</w:t>
      </w:r>
      <w:r w:rsidR="0061252E">
        <w:rPr>
          <w:bCs/>
          <w:lang w:val="fr-FR"/>
        </w:rPr>
        <w:t>, à savoir les suivantes :</w:t>
      </w:r>
      <w:r w:rsidRPr="00AD3A44">
        <w:rPr>
          <w:bCs/>
          <w:lang w:val="fr-FR"/>
        </w:rPr>
        <w:t xml:space="preserve"> produits exclus de l’Annexe, première partie et deuxième partie</w:t>
      </w:r>
      <w:r w:rsidR="001D47B1" w:rsidRPr="00AD3A44">
        <w:rPr>
          <w:lang w:val="fr-FR"/>
        </w:rPr>
        <w:t xml:space="preserve">. </w:t>
      </w:r>
      <w:r w:rsidRPr="00AD3A44">
        <w:rPr>
          <w:lang w:val="fr-FR"/>
        </w:rPr>
        <w:t>Cinq catégories de produits sont exclu</w:t>
      </w:r>
      <w:r w:rsidR="0039244B" w:rsidRPr="00AD3A44">
        <w:rPr>
          <w:lang w:val="fr-FR"/>
        </w:rPr>
        <w:t>e</w:t>
      </w:r>
      <w:r w:rsidRPr="00AD3A44">
        <w:rPr>
          <w:lang w:val="fr-FR"/>
        </w:rPr>
        <w:t>s de l’Annexe</w:t>
      </w:r>
      <w:r w:rsidR="001D47B1" w:rsidRPr="00AD3A44">
        <w:rPr>
          <w:lang w:val="fr-FR"/>
        </w:rPr>
        <w:t>.</w:t>
      </w:r>
      <w:r w:rsidRPr="00AD3A44">
        <w:rPr>
          <w:lang w:val="fr-FR"/>
        </w:rPr>
        <w:t xml:space="preserve"> </w:t>
      </w:r>
      <w:r w:rsidR="00832C7B">
        <w:rPr>
          <w:lang w:val="fr-FR"/>
        </w:rPr>
        <w:t>Dans l</w:t>
      </w:r>
      <w:r w:rsidRPr="00AD3A44">
        <w:rPr>
          <w:lang w:val="fr-FR"/>
        </w:rPr>
        <w:t xml:space="preserve">a première partie </w:t>
      </w:r>
      <w:r w:rsidR="00832C7B">
        <w:rPr>
          <w:lang w:val="fr-FR"/>
        </w:rPr>
        <w:t>figurent</w:t>
      </w:r>
      <w:r w:rsidRPr="00AD3A44">
        <w:rPr>
          <w:lang w:val="fr-FR"/>
        </w:rPr>
        <w:t xml:space="preserve"> neuf produits</w:t>
      </w:r>
      <w:r w:rsidR="001D47B1" w:rsidRPr="00AD3A44">
        <w:rPr>
          <w:lang w:val="fr-FR"/>
        </w:rPr>
        <w:t xml:space="preserve"> </w:t>
      </w:r>
      <w:r w:rsidRPr="00AD3A44">
        <w:rPr>
          <w:lang w:val="fr-FR"/>
        </w:rPr>
        <w:t xml:space="preserve">contenant du mercure ajouté </w:t>
      </w:r>
      <w:r w:rsidR="0061252E">
        <w:rPr>
          <w:lang w:val="fr-FR"/>
        </w:rPr>
        <w:t xml:space="preserve">qui sont </w:t>
      </w:r>
      <w:r w:rsidR="0039244B" w:rsidRPr="00AD3A44">
        <w:rPr>
          <w:lang w:val="fr-FR"/>
        </w:rPr>
        <w:t>soumis au paragraphe 1 de l’article 4</w:t>
      </w:r>
      <w:r w:rsidR="00BE2E9A" w:rsidRPr="00AD3A44">
        <w:rPr>
          <w:lang w:val="fr-FR"/>
        </w:rPr>
        <w:t xml:space="preserve">, </w:t>
      </w:r>
      <w:r w:rsidR="0061252E">
        <w:rPr>
          <w:lang w:val="fr-FR"/>
        </w:rPr>
        <w:t xml:space="preserve">lequel exige </w:t>
      </w:r>
      <w:r w:rsidR="00832C7B">
        <w:rPr>
          <w:lang w:val="fr-FR"/>
        </w:rPr>
        <w:t>que l</w:t>
      </w:r>
      <w:r w:rsidR="0061252E">
        <w:rPr>
          <w:lang w:val="fr-FR"/>
        </w:rPr>
        <w:t>es</w:t>
      </w:r>
      <w:r w:rsidR="00BE2E9A" w:rsidRPr="00AD3A44">
        <w:rPr>
          <w:lang w:val="fr-FR"/>
        </w:rPr>
        <w:t xml:space="preserve"> </w:t>
      </w:r>
      <w:r w:rsidR="0039244B" w:rsidRPr="00AD3A44">
        <w:rPr>
          <w:lang w:val="fr-FR"/>
        </w:rPr>
        <w:t>P</w:t>
      </w:r>
      <w:r w:rsidR="00BE2E9A" w:rsidRPr="00AD3A44">
        <w:rPr>
          <w:lang w:val="fr-FR"/>
        </w:rPr>
        <w:t xml:space="preserve">arties </w:t>
      </w:r>
      <w:r w:rsidR="0039244B" w:rsidRPr="00AD3A44">
        <w:rPr>
          <w:lang w:val="fr-FR"/>
        </w:rPr>
        <w:t>pren</w:t>
      </w:r>
      <w:r w:rsidR="00832C7B">
        <w:rPr>
          <w:lang w:val="fr-FR"/>
        </w:rPr>
        <w:t>ne</w:t>
      </w:r>
      <w:r w:rsidR="0039244B" w:rsidRPr="00AD3A44">
        <w:rPr>
          <w:lang w:val="fr-FR"/>
        </w:rPr>
        <w:t>nt des mesures appropriées</w:t>
      </w:r>
      <w:r w:rsidR="00832C7B">
        <w:rPr>
          <w:lang w:val="fr-FR"/>
        </w:rPr>
        <w:t xml:space="preserve"> pour </w:t>
      </w:r>
      <w:r w:rsidR="00832C7B" w:rsidRPr="00832C7B">
        <w:rPr>
          <w:lang w:val="fr-FR"/>
        </w:rPr>
        <w:t>faire en sorte</w:t>
      </w:r>
      <w:r w:rsidR="0039244B" w:rsidRPr="00AD3A44">
        <w:rPr>
          <w:lang w:val="fr-FR"/>
        </w:rPr>
        <w:t xml:space="preserve"> qu’aucun de ces produits ne soit fabriqué, importé ou exporté après la date d’abandon définitif fixée</w:t>
      </w:r>
      <w:r w:rsidR="00BE2E9A" w:rsidRPr="00AD3A44">
        <w:rPr>
          <w:lang w:val="fr-FR"/>
        </w:rPr>
        <w:t>.</w:t>
      </w:r>
      <w:r w:rsidR="0039244B" w:rsidRPr="00AD3A44">
        <w:rPr>
          <w:lang w:val="fr-FR"/>
        </w:rPr>
        <w:t xml:space="preserve"> La deuxième partie én</w:t>
      </w:r>
      <w:r w:rsidR="00832C7B">
        <w:rPr>
          <w:lang w:val="fr-FR"/>
        </w:rPr>
        <w:t>onc</w:t>
      </w:r>
      <w:r w:rsidR="0039244B" w:rsidRPr="00AD3A44">
        <w:rPr>
          <w:lang w:val="fr-FR"/>
        </w:rPr>
        <w:t>e les produits</w:t>
      </w:r>
      <w:r w:rsidR="00BE2E9A" w:rsidRPr="00AD3A44">
        <w:rPr>
          <w:lang w:val="fr-FR"/>
        </w:rPr>
        <w:t xml:space="preserve"> </w:t>
      </w:r>
      <w:r w:rsidR="0039244B" w:rsidRPr="00AD3A44">
        <w:rPr>
          <w:lang w:val="fr-FR"/>
        </w:rPr>
        <w:t>soumis au paragraphe</w:t>
      </w:r>
      <w:r w:rsidR="00495A11" w:rsidRPr="00AD3A44">
        <w:rPr>
          <w:lang w:val="fr-FR"/>
        </w:rPr>
        <w:t> </w:t>
      </w:r>
      <w:r w:rsidR="0039244B" w:rsidRPr="00AD3A44">
        <w:rPr>
          <w:lang w:val="fr-FR"/>
        </w:rPr>
        <w:t>3 de l’article</w:t>
      </w:r>
      <w:r w:rsidR="00495A11" w:rsidRPr="00AD3A44">
        <w:rPr>
          <w:lang w:val="fr-FR"/>
        </w:rPr>
        <w:t> </w:t>
      </w:r>
      <w:r w:rsidR="0039244B" w:rsidRPr="00AD3A44">
        <w:rPr>
          <w:lang w:val="fr-FR"/>
        </w:rPr>
        <w:t>4</w:t>
      </w:r>
      <w:r w:rsidR="00495A11" w:rsidRPr="00AD3A44">
        <w:rPr>
          <w:lang w:val="fr-FR"/>
        </w:rPr>
        <w:t xml:space="preserve"> et les mesures que les Parties </w:t>
      </w:r>
      <w:r w:rsidR="008D48C2" w:rsidRPr="00AD3A44">
        <w:rPr>
          <w:lang w:val="fr-FR"/>
        </w:rPr>
        <w:t>doivent prendre</w:t>
      </w:r>
      <w:r w:rsidR="00495A11" w:rsidRPr="00AD3A44">
        <w:rPr>
          <w:lang w:val="fr-FR"/>
        </w:rPr>
        <w:t xml:space="preserve"> </w:t>
      </w:r>
      <w:r w:rsidR="00832C7B">
        <w:rPr>
          <w:lang w:val="fr-FR"/>
        </w:rPr>
        <w:t>à leur endroit</w:t>
      </w:r>
      <w:r w:rsidR="00BE2E9A" w:rsidRPr="00AD3A44">
        <w:rPr>
          <w:lang w:val="fr-FR"/>
        </w:rPr>
        <w:t>.</w:t>
      </w:r>
      <w:r w:rsidR="00495A11" w:rsidRPr="00AD3A44">
        <w:rPr>
          <w:lang w:val="fr-FR"/>
        </w:rPr>
        <w:t xml:space="preserve"> Les amalgames dentaires sont les seuls </w:t>
      </w:r>
      <w:r w:rsidR="00832C7B">
        <w:rPr>
          <w:lang w:val="fr-FR"/>
        </w:rPr>
        <w:t>à y figurer</w:t>
      </w:r>
      <w:r w:rsidR="00F707A6" w:rsidRPr="00AD3A44">
        <w:rPr>
          <w:lang w:val="fr-FR"/>
        </w:rPr>
        <w:t>.</w:t>
      </w:r>
    </w:p>
    <w:p w14:paraId="5A973EF4" w14:textId="0E27DB69" w:rsidR="00BE2E9A" w:rsidRPr="00AD3A44" w:rsidRDefault="004E377C" w:rsidP="00765562">
      <w:pPr>
        <w:pStyle w:val="Normalnumber"/>
        <w:tabs>
          <w:tab w:val="clear" w:pos="1701"/>
        </w:tabs>
        <w:ind w:left="1247"/>
        <w:rPr>
          <w:lang w:val="fr-FR"/>
        </w:rPr>
      </w:pPr>
      <w:r w:rsidRPr="00AD3A44">
        <w:rPr>
          <w:lang w:val="fr-FR"/>
        </w:rPr>
        <w:t>Le p</w:t>
      </w:r>
      <w:r w:rsidR="00BE2E9A" w:rsidRPr="00AD3A44">
        <w:rPr>
          <w:lang w:val="fr-FR"/>
        </w:rPr>
        <w:t>aragraph</w:t>
      </w:r>
      <w:r w:rsidRPr="00AD3A44">
        <w:rPr>
          <w:lang w:val="fr-FR"/>
        </w:rPr>
        <w:t>e </w:t>
      </w:r>
      <w:r w:rsidR="00BE2E9A" w:rsidRPr="00AD3A44">
        <w:rPr>
          <w:lang w:val="fr-FR"/>
        </w:rPr>
        <w:t xml:space="preserve">8 </w:t>
      </w:r>
      <w:r w:rsidRPr="00AD3A44">
        <w:rPr>
          <w:lang w:val="fr-FR"/>
        </w:rPr>
        <w:t>de l’</w:t>
      </w:r>
      <w:r w:rsidR="00BE2E9A" w:rsidRPr="00AD3A44">
        <w:rPr>
          <w:lang w:val="fr-FR"/>
        </w:rPr>
        <w:t>article</w:t>
      </w:r>
      <w:r w:rsidRPr="00AD3A44">
        <w:rPr>
          <w:lang w:val="fr-FR"/>
        </w:rPr>
        <w:t> </w:t>
      </w:r>
      <w:r w:rsidR="00BE2E9A" w:rsidRPr="00AD3A44">
        <w:rPr>
          <w:lang w:val="fr-FR"/>
        </w:rPr>
        <w:t xml:space="preserve">4 </w:t>
      </w:r>
      <w:r w:rsidR="00DE56CA" w:rsidRPr="00AD3A44">
        <w:rPr>
          <w:lang w:val="fr-FR"/>
        </w:rPr>
        <w:t>dispose</w:t>
      </w:r>
      <w:r w:rsidRPr="00AD3A44">
        <w:rPr>
          <w:lang w:val="fr-FR"/>
        </w:rPr>
        <w:t xml:space="preserve"> qu’au plus tard cinq ans après la date d’entrée en vigueur de la Convention, la Conférence examine l’Annexe</w:t>
      </w:r>
      <w:r w:rsidR="00DE56CA" w:rsidRPr="00AD3A44">
        <w:rPr>
          <w:lang w:val="fr-FR"/>
        </w:rPr>
        <w:t> </w:t>
      </w:r>
      <w:r w:rsidRPr="00AD3A44">
        <w:rPr>
          <w:lang w:val="fr-FR"/>
        </w:rPr>
        <w:t>A et peut envisager de l’amender conformément à l’article</w:t>
      </w:r>
      <w:r w:rsidR="00DE56CA" w:rsidRPr="00AD3A44">
        <w:rPr>
          <w:lang w:val="fr-FR"/>
        </w:rPr>
        <w:t> </w:t>
      </w:r>
      <w:r w:rsidRPr="00AD3A44">
        <w:rPr>
          <w:lang w:val="fr-FR"/>
        </w:rPr>
        <w:t>27</w:t>
      </w:r>
      <w:r w:rsidR="00BE2E9A" w:rsidRPr="00AD3A44">
        <w:rPr>
          <w:lang w:val="fr-FR"/>
        </w:rPr>
        <w:t xml:space="preserve">. </w:t>
      </w:r>
      <w:r w:rsidR="00DE56CA" w:rsidRPr="00AD3A44">
        <w:rPr>
          <w:lang w:val="fr-FR"/>
        </w:rPr>
        <w:t>Aux termes du p</w:t>
      </w:r>
      <w:r w:rsidR="00BE2E9A" w:rsidRPr="00AD3A44">
        <w:rPr>
          <w:lang w:val="fr-FR"/>
        </w:rPr>
        <w:t>aragraph</w:t>
      </w:r>
      <w:r w:rsidR="00DE56CA" w:rsidRPr="00AD3A44">
        <w:rPr>
          <w:lang w:val="fr-FR"/>
        </w:rPr>
        <w:t>e </w:t>
      </w:r>
      <w:r w:rsidR="00BE2E9A" w:rsidRPr="00AD3A44">
        <w:rPr>
          <w:lang w:val="fr-FR"/>
        </w:rPr>
        <w:t xml:space="preserve">9, </w:t>
      </w:r>
      <w:r w:rsidR="00DE56CA" w:rsidRPr="00AD3A44">
        <w:rPr>
          <w:lang w:val="fr-FR"/>
        </w:rPr>
        <w:t>lor</w:t>
      </w:r>
      <w:r w:rsidR="00613507">
        <w:rPr>
          <w:lang w:val="fr-FR"/>
        </w:rPr>
        <w:t>s de l’examen de l’Annexe A, la </w:t>
      </w:r>
      <w:r w:rsidR="00DE56CA" w:rsidRPr="00AD3A44">
        <w:rPr>
          <w:lang w:val="fr-FR"/>
        </w:rPr>
        <w:t>Conférence tient compte, au minimum </w:t>
      </w:r>
      <w:r w:rsidR="00BE2E9A" w:rsidRPr="00AD3A44">
        <w:rPr>
          <w:lang w:val="fr-FR"/>
        </w:rPr>
        <w:t>:</w:t>
      </w:r>
    </w:p>
    <w:p w14:paraId="775708D4" w14:textId="6D84565A" w:rsidR="00BE2E9A" w:rsidRPr="00AD3A44" w:rsidRDefault="00DE56CA" w:rsidP="00DE56CA">
      <w:pPr>
        <w:pStyle w:val="Normalnumber"/>
        <w:numPr>
          <w:ilvl w:val="1"/>
          <w:numId w:val="4"/>
        </w:numPr>
        <w:ind w:left="1276"/>
        <w:rPr>
          <w:lang w:val="fr-FR"/>
        </w:rPr>
      </w:pPr>
      <w:r w:rsidRPr="00AD3A44">
        <w:rPr>
          <w:lang w:val="fr-FR"/>
        </w:rPr>
        <w:t>de toute proposition présentée conformément au paragraphe 7 de l’</w:t>
      </w:r>
      <w:r w:rsidR="009A399C" w:rsidRPr="00AD3A44">
        <w:rPr>
          <w:lang w:val="fr-FR"/>
        </w:rPr>
        <w:t>article</w:t>
      </w:r>
      <w:r w:rsidRPr="00AD3A44">
        <w:rPr>
          <w:lang w:val="fr-FR"/>
        </w:rPr>
        <w:t> </w:t>
      </w:r>
      <w:r w:rsidR="009A399C" w:rsidRPr="00AD3A44">
        <w:rPr>
          <w:lang w:val="fr-FR"/>
        </w:rPr>
        <w:t>4</w:t>
      </w:r>
      <w:r w:rsidRPr="00AD3A44">
        <w:rPr>
          <w:lang w:val="fr-FR"/>
        </w:rPr>
        <w:t> </w:t>
      </w:r>
      <w:r w:rsidR="00BE2E9A" w:rsidRPr="00AD3A44">
        <w:rPr>
          <w:lang w:val="fr-FR"/>
        </w:rPr>
        <w:t>;</w:t>
      </w:r>
    </w:p>
    <w:p w14:paraId="60FAA653" w14:textId="11DF5041" w:rsidR="00BE2E9A" w:rsidRPr="00AD3A44" w:rsidRDefault="00DE56CA" w:rsidP="00DE56CA">
      <w:pPr>
        <w:pStyle w:val="Normalnumber"/>
        <w:numPr>
          <w:ilvl w:val="1"/>
          <w:numId w:val="4"/>
        </w:numPr>
        <w:tabs>
          <w:tab w:val="clear" w:pos="1701"/>
        </w:tabs>
        <w:ind w:left="1276" w:firstLine="624"/>
        <w:rPr>
          <w:lang w:val="fr-FR"/>
        </w:rPr>
      </w:pPr>
      <w:proofErr w:type="gramStart"/>
      <w:r w:rsidRPr="00AD3A44">
        <w:rPr>
          <w:lang w:val="fr-FR"/>
        </w:rPr>
        <w:t>des</w:t>
      </w:r>
      <w:proofErr w:type="gramEnd"/>
      <w:r w:rsidRPr="00AD3A44">
        <w:rPr>
          <w:lang w:val="fr-FR"/>
        </w:rPr>
        <w:t xml:space="preserve"> informations </w:t>
      </w:r>
      <w:r w:rsidR="00832C7B">
        <w:rPr>
          <w:lang w:val="fr-FR"/>
        </w:rPr>
        <w:t>mises à disposition</w:t>
      </w:r>
      <w:r w:rsidRPr="00AD3A44">
        <w:rPr>
          <w:lang w:val="fr-FR"/>
        </w:rPr>
        <w:t xml:space="preserve"> en application du paragraphe 4 de l’</w:t>
      </w:r>
      <w:r w:rsidR="009A399C" w:rsidRPr="00AD3A44">
        <w:rPr>
          <w:lang w:val="fr-FR"/>
        </w:rPr>
        <w:t>article</w:t>
      </w:r>
      <w:r w:rsidR="001D333A">
        <w:rPr>
          <w:lang w:val="fr-FR"/>
        </w:rPr>
        <w:t> </w:t>
      </w:r>
      <w:r w:rsidR="009A399C" w:rsidRPr="00AD3A44">
        <w:rPr>
          <w:lang w:val="fr-FR"/>
        </w:rPr>
        <w:t>4</w:t>
      </w:r>
      <w:r w:rsidRPr="00AD3A44">
        <w:rPr>
          <w:lang w:val="fr-FR"/>
        </w:rPr>
        <w:t> </w:t>
      </w:r>
      <w:r w:rsidR="00BE2E9A" w:rsidRPr="00AD3A44">
        <w:rPr>
          <w:lang w:val="fr-FR"/>
        </w:rPr>
        <w:t xml:space="preserve">; </w:t>
      </w:r>
    </w:p>
    <w:p w14:paraId="0ACB9AFE" w14:textId="42FDE800" w:rsidR="00BE2E9A" w:rsidRPr="00AD3A44" w:rsidRDefault="00DE56CA" w:rsidP="00DE56CA">
      <w:pPr>
        <w:pStyle w:val="Normalnumber"/>
        <w:numPr>
          <w:ilvl w:val="1"/>
          <w:numId w:val="4"/>
        </w:numPr>
        <w:tabs>
          <w:tab w:val="clear" w:pos="1701"/>
        </w:tabs>
        <w:ind w:left="1276" w:firstLine="624"/>
        <w:rPr>
          <w:lang w:val="fr-FR"/>
        </w:rPr>
      </w:pPr>
      <w:proofErr w:type="gramStart"/>
      <w:r w:rsidRPr="00AD3A44">
        <w:rPr>
          <w:lang w:val="fr-FR"/>
        </w:rPr>
        <w:t>de</w:t>
      </w:r>
      <w:proofErr w:type="gramEnd"/>
      <w:r w:rsidRPr="00AD3A44">
        <w:rPr>
          <w:lang w:val="fr-FR"/>
        </w:rPr>
        <w:t xml:space="preserve"> la disponibilité pour les Parties de solutions de remplacement sans mercure qui sont techniquement et économiquement </w:t>
      </w:r>
      <w:r w:rsidR="00832C7B">
        <w:rPr>
          <w:lang w:val="fr-FR"/>
        </w:rPr>
        <w:t>fais</w:t>
      </w:r>
      <w:r w:rsidRPr="00AD3A44">
        <w:rPr>
          <w:lang w:val="fr-FR"/>
        </w:rPr>
        <w:t>ables, eu égard aux risques et avantages pour l’environnement et la santé humaine</w:t>
      </w:r>
      <w:r w:rsidR="00AB4F18" w:rsidRPr="00AD3A44">
        <w:rPr>
          <w:lang w:val="fr-FR"/>
        </w:rPr>
        <w:t>.</w:t>
      </w:r>
    </w:p>
    <w:p w14:paraId="4005B7C6" w14:textId="2EEB0FAF" w:rsidR="00BE2E9A" w:rsidRPr="00AD3A44" w:rsidRDefault="00802064" w:rsidP="00944E96">
      <w:pPr>
        <w:pStyle w:val="Normalnumber"/>
        <w:keepNext/>
        <w:keepLines/>
        <w:tabs>
          <w:tab w:val="clear" w:pos="1701"/>
        </w:tabs>
        <w:ind w:left="1247"/>
        <w:rPr>
          <w:lang w:val="fr-FR"/>
        </w:rPr>
      </w:pPr>
      <w:r w:rsidRPr="00AD3A44">
        <w:rPr>
          <w:lang w:val="fr-FR"/>
        </w:rPr>
        <w:lastRenderedPageBreak/>
        <w:t>Le p</w:t>
      </w:r>
      <w:r w:rsidR="00BE2E9A" w:rsidRPr="00AD3A44">
        <w:rPr>
          <w:lang w:val="fr-FR"/>
        </w:rPr>
        <w:t>aragraph</w:t>
      </w:r>
      <w:r w:rsidRPr="00AD3A44">
        <w:rPr>
          <w:lang w:val="fr-FR"/>
        </w:rPr>
        <w:t>e </w:t>
      </w:r>
      <w:r w:rsidR="00BE2E9A" w:rsidRPr="00AD3A44">
        <w:rPr>
          <w:bCs/>
          <w:lang w:val="fr-FR"/>
        </w:rPr>
        <w:t xml:space="preserve">7 </w:t>
      </w:r>
      <w:r w:rsidRPr="00AD3A44">
        <w:rPr>
          <w:bCs/>
          <w:lang w:val="fr-FR"/>
        </w:rPr>
        <w:t>stipule que</w:t>
      </w:r>
      <w:r w:rsidR="00BE2E9A" w:rsidRPr="00AD3A44">
        <w:rPr>
          <w:bCs/>
          <w:lang w:val="fr-FR"/>
        </w:rPr>
        <w:t xml:space="preserve"> </w:t>
      </w:r>
      <w:r w:rsidRPr="00AD3A44">
        <w:rPr>
          <w:bCs/>
          <w:lang w:val="fr-FR"/>
        </w:rPr>
        <w:t>toute Partie peut soumettre au secrétariat une proposition d’inscription à l’Annexe A d’un produit contenant du mercure ajouté, dans laquelle doivent figurer des informations sur la disponibilité de solutions de remplacement sans mercure, la faisabilité technique et économique de ces dernières ainsi que les risques et avantages qu’elles présentent pour l’environnement et la santé, en tenant compte des informations visées au paragraphe 4</w:t>
      </w:r>
      <w:r w:rsidR="00BE2E9A" w:rsidRPr="00AD3A44">
        <w:rPr>
          <w:lang w:val="fr-FR"/>
        </w:rPr>
        <w:t>.</w:t>
      </w:r>
    </w:p>
    <w:p w14:paraId="3F67463B" w14:textId="0EA54304" w:rsidR="00BE2E9A" w:rsidRPr="00AD3A44" w:rsidRDefault="00802064" w:rsidP="00765562">
      <w:pPr>
        <w:pStyle w:val="Normalnumber"/>
        <w:tabs>
          <w:tab w:val="clear" w:pos="1701"/>
        </w:tabs>
        <w:ind w:left="1247"/>
        <w:rPr>
          <w:lang w:val="fr-FR"/>
        </w:rPr>
      </w:pPr>
      <w:r w:rsidRPr="00AD3A44">
        <w:rPr>
          <w:lang w:val="fr-FR"/>
        </w:rPr>
        <w:t>Le p</w:t>
      </w:r>
      <w:r w:rsidR="00BE2E9A" w:rsidRPr="00AD3A44">
        <w:rPr>
          <w:lang w:val="fr-FR"/>
        </w:rPr>
        <w:t>aragraph</w:t>
      </w:r>
      <w:r w:rsidRPr="00AD3A44">
        <w:rPr>
          <w:lang w:val="fr-FR"/>
        </w:rPr>
        <w:t>e </w:t>
      </w:r>
      <w:r w:rsidR="00BE2E9A" w:rsidRPr="00AD3A44">
        <w:rPr>
          <w:lang w:val="fr-FR"/>
        </w:rPr>
        <w:t xml:space="preserve">2 </w:t>
      </w:r>
      <w:r w:rsidRPr="00AD3A44">
        <w:rPr>
          <w:lang w:val="fr-FR"/>
        </w:rPr>
        <w:t>dispose qu’une Partie peut, en lieu et place du paragraphe 1, indiquer au moment de la ratification ou de l’entrée en vigueur d’un amendement à l’Annexe A à son égard qu’elle met en œuvre différentes mesures ou stratégies pour traiter les produits inscrits dans la première partie de l’Annexe A</w:t>
      </w:r>
      <w:r w:rsidR="00BE2E9A" w:rsidRPr="00AD3A44">
        <w:rPr>
          <w:lang w:val="fr-FR"/>
        </w:rPr>
        <w:t xml:space="preserve">, </w:t>
      </w:r>
      <w:r w:rsidR="00866CA7" w:rsidRPr="00AD3A44">
        <w:rPr>
          <w:lang w:val="fr-FR"/>
        </w:rPr>
        <w:t>si elle peut démontrer qu’elle a déjà réduit la fabrication, l’importation et l’exportation de la grande majorité des produits inscrits dans la première partie de l’Annexe</w:t>
      </w:r>
      <w:r w:rsidR="001D333A">
        <w:rPr>
          <w:lang w:val="fr-FR"/>
        </w:rPr>
        <w:t> </w:t>
      </w:r>
      <w:r w:rsidR="00866CA7" w:rsidRPr="00AD3A44">
        <w:rPr>
          <w:lang w:val="fr-FR"/>
        </w:rPr>
        <w:t>A à un niveau de minimis et qu’elle a mis en œuvre des mesures ou des stratégies visant à réduire l’utilisation de mercure dans d’autres produits non inscrits dans la première partie de l’Annexe</w:t>
      </w:r>
      <w:r w:rsidR="001D333A">
        <w:rPr>
          <w:lang w:val="fr-FR"/>
        </w:rPr>
        <w:t> </w:t>
      </w:r>
      <w:r w:rsidR="00866CA7" w:rsidRPr="00AD3A44">
        <w:rPr>
          <w:lang w:val="fr-FR"/>
        </w:rPr>
        <w:t>A</w:t>
      </w:r>
      <w:r w:rsidR="00BE2E9A" w:rsidRPr="00AD3A44">
        <w:rPr>
          <w:lang w:val="fr-FR"/>
        </w:rPr>
        <w:t>.</w:t>
      </w:r>
      <w:r w:rsidR="00866CA7" w:rsidRPr="00AD3A44">
        <w:rPr>
          <w:lang w:val="fr-FR"/>
        </w:rPr>
        <w:t xml:space="preserve"> Aux termes du même paragraphe, au plus tard cinq ans après la date d’entrée en vigueur de la Convention, la Conférence examine, dans le cadre de la procédure d’examen prévue au paragraphe 8, les progrès et l’efficacité des mesures prises en application du paragraphe 2</w:t>
      </w:r>
      <w:r w:rsidR="00BE2E9A" w:rsidRPr="00AD3A44">
        <w:rPr>
          <w:lang w:val="fr-FR"/>
        </w:rPr>
        <w:t>.</w:t>
      </w:r>
    </w:p>
    <w:p w14:paraId="77FE0C3D" w14:textId="68E203EA" w:rsidR="00BE2E9A" w:rsidRPr="00AD3A44" w:rsidRDefault="00866CA7" w:rsidP="00866CA7">
      <w:pPr>
        <w:pStyle w:val="CH2"/>
        <w:ind w:firstLine="0"/>
        <w:rPr>
          <w:lang w:val="fr-FR"/>
        </w:rPr>
      </w:pPr>
      <w:r w:rsidRPr="00AD3A44">
        <w:rPr>
          <w:lang w:val="fr-FR"/>
        </w:rPr>
        <w:t>Examen de l’A</w:t>
      </w:r>
      <w:r w:rsidR="00BE2E9A" w:rsidRPr="00AD3A44">
        <w:rPr>
          <w:lang w:val="fr-FR"/>
        </w:rPr>
        <w:t>nnex</w:t>
      </w:r>
      <w:r w:rsidRPr="00AD3A44">
        <w:rPr>
          <w:lang w:val="fr-FR"/>
        </w:rPr>
        <w:t>e </w:t>
      </w:r>
      <w:r w:rsidR="00BE2E9A" w:rsidRPr="00AD3A44">
        <w:rPr>
          <w:lang w:val="fr-FR"/>
        </w:rPr>
        <w:t>B</w:t>
      </w:r>
    </w:p>
    <w:p w14:paraId="72CEB89B" w14:textId="303AFA59" w:rsidR="00BE2E9A" w:rsidRPr="00AD3A44" w:rsidRDefault="005A36D9" w:rsidP="00765562">
      <w:pPr>
        <w:pStyle w:val="Normalnumber"/>
        <w:tabs>
          <w:tab w:val="clear" w:pos="1701"/>
        </w:tabs>
        <w:ind w:left="1247"/>
        <w:rPr>
          <w:lang w:val="fr-FR"/>
        </w:rPr>
      </w:pPr>
      <w:r w:rsidRPr="00AD3A44">
        <w:rPr>
          <w:bCs/>
          <w:lang w:val="fr-FR"/>
        </w:rPr>
        <w:t>L’</w:t>
      </w:r>
      <w:r w:rsidR="00BE2E9A" w:rsidRPr="00AD3A44">
        <w:rPr>
          <w:bCs/>
          <w:lang w:val="fr-FR"/>
        </w:rPr>
        <w:t>Annex</w:t>
      </w:r>
      <w:r w:rsidRPr="00AD3A44">
        <w:rPr>
          <w:bCs/>
          <w:lang w:val="fr-FR"/>
        </w:rPr>
        <w:t>e </w:t>
      </w:r>
      <w:r w:rsidR="00BE2E9A" w:rsidRPr="00AD3A44">
        <w:rPr>
          <w:bCs/>
          <w:lang w:val="fr-FR"/>
        </w:rPr>
        <w:t xml:space="preserve">B </w:t>
      </w:r>
      <w:r w:rsidRPr="00AD3A44">
        <w:rPr>
          <w:bCs/>
          <w:lang w:val="fr-FR"/>
        </w:rPr>
        <w:t>de la</w:t>
      </w:r>
      <w:r w:rsidR="00BE2E9A" w:rsidRPr="00AD3A44">
        <w:rPr>
          <w:bCs/>
          <w:lang w:val="fr-FR"/>
        </w:rPr>
        <w:t xml:space="preserve"> Convention </w:t>
      </w:r>
      <w:r w:rsidRPr="00AD3A44">
        <w:rPr>
          <w:bCs/>
          <w:lang w:val="fr-FR"/>
        </w:rPr>
        <w:t>comporte deux parties</w:t>
      </w:r>
      <w:r w:rsidR="00BE2E9A" w:rsidRPr="00AD3A44">
        <w:rPr>
          <w:bCs/>
          <w:lang w:val="fr-FR"/>
        </w:rPr>
        <w:t xml:space="preserve">. </w:t>
      </w:r>
      <w:r w:rsidRPr="00AD3A44">
        <w:rPr>
          <w:bCs/>
          <w:lang w:val="fr-FR"/>
        </w:rPr>
        <w:t>La première partie énumère deux procédés de fabrication</w:t>
      </w:r>
      <w:r w:rsidR="00BE2E9A" w:rsidRPr="00AD3A44">
        <w:rPr>
          <w:bCs/>
          <w:lang w:val="fr-FR"/>
        </w:rPr>
        <w:t xml:space="preserve"> </w:t>
      </w:r>
      <w:r w:rsidRPr="00AD3A44">
        <w:rPr>
          <w:bCs/>
          <w:lang w:val="fr-FR"/>
        </w:rPr>
        <w:t>soumis au paragraphe 2 de l’article 5, qui</w:t>
      </w:r>
      <w:r w:rsidR="008D48C2" w:rsidRPr="00AD3A44">
        <w:rPr>
          <w:bCs/>
          <w:lang w:val="fr-FR"/>
        </w:rPr>
        <w:t xml:space="preserve"> </w:t>
      </w:r>
      <w:r w:rsidR="0047643C">
        <w:rPr>
          <w:bCs/>
          <w:lang w:val="fr-FR"/>
        </w:rPr>
        <w:t>exige que les</w:t>
      </w:r>
      <w:r w:rsidR="008D48C2" w:rsidRPr="00AD3A44">
        <w:rPr>
          <w:bCs/>
          <w:lang w:val="fr-FR"/>
        </w:rPr>
        <w:t xml:space="preserve"> Parties</w:t>
      </w:r>
      <w:r w:rsidRPr="00AD3A44">
        <w:rPr>
          <w:bCs/>
          <w:lang w:val="fr-FR"/>
        </w:rPr>
        <w:t xml:space="preserve"> </w:t>
      </w:r>
      <w:r w:rsidR="008D48C2" w:rsidRPr="00AD3A44">
        <w:rPr>
          <w:bCs/>
          <w:lang w:val="fr-FR"/>
        </w:rPr>
        <w:t>pren</w:t>
      </w:r>
      <w:r w:rsidR="0047643C">
        <w:rPr>
          <w:bCs/>
          <w:lang w:val="fr-FR"/>
        </w:rPr>
        <w:t>nent</w:t>
      </w:r>
      <w:r w:rsidR="008D48C2" w:rsidRPr="00AD3A44">
        <w:rPr>
          <w:bCs/>
          <w:lang w:val="fr-FR"/>
        </w:rPr>
        <w:t xml:space="preserve"> des mesures appropriées</w:t>
      </w:r>
      <w:r w:rsidR="0047643C">
        <w:rPr>
          <w:bCs/>
          <w:lang w:val="fr-FR"/>
        </w:rPr>
        <w:t xml:space="preserve"> pour </w:t>
      </w:r>
      <w:r w:rsidR="0047643C" w:rsidRPr="0047643C">
        <w:rPr>
          <w:bCs/>
          <w:lang w:val="fr-FR"/>
        </w:rPr>
        <w:t>faire en sorte</w:t>
      </w:r>
      <w:r w:rsidR="008D48C2" w:rsidRPr="00AD3A44">
        <w:rPr>
          <w:bCs/>
          <w:lang w:val="fr-FR"/>
        </w:rPr>
        <w:t xml:space="preserve"> qu’aucun mercure ou composé du mercure ne soit utilisé dans ces procédés après la date d’abandon définitif spécifiée</w:t>
      </w:r>
      <w:r w:rsidR="00BE2E9A" w:rsidRPr="00AD3A44">
        <w:rPr>
          <w:lang w:val="fr-FR"/>
        </w:rPr>
        <w:t>.</w:t>
      </w:r>
      <w:r w:rsidR="008D48C2" w:rsidRPr="00AD3A44">
        <w:rPr>
          <w:lang w:val="fr-FR"/>
        </w:rPr>
        <w:t xml:space="preserve"> La deuxième partie énumère trois procédés de fabrication soumis au paragraphe 3 de l’article </w:t>
      </w:r>
      <w:r w:rsidR="00BE2E9A" w:rsidRPr="00AD3A44">
        <w:rPr>
          <w:lang w:val="fr-FR"/>
        </w:rPr>
        <w:t>5</w:t>
      </w:r>
      <w:r w:rsidR="008D48C2" w:rsidRPr="00AD3A44">
        <w:rPr>
          <w:lang w:val="fr-FR"/>
        </w:rPr>
        <w:t xml:space="preserve"> et </w:t>
      </w:r>
      <w:r w:rsidR="0047643C">
        <w:rPr>
          <w:lang w:val="fr-FR"/>
        </w:rPr>
        <w:t>énonce</w:t>
      </w:r>
      <w:r w:rsidR="005744F6" w:rsidRPr="00AD3A44">
        <w:rPr>
          <w:lang w:val="fr-FR"/>
        </w:rPr>
        <w:t xml:space="preserve"> les mesures</w:t>
      </w:r>
      <w:r w:rsidR="00BE2E9A" w:rsidRPr="00AD3A44">
        <w:rPr>
          <w:lang w:val="fr-FR"/>
        </w:rPr>
        <w:t xml:space="preserve"> </w:t>
      </w:r>
      <w:r w:rsidR="005744F6" w:rsidRPr="00AD3A44">
        <w:rPr>
          <w:lang w:val="fr-FR"/>
        </w:rPr>
        <w:t>que les Parties doivent prendre pour</w:t>
      </w:r>
      <w:r w:rsidR="00BE2E9A" w:rsidRPr="00AD3A44">
        <w:rPr>
          <w:lang w:val="fr-FR"/>
        </w:rPr>
        <w:t xml:space="preserve"> </w:t>
      </w:r>
      <w:r w:rsidR="005744F6" w:rsidRPr="00AD3A44">
        <w:rPr>
          <w:lang w:val="fr-FR"/>
        </w:rPr>
        <w:t>limiter l’utilisation de mercure ou de composés du mercure dans ces procédés</w:t>
      </w:r>
      <w:r w:rsidR="00BE2E9A" w:rsidRPr="00AD3A44">
        <w:rPr>
          <w:lang w:val="fr-FR"/>
        </w:rPr>
        <w:t>.</w:t>
      </w:r>
    </w:p>
    <w:p w14:paraId="7F8CF476" w14:textId="365F670F" w:rsidR="00BE2E9A" w:rsidRPr="00AD3A44" w:rsidRDefault="00445FAE" w:rsidP="00765562">
      <w:pPr>
        <w:pStyle w:val="Normalnumber"/>
        <w:tabs>
          <w:tab w:val="clear" w:pos="1701"/>
        </w:tabs>
        <w:ind w:left="1247"/>
        <w:rPr>
          <w:lang w:val="fr-FR"/>
        </w:rPr>
      </w:pPr>
      <w:r w:rsidRPr="00AD3A44">
        <w:rPr>
          <w:lang w:val="fr-FR"/>
        </w:rPr>
        <w:t>Le p</w:t>
      </w:r>
      <w:r w:rsidR="00BE2E9A" w:rsidRPr="00AD3A44">
        <w:rPr>
          <w:lang w:val="fr-FR"/>
        </w:rPr>
        <w:t>aragraph</w:t>
      </w:r>
      <w:r w:rsidRPr="00AD3A44">
        <w:rPr>
          <w:lang w:val="fr-FR"/>
        </w:rPr>
        <w:t>e </w:t>
      </w:r>
      <w:r w:rsidR="00BE2E9A" w:rsidRPr="00AD3A44">
        <w:rPr>
          <w:lang w:val="fr-FR"/>
        </w:rPr>
        <w:t xml:space="preserve">10 </w:t>
      </w:r>
      <w:r w:rsidRPr="00AD3A44">
        <w:rPr>
          <w:lang w:val="fr-FR"/>
        </w:rPr>
        <w:t>de l’</w:t>
      </w:r>
      <w:r w:rsidR="00BE2E9A" w:rsidRPr="00AD3A44">
        <w:rPr>
          <w:lang w:val="fr-FR"/>
        </w:rPr>
        <w:t>article</w:t>
      </w:r>
      <w:r w:rsidRPr="00AD3A44">
        <w:rPr>
          <w:lang w:val="fr-FR"/>
        </w:rPr>
        <w:t> </w:t>
      </w:r>
      <w:r w:rsidR="00BE2E9A" w:rsidRPr="00AD3A44">
        <w:rPr>
          <w:lang w:val="fr-FR"/>
        </w:rPr>
        <w:t>5</w:t>
      </w:r>
      <w:r w:rsidR="008C118A" w:rsidRPr="00AD3A44">
        <w:rPr>
          <w:lang w:val="fr-FR"/>
        </w:rPr>
        <w:t xml:space="preserve"> stipule qu’au plus tard cinq ans après la date d’entrée en vigueur de la Convention, la Conférence examine l’Annexe B et peut envisager de l’amender conformément à l’article 27</w:t>
      </w:r>
      <w:r w:rsidR="00BE2E9A" w:rsidRPr="00AD3A44">
        <w:rPr>
          <w:lang w:val="fr-FR"/>
        </w:rPr>
        <w:t xml:space="preserve">. </w:t>
      </w:r>
      <w:r w:rsidR="008C118A" w:rsidRPr="00AD3A44">
        <w:rPr>
          <w:lang w:val="fr-FR"/>
        </w:rPr>
        <w:t>Le p</w:t>
      </w:r>
      <w:r w:rsidR="00BE2E9A" w:rsidRPr="00AD3A44">
        <w:rPr>
          <w:lang w:val="fr-FR"/>
        </w:rPr>
        <w:t>aragraph</w:t>
      </w:r>
      <w:r w:rsidR="008C118A" w:rsidRPr="00AD3A44">
        <w:rPr>
          <w:lang w:val="fr-FR"/>
        </w:rPr>
        <w:t>e </w:t>
      </w:r>
      <w:r w:rsidR="00BE2E9A" w:rsidRPr="00AD3A44">
        <w:rPr>
          <w:lang w:val="fr-FR"/>
        </w:rPr>
        <w:t>11</w:t>
      </w:r>
      <w:r w:rsidR="00DF38F6" w:rsidRPr="00AD3A44">
        <w:rPr>
          <w:lang w:val="fr-FR"/>
        </w:rPr>
        <w:t xml:space="preserve"> </w:t>
      </w:r>
      <w:r w:rsidR="008C118A" w:rsidRPr="00AD3A44">
        <w:rPr>
          <w:lang w:val="fr-FR"/>
        </w:rPr>
        <w:t>de l’</w:t>
      </w:r>
      <w:r w:rsidR="007F74EA" w:rsidRPr="00AD3A44">
        <w:rPr>
          <w:lang w:val="fr-FR"/>
        </w:rPr>
        <w:t>article</w:t>
      </w:r>
      <w:r w:rsidR="008C118A" w:rsidRPr="00AD3A44">
        <w:rPr>
          <w:lang w:val="fr-FR"/>
        </w:rPr>
        <w:t> </w:t>
      </w:r>
      <w:r w:rsidR="007F74EA" w:rsidRPr="00AD3A44">
        <w:rPr>
          <w:lang w:val="fr-FR"/>
        </w:rPr>
        <w:t>5</w:t>
      </w:r>
      <w:r w:rsidR="00BE2E9A" w:rsidRPr="00AD3A44">
        <w:rPr>
          <w:lang w:val="fr-FR"/>
        </w:rPr>
        <w:t xml:space="preserve"> </w:t>
      </w:r>
      <w:r w:rsidR="008C118A" w:rsidRPr="00AD3A44">
        <w:rPr>
          <w:lang w:val="fr-FR"/>
        </w:rPr>
        <w:t>dispose que</w:t>
      </w:r>
      <w:r w:rsidR="00BE2E9A" w:rsidRPr="00AD3A44">
        <w:rPr>
          <w:lang w:val="fr-FR"/>
        </w:rPr>
        <w:t xml:space="preserve">, </w:t>
      </w:r>
      <w:r w:rsidR="008C118A" w:rsidRPr="00AD3A44">
        <w:rPr>
          <w:lang w:val="fr-FR"/>
        </w:rPr>
        <w:t>lors de l’examen de l’Annexe B, la Conférence tient compte, au minimum </w:t>
      </w:r>
      <w:r w:rsidR="00BE2E9A" w:rsidRPr="00AD3A44">
        <w:rPr>
          <w:lang w:val="fr-FR"/>
        </w:rPr>
        <w:t>:</w:t>
      </w:r>
    </w:p>
    <w:p w14:paraId="5D8B5145" w14:textId="2EC9FACE" w:rsidR="00BE2E9A" w:rsidRPr="00AD3A44" w:rsidRDefault="00E53DB9" w:rsidP="00944E96">
      <w:pPr>
        <w:pStyle w:val="Normalnumber"/>
        <w:numPr>
          <w:ilvl w:val="1"/>
          <w:numId w:val="4"/>
        </w:numPr>
        <w:tabs>
          <w:tab w:val="clear" w:pos="1701"/>
        </w:tabs>
        <w:ind w:left="1247" w:firstLine="624"/>
        <w:rPr>
          <w:lang w:val="fr-FR"/>
        </w:rPr>
      </w:pPr>
      <w:r w:rsidRPr="00AD3A44">
        <w:rPr>
          <w:bCs/>
          <w:iCs/>
          <w:lang w:val="fr-FR"/>
        </w:rPr>
        <w:t>de toute proposition présentée conformément au paragraphe 9 de l’</w:t>
      </w:r>
      <w:r w:rsidR="00DB295A" w:rsidRPr="00AD3A44">
        <w:rPr>
          <w:lang w:val="fr-FR"/>
        </w:rPr>
        <w:t>article</w:t>
      </w:r>
      <w:r w:rsidRPr="00AD3A44">
        <w:rPr>
          <w:lang w:val="fr-FR"/>
        </w:rPr>
        <w:t> </w:t>
      </w:r>
      <w:r w:rsidR="00DB295A" w:rsidRPr="00AD3A44">
        <w:rPr>
          <w:lang w:val="fr-FR"/>
        </w:rPr>
        <w:t>5</w:t>
      </w:r>
      <w:r w:rsidRPr="00AD3A44">
        <w:rPr>
          <w:lang w:val="fr-FR"/>
        </w:rPr>
        <w:t> </w:t>
      </w:r>
      <w:r w:rsidR="00BE2E9A" w:rsidRPr="00AD3A44">
        <w:rPr>
          <w:lang w:val="fr-FR"/>
        </w:rPr>
        <w:t>;</w:t>
      </w:r>
    </w:p>
    <w:p w14:paraId="44B9AE64" w14:textId="7B6B7845" w:rsidR="00BE2E9A" w:rsidRPr="00AD3A44" w:rsidRDefault="00E53DB9" w:rsidP="00944E96">
      <w:pPr>
        <w:pStyle w:val="Normalnumber"/>
        <w:numPr>
          <w:ilvl w:val="1"/>
          <w:numId w:val="4"/>
        </w:numPr>
        <w:tabs>
          <w:tab w:val="clear" w:pos="1701"/>
        </w:tabs>
        <w:ind w:left="1247" w:firstLine="624"/>
        <w:rPr>
          <w:lang w:val="fr-FR"/>
        </w:rPr>
      </w:pPr>
      <w:r w:rsidRPr="00AD3A44">
        <w:rPr>
          <w:lang w:val="fr-FR"/>
        </w:rPr>
        <w:t>des informations mises à disposition en application du paragraphe</w:t>
      </w:r>
      <w:r w:rsidR="001D333A">
        <w:rPr>
          <w:lang w:val="fr-FR"/>
        </w:rPr>
        <w:t> </w:t>
      </w:r>
      <w:r w:rsidRPr="00AD3A44">
        <w:rPr>
          <w:lang w:val="fr-FR"/>
        </w:rPr>
        <w:t>4 de l’</w:t>
      </w:r>
      <w:r w:rsidR="009A399C" w:rsidRPr="00AD3A44">
        <w:rPr>
          <w:lang w:val="fr-FR"/>
        </w:rPr>
        <w:t>article</w:t>
      </w:r>
      <w:r w:rsidR="001D333A">
        <w:rPr>
          <w:lang w:val="fr-FR"/>
        </w:rPr>
        <w:t> </w:t>
      </w:r>
      <w:r w:rsidR="009A399C" w:rsidRPr="00AD3A44">
        <w:rPr>
          <w:lang w:val="fr-FR"/>
        </w:rPr>
        <w:t>5</w:t>
      </w:r>
      <w:r w:rsidRPr="00AD3A44">
        <w:rPr>
          <w:lang w:val="fr-FR"/>
        </w:rPr>
        <w:t> </w:t>
      </w:r>
      <w:r w:rsidR="00BE2E9A" w:rsidRPr="00AD3A44">
        <w:rPr>
          <w:lang w:val="fr-FR"/>
        </w:rPr>
        <w:t xml:space="preserve">; </w:t>
      </w:r>
    </w:p>
    <w:p w14:paraId="22640281" w14:textId="27AD7560" w:rsidR="00BE2E9A" w:rsidRPr="00AD3A44" w:rsidRDefault="00E53DB9" w:rsidP="00944E96">
      <w:pPr>
        <w:pStyle w:val="Normalnumber"/>
        <w:numPr>
          <w:ilvl w:val="1"/>
          <w:numId w:val="4"/>
        </w:numPr>
        <w:tabs>
          <w:tab w:val="clear" w:pos="1701"/>
        </w:tabs>
        <w:ind w:left="1247" w:firstLine="624"/>
        <w:rPr>
          <w:lang w:val="fr-FR"/>
        </w:rPr>
      </w:pPr>
      <w:proofErr w:type="gramStart"/>
      <w:r w:rsidRPr="00AD3A44">
        <w:rPr>
          <w:lang w:val="fr-FR"/>
        </w:rPr>
        <w:t>de</w:t>
      </w:r>
      <w:proofErr w:type="gramEnd"/>
      <w:r w:rsidRPr="00AD3A44">
        <w:rPr>
          <w:lang w:val="fr-FR"/>
        </w:rPr>
        <w:t xml:space="preserve"> la disponibilité pour les Parties de solutions de remplacement sans mercure qui sont techniquement et économiquement </w:t>
      </w:r>
      <w:r w:rsidR="0047643C">
        <w:rPr>
          <w:lang w:val="fr-FR"/>
        </w:rPr>
        <w:t>vi</w:t>
      </w:r>
      <w:r w:rsidRPr="00AD3A44">
        <w:rPr>
          <w:lang w:val="fr-FR"/>
        </w:rPr>
        <w:t>ables, eu égard aux risques et avantages pour l’environnement et la santé</w:t>
      </w:r>
      <w:r w:rsidR="00BE2E9A" w:rsidRPr="00AD3A44">
        <w:rPr>
          <w:bCs/>
          <w:iCs/>
          <w:lang w:val="fr-FR"/>
        </w:rPr>
        <w:t>.</w:t>
      </w:r>
      <w:r w:rsidR="00411223" w:rsidRPr="00AD3A44">
        <w:rPr>
          <w:bCs/>
          <w:iCs/>
          <w:lang w:val="fr-FR"/>
        </w:rPr>
        <w:t xml:space="preserve"> </w:t>
      </w:r>
    </w:p>
    <w:p w14:paraId="71C0CFF9" w14:textId="5B910E18" w:rsidR="00BE2E9A" w:rsidRPr="00AD3A44" w:rsidRDefault="00DE2939" w:rsidP="00765562">
      <w:pPr>
        <w:pStyle w:val="Normalnumber"/>
        <w:tabs>
          <w:tab w:val="clear" w:pos="1701"/>
        </w:tabs>
        <w:ind w:left="1247"/>
        <w:rPr>
          <w:bCs/>
          <w:lang w:val="fr-FR"/>
        </w:rPr>
      </w:pPr>
      <w:r w:rsidRPr="00AD3A44">
        <w:rPr>
          <w:bCs/>
          <w:lang w:val="fr-FR"/>
        </w:rPr>
        <w:t>Aux termes du p</w:t>
      </w:r>
      <w:r w:rsidR="00BE2E9A" w:rsidRPr="00AD3A44">
        <w:rPr>
          <w:bCs/>
          <w:lang w:val="fr-FR"/>
        </w:rPr>
        <w:t>aragraph</w:t>
      </w:r>
      <w:r w:rsidRPr="00AD3A44">
        <w:rPr>
          <w:bCs/>
          <w:lang w:val="fr-FR"/>
        </w:rPr>
        <w:t>e </w:t>
      </w:r>
      <w:r w:rsidR="00BE2E9A" w:rsidRPr="00AD3A44">
        <w:rPr>
          <w:bCs/>
          <w:lang w:val="fr-FR"/>
        </w:rPr>
        <w:t>9</w:t>
      </w:r>
      <w:r w:rsidRPr="00AD3A44">
        <w:rPr>
          <w:bCs/>
          <w:lang w:val="fr-FR"/>
        </w:rPr>
        <w:t>,</w:t>
      </w:r>
      <w:r w:rsidR="00BE2E9A" w:rsidRPr="00AD3A44">
        <w:rPr>
          <w:bCs/>
          <w:lang w:val="fr-FR"/>
        </w:rPr>
        <w:t xml:space="preserve"> </w:t>
      </w:r>
      <w:r w:rsidRPr="00AD3A44">
        <w:rPr>
          <w:bCs/>
          <w:lang w:val="fr-FR"/>
        </w:rPr>
        <w:t>toute Partie peut soumettre une proposition d’amendement de l’Annexe B aux fins d’inscription d’un procédé de fabrication utilisan</w:t>
      </w:r>
      <w:r w:rsidR="00613507">
        <w:rPr>
          <w:bCs/>
          <w:lang w:val="fr-FR"/>
        </w:rPr>
        <w:t>t du mercure ou des composés du </w:t>
      </w:r>
      <w:r w:rsidRPr="00AD3A44">
        <w:rPr>
          <w:bCs/>
          <w:lang w:val="fr-FR"/>
        </w:rPr>
        <w:t>mercure,</w:t>
      </w:r>
      <w:r w:rsidR="00BE2E9A" w:rsidRPr="00AD3A44">
        <w:rPr>
          <w:bCs/>
          <w:lang w:val="fr-FR"/>
        </w:rPr>
        <w:t xml:space="preserve"> </w:t>
      </w:r>
      <w:r w:rsidR="008C084E" w:rsidRPr="00AD3A44">
        <w:rPr>
          <w:bCs/>
          <w:lang w:val="fr-FR"/>
        </w:rPr>
        <w:t>dans laquelle doivent figurer des informations sur la disponibilité de solutions de remplacement sans mercure pour le procédé concerné, la faisabilité technique et économique de ces solutions, et les risques et avantages qu’elles comportent pour l’environnement et la santé</w:t>
      </w:r>
      <w:r w:rsidR="00BE2E9A" w:rsidRPr="00AD3A44">
        <w:rPr>
          <w:bCs/>
          <w:lang w:val="fr-FR"/>
        </w:rPr>
        <w:t>.</w:t>
      </w:r>
    </w:p>
    <w:p w14:paraId="129C1820" w14:textId="1FF7B594" w:rsidR="00224608" w:rsidRPr="00AD3A44" w:rsidRDefault="00224608" w:rsidP="0095055B">
      <w:pPr>
        <w:pStyle w:val="CH2"/>
        <w:ind w:firstLine="0"/>
        <w:rPr>
          <w:lang w:val="fr-FR"/>
        </w:rPr>
      </w:pPr>
      <w:r w:rsidRPr="00AD3A44">
        <w:rPr>
          <w:lang w:val="fr-FR"/>
        </w:rPr>
        <w:t>Information</w:t>
      </w:r>
      <w:r w:rsidR="0095055B" w:rsidRPr="00AD3A44">
        <w:rPr>
          <w:lang w:val="fr-FR"/>
        </w:rPr>
        <w:t>s mises à disposition par le secrétariat</w:t>
      </w:r>
    </w:p>
    <w:p w14:paraId="509049A0" w14:textId="5FF51520" w:rsidR="00224608" w:rsidRPr="00AD3A44" w:rsidRDefault="0095055B" w:rsidP="00765562">
      <w:pPr>
        <w:pStyle w:val="Normalnumber"/>
        <w:tabs>
          <w:tab w:val="clear" w:pos="1701"/>
        </w:tabs>
        <w:ind w:left="1247"/>
        <w:rPr>
          <w:lang w:val="fr-FR"/>
        </w:rPr>
      </w:pPr>
      <w:r w:rsidRPr="00AD3A44">
        <w:rPr>
          <w:bCs/>
          <w:lang w:val="fr-FR"/>
        </w:rPr>
        <w:t>Le p</w:t>
      </w:r>
      <w:r w:rsidR="00224608" w:rsidRPr="00AD3A44">
        <w:rPr>
          <w:bCs/>
          <w:lang w:val="fr-FR"/>
        </w:rPr>
        <w:t>aragraph</w:t>
      </w:r>
      <w:r w:rsidRPr="00AD3A44">
        <w:rPr>
          <w:bCs/>
          <w:lang w:val="fr-FR"/>
        </w:rPr>
        <w:t>e </w:t>
      </w:r>
      <w:r w:rsidR="00224608" w:rsidRPr="00AD3A44">
        <w:rPr>
          <w:bCs/>
          <w:lang w:val="fr-FR"/>
        </w:rPr>
        <w:t xml:space="preserve">4 </w:t>
      </w:r>
      <w:r w:rsidRPr="00AD3A44">
        <w:rPr>
          <w:bCs/>
          <w:lang w:val="fr-FR"/>
        </w:rPr>
        <w:t>de l’</w:t>
      </w:r>
      <w:r w:rsidR="00224608" w:rsidRPr="00AD3A44">
        <w:rPr>
          <w:bCs/>
          <w:lang w:val="fr-FR"/>
        </w:rPr>
        <w:t>article</w:t>
      </w:r>
      <w:r w:rsidR="001D333A">
        <w:rPr>
          <w:bCs/>
          <w:lang w:val="fr-FR"/>
        </w:rPr>
        <w:t> </w:t>
      </w:r>
      <w:r w:rsidR="00224608" w:rsidRPr="00AD3A44">
        <w:rPr>
          <w:bCs/>
          <w:lang w:val="fr-FR"/>
        </w:rPr>
        <w:t xml:space="preserve">4 </w:t>
      </w:r>
      <w:r w:rsidRPr="00AD3A44">
        <w:rPr>
          <w:bCs/>
          <w:lang w:val="fr-FR"/>
        </w:rPr>
        <w:t>et le</w:t>
      </w:r>
      <w:r w:rsidR="00224608" w:rsidRPr="00AD3A44">
        <w:rPr>
          <w:bCs/>
          <w:lang w:val="fr-FR"/>
        </w:rPr>
        <w:t xml:space="preserve"> paragraph</w:t>
      </w:r>
      <w:r w:rsidRPr="00AD3A44">
        <w:rPr>
          <w:bCs/>
          <w:lang w:val="fr-FR"/>
        </w:rPr>
        <w:t>e </w:t>
      </w:r>
      <w:r w:rsidR="00224608" w:rsidRPr="00AD3A44">
        <w:rPr>
          <w:bCs/>
          <w:lang w:val="fr-FR"/>
        </w:rPr>
        <w:t xml:space="preserve">4 </w:t>
      </w:r>
      <w:r w:rsidRPr="00AD3A44">
        <w:rPr>
          <w:bCs/>
          <w:lang w:val="fr-FR"/>
        </w:rPr>
        <w:t>de l’</w:t>
      </w:r>
      <w:r w:rsidR="00224608" w:rsidRPr="00AD3A44">
        <w:rPr>
          <w:bCs/>
          <w:lang w:val="fr-FR"/>
        </w:rPr>
        <w:t>article</w:t>
      </w:r>
      <w:r w:rsidRPr="00AD3A44">
        <w:rPr>
          <w:bCs/>
          <w:lang w:val="fr-FR"/>
        </w:rPr>
        <w:t> </w:t>
      </w:r>
      <w:r w:rsidR="00224608" w:rsidRPr="00AD3A44">
        <w:rPr>
          <w:bCs/>
          <w:lang w:val="fr-FR"/>
        </w:rPr>
        <w:t>5</w:t>
      </w:r>
      <w:r w:rsidRPr="00AD3A44">
        <w:rPr>
          <w:bCs/>
          <w:lang w:val="fr-FR"/>
        </w:rPr>
        <w:t xml:space="preserve"> </w:t>
      </w:r>
      <w:r w:rsidR="00841554" w:rsidRPr="00AD3A44">
        <w:rPr>
          <w:bCs/>
          <w:lang w:val="fr-FR"/>
        </w:rPr>
        <w:t>stipulent</w:t>
      </w:r>
      <w:r w:rsidRPr="00AD3A44">
        <w:rPr>
          <w:bCs/>
          <w:lang w:val="fr-FR"/>
        </w:rPr>
        <w:t xml:space="preserve"> qu’à partir d’informations fournies par les Parties, le secrétariat recueille et tient </w:t>
      </w:r>
      <w:r w:rsidR="00613507">
        <w:rPr>
          <w:bCs/>
          <w:lang w:val="fr-FR"/>
        </w:rPr>
        <w:t>à jour des informations sur les </w:t>
      </w:r>
      <w:r w:rsidRPr="00AD3A44">
        <w:rPr>
          <w:bCs/>
          <w:lang w:val="fr-FR"/>
        </w:rPr>
        <w:t>produits contenant du mercure ajouté et</w:t>
      </w:r>
      <w:r w:rsidR="00224608" w:rsidRPr="00AD3A44">
        <w:rPr>
          <w:lang w:val="fr-FR"/>
        </w:rPr>
        <w:t xml:space="preserve"> </w:t>
      </w:r>
      <w:r w:rsidR="006C3670" w:rsidRPr="00AD3A44">
        <w:rPr>
          <w:lang w:val="fr-FR"/>
        </w:rPr>
        <w:t>les procédés utilisan</w:t>
      </w:r>
      <w:r w:rsidR="00613507">
        <w:rPr>
          <w:lang w:val="fr-FR"/>
        </w:rPr>
        <w:t>t du mercure ou des composés du </w:t>
      </w:r>
      <w:r w:rsidR="006C3670" w:rsidRPr="00AD3A44">
        <w:rPr>
          <w:lang w:val="fr-FR"/>
        </w:rPr>
        <w:t>mercure, respectivement</w:t>
      </w:r>
      <w:r w:rsidR="00303AD5">
        <w:rPr>
          <w:lang w:val="fr-FR"/>
        </w:rPr>
        <w:t>, ainsi que sur</w:t>
      </w:r>
      <w:r w:rsidR="006C3670" w:rsidRPr="00AD3A44">
        <w:rPr>
          <w:lang w:val="fr-FR"/>
        </w:rPr>
        <w:t xml:space="preserve"> leurs solutions de remplacemen</w:t>
      </w:r>
      <w:r w:rsidR="00613507">
        <w:rPr>
          <w:lang w:val="fr-FR"/>
        </w:rPr>
        <w:t>t, et met ces informations à la </w:t>
      </w:r>
      <w:r w:rsidR="006C3670" w:rsidRPr="00AD3A44">
        <w:rPr>
          <w:lang w:val="fr-FR"/>
        </w:rPr>
        <w:t>disposition du public</w:t>
      </w:r>
      <w:r w:rsidR="00224608" w:rsidRPr="00AD3A44">
        <w:rPr>
          <w:lang w:val="fr-FR"/>
        </w:rPr>
        <w:t>.</w:t>
      </w:r>
      <w:r w:rsidR="006C3670" w:rsidRPr="00AD3A44">
        <w:rPr>
          <w:lang w:val="fr-FR"/>
        </w:rPr>
        <w:t xml:space="preserve"> Ils </w:t>
      </w:r>
      <w:r w:rsidR="00841554" w:rsidRPr="00AD3A44">
        <w:rPr>
          <w:lang w:val="fr-FR"/>
        </w:rPr>
        <w:t>disposent</w:t>
      </w:r>
      <w:r w:rsidR="006C3670" w:rsidRPr="00AD3A44">
        <w:rPr>
          <w:lang w:val="fr-FR"/>
        </w:rPr>
        <w:t xml:space="preserve"> également que</w:t>
      </w:r>
      <w:r w:rsidR="00224608" w:rsidRPr="00AD3A44">
        <w:rPr>
          <w:lang w:val="fr-FR"/>
        </w:rPr>
        <w:t xml:space="preserve"> </w:t>
      </w:r>
      <w:r w:rsidR="006C3670" w:rsidRPr="00AD3A44">
        <w:rPr>
          <w:lang w:val="fr-FR"/>
        </w:rPr>
        <w:t>le secrétariat met à la disposition du public toute autre information pertinente communiquée par les Parties</w:t>
      </w:r>
      <w:r w:rsidR="00224608" w:rsidRPr="00AD3A44">
        <w:rPr>
          <w:lang w:val="fr-FR"/>
        </w:rPr>
        <w:t>.</w:t>
      </w:r>
    </w:p>
    <w:p w14:paraId="4A656D58" w14:textId="46F6C367" w:rsidR="00224608" w:rsidRPr="00AD3A44" w:rsidRDefault="00841554" w:rsidP="00765562">
      <w:pPr>
        <w:pStyle w:val="Normalnumber"/>
        <w:tabs>
          <w:tab w:val="clear" w:pos="1701"/>
        </w:tabs>
        <w:ind w:left="1247"/>
        <w:rPr>
          <w:bCs/>
          <w:lang w:val="fr-FR"/>
        </w:rPr>
      </w:pPr>
      <w:r w:rsidRPr="00AD3A44">
        <w:rPr>
          <w:lang w:val="fr-FR"/>
        </w:rPr>
        <w:t>L’a</w:t>
      </w:r>
      <w:r w:rsidR="00224608" w:rsidRPr="00AD3A44">
        <w:rPr>
          <w:lang w:val="fr-FR"/>
        </w:rPr>
        <w:t>rticle</w:t>
      </w:r>
      <w:r w:rsidRPr="00AD3A44">
        <w:rPr>
          <w:lang w:val="fr-FR"/>
        </w:rPr>
        <w:t> </w:t>
      </w:r>
      <w:r w:rsidR="00224608" w:rsidRPr="00AD3A44">
        <w:rPr>
          <w:lang w:val="fr-FR"/>
        </w:rPr>
        <w:t>17</w:t>
      </w:r>
      <w:r w:rsidRPr="00AD3A44">
        <w:rPr>
          <w:lang w:val="fr-FR"/>
        </w:rPr>
        <w:t xml:space="preserve"> prévoit un échange d’information</w:t>
      </w:r>
      <w:r w:rsidR="009D3E74" w:rsidRPr="00AD3A44">
        <w:rPr>
          <w:lang w:val="fr-FR"/>
        </w:rPr>
        <w:t xml:space="preserve">s entre les Parties, notamment d’informations concernant les solutions de remplacement techniquement et économiquement viables </w:t>
      </w:r>
      <w:r w:rsidR="009D3E74" w:rsidRPr="00AD3A44">
        <w:rPr>
          <w:bCs/>
          <w:lang w:val="fr-FR"/>
        </w:rPr>
        <w:t>pour les produits contenant du mercure ajouté et les procédés de fabrication dans lesquels du mercure ou des composés du mercure sont utilisés</w:t>
      </w:r>
      <w:r w:rsidR="00224608" w:rsidRPr="00AD3A44">
        <w:rPr>
          <w:bCs/>
          <w:lang w:val="fr-FR"/>
        </w:rPr>
        <w:t>.</w:t>
      </w:r>
      <w:r w:rsidR="009D3E74" w:rsidRPr="00AD3A44">
        <w:rPr>
          <w:bCs/>
          <w:lang w:val="fr-FR"/>
        </w:rPr>
        <w:t xml:space="preserve"> Aux termes du paragraphe </w:t>
      </w:r>
      <w:r w:rsidR="00224608" w:rsidRPr="00AD3A44">
        <w:rPr>
          <w:bCs/>
          <w:lang w:val="fr-FR"/>
        </w:rPr>
        <w:t>3</w:t>
      </w:r>
      <w:r w:rsidR="009D3E74" w:rsidRPr="00AD3A44">
        <w:rPr>
          <w:bCs/>
          <w:lang w:val="fr-FR"/>
        </w:rPr>
        <w:t xml:space="preserve"> de </w:t>
      </w:r>
      <w:r w:rsidR="00512CF2">
        <w:rPr>
          <w:bCs/>
          <w:lang w:val="fr-FR"/>
        </w:rPr>
        <w:t xml:space="preserve">cet </w:t>
      </w:r>
      <w:r w:rsidR="009D3E74" w:rsidRPr="00AD3A44">
        <w:rPr>
          <w:bCs/>
          <w:lang w:val="fr-FR"/>
        </w:rPr>
        <w:t>article, le secrétariat facilite la coopération en matière d’échange d’informations entre les Parties et avec des organisations compétentes, notamment les secrétariats des accords multilatéraux sur l’environnement et d’autres initiatives internationales</w:t>
      </w:r>
      <w:r w:rsidR="00224608" w:rsidRPr="00AD3A44">
        <w:rPr>
          <w:bCs/>
          <w:lang w:val="fr-FR"/>
        </w:rPr>
        <w:t>.</w:t>
      </w:r>
    </w:p>
    <w:p w14:paraId="05C4D43E" w14:textId="30457E43" w:rsidR="00224608" w:rsidRPr="00AD3A44" w:rsidRDefault="001D2082" w:rsidP="00765562">
      <w:pPr>
        <w:pStyle w:val="Normalnumber"/>
        <w:tabs>
          <w:tab w:val="clear" w:pos="1701"/>
        </w:tabs>
        <w:ind w:left="1247"/>
        <w:rPr>
          <w:bCs/>
          <w:lang w:val="fr-FR"/>
        </w:rPr>
      </w:pPr>
      <w:r w:rsidRPr="00AD3A44">
        <w:rPr>
          <w:bCs/>
          <w:lang w:val="fr-FR"/>
        </w:rPr>
        <w:lastRenderedPageBreak/>
        <w:t xml:space="preserve">Les informations communiquées par les Parties et d’autres parties prenantes en application des dispositions susmentionnées ont été mises à disposition sur le site Web de la </w:t>
      </w:r>
      <w:r w:rsidR="00224608" w:rsidRPr="00AD3A44">
        <w:rPr>
          <w:bCs/>
          <w:lang w:val="fr-FR"/>
        </w:rPr>
        <w:t>Convention</w:t>
      </w:r>
      <w:r w:rsidR="00224608" w:rsidRPr="00AD3A44">
        <w:rPr>
          <w:rStyle w:val="FootnoteReference"/>
          <w:bCs/>
          <w:lang w:val="fr-FR"/>
        </w:rPr>
        <w:footnoteReference w:id="2"/>
      </w:r>
      <w:r w:rsidRPr="00AD3A44">
        <w:rPr>
          <w:bCs/>
          <w:lang w:val="fr-FR"/>
        </w:rPr>
        <w:t>.</w:t>
      </w:r>
    </w:p>
    <w:p w14:paraId="43FF7602" w14:textId="07AA3B60" w:rsidR="000C65B1" w:rsidRPr="00AD3A44" w:rsidRDefault="007E65A8" w:rsidP="00A7603F">
      <w:pPr>
        <w:pStyle w:val="CH2"/>
        <w:rPr>
          <w:lang w:val="fr-FR"/>
        </w:rPr>
      </w:pPr>
      <w:r w:rsidRPr="00AD3A44">
        <w:rPr>
          <w:lang w:val="fr-FR"/>
        </w:rPr>
        <w:tab/>
      </w:r>
      <w:r w:rsidRPr="00AD3A44">
        <w:rPr>
          <w:lang w:val="fr-FR"/>
        </w:rPr>
        <w:tab/>
      </w:r>
      <w:r w:rsidR="00962F29" w:rsidRPr="00AD3A44">
        <w:rPr>
          <w:lang w:val="fr-FR"/>
        </w:rPr>
        <w:t>Mesures que pourrait prendre la Conférence des Parties</w:t>
      </w:r>
    </w:p>
    <w:p w14:paraId="35C61159" w14:textId="0670C6C1" w:rsidR="00944E96" w:rsidRPr="00AD3A44" w:rsidRDefault="00962F29" w:rsidP="0059761D">
      <w:pPr>
        <w:pStyle w:val="Normalnumber"/>
        <w:tabs>
          <w:tab w:val="clear" w:pos="1701"/>
        </w:tabs>
        <w:ind w:left="1247"/>
        <w:rPr>
          <w:lang w:val="fr-FR"/>
        </w:rPr>
      </w:pPr>
      <w:r w:rsidRPr="00AD3A44">
        <w:rPr>
          <w:bCs/>
          <w:lang w:val="fr-FR"/>
        </w:rPr>
        <w:t>Un projet de décision figure en annexe à la présente note</w:t>
      </w:r>
      <w:r w:rsidR="00C54468" w:rsidRPr="00AD3A44">
        <w:rPr>
          <w:bCs/>
          <w:lang w:val="fr-FR"/>
        </w:rPr>
        <w:t xml:space="preserve">. </w:t>
      </w:r>
      <w:r w:rsidRPr="00AD3A44">
        <w:rPr>
          <w:bCs/>
          <w:lang w:val="fr-FR"/>
        </w:rPr>
        <w:t>La Conférence des Parties souhaitera peut-être examiner</w:t>
      </w:r>
      <w:r w:rsidR="000C65B1" w:rsidRPr="00AD3A44">
        <w:rPr>
          <w:bCs/>
          <w:lang w:val="fr-FR"/>
        </w:rPr>
        <w:t xml:space="preserve"> </w:t>
      </w:r>
      <w:r w:rsidR="008C74CA" w:rsidRPr="00AD3A44">
        <w:rPr>
          <w:bCs/>
          <w:lang w:val="fr-FR"/>
        </w:rPr>
        <w:t>la procédure</w:t>
      </w:r>
      <w:r w:rsidRPr="00AD3A44">
        <w:rPr>
          <w:bCs/>
          <w:lang w:val="fr-FR"/>
        </w:rPr>
        <w:t xml:space="preserve"> d’examen des Annexes A et B</w:t>
      </w:r>
      <w:r w:rsidR="00512CF2">
        <w:rPr>
          <w:bCs/>
          <w:lang w:val="fr-FR"/>
        </w:rPr>
        <w:t xml:space="preserve"> </w:t>
      </w:r>
      <w:r w:rsidR="004D289E">
        <w:rPr>
          <w:bCs/>
          <w:lang w:val="fr-FR"/>
        </w:rPr>
        <w:t>de</w:t>
      </w:r>
      <w:r w:rsidR="00512CF2">
        <w:rPr>
          <w:bCs/>
          <w:lang w:val="fr-FR"/>
        </w:rPr>
        <w:t xml:space="preserve"> la Convention</w:t>
      </w:r>
      <w:r w:rsidR="000C65B1" w:rsidRPr="00AD3A44">
        <w:rPr>
          <w:bCs/>
          <w:lang w:val="fr-FR"/>
        </w:rPr>
        <w:t>.</w:t>
      </w:r>
    </w:p>
    <w:p w14:paraId="6A44C016" w14:textId="6FC00D2B" w:rsidR="000C65B1" w:rsidRPr="00AD3A44" w:rsidRDefault="000C65B1" w:rsidP="0059761D">
      <w:pPr>
        <w:pStyle w:val="Normalnumber"/>
        <w:tabs>
          <w:tab w:val="clear" w:pos="1701"/>
        </w:tabs>
        <w:ind w:left="1247"/>
        <w:rPr>
          <w:lang w:val="fr-FR"/>
        </w:rPr>
      </w:pPr>
      <w:r w:rsidRPr="00AD3A44">
        <w:rPr>
          <w:lang w:val="fr-FR"/>
        </w:rPr>
        <w:br w:type="page"/>
      </w:r>
    </w:p>
    <w:p w14:paraId="7B780EE1" w14:textId="22BB146B" w:rsidR="009E40F6" w:rsidRPr="00AD3A44" w:rsidRDefault="000C65B1" w:rsidP="00A7603F">
      <w:pPr>
        <w:pStyle w:val="ZZAnxheader"/>
        <w:rPr>
          <w:lang w:val="fr-FR"/>
        </w:rPr>
      </w:pPr>
      <w:r w:rsidRPr="00AD3A44">
        <w:rPr>
          <w:lang w:val="fr-FR"/>
        </w:rPr>
        <w:lastRenderedPageBreak/>
        <w:t>Annex</w:t>
      </w:r>
      <w:r w:rsidR="002655B1" w:rsidRPr="00AD3A44">
        <w:rPr>
          <w:lang w:val="fr-FR"/>
        </w:rPr>
        <w:t>e</w:t>
      </w:r>
    </w:p>
    <w:p w14:paraId="0CA9E910" w14:textId="1686A86A" w:rsidR="009E40F6" w:rsidRPr="00AD3A44" w:rsidRDefault="002655B1" w:rsidP="00A7603F">
      <w:pPr>
        <w:pStyle w:val="ZZAnxtitle"/>
        <w:rPr>
          <w:lang w:val="fr-FR"/>
        </w:rPr>
      </w:pPr>
      <w:r w:rsidRPr="00AD3A44">
        <w:rPr>
          <w:lang w:val="fr-FR"/>
        </w:rPr>
        <w:t>Projet de dé</w:t>
      </w:r>
      <w:r w:rsidR="009E40F6" w:rsidRPr="00AD3A44">
        <w:rPr>
          <w:lang w:val="fr-FR"/>
        </w:rPr>
        <w:t>cision</w:t>
      </w:r>
      <w:r w:rsidRPr="00AD3A44">
        <w:rPr>
          <w:lang w:val="fr-FR"/>
        </w:rPr>
        <w:t> </w:t>
      </w:r>
      <w:r w:rsidR="009E40F6" w:rsidRPr="00AD3A44">
        <w:rPr>
          <w:lang w:val="fr-FR"/>
        </w:rPr>
        <w:t>MC-3</w:t>
      </w:r>
      <w:proofErr w:type="gramStart"/>
      <w:r w:rsidR="009E40F6" w:rsidRPr="00AD3A44">
        <w:rPr>
          <w:lang w:val="fr-FR"/>
        </w:rPr>
        <w:t>/[</w:t>
      </w:r>
      <w:proofErr w:type="gramEnd"/>
      <w:r w:rsidR="00E4126D">
        <w:rPr>
          <w:lang w:val="fr-FR"/>
        </w:rPr>
        <w:t>--</w:t>
      </w:r>
      <w:r w:rsidR="009E40F6" w:rsidRPr="00AD3A44">
        <w:rPr>
          <w:lang w:val="fr-FR"/>
        </w:rPr>
        <w:t>]</w:t>
      </w:r>
      <w:r w:rsidRPr="00AD3A44">
        <w:rPr>
          <w:lang w:val="fr-FR"/>
        </w:rPr>
        <w:t> </w:t>
      </w:r>
      <w:r w:rsidR="009E40F6" w:rsidRPr="00AD3A44">
        <w:rPr>
          <w:lang w:val="fr-FR"/>
        </w:rPr>
        <w:t xml:space="preserve">: </w:t>
      </w:r>
      <w:r w:rsidRPr="00AD3A44">
        <w:rPr>
          <w:lang w:val="fr-FR"/>
        </w:rPr>
        <w:t>examen des Annexes </w:t>
      </w:r>
      <w:r w:rsidR="009E40F6" w:rsidRPr="00AD3A44">
        <w:rPr>
          <w:lang w:val="fr-FR"/>
        </w:rPr>
        <w:t xml:space="preserve">A </w:t>
      </w:r>
      <w:r w:rsidRPr="00AD3A44">
        <w:rPr>
          <w:lang w:val="fr-FR"/>
        </w:rPr>
        <w:t>et</w:t>
      </w:r>
      <w:r w:rsidR="00536462" w:rsidRPr="00AD3A44">
        <w:rPr>
          <w:lang w:val="fr-FR"/>
        </w:rPr>
        <w:t xml:space="preserve"> B</w:t>
      </w:r>
    </w:p>
    <w:p w14:paraId="3CAB2334" w14:textId="2645505B" w:rsidR="009E40F6" w:rsidRPr="00AD3A44" w:rsidRDefault="002655B1" w:rsidP="00AB4F18">
      <w:pPr>
        <w:pStyle w:val="Normal-pool"/>
        <w:tabs>
          <w:tab w:val="clear" w:pos="1247"/>
          <w:tab w:val="clear" w:pos="1814"/>
          <w:tab w:val="clear" w:pos="2381"/>
          <w:tab w:val="clear" w:pos="2948"/>
          <w:tab w:val="clear" w:pos="3515"/>
          <w:tab w:val="left" w:pos="624"/>
        </w:tabs>
        <w:spacing w:after="120"/>
        <w:ind w:left="1247" w:firstLine="624"/>
        <w:rPr>
          <w:i/>
          <w:iCs/>
          <w:lang w:val="fr-FR"/>
        </w:rPr>
      </w:pPr>
      <w:r w:rsidRPr="00AD3A44">
        <w:rPr>
          <w:i/>
          <w:iCs/>
          <w:lang w:val="fr-FR"/>
        </w:rPr>
        <w:t>La</w:t>
      </w:r>
      <w:r w:rsidR="009E40F6" w:rsidRPr="00AD3A44">
        <w:rPr>
          <w:i/>
          <w:iCs/>
          <w:lang w:val="fr-FR"/>
        </w:rPr>
        <w:t xml:space="preserve"> Conf</w:t>
      </w:r>
      <w:r w:rsidRPr="00AD3A44">
        <w:rPr>
          <w:i/>
          <w:iCs/>
          <w:lang w:val="fr-FR"/>
        </w:rPr>
        <w:t>é</w:t>
      </w:r>
      <w:r w:rsidR="009E40F6" w:rsidRPr="00AD3A44">
        <w:rPr>
          <w:i/>
          <w:iCs/>
          <w:lang w:val="fr-FR"/>
        </w:rPr>
        <w:t>rence of the Parties,</w:t>
      </w:r>
    </w:p>
    <w:p w14:paraId="0C725570" w14:textId="48F0DBDF" w:rsidR="009E40F6" w:rsidRPr="00AD3A44" w:rsidRDefault="002655B1" w:rsidP="00AB4F18">
      <w:pPr>
        <w:pStyle w:val="Normal-pool"/>
        <w:tabs>
          <w:tab w:val="clear" w:pos="1247"/>
          <w:tab w:val="clear" w:pos="1814"/>
          <w:tab w:val="clear" w:pos="2381"/>
          <w:tab w:val="clear" w:pos="2948"/>
          <w:tab w:val="clear" w:pos="3515"/>
          <w:tab w:val="left" w:pos="624"/>
        </w:tabs>
        <w:spacing w:after="120"/>
        <w:ind w:left="1247" w:firstLine="624"/>
        <w:rPr>
          <w:lang w:val="fr-FR"/>
        </w:rPr>
      </w:pPr>
      <w:r w:rsidRPr="00AD3A44">
        <w:rPr>
          <w:i/>
          <w:iCs/>
          <w:lang w:val="fr-FR"/>
        </w:rPr>
        <w:t>Rappelant</w:t>
      </w:r>
      <w:r w:rsidR="009E40F6" w:rsidRPr="00AD3A44">
        <w:rPr>
          <w:lang w:val="fr-FR"/>
        </w:rPr>
        <w:t xml:space="preserve"> </w:t>
      </w:r>
      <w:r w:rsidRPr="00AD3A44">
        <w:rPr>
          <w:lang w:val="fr-FR"/>
        </w:rPr>
        <w:t>que le</w:t>
      </w:r>
      <w:r w:rsidR="009E40F6" w:rsidRPr="00AD3A44">
        <w:rPr>
          <w:lang w:val="fr-FR"/>
        </w:rPr>
        <w:t xml:space="preserve"> paragraph</w:t>
      </w:r>
      <w:r w:rsidRPr="00AD3A44">
        <w:rPr>
          <w:lang w:val="fr-FR"/>
        </w:rPr>
        <w:t>e </w:t>
      </w:r>
      <w:r w:rsidR="009E40F6" w:rsidRPr="00AD3A44">
        <w:rPr>
          <w:lang w:val="fr-FR"/>
        </w:rPr>
        <w:t xml:space="preserve">8 </w:t>
      </w:r>
      <w:r w:rsidRPr="00AD3A44">
        <w:rPr>
          <w:lang w:val="fr-FR"/>
        </w:rPr>
        <w:t>de l’</w:t>
      </w:r>
      <w:r w:rsidR="009E40F6" w:rsidRPr="00AD3A44">
        <w:rPr>
          <w:lang w:val="fr-FR"/>
        </w:rPr>
        <w:t>article</w:t>
      </w:r>
      <w:r w:rsidR="001D333A">
        <w:rPr>
          <w:lang w:val="fr-FR"/>
        </w:rPr>
        <w:t> </w:t>
      </w:r>
      <w:r w:rsidR="009E40F6" w:rsidRPr="00AD3A44">
        <w:rPr>
          <w:lang w:val="fr-FR"/>
        </w:rPr>
        <w:t xml:space="preserve">4 </w:t>
      </w:r>
      <w:r w:rsidRPr="00AD3A44">
        <w:rPr>
          <w:lang w:val="fr-FR"/>
        </w:rPr>
        <w:t>et le</w:t>
      </w:r>
      <w:r w:rsidR="00536462" w:rsidRPr="00AD3A44">
        <w:rPr>
          <w:lang w:val="fr-FR"/>
        </w:rPr>
        <w:t xml:space="preserve"> paragraph</w:t>
      </w:r>
      <w:r w:rsidRPr="00AD3A44">
        <w:rPr>
          <w:lang w:val="fr-FR"/>
        </w:rPr>
        <w:t>e </w:t>
      </w:r>
      <w:r w:rsidR="00536462" w:rsidRPr="00AD3A44">
        <w:rPr>
          <w:lang w:val="fr-FR"/>
        </w:rPr>
        <w:t xml:space="preserve">10 </w:t>
      </w:r>
      <w:r w:rsidRPr="00AD3A44">
        <w:rPr>
          <w:lang w:val="fr-FR"/>
        </w:rPr>
        <w:t>de l’</w:t>
      </w:r>
      <w:r w:rsidR="00536462" w:rsidRPr="00AD3A44">
        <w:rPr>
          <w:lang w:val="fr-FR"/>
        </w:rPr>
        <w:t>article</w:t>
      </w:r>
      <w:r w:rsidRPr="00AD3A44">
        <w:rPr>
          <w:lang w:val="fr-FR"/>
        </w:rPr>
        <w:t> </w:t>
      </w:r>
      <w:r w:rsidR="00536462" w:rsidRPr="00AD3A44">
        <w:rPr>
          <w:lang w:val="fr-FR"/>
        </w:rPr>
        <w:t xml:space="preserve">5 </w:t>
      </w:r>
      <w:r w:rsidRPr="00AD3A44">
        <w:rPr>
          <w:lang w:val="fr-FR"/>
        </w:rPr>
        <w:t>de la</w:t>
      </w:r>
      <w:r w:rsidR="009E40F6" w:rsidRPr="00AD3A44">
        <w:rPr>
          <w:lang w:val="fr-FR"/>
        </w:rPr>
        <w:t xml:space="preserve"> Convention</w:t>
      </w:r>
      <w:r w:rsidRPr="00AD3A44">
        <w:rPr>
          <w:lang w:val="fr-FR"/>
        </w:rPr>
        <w:t xml:space="preserve"> </w:t>
      </w:r>
      <w:r w:rsidR="00A8054D">
        <w:rPr>
          <w:lang w:val="fr-FR"/>
        </w:rPr>
        <w:t>imposent</w:t>
      </w:r>
      <w:r w:rsidRPr="00AD3A44">
        <w:rPr>
          <w:lang w:val="fr-FR"/>
        </w:rPr>
        <w:t xml:space="preserve"> à la Conférence des Parties d’examiner les Annexes </w:t>
      </w:r>
      <w:r w:rsidR="009E40F6" w:rsidRPr="00AD3A44">
        <w:rPr>
          <w:lang w:val="fr-FR"/>
        </w:rPr>
        <w:t>A</w:t>
      </w:r>
      <w:r w:rsidR="00536462" w:rsidRPr="00AD3A44">
        <w:rPr>
          <w:lang w:val="fr-FR"/>
        </w:rPr>
        <w:t xml:space="preserve"> </w:t>
      </w:r>
      <w:r w:rsidRPr="00AD3A44">
        <w:rPr>
          <w:lang w:val="fr-FR"/>
        </w:rPr>
        <w:t>et</w:t>
      </w:r>
      <w:r w:rsidR="00536462" w:rsidRPr="00AD3A44">
        <w:rPr>
          <w:lang w:val="fr-FR"/>
        </w:rPr>
        <w:t xml:space="preserve"> B</w:t>
      </w:r>
      <w:r w:rsidRPr="00AD3A44">
        <w:rPr>
          <w:lang w:val="fr-FR"/>
        </w:rPr>
        <w:t>, respectivement,</w:t>
      </w:r>
      <w:r w:rsidR="00536462" w:rsidRPr="00AD3A44">
        <w:rPr>
          <w:lang w:val="fr-FR"/>
        </w:rPr>
        <w:t xml:space="preserve"> </w:t>
      </w:r>
      <w:r w:rsidRPr="00AD3A44">
        <w:rPr>
          <w:lang w:val="fr-FR"/>
        </w:rPr>
        <w:t>au plus tard cinq ans après la date d’entrée en vigueur de la Convention</w:t>
      </w:r>
      <w:r w:rsidR="009E40F6" w:rsidRPr="00AD3A44">
        <w:rPr>
          <w:lang w:val="fr-FR"/>
        </w:rPr>
        <w:t>,</w:t>
      </w:r>
    </w:p>
    <w:p w14:paraId="6402F6EE" w14:textId="325FA781" w:rsidR="0034087A" w:rsidRPr="00AD3A44" w:rsidRDefault="002655B1" w:rsidP="00AB4F18">
      <w:pPr>
        <w:pStyle w:val="Normal-pool"/>
        <w:tabs>
          <w:tab w:val="clear" w:pos="1247"/>
          <w:tab w:val="clear" w:pos="1814"/>
          <w:tab w:val="clear" w:pos="2381"/>
          <w:tab w:val="clear" w:pos="2948"/>
          <w:tab w:val="clear" w:pos="3515"/>
          <w:tab w:val="left" w:pos="624"/>
        </w:tabs>
        <w:spacing w:after="120"/>
        <w:ind w:left="1247" w:firstLine="624"/>
        <w:rPr>
          <w:lang w:val="fr-FR"/>
        </w:rPr>
      </w:pPr>
      <w:bookmarkStart w:id="4" w:name="_Hlk15060905"/>
      <w:r w:rsidRPr="00AD3A44">
        <w:rPr>
          <w:i/>
          <w:iCs/>
          <w:lang w:val="fr-FR"/>
        </w:rPr>
        <w:t>Rappelant également</w:t>
      </w:r>
      <w:r w:rsidR="0034087A" w:rsidRPr="00AD3A44">
        <w:rPr>
          <w:i/>
          <w:iCs/>
          <w:lang w:val="fr-FR"/>
        </w:rPr>
        <w:t xml:space="preserve"> </w:t>
      </w:r>
      <w:r w:rsidRPr="00AD3A44">
        <w:rPr>
          <w:lang w:val="fr-FR"/>
        </w:rPr>
        <w:t>que le</w:t>
      </w:r>
      <w:r w:rsidR="0034087A" w:rsidRPr="00AD3A44">
        <w:rPr>
          <w:lang w:val="fr-FR"/>
        </w:rPr>
        <w:t xml:space="preserve"> paragraph</w:t>
      </w:r>
      <w:r w:rsidRPr="00AD3A44">
        <w:rPr>
          <w:lang w:val="fr-FR"/>
        </w:rPr>
        <w:t>e </w:t>
      </w:r>
      <w:r w:rsidR="0034087A" w:rsidRPr="00AD3A44">
        <w:rPr>
          <w:lang w:val="fr-FR"/>
        </w:rPr>
        <w:t xml:space="preserve">9 </w:t>
      </w:r>
      <w:r w:rsidRPr="00AD3A44">
        <w:rPr>
          <w:lang w:val="fr-FR"/>
        </w:rPr>
        <w:t>de l’</w:t>
      </w:r>
      <w:r w:rsidR="0034087A" w:rsidRPr="00AD3A44">
        <w:rPr>
          <w:lang w:val="fr-FR"/>
        </w:rPr>
        <w:t>article</w:t>
      </w:r>
      <w:r w:rsidR="001D333A">
        <w:rPr>
          <w:lang w:val="fr-FR"/>
        </w:rPr>
        <w:t> </w:t>
      </w:r>
      <w:r w:rsidR="0034087A" w:rsidRPr="00AD3A44">
        <w:rPr>
          <w:lang w:val="fr-FR"/>
        </w:rPr>
        <w:t xml:space="preserve">4 </w:t>
      </w:r>
      <w:r w:rsidRPr="00AD3A44">
        <w:rPr>
          <w:lang w:val="fr-FR"/>
        </w:rPr>
        <w:t>et le</w:t>
      </w:r>
      <w:r w:rsidR="0034087A" w:rsidRPr="00AD3A44">
        <w:rPr>
          <w:lang w:val="fr-FR"/>
        </w:rPr>
        <w:t xml:space="preserve"> paragraph</w:t>
      </w:r>
      <w:r w:rsidRPr="00AD3A44">
        <w:rPr>
          <w:lang w:val="fr-FR"/>
        </w:rPr>
        <w:t>e </w:t>
      </w:r>
      <w:r w:rsidR="0034087A" w:rsidRPr="00AD3A44">
        <w:rPr>
          <w:lang w:val="fr-FR"/>
        </w:rPr>
        <w:t>11</w:t>
      </w:r>
      <w:r w:rsidR="00807CF2" w:rsidRPr="00AD3A44">
        <w:rPr>
          <w:lang w:val="fr-FR"/>
        </w:rPr>
        <w:t xml:space="preserve"> </w:t>
      </w:r>
      <w:r w:rsidRPr="00AD3A44">
        <w:rPr>
          <w:lang w:val="fr-FR"/>
        </w:rPr>
        <w:t>de l’</w:t>
      </w:r>
      <w:r w:rsidR="0034087A" w:rsidRPr="00AD3A44">
        <w:rPr>
          <w:lang w:val="fr-FR"/>
        </w:rPr>
        <w:t>article</w:t>
      </w:r>
      <w:r w:rsidRPr="00AD3A44">
        <w:rPr>
          <w:lang w:val="fr-FR"/>
        </w:rPr>
        <w:t> </w:t>
      </w:r>
      <w:r w:rsidR="0034087A" w:rsidRPr="00AD3A44">
        <w:rPr>
          <w:lang w:val="fr-FR"/>
        </w:rPr>
        <w:t>5</w:t>
      </w:r>
      <w:r w:rsidRPr="00AD3A44">
        <w:rPr>
          <w:lang w:val="fr-FR"/>
        </w:rPr>
        <w:t xml:space="preserve"> déterminent les éléments que la Conférence des Parties doit prendre en compte, au minimum, lors de l’examen des Annexes A et</w:t>
      </w:r>
      <w:r w:rsidR="0034087A" w:rsidRPr="00AD3A44">
        <w:rPr>
          <w:lang w:val="fr-FR"/>
        </w:rPr>
        <w:t xml:space="preserve"> B</w:t>
      </w:r>
      <w:r w:rsidR="00512CF2">
        <w:rPr>
          <w:lang w:val="fr-FR"/>
        </w:rPr>
        <w:t xml:space="preserve"> </w:t>
      </w:r>
      <w:r w:rsidR="004D289E">
        <w:rPr>
          <w:lang w:val="fr-FR"/>
        </w:rPr>
        <w:t>de</w:t>
      </w:r>
      <w:r w:rsidR="00512CF2">
        <w:rPr>
          <w:lang w:val="fr-FR"/>
        </w:rPr>
        <w:t xml:space="preserve"> la Convention</w:t>
      </w:r>
      <w:r w:rsidRPr="00AD3A44">
        <w:rPr>
          <w:lang w:val="fr-FR"/>
        </w:rPr>
        <w:t>,</w:t>
      </w:r>
      <w:r w:rsidR="0034087A" w:rsidRPr="00AD3A44">
        <w:rPr>
          <w:lang w:val="fr-FR"/>
        </w:rPr>
        <w:t xml:space="preserve"> respective</w:t>
      </w:r>
      <w:r w:rsidRPr="00AD3A44">
        <w:rPr>
          <w:lang w:val="fr-FR"/>
        </w:rPr>
        <w:t>ment</w:t>
      </w:r>
      <w:r w:rsidR="0034087A" w:rsidRPr="00AD3A44">
        <w:rPr>
          <w:lang w:val="fr-FR"/>
        </w:rPr>
        <w:t>,</w:t>
      </w:r>
    </w:p>
    <w:bookmarkEnd w:id="4"/>
    <w:p w14:paraId="19447179" w14:textId="79E5E3AF" w:rsidR="009E40F6" w:rsidRPr="00AD3A44" w:rsidRDefault="002655B1" w:rsidP="00AB4F18">
      <w:pPr>
        <w:pStyle w:val="Normal-pool"/>
        <w:tabs>
          <w:tab w:val="clear" w:pos="1247"/>
          <w:tab w:val="clear" w:pos="1814"/>
          <w:tab w:val="clear" w:pos="2381"/>
          <w:tab w:val="clear" w:pos="2948"/>
          <w:tab w:val="clear" w:pos="3515"/>
          <w:tab w:val="left" w:pos="624"/>
        </w:tabs>
        <w:spacing w:after="120"/>
        <w:ind w:left="1247" w:firstLine="624"/>
        <w:rPr>
          <w:lang w:val="fr-FR"/>
        </w:rPr>
      </w:pPr>
      <w:r w:rsidRPr="00AD3A44">
        <w:rPr>
          <w:i/>
          <w:iCs/>
          <w:lang w:val="fr-FR"/>
        </w:rPr>
        <w:t>Tenant compte</w:t>
      </w:r>
      <w:r w:rsidR="009E40F6" w:rsidRPr="00AD3A44">
        <w:rPr>
          <w:lang w:val="fr-FR"/>
        </w:rPr>
        <w:t xml:space="preserve"> </w:t>
      </w:r>
      <w:r w:rsidRPr="00AD3A44">
        <w:rPr>
          <w:lang w:val="fr-FR"/>
        </w:rPr>
        <w:t>du fait que le</w:t>
      </w:r>
      <w:r w:rsidR="009E40F6" w:rsidRPr="00AD3A44">
        <w:rPr>
          <w:lang w:val="fr-FR"/>
        </w:rPr>
        <w:t xml:space="preserve"> paragraph</w:t>
      </w:r>
      <w:r w:rsidRPr="00AD3A44">
        <w:rPr>
          <w:lang w:val="fr-FR"/>
        </w:rPr>
        <w:t>e </w:t>
      </w:r>
      <w:r w:rsidR="009E40F6" w:rsidRPr="00AD3A44">
        <w:rPr>
          <w:lang w:val="fr-FR"/>
        </w:rPr>
        <w:t xml:space="preserve">2 </w:t>
      </w:r>
      <w:r w:rsidRPr="00AD3A44">
        <w:rPr>
          <w:lang w:val="fr-FR"/>
        </w:rPr>
        <w:t>de l’</w:t>
      </w:r>
      <w:r w:rsidR="009E40F6" w:rsidRPr="00AD3A44">
        <w:rPr>
          <w:lang w:val="fr-FR"/>
        </w:rPr>
        <w:t>article</w:t>
      </w:r>
      <w:r w:rsidRPr="00AD3A44">
        <w:rPr>
          <w:lang w:val="fr-FR"/>
        </w:rPr>
        <w:t> </w:t>
      </w:r>
      <w:r w:rsidR="009E40F6" w:rsidRPr="00AD3A44">
        <w:rPr>
          <w:lang w:val="fr-FR"/>
        </w:rPr>
        <w:t xml:space="preserve">4 </w:t>
      </w:r>
      <w:r w:rsidRPr="00AD3A44">
        <w:rPr>
          <w:lang w:val="fr-FR"/>
        </w:rPr>
        <w:t>de la</w:t>
      </w:r>
      <w:r w:rsidR="009E40F6" w:rsidRPr="00AD3A44">
        <w:rPr>
          <w:lang w:val="fr-FR"/>
        </w:rPr>
        <w:t xml:space="preserve"> Convention </w:t>
      </w:r>
      <w:r w:rsidR="00A8054D">
        <w:rPr>
          <w:lang w:val="fr-FR"/>
        </w:rPr>
        <w:t>impose</w:t>
      </w:r>
      <w:r w:rsidR="008C74CA" w:rsidRPr="00AD3A44">
        <w:rPr>
          <w:lang w:val="fr-FR"/>
        </w:rPr>
        <w:t xml:space="preserve"> à la Conférence des Parties</w:t>
      </w:r>
      <w:r w:rsidR="009E40F6" w:rsidRPr="00AD3A44">
        <w:rPr>
          <w:lang w:val="fr-FR"/>
        </w:rPr>
        <w:t xml:space="preserve"> </w:t>
      </w:r>
      <w:r w:rsidR="008C74CA" w:rsidRPr="00AD3A44">
        <w:rPr>
          <w:lang w:val="fr-FR"/>
        </w:rPr>
        <w:t>d’examiner, dans le cadre de la procédure d’examen prévue au paragraphe</w:t>
      </w:r>
      <w:r w:rsidR="001D333A">
        <w:rPr>
          <w:lang w:val="fr-FR"/>
        </w:rPr>
        <w:t> </w:t>
      </w:r>
      <w:r w:rsidR="008C74CA" w:rsidRPr="00AD3A44">
        <w:rPr>
          <w:lang w:val="fr-FR"/>
        </w:rPr>
        <w:t>8 de l’article 4, les progrès et l’efficacité des mesures prises en application du paragraphe 2 de l’article 4</w:t>
      </w:r>
      <w:r w:rsidR="009E40F6" w:rsidRPr="00AD3A44">
        <w:rPr>
          <w:lang w:val="fr-FR"/>
        </w:rPr>
        <w:t>,</w:t>
      </w:r>
    </w:p>
    <w:p w14:paraId="5222F715" w14:textId="5A8760E0" w:rsidR="00F61AB4" w:rsidRPr="00AD3A44" w:rsidRDefault="001867BA" w:rsidP="00AB4F18">
      <w:pPr>
        <w:pStyle w:val="Normal-pool"/>
        <w:tabs>
          <w:tab w:val="clear" w:pos="1247"/>
          <w:tab w:val="clear" w:pos="1814"/>
          <w:tab w:val="clear" w:pos="2381"/>
          <w:tab w:val="clear" w:pos="2948"/>
          <w:tab w:val="clear" w:pos="3515"/>
          <w:tab w:val="clear" w:pos="4082"/>
          <w:tab w:val="left" w:pos="624"/>
        </w:tabs>
        <w:spacing w:after="120"/>
        <w:ind w:left="1247" w:firstLine="624"/>
        <w:rPr>
          <w:rFonts w:eastAsia="MS PGothic"/>
          <w:lang w:val="fr-FR"/>
        </w:rPr>
      </w:pPr>
      <w:r w:rsidRPr="00AD3A44">
        <w:rPr>
          <w:rFonts w:eastAsia="MS PGothic"/>
          <w:lang w:val="fr-FR"/>
        </w:rPr>
        <w:t>1.</w:t>
      </w:r>
      <w:r w:rsidRPr="00AD3A44">
        <w:rPr>
          <w:rFonts w:eastAsia="MS PGothic"/>
          <w:lang w:val="fr-FR"/>
        </w:rPr>
        <w:tab/>
      </w:r>
      <w:r w:rsidR="00F61AB4" w:rsidRPr="00AD3A44">
        <w:rPr>
          <w:rFonts w:eastAsia="MS PGothic"/>
          <w:i/>
          <w:lang w:val="fr-FR"/>
        </w:rPr>
        <w:t>D</w:t>
      </w:r>
      <w:r w:rsidR="0050571B" w:rsidRPr="00AD3A44">
        <w:rPr>
          <w:rFonts w:eastAsia="MS PGothic"/>
          <w:i/>
          <w:lang w:val="fr-FR"/>
        </w:rPr>
        <w:t>é</w:t>
      </w:r>
      <w:r w:rsidR="00F61AB4" w:rsidRPr="00AD3A44">
        <w:rPr>
          <w:rFonts w:eastAsia="MS PGothic"/>
          <w:i/>
          <w:lang w:val="fr-FR"/>
        </w:rPr>
        <w:t>cide</w:t>
      </w:r>
      <w:r w:rsidR="00F61AB4" w:rsidRPr="00AD3A44">
        <w:rPr>
          <w:rFonts w:eastAsia="MS PGothic"/>
          <w:lang w:val="fr-FR"/>
        </w:rPr>
        <w:t xml:space="preserve"> </w:t>
      </w:r>
      <w:r w:rsidR="0050571B" w:rsidRPr="00AD3A44">
        <w:rPr>
          <w:rFonts w:eastAsia="MS PGothic"/>
          <w:lang w:val="fr-FR"/>
        </w:rPr>
        <w:t>de créer</w:t>
      </w:r>
      <w:r w:rsidR="00F61AB4" w:rsidRPr="00AD3A44">
        <w:rPr>
          <w:rFonts w:eastAsia="MS PGothic"/>
          <w:lang w:val="fr-FR"/>
        </w:rPr>
        <w:t xml:space="preserve"> </w:t>
      </w:r>
      <w:r w:rsidR="0050571B" w:rsidRPr="00AD3A44">
        <w:rPr>
          <w:rFonts w:eastAsia="MS PGothic"/>
          <w:lang w:val="fr-FR"/>
        </w:rPr>
        <w:t>un groupe spécial d’experts dont le mandat figure dans l’appendice de la présente décision </w:t>
      </w:r>
      <w:r w:rsidR="00F61AB4" w:rsidRPr="00AD3A44">
        <w:rPr>
          <w:rFonts w:eastAsia="MS PGothic"/>
          <w:lang w:val="fr-FR"/>
        </w:rPr>
        <w:t>;</w:t>
      </w:r>
    </w:p>
    <w:p w14:paraId="226DC329" w14:textId="7DC82D5F" w:rsidR="00F61AB4" w:rsidRPr="00AD3A44" w:rsidRDefault="001867BA" w:rsidP="00AB4F18">
      <w:pPr>
        <w:pStyle w:val="Normal-pool"/>
        <w:tabs>
          <w:tab w:val="clear" w:pos="1247"/>
          <w:tab w:val="clear" w:pos="1814"/>
          <w:tab w:val="clear" w:pos="2381"/>
          <w:tab w:val="clear" w:pos="2948"/>
          <w:tab w:val="clear" w:pos="3515"/>
          <w:tab w:val="clear" w:pos="4082"/>
          <w:tab w:val="left" w:pos="624"/>
        </w:tabs>
        <w:spacing w:after="120"/>
        <w:ind w:left="1247" w:firstLine="624"/>
        <w:rPr>
          <w:rFonts w:eastAsia="MS PGothic"/>
          <w:lang w:val="fr-FR"/>
        </w:rPr>
      </w:pPr>
      <w:r w:rsidRPr="00AD3A44">
        <w:rPr>
          <w:rFonts w:eastAsia="MS PGothic"/>
          <w:iCs/>
          <w:lang w:val="fr-FR"/>
        </w:rPr>
        <w:t>2.</w:t>
      </w:r>
      <w:r w:rsidRPr="00AD3A44">
        <w:rPr>
          <w:rFonts w:eastAsia="MS PGothic"/>
          <w:iCs/>
          <w:lang w:val="fr-FR"/>
        </w:rPr>
        <w:tab/>
      </w:r>
      <w:r w:rsidR="0050571B" w:rsidRPr="00AD3A44">
        <w:rPr>
          <w:rFonts w:eastAsia="MS PGothic"/>
          <w:i/>
          <w:iCs/>
          <w:lang w:val="fr-FR"/>
        </w:rPr>
        <w:t>Prie</w:t>
      </w:r>
      <w:r w:rsidR="00F61AB4" w:rsidRPr="00AD3A44">
        <w:rPr>
          <w:rFonts w:eastAsia="MS PGothic"/>
          <w:i/>
          <w:iCs/>
          <w:lang w:val="fr-FR"/>
        </w:rPr>
        <w:t xml:space="preserve"> </w:t>
      </w:r>
      <w:r w:rsidR="00136816" w:rsidRPr="00AD3A44">
        <w:rPr>
          <w:rFonts w:eastAsia="MS PGothic"/>
          <w:lang w:val="fr-FR"/>
        </w:rPr>
        <w:t xml:space="preserve">le secrétariat d’inviter les Parties de chacune des cinq régions de l’Organisation des Nations Unies à désigner d’ici au 29 février 2020, par l’intermédiaire des représentants du Bureau, quatre experts pour représenter leur région au sein du groupe </w:t>
      </w:r>
      <w:r w:rsidR="00512CF2">
        <w:rPr>
          <w:rFonts w:eastAsia="MS PGothic"/>
          <w:lang w:val="fr-FR"/>
        </w:rPr>
        <w:t xml:space="preserve">spécial d’experts </w:t>
      </w:r>
      <w:r w:rsidR="00136816" w:rsidRPr="00AD3A44">
        <w:rPr>
          <w:rFonts w:eastAsia="MS PGothic"/>
          <w:lang w:val="fr-FR"/>
        </w:rPr>
        <w:t>et d’appuyer les travaux de ce dernier </w:t>
      </w:r>
      <w:r w:rsidR="00F61AB4" w:rsidRPr="00AD3A44">
        <w:rPr>
          <w:rFonts w:eastAsia="MS PGothic"/>
          <w:lang w:val="fr-FR"/>
        </w:rPr>
        <w:t>;</w:t>
      </w:r>
    </w:p>
    <w:p w14:paraId="2D14E806" w14:textId="148487DB" w:rsidR="00696087" w:rsidRPr="00AD3A44" w:rsidRDefault="001867BA" w:rsidP="00AB4F18">
      <w:pPr>
        <w:pStyle w:val="Normal-pool"/>
        <w:tabs>
          <w:tab w:val="clear" w:pos="1247"/>
          <w:tab w:val="clear" w:pos="1814"/>
          <w:tab w:val="clear" w:pos="2381"/>
          <w:tab w:val="clear" w:pos="2948"/>
          <w:tab w:val="clear" w:pos="3515"/>
          <w:tab w:val="clear" w:pos="4082"/>
          <w:tab w:val="left" w:pos="624"/>
        </w:tabs>
        <w:spacing w:after="120"/>
        <w:ind w:left="1247" w:firstLine="624"/>
        <w:rPr>
          <w:lang w:val="fr-FR"/>
        </w:rPr>
      </w:pPr>
      <w:r w:rsidRPr="00AD3A44">
        <w:rPr>
          <w:iCs/>
          <w:lang w:val="fr-FR"/>
        </w:rPr>
        <w:t>3.</w:t>
      </w:r>
      <w:r w:rsidRPr="00AD3A44">
        <w:rPr>
          <w:iCs/>
          <w:lang w:val="fr-FR"/>
        </w:rPr>
        <w:tab/>
      </w:r>
      <w:r w:rsidR="00136816" w:rsidRPr="00AD3A44">
        <w:rPr>
          <w:i/>
          <w:iCs/>
          <w:lang w:val="fr-FR"/>
        </w:rPr>
        <w:t>Prie</w:t>
      </w:r>
      <w:r w:rsidR="00696087" w:rsidRPr="00AD3A44">
        <w:rPr>
          <w:lang w:val="fr-FR"/>
        </w:rPr>
        <w:t xml:space="preserve"> </w:t>
      </w:r>
      <w:r w:rsidR="00136816" w:rsidRPr="00AD3A44">
        <w:rPr>
          <w:lang w:val="fr-FR"/>
        </w:rPr>
        <w:t>les P</w:t>
      </w:r>
      <w:r w:rsidR="00696087" w:rsidRPr="00AD3A44">
        <w:rPr>
          <w:lang w:val="fr-FR"/>
        </w:rPr>
        <w:t>art</w:t>
      </w:r>
      <w:r w:rsidR="0034087A" w:rsidRPr="00AD3A44">
        <w:rPr>
          <w:lang w:val="fr-FR"/>
        </w:rPr>
        <w:t>ies</w:t>
      </w:r>
      <w:r w:rsidR="00696087" w:rsidRPr="00AD3A44">
        <w:rPr>
          <w:lang w:val="fr-FR"/>
        </w:rPr>
        <w:t xml:space="preserve"> </w:t>
      </w:r>
      <w:r w:rsidR="00136816" w:rsidRPr="00AD3A44">
        <w:rPr>
          <w:lang w:val="fr-FR"/>
        </w:rPr>
        <w:t>qui ont notifié au secrétariat, au moment de leur ratification de la Convention, qu’elles</w:t>
      </w:r>
      <w:r w:rsidR="00696087" w:rsidRPr="00AD3A44">
        <w:rPr>
          <w:lang w:val="fr-FR"/>
        </w:rPr>
        <w:t xml:space="preserve"> </w:t>
      </w:r>
      <w:r w:rsidR="00136816" w:rsidRPr="00AD3A44">
        <w:rPr>
          <w:lang w:val="fr-FR"/>
        </w:rPr>
        <w:t xml:space="preserve">mettent en œuvre différentes mesures ou stratégies pour traiter les produits inscrits dans la première partie de l’Annexe A de faire rapport, avant le </w:t>
      </w:r>
      <w:r w:rsidR="00AA6407" w:rsidRPr="00AD3A44">
        <w:rPr>
          <w:lang w:val="fr-FR"/>
        </w:rPr>
        <w:t>30</w:t>
      </w:r>
      <w:r w:rsidR="00136816" w:rsidRPr="00AD3A44">
        <w:rPr>
          <w:lang w:val="fr-FR"/>
        </w:rPr>
        <w:t> juin </w:t>
      </w:r>
      <w:r w:rsidR="00AA6407" w:rsidRPr="00AD3A44">
        <w:rPr>
          <w:lang w:val="fr-FR"/>
        </w:rPr>
        <w:t xml:space="preserve">2020, </w:t>
      </w:r>
      <w:r w:rsidR="00136816" w:rsidRPr="00AD3A44">
        <w:rPr>
          <w:lang w:val="fr-FR"/>
        </w:rPr>
        <w:t>sur les</w:t>
      </w:r>
      <w:r w:rsidR="00696087" w:rsidRPr="00AD3A44">
        <w:rPr>
          <w:lang w:val="fr-FR"/>
        </w:rPr>
        <w:t xml:space="preserve"> </w:t>
      </w:r>
      <w:r w:rsidR="00136816" w:rsidRPr="00AD3A44">
        <w:rPr>
          <w:lang w:val="fr-FR"/>
        </w:rPr>
        <w:t>mesures ou stratégies mises en œuvre, y compris une quantification des réductions réalisées </w:t>
      </w:r>
      <w:r w:rsidR="00536462" w:rsidRPr="00AD3A44">
        <w:rPr>
          <w:lang w:val="fr-FR"/>
        </w:rPr>
        <w:t>;</w:t>
      </w:r>
    </w:p>
    <w:p w14:paraId="6C8445A5" w14:textId="5E93A479" w:rsidR="000468F2" w:rsidRPr="00AD3A44" w:rsidRDefault="001867BA" w:rsidP="00AB4F18">
      <w:pPr>
        <w:pStyle w:val="Normal-pool"/>
        <w:tabs>
          <w:tab w:val="clear" w:pos="1247"/>
          <w:tab w:val="clear" w:pos="1814"/>
          <w:tab w:val="clear" w:pos="2381"/>
          <w:tab w:val="clear" w:pos="2948"/>
          <w:tab w:val="clear" w:pos="3515"/>
          <w:tab w:val="clear" w:pos="4082"/>
          <w:tab w:val="left" w:pos="624"/>
        </w:tabs>
        <w:spacing w:after="120"/>
        <w:ind w:left="1247" w:firstLine="624"/>
        <w:rPr>
          <w:rFonts w:eastAsia="MS PGothic"/>
          <w:lang w:val="fr-FR"/>
        </w:rPr>
      </w:pPr>
      <w:r w:rsidRPr="00AD3A44">
        <w:rPr>
          <w:rFonts w:eastAsia="MS PGothic"/>
          <w:iCs/>
          <w:lang w:val="fr-FR"/>
        </w:rPr>
        <w:t>4.</w:t>
      </w:r>
      <w:r w:rsidRPr="00AD3A44">
        <w:rPr>
          <w:rFonts w:eastAsia="MS PGothic"/>
          <w:iCs/>
          <w:lang w:val="fr-FR"/>
        </w:rPr>
        <w:tab/>
      </w:r>
      <w:r w:rsidR="00515E7F" w:rsidRPr="00AD3A44">
        <w:rPr>
          <w:rFonts w:eastAsia="MS PGothic"/>
          <w:i/>
          <w:iCs/>
          <w:lang w:val="fr-FR"/>
        </w:rPr>
        <w:t>Prie</w:t>
      </w:r>
      <w:r w:rsidR="00C81DCB" w:rsidRPr="00AD3A44">
        <w:rPr>
          <w:rFonts w:eastAsia="MS PGothic"/>
          <w:i/>
          <w:iCs/>
          <w:lang w:val="fr-FR"/>
        </w:rPr>
        <w:t xml:space="preserve"> </w:t>
      </w:r>
      <w:r w:rsidR="00515E7F" w:rsidRPr="00AD3A44">
        <w:rPr>
          <w:rFonts w:eastAsia="MS PGothic"/>
          <w:lang w:val="fr-FR"/>
        </w:rPr>
        <w:t xml:space="preserve">le secrétariat de compiler les informations communiquées par les Parties afin que le groupe </w:t>
      </w:r>
      <w:r w:rsidR="00512CF2">
        <w:rPr>
          <w:rFonts w:eastAsia="MS PGothic"/>
          <w:lang w:val="fr-FR"/>
        </w:rPr>
        <w:t xml:space="preserve">spécial d’experts </w:t>
      </w:r>
      <w:r w:rsidR="00515E7F" w:rsidRPr="00AD3A44">
        <w:rPr>
          <w:rFonts w:eastAsia="MS PGothic"/>
          <w:lang w:val="fr-FR"/>
        </w:rPr>
        <w:t>les examine </w:t>
      </w:r>
      <w:r w:rsidR="000468F2" w:rsidRPr="00AD3A44">
        <w:rPr>
          <w:rFonts w:eastAsia="MS PGothic"/>
          <w:lang w:val="fr-FR"/>
        </w:rPr>
        <w:t>;</w:t>
      </w:r>
    </w:p>
    <w:p w14:paraId="75CACFE1" w14:textId="074172AA" w:rsidR="00F61AB4" w:rsidRPr="00AD3A44" w:rsidRDefault="001867BA" w:rsidP="00AB4F18">
      <w:pPr>
        <w:pStyle w:val="Normal-pool"/>
        <w:tabs>
          <w:tab w:val="clear" w:pos="1247"/>
          <w:tab w:val="clear" w:pos="1814"/>
          <w:tab w:val="clear" w:pos="2381"/>
          <w:tab w:val="clear" w:pos="2948"/>
          <w:tab w:val="clear" w:pos="3515"/>
          <w:tab w:val="clear" w:pos="4082"/>
          <w:tab w:val="left" w:pos="624"/>
        </w:tabs>
        <w:spacing w:after="120"/>
        <w:ind w:left="1247" w:firstLine="624"/>
        <w:rPr>
          <w:rFonts w:eastAsia="MS PGothic"/>
          <w:lang w:val="fr-FR"/>
        </w:rPr>
      </w:pPr>
      <w:bookmarkStart w:id="5" w:name="_Hlk15061071"/>
      <w:r w:rsidRPr="00AD3A44">
        <w:rPr>
          <w:rFonts w:eastAsia="MS PGothic"/>
          <w:iCs/>
          <w:lang w:val="fr-FR"/>
        </w:rPr>
        <w:t>5.</w:t>
      </w:r>
      <w:r w:rsidRPr="00AD3A44">
        <w:rPr>
          <w:rFonts w:eastAsia="MS PGothic"/>
          <w:iCs/>
          <w:lang w:val="fr-FR"/>
        </w:rPr>
        <w:tab/>
      </w:r>
      <w:r w:rsidR="00515E7F" w:rsidRPr="00AD3A44">
        <w:rPr>
          <w:rFonts w:eastAsia="MS PGothic"/>
          <w:i/>
          <w:iCs/>
          <w:lang w:val="fr-FR"/>
        </w:rPr>
        <w:t xml:space="preserve">Prie </w:t>
      </w:r>
      <w:r w:rsidR="00C81DCB" w:rsidRPr="00AD3A44">
        <w:rPr>
          <w:rFonts w:eastAsia="MS PGothic"/>
          <w:i/>
          <w:iCs/>
          <w:lang w:val="fr-FR"/>
        </w:rPr>
        <w:t>également</w:t>
      </w:r>
      <w:r w:rsidR="000468F2" w:rsidRPr="00AD3A44">
        <w:rPr>
          <w:rFonts w:eastAsia="MS PGothic"/>
          <w:i/>
          <w:iCs/>
          <w:lang w:val="fr-FR"/>
        </w:rPr>
        <w:t xml:space="preserve"> </w:t>
      </w:r>
      <w:r w:rsidR="00C81DCB" w:rsidRPr="00AD3A44">
        <w:rPr>
          <w:rFonts w:eastAsia="MS PGothic"/>
          <w:lang w:val="fr-FR"/>
        </w:rPr>
        <w:t>le secrétariat d’élaborer</w:t>
      </w:r>
      <w:r w:rsidR="000468F2" w:rsidRPr="00AD3A44">
        <w:rPr>
          <w:rFonts w:eastAsia="MS PGothic"/>
          <w:lang w:val="fr-FR"/>
        </w:rPr>
        <w:t xml:space="preserve">, </w:t>
      </w:r>
      <w:r w:rsidR="00C81DCB" w:rsidRPr="00AD3A44">
        <w:rPr>
          <w:rFonts w:eastAsia="MS PGothic"/>
          <w:lang w:val="fr-FR"/>
        </w:rPr>
        <w:t>sur la base du rapport du groupe</w:t>
      </w:r>
      <w:r w:rsidR="00512CF2">
        <w:rPr>
          <w:rFonts w:eastAsia="MS PGothic"/>
          <w:lang w:val="fr-FR"/>
        </w:rPr>
        <w:t xml:space="preserve"> spécial d’experts</w:t>
      </w:r>
      <w:r w:rsidR="000468F2" w:rsidRPr="00AD3A44">
        <w:rPr>
          <w:rFonts w:eastAsia="MS PGothic"/>
          <w:lang w:val="fr-FR"/>
        </w:rPr>
        <w:t xml:space="preserve">, </w:t>
      </w:r>
      <w:r w:rsidR="00C81DCB" w:rsidRPr="00AD3A44">
        <w:rPr>
          <w:rFonts w:eastAsia="MS PGothic"/>
          <w:lang w:val="fr-FR"/>
        </w:rPr>
        <w:t>un</w:t>
      </w:r>
      <w:r w:rsidR="000468F2" w:rsidRPr="00AD3A44">
        <w:rPr>
          <w:rFonts w:eastAsia="MS PGothic"/>
          <w:lang w:val="fr-FR"/>
        </w:rPr>
        <w:t xml:space="preserve"> document</w:t>
      </w:r>
      <w:r w:rsidR="00C81DCB" w:rsidRPr="00AD3A44">
        <w:rPr>
          <w:rFonts w:eastAsia="MS PGothic"/>
          <w:lang w:val="fr-FR"/>
        </w:rPr>
        <w:t xml:space="preserve"> à soumettre à la Conférence des Parties afin que celle-ci l’examine à sa quatrième réunion, notant que</w:t>
      </w:r>
      <w:r w:rsidR="00E243AB" w:rsidRPr="00AD3A44">
        <w:rPr>
          <w:rFonts w:eastAsia="MS PGothic"/>
          <w:lang w:val="fr-FR"/>
        </w:rPr>
        <w:t xml:space="preserve">, </w:t>
      </w:r>
      <w:r w:rsidR="00C81DCB" w:rsidRPr="00AD3A44">
        <w:rPr>
          <w:rFonts w:eastAsia="MS PGothic"/>
          <w:lang w:val="fr-FR"/>
        </w:rPr>
        <w:t>si le</w:t>
      </w:r>
      <w:r w:rsidR="00E243AB" w:rsidRPr="00AD3A44">
        <w:rPr>
          <w:rFonts w:eastAsia="MS PGothic"/>
          <w:lang w:val="fr-FR"/>
        </w:rPr>
        <w:t xml:space="preserve"> document </w:t>
      </w:r>
      <w:r w:rsidR="00C81DCB" w:rsidRPr="00AD3A44">
        <w:rPr>
          <w:rFonts w:eastAsia="MS PGothic"/>
          <w:lang w:val="fr-FR"/>
        </w:rPr>
        <w:t>contient des propositions d’amendement à l’Annexe </w:t>
      </w:r>
      <w:r w:rsidR="00E243AB" w:rsidRPr="00AD3A44">
        <w:rPr>
          <w:rFonts w:eastAsia="MS PGothic"/>
          <w:lang w:val="fr-FR"/>
        </w:rPr>
        <w:t xml:space="preserve">A </w:t>
      </w:r>
      <w:r w:rsidR="00C81DCB" w:rsidRPr="00AD3A44">
        <w:rPr>
          <w:rFonts w:eastAsia="MS PGothic"/>
          <w:lang w:val="fr-FR"/>
        </w:rPr>
        <w:t>ou</w:t>
      </w:r>
      <w:r w:rsidR="00E243AB" w:rsidRPr="00AD3A44">
        <w:rPr>
          <w:rFonts w:eastAsia="MS PGothic"/>
          <w:lang w:val="fr-FR"/>
        </w:rPr>
        <w:t xml:space="preserve"> B, </w:t>
      </w:r>
      <w:r w:rsidR="00C81DCB" w:rsidRPr="00AD3A44">
        <w:rPr>
          <w:rFonts w:eastAsia="MS PGothic"/>
          <w:lang w:val="fr-FR"/>
        </w:rPr>
        <w:t>le secrétariat</w:t>
      </w:r>
      <w:r w:rsidR="00E243AB" w:rsidRPr="00AD3A44">
        <w:rPr>
          <w:rFonts w:eastAsia="MS PGothic"/>
          <w:lang w:val="fr-FR"/>
        </w:rPr>
        <w:t xml:space="preserve"> </w:t>
      </w:r>
      <w:r w:rsidR="00C81DCB" w:rsidRPr="00AD3A44">
        <w:rPr>
          <w:rFonts w:eastAsia="MS PGothic"/>
          <w:lang w:val="fr-FR"/>
        </w:rPr>
        <w:t>doit communiquer le texte de tout amendement proposé aux Parties au moins six mois avant la réunion de la Conférence des Parties au cours de laquelle celui-ci est proposé pour adoption, conformément aux dispositions du paragraphe</w:t>
      </w:r>
      <w:r w:rsidR="001D333A">
        <w:rPr>
          <w:rFonts w:eastAsia="MS PGothic"/>
          <w:lang w:val="fr-FR"/>
        </w:rPr>
        <w:t> </w:t>
      </w:r>
      <w:r w:rsidR="00E243AB" w:rsidRPr="00AD3A44">
        <w:rPr>
          <w:rFonts w:eastAsia="MS PGothic"/>
          <w:lang w:val="fr-FR"/>
        </w:rPr>
        <w:t xml:space="preserve">2 </w:t>
      </w:r>
      <w:r w:rsidR="00D97505" w:rsidRPr="00AD3A44">
        <w:rPr>
          <w:rFonts w:eastAsia="MS PGothic"/>
          <w:lang w:val="fr-FR"/>
        </w:rPr>
        <w:t>de l’</w:t>
      </w:r>
      <w:r w:rsidR="00E243AB" w:rsidRPr="00AD3A44">
        <w:rPr>
          <w:rFonts w:eastAsia="MS PGothic"/>
          <w:lang w:val="fr-FR"/>
        </w:rPr>
        <w:t>article</w:t>
      </w:r>
      <w:r w:rsidR="00D97505" w:rsidRPr="00AD3A44">
        <w:rPr>
          <w:rFonts w:eastAsia="MS PGothic"/>
          <w:lang w:val="fr-FR"/>
        </w:rPr>
        <w:t> </w:t>
      </w:r>
      <w:r w:rsidR="00E243AB" w:rsidRPr="00AD3A44">
        <w:rPr>
          <w:rFonts w:eastAsia="MS PGothic"/>
          <w:lang w:val="fr-FR"/>
        </w:rPr>
        <w:t>26</w:t>
      </w:r>
      <w:r w:rsidR="00D97505" w:rsidRPr="00AD3A44">
        <w:rPr>
          <w:rFonts w:eastAsia="MS PGothic"/>
          <w:lang w:val="fr-FR"/>
        </w:rPr>
        <w:t> </w:t>
      </w:r>
      <w:r w:rsidR="00E243AB" w:rsidRPr="00AD3A44">
        <w:rPr>
          <w:rFonts w:eastAsia="MS PGothic"/>
          <w:lang w:val="fr-FR"/>
        </w:rPr>
        <w:t>;</w:t>
      </w:r>
    </w:p>
    <w:p w14:paraId="0095DC55" w14:textId="7DBAD8D7" w:rsidR="00F61AB4" w:rsidRPr="00AD3A44" w:rsidRDefault="001867BA" w:rsidP="00AB4F18">
      <w:pPr>
        <w:pStyle w:val="Normal-pool"/>
        <w:tabs>
          <w:tab w:val="clear" w:pos="1247"/>
          <w:tab w:val="clear" w:pos="1814"/>
          <w:tab w:val="clear" w:pos="2381"/>
          <w:tab w:val="clear" w:pos="2948"/>
          <w:tab w:val="clear" w:pos="3515"/>
          <w:tab w:val="clear" w:pos="4082"/>
          <w:tab w:val="left" w:pos="624"/>
        </w:tabs>
        <w:spacing w:after="120"/>
        <w:ind w:left="1247" w:firstLine="624"/>
        <w:rPr>
          <w:rFonts w:eastAsia="MS PGothic"/>
          <w:b/>
          <w:lang w:val="fr-FR"/>
        </w:rPr>
      </w:pPr>
      <w:r w:rsidRPr="00AD3A44">
        <w:rPr>
          <w:rFonts w:eastAsia="MS PGothic"/>
          <w:iCs/>
          <w:lang w:val="fr-FR"/>
        </w:rPr>
        <w:t>6.</w:t>
      </w:r>
      <w:r w:rsidRPr="00AD3A44">
        <w:rPr>
          <w:rFonts w:eastAsia="MS PGothic"/>
          <w:iCs/>
          <w:lang w:val="fr-FR"/>
        </w:rPr>
        <w:tab/>
      </w:r>
      <w:r w:rsidR="00D97505" w:rsidRPr="00AD3A44">
        <w:rPr>
          <w:rFonts w:eastAsia="MS PGothic"/>
          <w:i/>
          <w:iCs/>
          <w:lang w:val="fr-FR"/>
        </w:rPr>
        <w:t>Décide</w:t>
      </w:r>
      <w:r w:rsidR="00F61AB4" w:rsidRPr="00AD3A44">
        <w:rPr>
          <w:rFonts w:eastAsia="MS PGothic"/>
          <w:i/>
          <w:iCs/>
          <w:lang w:val="fr-FR"/>
        </w:rPr>
        <w:t xml:space="preserve"> </w:t>
      </w:r>
      <w:r w:rsidR="00D97505" w:rsidRPr="00AD3A44">
        <w:rPr>
          <w:rFonts w:eastAsia="MS PGothic"/>
          <w:lang w:val="fr-FR"/>
        </w:rPr>
        <w:t xml:space="preserve">d’examiner, à sa quatrième réunion, les progrès accomplis par le groupe </w:t>
      </w:r>
      <w:r w:rsidR="00512CF2">
        <w:rPr>
          <w:rFonts w:eastAsia="MS PGothic"/>
          <w:lang w:val="fr-FR"/>
        </w:rPr>
        <w:t xml:space="preserve">spécial d’experts </w:t>
      </w:r>
      <w:r w:rsidR="00D97505" w:rsidRPr="00AD3A44">
        <w:rPr>
          <w:rFonts w:eastAsia="MS PGothic"/>
          <w:lang w:val="fr-FR"/>
        </w:rPr>
        <w:t>et d’envisager d’autres mesures</w:t>
      </w:r>
      <w:r w:rsidR="00AB4F18" w:rsidRPr="00AD3A44">
        <w:rPr>
          <w:rFonts w:eastAsia="MS PGothic"/>
          <w:lang w:val="fr-FR"/>
        </w:rPr>
        <w:t>.</w:t>
      </w:r>
    </w:p>
    <w:bookmarkEnd w:id="5"/>
    <w:p w14:paraId="10326A72" w14:textId="354030A4" w:rsidR="00F61AB4" w:rsidRPr="00AD3A44" w:rsidRDefault="00F61AB4" w:rsidP="00F61AB4">
      <w:pPr>
        <w:pStyle w:val="CH2"/>
        <w:rPr>
          <w:lang w:val="fr-FR"/>
        </w:rPr>
      </w:pPr>
      <w:r w:rsidRPr="00AD3A44">
        <w:rPr>
          <w:lang w:val="fr-FR"/>
        </w:rPr>
        <w:tab/>
      </w:r>
      <w:r w:rsidRPr="00AD3A44">
        <w:rPr>
          <w:lang w:val="fr-FR"/>
        </w:rPr>
        <w:tab/>
      </w:r>
      <w:r w:rsidR="00696087" w:rsidRPr="00AD3A44">
        <w:rPr>
          <w:lang w:val="fr-FR"/>
        </w:rPr>
        <w:t>Appendi</w:t>
      </w:r>
      <w:r w:rsidR="00D97505" w:rsidRPr="00AD3A44">
        <w:rPr>
          <w:lang w:val="fr-FR"/>
        </w:rPr>
        <w:t>ce à la</w:t>
      </w:r>
      <w:r w:rsidRPr="00AD3A44">
        <w:rPr>
          <w:lang w:val="fr-FR"/>
        </w:rPr>
        <w:t xml:space="preserve"> d</w:t>
      </w:r>
      <w:r w:rsidR="00D97505" w:rsidRPr="00AD3A44">
        <w:rPr>
          <w:lang w:val="fr-FR"/>
        </w:rPr>
        <w:t>é</w:t>
      </w:r>
      <w:r w:rsidRPr="00AD3A44">
        <w:rPr>
          <w:lang w:val="fr-FR"/>
        </w:rPr>
        <w:t>cision</w:t>
      </w:r>
      <w:r w:rsidR="00D97505" w:rsidRPr="00AD3A44">
        <w:rPr>
          <w:lang w:val="fr-FR"/>
        </w:rPr>
        <w:t> </w:t>
      </w:r>
      <w:r w:rsidRPr="00AD3A44">
        <w:rPr>
          <w:lang w:val="fr-FR"/>
        </w:rPr>
        <w:t>MC-</w:t>
      </w:r>
      <w:r w:rsidR="00696087" w:rsidRPr="00AD3A44">
        <w:rPr>
          <w:lang w:val="fr-FR"/>
        </w:rPr>
        <w:t>3</w:t>
      </w:r>
      <w:proofErr w:type="gramStart"/>
      <w:r w:rsidRPr="00AD3A44">
        <w:rPr>
          <w:lang w:val="fr-FR"/>
        </w:rPr>
        <w:t>/</w:t>
      </w:r>
      <w:r w:rsidR="00696087" w:rsidRPr="00AD3A44">
        <w:rPr>
          <w:lang w:val="fr-FR"/>
        </w:rPr>
        <w:t>[</w:t>
      </w:r>
      <w:proofErr w:type="gramEnd"/>
      <w:r w:rsidR="00E4126D">
        <w:rPr>
          <w:lang w:val="fr-FR"/>
        </w:rPr>
        <w:t>--</w:t>
      </w:r>
      <w:r w:rsidR="00696087" w:rsidRPr="00AD3A44">
        <w:rPr>
          <w:lang w:val="fr-FR"/>
        </w:rPr>
        <w:t>]</w:t>
      </w:r>
    </w:p>
    <w:p w14:paraId="792A486A" w14:textId="07A689A5" w:rsidR="00F61AB4" w:rsidRPr="00AD3A44" w:rsidRDefault="00F61AB4" w:rsidP="00AB4F18">
      <w:pPr>
        <w:pStyle w:val="CH2"/>
        <w:rPr>
          <w:lang w:val="fr-FR"/>
        </w:rPr>
      </w:pPr>
      <w:r w:rsidRPr="00AD3A44">
        <w:rPr>
          <w:lang w:val="fr-FR"/>
        </w:rPr>
        <w:tab/>
      </w:r>
      <w:r w:rsidRPr="00AD3A44">
        <w:rPr>
          <w:lang w:val="fr-FR"/>
        </w:rPr>
        <w:tab/>
      </w:r>
      <w:r w:rsidR="00D97505" w:rsidRPr="00AD3A44">
        <w:rPr>
          <w:lang w:val="fr-FR"/>
        </w:rPr>
        <w:t xml:space="preserve">Projet </w:t>
      </w:r>
      <w:r w:rsidR="00FF25E6" w:rsidRPr="00AD3A44">
        <w:rPr>
          <w:lang w:val="fr-FR"/>
        </w:rPr>
        <w:t>de mandat d’un groupe spécial d’expert</w:t>
      </w:r>
      <w:r w:rsidR="00613507">
        <w:rPr>
          <w:lang w:val="fr-FR"/>
        </w:rPr>
        <w:t>s sur les produits contenant du </w:t>
      </w:r>
      <w:r w:rsidR="00FF25E6" w:rsidRPr="00AD3A44">
        <w:rPr>
          <w:lang w:val="fr-FR"/>
        </w:rPr>
        <w:t>mercure ajouté et les procédés de fabricat</w:t>
      </w:r>
      <w:r w:rsidR="00613507">
        <w:rPr>
          <w:lang w:val="fr-FR"/>
        </w:rPr>
        <w:t>ion utilisant du mercure ou des </w:t>
      </w:r>
      <w:r w:rsidR="00FF25E6" w:rsidRPr="00AD3A44">
        <w:rPr>
          <w:lang w:val="fr-FR"/>
        </w:rPr>
        <w:t>composés du mercure</w:t>
      </w:r>
      <w:r w:rsidRPr="00AD3A44">
        <w:rPr>
          <w:lang w:val="fr-FR"/>
        </w:rPr>
        <w:t xml:space="preserve"> </w:t>
      </w:r>
    </w:p>
    <w:p w14:paraId="66290E44" w14:textId="0E08E000" w:rsidR="00F61AB4" w:rsidRPr="00AD3A44" w:rsidRDefault="00F61AB4" w:rsidP="00765562">
      <w:pPr>
        <w:pStyle w:val="CH1"/>
        <w:rPr>
          <w:lang w:val="fr-FR"/>
        </w:rPr>
      </w:pPr>
      <w:r w:rsidRPr="00AD3A44">
        <w:rPr>
          <w:lang w:val="fr-FR"/>
        </w:rPr>
        <w:tab/>
      </w:r>
      <w:bookmarkStart w:id="6" w:name="_Toc7079414"/>
      <w:r w:rsidRPr="00AD3A44">
        <w:rPr>
          <w:lang w:val="fr-FR"/>
        </w:rPr>
        <w:t>I.</w:t>
      </w:r>
      <w:r w:rsidRPr="00AD3A44">
        <w:rPr>
          <w:lang w:val="fr-FR"/>
        </w:rPr>
        <w:tab/>
        <w:t>Mandat</w:t>
      </w:r>
      <w:bookmarkEnd w:id="6"/>
      <w:r w:rsidRPr="00AD3A44">
        <w:rPr>
          <w:lang w:val="fr-FR"/>
        </w:rPr>
        <w:t xml:space="preserve"> </w:t>
      </w:r>
    </w:p>
    <w:p w14:paraId="5AD54962" w14:textId="26A2685A" w:rsidR="00F61AB4" w:rsidRPr="00AD3A44" w:rsidRDefault="005266D5" w:rsidP="00765562">
      <w:pPr>
        <w:pStyle w:val="Normal-pool"/>
        <w:numPr>
          <w:ilvl w:val="0"/>
          <w:numId w:val="5"/>
        </w:numPr>
        <w:tabs>
          <w:tab w:val="left" w:pos="624"/>
        </w:tabs>
        <w:spacing w:after="120"/>
        <w:ind w:left="1247" w:firstLine="0"/>
        <w:rPr>
          <w:lang w:val="fr-FR"/>
        </w:rPr>
      </w:pPr>
      <w:r w:rsidRPr="00AD3A44">
        <w:rPr>
          <w:lang w:val="fr-FR"/>
        </w:rPr>
        <w:t xml:space="preserve">À sa troisième réunion, la </w:t>
      </w:r>
      <w:r w:rsidR="00F61AB4" w:rsidRPr="00AD3A44">
        <w:rPr>
          <w:lang w:val="fr-FR"/>
        </w:rPr>
        <w:t>Conf</w:t>
      </w:r>
      <w:r w:rsidR="00FF25E6" w:rsidRPr="00AD3A44">
        <w:rPr>
          <w:lang w:val="fr-FR"/>
        </w:rPr>
        <w:t>é</w:t>
      </w:r>
      <w:r w:rsidR="00F61AB4" w:rsidRPr="00AD3A44">
        <w:rPr>
          <w:lang w:val="fr-FR"/>
        </w:rPr>
        <w:t xml:space="preserve">rence </w:t>
      </w:r>
      <w:r w:rsidR="00FF25E6" w:rsidRPr="00AD3A44">
        <w:rPr>
          <w:lang w:val="fr-FR"/>
        </w:rPr>
        <w:t>des</w:t>
      </w:r>
      <w:r w:rsidR="00F61AB4" w:rsidRPr="00AD3A44">
        <w:rPr>
          <w:lang w:val="fr-FR"/>
        </w:rPr>
        <w:t xml:space="preserve"> Parties </w:t>
      </w:r>
      <w:r w:rsidR="00FF25E6" w:rsidRPr="00AD3A44">
        <w:rPr>
          <w:lang w:val="fr-FR"/>
        </w:rPr>
        <w:t>à la Convention de</w:t>
      </w:r>
      <w:r w:rsidR="00F61AB4" w:rsidRPr="00AD3A44">
        <w:rPr>
          <w:lang w:val="fr-FR"/>
        </w:rPr>
        <w:t xml:space="preserve"> Minamata </w:t>
      </w:r>
      <w:r w:rsidR="00FF25E6" w:rsidRPr="00AD3A44">
        <w:rPr>
          <w:lang w:val="fr-FR"/>
        </w:rPr>
        <w:t xml:space="preserve">sur le </w:t>
      </w:r>
      <w:r w:rsidRPr="00AD3A44">
        <w:rPr>
          <w:lang w:val="fr-FR"/>
        </w:rPr>
        <w:t>me</w:t>
      </w:r>
      <w:r w:rsidR="00FF25E6" w:rsidRPr="00AD3A44">
        <w:rPr>
          <w:lang w:val="fr-FR"/>
        </w:rPr>
        <w:t>rcure</w:t>
      </w:r>
      <w:r w:rsidRPr="00AD3A44">
        <w:rPr>
          <w:lang w:val="fr-FR"/>
        </w:rPr>
        <w:t>, par sa dé</w:t>
      </w:r>
      <w:r w:rsidR="00F61AB4" w:rsidRPr="00AD3A44">
        <w:rPr>
          <w:lang w:val="fr-FR"/>
        </w:rPr>
        <w:t>cision</w:t>
      </w:r>
      <w:r w:rsidRPr="00AD3A44">
        <w:rPr>
          <w:lang w:val="fr-FR"/>
        </w:rPr>
        <w:t> </w:t>
      </w:r>
      <w:r w:rsidR="00F61AB4" w:rsidRPr="00AD3A44">
        <w:rPr>
          <w:lang w:val="fr-FR"/>
        </w:rPr>
        <w:t>MC-</w:t>
      </w:r>
      <w:r w:rsidR="00696087" w:rsidRPr="00AD3A44">
        <w:rPr>
          <w:lang w:val="fr-FR"/>
        </w:rPr>
        <w:t>3</w:t>
      </w:r>
      <w:proofErr w:type="gramStart"/>
      <w:r w:rsidR="00F61AB4" w:rsidRPr="00AD3A44">
        <w:rPr>
          <w:lang w:val="fr-FR"/>
        </w:rPr>
        <w:t>/</w:t>
      </w:r>
      <w:r w:rsidR="00696087" w:rsidRPr="00AD3A44">
        <w:rPr>
          <w:lang w:val="fr-FR"/>
        </w:rPr>
        <w:t>[</w:t>
      </w:r>
      <w:proofErr w:type="gramEnd"/>
      <w:r w:rsidR="00E4126D">
        <w:rPr>
          <w:lang w:val="fr-FR"/>
        </w:rPr>
        <w:t>--</w:t>
      </w:r>
      <w:r w:rsidR="00696087" w:rsidRPr="00AD3A44">
        <w:rPr>
          <w:lang w:val="fr-FR"/>
        </w:rPr>
        <w:t>]</w:t>
      </w:r>
      <w:r w:rsidR="00F61AB4" w:rsidRPr="00AD3A44">
        <w:rPr>
          <w:lang w:val="fr-FR"/>
        </w:rPr>
        <w:t>,</w:t>
      </w:r>
      <w:r w:rsidRPr="00AD3A44">
        <w:rPr>
          <w:lang w:val="fr-FR"/>
        </w:rPr>
        <w:t xml:space="preserve"> a créé un groupe spécial d’experts ayant les attributions suivantes </w:t>
      </w:r>
      <w:r w:rsidR="00F61AB4" w:rsidRPr="00AD3A44">
        <w:rPr>
          <w:lang w:val="fr-FR"/>
        </w:rPr>
        <w:t>:</w:t>
      </w:r>
    </w:p>
    <w:p w14:paraId="4CAFB59D" w14:textId="35F24228" w:rsidR="00F61AB4" w:rsidRPr="00AD3A44" w:rsidRDefault="002E00EF" w:rsidP="005266D5">
      <w:pPr>
        <w:pStyle w:val="Normal-pool"/>
        <w:numPr>
          <w:ilvl w:val="1"/>
          <w:numId w:val="5"/>
        </w:numPr>
        <w:tabs>
          <w:tab w:val="clear" w:pos="1247"/>
          <w:tab w:val="clear" w:pos="1814"/>
          <w:tab w:val="clear" w:pos="2381"/>
          <w:tab w:val="clear" w:pos="2948"/>
          <w:tab w:val="clear" w:pos="3515"/>
          <w:tab w:val="clear" w:pos="4082"/>
          <w:tab w:val="left" w:pos="624"/>
        </w:tabs>
        <w:spacing w:after="120"/>
        <w:ind w:left="1276" w:firstLine="567"/>
        <w:rPr>
          <w:lang w:val="fr-FR"/>
        </w:rPr>
      </w:pPr>
      <w:r w:rsidRPr="00AD3A44">
        <w:rPr>
          <w:lang w:val="fr-FR"/>
        </w:rPr>
        <w:t xml:space="preserve">Examiner </w:t>
      </w:r>
      <w:r w:rsidR="0059761D" w:rsidRPr="00AD3A44">
        <w:rPr>
          <w:lang w:val="fr-FR"/>
        </w:rPr>
        <w:t>les</w:t>
      </w:r>
      <w:r w:rsidR="00536462" w:rsidRPr="00AD3A44">
        <w:rPr>
          <w:lang w:val="fr-FR"/>
        </w:rPr>
        <w:t xml:space="preserve"> </w:t>
      </w:r>
      <w:r w:rsidR="0059761D" w:rsidRPr="00AD3A44">
        <w:rPr>
          <w:lang w:val="fr-FR"/>
        </w:rPr>
        <w:t>dispositions des A</w:t>
      </w:r>
      <w:r w:rsidR="001D47B1" w:rsidRPr="00AD3A44">
        <w:rPr>
          <w:lang w:val="fr-FR"/>
        </w:rPr>
        <w:t>nnexes</w:t>
      </w:r>
      <w:r w:rsidR="0059761D" w:rsidRPr="00AD3A44">
        <w:rPr>
          <w:lang w:val="fr-FR"/>
        </w:rPr>
        <w:t> </w:t>
      </w:r>
      <w:r w:rsidR="001D47B1" w:rsidRPr="00AD3A44">
        <w:rPr>
          <w:lang w:val="fr-FR"/>
        </w:rPr>
        <w:t xml:space="preserve">A </w:t>
      </w:r>
      <w:r w:rsidR="0059761D" w:rsidRPr="00AD3A44">
        <w:rPr>
          <w:lang w:val="fr-FR"/>
        </w:rPr>
        <w:t>et</w:t>
      </w:r>
      <w:r w:rsidR="001D47B1" w:rsidRPr="00AD3A44">
        <w:rPr>
          <w:lang w:val="fr-FR"/>
        </w:rPr>
        <w:t xml:space="preserve"> B</w:t>
      </w:r>
      <w:r w:rsidR="00410918" w:rsidRPr="00AD3A44">
        <w:rPr>
          <w:lang w:val="fr-FR"/>
        </w:rPr>
        <w:t xml:space="preserve"> </w:t>
      </w:r>
      <w:r w:rsidR="0059761D" w:rsidRPr="00AD3A44">
        <w:rPr>
          <w:lang w:val="fr-FR"/>
        </w:rPr>
        <w:t>de la</w:t>
      </w:r>
      <w:r w:rsidR="00410918" w:rsidRPr="00AD3A44">
        <w:rPr>
          <w:lang w:val="fr-FR"/>
        </w:rPr>
        <w:t xml:space="preserve"> Convention</w:t>
      </w:r>
      <w:r w:rsidR="001D47B1" w:rsidRPr="00AD3A44">
        <w:rPr>
          <w:lang w:val="fr-FR"/>
        </w:rPr>
        <w:t xml:space="preserve">, </w:t>
      </w:r>
      <w:r w:rsidR="003F1CB8">
        <w:rPr>
          <w:lang w:val="fr-FR"/>
        </w:rPr>
        <w:t>en tenant compte des </w:t>
      </w:r>
      <w:r w:rsidR="0059761D" w:rsidRPr="00AD3A44">
        <w:rPr>
          <w:lang w:val="fr-FR"/>
        </w:rPr>
        <w:t xml:space="preserve">informations communiquées par les Parties </w:t>
      </w:r>
      <w:r w:rsidR="00512CF2" w:rsidRPr="00512CF2">
        <w:rPr>
          <w:lang w:val="fr-FR"/>
        </w:rPr>
        <w:t xml:space="preserve">conformément </w:t>
      </w:r>
      <w:r w:rsidR="00512CF2">
        <w:rPr>
          <w:lang w:val="fr-FR"/>
        </w:rPr>
        <w:t>au</w:t>
      </w:r>
      <w:r w:rsidR="00361B6B" w:rsidRPr="00AD3A44">
        <w:rPr>
          <w:lang w:val="fr-FR"/>
        </w:rPr>
        <w:t xml:space="preserve"> paragraph</w:t>
      </w:r>
      <w:r w:rsidR="0059761D" w:rsidRPr="00AD3A44">
        <w:rPr>
          <w:lang w:val="fr-FR"/>
        </w:rPr>
        <w:t>e </w:t>
      </w:r>
      <w:r w:rsidR="00912C2C" w:rsidRPr="00AD3A44">
        <w:rPr>
          <w:lang w:val="fr-FR"/>
        </w:rPr>
        <w:t xml:space="preserve">4 </w:t>
      </w:r>
      <w:r w:rsidR="0059761D" w:rsidRPr="00AD3A44">
        <w:rPr>
          <w:lang w:val="fr-FR"/>
        </w:rPr>
        <w:t>de l’</w:t>
      </w:r>
      <w:r w:rsidR="00361B6B" w:rsidRPr="00AD3A44">
        <w:rPr>
          <w:lang w:val="fr-FR"/>
        </w:rPr>
        <w:t>article</w:t>
      </w:r>
      <w:r w:rsidR="0059761D" w:rsidRPr="00AD3A44">
        <w:rPr>
          <w:lang w:val="fr-FR"/>
        </w:rPr>
        <w:t> </w:t>
      </w:r>
      <w:r w:rsidR="00361B6B" w:rsidRPr="00AD3A44">
        <w:rPr>
          <w:lang w:val="fr-FR"/>
        </w:rPr>
        <w:t xml:space="preserve">4 </w:t>
      </w:r>
      <w:r w:rsidR="0059761D" w:rsidRPr="00AD3A44">
        <w:rPr>
          <w:lang w:val="fr-FR"/>
        </w:rPr>
        <w:t>et du</w:t>
      </w:r>
      <w:r w:rsidR="003F1CB8">
        <w:rPr>
          <w:lang w:val="fr-FR"/>
        </w:rPr>
        <w:t> </w:t>
      </w:r>
      <w:r w:rsidR="00361B6B" w:rsidRPr="00AD3A44">
        <w:rPr>
          <w:lang w:val="fr-FR"/>
        </w:rPr>
        <w:t>paragraph</w:t>
      </w:r>
      <w:r w:rsidR="0059761D" w:rsidRPr="00AD3A44">
        <w:rPr>
          <w:lang w:val="fr-FR"/>
        </w:rPr>
        <w:t>e </w:t>
      </w:r>
      <w:r w:rsidR="00912C2C" w:rsidRPr="00AD3A44">
        <w:rPr>
          <w:lang w:val="fr-FR"/>
        </w:rPr>
        <w:t xml:space="preserve">4 </w:t>
      </w:r>
      <w:r w:rsidR="0059761D" w:rsidRPr="00AD3A44">
        <w:rPr>
          <w:lang w:val="fr-FR"/>
        </w:rPr>
        <w:t>de l’</w:t>
      </w:r>
      <w:r w:rsidR="00361B6B" w:rsidRPr="00AD3A44">
        <w:rPr>
          <w:lang w:val="fr-FR"/>
        </w:rPr>
        <w:t>article</w:t>
      </w:r>
      <w:r w:rsidR="0059761D" w:rsidRPr="00AD3A44">
        <w:rPr>
          <w:lang w:val="fr-FR"/>
        </w:rPr>
        <w:t> </w:t>
      </w:r>
      <w:r w:rsidR="00361B6B" w:rsidRPr="00AD3A44">
        <w:rPr>
          <w:lang w:val="fr-FR"/>
        </w:rPr>
        <w:t>5</w:t>
      </w:r>
      <w:r w:rsidR="001D47B1" w:rsidRPr="00AD3A44">
        <w:rPr>
          <w:lang w:val="fr-FR"/>
        </w:rPr>
        <w:t xml:space="preserve">, </w:t>
      </w:r>
      <w:r w:rsidR="0059761D" w:rsidRPr="00AD3A44">
        <w:rPr>
          <w:lang w:val="fr-FR"/>
        </w:rPr>
        <w:t xml:space="preserve">de tout rapport soumis </w:t>
      </w:r>
      <w:r>
        <w:rPr>
          <w:lang w:val="fr-FR"/>
        </w:rPr>
        <w:t>en application d</w:t>
      </w:r>
      <w:r w:rsidR="0059761D" w:rsidRPr="00AD3A44">
        <w:rPr>
          <w:lang w:val="fr-FR"/>
        </w:rPr>
        <w:t xml:space="preserve">u </w:t>
      </w:r>
      <w:r w:rsidR="00FE20B2" w:rsidRPr="00AD3A44">
        <w:rPr>
          <w:lang w:val="fr-FR"/>
        </w:rPr>
        <w:t>paragraph</w:t>
      </w:r>
      <w:r w:rsidR="0059761D" w:rsidRPr="00AD3A44">
        <w:rPr>
          <w:lang w:val="fr-FR"/>
        </w:rPr>
        <w:t>e </w:t>
      </w:r>
      <w:r w:rsidR="00FE20B2" w:rsidRPr="00AD3A44">
        <w:rPr>
          <w:lang w:val="fr-FR"/>
        </w:rPr>
        <w:t xml:space="preserve">2 </w:t>
      </w:r>
      <w:r w:rsidR="0059761D" w:rsidRPr="00AD3A44">
        <w:rPr>
          <w:lang w:val="fr-FR"/>
        </w:rPr>
        <w:t>de l’</w:t>
      </w:r>
      <w:r w:rsidR="00FE20B2" w:rsidRPr="00AD3A44">
        <w:rPr>
          <w:lang w:val="fr-FR"/>
        </w:rPr>
        <w:t>article</w:t>
      </w:r>
      <w:r w:rsidR="0059761D" w:rsidRPr="00AD3A44">
        <w:rPr>
          <w:lang w:val="fr-FR"/>
        </w:rPr>
        <w:t> </w:t>
      </w:r>
      <w:r w:rsidR="00FE20B2" w:rsidRPr="00AD3A44">
        <w:rPr>
          <w:lang w:val="fr-FR"/>
        </w:rPr>
        <w:t>4</w:t>
      </w:r>
      <w:r w:rsidR="001D47B1" w:rsidRPr="00AD3A44">
        <w:rPr>
          <w:lang w:val="fr-FR"/>
        </w:rPr>
        <w:t xml:space="preserve"> </w:t>
      </w:r>
      <w:r w:rsidR="003F1CB8">
        <w:rPr>
          <w:lang w:val="fr-FR"/>
        </w:rPr>
        <w:t>et </w:t>
      </w:r>
      <w:r w:rsidR="0059761D" w:rsidRPr="00AD3A44">
        <w:rPr>
          <w:lang w:val="fr-FR"/>
        </w:rPr>
        <w:t xml:space="preserve">d’autres informations </w:t>
      </w:r>
      <w:r w:rsidR="00303AD5">
        <w:rPr>
          <w:lang w:val="fr-FR"/>
        </w:rPr>
        <w:t>sur</w:t>
      </w:r>
      <w:r w:rsidR="0059761D" w:rsidRPr="00AD3A44">
        <w:rPr>
          <w:lang w:val="fr-FR"/>
        </w:rPr>
        <w:t xml:space="preserve"> les produits contenant du mercure ajouté et les procédés</w:t>
      </w:r>
      <w:r w:rsidR="00303AD5">
        <w:rPr>
          <w:lang w:val="fr-FR"/>
        </w:rPr>
        <w:t xml:space="preserve"> de fabrication</w:t>
      </w:r>
      <w:r w:rsidR="0059761D" w:rsidRPr="00AD3A44">
        <w:rPr>
          <w:lang w:val="fr-FR"/>
        </w:rPr>
        <w:t xml:space="preserve"> utilisant du mercure ou des composés du mercure</w:t>
      </w:r>
      <w:r w:rsidR="00303AD5">
        <w:rPr>
          <w:lang w:val="fr-FR"/>
        </w:rPr>
        <w:t xml:space="preserve"> ainsi que sur</w:t>
      </w:r>
      <w:r w:rsidR="0059761D" w:rsidRPr="00AD3A44">
        <w:rPr>
          <w:lang w:val="fr-FR"/>
        </w:rPr>
        <w:t xml:space="preserve"> leurs solutions de remplacement </w:t>
      </w:r>
      <w:r w:rsidR="00F61AB4" w:rsidRPr="00AD3A44">
        <w:rPr>
          <w:lang w:val="fr-FR"/>
        </w:rPr>
        <w:t>;</w:t>
      </w:r>
    </w:p>
    <w:p w14:paraId="08DE5AFA" w14:textId="4C35AFBD" w:rsidR="00FE20B2" w:rsidRPr="00AD3A44" w:rsidRDefault="002E00EF" w:rsidP="005266D5">
      <w:pPr>
        <w:pStyle w:val="Normal-pool"/>
        <w:numPr>
          <w:ilvl w:val="1"/>
          <w:numId w:val="5"/>
        </w:numPr>
        <w:tabs>
          <w:tab w:val="clear" w:pos="1247"/>
          <w:tab w:val="clear" w:pos="1814"/>
          <w:tab w:val="clear" w:pos="2381"/>
          <w:tab w:val="clear" w:pos="2948"/>
          <w:tab w:val="clear" w:pos="3515"/>
          <w:tab w:val="clear" w:pos="4082"/>
          <w:tab w:val="left" w:pos="624"/>
        </w:tabs>
        <w:spacing w:after="120"/>
        <w:ind w:left="1276" w:firstLine="567"/>
        <w:rPr>
          <w:lang w:val="fr-FR"/>
        </w:rPr>
      </w:pPr>
      <w:r w:rsidRPr="00AD3A44">
        <w:rPr>
          <w:lang w:val="fr-FR"/>
        </w:rPr>
        <w:t xml:space="preserve">Soumettre </w:t>
      </w:r>
      <w:r w:rsidR="0059761D" w:rsidRPr="00AD3A44">
        <w:rPr>
          <w:lang w:val="fr-FR"/>
        </w:rPr>
        <w:t>son rapport sur l’examen des A</w:t>
      </w:r>
      <w:r w:rsidR="00FE20B2" w:rsidRPr="00AD3A44">
        <w:rPr>
          <w:lang w:val="fr-FR"/>
        </w:rPr>
        <w:t>nnexes</w:t>
      </w:r>
      <w:r w:rsidR="0059761D" w:rsidRPr="00AD3A44">
        <w:rPr>
          <w:lang w:val="fr-FR"/>
        </w:rPr>
        <w:t> </w:t>
      </w:r>
      <w:r w:rsidR="00FE20B2" w:rsidRPr="00AD3A44">
        <w:rPr>
          <w:lang w:val="fr-FR"/>
        </w:rPr>
        <w:t xml:space="preserve">A </w:t>
      </w:r>
      <w:r w:rsidR="0059761D" w:rsidRPr="00AD3A44">
        <w:rPr>
          <w:lang w:val="fr-FR"/>
        </w:rPr>
        <w:t>et</w:t>
      </w:r>
      <w:r w:rsidR="00FE20B2" w:rsidRPr="00AD3A44">
        <w:rPr>
          <w:lang w:val="fr-FR"/>
        </w:rPr>
        <w:t xml:space="preserve"> B, </w:t>
      </w:r>
      <w:r w:rsidR="0059761D" w:rsidRPr="00AD3A44">
        <w:rPr>
          <w:lang w:val="fr-FR"/>
        </w:rPr>
        <w:t xml:space="preserve">y compris </w:t>
      </w:r>
      <w:r>
        <w:rPr>
          <w:lang w:val="fr-FR"/>
        </w:rPr>
        <w:t>sur l</w:t>
      </w:r>
      <w:r w:rsidR="0059761D" w:rsidRPr="00AD3A44">
        <w:rPr>
          <w:lang w:val="fr-FR"/>
        </w:rPr>
        <w:t>es progrès et l’efficacité des mesures prises en application du paragraphe 2 de l’</w:t>
      </w:r>
      <w:r w:rsidR="00FE20B2" w:rsidRPr="00AD3A44">
        <w:rPr>
          <w:lang w:val="fr-FR"/>
        </w:rPr>
        <w:t>article</w:t>
      </w:r>
      <w:r w:rsidR="001D333A">
        <w:rPr>
          <w:lang w:val="fr-FR"/>
        </w:rPr>
        <w:t> </w:t>
      </w:r>
      <w:r w:rsidR="00FE20B2" w:rsidRPr="00AD3A44">
        <w:rPr>
          <w:lang w:val="fr-FR"/>
        </w:rPr>
        <w:t xml:space="preserve">4, </w:t>
      </w:r>
      <w:r w:rsidR="00C9066E" w:rsidRPr="00AD3A44">
        <w:rPr>
          <w:lang w:val="fr-FR"/>
        </w:rPr>
        <w:t>afin que la Conférence des Parties l’examine à sa quatrième réunion </w:t>
      </w:r>
      <w:r w:rsidR="00551915" w:rsidRPr="00AD3A44">
        <w:rPr>
          <w:lang w:val="fr-FR"/>
        </w:rPr>
        <w:t>;</w:t>
      </w:r>
    </w:p>
    <w:p w14:paraId="52416748" w14:textId="01FBA9A0" w:rsidR="00551915" w:rsidRPr="00AD3A44" w:rsidRDefault="00551915" w:rsidP="005266D5">
      <w:pPr>
        <w:pStyle w:val="Normal-pool"/>
        <w:numPr>
          <w:ilvl w:val="1"/>
          <w:numId w:val="5"/>
        </w:numPr>
        <w:tabs>
          <w:tab w:val="clear" w:pos="1247"/>
          <w:tab w:val="clear" w:pos="1814"/>
          <w:tab w:val="clear" w:pos="2381"/>
          <w:tab w:val="clear" w:pos="2948"/>
          <w:tab w:val="clear" w:pos="3515"/>
          <w:tab w:val="clear" w:pos="4082"/>
          <w:tab w:val="left" w:pos="624"/>
        </w:tabs>
        <w:spacing w:after="120"/>
        <w:ind w:left="1276" w:firstLine="567"/>
        <w:rPr>
          <w:i/>
          <w:iCs/>
          <w:lang w:val="fr-FR"/>
        </w:rPr>
      </w:pPr>
      <w:r w:rsidRPr="00AD3A44">
        <w:rPr>
          <w:iCs/>
          <w:lang w:val="fr-FR"/>
        </w:rPr>
        <w:lastRenderedPageBreak/>
        <w:t>[</w:t>
      </w:r>
      <w:r w:rsidR="002E00EF" w:rsidRPr="00AD3A44">
        <w:rPr>
          <w:i/>
          <w:iCs/>
          <w:lang w:val="fr-FR"/>
        </w:rPr>
        <w:t xml:space="preserve">Une </w:t>
      </w:r>
      <w:r w:rsidR="00C9066E" w:rsidRPr="00AD3A44">
        <w:rPr>
          <w:i/>
          <w:iCs/>
          <w:lang w:val="fr-FR"/>
        </w:rPr>
        <w:t xml:space="preserve">autre attribution pourrait être ajoutée concernant l’utilisation et l’harmonisation de codes douaniers afin de déterminer et de distinguer les produits </w:t>
      </w:r>
      <w:r w:rsidR="002E00EF">
        <w:rPr>
          <w:i/>
          <w:iCs/>
          <w:lang w:val="fr-FR"/>
        </w:rPr>
        <w:t>sans</w:t>
      </w:r>
      <w:r w:rsidR="00C9066E" w:rsidRPr="00AD3A44">
        <w:rPr>
          <w:i/>
          <w:iCs/>
          <w:lang w:val="fr-FR"/>
        </w:rPr>
        <w:t xml:space="preserve"> mercure ajouté et les produits contenant du mercure ajouté inscrits à l’Annexe </w:t>
      </w:r>
      <w:r w:rsidRPr="00AD3A44">
        <w:rPr>
          <w:i/>
          <w:iCs/>
          <w:lang w:val="fr-FR"/>
        </w:rPr>
        <w:t>A</w:t>
      </w:r>
      <w:r w:rsidR="006C7106" w:rsidRPr="00AD3A44">
        <w:rPr>
          <w:iCs/>
          <w:lang w:val="fr-FR"/>
        </w:rPr>
        <w:t>]</w:t>
      </w:r>
      <w:r w:rsidR="00EF6BD0" w:rsidRPr="00AD3A44">
        <w:rPr>
          <w:iCs/>
          <w:lang w:val="fr-FR"/>
        </w:rPr>
        <w:t>.</w:t>
      </w:r>
    </w:p>
    <w:p w14:paraId="4CA3EE6A" w14:textId="6741D4BB" w:rsidR="00F61AB4" w:rsidRPr="00AD3A44" w:rsidRDefault="00F61AB4" w:rsidP="00765562">
      <w:pPr>
        <w:pStyle w:val="CH1"/>
        <w:rPr>
          <w:lang w:val="fr-FR"/>
        </w:rPr>
      </w:pPr>
      <w:r w:rsidRPr="00AD3A44">
        <w:rPr>
          <w:lang w:val="fr-FR"/>
        </w:rPr>
        <w:tab/>
      </w:r>
      <w:bookmarkStart w:id="7" w:name="_Toc7079415"/>
      <w:r w:rsidRPr="00AD3A44">
        <w:rPr>
          <w:lang w:val="fr-FR"/>
        </w:rPr>
        <w:t>II.</w:t>
      </w:r>
      <w:r w:rsidRPr="00AD3A44">
        <w:rPr>
          <w:lang w:val="fr-FR"/>
        </w:rPr>
        <w:tab/>
      </w:r>
      <w:bookmarkEnd w:id="7"/>
      <w:r w:rsidR="00C9066E" w:rsidRPr="00AD3A44">
        <w:rPr>
          <w:lang w:val="fr-FR"/>
        </w:rPr>
        <w:t>Composition</w:t>
      </w:r>
    </w:p>
    <w:p w14:paraId="47FE37AB" w14:textId="7F3AC19D" w:rsidR="00F61AB4" w:rsidRPr="00AD3A44" w:rsidRDefault="007827CC" w:rsidP="00AB4F18">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rPr>
          <w:lang w:val="fr-FR"/>
        </w:rPr>
      </w:pPr>
      <w:r w:rsidRPr="00AD3A44">
        <w:rPr>
          <w:lang w:val="fr-FR"/>
        </w:rPr>
        <w:t>Le</w:t>
      </w:r>
      <w:r w:rsidR="00F61AB4" w:rsidRPr="00AD3A44">
        <w:rPr>
          <w:lang w:val="fr-FR"/>
        </w:rPr>
        <w:t xml:space="preserve"> group</w:t>
      </w:r>
      <w:r w:rsidRPr="00AD3A44">
        <w:rPr>
          <w:lang w:val="fr-FR"/>
        </w:rPr>
        <w:t>e</w:t>
      </w:r>
      <w:r w:rsidR="002E00EF">
        <w:rPr>
          <w:lang w:val="fr-FR"/>
        </w:rPr>
        <w:t xml:space="preserve"> spécial d’experts</w:t>
      </w:r>
      <w:r w:rsidR="00F61AB4" w:rsidRPr="00AD3A44">
        <w:rPr>
          <w:lang w:val="fr-FR"/>
        </w:rPr>
        <w:t>,</w:t>
      </w:r>
      <w:r w:rsidRPr="00AD3A44">
        <w:rPr>
          <w:lang w:val="fr-FR"/>
        </w:rPr>
        <w:t xml:space="preserve"> qui élira deux coprésidents à sa première réunion, sera composé d’experts [techniques] nommés par les Parties des cinq régions de l’Organisation des Nations Unies, répartis comme suit : [quatre] experts issus des États d’Afrique, </w:t>
      </w:r>
      <w:r w:rsidR="00AF3722" w:rsidRPr="00AD3A44">
        <w:rPr>
          <w:lang w:val="fr-FR"/>
        </w:rPr>
        <w:t>[quatre]</w:t>
      </w:r>
      <w:r w:rsidRPr="00AD3A44">
        <w:rPr>
          <w:lang w:val="fr-FR"/>
        </w:rPr>
        <w:t xml:space="preserve"> des États d’Asie et du Pacifique, </w:t>
      </w:r>
      <w:r w:rsidR="00AF3722" w:rsidRPr="00AD3A44">
        <w:rPr>
          <w:lang w:val="fr-FR"/>
        </w:rPr>
        <w:t>[quatre]</w:t>
      </w:r>
      <w:r w:rsidRPr="00AD3A44">
        <w:rPr>
          <w:lang w:val="fr-FR"/>
        </w:rPr>
        <w:t xml:space="preserve"> des États d’Europe orientale, </w:t>
      </w:r>
      <w:r w:rsidR="00AF3722" w:rsidRPr="00AD3A44">
        <w:rPr>
          <w:lang w:val="fr-FR"/>
        </w:rPr>
        <w:t>[quatre]</w:t>
      </w:r>
      <w:r w:rsidRPr="00AD3A44">
        <w:rPr>
          <w:lang w:val="fr-FR"/>
        </w:rPr>
        <w:t xml:space="preserve"> des États d’Amérique latine et des Caraïbes et </w:t>
      </w:r>
      <w:r w:rsidR="00AF3722" w:rsidRPr="00AD3A44">
        <w:rPr>
          <w:lang w:val="fr-FR"/>
        </w:rPr>
        <w:t>[quatre]</w:t>
      </w:r>
      <w:r w:rsidRPr="00AD3A44">
        <w:rPr>
          <w:lang w:val="fr-FR"/>
        </w:rPr>
        <w:t xml:space="preserve"> des États d’Europe occidentale et autres États</w:t>
      </w:r>
      <w:r w:rsidR="00F61AB4" w:rsidRPr="00AD3A44">
        <w:rPr>
          <w:lang w:val="fr-FR"/>
        </w:rPr>
        <w:t xml:space="preserve">. </w:t>
      </w:r>
      <w:r w:rsidR="00AF3722" w:rsidRPr="00AD3A44">
        <w:rPr>
          <w:lang w:val="fr-FR"/>
        </w:rPr>
        <w:t xml:space="preserve">Avant la première réunion du groupe, </w:t>
      </w:r>
      <w:r w:rsidR="007B381B">
        <w:rPr>
          <w:lang w:val="fr-FR"/>
        </w:rPr>
        <w:t xml:space="preserve">ce dernier et </w:t>
      </w:r>
      <w:r w:rsidR="00AF3722" w:rsidRPr="00AD3A44">
        <w:rPr>
          <w:lang w:val="fr-FR"/>
        </w:rPr>
        <w:t>le secrétariat de la Convention inviteront [</w:t>
      </w:r>
      <w:r w:rsidR="003F1CB8">
        <w:rPr>
          <w:lang w:val="fr-FR"/>
        </w:rPr>
        <w:t>10</w:t>
      </w:r>
      <w:r w:rsidR="00AF3722" w:rsidRPr="00AD3A44">
        <w:rPr>
          <w:lang w:val="fr-FR"/>
        </w:rPr>
        <w:t>] experts d’organisations intergouvernementales, du secteur de l’industrie, de la société civile et de la communauté scientifique à y participer en qualité d’observateurs</w:t>
      </w:r>
      <w:r w:rsidR="00F61AB4" w:rsidRPr="00AD3A44">
        <w:rPr>
          <w:lang w:val="fr-FR"/>
        </w:rPr>
        <w:t xml:space="preserve">. </w:t>
      </w:r>
      <w:r w:rsidR="00AF3722" w:rsidRPr="00AD3A44">
        <w:rPr>
          <w:lang w:val="fr-FR"/>
        </w:rPr>
        <w:t>Le groupe peut également solliciter les contributions de gouvernements, d’organisations intergouvernementales, du secteur de l’industrie et d’organisations de la société civile afin de l’aider à mener à bien ses travaux, selon qu’il conviendra</w:t>
      </w:r>
      <w:r w:rsidR="00F61AB4" w:rsidRPr="00AD3A44">
        <w:rPr>
          <w:lang w:val="fr-FR"/>
        </w:rPr>
        <w:t>.</w:t>
      </w:r>
    </w:p>
    <w:p w14:paraId="7EAA68D1" w14:textId="62233066" w:rsidR="00F61AB4" w:rsidRPr="00AD3A44" w:rsidRDefault="00F61AB4" w:rsidP="00765562">
      <w:pPr>
        <w:pStyle w:val="CH1"/>
        <w:rPr>
          <w:lang w:val="fr-FR"/>
        </w:rPr>
      </w:pPr>
      <w:r w:rsidRPr="00AD3A44">
        <w:rPr>
          <w:lang w:val="fr-FR"/>
        </w:rPr>
        <w:tab/>
      </w:r>
      <w:bookmarkStart w:id="8" w:name="_Toc7079416"/>
      <w:r w:rsidRPr="00AD3A44">
        <w:rPr>
          <w:lang w:val="fr-FR"/>
        </w:rPr>
        <w:t>III.</w:t>
      </w:r>
      <w:r w:rsidRPr="00AD3A44">
        <w:rPr>
          <w:lang w:val="fr-FR"/>
        </w:rPr>
        <w:tab/>
      </w:r>
      <w:r w:rsidR="00CF0949" w:rsidRPr="00AD3A44">
        <w:rPr>
          <w:lang w:val="fr-FR"/>
        </w:rPr>
        <w:t>Qualifications r</w:t>
      </w:r>
      <w:r w:rsidR="00524453">
        <w:rPr>
          <w:lang w:val="fr-FR"/>
        </w:rPr>
        <w:t>ecommandées pour les membres et les </w:t>
      </w:r>
      <w:r w:rsidR="00CF0949" w:rsidRPr="00AD3A44">
        <w:rPr>
          <w:lang w:val="fr-FR"/>
        </w:rPr>
        <w:t>observateurs</w:t>
      </w:r>
      <w:bookmarkEnd w:id="8"/>
    </w:p>
    <w:p w14:paraId="6A8427FD" w14:textId="0252D8F4" w:rsidR="00F61AB4" w:rsidRPr="00AD3A44" w:rsidRDefault="00CF0949" w:rsidP="00AB4F18">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rPr>
          <w:lang w:val="fr-FR"/>
        </w:rPr>
      </w:pPr>
      <w:r w:rsidRPr="00AD3A44">
        <w:rPr>
          <w:lang w:val="fr-FR"/>
        </w:rPr>
        <w:t xml:space="preserve">Les membres et les observateurs du groupe </w:t>
      </w:r>
      <w:r w:rsidR="002E00EF">
        <w:rPr>
          <w:lang w:val="fr-FR"/>
        </w:rPr>
        <w:t xml:space="preserve">spécial d’experts </w:t>
      </w:r>
      <w:r w:rsidRPr="00AD3A44">
        <w:rPr>
          <w:lang w:val="fr-FR"/>
        </w:rPr>
        <w:t xml:space="preserve">devraient avoir des </w:t>
      </w:r>
      <w:r w:rsidR="00E4126D">
        <w:rPr>
          <w:lang w:val="fr-FR"/>
        </w:rPr>
        <w:t>connaissances spécialisées</w:t>
      </w:r>
      <w:r w:rsidRPr="00AD3A44">
        <w:rPr>
          <w:lang w:val="fr-FR"/>
        </w:rPr>
        <w:t xml:space="preserve"> dans au moins un des domaines suivants </w:t>
      </w:r>
      <w:r w:rsidR="00F61AB4" w:rsidRPr="00AD3A44">
        <w:rPr>
          <w:lang w:val="fr-FR"/>
        </w:rPr>
        <w:t>:</w:t>
      </w:r>
    </w:p>
    <w:p w14:paraId="6AFEFDBC" w14:textId="12AE0E0B" w:rsidR="00F61AB4" w:rsidRPr="00AD3A44" w:rsidRDefault="00E4126D" w:rsidP="00AB4F18">
      <w:pPr>
        <w:pStyle w:val="Normal-pool"/>
        <w:numPr>
          <w:ilvl w:val="1"/>
          <w:numId w:val="5"/>
        </w:numPr>
        <w:tabs>
          <w:tab w:val="clear" w:pos="1247"/>
          <w:tab w:val="clear" w:pos="1814"/>
          <w:tab w:val="clear" w:pos="2381"/>
          <w:tab w:val="clear" w:pos="2948"/>
          <w:tab w:val="clear" w:pos="3515"/>
          <w:tab w:val="clear" w:pos="4082"/>
          <w:tab w:val="left" w:pos="624"/>
        </w:tabs>
        <w:spacing w:after="120"/>
        <w:ind w:left="1247" w:firstLine="624"/>
        <w:rPr>
          <w:lang w:val="fr-FR"/>
        </w:rPr>
      </w:pPr>
      <w:r w:rsidRPr="00AD3A44">
        <w:rPr>
          <w:lang w:val="fr-FR"/>
        </w:rPr>
        <w:t xml:space="preserve">Utilisation </w:t>
      </w:r>
      <w:r w:rsidR="00CF0949" w:rsidRPr="00AD3A44">
        <w:rPr>
          <w:lang w:val="fr-FR"/>
        </w:rPr>
        <w:t>de mercure et de composés du mercure dans des produits ou des procédés de fabrication </w:t>
      </w:r>
      <w:r w:rsidR="00F61AB4" w:rsidRPr="00AD3A44">
        <w:rPr>
          <w:lang w:val="fr-FR"/>
        </w:rPr>
        <w:t>;</w:t>
      </w:r>
    </w:p>
    <w:p w14:paraId="16847BE9" w14:textId="2DD50345" w:rsidR="00F61AB4" w:rsidRPr="00AD3A44" w:rsidRDefault="00E4126D" w:rsidP="00AB4F18">
      <w:pPr>
        <w:pStyle w:val="Normal-pool"/>
        <w:numPr>
          <w:ilvl w:val="1"/>
          <w:numId w:val="5"/>
        </w:numPr>
        <w:tabs>
          <w:tab w:val="clear" w:pos="1247"/>
          <w:tab w:val="clear" w:pos="1814"/>
          <w:tab w:val="clear" w:pos="2381"/>
          <w:tab w:val="clear" w:pos="2948"/>
          <w:tab w:val="clear" w:pos="3515"/>
          <w:tab w:val="clear" w:pos="4082"/>
          <w:tab w:val="left" w:pos="624"/>
        </w:tabs>
        <w:spacing w:after="120"/>
        <w:ind w:left="1247" w:firstLine="624"/>
        <w:rPr>
          <w:lang w:val="fr-FR"/>
        </w:rPr>
      </w:pPr>
      <w:r w:rsidRPr="00AD3A44">
        <w:rPr>
          <w:lang w:val="fr-FR"/>
        </w:rPr>
        <w:t xml:space="preserve">Incidence </w:t>
      </w:r>
      <w:r w:rsidR="00CF0949" w:rsidRPr="00AD3A44">
        <w:rPr>
          <w:lang w:val="fr-FR"/>
        </w:rPr>
        <w:t>de l’exposition au mercure sur l’environnement et la santé </w:t>
      </w:r>
      <w:r w:rsidR="00F61AB4" w:rsidRPr="00AD3A44">
        <w:rPr>
          <w:lang w:val="fr-FR"/>
        </w:rPr>
        <w:t>;</w:t>
      </w:r>
    </w:p>
    <w:p w14:paraId="26A47885" w14:textId="5B92163C" w:rsidR="006C7106" w:rsidRPr="00AD3A44" w:rsidRDefault="00E4126D" w:rsidP="00AB4F18">
      <w:pPr>
        <w:pStyle w:val="Normal-pool"/>
        <w:numPr>
          <w:ilvl w:val="1"/>
          <w:numId w:val="5"/>
        </w:numPr>
        <w:tabs>
          <w:tab w:val="clear" w:pos="1247"/>
          <w:tab w:val="clear" w:pos="1814"/>
          <w:tab w:val="clear" w:pos="2381"/>
          <w:tab w:val="clear" w:pos="2948"/>
          <w:tab w:val="clear" w:pos="3515"/>
          <w:tab w:val="clear" w:pos="4082"/>
          <w:tab w:val="left" w:pos="624"/>
        </w:tabs>
        <w:spacing w:after="120"/>
        <w:ind w:left="1247" w:firstLine="624"/>
        <w:rPr>
          <w:lang w:val="fr-FR"/>
        </w:rPr>
      </w:pPr>
      <w:r w:rsidRPr="00AD3A44">
        <w:rPr>
          <w:lang w:val="fr-FR"/>
        </w:rPr>
        <w:t xml:space="preserve">Politique </w:t>
      </w:r>
      <w:r w:rsidR="00CF0949" w:rsidRPr="00AD3A44">
        <w:rPr>
          <w:lang w:val="fr-FR"/>
        </w:rPr>
        <w:t>réglementaire concernant les risques du mercure pour la santé humaine et l’environnement </w:t>
      </w:r>
      <w:r w:rsidR="00DC61F4" w:rsidRPr="00AD3A44">
        <w:rPr>
          <w:lang w:val="fr-FR"/>
        </w:rPr>
        <w:t>;</w:t>
      </w:r>
    </w:p>
    <w:p w14:paraId="73924DA4" w14:textId="22335F1F" w:rsidR="00F61AB4" w:rsidRPr="00AD3A44" w:rsidRDefault="006C7106" w:rsidP="00AB4F18">
      <w:pPr>
        <w:pStyle w:val="Normal-pool"/>
        <w:numPr>
          <w:ilvl w:val="1"/>
          <w:numId w:val="5"/>
        </w:numPr>
        <w:tabs>
          <w:tab w:val="clear" w:pos="1247"/>
          <w:tab w:val="clear" w:pos="1814"/>
          <w:tab w:val="clear" w:pos="2381"/>
          <w:tab w:val="clear" w:pos="2948"/>
          <w:tab w:val="clear" w:pos="3515"/>
          <w:tab w:val="clear" w:pos="4082"/>
          <w:tab w:val="left" w:pos="624"/>
        </w:tabs>
        <w:spacing w:after="120"/>
        <w:ind w:left="1247" w:firstLine="624"/>
        <w:rPr>
          <w:lang w:val="fr-FR"/>
        </w:rPr>
      </w:pPr>
      <w:r w:rsidRPr="00AD3A44">
        <w:rPr>
          <w:iCs/>
          <w:lang w:val="fr-FR"/>
        </w:rPr>
        <w:t>[</w:t>
      </w:r>
      <w:r w:rsidR="00E4126D" w:rsidRPr="00AD3A44">
        <w:rPr>
          <w:i/>
          <w:iCs/>
          <w:lang w:val="fr-FR"/>
        </w:rPr>
        <w:t xml:space="preserve">Expertise </w:t>
      </w:r>
      <w:r w:rsidR="00CF0949" w:rsidRPr="00AD3A44">
        <w:rPr>
          <w:i/>
          <w:iCs/>
          <w:lang w:val="fr-FR"/>
        </w:rPr>
        <w:t xml:space="preserve">en matière de codes douaniers et/ou </w:t>
      </w:r>
      <w:r w:rsidR="001861FF" w:rsidRPr="00AD3A44">
        <w:rPr>
          <w:i/>
          <w:iCs/>
          <w:lang w:val="fr-FR"/>
        </w:rPr>
        <w:t xml:space="preserve">de </w:t>
      </w:r>
      <w:r w:rsidR="00CF0949" w:rsidRPr="00AD3A44">
        <w:rPr>
          <w:i/>
          <w:iCs/>
          <w:lang w:val="fr-FR"/>
        </w:rPr>
        <w:t>commerce de produits contenant du mercure ajouté</w:t>
      </w:r>
      <w:r w:rsidRPr="00AD3A44">
        <w:rPr>
          <w:iCs/>
          <w:lang w:val="fr-FR"/>
        </w:rPr>
        <w:t>]</w:t>
      </w:r>
      <w:r w:rsidR="00F61AB4" w:rsidRPr="00AD3A44">
        <w:rPr>
          <w:lang w:val="fr-FR"/>
        </w:rPr>
        <w:t>.</w:t>
      </w:r>
    </w:p>
    <w:p w14:paraId="4EB98F07" w14:textId="09E87A6D" w:rsidR="00F61AB4" w:rsidRPr="00AD3A44" w:rsidRDefault="00F61AB4" w:rsidP="00F61AB4">
      <w:pPr>
        <w:pStyle w:val="CH1"/>
        <w:rPr>
          <w:lang w:val="fr-FR"/>
        </w:rPr>
      </w:pPr>
      <w:r w:rsidRPr="00AD3A44">
        <w:rPr>
          <w:lang w:val="fr-FR"/>
        </w:rPr>
        <w:tab/>
      </w:r>
      <w:bookmarkStart w:id="9" w:name="_Toc7079417"/>
      <w:r w:rsidRPr="00AD3A44">
        <w:rPr>
          <w:lang w:val="fr-FR"/>
        </w:rPr>
        <w:t>IV.</w:t>
      </w:r>
      <w:r w:rsidRPr="00AD3A44">
        <w:rPr>
          <w:lang w:val="fr-FR"/>
        </w:rPr>
        <w:tab/>
      </w:r>
      <w:bookmarkEnd w:id="9"/>
      <w:r w:rsidR="001861FF" w:rsidRPr="00AD3A44">
        <w:rPr>
          <w:lang w:val="fr-FR"/>
        </w:rPr>
        <w:t>Bureau</w:t>
      </w:r>
    </w:p>
    <w:p w14:paraId="3FB0E286" w14:textId="4AA479AF" w:rsidR="00F61AB4" w:rsidRPr="00AD3A44" w:rsidRDefault="001861FF" w:rsidP="00AB4F18">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rPr>
          <w:lang w:val="fr-FR"/>
        </w:rPr>
      </w:pPr>
      <w:r w:rsidRPr="00AD3A44">
        <w:rPr>
          <w:lang w:val="fr-FR"/>
        </w:rPr>
        <w:t xml:space="preserve">Le groupe </w:t>
      </w:r>
      <w:r w:rsidR="002E00EF">
        <w:rPr>
          <w:lang w:val="fr-FR"/>
        </w:rPr>
        <w:t xml:space="preserve">spécial d’experts </w:t>
      </w:r>
      <w:r w:rsidRPr="00AD3A44">
        <w:rPr>
          <w:lang w:val="fr-FR"/>
        </w:rPr>
        <w:t>élira deux coprésidents pour faciliter ses réunions</w:t>
      </w:r>
      <w:r w:rsidR="00F61AB4" w:rsidRPr="00AD3A44">
        <w:rPr>
          <w:lang w:val="fr-FR"/>
        </w:rPr>
        <w:t xml:space="preserve">. </w:t>
      </w:r>
    </w:p>
    <w:p w14:paraId="7FEF067E" w14:textId="1C8FDA31" w:rsidR="00F61AB4" w:rsidRPr="00AD3A44" w:rsidRDefault="00F61AB4" w:rsidP="00F61AB4">
      <w:pPr>
        <w:pStyle w:val="CH1"/>
        <w:rPr>
          <w:lang w:val="fr-FR"/>
        </w:rPr>
      </w:pPr>
      <w:r w:rsidRPr="00AD3A44">
        <w:rPr>
          <w:lang w:val="fr-FR"/>
        </w:rPr>
        <w:tab/>
      </w:r>
      <w:bookmarkStart w:id="10" w:name="_Toc7079418"/>
      <w:r w:rsidRPr="00AD3A44">
        <w:rPr>
          <w:lang w:val="fr-FR"/>
        </w:rPr>
        <w:t>V.</w:t>
      </w:r>
      <w:r w:rsidRPr="00AD3A44">
        <w:rPr>
          <w:lang w:val="fr-FR"/>
        </w:rPr>
        <w:tab/>
        <w:t>Secr</w:t>
      </w:r>
      <w:r w:rsidR="001861FF" w:rsidRPr="00AD3A44">
        <w:rPr>
          <w:lang w:val="fr-FR"/>
        </w:rPr>
        <w:t>é</w:t>
      </w:r>
      <w:r w:rsidRPr="00AD3A44">
        <w:rPr>
          <w:lang w:val="fr-FR"/>
        </w:rPr>
        <w:t>tariat</w:t>
      </w:r>
      <w:bookmarkEnd w:id="10"/>
    </w:p>
    <w:p w14:paraId="0FD90B7C" w14:textId="7F74BF6B" w:rsidR="00F61AB4" w:rsidRPr="00AD3A44" w:rsidRDefault="001861FF" w:rsidP="00AB4F18">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rPr>
          <w:lang w:val="fr-FR"/>
        </w:rPr>
      </w:pPr>
      <w:r w:rsidRPr="00AD3A44">
        <w:rPr>
          <w:lang w:val="fr-FR"/>
        </w:rPr>
        <w:t>Le secrétariat de la Convention fournira un appui au groupe</w:t>
      </w:r>
      <w:r w:rsidR="00F61AB4" w:rsidRPr="00AD3A44">
        <w:rPr>
          <w:lang w:val="fr-FR"/>
        </w:rPr>
        <w:t>.</w:t>
      </w:r>
    </w:p>
    <w:p w14:paraId="149A4354" w14:textId="5D226A3C" w:rsidR="00F61AB4" w:rsidRPr="00AD3A44" w:rsidRDefault="00F61AB4" w:rsidP="00F61AB4">
      <w:pPr>
        <w:pStyle w:val="CH1"/>
        <w:rPr>
          <w:lang w:val="fr-FR"/>
        </w:rPr>
      </w:pPr>
      <w:r w:rsidRPr="00AD3A44">
        <w:rPr>
          <w:lang w:val="fr-FR"/>
        </w:rPr>
        <w:tab/>
      </w:r>
      <w:bookmarkStart w:id="11" w:name="_Toc7079419"/>
      <w:r w:rsidRPr="00AD3A44">
        <w:rPr>
          <w:lang w:val="fr-FR"/>
        </w:rPr>
        <w:t>VI.</w:t>
      </w:r>
      <w:r w:rsidRPr="00AD3A44">
        <w:rPr>
          <w:lang w:val="fr-FR"/>
        </w:rPr>
        <w:tab/>
      </w:r>
      <w:bookmarkEnd w:id="11"/>
      <w:r w:rsidR="001861FF" w:rsidRPr="00AD3A44">
        <w:rPr>
          <w:lang w:val="fr-FR"/>
        </w:rPr>
        <w:t>Questions administratives et procédurales</w:t>
      </w:r>
    </w:p>
    <w:p w14:paraId="7D15B897" w14:textId="37590FE6" w:rsidR="00F61AB4" w:rsidRPr="00AD3A44" w:rsidRDefault="001861FF" w:rsidP="00AB4F18">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rPr>
          <w:lang w:val="fr-FR"/>
        </w:rPr>
      </w:pPr>
      <w:r w:rsidRPr="00AD3A44">
        <w:rPr>
          <w:lang w:val="fr-FR"/>
        </w:rPr>
        <w:t>Le règlement intérieur de la Conférence des Parties s’appliquera mutatis mutandis au groupe</w:t>
      </w:r>
      <w:r w:rsidR="00F61AB4" w:rsidRPr="00AD3A44">
        <w:rPr>
          <w:lang w:val="fr-FR"/>
        </w:rPr>
        <w:t>.</w:t>
      </w:r>
    </w:p>
    <w:p w14:paraId="45577935" w14:textId="79B4664E" w:rsidR="00F61AB4" w:rsidRPr="00AD3A44" w:rsidRDefault="00F61AB4" w:rsidP="00F61AB4">
      <w:pPr>
        <w:pStyle w:val="CH1"/>
        <w:rPr>
          <w:lang w:val="fr-FR"/>
        </w:rPr>
      </w:pPr>
      <w:r w:rsidRPr="00AD3A44">
        <w:rPr>
          <w:lang w:val="fr-FR"/>
        </w:rPr>
        <w:tab/>
      </w:r>
      <w:bookmarkStart w:id="12" w:name="_Toc7079420"/>
      <w:r w:rsidRPr="00AD3A44">
        <w:rPr>
          <w:lang w:val="fr-FR"/>
        </w:rPr>
        <w:t>VII.</w:t>
      </w:r>
      <w:r w:rsidRPr="00AD3A44">
        <w:rPr>
          <w:lang w:val="fr-FR"/>
        </w:rPr>
        <w:tab/>
      </w:r>
      <w:bookmarkEnd w:id="12"/>
      <w:r w:rsidR="001861FF" w:rsidRPr="00AD3A44">
        <w:rPr>
          <w:lang w:val="fr-FR"/>
        </w:rPr>
        <w:t>Réunions</w:t>
      </w:r>
    </w:p>
    <w:p w14:paraId="47D1C5F0" w14:textId="4EBFBE06" w:rsidR="00F61AB4" w:rsidRPr="00AD3A44" w:rsidRDefault="001861FF" w:rsidP="00AB4F18">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rPr>
          <w:lang w:val="fr-FR"/>
        </w:rPr>
      </w:pPr>
      <w:r w:rsidRPr="00AD3A44">
        <w:rPr>
          <w:lang w:val="fr-FR"/>
        </w:rPr>
        <w:t xml:space="preserve">Le groupe </w:t>
      </w:r>
      <w:r w:rsidR="002E00EF" w:rsidRPr="002E00EF">
        <w:rPr>
          <w:lang w:val="fr-FR"/>
        </w:rPr>
        <w:t xml:space="preserve">spécial d’experts </w:t>
      </w:r>
      <w:r w:rsidRPr="00AD3A44">
        <w:rPr>
          <w:lang w:val="fr-FR"/>
        </w:rPr>
        <w:t>travaillera par voie électronique et se réunira au moins [deux] fois en présentiel au cours de la période intersessions précédant la quatrième réunion de la Conférence des Parties</w:t>
      </w:r>
      <w:r w:rsidR="00F61AB4" w:rsidRPr="00AD3A44">
        <w:rPr>
          <w:lang w:val="fr-FR"/>
        </w:rPr>
        <w:t>.</w:t>
      </w:r>
    </w:p>
    <w:p w14:paraId="55A3604D" w14:textId="130EF99C" w:rsidR="00F61AB4" w:rsidRPr="00AD3A44" w:rsidRDefault="00F61AB4" w:rsidP="00F61AB4">
      <w:pPr>
        <w:pStyle w:val="CH1"/>
        <w:rPr>
          <w:lang w:val="fr-FR"/>
        </w:rPr>
      </w:pPr>
      <w:r w:rsidRPr="00AD3A44">
        <w:rPr>
          <w:lang w:val="fr-FR"/>
        </w:rPr>
        <w:tab/>
      </w:r>
      <w:bookmarkStart w:id="13" w:name="_Toc7079421"/>
      <w:r w:rsidRPr="00AD3A44">
        <w:rPr>
          <w:lang w:val="fr-FR"/>
        </w:rPr>
        <w:t>VIII.</w:t>
      </w:r>
      <w:r w:rsidRPr="00AD3A44">
        <w:rPr>
          <w:lang w:val="fr-FR"/>
        </w:rPr>
        <w:tab/>
        <w:t>Langu</w:t>
      </w:r>
      <w:r w:rsidR="001861FF" w:rsidRPr="00AD3A44">
        <w:rPr>
          <w:lang w:val="fr-FR"/>
        </w:rPr>
        <w:t>es</w:t>
      </w:r>
      <w:bookmarkEnd w:id="13"/>
    </w:p>
    <w:p w14:paraId="77B25B30" w14:textId="36C7F485" w:rsidR="00F61AB4" w:rsidRPr="00AD3A44" w:rsidRDefault="001861FF" w:rsidP="00AB4F18">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rPr>
          <w:lang w:val="fr-FR"/>
        </w:rPr>
      </w:pPr>
      <w:r w:rsidRPr="00AD3A44">
        <w:rPr>
          <w:lang w:val="fr-FR"/>
        </w:rPr>
        <w:t>La langue de travail du groupe sera l’anglais</w:t>
      </w:r>
      <w:r w:rsidR="00F61AB4" w:rsidRPr="00AD3A44">
        <w:rPr>
          <w:lang w:val="fr-FR"/>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A7603F" w:rsidRPr="00E4126D" w14:paraId="57589BA2" w14:textId="77777777" w:rsidTr="00A7603F">
        <w:tc>
          <w:tcPr>
            <w:tcW w:w="1897" w:type="dxa"/>
          </w:tcPr>
          <w:p w14:paraId="519C65F1" w14:textId="77777777" w:rsidR="00A7603F" w:rsidRPr="00AD3A44" w:rsidRDefault="00A7603F" w:rsidP="00A7603F">
            <w:pPr>
              <w:pStyle w:val="Normal-pool"/>
              <w:spacing w:before="520"/>
              <w:rPr>
                <w:lang w:val="fr-FR"/>
              </w:rPr>
            </w:pPr>
            <w:bookmarkStart w:id="14" w:name="_GoBack"/>
            <w:bookmarkEnd w:id="14"/>
          </w:p>
        </w:tc>
        <w:tc>
          <w:tcPr>
            <w:tcW w:w="1897" w:type="dxa"/>
          </w:tcPr>
          <w:p w14:paraId="77FFBA85" w14:textId="77777777" w:rsidR="00A7603F" w:rsidRPr="00AD3A44" w:rsidRDefault="00A7603F" w:rsidP="00A7603F">
            <w:pPr>
              <w:pStyle w:val="Normal-pool"/>
              <w:spacing w:before="520"/>
              <w:rPr>
                <w:lang w:val="fr-FR"/>
              </w:rPr>
            </w:pPr>
          </w:p>
        </w:tc>
        <w:tc>
          <w:tcPr>
            <w:tcW w:w="1897" w:type="dxa"/>
            <w:tcBorders>
              <w:bottom w:val="single" w:sz="4" w:space="0" w:color="auto"/>
            </w:tcBorders>
          </w:tcPr>
          <w:p w14:paraId="28A376B4" w14:textId="77777777" w:rsidR="00A7603F" w:rsidRPr="00AD3A44" w:rsidRDefault="00A7603F" w:rsidP="00A7603F">
            <w:pPr>
              <w:pStyle w:val="Normal-pool"/>
              <w:spacing w:before="520"/>
              <w:rPr>
                <w:lang w:val="fr-FR"/>
              </w:rPr>
            </w:pPr>
          </w:p>
        </w:tc>
        <w:tc>
          <w:tcPr>
            <w:tcW w:w="1897" w:type="dxa"/>
          </w:tcPr>
          <w:p w14:paraId="220DB0EF" w14:textId="77777777" w:rsidR="00A7603F" w:rsidRPr="00AD3A44" w:rsidRDefault="00A7603F" w:rsidP="00A7603F">
            <w:pPr>
              <w:pStyle w:val="Normal-pool"/>
              <w:spacing w:before="520"/>
              <w:rPr>
                <w:lang w:val="fr-FR"/>
              </w:rPr>
            </w:pPr>
          </w:p>
        </w:tc>
        <w:tc>
          <w:tcPr>
            <w:tcW w:w="1898" w:type="dxa"/>
          </w:tcPr>
          <w:p w14:paraId="024976A0" w14:textId="77777777" w:rsidR="00A7603F" w:rsidRPr="00AD3A44" w:rsidRDefault="00A7603F" w:rsidP="00A7603F">
            <w:pPr>
              <w:pStyle w:val="Normal-pool"/>
              <w:spacing w:before="520"/>
              <w:rPr>
                <w:lang w:val="fr-FR"/>
              </w:rPr>
            </w:pPr>
          </w:p>
        </w:tc>
      </w:tr>
    </w:tbl>
    <w:p w14:paraId="3B793344" w14:textId="77777777" w:rsidR="00A7603F" w:rsidRPr="00AD3A44" w:rsidRDefault="00A7603F" w:rsidP="00A7603F">
      <w:pPr>
        <w:pStyle w:val="Normal-pool"/>
        <w:rPr>
          <w:lang w:val="fr-FR"/>
        </w:rPr>
      </w:pPr>
    </w:p>
    <w:sectPr w:rsidR="00A7603F" w:rsidRPr="00AD3A44" w:rsidSect="009E40F6">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08BD3" w14:textId="77777777" w:rsidR="00AC275B" w:rsidRDefault="00AC275B">
      <w:r>
        <w:separator/>
      </w:r>
    </w:p>
  </w:endnote>
  <w:endnote w:type="continuationSeparator" w:id="0">
    <w:p w14:paraId="76243BB1" w14:textId="77777777" w:rsidR="00AC275B" w:rsidRDefault="00AC2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FA249" w14:textId="56EB2D0C" w:rsidR="0059761D" w:rsidRDefault="0059761D" w:rsidP="000855ED">
    <w:pPr>
      <w:pStyle w:val="Normal-pool"/>
    </w:pPr>
    <w:r>
      <w:rPr>
        <w:rStyle w:val="PageNumber"/>
      </w:rPr>
      <w:fldChar w:fldCharType="begin"/>
    </w:r>
    <w:r>
      <w:rPr>
        <w:rStyle w:val="PageNumber"/>
      </w:rPr>
      <w:instrText xml:space="preserve"> PAGE </w:instrText>
    </w:r>
    <w:r>
      <w:rPr>
        <w:rStyle w:val="PageNumber"/>
      </w:rPr>
      <w:fldChar w:fldCharType="separate"/>
    </w:r>
    <w:r w:rsidR="00493FDE">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823B8" w14:textId="0D1562C6" w:rsidR="0059761D" w:rsidRDefault="0059761D" w:rsidP="000855ED">
    <w:pPr>
      <w:pStyle w:val="Normal-pool"/>
      <w:jc w:val="right"/>
    </w:pPr>
    <w:r>
      <w:rPr>
        <w:rStyle w:val="PageNumber"/>
      </w:rPr>
      <w:fldChar w:fldCharType="begin"/>
    </w:r>
    <w:r>
      <w:rPr>
        <w:rStyle w:val="PageNumber"/>
      </w:rPr>
      <w:instrText xml:space="preserve"> PAGE </w:instrText>
    </w:r>
    <w:r>
      <w:rPr>
        <w:rStyle w:val="PageNumber"/>
      </w:rPr>
      <w:fldChar w:fldCharType="separate"/>
    </w:r>
    <w:r w:rsidR="00493FDE">
      <w:rPr>
        <w:rStyle w:val="PageNumber"/>
        <w:noProof/>
      </w:rPr>
      <w:t>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1625808214"/>
      <w:docPartObj>
        <w:docPartGallery w:val="Page Numbers (Bottom of Page)"/>
        <w:docPartUnique/>
      </w:docPartObj>
    </w:sdtPr>
    <w:sdtEndPr>
      <w:rPr>
        <w:b w:val="0"/>
        <w:noProof/>
        <w:sz w:val="20"/>
        <w:szCs w:val="20"/>
      </w:rPr>
    </w:sdtEndPr>
    <w:sdtContent>
      <w:p w14:paraId="1593ADF2" w14:textId="398E32D0" w:rsidR="0059761D" w:rsidRPr="00CC278D" w:rsidRDefault="0059761D" w:rsidP="00CC278D">
        <w:pPr>
          <w:pStyle w:val="Normal-pool"/>
          <w:tabs>
            <w:tab w:val="clear" w:pos="1247"/>
            <w:tab w:val="clear" w:pos="1814"/>
            <w:tab w:val="clear" w:pos="2381"/>
            <w:tab w:val="clear" w:pos="2948"/>
            <w:tab w:val="clear" w:pos="3515"/>
            <w:tab w:val="clear" w:pos="4082"/>
            <w:tab w:val="left" w:pos="624"/>
          </w:tabs>
        </w:pPr>
        <w:r w:rsidRPr="00CC278D">
          <w:t>K190362</w:t>
        </w:r>
        <w:r w:rsidR="006F65FF">
          <w:t>5</w:t>
        </w:r>
        <w:r w:rsidRPr="00CC278D">
          <w:tab/>
        </w:r>
        <w:r w:rsidR="00613507">
          <w:t>17</w:t>
        </w:r>
        <w:r w:rsidR="006F65FF">
          <w:t>09</w:t>
        </w:r>
        <w:r w:rsidRPr="00CC278D">
          <w:t>19</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B5F674" w14:textId="77777777" w:rsidR="00AC275B" w:rsidRPr="000855ED" w:rsidRDefault="00AC275B" w:rsidP="00A7603F">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0855ED">
        <w:rPr>
          <w:sz w:val="18"/>
          <w:szCs w:val="18"/>
        </w:rPr>
        <w:separator/>
      </w:r>
    </w:p>
  </w:footnote>
  <w:footnote w:type="continuationSeparator" w:id="0">
    <w:p w14:paraId="528B4B69" w14:textId="77777777" w:rsidR="00AC275B" w:rsidRDefault="00AC275B">
      <w:r>
        <w:continuationSeparator/>
      </w:r>
    </w:p>
  </w:footnote>
  <w:footnote w:id="1">
    <w:p w14:paraId="373BC07E" w14:textId="78F7B6D2" w:rsidR="0059761D" w:rsidRPr="00411223" w:rsidRDefault="0059761D" w:rsidP="00A7603F">
      <w:pPr>
        <w:tabs>
          <w:tab w:val="left" w:pos="624"/>
        </w:tabs>
        <w:spacing w:before="20" w:after="40"/>
        <w:ind w:left="1247"/>
        <w:rPr>
          <w:sz w:val="18"/>
          <w:szCs w:val="18"/>
        </w:rPr>
      </w:pPr>
      <w:r w:rsidRPr="00411223">
        <w:rPr>
          <w:sz w:val="18"/>
          <w:szCs w:val="18"/>
        </w:rPr>
        <w:t>* UNEP/MC/COP.</w:t>
      </w:r>
      <w:r>
        <w:rPr>
          <w:sz w:val="18"/>
          <w:szCs w:val="18"/>
        </w:rPr>
        <w:t>3</w:t>
      </w:r>
      <w:r w:rsidRPr="00411223">
        <w:rPr>
          <w:sz w:val="18"/>
          <w:szCs w:val="18"/>
        </w:rPr>
        <w:t>/1.</w:t>
      </w:r>
    </w:p>
  </w:footnote>
  <w:footnote w:id="2">
    <w:p w14:paraId="7FE871C9" w14:textId="41B6971F" w:rsidR="0059761D" w:rsidRPr="00944E96" w:rsidRDefault="0059761D" w:rsidP="00AB4F18">
      <w:pPr>
        <w:pStyle w:val="FootnoteText"/>
        <w:tabs>
          <w:tab w:val="clear" w:pos="1247"/>
          <w:tab w:val="clear" w:pos="1814"/>
          <w:tab w:val="clear" w:pos="2381"/>
          <w:tab w:val="clear" w:pos="2948"/>
          <w:tab w:val="clear" w:pos="3515"/>
          <w:tab w:val="clear" w:pos="4082"/>
        </w:tabs>
        <w:rPr>
          <w:szCs w:val="18"/>
          <w:lang w:val="en-GB"/>
        </w:rPr>
      </w:pPr>
      <w:r w:rsidRPr="00944E96">
        <w:rPr>
          <w:rStyle w:val="FootnoteReference"/>
          <w:sz w:val="18"/>
          <w:lang w:val="en-GB"/>
        </w:rPr>
        <w:footnoteRef/>
      </w:r>
      <w:hyperlink r:id="rId1" w:history="1">
        <w:r w:rsidRPr="00AF4161">
          <w:rPr>
            <w:rStyle w:val="Hyperlink"/>
            <w:sz w:val="18"/>
            <w:szCs w:val="18"/>
            <w:lang w:val="en-GB"/>
          </w:rPr>
          <w:t>http://www.mercuryconvention.org/Miseenoeuvre/%C3%89changed%E2%80%99informations/tabid/8082/language/fr-CH/Default.aspx</w:t>
        </w:r>
      </w:hyperlink>
      <w:r w:rsidRPr="00944E96">
        <w:rPr>
          <w:szCs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62D0A" w14:textId="7DDEB513" w:rsidR="0059761D" w:rsidRPr="00CA5CA9" w:rsidRDefault="0059761D"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COP.3/4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331DC" w14:textId="590AEB15" w:rsidR="0059761D" w:rsidRPr="00CA5CA9" w:rsidRDefault="0059761D"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73A83" w14:textId="6B078016" w:rsidR="0059761D" w:rsidRDefault="0059761D" w:rsidP="00944E9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97A94"/>
    <w:multiLevelType w:val="hybridMultilevel"/>
    <w:tmpl w:val="84A65648"/>
    <w:lvl w:ilvl="0" w:tplc="2000000F">
      <w:start w:val="1"/>
      <w:numFmt w:val="decimal"/>
      <w:lvlText w:val="%1."/>
      <w:lvlJc w:val="left"/>
      <w:pPr>
        <w:ind w:left="720" w:hanging="360"/>
      </w:pPr>
    </w:lvl>
    <w:lvl w:ilvl="1" w:tplc="6DB4195A">
      <w:start w:val="1"/>
      <w:numFmt w:val="lowerLetter"/>
      <w:lvlText w:val="%2)"/>
      <w:lvlJc w:val="left"/>
      <w:pPr>
        <w:ind w:left="1440" w:hanging="360"/>
      </w:pPr>
      <w:rPr>
        <w:rFonts w:ascii="Times New Roman" w:eastAsia="Times New Roman" w:hAnsi="Times New Roman" w:cs="Times New Roman"/>
        <w:i w:val="0"/>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92ECCDD0"/>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ascii="Times New Roman" w:eastAsia="Times New Roman" w:hAnsi="Times New Roman" w:cs="Times New Roman"/>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num w:numId="1">
    <w:abstractNumId w:val="3"/>
  </w:num>
  <w:num w:numId="2">
    <w:abstractNumId w:val="1"/>
  </w:num>
  <w:num w:numId="3">
    <w:abstractNumId w:val="2"/>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2"/>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1367"/>
    <w:rsid w:val="000017CC"/>
    <w:rsid w:val="000024A3"/>
    <w:rsid w:val="000057BB"/>
    <w:rsid w:val="00007100"/>
    <w:rsid w:val="000077AD"/>
    <w:rsid w:val="00011A16"/>
    <w:rsid w:val="000149E6"/>
    <w:rsid w:val="00020884"/>
    <w:rsid w:val="00023DA9"/>
    <w:rsid w:val="000247B0"/>
    <w:rsid w:val="00026997"/>
    <w:rsid w:val="00026A08"/>
    <w:rsid w:val="00032E4E"/>
    <w:rsid w:val="00033733"/>
    <w:rsid w:val="00033E0B"/>
    <w:rsid w:val="000340A3"/>
    <w:rsid w:val="00035EDE"/>
    <w:rsid w:val="000403B8"/>
    <w:rsid w:val="0004341B"/>
    <w:rsid w:val="000468F2"/>
    <w:rsid w:val="000473DF"/>
    <w:rsid w:val="000509B4"/>
    <w:rsid w:val="00051622"/>
    <w:rsid w:val="0006035B"/>
    <w:rsid w:val="0006096F"/>
    <w:rsid w:val="000649C5"/>
    <w:rsid w:val="00071886"/>
    <w:rsid w:val="000742BC"/>
    <w:rsid w:val="00074A93"/>
    <w:rsid w:val="00075F0C"/>
    <w:rsid w:val="00076CC6"/>
    <w:rsid w:val="00080C5C"/>
    <w:rsid w:val="00081FC8"/>
    <w:rsid w:val="00082A0C"/>
    <w:rsid w:val="00083504"/>
    <w:rsid w:val="000855ED"/>
    <w:rsid w:val="000878AF"/>
    <w:rsid w:val="0009640C"/>
    <w:rsid w:val="000A2B9C"/>
    <w:rsid w:val="000A3B42"/>
    <w:rsid w:val="000A581D"/>
    <w:rsid w:val="000B22A2"/>
    <w:rsid w:val="000B541B"/>
    <w:rsid w:val="000B73F9"/>
    <w:rsid w:val="000C2A52"/>
    <w:rsid w:val="000C2A88"/>
    <w:rsid w:val="000C65B1"/>
    <w:rsid w:val="000C7F47"/>
    <w:rsid w:val="000D05FA"/>
    <w:rsid w:val="000D1969"/>
    <w:rsid w:val="000D33C0"/>
    <w:rsid w:val="000D4CF6"/>
    <w:rsid w:val="000D55A1"/>
    <w:rsid w:val="000D6941"/>
    <w:rsid w:val="000D76B1"/>
    <w:rsid w:val="000F4829"/>
    <w:rsid w:val="000F6B21"/>
    <w:rsid w:val="00100843"/>
    <w:rsid w:val="00102D6D"/>
    <w:rsid w:val="00102EFB"/>
    <w:rsid w:val="00107CC0"/>
    <w:rsid w:val="001202E3"/>
    <w:rsid w:val="00123699"/>
    <w:rsid w:val="001241FB"/>
    <w:rsid w:val="0013059D"/>
    <w:rsid w:val="0013072C"/>
    <w:rsid w:val="0013246E"/>
    <w:rsid w:val="00136187"/>
    <w:rsid w:val="00136816"/>
    <w:rsid w:val="00141A55"/>
    <w:rsid w:val="0014293F"/>
    <w:rsid w:val="0014397D"/>
    <w:rsid w:val="001446A3"/>
    <w:rsid w:val="00146CD9"/>
    <w:rsid w:val="00152B6B"/>
    <w:rsid w:val="00155395"/>
    <w:rsid w:val="00155A2F"/>
    <w:rsid w:val="00156B6B"/>
    <w:rsid w:val="001577EC"/>
    <w:rsid w:val="00160D74"/>
    <w:rsid w:val="001646EA"/>
    <w:rsid w:val="00167D02"/>
    <w:rsid w:val="001759D8"/>
    <w:rsid w:val="00176D74"/>
    <w:rsid w:val="00177D7F"/>
    <w:rsid w:val="00180C3F"/>
    <w:rsid w:val="00181EC8"/>
    <w:rsid w:val="00184349"/>
    <w:rsid w:val="00184612"/>
    <w:rsid w:val="001861FF"/>
    <w:rsid w:val="001867BA"/>
    <w:rsid w:val="00190A70"/>
    <w:rsid w:val="00195F33"/>
    <w:rsid w:val="00197FB6"/>
    <w:rsid w:val="001A47E5"/>
    <w:rsid w:val="001B1617"/>
    <w:rsid w:val="001B45B0"/>
    <w:rsid w:val="001B504B"/>
    <w:rsid w:val="001B6F98"/>
    <w:rsid w:val="001C191A"/>
    <w:rsid w:val="001D2082"/>
    <w:rsid w:val="001D333A"/>
    <w:rsid w:val="001D3874"/>
    <w:rsid w:val="001D47B1"/>
    <w:rsid w:val="001D7E75"/>
    <w:rsid w:val="001E0D73"/>
    <w:rsid w:val="001E40BF"/>
    <w:rsid w:val="001E45BD"/>
    <w:rsid w:val="001E56D2"/>
    <w:rsid w:val="001E6F70"/>
    <w:rsid w:val="001E7D56"/>
    <w:rsid w:val="001F0625"/>
    <w:rsid w:val="001F5186"/>
    <w:rsid w:val="001F6F74"/>
    <w:rsid w:val="001F75DE"/>
    <w:rsid w:val="00200D58"/>
    <w:rsid w:val="002011C1"/>
    <w:rsid w:val="002013BE"/>
    <w:rsid w:val="00201EDC"/>
    <w:rsid w:val="00204E6B"/>
    <w:rsid w:val="002063A4"/>
    <w:rsid w:val="00207B14"/>
    <w:rsid w:val="0021145B"/>
    <w:rsid w:val="0021267A"/>
    <w:rsid w:val="00215127"/>
    <w:rsid w:val="002162B3"/>
    <w:rsid w:val="0021702C"/>
    <w:rsid w:val="00220C23"/>
    <w:rsid w:val="00224608"/>
    <w:rsid w:val="002247F6"/>
    <w:rsid w:val="0022584B"/>
    <w:rsid w:val="00225E21"/>
    <w:rsid w:val="00225E44"/>
    <w:rsid w:val="00234E78"/>
    <w:rsid w:val="00243D36"/>
    <w:rsid w:val="00246151"/>
    <w:rsid w:val="00247707"/>
    <w:rsid w:val="00252456"/>
    <w:rsid w:val="0026018E"/>
    <w:rsid w:val="002655B1"/>
    <w:rsid w:val="00271321"/>
    <w:rsid w:val="00274F0E"/>
    <w:rsid w:val="002816A3"/>
    <w:rsid w:val="00286740"/>
    <w:rsid w:val="00291EAE"/>
    <w:rsid w:val="002929D8"/>
    <w:rsid w:val="00296787"/>
    <w:rsid w:val="002A237D"/>
    <w:rsid w:val="002A47EE"/>
    <w:rsid w:val="002A4C53"/>
    <w:rsid w:val="002B0672"/>
    <w:rsid w:val="002B247F"/>
    <w:rsid w:val="002B25BD"/>
    <w:rsid w:val="002B50D4"/>
    <w:rsid w:val="002B58BF"/>
    <w:rsid w:val="002C145D"/>
    <w:rsid w:val="002C2C3E"/>
    <w:rsid w:val="002C533E"/>
    <w:rsid w:val="002C7856"/>
    <w:rsid w:val="002D027F"/>
    <w:rsid w:val="002D10C6"/>
    <w:rsid w:val="002D33E8"/>
    <w:rsid w:val="002D3E15"/>
    <w:rsid w:val="002D7A85"/>
    <w:rsid w:val="002D7B60"/>
    <w:rsid w:val="002D7BD8"/>
    <w:rsid w:val="002E00EF"/>
    <w:rsid w:val="002E2861"/>
    <w:rsid w:val="002F4761"/>
    <w:rsid w:val="002F5C79"/>
    <w:rsid w:val="002F68EE"/>
    <w:rsid w:val="003019E2"/>
    <w:rsid w:val="00303AD5"/>
    <w:rsid w:val="00310BEB"/>
    <w:rsid w:val="0031413F"/>
    <w:rsid w:val="00314854"/>
    <w:rsid w:val="003148BB"/>
    <w:rsid w:val="00317976"/>
    <w:rsid w:val="00320F2F"/>
    <w:rsid w:val="0032457E"/>
    <w:rsid w:val="00325D38"/>
    <w:rsid w:val="00332550"/>
    <w:rsid w:val="0034087A"/>
    <w:rsid w:val="0035277E"/>
    <w:rsid w:val="00352EF8"/>
    <w:rsid w:val="00353F18"/>
    <w:rsid w:val="00355EA9"/>
    <w:rsid w:val="003578DE"/>
    <w:rsid w:val="00361688"/>
    <w:rsid w:val="00361B6B"/>
    <w:rsid w:val="00361C3B"/>
    <w:rsid w:val="00363E4E"/>
    <w:rsid w:val="003640BC"/>
    <w:rsid w:val="00366C54"/>
    <w:rsid w:val="00372EC0"/>
    <w:rsid w:val="00380921"/>
    <w:rsid w:val="003877D5"/>
    <w:rsid w:val="0039244B"/>
    <w:rsid w:val="003929B8"/>
    <w:rsid w:val="00393432"/>
    <w:rsid w:val="00396257"/>
    <w:rsid w:val="003965D0"/>
    <w:rsid w:val="00397EB8"/>
    <w:rsid w:val="003A11B3"/>
    <w:rsid w:val="003A19E3"/>
    <w:rsid w:val="003A4FD0"/>
    <w:rsid w:val="003A69D1"/>
    <w:rsid w:val="003A7705"/>
    <w:rsid w:val="003A77F1"/>
    <w:rsid w:val="003B1545"/>
    <w:rsid w:val="003C3219"/>
    <w:rsid w:val="003C409D"/>
    <w:rsid w:val="003C4544"/>
    <w:rsid w:val="003C5583"/>
    <w:rsid w:val="003C5BA6"/>
    <w:rsid w:val="003C74CF"/>
    <w:rsid w:val="003D06EE"/>
    <w:rsid w:val="003D3752"/>
    <w:rsid w:val="003E2E57"/>
    <w:rsid w:val="003E35DA"/>
    <w:rsid w:val="003E455D"/>
    <w:rsid w:val="003F0E85"/>
    <w:rsid w:val="003F1CB8"/>
    <w:rsid w:val="004029DD"/>
    <w:rsid w:val="00410918"/>
    <w:rsid w:val="00410C55"/>
    <w:rsid w:val="00411223"/>
    <w:rsid w:val="00416854"/>
    <w:rsid w:val="00417725"/>
    <w:rsid w:val="0042266F"/>
    <w:rsid w:val="004250FA"/>
    <w:rsid w:val="00434321"/>
    <w:rsid w:val="004349B9"/>
    <w:rsid w:val="00437F26"/>
    <w:rsid w:val="00441018"/>
    <w:rsid w:val="00444097"/>
    <w:rsid w:val="00445487"/>
    <w:rsid w:val="00445FAE"/>
    <w:rsid w:val="00447E0D"/>
    <w:rsid w:val="00453EA8"/>
    <w:rsid w:val="00454769"/>
    <w:rsid w:val="00455209"/>
    <w:rsid w:val="00466991"/>
    <w:rsid w:val="0047064C"/>
    <w:rsid w:val="0047643C"/>
    <w:rsid w:val="004822B7"/>
    <w:rsid w:val="0048787B"/>
    <w:rsid w:val="004929D9"/>
    <w:rsid w:val="00493FDE"/>
    <w:rsid w:val="0049469E"/>
    <w:rsid w:val="00495A11"/>
    <w:rsid w:val="004A2217"/>
    <w:rsid w:val="004A24F9"/>
    <w:rsid w:val="004A42E1"/>
    <w:rsid w:val="004A7A97"/>
    <w:rsid w:val="004B0E3E"/>
    <w:rsid w:val="004B162C"/>
    <w:rsid w:val="004B2ABE"/>
    <w:rsid w:val="004B723A"/>
    <w:rsid w:val="004C10C8"/>
    <w:rsid w:val="004C3DBE"/>
    <w:rsid w:val="004C5C96"/>
    <w:rsid w:val="004D06A4"/>
    <w:rsid w:val="004D289E"/>
    <w:rsid w:val="004E377C"/>
    <w:rsid w:val="004E574D"/>
    <w:rsid w:val="004F1A81"/>
    <w:rsid w:val="004F5D88"/>
    <w:rsid w:val="0050084A"/>
    <w:rsid w:val="00501354"/>
    <w:rsid w:val="005050D2"/>
    <w:rsid w:val="0050571B"/>
    <w:rsid w:val="00512CF2"/>
    <w:rsid w:val="005146C2"/>
    <w:rsid w:val="00515E7F"/>
    <w:rsid w:val="00516C35"/>
    <w:rsid w:val="005218D9"/>
    <w:rsid w:val="005228DC"/>
    <w:rsid w:val="00524453"/>
    <w:rsid w:val="00525448"/>
    <w:rsid w:val="005266D5"/>
    <w:rsid w:val="00536186"/>
    <w:rsid w:val="00536462"/>
    <w:rsid w:val="00544CBB"/>
    <w:rsid w:val="00551915"/>
    <w:rsid w:val="00551B65"/>
    <w:rsid w:val="00552A05"/>
    <w:rsid w:val="00553BED"/>
    <w:rsid w:val="00556704"/>
    <w:rsid w:val="005656D7"/>
    <w:rsid w:val="0057315F"/>
    <w:rsid w:val="005744F6"/>
    <w:rsid w:val="00574578"/>
    <w:rsid w:val="00576104"/>
    <w:rsid w:val="005840CD"/>
    <w:rsid w:val="00584F08"/>
    <w:rsid w:val="00586418"/>
    <w:rsid w:val="00590614"/>
    <w:rsid w:val="0059140A"/>
    <w:rsid w:val="00592B21"/>
    <w:rsid w:val="0059761D"/>
    <w:rsid w:val="005A214D"/>
    <w:rsid w:val="005A36D9"/>
    <w:rsid w:val="005A6DCA"/>
    <w:rsid w:val="005B2DF4"/>
    <w:rsid w:val="005B44BF"/>
    <w:rsid w:val="005C28CE"/>
    <w:rsid w:val="005C4911"/>
    <w:rsid w:val="005C67C8"/>
    <w:rsid w:val="005D0249"/>
    <w:rsid w:val="005D18FA"/>
    <w:rsid w:val="005D4FD4"/>
    <w:rsid w:val="005D6E8C"/>
    <w:rsid w:val="005E1625"/>
    <w:rsid w:val="005E252F"/>
    <w:rsid w:val="005E3004"/>
    <w:rsid w:val="005E4780"/>
    <w:rsid w:val="005F100C"/>
    <w:rsid w:val="005F68DA"/>
    <w:rsid w:val="005F7419"/>
    <w:rsid w:val="006018AE"/>
    <w:rsid w:val="00601BC9"/>
    <w:rsid w:val="0060610D"/>
    <w:rsid w:val="0060773B"/>
    <w:rsid w:val="0061252E"/>
    <w:rsid w:val="00613507"/>
    <w:rsid w:val="00613FD6"/>
    <w:rsid w:val="006157B5"/>
    <w:rsid w:val="00617224"/>
    <w:rsid w:val="00626FC6"/>
    <w:rsid w:val="00627CBC"/>
    <w:rsid w:val="006303B4"/>
    <w:rsid w:val="006304C5"/>
    <w:rsid w:val="00630ADC"/>
    <w:rsid w:val="00630C64"/>
    <w:rsid w:val="00633D3D"/>
    <w:rsid w:val="006358EB"/>
    <w:rsid w:val="00637133"/>
    <w:rsid w:val="00641703"/>
    <w:rsid w:val="006431A6"/>
    <w:rsid w:val="00643372"/>
    <w:rsid w:val="00643E3A"/>
    <w:rsid w:val="006459F6"/>
    <w:rsid w:val="006501AD"/>
    <w:rsid w:val="00651BFA"/>
    <w:rsid w:val="00653D2C"/>
    <w:rsid w:val="00654475"/>
    <w:rsid w:val="00656DF0"/>
    <w:rsid w:val="00665A4B"/>
    <w:rsid w:val="00670FAE"/>
    <w:rsid w:val="00692C30"/>
    <w:rsid w:val="00692E09"/>
    <w:rsid w:val="00692E2A"/>
    <w:rsid w:val="006937BE"/>
    <w:rsid w:val="0069496A"/>
    <w:rsid w:val="00696087"/>
    <w:rsid w:val="00696C1C"/>
    <w:rsid w:val="006A76F2"/>
    <w:rsid w:val="006B66E5"/>
    <w:rsid w:val="006B7D29"/>
    <w:rsid w:val="006C1555"/>
    <w:rsid w:val="006C3670"/>
    <w:rsid w:val="006C3F5D"/>
    <w:rsid w:val="006C55BA"/>
    <w:rsid w:val="006C7106"/>
    <w:rsid w:val="006D128A"/>
    <w:rsid w:val="006D19D4"/>
    <w:rsid w:val="006D41BA"/>
    <w:rsid w:val="006D5644"/>
    <w:rsid w:val="006D5F44"/>
    <w:rsid w:val="006D7EFB"/>
    <w:rsid w:val="006E0455"/>
    <w:rsid w:val="006E6672"/>
    <w:rsid w:val="006E6722"/>
    <w:rsid w:val="006E7C37"/>
    <w:rsid w:val="006F46BD"/>
    <w:rsid w:val="006F4DE1"/>
    <w:rsid w:val="006F65FF"/>
    <w:rsid w:val="006F718B"/>
    <w:rsid w:val="006F7AFF"/>
    <w:rsid w:val="007027B9"/>
    <w:rsid w:val="007066B5"/>
    <w:rsid w:val="00707B18"/>
    <w:rsid w:val="007145DA"/>
    <w:rsid w:val="00715E88"/>
    <w:rsid w:val="00716D8B"/>
    <w:rsid w:val="007313EB"/>
    <w:rsid w:val="00731576"/>
    <w:rsid w:val="00734CAA"/>
    <w:rsid w:val="00740ADB"/>
    <w:rsid w:val="00740EA2"/>
    <w:rsid w:val="00740EE2"/>
    <w:rsid w:val="00742680"/>
    <w:rsid w:val="00753DE7"/>
    <w:rsid w:val="0075533C"/>
    <w:rsid w:val="00755A18"/>
    <w:rsid w:val="00757581"/>
    <w:rsid w:val="007602F5"/>
    <w:rsid w:val="00760D36"/>
    <w:rsid w:val="007611A0"/>
    <w:rsid w:val="00765562"/>
    <w:rsid w:val="00772574"/>
    <w:rsid w:val="00772F55"/>
    <w:rsid w:val="00773E54"/>
    <w:rsid w:val="0077642E"/>
    <w:rsid w:val="007827CC"/>
    <w:rsid w:val="00784A03"/>
    <w:rsid w:val="00787688"/>
    <w:rsid w:val="007935E6"/>
    <w:rsid w:val="00796D3F"/>
    <w:rsid w:val="007A0B56"/>
    <w:rsid w:val="007A1683"/>
    <w:rsid w:val="007A5C12"/>
    <w:rsid w:val="007A7CB0"/>
    <w:rsid w:val="007B381B"/>
    <w:rsid w:val="007B68A3"/>
    <w:rsid w:val="007C2541"/>
    <w:rsid w:val="007C6842"/>
    <w:rsid w:val="007C75F5"/>
    <w:rsid w:val="007D66A8"/>
    <w:rsid w:val="007E003F"/>
    <w:rsid w:val="007E2691"/>
    <w:rsid w:val="007E65A8"/>
    <w:rsid w:val="007F0CF8"/>
    <w:rsid w:val="007F41C2"/>
    <w:rsid w:val="007F5E1B"/>
    <w:rsid w:val="007F5E7D"/>
    <w:rsid w:val="007F62CB"/>
    <w:rsid w:val="007F74EA"/>
    <w:rsid w:val="00802064"/>
    <w:rsid w:val="00807CF2"/>
    <w:rsid w:val="008142EC"/>
    <w:rsid w:val="008164F2"/>
    <w:rsid w:val="00821395"/>
    <w:rsid w:val="00830E26"/>
    <w:rsid w:val="00832C7B"/>
    <w:rsid w:val="00834368"/>
    <w:rsid w:val="0083441A"/>
    <w:rsid w:val="00841554"/>
    <w:rsid w:val="00843576"/>
    <w:rsid w:val="00843B64"/>
    <w:rsid w:val="00845261"/>
    <w:rsid w:val="008478FC"/>
    <w:rsid w:val="00851AFA"/>
    <w:rsid w:val="00851C51"/>
    <w:rsid w:val="008538F7"/>
    <w:rsid w:val="00866CA7"/>
    <w:rsid w:val="00867BFF"/>
    <w:rsid w:val="00870345"/>
    <w:rsid w:val="00871542"/>
    <w:rsid w:val="00872BF6"/>
    <w:rsid w:val="0088480A"/>
    <w:rsid w:val="00886660"/>
    <w:rsid w:val="0088757A"/>
    <w:rsid w:val="00891A8C"/>
    <w:rsid w:val="0089431B"/>
    <w:rsid w:val="00895668"/>
    <w:rsid w:val="008957DD"/>
    <w:rsid w:val="00897D98"/>
    <w:rsid w:val="008A4FE9"/>
    <w:rsid w:val="008A59AD"/>
    <w:rsid w:val="008A6DF2"/>
    <w:rsid w:val="008A7807"/>
    <w:rsid w:val="008B4CC9"/>
    <w:rsid w:val="008C084E"/>
    <w:rsid w:val="008C0B15"/>
    <w:rsid w:val="008C118A"/>
    <w:rsid w:val="008C3940"/>
    <w:rsid w:val="008C4869"/>
    <w:rsid w:val="008C719D"/>
    <w:rsid w:val="008C74CA"/>
    <w:rsid w:val="008D36F4"/>
    <w:rsid w:val="008D48C2"/>
    <w:rsid w:val="008D5CB8"/>
    <w:rsid w:val="008D75E4"/>
    <w:rsid w:val="008D7C99"/>
    <w:rsid w:val="008D7E00"/>
    <w:rsid w:val="008E0FCB"/>
    <w:rsid w:val="008E3B94"/>
    <w:rsid w:val="008F2CD9"/>
    <w:rsid w:val="008F4B16"/>
    <w:rsid w:val="008F6567"/>
    <w:rsid w:val="008F6DFE"/>
    <w:rsid w:val="0090529F"/>
    <w:rsid w:val="00907E2F"/>
    <w:rsid w:val="00912C2C"/>
    <w:rsid w:val="00915D85"/>
    <w:rsid w:val="009176E4"/>
    <w:rsid w:val="0092178C"/>
    <w:rsid w:val="00930B88"/>
    <w:rsid w:val="009319C5"/>
    <w:rsid w:val="00935376"/>
    <w:rsid w:val="00940DCC"/>
    <w:rsid w:val="0094179A"/>
    <w:rsid w:val="0094459E"/>
    <w:rsid w:val="00944DBC"/>
    <w:rsid w:val="00944E96"/>
    <w:rsid w:val="00950221"/>
    <w:rsid w:val="0095055B"/>
    <w:rsid w:val="00950977"/>
    <w:rsid w:val="00951A7B"/>
    <w:rsid w:val="00955512"/>
    <w:rsid w:val="009564A6"/>
    <w:rsid w:val="00957EF8"/>
    <w:rsid w:val="00960324"/>
    <w:rsid w:val="00962F29"/>
    <w:rsid w:val="00966A53"/>
    <w:rsid w:val="00967621"/>
    <w:rsid w:val="00967E6A"/>
    <w:rsid w:val="0097109D"/>
    <w:rsid w:val="00974F45"/>
    <w:rsid w:val="009813AA"/>
    <w:rsid w:val="00985027"/>
    <w:rsid w:val="009907B9"/>
    <w:rsid w:val="00990918"/>
    <w:rsid w:val="009A399C"/>
    <w:rsid w:val="009A3A83"/>
    <w:rsid w:val="009A3EAF"/>
    <w:rsid w:val="009B4A0F"/>
    <w:rsid w:val="009B4AD7"/>
    <w:rsid w:val="009C11D2"/>
    <w:rsid w:val="009C6595"/>
    <w:rsid w:val="009C6C70"/>
    <w:rsid w:val="009C7B0A"/>
    <w:rsid w:val="009D0B63"/>
    <w:rsid w:val="009D3E74"/>
    <w:rsid w:val="009D5CB8"/>
    <w:rsid w:val="009D5EC9"/>
    <w:rsid w:val="009E307E"/>
    <w:rsid w:val="009E40F6"/>
    <w:rsid w:val="009E7DE9"/>
    <w:rsid w:val="00A07870"/>
    <w:rsid w:val="00A07C54"/>
    <w:rsid w:val="00A07F19"/>
    <w:rsid w:val="00A109BC"/>
    <w:rsid w:val="00A10ABB"/>
    <w:rsid w:val="00A1348D"/>
    <w:rsid w:val="00A13C99"/>
    <w:rsid w:val="00A1743C"/>
    <w:rsid w:val="00A219F7"/>
    <w:rsid w:val="00A232EE"/>
    <w:rsid w:val="00A279A1"/>
    <w:rsid w:val="00A4175F"/>
    <w:rsid w:val="00A44411"/>
    <w:rsid w:val="00A45215"/>
    <w:rsid w:val="00A46724"/>
    <w:rsid w:val="00A469FA"/>
    <w:rsid w:val="00A50C65"/>
    <w:rsid w:val="00A51A7B"/>
    <w:rsid w:val="00A52EA9"/>
    <w:rsid w:val="00A53662"/>
    <w:rsid w:val="00A55B01"/>
    <w:rsid w:val="00A56B5B"/>
    <w:rsid w:val="00A603FF"/>
    <w:rsid w:val="00A60DC8"/>
    <w:rsid w:val="00A619B6"/>
    <w:rsid w:val="00A648CA"/>
    <w:rsid w:val="00A657DD"/>
    <w:rsid w:val="00A666A6"/>
    <w:rsid w:val="00A675FD"/>
    <w:rsid w:val="00A72437"/>
    <w:rsid w:val="00A7603F"/>
    <w:rsid w:val="00A8048B"/>
    <w:rsid w:val="00A8054D"/>
    <w:rsid w:val="00A80611"/>
    <w:rsid w:val="00A8341E"/>
    <w:rsid w:val="00A84118"/>
    <w:rsid w:val="00A845B6"/>
    <w:rsid w:val="00A856ED"/>
    <w:rsid w:val="00A91D90"/>
    <w:rsid w:val="00A943F3"/>
    <w:rsid w:val="00AA23EF"/>
    <w:rsid w:val="00AA5BF4"/>
    <w:rsid w:val="00AA5E8C"/>
    <w:rsid w:val="00AA6407"/>
    <w:rsid w:val="00AB4F18"/>
    <w:rsid w:val="00AB5340"/>
    <w:rsid w:val="00AC0A89"/>
    <w:rsid w:val="00AC275B"/>
    <w:rsid w:val="00AC7C96"/>
    <w:rsid w:val="00AD282B"/>
    <w:rsid w:val="00AD3593"/>
    <w:rsid w:val="00AD3A44"/>
    <w:rsid w:val="00AE0812"/>
    <w:rsid w:val="00AE237D"/>
    <w:rsid w:val="00AE502A"/>
    <w:rsid w:val="00AF0010"/>
    <w:rsid w:val="00AF1AA8"/>
    <w:rsid w:val="00AF2C1F"/>
    <w:rsid w:val="00AF3722"/>
    <w:rsid w:val="00AF7C07"/>
    <w:rsid w:val="00B06C64"/>
    <w:rsid w:val="00B076F2"/>
    <w:rsid w:val="00B07D8E"/>
    <w:rsid w:val="00B11CAC"/>
    <w:rsid w:val="00B15A29"/>
    <w:rsid w:val="00B22C93"/>
    <w:rsid w:val="00B24F2A"/>
    <w:rsid w:val="00B259B2"/>
    <w:rsid w:val="00B27589"/>
    <w:rsid w:val="00B405B7"/>
    <w:rsid w:val="00B468C0"/>
    <w:rsid w:val="00B52222"/>
    <w:rsid w:val="00B531DA"/>
    <w:rsid w:val="00B54895"/>
    <w:rsid w:val="00B54FE7"/>
    <w:rsid w:val="00B56125"/>
    <w:rsid w:val="00B647C6"/>
    <w:rsid w:val="00B655F9"/>
    <w:rsid w:val="00B66901"/>
    <w:rsid w:val="00B66F60"/>
    <w:rsid w:val="00B6796F"/>
    <w:rsid w:val="00B71E6D"/>
    <w:rsid w:val="00B72070"/>
    <w:rsid w:val="00B73405"/>
    <w:rsid w:val="00B779E1"/>
    <w:rsid w:val="00B81E3A"/>
    <w:rsid w:val="00B84F2C"/>
    <w:rsid w:val="00B85CFB"/>
    <w:rsid w:val="00B914E9"/>
    <w:rsid w:val="00B91DCA"/>
    <w:rsid w:val="00B91EE1"/>
    <w:rsid w:val="00B94602"/>
    <w:rsid w:val="00B94787"/>
    <w:rsid w:val="00BA0090"/>
    <w:rsid w:val="00BA1A67"/>
    <w:rsid w:val="00BA6A80"/>
    <w:rsid w:val="00BB4998"/>
    <w:rsid w:val="00BB4ABB"/>
    <w:rsid w:val="00BC62BA"/>
    <w:rsid w:val="00BC6FA9"/>
    <w:rsid w:val="00BD5573"/>
    <w:rsid w:val="00BD6959"/>
    <w:rsid w:val="00BD7544"/>
    <w:rsid w:val="00BE2E9A"/>
    <w:rsid w:val="00BE2F41"/>
    <w:rsid w:val="00BE5B5F"/>
    <w:rsid w:val="00BE7993"/>
    <w:rsid w:val="00BF2760"/>
    <w:rsid w:val="00C0032B"/>
    <w:rsid w:val="00C055B1"/>
    <w:rsid w:val="00C11971"/>
    <w:rsid w:val="00C179DE"/>
    <w:rsid w:val="00C2189F"/>
    <w:rsid w:val="00C26F55"/>
    <w:rsid w:val="00C27140"/>
    <w:rsid w:val="00C30C63"/>
    <w:rsid w:val="00C30FF3"/>
    <w:rsid w:val="00C34D5C"/>
    <w:rsid w:val="00C36B8B"/>
    <w:rsid w:val="00C415C1"/>
    <w:rsid w:val="00C42078"/>
    <w:rsid w:val="00C47DBF"/>
    <w:rsid w:val="00C54468"/>
    <w:rsid w:val="00C552FF"/>
    <w:rsid w:val="00C558DA"/>
    <w:rsid w:val="00C55AF3"/>
    <w:rsid w:val="00C745B8"/>
    <w:rsid w:val="00C771A9"/>
    <w:rsid w:val="00C77439"/>
    <w:rsid w:val="00C81DCB"/>
    <w:rsid w:val="00C82943"/>
    <w:rsid w:val="00C84329"/>
    <w:rsid w:val="00C84759"/>
    <w:rsid w:val="00C86F5A"/>
    <w:rsid w:val="00C9066E"/>
    <w:rsid w:val="00C9267D"/>
    <w:rsid w:val="00C93096"/>
    <w:rsid w:val="00C93C9E"/>
    <w:rsid w:val="00C96761"/>
    <w:rsid w:val="00CA5CA9"/>
    <w:rsid w:val="00CA6C7F"/>
    <w:rsid w:val="00CB007D"/>
    <w:rsid w:val="00CB119E"/>
    <w:rsid w:val="00CB1A4C"/>
    <w:rsid w:val="00CB30C3"/>
    <w:rsid w:val="00CB60CA"/>
    <w:rsid w:val="00CC0FC7"/>
    <w:rsid w:val="00CC10A6"/>
    <w:rsid w:val="00CC278D"/>
    <w:rsid w:val="00CC41D8"/>
    <w:rsid w:val="00CC771B"/>
    <w:rsid w:val="00CD5EB8"/>
    <w:rsid w:val="00CD7044"/>
    <w:rsid w:val="00CE08B9"/>
    <w:rsid w:val="00CE1BED"/>
    <w:rsid w:val="00CE3515"/>
    <w:rsid w:val="00CE4E08"/>
    <w:rsid w:val="00CE524C"/>
    <w:rsid w:val="00CF0949"/>
    <w:rsid w:val="00CF141F"/>
    <w:rsid w:val="00CF1C83"/>
    <w:rsid w:val="00CF4777"/>
    <w:rsid w:val="00CF65C8"/>
    <w:rsid w:val="00D013F5"/>
    <w:rsid w:val="00D05E3F"/>
    <w:rsid w:val="00D067BB"/>
    <w:rsid w:val="00D113E2"/>
    <w:rsid w:val="00D1352A"/>
    <w:rsid w:val="00D1638E"/>
    <w:rsid w:val="00D169AF"/>
    <w:rsid w:val="00D200EF"/>
    <w:rsid w:val="00D25175"/>
    <w:rsid w:val="00D25249"/>
    <w:rsid w:val="00D26854"/>
    <w:rsid w:val="00D319AD"/>
    <w:rsid w:val="00D324EE"/>
    <w:rsid w:val="00D37CDE"/>
    <w:rsid w:val="00D44172"/>
    <w:rsid w:val="00D47BE3"/>
    <w:rsid w:val="00D63B8C"/>
    <w:rsid w:val="00D739CC"/>
    <w:rsid w:val="00D76205"/>
    <w:rsid w:val="00D77FE8"/>
    <w:rsid w:val="00D806F9"/>
    <w:rsid w:val="00D8093D"/>
    <w:rsid w:val="00D8108C"/>
    <w:rsid w:val="00D842AE"/>
    <w:rsid w:val="00D86FCB"/>
    <w:rsid w:val="00D9211C"/>
    <w:rsid w:val="00D92DE0"/>
    <w:rsid w:val="00D92FEF"/>
    <w:rsid w:val="00D931F9"/>
    <w:rsid w:val="00D93A0F"/>
    <w:rsid w:val="00D9494F"/>
    <w:rsid w:val="00D954FE"/>
    <w:rsid w:val="00D97505"/>
    <w:rsid w:val="00DA1BCA"/>
    <w:rsid w:val="00DA3663"/>
    <w:rsid w:val="00DA37B4"/>
    <w:rsid w:val="00DB24F4"/>
    <w:rsid w:val="00DB295A"/>
    <w:rsid w:val="00DB56BA"/>
    <w:rsid w:val="00DC274A"/>
    <w:rsid w:val="00DC46FF"/>
    <w:rsid w:val="00DC5254"/>
    <w:rsid w:val="00DC569D"/>
    <w:rsid w:val="00DC61F4"/>
    <w:rsid w:val="00DD1A4F"/>
    <w:rsid w:val="00DD1CF9"/>
    <w:rsid w:val="00DD3107"/>
    <w:rsid w:val="00DD4C70"/>
    <w:rsid w:val="00DD68AD"/>
    <w:rsid w:val="00DD7C2C"/>
    <w:rsid w:val="00DE0ECD"/>
    <w:rsid w:val="00DE2939"/>
    <w:rsid w:val="00DE56CA"/>
    <w:rsid w:val="00DE5BDA"/>
    <w:rsid w:val="00DE5C2A"/>
    <w:rsid w:val="00DF38F6"/>
    <w:rsid w:val="00DF433C"/>
    <w:rsid w:val="00DF519F"/>
    <w:rsid w:val="00E0035A"/>
    <w:rsid w:val="00E06797"/>
    <w:rsid w:val="00E1265B"/>
    <w:rsid w:val="00E12E09"/>
    <w:rsid w:val="00E13113"/>
    <w:rsid w:val="00E132C1"/>
    <w:rsid w:val="00E13B48"/>
    <w:rsid w:val="00E1404F"/>
    <w:rsid w:val="00E21C83"/>
    <w:rsid w:val="00E243AB"/>
    <w:rsid w:val="00E24ADA"/>
    <w:rsid w:val="00E32F59"/>
    <w:rsid w:val="00E406DE"/>
    <w:rsid w:val="00E4126D"/>
    <w:rsid w:val="00E41908"/>
    <w:rsid w:val="00E41E77"/>
    <w:rsid w:val="00E46D9A"/>
    <w:rsid w:val="00E53DB9"/>
    <w:rsid w:val="00E565FF"/>
    <w:rsid w:val="00E5693F"/>
    <w:rsid w:val="00E56D12"/>
    <w:rsid w:val="00E65388"/>
    <w:rsid w:val="00E70089"/>
    <w:rsid w:val="00E7741D"/>
    <w:rsid w:val="00E808CD"/>
    <w:rsid w:val="00E8302A"/>
    <w:rsid w:val="00E8348F"/>
    <w:rsid w:val="00E83DA0"/>
    <w:rsid w:val="00E85B7D"/>
    <w:rsid w:val="00E9121B"/>
    <w:rsid w:val="00E9302E"/>
    <w:rsid w:val="00E976AB"/>
    <w:rsid w:val="00EA0AE2"/>
    <w:rsid w:val="00EA39E5"/>
    <w:rsid w:val="00EA549D"/>
    <w:rsid w:val="00EA57A3"/>
    <w:rsid w:val="00EB4597"/>
    <w:rsid w:val="00EC2813"/>
    <w:rsid w:val="00EC5A46"/>
    <w:rsid w:val="00EC63E2"/>
    <w:rsid w:val="00EC693E"/>
    <w:rsid w:val="00ED0225"/>
    <w:rsid w:val="00ED325C"/>
    <w:rsid w:val="00ED366A"/>
    <w:rsid w:val="00ED6BB7"/>
    <w:rsid w:val="00EE0FBF"/>
    <w:rsid w:val="00EE2807"/>
    <w:rsid w:val="00EE3A9B"/>
    <w:rsid w:val="00EE6A46"/>
    <w:rsid w:val="00EF22B3"/>
    <w:rsid w:val="00EF4140"/>
    <w:rsid w:val="00EF6BD0"/>
    <w:rsid w:val="00F03B69"/>
    <w:rsid w:val="00F07A50"/>
    <w:rsid w:val="00F103CF"/>
    <w:rsid w:val="00F113DA"/>
    <w:rsid w:val="00F24167"/>
    <w:rsid w:val="00F266FC"/>
    <w:rsid w:val="00F3037A"/>
    <w:rsid w:val="00F33009"/>
    <w:rsid w:val="00F3465A"/>
    <w:rsid w:val="00F35F13"/>
    <w:rsid w:val="00F37DC8"/>
    <w:rsid w:val="00F42179"/>
    <w:rsid w:val="00F439B3"/>
    <w:rsid w:val="00F5283D"/>
    <w:rsid w:val="00F6061C"/>
    <w:rsid w:val="00F61AB4"/>
    <w:rsid w:val="00F623C9"/>
    <w:rsid w:val="00F650C3"/>
    <w:rsid w:val="00F65D85"/>
    <w:rsid w:val="00F6700B"/>
    <w:rsid w:val="00F6760B"/>
    <w:rsid w:val="00F707A6"/>
    <w:rsid w:val="00F7137B"/>
    <w:rsid w:val="00F73346"/>
    <w:rsid w:val="00F7454E"/>
    <w:rsid w:val="00F8091E"/>
    <w:rsid w:val="00F8431A"/>
    <w:rsid w:val="00F84AFE"/>
    <w:rsid w:val="00F8615C"/>
    <w:rsid w:val="00F87AB0"/>
    <w:rsid w:val="00F93C0E"/>
    <w:rsid w:val="00F969E5"/>
    <w:rsid w:val="00FA4972"/>
    <w:rsid w:val="00FA6BB0"/>
    <w:rsid w:val="00FB2DBD"/>
    <w:rsid w:val="00FC65A0"/>
    <w:rsid w:val="00FD48DF"/>
    <w:rsid w:val="00FD5860"/>
    <w:rsid w:val="00FD6376"/>
    <w:rsid w:val="00FD6D4F"/>
    <w:rsid w:val="00FE20B2"/>
    <w:rsid w:val="00FE352D"/>
    <w:rsid w:val="00FE40EB"/>
    <w:rsid w:val="00FE4D02"/>
    <w:rsid w:val="00FE7D62"/>
    <w:rsid w:val="00FF0DA0"/>
    <w:rsid w:val="00FF25E6"/>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C3BB233"/>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A7603F"/>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E8302A"/>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CC278D"/>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0C65B1"/>
    <w:rPr>
      <w:b/>
      <w:sz w:val="28"/>
      <w:szCs w:val="28"/>
      <w:lang w:eastAsia="en-US"/>
    </w:rPr>
  </w:style>
  <w:style w:type="character" w:customStyle="1" w:styleId="CH2Char">
    <w:name w:val="CH2 Char"/>
    <w:link w:val="CH2"/>
    <w:locked/>
    <w:rsid w:val="00A7603F"/>
    <w:rPr>
      <w:b/>
      <w:sz w:val="24"/>
      <w:szCs w:val="24"/>
      <w:lang w:eastAsia="en-US"/>
    </w:rPr>
  </w:style>
  <w:style w:type="character" w:customStyle="1" w:styleId="Normal-poolChar">
    <w:name w:val="Normal-pool Char"/>
    <w:link w:val="Normal-pool"/>
    <w:rsid w:val="000C65B1"/>
    <w:rPr>
      <w:lang w:eastAsia="en-US"/>
    </w:rPr>
  </w:style>
  <w:style w:type="character" w:customStyle="1" w:styleId="NormalnumberChar">
    <w:name w:val="Normal_number Char"/>
    <w:link w:val="Normalnumber"/>
    <w:locked/>
    <w:rsid w:val="00CC278D"/>
    <w:rPr>
      <w:lang w:eastAsia="en-US"/>
    </w:rPr>
  </w:style>
  <w:style w:type="character" w:customStyle="1" w:styleId="FooterChar">
    <w:name w:val="Footer Char"/>
    <w:basedOn w:val="DefaultParagraphFont"/>
    <w:link w:val="Footer"/>
    <w:uiPriority w:val="99"/>
    <w:rsid w:val="000C65B1"/>
    <w:rPr>
      <w:sz w:val="18"/>
      <w:lang w:eastAsia="en-US"/>
    </w:rPr>
  </w:style>
  <w:style w:type="paragraph" w:customStyle="1" w:styleId="main">
    <w:name w:val="main"/>
    <w:rsid w:val="000C65B1"/>
    <w:pPr>
      <w:pBdr>
        <w:top w:val="nil"/>
        <w:left w:val="nil"/>
        <w:bottom w:val="nil"/>
        <w:right w:val="nil"/>
        <w:between w:val="nil"/>
        <w:bar w:val="nil"/>
      </w:pBdr>
      <w:spacing w:after="240"/>
    </w:pPr>
    <w:rPr>
      <w:rFonts w:eastAsiaTheme="minorEastAsia" w:cs="Arial Unicode MS"/>
      <w:b/>
      <w:bCs/>
      <w:color w:val="000000"/>
      <w:sz w:val="24"/>
      <w:szCs w:val="24"/>
      <w:u w:color="000000"/>
      <w:bdr w:val="nil"/>
      <w:lang w:val="en-US"/>
    </w:rPr>
  </w:style>
  <w:style w:type="paragraph" w:styleId="Title">
    <w:name w:val="Title"/>
    <w:basedOn w:val="Normal"/>
    <w:link w:val="TitleChar"/>
    <w:autoRedefine/>
    <w:qFormat/>
    <w:rsid w:val="000C65B1"/>
    <w:pPr>
      <w:tabs>
        <w:tab w:val="clear" w:pos="1247"/>
        <w:tab w:val="clear" w:pos="1814"/>
        <w:tab w:val="clear" w:pos="2381"/>
        <w:tab w:val="clear" w:pos="2948"/>
        <w:tab w:val="clear" w:pos="3515"/>
      </w:tabs>
      <w:spacing w:before="360" w:after="240"/>
      <w:ind w:left="1247" w:right="567"/>
      <w:outlineLvl w:val="0"/>
    </w:pPr>
    <w:rPr>
      <w:rFonts w:eastAsia="Yu Mincho"/>
      <w:b/>
      <w:bCs/>
      <w:kern w:val="28"/>
      <w:sz w:val="28"/>
      <w:szCs w:val="28"/>
      <w:lang w:val="en-US"/>
    </w:rPr>
  </w:style>
  <w:style w:type="character" w:customStyle="1" w:styleId="TitleChar">
    <w:name w:val="Title Char"/>
    <w:basedOn w:val="DefaultParagraphFont"/>
    <w:link w:val="Title"/>
    <w:rsid w:val="000C65B1"/>
    <w:rPr>
      <w:rFonts w:eastAsia="Yu Mincho"/>
      <w:b/>
      <w:bCs/>
      <w:kern w:val="28"/>
      <w:sz w:val="28"/>
      <w:szCs w:val="28"/>
      <w:lang w:val="en-US" w:eastAsia="en-US"/>
    </w:rPr>
  </w:style>
  <w:style w:type="character" w:customStyle="1" w:styleId="HeaderChar">
    <w:name w:val="Header Char"/>
    <w:link w:val="Header"/>
    <w:semiHidden/>
    <w:rsid w:val="000C65B1"/>
    <w:rPr>
      <w:b/>
      <w:sz w:val="18"/>
      <w:lang w:eastAsia="en-US"/>
    </w:rPr>
  </w:style>
  <w:style w:type="paragraph" w:customStyle="1" w:styleId="ListParagraph2">
    <w:name w:val="List Paragraph2"/>
    <w:basedOn w:val="Normal"/>
    <w:qFormat/>
    <w:rsid w:val="000C65B1"/>
    <w:pPr>
      <w:ind w:left="720"/>
    </w:pPr>
    <w:rPr>
      <w:rFonts w:eastAsia="MS Mincho"/>
      <w:sz w:val="21"/>
      <w:szCs w:val="21"/>
      <w:lang w:eastAsia="ja-JP"/>
    </w:rPr>
  </w:style>
  <w:style w:type="character" w:customStyle="1" w:styleId="ZZAnxtitleChar">
    <w:name w:val="ZZ_Anx_title Char"/>
    <w:link w:val="ZZAnxtitle"/>
    <w:rsid w:val="009E40F6"/>
    <w:rPr>
      <w:b/>
      <w:bCs/>
      <w:sz w:val="28"/>
      <w:szCs w:val="26"/>
      <w:lang w:eastAsia="en-US"/>
    </w:rPr>
  </w:style>
  <w:style w:type="character" w:styleId="FollowedHyperlink">
    <w:name w:val="FollowedHyperlink"/>
    <w:basedOn w:val="DefaultParagraphFont"/>
    <w:semiHidden/>
    <w:unhideWhenUsed/>
    <w:rsid w:val="001E40BF"/>
    <w:rPr>
      <w:color w:val="800080" w:themeColor="followedHyperlink"/>
      <w:u w:val="single"/>
    </w:rPr>
  </w:style>
  <w:style w:type="character" w:customStyle="1" w:styleId="UnresolvedMention1">
    <w:name w:val="Unresolved Mention1"/>
    <w:basedOn w:val="DefaultParagraphFont"/>
    <w:uiPriority w:val="99"/>
    <w:semiHidden/>
    <w:unhideWhenUsed/>
    <w:rsid w:val="001E4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044809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721487">
      <w:bodyDiv w:val="1"/>
      <w:marLeft w:val="0"/>
      <w:marRight w:val="0"/>
      <w:marTop w:val="0"/>
      <w:marBottom w:val="0"/>
      <w:divBdr>
        <w:top w:val="none" w:sz="0" w:space="0" w:color="auto"/>
        <w:left w:val="none" w:sz="0" w:space="0" w:color="auto"/>
        <w:bottom w:val="none" w:sz="0" w:space="0" w:color="auto"/>
        <w:right w:val="none" w:sz="0" w:space="0" w:color="auto"/>
      </w:divBdr>
    </w:div>
    <w:div w:id="180534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mercuryconvention.org/Miseenoeuvre/%C3%89changed%E2%80%99informations/tabid/8082/language/fr-CH/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0A1FE-D4AB-4322-88B2-6DAD9DA3A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2061</Words>
  <Characters>11336</Characters>
  <Application>Microsoft Office Word</Application>
  <DocSecurity>0</DocSecurity>
  <Lines>94</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13371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Esther Nzigiye</cp:lastModifiedBy>
  <cp:revision>2</cp:revision>
  <cp:lastPrinted>2019-09-11T15:14:00Z</cp:lastPrinted>
  <dcterms:created xsi:type="dcterms:W3CDTF">2019-09-17T05:58:00Z</dcterms:created>
  <dcterms:modified xsi:type="dcterms:W3CDTF">2019-09-17T05:58:00Z</dcterms:modified>
</cp:coreProperties>
</file>