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32E4E" w:rsidRPr="00753DE7" w14:paraId="62560B0E" w14:textId="77777777" w:rsidTr="00CB007D">
        <w:trPr>
          <w:cantSplit/>
          <w:trHeight w:val="850"/>
          <w:jc w:val="right"/>
        </w:trPr>
        <w:tc>
          <w:tcPr>
            <w:tcW w:w="1550" w:type="dxa"/>
          </w:tcPr>
          <w:p w14:paraId="47D5A83D" w14:textId="77777777" w:rsidR="00032E4E" w:rsidRPr="00944E96" w:rsidRDefault="00032E4E" w:rsidP="00CC278D">
            <w:pPr>
              <w:pStyle w:val="Normal-pool"/>
              <w:rPr>
                <w:rFonts w:ascii="Arial" w:hAnsi="Arial" w:cs="Arial"/>
                <w:b/>
                <w:noProof/>
                <w:sz w:val="24"/>
                <w:szCs w:val="27"/>
              </w:rPr>
            </w:pPr>
            <w:r w:rsidRPr="00944E96">
              <w:rPr>
                <w:rFonts w:ascii="Arial" w:hAnsi="Arial" w:cs="Arial"/>
                <w:b/>
                <w:noProof/>
                <w:sz w:val="24"/>
                <w:szCs w:val="27"/>
              </w:rPr>
              <w:t>UNITED</w:t>
            </w:r>
            <w:r w:rsidR="003E2E57" w:rsidRPr="00944E96">
              <w:rPr>
                <w:rFonts w:ascii="Arial" w:hAnsi="Arial" w:cs="Arial"/>
                <w:b/>
                <w:noProof/>
                <w:sz w:val="24"/>
                <w:szCs w:val="27"/>
              </w:rPr>
              <w:t xml:space="preserve"> </w:t>
            </w:r>
            <w:r w:rsidRPr="00944E96">
              <w:rPr>
                <w:rFonts w:ascii="Arial" w:hAnsi="Arial" w:cs="Arial"/>
                <w:b/>
                <w:noProof/>
                <w:sz w:val="24"/>
                <w:szCs w:val="27"/>
              </w:rPr>
              <w:br/>
              <w:t>NATIONS</w:t>
            </w:r>
          </w:p>
        </w:tc>
        <w:tc>
          <w:tcPr>
            <w:tcW w:w="4751" w:type="dxa"/>
          </w:tcPr>
          <w:p w14:paraId="6AA3FAE8" w14:textId="77777777" w:rsidR="00032E4E" w:rsidRPr="00753DE7" w:rsidRDefault="00032E4E" w:rsidP="00CC278D">
            <w:pPr>
              <w:pStyle w:val="Normal-pool"/>
              <w:rPr>
                <w:rFonts w:ascii="Univers" w:hAnsi="Univers"/>
              </w:rPr>
            </w:pPr>
          </w:p>
        </w:tc>
        <w:tc>
          <w:tcPr>
            <w:tcW w:w="3411" w:type="dxa"/>
          </w:tcPr>
          <w:p w14:paraId="2FDD92D0" w14:textId="77777777" w:rsidR="00032E4E" w:rsidRPr="00944E96" w:rsidRDefault="00787688" w:rsidP="00CC278D">
            <w:pPr>
              <w:pStyle w:val="Normal-pool"/>
              <w:jc w:val="right"/>
              <w:rPr>
                <w:rFonts w:ascii="Arial" w:hAnsi="Arial" w:cs="Arial"/>
                <w:b/>
                <w:sz w:val="56"/>
                <w:szCs w:val="64"/>
              </w:rPr>
            </w:pPr>
            <w:r w:rsidRPr="00944E96">
              <w:rPr>
                <w:rFonts w:ascii="Arial" w:hAnsi="Arial" w:cs="Arial"/>
                <w:b/>
                <w:sz w:val="56"/>
                <w:szCs w:val="64"/>
              </w:rPr>
              <w:t>MC</w:t>
            </w:r>
          </w:p>
        </w:tc>
      </w:tr>
      <w:tr w:rsidR="00032E4E" w:rsidRPr="00753DE7" w14:paraId="50B88763" w14:textId="77777777" w:rsidTr="00CB007D">
        <w:trPr>
          <w:cantSplit/>
          <w:trHeight w:val="281"/>
          <w:jc w:val="right"/>
        </w:trPr>
        <w:tc>
          <w:tcPr>
            <w:tcW w:w="1550" w:type="dxa"/>
            <w:tcBorders>
              <w:bottom w:val="single" w:sz="4" w:space="0" w:color="auto"/>
            </w:tcBorders>
          </w:tcPr>
          <w:p w14:paraId="19F2FB98" w14:textId="77777777" w:rsidR="00032E4E" w:rsidRPr="00753DE7" w:rsidRDefault="00032E4E" w:rsidP="00CC278D">
            <w:pPr>
              <w:pStyle w:val="Normal-pool"/>
              <w:rPr>
                <w:noProof/>
                <w:sz w:val="18"/>
                <w:szCs w:val="18"/>
              </w:rPr>
            </w:pPr>
          </w:p>
        </w:tc>
        <w:tc>
          <w:tcPr>
            <w:tcW w:w="4751" w:type="dxa"/>
            <w:tcBorders>
              <w:bottom w:val="single" w:sz="4" w:space="0" w:color="auto"/>
            </w:tcBorders>
          </w:tcPr>
          <w:p w14:paraId="19AAB217" w14:textId="77777777" w:rsidR="00032E4E" w:rsidRPr="00753DE7" w:rsidRDefault="00032E4E" w:rsidP="00CC278D">
            <w:pPr>
              <w:pStyle w:val="Normal-pool"/>
              <w:rPr>
                <w:sz w:val="18"/>
                <w:szCs w:val="18"/>
              </w:rPr>
            </w:pPr>
          </w:p>
        </w:tc>
        <w:tc>
          <w:tcPr>
            <w:tcW w:w="3411" w:type="dxa"/>
            <w:tcBorders>
              <w:bottom w:val="single" w:sz="4" w:space="0" w:color="auto"/>
            </w:tcBorders>
          </w:tcPr>
          <w:p w14:paraId="447ED4DA" w14:textId="5736A151" w:rsidR="00032E4E" w:rsidRPr="00753DE7" w:rsidRDefault="00032E4E" w:rsidP="00CC278D">
            <w:pPr>
              <w:pStyle w:val="Normal-pool"/>
              <w:rPr>
                <w:noProof/>
                <w:sz w:val="18"/>
                <w:szCs w:val="18"/>
              </w:rPr>
            </w:pPr>
            <w:r w:rsidRPr="00753DE7">
              <w:rPr>
                <w:b/>
                <w:bCs/>
                <w:sz w:val="28"/>
              </w:rPr>
              <w:t>UNEP</w:t>
            </w:r>
            <w:bookmarkStart w:id="0" w:name="OLE_LINK1"/>
            <w:bookmarkStart w:id="1" w:name="OLE_LINK2"/>
            <w:r w:rsidR="00787688" w:rsidRPr="00753DE7">
              <w:rPr>
                <w:b/>
                <w:bCs/>
                <w:sz w:val="28"/>
              </w:rPr>
              <w:t>/</w:t>
            </w:r>
            <w:r w:rsidR="00787688" w:rsidRPr="00753DE7">
              <w:t>MC</w:t>
            </w:r>
            <w:r w:rsidRPr="00753DE7">
              <w:t>/</w:t>
            </w:r>
            <w:bookmarkEnd w:id="0"/>
            <w:bookmarkEnd w:id="1"/>
            <w:r w:rsidR="00787688" w:rsidRPr="00753DE7">
              <w:t>COP.</w:t>
            </w:r>
            <w:r w:rsidR="00BB4998" w:rsidRPr="00753DE7">
              <w:t>3</w:t>
            </w:r>
            <w:r w:rsidRPr="00753DE7">
              <w:t>/</w:t>
            </w:r>
            <w:r w:rsidR="00BB4998" w:rsidRPr="00753DE7">
              <w:t>4</w:t>
            </w:r>
          </w:p>
        </w:tc>
      </w:tr>
      <w:bookmarkStart w:id="2" w:name="_MON_1021710510"/>
      <w:bookmarkEnd w:id="2"/>
      <w:bookmarkStart w:id="3" w:name="_MON_1021710482"/>
      <w:bookmarkEnd w:id="3"/>
      <w:tr w:rsidR="00032E4E" w:rsidRPr="00753DE7" w14:paraId="5129AE65" w14:textId="77777777" w:rsidTr="000C65B1">
        <w:trPr>
          <w:cantSplit/>
          <w:trHeight w:val="2549"/>
          <w:jc w:val="right"/>
        </w:trPr>
        <w:tc>
          <w:tcPr>
            <w:tcW w:w="1550" w:type="dxa"/>
            <w:tcBorders>
              <w:top w:val="single" w:sz="4" w:space="0" w:color="auto"/>
              <w:bottom w:val="single" w:sz="24" w:space="0" w:color="auto"/>
            </w:tcBorders>
          </w:tcPr>
          <w:p w14:paraId="522EB2C9" w14:textId="77777777" w:rsidR="00032E4E" w:rsidRPr="00753DE7" w:rsidRDefault="00A279A1" w:rsidP="00CC278D">
            <w:pPr>
              <w:pStyle w:val="Normal-pool"/>
              <w:rPr>
                <w:noProof/>
              </w:rPr>
            </w:pPr>
            <w:r w:rsidRPr="001F6F74">
              <w:rPr>
                <w:noProof/>
              </w:rPr>
              <w:object w:dxaOrig="1831" w:dyaOrig="1726" w14:anchorId="7F3D70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35pt;height:56.6pt;mso-width-percent:0;mso-height-percent:0;mso-width-percent:0;mso-height-percent:0" o:ole="" fillcolor="window">
                  <v:imagedata r:id="rId8" o:title=""/>
                </v:shape>
                <o:OLEObject Type="Embed" ProgID="Word.Picture.8" ShapeID="_x0000_i1025" DrawAspect="Content" ObjectID="_1629532214" r:id="rId9"/>
              </w:object>
            </w:r>
            <w:r w:rsidR="00011A16" w:rsidRPr="001F6F74">
              <w:rPr>
                <w:noProof/>
                <w:lang w:eastAsia="en-GB"/>
              </w:rPr>
              <w:drawing>
                <wp:inline distT="0" distB="0" distL="0" distR="0" wp14:anchorId="731DCC7A" wp14:editId="593A5A55">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648DB058" w14:textId="77777777" w:rsidR="00032E4E" w:rsidRPr="00753DE7" w:rsidRDefault="00032E4E" w:rsidP="00CC278D">
            <w:pPr>
              <w:pStyle w:val="Normal-pool"/>
              <w:spacing w:before="1200"/>
              <w:rPr>
                <w:rFonts w:ascii="Arial" w:hAnsi="Arial" w:cs="Arial"/>
                <w:b/>
                <w:sz w:val="28"/>
              </w:rPr>
            </w:pPr>
            <w:r w:rsidRPr="00753DE7">
              <w:rPr>
                <w:rFonts w:ascii="Arial" w:hAnsi="Arial" w:cs="Arial"/>
                <w:b/>
                <w:sz w:val="32"/>
                <w:szCs w:val="32"/>
              </w:rPr>
              <w:t>United Nations</w:t>
            </w:r>
            <w:r w:rsidR="005B2DF4" w:rsidRPr="00753DE7">
              <w:rPr>
                <w:rFonts w:ascii="Arial" w:hAnsi="Arial" w:cs="Arial"/>
                <w:b/>
                <w:sz w:val="32"/>
                <w:szCs w:val="32"/>
              </w:rPr>
              <w:t xml:space="preserve"> </w:t>
            </w:r>
            <w:r w:rsidRPr="00753DE7">
              <w:rPr>
                <w:rFonts w:ascii="Arial" w:hAnsi="Arial" w:cs="Arial"/>
                <w:b/>
                <w:sz w:val="32"/>
                <w:szCs w:val="32"/>
              </w:rPr>
              <w:br w:type="textWrapping" w:clear="all"/>
              <w:t>Environment</w:t>
            </w:r>
            <w:r w:rsidR="005B2DF4" w:rsidRPr="00753DE7">
              <w:rPr>
                <w:rFonts w:ascii="Arial" w:hAnsi="Arial" w:cs="Arial"/>
                <w:b/>
                <w:sz w:val="32"/>
                <w:szCs w:val="32"/>
              </w:rPr>
              <w:t xml:space="preserve"> </w:t>
            </w:r>
            <w:r w:rsidRPr="00753DE7">
              <w:rPr>
                <w:rFonts w:ascii="Arial" w:hAnsi="Arial" w:cs="Arial"/>
                <w:b/>
                <w:sz w:val="32"/>
                <w:szCs w:val="32"/>
              </w:rPr>
              <w:br w:type="textWrapping" w:clear="all"/>
              <w:t>Programme</w:t>
            </w:r>
          </w:p>
        </w:tc>
        <w:tc>
          <w:tcPr>
            <w:tcW w:w="3411" w:type="dxa"/>
            <w:tcBorders>
              <w:top w:val="single" w:sz="4" w:space="0" w:color="auto"/>
              <w:bottom w:val="single" w:sz="24" w:space="0" w:color="auto"/>
            </w:tcBorders>
            <w:shd w:val="clear" w:color="auto" w:fill="auto"/>
          </w:tcPr>
          <w:p w14:paraId="2AB30C51" w14:textId="5E82E806" w:rsidR="00032E4E" w:rsidRPr="00753DE7" w:rsidRDefault="00032E4E" w:rsidP="00CC278D">
            <w:pPr>
              <w:pStyle w:val="Normal-pool"/>
              <w:spacing w:before="120"/>
            </w:pPr>
            <w:r w:rsidRPr="00753DE7">
              <w:t>Distr.: General</w:t>
            </w:r>
            <w:r w:rsidR="005B2DF4" w:rsidRPr="00753DE7">
              <w:t xml:space="preserve"> </w:t>
            </w:r>
            <w:r w:rsidRPr="00753DE7">
              <w:br w:type="textWrapping" w:clear="all"/>
            </w:r>
            <w:r w:rsidR="00CC278D" w:rsidRPr="00753DE7">
              <w:t>1</w:t>
            </w:r>
            <w:r w:rsidR="00BB4998" w:rsidRPr="00753DE7">
              <w:t xml:space="preserve"> September 2019</w:t>
            </w:r>
          </w:p>
          <w:p w14:paraId="31EC4BEE" w14:textId="77777777" w:rsidR="00032E4E" w:rsidRPr="00753DE7" w:rsidRDefault="00032E4E" w:rsidP="00CC278D">
            <w:pPr>
              <w:pStyle w:val="Normal-pool"/>
              <w:spacing w:before="120"/>
            </w:pPr>
            <w:r w:rsidRPr="00753DE7">
              <w:t>Original: English</w:t>
            </w:r>
          </w:p>
        </w:tc>
      </w:tr>
    </w:tbl>
    <w:p w14:paraId="471436BA" w14:textId="77777777" w:rsidR="00E976AB" w:rsidRPr="00944E96" w:rsidRDefault="00CB007D" w:rsidP="00E976AB">
      <w:pPr>
        <w:pStyle w:val="AATitle"/>
        <w:keepNext w:val="0"/>
        <w:keepLines w:val="0"/>
      </w:pPr>
      <w:r w:rsidRPr="00944E96">
        <w:t>Conference of the Parties to the</w:t>
      </w:r>
      <w:r w:rsidR="005B2DF4" w:rsidRPr="00944E96">
        <w:t xml:space="preserve"> </w:t>
      </w:r>
      <w:r w:rsidR="005B2DF4" w:rsidRPr="00944E96">
        <w:br/>
      </w:r>
      <w:r w:rsidR="00787688" w:rsidRPr="00944E96">
        <w:t>Minamata Convention on Mercury</w:t>
      </w:r>
    </w:p>
    <w:p w14:paraId="6D8455D5" w14:textId="2644D697" w:rsidR="00E976AB" w:rsidRPr="00944E96" w:rsidRDefault="00BB4998" w:rsidP="00E976AB">
      <w:pPr>
        <w:pStyle w:val="AATitle"/>
        <w:keepNext w:val="0"/>
        <w:keepLines w:val="0"/>
      </w:pPr>
      <w:r w:rsidRPr="00944E96">
        <w:t>Third</w:t>
      </w:r>
      <w:r w:rsidR="00787688" w:rsidRPr="00944E96">
        <w:t xml:space="preserve"> meeting</w:t>
      </w:r>
    </w:p>
    <w:p w14:paraId="08DDCB89" w14:textId="7F4F87D3" w:rsidR="00787688" w:rsidRPr="00AB4F18" w:rsidRDefault="00787688" w:rsidP="00434321">
      <w:pPr>
        <w:pStyle w:val="AATitle"/>
        <w:rPr>
          <w:b w:val="0"/>
        </w:rPr>
      </w:pPr>
      <w:r w:rsidRPr="00944E96">
        <w:rPr>
          <w:b w:val="0"/>
        </w:rPr>
        <w:t>Geneva</w:t>
      </w:r>
      <w:r w:rsidR="00E976AB" w:rsidRPr="00944E96">
        <w:rPr>
          <w:b w:val="0"/>
        </w:rPr>
        <w:t xml:space="preserve">, </w:t>
      </w:r>
      <w:r w:rsidR="00BB4998" w:rsidRPr="00944E96">
        <w:rPr>
          <w:b w:val="0"/>
        </w:rPr>
        <w:t>25</w:t>
      </w:r>
      <w:r w:rsidR="00363E4E" w:rsidRPr="00944E96">
        <w:rPr>
          <w:b w:val="0"/>
        </w:rPr>
        <w:t>–</w:t>
      </w:r>
      <w:r w:rsidR="00BB4998" w:rsidRPr="00944E96">
        <w:rPr>
          <w:b w:val="0"/>
        </w:rPr>
        <w:t>29</w:t>
      </w:r>
      <w:r w:rsidR="00325D38" w:rsidRPr="00944E96">
        <w:rPr>
          <w:b w:val="0"/>
        </w:rPr>
        <w:t xml:space="preserve"> </w:t>
      </w:r>
      <w:r w:rsidR="00434321" w:rsidRPr="00944E96">
        <w:rPr>
          <w:b w:val="0"/>
        </w:rPr>
        <w:t>November 201</w:t>
      </w:r>
      <w:r w:rsidR="00BB4998" w:rsidRPr="00944E96">
        <w:rPr>
          <w:b w:val="0"/>
        </w:rPr>
        <w:t>9</w:t>
      </w:r>
    </w:p>
    <w:p w14:paraId="3FD603B0" w14:textId="6E206B77" w:rsidR="000C65B1" w:rsidRPr="00AB4F18" w:rsidRDefault="000C65B1" w:rsidP="00CC278D">
      <w:pPr>
        <w:pStyle w:val="AATitle"/>
        <w:rPr>
          <w:b w:val="0"/>
        </w:rPr>
      </w:pPr>
      <w:r w:rsidRPr="00944E96">
        <w:rPr>
          <w:b w:val="0"/>
        </w:rPr>
        <w:t>Item 5</w:t>
      </w:r>
      <w:r w:rsidR="009D5EC9" w:rsidRPr="00944E96">
        <w:rPr>
          <w:b w:val="0"/>
        </w:rPr>
        <w:t xml:space="preserve"> </w:t>
      </w:r>
      <w:r w:rsidRPr="00944E96">
        <w:rPr>
          <w:b w:val="0"/>
        </w:rPr>
        <w:t>(</w:t>
      </w:r>
      <w:r w:rsidR="00BB4998" w:rsidRPr="00944E96">
        <w:rPr>
          <w:b w:val="0"/>
        </w:rPr>
        <w:t>a</w:t>
      </w:r>
      <w:r w:rsidRPr="00944E96">
        <w:rPr>
          <w:b w:val="0"/>
        </w:rPr>
        <w:t xml:space="preserve">) </w:t>
      </w:r>
      <w:r w:rsidR="00BB4998" w:rsidRPr="00944E96">
        <w:rPr>
          <w:b w:val="0"/>
        </w:rPr>
        <w:t>(</w:t>
      </w:r>
      <w:proofErr w:type="spellStart"/>
      <w:r w:rsidR="00BB4998" w:rsidRPr="00944E96">
        <w:rPr>
          <w:b w:val="0"/>
        </w:rPr>
        <w:t>i</w:t>
      </w:r>
      <w:proofErr w:type="spellEnd"/>
      <w:r w:rsidR="00BB4998" w:rsidRPr="00944E96">
        <w:rPr>
          <w:b w:val="0"/>
        </w:rPr>
        <w:t xml:space="preserve">) </w:t>
      </w:r>
      <w:r w:rsidRPr="00944E96">
        <w:rPr>
          <w:b w:val="0"/>
        </w:rPr>
        <w:t>of the provisional agenda</w:t>
      </w:r>
      <w:r w:rsidRPr="00944E96">
        <w:rPr>
          <w:b w:val="0"/>
        </w:rPr>
        <w:footnoteReference w:customMarkFollows="1" w:id="1"/>
        <w:t>*</w:t>
      </w:r>
    </w:p>
    <w:p w14:paraId="10584444" w14:textId="175748C8" w:rsidR="000C65B1" w:rsidRPr="00AB4F18" w:rsidRDefault="000C65B1" w:rsidP="00CC278D">
      <w:pPr>
        <w:pStyle w:val="AATitle2"/>
        <w:ind w:right="3119"/>
      </w:pPr>
      <w:r w:rsidRPr="00944E96">
        <w:t xml:space="preserve">Matters for consideration or action by the Conference of </w:t>
      </w:r>
      <w:r w:rsidR="00CC278D" w:rsidRPr="00944E96">
        <w:br/>
      </w:r>
      <w:r w:rsidRPr="00944E96">
        <w:t xml:space="preserve">the Parties: </w:t>
      </w:r>
      <w:r w:rsidR="00BE2E9A" w:rsidRPr="00944E96">
        <w:t xml:space="preserve">mercury-added products and manufacturing </w:t>
      </w:r>
      <w:r w:rsidR="00CC278D" w:rsidRPr="00944E96">
        <w:br/>
      </w:r>
      <w:r w:rsidR="00BE2E9A" w:rsidRPr="00944E96">
        <w:t xml:space="preserve">processes in which mercury or mercury compounds are used: </w:t>
      </w:r>
      <w:r w:rsidR="00CC278D" w:rsidRPr="00944E96">
        <w:br/>
      </w:r>
      <w:r w:rsidR="00BB4998" w:rsidRPr="00944E96">
        <w:t>review of annexe</w:t>
      </w:r>
      <w:r w:rsidRPr="00944E96">
        <w:t>s</w:t>
      </w:r>
      <w:r w:rsidR="00BE2E9A" w:rsidRPr="00944E96">
        <w:t xml:space="preserve"> </w:t>
      </w:r>
      <w:r w:rsidR="00BB4998" w:rsidRPr="00944E96">
        <w:t>A and B</w:t>
      </w:r>
    </w:p>
    <w:p w14:paraId="1658D062" w14:textId="5A275451" w:rsidR="000C65B1" w:rsidRPr="00944E96" w:rsidRDefault="00BB4998" w:rsidP="00CC278D">
      <w:pPr>
        <w:pStyle w:val="BBTitle"/>
      </w:pPr>
      <w:r w:rsidRPr="00944E96">
        <w:t>Review of annexes A and B</w:t>
      </w:r>
    </w:p>
    <w:p w14:paraId="683EF59F" w14:textId="77777777" w:rsidR="000C65B1" w:rsidRPr="00AB4F18" w:rsidRDefault="0004341B" w:rsidP="00CC278D">
      <w:pPr>
        <w:pStyle w:val="CH2"/>
      </w:pPr>
      <w:r w:rsidRPr="00944E96">
        <w:tab/>
      </w:r>
      <w:r w:rsidRPr="00944E96">
        <w:tab/>
      </w:r>
      <w:r w:rsidR="000C65B1" w:rsidRPr="00944E96">
        <w:t>Note by the secretariat</w:t>
      </w:r>
    </w:p>
    <w:p w14:paraId="0E99DB51" w14:textId="7A78452E" w:rsidR="00BE2E9A" w:rsidRPr="00AB4F18" w:rsidRDefault="00BE2E9A" w:rsidP="00CC278D">
      <w:pPr>
        <w:pStyle w:val="Normalnumber"/>
        <w:tabs>
          <w:tab w:val="clear" w:pos="1701"/>
        </w:tabs>
        <w:ind w:left="1247"/>
      </w:pPr>
      <w:r w:rsidRPr="00AB4F18">
        <w:t xml:space="preserve">Articles 4 and 5 of the </w:t>
      </w:r>
      <w:r w:rsidR="001F6F74" w:rsidRPr="00AB4F18">
        <w:t xml:space="preserve">Minamata </w:t>
      </w:r>
      <w:r w:rsidRPr="00AB4F18">
        <w:t>Convention</w:t>
      </w:r>
      <w:r w:rsidR="001F6F74" w:rsidRPr="00AB4F18">
        <w:t xml:space="preserve"> on Mercury</w:t>
      </w:r>
      <w:r w:rsidRPr="00AB4F18">
        <w:t xml:space="preserve"> provide for </w:t>
      </w:r>
      <w:r w:rsidR="008C719D" w:rsidRPr="00AB4F18">
        <w:t xml:space="preserve">the </w:t>
      </w:r>
      <w:r w:rsidRPr="00AB4F18">
        <w:t>review of annexes A and B no later than five years after the date of entry into force of the Convention. The Conference</w:t>
      </w:r>
      <w:r w:rsidR="00DE4809">
        <w:t xml:space="preserve"> of the Parties</w:t>
      </w:r>
      <w:r w:rsidRPr="00AB4F18">
        <w:t xml:space="preserve"> </w:t>
      </w:r>
      <w:r w:rsidR="008C719D" w:rsidRPr="00AB4F18">
        <w:t xml:space="preserve">considered the matter </w:t>
      </w:r>
      <w:r w:rsidRPr="00AB4F18">
        <w:t xml:space="preserve">at its second meeting and agreed to defer </w:t>
      </w:r>
      <w:r w:rsidR="0021267A" w:rsidRPr="00944E96">
        <w:t xml:space="preserve">further </w:t>
      </w:r>
      <w:r w:rsidRPr="00AB4F18">
        <w:t xml:space="preserve">consideration </w:t>
      </w:r>
      <w:r w:rsidR="008C719D" w:rsidRPr="00AB4F18">
        <w:t>there</w:t>
      </w:r>
      <w:r w:rsidRPr="00AB4F18">
        <w:t xml:space="preserve">of to its third meeting, requesting the secretariat to prepare a document </w:t>
      </w:r>
      <w:r w:rsidR="008C719D" w:rsidRPr="00AB4F18">
        <w:t>there</w:t>
      </w:r>
      <w:r w:rsidRPr="00AB4F18">
        <w:t>on for consideration at that meeting.</w:t>
      </w:r>
    </w:p>
    <w:p w14:paraId="3F7F7CC1" w14:textId="53BFC89C" w:rsidR="00BE2E9A" w:rsidRPr="00AB4F18" w:rsidRDefault="00BE2E9A" w:rsidP="00765562">
      <w:pPr>
        <w:pStyle w:val="Normalnumber"/>
        <w:tabs>
          <w:tab w:val="clear" w:pos="1701"/>
        </w:tabs>
        <w:ind w:left="1247"/>
      </w:pPr>
      <w:r w:rsidRPr="00AB4F18">
        <w:t>The present note explains the process for the review of annexes A and B, responding to th</w:t>
      </w:r>
      <w:r w:rsidR="001B45B0" w:rsidRPr="00AB4F18">
        <w:t>e</w:t>
      </w:r>
      <w:r w:rsidRPr="00AB4F18">
        <w:t xml:space="preserve"> request from the Conference.</w:t>
      </w:r>
    </w:p>
    <w:p w14:paraId="18E1D926" w14:textId="50EDF599" w:rsidR="00BE2E9A" w:rsidRPr="00AB4F18" w:rsidRDefault="009E40F6" w:rsidP="009E40F6">
      <w:pPr>
        <w:pStyle w:val="CH2"/>
      </w:pPr>
      <w:r w:rsidRPr="00AB4F18">
        <w:tab/>
      </w:r>
      <w:r w:rsidRPr="00AB4F18">
        <w:tab/>
      </w:r>
      <w:r w:rsidR="00BE2E9A" w:rsidRPr="00944E96">
        <w:t>Review of annex A</w:t>
      </w:r>
    </w:p>
    <w:p w14:paraId="2B5442E6" w14:textId="76167DFA" w:rsidR="00BE2E9A" w:rsidRPr="00AB4F18" w:rsidRDefault="00BE2E9A" w:rsidP="00765562">
      <w:pPr>
        <w:pStyle w:val="Normalnumber"/>
        <w:tabs>
          <w:tab w:val="clear" w:pos="1701"/>
        </w:tabs>
        <w:ind w:left="1247"/>
      </w:pPr>
      <w:r w:rsidRPr="00AB4F18">
        <w:rPr>
          <w:bCs/>
        </w:rPr>
        <w:t xml:space="preserve">Annex A </w:t>
      </w:r>
      <w:r w:rsidR="001B45B0" w:rsidRPr="00AB4F18">
        <w:rPr>
          <w:bCs/>
        </w:rPr>
        <w:t xml:space="preserve">to </w:t>
      </w:r>
      <w:r w:rsidRPr="00AB4F18">
        <w:rPr>
          <w:bCs/>
        </w:rPr>
        <w:t xml:space="preserve">the Convention </w:t>
      </w:r>
      <w:r w:rsidR="00F24167" w:rsidRPr="00AB4F18">
        <w:rPr>
          <w:bCs/>
        </w:rPr>
        <w:t>contains three sections, namely the products excluded from the annex</w:t>
      </w:r>
      <w:r w:rsidR="001D47B1" w:rsidRPr="00AB4F18">
        <w:rPr>
          <w:bCs/>
        </w:rPr>
        <w:t xml:space="preserve">, </w:t>
      </w:r>
      <w:r w:rsidR="00296787" w:rsidRPr="00AB4F18">
        <w:rPr>
          <w:bCs/>
        </w:rPr>
        <w:t>p</w:t>
      </w:r>
      <w:r w:rsidRPr="00AB4F18">
        <w:t xml:space="preserve">art I </w:t>
      </w:r>
      <w:r w:rsidR="001D47B1" w:rsidRPr="00AB4F18">
        <w:t xml:space="preserve">and </w:t>
      </w:r>
      <w:r w:rsidR="00296787" w:rsidRPr="00AB4F18">
        <w:t>p</w:t>
      </w:r>
      <w:r w:rsidR="001D47B1" w:rsidRPr="00AB4F18">
        <w:t xml:space="preserve">art II. There are five categories of products excluded from the annex. Part I </w:t>
      </w:r>
      <w:r w:rsidRPr="00AB4F18">
        <w:t xml:space="preserve">lists nine mercury-added products subject to paragraph 1 of article 4, </w:t>
      </w:r>
      <w:r w:rsidRPr="00076FD3">
        <w:t xml:space="preserve">which </w:t>
      </w:r>
      <w:r w:rsidR="00076FD3">
        <w:t xml:space="preserve">requires </w:t>
      </w:r>
      <w:r w:rsidRPr="00076FD3">
        <w:t>parties not to allow, by taking appropriate measures, the manufacture, import or export of such products after the specified phase‑out date. Part II lists product</w:t>
      </w:r>
      <w:r w:rsidR="00F707A6" w:rsidRPr="00076FD3">
        <w:t>s</w:t>
      </w:r>
      <w:r w:rsidRPr="00076FD3">
        <w:t xml:space="preserve"> subject to paragraph 3 of article 4, and sets out measures that parties shall take for th</w:t>
      </w:r>
      <w:r w:rsidR="008D5CB8" w:rsidRPr="00076FD3">
        <w:t>e listed</w:t>
      </w:r>
      <w:r w:rsidRPr="00076FD3">
        <w:t xml:space="preserve"> product</w:t>
      </w:r>
      <w:r w:rsidR="008D5CB8" w:rsidRPr="00076FD3">
        <w:t>s</w:t>
      </w:r>
      <w:r w:rsidRPr="00076FD3">
        <w:t>.</w:t>
      </w:r>
      <w:r w:rsidR="00F707A6" w:rsidRPr="00076FD3">
        <w:t xml:space="preserve"> Dental amalgam is the</w:t>
      </w:r>
      <w:r w:rsidR="00F707A6" w:rsidRPr="00AB4F18">
        <w:t xml:space="preserve"> only product listed in </w:t>
      </w:r>
      <w:r w:rsidR="00E132C1" w:rsidRPr="00AB4F18">
        <w:t>p</w:t>
      </w:r>
      <w:r w:rsidR="00F707A6" w:rsidRPr="00AB4F18">
        <w:t>art II.</w:t>
      </w:r>
    </w:p>
    <w:p w14:paraId="5A973EF4" w14:textId="3533C9E1" w:rsidR="00BE2E9A" w:rsidRPr="00AB4F18" w:rsidRDefault="00BE2E9A" w:rsidP="00765562">
      <w:pPr>
        <w:pStyle w:val="Normalnumber"/>
        <w:tabs>
          <w:tab w:val="clear" w:pos="1701"/>
        </w:tabs>
        <w:ind w:left="1247"/>
      </w:pPr>
      <w:r w:rsidRPr="00AB4F18">
        <w:t xml:space="preserve">Paragraph 8 of article 4 provides that, no later than five years after the date of entry into force of the Convention, the Conference shall review annex A and may consider amendments to that </w:t>
      </w:r>
      <w:r w:rsidR="00CC41D8" w:rsidRPr="00AB4F18">
        <w:t>a</w:t>
      </w:r>
      <w:r w:rsidRPr="00AB4F18">
        <w:t xml:space="preserve">nnex in accordance with </w:t>
      </w:r>
      <w:r w:rsidR="00CC41D8" w:rsidRPr="00AB4F18">
        <w:t>a</w:t>
      </w:r>
      <w:r w:rsidRPr="00AB4F18">
        <w:t xml:space="preserve">rticle 27. Paragraph 9 </w:t>
      </w:r>
      <w:bookmarkStart w:id="4" w:name="_GoBack"/>
      <w:bookmarkEnd w:id="4"/>
      <w:r w:rsidRPr="00AB4F18">
        <w:t xml:space="preserve">provides that, in reviewing annex A, the Conference shall </w:t>
      </w:r>
      <w:proofErr w:type="gramStart"/>
      <w:r w:rsidRPr="00AB4F18">
        <w:t>take into account</w:t>
      </w:r>
      <w:proofErr w:type="gramEnd"/>
      <w:r w:rsidRPr="00AB4F18">
        <w:t xml:space="preserve"> at least:</w:t>
      </w:r>
    </w:p>
    <w:p w14:paraId="775708D4" w14:textId="0725E251" w:rsidR="00BE2E9A" w:rsidRPr="00AB4F18" w:rsidRDefault="00BE2E9A" w:rsidP="00944E96">
      <w:pPr>
        <w:pStyle w:val="Normalnumber"/>
        <w:numPr>
          <w:ilvl w:val="1"/>
          <w:numId w:val="4"/>
        </w:numPr>
        <w:tabs>
          <w:tab w:val="clear" w:pos="1701"/>
        </w:tabs>
        <w:ind w:left="1247" w:firstLine="624"/>
      </w:pPr>
      <w:r w:rsidRPr="00AB4F18">
        <w:t>Any proposal submitted under paragraph 7</w:t>
      </w:r>
      <w:r w:rsidR="009A399C" w:rsidRPr="00AB4F18">
        <w:t xml:space="preserve"> of article 4</w:t>
      </w:r>
      <w:r w:rsidRPr="00AB4F18">
        <w:t>;</w:t>
      </w:r>
    </w:p>
    <w:p w14:paraId="60FAA653" w14:textId="1ED48280" w:rsidR="00BE2E9A" w:rsidRPr="00AB4F18" w:rsidRDefault="00BE2E9A" w:rsidP="00944E96">
      <w:pPr>
        <w:pStyle w:val="Normalnumber"/>
        <w:numPr>
          <w:ilvl w:val="1"/>
          <w:numId w:val="4"/>
        </w:numPr>
        <w:tabs>
          <w:tab w:val="clear" w:pos="1701"/>
        </w:tabs>
        <w:ind w:left="1247" w:firstLine="624"/>
      </w:pPr>
      <w:r w:rsidRPr="00AB4F18">
        <w:t>The information made available pursuant to paragraph 4</w:t>
      </w:r>
      <w:r w:rsidR="009A399C" w:rsidRPr="00AB4F18">
        <w:t xml:space="preserve"> of article 4</w:t>
      </w:r>
      <w:r w:rsidRPr="00AB4F18">
        <w:t xml:space="preserve">; </w:t>
      </w:r>
    </w:p>
    <w:p w14:paraId="0ACB9AFE" w14:textId="7AC8D3BA" w:rsidR="00BE2E9A" w:rsidRPr="00AB4F18" w:rsidRDefault="00BE2E9A" w:rsidP="00944E96">
      <w:pPr>
        <w:pStyle w:val="Normalnumber"/>
        <w:numPr>
          <w:ilvl w:val="1"/>
          <w:numId w:val="4"/>
        </w:numPr>
        <w:tabs>
          <w:tab w:val="clear" w:pos="1701"/>
        </w:tabs>
        <w:ind w:left="1247" w:firstLine="624"/>
      </w:pPr>
      <w:r w:rsidRPr="00AB4F18">
        <w:t xml:space="preserve">The availability to the Parties of mercury-free alternatives that are technically and economically feasible, </w:t>
      </w:r>
      <w:proofErr w:type="gramStart"/>
      <w:r w:rsidRPr="00AB4F18">
        <w:t>taking into account</w:t>
      </w:r>
      <w:proofErr w:type="gramEnd"/>
      <w:r w:rsidRPr="00AB4F18">
        <w:t xml:space="preserve"> the environmental and human health risks and benefits</w:t>
      </w:r>
      <w:r w:rsidR="00AB4F18" w:rsidRPr="00AB4F18">
        <w:t>.</w:t>
      </w:r>
    </w:p>
    <w:p w14:paraId="4005B7C6" w14:textId="599F2018" w:rsidR="00BE2E9A" w:rsidRPr="00AB4F18" w:rsidRDefault="00BE2E9A" w:rsidP="00944E96">
      <w:pPr>
        <w:pStyle w:val="Normalnumber"/>
        <w:keepNext/>
        <w:keepLines/>
        <w:tabs>
          <w:tab w:val="clear" w:pos="1701"/>
        </w:tabs>
        <w:ind w:left="1247"/>
      </w:pPr>
      <w:r w:rsidRPr="00AB4F18">
        <w:lastRenderedPageBreak/>
        <w:t>Paragraph</w:t>
      </w:r>
      <w:r w:rsidRPr="00AB4F18">
        <w:rPr>
          <w:bCs/>
        </w:rPr>
        <w:t xml:space="preserve"> 7 provides that any party may submit a proposal to the secretariat for listing a mercury-added product in </w:t>
      </w:r>
      <w:r w:rsidR="003965D0" w:rsidRPr="00AB4F18">
        <w:rPr>
          <w:bCs/>
        </w:rPr>
        <w:t>a</w:t>
      </w:r>
      <w:r w:rsidRPr="00AB4F18">
        <w:rPr>
          <w:bCs/>
        </w:rPr>
        <w:t>nnex A, which shall include information related to the availability, technical and economic feasibility</w:t>
      </w:r>
      <w:r w:rsidR="0021267A" w:rsidRPr="00944E96">
        <w:rPr>
          <w:bCs/>
        </w:rPr>
        <w:t>,</w:t>
      </w:r>
      <w:r w:rsidRPr="00AB4F18">
        <w:rPr>
          <w:bCs/>
        </w:rPr>
        <w:t xml:space="preserve"> and environmental and health risks and benefits of the non‑mercury alternatives to the product, </w:t>
      </w:r>
      <w:proofErr w:type="gramStart"/>
      <w:r w:rsidRPr="00AB4F18">
        <w:rPr>
          <w:bCs/>
        </w:rPr>
        <w:t xml:space="preserve">taking </w:t>
      </w:r>
      <w:r w:rsidRPr="00AB4F18">
        <w:t>into account</w:t>
      </w:r>
      <w:proofErr w:type="gramEnd"/>
      <w:r w:rsidRPr="00AB4F18">
        <w:t xml:space="preserve"> information pursuant to paragraph 4.</w:t>
      </w:r>
    </w:p>
    <w:p w14:paraId="3F67463B" w14:textId="4695AB88" w:rsidR="00BE2E9A" w:rsidRPr="00AB4F18" w:rsidRDefault="00BE2E9A" w:rsidP="00765562">
      <w:pPr>
        <w:pStyle w:val="Normalnumber"/>
        <w:tabs>
          <w:tab w:val="clear" w:pos="1701"/>
        </w:tabs>
        <w:ind w:left="1247"/>
      </w:pPr>
      <w:r w:rsidRPr="00AB4F18">
        <w:t xml:space="preserve">Paragraph 2 provides that a </w:t>
      </w:r>
      <w:r w:rsidR="0021267A" w:rsidRPr="00944E96">
        <w:t>p</w:t>
      </w:r>
      <w:r w:rsidRPr="00AB4F18">
        <w:t>arty may, as an alternative to paragraph 1, indicate at the time of ratification</w:t>
      </w:r>
      <w:r w:rsidR="00FD6D4F" w:rsidRPr="00AB4F18">
        <w:t xml:space="preserve"> or upon entry into force of an amendment</w:t>
      </w:r>
      <w:r w:rsidR="00A91D90" w:rsidRPr="00AB4F18">
        <w:t xml:space="preserve"> to </w:t>
      </w:r>
      <w:r w:rsidR="00352EF8" w:rsidRPr="00AB4F18">
        <w:t>a</w:t>
      </w:r>
      <w:r w:rsidR="00A91D90" w:rsidRPr="00AB4F18">
        <w:t>nnex A for it,</w:t>
      </w:r>
      <w:r w:rsidRPr="00AB4F18">
        <w:t xml:space="preserve"> that it will implement different measures or strategies to address products listed in </w:t>
      </w:r>
      <w:r w:rsidR="00E132C1" w:rsidRPr="00AB4F18">
        <w:t>p</w:t>
      </w:r>
      <w:r w:rsidRPr="00AB4F18">
        <w:t xml:space="preserve">art I of annex A, provided that it can demonstrate that it has already reduced to a de minimis level the manufacture, import and export of the large majority of the products listed in </w:t>
      </w:r>
      <w:r w:rsidR="00E132C1" w:rsidRPr="00AB4F18">
        <w:t>p</w:t>
      </w:r>
      <w:r w:rsidRPr="00AB4F18">
        <w:t xml:space="preserve">art I of </w:t>
      </w:r>
      <w:r w:rsidR="00851AFA" w:rsidRPr="00AB4F18">
        <w:t>a</w:t>
      </w:r>
      <w:r w:rsidRPr="00AB4F18">
        <w:t xml:space="preserve">nnex A and that it has implemented measures or strategies to reduce the use of mercury in additional products not listed in </w:t>
      </w:r>
      <w:r w:rsidR="00E132C1" w:rsidRPr="00AB4F18">
        <w:t>p</w:t>
      </w:r>
      <w:r w:rsidRPr="00AB4F18">
        <w:t xml:space="preserve">art I of </w:t>
      </w:r>
      <w:r w:rsidR="00851AFA" w:rsidRPr="00AB4F18">
        <w:t>a</w:t>
      </w:r>
      <w:r w:rsidRPr="00AB4F18">
        <w:t>nnex A. The same paragraph also provides that, no later than five years after the date of entry into force of the Convention, the Conference shall, as part of the review process under paragraph 8, review the progress and the effectiveness of the measures taken under paragraph</w:t>
      </w:r>
      <w:r w:rsidR="00A91D90" w:rsidRPr="00AB4F18">
        <w:t xml:space="preserve"> 2</w:t>
      </w:r>
      <w:r w:rsidRPr="00AB4F18">
        <w:t>.</w:t>
      </w:r>
    </w:p>
    <w:p w14:paraId="77FE0C3D" w14:textId="453C4179" w:rsidR="00BE2E9A" w:rsidRPr="00AB4F18" w:rsidRDefault="009E40F6" w:rsidP="009E40F6">
      <w:pPr>
        <w:pStyle w:val="CH2"/>
      </w:pPr>
      <w:r w:rsidRPr="00AB4F18">
        <w:tab/>
      </w:r>
      <w:r w:rsidRPr="00AB4F18">
        <w:tab/>
      </w:r>
      <w:r w:rsidR="00BE2E9A" w:rsidRPr="00AB4F18">
        <w:t>Review of annex B</w:t>
      </w:r>
    </w:p>
    <w:p w14:paraId="72CEB89B" w14:textId="756242E5" w:rsidR="00BE2E9A" w:rsidRPr="00AB4F18" w:rsidRDefault="00BE2E9A" w:rsidP="00765562">
      <w:pPr>
        <w:pStyle w:val="Normalnumber"/>
        <w:tabs>
          <w:tab w:val="clear" w:pos="1701"/>
        </w:tabs>
        <w:ind w:left="1247"/>
      </w:pPr>
      <w:r w:rsidRPr="00AB4F18">
        <w:rPr>
          <w:bCs/>
        </w:rPr>
        <w:t xml:space="preserve">Annex B </w:t>
      </w:r>
      <w:r w:rsidR="001B45B0" w:rsidRPr="00AB4F18">
        <w:rPr>
          <w:bCs/>
        </w:rPr>
        <w:t xml:space="preserve">to </w:t>
      </w:r>
      <w:r w:rsidRPr="00AB4F18">
        <w:rPr>
          <w:bCs/>
        </w:rPr>
        <w:t xml:space="preserve">the </w:t>
      </w:r>
      <w:r w:rsidRPr="00277766">
        <w:rPr>
          <w:bCs/>
        </w:rPr>
        <w:t>Convention consists of two</w:t>
      </w:r>
      <w:r w:rsidRPr="00AB4F18">
        <w:rPr>
          <w:bCs/>
        </w:rPr>
        <w:t xml:space="preserve"> parts. Part I lists two manufacturing processes subject to </w:t>
      </w:r>
      <w:r w:rsidRPr="00AB4F18">
        <w:t xml:space="preserve">paragraph 2 of article 5, </w:t>
      </w:r>
      <w:r w:rsidRPr="00076FD3">
        <w:t xml:space="preserve">which </w:t>
      </w:r>
      <w:r w:rsidR="007F74EA" w:rsidRPr="00076FD3">
        <w:t xml:space="preserve">requires </w:t>
      </w:r>
      <w:r w:rsidRPr="00076FD3">
        <w:t xml:space="preserve">parties not to allow, by taking appropriate measures, the use of mercury or mercury compounds in such processes after the specified phase‑out date. Part </w:t>
      </w:r>
      <w:r w:rsidR="007F74EA" w:rsidRPr="00076FD3">
        <w:t xml:space="preserve">II lists </w:t>
      </w:r>
      <w:r w:rsidRPr="00076FD3">
        <w:t>three manufacturing processes subject to paragraph 3 of article 5, and sets out measures that parties shall take to restrict the use of mercury or mercury compounds in th</w:t>
      </w:r>
      <w:r w:rsidR="00CC771B" w:rsidRPr="00076FD3">
        <w:t xml:space="preserve">ose </w:t>
      </w:r>
      <w:r w:rsidRPr="00076FD3">
        <w:t>processes</w:t>
      </w:r>
      <w:r w:rsidRPr="00AB4F18">
        <w:t>.</w:t>
      </w:r>
    </w:p>
    <w:p w14:paraId="7F8CF476" w14:textId="0C7059C6" w:rsidR="00BE2E9A" w:rsidRPr="00AB4F18" w:rsidRDefault="00BE2E9A" w:rsidP="00765562">
      <w:pPr>
        <w:pStyle w:val="Normalnumber"/>
        <w:tabs>
          <w:tab w:val="clear" w:pos="1701"/>
        </w:tabs>
        <w:ind w:left="1247"/>
      </w:pPr>
      <w:r w:rsidRPr="00AB4F18">
        <w:t xml:space="preserve">Paragraph 10 of article 5 provides that, no later than five years after the date of entry into force of the Convention, the Conference shall review annex B and may consider amendments to that </w:t>
      </w:r>
      <w:r w:rsidR="005A6DCA" w:rsidRPr="00AB4F18">
        <w:t>a</w:t>
      </w:r>
      <w:r w:rsidRPr="00AB4F18">
        <w:t xml:space="preserve">nnex in accordance with </w:t>
      </w:r>
      <w:r w:rsidR="005A6DCA" w:rsidRPr="00AB4F18">
        <w:t>a</w:t>
      </w:r>
      <w:r w:rsidRPr="00AB4F18">
        <w:t>rticle 27. Paragraph 11</w:t>
      </w:r>
      <w:r w:rsidR="00DF38F6" w:rsidRPr="00AB4F18">
        <w:t xml:space="preserve"> </w:t>
      </w:r>
      <w:r w:rsidR="007F74EA" w:rsidRPr="00AB4F18">
        <w:t>of article 5</w:t>
      </w:r>
      <w:r w:rsidRPr="00AB4F18">
        <w:t xml:space="preserve"> provides that, in reviewing annex B, the Conference shall </w:t>
      </w:r>
      <w:proofErr w:type="gramStart"/>
      <w:r w:rsidRPr="00AB4F18">
        <w:t>take into account</w:t>
      </w:r>
      <w:proofErr w:type="gramEnd"/>
      <w:r w:rsidRPr="00AB4F18">
        <w:t xml:space="preserve"> at least:</w:t>
      </w:r>
    </w:p>
    <w:p w14:paraId="5D8B5145" w14:textId="7D2EF3BB" w:rsidR="00BE2E9A" w:rsidRPr="00AB4F18" w:rsidRDefault="00BE2E9A" w:rsidP="00944E96">
      <w:pPr>
        <w:pStyle w:val="Normalnumber"/>
        <w:numPr>
          <w:ilvl w:val="1"/>
          <w:numId w:val="4"/>
        </w:numPr>
        <w:tabs>
          <w:tab w:val="clear" w:pos="1701"/>
        </w:tabs>
        <w:ind w:left="1247" w:firstLine="624"/>
      </w:pPr>
      <w:r w:rsidRPr="00AB4F18">
        <w:rPr>
          <w:bCs/>
          <w:iCs/>
        </w:rPr>
        <w:t xml:space="preserve">Any </w:t>
      </w:r>
      <w:r w:rsidRPr="00AB4F18">
        <w:t>proposal submitted under paragraph 9</w:t>
      </w:r>
      <w:r w:rsidR="00DB295A" w:rsidRPr="00AB4F18">
        <w:t xml:space="preserve"> of article 5</w:t>
      </w:r>
      <w:r w:rsidRPr="00AB4F18">
        <w:t>;</w:t>
      </w:r>
    </w:p>
    <w:p w14:paraId="44B9AE64" w14:textId="4D30AB7D" w:rsidR="00BE2E9A" w:rsidRPr="00AB4F18" w:rsidRDefault="00BE2E9A" w:rsidP="00944E96">
      <w:pPr>
        <w:pStyle w:val="Normalnumber"/>
        <w:numPr>
          <w:ilvl w:val="1"/>
          <w:numId w:val="4"/>
        </w:numPr>
        <w:tabs>
          <w:tab w:val="clear" w:pos="1701"/>
        </w:tabs>
        <w:ind w:left="1247" w:firstLine="624"/>
      </w:pPr>
      <w:r w:rsidRPr="00AB4F18">
        <w:t>The information made available under paragraph 4</w:t>
      </w:r>
      <w:r w:rsidR="009A399C" w:rsidRPr="00AB4F18">
        <w:t xml:space="preserve"> o</w:t>
      </w:r>
      <w:r w:rsidR="00F707A6" w:rsidRPr="00AB4F18">
        <w:t>f</w:t>
      </w:r>
      <w:r w:rsidR="009A399C" w:rsidRPr="00AB4F18">
        <w:t xml:space="preserve"> article 5</w:t>
      </w:r>
      <w:r w:rsidRPr="00AB4F18">
        <w:t xml:space="preserve">; </w:t>
      </w:r>
    </w:p>
    <w:p w14:paraId="22640281" w14:textId="5F2FBAD7" w:rsidR="00BE2E9A" w:rsidRPr="00AB4F18" w:rsidRDefault="00BE2E9A" w:rsidP="00944E96">
      <w:pPr>
        <w:pStyle w:val="Normalnumber"/>
        <w:numPr>
          <w:ilvl w:val="1"/>
          <w:numId w:val="4"/>
        </w:numPr>
        <w:tabs>
          <w:tab w:val="clear" w:pos="1701"/>
        </w:tabs>
        <w:ind w:left="1247" w:firstLine="624"/>
      </w:pPr>
      <w:r w:rsidRPr="00AB4F18">
        <w:t xml:space="preserve">The availability </w:t>
      </w:r>
      <w:r w:rsidR="001F6F74" w:rsidRPr="00AB4F18">
        <w:t xml:space="preserve">to </w:t>
      </w:r>
      <w:r w:rsidRPr="00AB4F18">
        <w:t xml:space="preserve">the Parties of mercury-free alternatives which are technically and economically feasible </w:t>
      </w:r>
      <w:proofErr w:type="gramStart"/>
      <w:r w:rsidRPr="00AB4F18">
        <w:t>taking into account</w:t>
      </w:r>
      <w:proofErr w:type="gramEnd"/>
      <w:r w:rsidRPr="00AB4F18">
        <w:rPr>
          <w:bCs/>
          <w:iCs/>
        </w:rPr>
        <w:t xml:space="preserve"> the environmental and health risks and benefits.</w:t>
      </w:r>
      <w:r w:rsidR="00411223" w:rsidRPr="00AB4F18">
        <w:rPr>
          <w:bCs/>
          <w:iCs/>
        </w:rPr>
        <w:t xml:space="preserve"> </w:t>
      </w:r>
    </w:p>
    <w:p w14:paraId="71C0CFF9" w14:textId="451FC18B" w:rsidR="00BE2E9A" w:rsidRPr="00AB4F18" w:rsidRDefault="00BE2E9A" w:rsidP="00765562">
      <w:pPr>
        <w:pStyle w:val="Normalnumber"/>
        <w:tabs>
          <w:tab w:val="clear" w:pos="1701"/>
        </w:tabs>
        <w:ind w:left="1247"/>
        <w:rPr>
          <w:bCs/>
        </w:rPr>
      </w:pPr>
      <w:r w:rsidRPr="00AB4F18">
        <w:rPr>
          <w:bCs/>
        </w:rPr>
        <w:t xml:space="preserve">Paragraph 9 provides that any party may submit a proposal to amend </w:t>
      </w:r>
      <w:r w:rsidR="005A6DCA" w:rsidRPr="00AB4F18">
        <w:rPr>
          <w:bCs/>
        </w:rPr>
        <w:t>a</w:t>
      </w:r>
      <w:r w:rsidRPr="00AB4F18">
        <w:rPr>
          <w:bCs/>
        </w:rPr>
        <w:t xml:space="preserve">nnex B </w:t>
      </w:r>
      <w:proofErr w:type="gramStart"/>
      <w:r w:rsidRPr="00AB4F18">
        <w:rPr>
          <w:bCs/>
        </w:rPr>
        <w:t>in order to</w:t>
      </w:r>
      <w:proofErr w:type="gramEnd"/>
      <w:r w:rsidRPr="00AB4F18">
        <w:rPr>
          <w:bCs/>
        </w:rPr>
        <w:t xml:space="preserve"> list a manufacturing process in which mercury or mercury compounds are used, which shall include information related to </w:t>
      </w:r>
      <w:r w:rsidRPr="00AB4F18">
        <w:t>the</w:t>
      </w:r>
      <w:r w:rsidRPr="00AB4F18">
        <w:rPr>
          <w:bCs/>
        </w:rPr>
        <w:t xml:space="preserve"> availability, technical and economic feasibility and environmental and health risks and benefits of the non-mercury alternatives to the process.</w:t>
      </w:r>
    </w:p>
    <w:p w14:paraId="129C1820" w14:textId="712225B7" w:rsidR="00224608" w:rsidRPr="00AB4F18" w:rsidRDefault="00224608" w:rsidP="00A7603F">
      <w:pPr>
        <w:pStyle w:val="CH2"/>
      </w:pPr>
      <w:r w:rsidRPr="00AB4F18">
        <w:tab/>
      </w:r>
      <w:r w:rsidRPr="00AB4F18">
        <w:tab/>
        <w:t>Information made available by the secretariat</w:t>
      </w:r>
    </w:p>
    <w:p w14:paraId="509049A0" w14:textId="07883031" w:rsidR="00224608" w:rsidRPr="00AB4F18" w:rsidRDefault="00224608" w:rsidP="00765562">
      <w:pPr>
        <w:pStyle w:val="Normalnumber"/>
        <w:tabs>
          <w:tab w:val="clear" w:pos="1701"/>
        </w:tabs>
        <w:ind w:left="1247"/>
      </w:pPr>
      <w:r w:rsidRPr="00AB4F18">
        <w:rPr>
          <w:bCs/>
        </w:rPr>
        <w:t xml:space="preserve">Paragraph 4 of </w:t>
      </w:r>
      <w:r w:rsidRPr="00BD6D2F">
        <w:rPr>
          <w:bCs/>
        </w:rPr>
        <w:t>article 4 and</w:t>
      </w:r>
      <w:r w:rsidRPr="00AB4F18">
        <w:rPr>
          <w:bCs/>
        </w:rPr>
        <w:t xml:space="preserve"> paragraph 4 of article 5 provide that the secretariat shall, </w:t>
      </w:r>
      <w:proofErr w:type="gramStart"/>
      <w:r w:rsidRPr="00AB4F18">
        <w:rPr>
          <w:bCs/>
        </w:rPr>
        <w:t>on the basis of</w:t>
      </w:r>
      <w:proofErr w:type="gramEnd"/>
      <w:r w:rsidRPr="00AB4F18">
        <w:rPr>
          <w:bCs/>
        </w:rPr>
        <w:t xml:space="preserve"> </w:t>
      </w:r>
      <w:r w:rsidRPr="00AB4F18">
        <w:t xml:space="preserve">information provided by </w:t>
      </w:r>
      <w:r w:rsidR="004029DD" w:rsidRPr="00AB4F18">
        <w:t>p</w:t>
      </w:r>
      <w:r w:rsidRPr="00AB4F18">
        <w:t xml:space="preserve">arties, collect and maintain information on mercury-added products </w:t>
      </w:r>
      <w:r w:rsidR="00590614" w:rsidRPr="00AB4F18">
        <w:t xml:space="preserve">and </w:t>
      </w:r>
      <w:r w:rsidRPr="00AB4F18">
        <w:t>processes that use mercury or mercury compounds</w:t>
      </w:r>
      <w:r w:rsidR="00C022C1">
        <w:t>,</w:t>
      </w:r>
      <w:r w:rsidRPr="00AB4F18">
        <w:t xml:space="preserve"> respectively, </w:t>
      </w:r>
      <w:r w:rsidR="004029DD" w:rsidRPr="00AB4F18">
        <w:t>and</w:t>
      </w:r>
      <w:r w:rsidRPr="00AB4F18">
        <w:t xml:space="preserve"> their alternatives, and shall make such information publicly available. It also provides that the secretariat shall make publicly available any other relevant information submitted by parties.</w:t>
      </w:r>
    </w:p>
    <w:p w14:paraId="4A656D58" w14:textId="0EE2E7A2" w:rsidR="00224608" w:rsidRPr="00AB4F18" w:rsidRDefault="00224608" w:rsidP="00765562">
      <w:pPr>
        <w:pStyle w:val="Normalnumber"/>
        <w:tabs>
          <w:tab w:val="clear" w:pos="1701"/>
        </w:tabs>
        <w:ind w:left="1247"/>
        <w:rPr>
          <w:bCs/>
        </w:rPr>
      </w:pPr>
      <w:r w:rsidRPr="00AB4F18">
        <w:t xml:space="preserve">Article 17 provides for information exchange </w:t>
      </w:r>
      <w:r w:rsidR="00692E09" w:rsidRPr="00AB4F18">
        <w:t xml:space="preserve">between </w:t>
      </w:r>
      <w:r w:rsidR="007C75F5" w:rsidRPr="00AB4F18">
        <w:t xml:space="preserve">parties, </w:t>
      </w:r>
      <w:r w:rsidRPr="00AB4F18">
        <w:t>including information on technically and economically</w:t>
      </w:r>
      <w:r w:rsidRPr="00AB4F18">
        <w:rPr>
          <w:bCs/>
        </w:rPr>
        <w:t xml:space="preserve"> viable alternatives to mercury-added products and manufacturing processes in which mercury or mercury compounds are used. </w:t>
      </w:r>
      <w:r w:rsidR="00692E09" w:rsidRPr="00AB4F18">
        <w:rPr>
          <w:bCs/>
        </w:rPr>
        <w:t>P</w:t>
      </w:r>
      <w:r w:rsidRPr="00AB4F18">
        <w:rPr>
          <w:bCs/>
        </w:rPr>
        <w:t xml:space="preserve">aragraph 3 </w:t>
      </w:r>
      <w:r w:rsidR="00692E09" w:rsidRPr="00AB4F18">
        <w:rPr>
          <w:bCs/>
        </w:rPr>
        <w:t xml:space="preserve">of the article </w:t>
      </w:r>
      <w:r w:rsidRPr="00AB4F18">
        <w:rPr>
          <w:bCs/>
        </w:rPr>
        <w:t xml:space="preserve">provides that the secretariat shall facilitate cooperation in the exchange of information </w:t>
      </w:r>
      <w:r w:rsidR="00692E09" w:rsidRPr="00AB4F18">
        <w:t xml:space="preserve">between </w:t>
      </w:r>
      <w:r w:rsidRPr="00AB4F18">
        <w:rPr>
          <w:bCs/>
        </w:rPr>
        <w:t>parties</w:t>
      </w:r>
      <w:r w:rsidR="00692E09" w:rsidRPr="00AB4F18">
        <w:rPr>
          <w:bCs/>
        </w:rPr>
        <w:t xml:space="preserve"> and </w:t>
      </w:r>
      <w:r w:rsidRPr="00AB4F18">
        <w:rPr>
          <w:bCs/>
        </w:rPr>
        <w:t>with relevant organizations, including the secretariats of multilateral environmental agreements and other international initiatives.</w:t>
      </w:r>
    </w:p>
    <w:p w14:paraId="05C4D43E" w14:textId="31DCF2AA" w:rsidR="00224608" w:rsidRPr="00AB4F18" w:rsidRDefault="00224608" w:rsidP="00765562">
      <w:pPr>
        <w:pStyle w:val="Normalnumber"/>
        <w:tabs>
          <w:tab w:val="clear" w:pos="1701"/>
        </w:tabs>
        <w:ind w:left="1247"/>
        <w:rPr>
          <w:bCs/>
        </w:rPr>
      </w:pPr>
      <w:r w:rsidRPr="00AB4F18">
        <w:rPr>
          <w:bCs/>
        </w:rPr>
        <w:t>Information submitted by parties and other stakeholders pursuant to the</w:t>
      </w:r>
      <w:r w:rsidR="00692E09" w:rsidRPr="00AB4F18">
        <w:rPr>
          <w:bCs/>
        </w:rPr>
        <w:t xml:space="preserve"> above</w:t>
      </w:r>
      <w:r w:rsidR="001F6F74" w:rsidRPr="00AB4F18">
        <w:rPr>
          <w:bCs/>
        </w:rPr>
        <w:t>-mentioned</w:t>
      </w:r>
      <w:r w:rsidR="00692E09" w:rsidRPr="00AB4F18">
        <w:rPr>
          <w:bCs/>
        </w:rPr>
        <w:t xml:space="preserve"> </w:t>
      </w:r>
      <w:r w:rsidRPr="00AB4F18">
        <w:rPr>
          <w:bCs/>
        </w:rPr>
        <w:t xml:space="preserve">provisions has been made available on </w:t>
      </w:r>
      <w:r w:rsidRPr="00AB4F18">
        <w:t>the</w:t>
      </w:r>
      <w:r w:rsidRPr="00AB4F18">
        <w:rPr>
          <w:bCs/>
        </w:rPr>
        <w:t xml:space="preserve"> website of the Convention.</w:t>
      </w:r>
      <w:r w:rsidRPr="00AB4F18">
        <w:rPr>
          <w:rStyle w:val="FootnoteReference"/>
          <w:bCs/>
        </w:rPr>
        <w:footnoteReference w:id="2"/>
      </w:r>
    </w:p>
    <w:p w14:paraId="43FF7602" w14:textId="77777777" w:rsidR="000C65B1" w:rsidRPr="00AB4F18" w:rsidRDefault="007E65A8" w:rsidP="00A7603F">
      <w:pPr>
        <w:pStyle w:val="CH2"/>
      </w:pPr>
      <w:r w:rsidRPr="00AB4F18">
        <w:tab/>
      </w:r>
      <w:r w:rsidRPr="00AB4F18">
        <w:tab/>
      </w:r>
      <w:r w:rsidR="000C65B1" w:rsidRPr="00AB4F18">
        <w:t>Suggested action by the Conference of the Parties</w:t>
      </w:r>
    </w:p>
    <w:p w14:paraId="35C61159" w14:textId="2DD7DFC7" w:rsidR="00944E96" w:rsidRPr="00944E96" w:rsidRDefault="00C54468" w:rsidP="00024D73">
      <w:pPr>
        <w:pStyle w:val="Normalnumber"/>
        <w:tabs>
          <w:tab w:val="clear" w:pos="1701"/>
        </w:tabs>
        <w:ind w:left="1247"/>
      </w:pPr>
      <w:r w:rsidRPr="00AB4F18">
        <w:rPr>
          <w:bCs/>
        </w:rPr>
        <w:t xml:space="preserve">A draft decision is set out in the annex to the present note. </w:t>
      </w:r>
      <w:r w:rsidR="000C65B1" w:rsidRPr="00AB4F18">
        <w:rPr>
          <w:bCs/>
        </w:rPr>
        <w:t xml:space="preserve">The Conference of the Parties may wish to </w:t>
      </w:r>
      <w:r w:rsidR="00224608" w:rsidRPr="00AB4F18">
        <w:rPr>
          <w:bCs/>
        </w:rPr>
        <w:t xml:space="preserve">consider </w:t>
      </w:r>
      <w:r w:rsidRPr="00AB4F18">
        <w:rPr>
          <w:bCs/>
        </w:rPr>
        <w:t>the process for the review of annexes A and B</w:t>
      </w:r>
      <w:r w:rsidR="00757480">
        <w:rPr>
          <w:bCs/>
        </w:rPr>
        <w:t xml:space="preserve"> </w:t>
      </w:r>
      <w:r w:rsidR="00757480" w:rsidRPr="00753DE7">
        <w:t>to the Convention</w:t>
      </w:r>
      <w:r w:rsidR="000C65B1" w:rsidRPr="00AB4F18">
        <w:rPr>
          <w:bCs/>
        </w:rPr>
        <w:t xml:space="preserve">. </w:t>
      </w:r>
    </w:p>
    <w:p w14:paraId="6A44C016" w14:textId="6FC00D2B" w:rsidR="000C65B1" w:rsidRPr="00AB4F18" w:rsidRDefault="000C65B1" w:rsidP="00024D73">
      <w:pPr>
        <w:pStyle w:val="Normalnumber"/>
        <w:tabs>
          <w:tab w:val="clear" w:pos="1701"/>
        </w:tabs>
        <w:ind w:left="1247"/>
      </w:pPr>
      <w:r w:rsidRPr="00AB4F18">
        <w:br w:type="page"/>
      </w:r>
    </w:p>
    <w:p w14:paraId="7B780EE1" w14:textId="1D3750AC" w:rsidR="009E40F6" w:rsidRPr="00AB4F18" w:rsidRDefault="000C65B1" w:rsidP="00A7603F">
      <w:pPr>
        <w:pStyle w:val="ZZAnxheader"/>
      </w:pPr>
      <w:r w:rsidRPr="00AB4F18">
        <w:lastRenderedPageBreak/>
        <w:t>Annex</w:t>
      </w:r>
    </w:p>
    <w:p w14:paraId="0CA9E910" w14:textId="3A467DE1" w:rsidR="009E40F6" w:rsidRPr="00AB4F18" w:rsidRDefault="009E40F6" w:rsidP="00A7603F">
      <w:pPr>
        <w:pStyle w:val="ZZAnxtitle"/>
      </w:pPr>
      <w:r w:rsidRPr="00AB4F18">
        <w:t>Draft decision MC-3</w:t>
      </w:r>
      <w:proofErr w:type="gramStart"/>
      <w:r w:rsidRPr="00AB4F18">
        <w:t>/[</w:t>
      </w:r>
      <w:proofErr w:type="gramEnd"/>
      <w:r w:rsidR="00FB47CD">
        <w:t>--</w:t>
      </w:r>
      <w:r w:rsidRPr="00AB4F18">
        <w:t>]: Review of annex</w:t>
      </w:r>
      <w:r w:rsidR="00536462" w:rsidRPr="00AB4F18">
        <w:t>es</w:t>
      </w:r>
      <w:r w:rsidRPr="00AB4F18">
        <w:t xml:space="preserve"> A </w:t>
      </w:r>
      <w:r w:rsidR="00536462" w:rsidRPr="00AB4F18">
        <w:t>and B</w:t>
      </w:r>
    </w:p>
    <w:p w14:paraId="3CAB2334" w14:textId="77777777" w:rsidR="009E40F6" w:rsidRPr="00AB4F18" w:rsidRDefault="009E40F6" w:rsidP="00AB4F18">
      <w:pPr>
        <w:pStyle w:val="Normal-pool"/>
        <w:tabs>
          <w:tab w:val="clear" w:pos="1247"/>
          <w:tab w:val="clear" w:pos="1814"/>
          <w:tab w:val="clear" w:pos="2381"/>
          <w:tab w:val="clear" w:pos="2948"/>
          <w:tab w:val="clear" w:pos="3515"/>
          <w:tab w:val="left" w:pos="624"/>
        </w:tabs>
        <w:spacing w:after="120"/>
        <w:ind w:left="1247" w:firstLine="624"/>
        <w:rPr>
          <w:i/>
          <w:iCs/>
        </w:rPr>
      </w:pPr>
      <w:r w:rsidRPr="00AB4F18">
        <w:rPr>
          <w:i/>
          <w:iCs/>
        </w:rPr>
        <w:t>The Conference of the Parties,</w:t>
      </w:r>
    </w:p>
    <w:p w14:paraId="0C725570" w14:textId="0456422C" w:rsidR="009E40F6" w:rsidRPr="00AB4F18" w:rsidRDefault="009E40F6" w:rsidP="00AB4F18">
      <w:pPr>
        <w:pStyle w:val="Normal-pool"/>
        <w:tabs>
          <w:tab w:val="clear" w:pos="1247"/>
          <w:tab w:val="clear" w:pos="1814"/>
          <w:tab w:val="clear" w:pos="2381"/>
          <w:tab w:val="clear" w:pos="2948"/>
          <w:tab w:val="clear" w:pos="3515"/>
          <w:tab w:val="left" w:pos="624"/>
        </w:tabs>
        <w:spacing w:after="120"/>
        <w:ind w:left="1247" w:firstLine="624"/>
      </w:pPr>
      <w:r w:rsidRPr="00AB4F18">
        <w:rPr>
          <w:i/>
          <w:iCs/>
        </w:rPr>
        <w:t>Rec</w:t>
      </w:r>
      <w:r w:rsidR="0022584B" w:rsidRPr="00AB4F18">
        <w:rPr>
          <w:i/>
          <w:iCs/>
        </w:rPr>
        <w:t>alling</w:t>
      </w:r>
      <w:r w:rsidRPr="00AB4F18">
        <w:t xml:space="preserve"> </w:t>
      </w:r>
      <w:r w:rsidRPr="00BD6D2F">
        <w:t>that paragraph 8</w:t>
      </w:r>
      <w:r w:rsidRPr="00AB4F18">
        <w:t xml:space="preserve"> of article 4 </w:t>
      </w:r>
      <w:r w:rsidR="00536462" w:rsidRPr="00AB4F18">
        <w:t xml:space="preserve">and paragraph 10 of article 5 </w:t>
      </w:r>
      <w:r w:rsidRPr="00AB4F18">
        <w:t>of the Convention require</w:t>
      </w:r>
      <w:r w:rsidR="00536462" w:rsidRPr="00AB4F18">
        <w:t xml:space="preserve"> </w:t>
      </w:r>
      <w:r w:rsidRPr="00AB4F18">
        <w:t xml:space="preserve">the Conference of the </w:t>
      </w:r>
      <w:r w:rsidR="00DA37B4" w:rsidRPr="00AB4F18">
        <w:t>P</w:t>
      </w:r>
      <w:r w:rsidRPr="00AB4F18">
        <w:t xml:space="preserve">arties to review </w:t>
      </w:r>
      <w:r w:rsidR="00536462" w:rsidRPr="00AB4F18">
        <w:t>a</w:t>
      </w:r>
      <w:r w:rsidRPr="00AB4F18">
        <w:t>nnex</w:t>
      </w:r>
      <w:r w:rsidR="00536462" w:rsidRPr="00AB4F18">
        <w:t>es</w:t>
      </w:r>
      <w:r w:rsidRPr="00AB4F18">
        <w:t xml:space="preserve"> A</w:t>
      </w:r>
      <w:r w:rsidR="00536462" w:rsidRPr="00AB4F18">
        <w:t xml:space="preserve"> and B respectively</w:t>
      </w:r>
      <w:r w:rsidRPr="00AB4F18">
        <w:t xml:space="preserve"> no later than five years after the date of entry into force of the Convention,</w:t>
      </w:r>
    </w:p>
    <w:p w14:paraId="6402F6EE" w14:textId="096494C4" w:rsidR="0034087A" w:rsidRPr="00AB4F18" w:rsidRDefault="0034087A" w:rsidP="00AB4F18">
      <w:pPr>
        <w:pStyle w:val="Normal-pool"/>
        <w:tabs>
          <w:tab w:val="clear" w:pos="1247"/>
          <w:tab w:val="clear" w:pos="1814"/>
          <w:tab w:val="clear" w:pos="2381"/>
          <w:tab w:val="clear" w:pos="2948"/>
          <w:tab w:val="clear" w:pos="3515"/>
          <w:tab w:val="left" w:pos="624"/>
        </w:tabs>
        <w:spacing w:after="120"/>
        <w:ind w:left="1247" w:firstLine="624"/>
      </w:pPr>
      <w:bookmarkStart w:id="5" w:name="_Hlk15060905"/>
      <w:r w:rsidRPr="00AB4F18">
        <w:rPr>
          <w:i/>
          <w:iCs/>
        </w:rPr>
        <w:t xml:space="preserve">Recalling also </w:t>
      </w:r>
      <w:r w:rsidRPr="00AB4F18">
        <w:t>that paragraph 9 of article 4 and paragraph 11</w:t>
      </w:r>
      <w:r w:rsidR="00807CF2" w:rsidRPr="00AB4F18">
        <w:t xml:space="preserve"> </w:t>
      </w:r>
      <w:r w:rsidRPr="00AB4F18">
        <w:t xml:space="preserve">of article 5 establish what the Conference of the Parties shall, at least, take into account in reviewing </w:t>
      </w:r>
      <w:r w:rsidR="007F41C2" w:rsidRPr="00AB4F18">
        <w:t>annexes</w:t>
      </w:r>
      <w:r w:rsidRPr="00AB4F18">
        <w:t xml:space="preserve"> A and B</w:t>
      </w:r>
      <w:r w:rsidR="00757480" w:rsidRPr="00757480">
        <w:t xml:space="preserve"> </w:t>
      </w:r>
      <w:r w:rsidR="00757480" w:rsidRPr="00753DE7">
        <w:t>to the Convention</w:t>
      </w:r>
      <w:r w:rsidR="00BD6D2F">
        <w:t>,</w:t>
      </w:r>
      <w:r w:rsidRPr="00AB4F18">
        <w:t xml:space="preserve"> respectively,</w:t>
      </w:r>
    </w:p>
    <w:bookmarkEnd w:id="5"/>
    <w:p w14:paraId="19447179" w14:textId="164996F4" w:rsidR="009E40F6" w:rsidRPr="00AB4F18" w:rsidRDefault="0034087A" w:rsidP="00AB4F18">
      <w:pPr>
        <w:pStyle w:val="Normal-pool"/>
        <w:tabs>
          <w:tab w:val="clear" w:pos="1247"/>
          <w:tab w:val="clear" w:pos="1814"/>
          <w:tab w:val="clear" w:pos="2381"/>
          <w:tab w:val="clear" w:pos="2948"/>
          <w:tab w:val="clear" w:pos="3515"/>
          <w:tab w:val="left" w:pos="624"/>
        </w:tabs>
        <w:spacing w:after="120"/>
        <w:ind w:left="1247" w:firstLine="624"/>
      </w:pPr>
      <w:r w:rsidRPr="00AB4F18">
        <w:rPr>
          <w:i/>
          <w:iCs/>
        </w:rPr>
        <w:t>Taking into consideration</w:t>
      </w:r>
      <w:r w:rsidR="009E40F6" w:rsidRPr="00AB4F18">
        <w:t xml:space="preserve"> that paragraph 2 of article 4 of the Convention requires the Conference of the Parties, as part of the review process under paragraph 8</w:t>
      </w:r>
      <w:r w:rsidR="007F74EA" w:rsidRPr="00AB4F18">
        <w:t xml:space="preserve"> of article 4</w:t>
      </w:r>
      <w:r w:rsidR="009E40F6" w:rsidRPr="00AB4F18">
        <w:t xml:space="preserve">, to review the progress and the effectiveness of the measures taken under paragraph 2 </w:t>
      </w:r>
      <w:r w:rsidR="007A0B56" w:rsidRPr="00AB4F18">
        <w:t xml:space="preserve">of </w:t>
      </w:r>
      <w:r w:rsidR="009E40F6" w:rsidRPr="00AB4F18">
        <w:t>article 4,</w:t>
      </w:r>
    </w:p>
    <w:p w14:paraId="5222F715" w14:textId="7757E869" w:rsidR="00F61AB4" w:rsidRPr="00AB4F18" w:rsidRDefault="001867BA" w:rsidP="00AB4F18">
      <w:pPr>
        <w:pStyle w:val="Normal-pool"/>
        <w:tabs>
          <w:tab w:val="clear" w:pos="1247"/>
          <w:tab w:val="clear" w:pos="1814"/>
          <w:tab w:val="clear" w:pos="2381"/>
          <w:tab w:val="clear" w:pos="2948"/>
          <w:tab w:val="clear" w:pos="3515"/>
          <w:tab w:val="clear" w:pos="4082"/>
          <w:tab w:val="left" w:pos="624"/>
        </w:tabs>
        <w:spacing w:after="120"/>
        <w:ind w:left="1247" w:firstLine="624"/>
        <w:rPr>
          <w:rFonts w:eastAsia="MS PGothic"/>
        </w:rPr>
      </w:pPr>
      <w:r w:rsidRPr="00944E96">
        <w:rPr>
          <w:rFonts w:eastAsia="MS PGothic"/>
        </w:rPr>
        <w:t>1.</w:t>
      </w:r>
      <w:r w:rsidRPr="00944E96">
        <w:rPr>
          <w:rFonts w:eastAsia="MS PGothic"/>
        </w:rPr>
        <w:tab/>
      </w:r>
      <w:r w:rsidR="00F61AB4" w:rsidRPr="00AB4F18">
        <w:rPr>
          <w:rFonts w:eastAsia="MS PGothic"/>
          <w:i/>
        </w:rPr>
        <w:t>Decides</w:t>
      </w:r>
      <w:r w:rsidR="00F61AB4" w:rsidRPr="00AB4F18">
        <w:rPr>
          <w:rFonts w:eastAsia="MS PGothic"/>
        </w:rPr>
        <w:t xml:space="preserve"> to establish a</w:t>
      </w:r>
      <w:r w:rsidR="00551915" w:rsidRPr="00AB4F18">
        <w:rPr>
          <w:rFonts w:eastAsia="MS PGothic"/>
        </w:rPr>
        <w:t>n ad</w:t>
      </w:r>
      <w:r w:rsidR="007A0B56" w:rsidRPr="00AB4F18">
        <w:rPr>
          <w:rFonts w:eastAsia="MS PGothic"/>
        </w:rPr>
        <w:t xml:space="preserve"> </w:t>
      </w:r>
      <w:r w:rsidR="00551915" w:rsidRPr="00AB4F18">
        <w:rPr>
          <w:rFonts w:eastAsia="MS PGothic"/>
        </w:rPr>
        <w:t>hoc</w:t>
      </w:r>
      <w:r w:rsidR="00F61AB4" w:rsidRPr="00AB4F18">
        <w:rPr>
          <w:rFonts w:eastAsia="MS PGothic"/>
        </w:rPr>
        <w:t xml:space="preserve"> group of experts with terms of reference </w:t>
      </w:r>
      <w:r w:rsidR="007A0B56" w:rsidRPr="00AB4F18">
        <w:rPr>
          <w:rFonts w:eastAsia="MS PGothic"/>
        </w:rPr>
        <w:t xml:space="preserve">as </w:t>
      </w:r>
      <w:r w:rsidR="00F61AB4" w:rsidRPr="00AB4F18">
        <w:rPr>
          <w:rFonts w:eastAsia="MS PGothic"/>
        </w:rPr>
        <w:t xml:space="preserve">set out in the </w:t>
      </w:r>
      <w:r w:rsidR="00DE5C2A" w:rsidRPr="00AB4F18">
        <w:rPr>
          <w:rFonts w:eastAsia="MS PGothic"/>
        </w:rPr>
        <w:t>appendix</w:t>
      </w:r>
      <w:r w:rsidR="00F61AB4" w:rsidRPr="00AB4F18">
        <w:rPr>
          <w:rFonts w:eastAsia="MS PGothic"/>
        </w:rPr>
        <w:t xml:space="preserve"> to the present decision;</w:t>
      </w:r>
    </w:p>
    <w:p w14:paraId="226DC329" w14:textId="44FD2CD4" w:rsidR="00F61AB4" w:rsidRPr="00AB4F18" w:rsidRDefault="001867BA" w:rsidP="00AB4F18">
      <w:pPr>
        <w:pStyle w:val="Normal-pool"/>
        <w:tabs>
          <w:tab w:val="clear" w:pos="1247"/>
          <w:tab w:val="clear" w:pos="1814"/>
          <w:tab w:val="clear" w:pos="2381"/>
          <w:tab w:val="clear" w:pos="2948"/>
          <w:tab w:val="clear" w:pos="3515"/>
          <w:tab w:val="clear" w:pos="4082"/>
          <w:tab w:val="left" w:pos="624"/>
        </w:tabs>
        <w:spacing w:after="120"/>
        <w:ind w:left="1247" w:firstLine="624"/>
        <w:rPr>
          <w:rFonts w:eastAsia="MS PGothic"/>
        </w:rPr>
      </w:pPr>
      <w:r w:rsidRPr="00944E96">
        <w:rPr>
          <w:rFonts w:eastAsia="MS PGothic"/>
          <w:iCs/>
        </w:rPr>
        <w:t>2.</w:t>
      </w:r>
      <w:r w:rsidRPr="00944E96">
        <w:rPr>
          <w:rFonts w:eastAsia="MS PGothic"/>
          <w:iCs/>
        </w:rPr>
        <w:tab/>
      </w:r>
      <w:r w:rsidR="00F61AB4" w:rsidRPr="00AB4F18">
        <w:rPr>
          <w:rFonts w:eastAsia="MS PGothic"/>
          <w:i/>
          <w:iCs/>
        </w:rPr>
        <w:t xml:space="preserve">Requests </w:t>
      </w:r>
      <w:r w:rsidR="00F61AB4" w:rsidRPr="00AB4F18">
        <w:rPr>
          <w:rFonts w:eastAsia="MS PGothic"/>
        </w:rPr>
        <w:t xml:space="preserve">the secretariat to call for nominations, through the Bureau representatives, for </w:t>
      </w:r>
      <w:r w:rsidR="00912C2C" w:rsidRPr="00AB4F18">
        <w:rPr>
          <w:rFonts w:eastAsia="MS PGothic"/>
        </w:rPr>
        <w:t xml:space="preserve">four </w:t>
      </w:r>
      <w:r w:rsidR="00F61AB4" w:rsidRPr="00AB4F18">
        <w:rPr>
          <w:rFonts w:eastAsia="MS PGothic"/>
        </w:rPr>
        <w:t xml:space="preserve">experts from parties from </w:t>
      </w:r>
      <w:r w:rsidR="00F61AB4" w:rsidRPr="00AB4F18">
        <w:t>each</w:t>
      </w:r>
      <w:r w:rsidR="00F61AB4" w:rsidRPr="00AB4F18">
        <w:rPr>
          <w:rFonts w:eastAsia="MS PGothic"/>
        </w:rPr>
        <w:t xml:space="preserve"> of the five United Nations </w:t>
      </w:r>
      <w:r w:rsidR="0034087A" w:rsidRPr="00AB4F18">
        <w:rPr>
          <w:rFonts w:eastAsia="MS PGothic"/>
        </w:rPr>
        <w:t xml:space="preserve">regions </w:t>
      </w:r>
      <w:r w:rsidR="00F61AB4" w:rsidRPr="00AB4F18">
        <w:rPr>
          <w:rFonts w:eastAsia="MS PGothic"/>
        </w:rPr>
        <w:t xml:space="preserve">by </w:t>
      </w:r>
      <w:r w:rsidR="00536462" w:rsidRPr="00AB4F18">
        <w:rPr>
          <w:rFonts w:eastAsia="MS PGothic"/>
        </w:rPr>
        <w:t>29</w:t>
      </w:r>
      <w:r w:rsidR="00F61AB4" w:rsidRPr="00AB4F18">
        <w:rPr>
          <w:rFonts w:eastAsia="MS PGothic"/>
        </w:rPr>
        <w:t> </w:t>
      </w:r>
      <w:r w:rsidR="000468F2" w:rsidRPr="00AB4F18">
        <w:rPr>
          <w:rFonts w:eastAsia="MS PGothic"/>
        </w:rPr>
        <w:t>February</w:t>
      </w:r>
      <w:r w:rsidR="00F61AB4" w:rsidRPr="00AB4F18">
        <w:rPr>
          <w:rFonts w:eastAsia="MS PGothic"/>
        </w:rPr>
        <w:t xml:space="preserve"> 20</w:t>
      </w:r>
      <w:r w:rsidR="000468F2" w:rsidRPr="00AB4F18">
        <w:rPr>
          <w:rFonts w:eastAsia="MS PGothic"/>
        </w:rPr>
        <w:t>20</w:t>
      </w:r>
      <w:r w:rsidR="00F61AB4" w:rsidRPr="00AB4F18">
        <w:rPr>
          <w:rFonts w:eastAsia="MS PGothic"/>
        </w:rPr>
        <w:t xml:space="preserve">, and to support the work of the </w:t>
      </w:r>
      <w:r w:rsidR="00AD63BD">
        <w:rPr>
          <w:rFonts w:eastAsia="MS PGothic"/>
        </w:rPr>
        <w:t xml:space="preserve">ad hoc </w:t>
      </w:r>
      <w:r w:rsidR="00F61AB4" w:rsidRPr="00AB4F18">
        <w:rPr>
          <w:rFonts w:eastAsia="MS PGothic"/>
        </w:rPr>
        <w:t>group</w:t>
      </w:r>
      <w:r w:rsidR="00A70057">
        <w:rPr>
          <w:rFonts w:eastAsia="MS PGothic"/>
        </w:rPr>
        <w:t xml:space="preserve"> of experts</w:t>
      </w:r>
      <w:r w:rsidR="00F61AB4" w:rsidRPr="00AB4F18">
        <w:rPr>
          <w:rFonts w:eastAsia="MS PGothic"/>
        </w:rPr>
        <w:t>;</w:t>
      </w:r>
    </w:p>
    <w:p w14:paraId="2D14E806" w14:textId="3269A65D" w:rsidR="00696087" w:rsidRPr="00AB4F18" w:rsidRDefault="001867BA" w:rsidP="00AB4F18">
      <w:pPr>
        <w:pStyle w:val="Normal-pool"/>
        <w:tabs>
          <w:tab w:val="clear" w:pos="1247"/>
          <w:tab w:val="clear" w:pos="1814"/>
          <w:tab w:val="clear" w:pos="2381"/>
          <w:tab w:val="clear" w:pos="2948"/>
          <w:tab w:val="clear" w:pos="3515"/>
          <w:tab w:val="clear" w:pos="4082"/>
          <w:tab w:val="left" w:pos="624"/>
        </w:tabs>
        <w:spacing w:after="120"/>
        <w:ind w:left="1247" w:firstLine="624"/>
      </w:pPr>
      <w:r w:rsidRPr="00944E96">
        <w:rPr>
          <w:iCs/>
        </w:rPr>
        <w:t>3.</w:t>
      </w:r>
      <w:r w:rsidRPr="00944E96">
        <w:rPr>
          <w:iCs/>
        </w:rPr>
        <w:tab/>
      </w:r>
      <w:r w:rsidR="00696087" w:rsidRPr="00AB4F18">
        <w:rPr>
          <w:i/>
          <w:iCs/>
        </w:rPr>
        <w:t>Requests</w:t>
      </w:r>
      <w:r w:rsidR="00696087" w:rsidRPr="00AB4F18">
        <w:t xml:space="preserve"> part</w:t>
      </w:r>
      <w:r w:rsidR="0034087A" w:rsidRPr="00AB4F18">
        <w:t>ies</w:t>
      </w:r>
      <w:r w:rsidR="00696087" w:rsidRPr="00AB4F18">
        <w:t xml:space="preserve"> that ha</w:t>
      </w:r>
      <w:r w:rsidR="0034087A" w:rsidRPr="00AB4F18">
        <w:t>ve</w:t>
      </w:r>
      <w:r w:rsidR="00696087" w:rsidRPr="00AB4F18">
        <w:t xml:space="preserve"> notified the secretariat at the time of </w:t>
      </w:r>
      <w:r w:rsidR="0034087A" w:rsidRPr="00AB4F18">
        <w:t>their</w:t>
      </w:r>
      <w:r w:rsidR="00696087" w:rsidRPr="00AB4F18">
        <w:t xml:space="preserve"> ratification </w:t>
      </w:r>
      <w:r w:rsidR="0034087A" w:rsidRPr="00AB4F18">
        <w:t xml:space="preserve">of the </w:t>
      </w:r>
      <w:r w:rsidR="00AA6407" w:rsidRPr="00AB4F18">
        <w:t>C</w:t>
      </w:r>
      <w:r w:rsidR="0034087A" w:rsidRPr="00AB4F18">
        <w:t xml:space="preserve">onvention </w:t>
      </w:r>
      <w:r w:rsidR="00696087" w:rsidRPr="00AB4F18">
        <w:t xml:space="preserve">that </w:t>
      </w:r>
      <w:r w:rsidR="0034087A" w:rsidRPr="00AB4F18">
        <w:t>they</w:t>
      </w:r>
      <w:r w:rsidR="00696087" w:rsidRPr="00AB4F18">
        <w:t xml:space="preserve"> will implement different measures or strategies to address products listed in part I of annex A to report</w:t>
      </w:r>
      <w:r w:rsidR="00AA6407" w:rsidRPr="00AB4F18">
        <w:t>,</w:t>
      </w:r>
      <w:r w:rsidR="00696087" w:rsidRPr="00AB4F18">
        <w:t xml:space="preserve"> </w:t>
      </w:r>
      <w:r w:rsidR="00AA6407" w:rsidRPr="00AB4F18">
        <w:t xml:space="preserve">by 30 June 2020, </w:t>
      </w:r>
      <w:r w:rsidR="00696087" w:rsidRPr="00AB4F18">
        <w:t xml:space="preserve">on the measures or strategies </w:t>
      </w:r>
      <w:r w:rsidR="0034087A" w:rsidRPr="00AB4F18">
        <w:t>they have</w:t>
      </w:r>
      <w:r w:rsidR="00696087" w:rsidRPr="00AB4F18">
        <w:t xml:space="preserve"> implemented, including a quantification of the reductions achieved</w:t>
      </w:r>
      <w:r w:rsidR="00536462" w:rsidRPr="00AB4F18">
        <w:t>;</w:t>
      </w:r>
    </w:p>
    <w:p w14:paraId="6C8445A5" w14:textId="2526D9EB" w:rsidR="000468F2" w:rsidRPr="00AB4F18" w:rsidRDefault="001867BA" w:rsidP="00AB4F18">
      <w:pPr>
        <w:pStyle w:val="Normal-pool"/>
        <w:tabs>
          <w:tab w:val="clear" w:pos="1247"/>
          <w:tab w:val="clear" w:pos="1814"/>
          <w:tab w:val="clear" w:pos="2381"/>
          <w:tab w:val="clear" w:pos="2948"/>
          <w:tab w:val="clear" w:pos="3515"/>
          <w:tab w:val="clear" w:pos="4082"/>
          <w:tab w:val="left" w:pos="624"/>
        </w:tabs>
        <w:spacing w:after="120"/>
        <w:ind w:left="1247" w:firstLine="624"/>
        <w:rPr>
          <w:rFonts w:eastAsia="MS PGothic"/>
        </w:rPr>
      </w:pPr>
      <w:r w:rsidRPr="00944E96">
        <w:rPr>
          <w:rFonts w:eastAsia="MS PGothic"/>
          <w:iCs/>
        </w:rPr>
        <w:t>4.</w:t>
      </w:r>
      <w:r w:rsidRPr="00944E96">
        <w:rPr>
          <w:rFonts w:eastAsia="MS PGothic"/>
          <w:iCs/>
        </w:rPr>
        <w:tab/>
      </w:r>
      <w:r w:rsidR="00F61AB4" w:rsidRPr="00AB4F18">
        <w:rPr>
          <w:rFonts w:eastAsia="MS PGothic"/>
          <w:i/>
          <w:iCs/>
        </w:rPr>
        <w:t xml:space="preserve">Requests </w:t>
      </w:r>
      <w:r w:rsidR="00F61AB4" w:rsidRPr="00AB4F18">
        <w:rPr>
          <w:rFonts w:eastAsia="MS PGothic"/>
        </w:rPr>
        <w:t xml:space="preserve">the secretariat to </w:t>
      </w:r>
      <w:r w:rsidR="000468F2" w:rsidRPr="00AB4F18">
        <w:rPr>
          <w:rFonts w:eastAsia="MS PGothic"/>
        </w:rPr>
        <w:t xml:space="preserve">compile the submissions from parties for consideration by the </w:t>
      </w:r>
      <w:r w:rsidR="00AD63BD">
        <w:rPr>
          <w:rFonts w:eastAsia="MS PGothic"/>
        </w:rPr>
        <w:t xml:space="preserve">ad hoc </w:t>
      </w:r>
      <w:r w:rsidR="000468F2" w:rsidRPr="00AB4F18">
        <w:rPr>
          <w:rFonts w:eastAsia="MS PGothic"/>
        </w:rPr>
        <w:t>group</w:t>
      </w:r>
      <w:r w:rsidR="00A70057" w:rsidRPr="00A70057">
        <w:rPr>
          <w:rFonts w:eastAsia="MS PGothic"/>
        </w:rPr>
        <w:t xml:space="preserve"> </w:t>
      </w:r>
      <w:r w:rsidR="00A70057">
        <w:rPr>
          <w:rFonts w:eastAsia="MS PGothic"/>
        </w:rPr>
        <w:t>of experts</w:t>
      </w:r>
      <w:r w:rsidR="000468F2" w:rsidRPr="00AB4F18">
        <w:rPr>
          <w:rFonts w:eastAsia="MS PGothic"/>
        </w:rPr>
        <w:t>;</w:t>
      </w:r>
    </w:p>
    <w:p w14:paraId="75CACFE1" w14:textId="59C470F8" w:rsidR="00F61AB4" w:rsidRPr="00AB4F18" w:rsidRDefault="001867BA" w:rsidP="00AB4F18">
      <w:pPr>
        <w:pStyle w:val="Normal-pool"/>
        <w:tabs>
          <w:tab w:val="clear" w:pos="1247"/>
          <w:tab w:val="clear" w:pos="1814"/>
          <w:tab w:val="clear" w:pos="2381"/>
          <w:tab w:val="clear" w:pos="2948"/>
          <w:tab w:val="clear" w:pos="3515"/>
          <w:tab w:val="clear" w:pos="4082"/>
          <w:tab w:val="left" w:pos="624"/>
        </w:tabs>
        <w:spacing w:after="120"/>
        <w:ind w:left="1247" w:firstLine="624"/>
        <w:rPr>
          <w:rFonts w:eastAsia="MS PGothic"/>
        </w:rPr>
      </w:pPr>
      <w:bookmarkStart w:id="6" w:name="_Hlk15061071"/>
      <w:r w:rsidRPr="00944E96">
        <w:rPr>
          <w:rFonts w:eastAsia="MS PGothic"/>
          <w:iCs/>
        </w:rPr>
        <w:t>5.</w:t>
      </w:r>
      <w:r w:rsidRPr="00944E96">
        <w:rPr>
          <w:rFonts w:eastAsia="MS PGothic"/>
          <w:iCs/>
        </w:rPr>
        <w:tab/>
      </w:r>
      <w:r w:rsidR="000468F2" w:rsidRPr="00AB4F18">
        <w:rPr>
          <w:rFonts w:eastAsia="MS PGothic"/>
          <w:i/>
          <w:iCs/>
        </w:rPr>
        <w:t xml:space="preserve">Also requests </w:t>
      </w:r>
      <w:r w:rsidR="000468F2" w:rsidRPr="00AB4F18">
        <w:rPr>
          <w:rFonts w:eastAsia="MS PGothic"/>
        </w:rPr>
        <w:t xml:space="preserve">the secretariat, based on the report from the </w:t>
      </w:r>
      <w:r w:rsidR="00AD63BD">
        <w:rPr>
          <w:rFonts w:eastAsia="MS PGothic"/>
        </w:rPr>
        <w:t xml:space="preserve">ad hoc </w:t>
      </w:r>
      <w:r w:rsidR="000468F2" w:rsidRPr="00AB4F18">
        <w:rPr>
          <w:rFonts w:eastAsia="MS PGothic"/>
        </w:rPr>
        <w:t>group</w:t>
      </w:r>
      <w:r w:rsidR="00A70057" w:rsidRPr="00A70057">
        <w:rPr>
          <w:rFonts w:eastAsia="MS PGothic"/>
        </w:rPr>
        <w:t xml:space="preserve"> </w:t>
      </w:r>
      <w:r w:rsidR="00A70057">
        <w:rPr>
          <w:rFonts w:eastAsia="MS PGothic"/>
        </w:rPr>
        <w:t>of experts</w:t>
      </w:r>
      <w:r w:rsidR="000468F2" w:rsidRPr="00AB4F18">
        <w:rPr>
          <w:rFonts w:eastAsia="MS PGothic"/>
        </w:rPr>
        <w:t xml:space="preserve">, to prepare a document for </w:t>
      </w:r>
      <w:r w:rsidR="00696087" w:rsidRPr="00AB4F18">
        <w:rPr>
          <w:rFonts w:eastAsia="MS PGothic"/>
        </w:rPr>
        <w:t xml:space="preserve">consideration </w:t>
      </w:r>
      <w:r w:rsidR="00AA6407" w:rsidRPr="00AB4F18">
        <w:rPr>
          <w:rFonts w:eastAsia="MS PGothic"/>
        </w:rPr>
        <w:t xml:space="preserve">by </w:t>
      </w:r>
      <w:r w:rsidR="0060610D" w:rsidRPr="00AB4F18">
        <w:rPr>
          <w:rFonts w:eastAsia="MS PGothic"/>
        </w:rPr>
        <w:t xml:space="preserve">the Conference of the Parties at its </w:t>
      </w:r>
      <w:r w:rsidR="00696087" w:rsidRPr="00AB4F18">
        <w:rPr>
          <w:rFonts w:eastAsia="MS PGothic"/>
        </w:rPr>
        <w:t>fourth meeting</w:t>
      </w:r>
      <w:r w:rsidR="0060610D" w:rsidRPr="00AB4F18">
        <w:rPr>
          <w:rFonts w:eastAsia="MS PGothic"/>
        </w:rPr>
        <w:t xml:space="preserve">, </w:t>
      </w:r>
      <w:r w:rsidR="00E243AB" w:rsidRPr="00AB4F18">
        <w:rPr>
          <w:rFonts w:eastAsia="MS PGothic"/>
        </w:rPr>
        <w:t xml:space="preserve">noting that, </w:t>
      </w:r>
      <w:r w:rsidR="00AA6407" w:rsidRPr="00AB4F18">
        <w:rPr>
          <w:rFonts w:eastAsia="MS PGothic"/>
        </w:rPr>
        <w:t xml:space="preserve">should </w:t>
      </w:r>
      <w:r w:rsidR="00E243AB" w:rsidRPr="00AB4F18">
        <w:rPr>
          <w:rFonts w:eastAsia="MS PGothic"/>
        </w:rPr>
        <w:t>the document include proposed amendments to annex</w:t>
      </w:r>
      <w:r w:rsidR="00BD6959" w:rsidRPr="00AB4F18">
        <w:rPr>
          <w:rFonts w:eastAsia="MS PGothic"/>
        </w:rPr>
        <w:t>es</w:t>
      </w:r>
      <w:r w:rsidR="00E243AB" w:rsidRPr="00AB4F18">
        <w:rPr>
          <w:rFonts w:eastAsia="MS PGothic"/>
        </w:rPr>
        <w:t xml:space="preserve"> A or B, the secretariat is to communicate the </w:t>
      </w:r>
      <w:r w:rsidR="00BD6959" w:rsidRPr="00AB4F18">
        <w:rPr>
          <w:rFonts w:eastAsia="MS PGothic"/>
        </w:rPr>
        <w:t xml:space="preserve">text of any </w:t>
      </w:r>
      <w:r w:rsidR="00E243AB" w:rsidRPr="00AB4F18">
        <w:rPr>
          <w:rFonts w:eastAsia="MS PGothic"/>
        </w:rPr>
        <w:t>proposed amendment to the parties at least six months before the meeting of the Conference of the Parties at which it is proposed for adoption, pursuant to the provisions of paragraph 2 of article 26;</w:t>
      </w:r>
    </w:p>
    <w:p w14:paraId="0095DC55" w14:textId="6FD965DC" w:rsidR="00F61AB4" w:rsidRPr="00944E96" w:rsidRDefault="001867BA" w:rsidP="00AB4F18">
      <w:pPr>
        <w:pStyle w:val="Normal-pool"/>
        <w:tabs>
          <w:tab w:val="clear" w:pos="1247"/>
          <w:tab w:val="clear" w:pos="1814"/>
          <w:tab w:val="clear" w:pos="2381"/>
          <w:tab w:val="clear" w:pos="2948"/>
          <w:tab w:val="clear" w:pos="3515"/>
          <w:tab w:val="clear" w:pos="4082"/>
          <w:tab w:val="left" w:pos="624"/>
        </w:tabs>
        <w:spacing w:after="120"/>
        <w:ind w:left="1247" w:firstLine="624"/>
        <w:rPr>
          <w:rFonts w:eastAsia="MS PGothic"/>
          <w:b/>
        </w:rPr>
      </w:pPr>
      <w:r w:rsidRPr="00944E96">
        <w:rPr>
          <w:rFonts w:eastAsia="MS PGothic"/>
          <w:iCs/>
        </w:rPr>
        <w:t>6.</w:t>
      </w:r>
      <w:r w:rsidRPr="00944E96">
        <w:rPr>
          <w:rFonts w:eastAsia="MS PGothic"/>
          <w:iCs/>
        </w:rPr>
        <w:tab/>
      </w:r>
      <w:r w:rsidR="00F61AB4" w:rsidRPr="00AB4F18">
        <w:rPr>
          <w:rFonts w:eastAsia="MS PGothic"/>
          <w:i/>
          <w:iCs/>
        </w:rPr>
        <w:t xml:space="preserve">Decides </w:t>
      </w:r>
      <w:r w:rsidR="00F61AB4" w:rsidRPr="00AB4F18">
        <w:rPr>
          <w:rFonts w:eastAsia="MS PGothic"/>
        </w:rPr>
        <w:t xml:space="preserve">to review at its </w:t>
      </w:r>
      <w:r w:rsidR="00696087" w:rsidRPr="00AB4F18">
        <w:rPr>
          <w:rFonts w:eastAsia="MS PGothic"/>
        </w:rPr>
        <w:t>fourth</w:t>
      </w:r>
      <w:r w:rsidR="00F61AB4" w:rsidRPr="00AB4F18">
        <w:rPr>
          <w:rFonts w:eastAsia="MS PGothic"/>
        </w:rPr>
        <w:t xml:space="preserve"> meeting the progress achieved by the </w:t>
      </w:r>
      <w:r w:rsidR="00AD63BD">
        <w:rPr>
          <w:rFonts w:eastAsia="MS PGothic"/>
        </w:rPr>
        <w:t xml:space="preserve">ad hoc </w:t>
      </w:r>
      <w:r w:rsidR="00F61AB4" w:rsidRPr="00AB4F18">
        <w:rPr>
          <w:rFonts w:eastAsia="MS PGothic"/>
        </w:rPr>
        <w:t>group</w:t>
      </w:r>
      <w:r w:rsidR="00AD63BD">
        <w:rPr>
          <w:rFonts w:eastAsia="MS PGothic"/>
        </w:rPr>
        <w:t xml:space="preserve"> of experts</w:t>
      </w:r>
      <w:r w:rsidR="00F61AB4" w:rsidRPr="00AB4F18">
        <w:rPr>
          <w:rFonts w:eastAsia="MS PGothic"/>
        </w:rPr>
        <w:t xml:space="preserve">, and to </w:t>
      </w:r>
      <w:r w:rsidR="00696087" w:rsidRPr="00AB4F18">
        <w:rPr>
          <w:rFonts w:eastAsia="MS PGothic"/>
        </w:rPr>
        <w:t>consider</w:t>
      </w:r>
      <w:r w:rsidR="00AB4F18" w:rsidRPr="00AB4F18">
        <w:rPr>
          <w:rFonts w:eastAsia="MS PGothic"/>
        </w:rPr>
        <w:t xml:space="preserve"> further action.</w:t>
      </w:r>
    </w:p>
    <w:bookmarkEnd w:id="6"/>
    <w:p w14:paraId="10326A72" w14:textId="3AF10D48" w:rsidR="00F61AB4" w:rsidRPr="00AB4F18" w:rsidRDefault="00F61AB4" w:rsidP="00F61AB4">
      <w:pPr>
        <w:pStyle w:val="CH2"/>
      </w:pPr>
      <w:r w:rsidRPr="00AB4F18">
        <w:tab/>
      </w:r>
      <w:r w:rsidRPr="00AB4F18">
        <w:tab/>
      </w:r>
      <w:r w:rsidR="00696087" w:rsidRPr="00AB4F18">
        <w:t>Appendix</w:t>
      </w:r>
      <w:r w:rsidRPr="00AB4F18">
        <w:t xml:space="preserve"> to decision MC-</w:t>
      </w:r>
      <w:r w:rsidR="00696087" w:rsidRPr="00AB4F18">
        <w:t>3</w:t>
      </w:r>
      <w:proofErr w:type="gramStart"/>
      <w:r w:rsidRPr="00AB4F18">
        <w:t>/</w:t>
      </w:r>
      <w:r w:rsidR="00696087" w:rsidRPr="00AB4F18">
        <w:t>[</w:t>
      </w:r>
      <w:proofErr w:type="gramEnd"/>
      <w:r w:rsidR="00FB47CD">
        <w:t>--</w:t>
      </w:r>
      <w:r w:rsidR="00696087" w:rsidRPr="00AB4F18">
        <w:t>]</w:t>
      </w:r>
    </w:p>
    <w:p w14:paraId="792A486A" w14:textId="08223F73" w:rsidR="00F61AB4" w:rsidRPr="00AB4F18" w:rsidRDefault="00F61AB4" w:rsidP="00AB4F18">
      <w:pPr>
        <w:pStyle w:val="CH2"/>
      </w:pPr>
      <w:r w:rsidRPr="00AB4F18">
        <w:tab/>
      </w:r>
      <w:r w:rsidRPr="00AB4F18">
        <w:tab/>
        <w:t>Draft terms of reference for a</w:t>
      </w:r>
      <w:r w:rsidR="00551915" w:rsidRPr="00AB4F18">
        <w:t>n ad</w:t>
      </w:r>
      <w:r w:rsidR="00A856ED" w:rsidRPr="00AB4F18">
        <w:t xml:space="preserve"> </w:t>
      </w:r>
      <w:r w:rsidR="00551915" w:rsidRPr="00AB4F18">
        <w:t>hoc</w:t>
      </w:r>
      <w:r w:rsidRPr="00AB4F18">
        <w:t xml:space="preserve"> group of experts on </w:t>
      </w:r>
      <w:r w:rsidR="00696087" w:rsidRPr="00AB4F18">
        <w:t>mercury-added products and manufacturing processes in which mercury or mercury compounds are used</w:t>
      </w:r>
    </w:p>
    <w:p w14:paraId="66290E44" w14:textId="77777777" w:rsidR="00F61AB4" w:rsidRPr="00AB4F18" w:rsidRDefault="00F61AB4" w:rsidP="00765562">
      <w:pPr>
        <w:pStyle w:val="CH1"/>
      </w:pPr>
      <w:r w:rsidRPr="00AB4F18">
        <w:tab/>
      </w:r>
      <w:bookmarkStart w:id="7" w:name="_Toc7079414"/>
      <w:r w:rsidRPr="00AB4F18">
        <w:t>I.</w:t>
      </w:r>
      <w:r w:rsidRPr="00AB4F18">
        <w:tab/>
        <w:t>Mandate</w:t>
      </w:r>
      <w:bookmarkEnd w:id="7"/>
      <w:r w:rsidRPr="00AB4F18">
        <w:t xml:space="preserve"> </w:t>
      </w:r>
    </w:p>
    <w:p w14:paraId="5AD54962" w14:textId="4C9751FB" w:rsidR="00F61AB4" w:rsidRPr="00AB4F18" w:rsidRDefault="00F61AB4" w:rsidP="00765562">
      <w:pPr>
        <w:pStyle w:val="Normal-pool"/>
        <w:numPr>
          <w:ilvl w:val="0"/>
          <w:numId w:val="5"/>
        </w:numPr>
        <w:tabs>
          <w:tab w:val="left" w:pos="624"/>
        </w:tabs>
        <w:spacing w:after="120"/>
        <w:ind w:left="1247" w:firstLine="0"/>
      </w:pPr>
      <w:r w:rsidRPr="00AB4F18">
        <w:t xml:space="preserve">The Conference of the Parties to the Minamata Convention on Mercury at its </w:t>
      </w:r>
      <w:r w:rsidR="00696087" w:rsidRPr="00AB4F18">
        <w:t>third</w:t>
      </w:r>
      <w:r w:rsidRPr="00AB4F18">
        <w:t xml:space="preserve"> meeting, by decision MC-</w:t>
      </w:r>
      <w:r w:rsidR="00696087" w:rsidRPr="00AB4F18">
        <w:t>3</w:t>
      </w:r>
      <w:proofErr w:type="gramStart"/>
      <w:r w:rsidRPr="00AB4F18">
        <w:t>/</w:t>
      </w:r>
      <w:r w:rsidR="00696087" w:rsidRPr="00AB4F18">
        <w:t>[</w:t>
      </w:r>
      <w:proofErr w:type="gramEnd"/>
      <w:r w:rsidR="00D7752F">
        <w:t>--</w:t>
      </w:r>
      <w:r w:rsidR="00696087" w:rsidRPr="00AB4F18">
        <w:t>]</w:t>
      </w:r>
      <w:r w:rsidRPr="00AB4F18">
        <w:t>, established a</w:t>
      </w:r>
      <w:r w:rsidR="00551915" w:rsidRPr="00AB4F18">
        <w:t>n ad</w:t>
      </w:r>
      <w:r w:rsidR="003A19E3" w:rsidRPr="00AB4F18">
        <w:t xml:space="preserve"> </w:t>
      </w:r>
      <w:r w:rsidR="00551915" w:rsidRPr="00AB4F18">
        <w:t>hoc</w:t>
      </w:r>
      <w:r w:rsidRPr="00AB4F18">
        <w:t xml:space="preserve"> group of experts to</w:t>
      </w:r>
      <w:r w:rsidR="005C28CE" w:rsidRPr="00AB4F18">
        <w:t xml:space="preserve"> undertake the following</w:t>
      </w:r>
      <w:r w:rsidRPr="00AB4F18">
        <w:t>:</w:t>
      </w:r>
      <w:r w:rsidR="00D7752F">
        <w:t xml:space="preserve"> </w:t>
      </w:r>
    </w:p>
    <w:p w14:paraId="4CAFB59D" w14:textId="65466CE3" w:rsidR="00F61AB4" w:rsidRPr="00AB4F18" w:rsidRDefault="00536462" w:rsidP="00AB4F18">
      <w:pPr>
        <w:pStyle w:val="Normal-pool"/>
        <w:numPr>
          <w:ilvl w:val="1"/>
          <w:numId w:val="5"/>
        </w:numPr>
        <w:tabs>
          <w:tab w:val="clear" w:pos="1247"/>
          <w:tab w:val="clear" w:pos="1814"/>
          <w:tab w:val="clear" w:pos="2381"/>
          <w:tab w:val="clear" w:pos="2948"/>
          <w:tab w:val="clear" w:pos="3515"/>
          <w:tab w:val="clear" w:pos="4082"/>
          <w:tab w:val="left" w:pos="624"/>
        </w:tabs>
        <w:spacing w:after="120"/>
        <w:ind w:left="1247" w:firstLine="624"/>
      </w:pPr>
      <w:r w:rsidRPr="00AB4F18">
        <w:t>Review the</w:t>
      </w:r>
      <w:r w:rsidR="001D47B1" w:rsidRPr="00AB4F18">
        <w:t xml:space="preserve"> provisions of </w:t>
      </w:r>
      <w:r w:rsidR="00410918" w:rsidRPr="00AB4F18">
        <w:t>a</w:t>
      </w:r>
      <w:r w:rsidR="001D47B1" w:rsidRPr="00AB4F18">
        <w:t>nnexes A and B</w:t>
      </w:r>
      <w:r w:rsidR="00410918" w:rsidRPr="00AB4F18">
        <w:t xml:space="preserve"> to the Convention</w:t>
      </w:r>
      <w:r w:rsidR="001D47B1" w:rsidRPr="00AB4F18">
        <w:t xml:space="preserve">, </w:t>
      </w:r>
      <w:proofErr w:type="gramStart"/>
      <w:r w:rsidR="001D47B1" w:rsidRPr="00AB4F18">
        <w:t>taking into account</w:t>
      </w:r>
      <w:proofErr w:type="gramEnd"/>
      <w:r w:rsidR="001D47B1" w:rsidRPr="00AB4F18">
        <w:t xml:space="preserve"> the</w:t>
      </w:r>
      <w:r w:rsidR="00FE20B2" w:rsidRPr="00AB4F18">
        <w:t xml:space="preserve"> </w:t>
      </w:r>
      <w:r w:rsidR="00361B6B" w:rsidRPr="00AB4F18">
        <w:t xml:space="preserve">information </w:t>
      </w:r>
      <w:r w:rsidR="00FE20B2" w:rsidRPr="00AB4F18">
        <w:t xml:space="preserve">submitted </w:t>
      </w:r>
      <w:r w:rsidR="00361B6B" w:rsidRPr="00AB4F18">
        <w:t xml:space="preserve">by </w:t>
      </w:r>
      <w:r w:rsidR="00410918" w:rsidRPr="00AB4F18">
        <w:t>p</w:t>
      </w:r>
      <w:r w:rsidR="00361B6B" w:rsidRPr="00AB4F18">
        <w:t xml:space="preserve">arties pursuant to paragraph </w:t>
      </w:r>
      <w:r w:rsidR="00912C2C" w:rsidRPr="00AB4F18">
        <w:t xml:space="preserve">4 </w:t>
      </w:r>
      <w:r w:rsidR="00361B6B" w:rsidRPr="00AB4F18">
        <w:t xml:space="preserve">of article 4 and paragraph </w:t>
      </w:r>
      <w:r w:rsidR="00912C2C" w:rsidRPr="00AB4F18">
        <w:t xml:space="preserve">4 </w:t>
      </w:r>
      <w:r w:rsidR="00361B6B" w:rsidRPr="00AB4F18">
        <w:t>of article 5</w:t>
      </w:r>
      <w:r w:rsidR="001D47B1" w:rsidRPr="00AB4F18">
        <w:t xml:space="preserve">, </w:t>
      </w:r>
      <w:r w:rsidR="00361B6B" w:rsidRPr="00AB4F18">
        <w:t xml:space="preserve">any </w:t>
      </w:r>
      <w:r w:rsidR="00FE20B2" w:rsidRPr="00AB4F18">
        <w:t>report submitted pursuant to paragraph 2 of article 4</w:t>
      </w:r>
      <w:r w:rsidR="001D47B1" w:rsidRPr="00AB4F18">
        <w:t xml:space="preserve">, and </w:t>
      </w:r>
      <w:r w:rsidR="00FE20B2" w:rsidRPr="00AB4F18">
        <w:t>other information regarding mercury-added products</w:t>
      </w:r>
      <w:r w:rsidR="000403B8" w:rsidRPr="00AB4F18">
        <w:t xml:space="preserve"> and</w:t>
      </w:r>
      <w:r w:rsidR="00FE20B2" w:rsidRPr="00AB4F18">
        <w:t xml:space="preserve"> manufacturing processes in which mercury or mercury compounds are used, and their alternatives</w:t>
      </w:r>
      <w:r w:rsidR="00F61AB4" w:rsidRPr="00AB4F18">
        <w:t>;</w:t>
      </w:r>
    </w:p>
    <w:p w14:paraId="08DE5AFA" w14:textId="59CC4011" w:rsidR="00FE20B2" w:rsidRPr="00AB4F18" w:rsidRDefault="001D47B1" w:rsidP="00AB4F18">
      <w:pPr>
        <w:pStyle w:val="Normal-pool"/>
        <w:numPr>
          <w:ilvl w:val="1"/>
          <w:numId w:val="5"/>
        </w:numPr>
        <w:tabs>
          <w:tab w:val="clear" w:pos="1247"/>
          <w:tab w:val="clear" w:pos="1814"/>
          <w:tab w:val="clear" w:pos="2381"/>
          <w:tab w:val="clear" w:pos="2948"/>
          <w:tab w:val="clear" w:pos="3515"/>
          <w:tab w:val="clear" w:pos="4082"/>
          <w:tab w:val="left" w:pos="624"/>
        </w:tabs>
        <w:spacing w:after="120"/>
        <w:ind w:left="1247" w:firstLine="624"/>
      </w:pPr>
      <w:r w:rsidRPr="00AB4F18">
        <w:t xml:space="preserve">Submit its </w:t>
      </w:r>
      <w:r w:rsidR="00FE20B2" w:rsidRPr="00AB4F18">
        <w:t>report on the review of annexes A and B, including the progress and effectiveness of the measures taken under paragraph 2 of article 4, for the consideration by the Conference of the Parties at its fourth meeting</w:t>
      </w:r>
      <w:r w:rsidR="00551915" w:rsidRPr="00AB4F18">
        <w:t>;</w:t>
      </w:r>
    </w:p>
    <w:p w14:paraId="52416748" w14:textId="2122CBC2" w:rsidR="00551915" w:rsidRPr="00AB4F18" w:rsidRDefault="00551915" w:rsidP="00AB4F18">
      <w:pPr>
        <w:pStyle w:val="Normal-pool"/>
        <w:numPr>
          <w:ilvl w:val="1"/>
          <w:numId w:val="5"/>
        </w:numPr>
        <w:tabs>
          <w:tab w:val="clear" w:pos="1247"/>
          <w:tab w:val="clear" w:pos="1814"/>
          <w:tab w:val="clear" w:pos="2381"/>
          <w:tab w:val="clear" w:pos="2948"/>
          <w:tab w:val="clear" w:pos="3515"/>
          <w:tab w:val="clear" w:pos="4082"/>
          <w:tab w:val="left" w:pos="624"/>
        </w:tabs>
        <w:spacing w:after="120"/>
        <w:ind w:left="1247" w:firstLine="624"/>
        <w:rPr>
          <w:i/>
          <w:iCs/>
        </w:rPr>
      </w:pPr>
      <w:r w:rsidRPr="00944E96">
        <w:rPr>
          <w:iCs/>
        </w:rPr>
        <w:t>[</w:t>
      </w:r>
      <w:r w:rsidR="000A2B9C" w:rsidRPr="00AB4F18">
        <w:rPr>
          <w:i/>
          <w:iCs/>
        </w:rPr>
        <w:t>Another mandate m</w:t>
      </w:r>
      <w:r w:rsidR="000403B8" w:rsidRPr="00AB4F18">
        <w:rPr>
          <w:i/>
          <w:iCs/>
        </w:rPr>
        <w:t>ight</w:t>
      </w:r>
      <w:r w:rsidR="000A2B9C" w:rsidRPr="00AB4F18">
        <w:rPr>
          <w:i/>
          <w:iCs/>
        </w:rPr>
        <w:t xml:space="preserve"> be added on the use and harmo</w:t>
      </w:r>
      <w:r w:rsidR="006C7106" w:rsidRPr="00AB4F18">
        <w:rPr>
          <w:i/>
          <w:iCs/>
        </w:rPr>
        <w:t>nization</w:t>
      </w:r>
      <w:r w:rsidRPr="00AB4F18">
        <w:rPr>
          <w:i/>
          <w:iCs/>
        </w:rPr>
        <w:t xml:space="preserve"> of customs codes to identify and distinguish non-mercury-added and mercury-added products listed in annex A</w:t>
      </w:r>
      <w:r w:rsidR="006C7106" w:rsidRPr="00944E96">
        <w:rPr>
          <w:iCs/>
        </w:rPr>
        <w:t>]</w:t>
      </w:r>
      <w:r w:rsidR="00EF6BD0" w:rsidRPr="00AB4F18">
        <w:rPr>
          <w:iCs/>
        </w:rPr>
        <w:t>.</w:t>
      </w:r>
    </w:p>
    <w:p w14:paraId="4CA3EE6A" w14:textId="77777777" w:rsidR="00F61AB4" w:rsidRPr="00AB4F18" w:rsidRDefault="00F61AB4" w:rsidP="00765562">
      <w:pPr>
        <w:pStyle w:val="CH1"/>
      </w:pPr>
      <w:r w:rsidRPr="00AB4F18">
        <w:lastRenderedPageBreak/>
        <w:tab/>
      </w:r>
      <w:bookmarkStart w:id="8" w:name="_Toc7079415"/>
      <w:r w:rsidRPr="00AB4F18">
        <w:t>II.</w:t>
      </w:r>
      <w:r w:rsidRPr="00AB4F18">
        <w:tab/>
        <w:t>Membership</w:t>
      </w:r>
      <w:bookmarkEnd w:id="8"/>
    </w:p>
    <w:p w14:paraId="47FE37AB" w14:textId="380102EC" w:rsidR="00F61AB4" w:rsidRPr="00AB4F18" w:rsidRDefault="00F61AB4" w:rsidP="00AB4F18">
      <w:pPr>
        <w:pStyle w:val="Normal-pool"/>
        <w:numPr>
          <w:ilvl w:val="0"/>
          <w:numId w:val="5"/>
        </w:numPr>
        <w:tabs>
          <w:tab w:val="clear" w:pos="1247"/>
          <w:tab w:val="clear" w:pos="1814"/>
          <w:tab w:val="clear" w:pos="2381"/>
          <w:tab w:val="clear" w:pos="2948"/>
          <w:tab w:val="clear" w:pos="3515"/>
          <w:tab w:val="clear" w:pos="4082"/>
          <w:tab w:val="left" w:pos="624"/>
        </w:tabs>
        <w:spacing w:after="120"/>
        <w:ind w:left="1247" w:firstLine="0"/>
      </w:pPr>
      <w:r w:rsidRPr="00AB4F18">
        <w:t xml:space="preserve">The </w:t>
      </w:r>
      <w:r w:rsidR="0093505E">
        <w:t xml:space="preserve">ad hoc </w:t>
      </w:r>
      <w:r w:rsidRPr="00AB4F18">
        <w:t>group</w:t>
      </w:r>
      <w:r w:rsidR="0093505E">
        <w:t xml:space="preserve"> of experts</w:t>
      </w:r>
      <w:r w:rsidRPr="00AB4F18">
        <w:t xml:space="preserve">, which at its first meeting will elect two co-chairs, will comprise </w:t>
      </w:r>
      <w:r w:rsidR="00F707A6" w:rsidRPr="00AB4F18">
        <w:t>[</w:t>
      </w:r>
      <w:r w:rsidRPr="00AB4F18">
        <w:t>technical</w:t>
      </w:r>
      <w:r w:rsidR="00F707A6" w:rsidRPr="00AB4F18">
        <w:t>]</w:t>
      </w:r>
      <w:r w:rsidRPr="00AB4F18">
        <w:t xml:space="preserve"> experts nominated by </w:t>
      </w:r>
      <w:r w:rsidR="00DC61F4" w:rsidRPr="00AB4F18">
        <w:t xml:space="preserve">parties of </w:t>
      </w:r>
      <w:r w:rsidRPr="00AB4F18">
        <w:t xml:space="preserve">the five United Nations regions as follows: </w:t>
      </w:r>
      <w:r w:rsidR="00C9267D" w:rsidRPr="00AB4F18">
        <w:t>[</w:t>
      </w:r>
      <w:r w:rsidR="00912C2C" w:rsidRPr="00AB4F18">
        <w:t>four</w:t>
      </w:r>
      <w:r w:rsidR="00C9267D" w:rsidRPr="00AB4F18">
        <w:t>]</w:t>
      </w:r>
      <w:r w:rsidRPr="00AB4F18">
        <w:t xml:space="preserve"> from African States, </w:t>
      </w:r>
      <w:r w:rsidR="00C9267D" w:rsidRPr="00AB4F18">
        <w:t>[</w:t>
      </w:r>
      <w:r w:rsidR="00912C2C" w:rsidRPr="00AB4F18">
        <w:t>four</w:t>
      </w:r>
      <w:r w:rsidR="00C9267D" w:rsidRPr="00AB4F18">
        <w:t>]</w:t>
      </w:r>
      <w:r w:rsidRPr="00AB4F18">
        <w:t xml:space="preserve"> from Asia-Pacific States, </w:t>
      </w:r>
      <w:r w:rsidR="00C9267D" w:rsidRPr="00AB4F18">
        <w:t>[</w:t>
      </w:r>
      <w:r w:rsidR="00912C2C" w:rsidRPr="00AB4F18">
        <w:t>four</w:t>
      </w:r>
      <w:r w:rsidR="00C9267D" w:rsidRPr="00AB4F18">
        <w:t>]</w:t>
      </w:r>
      <w:r w:rsidRPr="00AB4F18">
        <w:t xml:space="preserve"> from Eastern European States, </w:t>
      </w:r>
      <w:r w:rsidR="00C9267D" w:rsidRPr="00AB4F18">
        <w:t>[</w:t>
      </w:r>
      <w:r w:rsidR="00912C2C" w:rsidRPr="00AB4F18">
        <w:t>four</w:t>
      </w:r>
      <w:r w:rsidR="00C9267D" w:rsidRPr="00AB4F18">
        <w:t>]</w:t>
      </w:r>
      <w:r w:rsidRPr="00AB4F18">
        <w:t xml:space="preserve"> from Latin American and Caribbean States and </w:t>
      </w:r>
      <w:r w:rsidR="00C9267D" w:rsidRPr="00AB4F18">
        <w:t>[</w:t>
      </w:r>
      <w:r w:rsidR="00912C2C" w:rsidRPr="00AB4F18">
        <w:t>four</w:t>
      </w:r>
      <w:r w:rsidR="00C9267D" w:rsidRPr="00AB4F18">
        <w:t>]</w:t>
      </w:r>
      <w:r w:rsidRPr="00AB4F18">
        <w:t xml:space="preserve"> from Western European and other States. Before the first meeting</w:t>
      </w:r>
      <w:r w:rsidR="00A52EA9" w:rsidRPr="00AB4F18">
        <w:t xml:space="preserve"> of the group</w:t>
      </w:r>
      <w:r w:rsidRPr="00AB4F18">
        <w:t xml:space="preserve">, </w:t>
      </w:r>
      <w:r w:rsidR="00A52EA9" w:rsidRPr="00AB4F18">
        <w:t xml:space="preserve">the group </w:t>
      </w:r>
      <w:r w:rsidRPr="00AB4F18">
        <w:t xml:space="preserve">and the Convention secretariat will invite </w:t>
      </w:r>
      <w:r w:rsidR="00C9267D" w:rsidRPr="00AB4F18">
        <w:t>[</w:t>
      </w:r>
      <w:r w:rsidR="00E70089" w:rsidRPr="00AB4F18">
        <w:t>ten</w:t>
      </w:r>
      <w:r w:rsidR="00C9267D" w:rsidRPr="00AB4F18">
        <w:t>]</w:t>
      </w:r>
      <w:r w:rsidRPr="00AB4F18">
        <w:t xml:space="preserve"> experts from</w:t>
      </w:r>
      <w:r w:rsidR="00E70089" w:rsidRPr="00AB4F18">
        <w:t xml:space="preserve"> intergovernmental organizations,</w:t>
      </w:r>
      <w:r w:rsidRPr="00AB4F18">
        <w:t xml:space="preserve"> industry</w:t>
      </w:r>
      <w:r w:rsidR="00E70089" w:rsidRPr="00AB4F18">
        <w:t>,</w:t>
      </w:r>
      <w:r w:rsidRPr="00AB4F18">
        <w:t xml:space="preserve"> civil society</w:t>
      </w:r>
      <w:r w:rsidR="00E70089" w:rsidRPr="00AB4F18">
        <w:t xml:space="preserve"> and </w:t>
      </w:r>
      <w:r w:rsidR="00A52EA9" w:rsidRPr="00AB4F18">
        <w:t xml:space="preserve">the </w:t>
      </w:r>
      <w:r w:rsidR="00E70089" w:rsidRPr="00AB4F18">
        <w:t>scientific community</w:t>
      </w:r>
      <w:r w:rsidRPr="00AB4F18">
        <w:t xml:space="preserve"> to participate as observers. The group </w:t>
      </w:r>
      <w:r w:rsidR="00C9267D" w:rsidRPr="00AB4F18">
        <w:t xml:space="preserve">may </w:t>
      </w:r>
      <w:r w:rsidRPr="00AB4F18">
        <w:t>also invite input from Governments, intergovernmental organizations, industry and civil society organizations to assist it in its work</w:t>
      </w:r>
      <w:r w:rsidR="00A52EA9" w:rsidRPr="00AB4F18">
        <w:t>,</w:t>
      </w:r>
      <w:r w:rsidRPr="00AB4F18">
        <w:t xml:space="preserve"> as appropriate.</w:t>
      </w:r>
    </w:p>
    <w:p w14:paraId="7EAA68D1" w14:textId="77777777" w:rsidR="00F61AB4" w:rsidRPr="00AB4F18" w:rsidRDefault="00F61AB4" w:rsidP="00765562">
      <w:pPr>
        <w:pStyle w:val="CH1"/>
      </w:pPr>
      <w:r w:rsidRPr="00AB4F18">
        <w:tab/>
      </w:r>
      <w:bookmarkStart w:id="9" w:name="_Toc7079416"/>
      <w:r w:rsidRPr="00AB4F18">
        <w:t>III.</w:t>
      </w:r>
      <w:r w:rsidRPr="00AB4F18">
        <w:tab/>
        <w:t>Recommended qualifications of members and observers</w:t>
      </w:r>
      <w:bookmarkEnd w:id="9"/>
    </w:p>
    <w:p w14:paraId="6A8427FD" w14:textId="74D512D4" w:rsidR="00F61AB4" w:rsidRPr="00AB4F18" w:rsidRDefault="00F61AB4" w:rsidP="00AB4F18">
      <w:pPr>
        <w:pStyle w:val="Normal-pool"/>
        <w:numPr>
          <w:ilvl w:val="0"/>
          <w:numId w:val="5"/>
        </w:numPr>
        <w:tabs>
          <w:tab w:val="clear" w:pos="1247"/>
          <w:tab w:val="clear" w:pos="1814"/>
          <w:tab w:val="clear" w:pos="2381"/>
          <w:tab w:val="clear" w:pos="2948"/>
          <w:tab w:val="clear" w:pos="3515"/>
          <w:tab w:val="clear" w:pos="4082"/>
          <w:tab w:val="left" w:pos="624"/>
        </w:tabs>
        <w:spacing w:after="120"/>
        <w:ind w:left="1247" w:firstLine="0"/>
      </w:pPr>
      <w:r w:rsidRPr="00AB4F18">
        <w:t xml:space="preserve">Members and observers of the </w:t>
      </w:r>
      <w:r w:rsidR="00A70057">
        <w:t xml:space="preserve">ad hoc </w:t>
      </w:r>
      <w:r w:rsidRPr="00AB4F18">
        <w:t>group</w:t>
      </w:r>
      <w:r w:rsidR="00FF2CAF">
        <w:t xml:space="preserve"> of experts</w:t>
      </w:r>
      <w:r w:rsidRPr="00AB4F18">
        <w:t xml:space="preserve"> should have </w:t>
      </w:r>
      <w:r w:rsidR="00A856ED" w:rsidRPr="00AB4F18">
        <w:t xml:space="preserve">expertise in </w:t>
      </w:r>
      <w:r w:rsidRPr="00AB4F18">
        <w:t>at least one of the following</w:t>
      </w:r>
      <w:r w:rsidR="00A856ED" w:rsidRPr="00AB4F18">
        <w:t xml:space="preserve"> areas</w:t>
      </w:r>
      <w:r w:rsidRPr="00AB4F18">
        <w:t>:</w:t>
      </w:r>
    </w:p>
    <w:p w14:paraId="6AFEFDBC" w14:textId="1FA8D90D" w:rsidR="00F61AB4" w:rsidRPr="00AB4F18" w:rsidRDefault="00A856ED" w:rsidP="00AB4F18">
      <w:pPr>
        <w:pStyle w:val="Normal-pool"/>
        <w:numPr>
          <w:ilvl w:val="1"/>
          <w:numId w:val="5"/>
        </w:numPr>
        <w:tabs>
          <w:tab w:val="clear" w:pos="1247"/>
          <w:tab w:val="clear" w:pos="1814"/>
          <w:tab w:val="clear" w:pos="2381"/>
          <w:tab w:val="clear" w:pos="2948"/>
          <w:tab w:val="clear" w:pos="3515"/>
          <w:tab w:val="clear" w:pos="4082"/>
          <w:tab w:val="left" w:pos="624"/>
        </w:tabs>
        <w:spacing w:after="120"/>
        <w:ind w:left="1247" w:firstLine="624"/>
      </w:pPr>
      <w:r w:rsidRPr="00AB4F18">
        <w:t>U</w:t>
      </w:r>
      <w:r w:rsidR="00E70089" w:rsidRPr="00AB4F18">
        <w:t>se of mercury and mercury compounds in products or manufacturing processes</w:t>
      </w:r>
      <w:r w:rsidR="00F61AB4" w:rsidRPr="00AB4F18">
        <w:t>;</w:t>
      </w:r>
    </w:p>
    <w:p w14:paraId="16847BE9" w14:textId="7BB959EC" w:rsidR="00F61AB4" w:rsidRPr="00AB4F18" w:rsidRDefault="00A856ED" w:rsidP="00AB4F18">
      <w:pPr>
        <w:pStyle w:val="Normal-pool"/>
        <w:numPr>
          <w:ilvl w:val="1"/>
          <w:numId w:val="5"/>
        </w:numPr>
        <w:tabs>
          <w:tab w:val="clear" w:pos="1247"/>
          <w:tab w:val="clear" w:pos="1814"/>
          <w:tab w:val="clear" w:pos="2381"/>
          <w:tab w:val="clear" w:pos="2948"/>
          <w:tab w:val="clear" w:pos="3515"/>
          <w:tab w:val="clear" w:pos="4082"/>
          <w:tab w:val="left" w:pos="624"/>
        </w:tabs>
        <w:spacing w:after="120"/>
        <w:ind w:left="1247" w:firstLine="624"/>
      </w:pPr>
      <w:r w:rsidRPr="00AB4F18">
        <w:t>E</w:t>
      </w:r>
      <w:r w:rsidR="00F61AB4" w:rsidRPr="00AB4F18">
        <w:t>nvironmental and health impact of exposure to mercury;</w:t>
      </w:r>
    </w:p>
    <w:p w14:paraId="26A47885" w14:textId="0956EF2F" w:rsidR="006C7106" w:rsidRPr="00AB4F18" w:rsidRDefault="00A856ED" w:rsidP="00AB4F18">
      <w:pPr>
        <w:pStyle w:val="Normal-pool"/>
        <w:numPr>
          <w:ilvl w:val="1"/>
          <w:numId w:val="5"/>
        </w:numPr>
        <w:tabs>
          <w:tab w:val="clear" w:pos="1247"/>
          <w:tab w:val="clear" w:pos="1814"/>
          <w:tab w:val="clear" w:pos="2381"/>
          <w:tab w:val="clear" w:pos="2948"/>
          <w:tab w:val="clear" w:pos="3515"/>
          <w:tab w:val="clear" w:pos="4082"/>
          <w:tab w:val="left" w:pos="624"/>
        </w:tabs>
        <w:spacing w:after="120"/>
        <w:ind w:left="1247" w:firstLine="624"/>
      </w:pPr>
      <w:r w:rsidRPr="00AB4F18">
        <w:t>R</w:t>
      </w:r>
      <w:r w:rsidR="00E70089" w:rsidRPr="00AB4F18">
        <w:t>egulatory policy</w:t>
      </w:r>
      <w:r w:rsidRPr="00AB4F18">
        <w:t>,</w:t>
      </w:r>
      <w:r w:rsidR="00E70089" w:rsidRPr="00AB4F18">
        <w:t xml:space="preserve"> to address the human health and environmental risk</w:t>
      </w:r>
      <w:r w:rsidRPr="00AB4F18">
        <w:t>s</w:t>
      </w:r>
      <w:r w:rsidR="00E70089" w:rsidRPr="00AB4F18">
        <w:t xml:space="preserve"> of mercury</w:t>
      </w:r>
      <w:r w:rsidR="00DC61F4" w:rsidRPr="00AB4F18">
        <w:t>;</w:t>
      </w:r>
    </w:p>
    <w:p w14:paraId="73924DA4" w14:textId="3302CADF" w:rsidR="00F61AB4" w:rsidRPr="00AB4F18" w:rsidRDefault="006C7106" w:rsidP="00AB4F18">
      <w:pPr>
        <w:pStyle w:val="Normal-pool"/>
        <w:numPr>
          <w:ilvl w:val="1"/>
          <w:numId w:val="5"/>
        </w:numPr>
        <w:tabs>
          <w:tab w:val="clear" w:pos="1247"/>
          <w:tab w:val="clear" w:pos="1814"/>
          <w:tab w:val="clear" w:pos="2381"/>
          <w:tab w:val="clear" w:pos="2948"/>
          <w:tab w:val="clear" w:pos="3515"/>
          <w:tab w:val="clear" w:pos="4082"/>
          <w:tab w:val="left" w:pos="624"/>
        </w:tabs>
        <w:spacing w:after="120"/>
        <w:ind w:left="1247" w:firstLine="624"/>
      </w:pPr>
      <w:r w:rsidRPr="00944E96">
        <w:rPr>
          <w:iCs/>
        </w:rPr>
        <w:t>[</w:t>
      </w:r>
      <w:r w:rsidRPr="00AB4F18">
        <w:rPr>
          <w:i/>
          <w:iCs/>
        </w:rPr>
        <w:t>Expertise in customs code</w:t>
      </w:r>
      <w:r w:rsidR="00DC61F4" w:rsidRPr="00AB4F18">
        <w:rPr>
          <w:i/>
          <w:iCs/>
        </w:rPr>
        <w:t>s</w:t>
      </w:r>
      <w:r w:rsidRPr="00AB4F18">
        <w:rPr>
          <w:i/>
          <w:iCs/>
        </w:rPr>
        <w:t xml:space="preserve"> and/or trade in mercury-added products</w:t>
      </w:r>
      <w:r w:rsidRPr="00944E96">
        <w:rPr>
          <w:iCs/>
        </w:rPr>
        <w:t>]</w:t>
      </w:r>
      <w:r w:rsidR="00F61AB4" w:rsidRPr="00AB4F18">
        <w:t>.</w:t>
      </w:r>
    </w:p>
    <w:p w14:paraId="4EB98F07" w14:textId="77777777" w:rsidR="00F61AB4" w:rsidRPr="00AB4F18" w:rsidRDefault="00F61AB4" w:rsidP="00F61AB4">
      <w:pPr>
        <w:pStyle w:val="CH1"/>
      </w:pPr>
      <w:r w:rsidRPr="00AB4F18">
        <w:tab/>
      </w:r>
      <w:bookmarkStart w:id="10" w:name="_Toc7079417"/>
      <w:r w:rsidRPr="00AB4F18">
        <w:t>IV.</w:t>
      </w:r>
      <w:r w:rsidRPr="00AB4F18">
        <w:tab/>
        <w:t>Officers</w:t>
      </w:r>
      <w:bookmarkEnd w:id="10"/>
    </w:p>
    <w:p w14:paraId="3FB0E286" w14:textId="43270629" w:rsidR="00F61AB4" w:rsidRPr="00AB4F18" w:rsidRDefault="00F61AB4" w:rsidP="00AB4F18">
      <w:pPr>
        <w:pStyle w:val="Normal-pool"/>
        <w:numPr>
          <w:ilvl w:val="0"/>
          <w:numId w:val="5"/>
        </w:numPr>
        <w:tabs>
          <w:tab w:val="clear" w:pos="1247"/>
          <w:tab w:val="clear" w:pos="1814"/>
          <w:tab w:val="clear" w:pos="2381"/>
          <w:tab w:val="clear" w:pos="2948"/>
          <w:tab w:val="clear" w:pos="3515"/>
          <w:tab w:val="clear" w:pos="4082"/>
          <w:tab w:val="left" w:pos="624"/>
        </w:tabs>
        <w:spacing w:after="120"/>
        <w:ind w:left="1247" w:firstLine="0"/>
      </w:pPr>
      <w:r w:rsidRPr="00AB4F18">
        <w:t xml:space="preserve">The </w:t>
      </w:r>
      <w:r w:rsidR="0093505E">
        <w:t xml:space="preserve">ad hoc </w:t>
      </w:r>
      <w:r w:rsidRPr="00AB4F18">
        <w:t xml:space="preserve">group </w:t>
      </w:r>
      <w:r w:rsidR="00FF2CAF">
        <w:t xml:space="preserve">of experts </w:t>
      </w:r>
      <w:r w:rsidRPr="00AB4F18">
        <w:t xml:space="preserve">will elect two </w:t>
      </w:r>
      <w:r w:rsidR="00FF2CAF">
        <w:t>c</w:t>
      </w:r>
      <w:r w:rsidRPr="00AB4F18">
        <w:t>o-</w:t>
      </w:r>
      <w:r w:rsidR="00FF2CAF">
        <w:t>c</w:t>
      </w:r>
      <w:r w:rsidRPr="00AB4F18">
        <w:t xml:space="preserve">hairs to facilitate </w:t>
      </w:r>
      <w:r w:rsidR="00C9267D" w:rsidRPr="00AB4F18">
        <w:t xml:space="preserve">its </w:t>
      </w:r>
      <w:r w:rsidRPr="00AB4F18">
        <w:t>meeting</w:t>
      </w:r>
      <w:r w:rsidR="00C9267D" w:rsidRPr="00AB4F18">
        <w:t>s</w:t>
      </w:r>
      <w:r w:rsidRPr="00AB4F18">
        <w:t xml:space="preserve">. </w:t>
      </w:r>
    </w:p>
    <w:p w14:paraId="7FEF067E" w14:textId="77777777" w:rsidR="00F61AB4" w:rsidRPr="00AB4F18" w:rsidRDefault="00F61AB4" w:rsidP="00F61AB4">
      <w:pPr>
        <w:pStyle w:val="CH1"/>
      </w:pPr>
      <w:r w:rsidRPr="00AB4F18">
        <w:tab/>
      </w:r>
      <w:bookmarkStart w:id="11" w:name="_Toc7079418"/>
      <w:r w:rsidRPr="00AB4F18">
        <w:t>V.</w:t>
      </w:r>
      <w:r w:rsidRPr="00AB4F18">
        <w:tab/>
        <w:t>Secretariat</w:t>
      </w:r>
      <w:bookmarkEnd w:id="11"/>
    </w:p>
    <w:p w14:paraId="0FD90B7C" w14:textId="36C67186" w:rsidR="00F61AB4" w:rsidRPr="00AB4F18" w:rsidRDefault="00F61AB4" w:rsidP="00AB4F18">
      <w:pPr>
        <w:pStyle w:val="Normal-pool"/>
        <w:numPr>
          <w:ilvl w:val="0"/>
          <w:numId w:val="5"/>
        </w:numPr>
        <w:tabs>
          <w:tab w:val="clear" w:pos="1247"/>
          <w:tab w:val="clear" w:pos="1814"/>
          <w:tab w:val="clear" w:pos="2381"/>
          <w:tab w:val="clear" w:pos="2948"/>
          <w:tab w:val="clear" w:pos="3515"/>
          <w:tab w:val="clear" w:pos="4082"/>
          <w:tab w:val="left" w:pos="624"/>
        </w:tabs>
        <w:spacing w:after="120"/>
        <w:ind w:left="1247" w:firstLine="0"/>
      </w:pPr>
      <w:r w:rsidRPr="00AB4F18">
        <w:t>The secretariat of the Convention will provide support to the group.</w:t>
      </w:r>
    </w:p>
    <w:p w14:paraId="149A4354" w14:textId="77777777" w:rsidR="00F61AB4" w:rsidRPr="00AB4F18" w:rsidRDefault="00F61AB4" w:rsidP="00F61AB4">
      <w:pPr>
        <w:pStyle w:val="CH1"/>
      </w:pPr>
      <w:r w:rsidRPr="00AB4F18">
        <w:tab/>
      </w:r>
      <w:bookmarkStart w:id="12" w:name="_Toc7079419"/>
      <w:r w:rsidRPr="00AB4F18">
        <w:t>VI.</w:t>
      </w:r>
      <w:r w:rsidRPr="00AB4F18">
        <w:tab/>
        <w:t>Administrative and procedural matters</w:t>
      </w:r>
      <w:bookmarkEnd w:id="12"/>
    </w:p>
    <w:p w14:paraId="7D15B897" w14:textId="75FDE6E9" w:rsidR="00F61AB4" w:rsidRPr="00AB4F18" w:rsidRDefault="00F61AB4" w:rsidP="00AB4F18">
      <w:pPr>
        <w:pStyle w:val="Normal-pool"/>
        <w:numPr>
          <w:ilvl w:val="0"/>
          <w:numId w:val="5"/>
        </w:numPr>
        <w:tabs>
          <w:tab w:val="clear" w:pos="1247"/>
          <w:tab w:val="clear" w:pos="1814"/>
          <w:tab w:val="clear" w:pos="2381"/>
          <w:tab w:val="clear" w:pos="2948"/>
          <w:tab w:val="clear" w:pos="3515"/>
          <w:tab w:val="clear" w:pos="4082"/>
          <w:tab w:val="left" w:pos="624"/>
        </w:tabs>
        <w:spacing w:after="120"/>
        <w:ind w:left="1247" w:firstLine="0"/>
      </w:pPr>
      <w:r w:rsidRPr="00AB4F18">
        <w:t>The rules of procedure of the Conference of the Parties will apply, mutatis mutandis, to the group.</w:t>
      </w:r>
    </w:p>
    <w:p w14:paraId="45577935" w14:textId="77777777" w:rsidR="00F61AB4" w:rsidRPr="00AB4F18" w:rsidRDefault="00F61AB4" w:rsidP="00F61AB4">
      <w:pPr>
        <w:pStyle w:val="CH1"/>
      </w:pPr>
      <w:r w:rsidRPr="00AB4F18">
        <w:tab/>
      </w:r>
      <w:bookmarkStart w:id="13" w:name="_Toc7079420"/>
      <w:r w:rsidRPr="00AB4F18">
        <w:t>VII.</w:t>
      </w:r>
      <w:r w:rsidRPr="00AB4F18">
        <w:tab/>
        <w:t>Meetings</w:t>
      </w:r>
      <w:bookmarkEnd w:id="13"/>
    </w:p>
    <w:p w14:paraId="47D1C5F0" w14:textId="2213BB71" w:rsidR="00F61AB4" w:rsidRPr="00AB4F18" w:rsidRDefault="00F61AB4" w:rsidP="00AB4F18">
      <w:pPr>
        <w:pStyle w:val="Normal-pool"/>
        <w:numPr>
          <w:ilvl w:val="0"/>
          <w:numId w:val="5"/>
        </w:numPr>
        <w:tabs>
          <w:tab w:val="clear" w:pos="1247"/>
          <w:tab w:val="clear" w:pos="1814"/>
          <w:tab w:val="clear" w:pos="2381"/>
          <w:tab w:val="clear" w:pos="2948"/>
          <w:tab w:val="clear" w:pos="3515"/>
          <w:tab w:val="clear" w:pos="4082"/>
          <w:tab w:val="left" w:pos="624"/>
        </w:tabs>
        <w:spacing w:after="120"/>
        <w:ind w:left="1247" w:firstLine="0"/>
      </w:pPr>
      <w:r w:rsidRPr="00AB4F18">
        <w:t xml:space="preserve">The </w:t>
      </w:r>
      <w:r w:rsidR="0093505E">
        <w:t xml:space="preserve">ad hoc </w:t>
      </w:r>
      <w:r w:rsidRPr="00AB4F18">
        <w:t>group</w:t>
      </w:r>
      <w:r w:rsidR="00FF2CAF">
        <w:t xml:space="preserve"> of experts</w:t>
      </w:r>
      <w:r w:rsidRPr="00AB4F18">
        <w:t xml:space="preserve"> will work by electronic means and will meet face to face at least </w:t>
      </w:r>
      <w:r w:rsidR="00F707A6" w:rsidRPr="00AB4F18">
        <w:t>[</w:t>
      </w:r>
      <w:r w:rsidR="000468F2" w:rsidRPr="00AB4F18">
        <w:t>twice</w:t>
      </w:r>
      <w:r w:rsidR="00F707A6" w:rsidRPr="00AB4F18">
        <w:t>]</w:t>
      </w:r>
      <w:r w:rsidRPr="00AB4F18">
        <w:t xml:space="preserve"> during the intersessional period preceding the </w:t>
      </w:r>
      <w:r w:rsidR="000468F2" w:rsidRPr="00AB4F18">
        <w:t>fourth</w:t>
      </w:r>
      <w:r w:rsidRPr="00AB4F18">
        <w:t xml:space="preserve"> meeting of the Conference of the Parties.</w:t>
      </w:r>
    </w:p>
    <w:p w14:paraId="55A3604D" w14:textId="77777777" w:rsidR="00F61AB4" w:rsidRPr="00AB4F18" w:rsidRDefault="00F61AB4" w:rsidP="00F61AB4">
      <w:pPr>
        <w:pStyle w:val="CH1"/>
      </w:pPr>
      <w:r w:rsidRPr="00AB4F18">
        <w:tab/>
      </w:r>
      <w:bookmarkStart w:id="14" w:name="_Toc7079421"/>
      <w:r w:rsidRPr="00AB4F18">
        <w:t>VIII.</w:t>
      </w:r>
      <w:r w:rsidRPr="00AB4F18">
        <w:tab/>
        <w:t>Language</w:t>
      </w:r>
      <w:bookmarkEnd w:id="14"/>
    </w:p>
    <w:p w14:paraId="77B25B30" w14:textId="785D2EB5" w:rsidR="00F61AB4" w:rsidRPr="00AB4F18" w:rsidRDefault="00F61AB4" w:rsidP="00AB4F18">
      <w:pPr>
        <w:pStyle w:val="Normal-pool"/>
        <w:numPr>
          <w:ilvl w:val="0"/>
          <w:numId w:val="5"/>
        </w:numPr>
        <w:tabs>
          <w:tab w:val="clear" w:pos="1247"/>
          <w:tab w:val="clear" w:pos="1814"/>
          <w:tab w:val="clear" w:pos="2381"/>
          <w:tab w:val="clear" w:pos="2948"/>
          <w:tab w:val="clear" w:pos="3515"/>
          <w:tab w:val="clear" w:pos="4082"/>
          <w:tab w:val="left" w:pos="624"/>
        </w:tabs>
        <w:spacing w:after="120"/>
        <w:ind w:left="1247" w:firstLine="0"/>
      </w:pPr>
      <w:r w:rsidRPr="00AB4F18">
        <w:t>The working language of the group will be English.</w:t>
      </w:r>
    </w:p>
    <w:p w14:paraId="04C34461" w14:textId="484934BE" w:rsidR="00F61AB4" w:rsidRPr="00AB4F18" w:rsidRDefault="00F61AB4" w:rsidP="00A7603F">
      <w:pPr>
        <w:pStyle w:val="Normal-pool"/>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A7603F" w:rsidRPr="00AB4F18" w14:paraId="57589BA2" w14:textId="77777777" w:rsidTr="00A7603F">
        <w:tc>
          <w:tcPr>
            <w:tcW w:w="1897" w:type="dxa"/>
          </w:tcPr>
          <w:p w14:paraId="519C65F1" w14:textId="77777777" w:rsidR="00A7603F" w:rsidRPr="00AB4F18" w:rsidRDefault="00A7603F" w:rsidP="00A7603F">
            <w:pPr>
              <w:pStyle w:val="Normal-pool"/>
              <w:spacing w:before="520"/>
            </w:pPr>
          </w:p>
        </w:tc>
        <w:tc>
          <w:tcPr>
            <w:tcW w:w="1897" w:type="dxa"/>
          </w:tcPr>
          <w:p w14:paraId="77FFBA85" w14:textId="77777777" w:rsidR="00A7603F" w:rsidRPr="00AB4F18" w:rsidRDefault="00A7603F" w:rsidP="00A7603F">
            <w:pPr>
              <w:pStyle w:val="Normal-pool"/>
              <w:spacing w:before="520"/>
            </w:pPr>
          </w:p>
        </w:tc>
        <w:tc>
          <w:tcPr>
            <w:tcW w:w="1897" w:type="dxa"/>
            <w:tcBorders>
              <w:bottom w:val="single" w:sz="4" w:space="0" w:color="auto"/>
            </w:tcBorders>
          </w:tcPr>
          <w:p w14:paraId="28A376B4" w14:textId="77777777" w:rsidR="00A7603F" w:rsidRPr="00AB4F18" w:rsidRDefault="00A7603F" w:rsidP="00A7603F">
            <w:pPr>
              <w:pStyle w:val="Normal-pool"/>
              <w:spacing w:before="520"/>
            </w:pPr>
          </w:p>
        </w:tc>
        <w:tc>
          <w:tcPr>
            <w:tcW w:w="1897" w:type="dxa"/>
          </w:tcPr>
          <w:p w14:paraId="220DB0EF" w14:textId="77777777" w:rsidR="00A7603F" w:rsidRPr="00AB4F18" w:rsidRDefault="00A7603F" w:rsidP="00A7603F">
            <w:pPr>
              <w:pStyle w:val="Normal-pool"/>
              <w:spacing w:before="520"/>
            </w:pPr>
          </w:p>
        </w:tc>
        <w:tc>
          <w:tcPr>
            <w:tcW w:w="1898" w:type="dxa"/>
          </w:tcPr>
          <w:p w14:paraId="024976A0" w14:textId="77777777" w:rsidR="00A7603F" w:rsidRPr="00AB4F18" w:rsidRDefault="00A7603F" w:rsidP="00A7603F">
            <w:pPr>
              <w:pStyle w:val="Normal-pool"/>
              <w:spacing w:before="520"/>
            </w:pPr>
          </w:p>
        </w:tc>
      </w:tr>
    </w:tbl>
    <w:p w14:paraId="3B793344" w14:textId="77777777" w:rsidR="00A7603F" w:rsidRPr="00AB4F18" w:rsidRDefault="00A7603F" w:rsidP="00A7603F">
      <w:pPr>
        <w:pStyle w:val="Normal-pool"/>
      </w:pPr>
    </w:p>
    <w:sectPr w:rsidR="00A7603F" w:rsidRPr="00AB4F18" w:rsidSect="009E40F6">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8F8307" w14:textId="77777777" w:rsidR="00F42179" w:rsidRDefault="00F42179">
      <w:r>
        <w:separator/>
      </w:r>
    </w:p>
  </w:endnote>
  <w:endnote w:type="continuationSeparator" w:id="0">
    <w:p w14:paraId="614917E8" w14:textId="77777777" w:rsidR="00F42179" w:rsidRDefault="00F42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FA249" w14:textId="6F82CD46" w:rsidR="00BE2E9A" w:rsidRDefault="00BE2E9A" w:rsidP="000855ED">
    <w:pPr>
      <w:pStyle w:val="Normal-pool"/>
    </w:pPr>
    <w:r>
      <w:rPr>
        <w:rStyle w:val="PageNumber"/>
      </w:rPr>
      <w:fldChar w:fldCharType="begin"/>
    </w:r>
    <w:r>
      <w:rPr>
        <w:rStyle w:val="PageNumber"/>
      </w:rPr>
      <w:instrText xml:space="preserve"> PAGE </w:instrText>
    </w:r>
    <w:r>
      <w:rPr>
        <w:rStyle w:val="PageNumber"/>
      </w:rPr>
      <w:fldChar w:fldCharType="separate"/>
    </w:r>
    <w:r w:rsidR="0060456C">
      <w:rPr>
        <w:rStyle w:val="PageNumber"/>
        <w:noProof/>
      </w:rPr>
      <w:t>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823B8" w14:textId="632F4C46" w:rsidR="00BE2E9A" w:rsidRDefault="00BE2E9A" w:rsidP="000855ED">
    <w:pPr>
      <w:pStyle w:val="Normal-pool"/>
      <w:jc w:val="right"/>
    </w:pPr>
    <w:r>
      <w:rPr>
        <w:rStyle w:val="PageNumber"/>
      </w:rPr>
      <w:fldChar w:fldCharType="begin"/>
    </w:r>
    <w:r>
      <w:rPr>
        <w:rStyle w:val="PageNumber"/>
      </w:rPr>
      <w:instrText xml:space="preserve"> PAGE </w:instrText>
    </w:r>
    <w:r>
      <w:rPr>
        <w:rStyle w:val="PageNumber"/>
      </w:rPr>
      <w:fldChar w:fldCharType="separate"/>
    </w:r>
    <w:r w:rsidR="0060456C">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sz w:val="18"/>
        <w:szCs w:val="18"/>
      </w:rPr>
      <w:id w:val="1625808214"/>
      <w:docPartObj>
        <w:docPartGallery w:val="Page Numbers (Bottom of Page)"/>
        <w:docPartUnique/>
      </w:docPartObj>
    </w:sdtPr>
    <w:sdtEndPr>
      <w:rPr>
        <w:b w:val="0"/>
        <w:noProof/>
        <w:sz w:val="20"/>
        <w:szCs w:val="20"/>
      </w:rPr>
    </w:sdtEndPr>
    <w:sdtContent>
      <w:p w14:paraId="1593ADF2" w14:textId="18022199" w:rsidR="00BE2E9A" w:rsidRPr="00CC278D" w:rsidRDefault="00CC278D" w:rsidP="00CC278D">
        <w:pPr>
          <w:pStyle w:val="Normal-pool"/>
          <w:tabs>
            <w:tab w:val="clear" w:pos="1247"/>
            <w:tab w:val="clear" w:pos="1814"/>
            <w:tab w:val="clear" w:pos="2381"/>
            <w:tab w:val="clear" w:pos="2948"/>
            <w:tab w:val="clear" w:pos="3515"/>
            <w:tab w:val="clear" w:pos="4082"/>
            <w:tab w:val="left" w:pos="624"/>
          </w:tabs>
        </w:pPr>
        <w:r w:rsidRPr="00CC278D">
          <w:t>K1903624</w:t>
        </w:r>
        <w:r w:rsidRPr="00CC278D">
          <w:tab/>
        </w:r>
        <w:r w:rsidR="0060456C">
          <w:t>0909</w:t>
        </w:r>
        <w:r w:rsidRPr="00CC278D">
          <w:t>19</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84B4C6" w14:textId="77777777" w:rsidR="00F42179" w:rsidRPr="000855ED" w:rsidRDefault="00F42179" w:rsidP="00A7603F">
      <w:pPr>
        <w:pStyle w:val="NormalNonumber"/>
        <w:tabs>
          <w:tab w:val="clear" w:pos="1247"/>
          <w:tab w:val="clear" w:pos="1814"/>
          <w:tab w:val="clear" w:pos="2381"/>
          <w:tab w:val="clear" w:pos="2948"/>
          <w:tab w:val="clear" w:pos="3515"/>
          <w:tab w:val="clear" w:pos="4082"/>
          <w:tab w:val="left" w:pos="624"/>
        </w:tabs>
        <w:spacing w:before="60" w:after="0"/>
        <w:ind w:left="624"/>
        <w:rPr>
          <w:sz w:val="18"/>
          <w:szCs w:val="18"/>
        </w:rPr>
      </w:pPr>
      <w:r w:rsidRPr="000855ED">
        <w:rPr>
          <w:sz w:val="18"/>
          <w:szCs w:val="18"/>
        </w:rPr>
        <w:separator/>
      </w:r>
    </w:p>
  </w:footnote>
  <w:footnote w:type="continuationSeparator" w:id="0">
    <w:p w14:paraId="205BDD25" w14:textId="77777777" w:rsidR="00F42179" w:rsidRDefault="00F42179">
      <w:r>
        <w:continuationSeparator/>
      </w:r>
    </w:p>
  </w:footnote>
  <w:footnote w:id="1">
    <w:p w14:paraId="373BC07E" w14:textId="78F7B6D2" w:rsidR="00BE2E9A" w:rsidRPr="00411223" w:rsidRDefault="00BE2E9A" w:rsidP="00A7603F">
      <w:pPr>
        <w:tabs>
          <w:tab w:val="left" w:pos="624"/>
        </w:tabs>
        <w:spacing w:before="20" w:after="40"/>
        <w:ind w:left="1247"/>
        <w:rPr>
          <w:sz w:val="18"/>
          <w:szCs w:val="18"/>
        </w:rPr>
      </w:pPr>
      <w:r w:rsidRPr="00411223">
        <w:rPr>
          <w:sz w:val="18"/>
          <w:szCs w:val="18"/>
        </w:rPr>
        <w:t>* UNEP/MC/COP.</w:t>
      </w:r>
      <w:r w:rsidR="002D7BD8">
        <w:rPr>
          <w:sz w:val="18"/>
          <w:szCs w:val="18"/>
        </w:rPr>
        <w:t>3</w:t>
      </w:r>
      <w:r w:rsidRPr="00411223">
        <w:rPr>
          <w:sz w:val="18"/>
          <w:szCs w:val="18"/>
        </w:rPr>
        <w:t>/1.</w:t>
      </w:r>
    </w:p>
  </w:footnote>
  <w:footnote w:id="2">
    <w:p w14:paraId="7FE871C9" w14:textId="522DA0AE" w:rsidR="00224608" w:rsidRPr="00944E96" w:rsidRDefault="00224608" w:rsidP="00AB4F18">
      <w:pPr>
        <w:pStyle w:val="FootnoteText"/>
        <w:tabs>
          <w:tab w:val="clear" w:pos="1247"/>
          <w:tab w:val="clear" w:pos="1814"/>
          <w:tab w:val="clear" w:pos="2381"/>
          <w:tab w:val="clear" w:pos="2948"/>
          <w:tab w:val="clear" w:pos="3515"/>
          <w:tab w:val="clear" w:pos="4082"/>
        </w:tabs>
        <w:rPr>
          <w:szCs w:val="18"/>
          <w:lang w:val="en-GB"/>
        </w:rPr>
      </w:pPr>
      <w:r w:rsidRPr="00944E96">
        <w:rPr>
          <w:rStyle w:val="FootnoteReference"/>
          <w:sz w:val="18"/>
          <w:lang w:val="en-GB"/>
        </w:rPr>
        <w:footnoteRef/>
      </w:r>
      <w:r w:rsidRPr="00944E96">
        <w:rPr>
          <w:szCs w:val="18"/>
          <w:lang w:val="en-GB"/>
        </w:rPr>
        <w:t xml:space="preserve"> </w:t>
      </w:r>
      <w:hyperlink r:id="rId1" w:history="1">
        <w:r w:rsidR="00411223" w:rsidRPr="00944E96">
          <w:rPr>
            <w:rStyle w:val="Hyperlink"/>
            <w:sz w:val="18"/>
            <w:szCs w:val="18"/>
            <w:lang w:val="en-GB"/>
          </w:rPr>
          <w:t>http://www.mercuryconvention.org/Implementation/InformationExchange/tabid/8081/language/en-US/Default.aspx</w:t>
        </w:r>
      </w:hyperlink>
      <w:r w:rsidR="00411223" w:rsidRPr="00944E96">
        <w:rPr>
          <w:szCs w:val="18"/>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62D0A" w14:textId="4B2436C6" w:rsidR="00BE2E9A" w:rsidRPr="00CA5CA9" w:rsidRDefault="00BE2E9A" w:rsidP="00434321">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w:t>
    </w:r>
    <w:r w:rsidR="00224608">
      <w:rPr>
        <w:szCs w:val="18"/>
      </w:rPr>
      <w:t>3/4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331DC" w14:textId="475628A4" w:rsidR="00BE2E9A" w:rsidRPr="00CA5CA9" w:rsidRDefault="00BE2E9A"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w:t>
    </w:r>
    <w:r w:rsidR="00224608">
      <w:rPr>
        <w:szCs w:val="18"/>
      </w:rPr>
      <w:t>3/4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73A83" w14:textId="4F61E5D5" w:rsidR="00944E96" w:rsidRDefault="00944E96" w:rsidP="00944E96">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97A94"/>
    <w:multiLevelType w:val="hybridMultilevel"/>
    <w:tmpl w:val="90E0588A"/>
    <w:lvl w:ilvl="0" w:tplc="2000000F">
      <w:start w:val="1"/>
      <w:numFmt w:val="decimal"/>
      <w:lvlText w:val="%1."/>
      <w:lvlJc w:val="left"/>
      <w:pPr>
        <w:ind w:left="720" w:hanging="360"/>
      </w:pPr>
    </w:lvl>
    <w:lvl w:ilvl="1" w:tplc="33E09F34">
      <w:start w:val="1"/>
      <w:numFmt w:val="lowerLetter"/>
      <w:lvlText w:val="(%2)"/>
      <w:lvlJc w:val="left"/>
      <w:pPr>
        <w:ind w:left="1440" w:hanging="360"/>
      </w:pPr>
      <w:rPr>
        <w:rFonts w:hint="default"/>
        <w:i w:val="0"/>
      </w:r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15:restartNumberingAfterBreak="0">
    <w:nsid w:val="52A66A9D"/>
    <w:multiLevelType w:val="multilevel"/>
    <w:tmpl w:val="D07A6E4C"/>
    <w:styleLink w:val="Normallist"/>
    <w:lvl w:ilvl="0">
      <w:start w:val="1"/>
      <w:numFmt w:val="decimal"/>
      <w:pStyle w:val="Normalnumber"/>
      <w:lvlText w:val="%1."/>
      <w:lvlJc w:val="left"/>
      <w:pPr>
        <w:tabs>
          <w:tab w:val="num" w:pos="1701"/>
        </w:tabs>
        <w:ind w:left="1814" w:firstLine="0"/>
      </w:pPr>
      <w:rPr>
        <w:rFonts w:hint="default"/>
      </w:rPr>
    </w:lvl>
    <w:lvl w:ilvl="1">
      <w:start w:val="1"/>
      <w:numFmt w:val="lowerLetter"/>
      <w:lvlText w:val="(%2)"/>
      <w:lvlJc w:val="left"/>
      <w:pPr>
        <w:tabs>
          <w:tab w:val="num" w:pos="1701"/>
        </w:tabs>
        <w:ind w:left="1814" w:firstLine="567"/>
      </w:pPr>
      <w:rPr>
        <w:rFonts w:hint="default"/>
      </w:rPr>
    </w:lvl>
    <w:lvl w:ilvl="2">
      <w:start w:val="1"/>
      <w:numFmt w:val="lowerRoman"/>
      <w:lvlText w:val="(%3)"/>
      <w:lvlJc w:val="left"/>
      <w:pPr>
        <w:tabs>
          <w:tab w:val="num" w:pos="1701"/>
        </w:tabs>
        <w:ind w:left="3515" w:hanging="567"/>
      </w:pPr>
      <w:rPr>
        <w:rFonts w:hint="default"/>
      </w:rPr>
    </w:lvl>
    <w:lvl w:ilvl="3">
      <w:start w:val="1"/>
      <w:numFmt w:val="lowerLetter"/>
      <w:lvlText w:val="%4."/>
      <w:lvlJc w:val="left"/>
      <w:pPr>
        <w:tabs>
          <w:tab w:val="num" w:pos="1701"/>
        </w:tabs>
        <w:ind w:left="4082" w:hanging="567"/>
      </w:pPr>
      <w:rPr>
        <w:rFonts w:hint="default"/>
      </w:rPr>
    </w:lvl>
    <w:lvl w:ilvl="4">
      <w:start w:val="1"/>
      <w:numFmt w:val="lowerRoman"/>
      <w:lvlText w:val="%5."/>
      <w:lvlJc w:val="left"/>
      <w:pPr>
        <w:tabs>
          <w:tab w:val="num" w:pos="1701"/>
        </w:tabs>
        <w:ind w:left="4649" w:hanging="567"/>
      </w:pPr>
      <w:rPr>
        <w:rFonts w:hint="default"/>
      </w:rPr>
    </w:lvl>
    <w:lvl w:ilvl="5">
      <w:start w:val="1"/>
      <w:numFmt w:val="lowerRoman"/>
      <w:lvlText w:val="%6."/>
      <w:lvlJc w:val="right"/>
      <w:pPr>
        <w:tabs>
          <w:tab w:val="num" w:pos="8402"/>
        </w:tabs>
        <w:ind w:left="8402" w:hanging="180"/>
      </w:pPr>
      <w:rPr>
        <w:rFonts w:hint="default"/>
      </w:rPr>
    </w:lvl>
    <w:lvl w:ilvl="6">
      <w:start w:val="1"/>
      <w:numFmt w:val="decimal"/>
      <w:lvlText w:val="%7."/>
      <w:lvlJc w:val="left"/>
      <w:pPr>
        <w:tabs>
          <w:tab w:val="num" w:pos="9122"/>
        </w:tabs>
        <w:ind w:left="9122" w:hanging="360"/>
      </w:pPr>
      <w:rPr>
        <w:rFonts w:hint="default"/>
      </w:rPr>
    </w:lvl>
    <w:lvl w:ilvl="7">
      <w:start w:val="1"/>
      <w:numFmt w:val="lowerLetter"/>
      <w:lvlText w:val="%8."/>
      <w:lvlJc w:val="left"/>
      <w:pPr>
        <w:tabs>
          <w:tab w:val="num" w:pos="9842"/>
        </w:tabs>
        <w:ind w:left="9842" w:hanging="360"/>
      </w:pPr>
      <w:rPr>
        <w:rFonts w:hint="default"/>
      </w:rPr>
    </w:lvl>
    <w:lvl w:ilvl="8">
      <w:start w:val="1"/>
      <w:numFmt w:val="lowerRoman"/>
      <w:lvlText w:val="%9."/>
      <w:lvlJc w:val="right"/>
      <w:pPr>
        <w:tabs>
          <w:tab w:val="num" w:pos="10562"/>
        </w:tabs>
        <w:ind w:left="10562" w:hanging="180"/>
      </w:pPr>
      <w:rPr>
        <w:rFonts w:hint="default"/>
      </w:rPr>
    </w:lvl>
  </w:abstractNum>
  <w:num w:numId="1">
    <w:abstractNumId w:val="3"/>
  </w:num>
  <w:num w:numId="2">
    <w:abstractNumId w:val="1"/>
  </w:num>
  <w:num w:numId="3">
    <w:abstractNumId w:val="2"/>
  </w:num>
  <w:num w:numId="4">
    <w:abstractNumId w:val="3"/>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ctiveWritingStyle w:appName="MSWord" w:lang="fr-FR" w:vendorID="64" w:dllVersion="0" w:nlCheck="1" w:checkStyle="1"/>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18436"/>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1367"/>
    <w:rsid w:val="000017CC"/>
    <w:rsid w:val="000024A3"/>
    <w:rsid w:val="000057BB"/>
    <w:rsid w:val="00007100"/>
    <w:rsid w:val="000077AD"/>
    <w:rsid w:val="00011A16"/>
    <w:rsid w:val="000149E6"/>
    <w:rsid w:val="00020884"/>
    <w:rsid w:val="00023DA9"/>
    <w:rsid w:val="000247B0"/>
    <w:rsid w:val="00026997"/>
    <w:rsid w:val="00026A08"/>
    <w:rsid w:val="00032E4E"/>
    <w:rsid w:val="00033733"/>
    <w:rsid w:val="00033E0B"/>
    <w:rsid w:val="000340A3"/>
    <w:rsid w:val="00035EDE"/>
    <w:rsid w:val="000403B8"/>
    <w:rsid w:val="0004341B"/>
    <w:rsid w:val="00044C8E"/>
    <w:rsid w:val="000468F2"/>
    <w:rsid w:val="000509B4"/>
    <w:rsid w:val="00051622"/>
    <w:rsid w:val="0006035B"/>
    <w:rsid w:val="0006096F"/>
    <w:rsid w:val="000649C5"/>
    <w:rsid w:val="00071886"/>
    <w:rsid w:val="000742BC"/>
    <w:rsid w:val="00074A93"/>
    <w:rsid w:val="00075F0C"/>
    <w:rsid w:val="00076CC6"/>
    <w:rsid w:val="00076FD3"/>
    <w:rsid w:val="00080C5C"/>
    <w:rsid w:val="00081FC8"/>
    <w:rsid w:val="00082A0C"/>
    <w:rsid w:val="00083504"/>
    <w:rsid w:val="000855ED"/>
    <w:rsid w:val="000878AF"/>
    <w:rsid w:val="0009640C"/>
    <w:rsid w:val="000A2B9C"/>
    <w:rsid w:val="000A3B42"/>
    <w:rsid w:val="000A581D"/>
    <w:rsid w:val="000B22A2"/>
    <w:rsid w:val="000B541B"/>
    <w:rsid w:val="000B73F9"/>
    <w:rsid w:val="000C2A52"/>
    <w:rsid w:val="000C2A88"/>
    <w:rsid w:val="000C65B1"/>
    <w:rsid w:val="000C7F47"/>
    <w:rsid w:val="000D05FA"/>
    <w:rsid w:val="000D1969"/>
    <w:rsid w:val="000D33C0"/>
    <w:rsid w:val="000D4CF6"/>
    <w:rsid w:val="000D55A1"/>
    <w:rsid w:val="000D6941"/>
    <w:rsid w:val="000D76B1"/>
    <w:rsid w:val="000F4829"/>
    <w:rsid w:val="000F6B21"/>
    <w:rsid w:val="00100843"/>
    <w:rsid w:val="00102D6D"/>
    <w:rsid w:val="00102EFB"/>
    <w:rsid w:val="00107CC0"/>
    <w:rsid w:val="001202E3"/>
    <w:rsid w:val="00123699"/>
    <w:rsid w:val="001241FB"/>
    <w:rsid w:val="0013059D"/>
    <w:rsid w:val="0013072C"/>
    <w:rsid w:val="0013246E"/>
    <w:rsid w:val="00136187"/>
    <w:rsid w:val="00141A55"/>
    <w:rsid w:val="0014293F"/>
    <w:rsid w:val="0014397D"/>
    <w:rsid w:val="001446A3"/>
    <w:rsid w:val="00146CD9"/>
    <w:rsid w:val="00152B6B"/>
    <w:rsid w:val="00155395"/>
    <w:rsid w:val="00155A2F"/>
    <w:rsid w:val="00156B6B"/>
    <w:rsid w:val="001577EC"/>
    <w:rsid w:val="00160D74"/>
    <w:rsid w:val="001646EA"/>
    <w:rsid w:val="00167D02"/>
    <w:rsid w:val="001759D8"/>
    <w:rsid w:val="00176D74"/>
    <w:rsid w:val="00177D7F"/>
    <w:rsid w:val="00180C3F"/>
    <w:rsid w:val="00181EC8"/>
    <w:rsid w:val="00182A7E"/>
    <w:rsid w:val="00184349"/>
    <w:rsid w:val="00184612"/>
    <w:rsid w:val="001867BA"/>
    <w:rsid w:val="00195F33"/>
    <w:rsid w:val="00197FB6"/>
    <w:rsid w:val="001A47E5"/>
    <w:rsid w:val="001B1617"/>
    <w:rsid w:val="001B45B0"/>
    <w:rsid w:val="001B504B"/>
    <w:rsid w:val="001B6F98"/>
    <w:rsid w:val="001C191A"/>
    <w:rsid w:val="001D3874"/>
    <w:rsid w:val="001D47B1"/>
    <w:rsid w:val="001D7E75"/>
    <w:rsid w:val="001E0D73"/>
    <w:rsid w:val="001E45BD"/>
    <w:rsid w:val="001E56D2"/>
    <w:rsid w:val="001E6F70"/>
    <w:rsid w:val="001E7D56"/>
    <w:rsid w:val="001F0625"/>
    <w:rsid w:val="001F5186"/>
    <w:rsid w:val="001F6F74"/>
    <w:rsid w:val="001F75DE"/>
    <w:rsid w:val="00200D58"/>
    <w:rsid w:val="002011C1"/>
    <w:rsid w:val="002013BE"/>
    <w:rsid w:val="00201EDC"/>
    <w:rsid w:val="00204E6B"/>
    <w:rsid w:val="002063A4"/>
    <w:rsid w:val="00207B14"/>
    <w:rsid w:val="0021145B"/>
    <w:rsid w:val="0021267A"/>
    <w:rsid w:val="00215127"/>
    <w:rsid w:val="002162B3"/>
    <w:rsid w:val="0021702C"/>
    <w:rsid w:val="00220C23"/>
    <w:rsid w:val="00224608"/>
    <w:rsid w:val="002247F6"/>
    <w:rsid w:val="0022584B"/>
    <w:rsid w:val="00225E21"/>
    <w:rsid w:val="00225E44"/>
    <w:rsid w:val="00234E78"/>
    <w:rsid w:val="00243D36"/>
    <w:rsid w:val="00246151"/>
    <w:rsid w:val="00247707"/>
    <w:rsid w:val="00252456"/>
    <w:rsid w:val="0026018E"/>
    <w:rsid w:val="00271321"/>
    <w:rsid w:val="00274F0E"/>
    <w:rsid w:val="00277766"/>
    <w:rsid w:val="002816A3"/>
    <w:rsid w:val="00286740"/>
    <w:rsid w:val="00291EAE"/>
    <w:rsid w:val="002929D8"/>
    <w:rsid w:val="00296787"/>
    <w:rsid w:val="002A237D"/>
    <w:rsid w:val="002A47EE"/>
    <w:rsid w:val="002A4C53"/>
    <w:rsid w:val="002B0672"/>
    <w:rsid w:val="002B247F"/>
    <w:rsid w:val="002B50D4"/>
    <w:rsid w:val="002B58BF"/>
    <w:rsid w:val="002C145D"/>
    <w:rsid w:val="002C2C3E"/>
    <w:rsid w:val="002C533E"/>
    <w:rsid w:val="002C7856"/>
    <w:rsid w:val="002D027F"/>
    <w:rsid w:val="002D10C6"/>
    <w:rsid w:val="002D3E15"/>
    <w:rsid w:val="002D7A85"/>
    <w:rsid w:val="002D7B60"/>
    <w:rsid w:val="002D7BD8"/>
    <w:rsid w:val="002E2861"/>
    <w:rsid w:val="002F4761"/>
    <w:rsid w:val="002F5C79"/>
    <w:rsid w:val="002F68EE"/>
    <w:rsid w:val="003019E2"/>
    <w:rsid w:val="00310BEB"/>
    <w:rsid w:val="0031413F"/>
    <w:rsid w:val="00314854"/>
    <w:rsid w:val="003148BB"/>
    <w:rsid w:val="0031746F"/>
    <w:rsid w:val="00317976"/>
    <w:rsid w:val="00320F2F"/>
    <w:rsid w:val="0032457E"/>
    <w:rsid w:val="00325D38"/>
    <w:rsid w:val="00332550"/>
    <w:rsid w:val="0034087A"/>
    <w:rsid w:val="0035277E"/>
    <w:rsid w:val="00352EF8"/>
    <w:rsid w:val="00353F18"/>
    <w:rsid w:val="00355EA9"/>
    <w:rsid w:val="003578DE"/>
    <w:rsid w:val="00361688"/>
    <w:rsid w:val="00361B6B"/>
    <w:rsid w:val="00361C3B"/>
    <w:rsid w:val="00363E4E"/>
    <w:rsid w:val="003640BC"/>
    <w:rsid w:val="00366C54"/>
    <w:rsid w:val="00372EC0"/>
    <w:rsid w:val="00380921"/>
    <w:rsid w:val="003877D5"/>
    <w:rsid w:val="003929B8"/>
    <w:rsid w:val="00393432"/>
    <w:rsid w:val="00396257"/>
    <w:rsid w:val="003965D0"/>
    <w:rsid w:val="00397C71"/>
    <w:rsid w:val="00397EB8"/>
    <w:rsid w:val="003A11B3"/>
    <w:rsid w:val="003A19E3"/>
    <w:rsid w:val="003A4FD0"/>
    <w:rsid w:val="003A69D1"/>
    <w:rsid w:val="003A7705"/>
    <w:rsid w:val="003A77F1"/>
    <w:rsid w:val="003B1545"/>
    <w:rsid w:val="003C3219"/>
    <w:rsid w:val="003C409D"/>
    <w:rsid w:val="003C4544"/>
    <w:rsid w:val="003C5583"/>
    <w:rsid w:val="003C5BA6"/>
    <w:rsid w:val="003C74CF"/>
    <w:rsid w:val="003D3752"/>
    <w:rsid w:val="003E2E57"/>
    <w:rsid w:val="003E35DA"/>
    <w:rsid w:val="003E455D"/>
    <w:rsid w:val="003F0E85"/>
    <w:rsid w:val="004029DD"/>
    <w:rsid w:val="00404F9F"/>
    <w:rsid w:val="00410918"/>
    <w:rsid w:val="00410C55"/>
    <w:rsid w:val="00411223"/>
    <w:rsid w:val="00416854"/>
    <w:rsid w:val="00417725"/>
    <w:rsid w:val="0042266F"/>
    <w:rsid w:val="004250FA"/>
    <w:rsid w:val="00434321"/>
    <w:rsid w:val="004349B9"/>
    <w:rsid w:val="00437F26"/>
    <w:rsid w:val="00441018"/>
    <w:rsid w:val="00444097"/>
    <w:rsid w:val="00445487"/>
    <w:rsid w:val="00447E0D"/>
    <w:rsid w:val="00453EA8"/>
    <w:rsid w:val="00454769"/>
    <w:rsid w:val="00455209"/>
    <w:rsid w:val="00466991"/>
    <w:rsid w:val="0047064C"/>
    <w:rsid w:val="004822B7"/>
    <w:rsid w:val="0048787B"/>
    <w:rsid w:val="004929D9"/>
    <w:rsid w:val="0049469E"/>
    <w:rsid w:val="004A2217"/>
    <w:rsid w:val="004A24F9"/>
    <w:rsid w:val="004A42E1"/>
    <w:rsid w:val="004A7A97"/>
    <w:rsid w:val="004B0E3E"/>
    <w:rsid w:val="004B162C"/>
    <w:rsid w:val="004B2ABE"/>
    <w:rsid w:val="004B723A"/>
    <w:rsid w:val="004C10C8"/>
    <w:rsid w:val="004C3DBE"/>
    <w:rsid w:val="004C5C96"/>
    <w:rsid w:val="004D06A4"/>
    <w:rsid w:val="004E574D"/>
    <w:rsid w:val="004F1A81"/>
    <w:rsid w:val="004F5D88"/>
    <w:rsid w:val="0050084A"/>
    <w:rsid w:val="00501354"/>
    <w:rsid w:val="005050D2"/>
    <w:rsid w:val="005146C2"/>
    <w:rsid w:val="005218D9"/>
    <w:rsid w:val="005228DC"/>
    <w:rsid w:val="00525448"/>
    <w:rsid w:val="00536186"/>
    <w:rsid w:val="00536462"/>
    <w:rsid w:val="00544CBB"/>
    <w:rsid w:val="00551915"/>
    <w:rsid w:val="00551B65"/>
    <w:rsid w:val="00552A05"/>
    <w:rsid w:val="00553BED"/>
    <w:rsid w:val="00556704"/>
    <w:rsid w:val="005656D7"/>
    <w:rsid w:val="0057315F"/>
    <w:rsid w:val="00574578"/>
    <w:rsid w:val="00576104"/>
    <w:rsid w:val="005840CD"/>
    <w:rsid w:val="00584F08"/>
    <w:rsid w:val="00586418"/>
    <w:rsid w:val="00590614"/>
    <w:rsid w:val="0059140A"/>
    <w:rsid w:val="00592B21"/>
    <w:rsid w:val="005A6DCA"/>
    <w:rsid w:val="005B2DF4"/>
    <w:rsid w:val="005B44BF"/>
    <w:rsid w:val="005C28CE"/>
    <w:rsid w:val="005C4911"/>
    <w:rsid w:val="005C67C8"/>
    <w:rsid w:val="005D0249"/>
    <w:rsid w:val="005D18FA"/>
    <w:rsid w:val="005D4FD4"/>
    <w:rsid w:val="005D6E8C"/>
    <w:rsid w:val="005E1625"/>
    <w:rsid w:val="005E252F"/>
    <w:rsid w:val="005E3004"/>
    <w:rsid w:val="005E4780"/>
    <w:rsid w:val="005F100C"/>
    <w:rsid w:val="005F68DA"/>
    <w:rsid w:val="005F7419"/>
    <w:rsid w:val="006018AE"/>
    <w:rsid w:val="00601BC9"/>
    <w:rsid w:val="0060456C"/>
    <w:rsid w:val="0060610D"/>
    <w:rsid w:val="0060773B"/>
    <w:rsid w:val="00613FD6"/>
    <w:rsid w:val="006157B5"/>
    <w:rsid w:val="00617224"/>
    <w:rsid w:val="00626FC6"/>
    <w:rsid w:val="00627CBC"/>
    <w:rsid w:val="006303B4"/>
    <w:rsid w:val="006304C5"/>
    <w:rsid w:val="00630ADC"/>
    <w:rsid w:val="00630C64"/>
    <w:rsid w:val="00633D3D"/>
    <w:rsid w:val="006358EB"/>
    <w:rsid w:val="00637133"/>
    <w:rsid w:val="00641703"/>
    <w:rsid w:val="006431A6"/>
    <w:rsid w:val="00643372"/>
    <w:rsid w:val="00643A65"/>
    <w:rsid w:val="00643E3A"/>
    <w:rsid w:val="006459F6"/>
    <w:rsid w:val="006501AD"/>
    <w:rsid w:val="00651BFA"/>
    <w:rsid w:val="00653D2C"/>
    <w:rsid w:val="00654475"/>
    <w:rsid w:val="00656DF0"/>
    <w:rsid w:val="00665A4B"/>
    <w:rsid w:val="00670FAE"/>
    <w:rsid w:val="00692C30"/>
    <w:rsid w:val="00692E09"/>
    <w:rsid w:val="00692E2A"/>
    <w:rsid w:val="006937BE"/>
    <w:rsid w:val="0069496A"/>
    <w:rsid w:val="00696087"/>
    <w:rsid w:val="00696C1C"/>
    <w:rsid w:val="006A76F2"/>
    <w:rsid w:val="006B7D29"/>
    <w:rsid w:val="006C1555"/>
    <w:rsid w:val="006C3F5D"/>
    <w:rsid w:val="006C55BA"/>
    <w:rsid w:val="006C7106"/>
    <w:rsid w:val="006D19D4"/>
    <w:rsid w:val="006D41BA"/>
    <w:rsid w:val="006D5644"/>
    <w:rsid w:val="006D7EFB"/>
    <w:rsid w:val="006E0455"/>
    <w:rsid w:val="006E6672"/>
    <w:rsid w:val="006E6722"/>
    <w:rsid w:val="006E7C37"/>
    <w:rsid w:val="006F46BD"/>
    <w:rsid w:val="006F4DE1"/>
    <w:rsid w:val="006F718B"/>
    <w:rsid w:val="006F7AFF"/>
    <w:rsid w:val="007027B9"/>
    <w:rsid w:val="007066B5"/>
    <w:rsid w:val="00707B18"/>
    <w:rsid w:val="007145DA"/>
    <w:rsid w:val="00715E88"/>
    <w:rsid w:val="00716D8B"/>
    <w:rsid w:val="007313EB"/>
    <w:rsid w:val="00731576"/>
    <w:rsid w:val="00734CAA"/>
    <w:rsid w:val="00740ADB"/>
    <w:rsid w:val="00740EE2"/>
    <w:rsid w:val="00742680"/>
    <w:rsid w:val="00753DE7"/>
    <w:rsid w:val="0075533C"/>
    <w:rsid w:val="00755A18"/>
    <w:rsid w:val="00757480"/>
    <w:rsid w:val="00757581"/>
    <w:rsid w:val="007602F5"/>
    <w:rsid w:val="00760D36"/>
    <w:rsid w:val="007611A0"/>
    <w:rsid w:val="00765562"/>
    <w:rsid w:val="00772574"/>
    <w:rsid w:val="00772F55"/>
    <w:rsid w:val="00773E54"/>
    <w:rsid w:val="0077642E"/>
    <w:rsid w:val="00784A03"/>
    <w:rsid w:val="00787688"/>
    <w:rsid w:val="007935E6"/>
    <w:rsid w:val="00796D3F"/>
    <w:rsid w:val="007A0B56"/>
    <w:rsid w:val="007A1683"/>
    <w:rsid w:val="007A5C12"/>
    <w:rsid w:val="007A7CB0"/>
    <w:rsid w:val="007B68A3"/>
    <w:rsid w:val="007C2541"/>
    <w:rsid w:val="007C2A98"/>
    <w:rsid w:val="007C6842"/>
    <w:rsid w:val="007C75F5"/>
    <w:rsid w:val="007D66A8"/>
    <w:rsid w:val="007E003F"/>
    <w:rsid w:val="007E2691"/>
    <w:rsid w:val="007E65A8"/>
    <w:rsid w:val="007F0CF8"/>
    <w:rsid w:val="007F41C2"/>
    <w:rsid w:val="007F5E1B"/>
    <w:rsid w:val="007F5E7D"/>
    <w:rsid w:val="007F62CB"/>
    <w:rsid w:val="007F74EA"/>
    <w:rsid w:val="00807CF2"/>
    <w:rsid w:val="008138CF"/>
    <w:rsid w:val="008142EC"/>
    <w:rsid w:val="008164F2"/>
    <w:rsid w:val="00821395"/>
    <w:rsid w:val="00830E26"/>
    <w:rsid w:val="00834368"/>
    <w:rsid w:val="0083441A"/>
    <w:rsid w:val="00843576"/>
    <w:rsid w:val="00843B64"/>
    <w:rsid w:val="00845261"/>
    <w:rsid w:val="008478FC"/>
    <w:rsid w:val="00851AFA"/>
    <w:rsid w:val="00851C51"/>
    <w:rsid w:val="008538F7"/>
    <w:rsid w:val="00867BFF"/>
    <w:rsid w:val="00870345"/>
    <w:rsid w:val="00871542"/>
    <w:rsid w:val="00872BF6"/>
    <w:rsid w:val="008733F2"/>
    <w:rsid w:val="0088480A"/>
    <w:rsid w:val="00886660"/>
    <w:rsid w:val="0088757A"/>
    <w:rsid w:val="00891A8C"/>
    <w:rsid w:val="0089431B"/>
    <w:rsid w:val="00895668"/>
    <w:rsid w:val="008957DD"/>
    <w:rsid w:val="00897D98"/>
    <w:rsid w:val="008A4FE9"/>
    <w:rsid w:val="008A59AD"/>
    <w:rsid w:val="008A6DF2"/>
    <w:rsid w:val="008A7807"/>
    <w:rsid w:val="008B4CC9"/>
    <w:rsid w:val="008C0B15"/>
    <w:rsid w:val="008C3940"/>
    <w:rsid w:val="008C4869"/>
    <w:rsid w:val="008C719D"/>
    <w:rsid w:val="008D5CB8"/>
    <w:rsid w:val="008D75E4"/>
    <w:rsid w:val="008D7C99"/>
    <w:rsid w:val="008E0FCB"/>
    <w:rsid w:val="008E3B94"/>
    <w:rsid w:val="008E7CE8"/>
    <w:rsid w:val="008F4B16"/>
    <w:rsid w:val="008F6567"/>
    <w:rsid w:val="008F6DFE"/>
    <w:rsid w:val="0090529F"/>
    <w:rsid w:val="00907E2F"/>
    <w:rsid w:val="00910E3A"/>
    <w:rsid w:val="00912C2C"/>
    <w:rsid w:val="00915D85"/>
    <w:rsid w:val="009176E4"/>
    <w:rsid w:val="0092178C"/>
    <w:rsid w:val="00930B88"/>
    <w:rsid w:val="009319C5"/>
    <w:rsid w:val="0093505E"/>
    <w:rsid w:val="00935376"/>
    <w:rsid w:val="00940DCC"/>
    <w:rsid w:val="0094179A"/>
    <w:rsid w:val="0094459E"/>
    <w:rsid w:val="00944DBC"/>
    <w:rsid w:val="00944E96"/>
    <w:rsid w:val="00950221"/>
    <w:rsid w:val="00950977"/>
    <w:rsid w:val="00951A7B"/>
    <w:rsid w:val="00955512"/>
    <w:rsid w:val="009564A6"/>
    <w:rsid w:val="00957EF8"/>
    <w:rsid w:val="009642CF"/>
    <w:rsid w:val="00966A53"/>
    <w:rsid w:val="00967621"/>
    <w:rsid w:val="00967E6A"/>
    <w:rsid w:val="0097109D"/>
    <w:rsid w:val="00974F45"/>
    <w:rsid w:val="009813AA"/>
    <w:rsid w:val="00985027"/>
    <w:rsid w:val="009907B9"/>
    <w:rsid w:val="00990918"/>
    <w:rsid w:val="009A399C"/>
    <w:rsid w:val="009A3A83"/>
    <w:rsid w:val="009A3EAF"/>
    <w:rsid w:val="009B2D34"/>
    <w:rsid w:val="009B4A0F"/>
    <w:rsid w:val="009B4AD7"/>
    <w:rsid w:val="009C11D2"/>
    <w:rsid w:val="009C6595"/>
    <w:rsid w:val="009C6C70"/>
    <w:rsid w:val="009C7B0A"/>
    <w:rsid w:val="009D0B63"/>
    <w:rsid w:val="009D5CB8"/>
    <w:rsid w:val="009D5EC9"/>
    <w:rsid w:val="009E307E"/>
    <w:rsid w:val="009E40F6"/>
    <w:rsid w:val="009E7DE9"/>
    <w:rsid w:val="00A07870"/>
    <w:rsid w:val="00A07C54"/>
    <w:rsid w:val="00A07F19"/>
    <w:rsid w:val="00A109BC"/>
    <w:rsid w:val="00A10ABB"/>
    <w:rsid w:val="00A1348D"/>
    <w:rsid w:val="00A13C99"/>
    <w:rsid w:val="00A219F7"/>
    <w:rsid w:val="00A232EE"/>
    <w:rsid w:val="00A279A1"/>
    <w:rsid w:val="00A4175F"/>
    <w:rsid w:val="00A44411"/>
    <w:rsid w:val="00A45215"/>
    <w:rsid w:val="00A46724"/>
    <w:rsid w:val="00A469FA"/>
    <w:rsid w:val="00A50C65"/>
    <w:rsid w:val="00A51A7B"/>
    <w:rsid w:val="00A52EA9"/>
    <w:rsid w:val="00A53662"/>
    <w:rsid w:val="00A55B01"/>
    <w:rsid w:val="00A56B5B"/>
    <w:rsid w:val="00A603FF"/>
    <w:rsid w:val="00A60DC8"/>
    <w:rsid w:val="00A619B6"/>
    <w:rsid w:val="00A648CA"/>
    <w:rsid w:val="00A657DD"/>
    <w:rsid w:val="00A666A6"/>
    <w:rsid w:val="00A675FD"/>
    <w:rsid w:val="00A70057"/>
    <w:rsid w:val="00A72437"/>
    <w:rsid w:val="00A7603F"/>
    <w:rsid w:val="00A8048B"/>
    <w:rsid w:val="00A80611"/>
    <w:rsid w:val="00A8341E"/>
    <w:rsid w:val="00A84118"/>
    <w:rsid w:val="00A845B6"/>
    <w:rsid w:val="00A856ED"/>
    <w:rsid w:val="00A91D90"/>
    <w:rsid w:val="00AA5BF4"/>
    <w:rsid w:val="00AA5E8C"/>
    <w:rsid w:val="00AA6407"/>
    <w:rsid w:val="00AB4F18"/>
    <w:rsid w:val="00AB5340"/>
    <w:rsid w:val="00AC0A89"/>
    <w:rsid w:val="00AC7C96"/>
    <w:rsid w:val="00AD282B"/>
    <w:rsid w:val="00AD3593"/>
    <w:rsid w:val="00AD63BD"/>
    <w:rsid w:val="00AE0812"/>
    <w:rsid w:val="00AE237D"/>
    <w:rsid w:val="00AE502A"/>
    <w:rsid w:val="00AF0010"/>
    <w:rsid w:val="00AF1AA8"/>
    <w:rsid w:val="00AF2C1F"/>
    <w:rsid w:val="00AF7C07"/>
    <w:rsid w:val="00B06C64"/>
    <w:rsid w:val="00B076F2"/>
    <w:rsid w:val="00B07D8E"/>
    <w:rsid w:val="00B11CAC"/>
    <w:rsid w:val="00B15A29"/>
    <w:rsid w:val="00B22C93"/>
    <w:rsid w:val="00B24F2A"/>
    <w:rsid w:val="00B259B2"/>
    <w:rsid w:val="00B27589"/>
    <w:rsid w:val="00B405B7"/>
    <w:rsid w:val="00B468C0"/>
    <w:rsid w:val="00B52222"/>
    <w:rsid w:val="00B531DA"/>
    <w:rsid w:val="00B54895"/>
    <w:rsid w:val="00B54FE7"/>
    <w:rsid w:val="00B56125"/>
    <w:rsid w:val="00B647C6"/>
    <w:rsid w:val="00B655F9"/>
    <w:rsid w:val="00B66901"/>
    <w:rsid w:val="00B66F60"/>
    <w:rsid w:val="00B6796F"/>
    <w:rsid w:val="00B71E6D"/>
    <w:rsid w:val="00B72070"/>
    <w:rsid w:val="00B73405"/>
    <w:rsid w:val="00B779E1"/>
    <w:rsid w:val="00B81E3A"/>
    <w:rsid w:val="00B84F2C"/>
    <w:rsid w:val="00B85CFB"/>
    <w:rsid w:val="00B914E9"/>
    <w:rsid w:val="00B91DCA"/>
    <w:rsid w:val="00B91EE1"/>
    <w:rsid w:val="00B94602"/>
    <w:rsid w:val="00B94787"/>
    <w:rsid w:val="00BA0090"/>
    <w:rsid w:val="00BA1A67"/>
    <w:rsid w:val="00BA6A80"/>
    <w:rsid w:val="00BB4998"/>
    <w:rsid w:val="00BB4ABB"/>
    <w:rsid w:val="00BC62BA"/>
    <w:rsid w:val="00BD5573"/>
    <w:rsid w:val="00BD6959"/>
    <w:rsid w:val="00BD6D2F"/>
    <w:rsid w:val="00BD7544"/>
    <w:rsid w:val="00BE2E9A"/>
    <w:rsid w:val="00BE2F41"/>
    <w:rsid w:val="00BE5B5F"/>
    <w:rsid w:val="00BE7993"/>
    <w:rsid w:val="00BF2760"/>
    <w:rsid w:val="00C0032B"/>
    <w:rsid w:val="00C022C1"/>
    <w:rsid w:val="00C055B1"/>
    <w:rsid w:val="00C11971"/>
    <w:rsid w:val="00C179DE"/>
    <w:rsid w:val="00C2189F"/>
    <w:rsid w:val="00C26F55"/>
    <w:rsid w:val="00C27140"/>
    <w:rsid w:val="00C30C63"/>
    <w:rsid w:val="00C30FF3"/>
    <w:rsid w:val="00C34D5C"/>
    <w:rsid w:val="00C36B8B"/>
    <w:rsid w:val="00C415C1"/>
    <w:rsid w:val="00C47DBF"/>
    <w:rsid w:val="00C54468"/>
    <w:rsid w:val="00C552FF"/>
    <w:rsid w:val="00C558DA"/>
    <w:rsid w:val="00C55AF3"/>
    <w:rsid w:val="00C61ED9"/>
    <w:rsid w:val="00C745B8"/>
    <w:rsid w:val="00C771A9"/>
    <w:rsid w:val="00C77439"/>
    <w:rsid w:val="00C82943"/>
    <w:rsid w:val="00C84329"/>
    <w:rsid w:val="00C84759"/>
    <w:rsid w:val="00C86F5A"/>
    <w:rsid w:val="00C9267D"/>
    <w:rsid w:val="00C93096"/>
    <w:rsid w:val="00C93C9E"/>
    <w:rsid w:val="00C96761"/>
    <w:rsid w:val="00CA5CA9"/>
    <w:rsid w:val="00CA6C7F"/>
    <w:rsid w:val="00CB007D"/>
    <w:rsid w:val="00CB1A4C"/>
    <w:rsid w:val="00CB30C3"/>
    <w:rsid w:val="00CB60CA"/>
    <w:rsid w:val="00CC0FC7"/>
    <w:rsid w:val="00CC10A6"/>
    <w:rsid w:val="00CC278D"/>
    <w:rsid w:val="00CC41D8"/>
    <w:rsid w:val="00CC771B"/>
    <w:rsid w:val="00CD5EB8"/>
    <w:rsid w:val="00CD7044"/>
    <w:rsid w:val="00CE08B9"/>
    <w:rsid w:val="00CE1BED"/>
    <w:rsid w:val="00CE3515"/>
    <w:rsid w:val="00CE4E08"/>
    <w:rsid w:val="00CE524C"/>
    <w:rsid w:val="00CF141F"/>
    <w:rsid w:val="00CF1C83"/>
    <w:rsid w:val="00CF4777"/>
    <w:rsid w:val="00CF65C8"/>
    <w:rsid w:val="00D013F5"/>
    <w:rsid w:val="00D05E3F"/>
    <w:rsid w:val="00D067BB"/>
    <w:rsid w:val="00D113E2"/>
    <w:rsid w:val="00D1352A"/>
    <w:rsid w:val="00D1638E"/>
    <w:rsid w:val="00D169AF"/>
    <w:rsid w:val="00D200EF"/>
    <w:rsid w:val="00D25175"/>
    <w:rsid w:val="00D25249"/>
    <w:rsid w:val="00D26854"/>
    <w:rsid w:val="00D319AD"/>
    <w:rsid w:val="00D324EE"/>
    <w:rsid w:val="00D37CDE"/>
    <w:rsid w:val="00D44172"/>
    <w:rsid w:val="00D47BE3"/>
    <w:rsid w:val="00D63B8C"/>
    <w:rsid w:val="00D739CC"/>
    <w:rsid w:val="00D76205"/>
    <w:rsid w:val="00D7752F"/>
    <w:rsid w:val="00D77FE8"/>
    <w:rsid w:val="00D806F9"/>
    <w:rsid w:val="00D8093D"/>
    <w:rsid w:val="00D8108C"/>
    <w:rsid w:val="00D842AE"/>
    <w:rsid w:val="00D86CD5"/>
    <w:rsid w:val="00D86FCB"/>
    <w:rsid w:val="00D9211C"/>
    <w:rsid w:val="00D92DE0"/>
    <w:rsid w:val="00D92FEF"/>
    <w:rsid w:val="00D931F9"/>
    <w:rsid w:val="00D93A0F"/>
    <w:rsid w:val="00D9494F"/>
    <w:rsid w:val="00D954FE"/>
    <w:rsid w:val="00DA1BCA"/>
    <w:rsid w:val="00DA3663"/>
    <w:rsid w:val="00DA37B4"/>
    <w:rsid w:val="00DB24F4"/>
    <w:rsid w:val="00DB295A"/>
    <w:rsid w:val="00DB56BA"/>
    <w:rsid w:val="00DC274A"/>
    <w:rsid w:val="00DC46FF"/>
    <w:rsid w:val="00DC5254"/>
    <w:rsid w:val="00DC569D"/>
    <w:rsid w:val="00DC61F4"/>
    <w:rsid w:val="00DD1A4F"/>
    <w:rsid w:val="00DD1CF9"/>
    <w:rsid w:val="00DD3107"/>
    <w:rsid w:val="00DD4C70"/>
    <w:rsid w:val="00DD68AD"/>
    <w:rsid w:val="00DD7C2C"/>
    <w:rsid w:val="00DE0ECD"/>
    <w:rsid w:val="00DE4809"/>
    <w:rsid w:val="00DE5BDA"/>
    <w:rsid w:val="00DE5C2A"/>
    <w:rsid w:val="00DF38F6"/>
    <w:rsid w:val="00DF433C"/>
    <w:rsid w:val="00DF519F"/>
    <w:rsid w:val="00E0035A"/>
    <w:rsid w:val="00E06797"/>
    <w:rsid w:val="00E1265B"/>
    <w:rsid w:val="00E12E09"/>
    <w:rsid w:val="00E13113"/>
    <w:rsid w:val="00E132C1"/>
    <w:rsid w:val="00E13B48"/>
    <w:rsid w:val="00E1404F"/>
    <w:rsid w:val="00E21C83"/>
    <w:rsid w:val="00E243AB"/>
    <w:rsid w:val="00E24ADA"/>
    <w:rsid w:val="00E32F59"/>
    <w:rsid w:val="00E406DE"/>
    <w:rsid w:val="00E41908"/>
    <w:rsid w:val="00E41E77"/>
    <w:rsid w:val="00E46D9A"/>
    <w:rsid w:val="00E565FF"/>
    <w:rsid w:val="00E5693F"/>
    <w:rsid w:val="00E56D12"/>
    <w:rsid w:val="00E65388"/>
    <w:rsid w:val="00E70089"/>
    <w:rsid w:val="00E7741D"/>
    <w:rsid w:val="00E808CD"/>
    <w:rsid w:val="00E8302A"/>
    <w:rsid w:val="00E8348F"/>
    <w:rsid w:val="00E85B7D"/>
    <w:rsid w:val="00E9121B"/>
    <w:rsid w:val="00E9302E"/>
    <w:rsid w:val="00E976AB"/>
    <w:rsid w:val="00EA0AE2"/>
    <w:rsid w:val="00EA39E5"/>
    <w:rsid w:val="00EA549D"/>
    <w:rsid w:val="00EA57A3"/>
    <w:rsid w:val="00EB4597"/>
    <w:rsid w:val="00EB557C"/>
    <w:rsid w:val="00EC2813"/>
    <w:rsid w:val="00EC5A46"/>
    <w:rsid w:val="00EC63E2"/>
    <w:rsid w:val="00EC693E"/>
    <w:rsid w:val="00ED0225"/>
    <w:rsid w:val="00ED325C"/>
    <w:rsid w:val="00ED366A"/>
    <w:rsid w:val="00ED6BB7"/>
    <w:rsid w:val="00EE0FBF"/>
    <w:rsid w:val="00EE171D"/>
    <w:rsid w:val="00EE2807"/>
    <w:rsid w:val="00EE3A9B"/>
    <w:rsid w:val="00EE6A46"/>
    <w:rsid w:val="00EF22B3"/>
    <w:rsid w:val="00EF4140"/>
    <w:rsid w:val="00EF6BD0"/>
    <w:rsid w:val="00F03B69"/>
    <w:rsid w:val="00F07A50"/>
    <w:rsid w:val="00F103CF"/>
    <w:rsid w:val="00F113DA"/>
    <w:rsid w:val="00F24167"/>
    <w:rsid w:val="00F266FC"/>
    <w:rsid w:val="00F3037A"/>
    <w:rsid w:val="00F33009"/>
    <w:rsid w:val="00F3465A"/>
    <w:rsid w:val="00F35F13"/>
    <w:rsid w:val="00F37DC8"/>
    <w:rsid w:val="00F42179"/>
    <w:rsid w:val="00F439B3"/>
    <w:rsid w:val="00F5283D"/>
    <w:rsid w:val="00F6061C"/>
    <w:rsid w:val="00F61AB4"/>
    <w:rsid w:val="00F623C9"/>
    <w:rsid w:val="00F650C3"/>
    <w:rsid w:val="00F65D85"/>
    <w:rsid w:val="00F6700B"/>
    <w:rsid w:val="00F6760B"/>
    <w:rsid w:val="00F707A6"/>
    <w:rsid w:val="00F7137B"/>
    <w:rsid w:val="00F73346"/>
    <w:rsid w:val="00F7454E"/>
    <w:rsid w:val="00F8091E"/>
    <w:rsid w:val="00F8431A"/>
    <w:rsid w:val="00F84AFE"/>
    <w:rsid w:val="00F8615C"/>
    <w:rsid w:val="00F87AB0"/>
    <w:rsid w:val="00F93C0E"/>
    <w:rsid w:val="00F969E5"/>
    <w:rsid w:val="00FA4972"/>
    <w:rsid w:val="00FA6BB0"/>
    <w:rsid w:val="00FB2DBD"/>
    <w:rsid w:val="00FB47CD"/>
    <w:rsid w:val="00FC65A0"/>
    <w:rsid w:val="00FD48DF"/>
    <w:rsid w:val="00FD5860"/>
    <w:rsid w:val="00FD6376"/>
    <w:rsid w:val="00FD6D4F"/>
    <w:rsid w:val="00FE20B2"/>
    <w:rsid w:val="00FE352D"/>
    <w:rsid w:val="00FE40EB"/>
    <w:rsid w:val="00FE4D02"/>
    <w:rsid w:val="00FE7D62"/>
    <w:rsid w:val="00FF0DA0"/>
    <w:rsid w:val="00FF2CAF"/>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6"/>
    <o:shapelayout v:ext="edit">
      <o:idmap v:ext="edit" data="1"/>
    </o:shapelayout>
  </w:shapeDefaults>
  <w:decimalSymbol w:val="."/>
  <w:listSeparator w:val=","/>
  <w14:docId w14:val="2C3BB233"/>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A7603F"/>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E8302A"/>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CC278D"/>
    <w:pPr>
      <w:numPr>
        <w:numId w:val="4"/>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0C65B1"/>
    <w:rPr>
      <w:b/>
      <w:sz w:val="28"/>
      <w:szCs w:val="28"/>
      <w:lang w:eastAsia="en-US"/>
    </w:rPr>
  </w:style>
  <w:style w:type="character" w:customStyle="1" w:styleId="CH2Char">
    <w:name w:val="CH2 Char"/>
    <w:link w:val="CH2"/>
    <w:locked/>
    <w:rsid w:val="00A7603F"/>
    <w:rPr>
      <w:b/>
      <w:sz w:val="24"/>
      <w:szCs w:val="24"/>
      <w:lang w:eastAsia="en-US"/>
    </w:rPr>
  </w:style>
  <w:style w:type="character" w:customStyle="1" w:styleId="Normal-poolChar">
    <w:name w:val="Normal-pool Char"/>
    <w:link w:val="Normal-pool"/>
    <w:rsid w:val="000C65B1"/>
    <w:rPr>
      <w:lang w:eastAsia="en-US"/>
    </w:rPr>
  </w:style>
  <w:style w:type="character" w:customStyle="1" w:styleId="NormalnumberChar">
    <w:name w:val="Normal_number Char"/>
    <w:link w:val="Normalnumber"/>
    <w:locked/>
    <w:rsid w:val="00CC278D"/>
    <w:rPr>
      <w:lang w:eastAsia="en-US"/>
    </w:rPr>
  </w:style>
  <w:style w:type="character" w:customStyle="1" w:styleId="FooterChar">
    <w:name w:val="Footer Char"/>
    <w:basedOn w:val="DefaultParagraphFont"/>
    <w:link w:val="Footer"/>
    <w:uiPriority w:val="99"/>
    <w:rsid w:val="000C65B1"/>
    <w:rPr>
      <w:sz w:val="18"/>
      <w:lang w:eastAsia="en-US"/>
    </w:rPr>
  </w:style>
  <w:style w:type="paragraph" w:customStyle="1" w:styleId="main">
    <w:name w:val="main"/>
    <w:rsid w:val="000C65B1"/>
    <w:pPr>
      <w:pBdr>
        <w:top w:val="nil"/>
        <w:left w:val="nil"/>
        <w:bottom w:val="nil"/>
        <w:right w:val="nil"/>
        <w:between w:val="nil"/>
        <w:bar w:val="nil"/>
      </w:pBdr>
      <w:spacing w:after="240"/>
    </w:pPr>
    <w:rPr>
      <w:rFonts w:eastAsiaTheme="minorEastAsia" w:cs="Arial Unicode MS"/>
      <w:b/>
      <w:bCs/>
      <w:color w:val="000000"/>
      <w:sz w:val="24"/>
      <w:szCs w:val="24"/>
      <w:u w:color="000000"/>
      <w:bdr w:val="nil"/>
      <w:lang w:val="en-US"/>
    </w:rPr>
  </w:style>
  <w:style w:type="paragraph" w:styleId="Title">
    <w:name w:val="Title"/>
    <w:basedOn w:val="Normal"/>
    <w:link w:val="TitleChar"/>
    <w:autoRedefine/>
    <w:qFormat/>
    <w:rsid w:val="000C65B1"/>
    <w:pPr>
      <w:tabs>
        <w:tab w:val="clear" w:pos="1247"/>
        <w:tab w:val="clear" w:pos="1814"/>
        <w:tab w:val="clear" w:pos="2381"/>
        <w:tab w:val="clear" w:pos="2948"/>
        <w:tab w:val="clear" w:pos="3515"/>
      </w:tabs>
      <w:spacing w:before="360" w:after="240"/>
      <w:ind w:left="1247" w:right="567"/>
      <w:outlineLvl w:val="0"/>
    </w:pPr>
    <w:rPr>
      <w:rFonts w:eastAsia="Yu Mincho"/>
      <w:b/>
      <w:bCs/>
      <w:kern w:val="28"/>
      <w:sz w:val="28"/>
      <w:szCs w:val="28"/>
      <w:lang w:val="en-US"/>
    </w:rPr>
  </w:style>
  <w:style w:type="character" w:customStyle="1" w:styleId="TitleChar">
    <w:name w:val="Title Char"/>
    <w:basedOn w:val="DefaultParagraphFont"/>
    <w:link w:val="Title"/>
    <w:rsid w:val="000C65B1"/>
    <w:rPr>
      <w:rFonts w:eastAsia="Yu Mincho"/>
      <w:b/>
      <w:bCs/>
      <w:kern w:val="28"/>
      <w:sz w:val="28"/>
      <w:szCs w:val="28"/>
      <w:lang w:val="en-US" w:eastAsia="en-US"/>
    </w:rPr>
  </w:style>
  <w:style w:type="character" w:customStyle="1" w:styleId="HeaderChar">
    <w:name w:val="Header Char"/>
    <w:link w:val="Header"/>
    <w:semiHidden/>
    <w:rsid w:val="000C65B1"/>
    <w:rPr>
      <w:b/>
      <w:sz w:val="18"/>
      <w:lang w:eastAsia="en-US"/>
    </w:rPr>
  </w:style>
  <w:style w:type="paragraph" w:customStyle="1" w:styleId="ListParagraph2">
    <w:name w:val="List Paragraph2"/>
    <w:basedOn w:val="Normal"/>
    <w:qFormat/>
    <w:rsid w:val="000C65B1"/>
    <w:pPr>
      <w:ind w:left="720"/>
    </w:pPr>
    <w:rPr>
      <w:rFonts w:eastAsia="MS Mincho"/>
      <w:sz w:val="21"/>
      <w:szCs w:val="21"/>
      <w:lang w:eastAsia="ja-JP"/>
    </w:rPr>
  </w:style>
  <w:style w:type="character" w:customStyle="1" w:styleId="ZZAnxtitleChar">
    <w:name w:val="ZZ_Anx_title Char"/>
    <w:link w:val="ZZAnxtitle"/>
    <w:rsid w:val="009E40F6"/>
    <w:rPr>
      <w:b/>
      <w:bCs/>
      <w:sz w:val="28"/>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044809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14721487">
      <w:bodyDiv w:val="1"/>
      <w:marLeft w:val="0"/>
      <w:marRight w:val="0"/>
      <w:marTop w:val="0"/>
      <w:marBottom w:val="0"/>
      <w:divBdr>
        <w:top w:val="none" w:sz="0" w:space="0" w:color="auto"/>
        <w:left w:val="none" w:sz="0" w:space="0" w:color="auto"/>
        <w:bottom w:val="none" w:sz="0" w:space="0" w:color="auto"/>
        <w:right w:val="none" w:sz="0" w:space="0" w:color="auto"/>
      </w:divBdr>
    </w:div>
    <w:div w:id="180534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mercuryconvention.org/Implementation/InformationExchange/tabid/8081/language/en-US/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24324-80B1-4F6C-8E6A-AA6736C96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1767</Words>
  <Characters>10078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Jane Mbau</cp:lastModifiedBy>
  <cp:revision>3</cp:revision>
  <cp:lastPrinted>2019-08-16T09:29:00Z</cp:lastPrinted>
  <dcterms:created xsi:type="dcterms:W3CDTF">2019-09-09T08:02:00Z</dcterms:created>
  <dcterms:modified xsi:type="dcterms:W3CDTF">2019-09-09T08:04:00Z</dcterms:modified>
</cp:coreProperties>
</file>