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97" w:type="pct"/>
        <w:jc w:val="right"/>
        <w:tblLayout w:type="fixed"/>
        <w:tblLook w:val="0000" w:firstRow="0" w:lastRow="0" w:firstColumn="0" w:lastColumn="0" w:noHBand="0" w:noVBand="0"/>
      </w:tblPr>
      <w:tblGrid>
        <w:gridCol w:w="1705"/>
        <w:gridCol w:w="4640"/>
        <w:gridCol w:w="3335"/>
      </w:tblGrid>
      <w:tr w:rsidR="00CA0467" w:rsidRPr="00D632D2" w14:paraId="7D16D466" w14:textId="77777777" w:rsidTr="005348DC">
        <w:trPr>
          <w:cantSplit/>
          <w:trHeight w:val="850"/>
          <w:jc w:val="right"/>
        </w:trPr>
        <w:tc>
          <w:tcPr>
            <w:tcW w:w="1741" w:type="dxa"/>
          </w:tcPr>
          <w:p w14:paraId="76BD2C66" w14:textId="77777777" w:rsidR="00CA0467" w:rsidRPr="00D632D2" w:rsidRDefault="00CA0467" w:rsidP="00F937A2">
            <w:pPr>
              <w:rPr>
                <w:rFonts w:ascii="Univers" w:hAnsi="Univers"/>
                <w:b/>
                <w:sz w:val="27"/>
                <w:szCs w:val="27"/>
              </w:rPr>
            </w:pPr>
            <w:r w:rsidRPr="00D632D2">
              <w:rPr>
                <w:rFonts w:ascii="Arial" w:hAnsi="Arial" w:cs="Arial"/>
                <w:b/>
                <w:sz w:val="27"/>
                <w:szCs w:val="27"/>
              </w:rPr>
              <w:t>NACIONES UNIDAS</w:t>
            </w:r>
          </w:p>
        </w:tc>
        <w:tc>
          <w:tcPr>
            <w:tcW w:w="4748" w:type="dxa"/>
          </w:tcPr>
          <w:p w14:paraId="525D39B8" w14:textId="77777777" w:rsidR="00CA0467" w:rsidRPr="00D632D2" w:rsidRDefault="00CA0467" w:rsidP="00F937A2">
            <w:pPr>
              <w:rPr>
                <w:rFonts w:ascii="Univers" w:hAnsi="Univers"/>
                <w:b/>
                <w:sz w:val="27"/>
                <w:szCs w:val="27"/>
              </w:rPr>
            </w:pPr>
          </w:p>
        </w:tc>
        <w:tc>
          <w:tcPr>
            <w:tcW w:w="3411" w:type="dxa"/>
          </w:tcPr>
          <w:p w14:paraId="5D7C1AA3" w14:textId="77777777" w:rsidR="00CA0467" w:rsidRPr="00D632D2" w:rsidRDefault="00CA0467" w:rsidP="00F937A2">
            <w:pPr>
              <w:jc w:val="right"/>
              <w:rPr>
                <w:rFonts w:ascii="Arial" w:hAnsi="Arial" w:cs="Arial"/>
                <w:b/>
                <w:sz w:val="64"/>
                <w:szCs w:val="64"/>
              </w:rPr>
            </w:pPr>
            <w:r w:rsidRPr="00D632D2">
              <w:rPr>
                <w:rFonts w:ascii="Arial" w:hAnsi="Arial" w:cs="Arial"/>
                <w:b/>
                <w:sz w:val="64"/>
                <w:szCs w:val="64"/>
              </w:rPr>
              <w:t>MC</w:t>
            </w:r>
          </w:p>
        </w:tc>
      </w:tr>
      <w:tr w:rsidR="00CA0467" w:rsidRPr="00D632D2" w14:paraId="3EB26093" w14:textId="77777777" w:rsidTr="005348DC">
        <w:trPr>
          <w:cantSplit/>
          <w:trHeight w:val="281"/>
          <w:jc w:val="right"/>
        </w:trPr>
        <w:tc>
          <w:tcPr>
            <w:tcW w:w="1741" w:type="dxa"/>
            <w:tcBorders>
              <w:bottom w:val="single" w:sz="4" w:space="0" w:color="auto"/>
            </w:tcBorders>
          </w:tcPr>
          <w:p w14:paraId="6FDF508D" w14:textId="77777777" w:rsidR="00CA0467" w:rsidRPr="00D632D2" w:rsidRDefault="00CA0467" w:rsidP="00F937A2">
            <w:pPr>
              <w:rPr>
                <w:sz w:val="18"/>
                <w:szCs w:val="18"/>
              </w:rPr>
            </w:pPr>
          </w:p>
        </w:tc>
        <w:tc>
          <w:tcPr>
            <w:tcW w:w="4748" w:type="dxa"/>
            <w:tcBorders>
              <w:bottom w:val="single" w:sz="4" w:space="0" w:color="auto"/>
            </w:tcBorders>
          </w:tcPr>
          <w:p w14:paraId="65222908" w14:textId="77777777" w:rsidR="00CA0467" w:rsidRPr="00D632D2" w:rsidRDefault="00CA0467" w:rsidP="00F937A2">
            <w:pPr>
              <w:rPr>
                <w:rFonts w:ascii="Univers" w:hAnsi="Univers"/>
                <w:b/>
                <w:sz w:val="18"/>
                <w:szCs w:val="18"/>
              </w:rPr>
            </w:pPr>
          </w:p>
        </w:tc>
        <w:tc>
          <w:tcPr>
            <w:tcW w:w="3411" w:type="dxa"/>
            <w:tcBorders>
              <w:bottom w:val="single" w:sz="4" w:space="0" w:color="auto"/>
            </w:tcBorders>
          </w:tcPr>
          <w:p w14:paraId="6A8D02D4" w14:textId="7471FACD" w:rsidR="00CA0467" w:rsidRPr="00D632D2" w:rsidRDefault="00CA0467" w:rsidP="00F937A2">
            <w:pPr>
              <w:rPr>
                <w:sz w:val="18"/>
                <w:szCs w:val="18"/>
              </w:rPr>
            </w:pPr>
            <w:r w:rsidRPr="00D632D2">
              <w:rPr>
                <w:b/>
                <w:bCs/>
                <w:sz w:val="28"/>
              </w:rPr>
              <w:t>UNEP</w:t>
            </w:r>
            <w:r w:rsidRPr="00D632D2">
              <w:rPr>
                <w:b/>
                <w:bCs/>
              </w:rPr>
              <w:t>/</w:t>
            </w:r>
            <w:r w:rsidRPr="00D632D2">
              <w:t>MC/COP.</w:t>
            </w:r>
            <w:r>
              <w:t>3</w:t>
            </w:r>
            <w:r w:rsidRPr="00D632D2">
              <w:t>/</w:t>
            </w:r>
            <w:r>
              <w:t>22</w:t>
            </w:r>
          </w:p>
        </w:tc>
      </w:tr>
      <w:tr w:rsidR="00CA0467" w:rsidRPr="00D632D2" w14:paraId="02B7F71E" w14:textId="77777777" w:rsidTr="005348DC">
        <w:trPr>
          <w:cantSplit/>
          <w:trHeight w:val="2549"/>
          <w:jc w:val="right"/>
        </w:trPr>
        <w:tc>
          <w:tcPr>
            <w:tcW w:w="1741" w:type="dxa"/>
            <w:tcBorders>
              <w:top w:val="single" w:sz="4" w:space="0" w:color="auto"/>
              <w:bottom w:val="single" w:sz="24" w:space="0" w:color="auto"/>
            </w:tcBorders>
          </w:tcPr>
          <w:p w14:paraId="5C2FADE9" w14:textId="77777777" w:rsidR="00CA0467" w:rsidRPr="00D632D2" w:rsidRDefault="00CA0467" w:rsidP="00F937A2">
            <w:bookmarkStart w:id="0" w:name="_MON_1021710510"/>
            <w:bookmarkEnd w:id="0"/>
            <w:r w:rsidRPr="00D632D2">
              <w:rPr>
                <w:noProof/>
                <w:lang w:val="es-ES" w:eastAsia="es-ES"/>
              </w:rPr>
              <w:drawing>
                <wp:inline distT="0" distB="0" distL="0" distR="0" wp14:anchorId="59807CDF" wp14:editId="314369BA">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D632D2">
              <w:rPr>
                <w:noProof/>
                <w:lang w:val="es-ES" w:eastAsia="es-ES"/>
              </w:rPr>
              <w:drawing>
                <wp:inline distT="0" distB="0" distL="0" distR="0" wp14:anchorId="023BE1EF" wp14:editId="4E574DBD">
                  <wp:extent cx="723900" cy="769620"/>
                  <wp:effectExtent l="0" t="0" r="0" b="0"/>
                  <wp:docPr id="3" name="Picture 3"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2C2F9A90" w14:textId="77777777" w:rsidR="00CA0467" w:rsidRPr="00CA0467" w:rsidRDefault="00CA0467" w:rsidP="00F937A2">
            <w:pPr>
              <w:spacing w:before="1200"/>
              <w:rPr>
                <w:rFonts w:ascii="Arial" w:hAnsi="Arial" w:cs="Arial"/>
                <w:b/>
                <w:sz w:val="28"/>
                <w:szCs w:val="28"/>
                <w:lang w:val="es-ES"/>
              </w:rPr>
            </w:pPr>
            <w:r w:rsidRPr="00CA0467">
              <w:rPr>
                <w:rFonts w:ascii="Arial" w:hAnsi="Arial" w:cs="Arial"/>
                <w:b/>
                <w:sz w:val="32"/>
                <w:szCs w:val="32"/>
                <w:lang w:val="es-ES"/>
              </w:rPr>
              <w:t xml:space="preserve">Programa de las </w:t>
            </w:r>
            <w:r w:rsidRPr="00CA0467">
              <w:rPr>
                <w:rFonts w:ascii="Arial" w:hAnsi="Arial" w:cs="Arial"/>
                <w:b/>
                <w:sz w:val="32"/>
                <w:szCs w:val="32"/>
                <w:lang w:val="es-ES"/>
              </w:rPr>
              <w:br/>
              <w:t xml:space="preserve">Naciones Unidas </w:t>
            </w:r>
            <w:r w:rsidRPr="00CA0467">
              <w:rPr>
                <w:rFonts w:ascii="Arial" w:hAnsi="Arial" w:cs="Arial"/>
                <w:b/>
                <w:sz w:val="32"/>
                <w:szCs w:val="32"/>
                <w:lang w:val="es-ES"/>
              </w:rPr>
              <w:br/>
              <w:t>para el Medio Ambiente</w:t>
            </w:r>
          </w:p>
        </w:tc>
        <w:tc>
          <w:tcPr>
            <w:tcW w:w="3411" w:type="dxa"/>
            <w:tcBorders>
              <w:top w:val="single" w:sz="4" w:space="0" w:color="auto"/>
              <w:bottom w:val="single" w:sz="24" w:space="0" w:color="auto"/>
            </w:tcBorders>
          </w:tcPr>
          <w:p w14:paraId="29FBC3E0" w14:textId="77777777" w:rsidR="00CA0467" w:rsidRPr="00CA0467" w:rsidRDefault="00CA0467" w:rsidP="00CA0467">
            <w:pPr>
              <w:pStyle w:val="Normal-pool"/>
              <w:spacing w:before="120"/>
              <w:rPr>
                <w:lang w:val="es-ES"/>
              </w:rPr>
            </w:pPr>
            <w:proofErr w:type="spellStart"/>
            <w:r w:rsidRPr="00CA0467">
              <w:rPr>
                <w:lang w:val="es-ES"/>
              </w:rPr>
              <w:t>Distr</w:t>
            </w:r>
            <w:proofErr w:type="spellEnd"/>
            <w:r w:rsidRPr="00CA0467">
              <w:rPr>
                <w:lang w:val="es-ES"/>
              </w:rPr>
              <w:t>. general</w:t>
            </w:r>
            <w:r w:rsidRPr="00CA0467">
              <w:rPr>
                <w:lang w:val="es-ES"/>
              </w:rPr>
              <w:br/>
              <w:t>1 de agosto de 2019</w:t>
            </w:r>
          </w:p>
          <w:p w14:paraId="4D459D7F" w14:textId="77777777" w:rsidR="00CA0467" w:rsidRPr="00D632D2" w:rsidRDefault="00CA0467" w:rsidP="00F937A2">
            <w:pPr>
              <w:spacing w:before="120"/>
            </w:pPr>
            <w:proofErr w:type="spellStart"/>
            <w:r w:rsidRPr="00D632D2">
              <w:t>Español</w:t>
            </w:r>
            <w:proofErr w:type="spellEnd"/>
            <w:r w:rsidRPr="00D632D2">
              <w:br/>
              <w:t xml:space="preserve">Original: </w:t>
            </w:r>
            <w:proofErr w:type="spellStart"/>
            <w:r w:rsidRPr="00D632D2">
              <w:t>inglés</w:t>
            </w:r>
            <w:proofErr w:type="spellEnd"/>
          </w:p>
        </w:tc>
      </w:tr>
    </w:tbl>
    <w:p w14:paraId="668FF58A" w14:textId="77777777" w:rsidR="00CA0467" w:rsidRPr="00CA0467" w:rsidRDefault="00CA0467" w:rsidP="00CA0467">
      <w:pPr>
        <w:pStyle w:val="AATitle"/>
        <w:keepNext w:val="0"/>
        <w:keepLines w:val="0"/>
        <w:ind w:left="-204"/>
        <w:rPr>
          <w:lang w:val="es-ES"/>
        </w:rPr>
      </w:pPr>
      <w:r w:rsidRPr="00CA0467">
        <w:rPr>
          <w:bCs/>
          <w:lang w:val="es-ES"/>
        </w:rPr>
        <w:t>Conferencia de las Partes en el Convenio de Minamata sobre el Mercurio</w:t>
      </w:r>
    </w:p>
    <w:p w14:paraId="3BCB9F74" w14:textId="3482BA38" w:rsidR="00CA0467" w:rsidRPr="00CA0467" w:rsidRDefault="005348DC" w:rsidP="00CA0467">
      <w:pPr>
        <w:pStyle w:val="AATitle"/>
        <w:keepNext w:val="0"/>
        <w:keepLines w:val="0"/>
        <w:ind w:left="-204"/>
        <w:rPr>
          <w:lang w:val="es-ES"/>
        </w:rPr>
      </w:pPr>
      <w:r>
        <w:rPr>
          <w:bCs/>
          <w:lang w:val="es-ES"/>
        </w:rPr>
        <w:t>Tercera</w:t>
      </w:r>
      <w:r w:rsidR="00CA0467" w:rsidRPr="00CA0467">
        <w:rPr>
          <w:bCs/>
          <w:lang w:val="es-ES"/>
        </w:rPr>
        <w:t xml:space="preserve"> reunión</w:t>
      </w:r>
    </w:p>
    <w:p w14:paraId="67B82F12" w14:textId="27872DD7" w:rsidR="00787688" w:rsidRPr="00F15EA1" w:rsidRDefault="00787688" w:rsidP="00F15EA1">
      <w:pPr>
        <w:pStyle w:val="AATitle"/>
        <w:keepNext w:val="0"/>
        <w:keepLines w:val="0"/>
        <w:ind w:left="-204"/>
        <w:rPr>
          <w:b w:val="0"/>
          <w:lang w:val="es-ES"/>
        </w:rPr>
      </w:pPr>
      <w:r w:rsidRPr="00F15EA1">
        <w:rPr>
          <w:b w:val="0"/>
          <w:lang w:val="es-ES"/>
        </w:rPr>
        <w:t>Ginebra, 25 a 29 de noviembre de 2019</w:t>
      </w:r>
    </w:p>
    <w:p w14:paraId="271F2664" w14:textId="60A3C753" w:rsidR="00C6275F" w:rsidRPr="00CA0467" w:rsidRDefault="00C6275F" w:rsidP="00F15EA1">
      <w:pPr>
        <w:pStyle w:val="AATitle"/>
        <w:keepNext w:val="0"/>
        <w:keepLines w:val="0"/>
        <w:ind w:left="-204"/>
        <w:rPr>
          <w:lang w:val="es-ES"/>
        </w:rPr>
      </w:pPr>
      <w:bookmarkStart w:id="1" w:name="_Hlk517786179"/>
      <w:r w:rsidRPr="00D171C6">
        <w:rPr>
          <w:b w:val="0"/>
          <w:lang w:val="es-ES"/>
        </w:rPr>
        <w:t>Tema 8 del programa provisional</w:t>
      </w:r>
      <w:r w:rsidRPr="00FC51B1">
        <w:rPr>
          <w:rStyle w:val="FootnoteReference"/>
          <w:vertAlign w:val="baseline"/>
          <w:lang w:val="es-ES"/>
        </w:rPr>
        <w:footnoteReference w:customMarkFollows="1" w:id="1"/>
        <w:t>*</w:t>
      </w:r>
    </w:p>
    <w:p w14:paraId="7110836C" w14:textId="349B6374" w:rsidR="00C6275F" w:rsidRPr="00F15EA1" w:rsidRDefault="00480E2A" w:rsidP="00F15EA1">
      <w:pPr>
        <w:pStyle w:val="AATitle"/>
        <w:keepNext w:val="0"/>
        <w:keepLines w:val="0"/>
        <w:spacing w:before="60"/>
        <w:ind w:left="-204"/>
        <w:rPr>
          <w:bCs/>
          <w:lang w:val="es-ES"/>
        </w:rPr>
      </w:pPr>
      <w:r w:rsidRPr="00F15EA1">
        <w:rPr>
          <w:bCs/>
          <w:lang w:val="es-ES"/>
        </w:rPr>
        <w:t>Lugar y fecha de celebración de la cuarta reunión de la Conferencia de las Partes</w:t>
      </w:r>
    </w:p>
    <w:p w14:paraId="218EAFCF" w14:textId="3D1477B5" w:rsidR="00C6275F" w:rsidRPr="00CA0467" w:rsidRDefault="00480E2A" w:rsidP="00B56CC0">
      <w:pPr>
        <w:pStyle w:val="BBTitle"/>
        <w:rPr>
          <w:lang w:val="es-ES"/>
        </w:rPr>
      </w:pPr>
      <w:r>
        <w:rPr>
          <w:bCs/>
          <w:lang w:val="es-ES"/>
        </w:rPr>
        <w:t>Lugar y fecha de celebración de la cuarta reunión de la Conferencia de las Partes</w:t>
      </w:r>
    </w:p>
    <w:p w14:paraId="79FB6F7D" w14:textId="77777777" w:rsidR="00C6275F" w:rsidRPr="004C2AB4" w:rsidRDefault="00C6275F" w:rsidP="00FC51B1">
      <w:pPr>
        <w:pStyle w:val="CH2"/>
      </w:pPr>
      <w:r>
        <w:rPr>
          <w:lang w:val="es-ES"/>
        </w:rPr>
        <w:tab/>
      </w:r>
      <w:r>
        <w:rPr>
          <w:lang w:val="es-ES"/>
        </w:rPr>
        <w:tab/>
      </w:r>
      <w:r>
        <w:rPr>
          <w:bCs/>
          <w:lang w:val="es-ES"/>
        </w:rPr>
        <w:t>Nota de la Secretaría</w:t>
      </w:r>
    </w:p>
    <w:p w14:paraId="38188DE2" w14:textId="7EF102BC" w:rsidR="00480E2A" w:rsidRPr="00CA0467" w:rsidRDefault="00480E2A" w:rsidP="00311F5E">
      <w:pPr>
        <w:pStyle w:val="Normalnumber"/>
        <w:rPr>
          <w:lang w:val="es-ES"/>
        </w:rPr>
      </w:pPr>
      <w:r>
        <w:rPr>
          <w:lang w:val="es-ES"/>
        </w:rPr>
        <w:t>En su segunda reunión, la Conferencia de las Partes en el Convenio de Minamata sobre el Mercurio a</w:t>
      </w:r>
      <w:r w:rsidR="00D171C6">
        <w:rPr>
          <w:lang w:val="es-ES"/>
        </w:rPr>
        <w:t>doptó la decisión MC-2/5, relativa a</w:t>
      </w:r>
      <w:r>
        <w:rPr>
          <w:lang w:val="es-ES"/>
        </w:rPr>
        <w:t xml:space="preserve">l lugar y fecha de celebración de la tercera reunión </w:t>
      </w:r>
      <w:r w:rsidR="00D171C6">
        <w:rPr>
          <w:lang w:val="es-ES"/>
        </w:rPr>
        <w:t xml:space="preserve">de la Conferencia de las Partes </w:t>
      </w:r>
      <w:r>
        <w:rPr>
          <w:lang w:val="es-ES"/>
        </w:rPr>
        <w:t>y reuniones posteriores. En el párrafo 2 de esa decisión, la Conferencia de las Partes invitó a las Partes a presentar antes de la tercera reunión ordinaria ofertas para acoger la cuarta reunión ordinaria de la Conferencia de las Partes, y a proceder de la misma manera respecto de las reuniones ordinarias subsiguientes.</w:t>
      </w:r>
    </w:p>
    <w:p w14:paraId="736CF11A" w14:textId="3DC8CE7B" w:rsidR="00480E2A" w:rsidRPr="00CA0467" w:rsidRDefault="00223139" w:rsidP="00311F5E">
      <w:pPr>
        <w:pStyle w:val="Normalnumber"/>
        <w:tabs>
          <w:tab w:val="clear" w:pos="1134"/>
        </w:tabs>
        <w:rPr>
          <w:lang w:val="es-ES"/>
        </w:rPr>
      </w:pPr>
      <w:r>
        <w:rPr>
          <w:lang w:val="es-ES"/>
        </w:rPr>
        <w:t>En la misma decisión, la Conferencia de las Partes solicitó también a la Secretaria Ejecutiva que presentase, antes de cada reunión ordinaria, una evaluación de las ofertas recibidas de conformidad con el párrafo 2 de la decisión, para su examen por la Conferencia de las Partes.</w:t>
      </w:r>
    </w:p>
    <w:p w14:paraId="021E5A74" w14:textId="54D89067" w:rsidR="00E02888" w:rsidRPr="00CA0467" w:rsidRDefault="00F50041" w:rsidP="00311F5E">
      <w:pPr>
        <w:pStyle w:val="Normalnumber"/>
        <w:tabs>
          <w:tab w:val="clear" w:pos="1134"/>
        </w:tabs>
        <w:rPr>
          <w:sz w:val="22"/>
          <w:szCs w:val="22"/>
          <w:lang w:val="es-ES"/>
        </w:rPr>
      </w:pPr>
      <w:r>
        <w:rPr>
          <w:lang w:val="es-ES"/>
        </w:rPr>
        <w:t>En consecuencia, la Secretaria Ejecutiva envió una carta de fecha 3 de mayo de 2019 a los coordinadores nacionales del Convenio, las misiones permanentes ante el Programa de las Naciones</w:t>
      </w:r>
      <w:r w:rsidR="00F15EA1">
        <w:rPr>
          <w:lang w:val="es-ES"/>
        </w:rPr>
        <w:t> </w:t>
      </w:r>
      <w:r>
        <w:rPr>
          <w:lang w:val="es-ES"/>
        </w:rPr>
        <w:t>Unidas para el Medio Ambiente (PNUMA) y las misiones permanentes ante la Oficina de las</w:t>
      </w:r>
      <w:r w:rsidR="00F15EA1">
        <w:rPr>
          <w:lang w:val="es-ES"/>
        </w:rPr>
        <w:t> </w:t>
      </w:r>
      <w:r>
        <w:rPr>
          <w:lang w:val="es-ES"/>
        </w:rPr>
        <w:t xml:space="preserve">Naciones </w:t>
      </w:r>
      <w:r w:rsidR="00D171C6">
        <w:rPr>
          <w:lang w:val="es-ES"/>
        </w:rPr>
        <w:t xml:space="preserve">Unidas en Ginebra, en la que, haciendo referencia a la decisión MC-2/5, </w:t>
      </w:r>
      <w:r>
        <w:rPr>
          <w:lang w:val="es-ES"/>
        </w:rPr>
        <w:t xml:space="preserve">recordó que se había invitado a las Partes a que antes de la tercera reunión, que se celebraría en Ginebra del 25 al 29 de noviembre de 2019, presentasen ofertas para acoger la cuarta reunión de la Conferencia de las Partes. La Secretaría Ejecutiva invitó a los Gobiernos </w:t>
      </w:r>
      <w:r w:rsidR="00D171C6">
        <w:rPr>
          <w:lang w:val="es-ES"/>
        </w:rPr>
        <w:t>que deseasen</w:t>
      </w:r>
      <w:r>
        <w:rPr>
          <w:lang w:val="es-ES"/>
        </w:rPr>
        <w:t xml:space="preserve"> ofrecerse a acoger la cuarta reunión a que presentasen sus ofertas a la Secretaría antes del 12 de julio de 2019 para que la Secretaría pudiese emprender los arreglos correspondientes, incluido el procesamiento de la documentación pertinente para la tercera reunión. La Secretaría Ejecutiva a</w:t>
      </w:r>
      <w:r w:rsidR="00D171C6">
        <w:rPr>
          <w:lang w:val="es-ES"/>
        </w:rPr>
        <w:t xml:space="preserve">claró que la invitación </w:t>
      </w:r>
      <w:r>
        <w:rPr>
          <w:lang w:val="es-ES"/>
        </w:rPr>
        <w:t>era</w:t>
      </w:r>
      <w:r w:rsidR="00FD033D">
        <w:rPr>
          <w:lang w:val="es-ES"/>
        </w:rPr>
        <w:t> </w:t>
      </w:r>
      <w:r>
        <w:rPr>
          <w:lang w:val="es-ES"/>
        </w:rPr>
        <w:t>extensiva a todos los países que en el momento de celebrarse la tercera reunión hubiesen pasado a</w:t>
      </w:r>
      <w:r w:rsidR="00FD033D">
        <w:rPr>
          <w:lang w:val="es-ES"/>
        </w:rPr>
        <w:t> </w:t>
      </w:r>
      <w:r>
        <w:rPr>
          <w:lang w:val="es-ES"/>
        </w:rPr>
        <w:t>ser Partes en el Convenio.</w:t>
      </w:r>
    </w:p>
    <w:p w14:paraId="5C67A483" w14:textId="607B8355" w:rsidR="007934C0" w:rsidRPr="00CA0467" w:rsidRDefault="00BD6759" w:rsidP="00311F5E">
      <w:pPr>
        <w:pStyle w:val="Normalnumber"/>
        <w:tabs>
          <w:tab w:val="clear" w:pos="1134"/>
        </w:tabs>
        <w:rPr>
          <w:lang w:val="es-ES"/>
        </w:rPr>
      </w:pPr>
      <w:r>
        <w:rPr>
          <w:lang w:val="es-ES"/>
        </w:rPr>
        <w:t>Posteriormente, la Secretaría recibió una nota verbal de fecha 2</w:t>
      </w:r>
      <w:r w:rsidR="001657ED">
        <w:rPr>
          <w:lang w:val="es-ES"/>
        </w:rPr>
        <w:t>8</w:t>
      </w:r>
      <w:r>
        <w:rPr>
          <w:lang w:val="es-ES"/>
        </w:rPr>
        <w:t xml:space="preserve"> de mayo de 2019 enviada por</w:t>
      </w:r>
      <w:r w:rsidR="00FD033D">
        <w:rPr>
          <w:lang w:val="es-ES"/>
        </w:rPr>
        <w:t> </w:t>
      </w:r>
      <w:r>
        <w:rPr>
          <w:lang w:val="es-ES"/>
        </w:rPr>
        <w:t>la Misión Permanente de Colombia ante la Oficina de las Naciones Unidas en Ginebra, a la que se</w:t>
      </w:r>
      <w:r w:rsidR="00FD033D">
        <w:rPr>
          <w:lang w:val="es-ES"/>
        </w:rPr>
        <w:t> </w:t>
      </w:r>
      <w:r>
        <w:rPr>
          <w:lang w:val="es-ES"/>
        </w:rPr>
        <w:t xml:space="preserve">adjuntaba una carta del Sr. Carlos Holmes Trujillo García, Ministro de Relaciones Exteriores de Colombia. En la carta, el Sr. Trujillo García anunciaba el ofrecimiento del Gobierno de Colombia de acoger la cuarta reunión de la Conferencia de las Partes en el </w:t>
      </w:r>
      <w:bookmarkStart w:id="2" w:name="_GoBack"/>
      <w:bookmarkEnd w:id="2"/>
      <w:r>
        <w:rPr>
          <w:lang w:val="es-ES"/>
        </w:rPr>
        <w:t>Convenio de Minam</w:t>
      </w:r>
      <w:r w:rsidR="00D171C6">
        <w:rPr>
          <w:lang w:val="es-ES"/>
        </w:rPr>
        <w:t>ata, que se celebraría en 2021 y, a</w:t>
      </w:r>
      <w:r>
        <w:rPr>
          <w:lang w:val="es-ES"/>
        </w:rPr>
        <w:t xml:space="preserve">demás, señalaba que la cuarta reunión era fundamental para acelerar e incrementar el compromiso mundial frente al problema de la contaminación por mercurio mediante la adopción de </w:t>
      </w:r>
      <w:r>
        <w:rPr>
          <w:lang w:val="es-ES"/>
        </w:rPr>
        <w:lastRenderedPageBreak/>
        <w:t>decisiones que sirviesen para fortalecer las capacidades nacionales, controlar el comercio de mercurio y establecer buenas prácticas de recuperación de sitios contaminados, entre otras iniciativas.</w:t>
      </w:r>
    </w:p>
    <w:p w14:paraId="2683D810" w14:textId="4AA56F98" w:rsidR="007934C0" w:rsidRPr="00CA0467" w:rsidRDefault="007934C0" w:rsidP="00311F5E">
      <w:pPr>
        <w:pStyle w:val="Normalnumber"/>
        <w:tabs>
          <w:tab w:val="clear" w:pos="1134"/>
        </w:tabs>
        <w:rPr>
          <w:lang w:val="es-ES"/>
        </w:rPr>
      </w:pPr>
      <w:r>
        <w:rPr>
          <w:lang w:val="es-ES"/>
        </w:rPr>
        <w:t>En el momento de publicarse la presente nota, la Secretaría no había recibido ninguna otra oferta. La oferta del Gobierno de Colombia se reproduce en el anexo de la presente nota.</w:t>
      </w:r>
    </w:p>
    <w:p w14:paraId="10F7356E" w14:textId="181FC524" w:rsidR="00343F58" w:rsidRPr="00CA0467" w:rsidRDefault="00BD6759" w:rsidP="00311F5E">
      <w:pPr>
        <w:pStyle w:val="Normalnumber"/>
        <w:tabs>
          <w:tab w:val="clear" w:pos="1134"/>
        </w:tabs>
        <w:rPr>
          <w:lang w:val="es-ES"/>
        </w:rPr>
      </w:pPr>
      <w:r>
        <w:rPr>
          <w:lang w:val="es-ES"/>
        </w:rPr>
        <w:t>En el momento de publicarse la presente nota, Colombia no es Parte en el Convenio de Minamata. Sin embargo, el Gobierno de Colombia ha confirmado a la Secretaría su intención de pasar a ser Parte antes de la tercera reunión y ha explicado que está ultimando los procedimientos exigidos por su legislación nacional para depositar su instrumento de ratificación ante el depositario del Convenio antes del 27 de agosto de 2019.</w:t>
      </w:r>
    </w:p>
    <w:p w14:paraId="1407A0D7" w14:textId="34EE07AA" w:rsidR="00B61789" w:rsidRPr="00CA0467" w:rsidRDefault="00343F58" w:rsidP="00311F5E">
      <w:pPr>
        <w:pStyle w:val="Normalnumber"/>
        <w:tabs>
          <w:tab w:val="clear" w:pos="1134"/>
        </w:tabs>
        <w:rPr>
          <w:lang w:val="es-ES"/>
        </w:rPr>
      </w:pPr>
      <w:r>
        <w:rPr>
          <w:lang w:val="es-ES"/>
        </w:rPr>
        <w:t>El Gobierno de Colombia también ha comunicado a la Secretaría su intención de ofrecer más información sobre su oferta en la tercera reunión de la Conferencia de las Partes.</w:t>
      </w:r>
    </w:p>
    <w:p w14:paraId="621AFD71" w14:textId="12AD810A" w:rsidR="00C6275F" w:rsidRPr="00CA0467" w:rsidRDefault="00BD6759" w:rsidP="00BD6759">
      <w:pPr>
        <w:pStyle w:val="CH2"/>
        <w:rPr>
          <w:b w:val="0"/>
          <w:lang w:val="es-ES"/>
        </w:rPr>
      </w:pPr>
      <w:r>
        <w:rPr>
          <w:lang w:val="es-ES"/>
        </w:rPr>
        <w:tab/>
      </w:r>
      <w:r>
        <w:rPr>
          <w:lang w:val="es-ES"/>
        </w:rPr>
        <w:tab/>
      </w:r>
      <w:r>
        <w:rPr>
          <w:bCs/>
          <w:lang w:val="es-ES"/>
        </w:rPr>
        <w:t>Medida que podría adoptar la Conferencia de las Partes</w:t>
      </w:r>
    </w:p>
    <w:p w14:paraId="4F6F38BD" w14:textId="60441E63" w:rsidR="00B61789" w:rsidRPr="00CA0467" w:rsidRDefault="00C6275F" w:rsidP="00311F5E">
      <w:pPr>
        <w:pStyle w:val="Normalnumber"/>
        <w:tabs>
          <w:tab w:val="clear" w:pos="1134"/>
        </w:tabs>
        <w:rPr>
          <w:lang w:val="es-ES"/>
        </w:rPr>
      </w:pPr>
      <w:r>
        <w:rPr>
          <w:lang w:val="es-ES"/>
        </w:rPr>
        <w:t>La Conferencia de las</w:t>
      </w:r>
      <w:r w:rsidR="00E51CD0">
        <w:rPr>
          <w:lang w:val="es-ES"/>
        </w:rPr>
        <w:t xml:space="preserve"> Partes ta</w:t>
      </w:r>
      <w:r w:rsidR="007C0D5C">
        <w:rPr>
          <w:lang w:val="es-ES"/>
        </w:rPr>
        <w:t>l vez desee considerar</w:t>
      </w:r>
      <w:r>
        <w:rPr>
          <w:lang w:val="es-ES"/>
        </w:rPr>
        <w:t xml:space="preserve"> la oferta del Gobierno de Colombia de acoger la cuarta reunión de la Conferencia de las Partes.</w:t>
      </w:r>
    </w:p>
    <w:p w14:paraId="661EB3CB" w14:textId="77777777" w:rsidR="00B61789" w:rsidRPr="00CA0467" w:rsidRDefault="00B61789">
      <w:pPr>
        <w:tabs>
          <w:tab w:val="clear" w:pos="1247"/>
          <w:tab w:val="clear" w:pos="1814"/>
          <w:tab w:val="clear" w:pos="2381"/>
          <w:tab w:val="clear" w:pos="2948"/>
          <w:tab w:val="clear" w:pos="3515"/>
        </w:tabs>
        <w:rPr>
          <w:lang w:val="es-ES"/>
        </w:rPr>
      </w:pPr>
      <w:r w:rsidRPr="00CA0467">
        <w:rPr>
          <w:lang w:val="es-ES"/>
        </w:rPr>
        <w:br w:type="page"/>
      </w:r>
    </w:p>
    <w:p w14:paraId="42E44D42" w14:textId="5A33F387" w:rsidR="00B61789" w:rsidRPr="00CA0467" w:rsidRDefault="00B61789" w:rsidP="00D52E37">
      <w:pPr>
        <w:pStyle w:val="ZZAnxheader"/>
        <w:rPr>
          <w:lang w:val="es-ES"/>
        </w:rPr>
      </w:pPr>
      <w:r>
        <w:rPr>
          <w:lang w:val="es-ES"/>
        </w:rPr>
        <w:lastRenderedPageBreak/>
        <w:t>Anexo</w:t>
      </w:r>
    </w:p>
    <w:p w14:paraId="3F90234C" w14:textId="721D2753" w:rsidR="00B61789" w:rsidRPr="00CA0467" w:rsidRDefault="00554D2C" w:rsidP="00D52E37">
      <w:pPr>
        <w:pStyle w:val="ZZAnxtitle"/>
        <w:rPr>
          <w:sz w:val="24"/>
          <w:szCs w:val="24"/>
          <w:shd w:val="clear" w:color="auto" w:fill="FFFFFF"/>
          <w:lang w:val="es-ES"/>
        </w:rPr>
      </w:pPr>
      <w:r>
        <w:rPr>
          <w:lang w:val="es-ES"/>
        </w:rPr>
        <w:t>Nota verbal de fecha 2</w:t>
      </w:r>
      <w:r w:rsidR="001657ED">
        <w:rPr>
          <w:lang w:val="es-ES"/>
        </w:rPr>
        <w:t>8</w:t>
      </w:r>
      <w:r>
        <w:rPr>
          <w:lang w:val="es-ES"/>
        </w:rPr>
        <w:t xml:space="preserve"> de mayo de 2019 remitida a la Secretaría por la Misión Permanente de Colombia ante la Oficina de las Naciones Unidas en Ginebra</w:t>
      </w:r>
      <w:bookmarkStart w:id="3" w:name="_Hlk8228662"/>
      <w:bookmarkEnd w:id="3"/>
    </w:p>
    <w:bookmarkEnd w:id="1"/>
    <w:p w14:paraId="17A6E70A" w14:textId="5753FBC1" w:rsidR="00B61789" w:rsidRPr="00CA0467" w:rsidRDefault="001D05B5" w:rsidP="001D05B5">
      <w:pPr>
        <w:ind w:left="1247"/>
        <w:rPr>
          <w:b/>
          <w:color w:val="222222"/>
          <w:sz w:val="24"/>
          <w:szCs w:val="24"/>
          <w:shd w:val="clear" w:color="auto" w:fill="FFFFFF"/>
          <w:lang w:val="es-ES"/>
        </w:rPr>
      </w:pPr>
      <w:r>
        <w:rPr>
          <w:noProof/>
          <w:lang w:val="es-ES" w:eastAsia="es-ES"/>
        </w:rPr>
        <w:drawing>
          <wp:inline distT="0" distB="0" distL="0" distR="0" wp14:anchorId="4BEE006A" wp14:editId="62AAF659">
            <wp:extent cx="4494770" cy="754380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498722" cy="7550433"/>
                    </a:xfrm>
                    <a:prstGeom prst="rect">
                      <a:avLst/>
                    </a:prstGeom>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FD033D" w14:paraId="7679EC91" w14:textId="77777777" w:rsidTr="00F937A2">
        <w:tc>
          <w:tcPr>
            <w:tcW w:w="1897" w:type="dxa"/>
          </w:tcPr>
          <w:p w14:paraId="28C2EF44" w14:textId="77777777" w:rsidR="00FD033D" w:rsidRDefault="00FD033D" w:rsidP="001D05B5">
            <w:pPr>
              <w:pStyle w:val="Normal-pool"/>
              <w:spacing w:before="360"/>
              <w:rPr>
                <w:shd w:val="clear" w:color="auto" w:fill="FFFFFF"/>
              </w:rPr>
            </w:pPr>
          </w:p>
        </w:tc>
        <w:tc>
          <w:tcPr>
            <w:tcW w:w="1897" w:type="dxa"/>
          </w:tcPr>
          <w:p w14:paraId="5961CC28" w14:textId="77777777" w:rsidR="00FD033D" w:rsidRDefault="00FD033D" w:rsidP="001D05B5">
            <w:pPr>
              <w:pStyle w:val="Normal-pool"/>
              <w:spacing w:before="360"/>
              <w:rPr>
                <w:shd w:val="clear" w:color="auto" w:fill="FFFFFF"/>
              </w:rPr>
            </w:pPr>
          </w:p>
        </w:tc>
        <w:tc>
          <w:tcPr>
            <w:tcW w:w="1897" w:type="dxa"/>
            <w:tcBorders>
              <w:bottom w:val="single" w:sz="4" w:space="0" w:color="auto"/>
            </w:tcBorders>
          </w:tcPr>
          <w:p w14:paraId="17E20D2D" w14:textId="77777777" w:rsidR="00FD033D" w:rsidRDefault="00FD033D" w:rsidP="001D05B5">
            <w:pPr>
              <w:pStyle w:val="Normal-pool"/>
              <w:spacing w:before="360"/>
              <w:rPr>
                <w:shd w:val="clear" w:color="auto" w:fill="FFFFFF"/>
              </w:rPr>
            </w:pPr>
          </w:p>
        </w:tc>
        <w:tc>
          <w:tcPr>
            <w:tcW w:w="1897" w:type="dxa"/>
          </w:tcPr>
          <w:p w14:paraId="56202760" w14:textId="77777777" w:rsidR="00FD033D" w:rsidRDefault="00FD033D" w:rsidP="001D05B5">
            <w:pPr>
              <w:pStyle w:val="Normal-pool"/>
              <w:spacing w:before="360"/>
              <w:rPr>
                <w:shd w:val="clear" w:color="auto" w:fill="FFFFFF"/>
              </w:rPr>
            </w:pPr>
          </w:p>
        </w:tc>
        <w:tc>
          <w:tcPr>
            <w:tcW w:w="1898" w:type="dxa"/>
          </w:tcPr>
          <w:p w14:paraId="2A937846" w14:textId="77777777" w:rsidR="00FD033D" w:rsidRDefault="00FD033D" w:rsidP="001D05B5">
            <w:pPr>
              <w:pStyle w:val="Normal-pool"/>
              <w:spacing w:before="360"/>
              <w:rPr>
                <w:shd w:val="clear" w:color="auto" w:fill="FFFFFF"/>
              </w:rPr>
            </w:pPr>
          </w:p>
        </w:tc>
      </w:tr>
    </w:tbl>
    <w:p w14:paraId="3E758065" w14:textId="77777777" w:rsidR="00FD033D" w:rsidRDefault="00FD033D" w:rsidP="00FD033D">
      <w:pPr>
        <w:pStyle w:val="Normal-pool"/>
        <w:rPr>
          <w:shd w:val="clear" w:color="auto" w:fill="FFFFFF"/>
        </w:rPr>
      </w:pPr>
    </w:p>
    <w:sectPr w:rsidR="00FD033D"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8F75D1" w14:textId="77777777" w:rsidR="000557BA" w:rsidRDefault="000557BA">
      <w:r>
        <w:separator/>
      </w:r>
    </w:p>
  </w:endnote>
  <w:endnote w:type="continuationSeparator" w:id="0">
    <w:p w14:paraId="69F13B07" w14:textId="77777777" w:rsidR="000557BA" w:rsidRDefault="00055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52C39093" w:rsidR="0088000A" w:rsidRPr="00D52E37" w:rsidRDefault="0088000A" w:rsidP="00D52E37">
    <w:pPr>
      <w:pStyle w:val="Footer-pool"/>
    </w:pPr>
    <w:r w:rsidRPr="00D52E37">
      <w:rPr>
        <w:rStyle w:val="PageNumber"/>
        <w:b/>
      </w:rPr>
      <w:fldChar w:fldCharType="begin"/>
    </w:r>
    <w:r w:rsidRPr="00D52E37">
      <w:rPr>
        <w:rStyle w:val="PageNumber"/>
        <w:b/>
      </w:rPr>
      <w:instrText xml:space="preserve"> PAGE </w:instrText>
    </w:r>
    <w:r w:rsidRPr="00D52E37">
      <w:rPr>
        <w:rStyle w:val="PageNumber"/>
        <w:b/>
      </w:rPr>
      <w:fldChar w:fldCharType="separate"/>
    </w:r>
    <w:r w:rsidR="005A43CD">
      <w:rPr>
        <w:rStyle w:val="PageNumber"/>
        <w:b/>
        <w:noProof/>
      </w:rPr>
      <w:t>2</w:t>
    </w:r>
    <w:r w:rsidRPr="00D52E37">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01EFEC27" w:rsidR="0088000A" w:rsidRDefault="0088000A"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5A43CD">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94561" w14:textId="718A0519" w:rsidR="0088000A" w:rsidRPr="00D52E37" w:rsidRDefault="0088000A" w:rsidP="00D52E37">
    <w:pPr>
      <w:pStyle w:val="Normal-pool"/>
    </w:pPr>
    <w:r>
      <w:t>K190381</w:t>
    </w:r>
    <w:r w:rsidR="00FD033D">
      <w:t>7</w:t>
    </w:r>
    <w:r>
      <w:tab/>
      <w:t>1</w:t>
    </w:r>
    <w:r w:rsidR="001657ED">
      <w:t>1</w:t>
    </w:r>
    <w:r>
      <w:t>0</w:t>
    </w:r>
    <w:r w:rsidR="00FD033D">
      <w:t>9</w:t>
    </w:r>
    <w: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AE2DCA" w14:textId="77777777" w:rsidR="000557BA" w:rsidRPr="00734B68" w:rsidRDefault="000557BA" w:rsidP="00FD033D">
      <w:pPr>
        <w:pStyle w:val="NormalNonumber"/>
        <w:tabs>
          <w:tab w:val="clear" w:pos="1247"/>
          <w:tab w:val="clear" w:pos="1814"/>
          <w:tab w:val="clear" w:pos="2381"/>
          <w:tab w:val="clear" w:pos="2948"/>
          <w:tab w:val="clear" w:pos="3515"/>
          <w:tab w:val="clear" w:pos="4082"/>
          <w:tab w:val="left" w:pos="624"/>
        </w:tabs>
        <w:spacing w:before="20" w:after="40"/>
        <w:ind w:left="624"/>
        <w:rPr>
          <w:sz w:val="18"/>
          <w:szCs w:val="18"/>
        </w:rPr>
      </w:pPr>
      <w:r w:rsidRPr="00734B68">
        <w:rPr>
          <w:sz w:val="18"/>
          <w:szCs w:val="18"/>
        </w:rPr>
        <w:separator/>
      </w:r>
    </w:p>
  </w:footnote>
  <w:footnote w:type="continuationSeparator" w:id="0">
    <w:p w14:paraId="42F238C7" w14:textId="77777777" w:rsidR="000557BA" w:rsidRDefault="000557BA">
      <w:r>
        <w:continuationSeparator/>
      </w:r>
    </w:p>
  </w:footnote>
  <w:footnote w:id="1">
    <w:p w14:paraId="1AACA6D8" w14:textId="1FDCAC79" w:rsidR="0088000A" w:rsidRPr="005A43CD" w:rsidRDefault="0088000A" w:rsidP="00734B68">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5A43CD">
        <w:rPr>
          <w:sz w:val="18"/>
          <w:szCs w:val="18"/>
          <w:lang w:val="es-ES"/>
        </w:rPr>
        <w:t>* UNEP/MC/COP.3/1.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7B2E799A" w:rsidR="0088000A" w:rsidRPr="00CA5CA9" w:rsidRDefault="0088000A" w:rsidP="00D52E37">
    <w:pPr>
      <w:pStyle w:val="Header-pool"/>
    </w:pPr>
    <w:r w:rsidRPr="00CA5CA9">
      <w:rPr>
        <w:bCs/>
      </w:rPr>
      <w:t>UNEP</w:t>
    </w:r>
    <w:r w:rsidRPr="00CA5CA9">
      <w:t>/</w:t>
    </w:r>
    <w:r>
      <w:t>MC</w:t>
    </w:r>
    <w:r w:rsidRPr="00CA5CA9">
      <w:t>/</w:t>
    </w:r>
    <w:r>
      <w:t>COP.3</w:t>
    </w:r>
    <w:r w:rsidRPr="00CA5CA9">
      <w:t>/</w:t>
    </w:r>
    <w:r>
      <w:t>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40FC0148" w:rsidR="0088000A" w:rsidRPr="00CA5CA9" w:rsidRDefault="0088000A" w:rsidP="00D52E37">
    <w:pPr>
      <w:pStyle w:val="Header-pool"/>
      <w:jc w:val="right"/>
    </w:pPr>
    <w:r w:rsidRPr="00CA5CA9">
      <w:rPr>
        <w:bCs/>
      </w:rPr>
      <w:t>UNEP</w:t>
    </w:r>
    <w:r w:rsidRPr="00CA5CA9">
      <w:t>/</w:t>
    </w:r>
    <w:r>
      <w:t>MC</w:t>
    </w:r>
    <w:r w:rsidRPr="00CA5CA9">
      <w:t>/</w:t>
    </w:r>
    <w:r>
      <w:t>COP.3</w:t>
    </w:r>
    <w:r w:rsidRPr="00CA5CA9">
      <w:t>/</w:t>
    </w:r>
    <w:r>
      <w:t>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0B05DE51" w:rsidR="0088000A" w:rsidRDefault="0088000A"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3"/>
  </w:num>
  <w:num w:numId="2">
    <w:abstractNumId w:val="0"/>
  </w:num>
  <w:num w:numId="3">
    <w:abstractNumId w:val="2"/>
  </w:num>
  <w:num w:numId="4">
    <w:abstractNumId w:val="3"/>
    <w:lvlOverride w:ilvl="0">
      <w:lvl w:ilvl="0">
        <w:start w:val="1"/>
        <w:numFmt w:val="decimal"/>
        <w:pStyle w:val="Normalnumber"/>
        <w:lvlText w:val="%1."/>
        <w:lvlJc w:val="left"/>
        <w:pPr>
          <w:tabs>
            <w:tab w:val="num" w:pos="1134"/>
          </w:tabs>
          <w:ind w:left="1247" w:firstLine="0"/>
        </w:pPr>
        <w:rPr>
          <w:rFonts w:hint="default"/>
        </w:rPr>
      </w:lvl>
    </w:lvlOverride>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en-AU"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B8D"/>
    <w:rsid w:val="00033E0B"/>
    <w:rsid w:val="00035EDE"/>
    <w:rsid w:val="000509B4"/>
    <w:rsid w:val="000557BA"/>
    <w:rsid w:val="00057D6D"/>
    <w:rsid w:val="0006035B"/>
    <w:rsid w:val="0006096F"/>
    <w:rsid w:val="000649C5"/>
    <w:rsid w:val="00065F18"/>
    <w:rsid w:val="00071886"/>
    <w:rsid w:val="000742BC"/>
    <w:rsid w:val="00076CC6"/>
    <w:rsid w:val="00082A0C"/>
    <w:rsid w:val="00083504"/>
    <w:rsid w:val="0009640C"/>
    <w:rsid w:val="000B032E"/>
    <w:rsid w:val="000B22A2"/>
    <w:rsid w:val="000B2CA7"/>
    <w:rsid w:val="000B541B"/>
    <w:rsid w:val="000B73F9"/>
    <w:rsid w:val="000C0DA6"/>
    <w:rsid w:val="000C2A52"/>
    <w:rsid w:val="000C2A88"/>
    <w:rsid w:val="000D0B93"/>
    <w:rsid w:val="000D33C0"/>
    <w:rsid w:val="000D4CF6"/>
    <w:rsid w:val="000D6941"/>
    <w:rsid w:val="000E71B9"/>
    <w:rsid w:val="000F3DCD"/>
    <w:rsid w:val="000F4829"/>
    <w:rsid w:val="000F6B21"/>
    <w:rsid w:val="00102EFB"/>
    <w:rsid w:val="001202E3"/>
    <w:rsid w:val="00123699"/>
    <w:rsid w:val="001241FB"/>
    <w:rsid w:val="0013059D"/>
    <w:rsid w:val="00136187"/>
    <w:rsid w:val="00141A55"/>
    <w:rsid w:val="0014293F"/>
    <w:rsid w:val="0014397D"/>
    <w:rsid w:val="001446A3"/>
    <w:rsid w:val="00152B6B"/>
    <w:rsid w:val="00155395"/>
    <w:rsid w:val="00155A2F"/>
    <w:rsid w:val="00156B6B"/>
    <w:rsid w:val="00160783"/>
    <w:rsid w:val="00160D74"/>
    <w:rsid w:val="001646EA"/>
    <w:rsid w:val="001657ED"/>
    <w:rsid w:val="001677B4"/>
    <w:rsid w:val="00167D02"/>
    <w:rsid w:val="00173556"/>
    <w:rsid w:val="00174FA1"/>
    <w:rsid w:val="001759D8"/>
    <w:rsid w:val="00177D7F"/>
    <w:rsid w:val="00177F5E"/>
    <w:rsid w:val="00180C3F"/>
    <w:rsid w:val="00181EC8"/>
    <w:rsid w:val="00184349"/>
    <w:rsid w:val="00195F33"/>
    <w:rsid w:val="001A47E5"/>
    <w:rsid w:val="001B1617"/>
    <w:rsid w:val="001B504B"/>
    <w:rsid w:val="001B6F98"/>
    <w:rsid w:val="001C191A"/>
    <w:rsid w:val="001D05B5"/>
    <w:rsid w:val="001D3874"/>
    <w:rsid w:val="001D7E75"/>
    <w:rsid w:val="001E0D73"/>
    <w:rsid w:val="001E21C2"/>
    <w:rsid w:val="001E45BD"/>
    <w:rsid w:val="001E56D2"/>
    <w:rsid w:val="001E7D56"/>
    <w:rsid w:val="001F0F6A"/>
    <w:rsid w:val="001F2971"/>
    <w:rsid w:val="001F4413"/>
    <w:rsid w:val="001F5186"/>
    <w:rsid w:val="001F75DE"/>
    <w:rsid w:val="00200D58"/>
    <w:rsid w:val="002011C1"/>
    <w:rsid w:val="002013BE"/>
    <w:rsid w:val="00201EDC"/>
    <w:rsid w:val="002063A4"/>
    <w:rsid w:val="0021145B"/>
    <w:rsid w:val="00213511"/>
    <w:rsid w:val="00220C23"/>
    <w:rsid w:val="00221239"/>
    <w:rsid w:val="00223139"/>
    <w:rsid w:val="0022338B"/>
    <w:rsid w:val="002247F6"/>
    <w:rsid w:val="00225E21"/>
    <w:rsid w:val="00225E44"/>
    <w:rsid w:val="00234E78"/>
    <w:rsid w:val="00243D36"/>
    <w:rsid w:val="00243F00"/>
    <w:rsid w:val="00246151"/>
    <w:rsid w:val="00247707"/>
    <w:rsid w:val="00252456"/>
    <w:rsid w:val="00255072"/>
    <w:rsid w:val="0026018E"/>
    <w:rsid w:val="00264A15"/>
    <w:rsid w:val="00286740"/>
    <w:rsid w:val="00286ADE"/>
    <w:rsid w:val="00291EAE"/>
    <w:rsid w:val="002929D8"/>
    <w:rsid w:val="002A237D"/>
    <w:rsid w:val="002A4C53"/>
    <w:rsid w:val="002B00F2"/>
    <w:rsid w:val="002B0672"/>
    <w:rsid w:val="002B247F"/>
    <w:rsid w:val="002B50D4"/>
    <w:rsid w:val="002B58BF"/>
    <w:rsid w:val="002C145D"/>
    <w:rsid w:val="002C2C3E"/>
    <w:rsid w:val="002C4227"/>
    <w:rsid w:val="002C44D5"/>
    <w:rsid w:val="002C4F61"/>
    <w:rsid w:val="002C533E"/>
    <w:rsid w:val="002D027F"/>
    <w:rsid w:val="002D3E15"/>
    <w:rsid w:val="002D7A85"/>
    <w:rsid w:val="002D7B60"/>
    <w:rsid w:val="002E34D9"/>
    <w:rsid w:val="002F4761"/>
    <w:rsid w:val="002F5C79"/>
    <w:rsid w:val="002F68EE"/>
    <w:rsid w:val="003019E2"/>
    <w:rsid w:val="00310BEB"/>
    <w:rsid w:val="00311F5E"/>
    <w:rsid w:val="0031413F"/>
    <w:rsid w:val="00314854"/>
    <w:rsid w:val="003148BB"/>
    <w:rsid w:val="00316FFF"/>
    <w:rsid w:val="00317976"/>
    <w:rsid w:val="00320F2F"/>
    <w:rsid w:val="0032457E"/>
    <w:rsid w:val="00325968"/>
    <w:rsid w:val="00325D38"/>
    <w:rsid w:val="00343F58"/>
    <w:rsid w:val="0035277E"/>
    <w:rsid w:val="00355EA9"/>
    <w:rsid w:val="003578DE"/>
    <w:rsid w:val="00361688"/>
    <w:rsid w:val="00367FD2"/>
    <w:rsid w:val="00380921"/>
    <w:rsid w:val="003877D5"/>
    <w:rsid w:val="003929B8"/>
    <w:rsid w:val="00393432"/>
    <w:rsid w:val="00396257"/>
    <w:rsid w:val="00397EB8"/>
    <w:rsid w:val="003A4FD0"/>
    <w:rsid w:val="003A5A7A"/>
    <w:rsid w:val="003A69D1"/>
    <w:rsid w:val="003A7705"/>
    <w:rsid w:val="003A77F1"/>
    <w:rsid w:val="003B1545"/>
    <w:rsid w:val="003C0F26"/>
    <w:rsid w:val="003C2B6C"/>
    <w:rsid w:val="003C3219"/>
    <w:rsid w:val="003C390C"/>
    <w:rsid w:val="003C409D"/>
    <w:rsid w:val="003C4544"/>
    <w:rsid w:val="003C5583"/>
    <w:rsid w:val="003C5BA6"/>
    <w:rsid w:val="003C74CF"/>
    <w:rsid w:val="003D3752"/>
    <w:rsid w:val="003E35DA"/>
    <w:rsid w:val="003E455D"/>
    <w:rsid w:val="003E77D5"/>
    <w:rsid w:val="003F0E85"/>
    <w:rsid w:val="004050CC"/>
    <w:rsid w:val="00405DE0"/>
    <w:rsid w:val="00410C55"/>
    <w:rsid w:val="00413443"/>
    <w:rsid w:val="00416854"/>
    <w:rsid w:val="00417725"/>
    <w:rsid w:val="0042266F"/>
    <w:rsid w:val="00431ED5"/>
    <w:rsid w:val="00434321"/>
    <w:rsid w:val="00437F26"/>
    <w:rsid w:val="00444097"/>
    <w:rsid w:val="00445487"/>
    <w:rsid w:val="004455F3"/>
    <w:rsid w:val="00447E0D"/>
    <w:rsid w:val="00453EA8"/>
    <w:rsid w:val="00454769"/>
    <w:rsid w:val="00466991"/>
    <w:rsid w:val="0047064C"/>
    <w:rsid w:val="00480E2A"/>
    <w:rsid w:val="004822B7"/>
    <w:rsid w:val="00492C62"/>
    <w:rsid w:val="0049469E"/>
    <w:rsid w:val="004A2217"/>
    <w:rsid w:val="004A24F9"/>
    <w:rsid w:val="004A42E1"/>
    <w:rsid w:val="004B162C"/>
    <w:rsid w:val="004B2ABE"/>
    <w:rsid w:val="004C3DBE"/>
    <w:rsid w:val="004C5C96"/>
    <w:rsid w:val="004C5E14"/>
    <w:rsid w:val="004D06A4"/>
    <w:rsid w:val="004D2E21"/>
    <w:rsid w:val="004F1A81"/>
    <w:rsid w:val="004F1F67"/>
    <w:rsid w:val="004F5D88"/>
    <w:rsid w:val="00501354"/>
    <w:rsid w:val="00504F3F"/>
    <w:rsid w:val="005050D2"/>
    <w:rsid w:val="00510FAE"/>
    <w:rsid w:val="005218D9"/>
    <w:rsid w:val="0052207E"/>
    <w:rsid w:val="00526926"/>
    <w:rsid w:val="005348DC"/>
    <w:rsid w:val="00536186"/>
    <w:rsid w:val="00544CBB"/>
    <w:rsid w:val="00551B65"/>
    <w:rsid w:val="00554D2C"/>
    <w:rsid w:val="00556704"/>
    <w:rsid w:val="005656D7"/>
    <w:rsid w:val="0057315F"/>
    <w:rsid w:val="0057433C"/>
    <w:rsid w:val="00576104"/>
    <w:rsid w:val="00583D92"/>
    <w:rsid w:val="0058628E"/>
    <w:rsid w:val="00586418"/>
    <w:rsid w:val="00592B21"/>
    <w:rsid w:val="00594BAC"/>
    <w:rsid w:val="005A43CD"/>
    <w:rsid w:val="005B2DF4"/>
    <w:rsid w:val="005B44BF"/>
    <w:rsid w:val="005C5078"/>
    <w:rsid w:val="005C67C8"/>
    <w:rsid w:val="005D0249"/>
    <w:rsid w:val="005D18FA"/>
    <w:rsid w:val="005D4FD4"/>
    <w:rsid w:val="005D6E8C"/>
    <w:rsid w:val="005E3004"/>
    <w:rsid w:val="005F100C"/>
    <w:rsid w:val="005F68DA"/>
    <w:rsid w:val="005F7419"/>
    <w:rsid w:val="00601BC9"/>
    <w:rsid w:val="0060773B"/>
    <w:rsid w:val="006111FE"/>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0DF0"/>
    <w:rsid w:val="00661E3E"/>
    <w:rsid w:val="0066236D"/>
    <w:rsid w:val="00665A4B"/>
    <w:rsid w:val="00670FAE"/>
    <w:rsid w:val="00672B15"/>
    <w:rsid w:val="00677848"/>
    <w:rsid w:val="00692E2A"/>
    <w:rsid w:val="0069496A"/>
    <w:rsid w:val="00696C1C"/>
    <w:rsid w:val="006A76F2"/>
    <w:rsid w:val="006B7D29"/>
    <w:rsid w:val="006D19D4"/>
    <w:rsid w:val="006D5644"/>
    <w:rsid w:val="006D5F37"/>
    <w:rsid w:val="006D7EFB"/>
    <w:rsid w:val="006E6672"/>
    <w:rsid w:val="006E6722"/>
    <w:rsid w:val="006F7AFF"/>
    <w:rsid w:val="007027B9"/>
    <w:rsid w:val="007066B5"/>
    <w:rsid w:val="007145DA"/>
    <w:rsid w:val="00715E88"/>
    <w:rsid w:val="00716D8B"/>
    <w:rsid w:val="00734B68"/>
    <w:rsid w:val="00734CAA"/>
    <w:rsid w:val="00740EE2"/>
    <w:rsid w:val="00742680"/>
    <w:rsid w:val="0075117C"/>
    <w:rsid w:val="0075533C"/>
    <w:rsid w:val="00755A18"/>
    <w:rsid w:val="00757581"/>
    <w:rsid w:val="007602F5"/>
    <w:rsid w:val="00760D36"/>
    <w:rsid w:val="007611A0"/>
    <w:rsid w:val="00765FEE"/>
    <w:rsid w:val="00772574"/>
    <w:rsid w:val="00773E54"/>
    <w:rsid w:val="0078542D"/>
    <w:rsid w:val="00787688"/>
    <w:rsid w:val="00790874"/>
    <w:rsid w:val="007934C0"/>
    <w:rsid w:val="007935E6"/>
    <w:rsid w:val="00796669"/>
    <w:rsid w:val="00796D3F"/>
    <w:rsid w:val="007A1683"/>
    <w:rsid w:val="007A5C12"/>
    <w:rsid w:val="007A7CB0"/>
    <w:rsid w:val="007B68A3"/>
    <w:rsid w:val="007C0D5C"/>
    <w:rsid w:val="007C2541"/>
    <w:rsid w:val="007D66A8"/>
    <w:rsid w:val="007E003F"/>
    <w:rsid w:val="007F0CF8"/>
    <w:rsid w:val="007F5E1B"/>
    <w:rsid w:val="007F62CB"/>
    <w:rsid w:val="008142EC"/>
    <w:rsid w:val="008164F2"/>
    <w:rsid w:val="00821395"/>
    <w:rsid w:val="00821FE7"/>
    <w:rsid w:val="00822230"/>
    <w:rsid w:val="0082619D"/>
    <w:rsid w:val="00830E26"/>
    <w:rsid w:val="00834368"/>
    <w:rsid w:val="0083441A"/>
    <w:rsid w:val="00843576"/>
    <w:rsid w:val="00843B64"/>
    <w:rsid w:val="00845261"/>
    <w:rsid w:val="008478FC"/>
    <w:rsid w:val="00851C51"/>
    <w:rsid w:val="008538F7"/>
    <w:rsid w:val="0086524F"/>
    <w:rsid w:val="00867BFF"/>
    <w:rsid w:val="00871542"/>
    <w:rsid w:val="00872BF6"/>
    <w:rsid w:val="00874046"/>
    <w:rsid w:val="0088000A"/>
    <w:rsid w:val="00881238"/>
    <w:rsid w:val="0088480A"/>
    <w:rsid w:val="0088757A"/>
    <w:rsid w:val="0089431B"/>
    <w:rsid w:val="00894CA8"/>
    <w:rsid w:val="00895668"/>
    <w:rsid w:val="008957DD"/>
    <w:rsid w:val="00897D98"/>
    <w:rsid w:val="008A6DF2"/>
    <w:rsid w:val="008A7807"/>
    <w:rsid w:val="008B4CC9"/>
    <w:rsid w:val="008C0B15"/>
    <w:rsid w:val="008C2722"/>
    <w:rsid w:val="008C7C17"/>
    <w:rsid w:val="008D27EF"/>
    <w:rsid w:val="008D64F1"/>
    <w:rsid w:val="008D75E4"/>
    <w:rsid w:val="008D7C99"/>
    <w:rsid w:val="008E0FCB"/>
    <w:rsid w:val="008E1AE5"/>
    <w:rsid w:val="008F54BD"/>
    <w:rsid w:val="008F6DFE"/>
    <w:rsid w:val="0090529F"/>
    <w:rsid w:val="009173C9"/>
    <w:rsid w:val="0092178C"/>
    <w:rsid w:val="00923ABB"/>
    <w:rsid w:val="00930B88"/>
    <w:rsid w:val="00935376"/>
    <w:rsid w:val="009356A7"/>
    <w:rsid w:val="00940DCC"/>
    <w:rsid w:val="0094179A"/>
    <w:rsid w:val="0094459E"/>
    <w:rsid w:val="00944DBC"/>
    <w:rsid w:val="00950977"/>
    <w:rsid w:val="00951A7B"/>
    <w:rsid w:val="00955512"/>
    <w:rsid w:val="009564A6"/>
    <w:rsid w:val="00957EF8"/>
    <w:rsid w:val="00964637"/>
    <w:rsid w:val="00966A53"/>
    <w:rsid w:val="00967621"/>
    <w:rsid w:val="00967E6A"/>
    <w:rsid w:val="00980EF8"/>
    <w:rsid w:val="009907B9"/>
    <w:rsid w:val="00990918"/>
    <w:rsid w:val="00991EFD"/>
    <w:rsid w:val="00993ABA"/>
    <w:rsid w:val="009A3A83"/>
    <w:rsid w:val="009B4A0F"/>
    <w:rsid w:val="009C11D2"/>
    <w:rsid w:val="009C6C70"/>
    <w:rsid w:val="009C7B0A"/>
    <w:rsid w:val="009D0B63"/>
    <w:rsid w:val="009D5CB8"/>
    <w:rsid w:val="009D5FAF"/>
    <w:rsid w:val="009E307E"/>
    <w:rsid w:val="00A07870"/>
    <w:rsid w:val="00A07C54"/>
    <w:rsid w:val="00A07F19"/>
    <w:rsid w:val="00A10000"/>
    <w:rsid w:val="00A1348D"/>
    <w:rsid w:val="00A13C99"/>
    <w:rsid w:val="00A15074"/>
    <w:rsid w:val="00A16648"/>
    <w:rsid w:val="00A232EE"/>
    <w:rsid w:val="00A3408F"/>
    <w:rsid w:val="00A4175F"/>
    <w:rsid w:val="00A44411"/>
    <w:rsid w:val="00A4697E"/>
    <w:rsid w:val="00A469FA"/>
    <w:rsid w:val="00A47A6E"/>
    <w:rsid w:val="00A53662"/>
    <w:rsid w:val="00A55B01"/>
    <w:rsid w:val="00A56B5B"/>
    <w:rsid w:val="00A603FF"/>
    <w:rsid w:val="00A619B6"/>
    <w:rsid w:val="00A648CA"/>
    <w:rsid w:val="00A657DD"/>
    <w:rsid w:val="00A666A6"/>
    <w:rsid w:val="00A675FD"/>
    <w:rsid w:val="00A7155B"/>
    <w:rsid w:val="00A72437"/>
    <w:rsid w:val="00A8048B"/>
    <w:rsid w:val="00A80611"/>
    <w:rsid w:val="00A87DC0"/>
    <w:rsid w:val="00AA346E"/>
    <w:rsid w:val="00AA5BF4"/>
    <w:rsid w:val="00AB5340"/>
    <w:rsid w:val="00AC0A89"/>
    <w:rsid w:val="00AC7C96"/>
    <w:rsid w:val="00AD3593"/>
    <w:rsid w:val="00AE0812"/>
    <w:rsid w:val="00AE237D"/>
    <w:rsid w:val="00AE502A"/>
    <w:rsid w:val="00AF0010"/>
    <w:rsid w:val="00AF1AA8"/>
    <w:rsid w:val="00AF2C1F"/>
    <w:rsid w:val="00AF7C07"/>
    <w:rsid w:val="00B02A2C"/>
    <w:rsid w:val="00B0564D"/>
    <w:rsid w:val="00B06C64"/>
    <w:rsid w:val="00B07D8E"/>
    <w:rsid w:val="00B11CAC"/>
    <w:rsid w:val="00B15A29"/>
    <w:rsid w:val="00B22C93"/>
    <w:rsid w:val="00B27589"/>
    <w:rsid w:val="00B405B7"/>
    <w:rsid w:val="00B42928"/>
    <w:rsid w:val="00B44E03"/>
    <w:rsid w:val="00B468C0"/>
    <w:rsid w:val="00B47055"/>
    <w:rsid w:val="00B50FE9"/>
    <w:rsid w:val="00B52222"/>
    <w:rsid w:val="00B531DA"/>
    <w:rsid w:val="00B54895"/>
    <w:rsid w:val="00B54FE7"/>
    <w:rsid w:val="00B56CC0"/>
    <w:rsid w:val="00B61789"/>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A77E4"/>
    <w:rsid w:val="00BB4ABB"/>
    <w:rsid w:val="00BC62BA"/>
    <w:rsid w:val="00BD0EC0"/>
    <w:rsid w:val="00BD6759"/>
    <w:rsid w:val="00BE5B5F"/>
    <w:rsid w:val="00BE7993"/>
    <w:rsid w:val="00C00DB0"/>
    <w:rsid w:val="00C11971"/>
    <w:rsid w:val="00C16EEE"/>
    <w:rsid w:val="00C179DE"/>
    <w:rsid w:val="00C219C4"/>
    <w:rsid w:val="00C26978"/>
    <w:rsid w:val="00C26F55"/>
    <w:rsid w:val="00C30C63"/>
    <w:rsid w:val="00C30FF3"/>
    <w:rsid w:val="00C34D5C"/>
    <w:rsid w:val="00C36B8B"/>
    <w:rsid w:val="00C415C1"/>
    <w:rsid w:val="00C462DD"/>
    <w:rsid w:val="00C47DBF"/>
    <w:rsid w:val="00C54185"/>
    <w:rsid w:val="00C552FF"/>
    <w:rsid w:val="00C558DA"/>
    <w:rsid w:val="00C55AF3"/>
    <w:rsid w:val="00C6275F"/>
    <w:rsid w:val="00C7089A"/>
    <w:rsid w:val="00C71368"/>
    <w:rsid w:val="00C771A9"/>
    <w:rsid w:val="00C82943"/>
    <w:rsid w:val="00C84759"/>
    <w:rsid w:val="00C93096"/>
    <w:rsid w:val="00CA0467"/>
    <w:rsid w:val="00CA1D3A"/>
    <w:rsid w:val="00CA2F57"/>
    <w:rsid w:val="00CA5270"/>
    <w:rsid w:val="00CA5CA9"/>
    <w:rsid w:val="00CA6C7F"/>
    <w:rsid w:val="00CB007D"/>
    <w:rsid w:val="00CB60CA"/>
    <w:rsid w:val="00CC07D8"/>
    <w:rsid w:val="00CC0FC7"/>
    <w:rsid w:val="00CC10A6"/>
    <w:rsid w:val="00CC3B1E"/>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171C6"/>
    <w:rsid w:val="00D200EF"/>
    <w:rsid w:val="00D25175"/>
    <w:rsid w:val="00D25249"/>
    <w:rsid w:val="00D26854"/>
    <w:rsid w:val="00D37477"/>
    <w:rsid w:val="00D44172"/>
    <w:rsid w:val="00D47BE3"/>
    <w:rsid w:val="00D52E37"/>
    <w:rsid w:val="00D63B8C"/>
    <w:rsid w:val="00D63D33"/>
    <w:rsid w:val="00D70BD5"/>
    <w:rsid w:val="00D739CC"/>
    <w:rsid w:val="00D806F9"/>
    <w:rsid w:val="00D8093D"/>
    <w:rsid w:val="00D8108C"/>
    <w:rsid w:val="00D83208"/>
    <w:rsid w:val="00D842AE"/>
    <w:rsid w:val="00D9211C"/>
    <w:rsid w:val="00D92DE0"/>
    <w:rsid w:val="00D92FEF"/>
    <w:rsid w:val="00D931F9"/>
    <w:rsid w:val="00D93A0F"/>
    <w:rsid w:val="00D97736"/>
    <w:rsid w:val="00DA1BCA"/>
    <w:rsid w:val="00DA3663"/>
    <w:rsid w:val="00DB10FD"/>
    <w:rsid w:val="00DB4A56"/>
    <w:rsid w:val="00DC1792"/>
    <w:rsid w:val="00DC274A"/>
    <w:rsid w:val="00DC46FF"/>
    <w:rsid w:val="00DC5254"/>
    <w:rsid w:val="00DC569D"/>
    <w:rsid w:val="00DD1A4F"/>
    <w:rsid w:val="00DD3107"/>
    <w:rsid w:val="00DD7C2C"/>
    <w:rsid w:val="00DE5BDA"/>
    <w:rsid w:val="00DF433C"/>
    <w:rsid w:val="00DF519F"/>
    <w:rsid w:val="00DF7388"/>
    <w:rsid w:val="00E0035A"/>
    <w:rsid w:val="00E02888"/>
    <w:rsid w:val="00E06797"/>
    <w:rsid w:val="00E1265B"/>
    <w:rsid w:val="00E12E09"/>
    <w:rsid w:val="00E13B48"/>
    <w:rsid w:val="00E1404F"/>
    <w:rsid w:val="00E21C83"/>
    <w:rsid w:val="00E24ADA"/>
    <w:rsid w:val="00E3002F"/>
    <w:rsid w:val="00E32F59"/>
    <w:rsid w:val="00E41908"/>
    <w:rsid w:val="00E45FF8"/>
    <w:rsid w:val="00E46D9A"/>
    <w:rsid w:val="00E50E7E"/>
    <w:rsid w:val="00E51CD0"/>
    <w:rsid w:val="00E54FF7"/>
    <w:rsid w:val="00E565FF"/>
    <w:rsid w:val="00E62610"/>
    <w:rsid w:val="00E65388"/>
    <w:rsid w:val="00E6587E"/>
    <w:rsid w:val="00E734C7"/>
    <w:rsid w:val="00E7741D"/>
    <w:rsid w:val="00E808CD"/>
    <w:rsid w:val="00E8348F"/>
    <w:rsid w:val="00E85B7D"/>
    <w:rsid w:val="00E9121B"/>
    <w:rsid w:val="00E9302E"/>
    <w:rsid w:val="00E976AB"/>
    <w:rsid w:val="00EA0AE2"/>
    <w:rsid w:val="00EA39E5"/>
    <w:rsid w:val="00EA57A3"/>
    <w:rsid w:val="00EB06A7"/>
    <w:rsid w:val="00EC2813"/>
    <w:rsid w:val="00EC5A46"/>
    <w:rsid w:val="00EC63E2"/>
    <w:rsid w:val="00ED0225"/>
    <w:rsid w:val="00ED366A"/>
    <w:rsid w:val="00ED6BB7"/>
    <w:rsid w:val="00EE19BA"/>
    <w:rsid w:val="00EF22B3"/>
    <w:rsid w:val="00F03B69"/>
    <w:rsid w:val="00F07A50"/>
    <w:rsid w:val="00F113DA"/>
    <w:rsid w:val="00F15EA1"/>
    <w:rsid w:val="00F266FC"/>
    <w:rsid w:val="00F3037A"/>
    <w:rsid w:val="00F33173"/>
    <w:rsid w:val="00F3465A"/>
    <w:rsid w:val="00F37DC8"/>
    <w:rsid w:val="00F4141B"/>
    <w:rsid w:val="00F439B3"/>
    <w:rsid w:val="00F45C7F"/>
    <w:rsid w:val="00F50041"/>
    <w:rsid w:val="00F650C3"/>
    <w:rsid w:val="00F65D85"/>
    <w:rsid w:val="00F6700B"/>
    <w:rsid w:val="00F71240"/>
    <w:rsid w:val="00F7137B"/>
    <w:rsid w:val="00F8091E"/>
    <w:rsid w:val="00F83C41"/>
    <w:rsid w:val="00F8615C"/>
    <w:rsid w:val="00F969E5"/>
    <w:rsid w:val="00F96C7B"/>
    <w:rsid w:val="00FA4972"/>
    <w:rsid w:val="00FA6BB0"/>
    <w:rsid w:val="00FB2DBD"/>
    <w:rsid w:val="00FC51B1"/>
    <w:rsid w:val="00FC7E36"/>
    <w:rsid w:val="00FD033D"/>
    <w:rsid w:val="00FD48DF"/>
    <w:rsid w:val="00FD5860"/>
    <w:rsid w:val="00FE352D"/>
    <w:rsid w:val="00FE40EB"/>
    <w:rsid w:val="00FE4D02"/>
    <w:rsid w:val="00FE685D"/>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406B4B"/>
  <w15:docId w15:val="{60E51145-2BFD-4ECD-8AAF-93089DFA6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160D74"/>
    <w:pPr>
      <w:keepNext/>
      <w:keepLines/>
      <w:suppressAutoHyphens/>
      <w:ind w:right="5103"/>
    </w:pPr>
    <w:rPr>
      <w:b/>
      <w:lang w:val="en-GB"/>
    </w:rPr>
  </w:style>
  <w:style w:type="paragraph" w:customStyle="1" w:styleId="AATitle2">
    <w:name w:val="AA_Title2"/>
    <w:basedOn w:val="AATitle"/>
    <w:rsid w:val="00661E3E"/>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661E3E"/>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C6275F"/>
    <w:rPr>
      <w:b/>
      <w:sz w:val="28"/>
      <w:szCs w:val="28"/>
      <w:lang w:eastAsia="en-US"/>
    </w:rPr>
  </w:style>
  <w:style w:type="character" w:customStyle="1" w:styleId="CH2Char">
    <w:name w:val="CH2 Char"/>
    <w:link w:val="CH2"/>
    <w:locked/>
    <w:rsid w:val="00C6275F"/>
    <w:rPr>
      <w:b/>
      <w:sz w:val="24"/>
      <w:szCs w:val="24"/>
      <w:lang w:eastAsia="en-US"/>
    </w:rPr>
  </w:style>
  <w:style w:type="character" w:customStyle="1" w:styleId="NormalnumberChar">
    <w:name w:val="Normal_number Char"/>
    <w:link w:val="Normalnumber"/>
    <w:locked/>
    <w:rsid w:val="00661E3E"/>
    <w:rPr>
      <w:lang w:eastAsia="en-US"/>
    </w:rPr>
  </w:style>
  <w:style w:type="numbering" w:customStyle="1" w:styleId="WWNum25">
    <w:name w:val="WWNum25"/>
    <w:basedOn w:val="NoList"/>
    <w:rsid w:val="00C6275F"/>
    <w:pPr>
      <w:numPr>
        <w:numId w:val="5"/>
      </w:numPr>
    </w:pPr>
  </w:style>
  <w:style w:type="paragraph" w:styleId="NormalWeb">
    <w:name w:val="Normal (Web)"/>
    <w:basedOn w:val="Normal"/>
    <w:uiPriority w:val="99"/>
    <w:unhideWhenUsed/>
    <w:rsid w:val="0066236D"/>
    <w:pPr>
      <w:tabs>
        <w:tab w:val="clear" w:pos="1247"/>
        <w:tab w:val="clear" w:pos="1814"/>
        <w:tab w:val="clear" w:pos="2381"/>
        <w:tab w:val="clear" w:pos="2948"/>
        <w:tab w:val="clear" w:pos="3515"/>
      </w:tabs>
      <w:spacing w:before="100" w:beforeAutospacing="1" w:after="100" w:afterAutospacing="1"/>
    </w:pPr>
    <w:rPr>
      <w:rFonts w:ascii="Calibri" w:eastAsiaTheme="minorEastAsia" w:hAnsi="Calibri" w:cs="Calibri"/>
      <w:sz w:val="22"/>
      <w:szCs w:val="22"/>
      <w:lang w:val="en-US" w:eastAsia="zh-CN"/>
    </w:rPr>
  </w:style>
  <w:style w:type="character" w:customStyle="1" w:styleId="ZZAnxheaderChar">
    <w:name w:val="ZZ_Anx_header Char"/>
    <w:link w:val="ZZAnxheader"/>
    <w:rsid w:val="00B61789"/>
    <w:rPr>
      <w:b/>
      <w:bCs/>
      <w:sz w:val="28"/>
      <w:szCs w:val="22"/>
      <w:lang w:eastAsia="en-US"/>
    </w:rPr>
  </w:style>
  <w:style w:type="paragraph" w:styleId="EndnoteText">
    <w:name w:val="endnote text"/>
    <w:basedOn w:val="Normal"/>
    <w:link w:val="EndnoteTextChar"/>
    <w:uiPriority w:val="99"/>
    <w:unhideWhenUsed/>
    <w:rsid w:val="00B61789"/>
    <w:pPr>
      <w:tabs>
        <w:tab w:val="clear" w:pos="1247"/>
        <w:tab w:val="clear" w:pos="1814"/>
        <w:tab w:val="clear" w:pos="2381"/>
        <w:tab w:val="clear" w:pos="2948"/>
        <w:tab w:val="clear" w:pos="3515"/>
      </w:tabs>
    </w:pPr>
    <w:rPr>
      <w:rFonts w:asciiTheme="minorHAnsi" w:eastAsiaTheme="minorHAnsi" w:hAnsiTheme="minorHAnsi" w:cstheme="minorBidi"/>
      <w:lang w:val="en-US"/>
    </w:rPr>
  </w:style>
  <w:style w:type="character" w:customStyle="1" w:styleId="EndnoteTextChar">
    <w:name w:val="Endnote Text Char"/>
    <w:basedOn w:val="DefaultParagraphFont"/>
    <w:link w:val="EndnoteText"/>
    <w:uiPriority w:val="99"/>
    <w:rsid w:val="00B61789"/>
    <w:rPr>
      <w:rFonts w:asciiTheme="minorHAnsi" w:eastAsiaTheme="minorHAnsi" w:hAnsiTheme="minorHAnsi" w:cstheme="minorBidi"/>
      <w:lang w:val="en-US" w:eastAsia="en-US"/>
    </w:rPr>
  </w:style>
  <w:style w:type="character" w:styleId="EndnoteReference">
    <w:name w:val="endnote reference"/>
    <w:basedOn w:val="DefaultParagraphFont"/>
    <w:uiPriority w:val="99"/>
    <w:unhideWhenUsed/>
    <w:rsid w:val="00B617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36266">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FE291-1324-4750-8F4B-80BC718C5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684</Words>
  <Characters>3764</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 Montes</cp:lastModifiedBy>
  <cp:revision>2</cp:revision>
  <cp:lastPrinted>2018-09-26T11:30:00Z</cp:lastPrinted>
  <dcterms:created xsi:type="dcterms:W3CDTF">2019-09-11T07:07:00Z</dcterms:created>
  <dcterms:modified xsi:type="dcterms:W3CDTF">2019-09-11T07:07:00Z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vicente.ubeda fernandez</vt:lpwstr>
  </property>
  <property fmtid="{D5CDD505-2E9C-101B-9397-08002B2CF9AE}" pid="4" name="GeneratedDate">
    <vt:lpwstr>9/2/2019 9:39:25 AM</vt:lpwstr>
  </property>
  <property fmtid="{D5CDD505-2E9C-101B-9397-08002B2CF9AE}" pid="5" name="OriginalDocID">
    <vt:lpwstr>5b06ea64-3505-4523-9da6-6f5b0ad2c90a</vt:lpwstr>
  </property>
</Properties>
</file>