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8387984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E206B3">
              <w:rPr>
                <w:lang w:val="en-GB"/>
              </w:rPr>
              <w:t>2</w:t>
            </w:r>
            <w:r w:rsidR="006C310F">
              <w:rPr>
                <w:lang w:val="en-GB"/>
              </w:rPr>
              <w:t>1</w:t>
            </w:r>
          </w:p>
        </w:tc>
      </w:tr>
      <w:tr w:rsidR="00032E4E" w:rsidRPr="006A3B1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41C0ACD6" w:rsidR="00032E4E" w:rsidRPr="00620245" w:rsidRDefault="00560E18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July</w:t>
            </w:r>
            <w:r w:rsidR="00032E4E" w:rsidRPr="00826AF3">
              <w:rPr>
                <w:lang w:val="en-GB"/>
              </w:rPr>
              <w:t xml:space="preserve"> 201</w:t>
            </w:r>
            <w:r w:rsidR="006C310F"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396A441D" w:rsidR="00E976AB" w:rsidRPr="00A54CB9" w:rsidRDefault="00A44FD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A44FD5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A44FD5">
        <w:t>9</w:t>
      </w:r>
      <w:r w:rsidRPr="00A54CB9">
        <w:t xml:space="preserve"> года</w:t>
      </w:r>
    </w:p>
    <w:p w14:paraId="1D9EA475" w14:textId="5F8F3ECF" w:rsidR="00620245" w:rsidRPr="002C5EA0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E741D3" w:rsidRPr="00E741D3">
        <w:t xml:space="preserve">5 </w:t>
      </w:r>
      <w:r w:rsidR="00E741D3">
        <w:rPr>
          <w:lang w:val="en-GB"/>
        </w:rPr>
        <w:t>a</w:t>
      </w:r>
      <w:r w:rsidR="00E741D3" w:rsidRPr="00E741D3">
        <w:t xml:space="preserve">) </w:t>
      </w:r>
      <w:r w:rsidR="00E741D3">
        <w:rPr>
          <w:lang w:val="en-GB"/>
        </w:rPr>
        <w:t>ii</w:t>
      </w:r>
      <w:r w:rsidR="00E741D3" w:rsidRPr="00E741D3">
        <w:t>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07E40D67" w:rsidR="00620245" w:rsidRPr="0001611E" w:rsidRDefault="0001611E" w:rsidP="00337D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01611E">
        <w:rPr>
          <w:b/>
        </w:rPr>
        <w:t>Вопросы для рассмотрения или принятия мер Конференцией Сторон: продукты с добавлением ртути и производственные процессы, в которых применяются ртуть или ртутные соединения: предложение о внесении поправки в приложение A</w:t>
      </w:r>
    </w:p>
    <w:p w14:paraId="2363D7D7" w14:textId="77777777" w:rsidR="0001611E" w:rsidRPr="0001611E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  <w:r w:rsidRPr="0001611E">
        <w:rPr>
          <w:b/>
          <w:bCs/>
          <w:sz w:val="28"/>
          <w:szCs w:val="28"/>
        </w:rPr>
        <w:t>Предложение о внесении поправки в приложение А к Минаматской конвенции о ртути</w:t>
      </w:r>
    </w:p>
    <w:p w14:paraId="485C1F88" w14:textId="5487EB3C" w:rsidR="0001611E" w:rsidRPr="0001611E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bCs/>
          <w:sz w:val="24"/>
          <w:szCs w:val="24"/>
        </w:rPr>
      </w:pPr>
      <w:r w:rsidRPr="0001611E">
        <w:rPr>
          <w:b/>
          <w:bCs/>
          <w:sz w:val="24"/>
          <w:szCs w:val="24"/>
        </w:rPr>
        <w:t>Записка секретариата</w:t>
      </w:r>
    </w:p>
    <w:p w14:paraId="113288BD" w14:textId="0E27B69B" w:rsidR="0001611E" w:rsidRPr="00421066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1.</w:t>
      </w:r>
      <w:r>
        <w:tab/>
      </w:r>
      <w:r w:rsidRPr="00421066">
        <w:t xml:space="preserve">8 мая 2019 года </w:t>
      </w:r>
      <w:r w:rsidR="00012216">
        <w:t>секретариат</w:t>
      </w:r>
      <w:r w:rsidRPr="00421066">
        <w:t xml:space="preserve"> получил сообщение от группы стран Африки, представивших предложение о внесении поправки в приложение А к Минаматской конвенции о ртути. Авторы предложения, а именно Ботсвана, Габон, Гвинея-Бисау, Нигер, Сенегал и Чад, просили, чтобы предлагаемая поправка была рассмотрена Конференцией Сторон на ее третьем совещании.</w:t>
      </w:r>
    </w:p>
    <w:p w14:paraId="5AB47674" w14:textId="2AFB7AA8" w:rsidR="0001611E" w:rsidRPr="00421066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Pr="00421066">
        <w:t>В пункте 2 статьи 26 Конвенции предусматривается, что текст любой предлагаемой поправки направляется секретариатом Сторонам не позднее, чем за шесть месяцев до проведения совещания, на котором ее предлагается принять, и что секретариат также направляет текст предлагаемой поправки странам, подписавшим Конвенцию, и Депозитарию для информации.</w:t>
      </w:r>
    </w:p>
    <w:p w14:paraId="58311808" w14:textId="571719FA" w:rsidR="0001611E" w:rsidRPr="00421066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3.</w:t>
      </w:r>
      <w:r>
        <w:tab/>
      </w:r>
      <w:r w:rsidRPr="00421066">
        <w:t>Соответственно, Исполнительный секретарь 24 мая 2019 года направил Сторонам и сигнатариям Конвенции письмо, препровождающее текст предлагаемой поправки к приложению А к Конвенции. Сообщение включало приложение с дополнительной пояснительной информацией, представленной авторами. Это письмо было также направлено Депозитарию для информации.</w:t>
      </w:r>
    </w:p>
    <w:p w14:paraId="6E73C737" w14:textId="03189DB0" w:rsidR="0001611E" w:rsidRPr="00421066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4.</w:t>
      </w:r>
      <w:r>
        <w:tab/>
      </w:r>
      <w:r w:rsidRPr="00421066">
        <w:t>Текст предлагаемой поправки и соответствующая дополнительная пояснительная информация воспроизведены в приложении к настоящей записке без официального редактирования.</w:t>
      </w:r>
    </w:p>
    <w:p w14:paraId="6AAE80CA" w14:textId="3C9C583B" w:rsidR="0001611E" w:rsidRPr="0001611E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bCs/>
          <w:sz w:val="24"/>
          <w:szCs w:val="24"/>
        </w:rPr>
      </w:pPr>
      <w:r w:rsidRPr="0001611E">
        <w:rPr>
          <w:b/>
          <w:bCs/>
          <w:sz w:val="24"/>
          <w:szCs w:val="24"/>
        </w:rPr>
        <w:t>Предлагаемые меры для принятия Конференцией Сторон</w:t>
      </w:r>
    </w:p>
    <w:p w14:paraId="438FB04E" w14:textId="1A78EA9C" w:rsidR="0001611E" w:rsidRPr="00421066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5.</w:t>
      </w:r>
      <w:r>
        <w:tab/>
      </w:r>
      <w:r w:rsidRPr="00421066">
        <w:t>Конференция Сторон, возможно, пожелает рассмотреть предлагаемую поправку.</w:t>
      </w:r>
    </w:p>
    <w:p w14:paraId="11EE1E23" w14:textId="08F94CE0" w:rsidR="00720092" w:rsidRDefault="007200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14:paraId="47FB38D0" w14:textId="76B05D5D" w:rsidR="0001611E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>Приложение</w:t>
      </w:r>
    </w:p>
    <w:p w14:paraId="717EBACF" w14:textId="53037DBA" w:rsidR="0001611E" w:rsidRPr="005E702D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8"/>
        <w:rPr>
          <w:b/>
          <w:color w:val="222222"/>
          <w:sz w:val="28"/>
          <w:szCs w:val="24"/>
          <w:shd w:val="clear" w:color="auto" w:fill="FFFFFF"/>
        </w:rPr>
      </w:pPr>
      <w:r w:rsidRPr="000442F7">
        <w:rPr>
          <w:b/>
          <w:bCs/>
          <w:sz w:val="28"/>
          <w:szCs w:val="24"/>
        </w:rPr>
        <w:t xml:space="preserve">Предложение Ботсваны, Габона, Гвинеи-Бисау, Нигера, </w:t>
      </w:r>
      <w:r>
        <w:rPr>
          <w:b/>
          <w:bCs/>
          <w:sz w:val="28"/>
          <w:szCs w:val="24"/>
        </w:rPr>
        <w:br/>
      </w:r>
      <w:r w:rsidRPr="000442F7">
        <w:rPr>
          <w:b/>
          <w:bCs/>
          <w:sz w:val="28"/>
          <w:szCs w:val="24"/>
        </w:rPr>
        <w:t xml:space="preserve">Сенегала и Чада о внесении поправки в приложение А </w:t>
      </w:r>
      <w:r>
        <w:rPr>
          <w:b/>
          <w:bCs/>
          <w:sz w:val="28"/>
          <w:szCs w:val="24"/>
        </w:rPr>
        <w:br/>
      </w:r>
      <w:r w:rsidRPr="000442F7">
        <w:rPr>
          <w:b/>
          <w:bCs/>
          <w:sz w:val="28"/>
          <w:szCs w:val="24"/>
        </w:rPr>
        <w:t>к Минаматской конвенции о ртути</w:t>
      </w:r>
      <w:bookmarkStart w:id="2" w:name="_Hlk8228662"/>
      <w:bookmarkEnd w:id="2"/>
    </w:p>
    <w:p w14:paraId="25D17E01" w14:textId="77777777" w:rsidR="0001611E" w:rsidRPr="005E702D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color w:val="222222"/>
          <w:shd w:val="clear" w:color="auto" w:fill="FFFFFF"/>
        </w:rPr>
      </w:pPr>
      <w:r w:rsidRPr="00B674E4">
        <w:rPr>
          <w:b/>
          <w:bCs/>
        </w:rPr>
        <w:t>ПРИЛОЖЕНИЕ А</w:t>
      </w:r>
      <w:r w:rsidRPr="00B674E4">
        <w:t xml:space="preserve"> </w:t>
      </w:r>
    </w:p>
    <w:p w14:paraId="70DBA7EE" w14:textId="77777777" w:rsidR="0001611E" w:rsidRPr="005E702D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i/>
          <w:color w:val="222222"/>
          <w:shd w:val="clear" w:color="auto" w:fill="FFFFFF"/>
        </w:rPr>
      </w:pPr>
      <w:r w:rsidRPr="00B674E4">
        <w:rPr>
          <w:i/>
          <w:iCs/>
        </w:rPr>
        <w:t>Предложение о переносе амальгамы для зубных пломб из части II в часть I в следующей формулировке</w:t>
      </w:r>
      <w:r>
        <w:rPr>
          <w:i/>
          <w:iCs/>
        </w:rPr>
        <w:t xml:space="preserve">. Таким образом, данное предложение отменяет часть </w:t>
      </w:r>
      <w:r>
        <w:rPr>
          <w:i/>
          <w:iCs/>
          <w:lang w:val="en-GB"/>
        </w:rPr>
        <w:t>II</w:t>
      </w:r>
      <w:r>
        <w:rPr>
          <w:i/>
          <w:iCs/>
        </w:rPr>
        <w:t xml:space="preserve"> приложения А путем переноса амальгамы в часть </w:t>
      </w:r>
      <w:r>
        <w:rPr>
          <w:i/>
          <w:iCs/>
          <w:lang w:val="en-GB"/>
        </w:rPr>
        <w:t>I</w:t>
      </w:r>
      <w:r w:rsidRPr="005E702D">
        <w:rPr>
          <w:i/>
          <w:iCs/>
        </w:rPr>
        <w:t>.</w:t>
      </w:r>
      <w:r>
        <w:rPr>
          <w:i/>
          <w:iCs/>
        </w:rPr>
        <w:t xml:space="preserve"> </w:t>
      </w:r>
      <w:r>
        <w:rPr>
          <w:i/>
          <w:iCs/>
        </w:rPr>
        <w:br/>
        <w:t>Предложение представлено в следующей формулировке:</w:t>
      </w:r>
    </w:p>
    <w:p w14:paraId="35C63ED0" w14:textId="77777777" w:rsidR="0001611E" w:rsidRPr="005E702D" w:rsidRDefault="0001611E" w:rsidP="000161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B674E4">
        <w:rPr>
          <w:b/>
          <w:bCs/>
        </w:rPr>
        <w:t xml:space="preserve">Часть I: Продукты, на которые распространяется пункт 1 </w:t>
      </w:r>
      <w:r>
        <w:rPr>
          <w:b/>
          <w:bCs/>
        </w:rPr>
        <w:t xml:space="preserve">и пункт 3 </w:t>
      </w:r>
      <w:r w:rsidRPr="00B674E4">
        <w:rPr>
          <w:b/>
          <w:bCs/>
        </w:rPr>
        <w:t>статьи 4</w:t>
      </w:r>
      <w:r>
        <w:rPr>
          <w:b/>
          <w:bCs/>
        </w:rPr>
        <w:t xml:space="preserve"> </w:t>
      </w:r>
    </w:p>
    <w:tbl>
      <w:tblPr>
        <w:tblStyle w:val="TableGrid"/>
        <w:tblW w:w="8335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60"/>
        <w:gridCol w:w="3075"/>
      </w:tblGrid>
      <w:tr w:rsidR="0001611E" w:rsidRPr="00882328" w14:paraId="57B8FDDB" w14:textId="77777777" w:rsidTr="0001611E">
        <w:trPr>
          <w:trHeight w:val="227"/>
          <w:jc w:val="right"/>
        </w:trPr>
        <w:tc>
          <w:tcPr>
            <w:tcW w:w="6048" w:type="dxa"/>
          </w:tcPr>
          <w:p w14:paraId="11647407" w14:textId="77777777" w:rsidR="0001611E" w:rsidRPr="00B674E4" w:rsidRDefault="0001611E" w:rsidP="0001611E">
            <w:pPr>
              <w:spacing w:before="40" w:after="40"/>
              <w:jc w:val="center"/>
              <w:rPr>
                <w:b/>
                <w:color w:val="222222"/>
                <w:shd w:val="clear" w:color="auto" w:fill="FFFFFF"/>
              </w:rPr>
            </w:pPr>
            <w:r w:rsidRPr="00B674E4">
              <w:rPr>
                <w:b/>
                <w:bCs/>
              </w:rPr>
              <w:t>Продукты с добавлением ртути</w:t>
            </w:r>
          </w:p>
        </w:tc>
        <w:tc>
          <w:tcPr>
            <w:tcW w:w="3528" w:type="dxa"/>
          </w:tcPr>
          <w:p w14:paraId="55C3E870" w14:textId="77777777" w:rsidR="0001611E" w:rsidRPr="005E702D" w:rsidRDefault="0001611E" w:rsidP="0001611E">
            <w:pPr>
              <w:spacing w:before="40" w:after="40"/>
              <w:jc w:val="center"/>
              <w:rPr>
                <w:b/>
                <w:color w:val="222222"/>
                <w:shd w:val="clear" w:color="auto" w:fill="FFFFFF"/>
              </w:rPr>
            </w:pPr>
            <w:r w:rsidRPr="00B674E4">
              <w:rPr>
                <w:b/>
                <w:bCs/>
              </w:rPr>
              <w:t>Срок, после которого производство, импорт или экспорт продукта не разрешается (срок поэтапного вывода из обращения)</w:t>
            </w:r>
          </w:p>
        </w:tc>
      </w:tr>
      <w:tr w:rsidR="0001611E" w:rsidRPr="00B674E4" w14:paraId="78311C9F" w14:textId="77777777" w:rsidTr="0001611E">
        <w:trPr>
          <w:trHeight w:val="227"/>
          <w:jc w:val="right"/>
        </w:trPr>
        <w:tc>
          <w:tcPr>
            <w:tcW w:w="6048" w:type="dxa"/>
          </w:tcPr>
          <w:p w14:paraId="6EEFAD59" w14:textId="77777777" w:rsidR="0001611E" w:rsidRPr="005E702D" w:rsidRDefault="0001611E" w:rsidP="0001611E">
            <w:pPr>
              <w:spacing w:before="40" w:after="40"/>
            </w:pPr>
            <w:r w:rsidRPr="00B674E4">
              <w:t>Амальгама для зубных пломб для использования при лечении молочных зубов, детей до 15 лет, беременных женщин и кормящих женщин.</w:t>
            </w:r>
          </w:p>
        </w:tc>
        <w:tc>
          <w:tcPr>
            <w:tcW w:w="3528" w:type="dxa"/>
          </w:tcPr>
          <w:p w14:paraId="7BDA13A8" w14:textId="77777777" w:rsidR="0001611E" w:rsidRPr="00B674E4" w:rsidRDefault="0001611E" w:rsidP="0001611E">
            <w:pPr>
              <w:spacing w:before="40" w:after="40"/>
              <w:jc w:val="center"/>
              <w:rPr>
                <w:color w:val="222222"/>
                <w:shd w:val="clear" w:color="auto" w:fill="FFFFFF"/>
              </w:rPr>
            </w:pPr>
            <w:r w:rsidRPr="00B674E4">
              <w:t>2021 год</w:t>
            </w:r>
          </w:p>
        </w:tc>
      </w:tr>
      <w:tr w:rsidR="0001611E" w:rsidRPr="00B674E4" w14:paraId="6411E13E" w14:textId="77777777" w:rsidTr="0001611E">
        <w:trPr>
          <w:trHeight w:val="227"/>
          <w:jc w:val="right"/>
        </w:trPr>
        <w:tc>
          <w:tcPr>
            <w:tcW w:w="6048" w:type="dxa"/>
          </w:tcPr>
          <w:p w14:paraId="0F240510" w14:textId="77777777" w:rsidR="0001611E" w:rsidRPr="005E702D" w:rsidRDefault="0001611E" w:rsidP="0001611E">
            <w:pPr>
              <w:spacing w:before="40" w:after="40"/>
              <w:rPr>
                <w:color w:val="222222"/>
                <w:shd w:val="clear" w:color="auto" w:fill="FFFFFF"/>
              </w:rPr>
            </w:pPr>
            <w:r w:rsidRPr="00B674E4">
              <w:t>Амальгама для зубных пломб за исключением тех случаев, когда отсутствуют альтернативы, не содержащие ртути.</w:t>
            </w:r>
          </w:p>
        </w:tc>
        <w:tc>
          <w:tcPr>
            <w:tcW w:w="3528" w:type="dxa"/>
          </w:tcPr>
          <w:p w14:paraId="73E2EFAE" w14:textId="77777777" w:rsidR="0001611E" w:rsidRPr="00B674E4" w:rsidRDefault="0001611E" w:rsidP="0001611E">
            <w:pPr>
              <w:spacing w:before="40" w:after="40"/>
              <w:jc w:val="center"/>
              <w:rPr>
                <w:color w:val="222222"/>
                <w:shd w:val="clear" w:color="auto" w:fill="FFFFFF"/>
              </w:rPr>
            </w:pPr>
            <w:r w:rsidRPr="00B674E4">
              <w:t>2024 год</w:t>
            </w:r>
          </w:p>
        </w:tc>
      </w:tr>
    </w:tbl>
    <w:p w14:paraId="2800FC0F" w14:textId="158D2A01" w:rsidR="00670117" w:rsidRDefault="00670117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p w14:paraId="639120B5" w14:textId="77777777" w:rsidR="00670117" w:rsidRDefault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14:paraId="1C9B0694" w14:textId="2495106F" w:rsidR="00670117" w:rsidRPr="00495BD1" w:rsidRDefault="00670117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jc w:val="center"/>
        <w:rPr>
          <w:bCs/>
          <w:szCs w:val="32"/>
        </w:rPr>
      </w:pPr>
      <w:r w:rsidRPr="00495BD1">
        <w:rPr>
          <w:bCs/>
          <w:szCs w:val="32"/>
        </w:rPr>
        <w:lastRenderedPageBreak/>
        <w:t>Дополнительная/пояснительная информ</w:t>
      </w:r>
      <w:r w:rsidR="00012216">
        <w:rPr>
          <w:bCs/>
          <w:szCs w:val="32"/>
        </w:rPr>
        <w:t>а</w:t>
      </w:r>
      <w:r w:rsidRPr="00495BD1">
        <w:rPr>
          <w:bCs/>
          <w:szCs w:val="32"/>
        </w:rPr>
        <w:t>ция</w:t>
      </w:r>
    </w:p>
    <w:p w14:paraId="1CFAEB41" w14:textId="48D28285" w:rsidR="0001611E" w:rsidRPr="00670117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jc w:val="center"/>
        <w:rPr>
          <w:b/>
          <w:shd w:val="clear" w:color="auto" w:fill="FFFFFF"/>
        </w:rPr>
      </w:pPr>
      <w:r w:rsidRPr="00670117">
        <w:rPr>
          <w:b/>
          <w:bCs/>
        </w:rPr>
        <w:t>Пришло время отказаться от использования ртути в стоматологии</w:t>
      </w:r>
    </w:p>
    <w:p w14:paraId="611FED62" w14:textId="16629866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Поскольку период поэтапного сокращения использования амальгамы, 2013-2019 годы, является столь успешным во всем мире, пришло время поставить этот ртутьсодержащий продукт на один уровень с другими и установить срок его поэтапной ликвидации. Стоматология XXI века – это стоматология без ртути! Поэтапный отказ возможен, поскольку как в развивающихся, так и в развитых странах существует множество примеров успешного прекращения использования амальгамы для лечения детей, в правительственных программах, в вооружен</w:t>
      </w:r>
      <w:r>
        <w:t>н</w:t>
      </w:r>
      <w:r w:rsidRPr="00D43ED2">
        <w:t>ых силах, больничных системах, государственных программах и т.д. Гражданское общество целиком и полностью поддерживает идею поэтапного отказа от амальгамы, о чем свидетельствуют декларации, принятые в Абудже, Дакке, Берлине, Чикаго и Монтевидео, и активное привлечение стоматологических ассоциаций в Африке и Азии.</w:t>
      </w:r>
    </w:p>
    <w:p w14:paraId="20E2C177" w14:textId="5F7D2B8A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Однако поэтапное сокращение – это по-прежнему половинчатое решение, а это означает, что оно не является долгосрочным решением. Продолжение использования амальгамы в некоторых странах означает, что во многих странах продажа амальгамы будет осуществляться в обход таможни; оно будет означать неконтролируемую продажу ртути для амальгамы на золотые месторождения; оно позволит повторить то позорное явление, которое наблюдалось в случае свинецсодержащих красок, когда Запад прекратил продажу свинецсодержащих красок, но на протяжении целого поколения поставлял их в Африку, Азию и Латинскую Америку.</w:t>
      </w:r>
      <w:r w:rsidRPr="005E702D">
        <w:t xml:space="preserve"> </w:t>
      </w:r>
      <w:r w:rsidRPr="00D43ED2">
        <w:t>Решение проблемы амальгамы, как и всех других основных ртутьсодержащих продуктов, заключается в установлении срока ее поэтапной ликвидации. Примеры успеха ясно показывают, что наилучший путь состоит из двух этапов: скорейшее прекращение использования амальгамы для лечения детей, а затем полный отказ от нее в более отдаленное время.</w:t>
      </w:r>
    </w:p>
    <w:p w14:paraId="3624A52F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hd w:val="clear" w:color="auto" w:fill="FFFFFF"/>
        </w:rPr>
      </w:pPr>
      <w:r w:rsidRPr="00D43ED2">
        <w:rPr>
          <w:b/>
          <w:bCs/>
          <w:u w:val="single"/>
        </w:rPr>
        <w:t>Стороны и другие страны уделяют пристальное внимание сокращению использования амальгамы</w:t>
      </w:r>
    </w:p>
    <w:p w14:paraId="36E1C355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В ходе проведения первоначальных оценок в рамках Минаматской конвенции многие Стороны уделяют амальгаме большое внимание. Нигерия, крупнейшая экономика Африки, ставит решение вопроса амальгамы на второе место по приоритетности среди всех мероприятий по осуществлению Минаматской конвенции.</w:t>
      </w:r>
    </w:p>
    <w:p w14:paraId="0E0F63C1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Стороны и другие страны демонстрируют пути отказа от использования амальгамы в государственных программах, больницах, вооруженных силах и в частной стоматологии и даже принимают планы для установления срока ее поэтапной ликвидации. Это сокращение использования амальгамы стало возможным благодаря совокупности многих факторов: значительные технологические усовершенствования в области альтернатив, которые позволяют им ни в чем не уступать амальгаме по техническим характеристикам или даже превосходить ее; стремительный рост числа стоматологов, не использующих ртуть, модернизация школьных стоматологических программ и значительное повышение осведомленности потребителей, результатом которого стало неприятие присутствия ртути во рту.</w:t>
      </w:r>
    </w:p>
    <w:p w14:paraId="7F72AEB6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Региональные конференции, совместными спонсорами которых выступили Программа Организации Объединенных Наций по окружающей среде и Всемирный альянс «За стоматологию без ртути», были проведены в 2015 году в Абиджане для франкоязычных стран Африки, а затем в 2016 году в Бангкоке для Южной, Юго-Восточной и Восточной Азии. Национальные конференции заинтересованных сторон при полноценном участии стоматологических ассоциаций состоялись во всех регионах; вот их неполный список: в Латинской Америке (Парагвай, Перу), в Западной Африке (Бенин, Гана, Кот-д'Ивуар, Нигерия, Сенегал, Того), в Центральной Африке (Камерун, Конго-Браззавиль), в Восточной Африке (Бурунди, Кения, Танзания), в арабских государствах (Ливан, Тунис), в Южной Азии (Бангладеш, Индия, Непал, Пакистан), в Восточной Азии (Китай), в Юго-Восточной Азии (Вьетнам, Индонезия), в островных государствах (Маврикий, Мадагаскар).</w:t>
      </w:r>
    </w:p>
    <w:p w14:paraId="6DA586E2" w14:textId="67B73B77" w:rsidR="0001611E" w:rsidRPr="00D43ED2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D43ED2">
        <w:t>Гражданское общество приняло в этой деятельности самое активное участие. В 2014 году гражданское общество Африки подготовило Абуджскую декларацию за стоматологию без ртути для Африки, которую в короткие сроки подписали 40 организаций гражданского общества. За ней последовала Даккская декларация за стоматологию без ртути для Азии (2015</w:t>
      </w:r>
      <w:r w:rsidR="00670117">
        <w:t> </w:t>
      </w:r>
      <w:r w:rsidRPr="00D43ED2">
        <w:t xml:space="preserve">год); затем были приняты еще три декларации за стоматологию без ртути: Берлинская декларация для Европейского союза (2017 год), Чикагская декларация для Соединенных Штатов (2018 год) и Монтевидейская декларация для Латинской Америки (2018 год). Во всех развивающихся странах мира сложились тесные рабочие отношения между НПО, </w:t>
      </w:r>
      <w:r w:rsidRPr="00D43ED2">
        <w:lastRenderedPageBreak/>
        <w:t>стоматологическими обществами и стоматологическими институтами. В Нигерии этот путь прокладывают два ведущих стоматологических института – LUTH и LASUTH.</w:t>
      </w:r>
    </w:p>
    <w:p w14:paraId="0234753B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rPr>
          <w:b/>
          <w:bCs/>
          <w:u w:val="single"/>
        </w:rPr>
        <w:t>Существует множество примеров успешного перехода к стоматологии без использования ртути</w:t>
      </w:r>
    </w:p>
    <w:p w14:paraId="318205EB" w14:textId="7B712F13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Поэтапный отказ от амальгамы возможен в любой стране, как в частной, так и в государственной стоматологии. Индонезия прекратила платить за амальгаму в своей программе общественного здравоохранения в 2014 году, полностью перейдя на композитные материалы и стеклоиономеры. Вьетнам прекратил использовать амальгаму для лечения детей в апреле 2019 года и готовит план деятельности по полному прекращению использования амальгамы с 1 января 2021 года. Бангладеш и Индия прекратили использование амальгамы в своих вооруженных силах, а Бенин – в своем военном госпитале. Съезд баптистов Камеруна положил конец использованию амальгамы во всей своей сети больниц и клиник – еще в 2007 году! Несколько больниц в Пакистане прекратил</w:t>
      </w:r>
      <w:r>
        <w:t>о</w:t>
      </w:r>
      <w:r w:rsidRPr="00D43ED2">
        <w:t xml:space="preserve"> использование амальгамы после того, как исследования показали, что испарения причиняют вред стоматологам. Стоматологическая ассоциация Непала объявила в этом году, что использование амальгамы будет прекращено сначала для детей, а затем для всех. Стоматологическое общество Бангладеш и НПО «Организация по окружающей среде и социальному развитию» подписали меморандум о взаимопонимании, который положил конец использованию амальгамы для детей в 2018 году с последующим поэтапным отказом от нее для всех пациентов в соответствии со строгим графиком.</w:t>
      </w:r>
    </w:p>
    <w:p w14:paraId="6429C5AA" w14:textId="2C64DFDA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Европейский союз, третья по численности населения юрисдикция в мире, находится в середине трехлетнего графика: в 2018 году было прекращено использование амальгамы для детей до 15</w:t>
      </w:r>
      <w:r w:rsidR="00F94A02">
        <w:t> </w:t>
      </w:r>
      <w:r w:rsidRPr="00D43ED2">
        <w:t>лет и для беременных и кормящих женщин; в 2019 году каждое государство-член представляет свой план дальнейшего сокращения использования амальгамы; и в 2020 году Европейская комиссия вынесет рекомендацию относительно поэтапного отказа от амальгамы.</w:t>
      </w:r>
    </w:p>
    <w:p w14:paraId="3190EB91" w14:textId="4027ECDB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i/>
          <w:shd w:val="clear" w:color="auto" w:fill="FFFFFF"/>
        </w:rPr>
      </w:pPr>
      <w:r w:rsidRPr="00D43ED2">
        <w:rPr>
          <w:i/>
        </w:rPr>
        <w:t>Определяющим фактором того, кто осуществляет переход к стоматологии без ртути, является не экономика, а национальная воля.</w:t>
      </w:r>
    </w:p>
    <w:p w14:paraId="1FA9E73B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hd w:val="clear" w:color="auto" w:fill="FFFFFF"/>
        </w:rPr>
      </w:pPr>
      <w:r w:rsidRPr="00D43ED2">
        <w:rPr>
          <w:b/>
          <w:bCs/>
          <w:u w:val="single"/>
        </w:rPr>
        <w:t>Поэтапный отказ от амальгамы необходим для охраны здоровья населения</w:t>
      </w:r>
    </w:p>
    <w:p w14:paraId="541875D5" w14:textId="34EC7C0C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Во-первых, ртуть, якобы поставляемая для амальгамы, недобросовестным образом перенаправляется на золотые месторождения для использования в мелкомасштабной добыче.</w:t>
      </w:r>
      <w:r w:rsidRPr="005E702D">
        <w:t xml:space="preserve"> </w:t>
      </w:r>
      <w:r w:rsidRPr="00D43ED2">
        <w:t>Такая деятельность незаконна, вредна для этих общин и противоречит духу Минаматской конвенции. Во-вторых, как и со всеми продуктами, содержащими ртуть, каждая страна в одиночку может достичь лишь ограниченных результатов в связи с поставками в обход мер контроля за импортом. В-третьих, амальгаму нельзя рассматривать как проблему отходов, поскольку ртуть вводится в организм человека и не может быть извлечена, а также потому, что расходы на объекты по переработке отходов значительно превышают стоимость перехода на стоматологию без ртути.</w:t>
      </w:r>
    </w:p>
    <w:p w14:paraId="496D5D72" w14:textId="6F5FA7A2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Африканский регион и 54 входящие в него страны гордятся тем, что он возглавил работу по сокращению использования амальгамы в рамках Конвенции, предложив план действий. Большое число африканских стран добил</w:t>
      </w:r>
      <w:r>
        <w:t>о</w:t>
      </w:r>
      <w:r w:rsidRPr="00D43ED2">
        <w:t>сь успеха, сделав скачок в развитии технологий, и убежден</w:t>
      </w:r>
      <w:r>
        <w:t>о</w:t>
      </w:r>
      <w:r w:rsidRPr="00D43ED2">
        <w:t>, что решение проблемы амальгамы заключается в переходе к стоматологии без ртути. Они предлагают Сторонам и другим странам Азии, Америки, Европы и островных государств присоединиться к ним в поддержку этой поправки.</w:t>
      </w:r>
    </w:p>
    <w:p w14:paraId="03A6BBEE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hd w:val="clear" w:color="auto" w:fill="FFFFFF"/>
        </w:rPr>
      </w:pPr>
      <w:r w:rsidRPr="00D43ED2">
        <w:rPr>
          <w:b/>
          <w:bCs/>
          <w:u w:val="single"/>
        </w:rPr>
        <w:t>В первую очередь необходимо положить конец использованию амальгамы для лечения детей!</w:t>
      </w:r>
    </w:p>
    <w:p w14:paraId="2E8440F3" w14:textId="43AED26F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Во всем мире было достигнуто согласие по одному вопросу: в первую очередь необходимо положить конец использованию амальгамы для лечения детей. Швеция и Норвегия пошли по этому пути с целью поэтапного отказа от амальгамы. Островное государство Маврикий прекратило использование амальгамы для детей много лет назад, еще до того, как это сделал Европейский союз.</w:t>
      </w:r>
      <w:r w:rsidRPr="005E702D">
        <w:t xml:space="preserve"> </w:t>
      </w:r>
      <w:r w:rsidRPr="00D43ED2">
        <w:t>Пакистан прекратил использование амальгамы для детей, беременных и кормящих женщин в 3/4 своих провинций. Вьетнам положил конец использованию амальгамы для детей в 2019 году, а Нигерия сделает это 1 января 2020 года вслед за своим штатом Эдо, который сделал это 1 июля 2018 года, показав пример отказа от применения ртути в стоматологии.</w:t>
      </w:r>
    </w:p>
    <w:p w14:paraId="22BC798E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 xml:space="preserve">Эта поправка следует по пути Европейского союза и отражает приоритеты государств во всем мире, начиная с поэтапного отказа от использования амальгамы для детей (включая, таким образом, беременных и кормящих женщин). Используемые в ней формулировки аналогичны </w:t>
      </w:r>
      <w:r w:rsidRPr="00D43ED2">
        <w:lastRenderedPageBreak/>
        <w:t>тем, которые содержатся в принятом Европейским союзом в 2017 году Законе о ртути. Дети во всем мире так</w:t>
      </w:r>
      <w:r w:rsidRPr="005E702D">
        <w:t xml:space="preserve"> </w:t>
      </w:r>
      <w:r w:rsidRPr="00D43ED2">
        <w:t>же важны, как дети Европы, поэтому отказ от использования амальгамы для детей происходит по ускоренному графику.</w:t>
      </w:r>
    </w:p>
    <w:p w14:paraId="338FF6CE" w14:textId="77777777" w:rsidR="0001611E" w:rsidRPr="006F37E0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i/>
          <w:color w:val="222222"/>
          <w:shd w:val="clear" w:color="auto" w:fill="FFFFFF"/>
        </w:rPr>
      </w:pPr>
      <w:r w:rsidRPr="00D43ED2">
        <w:t>План по прекращению использования амальгамы для детей был разработан на Всемирном семинаре</w:t>
      </w:r>
      <w:r>
        <w:noBreakHyphen/>
      </w:r>
      <w:r w:rsidRPr="00D43ED2">
        <w:t xml:space="preserve">практикуме в Бангкоке в 2018 году, спонсорами которого выступили Программа Организации Объединенных Наций по окружающей среде и Всемирный альянс «За стоматологию без ртути». Доклад о работе семинара-практикума озаглавлен «Содействие мерам по поэтапному сокращению амальгамы для зубных пломб в рамках Минаматской конвенции и других инициатив, особенно в интересах женщин, детей и, через них, будущих поколений», </w:t>
      </w:r>
      <w:hyperlink r:id="rId10" w:history="1">
        <w:r w:rsidRPr="00D43ED2">
          <w:rPr>
            <w:rStyle w:val="Hyperlink"/>
          </w:rPr>
          <w:t>https</w:t>
        </w:r>
        <w:r w:rsidRPr="005E702D">
          <w:rPr>
            <w:rStyle w:val="Hyperlink"/>
          </w:rPr>
          <w:t>://</w:t>
        </w:r>
        <w:r w:rsidRPr="00D43ED2">
          <w:rPr>
            <w:rStyle w:val="Hyperlink"/>
          </w:rPr>
          <w:t>mercuryfreedentistry</w:t>
        </w:r>
        <w:r w:rsidRPr="005E702D">
          <w:rPr>
            <w:rStyle w:val="Hyperlink"/>
          </w:rPr>
          <w:t>.</w:t>
        </w:r>
        <w:r w:rsidRPr="00D43ED2">
          <w:rPr>
            <w:rStyle w:val="Hyperlink"/>
          </w:rPr>
          <w:t>files</w:t>
        </w:r>
        <w:r w:rsidRPr="005E702D">
          <w:rPr>
            <w:rStyle w:val="Hyperlink"/>
          </w:rPr>
          <w:t>.</w:t>
        </w:r>
        <w:r w:rsidRPr="00D43ED2">
          <w:rPr>
            <w:rStyle w:val="Hyperlink"/>
          </w:rPr>
          <w:t>wordpress</w:t>
        </w:r>
        <w:r w:rsidRPr="005E702D">
          <w:rPr>
            <w:rStyle w:val="Hyperlink"/>
          </w:rPr>
          <w:t>.</w:t>
        </w:r>
        <w:r w:rsidRPr="00D43ED2">
          <w:rPr>
            <w:rStyle w:val="Hyperlink"/>
          </w:rPr>
          <w:t>com</w:t>
        </w:r>
        <w:r w:rsidRPr="005E702D">
          <w:rPr>
            <w:rStyle w:val="Hyperlink"/>
          </w:rPr>
          <w:t>/2018/06/</w:t>
        </w:r>
        <w:r w:rsidRPr="00D43ED2">
          <w:rPr>
            <w:rStyle w:val="Hyperlink"/>
          </w:rPr>
          <w:t>workshop</w:t>
        </w:r>
        <w:r w:rsidRPr="005E702D">
          <w:rPr>
            <w:rStyle w:val="Hyperlink"/>
          </w:rPr>
          <w:t>-</w:t>
        </w:r>
        <w:r w:rsidRPr="00D43ED2">
          <w:rPr>
            <w:rStyle w:val="Hyperlink"/>
          </w:rPr>
          <w:t>report</w:t>
        </w:r>
        <w:r w:rsidRPr="005E702D">
          <w:rPr>
            <w:rStyle w:val="Hyperlink"/>
          </w:rPr>
          <w:t>.</w:t>
        </w:r>
        <w:r w:rsidRPr="00D43ED2">
          <w:rPr>
            <w:rStyle w:val="Hyperlink"/>
          </w:rPr>
          <w:t>pdf</w:t>
        </w:r>
      </w:hyperlink>
      <w:r w:rsidRPr="006F37E0">
        <w:rPr>
          <w:rStyle w:val="Hyperlink"/>
        </w:rPr>
        <w:t>.</w:t>
      </w:r>
    </w:p>
    <w:p w14:paraId="34FC1BD9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hd w:val="clear" w:color="auto" w:fill="FFFFFF"/>
        </w:rPr>
      </w:pPr>
      <w:r w:rsidRPr="00D43ED2">
        <w:rPr>
          <w:b/>
          <w:bCs/>
          <w:u w:val="single"/>
        </w:rPr>
        <w:t>То, что произошло со свинецсодержащей краской, никогда не должно повториться</w:t>
      </w:r>
    </w:p>
    <w:p w14:paraId="46C51399" w14:textId="24CBCB69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К сожалению, по-прежнему слышны мнения, что прекращение использования амальгамы в Европе – это хорошая идея, но жители Африки должны и далее смиряться с присутствием этого нейротоксина во рту, на рабочем месте и в пище на протяжении жизни еще одного поколения. Авторы этих мнений явно незнакомы со скачкообразным развитием технологий, которым славится Африка.</w:t>
      </w:r>
      <w:r w:rsidRPr="005E702D">
        <w:t xml:space="preserve"> </w:t>
      </w:r>
      <w:r w:rsidRPr="00D43ED2">
        <w:t>Правительства африканских стран готовы к стоматологии без ртути, равно как и стоматологи, потребители и родители. То же касается Азии. То же касается Латинской Америки. То же касается малых островных развивающихся государств.</w:t>
      </w:r>
    </w:p>
    <w:p w14:paraId="118D9E2A" w14:textId="394741E1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Почти два поколения назад развитые страны прекратили использование свинца в красках, но продолжали продавать его во всех развивающихся странах. Этот эпизод со свинцовой краской был недопустим и больше никогда не должен повториться. Использование амальгамы должно быть прекращено в соответствии с графиком во всем мире.</w:t>
      </w:r>
    </w:p>
    <w:p w14:paraId="00F972F9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shd w:val="clear" w:color="auto" w:fill="FFFFFF"/>
        </w:rPr>
      </w:pPr>
      <w:r w:rsidRPr="00D43ED2">
        <w:t>Давайте положим конец эпохе стоматологии с применением ртути и решительно вступим в эпоху стоматологии без ртути!</w:t>
      </w:r>
    </w:p>
    <w:p w14:paraId="7CBC7965" w14:textId="57E16627" w:rsidR="0001611E" w:rsidRPr="00670117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jc w:val="center"/>
        <w:rPr>
          <w:b/>
          <w:color w:val="222222"/>
          <w:shd w:val="clear" w:color="auto" w:fill="FFFFFF"/>
        </w:rPr>
      </w:pPr>
      <w:r w:rsidRPr="00670117">
        <w:rPr>
          <w:b/>
          <w:bCs/>
        </w:rPr>
        <w:t>Обоснование поправки</w:t>
      </w:r>
    </w:p>
    <w:p w14:paraId="658A07B5" w14:textId="7DB71A32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color w:val="222222"/>
          <w:u w:val="single"/>
          <w:shd w:val="clear" w:color="auto" w:fill="FFFFFF"/>
        </w:rPr>
      </w:pPr>
      <w:r w:rsidRPr="0034663B">
        <w:rPr>
          <w:b/>
          <w:bCs/>
          <w:u w:val="single"/>
        </w:rPr>
        <w:t>1-Амальгама является одним из крупнейших видов использования ртути в продукции</w:t>
      </w:r>
    </w:p>
    <w:p w14:paraId="7B56A569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color w:val="222222"/>
          <w:shd w:val="clear" w:color="auto" w:fill="FFFFFF"/>
        </w:rPr>
      </w:pPr>
      <w:r w:rsidRPr="0034663B">
        <w:t>Ртуть используется в амальгаме для зубных пломб – пломбировочном материале, примерно на 50 процентов состоящем из ртути</w:t>
      </w:r>
      <w:r w:rsidRPr="0034663B">
        <w:rPr>
          <w:vertAlign w:val="superscript"/>
        </w:rPr>
        <w:endnoteReference w:id="1"/>
      </w:r>
      <w:r w:rsidRPr="0034663B">
        <w:t>. Ежегодно во всем мире используется от 270 до 341 тонны ртути для стоматологии, что составляет 21 процент мирового потребления ртути</w:t>
      </w:r>
      <w:r w:rsidRPr="0034663B">
        <w:rPr>
          <w:rStyle w:val="EndnoteReference"/>
          <w:spacing w:val="-7"/>
        </w:rPr>
        <w:endnoteReference w:id="2"/>
      </w:r>
      <w:r w:rsidRPr="0034663B">
        <w:t>.</w:t>
      </w:r>
    </w:p>
    <w:p w14:paraId="4614943F" w14:textId="77777777" w:rsidR="0001611E" w:rsidRPr="005E702D" w:rsidRDefault="0001611E" w:rsidP="00670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color w:val="222222"/>
          <w:shd w:val="clear" w:color="auto" w:fill="FFFFFF"/>
        </w:rPr>
      </w:pPr>
      <w:r w:rsidRPr="0034663B">
        <w:t>Многие виды продукции, при производстве которых потребляется меньше ртути, чем при производстве амальгамы для зубных пломб, включая лампы, электрические устройства и аккумуляторы</w:t>
      </w:r>
      <w:r w:rsidRPr="0034663B">
        <w:rPr>
          <w:rStyle w:val="EndnoteReference"/>
          <w:color w:val="222222"/>
          <w:shd w:val="clear" w:color="auto" w:fill="FFFFFF"/>
        </w:rPr>
        <w:endnoteReference w:id="3"/>
      </w:r>
      <w:r w:rsidRPr="0034663B">
        <w:t>, уже включены в часть 1 приложения А.</w:t>
      </w:r>
    </w:p>
    <w:p w14:paraId="1E880C55" w14:textId="77777777" w:rsidR="0001611E" w:rsidRPr="0092462D" w:rsidRDefault="0001611E" w:rsidP="00F94A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8"/>
        <w:jc w:val="center"/>
        <w:rPr>
          <w:color w:val="222222"/>
          <w:sz w:val="24"/>
          <w:szCs w:val="24"/>
          <w:shd w:val="clear" w:color="auto" w:fill="FFFFFF"/>
        </w:rPr>
      </w:pPr>
      <w:r w:rsidRPr="0092462D">
        <w:rPr>
          <w:noProof/>
          <w:color w:val="222222"/>
          <w:sz w:val="24"/>
          <w:szCs w:val="24"/>
          <w:shd w:val="clear" w:color="auto" w:fill="FFFFFF"/>
          <w:lang w:val="fr-FR" w:eastAsia="fr-FR"/>
        </w:rPr>
        <w:drawing>
          <wp:inline distT="0" distB="0" distL="0" distR="0" wp14:anchorId="309E29CC" wp14:editId="3EB6347A">
            <wp:extent cx="3027887" cy="3202996"/>
            <wp:effectExtent l="19050" t="19050" r="20113" b="16454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673" cy="320594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4DCB61" w14:textId="77777777" w:rsidR="0001611E" w:rsidRPr="005E702D" w:rsidRDefault="0001611E" w:rsidP="00F94A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color w:val="222222"/>
          <w:shd w:val="clear" w:color="auto" w:fill="FFFFFF"/>
        </w:rPr>
      </w:pPr>
      <w:r w:rsidRPr="0034663B">
        <w:lastRenderedPageBreak/>
        <w:t>Амальгаму для зубных пломб следует перенести в часть I приложения А для более полного отражения повышенного вклада амальгамы в объем ртути, которая может попасть в нашу окружающую среду.</w:t>
      </w:r>
    </w:p>
    <w:p w14:paraId="1780326A" w14:textId="1D9D7D06" w:rsidR="0001611E" w:rsidRPr="005E702D" w:rsidRDefault="0001611E" w:rsidP="00F94A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color w:val="222222"/>
          <w:u w:val="single"/>
          <w:shd w:val="clear" w:color="auto" w:fill="FFFFFF"/>
        </w:rPr>
      </w:pPr>
      <w:r w:rsidRPr="0034663B">
        <w:rPr>
          <w:b/>
          <w:bCs/>
          <w:u w:val="single"/>
        </w:rPr>
        <w:t>2-Высвобождения и выбросы амальгамы относятся к числу наиболее труднорегулируемых</w:t>
      </w:r>
    </w:p>
    <w:p w14:paraId="2C1ACEBF" w14:textId="77777777" w:rsidR="0001611E" w:rsidRPr="0034663B" w:rsidRDefault="0001611E" w:rsidP="00F94A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34663B">
        <w:t>Используемая в стоматологии ртуть поступает в три основных природных среды многими различными путями. Например, используемая в стоматологии ртуть загрязняет:</w:t>
      </w:r>
    </w:p>
    <w:p w14:paraId="1B7A3EBE" w14:textId="77777777" w:rsidR="0001611E" w:rsidRPr="005E702D" w:rsidRDefault="0001611E" w:rsidP="00F94A02">
      <w:pPr>
        <w:pStyle w:val="ListParagraph"/>
        <w:numPr>
          <w:ilvl w:val="0"/>
          <w:numId w:val="2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871" w:hanging="624"/>
        <w:rPr>
          <w:rFonts w:eastAsia="Calibri"/>
        </w:rPr>
      </w:pPr>
      <w:r w:rsidRPr="0034663B">
        <w:rPr>
          <w:b/>
          <w:i/>
        </w:rPr>
        <w:t>ВОЗДУХ</w:t>
      </w:r>
      <w:r w:rsidRPr="0034663B">
        <w:t xml:space="preserve"> посредством кремации</w:t>
      </w:r>
      <w:r w:rsidRPr="0034663B">
        <w:rPr>
          <w:rStyle w:val="EndnoteReference"/>
        </w:rPr>
        <w:endnoteReference w:id="4"/>
      </w:r>
      <w:r w:rsidRPr="0034663B">
        <w:t>, отходов стоматологических клиник</w:t>
      </w:r>
      <w:r w:rsidRPr="0034663B">
        <w:rPr>
          <w:rStyle w:val="EndnoteReference"/>
        </w:rPr>
        <w:endnoteReference w:id="5"/>
      </w:r>
      <w:r w:rsidRPr="0034663B">
        <w:t>, сжигания бытовых отходов и сжигания осадка сточных вод</w:t>
      </w:r>
      <w:r w:rsidRPr="0034663B">
        <w:rPr>
          <w:rStyle w:val="EndnoteReference"/>
        </w:rPr>
        <w:endnoteReference w:id="6"/>
      </w:r>
      <w:r w:rsidRPr="0034663B">
        <w:t>;</w:t>
      </w:r>
    </w:p>
    <w:p w14:paraId="2F1D9378" w14:textId="77777777" w:rsidR="0001611E" w:rsidRPr="005E702D" w:rsidRDefault="0001611E" w:rsidP="00F94A02">
      <w:pPr>
        <w:pStyle w:val="ListParagraph"/>
        <w:numPr>
          <w:ilvl w:val="0"/>
          <w:numId w:val="2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871" w:hanging="624"/>
        <w:rPr>
          <w:rFonts w:eastAsia="Calibri"/>
        </w:rPr>
      </w:pPr>
      <w:r w:rsidRPr="0034663B">
        <w:rPr>
          <w:b/>
          <w:i/>
        </w:rPr>
        <w:t>ВОДУ</w:t>
      </w:r>
      <w:r w:rsidRPr="0034663B">
        <w:t xml:space="preserve"> посредством высвобождений из стоматологических клиник</w:t>
      </w:r>
      <w:r w:rsidRPr="0034663B">
        <w:rPr>
          <w:rStyle w:val="EndnoteReference"/>
        </w:rPr>
        <w:endnoteReference w:id="7"/>
      </w:r>
      <w:r w:rsidRPr="0034663B">
        <w:t>, стоков со свалок и отходов жизнедеятельности человека</w:t>
      </w:r>
      <w:r w:rsidRPr="0034663B">
        <w:rPr>
          <w:rStyle w:val="EndnoteReference"/>
        </w:rPr>
        <w:endnoteReference w:id="8"/>
      </w:r>
      <w:r w:rsidRPr="0034663B">
        <w:t>;</w:t>
      </w:r>
    </w:p>
    <w:p w14:paraId="07163DE0" w14:textId="77777777" w:rsidR="0001611E" w:rsidRPr="005E702D" w:rsidRDefault="0001611E" w:rsidP="00F94A02">
      <w:pPr>
        <w:pStyle w:val="ListParagraph"/>
        <w:numPr>
          <w:ilvl w:val="0"/>
          <w:numId w:val="2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871" w:hanging="624"/>
      </w:pPr>
      <w:r w:rsidRPr="0034663B">
        <w:rPr>
          <w:b/>
          <w:i/>
        </w:rPr>
        <w:t>ЗЕМЛЮ</w:t>
      </w:r>
      <w:r w:rsidRPr="0034663B">
        <w:t xml:space="preserve"> посредством свалок</w:t>
      </w:r>
      <w:r w:rsidRPr="0034663B">
        <w:rPr>
          <w:rStyle w:val="EndnoteReference"/>
        </w:rPr>
        <w:endnoteReference w:id="9"/>
      </w:r>
      <w:r w:rsidRPr="0034663B">
        <w:t>, захоронений</w:t>
      </w:r>
      <w:r w:rsidRPr="0034663B">
        <w:rPr>
          <w:rStyle w:val="EndnoteReference"/>
        </w:rPr>
        <w:endnoteReference w:id="10"/>
      </w:r>
      <w:r w:rsidRPr="0034663B">
        <w:t xml:space="preserve"> и использования осадка сточных вод в качестве удобрения</w:t>
      </w:r>
      <w:r w:rsidRPr="0034663B">
        <w:rPr>
          <w:rStyle w:val="EndnoteReference"/>
        </w:rPr>
        <w:endnoteReference w:id="11"/>
      </w:r>
      <w:r w:rsidRPr="0034663B">
        <w:t>.</w:t>
      </w:r>
    </w:p>
    <w:p w14:paraId="7B506648" w14:textId="77777777" w:rsidR="0001611E" w:rsidRPr="009246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  <w:jc w:val="center"/>
        <w:rPr>
          <w:color w:val="222222"/>
          <w:sz w:val="24"/>
          <w:szCs w:val="24"/>
          <w:shd w:val="clear" w:color="auto" w:fill="FFFFFF"/>
        </w:rPr>
      </w:pPr>
      <w:r w:rsidRPr="0092462D">
        <w:rPr>
          <w:noProof/>
          <w:color w:val="222222"/>
          <w:sz w:val="24"/>
          <w:szCs w:val="24"/>
          <w:shd w:val="clear" w:color="auto" w:fill="FFFFFF"/>
          <w:lang w:val="fr-FR" w:eastAsia="fr-FR"/>
        </w:rPr>
        <w:drawing>
          <wp:inline distT="0" distB="0" distL="0" distR="0" wp14:anchorId="6F07FD17" wp14:editId="29B55997">
            <wp:extent cx="5173436" cy="3061607"/>
            <wp:effectExtent l="19050" t="19050" r="27305" b="24765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812" cy="307958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70C2EE" w14:textId="77777777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color w:val="222222"/>
          <w:shd w:val="clear" w:color="auto" w:fill="FFFFFF"/>
        </w:rPr>
      </w:pPr>
      <w:r w:rsidRPr="00E25A85">
        <w:t>Поскольку ртуть, содержащаяся в амальгаме для зубных пломб, попадает в окружающую среду множеством различных путей, ее невозможно контролировать и чрезвычайно трудно регулировать. Например:</w:t>
      </w:r>
    </w:p>
    <w:p w14:paraId="3EF2F828" w14:textId="77777777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color w:val="222222"/>
          <w:shd w:val="clear" w:color="auto" w:fill="FFFFFF"/>
        </w:rPr>
      </w:pPr>
      <w:r w:rsidRPr="00E25A85">
        <w:t>контроль за высвобождениями и выбросами используемой в стоматологии ртути невозможен по следующим причинам:</w:t>
      </w:r>
    </w:p>
    <w:p w14:paraId="0A26EC41" w14:textId="605BD26F" w:rsidR="0001611E" w:rsidRPr="005E702D" w:rsidRDefault="0001611E" w:rsidP="00D527CD">
      <w:pPr>
        <w:pStyle w:val="ListParagraph"/>
        <w:numPr>
          <w:ilvl w:val="0"/>
          <w:numId w:val="22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E25A85">
        <w:rPr>
          <w:b/>
          <w:i/>
        </w:rPr>
        <w:t>Слишком большое число путей</w:t>
      </w:r>
      <w:r w:rsidRPr="00E25A85">
        <w:t>: сепаратор амальгамы (устройство, предназначенное для улавливания ртути из сточных вод стоматологических клиник) недостаточен для решения всего спектра проблем, связанных с высвобождениями ртути из жизненного цикла амальгамы, как показано на рисунке выше</w:t>
      </w:r>
      <w:r w:rsidRPr="00E25A85">
        <w:rPr>
          <w:vertAlign w:val="superscript"/>
        </w:rPr>
        <w:endnoteReference w:id="12"/>
      </w:r>
      <w:r w:rsidRPr="00E25A85">
        <w:t>. Например, как поясняется в докладе БИОИС Европейской комиссии, установки сепаратора недостаточно для решения проблемы «всего спектра высвобождений ртути из жизненного цикла амальгамы для зубных пломб (он не решает проблему высвобождений ртути в результате естественного разрушения амальгамовых пломб во рту, кремации и захоронения и остаточных выбросов в городские очистные сооружения)»</w:t>
      </w:r>
      <w:r w:rsidRPr="00E25A85">
        <w:rPr>
          <w:vertAlign w:val="superscript"/>
        </w:rPr>
        <w:endnoteReference w:id="13"/>
      </w:r>
      <w:r w:rsidRPr="00E25A85">
        <w:t>. Стоматологи, не осознающие этого, могут фактически увеличить использование амальгамы, поскольку ошибочно полагают, что сепараторов достаточно для предотвращения всех видов загрязнения ртутью, применяемой в стоматологии.</w:t>
      </w:r>
    </w:p>
    <w:p w14:paraId="1242254D" w14:textId="77777777" w:rsidR="0001611E" w:rsidRPr="005E702D" w:rsidRDefault="0001611E" w:rsidP="00D527CD">
      <w:pPr>
        <w:pStyle w:val="ListParagraph"/>
        <w:numPr>
          <w:ilvl w:val="0"/>
          <w:numId w:val="22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E25A85">
        <w:rPr>
          <w:b/>
          <w:i/>
        </w:rPr>
        <w:t>Отсутствие инфраструктуры</w:t>
      </w:r>
      <w:r w:rsidRPr="00E25A85">
        <w:t>: многие развивающиеся страны не располагают инфраструктурой и ресурсами для сбора, транспортировки и хранения отходов ртути из амальгамы.</w:t>
      </w:r>
    </w:p>
    <w:p w14:paraId="0E9DAA7B" w14:textId="4509E959" w:rsidR="0001611E" w:rsidRPr="005E702D" w:rsidRDefault="0001611E" w:rsidP="00D527CD">
      <w:pPr>
        <w:pStyle w:val="ListParagraph"/>
        <w:numPr>
          <w:ilvl w:val="0"/>
          <w:numId w:val="22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contextualSpacing/>
      </w:pPr>
      <w:r w:rsidRPr="00E25A85">
        <w:rPr>
          <w:b/>
          <w:i/>
        </w:rPr>
        <w:t>Высокие затраты</w:t>
      </w:r>
      <w:r w:rsidRPr="00E25A85">
        <w:t xml:space="preserve">: правительствам приходится нести большие расходы, связанные с попытками принятия нормативных положений и обеспечения их соблюдения, а также с </w:t>
      </w:r>
      <w:r w:rsidRPr="00E25A85">
        <w:lastRenderedPageBreak/>
        <w:t>обеспечением надлежащего технического обслуживания, включая расходы на повышение осведомленности и проведение инспекций в стоматологических клиниках. Например, в ходе исследования, проведенного Европейской комиссией в 2012 году, было подсчитано, что для обеспечения установки сепараторов и надлежащего технического обслуживания потребуется около 35 000 часов в год в 27 странах ЕС и 1</w:t>
      </w:r>
      <w:r w:rsidR="00D527CD">
        <w:t> </w:t>
      </w:r>
      <w:r w:rsidRPr="00E25A85">
        <w:t>млн</w:t>
      </w:r>
      <w:r>
        <w:t>.</w:t>
      </w:r>
      <w:r w:rsidRPr="00E25A85">
        <w:t xml:space="preserve"> евро в год на оплату труда государственных органов</w:t>
      </w:r>
      <w:r w:rsidRPr="00E25A85">
        <w:rPr>
          <w:vertAlign w:val="superscript"/>
        </w:rPr>
        <w:endnoteReference w:id="14"/>
      </w:r>
      <w:r w:rsidRPr="00E25A85">
        <w:t>.</w:t>
      </w:r>
    </w:p>
    <w:p w14:paraId="51A1EA4D" w14:textId="1E72CD9C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color w:val="222222"/>
          <w:shd w:val="clear" w:color="auto" w:fill="FFFFFF"/>
        </w:rPr>
      </w:pPr>
      <w:r w:rsidRPr="00E25A85">
        <w:t>В результате единственным способом эффективного решения проблемы загрязнения применяемой в стоматологии ртутью является перенос зубной амальгамы в часть I приложения</w:t>
      </w:r>
      <w:r w:rsidR="00D527CD">
        <w:t> </w:t>
      </w:r>
      <w:r w:rsidRPr="00E25A85">
        <w:t>А.</w:t>
      </w:r>
    </w:p>
    <w:p w14:paraId="4BA67FF6" w14:textId="77777777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color w:val="222222"/>
          <w:u w:val="single"/>
          <w:shd w:val="clear" w:color="auto" w:fill="FFFFFF"/>
        </w:rPr>
      </w:pPr>
      <w:r w:rsidRPr="00E25A85">
        <w:rPr>
          <w:b/>
          <w:bCs/>
          <w:u w:val="single"/>
        </w:rPr>
        <w:t>3-В наличии имеются более совершенные не содержащие ртути альтернативы, особенно для детей</w:t>
      </w:r>
    </w:p>
    <w:p w14:paraId="4D87E119" w14:textId="2849E402" w:rsidR="0001611E" w:rsidRPr="00E25A85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E25A85">
        <w:t>Пломбы для зубов без содержания ртути разрабатываются и изучаются более пятидесяти лет</w:t>
      </w:r>
      <w:r w:rsidRPr="00E25A85">
        <w:rPr>
          <w:rStyle w:val="EndnoteReference"/>
        </w:rPr>
        <w:endnoteReference w:id="15"/>
      </w:r>
      <w:r w:rsidRPr="00E25A85">
        <w:t>. Эти пломбы без содержания ртути обладают многими преимуществами, которые делают их более эффективными и более доступными по цене по сравнению с амальгамой для зубных пломб. Например:</w:t>
      </w:r>
    </w:p>
    <w:p w14:paraId="70D36906" w14:textId="77777777" w:rsidR="0001611E" w:rsidRPr="005E702D" w:rsidRDefault="0001611E" w:rsidP="00D527CD">
      <w:pPr>
        <w:pStyle w:val="ListParagraph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E25A85">
        <w:rPr>
          <w:b/>
        </w:rPr>
        <w:t>Они являются экологически чистыми:</w:t>
      </w:r>
      <w:r w:rsidRPr="00E25A85">
        <w:t xml:space="preserve"> композитные составы и стеклоиономеры не содержат ртути, и отсутствуют свиде</w:t>
      </w:r>
      <w:r>
        <w:t>те</w:t>
      </w:r>
      <w:r w:rsidRPr="00E25A85">
        <w:t>льства токсичности для окружающей среды</w:t>
      </w:r>
      <w:r w:rsidRPr="00E25A85">
        <w:rPr>
          <w:vertAlign w:val="superscript"/>
        </w:rPr>
        <w:endnoteReference w:id="16"/>
      </w:r>
      <w:r w:rsidRPr="00E25A85">
        <w:t>. Однако, как отмечают шведский профессор Хайландер и др. (2006), «амальгамные пломбы считаются экономически выгодными, в то время как они де-факто стоят дороже, чем большинство, а возможно, что и все другие виды пломб, если учитывать экологические издержки»</w:t>
      </w:r>
      <w:r w:rsidRPr="00E25A85">
        <w:rPr>
          <w:rStyle w:val="EndnoteReference"/>
        </w:rPr>
        <w:endnoteReference w:id="17"/>
      </w:r>
      <w:r w:rsidRPr="00E25A85">
        <w:t>. Таким образом, государства-члены могут избежать значительных экологических и социальных издержек путем содействия использованию пломб, не содержащих ртути.</w:t>
      </w:r>
    </w:p>
    <w:p w14:paraId="79710F6D" w14:textId="77777777" w:rsidR="0001611E" w:rsidRPr="005E702D" w:rsidRDefault="0001611E" w:rsidP="00D527CD">
      <w:pPr>
        <w:pStyle w:val="ListParagraph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E25A85">
        <w:rPr>
          <w:b/>
        </w:rPr>
        <w:t>Сохранение структуры зуба:</w:t>
      </w:r>
      <w:r w:rsidRPr="00E25A85">
        <w:t xml:space="preserve"> современная стоматология признает принцип минимально инвазивной стоматологии, который заключается в удалении как можно меньшего количества здоровой ткани зуба. В противоположность этому необходимость механического крепления амальгамы для пломб к зубу требует сверления соответствующего отверстия и удаления зачастую значительного количества здоровой ткани зуба, что со временем приводит к дополнительному и более дорогостоящ</w:t>
      </w:r>
      <w:r>
        <w:t>е</w:t>
      </w:r>
      <w:r w:rsidRPr="00E25A85">
        <w:t>му лечению</w:t>
      </w:r>
      <w:r w:rsidRPr="00E25A85">
        <w:rPr>
          <w:rStyle w:val="EndnoteReference"/>
        </w:rPr>
        <w:endnoteReference w:id="18"/>
      </w:r>
      <w:r w:rsidRPr="00E25A85">
        <w:t>. Всемирная организация здравоохранения заявляет, что «адгезивные композитные материалы [например, композитные составы] позволяют меньше разрушать зубы и, как следствие, продлять жизнь самому зубу»</w:t>
      </w:r>
      <w:r w:rsidRPr="00E25A85">
        <w:rPr>
          <w:vertAlign w:val="superscript"/>
        </w:rPr>
        <w:endnoteReference w:id="19"/>
      </w:r>
      <w:r w:rsidRPr="00E25A85">
        <w:t>. Помимо сохранения структуры зуба, композиты благодаря своим связывающим свойствам могут укреплять и улучшать биомеханические свойства восстановленного зуба</w:t>
      </w:r>
      <w:r w:rsidRPr="00E25A85">
        <w:rPr>
          <w:rStyle w:val="EndnoteReference"/>
        </w:rPr>
        <w:endnoteReference w:id="20"/>
      </w:r>
      <w:r w:rsidRPr="00E25A85">
        <w:t>. Как заявил в докладе за 2015</w:t>
      </w:r>
      <w:r>
        <w:rPr>
          <w:lang w:val="en-GB"/>
        </w:rPr>
        <w:t> </w:t>
      </w:r>
      <w:r w:rsidRPr="00E25A85">
        <w:t>год Научный комитет Европейской комиссии по новым и вновь выявленным рискам для здоровья (НКНВВРЗ), зубные пломбы, не содержащие ртути, «способствовали радикальному изменению концепции восстановительной стоматологии благодаря внедрению более малоинвазивных методов лечения кариеса и соответствующему сохранению большего количества вещества зуба»</w:t>
      </w:r>
      <w:r w:rsidRPr="00E25A85">
        <w:rPr>
          <w:rStyle w:val="EndnoteReference"/>
        </w:rPr>
        <w:endnoteReference w:id="21"/>
      </w:r>
      <w:r w:rsidRPr="00E25A85">
        <w:t>. Таким образом, государства-члены могут помочь своим гражданам сэкономить на дополнительных расходах, связанных с ослаблением структуры и выпадением зубов, путем содействия использованию пломб без содержания ртути.</w:t>
      </w:r>
    </w:p>
    <w:p w14:paraId="0169B95E" w14:textId="77777777" w:rsidR="0001611E" w:rsidRPr="00D527CD" w:rsidRDefault="0001611E" w:rsidP="00D527CD">
      <w:pPr>
        <w:pStyle w:val="ListParagraph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rStyle w:val="A4"/>
          <w:sz w:val="20"/>
        </w:rPr>
      </w:pPr>
      <w:r w:rsidRPr="00E25A85">
        <w:rPr>
          <w:b/>
        </w:rPr>
        <w:t>Предотвращение кариеса:</w:t>
      </w:r>
      <w:r w:rsidRPr="00E25A85">
        <w:t xml:space="preserve"> стеклоиономеры выделяют фторид, который может помочь предотвратить зубной кариес</w:t>
      </w:r>
      <w:r w:rsidRPr="00E25A85">
        <w:rPr>
          <w:rStyle w:val="EndnoteReference"/>
        </w:rPr>
        <w:endnoteReference w:id="22"/>
      </w:r>
      <w:r w:rsidRPr="00E25A85">
        <w:t>. Укладка композита также может сопровождаться профилактическими мерами, включая герметизацию прилегающих ямок и фиссур зуба</w:t>
      </w:r>
      <w:r w:rsidRPr="00E25A85">
        <w:rPr>
          <w:rStyle w:val="EndnoteReference"/>
          <w:color w:val="000000"/>
        </w:rPr>
        <w:endnoteReference w:id="23"/>
      </w:r>
      <w:r w:rsidRPr="00E25A85">
        <w:t>. Таким образом, пломбы без содержания ртути обладают такими же профилактическими свойствами, которые ассоциируются с амальгамой, или превосходят их.</w:t>
      </w:r>
    </w:p>
    <w:p w14:paraId="4FF90CDC" w14:textId="77777777" w:rsidR="0001611E" w:rsidRPr="005E702D" w:rsidRDefault="0001611E" w:rsidP="00D527CD">
      <w:pPr>
        <w:pStyle w:val="ListParagraph"/>
        <w:numPr>
          <w:ilvl w:val="0"/>
          <w:numId w:val="2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color w:val="333333"/>
          <w:shd w:val="clear" w:color="auto" w:fill="FFFFFF"/>
        </w:rPr>
      </w:pPr>
      <w:r w:rsidRPr="00E25A85">
        <w:rPr>
          <w:b/>
        </w:rPr>
        <w:t>Более легкий ремонт:</w:t>
      </w:r>
      <w:r w:rsidRPr="00E25A85">
        <w:t xml:space="preserve"> композитные пломбировочные материалы позволяют выполнять локализованный ремонт, в то время как амальгама требует замены всей пломбы. Опдам и др. обнаружили, что композиты также обычно ремонтируются более успешно, чем амальгама, пояснив, что «ежегодный показатель неэффективности (ЕПН) после 4 лет ремонта амальгамовых пломб составил 9,3 процента, тогда как ЕПН ремонта композитных пломб составил 5,7 процента»</w:t>
      </w:r>
      <w:r w:rsidRPr="00E25A85">
        <w:rPr>
          <w:rStyle w:val="EndnoteReference"/>
        </w:rPr>
        <w:endnoteReference w:id="24"/>
      </w:r>
      <w:r w:rsidRPr="00E25A85">
        <w:t>. Таким образом, государства-члены могут сэкономить средства на ремонте пломб.</w:t>
      </w:r>
      <w:bookmarkStart w:id="3" w:name="_Hlk4689703"/>
      <w:bookmarkEnd w:id="3"/>
    </w:p>
    <w:p w14:paraId="206F393A" w14:textId="77777777" w:rsidR="0001611E" w:rsidRPr="005E702D" w:rsidRDefault="0001611E" w:rsidP="00D527CD">
      <w:pPr>
        <w:pStyle w:val="ListParagraph"/>
        <w:numPr>
          <w:ilvl w:val="0"/>
          <w:numId w:val="2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E25A85">
        <w:rPr>
          <w:b/>
        </w:rPr>
        <w:t>Повышенная доступность:</w:t>
      </w:r>
      <w:r w:rsidRPr="00E25A85">
        <w:t xml:space="preserve"> стеклоиономеры, будучи менее долговечными, чем композитные материалы или амальгама, оказались бесценными в клинических ситуациях, когда они могут быть более доступными (без проблем храниться в более </w:t>
      </w:r>
      <w:r w:rsidRPr="00E25A85">
        <w:lastRenderedPageBreak/>
        <w:t>влажной среде) и менее дорогостоящими, чем амальгама (например, для лечения молочных зубов у детей)</w:t>
      </w:r>
      <w:r w:rsidRPr="00E25A85">
        <w:rPr>
          <w:rStyle w:val="EndnoteReference"/>
        </w:rPr>
        <w:endnoteReference w:id="25"/>
      </w:r>
      <w:r w:rsidRPr="00E25A85">
        <w:t>. Согласно докладу БИОИС для Европейской комиссии, «в Швеции АВТ [атравматическая восстановительная терапия, метод с использованием стеклоиономера] используется в государственных клиниках и считается предпочтительным методом лечения молочных зубов»</w:t>
      </w:r>
      <w:r w:rsidRPr="00E25A85">
        <w:rPr>
          <w:rStyle w:val="EndnoteReference"/>
        </w:rPr>
        <w:endnoteReference w:id="26"/>
      </w:r>
      <w:r w:rsidRPr="00E25A85">
        <w:t>. (Как отмечается в докладе, «что касается маленьких детей, то долговечность восстановления не является актуальной проблемой, поскольку зубы младенцев выпадают задолго до выпадения пломбы»</w:t>
      </w:r>
      <w:r w:rsidRPr="00E25A85">
        <w:rPr>
          <w:rStyle w:val="EndnoteReference"/>
        </w:rPr>
        <w:endnoteReference w:id="27"/>
      </w:r>
      <w:r>
        <w:t>.</w:t>
      </w:r>
      <w:r w:rsidRPr="00E25A85">
        <w:t xml:space="preserve">) Панамериканская организация здравоохранения далее поясняет: «Расходы на применение подхода ПАВТ [процедуры атравматической восстановительной терапии] [с использованием стеклоиономеров] для лечения кариеса зубов, включая повторное лечение, приблизительно вдвое меньше стоимости амальгамы без повторного лечения. </w:t>
      </w:r>
      <w:r w:rsidRPr="00E25A85">
        <w:rPr>
          <w:iCs/>
        </w:rPr>
        <w:t>ПАВТ [с использованием стеклоиономера] в качестве модели передовой практики обеспечивает основу для широкомасштабного внедрения стоматологических услуг и может сократить неравенство в доступе к медицинским услугам»</w:t>
      </w:r>
      <w:r w:rsidRPr="00E25A85">
        <w:rPr>
          <w:rStyle w:val="EndnoteReference"/>
        </w:rPr>
        <w:endnoteReference w:id="28"/>
      </w:r>
      <w:r w:rsidRPr="00E25A85">
        <w:rPr>
          <w:iCs/>
        </w:rPr>
        <w:t>.</w:t>
      </w:r>
      <w:r w:rsidRPr="00E25A85">
        <w:t xml:space="preserve"> Таким образом, государства-члены могут сэкономить значительные средства за счет использования стеклоиономера, когда это целесообразно.</w:t>
      </w:r>
    </w:p>
    <w:p w14:paraId="65F33B30" w14:textId="35469EAF" w:rsidR="0001611E" w:rsidRPr="00D527CD" w:rsidRDefault="0001611E" w:rsidP="00D527CD">
      <w:pPr>
        <w:pStyle w:val="ListParagraph"/>
        <w:numPr>
          <w:ilvl w:val="0"/>
          <w:numId w:val="2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  <w:rPr>
          <w:bCs/>
        </w:rPr>
      </w:pPr>
      <w:r w:rsidRPr="00E25A85">
        <w:rPr>
          <w:b/>
        </w:rPr>
        <w:t>Эффективность установки:</w:t>
      </w:r>
      <w:r w:rsidRPr="00E25A85">
        <w:t xml:space="preserve"> согласно докладу, подготовленному для Европейской комиссии в 2012 году, «было продемонстрировано, что время, необходимое для выполнения восстановления без использования Hg [без ртути], значительно сократилось, поскольку стоматологи приобрели больше опыта в обращении с материалами, не содержащими Hg, и в настоящее время нет никакой разницы во времени (или она незначительна) проведения восстановления без Hg по сравнению с амальгамой»</w:t>
      </w:r>
      <w:r w:rsidRPr="00E25A85">
        <w:rPr>
          <w:rStyle w:val="EndnoteReference"/>
        </w:rPr>
        <w:endnoteReference w:id="29"/>
      </w:r>
      <w:r w:rsidRPr="00E25A85">
        <w:t>. Оптимизированные восстановительные композитные материалы теперь могут дать еще больший выигрыш во времени даже при работе с большими кариозными полостями (эти наполнительные композитные материалы могут быть помещены и отверждены на глубине до 4 мм и обеспечивают прочность и низкий износ для обеспечения высокой долговечности)</w:t>
      </w:r>
      <w:r w:rsidRPr="00E25A85">
        <w:rPr>
          <w:rStyle w:val="EndnoteReference"/>
        </w:rPr>
        <w:endnoteReference w:id="30"/>
      </w:r>
      <w:r w:rsidRPr="00E25A85">
        <w:t>. Таким образом, как только стоматологи пройдут надлежащую подготовку, в среднем не возникнет дополнительных трудовых затрат, связанных с установкой не содержащих ртути пломб.</w:t>
      </w:r>
    </w:p>
    <w:p w14:paraId="3F328777" w14:textId="77777777" w:rsidR="0001611E" w:rsidRPr="005E702D" w:rsidRDefault="0001611E" w:rsidP="00D527CD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120" w:afterAutospacing="0"/>
        <w:ind w:left="1871" w:hanging="624"/>
        <w:rPr>
          <w:sz w:val="20"/>
          <w:szCs w:val="20"/>
          <w:lang w:val="ru-RU"/>
        </w:rPr>
      </w:pPr>
      <w:r w:rsidRPr="00E25A85">
        <w:rPr>
          <w:b/>
          <w:sz w:val="20"/>
          <w:szCs w:val="20"/>
          <w:lang w:val="ru-RU"/>
        </w:rPr>
        <w:t>Долговечность:</w:t>
      </w:r>
      <w:r w:rsidRPr="00E25A85">
        <w:rPr>
          <w:sz w:val="20"/>
          <w:szCs w:val="20"/>
          <w:lang w:val="ru-RU"/>
        </w:rPr>
        <w:t xml:space="preserve"> как поясняется в докладе БИОИС за 2012 год, «с учетом результатов недавних исследований, в которых сравнивается долговечность различных материалов, в настоящем исследовании считается, что долговечность не содержащих ртути пломб уже не является фактором, оказывающим существенное влияние на общую разницу в стоимости амальгамы для пломб и восстановления с применением композитных материалов или стеклоиономеров»</w:t>
      </w:r>
      <w:r w:rsidRPr="00E25A85">
        <w:rPr>
          <w:rStyle w:val="EndnoteReference"/>
          <w:sz w:val="20"/>
          <w:szCs w:val="20"/>
          <w:lang w:val="ru-RU"/>
        </w:rPr>
        <w:endnoteReference w:id="31"/>
      </w:r>
      <w:r w:rsidRPr="00E25A85">
        <w:rPr>
          <w:sz w:val="20"/>
          <w:szCs w:val="20"/>
          <w:lang w:val="ru-RU"/>
        </w:rPr>
        <w:t xml:space="preserve">. Проведенная в 2015 году Научным комитетом Европейской комиссии по новым и вновь выявленным рискам для здоровья (НКНВВРЗ) оценка далее подтвердила, что «восстановительное лечение зубов может быть надлежащим образом обеспечено с помощью амальгамы и альтернативных видов восстановительных материалов. Долговечность восстановления с использованием альтернативных материалов в боковых зубах повысилась в результате постоянного совершенствования этих материалов и ознакомления врача с эффективными методами пломбирования. </w:t>
      </w:r>
      <w:r w:rsidRPr="00E25A85">
        <w:rPr>
          <w:iCs/>
          <w:sz w:val="20"/>
          <w:szCs w:val="20"/>
          <w:lang w:val="ru-RU"/>
        </w:rPr>
        <w:t>...недавние исследования, проведенные в Нидерландах, Швеции и Дании, показали очень хорошую долгосрочную клиническую эффективность восстановления боковых зубов с применением полимерных композитов при аналогичной и повышенной долговечности по сравнению с амальгамой»</w:t>
      </w:r>
      <w:r w:rsidRPr="00E25A85">
        <w:rPr>
          <w:rStyle w:val="EndnoteReference"/>
          <w:sz w:val="20"/>
          <w:szCs w:val="20"/>
          <w:lang w:val="ru-RU"/>
        </w:rPr>
        <w:endnoteReference w:id="32"/>
      </w:r>
      <w:r w:rsidRPr="00E25A85">
        <w:rPr>
          <w:iCs/>
          <w:sz w:val="20"/>
          <w:szCs w:val="20"/>
          <w:lang w:val="ru-RU"/>
        </w:rPr>
        <w:t>.</w:t>
      </w:r>
      <w:r w:rsidRPr="00E25A85">
        <w:rPr>
          <w:sz w:val="20"/>
          <w:szCs w:val="20"/>
          <w:lang w:val="ru-RU"/>
        </w:rPr>
        <w:t xml:space="preserve"> Таким образом, применение не содержащих ртути наполнителей, таких как композитные материалы, не влечет дополнительных расходов, связанных с долговечностью материала.</w:t>
      </w:r>
    </w:p>
    <w:p w14:paraId="1083B0B5" w14:textId="77777777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E25A85">
        <w:t>Поскольку не содержащие ртути пломбы для зубов уже являются эффективными и доступными по цене, все большее число стран уже добил</w:t>
      </w:r>
      <w:r>
        <w:t>о</w:t>
      </w:r>
      <w:r w:rsidRPr="00E25A85">
        <w:t>сь значительного прогресса в поэтапном сокращении – а также в поэтапном отказе от – использования амальгамы для пломб, как показано на диаграмме ниже</w:t>
      </w:r>
      <w:r w:rsidRPr="00E25A85">
        <w:rPr>
          <w:rStyle w:val="EndnoteReference"/>
        </w:rPr>
        <w:endnoteReference w:id="33"/>
      </w:r>
      <w:r w:rsidRPr="00E25A85">
        <w:t>.</w:t>
      </w:r>
    </w:p>
    <w:p w14:paraId="271EC661" w14:textId="77777777" w:rsidR="0001611E" w:rsidRPr="009246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624"/>
        <w:jc w:val="center"/>
        <w:rPr>
          <w:sz w:val="24"/>
          <w:szCs w:val="24"/>
        </w:rPr>
      </w:pPr>
      <w:r w:rsidRPr="0092462D">
        <w:rPr>
          <w:noProof/>
          <w:sz w:val="24"/>
          <w:szCs w:val="24"/>
          <w:lang w:val="fr-FR" w:eastAsia="fr-FR"/>
        </w:rPr>
        <w:lastRenderedPageBreak/>
        <w:drawing>
          <wp:inline distT="0" distB="0" distL="0" distR="0" wp14:anchorId="35FC9B5F" wp14:editId="36E159BD">
            <wp:extent cx="4810125" cy="3786692"/>
            <wp:effectExtent l="19050" t="19050" r="9525" b="23495"/>
            <wp:docPr id="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2AD3AAC" w14:textId="102A6DCF" w:rsidR="0001611E" w:rsidRPr="005E702D" w:rsidRDefault="0001611E" w:rsidP="00D527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D54F52">
        <w:t>Многие другие страны уже с успехом предприняли значительные шаги на пути к стоматологии без ртути, включая прекращение использования амальгамы для детей. По этим причинам Программа Организации Объединенных Наций по окружающей среде и Всемирный альянс совместно организовали 14-15 мая 2018</w:t>
      </w:r>
      <w:r>
        <w:rPr>
          <w:lang w:val="en-GB"/>
        </w:rPr>
        <w:t> </w:t>
      </w:r>
      <w:r w:rsidRPr="00D54F52">
        <w:t>года в Бангкоке семинар-практикум по теме «Содействие мерам по поэтапному сокращению амальгамы для зубных пломб в рамках Минаматской конвенции и других инициатив, особенно в интересах женщин, детей и, через них, будущих поколений». Эксперты из 21 страны поделились своим богатым опытом в деле поэтапного сокращения использования амальгамы, особенно для детей, в различных условиях. В докладе о работе семинара-практикума – публикации Программы Организации Объединенных Наций по окружающей среде – зафиксированы следующие достижения в области поэтапного отказа от стоматологической амальгамы для зубных пломб во всем мире</w:t>
      </w:r>
      <w:r w:rsidRPr="00D54F52">
        <w:rPr>
          <w:rStyle w:val="EndnoteReference"/>
        </w:rPr>
        <w:endnoteReference w:id="34"/>
      </w:r>
      <w:r w:rsidRPr="00D54F52">
        <w:t>:</w:t>
      </w:r>
    </w:p>
    <w:p w14:paraId="2AB0C49C" w14:textId="77777777" w:rsidR="0001611E" w:rsidRPr="005E702D" w:rsidRDefault="0001611E" w:rsidP="00D527CD">
      <w:pPr>
        <w:pStyle w:val="ListParagraph"/>
        <w:numPr>
          <w:ilvl w:val="0"/>
          <w:numId w:val="2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D54F52">
        <w:t>В Южной Азии вооруженные силы Бангладеш и Индии устанавливают своим военнослужащим сухопутных, морских и воздушных вооруженных сил и членам их семей только пломбы, не содержащие ртути.</w:t>
      </w:r>
    </w:p>
    <w:p w14:paraId="5A734C44" w14:textId="77777777" w:rsidR="0001611E" w:rsidRPr="005E702D" w:rsidRDefault="0001611E" w:rsidP="00D527CD">
      <w:pPr>
        <w:pStyle w:val="ListParagraph"/>
        <w:numPr>
          <w:ilvl w:val="0"/>
          <w:numId w:val="2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D54F52">
        <w:t>В Центральной Африке Съезд баптистов Камеруна более десяти лет назад положил конец использованию амальгамы в своей крупной больничной системе и стоматологических клиниках, раскинувшихся по всей стране.</w:t>
      </w:r>
    </w:p>
    <w:p w14:paraId="1441C45E" w14:textId="77777777" w:rsidR="0001611E" w:rsidRPr="005E702D" w:rsidRDefault="0001611E" w:rsidP="00D527CD">
      <w:pPr>
        <w:pStyle w:val="ListParagraph"/>
        <w:numPr>
          <w:ilvl w:val="0"/>
          <w:numId w:val="2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D54F52">
        <w:t>В Западной Африке Федеральный совет по защите прав потребителей Нигерии распространяет брошюру, настоятельно призывающую родителей и потребителей рассмотреть возможность использования не содержащих ртути пломб для себя и своих детей.</w:t>
      </w:r>
    </w:p>
    <w:p w14:paraId="3A1700B2" w14:textId="77777777" w:rsidR="0001611E" w:rsidRPr="005E702D" w:rsidRDefault="0001611E" w:rsidP="00D527CD">
      <w:pPr>
        <w:pStyle w:val="ListParagraph"/>
        <w:numPr>
          <w:ilvl w:val="0"/>
          <w:numId w:val="2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D54F52">
        <w:t>В Южной Америке стоматологический институт Уругвая поэтапно прекратил преподавание применения амальгамы и начал подготовку всех своих студентов к современной стоматологии без ртути.</w:t>
      </w:r>
    </w:p>
    <w:p w14:paraId="1F828F7F" w14:textId="77777777" w:rsidR="0001611E" w:rsidRPr="005E702D" w:rsidRDefault="0001611E" w:rsidP="00D527CD">
      <w:pPr>
        <w:pStyle w:val="ListParagraph"/>
        <w:numPr>
          <w:ilvl w:val="0"/>
          <w:numId w:val="2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D54F52">
        <w:t xml:space="preserve">Как в крупном Европейском союзе, так и в крошечном островном государстве Маврикий было фактически прекращено использование амальгамы для детей. </w:t>
      </w:r>
    </w:p>
    <w:p w14:paraId="6EC7C503" w14:textId="77777777" w:rsidR="0001611E" w:rsidRPr="005E702D" w:rsidRDefault="0001611E" w:rsidP="00D527CD">
      <w:pPr>
        <w:pStyle w:val="ListParagraph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D54F52">
        <w:t>Пора перестать накапливать ртуть в полости рта, особенно когда речь идет о детях!</w:t>
      </w:r>
    </w:p>
    <w:p w14:paraId="00DE080B" w14:textId="46C36801" w:rsidR="0001611E" w:rsidRDefault="0001611E" w:rsidP="00902ED1">
      <w:pPr>
        <w:pStyle w:val="ListParagraph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D54F52">
        <w:t>Мы достигнем этой цели путем переноса амальгамы в подобающее ей место в тексте Минаматской конвенции: в раздел, посвященный поэтапному отказу от продукции: часть I приложения А.</w:t>
      </w:r>
    </w:p>
    <w:sectPr w:rsidR="0001611E" w:rsidSect="00C606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246E" w14:textId="77777777" w:rsidR="0061726A" w:rsidRDefault="0061726A">
      <w:r>
        <w:separator/>
      </w:r>
    </w:p>
  </w:endnote>
  <w:endnote w:type="continuationSeparator" w:id="0">
    <w:p w14:paraId="49F4B55A" w14:textId="77777777" w:rsidR="0061726A" w:rsidRDefault="0061726A">
      <w:r>
        <w:continuationSeparator/>
      </w:r>
    </w:p>
  </w:endnote>
  <w:endnote w:id="1">
    <w:p w14:paraId="7E3C7369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U.S. FDA, Final Rule, Dental Amalgam, http://www.fda.gov/downloads/MedicalDevices/ProductsandMedicalProcedures/DentalProducts/DentalAmalgam/UCM174024.pdf,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p.86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2">
    <w:p w14:paraId="7024757C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pacing w:val="-6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UNEP/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AMAP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, Technical Background Report to the Global Atmospheric Mercury Assessment (2013), </w:t>
      </w:r>
      <w:proofErr w:type="gramStart"/>
      <w:r w:rsidRPr="005E702D">
        <w:rPr>
          <w:rFonts w:ascii="Times New Roman" w:hAnsi="Times New Roman" w:cs="Times New Roman"/>
          <w:sz w:val="18"/>
          <w:szCs w:val="18"/>
          <w:lang w:val="en-GB"/>
        </w:rPr>
        <w:t>https://oaarchive.arctic-council.org/handle/11374/732 ,</w:t>
      </w:r>
      <w:proofErr w:type="gram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p.103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. </w:t>
      </w:r>
    </w:p>
  </w:endnote>
  <w:endnote w:id="3">
    <w:p w14:paraId="41BBF714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UNEP, Lessons from Countries Phasing Down Dental Amalgam Use (2016),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p.6</w:t>
      </w:r>
      <w:proofErr w:type="spellEnd"/>
    </w:p>
  </w:endnote>
  <w:endnote w:id="4">
    <w:p w14:paraId="63029CCB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OSPAR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Commission, Overview assessment of implementation reports on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OSPAR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Recommendation 2003/4 on controlling the dispersal of mercury from crematoria (2011)</w:t>
      </w:r>
    </w:p>
  </w:endnote>
  <w:endnote w:id="5">
    <w:p w14:paraId="7646127A" w14:textId="77777777" w:rsidR="0001611E" w:rsidRPr="0001611E" w:rsidRDefault="0001611E" w:rsidP="00902ED1">
      <w:pPr>
        <w:autoSpaceDE w:val="0"/>
        <w:autoSpaceDN w:val="0"/>
        <w:adjustRightInd w:val="0"/>
        <w:spacing w:before="20" w:after="40"/>
        <w:ind w:left="1247"/>
        <w:rPr>
          <w:sz w:val="18"/>
          <w:szCs w:val="18"/>
          <w:lang w:val="en-GB"/>
        </w:rPr>
      </w:pPr>
      <w:r w:rsidRPr="001362EC">
        <w:rPr>
          <w:rStyle w:val="EndnoteReference"/>
          <w:sz w:val="18"/>
          <w:szCs w:val="18"/>
        </w:rPr>
        <w:endnoteRef/>
      </w:r>
      <w:r w:rsidRPr="005E702D">
        <w:rPr>
          <w:sz w:val="18"/>
          <w:szCs w:val="18"/>
          <w:lang w:val="en-GB"/>
        </w:rPr>
        <w:t xml:space="preserve"> See KA Ritchie et. al., Mercury vapour levels in dental practices and body mercury levels of dentists and controls, British Dental Journal Volume 197 No. 10 November 27 2004, http://www.nature.com/bdj/journal/v197/n10/pdf/4811831a.pdf (“One hundred and twenty two (67.8%) of the 180 surgeries visited had environmental mercury measurements in one or more areas above the Occupational Exposure Standard (</w:t>
      </w:r>
      <w:proofErr w:type="spellStart"/>
      <w:r w:rsidRPr="005E702D">
        <w:rPr>
          <w:sz w:val="18"/>
          <w:szCs w:val="18"/>
          <w:lang w:val="en-GB"/>
        </w:rPr>
        <w:t>OES</w:t>
      </w:r>
      <w:proofErr w:type="spellEnd"/>
      <w:r w:rsidRPr="005E702D">
        <w:rPr>
          <w:sz w:val="18"/>
          <w:szCs w:val="18"/>
          <w:lang w:val="en-GB"/>
        </w:rPr>
        <w:t xml:space="preserve">) set by the Health and Safety Executive.”); see also Mark E. Stone, Mark E. Cohen, Brad A. </w:t>
      </w:r>
      <w:proofErr w:type="spellStart"/>
      <w:r w:rsidRPr="005E702D">
        <w:rPr>
          <w:sz w:val="18"/>
          <w:szCs w:val="18"/>
          <w:lang w:val="en-GB"/>
        </w:rPr>
        <w:t>Debban</w:t>
      </w:r>
      <w:proofErr w:type="spellEnd"/>
      <w:r w:rsidRPr="005E702D">
        <w:rPr>
          <w:sz w:val="18"/>
          <w:szCs w:val="18"/>
          <w:lang w:val="en-GB"/>
        </w:rPr>
        <w:t>, Mercury vapor levels in exhaust air from dental vacuum systems, Dental Materials 23 (2007) 527–532.</w:t>
      </w:r>
    </w:p>
  </w:endnote>
  <w:endnote w:id="6">
    <w:p w14:paraId="793FC063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U.S. Geological Survey, Changing Patterns in the Use, Recycling, and Material Substitution of Mercury in the United States (2013),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p.23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</w:p>
  </w:endnote>
  <w:endnote w:id="7">
    <w:p w14:paraId="1DC48FBA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U.S. Geological Survey, Changing Patterns in the Use, Recycling, and Material Substitution of Mercury in the United States (2013),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p.23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(see Figure 7)</w:t>
      </w:r>
    </w:p>
  </w:endnote>
  <w:endnote w:id="8">
    <w:p w14:paraId="18CA8C7E" w14:textId="77777777" w:rsidR="0001611E" w:rsidRPr="0001611E" w:rsidRDefault="0001611E" w:rsidP="00902ED1">
      <w:pPr>
        <w:autoSpaceDE w:val="0"/>
        <w:autoSpaceDN w:val="0"/>
        <w:adjustRightInd w:val="0"/>
        <w:spacing w:before="20" w:after="40"/>
        <w:ind w:left="1247"/>
        <w:rPr>
          <w:sz w:val="18"/>
          <w:szCs w:val="18"/>
          <w:lang w:val="en-GB"/>
        </w:rPr>
      </w:pPr>
      <w:r w:rsidRPr="001362EC">
        <w:rPr>
          <w:rStyle w:val="EndnoteReference"/>
          <w:sz w:val="18"/>
          <w:szCs w:val="18"/>
        </w:rPr>
        <w:endnoteRef/>
      </w:r>
      <w:r w:rsidRPr="005E702D">
        <w:rPr>
          <w:sz w:val="18"/>
          <w:szCs w:val="18"/>
          <w:lang w:val="en-GB"/>
        </w:rPr>
        <w:t xml:space="preserve"> </w:t>
      </w:r>
      <w:proofErr w:type="spellStart"/>
      <w:r w:rsidRPr="005E702D">
        <w:rPr>
          <w:sz w:val="18"/>
          <w:szCs w:val="18"/>
          <w:lang w:val="en-GB"/>
        </w:rPr>
        <w:t>Skare</w:t>
      </w:r>
      <w:proofErr w:type="spellEnd"/>
      <w:r w:rsidRPr="005E702D">
        <w:rPr>
          <w:sz w:val="18"/>
          <w:szCs w:val="18"/>
          <w:lang w:val="en-GB"/>
        </w:rPr>
        <w:t>, I. &amp;</w:t>
      </w:r>
      <w:proofErr w:type="spellStart"/>
      <w:r w:rsidRPr="005E702D">
        <w:rPr>
          <w:sz w:val="18"/>
          <w:szCs w:val="18"/>
          <w:lang w:val="en-GB"/>
        </w:rPr>
        <w:t>Engqvist</w:t>
      </w:r>
      <w:proofErr w:type="spellEnd"/>
      <w:r w:rsidRPr="005E702D">
        <w:rPr>
          <w:sz w:val="18"/>
          <w:szCs w:val="18"/>
          <w:lang w:val="en-GB"/>
        </w:rPr>
        <w:t xml:space="preserve">, A. 1994. Human exposure to mercury and silver released from dental amalgam restorations. Arch. Environ. Health 49 (5): 384-394 </w:t>
      </w:r>
    </w:p>
  </w:endnote>
  <w:endnote w:id="9">
    <w:p w14:paraId="2D7C80E9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U.S. Geological Survey, Changing Patterns in the Use, Recycling, and Material Substitution of Mercury in the United 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States(2013),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p.23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(see Figure 7)</w:t>
      </w:r>
    </w:p>
  </w:endnote>
  <w:endnote w:id="10">
    <w:p w14:paraId="1C6A3AE5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Ibid.</w:t>
      </w:r>
    </w:p>
  </w:endnote>
  <w:endnote w:id="11">
    <w:p w14:paraId="32622B46" w14:textId="77777777" w:rsidR="0001611E" w:rsidRPr="0001611E" w:rsidRDefault="0001611E" w:rsidP="00902ED1">
      <w:pPr>
        <w:autoSpaceDE w:val="0"/>
        <w:autoSpaceDN w:val="0"/>
        <w:adjustRightInd w:val="0"/>
        <w:spacing w:before="20" w:after="40"/>
        <w:ind w:left="1247"/>
        <w:rPr>
          <w:sz w:val="18"/>
          <w:szCs w:val="18"/>
          <w:lang w:val="en-GB"/>
        </w:rPr>
      </w:pPr>
      <w:r w:rsidRPr="001362EC">
        <w:rPr>
          <w:rStyle w:val="EndnoteReference"/>
          <w:sz w:val="18"/>
          <w:szCs w:val="18"/>
        </w:rPr>
        <w:endnoteRef/>
      </w:r>
      <w:r w:rsidRPr="005E702D">
        <w:rPr>
          <w:sz w:val="18"/>
          <w:szCs w:val="18"/>
          <w:lang w:val="en-GB"/>
        </w:rPr>
        <w:t xml:space="preserve"> A Cain, S </w:t>
      </w:r>
      <w:proofErr w:type="spellStart"/>
      <w:r w:rsidRPr="005E702D">
        <w:rPr>
          <w:sz w:val="18"/>
          <w:szCs w:val="18"/>
          <w:lang w:val="en-GB"/>
        </w:rPr>
        <w:t>Disch</w:t>
      </w:r>
      <w:proofErr w:type="spellEnd"/>
      <w:r w:rsidRPr="005E702D">
        <w:rPr>
          <w:sz w:val="18"/>
          <w:szCs w:val="18"/>
          <w:lang w:val="en-GB"/>
        </w:rPr>
        <w:t xml:space="preserve">, C </w:t>
      </w:r>
      <w:proofErr w:type="spellStart"/>
      <w:r w:rsidRPr="005E702D">
        <w:rPr>
          <w:sz w:val="18"/>
          <w:szCs w:val="18"/>
          <w:lang w:val="en-GB"/>
        </w:rPr>
        <w:t>Twaroski</w:t>
      </w:r>
      <w:proofErr w:type="spellEnd"/>
      <w:r w:rsidRPr="005E702D">
        <w:rPr>
          <w:sz w:val="18"/>
          <w:szCs w:val="18"/>
          <w:lang w:val="en-GB"/>
        </w:rPr>
        <w:t xml:space="preserve">, J </w:t>
      </w:r>
      <w:proofErr w:type="spellStart"/>
      <w:r w:rsidRPr="005E702D">
        <w:rPr>
          <w:sz w:val="18"/>
          <w:szCs w:val="18"/>
          <w:lang w:val="en-GB"/>
        </w:rPr>
        <w:t>Reindl</w:t>
      </w:r>
      <w:proofErr w:type="spellEnd"/>
      <w:r w:rsidRPr="005E702D">
        <w:rPr>
          <w:sz w:val="18"/>
          <w:szCs w:val="18"/>
          <w:lang w:val="en-GB"/>
        </w:rPr>
        <w:t xml:space="preserve"> and CR Case, Substance Flow Analysis of Mercury</w:t>
      </w:r>
    </w:p>
    <w:p w14:paraId="7B22EC3A" w14:textId="77777777" w:rsidR="0001611E" w:rsidRPr="0001611E" w:rsidRDefault="0001611E" w:rsidP="00902ED1">
      <w:pPr>
        <w:autoSpaceDE w:val="0"/>
        <w:autoSpaceDN w:val="0"/>
        <w:adjustRightInd w:val="0"/>
        <w:spacing w:before="20" w:after="40"/>
        <w:ind w:left="1247"/>
        <w:rPr>
          <w:sz w:val="18"/>
          <w:szCs w:val="18"/>
          <w:lang w:val="en-GB"/>
        </w:rPr>
      </w:pPr>
      <w:r w:rsidRPr="005E702D">
        <w:rPr>
          <w:sz w:val="18"/>
          <w:szCs w:val="18"/>
          <w:lang w:val="en-GB"/>
        </w:rPr>
        <w:t>Intentionally Used in Products in the United States, Journal of Industrial Ecology, Volume 11, Number 3, copyright Massachusetts Institute of Technology and Yale University.</w:t>
      </w:r>
    </w:p>
  </w:endnote>
  <w:endnote w:id="12">
    <w:p w14:paraId="05CD5812" w14:textId="7367E3F8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for the European Commission-DG ENV,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p.108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13">
    <w:p w14:paraId="31B86CB4" w14:textId="17011D09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</w:t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mercury pollution from dental amalgam and batteries, Final report prepared for the European Commission-DG ENV,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p.108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14">
    <w:p w14:paraId="0B2EF7C8" w14:textId="0DE6A8F0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for the European Commission-DG ENV,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p.89</w:t>
      </w:r>
      <w:proofErr w:type="spellEnd"/>
    </w:p>
  </w:endnote>
  <w:endnote w:id="15">
    <w:p w14:paraId="23E46496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Jack L Ferracane, Resin composite--state of the art, Dental Materials,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Vol.27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, issue 1,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p.29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>-38 (Jan. 2011).</w:t>
      </w:r>
    </w:p>
  </w:endnote>
  <w:endnote w:id="16">
    <w:p w14:paraId="0BF3996D" w14:textId="77777777" w:rsidR="0001611E" w:rsidRPr="00E96A6A" w:rsidRDefault="0001611E" w:rsidP="00902ED1">
      <w:pPr>
        <w:spacing w:before="20" w:after="40"/>
        <w:ind w:left="1247"/>
        <w:rPr>
          <w:sz w:val="18"/>
          <w:szCs w:val="18"/>
          <w:lang w:val="en-GB"/>
        </w:rPr>
      </w:pPr>
      <w:r w:rsidRPr="00E96A6A">
        <w:rPr>
          <w:rStyle w:val="EndnoteReference"/>
          <w:sz w:val="18"/>
          <w:szCs w:val="18"/>
        </w:rPr>
        <w:endnoteRef/>
      </w:r>
      <w:r w:rsidRPr="00E96A6A">
        <w:rPr>
          <w:sz w:val="18"/>
          <w:szCs w:val="18"/>
          <w:lang w:val="en-GB"/>
        </w:rPr>
        <w:t xml:space="preserve"> Health Care Research Collaborative of the University of Illinois at Chicago School of Public Health, the Healthier Hospitals Initiative, and Health Care Without Harm, Mercury in Dental Amalgam and Resin-Based Alternatives: A Comparative Health Risk Evaluation (June 2012), </w:t>
      </w:r>
      <w:proofErr w:type="spellStart"/>
      <w:r w:rsidRPr="00E96A6A">
        <w:rPr>
          <w:sz w:val="18"/>
          <w:szCs w:val="18"/>
          <w:lang w:val="en-GB"/>
        </w:rPr>
        <w:t>p.6</w:t>
      </w:r>
      <w:proofErr w:type="spellEnd"/>
      <w:r w:rsidRPr="00E96A6A">
        <w:rPr>
          <w:sz w:val="18"/>
          <w:szCs w:val="18"/>
          <w:lang w:val="en-GB"/>
        </w:rPr>
        <w:t xml:space="preserve">. </w:t>
      </w:r>
    </w:p>
  </w:endnote>
  <w:endnote w:id="17">
    <w:p w14:paraId="1B51904A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Lars D.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Hylander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&amp; Michael E.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Goodsite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>, Environmental Costs of Mercury Pollution, Science of the Total Environment 368 (2006) 352-370, http://www.aikencolon.com/assets/images/pdfs/Nikro/MercuryVacuum/STOTENbestpaper.pdf</w:t>
      </w:r>
    </w:p>
  </w:endnote>
  <w:endnote w:id="18">
    <w:p w14:paraId="2319285F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DHSA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(2003) – A National Clinical Guideline for the Use of Dental Filling Materials, Department for Municipal Health and Social Services, Directorate for Health and Social Affairs,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Universitesgata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2,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Oslo,Norway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>, ISBN 82-8081-031, December 2003,</w:t>
      </w:r>
    </w:p>
  </w:endnote>
  <w:endnote w:id="19">
    <w:p w14:paraId="172E94EA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World Health Organization, Future Use of Materials for Dental Restoration (2011),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p.16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20">
    <w:p w14:paraId="711384A9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Lynch et. al., Managing the phase-down of amalgam: part I. Educational and training issues, Br Dent J. (Aug. 2013). </w:t>
      </w:r>
    </w:p>
  </w:endnote>
  <w:endnote w:id="21">
    <w:p w14:paraId="14D53551" w14:textId="77777777" w:rsidR="0001611E" w:rsidRPr="00E96A6A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European Commission Scientific Committee on Emerging and Newly Identified Health Risks (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SCENIHR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), Final opinion on the safety of dental amalgam and alternative dental restoration materials for patients and users (29 April 2015), http://ec.europa.eu/health/scientific_committees/emerging/docs/scenihr_o_046.pdf,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p.69</w:t>
      </w:r>
      <w:proofErr w:type="spellEnd"/>
    </w:p>
  </w:endnote>
  <w:endnote w:id="22">
    <w:p w14:paraId="526B29E2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E96A6A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Mandari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GJ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Mandari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GJ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Frencken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JE,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Frencken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JE, </w:t>
      </w:r>
      <w:proofErr w:type="spellStart"/>
      <w:r w:rsidRPr="00E96A6A">
        <w:rPr>
          <w:rFonts w:ascii="Times New Roman" w:hAnsi="Times New Roman" w:cs="Times New Roman"/>
          <w:sz w:val="18"/>
          <w:szCs w:val="18"/>
          <w:lang w:val="en-GB"/>
        </w:rPr>
        <w:t>van’t</w:t>
      </w:r>
      <w:proofErr w:type="spellEnd"/>
      <w:r w:rsidRPr="00E96A6A">
        <w:rPr>
          <w:rFonts w:ascii="Times New Roman" w:hAnsi="Times New Roman" w:cs="Times New Roman"/>
          <w:sz w:val="18"/>
          <w:szCs w:val="18"/>
          <w:lang w:val="en-GB"/>
        </w:rPr>
        <w:t xml:space="preserve"> Hof MA, Six-Year Suc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cess Rates of Occlusal Amalgam and Glass-Ionomer Restorations Placed Using Three Minimal Intervention Approaches. Caries Res 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>2003;37:246-253.</w:t>
      </w:r>
    </w:p>
  </w:endnote>
  <w:endnote w:id="23">
    <w:p w14:paraId="7432AB8C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Lynch et. al., Managing the phase-down of amalgam: part I. Educational and training issues, Br Dent J. (Aug. 2013). </w:t>
      </w:r>
    </w:p>
  </w:endnote>
  <w:endnote w:id="24">
    <w:p w14:paraId="56EC2201" w14:textId="64EBAC11" w:rsidR="0001611E" w:rsidRPr="0001611E" w:rsidRDefault="0001611E" w:rsidP="00902ED1">
      <w:pPr>
        <w:spacing w:before="20" w:after="40"/>
        <w:ind w:left="1247"/>
        <w:rPr>
          <w:sz w:val="18"/>
          <w:szCs w:val="18"/>
          <w:lang w:val="en-GB"/>
        </w:rPr>
      </w:pPr>
      <w:r w:rsidRPr="001362EC">
        <w:rPr>
          <w:rStyle w:val="EndnoteReference"/>
          <w:sz w:val="18"/>
          <w:szCs w:val="18"/>
        </w:rPr>
        <w:endnoteRef/>
      </w:r>
      <w:r w:rsidRPr="005E702D">
        <w:rPr>
          <w:sz w:val="18"/>
          <w:szCs w:val="18"/>
          <w:lang w:val="en-GB"/>
        </w:rPr>
        <w:t xml:space="preserve"> Opdam NJ, </w:t>
      </w:r>
      <w:proofErr w:type="spellStart"/>
      <w:r w:rsidRPr="005E702D">
        <w:rPr>
          <w:sz w:val="18"/>
          <w:szCs w:val="18"/>
          <w:lang w:val="en-GB"/>
        </w:rPr>
        <w:t>Bronkhorst</w:t>
      </w:r>
      <w:proofErr w:type="spellEnd"/>
      <w:r w:rsidRPr="005E702D">
        <w:rPr>
          <w:sz w:val="18"/>
          <w:szCs w:val="18"/>
          <w:lang w:val="en-GB"/>
        </w:rPr>
        <w:t xml:space="preserve"> EM, </w:t>
      </w:r>
      <w:proofErr w:type="spellStart"/>
      <w:r w:rsidRPr="005E702D">
        <w:rPr>
          <w:sz w:val="18"/>
          <w:szCs w:val="18"/>
          <w:lang w:val="en-GB"/>
        </w:rPr>
        <w:t>Loomans</w:t>
      </w:r>
      <w:proofErr w:type="spellEnd"/>
      <w:r w:rsidRPr="005E702D">
        <w:rPr>
          <w:sz w:val="18"/>
          <w:szCs w:val="18"/>
          <w:lang w:val="en-GB"/>
        </w:rPr>
        <w:t xml:space="preserve"> BA, Huysmans MC, Longevity of repaired restorations: A practice based study, Journal of Dentistry 40 (2012) 829–835 states, “The annual failure rate (</w:t>
      </w:r>
      <w:proofErr w:type="spellStart"/>
      <w:r w:rsidRPr="005E702D">
        <w:rPr>
          <w:sz w:val="18"/>
          <w:szCs w:val="18"/>
          <w:lang w:val="en-GB"/>
        </w:rPr>
        <w:t>AFR</w:t>
      </w:r>
      <w:proofErr w:type="spellEnd"/>
      <w:r w:rsidRPr="005E702D">
        <w:rPr>
          <w:sz w:val="18"/>
          <w:szCs w:val="18"/>
          <w:lang w:val="en-GB"/>
        </w:rPr>
        <w:t xml:space="preserve">) after 4 years for repairs of amalgam restorations was 9.3%, while the </w:t>
      </w:r>
      <w:proofErr w:type="spellStart"/>
      <w:r w:rsidRPr="005E702D">
        <w:rPr>
          <w:sz w:val="18"/>
          <w:szCs w:val="18"/>
          <w:lang w:val="en-GB"/>
        </w:rPr>
        <w:t>AFR</w:t>
      </w:r>
      <w:proofErr w:type="spellEnd"/>
      <w:r w:rsidRPr="005E702D">
        <w:rPr>
          <w:sz w:val="18"/>
          <w:szCs w:val="18"/>
          <w:lang w:val="en-GB"/>
        </w:rPr>
        <w:t xml:space="preserve"> of repaired composite restorations was 5.7%. The log-rank test revealed a significantly superior performance of repairs of composite restorations </w:t>
      </w:r>
      <w:r w:rsidRPr="005E702D">
        <w:rPr>
          <w:sz w:val="18"/>
          <w:szCs w:val="18"/>
          <w:lang w:val="en-GB"/>
        </w:rPr>
        <w:t xml:space="preserve">( p = 0.001)... </w:t>
      </w:r>
      <w:r w:rsidRPr="005E702D">
        <w:rPr>
          <w:iCs/>
          <w:sz w:val="18"/>
          <w:szCs w:val="18"/>
          <w:lang w:val="en-GB"/>
        </w:rPr>
        <w:t>The results of the study as shown in Fig. 4 and the log-rank test indicating high significance suggest that a composite restoration can be repaired more successfully than an amalgam restoration.”</w:t>
      </w:r>
      <w:r w:rsidRPr="005E702D">
        <w:rPr>
          <w:sz w:val="18"/>
          <w:szCs w:val="18"/>
          <w:lang w:val="en-GB"/>
        </w:rPr>
        <w:t xml:space="preserve"> The reason was that “In the present study it was found that repaired restorations in case of tooth fracture, which is a common failure type among large amalgam restorations, have a worse prognosis then repaired restorations due to recurrent caries, which is more common among the composite resin restorations investigated. [As explained,] a repaired restoration in case of e.g. a cusp fracture (Fig. 2) will be subjected to the same forces that caused the same cusp fracture, leading to a second fracture soon. On the other hand, a secondary caries lesion in a large composite resin restoration that is repaired with a local box-type restoration (Fig. 3) is likely to survive longer due to the fact that a new secondary caries lesion needs at least three years to develop to a size making a new operative intervention necessary. Moreover, preventive measures taken may cause the demise of caries activity in the patient preventing new secondary caries lesions to develop.” See https://www.researchgate.net/profile /Niek_Opdam/publication/228441700_Longevity_of_repaired_restorations_A_practice_based_study/links/0c96052766a325245a000000.pdf</w:t>
      </w:r>
    </w:p>
  </w:endnote>
  <w:endnote w:id="25">
    <w:p w14:paraId="3BE15BDA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Pan American Health Organization, Oral Health of Low Income Children: Procedures for Atraumatic Restorative Treatment (PRAT) (2006),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p.xi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. </w:t>
      </w:r>
    </w:p>
  </w:endnote>
  <w:endnote w:id="26">
    <w:p w14:paraId="4F8D8BB7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for the European Commission-DG ENV,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p.56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27">
    <w:p w14:paraId="0435DD4D" w14:textId="4C6CEFF9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for the European Commission-DG ENV, http://ec.europa.eu/environment/chemicals/mercury/pdf/Final_report_11.07.12.pdf,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p.69</w:t>
      </w:r>
      <w:proofErr w:type="spellEnd"/>
    </w:p>
  </w:endnote>
  <w:endnote w:id="28">
    <w:p w14:paraId="21778314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Pan American Health Organization, Oral Health of Low Income Children: Procedures for Atraumatic Restorative Treatment (PRAT) (2006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),http://new.paho.org/hq/dmdocuments/2009/OH_top_PT_low06.pdf,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p.xi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29">
    <w:p w14:paraId="00EC6146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BIO Intelligence Service (2012), Study on the potential for reducing mercury pollution from dental amalgam and batteries, Final report prepared for the European Commission-DG ENV,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p.67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.</w:t>
      </w:r>
    </w:p>
  </w:endnote>
  <w:endnote w:id="30">
    <w:p w14:paraId="075C6717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Bulk fill restoratives are 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visible-light activated, restorative composites optimized to create fast and easy restorations and provide excellent strength and low wear for durability. The material can be placed and cured up to 4 mm deep, enabled by a stress-relieving resin system and optimized optical properties. “Dentists get composite restorative materials with strong physical properties which guarantee a permanent yet economical solution. It can be cured within 10 seconds.” See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VOCO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, Three alternatives to amalgam fillings (2018) at https://www.voco.dental/en/service/press/press-area/three-alternatives-to-amalgam-fillings.aspx</w:t>
      </w:r>
    </w:p>
  </w:endnote>
  <w:endnote w:id="31">
    <w:p w14:paraId="7EEB9AB8" w14:textId="2C998904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</w:t>
      </w:r>
      <w:bookmarkStart w:id="4" w:name="_GoBack"/>
      <w:bookmarkEnd w:id="4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for the European Commission-DG ENV, http://ec.europa.eu/environment/chemicals/mercury/pdf/Final_report_11.07.12.pdf,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p.69</w:t>
      </w:r>
      <w:proofErr w:type="spellEnd"/>
    </w:p>
  </w:endnote>
  <w:endnote w:id="32">
    <w:p w14:paraId="2F9B877C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European Commission Scientific Committee on Emerging and Newly Identified Health Risks (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SCENIHR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), Final opinion on the safety of dental amalgam and alternative dental restoration materials for patients and users (29 April 2015), http://ec.europa.eu/health/scientific_committees/emerging/docs/scenihr_o_046.pdf,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p.8,10,77</w:t>
      </w:r>
      <w:proofErr w:type="spellEnd"/>
    </w:p>
  </w:endnote>
  <w:endnote w:id="33">
    <w:p w14:paraId="7CA95ADD" w14:textId="77777777" w:rsidR="0001611E" w:rsidRPr="001362EC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BIO Intelligence Service (2012), Study on the potential for reducing mercury pollution from dental amalgam and batteries, Final report prepared for the European Commission-DG ENV,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p.190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; Bio Intelligence Service/European Commission, Review of the Community Strategy Concerning Mercury (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p.213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>-14), 4 October 2010; Federal Office for the Environment (Switzerland), Letter (8</w:t>
      </w:r>
      <w:r>
        <w:rPr>
          <w:rFonts w:ascii="Times New Roman" w:hAnsi="Times New Roman" w:cs="Times New Roman"/>
          <w:sz w:val="18"/>
          <w:szCs w:val="18"/>
          <w:lang w:val="en-GB"/>
        </w:rPr>
        <w:t> </w:t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August 2011); World Health Organization, Future Use of Materials for Dental Restoration (2011),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pp.21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, 23; UNEP, Lessons from Countries Phasing Down Dental Amalgam Use (2016), </w:t>
      </w:r>
      <w:proofErr w:type="spellStart"/>
      <w:r w:rsidRPr="005E702D">
        <w:rPr>
          <w:rFonts w:ascii="Times New Roman" w:hAnsi="Times New Roman" w:cs="Times New Roman"/>
          <w:sz w:val="18"/>
          <w:szCs w:val="18"/>
          <w:lang w:val="en-GB"/>
        </w:rPr>
        <w:t>p.13</w:t>
      </w:r>
      <w:proofErr w:type="spellEnd"/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. </w:t>
      </w:r>
    </w:p>
  </w:endnote>
  <w:endnote w:id="34">
    <w:p w14:paraId="080FC0AE" w14:textId="2D466C92" w:rsidR="0001611E" w:rsidRDefault="0001611E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  <w:lang w:val="en-GB"/>
        </w:rPr>
      </w:pPr>
      <w:r w:rsidRPr="001362EC">
        <w:rPr>
          <w:rStyle w:val="EndnoteReference"/>
          <w:rFonts w:ascii="Times New Roman" w:hAnsi="Times New Roman" w:cs="Times New Roman"/>
          <w:sz w:val="18"/>
          <w:szCs w:val="18"/>
          <w:lang w:val="ru-RU"/>
        </w:rPr>
        <w:endnoteRef/>
      </w:r>
      <w:r w:rsidRPr="005E702D">
        <w:rPr>
          <w:rFonts w:ascii="Times New Roman" w:hAnsi="Times New Roman" w:cs="Times New Roman"/>
          <w:sz w:val="18"/>
          <w:szCs w:val="18"/>
          <w:lang w:val="en-GB"/>
        </w:rPr>
        <w:t xml:space="preserve"> UN Environment &amp; World Alliance, Workshop report, https://mercuryfreedentistry.files.wordpress.com/2018/06/workshop-report.pdf </w:t>
      </w:r>
    </w:p>
    <w:tbl>
      <w:tblPr>
        <w:tblStyle w:val="TableGrid"/>
        <w:tblW w:w="0" w:type="auto"/>
        <w:tblInd w:w="1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9"/>
        <w:gridCol w:w="1650"/>
        <w:gridCol w:w="1650"/>
        <w:gridCol w:w="1650"/>
        <w:gridCol w:w="1650"/>
      </w:tblGrid>
      <w:tr w:rsidR="00902ED1" w:rsidRPr="006A3B19" w14:paraId="2DE57522" w14:textId="77777777" w:rsidTr="00902ED1">
        <w:tc>
          <w:tcPr>
            <w:tcW w:w="1897" w:type="dxa"/>
          </w:tcPr>
          <w:p w14:paraId="14A79F0C" w14:textId="77777777" w:rsidR="00902ED1" w:rsidRDefault="00902ED1" w:rsidP="00902ED1">
            <w:pPr>
              <w:pStyle w:val="EndnoteText"/>
              <w:spacing w:before="2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</w:tcPr>
          <w:p w14:paraId="7D8D5E2E" w14:textId="77777777" w:rsidR="00902ED1" w:rsidRDefault="00902ED1" w:rsidP="00902ED1">
            <w:pPr>
              <w:pStyle w:val="EndnoteText"/>
              <w:spacing w:before="2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3630E36" w14:textId="77777777" w:rsidR="00902ED1" w:rsidRDefault="00902ED1" w:rsidP="00902ED1">
            <w:pPr>
              <w:pStyle w:val="EndnoteText"/>
              <w:spacing w:before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</w:tcPr>
          <w:p w14:paraId="7A24FF10" w14:textId="77777777" w:rsidR="00902ED1" w:rsidRDefault="00902ED1" w:rsidP="00902ED1">
            <w:pPr>
              <w:pStyle w:val="EndnoteText"/>
              <w:spacing w:before="2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8" w:type="dxa"/>
          </w:tcPr>
          <w:p w14:paraId="7859F3A8" w14:textId="77777777" w:rsidR="00902ED1" w:rsidRDefault="00902ED1" w:rsidP="00902ED1">
            <w:pPr>
              <w:pStyle w:val="EndnoteText"/>
              <w:spacing w:before="2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6C466D" w14:textId="77777777" w:rsidR="00902ED1" w:rsidRPr="001362EC" w:rsidRDefault="00902ED1" w:rsidP="00902ED1">
      <w:pPr>
        <w:pStyle w:val="EndnoteText"/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53C80358" w:rsidR="00C870D8" w:rsidRPr="00620245" w:rsidRDefault="00CD11DF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</w:t>
    </w:r>
    <w:r w:rsidR="003C3795">
      <w:rPr>
        <w:sz w:val="20"/>
        <w:lang w:val="en-GB"/>
      </w:rPr>
      <w:t>9</w:t>
    </w:r>
    <w:r>
      <w:rPr>
        <w:sz w:val="20"/>
        <w:lang w:val="en-GB"/>
      </w:rPr>
      <w:t>0</w:t>
    </w:r>
    <w:r w:rsidR="00E741D3">
      <w:rPr>
        <w:sz w:val="20"/>
        <w:lang w:val="en-GB"/>
      </w:rPr>
      <w:t>3101</w:t>
    </w:r>
    <w:proofErr w:type="spellEnd"/>
    <w:r w:rsidR="00FA3168">
      <w:rPr>
        <w:sz w:val="20"/>
        <w:lang w:val="en-US"/>
      </w:rPr>
      <w:t xml:space="preserve">     </w:t>
    </w:r>
    <w:r w:rsidR="006A3B19">
      <w:rPr>
        <w:sz w:val="20"/>
        <w:lang w:val="en-US"/>
      </w:rPr>
      <w:t>09</w:t>
    </w:r>
    <w:r w:rsidR="00620245">
      <w:rPr>
        <w:sz w:val="20"/>
        <w:lang w:val="en-US"/>
      </w:rPr>
      <w:t>0</w:t>
    </w:r>
    <w:r w:rsidR="00E741D3">
      <w:rPr>
        <w:sz w:val="20"/>
        <w:lang w:val="en-US"/>
      </w:rPr>
      <w:t>9</w:t>
    </w:r>
    <w:r w:rsidR="00C870D8" w:rsidRPr="00C4766A">
      <w:rPr>
        <w:sz w:val="20"/>
      </w:rPr>
      <w:t>1</w:t>
    </w:r>
    <w:r w:rsidR="003C3795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F7705" w14:textId="77777777" w:rsidR="0061726A" w:rsidRDefault="0061726A" w:rsidP="00851756">
      <w:pPr>
        <w:spacing w:before="60"/>
        <w:ind w:left="624"/>
      </w:pPr>
      <w:r>
        <w:separator/>
      </w:r>
    </w:p>
  </w:footnote>
  <w:footnote w:type="continuationSeparator" w:id="0">
    <w:p w14:paraId="5926AA89" w14:textId="77777777" w:rsidR="0061726A" w:rsidRDefault="0061726A">
      <w:r>
        <w:continuationSeparator/>
      </w:r>
    </w:p>
  </w:footnote>
  <w:footnote w:id="1">
    <w:p w14:paraId="6E78A238" w14:textId="072E526C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</w:t>
      </w:r>
      <w:r w:rsidR="003C3795">
        <w:rPr>
          <w:szCs w:val="18"/>
          <w:lang w:val="en-GB"/>
        </w:rPr>
        <w:t>3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6FFCFE8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</w:t>
    </w:r>
    <w:r w:rsidR="00E741D3">
      <w:rPr>
        <w:lang w:val="en-US"/>
      </w:rPr>
      <w:t>2</w:t>
    </w:r>
    <w:r w:rsidR="003C3795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7ED7D829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</w:t>
    </w:r>
    <w:r w:rsidR="00E741D3">
      <w:rPr>
        <w:lang w:val="en-US"/>
      </w:rPr>
      <w:t>2</w:t>
    </w:r>
    <w:r w:rsidR="003C3795">
      <w:rPr>
        <w:lang w:val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9C677EF"/>
    <w:multiLevelType w:val="hybridMultilevel"/>
    <w:tmpl w:val="F7A4E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5BE10B4"/>
    <w:multiLevelType w:val="hybridMultilevel"/>
    <w:tmpl w:val="C6506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666F86"/>
    <w:multiLevelType w:val="hybridMultilevel"/>
    <w:tmpl w:val="889A1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6C2215BD"/>
    <w:multiLevelType w:val="hybridMultilevel"/>
    <w:tmpl w:val="8894F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2A2D68"/>
    <w:multiLevelType w:val="hybridMultilevel"/>
    <w:tmpl w:val="5FD01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7E6660A1"/>
    <w:multiLevelType w:val="hybridMultilevel"/>
    <w:tmpl w:val="15385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4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12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1">
    <w:abstractNumId w:val="6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>
    <w:abstractNumId w:val="14"/>
    <w:lvlOverride w:ilvl="0">
      <w:lvl w:ilvl="0" w:tplc="04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3">
    <w:abstractNumId w:val="11"/>
    <w:lvlOverride w:ilvl="0">
      <w:lvl w:ilvl="0" w:tplc="04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4">
    <w:abstractNumId w:val="1"/>
    <w:lvlOverride w:ilvl="0">
      <w:lvl w:ilvl="0" w:tplc="04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>
    <w:abstractNumId w:val="3"/>
    <w:lvlOverride w:ilvl="0">
      <w:lvl w:ilvl="0" w:tplc="04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216"/>
    <w:rsid w:val="000149E6"/>
    <w:rsid w:val="0001611E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A02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3795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0E18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1726A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70117"/>
    <w:rsid w:val="00684351"/>
    <w:rsid w:val="00684BE1"/>
    <w:rsid w:val="00692E2A"/>
    <w:rsid w:val="006A3B19"/>
    <w:rsid w:val="006A76F2"/>
    <w:rsid w:val="006A7DE0"/>
    <w:rsid w:val="006B6333"/>
    <w:rsid w:val="006C310F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2ED1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4FD5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27CD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06B3"/>
    <w:rsid w:val="00E21C83"/>
    <w:rsid w:val="00E24ADA"/>
    <w:rsid w:val="00E32F59"/>
    <w:rsid w:val="00E41908"/>
    <w:rsid w:val="00E46D9A"/>
    <w:rsid w:val="00E565FF"/>
    <w:rsid w:val="00E65388"/>
    <w:rsid w:val="00E71382"/>
    <w:rsid w:val="00E741D3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6A6A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4A02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D78D1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uiPriority w:val="5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paragraph" w:styleId="NormalWeb">
    <w:name w:val="Normal (Web)"/>
    <w:basedOn w:val="Normal"/>
    <w:uiPriority w:val="99"/>
    <w:unhideWhenUsed/>
    <w:rsid w:val="0001611E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01611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1611E"/>
    <w:rPr>
      <w:rFonts w:asciiTheme="minorHAnsi" w:eastAsiaTheme="minorHAnsi" w:hAnsiTheme="minorHAnsi" w:cstheme="minorBidi"/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01611E"/>
    <w:rPr>
      <w:vertAlign w:val="superscript"/>
    </w:rPr>
  </w:style>
  <w:style w:type="character" w:customStyle="1" w:styleId="A4">
    <w:name w:val="A4"/>
    <w:uiPriority w:val="99"/>
    <w:rsid w:val="0001611E"/>
    <w:rPr>
      <w:color w:val="000000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mercuryfreedentistry.files.wordpress.com/2018/06/workshop-report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948188563043799E-2"/>
          <c:y val="4.3650793650793697E-2"/>
          <c:w val="0.94308851551036399"/>
          <c:h val="0.6057764654418199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Amalgam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01B-446A-8557-24BD7928B78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1B-446A-8557-24BD7928B78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01B-446A-8557-24BD7928B78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01B-446A-8557-24BD7928B78F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01B-446A-8557-24BD7928B78F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01B-446A-8557-24BD7928B78F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01B-446A-8557-24BD7928B78F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01B-446A-8557-24BD7928B78F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01B-446A-8557-24BD7928B78F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01B-446A-8557-24BD7928B78F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20%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01B-446A-8557-24BD7928B78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'Sheet1'!$A$2:$A$9</c:f>
              <c:strCache>
                <c:ptCount val="8"/>
                <c:pt idx="0">
                  <c:v>Denmark</c:v>
                </c:pt>
                <c:pt idx="1">
                  <c:v>Finland</c:v>
                </c:pt>
                <c:pt idx="2">
                  <c:v>Germany</c:v>
                </c:pt>
                <c:pt idx="3">
                  <c:v>Japan</c:v>
                </c:pt>
                <c:pt idx="4">
                  <c:v>Netherlands</c:v>
                </c:pt>
                <c:pt idx="5">
                  <c:v>Norway</c:v>
                </c:pt>
                <c:pt idx="6">
                  <c:v>Sweden</c:v>
                </c:pt>
                <c:pt idx="7">
                  <c:v>Switzerland</c:v>
                </c:pt>
              </c:strCache>
            </c:strRef>
          </c:cat>
          <c:val>
            <c:numRef>
              <c:f>'Sheet1'!$B$2:$B$9</c:f>
              <c:numCache>
                <c:formatCode>General</c:formatCode>
                <c:ptCount val="8"/>
                <c:pt idx="0">
                  <c:v>5</c:v>
                </c:pt>
                <c:pt idx="1">
                  <c:v>3</c:v>
                </c:pt>
                <c:pt idx="2">
                  <c:v>10</c:v>
                </c:pt>
                <c:pt idx="3">
                  <c:v>4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01B-446A-8557-24BD7928B78F}"/>
            </c:ext>
          </c:extLst>
        </c:ser>
        <c:ser>
          <c:idx val="1"/>
          <c:order val="1"/>
          <c:tx>
            <c:strRef>
              <c:f>'Sheet1'!$C$1</c:f>
              <c:strCache>
                <c:ptCount val="1"/>
                <c:pt idx="0">
                  <c:v>Mercury-Free</c:v>
                </c:pt>
              </c:strCache>
            </c:strRef>
          </c:tx>
          <c:spPr>
            <a:solidFill>
              <a:srgbClr val="6AB284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01B-446A-8557-24BD7928B78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01B-446A-8557-24BD7928B78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01B-446A-8557-24BD7928B78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96%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01B-446A-8557-24BD7928B78F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99%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01B-446A-8557-24BD7928B78F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100%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01B-446A-8557-24BD7928B78F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100%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01B-446A-8557-24BD7928B78F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90%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01B-446A-8557-24BD7928B78F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100%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01B-446A-8557-24BD7928B78F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90%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801B-446A-8557-24BD7928B78F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80%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01B-446A-8557-24BD7928B78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'Sheet1'!$A$2:$A$9</c:f>
              <c:strCache>
                <c:ptCount val="8"/>
                <c:pt idx="0">
                  <c:v>Denmark</c:v>
                </c:pt>
                <c:pt idx="1">
                  <c:v>Finland</c:v>
                </c:pt>
                <c:pt idx="2">
                  <c:v>Germany</c:v>
                </c:pt>
                <c:pt idx="3">
                  <c:v>Japan</c:v>
                </c:pt>
                <c:pt idx="4">
                  <c:v>Netherlands</c:v>
                </c:pt>
                <c:pt idx="5">
                  <c:v>Norway</c:v>
                </c:pt>
                <c:pt idx="6">
                  <c:v>Sweden</c:v>
                </c:pt>
                <c:pt idx="7">
                  <c:v>Switzerland</c:v>
                </c:pt>
              </c:strCache>
            </c:strRef>
          </c:cat>
          <c:val>
            <c:numRef>
              <c:f>'Sheet1'!$C$2:$C$9</c:f>
              <c:numCache>
                <c:formatCode>General</c:formatCode>
                <c:ptCount val="8"/>
                <c:pt idx="0">
                  <c:v>95</c:v>
                </c:pt>
                <c:pt idx="1">
                  <c:v>97</c:v>
                </c:pt>
                <c:pt idx="2">
                  <c:v>90</c:v>
                </c:pt>
                <c:pt idx="3">
                  <c:v>96</c:v>
                </c:pt>
                <c:pt idx="4">
                  <c:v>99</c:v>
                </c:pt>
                <c:pt idx="5">
                  <c:v>100</c:v>
                </c:pt>
                <c:pt idx="6">
                  <c:v>100</c:v>
                </c:pt>
                <c:pt idx="7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01B-446A-8557-24BD7928B78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52971592"/>
        <c:axId val="452969240"/>
      </c:barChart>
      <c:catAx>
        <c:axId val="4529715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>
                <a:ln>
                  <a:solidFill>
                    <a:schemeClr val="tx1"/>
                  </a:solidFill>
                </a:ln>
                <a:solidFill>
                  <a:sysClr val="windowText" lastClr="000000"/>
                </a:solidFill>
              </a:defRPr>
            </a:pPr>
            <a:endParaRPr lang="en-US"/>
          </a:p>
        </c:txPr>
        <c:crossAx val="452969240"/>
        <c:crosses val="autoZero"/>
        <c:auto val="1"/>
        <c:lblAlgn val="ctr"/>
        <c:lblOffset val="100"/>
        <c:noMultiLvlLbl val="0"/>
      </c:catAx>
      <c:valAx>
        <c:axId val="45296924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4529715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5723173579680497"/>
          <c:y val="2.4849918451551701E-2"/>
          <c:w val="0.52543154152975002"/>
          <c:h val="7.6541432320959904E-2"/>
        </c:manualLayout>
      </c:layout>
      <c:overlay val="0"/>
      <c:txPr>
        <a:bodyPr/>
        <a:lstStyle/>
        <a:p>
          <a:pPr>
            <a:defRPr sz="1200">
              <a:ln>
                <a:solidFill>
                  <a:schemeClr val="tx1"/>
                </a:solidFill>
              </a:ln>
            </a:defRPr>
          </a:pPr>
          <a:endParaRPr lang="en-US"/>
        </a:p>
      </c:txPr>
    </c:legend>
    <c:plotVisOnly val="1"/>
    <c:dispBlanksAs val="gap"/>
    <c:showDLblsOverMax val="0"/>
  </c:chart>
  <c:spPr>
    <a:ln w="31750">
      <a:solidFill>
        <a:srgbClr val="000000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805AE-040F-49C8-A8AE-44094FFB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3410</Words>
  <Characters>23204</Characters>
  <Application>Microsoft Office Word</Application>
  <DocSecurity>0</DocSecurity>
  <Lines>193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Sikalova</cp:lastModifiedBy>
  <cp:revision>2</cp:revision>
  <cp:lastPrinted>2017-05-08T09:42:00Z</cp:lastPrinted>
  <dcterms:created xsi:type="dcterms:W3CDTF">2019-09-09T05:25:00Z</dcterms:created>
  <dcterms:modified xsi:type="dcterms:W3CDTF">2019-09-09T05:25:00Z</dcterms:modified>
</cp:coreProperties>
</file>