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62"/>
        <w:gridCol w:w="4620"/>
        <w:gridCol w:w="3455"/>
      </w:tblGrid>
      <w:tr w:rsidR="007369FC" w:rsidRPr="00BF61BF" w14:paraId="517AD58E" w14:textId="77777777" w:rsidTr="00560D63">
        <w:trPr>
          <w:cantSplit/>
          <w:trHeight w:val="850"/>
          <w:jc w:val="right"/>
        </w:trPr>
        <w:tc>
          <w:tcPr>
            <w:tcW w:w="1701" w:type="dxa"/>
          </w:tcPr>
          <w:p w14:paraId="2A6B1004" w14:textId="77777777" w:rsidR="007369FC" w:rsidRPr="00BF61BF" w:rsidRDefault="007369FC" w:rsidP="00560D63">
            <w:pPr>
              <w:tabs>
                <w:tab w:val="left" w:pos="624"/>
                <w:tab w:val="left" w:pos="1871"/>
                <w:tab w:val="left" w:pos="2495"/>
              </w:tabs>
              <w:rPr>
                <w:rFonts w:ascii="Arial" w:hAnsi="Arial" w:cs="Arial"/>
                <w:b/>
                <w:sz w:val="27"/>
                <w:szCs w:val="27"/>
              </w:rPr>
            </w:pPr>
            <w:r w:rsidRPr="00BF61BF">
              <w:rPr>
                <w:rFonts w:ascii="Arial" w:hAnsi="Arial" w:cs="Arial"/>
                <w:b/>
                <w:sz w:val="27"/>
                <w:szCs w:val="27"/>
              </w:rPr>
              <w:t>NACIONES UNIDAS</w:t>
            </w:r>
          </w:p>
        </w:tc>
        <w:tc>
          <w:tcPr>
            <w:tcW w:w="4460" w:type="dxa"/>
          </w:tcPr>
          <w:p w14:paraId="68523F52" w14:textId="77777777" w:rsidR="007369FC" w:rsidRPr="00BF61BF" w:rsidRDefault="007369FC" w:rsidP="00560D63">
            <w:pPr>
              <w:tabs>
                <w:tab w:val="left" w:pos="624"/>
                <w:tab w:val="left" w:pos="1871"/>
                <w:tab w:val="left" w:pos="2495"/>
              </w:tabs>
              <w:rPr>
                <w:rFonts w:ascii="Univers" w:hAnsi="Univers"/>
                <w:b/>
                <w:sz w:val="27"/>
                <w:szCs w:val="27"/>
              </w:rPr>
            </w:pPr>
          </w:p>
        </w:tc>
        <w:tc>
          <w:tcPr>
            <w:tcW w:w="3335" w:type="dxa"/>
          </w:tcPr>
          <w:p w14:paraId="36540CC6" w14:textId="77777777" w:rsidR="007369FC" w:rsidRPr="00BF61BF" w:rsidRDefault="007369FC" w:rsidP="00560D63">
            <w:pPr>
              <w:tabs>
                <w:tab w:val="left" w:pos="624"/>
                <w:tab w:val="left" w:pos="1871"/>
                <w:tab w:val="left" w:pos="2495"/>
              </w:tabs>
              <w:jc w:val="right"/>
              <w:rPr>
                <w:rFonts w:ascii="Arial" w:hAnsi="Arial" w:cs="Arial"/>
                <w:b/>
                <w:sz w:val="64"/>
                <w:szCs w:val="64"/>
              </w:rPr>
            </w:pPr>
            <w:r w:rsidRPr="00BF61BF">
              <w:rPr>
                <w:rFonts w:ascii="Arial" w:hAnsi="Arial" w:cs="Arial"/>
                <w:b/>
                <w:sz w:val="64"/>
                <w:szCs w:val="64"/>
              </w:rPr>
              <w:t>MC</w:t>
            </w:r>
          </w:p>
        </w:tc>
      </w:tr>
      <w:tr w:rsidR="007369FC" w:rsidRPr="00BF61BF" w14:paraId="7139821F" w14:textId="77777777" w:rsidTr="00560D63">
        <w:trPr>
          <w:cantSplit/>
          <w:trHeight w:val="281"/>
          <w:jc w:val="right"/>
        </w:trPr>
        <w:tc>
          <w:tcPr>
            <w:tcW w:w="1701" w:type="dxa"/>
            <w:tcBorders>
              <w:bottom w:val="single" w:sz="4" w:space="0" w:color="auto"/>
            </w:tcBorders>
          </w:tcPr>
          <w:p w14:paraId="705F8951" w14:textId="77777777" w:rsidR="007369FC" w:rsidRPr="00BF61BF" w:rsidRDefault="007369FC" w:rsidP="00560D63">
            <w:pPr>
              <w:tabs>
                <w:tab w:val="left" w:pos="624"/>
                <w:tab w:val="left" w:pos="1871"/>
                <w:tab w:val="left" w:pos="2495"/>
              </w:tabs>
              <w:rPr>
                <w:sz w:val="18"/>
                <w:szCs w:val="18"/>
              </w:rPr>
            </w:pPr>
          </w:p>
        </w:tc>
        <w:tc>
          <w:tcPr>
            <w:tcW w:w="4460" w:type="dxa"/>
            <w:tcBorders>
              <w:bottom w:val="single" w:sz="4" w:space="0" w:color="auto"/>
            </w:tcBorders>
          </w:tcPr>
          <w:p w14:paraId="1C23D560" w14:textId="77777777" w:rsidR="007369FC" w:rsidRPr="00BF61BF" w:rsidRDefault="007369FC" w:rsidP="00560D63">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25BD7B8C" w14:textId="3FB7D21C" w:rsidR="007369FC" w:rsidRPr="00BF61BF" w:rsidRDefault="007369FC" w:rsidP="00560D63">
            <w:pPr>
              <w:tabs>
                <w:tab w:val="left" w:pos="624"/>
                <w:tab w:val="left" w:pos="1871"/>
                <w:tab w:val="left" w:pos="2495"/>
              </w:tabs>
              <w:rPr>
                <w:sz w:val="18"/>
                <w:szCs w:val="18"/>
              </w:rPr>
            </w:pPr>
            <w:r w:rsidRPr="00BF61BF">
              <w:rPr>
                <w:b/>
                <w:bCs/>
                <w:sz w:val="28"/>
              </w:rPr>
              <w:t>UNEP</w:t>
            </w:r>
            <w:r w:rsidRPr="00BF61BF">
              <w:rPr>
                <w:b/>
                <w:bCs/>
              </w:rPr>
              <w:t>/</w:t>
            </w:r>
            <w:r w:rsidRPr="00BF61BF">
              <w:t>MC/COP.3/20</w:t>
            </w:r>
          </w:p>
        </w:tc>
      </w:tr>
      <w:tr w:rsidR="007369FC" w:rsidRPr="00BF61BF" w14:paraId="75E528E2" w14:textId="77777777" w:rsidTr="00560D63">
        <w:trPr>
          <w:cantSplit/>
          <w:trHeight w:val="2549"/>
          <w:jc w:val="right"/>
        </w:trPr>
        <w:tc>
          <w:tcPr>
            <w:tcW w:w="1701" w:type="dxa"/>
            <w:tcBorders>
              <w:top w:val="single" w:sz="4" w:space="0" w:color="auto"/>
              <w:bottom w:val="single" w:sz="24" w:space="0" w:color="auto"/>
            </w:tcBorders>
          </w:tcPr>
          <w:p w14:paraId="4641DE6A" w14:textId="77777777" w:rsidR="007369FC" w:rsidRPr="00BF61BF" w:rsidRDefault="007369FC" w:rsidP="00560D63">
            <w:pPr>
              <w:tabs>
                <w:tab w:val="left" w:pos="624"/>
                <w:tab w:val="left" w:pos="1871"/>
                <w:tab w:val="left" w:pos="2495"/>
              </w:tabs>
            </w:pPr>
            <w:r w:rsidRPr="00BF61BF">
              <w:object w:dxaOrig="1831" w:dyaOrig="1726" w14:anchorId="445C77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5pt;height:57.85pt" o:ole="" fillcolor="window">
                  <v:imagedata r:id="rId11" o:title=""/>
                </v:shape>
                <o:OLEObject Type="Embed" ProgID="Word.Picture.8" ShapeID="_x0000_i1025" DrawAspect="Content" ObjectID="_1631091661" r:id="rId12"/>
              </w:object>
            </w:r>
            <w:r w:rsidRPr="00BF61BF">
              <w:rPr>
                <w:noProof/>
                <w:lang w:val="es-ES" w:eastAsia="es-ES"/>
              </w:rPr>
              <w:drawing>
                <wp:inline distT="0" distB="0" distL="0" distR="0" wp14:anchorId="735E68D9" wp14:editId="07E94BB0">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67FE6BC9" w14:textId="77777777" w:rsidR="007369FC" w:rsidRPr="00BF61BF" w:rsidRDefault="007369FC" w:rsidP="00560D63">
            <w:pPr>
              <w:tabs>
                <w:tab w:val="left" w:pos="624"/>
                <w:tab w:val="left" w:pos="1871"/>
                <w:tab w:val="left" w:pos="2495"/>
              </w:tabs>
              <w:spacing w:before="1200"/>
              <w:rPr>
                <w:rFonts w:ascii="Arial" w:hAnsi="Arial" w:cs="Arial"/>
                <w:b/>
                <w:sz w:val="32"/>
              </w:rPr>
            </w:pPr>
            <w:r w:rsidRPr="00BF61BF">
              <w:rPr>
                <w:rFonts w:ascii="Arial" w:hAnsi="Arial" w:cs="Arial"/>
                <w:b/>
                <w:bCs/>
                <w:sz w:val="32"/>
              </w:rPr>
              <w:t xml:space="preserve">Programa de las Naciones Unidas </w:t>
            </w:r>
            <w:r w:rsidRPr="00BF61BF">
              <w:rPr>
                <w:rFonts w:ascii="Arial" w:hAnsi="Arial" w:cs="Arial"/>
                <w:b/>
                <w:bCs/>
                <w:sz w:val="32"/>
              </w:rPr>
              <w:br/>
              <w:t>para el Medio Ambi</w:t>
            </w:r>
            <w:bookmarkStart w:id="0" w:name="_GoBack"/>
            <w:bookmarkEnd w:id="0"/>
            <w:r w:rsidRPr="00BF61BF">
              <w:rPr>
                <w:rFonts w:ascii="Arial" w:hAnsi="Arial" w:cs="Arial"/>
                <w:b/>
                <w:bCs/>
                <w:sz w:val="32"/>
              </w:rPr>
              <w:t>ente</w:t>
            </w:r>
          </w:p>
        </w:tc>
        <w:tc>
          <w:tcPr>
            <w:tcW w:w="3335" w:type="dxa"/>
            <w:tcBorders>
              <w:top w:val="single" w:sz="4" w:space="0" w:color="auto"/>
              <w:bottom w:val="single" w:sz="24" w:space="0" w:color="auto"/>
            </w:tcBorders>
          </w:tcPr>
          <w:p w14:paraId="2679F1B6" w14:textId="1BD977A0" w:rsidR="007369FC" w:rsidRPr="00BF61BF" w:rsidRDefault="007369FC" w:rsidP="00560D63">
            <w:pPr>
              <w:tabs>
                <w:tab w:val="left" w:pos="624"/>
                <w:tab w:val="left" w:pos="1871"/>
                <w:tab w:val="left" w:pos="2495"/>
              </w:tabs>
              <w:spacing w:before="120"/>
            </w:pPr>
            <w:r w:rsidRPr="00BF61BF">
              <w:t>Distr. general</w:t>
            </w:r>
            <w:r w:rsidRPr="00BF61BF">
              <w:br/>
              <w:t>9 de agosto de 2019</w:t>
            </w:r>
          </w:p>
          <w:p w14:paraId="2F3A97FA" w14:textId="77777777" w:rsidR="007369FC" w:rsidRPr="00BF61BF" w:rsidRDefault="007369FC" w:rsidP="00560D63">
            <w:pPr>
              <w:tabs>
                <w:tab w:val="left" w:pos="624"/>
                <w:tab w:val="left" w:pos="1871"/>
                <w:tab w:val="left" w:pos="2495"/>
              </w:tabs>
              <w:spacing w:before="240"/>
            </w:pPr>
            <w:r w:rsidRPr="00BF61BF">
              <w:t>Español</w:t>
            </w:r>
            <w:r w:rsidRPr="00BF61BF">
              <w:br/>
              <w:t>Original: inglés</w:t>
            </w:r>
          </w:p>
        </w:tc>
      </w:tr>
    </w:tbl>
    <w:p w14:paraId="3FA3CBEE" w14:textId="31944CDF" w:rsidR="00E976AB" w:rsidRPr="00BF61BF" w:rsidRDefault="00CB007D" w:rsidP="00E976AB">
      <w:pPr>
        <w:pStyle w:val="AATitle"/>
        <w:keepNext w:val="0"/>
        <w:keepLines w:val="0"/>
        <w:rPr>
          <w:lang w:val="es-ES_tradnl"/>
        </w:rPr>
      </w:pPr>
      <w:r w:rsidRPr="00BF61BF">
        <w:rPr>
          <w:bCs/>
          <w:lang w:val="es-ES_tradnl"/>
        </w:rPr>
        <w:t xml:space="preserve">Conferencia de las Partes en el </w:t>
      </w:r>
      <w:r w:rsidR="00C7619F" w:rsidRPr="00BF61BF">
        <w:rPr>
          <w:bCs/>
          <w:lang w:val="es-ES_tradnl"/>
        </w:rPr>
        <w:br/>
      </w:r>
      <w:r w:rsidRPr="00BF61BF">
        <w:rPr>
          <w:bCs/>
          <w:lang w:val="es-ES_tradnl"/>
        </w:rPr>
        <w:t>Convenio de Minamata sobre el Mercurio</w:t>
      </w:r>
    </w:p>
    <w:p w14:paraId="09D3354B" w14:textId="77777777" w:rsidR="00E976AB" w:rsidRPr="00BF61BF" w:rsidRDefault="00AE119F" w:rsidP="00E976AB">
      <w:pPr>
        <w:pStyle w:val="AATitle"/>
        <w:keepNext w:val="0"/>
        <w:keepLines w:val="0"/>
        <w:rPr>
          <w:lang w:val="es-ES_tradnl"/>
        </w:rPr>
      </w:pPr>
      <w:r w:rsidRPr="00BF61BF">
        <w:rPr>
          <w:bCs/>
          <w:lang w:val="es-ES_tradnl"/>
        </w:rPr>
        <w:t>Tercera reunión</w:t>
      </w:r>
    </w:p>
    <w:p w14:paraId="06B02AD5" w14:textId="77777777" w:rsidR="00787688" w:rsidRPr="00BF61BF" w:rsidRDefault="00787688" w:rsidP="00434321">
      <w:pPr>
        <w:pStyle w:val="AATitle"/>
        <w:rPr>
          <w:b w:val="0"/>
          <w:lang w:val="es-ES_tradnl"/>
        </w:rPr>
      </w:pPr>
      <w:r w:rsidRPr="00BF61BF">
        <w:rPr>
          <w:b w:val="0"/>
          <w:lang w:val="es-ES_tradnl"/>
        </w:rPr>
        <w:t>Ginebra, 25 a 29 de noviembre de 2019</w:t>
      </w:r>
    </w:p>
    <w:p w14:paraId="2F67E3C7" w14:textId="77777777" w:rsidR="00F15578" w:rsidRPr="00BF61BF" w:rsidRDefault="00E54866" w:rsidP="00F15578">
      <w:pPr>
        <w:pStyle w:val="AATitle"/>
        <w:keepNext w:val="0"/>
        <w:keepLines w:val="0"/>
        <w:rPr>
          <w:b w:val="0"/>
          <w:lang w:val="es-ES_tradnl"/>
        </w:rPr>
      </w:pPr>
      <w:r w:rsidRPr="00BF61BF">
        <w:rPr>
          <w:b w:val="0"/>
          <w:lang w:val="es-ES_tradnl"/>
        </w:rPr>
        <w:t>Tema 7 del programa provisional</w:t>
      </w:r>
      <w:r w:rsidRPr="00BF61BF">
        <w:rPr>
          <w:b w:val="0"/>
          <w:lang w:val="es-ES_tradnl"/>
        </w:rPr>
        <w:footnoteReference w:customMarkFollows="1" w:id="1"/>
        <w:t>*</w:t>
      </w:r>
    </w:p>
    <w:p w14:paraId="3F9A1E30" w14:textId="77777777" w:rsidR="00F15578" w:rsidRPr="00BF61BF" w:rsidRDefault="00175C76" w:rsidP="009B0C57">
      <w:pPr>
        <w:pStyle w:val="AATitle2"/>
        <w:spacing w:before="60"/>
        <w:rPr>
          <w:lang w:val="es-ES_tradnl"/>
        </w:rPr>
      </w:pPr>
      <w:r w:rsidRPr="00BF61BF">
        <w:rPr>
          <w:bCs/>
          <w:lang w:val="es-ES_tradnl"/>
        </w:rPr>
        <w:t>Programa de trabajo y presupuesto</w:t>
      </w:r>
    </w:p>
    <w:p w14:paraId="1684E990" w14:textId="6D329D6B" w:rsidR="001C70A9" w:rsidRPr="00BF61BF" w:rsidRDefault="00AE119F" w:rsidP="00BC5579">
      <w:pPr>
        <w:pStyle w:val="BBTitle"/>
        <w:rPr>
          <w:lang w:val="es-ES_tradnl"/>
        </w:rPr>
      </w:pPr>
      <w:r w:rsidRPr="00BF61BF">
        <w:rPr>
          <w:bCs/>
          <w:lang w:val="es-ES_tradnl"/>
        </w:rPr>
        <w:t>Programa de trabajo y presupuesto para el bienio 2020</w:t>
      </w:r>
      <w:r w:rsidR="002A6CFE" w:rsidRPr="00BF61BF">
        <w:rPr>
          <w:bCs/>
          <w:lang w:val="es-ES_tradnl"/>
        </w:rPr>
        <w:noBreakHyphen/>
      </w:r>
      <w:r w:rsidRPr="00BF61BF">
        <w:rPr>
          <w:bCs/>
          <w:lang w:val="es-ES_tradnl"/>
        </w:rPr>
        <w:t>2021</w:t>
      </w:r>
    </w:p>
    <w:p w14:paraId="0400EFCA" w14:textId="521BEB6F" w:rsidR="001C70A9" w:rsidRPr="00BF61BF" w:rsidRDefault="001C70A9" w:rsidP="00BC5579">
      <w:pPr>
        <w:pStyle w:val="CH2"/>
        <w:rPr>
          <w:lang w:val="es-ES_tradnl"/>
        </w:rPr>
      </w:pPr>
      <w:r w:rsidRPr="00BF61BF">
        <w:rPr>
          <w:lang w:val="es-ES_tradnl"/>
        </w:rPr>
        <w:tab/>
      </w:r>
      <w:r w:rsidRPr="00BF61BF">
        <w:rPr>
          <w:lang w:val="es-ES_tradnl"/>
        </w:rPr>
        <w:tab/>
      </w:r>
      <w:r w:rsidR="00C7619F" w:rsidRPr="00BF61BF">
        <w:rPr>
          <w:bCs/>
          <w:lang w:val="es-ES_tradnl"/>
        </w:rPr>
        <w:t>Nota de la S</w:t>
      </w:r>
      <w:r w:rsidRPr="00BF61BF">
        <w:rPr>
          <w:bCs/>
          <w:lang w:val="es-ES_tradnl"/>
        </w:rPr>
        <w:t>ecretaría</w:t>
      </w:r>
    </w:p>
    <w:p w14:paraId="2B878ADE" w14:textId="25BD43C0" w:rsidR="002A6CFE" w:rsidRPr="00BF61BF" w:rsidRDefault="002A6CFE" w:rsidP="002A6CFE">
      <w:pPr>
        <w:pStyle w:val="Normal-pool"/>
        <w:tabs>
          <w:tab w:val="clear" w:pos="1247"/>
          <w:tab w:val="clear" w:pos="1814"/>
          <w:tab w:val="clear" w:pos="2381"/>
          <w:tab w:val="clear" w:pos="2948"/>
          <w:tab w:val="clear" w:pos="3515"/>
          <w:tab w:val="clear" w:pos="4082"/>
          <w:tab w:val="left" w:pos="624"/>
        </w:tabs>
        <w:spacing w:before="240" w:after="120"/>
        <w:rPr>
          <w:b/>
          <w:sz w:val="28"/>
          <w:szCs w:val="28"/>
          <w:lang w:val="es-ES_tradnl"/>
        </w:rPr>
      </w:pPr>
      <w:r w:rsidRPr="00BF61BF">
        <w:rPr>
          <w:b/>
          <w:sz w:val="28"/>
          <w:szCs w:val="28"/>
          <w:lang w:val="es-ES_tradnl"/>
        </w:rPr>
        <w:tab/>
        <w:t>I.</w:t>
      </w:r>
      <w:r w:rsidRPr="00BF61BF">
        <w:rPr>
          <w:b/>
          <w:sz w:val="28"/>
          <w:szCs w:val="28"/>
          <w:lang w:val="es-ES_tradnl"/>
        </w:rPr>
        <w:tab/>
        <w:t xml:space="preserve">Introducción </w:t>
      </w:r>
    </w:p>
    <w:p w14:paraId="3BBC8C60" w14:textId="53154BD7" w:rsidR="00A84F6A" w:rsidRPr="00BF61BF" w:rsidRDefault="001C70A9" w:rsidP="002A6CFE">
      <w:pPr>
        <w:pStyle w:val="Normal-pool"/>
        <w:numPr>
          <w:ilvl w:val="0"/>
          <w:numId w:val="1"/>
        </w:numPr>
        <w:tabs>
          <w:tab w:val="clear" w:pos="1134"/>
          <w:tab w:val="clear" w:pos="1247"/>
          <w:tab w:val="clear" w:pos="1814"/>
          <w:tab w:val="clear" w:pos="2381"/>
          <w:tab w:val="clear" w:pos="2948"/>
          <w:tab w:val="clear" w:pos="3515"/>
          <w:tab w:val="clear" w:pos="4082"/>
        </w:tabs>
        <w:spacing w:after="120"/>
        <w:rPr>
          <w:lang w:val="es-ES_tradnl"/>
        </w:rPr>
      </w:pPr>
      <w:r w:rsidRPr="00BF61BF">
        <w:rPr>
          <w:lang w:val="es-ES_tradnl"/>
        </w:rPr>
        <w:t>El período</w:t>
      </w:r>
      <w:r w:rsidR="00786B7A" w:rsidRPr="00BF61BF">
        <w:rPr>
          <w:lang w:val="es-ES_tradnl"/>
        </w:rPr>
        <w:t> </w:t>
      </w:r>
      <w:r w:rsidRPr="00BF61BF">
        <w:rPr>
          <w:lang w:val="es-ES_tradnl"/>
        </w:rPr>
        <w:t xml:space="preserve">2020-2021 </w:t>
      </w:r>
      <w:r w:rsidR="00C37644" w:rsidRPr="00BF61BF">
        <w:rPr>
          <w:lang w:val="es-ES_tradnl"/>
        </w:rPr>
        <w:t>marca</w:t>
      </w:r>
      <w:r w:rsidRPr="00BF61BF">
        <w:rPr>
          <w:lang w:val="es-ES_tradnl"/>
        </w:rPr>
        <w:t xml:space="preserve"> el se</w:t>
      </w:r>
      <w:r w:rsidR="00BE2F31" w:rsidRPr="00BF61BF">
        <w:rPr>
          <w:lang w:val="es-ES_tradnl"/>
        </w:rPr>
        <w:t>gundo bienio de la labor de la S</w:t>
      </w:r>
      <w:r w:rsidRPr="00BF61BF">
        <w:rPr>
          <w:lang w:val="es-ES_tradnl"/>
        </w:rPr>
        <w:t>ecretaría del Convenio de Minamata sobre el Mercurio. En su decisión</w:t>
      </w:r>
      <w:r w:rsidR="00786B7A" w:rsidRPr="00BF61BF">
        <w:rPr>
          <w:lang w:val="es-ES_tradnl"/>
        </w:rPr>
        <w:t> </w:t>
      </w:r>
      <w:r w:rsidRPr="00BF61BF">
        <w:rPr>
          <w:lang w:val="es-ES_tradnl"/>
        </w:rPr>
        <w:t>MC</w:t>
      </w:r>
      <w:r w:rsidR="00D54122" w:rsidRPr="00BF61BF">
        <w:rPr>
          <w:lang w:val="es-ES_tradnl"/>
        </w:rPr>
        <w:noBreakHyphen/>
      </w:r>
      <w:r w:rsidRPr="00BF61BF">
        <w:rPr>
          <w:lang w:val="es-ES_tradnl"/>
        </w:rPr>
        <w:t>2/12, la Conferencia de las Partes en el Convenio de Minamata, recordando la decisión</w:t>
      </w:r>
      <w:r w:rsidR="00786B7A" w:rsidRPr="00BF61BF">
        <w:rPr>
          <w:lang w:val="es-ES_tradnl"/>
        </w:rPr>
        <w:t> </w:t>
      </w:r>
      <w:r w:rsidRPr="00BF61BF">
        <w:rPr>
          <w:lang w:val="es-ES_tradnl"/>
        </w:rPr>
        <w:t>MC-1/15, solicitó a la Secretaria Ejecutiva que preparase un presupuesto para el bienio 2020</w:t>
      </w:r>
      <w:r w:rsidR="00786B7A" w:rsidRPr="00BF61BF">
        <w:rPr>
          <w:lang w:val="es-ES_tradnl"/>
        </w:rPr>
        <w:noBreakHyphen/>
      </w:r>
      <w:r w:rsidRPr="00BF61BF">
        <w:rPr>
          <w:lang w:val="es-ES_tradnl"/>
        </w:rPr>
        <w:t>2021, para su examen por la Conferencia de las Partes en su tercera reunión, en 2019, en el que se expli</w:t>
      </w:r>
      <w:r w:rsidR="00C37644" w:rsidRPr="00BF61BF">
        <w:rPr>
          <w:lang w:val="es-ES_tradnl"/>
        </w:rPr>
        <w:t>casen</w:t>
      </w:r>
      <w:r w:rsidRPr="00BF61BF">
        <w:rPr>
          <w:lang w:val="es-ES_tradnl"/>
        </w:rPr>
        <w:t xml:space="preserve"> los principios fundamentales, l</w:t>
      </w:r>
      <w:r w:rsidR="00C37644" w:rsidRPr="00BF61BF">
        <w:rPr>
          <w:lang w:val="es-ES_tradnl"/>
        </w:rPr>
        <w:t>os supuestos</w:t>
      </w:r>
      <w:r w:rsidRPr="00BF61BF">
        <w:rPr>
          <w:lang w:val="es-ES_tradnl"/>
        </w:rPr>
        <w:t xml:space="preserve"> y la estrategia programática en que se basa</w:t>
      </w:r>
      <w:r w:rsidR="0003027B" w:rsidRPr="00BF61BF">
        <w:rPr>
          <w:lang w:val="es-ES_tradnl"/>
        </w:rPr>
        <w:t>ba</w:t>
      </w:r>
      <w:r w:rsidRPr="00BF61BF">
        <w:rPr>
          <w:lang w:val="es-ES_tradnl"/>
        </w:rPr>
        <w:t xml:space="preserve"> el presupuesto y se present</w:t>
      </w:r>
      <w:r w:rsidR="00C37644" w:rsidRPr="00BF61BF">
        <w:rPr>
          <w:lang w:val="es-ES_tradnl"/>
        </w:rPr>
        <w:t>as</w:t>
      </w:r>
      <w:r w:rsidRPr="00BF61BF">
        <w:rPr>
          <w:lang w:val="es-ES_tradnl"/>
        </w:rPr>
        <w:t>en los gastos correspondientes a ese bienio en un formato programático y desglosado por actividad presupuestaria</w:t>
      </w:r>
      <w:r w:rsidR="00C37644" w:rsidRPr="00BF61BF">
        <w:rPr>
          <w:lang w:val="es-ES_tradnl"/>
        </w:rPr>
        <w:t xml:space="preserve"> en el que se respaldase</w:t>
      </w:r>
      <w:r w:rsidRPr="00BF61BF">
        <w:rPr>
          <w:lang w:val="es-ES_tradnl"/>
        </w:rPr>
        <w:t xml:space="preserve"> cada una de las </w:t>
      </w:r>
      <w:r w:rsidR="00C37644" w:rsidRPr="00BF61BF">
        <w:rPr>
          <w:lang w:val="es-ES_tradnl"/>
        </w:rPr>
        <w:t xml:space="preserve">actividades </w:t>
      </w:r>
      <w:r w:rsidRPr="00BF61BF">
        <w:rPr>
          <w:lang w:val="es-ES_tradnl"/>
        </w:rPr>
        <w:t>por una ficha de datos sobre la actividad</w:t>
      </w:r>
      <w:r w:rsidR="00C37644" w:rsidRPr="00BF61BF">
        <w:rPr>
          <w:lang w:val="es-ES_tradnl"/>
        </w:rPr>
        <w:t xml:space="preserve"> presupuestaria</w:t>
      </w:r>
      <w:r w:rsidRPr="00BF61BF">
        <w:rPr>
          <w:lang w:val="es-ES_tradnl"/>
        </w:rPr>
        <w:t>. La Conferencia de las Partes también</w:t>
      </w:r>
      <w:r w:rsidR="00D54122" w:rsidRPr="00BF61BF">
        <w:rPr>
          <w:lang w:val="es-ES_tradnl"/>
        </w:rPr>
        <w:t> </w:t>
      </w:r>
      <w:r w:rsidR="00C37644" w:rsidRPr="00BF61BF">
        <w:rPr>
          <w:lang w:val="es-ES_tradnl"/>
        </w:rPr>
        <w:t>solicitó</w:t>
      </w:r>
      <w:r w:rsidRPr="00BF61BF">
        <w:rPr>
          <w:lang w:val="es-ES_tradnl"/>
        </w:rPr>
        <w:t xml:space="preserve"> a la Secretaria Ejecutiva que, al </w:t>
      </w:r>
      <w:r w:rsidR="00C37644" w:rsidRPr="00BF61BF">
        <w:rPr>
          <w:lang w:val="es-ES_tradnl"/>
        </w:rPr>
        <w:t>elaborar</w:t>
      </w:r>
      <w:r w:rsidRPr="00BF61BF">
        <w:rPr>
          <w:lang w:val="es-ES_tradnl"/>
        </w:rPr>
        <w:t xml:space="preserve"> el presupuesto y programa de trabajo para el bienio 2020</w:t>
      </w:r>
      <w:r w:rsidR="00786B7A" w:rsidRPr="00BF61BF">
        <w:rPr>
          <w:lang w:val="es-ES_tradnl"/>
        </w:rPr>
        <w:noBreakHyphen/>
      </w:r>
      <w:r w:rsidRPr="00BF61BF">
        <w:rPr>
          <w:lang w:val="es-ES_tradnl"/>
        </w:rPr>
        <w:t xml:space="preserve">2021, presentase dos hipótesis: una </w:t>
      </w:r>
      <w:r w:rsidR="00C37644" w:rsidRPr="00BF61BF">
        <w:rPr>
          <w:lang w:val="es-ES_tradnl"/>
        </w:rPr>
        <w:t xml:space="preserve">en la </w:t>
      </w:r>
      <w:r w:rsidRPr="00BF61BF">
        <w:rPr>
          <w:lang w:val="es-ES_tradnl"/>
        </w:rPr>
        <w:t xml:space="preserve">que </w:t>
      </w:r>
      <w:r w:rsidR="00C37644" w:rsidRPr="00BF61BF">
        <w:rPr>
          <w:lang w:val="es-ES_tradnl"/>
        </w:rPr>
        <w:t>se ma</w:t>
      </w:r>
      <w:r w:rsidR="00410C11" w:rsidRPr="00BF61BF">
        <w:rPr>
          <w:lang w:val="es-ES_tradnl"/>
        </w:rPr>
        <w:t>n</w:t>
      </w:r>
      <w:r w:rsidR="00C37644" w:rsidRPr="00BF61BF">
        <w:rPr>
          <w:lang w:val="es-ES_tradnl"/>
        </w:rPr>
        <w:t>tuviese</w:t>
      </w:r>
      <w:r w:rsidRPr="00BF61BF">
        <w:rPr>
          <w:lang w:val="es-ES_tradnl"/>
        </w:rPr>
        <w:t xml:space="preserve"> el presupuesto operacional en el nivel de 2019 en términos nominales y otra </w:t>
      </w:r>
      <w:r w:rsidR="00C37644" w:rsidRPr="00BF61BF">
        <w:rPr>
          <w:lang w:val="es-ES_tradnl"/>
        </w:rPr>
        <w:t xml:space="preserve">en la </w:t>
      </w:r>
      <w:r w:rsidRPr="00BF61BF">
        <w:rPr>
          <w:lang w:val="es-ES_tradnl"/>
        </w:rPr>
        <w:t xml:space="preserve">que </w:t>
      </w:r>
      <w:r w:rsidR="00C37644" w:rsidRPr="00BF61BF">
        <w:rPr>
          <w:lang w:val="es-ES_tradnl"/>
        </w:rPr>
        <w:t xml:space="preserve">se </w:t>
      </w:r>
      <w:r w:rsidRPr="00BF61BF">
        <w:rPr>
          <w:lang w:val="es-ES_tradnl"/>
        </w:rPr>
        <w:t>reflej</w:t>
      </w:r>
      <w:r w:rsidR="00C37644" w:rsidRPr="00BF61BF">
        <w:rPr>
          <w:lang w:val="es-ES_tradnl"/>
        </w:rPr>
        <w:t>as</w:t>
      </w:r>
      <w:r w:rsidRPr="00BF61BF">
        <w:rPr>
          <w:lang w:val="es-ES_tradnl"/>
        </w:rPr>
        <w:t>e</w:t>
      </w:r>
      <w:r w:rsidR="00C37644" w:rsidRPr="00BF61BF">
        <w:rPr>
          <w:lang w:val="es-ES_tradnl"/>
        </w:rPr>
        <w:t>n</w:t>
      </w:r>
      <w:r w:rsidRPr="00BF61BF">
        <w:rPr>
          <w:lang w:val="es-ES_tradnl"/>
        </w:rPr>
        <w:t xml:space="preserve"> los cambios necesarios en </w:t>
      </w:r>
      <w:r w:rsidR="00C37644" w:rsidRPr="00BF61BF">
        <w:rPr>
          <w:lang w:val="es-ES_tradnl"/>
        </w:rPr>
        <w:t>esa</w:t>
      </w:r>
      <w:r w:rsidRPr="00BF61BF">
        <w:rPr>
          <w:lang w:val="es-ES_tradnl"/>
        </w:rPr>
        <w:t xml:space="preserve"> hipótesis para satisfacer las necesidades proyectadas y los costos o ahorros</w:t>
      </w:r>
      <w:r w:rsidR="002A6CFE" w:rsidRPr="00BF61BF">
        <w:rPr>
          <w:lang w:val="es-ES_tradnl"/>
        </w:rPr>
        <w:t> </w:t>
      </w:r>
      <w:r w:rsidRPr="00BF61BF">
        <w:rPr>
          <w:lang w:val="es-ES_tradnl"/>
        </w:rPr>
        <w:t xml:space="preserve">conexos. </w:t>
      </w:r>
    </w:p>
    <w:p w14:paraId="4B6203BC" w14:textId="60F655E6" w:rsidR="007031C5" w:rsidRPr="00BF61BF" w:rsidRDefault="00BC2473" w:rsidP="00866240">
      <w:pPr>
        <w:pStyle w:val="Normalnumber"/>
        <w:tabs>
          <w:tab w:val="clear" w:pos="1134"/>
          <w:tab w:val="clear" w:pos="1247"/>
          <w:tab w:val="clear" w:pos="1814"/>
          <w:tab w:val="clear" w:pos="2381"/>
          <w:tab w:val="clear" w:pos="2948"/>
          <w:tab w:val="clear" w:pos="3515"/>
          <w:tab w:val="clear" w:pos="4082"/>
          <w:tab w:val="left" w:pos="624"/>
        </w:tabs>
        <w:rPr>
          <w:lang w:val="es-ES_tradnl"/>
        </w:rPr>
      </w:pPr>
      <w:r w:rsidRPr="00BF61BF">
        <w:rPr>
          <w:lang w:val="es-ES_tradnl"/>
        </w:rPr>
        <w:t>Por consiguiente, en la presente nota se describe el proyecto de programa de trabajo y presupuesto para el bienio</w:t>
      </w:r>
      <w:r w:rsidR="00786B7A" w:rsidRPr="00BF61BF">
        <w:rPr>
          <w:lang w:val="es-ES_tradnl"/>
        </w:rPr>
        <w:t> </w:t>
      </w:r>
      <w:r w:rsidRPr="00BF61BF">
        <w:rPr>
          <w:lang w:val="es-ES_tradnl"/>
        </w:rPr>
        <w:t>2020</w:t>
      </w:r>
      <w:r w:rsidR="00786B7A" w:rsidRPr="00BF61BF">
        <w:rPr>
          <w:lang w:val="es-ES_tradnl"/>
        </w:rPr>
        <w:noBreakHyphen/>
      </w:r>
      <w:r w:rsidRPr="00BF61BF">
        <w:rPr>
          <w:lang w:val="es-ES_tradnl"/>
        </w:rPr>
        <w:t xml:space="preserve">2021. En la sección II, </w:t>
      </w:r>
      <w:r w:rsidR="00C37644" w:rsidRPr="00BF61BF">
        <w:rPr>
          <w:lang w:val="es-ES_tradnl"/>
        </w:rPr>
        <w:t>relativa a la ejecución</w:t>
      </w:r>
      <w:r w:rsidRPr="00BF61BF">
        <w:rPr>
          <w:lang w:val="es-ES_tradnl"/>
        </w:rPr>
        <w:t xml:space="preserve">, se ofrece un panorama general de la propuesta, seguido de una presentación del presupuesto por programas para las dos hipótesis solicitadas, se exponen las diferencias entre </w:t>
      </w:r>
      <w:r w:rsidR="00C37644" w:rsidRPr="00BF61BF">
        <w:rPr>
          <w:lang w:val="es-ES_tradnl"/>
        </w:rPr>
        <w:t>la hipótesis</w:t>
      </w:r>
      <w:r w:rsidRPr="00BF61BF">
        <w:rPr>
          <w:lang w:val="es-ES_tradnl"/>
        </w:rPr>
        <w:t xml:space="preserve"> de la Secretaria Ejecutiva y la hipótesis de crecimiento nominal </w:t>
      </w:r>
      <w:r w:rsidR="00776C40" w:rsidRPr="00BF61BF">
        <w:rPr>
          <w:lang w:val="es-ES_tradnl"/>
        </w:rPr>
        <w:t>cero</w:t>
      </w:r>
      <w:r w:rsidRPr="00BF61BF">
        <w:rPr>
          <w:lang w:val="es-ES_tradnl"/>
        </w:rPr>
        <w:t>. En la sección</w:t>
      </w:r>
      <w:r w:rsidR="00D54122" w:rsidRPr="00BF61BF">
        <w:rPr>
          <w:lang w:val="es-ES_tradnl"/>
        </w:rPr>
        <w:t> </w:t>
      </w:r>
      <w:r w:rsidRPr="00BF61BF">
        <w:rPr>
          <w:lang w:val="es-ES_tradnl"/>
        </w:rPr>
        <w:t xml:space="preserve">III se presentan las medidas </w:t>
      </w:r>
      <w:r w:rsidR="000525BF" w:rsidRPr="00BF61BF">
        <w:rPr>
          <w:lang w:val="es-ES_tradnl"/>
        </w:rPr>
        <w:t xml:space="preserve">pertinentes </w:t>
      </w:r>
      <w:r w:rsidRPr="00BF61BF">
        <w:rPr>
          <w:lang w:val="es-ES_tradnl"/>
        </w:rPr>
        <w:t>que podría adoptar la Conferencia de las Partes. En el anexo I de la presente nota figura un proyecto de decisión sobre el programa de trabajo y presupuesto para el bienio 2020</w:t>
      </w:r>
      <w:r w:rsidR="0043327C" w:rsidRPr="00BF61BF">
        <w:rPr>
          <w:lang w:val="es-ES_tradnl"/>
        </w:rPr>
        <w:noBreakHyphen/>
      </w:r>
      <w:r w:rsidRPr="00BF61BF">
        <w:rPr>
          <w:lang w:val="es-ES_tradnl"/>
        </w:rPr>
        <w:t>2021 y en el anexo II se proporciona una lista de las actividades propuestas incluidas en el programa de trabajo para ese bienio.</w:t>
      </w:r>
    </w:p>
    <w:p w14:paraId="0A361A5E" w14:textId="7C9CC314" w:rsidR="00177626" w:rsidRPr="00BF61BF" w:rsidRDefault="00177626" w:rsidP="00866240">
      <w:pPr>
        <w:pStyle w:val="Normalnumber"/>
        <w:tabs>
          <w:tab w:val="clear" w:pos="1134"/>
          <w:tab w:val="clear" w:pos="1247"/>
          <w:tab w:val="clear" w:pos="1814"/>
          <w:tab w:val="clear" w:pos="2381"/>
          <w:tab w:val="clear" w:pos="2948"/>
          <w:tab w:val="clear" w:pos="3515"/>
          <w:tab w:val="clear" w:pos="4082"/>
          <w:tab w:val="left" w:pos="624"/>
        </w:tabs>
        <w:rPr>
          <w:lang w:val="es-ES_tradnl"/>
        </w:rPr>
      </w:pPr>
      <w:r w:rsidRPr="00BF61BF">
        <w:rPr>
          <w:lang w:val="es-ES_tradnl"/>
        </w:rPr>
        <w:t>La presente nota debe leerse junto con el informe sobre las</w:t>
      </w:r>
      <w:r w:rsidR="00776C40" w:rsidRPr="00BF61BF">
        <w:rPr>
          <w:lang w:val="es-ES_tradnl"/>
        </w:rPr>
        <w:t xml:space="preserve"> principales actividades de la S</w:t>
      </w:r>
      <w:r w:rsidRPr="00BF61BF">
        <w:rPr>
          <w:lang w:val="es-ES_tradnl"/>
        </w:rPr>
        <w:t xml:space="preserve">ecretaría en el intervalo entre períodos de sesiones (UNEP/MC/COP.3/19), las </w:t>
      </w:r>
      <w:r w:rsidR="00BE2F31" w:rsidRPr="00BF61BF">
        <w:rPr>
          <w:lang w:val="es-ES_tradnl"/>
        </w:rPr>
        <w:t>fichas</w:t>
      </w:r>
      <w:r w:rsidRPr="00BF61BF">
        <w:rPr>
          <w:lang w:val="es-ES_tradnl"/>
        </w:rPr>
        <w:t xml:space="preserve"> de datos de las actividades presupuestarias donde se indican los detalles de los presupuestos propuestos para 2020</w:t>
      </w:r>
      <w:r w:rsidR="00786B7A" w:rsidRPr="00BF61BF">
        <w:rPr>
          <w:lang w:val="es-ES_tradnl"/>
        </w:rPr>
        <w:noBreakHyphen/>
      </w:r>
      <w:r w:rsidRPr="00BF61BF">
        <w:rPr>
          <w:lang w:val="es-ES_tradnl"/>
        </w:rPr>
        <w:t xml:space="preserve">2021 (UNEP/MC/COP.3/INF/9), la información sobre cuestiones financieras (UNEP/MC/COP.3/INF/10) y los proyectos de presupuesto operativo para las dos hipótesis de financiación (UNEP/MC/COP.3/INF/11). </w:t>
      </w:r>
    </w:p>
    <w:p w14:paraId="589E3E2C" w14:textId="214F36C8" w:rsidR="00D102BD" w:rsidRPr="00BF61BF" w:rsidRDefault="002A6CFE" w:rsidP="00D102BD">
      <w:pPr>
        <w:pStyle w:val="CH1"/>
        <w:rPr>
          <w:lang w:val="es-ES_tradnl"/>
        </w:rPr>
      </w:pPr>
      <w:r w:rsidRPr="00BF61BF">
        <w:rPr>
          <w:lang w:val="es-ES_tradnl"/>
        </w:rPr>
        <w:lastRenderedPageBreak/>
        <w:tab/>
      </w:r>
      <w:r w:rsidR="000A352A" w:rsidRPr="00BF61BF">
        <w:rPr>
          <w:lang w:val="es-ES_tradnl"/>
        </w:rPr>
        <w:t>II.</w:t>
      </w:r>
      <w:r w:rsidR="000A352A" w:rsidRPr="00BF61BF">
        <w:rPr>
          <w:lang w:val="es-ES_tradnl"/>
        </w:rPr>
        <w:tab/>
      </w:r>
      <w:r w:rsidR="000A352A" w:rsidRPr="00BF61BF">
        <w:rPr>
          <w:bCs/>
          <w:lang w:val="es-ES_tradnl"/>
        </w:rPr>
        <w:t>Ejecución</w:t>
      </w:r>
    </w:p>
    <w:p w14:paraId="49C3F666" w14:textId="5B79326B" w:rsidR="00D102BD" w:rsidRPr="00BF61BF" w:rsidRDefault="002A6CFE" w:rsidP="00866240">
      <w:pPr>
        <w:pStyle w:val="CH2"/>
        <w:spacing w:before="240"/>
        <w:rPr>
          <w:lang w:val="es-ES_tradnl"/>
        </w:rPr>
      </w:pPr>
      <w:r w:rsidRPr="00BF61BF">
        <w:rPr>
          <w:lang w:val="es-ES_tradnl"/>
        </w:rPr>
        <w:tab/>
      </w:r>
      <w:r w:rsidR="00D102BD" w:rsidRPr="00BF61BF">
        <w:rPr>
          <w:lang w:val="es-ES_tradnl"/>
        </w:rPr>
        <w:t>A.</w:t>
      </w:r>
      <w:r w:rsidR="00D102BD" w:rsidRPr="00BF61BF">
        <w:rPr>
          <w:lang w:val="es-ES_tradnl"/>
        </w:rPr>
        <w:tab/>
      </w:r>
      <w:r w:rsidR="00D102BD" w:rsidRPr="00BF61BF">
        <w:rPr>
          <w:bCs/>
          <w:lang w:val="es-ES_tradnl"/>
        </w:rPr>
        <w:t>Sinopsis del proyecto de programa de trabajo y presupuesto para el bienio</w:t>
      </w:r>
      <w:r w:rsidRPr="00BF61BF">
        <w:rPr>
          <w:bCs/>
          <w:lang w:val="es-ES_tradnl"/>
        </w:rPr>
        <w:t> </w:t>
      </w:r>
      <w:r w:rsidR="00D102BD" w:rsidRPr="00BF61BF">
        <w:rPr>
          <w:bCs/>
          <w:lang w:val="es-ES_tradnl"/>
        </w:rPr>
        <w:t>2020</w:t>
      </w:r>
      <w:r w:rsidRPr="00BF61BF">
        <w:rPr>
          <w:bCs/>
          <w:lang w:val="es-ES_tradnl"/>
        </w:rPr>
        <w:noBreakHyphen/>
      </w:r>
      <w:r w:rsidR="00D102BD" w:rsidRPr="00BF61BF">
        <w:rPr>
          <w:bCs/>
          <w:lang w:val="es-ES_tradnl"/>
        </w:rPr>
        <w:t>2021</w:t>
      </w:r>
    </w:p>
    <w:p w14:paraId="7DD08DC7" w14:textId="1D9F2A5D" w:rsidR="009D5A40" w:rsidRPr="00BF61BF" w:rsidRDefault="00215138" w:rsidP="002A6CFE">
      <w:pPr>
        <w:pStyle w:val="Normalnumber"/>
        <w:tabs>
          <w:tab w:val="clear" w:pos="1134"/>
          <w:tab w:val="clear" w:pos="1247"/>
          <w:tab w:val="clear" w:pos="1814"/>
          <w:tab w:val="clear" w:pos="2381"/>
          <w:tab w:val="clear" w:pos="2948"/>
          <w:tab w:val="clear" w:pos="3515"/>
          <w:tab w:val="clear" w:pos="4082"/>
        </w:tabs>
        <w:rPr>
          <w:lang w:val="es-ES_tradnl"/>
        </w:rPr>
      </w:pPr>
      <w:r w:rsidRPr="00BF61BF">
        <w:rPr>
          <w:lang w:val="es-ES_tradnl"/>
        </w:rPr>
        <w:t>De conformidad con la decisión </w:t>
      </w:r>
      <w:r w:rsidR="00040FC9" w:rsidRPr="00BF61BF">
        <w:rPr>
          <w:lang w:val="es-ES_tradnl"/>
        </w:rPr>
        <w:t xml:space="preserve">MC-1/15, </w:t>
      </w:r>
      <w:r w:rsidR="000525BF" w:rsidRPr="00BF61BF">
        <w:rPr>
          <w:lang w:val="es-ES_tradnl"/>
        </w:rPr>
        <w:t>la</w:t>
      </w:r>
      <w:r w:rsidR="00040FC9" w:rsidRPr="00BF61BF">
        <w:rPr>
          <w:lang w:val="es-ES_tradnl"/>
        </w:rPr>
        <w:t xml:space="preserve"> Director</w:t>
      </w:r>
      <w:r w:rsidR="000525BF" w:rsidRPr="00BF61BF">
        <w:rPr>
          <w:lang w:val="es-ES_tradnl"/>
        </w:rPr>
        <w:t>a</w:t>
      </w:r>
      <w:r w:rsidR="00040FC9" w:rsidRPr="00BF61BF">
        <w:rPr>
          <w:lang w:val="es-ES_tradnl"/>
        </w:rPr>
        <w:t xml:space="preserve"> Ejecutiv</w:t>
      </w:r>
      <w:r w:rsidR="000525BF" w:rsidRPr="00BF61BF">
        <w:rPr>
          <w:lang w:val="es-ES_tradnl"/>
        </w:rPr>
        <w:t>a</w:t>
      </w:r>
      <w:r w:rsidR="00040FC9" w:rsidRPr="00BF61BF">
        <w:rPr>
          <w:lang w:val="es-ES_tradnl"/>
        </w:rPr>
        <w:t xml:space="preserve"> del Programa de las </w:t>
      </w:r>
      <w:r w:rsidR="002A6CFE" w:rsidRPr="00BF61BF">
        <w:rPr>
          <w:lang w:val="es-ES_tradnl"/>
        </w:rPr>
        <w:t>Naciones Unidas</w:t>
      </w:r>
      <w:r w:rsidR="00040FC9" w:rsidRPr="00BF61BF">
        <w:rPr>
          <w:lang w:val="es-ES_tradnl"/>
        </w:rPr>
        <w:t xml:space="preserve"> para el Medio Ambiente estableció tres fondos fiduciarios en apoyo de la labor del</w:t>
      </w:r>
      <w:r w:rsidR="002A6CFE" w:rsidRPr="00BF61BF">
        <w:rPr>
          <w:lang w:val="es-ES_tradnl"/>
        </w:rPr>
        <w:t> </w:t>
      </w:r>
      <w:r w:rsidR="00040FC9" w:rsidRPr="00BF61BF">
        <w:rPr>
          <w:lang w:val="es-ES_tradnl"/>
        </w:rPr>
        <w:t xml:space="preserve">Convenio: </w:t>
      </w:r>
    </w:p>
    <w:p w14:paraId="44DC0C9F" w14:textId="1E44C334" w:rsidR="009D5A40" w:rsidRPr="00BF61BF" w:rsidRDefault="00803579" w:rsidP="002A6CFE">
      <w:pPr>
        <w:pStyle w:val="Normalnumber"/>
        <w:numPr>
          <w:ilvl w:val="1"/>
          <w:numId w:val="4"/>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El </w:t>
      </w:r>
      <w:r w:rsidR="000525BF" w:rsidRPr="00BF61BF">
        <w:rPr>
          <w:lang w:val="es-ES_tradnl"/>
        </w:rPr>
        <w:t>F</w:t>
      </w:r>
      <w:r w:rsidRPr="00BF61BF">
        <w:rPr>
          <w:lang w:val="es-ES_tradnl"/>
        </w:rPr>
        <w:t xml:space="preserve">ondo </w:t>
      </w:r>
      <w:r w:rsidR="000525BF" w:rsidRPr="00BF61BF">
        <w:rPr>
          <w:lang w:val="es-ES_tradnl"/>
        </w:rPr>
        <w:t>F</w:t>
      </w:r>
      <w:r w:rsidRPr="00BF61BF">
        <w:rPr>
          <w:lang w:val="es-ES_tradnl"/>
        </w:rPr>
        <w:t xml:space="preserve">iduciario </w:t>
      </w:r>
      <w:r w:rsidR="000525BF" w:rsidRPr="00BF61BF">
        <w:rPr>
          <w:lang w:val="es-ES_tradnl"/>
        </w:rPr>
        <w:t>G</w:t>
      </w:r>
      <w:r w:rsidRPr="00BF61BF">
        <w:rPr>
          <w:lang w:val="es-ES_tradnl"/>
        </w:rPr>
        <w:t xml:space="preserve">eneral, encargado de prestar apoyo financiero a la labor de la Secretaría del Convenio, con fecha de vencimiento el 31 de diciembre de 2035; </w:t>
      </w:r>
    </w:p>
    <w:p w14:paraId="48DCF705" w14:textId="0401B8F7" w:rsidR="009D5A40" w:rsidRPr="00BF61BF" w:rsidRDefault="00803579" w:rsidP="002A6CFE">
      <w:pPr>
        <w:pStyle w:val="Normalnumber"/>
        <w:numPr>
          <w:ilvl w:val="1"/>
          <w:numId w:val="4"/>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El </w:t>
      </w:r>
      <w:r w:rsidR="000525BF" w:rsidRPr="00BF61BF">
        <w:rPr>
          <w:lang w:val="es-ES_tradnl"/>
        </w:rPr>
        <w:t>F</w:t>
      </w:r>
      <w:r w:rsidRPr="00BF61BF">
        <w:rPr>
          <w:lang w:val="es-ES_tradnl"/>
        </w:rPr>
        <w:t xml:space="preserve">ondo </w:t>
      </w:r>
      <w:r w:rsidR="000525BF" w:rsidRPr="00BF61BF">
        <w:rPr>
          <w:lang w:val="es-ES_tradnl"/>
        </w:rPr>
        <w:t>F</w:t>
      </w:r>
      <w:r w:rsidRPr="00BF61BF">
        <w:rPr>
          <w:lang w:val="es-ES_tradnl"/>
        </w:rPr>
        <w:t xml:space="preserve">iduciario </w:t>
      </w:r>
      <w:r w:rsidR="000525BF" w:rsidRPr="00BF61BF">
        <w:rPr>
          <w:lang w:val="es-ES_tradnl"/>
        </w:rPr>
        <w:t>E</w:t>
      </w:r>
      <w:r w:rsidRPr="00BF61BF">
        <w:rPr>
          <w:lang w:val="es-ES_tradnl"/>
        </w:rPr>
        <w:t>special, para apoyar las actividades de creación de capaci</w:t>
      </w:r>
      <w:r w:rsidR="00776C40" w:rsidRPr="00BF61BF">
        <w:rPr>
          <w:lang w:val="es-ES_tradnl"/>
        </w:rPr>
        <w:t>dad y asistencia técnica de la S</w:t>
      </w:r>
      <w:r w:rsidRPr="00BF61BF">
        <w:rPr>
          <w:lang w:val="es-ES_tradnl"/>
        </w:rPr>
        <w:t xml:space="preserve">ecretaría, de conformidad con el artículo 14, con fecha de vencimiento el 31 de diciembre de 2035; </w:t>
      </w:r>
    </w:p>
    <w:p w14:paraId="5FFD4AB0" w14:textId="782950DF" w:rsidR="009D5A40" w:rsidRPr="00BF61BF" w:rsidRDefault="00C83CF1" w:rsidP="002A6CFE">
      <w:pPr>
        <w:pStyle w:val="Normalnumber"/>
        <w:numPr>
          <w:ilvl w:val="1"/>
          <w:numId w:val="4"/>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El </w:t>
      </w:r>
      <w:r w:rsidR="000525BF" w:rsidRPr="00BF61BF">
        <w:rPr>
          <w:lang w:val="es-ES_tradnl"/>
        </w:rPr>
        <w:t>F</w:t>
      </w:r>
      <w:r w:rsidRPr="00BF61BF">
        <w:rPr>
          <w:lang w:val="es-ES_tradnl"/>
        </w:rPr>
        <w:t xml:space="preserve">ondo </w:t>
      </w:r>
      <w:r w:rsidR="000525BF" w:rsidRPr="00BF61BF">
        <w:rPr>
          <w:lang w:val="es-ES_tradnl"/>
        </w:rPr>
        <w:t>F</w:t>
      </w:r>
      <w:r w:rsidRPr="00BF61BF">
        <w:rPr>
          <w:lang w:val="es-ES_tradnl"/>
        </w:rPr>
        <w:t xml:space="preserve">iduciario </w:t>
      </w:r>
      <w:r w:rsidR="00A45AB8" w:rsidRPr="00BF61BF">
        <w:rPr>
          <w:lang w:val="es-ES_tradnl"/>
        </w:rPr>
        <w:t>E</w:t>
      </w:r>
      <w:r w:rsidR="00803579" w:rsidRPr="00BF61BF">
        <w:rPr>
          <w:lang w:val="es-ES_tradnl"/>
        </w:rPr>
        <w:t xml:space="preserve">specífico para el Programa </w:t>
      </w:r>
      <w:r w:rsidR="000525BF" w:rsidRPr="00BF61BF">
        <w:rPr>
          <w:lang w:val="es-ES_tradnl"/>
        </w:rPr>
        <w:t>i</w:t>
      </w:r>
      <w:r w:rsidR="00803579" w:rsidRPr="00BF61BF">
        <w:rPr>
          <w:lang w:val="es-ES_tradnl"/>
        </w:rPr>
        <w:t xml:space="preserve">nternacional </w:t>
      </w:r>
      <w:r w:rsidR="000525BF" w:rsidRPr="00BF61BF">
        <w:rPr>
          <w:lang w:val="es-ES_tradnl"/>
        </w:rPr>
        <w:t>e</w:t>
      </w:r>
      <w:r w:rsidR="00803579" w:rsidRPr="00BF61BF">
        <w:rPr>
          <w:lang w:val="es-ES_tradnl"/>
        </w:rPr>
        <w:t>specífico para apoyar la creación de capacidad y la asistencia técnica, establecido de conformidad con el artículo 13. Habida cuenta de que e</w:t>
      </w:r>
      <w:r w:rsidR="00B16A06" w:rsidRPr="00BF61BF">
        <w:rPr>
          <w:lang w:val="es-ES_tradnl"/>
        </w:rPr>
        <w:t>l Programa internacional e</w:t>
      </w:r>
      <w:r w:rsidR="00803579" w:rsidRPr="00BF61BF">
        <w:rPr>
          <w:lang w:val="es-ES_tradnl"/>
        </w:rPr>
        <w:t>specífico tiene duración limitada, se ha fijado la fecha de vencimient</w:t>
      </w:r>
      <w:r w:rsidR="00981193" w:rsidRPr="00BF61BF">
        <w:rPr>
          <w:lang w:val="es-ES_tradnl"/>
        </w:rPr>
        <w:t>o de este fondo f</w:t>
      </w:r>
      <w:r w:rsidR="00803579" w:rsidRPr="00BF61BF">
        <w:rPr>
          <w:lang w:val="es-ES_tradnl"/>
        </w:rPr>
        <w:t xml:space="preserve">iduciario para el 31 de diciembre de 2028. </w:t>
      </w:r>
    </w:p>
    <w:p w14:paraId="132733E8" w14:textId="0101FC46" w:rsidR="00397A76" w:rsidRPr="00BF61BF" w:rsidRDefault="00215138" w:rsidP="00866240">
      <w:pPr>
        <w:pStyle w:val="Normalnumber"/>
        <w:tabs>
          <w:tab w:val="clear" w:pos="1134"/>
          <w:tab w:val="clear" w:pos="1247"/>
          <w:tab w:val="clear" w:pos="1814"/>
          <w:tab w:val="clear" w:pos="2381"/>
          <w:tab w:val="clear" w:pos="2948"/>
          <w:tab w:val="clear" w:pos="3515"/>
          <w:tab w:val="clear" w:pos="4082"/>
          <w:tab w:val="left" w:pos="624"/>
        </w:tabs>
        <w:rPr>
          <w:lang w:val="es-ES_tradnl"/>
        </w:rPr>
      </w:pPr>
      <w:r w:rsidRPr="00BF61BF">
        <w:rPr>
          <w:lang w:val="es-ES_tradnl"/>
        </w:rPr>
        <w:t>En su decisión </w:t>
      </w:r>
      <w:r w:rsidR="00DC5F89" w:rsidRPr="00BF61BF">
        <w:rPr>
          <w:lang w:val="es-ES_tradnl"/>
        </w:rPr>
        <w:t>MC-2/12, la Conferencia de las Partes aprobó el presupuesto actualizado para el</w:t>
      </w:r>
      <w:r w:rsidR="00322B55" w:rsidRPr="00BF61BF">
        <w:rPr>
          <w:lang w:val="es-ES_tradnl"/>
        </w:rPr>
        <w:t> </w:t>
      </w:r>
      <w:r w:rsidR="00A45AB8" w:rsidRPr="00BF61BF">
        <w:rPr>
          <w:lang w:val="es-ES_tradnl"/>
        </w:rPr>
        <w:t>F</w:t>
      </w:r>
      <w:r w:rsidR="00DC5F89" w:rsidRPr="00BF61BF">
        <w:rPr>
          <w:lang w:val="es-ES_tradnl"/>
        </w:rPr>
        <w:t xml:space="preserve">ondo </w:t>
      </w:r>
      <w:r w:rsidR="00A45AB8" w:rsidRPr="00BF61BF">
        <w:rPr>
          <w:lang w:val="es-ES_tradnl"/>
        </w:rPr>
        <w:t>F</w:t>
      </w:r>
      <w:r w:rsidR="00DC5F89" w:rsidRPr="00BF61BF">
        <w:rPr>
          <w:lang w:val="es-ES_tradnl"/>
        </w:rPr>
        <w:t xml:space="preserve">iduciario </w:t>
      </w:r>
      <w:r w:rsidR="00A45AB8" w:rsidRPr="00BF61BF">
        <w:rPr>
          <w:lang w:val="es-ES_tradnl"/>
        </w:rPr>
        <w:t>G</w:t>
      </w:r>
      <w:r w:rsidR="00DC5F89" w:rsidRPr="00BF61BF">
        <w:rPr>
          <w:lang w:val="es-ES_tradnl"/>
        </w:rPr>
        <w:t>eneral de 4.080.374 dólares de los Estados Unidos para 2019 y autorizó a la Secretaria</w:t>
      </w:r>
      <w:r w:rsidR="00322B55" w:rsidRPr="00BF61BF">
        <w:rPr>
          <w:lang w:val="es-ES_tradnl"/>
        </w:rPr>
        <w:t> </w:t>
      </w:r>
      <w:r w:rsidR="00DC5F89" w:rsidRPr="00BF61BF">
        <w:rPr>
          <w:lang w:val="es-ES_tradnl"/>
        </w:rPr>
        <w:t xml:space="preserve">Ejecutiva a retirar del superávit disponible del </w:t>
      </w:r>
      <w:r w:rsidR="00A45AB8" w:rsidRPr="00BF61BF">
        <w:rPr>
          <w:lang w:val="es-ES_tradnl"/>
        </w:rPr>
        <w:t>F</w:t>
      </w:r>
      <w:r w:rsidR="00DC5F89" w:rsidRPr="00BF61BF">
        <w:rPr>
          <w:lang w:val="es-ES_tradnl"/>
        </w:rPr>
        <w:t xml:space="preserve">ondo </w:t>
      </w:r>
      <w:r w:rsidR="00A45AB8" w:rsidRPr="00BF61BF">
        <w:rPr>
          <w:lang w:val="es-ES_tradnl"/>
        </w:rPr>
        <w:t>F</w:t>
      </w:r>
      <w:r w:rsidR="00DC5F89" w:rsidRPr="00BF61BF">
        <w:rPr>
          <w:lang w:val="es-ES_tradnl"/>
        </w:rPr>
        <w:t xml:space="preserve">iduciario </w:t>
      </w:r>
      <w:r w:rsidR="00A45AB8" w:rsidRPr="00BF61BF">
        <w:rPr>
          <w:lang w:val="es-ES_tradnl"/>
        </w:rPr>
        <w:t>G</w:t>
      </w:r>
      <w:r w:rsidR="00DC5F89" w:rsidRPr="00BF61BF">
        <w:rPr>
          <w:lang w:val="es-ES_tradnl"/>
        </w:rPr>
        <w:t xml:space="preserve">eneral </w:t>
      </w:r>
      <w:r w:rsidR="00A45AB8" w:rsidRPr="00BF61BF">
        <w:rPr>
          <w:lang w:val="es-ES_tradnl"/>
        </w:rPr>
        <w:t xml:space="preserve">la cantidad </w:t>
      </w:r>
      <w:r w:rsidR="00DC5F89" w:rsidRPr="00BF61BF">
        <w:rPr>
          <w:lang w:val="es-ES_tradnl"/>
        </w:rPr>
        <w:t>de 237.300 dólares en 2019. También aprobó la escala indicativa de cuotas del prorrateo de los gastos correspondientes a 2019 que figura en la decisión y autorizó a la Secretaria Ejecutiva a que ajustara la escala de manera que se incluy</w:t>
      </w:r>
      <w:r w:rsidR="007D7F29" w:rsidRPr="00BF61BF">
        <w:rPr>
          <w:lang w:val="es-ES_tradnl"/>
        </w:rPr>
        <w:t>ese</w:t>
      </w:r>
      <w:r w:rsidR="00DC5F89" w:rsidRPr="00BF61BF">
        <w:rPr>
          <w:lang w:val="es-ES_tradnl"/>
        </w:rPr>
        <w:t xml:space="preserve"> a todas las Partes para las cuales el Convenio </w:t>
      </w:r>
      <w:r w:rsidR="007D7F29" w:rsidRPr="00BF61BF">
        <w:rPr>
          <w:lang w:val="es-ES_tradnl"/>
        </w:rPr>
        <w:t>había entrado</w:t>
      </w:r>
      <w:r w:rsidR="00DC5F89" w:rsidRPr="00BF61BF">
        <w:rPr>
          <w:lang w:val="es-ES_tradnl"/>
        </w:rPr>
        <w:t xml:space="preserve"> en vigor antes del 1 de enero de 2019. </w:t>
      </w:r>
      <w:r w:rsidR="007D7F29" w:rsidRPr="00BF61BF">
        <w:rPr>
          <w:lang w:val="es-ES_tradnl"/>
        </w:rPr>
        <w:t>Además</w:t>
      </w:r>
      <w:r w:rsidR="00DC5F89" w:rsidRPr="00BF61BF">
        <w:rPr>
          <w:lang w:val="es-ES_tradnl"/>
        </w:rPr>
        <w:t xml:space="preserve">, </w:t>
      </w:r>
      <w:r w:rsidR="007D7F29" w:rsidRPr="00BF61BF">
        <w:rPr>
          <w:lang w:val="es-ES_tradnl"/>
        </w:rPr>
        <w:t>exhortó</w:t>
      </w:r>
      <w:r w:rsidR="00DC5F89" w:rsidRPr="00BF61BF">
        <w:rPr>
          <w:lang w:val="es-ES_tradnl"/>
        </w:rPr>
        <w:t xml:space="preserve"> a las Partes </w:t>
      </w:r>
      <w:r w:rsidR="00B16A06" w:rsidRPr="00BF61BF">
        <w:rPr>
          <w:lang w:val="es-ES_tradnl"/>
        </w:rPr>
        <w:t>–</w:t>
      </w:r>
      <w:r w:rsidR="007D7F29" w:rsidRPr="00BF61BF">
        <w:rPr>
          <w:lang w:val="es-ES_tradnl"/>
        </w:rPr>
        <w:t>e invitó a los Estados que no sean Partes en el Convenio y otras entidades, que estuvieran en condiciones de hacerlo</w:t>
      </w:r>
      <w:r w:rsidR="00B16A06" w:rsidRPr="00BF61BF">
        <w:rPr>
          <w:lang w:val="es-ES_tradnl"/>
        </w:rPr>
        <w:t>–</w:t>
      </w:r>
      <w:r w:rsidR="007D7F29" w:rsidRPr="00BF61BF">
        <w:rPr>
          <w:lang w:val="es-ES_tradnl"/>
        </w:rPr>
        <w:t xml:space="preserve"> a </w:t>
      </w:r>
      <w:r w:rsidR="00981193" w:rsidRPr="00BF61BF">
        <w:rPr>
          <w:lang w:val="es-ES_tradnl"/>
        </w:rPr>
        <w:t xml:space="preserve">que hicieran contribuciones al </w:t>
      </w:r>
      <w:r w:rsidR="007D7F29" w:rsidRPr="00BF61BF">
        <w:rPr>
          <w:lang w:val="es-ES_tradnl"/>
        </w:rPr>
        <w:t>F</w:t>
      </w:r>
      <w:r w:rsidR="00981193" w:rsidRPr="00BF61BF">
        <w:rPr>
          <w:lang w:val="es-ES_tradnl"/>
        </w:rPr>
        <w:t xml:space="preserve">ondo </w:t>
      </w:r>
      <w:r w:rsidR="007D7F29" w:rsidRPr="00BF61BF">
        <w:rPr>
          <w:lang w:val="es-ES_tradnl"/>
        </w:rPr>
        <w:t>F</w:t>
      </w:r>
      <w:r w:rsidR="00981193" w:rsidRPr="00BF61BF">
        <w:rPr>
          <w:lang w:val="es-ES_tradnl"/>
        </w:rPr>
        <w:t xml:space="preserve">iduciario </w:t>
      </w:r>
      <w:r w:rsidR="007D7F29" w:rsidRPr="00BF61BF">
        <w:rPr>
          <w:lang w:val="es-ES_tradnl"/>
        </w:rPr>
        <w:t>E</w:t>
      </w:r>
      <w:r w:rsidR="00DC5F89" w:rsidRPr="00BF61BF">
        <w:rPr>
          <w:lang w:val="es-ES_tradnl"/>
        </w:rPr>
        <w:t>special para apoyar las actividades de creación de capacidad y asistencia técnica de la Secretaría, de confor</w:t>
      </w:r>
      <w:r w:rsidR="00981193" w:rsidRPr="00BF61BF">
        <w:rPr>
          <w:lang w:val="es-ES_tradnl"/>
        </w:rPr>
        <w:t xml:space="preserve">midad con el artículo 14, y al </w:t>
      </w:r>
      <w:r w:rsidR="007D7F29" w:rsidRPr="00BF61BF">
        <w:rPr>
          <w:lang w:val="es-ES_tradnl"/>
        </w:rPr>
        <w:t>F</w:t>
      </w:r>
      <w:r w:rsidR="00981193" w:rsidRPr="00BF61BF">
        <w:rPr>
          <w:lang w:val="es-ES_tradnl"/>
        </w:rPr>
        <w:t xml:space="preserve">ondo </w:t>
      </w:r>
      <w:r w:rsidR="007D7F29" w:rsidRPr="00BF61BF">
        <w:rPr>
          <w:lang w:val="es-ES_tradnl"/>
        </w:rPr>
        <w:t>F</w:t>
      </w:r>
      <w:r w:rsidR="00981193" w:rsidRPr="00BF61BF">
        <w:rPr>
          <w:lang w:val="es-ES_tradnl"/>
        </w:rPr>
        <w:t xml:space="preserve">iduciario </w:t>
      </w:r>
      <w:r w:rsidR="007D7F29" w:rsidRPr="00BF61BF">
        <w:rPr>
          <w:lang w:val="es-ES_tradnl"/>
        </w:rPr>
        <w:t>E</w:t>
      </w:r>
      <w:r w:rsidR="00DC5F89" w:rsidRPr="00BF61BF">
        <w:rPr>
          <w:lang w:val="es-ES_tradnl"/>
        </w:rPr>
        <w:t>spec</w:t>
      </w:r>
      <w:r w:rsidR="00981193" w:rsidRPr="00BF61BF">
        <w:rPr>
          <w:lang w:val="es-ES_tradnl"/>
        </w:rPr>
        <w:t>ífico</w:t>
      </w:r>
      <w:r w:rsidR="00DC5F89" w:rsidRPr="00BF61BF">
        <w:rPr>
          <w:lang w:val="es-ES_tradnl"/>
        </w:rPr>
        <w:t xml:space="preserve"> para apoyar las actividades de creación de capacidad y asistencia técnica, de conformidad con el artículo 13 de</w:t>
      </w:r>
      <w:r w:rsidR="007D7F29" w:rsidRPr="00BF61BF">
        <w:rPr>
          <w:lang w:val="es-ES_tradnl"/>
        </w:rPr>
        <w:t>l Convenio</w:t>
      </w:r>
      <w:r w:rsidR="00B16A06" w:rsidRPr="00BF61BF">
        <w:rPr>
          <w:lang w:val="es-ES_tradnl"/>
        </w:rPr>
        <w:t>.</w:t>
      </w:r>
    </w:p>
    <w:p w14:paraId="61FF0952" w14:textId="37D9F864" w:rsidR="00601426" w:rsidRPr="00BF61BF" w:rsidRDefault="00AB342C" w:rsidP="00866240">
      <w:pPr>
        <w:pStyle w:val="Normalnumber"/>
        <w:tabs>
          <w:tab w:val="clear" w:pos="1134"/>
          <w:tab w:val="clear" w:pos="1247"/>
          <w:tab w:val="clear" w:pos="1814"/>
          <w:tab w:val="clear" w:pos="2381"/>
          <w:tab w:val="clear" w:pos="2948"/>
          <w:tab w:val="clear" w:pos="3515"/>
          <w:tab w:val="clear" w:pos="4082"/>
          <w:tab w:val="left" w:pos="624"/>
        </w:tabs>
        <w:rPr>
          <w:lang w:val="es-ES_tradnl"/>
        </w:rPr>
      </w:pPr>
      <w:r w:rsidRPr="00BF61BF">
        <w:rPr>
          <w:lang w:val="es-ES_tradnl"/>
        </w:rPr>
        <w:t xml:space="preserve">Tal y como se menciona en el párrafo 2 de la presente nota, en la misma decisión, la Conferencia de las Partes </w:t>
      </w:r>
      <w:r w:rsidR="007D7F29" w:rsidRPr="00BF61BF">
        <w:rPr>
          <w:lang w:val="es-ES_tradnl"/>
        </w:rPr>
        <w:t>solicitó</w:t>
      </w:r>
      <w:r w:rsidRPr="00BF61BF">
        <w:rPr>
          <w:lang w:val="es-ES_tradnl"/>
        </w:rPr>
        <w:t xml:space="preserve"> a la Secretaria</w:t>
      </w:r>
      <w:r w:rsidR="00B16A06" w:rsidRPr="00BF61BF">
        <w:rPr>
          <w:lang w:val="es-ES_tradnl"/>
        </w:rPr>
        <w:t> </w:t>
      </w:r>
      <w:r w:rsidRPr="00BF61BF">
        <w:rPr>
          <w:lang w:val="es-ES_tradnl"/>
        </w:rPr>
        <w:t>Ejecutiva que presentara dos hipótesis para preparar el presupuesto y programa de trabajo para el bienio 2020</w:t>
      </w:r>
      <w:r w:rsidR="00322B55" w:rsidRPr="00BF61BF">
        <w:rPr>
          <w:lang w:val="es-ES_tradnl"/>
        </w:rPr>
        <w:noBreakHyphen/>
      </w:r>
      <w:r w:rsidRPr="00BF61BF">
        <w:rPr>
          <w:lang w:val="es-ES_tradnl"/>
        </w:rPr>
        <w:t>2021.</w:t>
      </w:r>
    </w:p>
    <w:p w14:paraId="5A1DF1FA" w14:textId="2F8FC73B" w:rsidR="0073685E" w:rsidRPr="00BF61BF" w:rsidRDefault="00C16F6C" w:rsidP="00866240">
      <w:pPr>
        <w:pStyle w:val="Normalnumber"/>
        <w:tabs>
          <w:tab w:val="clear" w:pos="1134"/>
          <w:tab w:val="clear" w:pos="1247"/>
          <w:tab w:val="clear" w:pos="1814"/>
          <w:tab w:val="clear" w:pos="2381"/>
          <w:tab w:val="clear" w:pos="2948"/>
          <w:tab w:val="clear" w:pos="3515"/>
          <w:tab w:val="clear" w:pos="4082"/>
          <w:tab w:val="left" w:pos="624"/>
        </w:tabs>
        <w:rPr>
          <w:lang w:val="es-ES_tradnl"/>
        </w:rPr>
      </w:pPr>
      <w:r w:rsidRPr="00BF61BF">
        <w:rPr>
          <w:lang w:val="es-ES_tradnl"/>
        </w:rPr>
        <w:t xml:space="preserve">La Conferencia de las Partes </w:t>
      </w:r>
      <w:r w:rsidR="00560D63" w:rsidRPr="00BF61BF">
        <w:rPr>
          <w:lang w:val="es-ES_tradnl"/>
        </w:rPr>
        <w:t>solicitó también</w:t>
      </w:r>
      <w:r w:rsidRPr="00BF61BF">
        <w:rPr>
          <w:lang w:val="es-ES_tradnl"/>
        </w:rPr>
        <w:t xml:space="preserve"> a la Secretaria Ejecutiva que tuviera en cuenta, en la preparación del programa de trabajo y presupuesto para 2020</w:t>
      </w:r>
      <w:r w:rsidR="0043327C" w:rsidRPr="00BF61BF">
        <w:rPr>
          <w:lang w:val="es-ES_tradnl"/>
        </w:rPr>
        <w:noBreakHyphen/>
      </w:r>
      <w:r w:rsidRPr="00BF61BF">
        <w:rPr>
          <w:lang w:val="es-ES_tradnl"/>
        </w:rPr>
        <w:t xml:space="preserve">2021, los arreglos </w:t>
      </w:r>
      <w:r w:rsidR="0003027B" w:rsidRPr="00BF61BF">
        <w:rPr>
          <w:lang w:val="es-ES_tradnl"/>
        </w:rPr>
        <w:t xml:space="preserve">pertinentes </w:t>
      </w:r>
      <w:r w:rsidRPr="00BF61BF">
        <w:rPr>
          <w:lang w:val="es-ES_tradnl"/>
        </w:rPr>
        <w:t>sobre el uso compartido servicios y las propuestas</w:t>
      </w:r>
      <w:r w:rsidR="00560D63" w:rsidRPr="00BF61BF">
        <w:rPr>
          <w:lang w:val="es-ES_tradnl"/>
        </w:rPr>
        <w:t xml:space="preserve"> operativas</w:t>
      </w:r>
      <w:r w:rsidRPr="00BF61BF">
        <w:rPr>
          <w:lang w:val="es-ES_tradnl"/>
        </w:rPr>
        <w:t xml:space="preserve"> formuladas por l</w:t>
      </w:r>
      <w:r w:rsidR="00560D63" w:rsidRPr="00BF61BF">
        <w:rPr>
          <w:lang w:val="es-ES_tradnl"/>
        </w:rPr>
        <w:t>a</w:t>
      </w:r>
      <w:r w:rsidRPr="00BF61BF">
        <w:rPr>
          <w:lang w:val="es-ES_tradnl"/>
        </w:rPr>
        <w:t xml:space="preserve"> Director</w:t>
      </w:r>
      <w:r w:rsidR="00560D63" w:rsidRPr="00BF61BF">
        <w:rPr>
          <w:lang w:val="es-ES_tradnl"/>
        </w:rPr>
        <w:t>a</w:t>
      </w:r>
      <w:r w:rsidRPr="00BF61BF">
        <w:rPr>
          <w:lang w:val="es-ES_tradnl"/>
        </w:rPr>
        <w:t xml:space="preserve"> Ejecutiv</w:t>
      </w:r>
      <w:r w:rsidR="00560D63" w:rsidRPr="00BF61BF">
        <w:rPr>
          <w:lang w:val="es-ES_tradnl"/>
        </w:rPr>
        <w:t>a</w:t>
      </w:r>
      <w:r w:rsidRPr="00BF61BF">
        <w:rPr>
          <w:lang w:val="es-ES_tradnl"/>
        </w:rPr>
        <w:t xml:space="preserve"> del Programa de las </w:t>
      </w:r>
      <w:r w:rsidR="002A6CFE" w:rsidRPr="00BF61BF">
        <w:rPr>
          <w:lang w:val="es-ES_tradnl"/>
        </w:rPr>
        <w:t>Naciones Unidas</w:t>
      </w:r>
      <w:r w:rsidRPr="00BF61BF">
        <w:rPr>
          <w:lang w:val="es-ES_tradnl"/>
        </w:rPr>
        <w:t xml:space="preserve"> para el Medio Ambiente en su capacidad de </w:t>
      </w:r>
      <w:r w:rsidR="00560D63" w:rsidRPr="00BF61BF">
        <w:rPr>
          <w:lang w:val="es-ES_tradnl"/>
        </w:rPr>
        <w:t xml:space="preserve">proveedora </w:t>
      </w:r>
      <w:r w:rsidRPr="00BF61BF">
        <w:rPr>
          <w:lang w:val="es-ES_tradnl"/>
        </w:rPr>
        <w:t xml:space="preserve">de servicios de secretaría al Convenio de Minamata, preparadas en colaboración con la Secretaria Ejecutiva del Convenio de Minamata y con el apoyo del Secretario Ejecutivo de los Convenios de Basilea y Estocolmo y la parte del Convenio de Rotterdam que asume el Programa de las </w:t>
      </w:r>
      <w:r w:rsidR="002A6CFE" w:rsidRPr="00BF61BF">
        <w:rPr>
          <w:lang w:val="es-ES_tradnl"/>
        </w:rPr>
        <w:t>Naciones Unidas</w:t>
      </w:r>
      <w:r w:rsidRPr="00BF61BF">
        <w:rPr>
          <w:lang w:val="es-ES_tradnl"/>
        </w:rPr>
        <w:t xml:space="preserve"> para el Medio Ambiente, relativas a un marco estable para el intercambio de servicios pertinentes de conformidad con el párrafo</w:t>
      </w:r>
      <w:r w:rsidR="00215138" w:rsidRPr="00BF61BF">
        <w:rPr>
          <w:lang w:val="es-ES_tradnl"/>
        </w:rPr>
        <w:t> </w:t>
      </w:r>
      <w:r w:rsidRPr="00BF61BF">
        <w:rPr>
          <w:lang w:val="es-ES_tradnl"/>
        </w:rPr>
        <w:t>2 de la decisión</w:t>
      </w:r>
      <w:r w:rsidR="0043327C" w:rsidRPr="00BF61BF">
        <w:rPr>
          <w:lang w:val="es-ES_tradnl"/>
        </w:rPr>
        <w:t> </w:t>
      </w:r>
      <w:r w:rsidRPr="00BF61BF">
        <w:rPr>
          <w:lang w:val="es-ES_tradnl"/>
        </w:rPr>
        <w:t>MC-2/7.</w:t>
      </w:r>
    </w:p>
    <w:p w14:paraId="49D8F81C" w14:textId="38A75D88" w:rsidR="002238F3" w:rsidRPr="00BF61BF" w:rsidRDefault="00C64F3D" w:rsidP="00866240">
      <w:pPr>
        <w:pStyle w:val="Normalnumber"/>
        <w:tabs>
          <w:tab w:val="clear" w:pos="1134"/>
          <w:tab w:val="clear" w:pos="1247"/>
          <w:tab w:val="clear" w:pos="1814"/>
          <w:tab w:val="clear" w:pos="2381"/>
          <w:tab w:val="clear" w:pos="2948"/>
          <w:tab w:val="clear" w:pos="3515"/>
          <w:tab w:val="clear" w:pos="4082"/>
          <w:tab w:val="left" w:pos="624"/>
        </w:tabs>
        <w:rPr>
          <w:lang w:val="es-ES_tradnl"/>
        </w:rPr>
      </w:pPr>
      <w:r w:rsidRPr="00BF61BF">
        <w:rPr>
          <w:lang w:val="es-ES_tradnl"/>
        </w:rPr>
        <w:t xml:space="preserve">En el documento de información UNEP/MC/COP.3/INF/9 se reproducen las </w:t>
      </w:r>
      <w:r w:rsidR="00981193" w:rsidRPr="00BF61BF">
        <w:rPr>
          <w:lang w:val="es-ES_tradnl"/>
        </w:rPr>
        <w:t>fichas</w:t>
      </w:r>
      <w:r w:rsidRPr="00BF61BF">
        <w:rPr>
          <w:lang w:val="es-ES_tradnl"/>
        </w:rPr>
        <w:t xml:space="preserve"> de datos de las</w:t>
      </w:r>
      <w:r w:rsidR="00B16A06" w:rsidRPr="00BF61BF">
        <w:rPr>
          <w:lang w:val="es-ES_tradnl"/>
        </w:rPr>
        <w:t> </w:t>
      </w:r>
      <w:r w:rsidRPr="00BF61BF">
        <w:rPr>
          <w:lang w:val="es-ES_tradnl"/>
        </w:rPr>
        <w:t>actividades presupuestarias y se proporciona información adicional sobre el programa de trabajo propuesto, junto con información sobre los documentos de sesión pertinentes, los mandatos y las características de cada actividad, con inclusión de los antecedentes y la justificación, los resultados previstos, los indicadores de progreso, los indicadores de resultado, los medios de verificación, los asociados, los recursos aprobados para el bienio 2018</w:t>
      </w:r>
      <w:r w:rsidR="0043327C" w:rsidRPr="00BF61BF">
        <w:rPr>
          <w:lang w:val="es-ES_tradnl"/>
        </w:rPr>
        <w:noBreakHyphen/>
      </w:r>
      <w:r w:rsidRPr="00BF61BF">
        <w:rPr>
          <w:lang w:val="es-ES_tradnl"/>
        </w:rPr>
        <w:t>2019 y los recursos necesarios para 2020</w:t>
      </w:r>
      <w:r w:rsidR="0043327C" w:rsidRPr="00BF61BF">
        <w:rPr>
          <w:lang w:val="es-ES_tradnl"/>
        </w:rPr>
        <w:noBreakHyphen/>
      </w:r>
      <w:r w:rsidRPr="00BF61BF">
        <w:rPr>
          <w:lang w:val="es-ES_tradnl"/>
        </w:rPr>
        <w:t>2021.</w:t>
      </w:r>
    </w:p>
    <w:p w14:paraId="23B3206B" w14:textId="50C01C0B" w:rsidR="007A73F7" w:rsidRPr="00BF61BF" w:rsidRDefault="00322B55" w:rsidP="00866240">
      <w:pPr>
        <w:pStyle w:val="CH2"/>
        <w:spacing w:before="240"/>
        <w:rPr>
          <w:lang w:val="es-ES_tradnl"/>
        </w:rPr>
      </w:pPr>
      <w:r w:rsidRPr="00BF61BF">
        <w:rPr>
          <w:lang w:val="es-ES_tradnl"/>
        </w:rPr>
        <w:tab/>
      </w:r>
      <w:r w:rsidR="007A73F7" w:rsidRPr="00BF61BF">
        <w:rPr>
          <w:lang w:val="es-ES_tradnl"/>
        </w:rPr>
        <w:t>B.</w:t>
      </w:r>
      <w:r w:rsidR="007A73F7" w:rsidRPr="00BF61BF">
        <w:rPr>
          <w:lang w:val="es-ES_tradnl"/>
        </w:rPr>
        <w:tab/>
      </w:r>
      <w:r w:rsidR="007A73F7" w:rsidRPr="00BF61BF">
        <w:rPr>
          <w:bCs/>
          <w:lang w:val="es-ES_tradnl"/>
        </w:rPr>
        <w:t>Presentación de los presupuestos por programas para las dos hipótesis</w:t>
      </w:r>
    </w:p>
    <w:p w14:paraId="29EF5EF9" w14:textId="6F120F7E" w:rsidR="00E926E0" w:rsidRPr="00BF61BF" w:rsidRDefault="00E926E0" w:rsidP="00866240">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BF61BF">
        <w:rPr>
          <w:lang w:val="es-ES_tradnl"/>
        </w:rPr>
        <w:t xml:space="preserve">Según el sistema de gestión financiera de las </w:t>
      </w:r>
      <w:r w:rsidR="002A6CFE" w:rsidRPr="00BF61BF">
        <w:rPr>
          <w:lang w:val="es-ES_tradnl"/>
        </w:rPr>
        <w:t>Naciones Unidas</w:t>
      </w:r>
      <w:r w:rsidRPr="00BF61BF">
        <w:rPr>
          <w:lang w:val="es-ES_tradnl"/>
        </w:rPr>
        <w:t>, las actividades que constituyen el</w:t>
      </w:r>
      <w:r w:rsidR="00B16A06" w:rsidRPr="00BF61BF">
        <w:rPr>
          <w:lang w:val="es-ES_tradnl"/>
        </w:rPr>
        <w:t> </w:t>
      </w:r>
      <w:r w:rsidRPr="00BF61BF">
        <w:rPr>
          <w:lang w:val="es-ES_tradnl"/>
        </w:rPr>
        <w:t>programa de trabajo sirven de base para la preparación del presupuesto. El proyecto de programa de</w:t>
      </w:r>
      <w:r w:rsidR="00B16A06" w:rsidRPr="00BF61BF">
        <w:rPr>
          <w:lang w:val="es-ES_tradnl"/>
        </w:rPr>
        <w:t> </w:t>
      </w:r>
      <w:r w:rsidRPr="00BF61BF">
        <w:rPr>
          <w:lang w:val="es-ES_tradnl"/>
        </w:rPr>
        <w:t xml:space="preserve">trabajo y el correspondiente presupuesto del Convenio de Minamata se estructura por tanto en 15 actividades propuestas </w:t>
      </w:r>
      <w:r w:rsidR="002649D0" w:rsidRPr="00BF61BF">
        <w:rPr>
          <w:lang w:val="es-ES_tradnl"/>
        </w:rPr>
        <w:t>bajo</w:t>
      </w:r>
      <w:r w:rsidRPr="00BF61BF">
        <w:rPr>
          <w:lang w:val="es-ES_tradnl"/>
        </w:rPr>
        <w:t xml:space="preserve"> l</w:t>
      </w:r>
      <w:r w:rsidR="002649D0" w:rsidRPr="00BF61BF">
        <w:rPr>
          <w:lang w:val="es-ES_tradnl"/>
        </w:rPr>
        <w:t>a</w:t>
      </w:r>
      <w:r w:rsidRPr="00BF61BF">
        <w:rPr>
          <w:lang w:val="es-ES_tradnl"/>
        </w:rPr>
        <w:t xml:space="preserve">s siete </w:t>
      </w:r>
      <w:r w:rsidR="002649D0" w:rsidRPr="00BF61BF">
        <w:rPr>
          <w:lang w:val="es-ES_tradnl"/>
        </w:rPr>
        <w:t>denominaciones</w:t>
      </w:r>
      <w:r w:rsidRPr="00BF61BF">
        <w:rPr>
          <w:lang w:val="es-ES_tradnl"/>
        </w:rPr>
        <w:t xml:space="preserve"> funcionales (véase el anexo II de la presente nota). </w:t>
      </w:r>
    </w:p>
    <w:p w14:paraId="5F1B2F7A" w14:textId="226642CC" w:rsidR="00E926E0" w:rsidRPr="00BF61BF" w:rsidRDefault="00E926E0" w:rsidP="00866240">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BF61BF">
        <w:rPr>
          <w:lang w:val="es-ES_tradnl"/>
        </w:rPr>
        <w:t>De conformidad con</w:t>
      </w:r>
      <w:r w:rsidR="002649D0" w:rsidRPr="00BF61BF">
        <w:rPr>
          <w:lang w:val="es-ES_tradnl"/>
        </w:rPr>
        <w:t xml:space="preserve"> el párrafo 14 de </w:t>
      </w:r>
      <w:r w:rsidRPr="00BF61BF">
        <w:rPr>
          <w:lang w:val="es-ES_tradnl"/>
        </w:rPr>
        <w:t>la decisión</w:t>
      </w:r>
      <w:r w:rsidR="0043327C" w:rsidRPr="00BF61BF">
        <w:rPr>
          <w:lang w:val="es-ES_tradnl"/>
        </w:rPr>
        <w:t> </w:t>
      </w:r>
      <w:r w:rsidRPr="00BF61BF">
        <w:rPr>
          <w:lang w:val="es-ES_tradnl"/>
        </w:rPr>
        <w:t>MC</w:t>
      </w:r>
      <w:r w:rsidR="00322B55" w:rsidRPr="00BF61BF">
        <w:rPr>
          <w:lang w:val="es-ES_tradnl"/>
        </w:rPr>
        <w:noBreakHyphen/>
      </w:r>
      <w:r w:rsidRPr="00BF61BF">
        <w:rPr>
          <w:lang w:val="es-ES_tradnl"/>
        </w:rPr>
        <w:t xml:space="preserve">2/12, la Secretaría ha preparado dos hipótesis presupuestarias, una con un crecimiento nominal cero y otra que refleja los cambios necesarios en esa hipótesis para satisfacer las necesidades proyectadas asociadas a la ejecución del programa de trabajo y el cumplimiento del mandato de la Secretaría. Las dos hipótesis presupuestarias se presentan a continuación. Los detalles figuran en las </w:t>
      </w:r>
      <w:r w:rsidR="00981193" w:rsidRPr="00BF61BF">
        <w:rPr>
          <w:lang w:val="es-ES_tradnl"/>
        </w:rPr>
        <w:t>fichas</w:t>
      </w:r>
      <w:r w:rsidRPr="00BF61BF">
        <w:rPr>
          <w:lang w:val="es-ES_tradnl"/>
        </w:rPr>
        <w:t xml:space="preserve"> de datos de las actividades presupuestarias (UNEP/MC/COP.3/INF/9) y </w:t>
      </w:r>
      <w:r w:rsidRPr="00BF61BF">
        <w:rPr>
          <w:lang w:val="es-ES_tradnl"/>
        </w:rPr>
        <w:lastRenderedPageBreak/>
        <w:t>en el documento informativo sobre la propuesta de presupuestos operacionales de las dos hipótesis de financiación (UNEP/MC/COP.3/INF/11).</w:t>
      </w:r>
    </w:p>
    <w:p w14:paraId="30F93DED" w14:textId="3A2A8AAA" w:rsidR="00F94A05" w:rsidRPr="00BF61BF" w:rsidRDefault="0028120D" w:rsidP="00866240">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BF61BF">
        <w:rPr>
          <w:lang w:val="es-ES_tradnl"/>
        </w:rPr>
        <w:t>Las cifras aportadas en la presente sección indican los gastos netos de apoyo a los programas, que por lo general representan el 13</w:t>
      </w:r>
      <w:r w:rsidR="0043327C" w:rsidRPr="00BF61BF">
        <w:rPr>
          <w:lang w:val="es-ES_tradnl"/>
        </w:rPr>
        <w:t> </w:t>
      </w:r>
      <w:r w:rsidRPr="00BF61BF">
        <w:rPr>
          <w:lang w:val="es-ES_tradnl"/>
        </w:rPr>
        <w:t>% de los gastos presupuestados.</w:t>
      </w:r>
    </w:p>
    <w:p w14:paraId="3B3EF520" w14:textId="07F45603" w:rsidR="002828C3" w:rsidRPr="00BF61BF" w:rsidRDefault="00322B55" w:rsidP="00866240">
      <w:pPr>
        <w:pStyle w:val="CH3"/>
        <w:spacing w:before="240"/>
        <w:rPr>
          <w:lang w:val="es-ES_tradnl"/>
        </w:rPr>
      </w:pPr>
      <w:r w:rsidRPr="00BF61BF">
        <w:rPr>
          <w:lang w:val="es-ES_tradnl"/>
        </w:rPr>
        <w:tab/>
      </w:r>
      <w:r w:rsidR="00866240" w:rsidRPr="00BF61BF">
        <w:rPr>
          <w:lang w:val="es-ES_tradnl"/>
        </w:rPr>
        <w:t>1.</w:t>
      </w:r>
      <w:r w:rsidR="00866240" w:rsidRPr="00BF61BF">
        <w:rPr>
          <w:lang w:val="es-ES_tradnl"/>
        </w:rPr>
        <w:tab/>
      </w:r>
      <w:r w:rsidR="00866240" w:rsidRPr="00BF61BF">
        <w:rPr>
          <w:bCs/>
          <w:lang w:val="es-ES_tradnl"/>
        </w:rPr>
        <w:t>Hipótesis de la Secretaria Ejecutiva</w:t>
      </w:r>
    </w:p>
    <w:p w14:paraId="794EA257" w14:textId="277658D3" w:rsidR="002828C3" w:rsidRPr="00BF61BF" w:rsidRDefault="002649D0" w:rsidP="00866240">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BF61BF">
        <w:rPr>
          <w:lang w:val="es-ES_tradnl"/>
        </w:rPr>
        <w:t>La hipótesis</w:t>
      </w:r>
      <w:r w:rsidR="002828C3" w:rsidRPr="00BF61BF">
        <w:rPr>
          <w:lang w:val="es-ES_tradnl"/>
        </w:rPr>
        <w:t xml:space="preserve"> de la Secretaria Ejecutiva ha </w:t>
      </w:r>
      <w:r w:rsidRPr="00BF61BF">
        <w:rPr>
          <w:lang w:val="es-ES_tradnl"/>
        </w:rPr>
        <w:t xml:space="preserve">sido </w:t>
      </w:r>
      <w:r w:rsidR="002828C3" w:rsidRPr="00BF61BF">
        <w:rPr>
          <w:lang w:val="es-ES_tradnl"/>
        </w:rPr>
        <w:t>elaborad</w:t>
      </w:r>
      <w:r w:rsidRPr="00BF61BF">
        <w:rPr>
          <w:lang w:val="es-ES_tradnl"/>
        </w:rPr>
        <w:t>a</w:t>
      </w:r>
      <w:r w:rsidR="002828C3" w:rsidRPr="00BF61BF">
        <w:rPr>
          <w:lang w:val="es-ES_tradnl"/>
        </w:rPr>
        <w:t xml:space="preserve"> con miras a la presupuestación de los elementos esenciales del programa de trabajo</w:t>
      </w:r>
      <w:r w:rsidRPr="00BF61BF">
        <w:rPr>
          <w:lang w:val="es-ES_tradnl"/>
        </w:rPr>
        <w:t xml:space="preserve"> para</w:t>
      </w:r>
      <w:r w:rsidR="002828C3" w:rsidRPr="00BF61BF">
        <w:rPr>
          <w:lang w:val="es-ES_tradnl"/>
        </w:rPr>
        <w:t xml:space="preserve"> cumplir con las actividades encomendadas en los artículos de</w:t>
      </w:r>
      <w:r w:rsidRPr="00BF61BF">
        <w:rPr>
          <w:lang w:val="es-ES_tradnl"/>
        </w:rPr>
        <w:t>l Convenio</w:t>
      </w:r>
      <w:r w:rsidR="002828C3" w:rsidRPr="00BF61BF">
        <w:rPr>
          <w:lang w:val="es-ES_tradnl"/>
        </w:rPr>
        <w:t xml:space="preserve">. </w:t>
      </w:r>
      <w:r w:rsidR="00232FD5" w:rsidRPr="00BF61BF">
        <w:rPr>
          <w:lang w:val="es-ES_tradnl"/>
        </w:rPr>
        <w:t>Con</w:t>
      </w:r>
      <w:r w:rsidRPr="00BF61BF">
        <w:rPr>
          <w:lang w:val="es-ES_tradnl"/>
        </w:rPr>
        <w:t xml:space="preserve">tiene </w:t>
      </w:r>
      <w:r w:rsidR="002828C3" w:rsidRPr="00BF61BF">
        <w:rPr>
          <w:lang w:val="es-ES_tradnl"/>
        </w:rPr>
        <w:t xml:space="preserve">elementos </w:t>
      </w:r>
      <w:r w:rsidRPr="00BF61BF">
        <w:rPr>
          <w:lang w:val="es-ES_tradnl"/>
        </w:rPr>
        <w:t xml:space="preserve">que se han mantenido </w:t>
      </w:r>
      <w:r w:rsidR="002828C3" w:rsidRPr="00BF61BF">
        <w:rPr>
          <w:lang w:val="es-ES_tradnl"/>
        </w:rPr>
        <w:t>a</w:t>
      </w:r>
      <w:r w:rsidRPr="00BF61BF">
        <w:rPr>
          <w:lang w:val="es-ES_tradnl"/>
        </w:rPr>
        <w:t>l</w:t>
      </w:r>
      <w:r w:rsidR="002828C3" w:rsidRPr="00BF61BF">
        <w:rPr>
          <w:lang w:val="es-ES_tradnl"/>
        </w:rPr>
        <w:t xml:space="preserve"> nivel de 2018</w:t>
      </w:r>
      <w:r w:rsidR="00215138" w:rsidRPr="00BF61BF">
        <w:rPr>
          <w:lang w:val="es-ES_tradnl"/>
        </w:rPr>
        <w:noBreakHyphen/>
      </w:r>
      <w:r w:rsidR="002828C3" w:rsidRPr="00BF61BF">
        <w:rPr>
          <w:lang w:val="es-ES_tradnl"/>
        </w:rPr>
        <w:t xml:space="preserve">2019, además de </w:t>
      </w:r>
      <w:r w:rsidRPr="00BF61BF">
        <w:rPr>
          <w:lang w:val="es-ES_tradnl"/>
        </w:rPr>
        <w:t xml:space="preserve">propuestas de </w:t>
      </w:r>
      <w:r w:rsidR="002828C3" w:rsidRPr="00BF61BF">
        <w:rPr>
          <w:lang w:val="es-ES_tradnl"/>
        </w:rPr>
        <w:t xml:space="preserve">actividades básicas adicionales basadas en los mandatos existentes y las necesidades de las Partes que se financiarán con cargo al </w:t>
      </w:r>
      <w:r w:rsidRPr="00BF61BF">
        <w:rPr>
          <w:lang w:val="es-ES_tradnl"/>
        </w:rPr>
        <w:t>F</w:t>
      </w:r>
      <w:r w:rsidR="002828C3" w:rsidRPr="00BF61BF">
        <w:rPr>
          <w:lang w:val="es-ES_tradnl"/>
        </w:rPr>
        <w:t xml:space="preserve">ondo </w:t>
      </w:r>
      <w:r w:rsidRPr="00BF61BF">
        <w:rPr>
          <w:lang w:val="es-ES_tradnl"/>
        </w:rPr>
        <w:t>F</w:t>
      </w:r>
      <w:r w:rsidR="002828C3" w:rsidRPr="00BF61BF">
        <w:rPr>
          <w:lang w:val="es-ES_tradnl"/>
        </w:rPr>
        <w:t xml:space="preserve">iduciario </w:t>
      </w:r>
      <w:r w:rsidRPr="00BF61BF">
        <w:rPr>
          <w:lang w:val="es-ES_tradnl"/>
        </w:rPr>
        <w:t>G</w:t>
      </w:r>
      <w:r w:rsidR="002828C3" w:rsidRPr="00BF61BF">
        <w:rPr>
          <w:lang w:val="es-ES_tradnl"/>
        </w:rPr>
        <w:t>eneral. Con las nuevas actividades básicas propuestas, el presupuesto total para 2020</w:t>
      </w:r>
      <w:r w:rsidR="00215138" w:rsidRPr="00BF61BF">
        <w:rPr>
          <w:lang w:val="es-ES_tradnl"/>
        </w:rPr>
        <w:noBreakHyphen/>
      </w:r>
      <w:r w:rsidR="002828C3" w:rsidRPr="00BF61BF">
        <w:rPr>
          <w:lang w:val="es-ES_tradnl"/>
        </w:rPr>
        <w:t>2021</w:t>
      </w:r>
      <w:r w:rsidR="00232FD5" w:rsidRPr="00BF61BF">
        <w:rPr>
          <w:lang w:val="es-ES_tradnl"/>
        </w:rPr>
        <w:t>,</w:t>
      </w:r>
      <w:r w:rsidR="002828C3" w:rsidRPr="00BF61BF">
        <w:rPr>
          <w:lang w:val="es-ES_tradnl"/>
        </w:rPr>
        <w:t xml:space="preserve"> sin incluir los gastos de apoyo a los programas</w:t>
      </w:r>
      <w:r w:rsidR="00232FD5" w:rsidRPr="00BF61BF">
        <w:rPr>
          <w:lang w:val="es-ES_tradnl"/>
        </w:rPr>
        <w:t>,</w:t>
      </w:r>
      <w:r w:rsidR="002828C3" w:rsidRPr="00BF61BF">
        <w:rPr>
          <w:lang w:val="es-ES_tradnl"/>
        </w:rPr>
        <w:t xml:space="preserve"> asciende a</w:t>
      </w:r>
      <w:r w:rsidR="00D54122" w:rsidRPr="00BF61BF">
        <w:rPr>
          <w:lang w:val="es-ES_tradnl"/>
        </w:rPr>
        <w:t> </w:t>
      </w:r>
      <w:r w:rsidR="002828C3" w:rsidRPr="00BF61BF">
        <w:rPr>
          <w:lang w:val="es-ES_tradnl"/>
        </w:rPr>
        <w:t>8.665.706 dólares, 1.798.806 dólares más que el presupuesto aprobado para el bienio</w:t>
      </w:r>
      <w:r w:rsidR="00322B55" w:rsidRPr="00BF61BF">
        <w:rPr>
          <w:lang w:val="es-ES_tradnl"/>
        </w:rPr>
        <w:t> </w:t>
      </w:r>
      <w:r w:rsidR="002828C3" w:rsidRPr="00BF61BF">
        <w:rPr>
          <w:lang w:val="es-ES_tradnl"/>
        </w:rPr>
        <w:t>2018</w:t>
      </w:r>
      <w:r w:rsidR="00322B55" w:rsidRPr="00BF61BF">
        <w:rPr>
          <w:lang w:val="es-ES_tradnl"/>
        </w:rPr>
        <w:noBreakHyphen/>
      </w:r>
      <w:r w:rsidR="002828C3" w:rsidRPr="00BF61BF">
        <w:rPr>
          <w:lang w:val="es-ES_tradnl"/>
        </w:rPr>
        <w:t xml:space="preserve">2019. </w:t>
      </w:r>
    </w:p>
    <w:p w14:paraId="58B6DC04" w14:textId="4999BA69" w:rsidR="002828C3" w:rsidRPr="00BF61BF" w:rsidRDefault="00072F76" w:rsidP="00866240">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BF61BF">
        <w:rPr>
          <w:lang w:val="es-ES_tradnl"/>
        </w:rPr>
        <w:t xml:space="preserve">La hipótesis de la Secretaria Ejecutiva, presentada para satisfacer las necesidades proyectadas, no </w:t>
      </w:r>
      <w:r w:rsidR="00527CCC" w:rsidRPr="00BF61BF">
        <w:rPr>
          <w:lang w:val="es-ES_tradnl"/>
        </w:rPr>
        <w:t xml:space="preserve">se traduce en </w:t>
      </w:r>
      <w:r w:rsidRPr="00BF61BF">
        <w:rPr>
          <w:lang w:val="es-ES_tradnl"/>
        </w:rPr>
        <w:t xml:space="preserve">ningún ahorro en comparación con la hipótesis de crecimiento nominal cero. Los cambios más importantes son los siguientes: </w:t>
      </w:r>
    </w:p>
    <w:p w14:paraId="5D500C1B" w14:textId="29BACF51" w:rsidR="00905593" w:rsidRPr="00BF61BF" w:rsidRDefault="00866240" w:rsidP="00453F5E">
      <w:pPr>
        <w:pStyle w:val="CH4"/>
        <w:tabs>
          <w:tab w:val="clear" w:pos="851"/>
        </w:tabs>
        <w:spacing w:before="240"/>
        <w:rPr>
          <w:i/>
          <w:iCs/>
          <w:lang w:val="es-ES_tradnl"/>
        </w:rPr>
      </w:pPr>
      <w:r w:rsidRPr="00BF61BF">
        <w:rPr>
          <w:lang w:val="es-ES_tradnl"/>
        </w:rPr>
        <w:tab/>
      </w:r>
      <w:r w:rsidRPr="00BF61BF">
        <w:rPr>
          <w:bCs/>
          <w:i/>
          <w:iCs/>
          <w:lang w:val="es-ES_tradnl"/>
        </w:rPr>
        <w:t>Incrementos en comparación con la hipótesis de crecimiento nominal cero</w:t>
      </w:r>
    </w:p>
    <w:p w14:paraId="1D68F81E" w14:textId="77777777" w:rsidR="00905593" w:rsidRPr="00BF61BF" w:rsidRDefault="00905593" w:rsidP="00322B55">
      <w:pPr>
        <w:pStyle w:val="Normalnumber"/>
        <w:tabs>
          <w:tab w:val="clear" w:pos="1134"/>
          <w:tab w:val="clear" w:pos="1247"/>
          <w:tab w:val="clear" w:pos="1814"/>
          <w:tab w:val="clear" w:pos="2381"/>
          <w:tab w:val="clear" w:pos="2948"/>
          <w:tab w:val="clear" w:pos="3515"/>
          <w:tab w:val="clear" w:pos="4082"/>
        </w:tabs>
        <w:rPr>
          <w:lang w:val="es-ES_tradnl"/>
        </w:rPr>
      </w:pPr>
      <w:r w:rsidRPr="00BF61BF">
        <w:rPr>
          <w:lang w:val="es-ES_tradnl"/>
        </w:rPr>
        <w:t>Los incrementos son los siguientes:</w:t>
      </w:r>
    </w:p>
    <w:p w14:paraId="3EA72543" w14:textId="14BBCE4D" w:rsidR="002828C3" w:rsidRPr="00BF61BF" w:rsidRDefault="002828C3" w:rsidP="00322B55">
      <w:pPr>
        <w:pStyle w:val="Normalnumber"/>
        <w:numPr>
          <w:ilvl w:val="1"/>
          <w:numId w:val="8"/>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1: se han asignado 55.000 dólares adicionales para incluir una serie de sesiones de alto nivel para la cuarta Conferencia de las Partes en el Convenio de Minamata. </w:t>
      </w:r>
    </w:p>
    <w:p w14:paraId="2D4D5C87" w14:textId="1CEB0AB2" w:rsidR="002828C3" w:rsidRPr="00BF61BF" w:rsidRDefault="002828C3" w:rsidP="00322B55">
      <w:pPr>
        <w:pStyle w:val="Normalnumber"/>
        <w:numPr>
          <w:ilvl w:val="1"/>
          <w:numId w:val="8"/>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6: con el objetivo de apoyar a la Conferencia de las Partes en la evaluación de la eficacia del Convenio con arreglo a lo dispuesto en el artículo 22 y en consonancia con el marco propuesto por el grupo </w:t>
      </w:r>
      <w:r w:rsidR="00866DB6" w:rsidRPr="00BF61BF">
        <w:rPr>
          <w:lang w:val="es-ES_tradnl"/>
        </w:rPr>
        <w:t xml:space="preserve">especial </w:t>
      </w:r>
      <w:r w:rsidRPr="00BF61BF">
        <w:rPr>
          <w:lang w:val="es-ES_tradnl"/>
        </w:rPr>
        <w:t xml:space="preserve">de expertos técnicos, se han asignado 582.000 dólares para trasladar </w:t>
      </w:r>
      <w:r w:rsidR="00C345C0" w:rsidRPr="00BF61BF">
        <w:rPr>
          <w:lang w:val="es-ES_tradnl"/>
        </w:rPr>
        <w:t xml:space="preserve">al presupuesto básico </w:t>
      </w:r>
      <w:r w:rsidRPr="00BF61BF">
        <w:rPr>
          <w:lang w:val="es-ES_tradnl"/>
        </w:rPr>
        <w:t xml:space="preserve">las actividades financiadas por el </w:t>
      </w:r>
      <w:r w:rsidR="00C345C0" w:rsidRPr="00BF61BF">
        <w:rPr>
          <w:lang w:val="es-ES_tradnl"/>
        </w:rPr>
        <w:t>Fondo Fiduciario Especial según</w:t>
      </w:r>
      <w:r w:rsidRPr="00BF61BF">
        <w:rPr>
          <w:lang w:val="es-ES_tradnl"/>
        </w:rPr>
        <w:t xml:space="preserve"> la hipótesis de crecimiento nominal cero, a fin de permitir la elaboración de un informe sobre las emisiones y liberaciones, otro informe sobre oferta, demanda y comercio y un tercero sobre desechos.</w:t>
      </w:r>
    </w:p>
    <w:p w14:paraId="0BE361B7" w14:textId="5E3CAA78" w:rsidR="002828C3" w:rsidRPr="00BF61BF" w:rsidRDefault="002828C3" w:rsidP="00322B55">
      <w:pPr>
        <w:pStyle w:val="Normalnumber"/>
        <w:numPr>
          <w:ilvl w:val="1"/>
          <w:numId w:val="8"/>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7: la Secretaría ha </w:t>
      </w:r>
      <w:r w:rsidR="00232FD5" w:rsidRPr="00BF61BF">
        <w:rPr>
          <w:lang w:val="es-ES_tradnl"/>
        </w:rPr>
        <w:t>calculado</w:t>
      </w:r>
      <w:r w:rsidRPr="00BF61BF">
        <w:rPr>
          <w:lang w:val="es-ES_tradnl"/>
        </w:rPr>
        <w:t xml:space="preserve"> </w:t>
      </w:r>
      <w:r w:rsidR="00232FD5" w:rsidRPr="00BF61BF">
        <w:rPr>
          <w:lang w:val="es-ES_tradnl"/>
        </w:rPr>
        <w:t>que se necesitan</w:t>
      </w:r>
      <w:r w:rsidRPr="00BF61BF">
        <w:rPr>
          <w:lang w:val="es-ES_tradnl"/>
        </w:rPr>
        <w:t xml:space="preserve"> 95.000 dólares en el bienio para desarrollar un sistema electrónico de presentación de informes nacionales</w:t>
      </w:r>
      <w:r w:rsidR="00C345C0" w:rsidRPr="00BF61BF">
        <w:rPr>
          <w:lang w:val="es-ES_tradnl"/>
        </w:rPr>
        <w:t xml:space="preserve"> en línea</w:t>
      </w:r>
      <w:r w:rsidRPr="00BF61BF">
        <w:rPr>
          <w:lang w:val="es-ES_tradnl"/>
        </w:rPr>
        <w:t xml:space="preserve"> para </w:t>
      </w:r>
      <w:r w:rsidR="00C345C0" w:rsidRPr="00BF61BF">
        <w:rPr>
          <w:lang w:val="es-ES_tradnl"/>
        </w:rPr>
        <w:t xml:space="preserve">la </w:t>
      </w:r>
      <w:r w:rsidRPr="00BF61BF">
        <w:rPr>
          <w:lang w:val="es-ES_tradnl"/>
        </w:rPr>
        <w:t>primer</w:t>
      </w:r>
      <w:r w:rsidR="00C345C0" w:rsidRPr="00BF61BF">
        <w:rPr>
          <w:lang w:val="es-ES_tradnl"/>
        </w:rPr>
        <w:t>a rond</w:t>
      </w:r>
      <w:r w:rsidR="00A85139" w:rsidRPr="00BF61BF">
        <w:rPr>
          <w:lang w:val="es-ES_tradnl"/>
        </w:rPr>
        <w:t>a</w:t>
      </w:r>
      <w:r w:rsidR="00C345C0" w:rsidRPr="00BF61BF">
        <w:rPr>
          <w:lang w:val="es-ES_tradnl"/>
        </w:rPr>
        <w:t xml:space="preserve"> de presentación de</w:t>
      </w:r>
      <w:r w:rsidRPr="00BF61BF">
        <w:rPr>
          <w:lang w:val="es-ES_tradnl"/>
        </w:rPr>
        <w:t xml:space="preserve"> informe</w:t>
      </w:r>
      <w:r w:rsidR="00C345C0" w:rsidRPr="00BF61BF">
        <w:rPr>
          <w:lang w:val="es-ES_tradnl"/>
        </w:rPr>
        <w:t xml:space="preserve">s exhaustivos por </w:t>
      </w:r>
      <w:r w:rsidRPr="00BF61BF">
        <w:rPr>
          <w:lang w:val="es-ES_tradnl"/>
        </w:rPr>
        <w:t xml:space="preserve">las Partes a más tardar el 31 de diciembre de 2021, </w:t>
      </w:r>
      <w:r w:rsidR="00C345C0" w:rsidRPr="00BF61BF">
        <w:rPr>
          <w:lang w:val="es-ES_tradnl"/>
        </w:rPr>
        <w:t xml:space="preserve">entre otras cosas, </w:t>
      </w:r>
      <w:r w:rsidRPr="00BF61BF">
        <w:rPr>
          <w:lang w:val="es-ES_tradnl"/>
        </w:rPr>
        <w:t>la capacitación y los instrumentos necesarios, y para llevar a cabo una evaluación de las comunicaciones remitidas por las Partes con arreglo al artículo 21. Esta suma se redujo a 60.000 dólares para llegar a la hipótesis de crecimiento nominal cero, lo que entraña una reducción correspondiente del alcance y los resultados de las actividades</w:t>
      </w:r>
      <w:r w:rsidR="00C345C0" w:rsidRPr="00BF61BF">
        <w:rPr>
          <w:lang w:val="es-ES_tradnl"/>
        </w:rPr>
        <w:t xml:space="preserve"> pertinentes</w:t>
      </w:r>
      <w:r w:rsidRPr="00BF61BF">
        <w:rPr>
          <w:lang w:val="es-ES_tradnl"/>
        </w:rPr>
        <w:t xml:space="preserve">. Como consecuencia, la hipótesis de la Secretaria Ejecutiva entraña un costo adicional de 35.000 dólares para </w:t>
      </w:r>
      <w:r w:rsidR="00232FD5" w:rsidRPr="00BF61BF">
        <w:rPr>
          <w:lang w:val="es-ES_tradnl"/>
        </w:rPr>
        <w:t xml:space="preserve">que </w:t>
      </w:r>
      <w:r w:rsidRPr="00BF61BF">
        <w:rPr>
          <w:lang w:val="es-ES_tradnl"/>
        </w:rPr>
        <w:t xml:space="preserve">esta actividad </w:t>
      </w:r>
      <w:r w:rsidR="00232FD5" w:rsidRPr="00BF61BF">
        <w:rPr>
          <w:lang w:val="es-ES_tradnl"/>
        </w:rPr>
        <w:t>satisfaga</w:t>
      </w:r>
      <w:r w:rsidRPr="00BF61BF">
        <w:rPr>
          <w:lang w:val="es-ES_tradnl"/>
        </w:rPr>
        <w:t xml:space="preserve"> las necesidades proyectadas.</w:t>
      </w:r>
    </w:p>
    <w:p w14:paraId="2F1A8CD2" w14:textId="0F1931F2" w:rsidR="00F421F5" w:rsidRPr="00BF61BF" w:rsidRDefault="002828C3" w:rsidP="00322B55">
      <w:pPr>
        <w:pStyle w:val="Normalnumber"/>
        <w:numPr>
          <w:ilvl w:val="1"/>
          <w:numId w:val="8"/>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8: en la esfera de publicaciones, se requieren otros 65.000 dólares adicionales para incluir la traducción de publicaciones en el presupuesto básico, </w:t>
      </w:r>
      <w:r w:rsidR="00866DB6" w:rsidRPr="00BF61BF">
        <w:rPr>
          <w:lang w:val="es-ES_tradnl"/>
        </w:rPr>
        <w:t>y no bajo la partida</w:t>
      </w:r>
      <w:r w:rsidR="00AA6982" w:rsidRPr="00BF61BF">
        <w:rPr>
          <w:lang w:val="es-ES_tradnl"/>
        </w:rPr>
        <w:t xml:space="preserve"> de</w:t>
      </w:r>
      <w:r w:rsidR="00BF61BF" w:rsidRPr="00BF61BF">
        <w:rPr>
          <w:lang w:val="es-ES_tradnl"/>
        </w:rPr>
        <w:t xml:space="preserve"> </w:t>
      </w:r>
      <w:r w:rsidRPr="00BF61BF">
        <w:rPr>
          <w:lang w:val="es-ES_tradnl"/>
        </w:rPr>
        <w:t xml:space="preserve">financiación voluntaria. </w:t>
      </w:r>
    </w:p>
    <w:p w14:paraId="01CD85CF" w14:textId="1BECA555" w:rsidR="002828C3" w:rsidRPr="00BF61BF" w:rsidRDefault="002828C3" w:rsidP="00322B55">
      <w:pPr>
        <w:pStyle w:val="Normalnumber"/>
        <w:numPr>
          <w:ilvl w:val="1"/>
          <w:numId w:val="8"/>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Actividad 10: para poder cumplir el programa de trabajo de la Secretaría para el bienio</w:t>
      </w:r>
      <w:r w:rsidR="008B3237" w:rsidRPr="00BF61BF">
        <w:rPr>
          <w:lang w:val="es-ES_tradnl"/>
        </w:rPr>
        <w:t> </w:t>
      </w:r>
      <w:r w:rsidRPr="00BF61BF">
        <w:rPr>
          <w:lang w:val="es-ES_tradnl"/>
        </w:rPr>
        <w:t>2020</w:t>
      </w:r>
      <w:r w:rsidR="0043327C" w:rsidRPr="00BF61BF">
        <w:rPr>
          <w:lang w:val="es-ES_tradnl"/>
        </w:rPr>
        <w:noBreakHyphen/>
      </w:r>
      <w:r w:rsidRPr="00BF61BF">
        <w:rPr>
          <w:lang w:val="es-ES_tradnl"/>
        </w:rPr>
        <w:t xml:space="preserve">2021, se necesitan 815.283 dólares más en la esfera de la Dirección y Gestión Ejecutivas, a fin de </w:t>
      </w:r>
      <w:r w:rsidR="00AA6982" w:rsidRPr="00BF61BF">
        <w:rPr>
          <w:lang w:val="es-ES_tradnl"/>
        </w:rPr>
        <w:t xml:space="preserve">contar con </w:t>
      </w:r>
      <w:r w:rsidRPr="00BF61BF">
        <w:rPr>
          <w:lang w:val="es-ES_tradnl"/>
        </w:rPr>
        <w:t xml:space="preserve">un Oficial de Programas de categoría P-4 </w:t>
      </w:r>
      <w:r w:rsidR="00AA6982" w:rsidRPr="00BF61BF">
        <w:rPr>
          <w:lang w:val="es-ES_tradnl"/>
        </w:rPr>
        <w:t xml:space="preserve">que </w:t>
      </w:r>
      <w:r w:rsidRPr="00BF61BF">
        <w:rPr>
          <w:lang w:val="es-ES_tradnl"/>
        </w:rPr>
        <w:t xml:space="preserve">respalde la labor del </w:t>
      </w:r>
      <w:r w:rsidR="00AA6982" w:rsidRPr="00BF61BF">
        <w:rPr>
          <w:lang w:val="es-ES_tradnl"/>
        </w:rPr>
        <w:t>P</w:t>
      </w:r>
      <w:r w:rsidRPr="00BF61BF">
        <w:rPr>
          <w:lang w:val="es-ES_tradnl"/>
        </w:rPr>
        <w:t>rograma internacional específico, lo que s</w:t>
      </w:r>
      <w:r w:rsidR="00AA6982" w:rsidRPr="00BF61BF">
        <w:rPr>
          <w:lang w:val="es-ES_tradnl"/>
        </w:rPr>
        <w:t xml:space="preserve">upondría, entre otras cosas, </w:t>
      </w:r>
      <w:r w:rsidRPr="00BF61BF">
        <w:rPr>
          <w:lang w:val="es-ES_tradnl"/>
        </w:rPr>
        <w:t xml:space="preserve">prestar servicios de secretaría a su Consejo de Administración, gestionar sus procesos de aplicación y evaluación, gestionar la ejecución administrativa y sustantiva de los proyectos aprobados, </w:t>
      </w:r>
      <w:r w:rsidR="00AA6982" w:rsidRPr="00BF61BF">
        <w:rPr>
          <w:lang w:val="es-ES_tradnl"/>
        </w:rPr>
        <w:t>rendir</w:t>
      </w:r>
      <w:r w:rsidRPr="00BF61BF">
        <w:rPr>
          <w:lang w:val="es-ES_tradnl"/>
        </w:rPr>
        <w:t xml:space="preserve"> informes a los donantes y supervisar los requisitos de evaluación, supervisión y auditoría del </w:t>
      </w:r>
      <w:r w:rsidR="0003027B" w:rsidRPr="00BF61BF">
        <w:rPr>
          <w:lang w:val="es-ES_tradnl"/>
        </w:rPr>
        <w:t>P</w:t>
      </w:r>
      <w:r w:rsidRPr="00BF61BF">
        <w:rPr>
          <w:lang w:val="es-ES_tradnl"/>
        </w:rPr>
        <w:t xml:space="preserve">rograma. Además, en esta esfera se propone que el actual puesto de Oficial de Comunicaciones/Gestión del Conocimiento de categoría P-3 se divida en dos </w:t>
      </w:r>
      <w:r w:rsidR="00AA6982" w:rsidRPr="00BF61BF">
        <w:rPr>
          <w:lang w:val="es-ES_tradnl"/>
        </w:rPr>
        <w:t>puestos</w:t>
      </w:r>
      <w:r w:rsidRPr="00BF61BF">
        <w:rPr>
          <w:lang w:val="es-ES_tradnl"/>
        </w:rPr>
        <w:t xml:space="preserve"> de especialización funcional separad</w:t>
      </w:r>
      <w:r w:rsidR="00AA6982" w:rsidRPr="00BF61BF">
        <w:rPr>
          <w:lang w:val="es-ES_tradnl"/>
        </w:rPr>
        <w:t>o</w:t>
      </w:r>
      <w:r w:rsidRPr="00BF61BF">
        <w:rPr>
          <w:lang w:val="es-ES_tradnl"/>
        </w:rPr>
        <w:t>s, a saber, un Oficial de Comunicaciones de categoría P-3 y un Oficial de Gestión del Conocimiento de categoría P-3. Esta separación de funciones se considera necesaria debido a la experiencia adquirida en los últimos 18 me</w:t>
      </w:r>
      <w:r w:rsidR="008F3F1E" w:rsidRPr="00BF61BF">
        <w:rPr>
          <w:lang w:val="es-ES_tradnl"/>
        </w:rPr>
        <w:t xml:space="preserve">ses, según la cual se </w:t>
      </w:r>
      <w:r w:rsidR="00232FD5" w:rsidRPr="00BF61BF">
        <w:rPr>
          <w:lang w:val="es-ES_tradnl"/>
        </w:rPr>
        <w:t>requieren</w:t>
      </w:r>
      <w:r w:rsidR="008F3F1E" w:rsidRPr="00BF61BF">
        <w:rPr>
          <w:lang w:val="es-ES_tradnl"/>
        </w:rPr>
        <w:t xml:space="preserve"> </w:t>
      </w:r>
      <w:r w:rsidRPr="00BF61BF">
        <w:rPr>
          <w:lang w:val="es-ES_tradnl"/>
        </w:rPr>
        <w:t xml:space="preserve">conocimientos especializados en </w:t>
      </w:r>
      <w:r w:rsidR="0003027B" w:rsidRPr="00BF61BF">
        <w:rPr>
          <w:lang w:val="es-ES_tradnl"/>
        </w:rPr>
        <w:t>cada</w:t>
      </w:r>
      <w:r w:rsidRPr="00BF61BF">
        <w:rPr>
          <w:lang w:val="es-ES_tradnl"/>
        </w:rPr>
        <w:t xml:space="preserve"> esfera de trabajo y una mayor capacidad para acometer las tareas de comunicaciones y de gestión de</w:t>
      </w:r>
      <w:r w:rsidR="0003027B" w:rsidRPr="00BF61BF">
        <w:rPr>
          <w:lang w:val="es-ES_tradnl"/>
        </w:rPr>
        <w:t xml:space="preserve"> </w:t>
      </w:r>
      <w:r w:rsidRPr="00BF61BF">
        <w:rPr>
          <w:lang w:val="es-ES_tradnl"/>
        </w:rPr>
        <w:t>l</w:t>
      </w:r>
      <w:r w:rsidR="0003027B" w:rsidRPr="00BF61BF">
        <w:rPr>
          <w:lang w:val="es-ES_tradnl"/>
        </w:rPr>
        <w:t>os</w:t>
      </w:r>
      <w:r w:rsidRPr="00BF61BF">
        <w:rPr>
          <w:lang w:val="es-ES_tradnl"/>
        </w:rPr>
        <w:t xml:space="preserve"> conocimiento</w:t>
      </w:r>
      <w:r w:rsidR="0003027B" w:rsidRPr="00BF61BF">
        <w:rPr>
          <w:lang w:val="es-ES_tradnl"/>
        </w:rPr>
        <w:t>s</w:t>
      </w:r>
      <w:r w:rsidRPr="00BF61BF">
        <w:rPr>
          <w:lang w:val="es-ES_tradnl"/>
        </w:rPr>
        <w:t xml:space="preserve"> que se han de realizar. El aumento también incluye otros</w:t>
      </w:r>
      <w:r w:rsidR="00D54122" w:rsidRPr="00BF61BF">
        <w:rPr>
          <w:lang w:val="es-ES_tradnl"/>
        </w:rPr>
        <w:t> </w:t>
      </w:r>
      <w:r w:rsidRPr="00BF61BF">
        <w:rPr>
          <w:lang w:val="es-ES_tradnl"/>
        </w:rPr>
        <w:t xml:space="preserve">20.000 dólares para viajes de personal a fin de que </w:t>
      </w:r>
      <w:r w:rsidR="00AA6982" w:rsidRPr="00BF61BF">
        <w:rPr>
          <w:lang w:val="es-ES_tradnl"/>
        </w:rPr>
        <w:t xml:space="preserve">la cantidad </w:t>
      </w:r>
      <w:r w:rsidRPr="00BF61BF">
        <w:rPr>
          <w:lang w:val="es-ES_tradnl"/>
        </w:rPr>
        <w:t>presupuestad</w:t>
      </w:r>
      <w:r w:rsidR="00AA6982" w:rsidRPr="00BF61BF">
        <w:rPr>
          <w:lang w:val="es-ES_tradnl"/>
        </w:rPr>
        <w:t>a</w:t>
      </w:r>
      <w:r w:rsidRPr="00BF61BF">
        <w:rPr>
          <w:lang w:val="es-ES_tradnl"/>
        </w:rPr>
        <w:t xml:space="preserve"> vuelva a los niveles de</w:t>
      </w:r>
      <w:r w:rsidR="00D54122" w:rsidRPr="00BF61BF">
        <w:rPr>
          <w:lang w:val="es-ES_tradnl"/>
        </w:rPr>
        <w:t> </w:t>
      </w:r>
      <w:r w:rsidRPr="00BF61BF">
        <w:rPr>
          <w:lang w:val="es-ES_tradnl"/>
        </w:rPr>
        <w:t>2018</w:t>
      </w:r>
      <w:r w:rsidR="0043327C" w:rsidRPr="00BF61BF">
        <w:rPr>
          <w:lang w:val="es-ES_tradnl"/>
        </w:rPr>
        <w:noBreakHyphen/>
      </w:r>
      <w:r w:rsidRPr="00BF61BF">
        <w:rPr>
          <w:lang w:val="es-ES_tradnl"/>
        </w:rPr>
        <w:t>2019</w:t>
      </w:r>
      <w:r w:rsidR="0003027B" w:rsidRPr="00BF61BF">
        <w:rPr>
          <w:lang w:val="es-ES_tradnl"/>
        </w:rPr>
        <w:t>, los cuales fue preciso reducir para llegar a un crecimiento nominal cero en la hipótesis de crecimiento nominal cero</w:t>
      </w:r>
      <w:r w:rsidRPr="00BF61BF">
        <w:rPr>
          <w:lang w:val="es-ES_tradnl"/>
        </w:rPr>
        <w:t xml:space="preserve">. </w:t>
      </w:r>
    </w:p>
    <w:p w14:paraId="4492FBAA" w14:textId="1D2B40DA" w:rsidR="002828C3" w:rsidRPr="00BF61BF" w:rsidRDefault="002828C3" w:rsidP="008B3237">
      <w:pPr>
        <w:pStyle w:val="Normalnumber"/>
        <w:numPr>
          <w:ilvl w:val="1"/>
          <w:numId w:val="8"/>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Actividad 13: en lo que respecta a las actividades jurídicas y normativas, se calcula que</w:t>
      </w:r>
      <w:r w:rsidR="00E31300" w:rsidRPr="00BF61BF">
        <w:rPr>
          <w:lang w:val="es-ES_tradnl"/>
        </w:rPr>
        <w:t xml:space="preserve"> para el bienio 2020</w:t>
      </w:r>
      <w:r w:rsidR="00E31300" w:rsidRPr="00BF61BF">
        <w:rPr>
          <w:lang w:val="es-ES_tradnl"/>
        </w:rPr>
        <w:noBreakHyphen/>
        <w:t>2021 se necesitarían</w:t>
      </w:r>
      <w:r w:rsidRPr="00BF61BF">
        <w:rPr>
          <w:lang w:val="es-ES_tradnl"/>
        </w:rPr>
        <w:t xml:space="preserve"> unos 234.000 dólares para trabajar </w:t>
      </w:r>
      <w:r w:rsidR="00E31300" w:rsidRPr="00BF61BF">
        <w:rPr>
          <w:lang w:val="es-ES_tradnl"/>
        </w:rPr>
        <w:t>en</w:t>
      </w:r>
      <w:r w:rsidRPr="00BF61BF">
        <w:rPr>
          <w:lang w:val="es-ES_tradnl"/>
        </w:rPr>
        <w:t xml:space="preserve"> los Objetivos de Desarrollo </w:t>
      </w:r>
      <w:r w:rsidRPr="00BF61BF">
        <w:rPr>
          <w:lang w:val="es-ES_tradnl"/>
        </w:rPr>
        <w:lastRenderedPageBreak/>
        <w:t xml:space="preserve">Sostenible y estrategias de género, incluidos estudios monográficos y talleres. En la hipótesis de la Secretaria Ejecutiva, esa suma se incluye en la financiación básica, en vez de </w:t>
      </w:r>
      <w:r w:rsidR="00E31300" w:rsidRPr="00BF61BF">
        <w:rPr>
          <w:lang w:val="es-ES_tradnl"/>
        </w:rPr>
        <w:t xml:space="preserve">en la </w:t>
      </w:r>
      <w:r w:rsidRPr="00BF61BF">
        <w:rPr>
          <w:lang w:val="es-ES_tradnl"/>
        </w:rPr>
        <w:t>financiación voluntaria.</w:t>
      </w:r>
    </w:p>
    <w:p w14:paraId="55CD7BB4" w14:textId="1F639FDF" w:rsidR="002828C3" w:rsidRPr="00BF61BF" w:rsidRDefault="002828C3" w:rsidP="008B3237">
      <w:pPr>
        <w:pStyle w:val="Normalnumber"/>
        <w:numPr>
          <w:ilvl w:val="1"/>
          <w:numId w:val="8"/>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14: el presupuesto </w:t>
      </w:r>
      <w:r w:rsidR="005C122F" w:rsidRPr="00BF61BF">
        <w:rPr>
          <w:lang w:val="es-ES_tradnl"/>
        </w:rPr>
        <w:t>d</w:t>
      </w:r>
      <w:r w:rsidRPr="00BF61BF">
        <w:rPr>
          <w:lang w:val="es-ES_tradnl"/>
        </w:rPr>
        <w:t>e la hipótesis de la Secretaria Ejecutiva supera por</w:t>
      </w:r>
      <w:r w:rsidR="007271FE" w:rsidRPr="00BF61BF">
        <w:rPr>
          <w:lang w:val="es-ES_tradnl"/>
        </w:rPr>
        <w:t> </w:t>
      </w:r>
      <w:r w:rsidRPr="00BF61BF">
        <w:rPr>
          <w:lang w:val="es-ES_tradnl"/>
        </w:rPr>
        <w:t xml:space="preserve">9.524 dólares al de la hipótesis de crecimiento nominal cero. Corresponde a las necesidades previstas de la Secretaría en materia de mantenimiento y servicios de oficina, mientras que en la hipótesis de crecimiento nominal cero, para lograrlo, el presupuesto se redujo </w:t>
      </w:r>
      <w:r w:rsidR="00E31300" w:rsidRPr="00BF61BF">
        <w:rPr>
          <w:lang w:val="es-ES_tradnl"/>
        </w:rPr>
        <w:t>en una cantidad similar</w:t>
      </w:r>
      <w:r w:rsidRPr="00BF61BF">
        <w:rPr>
          <w:lang w:val="es-ES_tradnl"/>
        </w:rPr>
        <w:t xml:space="preserve"> en los apartados de suministros de comunicación y equipo de oficina.</w:t>
      </w:r>
    </w:p>
    <w:p w14:paraId="470F9C28" w14:textId="2DAB593E" w:rsidR="002828C3" w:rsidRPr="00BF61BF" w:rsidRDefault="002828C3" w:rsidP="008B3237">
      <w:pPr>
        <w:pStyle w:val="Normalnumber"/>
        <w:numPr>
          <w:ilvl w:val="1"/>
          <w:numId w:val="8"/>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15: </w:t>
      </w:r>
      <w:r w:rsidR="00E31300" w:rsidRPr="00BF61BF">
        <w:rPr>
          <w:lang w:val="es-ES_tradnl"/>
        </w:rPr>
        <w:t>como ocurre con</w:t>
      </w:r>
      <w:r w:rsidRPr="00BF61BF">
        <w:rPr>
          <w:lang w:val="es-ES_tradnl"/>
        </w:rPr>
        <w:t xml:space="preserve"> la actividad 14, los 3.000 dólares </w:t>
      </w:r>
      <w:r w:rsidR="00E31300" w:rsidRPr="00BF61BF">
        <w:rPr>
          <w:lang w:val="es-ES_tradnl"/>
        </w:rPr>
        <w:t>adicionales</w:t>
      </w:r>
      <w:r w:rsidRPr="00BF61BF">
        <w:rPr>
          <w:lang w:val="es-ES_tradnl"/>
        </w:rPr>
        <w:t xml:space="preserve"> presupuestados para equipos y </w:t>
      </w:r>
      <w:r w:rsidR="00E31300" w:rsidRPr="00BF61BF">
        <w:rPr>
          <w:lang w:val="es-ES_tradnl"/>
        </w:rPr>
        <w:t>programas</w:t>
      </w:r>
      <w:r w:rsidRPr="00BF61BF">
        <w:rPr>
          <w:lang w:val="es-ES_tradnl"/>
        </w:rPr>
        <w:t xml:space="preserve"> de tecnología de la información en la hipótesis de la Secretaria</w:t>
      </w:r>
      <w:r w:rsidR="00A85139" w:rsidRPr="00BF61BF">
        <w:rPr>
          <w:lang w:val="es-ES_tradnl"/>
        </w:rPr>
        <w:t> </w:t>
      </w:r>
      <w:r w:rsidRPr="00BF61BF">
        <w:rPr>
          <w:lang w:val="es-ES_tradnl"/>
        </w:rPr>
        <w:t xml:space="preserve">Ejecutiva corresponden al costo </w:t>
      </w:r>
      <w:r w:rsidR="00E31300" w:rsidRPr="00BF61BF">
        <w:rPr>
          <w:lang w:val="es-ES_tradnl"/>
        </w:rPr>
        <w:t xml:space="preserve">real </w:t>
      </w:r>
      <w:r w:rsidRPr="00BF61BF">
        <w:rPr>
          <w:lang w:val="es-ES_tradnl"/>
        </w:rPr>
        <w:t>estimado de las necesidades proyectadas de la Secretaría en</w:t>
      </w:r>
      <w:r w:rsidR="00A85139" w:rsidRPr="00BF61BF">
        <w:rPr>
          <w:lang w:val="es-ES_tradnl"/>
        </w:rPr>
        <w:t> </w:t>
      </w:r>
      <w:r w:rsidRPr="00BF61BF">
        <w:rPr>
          <w:lang w:val="es-ES_tradnl"/>
        </w:rPr>
        <w:t xml:space="preserve">la esfera de servicios de tecnología de la información. </w:t>
      </w:r>
    </w:p>
    <w:p w14:paraId="3CE6765C" w14:textId="3E0E1449" w:rsidR="002828C3" w:rsidRPr="00BF61BF" w:rsidRDefault="00B63658" w:rsidP="0043327C">
      <w:pPr>
        <w:pStyle w:val="Normalnumber"/>
        <w:tabs>
          <w:tab w:val="clear" w:pos="1134"/>
          <w:tab w:val="clear" w:pos="1247"/>
          <w:tab w:val="clear" w:pos="1814"/>
          <w:tab w:val="clear" w:pos="2381"/>
          <w:tab w:val="clear" w:pos="2948"/>
          <w:tab w:val="clear" w:pos="3515"/>
          <w:tab w:val="clear" w:pos="4082"/>
        </w:tabs>
        <w:rPr>
          <w:lang w:val="es-ES_tradnl"/>
        </w:rPr>
      </w:pPr>
      <w:r w:rsidRPr="00BF61BF">
        <w:rPr>
          <w:lang w:val="es-ES_tradnl"/>
        </w:rPr>
        <w:t xml:space="preserve">La hipótesis de la Secretaria Ejecutiva contiene las siguientes </w:t>
      </w:r>
      <w:r w:rsidR="0044597D" w:rsidRPr="00BF61BF">
        <w:rPr>
          <w:lang w:val="es-ES_tradnl"/>
        </w:rPr>
        <w:t>reducciones</w:t>
      </w:r>
      <w:r w:rsidRPr="00BF61BF">
        <w:rPr>
          <w:lang w:val="es-ES_tradnl"/>
        </w:rPr>
        <w:t xml:space="preserve"> e incrementos con respecto al presupuesto aprobado para 2018</w:t>
      </w:r>
      <w:r w:rsidR="007271FE" w:rsidRPr="00BF61BF">
        <w:rPr>
          <w:lang w:val="es-ES_tradnl"/>
        </w:rPr>
        <w:noBreakHyphen/>
      </w:r>
      <w:r w:rsidRPr="00BF61BF">
        <w:rPr>
          <w:lang w:val="es-ES_tradnl"/>
        </w:rPr>
        <w:t>2019</w:t>
      </w:r>
      <w:r w:rsidR="004E5A49" w:rsidRPr="00BF61BF">
        <w:rPr>
          <w:lang w:val="es-ES_tradnl"/>
        </w:rPr>
        <w:t>.</w:t>
      </w:r>
    </w:p>
    <w:p w14:paraId="79769C61" w14:textId="3D2D0B5D" w:rsidR="005936B8" w:rsidRPr="00BF61BF" w:rsidRDefault="00866240" w:rsidP="00866240">
      <w:pPr>
        <w:pStyle w:val="CH4"/>
        <w:spacing w:before="240"/>
        <w:rPr>
          <w:i/>
          <w:iCs/>
          <w:lang w:val="es-ES_tradnl"/>
        </w:rPr>
      </w:pPr>
      <w:r w:rsidRPr="00BF61BF">
        <w:rPr>
          <w:lang w:val="es-ES_tradnl"/>
        </w:rPr>
        <w:tab/>
      </w:r>
      <w:r w:rsidRPr="00BF61BF">
        <w:rPr>
          <w:lang w:val="es-ES_tradnl"/>
        </w:rPr>
        <w:tab/>
      </w:r>
      <w:r w:rsidR="0044597D" w:rsidRPr="00BF61BF">
        <w:rPr>
          <w:bCs/>
          <w:i/>
          <w:iCs/>
          <w:lang w:val="es-ES_tradnl"/>
        </w:rPr>
        <w:t>Reducciones</w:t>
      </w:r>
      <w:r w:rsidRPr="00BF61BF">
        <w:rPr>
          <w:bCs/>
          <w:i/>
          <w:iCs/>
          <w:lang w:val="es-ES_tradnl"/>
        </w:rPr>
        <w:t xml:space="preserve"> con respecto al presupuesto aprobado para 2018-2019</w:t>
      </w:r>
    </w:p>
    <w:p w14:paraId="71545045" w14:textId="0419B645" w:rsidR="00905593" w:rsidRPr="00BF61BF" w:rsidRDefault="00905593" w:rsidP="007271FE">
      <w:pPr>
        <w:pStyle w:val="Normalnumber"/>
        <w:tabs>
          <w:tab w:val="clear" w:pos="1134"/>
          <w:tab w:val="clear" w:pos="1247"/>
          <w:tab w:val="clear" w:pos="1814"/>
          <w:tab w:val="clear" w:pos="2381"/>
          <w:tab w:val="clear" w:pos="2948"/>
          <w:tab w:val="clear" w:pos="3515"/>
          <w:tab w:val="clear" w:pos="4082"/>
        </w:tabs>
        <w:rPr>
          <w:lang w:val="es-ES_tradnl"/>
        </w:rPr>
      </w:pPr>
      <w:r w:rsidRPr="00BF61BF">
        <w:rPr>
          <w:lang w:val="es-ES_tradnl"/>
        </w:rPr>
        <w:t xml:space="preserve">Las </w:t>
      </w:r>
      <w:r w:rsidR="0044597D" w:rsidRPr="00BF61BF">
        <w:rPr>
          <w:lang w:val="es-ES_tradnl"/>
        </w:rPr>
        <w:t>reducciones</w:t>
      </w:r>
      <w:r w:rsidRPr="00BF61BF">
        <w:rPr>
          <w:lang w:val="es-ES_tradnl"/>
        </w:rPr>
        <w:t xml:space="preserve"> son las siguientes:</w:t>
      </w:r>
    </w:p>
    <w:p w14:paraId="3262B2B6" w14:textId="5D2DDB49" w:rsidR="005936B8" w:rsidRPr="00BF61BF" w:rsidRDefault="005936B8" w:rsidP="007271FE">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1: se ha calculado una </w:t>
      </w:r>
      <w:r w:rsidR="0044597D" w:rsidRPr="00BF61BF">
        <w:rPr>
          <w:lang w:val="es-ES_tradnl"/>
        </w:rPr>
        <w:t>reducción</w:t>
      </w:r>
      <w:r w:rsidRPr="00BF61BF">
        <w:rPr>
          <w:lang w:val="es-ES_tradnl"/>
        </w:rPr>
        <w:t xml:space="preserve"> de 610.000 dólares en relación con la cuarta reunión de la Conferencia de las Partes y sus órganos subsidiarios, debida principalmente al hecho de que dichas reuniones pasarán a celebrarse cada dos años en vez de anualmente. Dado que la Secretaría del Convenio de Minamata no cuenta con dotación de personal suficiente para prestar todos los servicios a las reuniones de la Conferencia de las Partes, el ahorro resultante se vería </w:t>
      </w:r>
      <w:r w:rsidR="00D30297" w:rsidRPr="00BF61BF">
        <w:rPr>
          <w:lang w:val="es-ES_tradnl"/>
        </w:rPr>
        <w:t>compensa</w:t>
      </w:r>
      <w:r w:rsidRPr="00BF61BF">
        <w:rPr>
          <w:lang w:val="es-ES_tradnl"/>
        </w:rPr>
        <w:t>do en parte por la necesidad de cubrir los requisitos de capacidad de refuerzo para las reuniones, la cual se propone que sea compartida y cubierta por la Secretaría de los Convenios de Basilea, Estocolmo y Rotterdam. Además, la hipótesis de la Secretaria Ejecutiva incluye la adición de una fase de alto nivel a la reunión.</w:t>
      </w:r>
    </w:p>
    <w:p w14:paraId="0BBD006D" w14:textId="652B5BEB" w:rsidR="00194297" w:rsidRPr="00BF61BF" w:rsidRDefault="00E63D4C" w:rsidP="007271FE">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3: en comparación con el bienio anterior, se han presupuestado 7.000 dólares menos para una reunión de tres días del Comité de Aplicación y Cumplimiento, conforme a lo acordado por el Comité en su reunión de junio de 2019, en lugar de las dos reuniones de dos días </w:t>
      </w:r>
      <w:r w:rsidR="0044597D" w:rsidRPr="00BF61BF">
        <w:rPr>
          <w:lang w:val="es-ES_tradnl"/>
        </w:rPr>
        <w:t>contempladas</w:t>
      </w:r>
      <w:r w:rsidRPr="00BF61BF">
        <w:rPr>
          <w:lang w:val="es-ES_tradnl"/>
        </w:rPr>
        <w:t xml:space="preserve"> e</w:t>
      </w:r>
      <w:r w:rsidR="008F3F1E" w:rsidRPr="00BF61BF">
        <w:rPr>
          <w:lang w:val="es-ES_tradnl"/>
        </w:rPr>
        <w:t xml:space="preserve">n el presupuesto aprobado para </w:t>
      </w:r>
      <w:r w:rsidRPr="00BF61BF">
        <w:rPr>
          <w:lang w:val="es-ES_tradnl"/>
        </w:rPr>
        <w:t>2018</w:t>
      </w:r>
      <w:r w:rsidR="00C42730" w:rsidRPr="00BF61BF">
        <w:rPr>
          <w:lang w:val="es-ES_tradnl"/>
        </w:rPr>
        <w:noBreakHyphen/>
      </w:r>
      <w:r w:rsidRPr="00BF61BF">
        <w:rPr>
          <w:lang w:val="es-ES_tradnl"/>
        </w:rPr>
        <w:t>2019, y a fin de reflejar l</w:t>
      </w:r>
      <w:r w:rsidR="0044597D" w:rsidRPr="00BF61BF">
        <w:rPr>
          <w:lang w:val="es-ES_tradnl"/>
        </w:rPr>
        <w:t>os</w:t>
      </w:r>
      <w:r w:rsidRPr="00BF61BF">
        <w:rPr>
          <w:lang w:val="es-ES_tradnl"/>
        </w:rPr>
        <w:t xml:space="preserve"> costo</w:t>
      </w:r>
      <w:r w:rsidR="0044597D" w:rsidRPr="00BF61BF">
        <w:rPr>
          <w:lang w:val="es-ES_tradnl"/>
        </w:rPr>
        <w:t>s</w:t>
      </w:r>
      <w:r w:rsidRPr="00BF61BF">
        <w:rPr>
          <w:lang w:val="es-ES_tradnl"/>
        </w:rPr>
        <w:t xml:space="preserve"> real</w:t>
      </w:r>
      <w:r w:rsidR="0044597D" w:rsidRPr="00BF61BF">
        <w:rPr>
          <w:lang w:val="es-ES_tradnl"/>
        </w:rPr>
        <w:t>es</w:t>
      </w:r>
      <w:r w:rsidRPr="00BF61BF">
        <w:rPr>
          <w:lang w:val="es-ES_tradnl"/>
        </w:rPr>
        <w:t xml:space="preserve"> de dicha reunión. </w:t>
      </w:r>
    </w:p>
    <w:p w14:paraId="237F4C31" w14:textId="4F51E639" w:rsidR="004B06E0" w:rsidRPr="00BF61BF" w:rsidRDefault="005843CA" w:rsidP="007271FE">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14: el presupuesto de mantenimiento </w:t>
      </w:r>
      <w:r w:rsidR="00A85139" w:rsidRPr="00BF61BF">
        <w:rPr>
          <w:lang w:val="es-ES_tradnl"/>
        </w:rPr>
        <w:t xml:space="preserve">de </w:t>
      </w:r>
      <w:r w:rsidRPr="00BF61BF">
        <w:rPr>
          <w:lang w:val="es-ES_tradnl"/>
        </w:rPr>
        <w:t>oficina</w:t>
      </w:r>
      <w:r w:rsidR="0044597D" w:rsidRPr="00BF61BF">
        <w:rPr>
          <w:lang w:val="es-ES_tradnl"/>
        </w:rPr>
        <w:t>s</w:t>
      </w:r>
      <w:r w:rsidRPr="00BF61BF">
        <w:rPr>
          <w:lang w:val="es-ES_tradnl"/>
        </w:rPr>
        <w:t xml:space="preserve"> muestra una </w:t>
      </w:r>
      <w:r w:rsidR="0044597D" w:rsidRPr="00BF61BF">
        <w:rPr>
          <w:lang w:val="es-ES_tradnl"/>
        </w:rPr>
        <w:t>reducción</w:t>
      </w:r>
      <w:r w:rsidRPr="00BF61BF">
        <w:rPr>
          <w:lang w:val="es-ES_tradnl"/>
        </w:rPr>
        <w:t xml:space="preserve"> de</w:t>
      </w:r>
      <w:r w:rsidR="00C42730" w:rsidRPr="00BF61BF">
        <w:rPr>
          <w:lang w:val="es-ES_tradnl"/>
        </w:rPr>
        <w:t> </w:t>
      </w:r>
      <w:r w:rsidRPr="00BF61BF">
        <w:rPr>
          <w:lang w:val="es-ES_tradnl"/>
        </w:rPr>
        <w:t>65.000 dólares en comparación con el bienio anterior, lo que refleja el hecho de que algunos servicios</w:t>
      </w:r>
      <w:r w:rsidR="0044597D" w:rsidRPr="00BF61BF">
        <w:rPr>
          <w:lang w:val="es-ES_tradnl"/>
        </w:rPr>
        <w:t>,</w:t>
      </w:r>
      <w:r w:rsidRPr="00BF61BF">
        <w:rPr>
          <w:lang w:val="es-ES_tradnl"/>
        </w:rPr>
        <w:t xml:space="preserve"> tales como las adquisiciones</w:t>
      </w:r>
      <w:r w:rsidR="0044597D" w:rsidRPr="00BF61BF">
        <w:rPr>
          <w:lang w:val="es-ES_tradnl"/>
        </w:rPr>
        <w:t>,</w:t>
      </w:r>
      <w:r w:rsidRPr="00BF61BF">
        <w:rPr>
          <w:lang w:val="es-ES_tradnl"/>
        </w:rPr>
        <w:t xml:space="preserve"> se pr</w:t>
      </w:r>
      <w:r w:rsidR="0044597D" w:rsidRPr="00BF61BF">
        <w:rPr>
          <w:lang w:val="es-ES_tradnl"/>
        </w:rPr>
        <w:t>estarían</w:t>
      </w:r>
      <w:r w:rsidRPr="00BF61BF">
        <w:rPr>
          <w:lang w:val="es-ES_tradnl"/>
        </w:rPr>
        <w:t xml:space="preserve"> internamente, así como el menor costo de elementos como la adquisición de equipo de oficina, ya que tod</w:t>
      </w:r>
      <w:r w:rsidR="0044597D" w:rsidRPr="00BF61BF">
        <w:rPr>
          <w:lang w:val="es-ES_tradnl"/>
        </w:rPr>
        <w:t>o el personal que ha pasado a ocupar los puestos</w:t>
      </w:r>
      <w:r w:rsidRPr="00BF61BF">
        <w:rPr>
          <w:lang w:val="es-ES_tradnl"/>
        </w:rPr>
        <w:t xml:space="preserve"> aprobad</w:t>
      </w:r>
      <w:r w:rsidR="0044597D" w:rsidRPr="00BF61BF">
        <w:rPr>
          <w:lang w:val="es-ES_tradnl"/>
        </w:rPr>
        <w:t>o</w:t>
      </w:r>
      <w:r w:rsidRPr="00BF61BF">
        <w:rPr>
          <w:lang w:val="es-ES_tradnl"/>
        </w:rPr>
        <w:t>s por la Conferencia de las Partes en su primera reunión ha sido dotad</w:t>
      </w:r>
      <w:r w:rsidR="0044597D" w:rsidRPr="00BF61BF">
        <w:rPr>
          <w:lang w:val="es-ES_tradnl"/>
        </w:rPr>
        <w:t>o</w:t>
      </w:r>
      <w:r w:rsidRPr="00BF61BF">
        <w:rPr>
          <w:lang w:val="es-ES_tradnl"/>
        </w:rPr>
        <w:t xml:space="preserve"> de mobiliario. La disminución de los gastos se </w:t>
      </w:r>
      <w:r w:rsidR="00D30297" w:rsidRPr="00BF61BF">
        <w:rPr>
          <w:lang w:val="es-ES_tradnl"/>
        </w:rPr>
        <w:t xml:space="preserve">compensa </w:t>
      </w:r>
      <w:r w:rsidRPr="00BF61BF">
        <w:rPr>
          <w:lang w:val="es-ES_tradnl"/>
        </w:rPr>
        <w:t xml:space="preserve">en parte por los costos de </w:t>
      </w:r>
      <w:r w:rsidR="0044597D" w:rsidRPr="00BF61BF">
        <w:rPr>
          <w:lang w:val="es-ES_tradnl"/>
        </w:rPr>
        <w:t xml:space="preserve">las </w:t>
      </w:r>
      <w:r w:rsidRPr="00BF61BF">
        <w:rPr>
          <w:lang w:val="es-ES_tradnl"/>
        </w:rPr>
        <w:t>licencias de Umoja</w:t>
      </w:r>
      <w:r w:rsidR="004B06E0" w:rsidRPr="00BF61BF">
        <w:rPr>
          <w:rStyle w:val="FootnoteReference"/>
          <w:lang w:val="es-ES_tradnl"/>
        </w:rPr>
        <w:footnoteReference w:id="2"/>
      </w:r>
      <w:r w:rsidRPr="00BF61BF">
        <w:rPr>
          <w:lang w:val="es-ES_tradnl"/>
        </w:rPr>
        <w:t xml:space="preserve"> que </w:t>
      </w:r>
      <w:r w:rsidR="002A6CFE" w:rsidRPr="00BF61BF">
        <w:rPr>
          <w:lang w:val="es-ES_tradnl"/>
        </w:rPr>
        <w:t>Naciones Unidas</w:t>
      </w:r>
      <w:r w:rsidRPr="00BF61BF">
        <w:rPr>
          <w:lang w:val="es-ES_tradnl"/>
        </w:rPr>
        <w:t xml:space="preserve"> ha empezado a cargar a todas las entidades en 2019.</w:t>
      </w:r>
    </w:p>
    <w:p w14:paraId="5AB04212" w14:textId="3448F445" w:rsidR="005843CA" w:rsidRPr="00BF61BF" w:rsidRDefault="004B06E0" w:rsidP="00C4273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15: hay una </w:t>
      </w:r>
      <w:r w:rsidR="0044597D" w:rsidRPr="00BF61BF">
        <w:rPr>
          <w:lang w:val="es-ES_tradnl"/>
        </w:rPr>
        <w:t>reducción</w:t>
      </w:r>
      <w:r w:rsidRPr="00BF61BF">
        <w:rPr>
          <w:lang w:val="es-ES_tradnl"/>
        </w:rPr>
        <w:t xml:space="preserve"> de 7.000 dólares </w:t>
      </w:r>
      <w:r w:rsidR="00D30297" w:rsidRPr="00BF61BF">
        <w:rPr>
          <w:lang w:val="es-ES_tradnl"/>
        </w:rPr>
        <w:t>en los</w:t>
      </w:r>
      <w:r w:rsidR="00BC4815" w:rsidRPr="00BF61BF">
        <w:rPr>
          <w:lang w:val="es-ES_tradnl"/>
        </w:rPr>
        <w:t xml:space="preserve"> </w:t>
      </w:r>
      <w:r w:rsidRPr="00BF61BF">
        <w:rPr>
          <w:lang w:val="es-ES_tradnl"/>
        </w:rPr>
        <w:t xml:space="preserve">servicios de tecnología de la información </w:t>
      </w:r>
      <w:r w:rsidR="0044597D" w:rsidRPr="00BF61BF">
        <w:rPr>
          <w:lang w:val="es-ES_tradnl"/>
        </w:rPr>
        <w:t xml:space="preserve">con respecto al </w:t>
      </w:r>
      <w:r w:rsidRPr="00BF61BF">
        <w:rPr>
          <w:lang w:val="es-ES_tradnl"/>
        </w:rPr>
        <w:t xml:space="preserve">bienio anterior, </w:t>
      </w:r>
      <w:r w:rsidR="00BC4815" w:rsidRPr="00BF61BF">
        <w:rPr>
          <w:lang w:val="es-ES_tradnl"/>
        </w:rPr>
        <w:t>la cual se debe princi</w:t>
      </w:r>
      <w:r w:rsidRPr="00BF61BF">
        <w:rPr>
          <w:lang w:val="es-ES_tradnl"/>
        </w:rPr>
        <w:t xml:space="preserve">palmente a </w:t>
      </w:r>
      <w:r w:rsidR="00BC4815" w:rsidRPr="00BF61BF">
        <w:rPr>
          <w:lang w:val="es-ES_tradnl"/>
        </w:rPr>
        <w:t xml:space="preserve">un menor nivel de </w:t>
      </w:r>
      <w:r w:rsidRPr="00BF61BF">
        <w:rPr>
          <w:lang w:val="es-ES_tradnl"/>
        </w:rPr>
        <w:t>adquisici</w:t>
      </w:r>
      <w:r w:rsidR="00BC4815" w:rsidRPr="00BF61BF">
        <w:rPr>
          <w:lang w:val="es-ES_tradnl"/>
        </w:rPr>
        <w:t>ones</w:t>
      </w:r>
      <w:r w:rsidRPr="00BF61BF">
        <w:rPr>
          <w:lang w:val="es-ES_tradnl"/>
        </w:rPr>
        <w:t xml:space="preserve"> de equipos nuevos</w:t>
      </w:r>
      <w:r w:rsidR="004010D5" w:rsidRPr="00BF61BF">
        <w:rPr>
          <w:lang w:val="es-ES_tradnl"/>
        </w:rPr>
        <w:t>, que se compensa</w:t>
      </w:r>
      <w:r w:rsidRPr="00BF61BF">
        <w:rPr>
          <w:lang w:val="es-ES_tradnl"/>
        </w:rPr>
        <w:t xml:space="preserve"> en parte por el aumento de los costos de licencias de software. </w:t>
      </w:r>
    </w:p>
    <w:p w14:paraId="5160D4BA" w14:textId="4F26E2B8" w:rsidR="00C227DE" w:rsidRPr="00BF61BF" w:rsidRDefault="00B63658" w:rsidP="00866240">
      <w:pPr>
        <w:pStyle w:val="CH4"/>
        <w:spacing w:before="240"/>
        <w:rPr>
          <w:i/>
          <w:iCs/>
          <w:lang w:val="es-ES_tradnl"/>
        </w:rPr>
      </w:pPr>
      <w:r w:rsidRPr="00BF61BF">
        <w:rPr>
          <w:lang w:val="es-ES_tradnl"/>
        </w:rPr>
        <w:tab/>
      </w:r>
      <w:r w:rsidRPr="00BF61BF">
        <w:rPr>
          <w:lang w:val="es-ES_tradnl"/>
        </w:rPr>
        <w:tab/>
      </w:r>
      <w:r w:rsidRPr="00BF61BF">
        <w:rPr>
          <w:bCs/>
          <w:i/>
          <w:iCs/>
          <w:lang w:val="es-ES_tradnl"/>
        </w:rPr>
        <w:t>Incrementos con respecto al presupuesto aprobado para 2018-2019</w:t>
      </w:r>
    </w:p>
    <w:p w14:paraId="5ECEA57C" w14:textId="3455B186" w:rsidR="00905593" w:rsidRPr="00BF61BF" w:rsidRDefault="00905593" w:rsidP="00C42730">
      <w:pPr>
        <w:pStyle w:val="Normalnumber"/>
        <w:tabs>
          <w:tab w:val="clear" w:pos="1134"/>
          <w:tab w:val="clear" w:pos="1247"/>
          <w:tab w:val="clear" w:pos="1814"/>
          <w:tab w:val="clear" w:pos="2381"/>
          <w:tab w:val="clear" w:pos="2948"/>
          <w:tab w:val="clear" w:pos="3515"/>
          <w:tab w:val="clear" w:pos="4082"/>
        </w:tabs>
        <w:rPr>
          <w:lang w:val="es-ES_tradnl"/>
        </w:rPr>
      </w:pPr>
      <w:r w:rsidRPr="00BF61BF">
        <w:rPr>
          <w:lang w:val="es-ES_tradnl"/>
        </w:rPr>
        <w:t>Los incrementos son los siguientes:</w:t>
      </w:r>
    </w:p>
    <w:p w14:paraId="0F6EB9B3" w14:textId="21D4870F" w:rsidR="005936B8" w:rsidRPr="00BF61BF" w:rsidRDefault="005936B8" w:rsidP="00C4273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2: se han presupuestado 2.000 dólares adicionales para dos reuniones de la Mesa de la Conferencia de las Partes destinadas a ajustar el presupuesto en consonancia con los costos reales de las reuniones. </w:t>
      </w:r>
    </w:p>
    <w:p w14:paraId="40E30437" w14:textId="0960F1E3" w:rsidR="00330093" w:rsidRPr="00BF61BF" w:rsidRDefault="007615EF" w:rsidP="00C4273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Actividad 6: se han presupuestado 810.000 dólares para la evaluación de la eficacia, que no estaba prevista en el presupuesto del bienio anterior</w:t>
      </w:r>
      <w:r w:rsidR="004010D5" w:rsidRPr="00BF61BF">
        <w:rPr>
          <w:lang w:val="es-ES_tradnl"/>
        </w:rPr>
        <w:t xml:space="preserve">, y que se destinarán a la preparación del </w:t>
      </w:r>
      <w:r w:rsidRPr="00BF61BF">
        <w:rPr>
          <w:lang w:val="es-ES_tradnl"/>
        </w:rPr>
        <w:t xml:space="preserve">informe </w:t>
      </w:r>
      <w:r w:rsidR="004010D5" w:rsidRPr="00BF61BF">
        <w:rPr>
          <w:lang w:val="es-ES_tradnl"/>
        </w:rPr>
        <w:t>sobre</w:t>
      </w:r>
      <w:r w:rsidRPr="00BF61BF">
        <w:rPr>
          <w:lang w:val="es-ES_tradnl"/>
        </w:rPr>
        <w:t xml:space="preserve"> vigilancia y </w:t>
      </w:r>
      <w:r w:rsidR="004010D5" w:rsidRPr="00BF61BF">
        <w:rPr>
          <w:lang w:val="es-ES_tradnl"/>
        </w:rPr>
        <w:t>e</w:t>
      </w:r>
      <w:r w:rsidRPr="00BF61BF">
        <w:rPr>
          <w:lang w:val="es-ES_tradnl"/>
        </w:rPr>
        <w:t xml:space="preserve">laboración de modelos propuesto por el grupo </w:t>
      </w:r>
      <w:r w:rsidR="004010D5" w:rsidRPr="00BF61BF">
        <w:rPr>
          <w:lang w:val="es-ES_tradnl"/>
        </w:rPr>
        <w:t xml:space="preserve">especial </w:t>
      </w:r>
      <w:r w:rsidRPr="00BF61BF">
        <w:rPr>
          <w:lang w:val="es-ES_tradnl"/>
        </w:rPr>
        <w:t>de expertos técnicos (</w:t>
      </w:r>
      <w:r w:rsidR="004010D5" w:rsidRPr="00BF61BF">
        <w:rPr>
          <w:lang w:val="es-ES_tradnl"/>
        </w:rPr>
        <w:t xml:space="preserve">con </w:t>
      </w:r>
      <w:r w:rsidRPr="00BF61BF">
        <w:rPr>
          <w:lang w:val="es-ES_tradnl"/>
        </w:rPr>
        <w:t>suje</w:t>
      </w:r>
      <w:r w:rsidR="004010D5" w:rsidRPr="00BF61BF">
        <w:rPr>
          <w:lang w:val="es-ES_tradnl"/>
        </w:rPr>
        <w:t>ción</w:t>
      </w:r>
      <w:r w:rsidRPr="00BF61BF">
        <w:rPr>
          <w:lang w:val="es-ES_tradnl"/>
        </w:rPr>
        <w:t xml:space="preserve"> a la decisión de la Conferencia de las Partes al respecto), que incluirá reuniones presenciales de expertos, la compilación y evaluación de las comunicaciones de las Partes y la celebración de debates </w:t>
      </w:r>
      <w:r w:rsidR="004010D5" w:rsidRPr="00BF61BF">
        <w:rPr>
          <w:lang w:val="es-ES_tradnl"/>
        </w:rPr>
        <w:t xml:space="preserve">por medios </w:t>
      </w:r>
      <w:r w:rsidRPr="00BF61BF">
        <w:rPr>
          <w:lang w:val="es-ES_tradnl"/>
        </w:rPr>
        <w:t xml:space="preserve">electrónicos por parte del comité de evaluación de la eficacia para garantizar un informe integrado. El proyecto de presupuesto abarca también la elaboración de un informe </w:t>
      </w:r>
      <w:r w:rsidR="0043327C" w:rsidRPr="00BF61BF">
        <w:rPr>
          <w:lang w:val="es-ES_tradnl"/>
        </w:rPr>
        <w:t>s</w:t>
      </w:r>
      <w:r w:rsidRPr="00BF61BF">
        <w:rPr>
          <w:lang w:val="es-ES_tradnl"/>
        </w:rPr>
        <w:t xml:space="preserve">obre las emisiones y liberaciones, otro informe sobre oferta, demanda y comercio y un tercero sobre desechos. </w:t>
      </w:r>
    </w:p>
    <w:p w14:paraId="18B77F0C" w14:textId="440DFBCB" w:rsidR="000D378B" w:rsidRPr="00BF61BF" w:rsidRDefault="000D378B" w:rsidP="00C4273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lastRenderedPageBreak/>
        <w:t>Actividad 7: la Secretaría estima que se necesitan 95.000 dólares durante el bienio para desarrollar un sistema electrónico en línea de presentación de informes nacionales para el primer informe completo que se deberá presentar a más tardar el 31 de diciembre de 2021, incluidos los instrumentos de capacitación necesarios, y para llevar a cabo una evaluación de las comunicaciones remitidas por las Partes</w:t>
      </w:r>
      <w:r w:rsidR="00BF61BF">
        <w:rPr>
          <w:lang w:val="es-ES_tradnl"/>
        </w:rPr>
        <w:t> </w:t>
      </w:r>
      <w:r w:rsidRPr="00BF61BF">
        <w:rPr>
          <w:lang w:val="es-ES_tradnl"/>
        </w:rPr>
        <w:t xml:space="preserve">con arreglo al artículo 21. Esta estimación supone un aumento de 35.000 dólares con respecto al bienio anterior. </w:t>
      </w:r>
    </w:p>
    <w:p w14:paraId="37A6A06C" w14:textId="6AB0E59A" w:rsidR="00B47088" w:rsidRPr="00BF61BF" w:rsidRDefault="00B47088" w:rsidP="00C4273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Actividad 8: en la esfera de las publicaciones, se necesitan otros 50.000 dólares para la maquetación, traducción e impresión en los distintos idiomas de los principales documentos de orientación aprobados por la Conferencia de las Partes.</w:t>
      </w:r>
    </w:p>
    <w:p w14:paraId="58D7F512" w14:textId="6AB58062" w:rsidR="00B538B0" w:rsidRPr="00BF61BF" w:rsidRDefault="00B538B0" w:rsidP="00C4273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9: se propone un aumento de 5.000 dólares </w:t>
      </w:r>
      <w:r w:rsidR="004010D5" w:rsidRPr="00BF61BF">
        <w:rPr>
          <w:lang w:val="es-ES_tradnl"/>
        </w:rPr>
        <w:t xml:space="preserve">con respecto </w:t>
      </w:r>
      <w:r w:rsidRPr="00BF61BF">
        <w:rPr>
          <w:lang w:val="es-ES_tradnl"/>
        </w:rPr>
        <w:t xml:space="preserve">al bienio anterior para </w:t>
      </w:r>
      <w:r w:rsidR="004010D5" w:rsidRPr="00BF61BF">
        <w:rPr>
          <w:lang w:val="es-ES_tradnl"/>
        </w:rPr>
        <w:t xml:space="preserve">actividades de </w:t>
      </w:r>
      <w:r w:rsidRPr="00BF61BF">
        <w:rPr>
          <w:lang w:val="es-ES_tradnl"/>
        </w:rPr>
        <w:t>comunicación, divulgación y sensibilización del público, entre l</w:t>
      </w:r>
      <w:r w:rsidR="004010D5" w:rsidRPr="00BF61BF">
        <w:rPr>
          <w:lang w:val="es-ES_tradnl"/>
        </w:rPr>
        <w:t>as</w:t>
      </w:r>
      <w:r w:rsidRPr="00BF61BF">
        <w:rPr>
          <w:lang w:val="es-ES_tradnl"/>
        </w:rPr>
        <w:t xml:space="preserve"> que se incluye</w:t>
      </w:r>
      <w:r w:rsidR="004010D5" w:rsidRPr="00BF61BF">
        <w:rPr>
          <w:lang w:val="es-ES_tradnl"/>
        </w:rPr>
        <w:t xml:space="preserve"> la adquisición de l</w:t>
      </w:r>
      <w:r w:rsidRPr="00BF61BF">
        <w:rPr>
          <w:lang w:val="es-ES_tradnl"/>
        </w:rPr>
        <w:t>icencias para herramientas específicas necesarias para la comunicación estratégica.</w:t>
      </w:r>
    </w:p>
    <w:p w14:paraId="71E8D6D5" w14:textId="6256E186" w:rsidR="00455366" w:rsidRPr="00BF61BF" w:rsidRDefault="00935F16" w:rsidP="00C4273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10: </w:t>
      </w:r>
      <w:r w:rsidR="000202B5" w:rsidRPr="00BF61BF">
        <w:rPr>
          <w:lang w:val="es-ES_tradnl"/>
        </w:rPr>
        <w:t xml:space="preserve">con respecto a </w:t>
      </w:r>
      <w:r w:rsidRPr="00BF61BF">
        <w:rPr>
          <w:lang w:val="es-ES_tradnl"/>
        </w:rPr>
        <w:t>la Dirección y Gestión Ejecutivas, se calcula que se necesita</w:t>
      </w:r>
      <w:r w:rsidR="000202B5" w:rsidRPr="00BF61BF">
        <w:rPr>
          <w:lang w:val="es-ES_tradnl"/>
        </w:rPr>
        <w:t>rán</w:t>
      </w:r>
      <w:r w:rsidRPr="00BF61BF">
        <w:rPr>
          <w:lang w:val="es-ES_tradnl"/>
        </w:rPr>
        <w:t xml:space="preserve"> 1.351.806 dólares más que en el bienio 2018</w:t>
      </w:r>
      <w:r w:rsidR="00106079" w:rsidRPr="00BF61BF">
        <w:rPr>
          <w:lang w:val="es-ES_tradnl"/>
        </w:rPr>
        <w:noBreakHyphen/>
      </w:r>
      <w:r w:rsidRPr="00BF61BF">
        <w:rPr>
          <w:lang w:val="es-ES_tradnl"/>
        </w:rPr>
        <w:t>2019 a fin de poder cumplir el programa de trabajo de la Secretaría para el bienio 2020</w:t>
      </w:r>
      <w:r w:rsidR="00106079" w:rsidRPr="00BF61BF">
        <w:rPr>
          <w:lang w:val="es-ES_tradnl"/>
        </w:rPr>
        <w:noBreakHyphen/>
      </w:r>
      <w:r w:rsidRPr="00BF61BF">
        <w:rPr>
          <w:lang w:val="es-ES_tradnl"/>
        </w:rPr>
        <w:t>2021. Se han propuesto cuatro puestos adicionales. Se necesita</w:t>
      </w:r>
      <w:r w:rsidR="00D54122" w:rsidRPr="00BF61BF">
        <w:rPr>
          <w:lang w:val="es-ES_tradnl"/>
        </w:rPr>
        <w:t> </w:t>
      </w:r>
      <w:r w:rsidRPr="00BF61BF">
        <w:rPr>
          <w:lang w:val="es-ES_tradnl"/>
        </w:rPr>
        <w:t>un Oficial de Programas de categoría P-3</w:t>
      </w:r>
      <w:r w:rsidR="000202B5" w:rsidRPr="00BF61BF">
        <w:rPr>
          <w:lang w:val="es-ES_tradnl"/>
        </w:rPr>
        <w:t xml:space="preserve">, que tendría a su cargo la tarea de </w:t>
      </w:r>
      <w:r w:rsidRPr="00BF61BF">
        <w:rPr>
          <w:lang w:val="es-ES_tradnl"/>
        </w:rPr>
        <w:t>presentación de informes, la</w:t>
      </w:r>
      <w:r w:rsidR="00D54122" w:rsidRPr="00BF61BF">
        <w:rPr>
          <w:lang w:val="es-ES_tradnl"/>
        </w:rPr>
        <w:t> </w:t>
      </w:r>
      <w:r w:rsidRPr="00BF61BF">
        <w:rPr>
          <w:lang w:val="es-ES_tradnl"/>
        </w:rPr>
        <w:t xml:space="preserve">evaluación de la eficacia y </w:t>
      </w:r>
      <w:r w:rsidR="000202B5" w:rsidRPr="00BF61BF">
        <w:rPr>
          <w:lang w:val="es-ES_tradnl"/>
        </w:rPr>
        <w:t xml:space="preserve">la creación de </w:t>
      </w:r>
      <w:r w:rsidRPr="00BF61BF">
        <w:rPr>
          <w:lang w:val="es-ES_tradnl"/>
        </w:rPr>
        <w:t>capacidad, junto con un Auxiliar Administrativo</w:t>
      </w:r>
      <w:r w:rsidR="000202B5" w:rsidRPr="00BF61BF">
        <w:rPr>
          <w:lang w:val="es-ES_tradnl"/>
        </w:rPr>
        <w:t xml:space="preserve"> de categoría</w:t>
      </w:r>
      <w:r w:rsidRPr="00BF61BF">
        <w:rPr>
          <w:lang w:val="es-ES_tradnl"/>
        </w:rPr>
        <w:t xml:space="preserve"> G</w:t>
      </w:r>
      <w:r w:rsidR="00D54122" w:rsidRPr="00BF61BF">
        <w:rPr>
          <w:lang w:val="es-ES_tradnl"/>
        </w:rPr>
        <w:noBreakHyphen/>
      </w:r>
      <w:r w:rsidRPr="00BF61BF">
        <w:rPr>
          <w:lang w:val="es-ES_tradnl"/>
        </w:rPr>
        <w:t xml:space="preserve">6 para asumir funciones relevantes en materia de adquisiciones, recursos humanos y administración de proyectos. Algunas de estas funciones las están llevando a cabo en la actualidad diversas entidades de las </w:t>
      </w:r>
      <w:r w:rsidR="002A6CFE" w:rsidRPr="00BF61BF">
        <w:rPr>
          <w:lang w:val="es-ES_tradnl"/>
        </w:rPr>
        <w:t>Naciones Unidas</w:t>
      </w:r>
      <w:r w:rsidRPr="00BF61BF">
        <w:rPr>
          <w:lang w:val="es-ES_tradnl"/>
        </w:rPr>
        <w:t>, en la mayoría de los casos de</w:t>
      </w:r>
      <w:r w:rsidR="002144F3" w:rsidRPr="00BF61BF">
        <w:rPr>
          <w:lang w:val="es-ES_tradnl"/>
        </w:rPr>
        <w:t> </w:t>
      </w:r>
      <w:r w:rsidRPr="00BF61BF">
        <w:rPr>
          <w:lang w:val="es-ES_tradnl"/>
        </w:rPr>
        <w:t>forma gratuita, lo cual no es estable ni sostenible a largo plazo. Además, la introducción de la Ampliación 2 de Umoja en 2019, iniciada con el módulo de los asociados en la ejecución, también ha aumentado el volumen de trabajo a la hora de conc</w:t>
      </w:r>
      <w:r w:rsidR="00C12DD6" w:rsidRPr="00BF61BF">
        <w:rPr>
          <w:lang w:val="es-ES_tradnl"/>
        </w:rPr>
        <w:t>re</w:t>
      </w:r>
      <w:r w:rsidRPr="00BF61BF">
        <w:rPr>
          <w:lang w:val="es-ES_tradnl"/>
        </w:rPr>
        <w:t>tar acuerdos con dichos asociados. Además de los puestos de</w:t>
      </w:r>
      <w:r w:rsidR="000202B5" w:rsidRPr="00BF61BF">
        <w:rPr>
          <w:lang w:val="es-ES_tradnl"/>
        </w:rPr>
        <w:t xml:space="preserve"> categorías</w:t>
      </w:r>
      <w:r w:rsidRPr="00BF61BF">
        <w:rPr>
          <w:lang w:val="es-ES_tradnl"/>
        </w:rPr>
        <w:t xml:space="preserve"> P</w:t>
      </w:r>
      <w:r w:rsidR="0039153B" w:rsidRPr="00BF61BF">
        <w:rPr>
          <w:lang w:val="es-ES_tradnl"/>
        </w:rPr>
        <w:noBreakHyphen/>
      </w:r>
      <w:r w:rsidRPr="00BF61BF">
        <w:rPr>
          <w:lang w:val="es-ES_tradnl"/>
        </w:rPr>
        <w:t>3 y G</w:t>
      </w:r>
      <w:r w:rsidR="0039153B" w:rsidRPr="00BF61BF">
        <w:rPr>
          <w:lang w:val="es-ES_tradnl"/>
        </w:rPr>
        <w:noBreakHyphen/>
      </w:r>
      <w:r w:rsidRPr="00BF61BF">
        <w:rPr>
          <w:lang w:val="es-ES_tradnl"/>
        </w:rPr>
        <w:t>6, se requiere un Oficial de Programas de categoría P</w:t>
      </w:r>
      <w:r w:rsidR="0039153B" w:rsidRPr="00BF61BF">
        <w:rPr>
          <w:lang w:val="es-ES_tradnl"/>
        </w:rPr>
        <w:noBreakHyphen/>
      </w:r>
      <w:r w:rsidRPr="00BF61BF">
        <w:rPr>
          <w:lang w:val="es-ES_tradnl"/>
        </w:rPr>
        <w:t xml:space="preserve">4 para trabajar en el </w:t>
      </w:r>
      <w:r w:rsidR="000202B5" w:rsidRPr="00BF61BF">
        <w:rPr>
          <w:lang w:val="es-ES_tradnl"/>
        </w:rPr>
        <w:t>P</w:t>
      </w:r>
      <w:r w:rsidRPr="00BF61BF">
        <w:rPr>
          <w:lang w:val="es-ES_tradnl"/>
        </w:rPr>
        <w:t>rograma internacional específico</w:t>
      </w:r>
      <w:r w:rsidR="000202B5" w:rsidRPr="00BF61BF">
        <w:rPr>
          <w:lang w:val="es-ES_tradnl"/>
        </w:rPr>
        <w:t xml:space="preserve"> encargado, entre otras cosas</w:t>
      </w:r>
      <w:r w:rsidRPr="00BF61BF">
        <w:rPr>
          <w:lang w:val="es-ES_tradnl"/>
        </w:rPr>
        <w:t xml:space="preserve">, </w:t>
      </w:r>
      <w:r w:rsidR="000202B5" w:rsidRPr="00BF61BF">
        <w:rPr>
          <w:lang w:val="es-ES_tradnl"/>
        </w:rPr>
        <w:t>de</w:t>
      </w:r>
      <w:r w:rsidRPr="00BF61BF">
        <w:rPr>
          <w:lang w:val="es-ES_tradnl"/>
        </w:rPr>
        <w:t xml:space="preserve"> prestar servicios de secretaría al Consejo de Administración, gestionar los procesos de aplicación y evaluación, gestionar la ejecución administrativa y sustantiva de los proyectos aprobados, </w:t>
      </w:r>
      <w:r w:rsidR="000202B5" w:rsidRPr="00BF61BF">
        <w:rPr>
          <w:lang w:val="es-ES_tradnl"/>
        </w:rPr>
        <w:t xml:space="preserve">presentar </w:t>
      </w:r>
      <w:r w:rsidRPr="00BF61BF">
        <w:rPr>
          <w:lang w:val="es-ES_tradnl"/>
        </w:rPr>
        <w:t xml:space="preserve">la parte sustantiva de los informes </w:t>
      </w:r>
      <w:r w:rsidR="000202B5" w:rsidRPr="00BF61BF">
        <w:rPr>
          <w:lang w:val="es-ES_tradnl"/>
        </w:rPr>
        <w:t>de</w:t>
      </w:r>
      <w:r w:rsidRPr="00BF61BF">
        <w:rPr>
          <w:lang w:val="es-ES_tradnl"/>
        </w:rPr>
        <w:t xml:space="preserve"> los donantes y supervisar </w:t>
      </w:r>
      <w:r w:rsidR="00F6734C" w:rsidRPr="00BF61BF">
        <w:rPr>
          <w:lang w:val="es-ES_tradnl"/>
        </w:rPr>
        <w:t xml:space="preserve">el cumplimiento de </w:t>
      </w:r>
      <w:r w:rsidRPr="00BF61BF">
        <w:rPr>
          <w:lang w:val="es-ES_tradnl"/>
        </w:rPr>
        <w:t xml:space="preserve">los requisitos de evaluación, supervisión y auditoría del </w:t>
      </w:r>
      <w:r w:rsidR="00F6734C" w:rsidRPr="00BF61BF">
        <w:rPr>
          <w:lang w:val="es-ES_tradnl"/>
        </w:rPr>
        <w:t>P</w:t>
      </w:r>
      <w:r w:rsidRPr="00BF61BF">
        <w:rPr>
          <w:lang w:val="es-ES_tradnl"/>
        </w:rPr>
        <w:t>rograma. Por último, se propone que el actual puesto de Oficial de Comunicaciones/Gestión del Conocimiento de categoría P</w:t>
      </w:r>
      <w:r w:rsidR="0039153B" w:rsidRPr="00BF61BF">
        <w:rPr>
          <w:lang w:val="es-ES_tradnl"/>
        </w:rPr>
        <w:noBreakHyphen/>
      </w:r>
      <w:r w:rsidRPr="00BF61BF">
        <w:rPr>
          <w:lang w:val="es-ES_tradnl"/>
        </w:rPr>
        <w:t xml:space="preserve">3 se divida en dos </w:t>
      </w:r>
      <w:r w:rsidR="00F6734C" w:rsidRPr="00BF61BF">
        <w:rPr>
          <w:lang w:val="es-ES_tradnl"/>
        </w:rPr>
        <w:t>esferas</w:t>
      </w:r>
      <w:r w:rsidRPr="00BF61BF">
        <w:rPr>
          <w:lang w:val="es-ES_tradnl"/>
        </w:rPr>
        <w:t xml:space="preserve"> de especialización funcional separadas, a saber, un Oficial de Comunicaciones de categoría P</w:t>
      </w:r>
      <w:r w:rsidR="0039153B" w:rsidRPr="00BF61BF">
        <w:rPr>
          <w:lang w:val="es-ES_tradnl"/>
        </w:rPr>
        <w:noBreakHyphen/>
      </w:r>
      <w:r w:rsidRPr="00BF61BF">
        <w:rPr>
          <w:lang w:val="es-ES_tradnl"/>
        </w:rPr>
        <w:t>3 y un Oficial de Gestión del</w:t>
      </w:r>
      <w:r w:rsidR="0039153B" w:rsidRPr="00BF61BF">
        <w:rPr>
          <w:lang w:val="es-ES_tradnl"/>
        </w:rPr>
        <w:t> </w:t>
      </w:r>
      <w:r w:rsidRPr="00BF61BF">
        <w:rPr>
          <w:lang w:val="es-ES_tradnl"/>
        </w:rPr>
        <w:t>Conocimiento de categoría P</w:t>
      </w:r>
      <w:r w:rsidR="0039153B" w:rsidRPr="00BF61BF">
        <w:rPr>
          <w:lang w:val="es-ES_tradnl"/>
        </w:rPr>
        <w:noBreakHyphen/>
      </w:r>
      <w:r w:rsidRPr="00BF61BF">
        <w:rPr>
          <w:lang w:val="es-ES_tradnl"/>
        </w:rPr>
        <w:t>3. Esta separación de funciones se considera necesaria debido a la experiencia adquirida en los últimos 18 me</w:t>
      </w:r>
      <w:r w:rsidR="008F3F1E" w:rsidRPr="00BF61BF">
        <w:rPr>
          <w:lang w:val="es-ES_tradnl"/>
        </w:rPr>
        <w:t xml:space="preserve">ses, según la cual se </w:t>
      </w:r>
      <w:r w:rsidR="003B3507" w:rsidRPr="00BF61BF">
        <w:rPr>
          <w:lang w:val="es-ES_tradnl"/>
        </w:rPr>
        <w:t>requieren</w:t>
      </w:r>
      <w:r w:rsidR="008F3F1E" w:rsidRPr="00BF61BF">
        <w:rPr>
          <w:lang w:val="es-ES_tradnl"/>
        </w:rPr>
        <w:t xml:space="preserve"> </w:t>
      </w:r>
      <w:r w:rsidRPr="00BF61BF">
        <w:rPr>
          <w:lang w:val="es-ES_tradnl"/>
        </w:rPr>
        <w:t xml:space="preserve">conocimientos especializados en </w:t>
      </w:r>
      <w:r w:rsidR="0003027B" w:rsidRPr="00BF61BF">
        <w:rPr>
          <w:lang w:val="es-ES_tradnl"/>
        </w:rPr>
        <w:t>cada</w:t>
      </w:r>
      <w:r w:rsidRPr="00BF61BF">
        <w:rPr>
          <w:lang w:val="es-ES_tradnl"/>
        </w:rPr>
        <w:t xml:space="preserve"> esfera de trabajo y una mayor capacidad para acometer las tareas de comunicaciones y de gestión del conocimiento que se han de realizar. </w:t>
      </w:r>
    </w:p>
    <w:p w14:paraId="43F92B3B" w14:textId="6F4FE412" w:rsidR="006739CF" w:rsidRPr="00BF61BF" w:rsidRDefault="0063575F" w:rsidP="002144F3">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13: en lo que respecta a las actividades jurídicas y normativas, se calcula que </w:t>
      </w:r>
      <w:r w:rsidR="00F6734C" w:rsidRPr="00BF61BF">
        <w:rPr>
          <w:lang w:val="es-ES_tradnl"/>
        </w:rPr>
        <w:t xml:space="preserve">para </w:t>
      </w:r>
      <w:r w:rsidRPr="00BF61BF">
        <w:rPr>
          <w:lang w:val="es-ES_tradnl"/>
        </w:rPr>
        <w:t>el bienio 2020</w:t>
      </w:r>
      <w:r w:rsidR="00215138" w:rsidRPr="00BF61BF">
        <w:rPr>
          <w:lang w:val="es-ES_tradnl"/>
        </w:rPr>
        <w:noBreakHyphen/>
      </w:r>
      <w:r w:rsidRPr="00BF61BF">
        <w:rPr>
          <w:lang w:val="es-ES_tradnl"/>
        </w:rPr>
        <w:t xml:space="preserve">2021 </w:t>
      </w:r>
      <w:r w:rsidR="00F6734C" w:rsidRPr="00BF61BF">
        <w:rPr>
          <w:lang w:val="es-ES_tradnl"/>
        </w:rPr>
        <w:t xml:space="preserve">se necesitarán unos 234.000 dólares </w:t>
      </w:r>
      <w:r w:rsidRPr="00BF61BF">
        <w:rPr>
          <w:lang w:val="es-ES_tradnl"/>
        </w:rPr>
        <w:t xml:space="preserve">para trabajar </w:t>
      </w:r>
      <w:r w:rsidR="00F6734C" w:rsidRPr="00BF61BF">
        <w:rPr>
          <w:lang w:val="es-ES_tradnl"/>
        </w:rPr>
        <w:t>en</w:t>
      </w:r>
      <w:r w:rsidRPr="00BF61BF">
        <w:rPr>
          <w:lang w:val="es-ES_tradnl"/>
        </w:rPr>
        <w:t xml:space="preserve"> los Objetivos de Desarrollo Sostenible y estrategias de género, incluidos estudios monográficos y talleres. En la hipótesis de la Secretaria Ejecutiva, esa suma se incluye en la financiación básica, en vez de </w:t>
      </w:r>
      <w:r w:rsidR="00F6734C" w:rsidRPr="00BF61BF">
        <w:rPr>
          <w:lang w:val="es-ES_tradnl"/>
        </w:rPr>
        <w:t>en</w:t>
      </w:r>
      <w:r w:rsidRPr="00BF61BF">
        <w:rPr>
          <w:lang w:val="es-ES_tradnl"/>
        </w:rPr>
        <w:t xml:space="preserve"> la financiación voluntaria que se contempla en la hipótesis de crecimiento nominal cero.</w:t>
      </w:r>
    </w:p>
    <w:p w14:paraId="43A673B0" w14:textId="575CE6F2" w:rsidR="00996EAE" w:rsidRPr="00BF61BF" w:rsidRDefault="002144F3" w:rsidP="00866240">
      <w:pPr>
        <w:pStyle w:val="CH3"/>
        <w:spacing w:before="240"/>
        <w:rPr>
          <w:lang w:val="es-ES_tradnl"/>
        </w:rPr>
      </w:pPr>
      <w:r w:rsidRPr="00BF61BF">
        <w:rPr>
          <w:lang w:val="es-ES_tradnl"/>
        </w:rPr>
        <w:tab/>
      </w:r>
      <w:r w:rsidR="00866240" w:rsidRPr="00BF61BF">
        <w:rPr>
          <w:lang w:val="es-ES_tradnl"/>
        </w:rPr>
        <w:t>2.</w:t>
      </w:r>
      <w:r w:rsidR="00866240" w:rsidRPr="00BF61BF">
        <w:rPr>
          <w:lang w:val="es-ES_tradnl"/>
        </w:rPr>
        <w:tab/>
      </w:r>
      <w:r w:rsidR="00866240" w:rsidRPr="00BF61BF">
        <w:rPr>
          <w:bCs/>
          <w:lang w:val="es-ES_tradnl"/>
        </w:rPr>
        <w:t>Hipótesis de crecimiento nominal cero</w:t>
      </w:r>
    </w:p>
    <w:p w14:paraId="63B106FE" w14:textId="35434A23" w:rsidR="00996EAE" w:rsidRPr="00BF61BF" w:rsidRDefault="00996EAE" w:rsidP="00866240">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BF61BF">
        <w:rPr>
          <w:lang w:val="es-ES_tradnl"/>
        </w:rPr>
        <w:t>La hipótesis de crecimiento nominal cero para el bienio 2020</w:t>
      </w:r>
      <w:r w:rsidR="00215138" w:rsidRPr="00BF61BF">
        <w:rPr>
          <w:lang w:val="es-ES_tradnl"/>
        </w:rPr>
        <w:noBreakHyphen/>
      </w:r>
      <w:r w:rsidRPr="00BF61BF">
        <w:rPr>
          <w:lang w:val="es-ES_tradnl"/>
        </w:rPr>
        <w:t xml:space="preserve">2021 </w:t>
      </w:r>
      <w:r w:rsidR="00F6734C" w:rsidRPr="00BF61BF">
        <w:rPr>
          <w:lang w:val="es-ES_tradnl"/>
        </w:rPr>
        <w:t>prevé</w:t>
      </w:r>
      <w:r w:rsidRPr="00BF61BF">
        <w:rPr>
          <w:lang w:val="es-ES_tradnl"/>
        </w:rPr>
        <w:t xml:space="preserve"> un presupuesto total de</w:t>
      </w:r>
      <w:r w:rsidR="002144F3" w:rsidRPr="00BF61BF">
        <w:rPr>
          <w:lang w:val="es-ES_tradnl"/>
        </w:rPr>
        <w:t> </w:t>
      </w:r>
      <w:r w:rsidRPr="00BF61BF">
        <w:rPr>
          <w:lang w:val="es-ES_tradnl"/>
        </w:rPr>
        <w:t>6.866.</w:t>
      </w:r>
      <w:r w:rsidR="0039153B" w:rsidRPr="00BF61BF">
        <w:rPr>
          <w:lang w:val="es-ES_tradnl"/>
        </w:rPr>
        <w:t>900 dólares</w:t>
      </w:r>
      <w:r w:rsidRPr="00BF61BF">
        <w:rPr>
          <w:lang w:val="es-ES_tradnl"/>
        </w:rPr>
        <w:t>, sin incluir los gastos de apoyo a los programas, la misma suma que la aprobada para el presupuesto operativo general del bienio 2018</w:t>
      </w:r>
      <w:r w:rsidR="00215138" w:rsidRPr="00BF61BF">
        <w:rPr>
          <w:lang w:val="es-ES_tradnl"/>
        </w:rPr>
        <w:noBreakHyphen/>
      </w:r>
      <w:r w:rsidRPr="00BF61BF">
        <w:rPr>
          <w:lang w:val="es-ES_tradnl"/>
        </w:rPr>
        <w:t>2019. E</w:t>
      </w:r>
      <w:r w:rsidR="00F6734C" w:rsidRPr="00BF61BF">
        <w:rPr>
          <w:lang w:val="es-ES_tradnl"/>
        </w:rPr>
        <w:t>n virtud de es</w:t>
      </w:r>
      <w:r w:rsidRPr="00BF61BF">
        <w:rPr>
          <w:lang w:val="es-ES_tradnl"/>
        </w:rPr>
        <w:t xml:space="preserve">ta hipótesis </w:t>
      </w:r>
      <w:r w:rsidR="00F6734C" w:rsidRPr="00BF61BF">
        <w:rPr>
          <w:lang w:val="es-ES_tradnl"/>
        </w:rPr>
        <w:t xml:space="preserve">se </w:t>
      </w:r>
      <w:r w:rsidRPr="00BF61BF">
        <w:rPr>
          <w:lang w:val="es-ES_tradnl"/>
        </w:rPr>
        <w:t>requiere</w:t>
      </w:r>
      <w:r w:rsidR="00F6734C" w:rsidRPr="00BF61BF">
        <w:rPr>
          <w:lang w:val="es-ES_tradnl"/>
        </w:rPr>
        <w:t>n</w:t>
      </w:r>
      <w:r w:rsidR="00B50213" w:rsidRPr="00BF61BF">
        <w:rPr>
          <w:lang w:val="es-ES_tradnl"/>
        </w:rPr>
        <w:t> </w:t>
      </w:r>
      <w:r w:rsidRPr="00BF61BF">
        <w:rPr>
          <w:lang w:val="es-ES_tradnl"/>
        </w:rPr>
        <w:t xml:space="preserve">1.798.807 dólares menos del </w:t>
      </w:r>
      <w:r w:rsidR="00F6734C" w:rsidRPr="00BF61BF">
        <w:rPr>
          <w:lang w:val="es-ES_tradnl"/>
        </w:rPr>
        <w:t>F</w:t>
      </w:r>
      <w:r w:rsidRPr="00BF61BF">
        <w:rPr>
          <w:lang w:val="es-ES_tradnl"/>
        </w:rPr>
        <w:t xml:space="preserve">ondo </w:t>
      </w:r>
      <w:r w:rsidR="00F6734C" w:rsidRPr="00BF61BF">
        <w:rPr>
          <w:lang w:val="es-ES_tradnl"/>
        </w:rPr>
        <w:t>F</w:t>
      </w:r>
      <w:r w:rsidRPr="00BF61BF">
        <w:rPr>
          <w:lang w:val="es-ES_tradnl"/>
        </w:rPr>
        <w:t xml:space="preserve">iduciario </w:t>
      </w:r>
      <w:r w:rsidR="00F6734C" w:rsidRPr="00BF61BF">
        <w:rPr>
          <w:lang w:val="es-ES_tradnl"/>
        </w:rPr>
        <w:t>G</w:t>
      </w:r>
      <w:r w:rsidRPr="00BF61BF">
        <w:rPr>
          <w:lang w:val="es-ES_tradnl"/>
        </w:rPr>
        <w:t xml:space="preserve">eneral que </w:t>
      </w:r>
      <w:r w:rsidR="00F6734C" w:rsidRPr="00BF61BF">
        <w:rPr>
          <w:lang w:val="es-ES_tradnl"/>
        </w:rPr>
        <w:t xml:space="preserve">en la hipótesis de </w:t>
      </w:r>
      <w:r w:rsidRPr="00BF61BF">
        <w:rPr>
          <w:lang w:val="es-ES_tradnl"/>
        </w:rPr>
        <w:t xml:space="preserve">la Secretaria Ejecutiva. También significa, sin embargo, que los elementos importantes del programa de trabajo tendrían que ejecutarse solo parcialmente o </w:t>
      </w:r>
      <w:r w:rsidR="00F6734C" w:rsidRPr="00BF61BF">
        <w:rPr>
          <w:lang w:val="es-ES_tradnl"/>
        </w:rPr>
        <w:t xml:space="preserve">registrarse bajo la partida de </w:t>
      </w:r>
      <w:r w:rsidRPr="00BF61BF">
        <w:rPr>
          <w:lang w:val="es-ES_tradnl"/>
        </w:rPr>
        <w:t xml:space="preserve">financiación voluntaria (es decir, </w:t>
      </w:r>
      <w:r w:rsidR="00F6734C" w:rsidRPr="00BF61BF">
        <w:rPr>
          <w:lang w:val="es-ES_tradnl"/>
        </w:rPr>
        <w:t>e</w:t>
      </w:r>
      <w:r w:rsidRPr="00BF61BF">
        <w:rPr>
          <w:lang w:val="es-ES_tradnl"/>
        </w:rPr>
        <w:t xml:space="preserve">l </w:t>
      </w:r>
      <w:r w:rsidR="00F6734C" w:rsidRPr="00BF61BF">
        <w:rPr>
          <w:lang w:val="es-ES_tradnl"/>
        </w:rPr>
        <w:t>F</w:t>
      </w:r>
      <w:r w:rsidRPr="00BF61BF">
        <w:rPr>
          <w:lang w:val="es-ES_tradnl"/>
        </w:rPr>
        <w:t xml:space="preserve">ondo </w:t>
      </w:r>
      <w:r w:rsidR="00F6734C" w:rsidRPr="00BF61BF">
        <w:rPr>
          <w:lang w:val="es-ES_tradnl"/>
        </w:rPr>
        <w:t>F</w:t>
      </w:r>
      <w:r w:rsidRPr="00BF61BF">
        <w:rPr>
          <w:lang w:val="es-ES_tradnl"/>
        </w:rPr>
        <w:t xml:space="preserve">iduciario </w:t>
      </w:r>
      <w:r w:rsidR="00F6734C" w:rsidRPr="00BF61BF">
        <w:rPr>
          <w:lang w:val="es-ES_tradnl"/>
        </w:rPr>
        <w:t>E</w:t>
      </w:r>
      <w:r w:rsidRPr="00BF61BF">
        <w:rPr>
          <w:lang w:val="es-ES_tradnl"/>
        </w:rPr>
        <w:t>special)</w:t>
      </w:r>
      <w:r w:rsidR="00F6734C" w:rsidRPr="00BF61BF">
        <w:rPr>
          <w:lang w:val="es-ES_tradnl"/>
        </w:rPr>
        <w:t xml:space="preserve"> y quedarían </w:t>
      </w:r>
      <w:r w:rsidRPr="00BF61BF">
        <w:rPr>
          <w:lang w:val="es-ES_tradnl"/>
        </w:rPr>
        <w:t>sujetos a la disponibilidad de fondos, lo que supondría un impacto significativo sobre las funciones, el apoyo y los servicios prestados por la Secretaría.</w:t>
      </w:r>
    </w:p>
    <w:p w14:paraId="1966393C" w14:textId="1AC6E10F" w:rsidR="00996EAE" w:rsidRPr="00BF61BF" w:rsidRDefault="000F5F8A" w:rsidP="00B50213">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BF61BF">
        <w:rPr>
          <w:lang w:val="es-ES_tradnl"/>
        </w:rPr>
        <w:t xml:space="preserve">En el caso de la hipótesis de crecimiento nominal cero, estas son las </w:t>
      </w:r>
      <w:r w:rsidR="0044597D" w:rsidRPr="00BF61BF">
        <w:rPr>
          <w:lang w:val="es-ES_tradnl"/>
        </w:rPr>
        <w:t>reducciones</w:t>
      </w:r>
      <w:r w:rsidRPr="00BF61BF">
        <w:rPr>
          <w:lang w:val="es-ES_tradnl"/>
        </w:rPr>
        <w:t xml:space="preserve"> e incrementos más importantes en el presupuesto operacional para actividades básicas financiadas con cargo al </w:t>
      </w:r>
      <w:r w:rsidR="000359CF" w:rsidRPr="00BF61BF">
        <w:rPr>
          <w:lang w:val="es-ES_tradnl"/>
        </w:rPr>
        <w:t xml:space="preserve">Fondo Fiduciario General </w:t>
      </w:r>
      <w:r w:rsidRPr="00BF61BF">
        <w:rPr>
          <w:lang w:val="es-ES_tradnl"/>
        </w:rPr>
        <w:t xml:space="preserve">en comparación con el presupuesto aprobado para 2018-2019: </w:t>
      </w:r>
    </w:p>
    <w:p w14:paraId="76EE645F" w14:textId="5AB4BC49" w:rsidR="00ED105E" w:rsidRPr="00BF61BF" w:rsidRDefault="00866240" w:rsidP="00866240">
      <w:pPr>
        <w:pStyle w:val="CH4"/>
        <w:spacing w:before="240"/>
        <w:rPr>
          <w:i/>
          <w:lang w:val="es-ES_tradnl"/>
        </w:rPr>
      </w:pPr>
      <w:r w:rsidRPr="00BF61BF">
        <w:rPr>
          <w:lang w:val="es-ES_tradnl"/>
        </w:rPr>
        <w:tab/>
      </w:r>
      <w:r w:rsidRPr="00BF61BF">
        <w:rPr>
          <w:lang w:val="es-ES_tradnl"/>
        </w:rPr>
        <w:tab/>
      </w:r>
      <w:r w:rsidR="0044597D" w:rsidRPr="00BF61BF">
        <w:rPr>
          <w:bCs/>
          <w:i/>
          <w:iCs/>
          <w:lang w:val="es-ES_tradnl"/>
        </w:rPr>
        <w:t>Reducciones</w:t>
      </w:r>
      <w:r w:rsidRPr="00BF61BF">
        <w:rPr>
          <w:bCs/>
          <w:i/>
          <w:iCs/>
          <w:lang w:val="es-ES_tradnl"/>
        </w:rPr>
        <w:t xml:space="preserve"> en comparación con el presupuesto aprobado para 2018-2019</w:t>
      </w:r>
      <w:r w:rsidRPr="00BF61BF">
        <w:rPr>
          <w:lang w:val="es-ES_tradnl"/>
        </w:rPr>
        <w:t xml:space="preserve"> </w:t>
      </w:r>
    </w:p>
    <w:p w14:paraId="2B5687F8" w14:textId="3835D96C" w:rsidR="00ED105E" w:rsidRPr="00BF61BF" w:rsidRDefault="00ED105E" w:rsidP="003F3A5F">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BF61BF">
        <w:rPr>
          <w:lang w:val="es-ES_tradnl"/>
        </w:rPr>
        <w:t xml:space="preserve">Actividad 1: se ha calculado una </w:t>
      </w:r>
      <w:r w:rsidR="000359CF" w:rsidRPr="00BF61BF">
        <w:rPr>
          <w:lang w:val="es-ES_tradnl"/>
        </w:rPr>
        <w:t xml:space="preserve">reducción </w:t>
      </w:r>
      <w:r w:rsidRPr="00BF61BF">
        <w:rPr>
          <w:lang w:val="es-ES_tradnl"/>
        </w:rPr>
        <w:t>de 665.000 dólares en relación con la cuarta reunión de la Conferencia de las Partes y sus órganos subsidiarios, debida principalmente al hecho de que dichas reuniones pasarán a celebrarse cada dos años en vez de anualmente. Dado que la Secretaría del Convenio de Minamata no cuenta con dotación de personal suficiente para prestar todos los servicios a las reuniones de la Conferencia de las Partes, el ahorro resultante se vería co</w:t>
      </w:r>
      <w:r w:rsidR="000359CF" w:rsidRPr="00BF61BF">
        <w:rPr>
          <w:lang w:val="es-ES_tradnl"/>
        </w:rPr>
        <w:t>mpensado</w:t>
      </w:r>
      <w:r w:rsidRPr="00BF61BF">
        <w:rPr>
          <w:lang w:val="es-ES_tradnl"/>
        </w:rPr>
        <w:t xml:space="preserve"> en parte por</w:t>
      </w:r>
      <w:r w:rsidR="000359CF" w:rsidRPr="00BF61BF">
        <w:rPr>
          <w:lang w:val="es-ES_tradnl"/>
        </w:rPr>
        <w:t xml:space="preserve"> el </w:t>
      </w:r>
      <w:r w:rsidR="000359CF" w:rsidRPr="00BF61BF">
        <w:rPr>
          <w:lang w:val="es-ES_tradnl"/>
        </w:rPr>
        <w:lastRenderedPageBreak/>
        <w:t xml:space="preserve">imperativo de satisfacer las nuevas necesidades en materia de </w:t>
      </w:r>
      <w:r w:rsidRPr="00BF61BF">
        <w:rPr>
          <w:lang w:val="es-ES_tradnl"/>
        </w:rPr>
        <w:t xml:space="preserve">capacidad para las reuniones, </w:t>
      </w:r>
      <w:r w:rsidR="000359CF" w:rsidRPr="00BF61BF">
        <w:rPr>
          <w:lang w:val="es-ES_tradnl"/>
        </w:rPr>
        <w:t xml:space="preserve">que se </w:t>
      </w:r>
      <w:r w:rsidRPr="00BF61BF">
        <w:rPr>
          <w:lang w:val="es-ES_tradnl"/>
        </w:rPr>
        <w:t>propone sea</w:t>
      </w:r>
      <w:r w:rsidR="000359CF" w:rsidRPr="00BF61BF">
        <w:rPr>
          <w:lang w:val="es-ES_tradnl"/>
        </w:rPr>
        <w:t>n</w:t>
      </w:r>
      <w:r w:rsidRPr="00BF61BF">
        <w:rPr>
          <w:lang w:val="es-ES_tradnl"/>
        </w:rPr>
        <w:t xml:space="preserve"> compartida</w:t>
      </w:r>
      <w:r w:rsidR="000359CF" w:rsidRPr="00BF61BF">
        <w:rPr>
          <w:lang w:val="es-ES_tradnl"/>
        </w:rPr>
        <w:t>s</w:t>
      </w:r>
      <w:r w:rsidRPr="00BF61BF">
        <w:rPr>
          <w:lang w:val="es-ES_tradnl"/>
        </w:rPr>
        <w:t xml:space="preserve"> </w:t>
      </w:r>
      <w:r w:rsidR="0039153B" w:rsidRPr="00BF61BF">
        <w:rPr>
          <w:lang w:val="es-ES_tradnl"/>
        </w:rPr>
        <w:t>–</w:t>
      </w:r>
      <w:r w:rsidRPr="00BF61BF">
        <w:rPr>
          <w:lang w:val="es-ES_tradnl"/>
        </w:rPr>
        <w:t xml:space="preserve">y </w:t>
      </w:r>
      <w:r w:rsidR="000359CF" w:rsidRPr="00BF61BF">
        <w:rPr>
          <w:lang w:val="es-ES_tradnl"/>
        </w:rPr>
        <w:t>absorbidas</w:t>
      </w:r>
      <w:r w:rsidR="0039153B" w:rsidRPr="00BF61BF">
        <w:rPr>
          <w:lang w:val="es-ES_tradnl"/>
        </w:rPr>
        <w:t>–</w:t>
      </w:r>
      <w:r w:rsidRPr="00BF61BF">
        <w:rPr>
          <w:lang w:val="es-ES_tradnl"/>
        </w:rPr>
        <w:t xml:space="preserve"> por la Secretaría de los Convenios de Basilea, Estocolmo y Rotterdam.</w:t>
      </w:r>
    </w:p>
    <w:p w14:paraId="4FBE4B09" w14:textId="1C02C86F" w:rsidR="0069323F" w:rsidRPr="00BF61BF" w:rsidRDefault="00ED105E" w:rsidP="0069323F">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lang w:val="es-ES_tradnl"/>
        </w:rPr>
        <w:t xml:space="preserve">Actividad 3: en comparación con el bienio anterior, se han presupuestado 7.000 dólares menos para una reunión de tres días del Comité de Aplicación y Cumplimiento, conforme a lo acordado por el Comité en su reunión de junio de 2019, en lugar de las dos reuniones de dos días </w:t>
      </w:r>
      <w:r w:rsidR="00D30297" w:rsidRPr="00BF61BF">
        <w:rPr>
          <w:lang w:val="es-ES_tradnl"/>
        </w:rPr>
        <w:t>contempladas</w:t>
      </w:r>
      <w:r w:rsidRPr="00BF61BF">
        <w:rPr>
          <w:lang w:val="es-ES_tradnl"/>
        </w:rPr>
        <w:t xml:space="preserve"> e</w:t>
      </w:r>
      <w:r w:rsidR="008F3F1E" w:rsidRPr="00BF61BF">
        <w:rPr>
          <w:lang w:val="es-ES_tradnl"/>
        </w:rPr>
        <w:t xml:space="preserve">n el presupuesto aprobado para </w:t>
      </w:r>
      <w:r w:rsidRPr="00BF61BF">
        <w:rPr>
          <w:lang w:val="es-ES_tradnl"/>
        </w:rPr>
        <w:t>2018</w:t>
      </w:r>
      <w:r w:rsidR="003F3A5F" w:rsidRPr="00BF61BF">
        <w:rPr>
          <w:lang w:val="es-ES_tradnl"/>
        </w:rPr>
        <w:noBreakHyphen/>
      </w:r>
      <w:r w:rsidRPr="00BF61BF">
        <w:rPr>
          <w:lang w:val="es-ES_tradnl"/>
        </w:rPr>
        <w:t>2019, y a fin de reflejar el costo real de dicha reunión.</w:t>
      </w:r>
    </w:p>
    <w:p w14:paraId="1A9AB91F" w14:textId="45424458" w:rsidR="00ED105E" w:rsidRPr="00BF61BF"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lang w:val="es-ES_tradnl"/>
        </w:rPr>
        <w:t xml:space="preserve">Actividad 8: </w:t>
      </w:r>
      <w:r w:rsidR="00D30297" w:rsidRPr="00BF61BF">
        <w:rPr>
          <w:lang w:val="es-ES_tradnl"/>
        </w:rPr>
        <w:t>la cantidad</w:t>
      </w:r>
      <w:r w:rsidRPr="00BF61BF">
        <w:rPr>
          <w:lang w:val="es-ES_tradnl"/>
        </w:rPr>
        <w:t xml:space="preserve"> presupuestad</w:t>
      </w:r>
      <w:r w:rsidR="00D30297" w:rsidRPr="00BF61BF">
        <w:rPr>
          <w:lang w:val="es-ES_tradnl"/>
        </w:rPr>
        <w:t>a</w:t>
      </w:r>
      <w:r w:rsidRPr="00BF61BF">
        <w:rPr>
          <w:lang w:val="es-ES_tradnl"/>
        </w:rPr>
        <w:t xml:space="preserve"> para publicaciones </w:t>
      </w:r>
      <w:r w:rsidR="00D30297" w:rsidRPr="00BF61BF">
        <w:rPr>
          <w:lang w:val="es-ES_tradnl"/>
        </w:rPr>
        <w:t>es de</w:t>
      </w:r>
      <w:r w:rsidRPr="00BF61BF">
        <w:rPr>
          <w:lang w:val="es-ES_tradnl"/>
        </w:rPr>
        <w:t xml:space="preserve"> 15.000 dólares menos que e</w:t>
      </w:r>
      <w:r w:rsidR="00D30297" w:rsidRPr="00BF61BF">
        <w:rPr>
          <w:lang w:val="es-ES_tradnl"/>
        </w:rPr>
        <w:t xml:space="preserve">n </w:t>
      </w:r>
      <w:r w:rsidRPr="00BF61BF">
        <w:rPr>
          <w:lang w:val="es-ES_tradnl"/>
        </w:rPr>
        <w:t>el bienio 2018</w:t>
      </w:r>
      <w:r w:rsidR="003F3A5F" w:rsidRPr="00BF61BF">
        <w:rPr>
          <w:lang w:val="es-ES_tradnl"/>
        </w:rPr>
        <w:noBreakHyphen/>
      </w:r>
      <w:r w:rsidRPr="00BF61BF">
        <w:rPr>
          <w:lang w:val="es-ES_tradnl"/>
        </w:rPr>
        <w:t xml:space="preserve">2019, principalmente para poder elaborar una hipótesis de crecimiento nominal cero. El presupuesto cubre la maquetación e impresión de los principales documentos de orientación aprobados por la Conferencia de las Partes, pero excluye su traducción (razón por la cual </w:t>
      </w:r>
      <w:r w:rsidR="00D30297" w:rsidRPr="00BF61BF">
        <w:rPr>
          <w:lang w:val="es-ES_tradnl"/>
        </w:rPr>
        <w:t xml:space="preserve">en la hipótesis de crecimiento nominal cero </w:t>
      </w:r>
      <w:r w:rsidRPr="00BF61BF">
        <w:rPr>
          <w:lang w:val="es-ES_tradnl"/>
        </w:rPr>
        <w:t>esta se contempla dentro de la financiación voluntaria).</w:t>
      </w:r>
    </w:p>
    <w:p w14:paraId="054AA816" w14:textId="28B0D076" w:rsidR="00ED105E" w:rsidRPr="00BF61BF"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lang w:val="es-ES_tradnl"/>
        </w:rPr>
        <w:t>Actividad 14: el presupuesto de mantenimiento de oficina</w:t>
      </w:r>
      <w:r w:rsidR="00D30297" w:rsidRPr="00BF61BF">
        <w:rPr>
          <w:lang w:val="es-ES_tradnl"/>
        </w:rPr>
        <w:t>s</w:t>
      </w:r>
      <w:r w:rsidRPr="00BF61BF">
        <w:rPr>
          <w:lang w:val="es-ES_tradnl"/>
        </w:rPr>
        <w:t xml:space="preserve"> muestra una </w:t>
      </w:r>
      <w:r w:rsidR="00D30297" w:rsidRPr="00BF61BF">
        <w:rPr>
          <w:lang w:val="es-ES_tradnl"/>
        </w:rPr>
        <w:t>reducción</w:t>
      </w:r>
      <w:r w:rsidRPr="00BF61BF">
        <w:rPr>
          <w:lang w:val="es-ES_tradnl"/>
        </w:rPr>
        <w:t xml:space="preserve"> de</w:t>
      </w:r>
      <w:r w:rsidR="00B50213" w:rsidRPr="00BF61BF">
        <w:rPr>
          <w:lang w:val="es-ES_tradnl"/>
        </w:rPr>
        <w:t> </w:t>
      </w:r>
      <w:r w:rsidRPr="00BF61BF">
        <w:rPr>
          <w:lang w:val="es-ES_tradnl"/>
        </w:rPr>
        <w:t>74.524 dólares en comparación con el bienio anterior, lo que refleja el hecho de que algunos servicios</w:t>
      </w:r>
      <w:r w:rsidR="00D30297" w:rsidRPr="00BF61BF">
        <w:rPr>
          <w:lang w:val="es-ES_tradnl"/>
        </w:rPr>
        <w:t>,</w:t>
      </w:r>
      <w:r w:rsidRPr="00BF61BF">
        <w:rPr>
          <w:lang w:val="es-ES_tradnl"/>
        </w:rPr>
        <w:t xml:space="preserve"> tales como las adquisiciones</w:t>
      </w:r>
      <w:r w:rsidR="00D30297" w:rsidRPr="00BF61BF">
        <w:rPr>
          <w:lang w:val="es-ES_tradnl"/>
        </w:rPr>
        <w:t>,</w:t>
      </w:r>
      <w:r w:rsidRPr="00BF61BF">
        <w:rPr>
          <w:lang w:val="es-ES_tradnl"/>
        </w:rPr>
        <w:t xml:space="preserve"> se pr</w:t>
      </w:r>
      <w:r w:rsidR="00D30297" w:rsidRPr="00BF61BF">
        <w:rPr>
          <w:lang w:val="es-ES_tradnl"/>
        </w:rPr>
        <w:t>estaría</w:t>
      </w:r>
      <w:r w:rsidRPr="00BF61BF">
        <w:rPr>
          <w:lang w:val="es-ES_tradnl"/>
        </w:rPr>
        <w:t xml:space="preserve">n internamente, así como el menor costo de elementos como la adquisición de equipo de oficina, </w:t>
      </w:r>
      <w:r w:rsidR="00D30297" w:rsidRPr="00BF61BF">
        <w:rPr>
          <w:lang w:val="es-ES_tradnl"/>
        </w:rPr>
        <w:t>ya que todo el personal que ha pasado a ocupar los puestos aprobados por la Conferencia de las Partes en su primera reunión ha sido dotado de mobiliario</w:t>
      </w:r>
      <w:r w:rsidRPr="00BF61BF">
        <w:rPr>
          <w:lang w:val="es-ES_tradnl"/>
        </w:rPr>
        <w:t>. La disminución de los gastos se c</w:t>
      </w:r>
      <w:r w:rsidR="00D30297" w:rsidRPr="00BF61BF">
        <w:rPr>
          <w:lang w:val="es-ES_tradnl"/>
        </w:rPr>
        <w:t>ompensa</w:t>
      </w:r>
      <w:r w:rsidRPr="00BF61BF">
        <w:rPr>
          <w:lang w:val="es-ES_tradnl"/>
        </w:rPr>
        <w:t xml:space="preserve"> en parte por los costos de licencias de Umoja que </w:t>
      </w:r>
      <w:r w:rsidR="002A6CFE" w:rsidRPr="00BF61BF">
        <w:rPr>
          <w:lang w:val="es-ES_tradnl"/>
        </w:rPr>
        <w:t>Naciones Unidas</w:t>
      </w:r>
      <w:r w:rsidRPr="00BF61BF">
        <w:rPr>
          <w:lang w:val="es-ES_tradnl"/>
        </w:rPr>
        <w:t xml:space="preserve"> ha empezado a cargar a todas las entidades en 2019.</w:t>
      </w:r>
    </w:p>
    <w:p w14:paraId="72399544" w14:textId="252F7ED7" w:rsidR="00ED105E" w:rsidRPr="00BF61BF"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lang w:val="es-ES_tradnl"/>
        </w:rPr>
        <w:t xml:space="preserve">Actividad 15: hay una </w:t>
      </w:r>
      <w:r w:rsidR="00D30297" w:rsidRPr="00BF61BF">
        <w:rPr>
          <w:lang w:val="es-ES_tradnl"/>
        </w:rPr>
        <w:t>reducción d</w:t>
      </w:r>
      <w:r w:rsidRPr="00BF61BF">
        <w:rPr>
          <w:lang w:val="es-ES_tradnl"/>
        </w:rPr>
        <w:t xml:space="preserve">e 10.000 dólares en </w:t>
      </w:r>
      <w:r w:rsidR="00D30297" w:rsidRPr="00BF61BF">
        <w:rPr>
          <w:lang w:val="es-ES_tradnl"/>
        </w:rPr>
        <w:t xml:space="preserve">los </w:t>
      </w:r>
      <w:r w:rsidRPr="00BF61BF">
        <w:rPr>
          <w:lang w:val="es-ES_tradnl"/>
        </w:rPr>
        <w:t xml:space="preserve">servicios de tecnología de la información en comparación con el bienio anterior, debida principalmente a la reducción en la adquisición de equipos nuevos y </w:t>
      </w:r>
      <w:r w:rsidR="00D30297" w:rsidRPr="00BF61BF">
        <w:rPr>
          <w:lang w:val="es-ES_tradnl"/>
        </w:rPr>
        <w:t>compensa</w:t>
      </w:r>
      <w:r w:rsidRPr="00BF61BF">
        <w:rPr>
          <w:lang w:val="es-ES_tradnl"/>
        </w:rPr>
        <w:t>da en parte por el aumento de los costos de licencias de software.</w:t>
      </w:r>
    </w:p>
    <w:p w14:paraId="6758123F" w14:textId="2A21BF25" w:rsidR="00ED105E" w:rsidRPr="00BF61BF" w:rsidRDefault="00093BC4" w:rsidP="00866240">
      <w:pPr>
        <w:pStyle w:val="CH4"/>
        <w:spacing w:before="240"/>
        <w:rPr>
          <w:i/>
          <w:lang w:val="es-ES_tradnl"/>
        </w:rPr>
      </w:pPr>
      <w:r w:rsidRPr="00BF61BF">
        <w:rPr>
          <w:lang w:val="es-ES_tradnl"/>
        </w:rPr>
        <w:tab/>
      </w:r>
      <w:r w:rsidRPr="00BF61BF">
        <w:rPr>
          <w:lang w:val="es-ES_tradnl"/>
        </w:rPr>
        <w:tab/>
      </w:r>
      <w:r w:rsidRPr="00BF61BF">
        <w:rPr>
          <w:bCs/>
          <w:i/>
          <w:iCs/>
          <w:lang w:val="es-ES_tradnl"/>
        </w:rPr>
        <w:t xml:space="preserve">Incrementos </w:t>
      </w:r>
      <w:r w:rsidR="00D30297" w:rsidRPr="00BF61BF">
        <w:rPr>
          <w:bCs/>
          <w:i/>
          <w:iCs/>
          <w:lang w:val="es-ES_tradnl"/>
        </w:rPr>
        <w:t xml:space="preserve">con respecto al </w:t>
      </w:r>
      <w:r w:rsidRPr="00BF61BF">
        <w:rPr>
          <w:bCs/>
          <w:i/>
          <w:iCs/>
          <w:lang w:val="es-ES_tradnl"/>
        </w:rPr>
        <w:t>presupuesto aprobado para 2018-2019</w:t>
      </w:r>
    </w:p>
    <w:p w14:paraId="30C256F1" w14:textId="1EE6E16A" w:rsidR="00ED105E" w:rsidRPr="00BF61BF" w:rsidRDefault="00ED105E" w:rsidP="000F5F8A">
      <w:pPr>
        <w:pStyle w:val="Normalnumber"/>
        <w:numPr>
          <w:ilvl w:val="1"/>
          <w:numId w:val="1"/>
        </w:numPr>
        <w:tabs>
          <w:tab w:val="clear" w:pos="1247"/>
          <w:tab w:val="clear" w:pos="1814"/>
          <w:tab w:val="clear" w:pos="2381"/>
          <w:tab w:val="clear" w:pos="2948"/>
          <w:tab w:val="clear" w:pos="3515"/>
          <w:tab w:val="clear" w:pos="4082"/>
        </w:tabs>
        <w:ind w:firstLine="624"/>
        <w:rPr>
          <w:lang w:val="es-ES_tradnl"/>
        </w:rPr>
      </w:pPr>
      <w:r w:rsidRPr="00BF61BF">
        <w:rPr>
          <w:lang w:val="es-ES_tradnl"/>
        </w:rPr>
        <w:t>Actividad 2: se han presupuestado 2.000 dólares adicionales para dos reuniones de la Mesa de la Conferencia de las Partes destinadas a ajustar el presupuesto en consonancia con los costos reales de las reuniones.</w:t>
      </w:r>
    </w:p>
    <w:p w14:paraId="69548EE2" w14:textId="3413EC29" w:rsidR="00ED105E" w:rsidRPr="00BF61BF"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lang w:val="es-ES_tradnl"/>
        </w:rPr>
        <w:t xml:space="preserve">Actividad 6: se han presupuestado 228.000 dólares para la evaluación de la eficacia, que no estaba </w:t>
      </w:r>
      <w:r w:rsidR="00E71B6F" w:rsidRPr="00BF61BF">
        <w:rPr>
          <w:lang w:val="es-ES_tradnl"/>
        </w:rPr>
        <w:t xml:space="preserve">prevista </w:t>
      </w:r>
      <w:r w:rsidRPr="00BF61BF">
        <w:rPr>
          <w:lang w:val="es-ES_tradnl"/>
        </w:rPr>
        <w:t xml:space="preserve">en el </w:t>
      </w:r>
      <w:r w:rsidR="00E71B6F" w:rsidRPr="00BF61BF">
        <w:rPr>
          <w:lang w:val="es-ES_tradnl"/>
        </w:rPr>
        <w:t>bienio anterior, y que se destinarán a la preparación del informe sobre vigilancia y elaboración de modelos propuesto por el grupo especial de expertos técnicos (con sujeción a la decisión de la Conferencia de las Partes al respecto)</w:t>
      </w:r>
      <w:r w:rsidRPr="00BF61BF">
        <w:rPr>
          <w:lang w:val="es-ES_tradnl"/>
        </w:rPr>
        <w:t xml:space="preserve">, que incluirá reuniones presenciales de expertos, la compilación y evaluación de las comunicaciones de las Partes y la celebración de debates </w:t>
      </w:r>
      <w:r w:rsidR="00E71B6F" w:rsidRPr="00BF61BF">
        <w:rPr>
          <w:lang w:val="es-ES_tradnl"/>
        </w:rPr>
        <w:t xml:space="preserve">por medios </w:t>
      </w:r>
      <w:r w:rsidRPr="00BF61BF">
        <w:rPr>
          <w:lang w:val="es-ES_tradnl"/>
        </w:rPr>
        <w:t>electrónicos por parte del comité de evaluación de la eficacia para garantizar un informe integrado.</w:t>
      </w:r>
    </w:p>
    <w:p w14:paraId="05CBCA4E" w14:textId="60F097B9" w:rsidR="00ED105E" w:rsidRPr="00BF61BF"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lang w:val="es-ES_tradnl"/>
        </w:rPr>
        <w:t xml:space="preserve">Actividad 9: el presupuesto para comunicación, divulgación y sensibilización del público </w:t>
      </w:r>
      <w:r w:rsidR="00E71B6F" w:rsidRPr="00BF61BF">
        <w:rPr>
          <w:lang w:val="es-ES_tradnl"/>
        </w:rPr>
        <w:t xml:space="preserve">muestra </w:t>
      </w:r>
      <w:r w:rsidRPr="00BF61BF">
        <w:rPr>
          <w:lang w:val="es-ES_tradnl"/>
        </w:rPr>
        <w:t xml:space="preserve">un incremento de 5.000 dólares respecto del bienio anterior </w:t>
      </w:r>
      <w:r w:rsidR="00E71B6F" w:rsidRPr="00BF61BF">
        <w:rPr>
          <w:lang w:val="es-ES_tradnl"/>
        </w:rPr>
        <w:t>para actividades de comunicación, divulgación y sensibilización del público, entre las que se incluye la adquisición de licencias para herramientas específicas necesarias para la comunicación estratégica</w:t>
      </w:r>
      <w:r w:rsidRPr="00BF61BF">
        <w:rPr>
          <w:lang w:val="es-ES_tradnl"/>
        </w:rPr>
        <w:t>.</w:t>
      </w:r>
    </w:p>
    <w:p w14:paraId="270FF6E5" w14:textId="0AE4AD95" w:rsidR="00ED105E" w:rsidRPr="00BF61BF" w:rsidRDefault="00ED105E" w:rsidP="00866240">
      <w:pPr>
        <w:pStyle w:val="Normalnumber"/>
        <w:numPr>
          <w:ilvl w:val="1"/>
          <w:numId w:val="1"/>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lang w:val="es-ES_tradnl"/>
        </w:rPr>
        <w:t xml:space="preserve">Actividad 10: </w:t>
      </w:r>
      <w:r w:rsidR="00E71B6F" w:rsidRPr="00BF61BF">
        <w:rPr>
          <w:lang w:val="es-ES_tradnl"/>
        </w:rPr>
        <w:t>bajo la partida</w:t>
      </w:r>
      <w:r w:rsidRPr="00BF61BF">
        <w:rPr>
          <w:lang w:val="es-ES_tradnl"/>
        </w:rPr>
        <w:t xml:space="preserve"> Dirección y Gestión Ejecutivas, se observa un aumento de</w:t>
      </w:r>
      <w:r w:rsidR="00D54122" w:rsidRPr="00BF61BF">
        <w:rPr>
          <w:lang w:val="es-ES_tradnl"/>
        </w:rPr>
        <w:t> </w:t>
      </w:r>
      <w:r w:rsidRPr="00BF61BF">
        <w:rPr>
          <w:lang w:val="es-ES_tradnl"/>
        </w:rPr>
        <w:t>536.524 dólares con respecto al bienio 2018</w:t>
      </w:r>
      <w:r w:rsidR="003F3A5F" w:rsidRPr="00BF61BF">
        <w:rPr>
          <w:lang w:val="es-ES_tradnl"/>
        </w:rPr>
        <w:noBreakHyphen/>
      </w:r>
      <w:r w:rsidRPr="00BF61BF">
        <w:rPr>
          <w:lang w:val="es-ES_tradnl"/>
        </w:rPr>
        <w:t>2019 a fin de garantizar la dotación de personal mínima necesaria para desempeñar las funciones de la Secretaría. Además de la dotación de personal aprobada por la Conferencia de las Partes en su primera reunión, se añadiría un Oficial de Programas de categoría P-3</w:t>
      </w:r>
      <w:r w:rsidR="00E71B6F" w:rsidRPr="00BF61BF">
        <w:rPr>
          <w:lang w:val="es-ES_tradnl"/>
        </w:rPr>
        <w:t xml:space="preserve">, que tendría a su cargo la tarea de </w:t>
      </w:r>
      <w:r w:rsidRPr="00BF61BF">
        <w:rPr>
          <w:lang w:val="es-ES_tradnl"/>
        </w:rPr>
        <w:t xml:space="preserve">presentación de informes, la evaluación de la eficacia y </w:t>
      </w:r>
      <w:r w:rsidR="00E71B6F" w:rsidRPr="00BF61BF">
        <w:rPr>
          <w:lang w:val="es-ES_tradnl"/>
        </w:rPr>
        <w:t>la creación de</w:t>
      </w:r>
      <w:r w:rsidRPr="00BF61BF">
        <w:rPr>
          <w:lang w:val="es-ES_tradnl"/>
        </w:rPr>
        <w:t xml:space="preserve"> capacidad, </w:t>
      </w:r>
      <w:r w:rsidR="00557831" w:rsidRPr="00BF61BF">
        <w:rPr>
          <w:lang w:val="es-ES_tradnl"/>
        </w:rPr>
        <w:t xml:space="preserve">junto con </w:t>
      </w:r>
      <w:r w:rsidRPr="00BF61BF">
        <w:rPr>
          <w:lang w:val="es-ES_tradnl"/>
        </w:rPr>
        <w:t>un Auxiliar Administrativo</w:t>
      </w:r>
      <w:r w:rsidR="00557831" w:rsidRPr="00BF61BF">
        <w:rPr>
          <w:lang w:val="es-ES_tradnl"/>
        </w:rPr>
        <w:t xml:space="preserve"> de categoría </w:t>
      </w:r>
      <w:r w:rsidRPr="00BF61BF">
        <w:rPr>
          <w:lang w:val="es-ES_tradnl"/>
        </w:rPr>
        <w:t xml:space="preserve">G-6 para asumir funciones relevantes en materia de adquisiciones, recursos humanos y administración de proyectos. Algunas de estas funciones las están llevando a cabo en la actualidad diversas entidades de las </w:t>
      </w:r>
      <w:r w:rsidR="002A6CFE" w:rsidRPr="00BF61BF">
        <w:rPr>
          <w:lang w:val="es-ES_tradnl"/>
        </w:rPr>
        <w:t>Naciones Unidas</w:t>
      </w:r>
      <w:r w:rsidRPr="00BF61BF">
        <w:rPr>
          <w:lang w:val="es-ES_tradnl"/>
        </w:rPr>
        <w:t xml:space="preserve">, en la mayoría de los casos de forma gratuita, lo cual no es estable ni sostenible a largo plazo. Además, la introducción de la Ampliación 2 de Umoja en 2019, iniciada con el módulo de los asociados en la ejecución, también ha aumentado el volumen de trabajo que supone concertar acuerdos con dichos asociados. </w:t>
      </w:r>
    </w:p>
    <w:p w14:paraId="06ADBFBB" w14:textId="40616E66" w:rsidR="001C6381" w:rsidRPr="00BF61BF" w:rsidRDefault="00B50213" w:rsidP="000F744B">
      <w:pPr>
        <w:pStyle w:val="CH1"/>
        <w:keepNext w:val="0"/>
        <w:keepLines w:val="0"/>
        <w:rPr>
          <w:b w:val="0"/>
          <w:lang w:val="es-ES_tradnl"/>
        </w:rPr>
      </w:pPr>
      <w:r w:rsidRPr="00BF61BF">
        <w:rPr>
          <w:lang w:val="es-ES_tradnl"/>
        </w:rPr>
        <w:tab/>
      </w:r>
      <w:r w:rsidR="00176F98" w:rsidRPr="00BF61BF">
        <w:rPr>
          <w:lang w:val="es-ES_tradnl"/>
        </w:rPr>
        <w:t>III.</w:t>
      </w:r>
      <w:r w:rsidR="00176F98" w:rsidRPr="00BF61BF">
        <w:rPr>
          <w:lang w:val="es-ES_tradnl"/>
        </w:rPr>
        <w:tab/>
      </w:r>
      <w:r w:rsidR="00176F98" w:rsidRPr="00BF61BF">
        <w:rPr>
          <w:bCs/>
          <w:lang w:val="es-ES_tradnl"/>
        </w:rPr>
        <w:t>Medida que se propone</w:t>
      </w:r>
    </w:p>
    <w:p w14:paraId="475682C0" w14:textId="4D0ED090" w:rsidR="00866240" w:rsidRPr="00BF61BF" w:rsidRDefault="00EF6F6E" w:rsidP="00B50213">
      <w:pPr>
        <w:pStyle w:val="Normalnumber"/>
        <w:tabs>
          <w:tab w:val="clear" w:pos="1134"/>
          <w:tab w:val="clear" w:pos="1247"/>
          <w:tab w:val="clear" w:pos="1814"/>
          <w:tab w:val="clear" w:pos="2381"/>
          <w:tab w:val="clear" w:pos="2948"/>
          <w:tab w:val="clear" w:pos="3515"/>
          <w:tab w:val="clear" w:pos="4082"/>
        </w:tabs>
        <w:rPr>
          <w:bCs/>
          <w:lang w:val="es-ES_tradnl"/>
        </w:rPr>
      </w:pPr>
      <w:r w:rsidRPr="00BF61BF">
        <w:rPr>
          <w:lang w:val="es-ES_tradnl"/>
        </w:rPr>
        <w:t>A la luz de las decisiones MC-2/12 y MC</w:t>
      </w:r>
      <w:r w:rsidR="00C93D8D" w:rsidRPr="00BF61BF">
        <w:rPr>
          <w:lang w:val="es-ES_tradnl"/>
        </w:rPr>
        <w:t xml:space="preserve">-2/7, tras examinar la información que figura en la presente nota y las </w:t>
      </w:r>
      <w:r w:rsidRPr="00BF61BF">
        <w:rPr>
          <w:lang w:val="es-ES_tradnl"/>
        </w:rPr>
        <w:t>fichas</w:t>
      </w:r>
      <w:r w:rsidR="00C93D8D" w:rsidRPr="00BF61BF">
        <w:rPr>
          <w:lang w:val="es-ES_tradnl"/>
        </w:rPr>
        <w:t xml:space="preserve"> de datos de las actividades presupuestarias (UNEP/MC/COP.3/INF/9), la información sobre cuestiones financieras (UNEP/MC/COP.3/INF/10) y el proyecto de presupuesto operativo para las dos hipótesis de financiación (UNEP/MC/COP.3/INF/11), la Conferencia de las Partes tal vez desee adoptar una decisión del tenor del texto que figura en el anexo I de la presente nota.</w:t>
      </w:r>
    </w:p>
    <w:p w14:paraId="52A11969" w14:textId="2DABD5DB" w:rsidR="000034C9" w:rsidRPr="00BF61BF" w:rsidRDefault="000034C9" w:rsidP="00866240">
      <w:pPr>
        <w:pStyle w:val="Normal-pool"/>
        <w:rPr>
          <w:lang w:val="es-ES_tradnl"/>
        </w:rPr>
      </w:pPr>
    </w:p>
    <w:p w14:paraId="0958BEFE" w14:textId="77777777" w:rsidR="00EC3F22" w:rsidRPr="00BF61BF" w:rsidRDefault="00EC3F22">
      <w:pPr>
        <w:tabs>
          <w:tab w:val="clear" w:pos="1247"/>
          <w:tab w:val="clear" w:pos="1814"/>
          <w:tab w:val="clear" w:pos="2381"/>
          <w:tab w:val="clear" w:pos="2948"/>
          <w:tab w:val="clear" w:pos="3515"/>
        </w:tabs>
        <w:rPr>
          <w:sz w:val="28"/>
          <w:szCs w:val="28"/>
        </w:rPr>
        <w:sectPr w:rsidR="00EC3F22" w:rsidRPr="00BF61BF" w:rsidSect="0034061A">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077" w:header="539" w:footer="975" w:gutter="0"/>
          <w:cols w:space="539"/>
          <w:titlePg/>
          <w:docGrid w:linePitch="360"/>
        </w:sectPr>
      </w:pPr>
    </w:p>
    <w:p w14:paraId="2CA3D4B1" w14:textId="77777777" w:rsidR="000A19CD" w:rsidRPr="00BF61BF" w:rsidRDefault="000A19CD" w:rsidP="00176F98">
      <w:pPr>
        <w:pStyle w:val="ZZAnxheader"/>
        <w:rPr>
          <w:lang w:val="es-ES_tradnl"/>
        </w:rPr>
      </w:pPr>
      <w:r w:rsidRPr="00BF61BF">
        <w:rPr>
          <w:lang w:val="es-ES_tradnl"/>
        </w:rPr>
        <w:lastRenderedPageBreak/>
        <w:t>Anexo I</w:t>
      </w:r>
    </w:p>
    <w:p w14:paraId="2423498B" w14:textId="4D633A90" w:rsidR="000A19CD" w:rsidRPr="00BF61BF" w:rsidRDefault="000A19CD" w:rsidP="00176F98">
      <w:pPr>
        <w:pStyle w:val="ZZAnxtitle"/>
        <w:rPr>
          <w:lang w:val="es-ES_tradnl"/>
        </w:rPr>
      </w:pPr>
      <w:r w:rsidRPr="00BF61BF">
        <w:rPr>
          <w:lang w:val="es-ES_tradnl"/>
        </w:rPr>
        <w:t>Proyecto de decisión</w:t>
      </w:r>
      <w:r w:rsidR="003F3A5F" w:rsidRPr="00BF61BF">
        <w:rPr>
          <w:lang w:val="es-ES_tradnl"/>
        </w:rPr>
        <w:t> </w:t>
      </w:r>
      <w:r w:rsidRPr="00BF61BF">
        <w:rPr>
          <w:lang w:val="es-ES_tradnl"/>
        </w:rPr>
        <w:t>MC-3[--]: proyecto de programa de trabajo y presupuesto para el bienio 2020</w:t>
      </w:r>
      <w:r w:rsidR="003F3A5F" w:rsidRPr="00BF61BF">
        <w:rPr>
          <w:lang w:val="es-ES_tradnl"/>
        </w:rPr>
        <w:noBreakHyphen/>
      </w:r>
      <w:r w:rsidRPr="00BF61BF">
        <w:rPr>
          <w:lang w:val="es-ES_tradnl"/>
        </w:rPr>
        <w:t xml:space="preserve">2021 </w:t>
      </w:r>
    </w:p>
    <w:p w14:paraId="78C918A8" w14:textId="77777777" w:rsidR="000A19CD" w:rsidRPr="00BF61BF" w:rsidRDefault="000A19CD" w:rsidP="00367C87">
      <w:pPr>
        <w:pStyle w:val="Normal-pool"/>
        <w:tabs>
          <w:tab w:val="clear" w:pos="1247"/>
          <w:tab w:val="clear" w:pos="1814"/>
          <w:tab w:val="clear" w:pos="2381"/>
          <w:tab w:val="clear" w:pos="2948"/>
          <w:tab w:val="clear" w:pos="3515"/>
          <w:tab w:val="clear" w:pos="4082"/>
          <w:tab w:val="left" w:pos="624"/>
        </w:tabs>
        <w:spacing w:after="120"/>
        <w:ind w:left="1247" w:firstLine="624"/>
        <w:rPr>
          <w:i/>
          <w:lang w:val="es-ES_tradnl"/>
        </w:rPr>
      </w:pPr>
      <w:r w:rsidRPr="00BF61BF">
        <w:rPr>
          <w:i/>
          <w:iCs/>
          <w:lang w:val="es-ES_tradnl"/>
        </w:rPr>
        <w:t>La Conferencia de las Partes,</w:t>
      </w:r>
      <w:r w:rsidRPr="00BF61BF">
        <w:rPr>
          <w:lang w:val="es-ES_tradnl"/>
        </w:rPr>
        <w:t xml:space="preserve"> </w:t>
      </w:r>
    </w:p>
    <w:p w14:paraId="55C3E9F4" w14:textId="08F24AC1" w:rsidR="000A19CD" w:rsidRPr="00BF61BF" w:rsidRDefault="000A19CD"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i/>
          <w:iCs/>
          <w:lang w:val="es-ES_tradnl"/>
        </w:rPr>
        <w:t>Recordando</w:t>
      </w:r>
      <w:r w:rsidRPr="00BF61BF">
        <w:rPr>
          <w:lang w:val="es-ES_tradnl"/>
        </w:rPr>
        <w:t xml:space="preserve"> su decisión</w:t>
      </w:r>
      <w:r w:rsidR="00B50213" w:rsidRPr="00BF61BF">
        <w:rPr>
          <w:lang w:val="es-ES_tradnl"/>
        </w:rPr>
        <w:t> </w:t>
      </w:r>
      <w:r w:rsidRPr="00BF61BF">
        <w:rPr>
          <w:lang w:val="es-ES_tradnl"/>
        </w:rPr>
        <w:t>MC-1/15, relativa al programa de trabajo de la Secretaría y el proyecto de presupuesto para el bienio 2018</w:t>
      </w:r>
      <w:r w:rsidR="00B50213" w:rsidRPr="00BF61BF">
        <w:rPr>
          <w:lang w:val="es-ES_tradnl"/>
        </w:rPr>
        <w:noBreakHyphen/>
      </w:r>
      <w:r w:rsidRPr="00BF61BF">
        <w:rPr>
          <w:lang w:val="es-ES_tradnl"/>
        </w:rPr>
        <w:t>2019,</w:t>
      </w:r>
    </w:p>
    <w:p w14:paraId="011BF63A" w14:textId="6BF54B7D" w:rsidR="0007408F" w:rsidRPr="00BF61BF" w:rsidRDefault="0007408F"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i/>
          <w:iCs/>
          <w:lang w:val="es-ES_tradnl"/>
        </w:rPr>
        <w:t>Recordando</w:t>
      </w:r>
      <w:r w:rsidRPr="00BF61BF">
        <w:rPr>
          <w:i/>
          <w:lang w:val="es-ES_tradnl"/>
        </w:rPr>
        <w:t xml:space="preserve"> también</w:t>
      </w:r>
      <w:r w:rsidRPr="00BF61BF">
        <w:rPr>
          <w:lang w:val="es-ES_tradnl"/>
        </w:rPr>
        <w:t xml:space="preserve"> su decisión</w:t>
      </w:r>
      <w:r w:rsidR="003F3A5F" w:rsidRPr="00BF61BF">
        <w:rPr>
          <w:lang w:val="es-ES_tradnl"/>
        </w:rPr>
        <w:t> </w:t>
      </w:r>
      <w:r w:rsidRPr="00BF61BF">
        <w:rPr>
          <w:lang w:val="es-ES_tradnl"/>
        </w:rPr>
        <w:t>MC-2/12</w:t>
      </w:r>
      <w:r w:rsidR="00557831" w:rsidRPr="00BF61BF">
        <w:rPr>
          <w:lang w:val="es-ES_tradnl"/>
        </w:rPr>
        <w:t>,</w:t>
      </w:r>
      <w:r w:rsidRPr="00BF61BF">
        <w:rPr>
          <w:lang w:val="es-ES_tradnl"/>
        </w:rPr>
        <w:t xml:space="preserve"> sobre la </w:t>
      </w:r>
      <w:r w:rsidR="00557831" w:rsidRPr="00BF61BF">
        <w:rPr>
          <w:lang w:val="es-ES_tradnl"/>
        </w:rPr>
        <w:t>información actualizada</w:t>
      </w:r>
      <w:r w:rsidRPr="00BF61BF">
        <w:rPr>
          <w:lang w:val="es-ES_tradnl"/>
        </w:rPr>
        <w:t xml:space="preserve"> sobre el presupuesto para 2019,</w:t>
      </w:r>
    </w:p>
    <w:p w14:paraId="74F849BC" w14:textId="4C0BA186" w:rsidR="0007408F" w:rsidRPr="00BF61BF" w:rsidRDefault="0007408F"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BF61BF">
        <w:rPr>
          <w:i/>
          <w:iCs/>
          <w:lang w:val="es-ES_tradnl"/>
        </w:rPr>
        <w:t>Acogiendo con beneplácito</w:t>
      </w:r>
      <w:r w:rsidRPr="00BF61BF">
        <w:rPr>
          <w:lang w:val="es-ES_tradnl"/>
        </w:rPr>
        <w:t xml:space="preserve"> el esfuerzo realizado por </w:t>
      </w:r>
      <w:r w:rsidR="00557831" w:rsidRPr="00BF61BF">
        <w:rPr>
          <w:lang w:val="es-ES_tradnl"/>
        </w:rPr>
        <w:t>la</w:t>
      </w:r>
      <w:r w:rsidRPr="00BF61BF">
        <w:rPr>
          <w:lang w:val="es-ES_tradnl"/>
        </w:rPr>
        <w:t xml:space="preserve"> Director</w:t>
      </w:r>
      <w:r w:rsidR="00557831" w:rsidRPr="00BF61BF">
        <w:rPr>
          <w:lang w:val="es-ES_tradnl"/>
        </w:rPr>
        <w:t>a</w:t>
      </w:r>
      <w:r w:rsidRPr="00BF61BF">
        <w:rPr>
          <w:lang w:val="es-ES_tradnl"/>
        </w:rPr>
        <w:t xml:space="preserve"> Ejecutiv</w:t>
      </w:r>
      <w:r w:rsidR="00557831" w:rsidRPr="00BF61BF">
        <w:rPr>
          <w:lang w:val="es-ES_tradnl"/>
        </w:rPr>
        <w:t>a</w:t>
      </w:r>
      <w:r w:rsidRPr="00BF61BF">
        <w:rPr>
          <w:lang w:val="es-ES_tradnl"/>
        </w:rPr>
        <w:t xml:space="preserve"> del Programa de las </w:t>
      </w:r>
      <w:r w:rsidR="002A6CFE" w:rsidRPr="00BF61BF">
        <w:rPr>
          <w:lang w:val="es-ES_tradnl"/>
        </w:rPr>
        <w:t>Naciones Unidas</w:t>
      </w:r>
      <w:r w:rsidR="00557831" w:rsidRPr="00BF61BF">
        <w:rPr>
          <w:lang w:val="es-ES_tradnl"/>
        </w:rPr>
        <w:t xml:space="preserve"> para el Medio Ambiente</w:t>
      </w:r>
      <w:r w:rsidRPr="00BF61BF">
        <w:rPr>
          <w:lang w:val="es-ES_tradnl"/>
        </w:rPr>
        <w:t xml:space="preserve"> en la preparación de una propuesta </w:t>
      </w:r>
      <w:r w:rsidR="00557831" w:rsidRPr="00BF61BF">
        <w:rPr>
          <w:lang w:val="es-ES_tradnl"/>
        </w:rPr>
        <w:t>operativa</w:t>
      </w:r>
      <w:r w:rsidRPr="00BF61BF">
        <w:rPr>
          <w:lang w:val="es-ES_tradnl"/>
        </w:rPr>
        <w:t xml:space="preserve">, tal y como se </w:t>
      </w:r>
      <w:r w:rsidR="00557831" w:rsidRPr="00BF61BF">
        <w:rPr>
          <w:lang w:val="es-ES_tradnl"/>
        </w:rPr>
        <w:t>solicita</w:t>
      </w:r>
      <w:r w:rsidRPr="00BF61BF">
        <w:rPr>
          <w:lang w:val="es-ES_tradnl"/>
        </w:rPr>
        <w:t xml:space="preserve"> en el párrafo</w:t>
      </w:r>
      <w:r w:rsidR="00B50213" w:rsidRPr="00BF61BF">
        <w:rPr>
          <w:lang w:val="es-ES_tradnl"/>
        </w:rPr>
        <w:t> </w:t>
      </w:r>
      <w:r w:rsidRPr="00BF61BF">
        <w:rPr>
          <w:lang w:val="es-ES_tradnl"/>
        </w:rPr>
        <w:t>1 de la decisión</w:t>
      </w:r>
      <w:r w:rsidR="003F3A5F" w:rsidRPr="00BF61BF">
        <w:rPr>
          <w:lang w:val="es-ES_tradnl"/>
        </w:rPr>
        <w:t> </w:t>
      </w:r>
      <w:r w:rsidRPr="00BF61BF">
        <w:rPr>
          <w:lang w:val="es-ES_tradnl"/>
        </w:rPr>
        <w:t xml:space="preserve">MC-2/7, a fin de maximizar el uso eficaz y eficiente de los recursos del Convenio de Minamata, </w:t>
      </w:r>
    </w:p>
    <w:p w14:paraId="57F31878" w14:textId="20CFBF37" w:rsidR="000A19CD" w:rsidRPr="00BF61BF" w:rsidRDefault="000A19CD"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i/>
          <w:iCs/>
          <w:lang w:val="es-ES_tradnl"/>
        </w:rPr>
        <w:t xml:space="preserve">Acogiendo </w:t>
      </w:r>
      <w:r w:rsidRPr="00BF61BF">
        <w:rPr>
          <w:i/>
          <w:lang w:val="es-ES_tradnl"/>
        </w:rPr>
        <w:t>con beneplácito</w:t>
      </w:r>
      <w:r w:rsidRPr="00BF61BF">
        <w:rPr>
          <w:lang w:val="es-ES_tradnl"/>
        </w:rPr>
        <w:t xml:space="preserve"> </w:t>
      </w:r>
      <w:r w:rsidR="00557831" w:rsidRPr="00BF61BF">
        <w:rPr>
          <w:i/>
          <w:iCs/>
          <w:lang w:val="es-ES_tradnl"/>
        </w:rPr>
        <w:t>también</w:t>
      </w:r>
      <w:r w:rsidR="00557831" w:rsidRPr="00BF61BF">
        <w:rPr>
          <w:lang w:val="es-ES_tradnl"/>
        </w:rPr>
        <w:t xml:space="preserve"> </w:t>
      </w:r>
      <w:r w:rsidRPr="00BF61BF">
        <w:rPr>
          <w:lang w:val="es-ES_tradnl"/>
        </w:rPr>
        <w:t>la contribución anual de Suiza, país anfitrión de la Secretaría, de un millón de francos suizos, el 60</w:t>
      </w:r>
      <w:r w:rsidR="00B50213" w:rsidRPr="00BF61BF">
        <w:rPr>
          <w:lang w:val="es-ES_tradnl"/>
        </w:rPr>
        <w:t> </w:t>
      </w:r>
      <w:r w:rsidRPr="00BF61BF">
        <w:rPr>
          <w:lang w:val="es-ES_tradnl"/>
        </w:rPr>
        <w:t xml:space="preserve">% de los cuales se asigna al </w:t>
      </w:r>
      <w:r w:rsidR="000359CF" w:rsidRPr="00BF61BF">
        <w:rPr>
          <w:lang w:val="es-ES_tradnl"/>
        </w:rPr>
        <w:t xml:space="preserve">Fondo Fiduciario General </w:t>
      </w:r>
      <w:r w:rsidRPr="00BF61BF">
        <w:rPr>
          <w:lang w:val="es-ES_tradnl"/>
        </w:rPr>
        <w:t>y el 40</w:t>
      </w:r>
      <w:r w:rsidR="00B50213" w:rsidRPr="00BF61BF">
        <w:rPr>
          <w:lang w:val="es-ES_tradnl"/>
        </w:rPr>
        <w:t> </w:t>
      </w:r>
      <w:r w:rsidRPr="00BF61BF">
        <w:rPr>
          <w:lang w:val="es-ES_tradnl"/>
        </w:rPr>
        <w:t xml:space="preserve">% al </w:t>
      </w:r>
      <w:r w:rsidR="001C0392" w:rsidRPr="00BF61BF">
        <w:rPr>
          <w:lang w:val="es-ES_tradnl"/>
        </w:rPr>
        <w:t>F</w:t>
      </w:r>
      <w:r w:rsidRPr="00BF61BF">
        <w:rPr>
          <w:lang w:val="es-ES_tradnl"/>
        </w:rPr>
        <w:t xml:space="preserve">ondo </w:t>
      </w:r>
      <w:r w:rsidR="001C0392" w:rsidRPr="00BF61BF">
        <w:rPr>
          <w:lang w:val="es-ES_tradnl"/>
        </w:rPr>
        <w:t>F</w:t>
      </w:r>
      <w:r w:rsidRPr="00BF61BF">
        <w:rPr>
          <w:lang w:val="es-ES_tradnl"/>
        </w:rPr>
        <w:t xml:space="preserve">iduciario </w:t>
      </w:r>
      <w:r w:rsidR="001C0392" w:rsidRPr="00BF61BF">
        <w:rPr>
          <w:lang w:val="es-ES_tradnl"/>
        </w:rPr>
        <w:t>E</w:t>
      </w:r>
      <w:r w:rsidRPr="00BF61BF">
        <w:rPr>
          <w:lang w:val="es-ES_tradnl"/>
        </w:rPr>
        <w:t>special, destinados en forma prioritaria a apoyar la participación de los representantes de países en desarrollo en las reuniones de la Conferencia de las Partes,</w:t>
      </w:r>
    </w:p>
    <w:p w14:paraId="23FEA3D7" w14:textId="37067ED0" w:rsidR="00D613A4" w:rsidRPr="00BF61BF" w:rsidRDefault="0007408F"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i/>
          <w:iCs/>
          <w:lang w:val="es-ES_tradnl"/>
        </w:rPr>
        <w:t>Tomando nota</w:t>
      </w:r>
      <w:r w:rsidRPr="00BF61BF">
        <w:rPr>
          <w:lang w:val="es-ES_tradnl"/>
        </w:rPr>
        <w:t xml:space="preserve"> de las contribuciones pagadas por las Partes al </w:t>
      </w:r>
      <w:r w:rsidR="001C0392" w:rsidRPr="00BF61BF">
        <w:rPr>
          <w:lang w:val="es-ES_tradnl"/>
        </w:rPr>
        <w:t>F</w:t>
      </w:r>
      <w:r w:rsidRPr="00BF61BF">
        <w:rPr>
          <w:lang w:val="es-ES_tradnl"/>
        </w:rPr>
        <w:t xml:space="preserve">ondo </w:t>
      </w:r>
      <w:r w:rsidR="001C0392" w:rsidRPr="00BF61BF">
        <w:rPr>
          <w:lang w:val="es-ES_tradnl"/>
        </w:rPr>
        <w:t>F</w:t>
      </w:r>
      <w:r w:rsidRPr="00BF61BF">
        <w:rPr>
          <w:lang w:val="es-ES_tradnl"/>
        </w:rPr>
        <w:t xml:space="preserve">iduciario </w:t>
      </w:r>
      <w:r w:rsidR="001C0392" w:rsidRPr="00BF61BF">
        <w:rPr>
          <w:lang w:val="es-ES_tradnl"/>
        </w:rPr>
        <w:t>G</w:t>
      </w:r>
      <w:r w:rsidRPr="00BF61BF">
        <w:rPr>
          <w:lang w:val="es-ES_tradnl"/>
        </w:rPr>
        <w:t>eneral,</w:t>
      </w:r>
    </w:p>
    <w:p w14:paraId="1B8B2766" w14:textId="0F3BD213" w:rsidR="00175427" w:rsidRPr="00BF61BF" w:rsidRDefault="00175427"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i/>
          <w:iCs/>
          <w:lang w:val="es-ES_tradnl"/>
        </w:rPr>
        <w:t>Observando</w:t>
      </w:r>
      <w:r w:rsidRPr="00BF61BF">
        <w:rPr>
          <w:lang w:val="es-ES_tradnl"/>
        </w:rPr>
        <w:t xml:space="preserve"> que la reserva total para el capital de operaciones del </w:t>
      </w:r>
      <w:r w:rsidR="000359CF" w:rsidRPr="00BF61BF">
        <w:rPr>
          <w:lang w:val="es-ES_tradnl"/>
        </w:rPr>
        <w:t xml:space="preserve">Fondo Fiduciario General </w:t>
      </w:r>
      <w:r w:rsidRPr="00BF61BF">
        <w:rPr>
          <w:lang w:val="es-ES_tradnl"/>
        </w:rPr>
        <w:t>del Convenio se estableció en 2018,</w:t>
      </w:r>
    </w:p>
    <w:p w14:paraId="042B3957" w14:textId="04F6D495" w:rsidR="00D613A4" w:rsidRPr="00BF61BF" w:rsidRDefault="00483932"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i/>
          <w:iCs/>
          <w:lang w:val="es-ES_tradnl"/>
        </w:rPr>
        <w:t>Reconociendo con aprecio</w:t>
      </w:r>
      <w:r w:rsidRPr="00BF61BF">
        <w:rPr>
          <w:lang w:val="es-ES_tradnl"/>
        </w:rPr>
        <w:t xml:space="preserve"> las contribuciones y promesas de contribuciones al </w:t>
      </w:r>
      <w:r w:rsidR="00C345C0" w:rsidRPr="00BF61BF">
        <w:rPr>
          <w:lang w:val="es-ES_tradnl"/>
        </w:rPr>
        <w:t xml:space="preserve">Fondo Fiduciario Especial </w:t>
      </w:r>
      <w:r w:rsidRPr="00BF61BF">
        <w:rPr>
          <w:lang w:val="es-ES_tradnl"/>
        </w:rPr>
        <w:t>hechas por Austria, Filipinas, Finlandia, Francia, el Japón, Noruega, Suecia, Suiza y la Unión Europea en el bienio 2018</w:t>
      </w:r>
      <w:r w:rsidR="00D043F6" w:rsidRPr="00BF61BF">
        <w:rPr>
          <w:lang w:val="es-ES_tradnl"/>
        </w:rPr>
        <w:noBreakHyphen/>
      </w:r>
      <w:r w:rsidRPr="00BF61BF">
        <w:rPr>
          <w:lang w:val="es-ES_tradnl"/>
        </w:rPr>
        <w:t xml:space="preserve">2019, </w:t>
      </w:r>
    </w:p>
    <w:p w14:paraId="09436366" w14:textId="157C3F70" w:rsidR="00B7286C" w:rsidRPr="00BF61BF" w:rsidRDefault="00340E98" w:rsidP="00367C87">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i/>
          <w:iCs/>
          <w:lang w:val="es-ES_tradnl"/>
        </w:rPr>
        <w:t>Reconociendo con aprecio también</w:t>
      </w:r>
      <w:r w:rsidRPr="00BF61BF">
        <w:rPr>
          <w:lang w:val="es-ES_tradnl"/>
        </w:rPr>
        <w:t xml:space="preserve"> las contribuciones y promesas de contribuciones al </w:t>
      </w:r>
      <w:r w:rsidR="001C0392" w:rsidRPr="00BF61BF">
        <w:rPr>
          <w:lang w:val="es-ES_tradnl"/>
        </w:rPr>
        <w:t>F</w:t>
      </w:r>
      <w:r w:rsidRPr="00BF61BF">
        <w:rPr>
          <w:lang w:val="es-ES_tradnl"/>
        </w:rPr>
        <w:t xml:space="preserve">ondo </w:t>
      </w:r>
      <w:r w:rsidR="001C0392" w:rsidRPr="00BF61BF">
        <w:rPr>
          <w:lang w:val="es-ES_tradnl"/>
        </w:rPr>
        <w:t>F</w:t>
      </w:r>
      <w:r w:rsidRPr="00BF61BF">
        <w:rPr>
          <w:lang w:val="es-ES_tradnl"/>
        </w:rPr>
        <w:t xml:space="preserve">iduciario </w:t>
      </w:r>
      <w:r w:rsidR="001C0392" w:rsidRPr="00BF61BF">
        <w:rPr>
          <w:lang w:val="es-ES_tradnl"/>
        </w:rPr>
        <w:t>E</w:t>
      </w:r>
      <w:r w:rsidRPr="00BF61BF">
        <w:rPr>
          <w:lang w:val="es-ES_tradnl"/>
        </w:rPr>
        <w:t>specífico hechas por Alemania, Austria, Dinamarca, los Estados Unidos de América, Noruega, los Países Bajos</w:t>
      </w:r>
      <w:r w:rsidR="0003027B" w:rsidRPr="00BF61BF">
        <w:rPr>
          <w:lang w:val="es-ES_tradnl"/>
        </w:rPr>
        <w:t xml:space="preserve"> y</w:t>
      </w:r>
      <w:r w:rsidRPr="00BF61BF">
        <w:rPr>
          <w:lang w:val="es-ES_tradnl"/>
        </w:rPr>
        <w:t xml:space="preserve"> el Reino Unido de Gran Bretaña e Irlanda del Norte en el bienio 2018</w:t>
      </w:r>
      <w:r w:rsidR="00B31B94" w:rsidRPr="00BF61BF">
        <w:rPr>
          <w:lang w:val="es-ES_tradnl"/>
        </w:rPr>
        <w:noBreakHyphen/>
      </w:r>
      <w:r w:rsidRPr="00BF61BF">
        <w:rPr>
          <w:lang w:val="es-ES_tradnl"/>
        </w:rPr>
        <w:t>2019,</w:t>
      </w:r>
    </w:p>
    <w:p w14:paraId="29FFC218" w14:textId="73A62A08" w:rsidR="00175427" w:rsidRPr="00BF61BF" w:rsidRDefault="00175427" w:rsidP="00367C87">
      <w:pPr>
        <w:pStyle w:val="Normal-pool"/>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BF61BF">
        <w:rPr>
          <w:i/>
          <w:iCs/>
          <w:lang w:val="es-ES_tradnl"/>
        </w:rPr>
        <w:t>Recordando</w:t>
      </w:r>
      <w:r w:rsidRPr="00BF61BF">
        <w:rPr>
          <w:lang w:val="es-ES_tradnl"/>
        </w:rPr>
        <w:t xml:space="preserve"> su solicitud a la Secretaria Ejecutiva </w:t>
      </w:r>
      <w:r w:rsidR="001C0392" w:rsidRPr="00BF61BF">
        <w:rPr>
          <w:lang w:val="es-ES_tradnl"/>
        </w:rPr>
        <w:t>de</w:t>
      </w:r>
      <w:r w:rsidRPr="00BF61BF">
        <w:rPr>
          <w:lang w:val="es-ES_tradnl"/>
        </w:rPr>
        <w:t xml:space="preserve"> que prepare un presupuesto para el bienio</w:t>
      </w:r>
      <w:r w:rsidR="00B50213" w:rsidRPr="00BF61BF">
        <w:rPr>
          <w:lang w:val="es-ES_tradnl"/>
        </w:rPr>
        <w:t> </w:t>
      </w:r>
      <w:r w:rsidRPr="00BF61BF">
        <w:rPr>
          <w:lang w:val="es-ES_tradnl"/>
        </w:rPr>
        <w:t>2020</w:t>
      </w:r>
      <w:r w:rsidR="00215138" w:rsidRPr="00BF61BF">
        <w:rPr>
          <w:lang w:val="es-ES_tradnl"/>
        </w:rPr>
        <w:noBreakHyphen/>
      </w:r>
      <w:r w:rsidRPr="00BF61BF">
        <w:rPr>
          <w:lang w:val="es-ES_tradnl"/>
        </w:rPr>
        <w:t>2021, para su examen por la Conferencia de las Partes en su tercera reunión, en 2019, en el que se expliquen los principios fundamentales, las hipótesis y la estrategia programática en que se basa el presupuesto y se presenten los gastos correspondientes a ese bienio en un formato programático y desglosado por actividad presupuestaria, cada una de las cuales estará apoyada por una ficha de datos sobre la actividad,</w:t>
      </w:r>
    </w:p>
    <w:p w14:paraId="3111532A" w14:textId="48A7630D" w:rsidR="00175427" w:rsidRPr="00BF61BF" w:rsidRDefault="00175427" w:rsidP="00367C87">
      <w:pPr>
        <w:pStyle w:val="Normal-pool"/>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BF61BF">
        <w:rPr>
          <w:i/>
          <w:lang w:val="es-ES_tradnl"/>
        </w:rPr>
        <w:t>Recordando también</w:t>
      </w:r>
      <w:r w:rsidRPr="00BF61BF">
        <w:rPr>
          <w:lang w:val="es-ES_tradnl"/>
        </w:rPr>
        <w:t xml:space="preserve"> su solicitud a la Secretaria Ejecutiva</w:t>
      </w:r>
      <w:r w:rsidR="001C0392" w:rsidRPr="00BF61BF">
        <w:rPr>
          <w:lang w:val="es-ES_tradnl"/>
        </w:rPr>
        <w:t xml:space="preserve"> de</w:t>
      </w:r>
      <w:r w:rsidRPr="00BF61BF">
        <w:rPr>
          <w:lang w:val="es-ES_tradnl"/>
        </w:rPr>
        <w:t xml:space="preserve"> que, al preparar el presupuesto y programa de trabajo para el bienio 2020</w:t>
      </w:r>
      <w:r w:rsidR="00215138" w:rsidRPr="00BF61BF">
        <w:rPr>
          <w:lang w:val="es-ES_tradnl"/>
        </w:rPr>
        <w:noBreakHyphen/>
      </w:r>
      <w:r w:rsidRPr="00BF61BF">
        <w:rPr>
          <w:lang w:val="es-ES_tradnl"/>
        </w:rPr>
        <w:t>2021, presente dos hipótesis:</w:t>
      </w:r>
    </w:p>
    <w:p w14:paraId="00B04B5A" w14:textId="3D9BB561" w:rsidR="00175427" w:rsidRPr="00BF61BF" w:rsidRDefault="00175427" w:rsidP="00B50213">
      <w:pPr>
        <w:pStyle w:val="Normal-pool"/>
        <w:numPr>
          <w:ilvl w:val="1"/>
          <w:numId w:val="6"/>
        </w:numPr>
        <w:tabs>
          <w:tab w:val="clear" w:pos="1247"/>
          <w:tab w:val="clear" w:pos="1814"/>
          <w:tab w:val="clear" w:pos="2381"/>
          <w:tab w:val="clear" w:pos="2948"/>
          <w:tab w:val="clear" w:pos="3515"/>
          <w:tab w:val="clear" w:pos="4082"/>
        </w:tabs>
        <w:spacing w:after="120"/>
        <w:ind w:left="1247" w:firstLine="624"/>
        <w:rPr>
          <w:lang w:val="es-ES_tradnl"/>
        </w:rPr>
      </w:pPr>
      <w:r w:rsidRPr="00BF61BF">
        <w:rPr>
          <w:lang w:val="es-ES_tradnl"/>
        </w:rPr>
        <w:t xml:space="preserve">Una en </w:t>
      </w:r>
      <w:r w:rsidR="000C35B5" w:rsidRPr="00BF61BF">
        <w:rPr>
          <w:lang w:val="es-ES_tradnl"/>
        </w:rPr>
        <w:t xml:space="preserve">la </w:t>
      </w:r>
      <w:r w:rsidRPr="00BF61BF">
        <w:rPr>
          <w:lang w:val="es-ES_tradnl"/>
        </w:rPr>
        <w:t xml:space="preserve">que se mantenga el presupuesto operacional en el nivel de 2019 en términos nominales; </w:t>
      </w:r>
    </w:p>
    <w:p w14:paraId="4B3F1097" w14:textId="6CE643C2" w:rsidR="00175427" w:rsidRPr="00BF61BF" w:rsidRDefault="00175427" w:rsidP="00837F5F">
      <w:pPr>
        <w:pStyle w:val="Normal-pool"/>
        <w:numPr>
          <w:ilvl w:val="1"/>
          <w:numId w:val="6"/>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lang w:val="es-ES_tradnl"/>
        </w:rPr>
        <w:t xml:space="preserve">Otra en </w:t>
      </w:r>
      <w:r w:rsidR="000C35B5" w:rsidRPr="00BF61BF">
        <w:rPr>
          <w:lang w:val="es-ES_tradnl"/>
        </w:rPr>
        <w:t xml:space="preserve">la </w:t>
      </w:r>
      <w:r w:rsidRPr="00BF61BF">
        <w:rPr>
          <w:lang w:val="es-ES_tradnl"/>
        </w:rPr>
        <w:t>que se reflejen los cambios necesarios a la hipótesis antes mencionada para satisfacer las necesidades proyectadas y los costos o ahorros conexos,</w:t>
      </w:r>
    </w:p>
    <w:p w14:paraId="7D559E98" w14:textId="42B0673B" w:rsidR="00175427" w:rsidRPr="00BF61BF" w:rsidRDefault="00952C6F" w:rsidP="00367C87">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i/>
          <w:iCs/>
          <w:lang w:val="es-ES_tradnl"/>
        </w:rPr>
        <w:t>Recordando además</w:t>
      </w:r>
      <w:r w:rsidRPr="00BF61BF">
        <w:rPr>
          <w:lang w:val="es-ES_tradnl"/>
        </w:rPr>
        <w:t xml:space="preserve"> la solicitud hecha a la Secretaria Ejecutiva para que tuviera en cuenta la</w:t>
      </w:r>
      <w:r w:rsidR="00B50213" w:rsidRPr="00BF61BF">
        <w:rPr>
          <w:lang w:val="es-ES_tradnl"/>
        </w:rPr>
        <w:t> </w:t>
      </w:r>
      <w:r w:rsidRPr="00BF61BF">
        <w:rPr>
          <w:lang w:val="es-ES_tradnl"/>
        </w:rPr>
        <w:t xml:space="preserve">propuesta </w:t>
      </w:r>
      <w:r w:rsidR="001C0392" w:rsidRPr="00BF61BF">
        <w:rPr>
          <w:lang w:val="es-ES_tradnl"/>
        </w:rPr>
        <w:t xml:space="preserve">operativa </w:t>
      </w:r>
      <w:r w:rsidRPr="00BF61BF">
        <w:rPr>
          <w:lang w:val="es-ES_tradnl"/>
        </w:rPr>
        <w:t>sobre un marco estable para el intercambio de servicios pertinentes presentada por</w:t>
      </w:r>
      <w:r w:rsidR="00B31B94" w:rsidRPr="00BF61BF">
        <w:rPr>
          <w:lang w:val="es-ES_tradnl"/>
        </w:rPr>
        <w:t> </w:t>
      </w:r>
      <w:r w:rsidRPr="00BF61BF">
        <w:rPr>
          <w:lang w:val="es-ES_tradnl"/>
        </w:rPr>
        <w:t>l</w:t>
      </w:r>
      <w:r w:rsidR="001C0392" w:rsidRPr="00BF61BF">
        <w:rPr>
          <w:lang w:val="es-ES_tradnl"/>
        </w:rPr>
        <w:t>a</w:t>
      </w:r>
      <w:r w:rsidRPr="00BF61BF">
        <w:rPr>
          <w:lang w:val="es-ES_tradnl"/>
        </w:rPr>
        <w:t xml:space="preserve"> Director</w:t>
      </w:r>
      <w:r w:rsidR="001C0392" w:rsidRPr="00BF61BF">
        <w:rPr>
          <w:lang w:val="es-ES_tradnl"/>
        </w:rPr>
        <w:t>a</w:t>
      </w:r>
      <w:r w:rsidRPr="00BF61BF">
        <w:rPr>
          <w:lang w:val="es-ES_tradnl"/>
        </w:rPr>
        <w:t xml:space="preserve"> Ejecutiv</w:t>
      </w:r>
      <w:r w:rsidR="001C0392" w:rsidRPr="00BF61BF">
        <w:rPr>
          <w:lang w:val="es-ES_tradnl"/>
        </w:rPr>
        <w:t>a</w:t>
      </w:r>
      <w:r w:rsidRPr="00BF61BF">
        <w:rPr>
          <w:lang w:val="es-ES_tradnl"/>
        </w:rPr>
        <w:t xml:space="preserve"> del Programa de las </w:t>
      </w:r>
      <w:r w:rsidR="002A6CFE" w:rsidRPr="00BF61BF">
        <w:rPr>
          <w:lang w:val="es-ES_tradnl"/>
        </w:rPr>
        <w:t>Naciones Unidas</w:t>
      </w:r>
      <w:r w:rsidRPr="00BF61BF">
        <w:rPr>
          <w:lang w:val="es-ES_tradnl"/>
        </w:rPr>
        <w:t xml:space="preserve"> para el Medio Ambiente, incluidas las opciones pertinentes, en la preparación del programa de trabajo y presupuesto para</w:t>
      </w:r>
      <w:r w:rsidR="00B50213" w:rsidRPr="00BF61BF">
        <w:rPr>
          <w:lang w:val="es-ES_tradnl"/>
        </w:rPr>
        <w:t> </w:t>
      </w:r>
      <w:r w:rsidRPr="00BF61BF">
        <w:rPr>
          <w:lang w:val="es-ES_tradnl"/>
        </w:rPr>
        <w:t>2020</w:t>
      </w:r>
      <w:r w:rsidR="00B50213" w:rsidRPr="00BF61BF">
        <w:rPr>
          <w:lang w:val="es-ES_tradnl"/>
        </w:rPr>
        <w:noBreakHyphen/>
      </w:r>
      <w:r w:rsidRPr="00BF61BF">
        <w:rPr>
          <w:lang w:val="es-ES_tradnl"/>
        </w:rPr>
        <w:t xml:space="preserve">2021, de conformidad </w:t>
      </w:r>
      <w:r w:rsidR="00B50213" w:rsidRPr="00BF61BF">
        <w:rPr>
          <w:lang w:val="es-ES_tradnl"/>
        </w:rPr>
        <w:t>con el párrafo</w:t>
      </w:r>
      <w:r w:rsidR="00B31B94" w:rsidRPr="00BF61BF">
        <w:rPr>
          <w:lang w:val="es-ES_tradnl"/>
        </w:rPr>
        <w:t> </w:t>
      </w:r>
      <w:r w:rsidR="00B50213" w:rsidRPr="00BF61BF">
        <w:rPr>
          <w:lang w:val="es-ES_tradnl"/>
        </w:rPr>
        <w:t>2 de la decisión </w:t>
      </w:r>
      <w:r w:rsidRPr="00BF61BF">
        <w:rPr>
          <w:lang w:val="es-ES_tradnl"/>
        </w:rPr>
        <w:t>MC-2/7,</w:t>
      </w:r>
    </w:p>
    <w:p w14:paraId="7FC48DCA" w14:textId="5E6DAFDE" w:rsidR="00907C07" w:rsidRPr="00BF61BF" w:rsidRDefault="000A19CD" w:rsidP="00AD674A">
      <w:pPr>
        <w:pStyle w:val="CH2"/>
        <w:spacing w:before="240"/>
        <w:ind w:firstLine="0"/>
        <w:jc w:val="center"/>
        <w:rPr>
          <w:lang w:val="es-ES_tradnl"/>
        </w:rPr>
      </w:pPr>
      <w:r w:rsidRPr="00BF61BF">
        <w:rPr>
          <w:bCs/>
          <w:lang w:val="es-ES_tradnl"/>
        </w:rPr>
        <w:lastRenderedPageBreak/>
        <w:t>I</w:t>
      </w:r>
    </w:p>
    <w:p w14:paraId="32807658" w14:textId="2D23D8A5" w:rsidR="000A19CD" w:rsidRPr="00BF61BF" w:rsidRDefault="00A36031" w:rsidP="00AD674A">
      <w:pPr>
        <w:pStyle w:val="CH2"/>
        <w:ind w:firstLine="0"/>
        <w:jc w:val="center"/>
        <w:rPr>
          <w:lang w:val="es-ES_tradnl"/>
        </w:rPr>
      </w:pPr>
      <w:r w:rsidRPr="00BF61BF">
        <w:rPr>
          <w:bCs/>
          <w:lang w:val="es-ES_tradnl"/>
        </w:rPr>
        <w:t xml:space="preserve">Fondo </w:t>
      </w:r>
      <w:r w:rsidR="001C0392" w:rsidRPr="00BF61BF">
        <w:rPr>
          <w:bCs/>
          <w:lang w:val="es-ES_tradnl"/>
        </w:rPr>
        <w:t>F</w:t>
      </w:r>
      <w:r w:rsidRPr="00BF61BF">
        <w:rPr>
          <w:bCs/>
          <w:lang w:val="es-ES_tradnl"/>
        </w:rPr>
        <w:t xml:space="preserve">iduciario </w:t>
      </w:r>
      <w:r w:rsidR="001C0392" w:rsidRPr="00BF61BF">
        <w:rPr>
          <w:bCs/>
          <w:lang w:val="es-ES_tradnl"/>
        </w:rPr>
        <w:t>G</w:t>
      </w:r>
      <w:r w:rsidRPr="00BF61BF">
        <w:rPr>
          <w:bCs/>
          <w:lang w:val="es-ES_tradnl"/>
        </w:rPr>
        <w:t>eneral del Convenio de Minamata sobre el Mercurio</w:t>
      </w:r>
    </w:p>
    <w:p w14:paraId="0548E078" w14:textId="19D8797F" w:rsidR="000A19CD" w:rsidRPr="00BF61BF" w:rsidRDefault="000A19CD" w:rsidP="00106079">
      <w:pPr>
        <w:pStyle w:val="Normalnumber"/>
        <w:keepNext/>
        <w:keepLines/>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Toma nota</w:t>
      </w:r>
      <w:r w:rsidRPr="00BF61BF">
        <w:rPr>
          <w:lang w:val="es-ES_tradnl"/>
        </w:rPr>
        <w:t xml:space="preserve"> del informe presentado por la Secretaria Ejecutiva sobre las actividades principales de la Secretaría e</w:t>
      </w:r>
      <w:r w:rsidR="001C0392" w:rsidRPr="00BF61BF">
        <w:rPr>
          <w:lang w:val="es-ES_tradnl"/>
        </w:rPr>
        <w:t xml:space="preserve">n el </w:t>
      </w:r>
      <w:r w:rsidRPr="00BF61BF">
        <w:rPr>
          <w:lang w:val="es-ES_tradnl"/>
        </w:rPr>
        <w:t>intervalo entre períodos de sesiones</w:t>
      </w:r>
      <w:r w:rsidR="00D35357" w:rsidRPr="00BF61BF">
        <w:rPr>
          <w:rStyle w:val="FootnoteReference"/>
          <w:szCs w:val="20"/>
          <w:lang w:val="es-ES_tradnl"/>
        </w:rPr>
        <w:footnoteReference w:id="3"/>
      </w:r>
      <w:r w:rsidRPr="00BF61BF">
        <w:rPr>
          <w:lang w:val="es-ES_tradnl"/>
        </w:rPr>
        <w:t xml:space="preserve">, así como </w:t>
      </w:r>
      <w:r w:rsidR="0097084C" w:rsidRPr="00BF61BF">
        <w:rPr>
          <w:lang w:val="es-ES_tradnl"/>
        </w:rPr>
        <w:t>d</w:t>
      </w:r>
      <w:r w:rsidRPr="00BF61BF">
        <w:rPr>
          <w:lang w:val="es-ES_tradnl"/>
        </w:rPr>
        <w:t>el informe sobre los gastos para el bienio</w:t>
      </w:r>
      <w:r w:rsidR="003F3A5F" w:rsidRPr="00BF61BF">
        <w:rPr>
          <w:lang w:val="es-ES_tradnl"/>
        </w:rPr>
        <w:t> </w:t>
      </w:r>
      <w:r w:rsidRPr="00BF61BF">
        <w:rPr>
          <w:lang w:val="es-ES_tradnl"/>
        </w:rPr>
        <w:t>2018</w:t>
      </w:r>
      <w:r w:rsidR="003F3A5F" w:rsidRPr="00BF61BF">
        <w:rPr>
          <w:lang w:val="es-ES_tradnl"/>
        </w:rPr>
        <w:noBreakHyphen/>
      </w:r>
      <w:r w:rsidRPr="00BF61BF">
        <w:rPr>
          <w:lang w:val="es-ES_tradnl"/>
        </w:rPr>
        <w:t>2019</w:t>
      </w:r>
      <w:r w:rsidR="001C0392" w:rsidRPr="00BF61BF">
        <w:rPr>
          <w:lang w:val="es-ES_tradnl"/>
        </w:rPr>
        <w:t xml:space="preserve"> reproducido</w:t>
      </w:r>
      <w:r w:rsidRPr="00BF61BF">
        <w:rPr>
          <w:lang w:val="es-ES_tradnl"/>
        </w:rPr>
        <w:t xml:space="preserve"> en la información sobre cuestiones financieras</w:t>
      </w:r>
      <w:r w:rsidR="009E3FF0" w:rsidRPr="00BF61BF">
        <w:rPr>
          <w:rStyle w:val="FootnoteReference"/>
          <w:szCs w:val="20"/>
          <w:lang w:val="es-ES_tradnl"/>
        </w:rPr>
        <w:footnoteReference w:id="4"/>
      </w:r>
      <w:r w:rsidRPr="00BF61BF">
        <w:rPr>
          <w:lang w:val="es-ES_tradnl"/>
        </w:rPr>
        <w:t xml:space="preserve">; </w:t>
      </w:r>
    </w:p>
    <w:p w14:paraId="2EBDECA4" w14:textId="153526F5" w:rsidR="002A66DE" w:rsidRPr="00BF61BF" w:rsidRDefault="00C16F6C" w:rsidP="00837F5F">
      <w:pPr>
        <w:pStyle w:val="Normalnumber"/>
        <w:keepNext/>
        <w:keepLines/>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Toma nota</w:t>
      </w:r>
      <w:r w:rsidRPr="00BF61BF">
        <w:rPr>
          <w:lang w:val="es-ES_tradnl"/>
        </w:rPr>
        <w:t xml:space="preserve"> </w:t>
      </w:r>
      <w:r w:rsidRPr="00BF61BF">
        <w:rPr>
          <w:i/>
          <w:lang w:val="es-ES_tradnl"/>
        </w:rPr>
        <w:t xml:space="preserve">también </w:t>
      </w:r>
      <w:r w:rsidRPr="00BF61BF">
        <w:rPr>
          <w:lang w:val="es-ES_tradnl"/>
        </w:rPr>
        <w:t>del proyecto de programa de trabajo y presupuesto para el bienio</w:t>
      </w:r>
      <w:r w:rsidR="00106079" w:rsidRPr="00BF61BF">
        <w:rPr>
          <w:lang w:val="es-ES_tradnl"/>
        </w:rPr>
        <w:t> </w:t>
      </w:r>
      <w:r w:rsidRPr="00BF61BF">
        <w:rPr>
          <w:lang w:val="es-ES_tradnl"/>
        </w:rPr>
        <w:t>2020</w:t>
      </w:r>
      <w:r w:rsidR="00106079" w:rsidRPr="00BF61BF">
        <w:rPr>
          <w:lang w:val="es-ES_tradnl"/>
        </w:rPr>
        <w:noBreakHyphen/>
      </w:r>
      <w:r w:rsidRPr="00BF61BF">
        <w:rPr>
          <w:lang w:val="es-ES_tradnl"/>
        </w:rPr>
        <w:t>2021</w:t>
      </w:r>
      <w:r w:rsidR="002A66DE" w:rsidRPr="00BF61BF">
        <w:rPr>
          <w:rStyle w:val="FootnoteReference"/>
          <w:szCs w:val="20"/>
          <w:lang w:val="es-ES_tradnl"/>
        </w:rPr>
        <w:footnoteReference w:id="5"/>
      </w:r>
      <w:r w:rsidRPr="00BF61BF">
        <w:rPr>
          <w:lang w:val="es-ES_tradnl"/>
        </w:rPr>
        <w:t>, así como de la información adicional sobre las cuestiones financieras</w:t>
      </w:r>
      <w:r w:rsidR="002A66DE" w:rsidRPr="00BF61BF">
        <w:rPr>
          <w:rStyle w:val="FootnoteReference"/>
          <w:szCs w:val="20"/>
          <w:lang w:val="es-ES_tradnl"/>
        </w:rPr>
        <w:footnoteReference w:id="6"/>
      </w:r>
      <w:r w:rsidRPr="00BF61BF">
        <w:rPr>
          <w:lang w:val="es-ES_tradnl"/>
        </w:rPr>
        <w:t>, los presupuestos</w:t>
      </w:r>
      <w:r w:rsidR="00106079" w:rsidRPr="00BF61BF">
        <w:rPr>
          <w:lang w:val="es-ES_tradnl"/>
        </w:rPr>
        <w:t> </w:t>
      </w:r>
      <w:r w:rsidRPr="00BF61BF">
        <w:rPr>
          <w:lang w:val="es-ES_tradnl"/>
        </w:rPr>
        <w:t>operacionales propuestos para las dos hipótesis de financiación</w:t>
      </w:r>
      <w:r w:rsidR="002A66DE" w:rsidRPr="00BF61BF">
        <w:rPr>
          <w:rStyle w:val="FootnoteReference"/>
          <w:szCs w:val="20"/>
          <w:lang w:val="es-ES_tradnl"/>
        </w:rPr>
        <w:footnoteReference w:id="7"/>
      </w:r>
      <w:r w:rsidRPr="00BF61BF">
        <w:rPr>
          <w:lang w:val="es-ES_tradnl"/>
        </w:rPr>
        <w:t xml:space="preserve"> y las </w:t>
      </w:r>
      <w:r w:rsidR="0097084C" w:rsidRPr="00BF61BF">
        <w:rPr>
          <w:lang w:val="es-ES_tradnl"/>
        </w:rPr>
        <w:t>fichas</w:t>
      </w:r>
      <w:r w:rsidRPr="00BF61BF">
        <w:rPr>
          <w:lang w:val="es-ES_tradnl"/>
        </w:rPr>
        <w:t xml:space="preserve"> de datos de las actividades presupuestarias</w:t>
      </w:r>
      <w:r w:rsidR="002A66DE" w:rsidRPr="00BF61BF">
        <w:rPr>
          <w:rStyle w:val="FootnoteReference"/>
          <w:szCs w:val="20"/>
          <w:lang w:val="es-ES_tradnl"/>
        </w:rPr>
        <w:footnoteReference w:id="8"/>
      </w:r>
      <w:r w:rsidRPr="00BF61BF">
        <w:rPr>
          <w:lang w:val="es-ES_tradnl"/>
        </w:rPr>
        <w:t>;</w:t>
      </w:r>
    </w:p>
    <w:p w14:paraId="57D80E8B" w14:textId="20B9C093" w:rsidR="00907C07" w:rsidRPr="00BF61BF" w:rsidRDefault="00907C07"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Aprueba</w:t>
      </w:r>
      <w:r w:rsidRPr="00BF61BF">
        <w:rPr>
          <w:lang w:val="es-ES_tradnl"/>
        </w:rPr>
        <w:t xml:space="preserve"> el presupuesto del </w:t>
      </w:r>
      <w:r w:rsidR="000359CF" w:rsidRPr="00BF61BF">
        <w:rPr>
          <w:lang w:val="es-ES_tradnl"/>
        </w:rPr>
        <w:t xml:space="preserve">Fondo Fiduciario General </w:t>
      </w:r>
      <w:r w:rsidRPr="00BF61BF">
        <w:rPr>
          <w:lang w:val="es-ES_tradnl"/>
        </w:rPr>
        <w:t>correspondiente al bienio</w:t>
      </w:r>
      <w:r w:rsidR="00106079" w:rsidRPr="00BF61BF">
        <w:rPr>
          <w:lang w:val="es-ES_tradnl"/>
        </w:rPr>
        <w:t> </w:t>
      </w:r>
      <w:r w:rsidRPr="00BF61BF">
        <w:rPr>
          <w:lang w:val="es-ES_tradnl"/>
        </w:rPr>
        <w:t>2020</w:t>
      </w:r>
      <w:r w:rsidR="00106079" w:rsidRPr="00BF61BF">
        <w:rPr>
          <w:lang w:val="es-ES_tradnl"/>
        </w:rPr>
        <w:noBreakHyphen/>
      </w:r>
      <w:r w:rsidRPr="00BF61BF">
        <w:rPr>
          <w:lang w:val="es-ES_tradnl"/>
        </w:rPr>
        <w:t>2021 de [--] dólares de los Estados Unidos;</w:t>
      </w:r>
    </w:p>
    <w:p w14:paraId="6968FD06" w14:textId="111D8D2A" w:rsidR="00762454" w:rsidRPr="00BF61BF" w:rsidRDefault="00762454"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bookmarkStart w:id="1" w:name="_Hlk15257842"/>
      <w:r w:rsidRPr="00BF61BF">
        <w:rPr>
          <w:i/>
          <w:iCs/>
          <w:lang w:val="es-ES_tradnl"/>
        </w:rPr>
        <w:t>Autoriza</w:t>
      </w:r>
      <w:r w:rsidRPr="00BF61BF">
        <w:rPr>
          <w:lang w:val="es-ES_tradnl"/>
        </w:rPr>
        <w:t xml:space="preserve"> a la Secretaria Ejecutiva a retirar del superávit disponible estimado del </w:t>
      </w:r>
      <w:r w:rsidR="000359CF" w:rsidRPr="00BF61BF">
        <w:rPr>
          <w:lang w:val="es-ES_tradnl"/>
        </w:rPr>
        <w:t xml:space="preserve">Fondo Fiduciario General </w:t>
      </w:r>
      <w:r w:rsidRPr="00BF61BF">
        <w:rPr>
          <w:lang w:val="es-ES_tradnl"/>
        </w:rPr>
        <w:t xml:space="preserve">la suma de [--] dólares de los Estados Unidos; </w:t>
      </w:r>
    </w:p>
    <w:bookmarkEnd w:id="1"/>
    <w:p w14:paraId="16B2D81E" w14:textId="506FB877" w:rsidR="00907C07" w:rsidRPr="00BF61BF" w:rsidRDefault="00907C07" w:rsidP="003F3A5F">
      <w:pPr>
        <w:pStyle w:val="Normalnumber"/>
        <w:numPr>
          <w:ilvl w:val="0"/>
          <w:numId w:val="5"/>
        </w:numPr>
        <w:tabs>
          <w:tab w:val="clear" w:pos="1134"/>
          <w:tab w:val="clear" w:pos="1247"/>
          <w:tab w:val="clear" w:pos="1814"/>
          <w:tab w:val="clear" w:pos="2381"/>
          <w:tab w:val="clear" w:pos="2948"/>
          <w:tab w:val="clear" w:pos="3515"/>
          <w:tab w:val="clear" w:pos="4082"/>
        </w:tabs>
        <w:ind w:firstLine="624"/>
        <w:rPr>
          <w:lang w:val="es-ES_tradnl"/>
        </w:rPr>
      </w:pPr>
      <w:r w:rsidRPr="00BF61BF">
        <w:rPr>
          <w:i/>
          <w:iCs/>
          <w:lang w:val="es-ES_tradnl"/>
        </w:rPr>
        <w:t>Aprueba</w:t>
      </w:r>
      <w:r w:rsidRPr="00BF61BF">
        <w:rPr>
          <w:lang w:val="es-ES_tradnl"/>
        </w:rPr>
        <w:t xml:space="preserve"> la escala indicativa de cuotas para el prorrateo de los</w:t>
      </w:r>
      <w:r w:rsidR="0097084C" w:rsidRPr="00BF61BF">
        <w:rPr>
          <w:lang w:val="es-ES_tradnl"/>
        </w:rPr>
        <w:t xml:space="preserve"> gastos correspondientes a</w:t>
      </w:r>
      <w:r w:rsidR="003F3A5F" w:rsidRPr="00BF61BF">
        <w:rPr>
          <w:lang w:val="es-ES_tradnl"/>
        </w:rPr>
        <w:t> </w:t>
      </w:r>
      <w:r w:rsidR="0097084C" w:rsidRPr="00BF61BF">
        <w:rPr>
          <w:lang w:val="es-ES_tradnl"/>
        </w:rPr>
        <w:t>2020-</w:t>
      </w:r>
      <w:r w:rsidRPr="00BF61BF">
        <w:rPr>
          <w:lang w:val="es-ES_tradnl"/>
        </w:rPr>
        <w:t xml:space="preserve">2021 que figura en el cuadro [--] de la presente decisión y autoriza a la Secretaria Ejecutiva, de conformidad con el Reglamento Financiero y Reglamentación Financiera Detallada de las </w:t>
      </w:r>
      <w:r w:rsidR="002A6CFE" w:rsidRPr="00BF61BF">
        <w:rPr>
          <w:lang w:val="es-ES_tradnl"/>
        </w:rPr>
        <w:t>Naciones Unidas</w:t>
      </w:r>
      <w:r w:rsidRPr="00BF61BF">
        <w:rPr>
          <w:lang w:val="es-ES_tradnl"/>
        </w:rPr>
        <w:t>, a que ajuste la escala de manera que se incluya a todas las Partes para las cuales el Convenio entra</w:t>
      </w:r>
      <w:r w:rsidR="001C0392" w:rsidRPr="00BF61BF">
        <w:rPr>
          <w:lang w:val="es-ES_tradnl"/>
        </w:rPr>
        <w:t>rá</w:t>
      </w:r>
      <w:r w:rsidRPr="00BF61BF">
        <w:rPr>
          <w:lang w:val="es-ES_tradnl"/>
        </w:rPr>
        <w:t xml:space="preserve"> en vigor antes del 1 de enero de 2020; </w:t>
      </w:r>
    </w:p>
    <w:p w14:paraId="6619C6C5" w14:textId="77504666" w:rsidR="00907C07" w:rsidRPr="00BF61BF" w:rsidRDefault="00907C07"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Recuerda</w:t>
      </w:r>
      <w:r w:rsidRPr="00BF61BF">
        <w:rPr>
          <w:lang w:val="es-ES_tradnl"/>
        </w:rPr>
        <w:t xml:space="preserve"> que las contribuciones al </w:t>
      </w:r>
      <w:r w:rsidR="000359CF" w:rsidRPr="00BF61BF">
        <w:rPr>
          <w:lang w:val="es-ES_tradnl"/>
        </w:rPr>
        <w:t xml:space="preserve">Fondo Fiduciario General </w:t>
      </w:r>
      <w:r w:rsidR="001C0392" w:rsidRPr="00BF61BF">
        <w:rPr>
          <w:lang w:val="es-ES_tradnl"/>
        </w:rPr>
        <w:t>han de abonarse</w:t>
      </w:r>
      <w:r w:rsidRPr="00BF61BF">
        <w:rPr>
          <w:lang w:val="es-ES_tradnl"/>
        </w:rPr>
        <w:t xml:space="preserve"> antes del 1 de</w:t>
      </w:r>
      <w:r w:rsidR="00106079" w:rsidRPr="00BF61BF">
        <w:rPr>
          <w:lang w:val="es-ES_tradnl"/>
        </w:rPr>
        <w:t> </w:t>
      </w:r>
      <w:r w:rsidRPr="00BF61BF">
        <w:rPr>
          <w:lang w:val="es-ES_tradnl"/>
        </w:rPr>
        <w:t>enero del año para el que se hayan presupuestado, y a más tardar el 31 de diciembre de ese año, y solicita a las Partes que paguen sus contribuciones lo antes posible para que la Secretaría pueda llevar a cabo su labor;</w:t>
      </w:r>
    </w:p>
    <w:p w14:paraId="05EB6589" w14:textId="77777777" w:rsidR="00907C07" w:rsidRPr="00BF61BF" w:rsidRDefault="00907C07" w:rsidP="00367C87">
      <w:pPr>
        <w:pStyle w:val="CH2"/>
        <w:spacing w:before="240"/>
        <w:ind w:firstLine="0"/>
        <w:jc w:val="center"/>
        <w:rPr>
          <w:lang w:val="es-ES_tradnl"/>
        </w:rPr>
      </w:pPr>
      <w:r w:rsidRPr="00BF61BF">
        <w:rPr>
          <w:bCs/>
          <w:lang w:val="es-ES_tradnl"/>
        </w:rPr>
        <w:t>II</w:t>
      </w:r>
    </w:p>
    <w:p w14:paraId="32A2F6D0" w14:textId="500E1192" w:rsidR="002964D0" w:rsidRPr="00BF61BF" w:rsidRDefault="00907C07" w:rsidP="00367C87">
      <w:pPr>
        <w:pStyle w:val="CH2"/>
        <w:ind w:firstLine="0"/>
        <w:jc w:val="center"/>
        <w:rPr>
          <w:lang w:val="es-ES_tradnl"/>
        </w:rPr>
      </w:pPr>
      <w:r w:rsidRPr="00BF61BF">
        <w:rPr>
          <w:bCs/>
          <w:lang w:val="es-ES_tradnl"/>
        </w:rPr>
        <w:t xml:space="preserve">Fondo </w:t>
      </w:r>
      <w:r w:rsidR="001C0392" w:rsidRPr="00BF61BF">
        <w:rPr>
          <w:bCs/>
          <w:lang w:val="es-ES_tradnl"/>
        </w:rPr>
        <w:t>F</w:t>
      </w:r>
      <w:r w:rsidRPr="00BF61BF">
        <w:rPr>
          <w:bCs/>
          <w:lang w:val="es-ES_tradnl"/>
        </w:rPr>
        <w:t xml:space="preserve">iduciario </w:t>
      </w:r>
      <w:r w:rsidR="001C0392" w:rsidRPr="00BF61BF">
        <w:rPr>
          <w:bCs/>
          <w:lang w:val="es-ES_tradnl"/>
        </w:rPr>
        <w:t>E</w:t>
      </w:r>
      <w:r w:rsidRPr="00BF61BF">
        <w:rPr>
          <w:bCs/>
          <w:lang w:val="es-ES_tradnl"/>
        </w:rPr>
        <w:t>special del Convenio de Minamata sobre el Mercurio</w:t>
      </w:r>
    </w:p>
    <w:p w14:paraId="30E34C53" w14:textId="09951A10" w:rsidR="002964D0" w:rsidRPr="00BF61BF" w:rsidRDefault="002964D0"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Toma nota</w:t>
      </w:r>
      <w:r w:rsidRPr="00BF61BF">
        <w:rPr>
          <w:lang w:val="es-ES_tradnl"/>
        </w:rPr>
        <w:t xml:space="preserve"> de la información actualizada proporcionada por la Secretaria Ejecutiva sobre las actividades de 2019 y los gastos de 2018-2019 a través del </w:t>
      </w:r>
      <w:r w:rsidR="001C0392" w:rsidRPr="00BF61BF">
        <w:rPr>
          <w:lang w:val="es-ES_tradnl"/>
        </w:rPr>
        <w:t>F</w:t>
      </w:r>
      <w:r w:rsidRPr="00BF61BF">
        <w:rPr>
          <w:lang w:val="es-ES_tradnl"/>
        </w:rPr>
        <w:t xml:space="preserve">ondo </w:t>
      </w:r>
      <w:r w:rsidR="001C0392" w:rsidRPr="00BF61BF">
        <w:rPr>
          <w:lang w:val="es-ES_tradnl"/>
        </w:rPr>
        <w:t>F</w:t>
      </w:r>
      <w:r w:rsidRPr="00BF61BF">
        <w:rPr>
          <w:lang w:val="es-ES_tradnl"/>
        </w:rPr>
        <w:t xml:space="preserve">iduciario </w:t>
      </w:r>
      <w:r w:rsidR="001C0392" w:rsidRPr="00BF61BF">
        <w:rPr>
          <w:lang w:val="es-ES_tradnl"/>
        </w:rPr>
        <w:t>E</w:t>
      </w:r>
      <w:r w:rsidRPr="00BF61BF">
        <w:rPr>
          <w:lang w:val="es-ES_tradnl"/>
        </w:rPr>
        <w:t>special, que figura en la información sobre los asuntos financieros</w:t>
      </w:r>
      <w:r w:rsidR="009C6788" w:rsidRPr="00BF61BF">
        <w:rPr>
          <w:rStyle w:val="FootnoteReference"/>
          <w:szCs w:val="20"/>
          <w:lang w:val="es-ES_tradnl"/>
        </w:rPr>
        <w:footnoteReference w:id="9"/>
      </w:r>
      <w:r w:rsidRPr="00BF61BF">
        <w:rPr>
          <w:lang w:val="es-ES_tradnl"/>
        </w:rPr>
        <w:t>, así como del informe sobre las principales actividades de la Secretaría en el intervalo entre períodos de sesiones</w:t>
      </w:r>
      <w:r w:rsidR="009C6788" w:rsidRPr="00BF61BF">
        <w:rPr>
          <w:rStyle w:val="FootnoteReference"/>
          <w:szCs w:val="20"/>
          <w:lang w:val="es-ES_tradnl"/>
        </w:rPr>
        <w:footnoteReference w:id="10"/>
      </w:r>
      <w:r w:rsidRPr="00BF61BF">
        <w:rPr>
          <w:lang w:val="es-ES_tradnl"/>
        </w:rPr>
        <w:t xml:space="preserve">; </w:t>
      </w:r>
    </w:p>
    <w:p w14:paraId="4B3A6F09" w14:textId="3A7F1036" w:rsidR="003D4595" w:rsidRPr="00BF61BF" w:rsidRDefault="003D4595"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Toma nota también</w:t>
      </w:r>
      <w:r w:rsidRPr="00BF61BF">
        <w:rPr>
          <w:lang w:val="es-ES_tradnl"/>
        </w:rPr>
        <w:t xml:space="preserve"> del proyecto de programa de trabajo y presupuesto para el bienio</w:t>
      </w:r>
      <w:r w:rsidR="00106079" w:rsidRPr="00BF61BF">
        <w:rPr>
          <w:lang w:val="es-ES_tradnl"/>
        </w:rPr>
        <w:t> </w:t>
      </w:r>
      <w:r w:rsidRPr="00BF61BF">
        <w:rPr>
          <w:lang w:val="es-ES_tradnl"/>
        </w:rPr>
        <w:t>2020</w:t>
      </w:r>
      <w:r w:rsidR="00106079" w:rsidRPr="00BF61BF">
        <w:rPr>
          <w:lang w:val="es-ES_tradnl"/>
        </w:rPr>
        <w:noBreakHyphen/>
      </w:r>
      <w:r w:rsidRPr="00BF61BF">
        <w:rPr>
          <w:lang w:val="es-ES_tradnl"/>
        </w:rPr>
        <w:t>2021</w:t>
      </w:r>
      <w:r w:rsidRPr="00BF61BF">
        <w:rPr>
          <w:rStyle w:val="FootnoteReference"/>
          <w:szCs w:val="20"/>
          <w:lang w:val="es-ES_tradnl"/>
        </w:rPr>
        <w:footnoteReference w:id="11"/>
      </w:r>
      <w:r w:rsidRPr="00BF61BF">
        <w:rPr>
          <w:lang w:val="es-ES_tradnl"/>
        </w:rPr>
        <w:t>, así como de la información adicional sobre las cuestiones financieras</w:t>
      </w:r>
      <w:r w:rsidRPr="00BF61BF">
        <w:rPr>
          <w:rStyle w:val="FootnoteReference"/>
          <w:szCs w:val="20"/>
          <w:lang w:val="es-ES_tradnl"/>
        </w:rPr>
        <w:footnoteReference w:id="12"/>
      </w:r>
      <w:r w:rsidRPr="00BF61BF">
        <w:rPr>
          <w:lang w:val="es-ES_tradnl"/>
        </w:rPr>
        <w:t>, los presupuestos operacionales propuestos para las dos hipótesis de financiación</w:t>
      </w:r>
      <w:r w:rsidRPr="00BF61BF">
        <w:rPr>
          <w:rStyle w:val="FootnoteReference"/>
          <w:szCs w:val="20"/>
          <w:lang w:val="es-ES_tradnl"/>
        </w:rPr>
        <w:footnoteReference w:id="13"/>
      </w:r>
      <w:r w:rsidRPr="00BF61BF">
        <w:rPr>
          <w:lang w:val="es-ES_tradnl"/>
        </w:rPr>
        <w:t xml:space="preserve"> y las </w:t>
      </w:r>
      <w:r w:rsidR="0097084C" w:rsidRPr="00BF61BF">
        <w:rPr>
          <w:lang w:val="es-ES_tradnl"/>
        </w:rPr>
        <w:t>fichas</w:t>
      </w:r>
      <w:r w:rsidRPr="00BF61BF">
        <w:rPr>
          <w:lang w:val="es-ES_tradnl"/>
        </w:rPr>
        <w:t xml:space="preserve"> de datos de las</w:t>
      </w:r>
      <w:r w:rsidR="00106079" w:rsidRPr="00BF61BF">
        <w:rPr>
          <w:lang w:val="es-ES_tradnl"/>
        </w:rPr>
        <w:t> </w:t>
      </w:r>
      <w:r w:rsidRPr="00BF61BF">
        <w:rPr>
          <w:lang w:val="es-ES_tradnl"/>
        </w:rPr>
        <w:t>actividades presupuestarias</w:t>
      </w:r>
      <w:r w:rsidRPr="00BF61BF">
        <w:rPr>
          <w:rStyle w:val="FootnoteReference"/>
          <w:szCs w:val="20"/>
          <w:lang w:val="es-ES_tradnl"/>
        </w:rPr>
        <w:footnoteReference w:id="14"/>
      </w:r>
      <w:r w:rsidRPr="00BF61BF">
        <w:rPr>
          <w:lang w:val="es-ES_tradnl"/>
        </w:rPr>
        <w:t>;</w:t>
      </w:r>
    </w:p>
    <w:p w14:paraId="1AF3DFED" w14:textId="2D65295E" w:rsidR="002964D0" w:rsidRPr="00BF61BF" w:rsidRDefault="00D613A4"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Está</w:t>
      </w:r>
      <w:r w:rsidR="001C0392" w:rsidRPr="00BF61BF">
        <w:rPr>
          <w:i/>
          <w:iCs/>
          <w:lang w:val="es-ES_tradnl"/>
        </w:rPr>
        <w:t xml:space="preserve"> conforme</w:t>
      </w:r>
      <w:r w:rsidRPr="00BF61BF">
        <w:rPr>
          <w:lang w:val="es-ES_tradnl"/>
        </w:rPr>
        <w:t xml:space="preserve"> con las estimaciones del </w:t>
      </w:r>
      <w:r w:rsidR="00C345C0" w:rsidRPr="00BF61BF">
        <w:rPr>
          <w:lang w:val="es-ES_tradnl"/>
        </w:rPr>
        <w:t xml:space="preserve">Fondo Fiduciario Especial </w:t>
      </w:r>
      <w:r w:rsidRPr="00BF61BF">
        <w:rPr>
          <w:lang w:val="es-ES_tradnl"/>
        </w:rPr>
        <w:t>para el bienio</w:t>
      </w:r>
      <w:r w:rsidR="00106079" w:rsidRPr="00BF61BF">
        <w:rPr>
          <w:lang w:val="es-ES_tradnl"/>
        </w:rPr>
        <w:t> </w:t>
      </w:r>
      <w:r w:rsidRPr="00BF61BF">
        <w:rPr>
          <w:lang w:val="es-ES_tradnl"/>
        </w:rPr>
        <w:t>2020</w:t>
      </w:r>
      <w:r w:rsidR="00106079" w:rsidRPr="00BF61BF">
        <w:rPr>
          <w:lang w:val="es-ES_tradnl"/>
        </w:rPr>
        <w:noBreakHyphen/>
      </w:r>
      <w:r w:rsidRPr="00BF61BF">
        <w:rPr>
          <w:lang w:val="es-ES_tradnl"/>
        </w:rPr>
        <w:t xml:space="preserve">2021 de [--] dólares de los Estados Unidos; </w:t>
      </w:r>
    </w:p>
    <w:p w14:paraId="4C1D4A68" w14:textId="366A04F2" w:rsidR="00354BBF" w:rsidRPr="00BF61BF" w:rsidRDefault="00805226"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Observa</w:t>
      </w:r>
      <w:r w:rsidRPr="00BF61BF">
        <w:rPr>
          <w:lang w:val="es-ES_tradnl"/>
        </w:rPr>
        <w:t xml:space="preserve"> que la puesta en práctica de las actividades planificadas está sujeta a la disponibilidad de recursos aportados al </w:t>
      </w:r>
      <w:r w:rsidR="001C0392" w:rsidRPr="00BF61BF">
        <w:rPr>
          <w:lang w:val="es-ES_tradnl"/>
        </w:rPr>
        <w:t>F</w:t>
      </w:r>
      <w:r w:rsidRPr="00BF61BF">
        <w:rPr>
          <w:lang w:val="es-ES_tradnl"/>
        </w:rPr>
        <w:t xml:space="preserve">ondo </w:t>
      </w:r>
      <w:r w:rsidR="001C0392" w:rsidRPr="00BF61BF">
        <w:rPr>
          <w:lang w:val="es-ES_tradnl"/>
        </w:rPr>
        <w:t>F</w:t>
      </w:r>
      <w:r w:rsidRPr="00BF61BF">
        <w:rPr>
          <w:lang w:val="es-ES_tradnl"/>
        </w:rPr>
        <w:t xml:space="preserve">iduciario </w:t>
      </w:r>
      <w:r w:rsidR="001C0392" w:rsidRPr="00BF61BF">
        <w:rPr>
          <w:lang w:val="es-ES_tradnl"/>
        </w:rPr>
        <w:t>E</w:t>
      </w:r>
      <w:r w:rsidRPr="00BF61BF">
        <w:rPr>
          <w:lang w:val="es-ES_tradnl"/>
        </w:rPr>
        <w:t>special;</w:t>
      </w:r>
    </w:p>
    <w:p w14:paraId="18E23D6C" w14:textId="4169404F" w:rsidR="00D613A4" w:rsidRPr="00BF61BF" w:rsidRDefault="00D613A4" w:rsidP="00837F5F">
      <w:pPr>
        <w:pStyle w:val="Normalnumber"/>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Solicita</w:t>
      </w:r>
      <w:r w:rsidRPr="00BF61BF">
        <w:rPr>
          <w:lang w:val="es-ES_tradnl"/>
        </w:rPr>
        <w:t xml:space="preserve"> a las Partes y a los Estados que no s</w:t>
      </w:r>
      <w:r w:rsidR="001C0392" w:rsidRPr="00BF61BF">
        <w:rPr>
          <w:lang w:val="es-ES_tradnl"/>
        </w:rPr>
        <w:t>on</w:t>
      </w:r>
      <w:r w:rsidRPr="00BF61BF">
        <w:rPr>
          <w:lang w:val="es-ES_tradnl"/>
        </w:rPr>
        <w:t xml:space="preserve"> Partes en el Convenio y otras entidades que estén en condiciones de hacerlo a que hagan contribuciones al </w:t>
      </w:r>
      <w:r w:rsidR="00C345C0" w:rsidRPr="00BF61BF">
        <w:rPr>
          <w:lang w:val="es-ES_tradnl"/>
        </w:rPr>
        <w:t xml:space="preserve">Fondo Fiduciario Especial </w:t>
      </w:r>
      <w:r w:rsidRPr="00BF61BF">
        <w:rPr>
          <w:lang w:val="es-ES_tradnl"/>
        </w:rPr>
        <w:t xml:space="preserve">para apoyar las </w:t>
      </w:r>
      <w:r w:rsidRPr="00BF61BF">
        <w:rPr>
          <w:lang w:val="es-ES_tradnl"/>
        </w:rPr>
        <w:lastRenderedPageBreak/>
        <w:t>actividades de creación de capacidad y asistencia técnica de la Secretaría del Convenio de Minamata, de conformidad con el artículo 14 del Convenio;</w:t>
      </w:r>
    </w:p>
    <w:p w14:paraId="3A5B2629" w14:textId="7DD4FB8D" w:rsidR="00F2708D" w:rsidRPr="00BF61BF" w:rsidRDefault="003D4595" w:rsidP="00746C1A">
      <w:pPr>
        <w:pStyle w:val="Normalnumber"/>
        <w:keepNext/>
        <w:keepLines/>
        <w:numPr>
          <w:ilvl w:val="0"/>
          <w:numId w:val="5"/>
        </w:numPr>
        <w:tabs>
          <w:tab w:val="clear" w:pos="1134"/>
          <w:tab w:val="clear" w:pos="1247"/>
          <w:tab w:val="clear" w:pos="1814"/>
          <w:tab w:val="clear" w:pos="2381"/>
          <w:tab w:val="clear" w:pos="2948"/>
          <w:tab w:val="clear" w:pos="3515"/>
          <w:tab w:val="clear" w:pos="4082"/>
          <w:tab w:val="num" w:pos="624"/>
        </w:tabs>
        <w:ind w:firstLine="624"/>
        <w:rPr>
          <w:lang w:val="es-ES_tradnl"/>
        </w:rPr>
      </w:pPr>
      <w:r w:rsidRPr="00BF61BF">
        <w:rPr>
          <w:i/>
          <w:iCs/>
          <w:lang w:val="es-ES_tradnl"/>
        </w:rPr>
        <w:t>Invita</w:t>
      </w:r>
      <w:r w:rsidRPr="00BF61BF">
        <w:rPr>
          <w:lang w:val="es-ES_tradnl"/>
        </w:rPr>
        <w:t xml:space="preserve"> a las Partes y a los Estados que no son Partes en el Convenio y a otras entidades que estén en condiciones de hacerlo a contribuir al </w:t>
      </w:r>
      <w:r w:rsidR="00C345C0" w:rsidRPr="00BF61BF">
        <w:rPr>
          <w:lang w:val="es-ES_tradnl"/>
        </w:rPr>
        <w:t xml:space="preserve">Fondo Fiduciario Especial </w:t>
      </w:r>
      <w:r w:rsidRPr="00BF61BF">
        <w:rPr>
          <w:lang w:val="es-ES_tradnl"/>
        </w:rPr>
        <w:t>para apoyar la participación de representantes de los países en desarrollo y países con economías en transición en las reuniones de la Conferencia de las Partes y sus órganos subsidiarios;</w:t>
      </w:r>
    </w:p>
    <w:p w14:paraId="55D3C923" w14:textId="77777777" w:rsidR="00F2708D" w:rsidRPr="00BF61BF" w:rsidRDefault="00F2708D" w:rsidP="00C2160A">
      <w:pPr>
        <w:pStyle w:val="CH2"/>
        <w:spacing w:before="240"/>
        <w:ind w:firstLine="0"/>
        <w:jc w:val="center"/>
        <w:rPr>
          <w:lang w:val="es-ES_tradnl"/>
        </w:rPr>
      </w:pPr>
      <w:r w:rsidRPr="00BF61BF">
        <w:rPr>
          <w:bCs/>
          <w:lang w:val="es-ES_tradnl"/>
        </w:rPr>
        <w:t>III</w:t>
      </w:r>
    </w:p>
    <w:p w14:paraId="38D8202D" w14:textId="77777777" w:rsidR="00F2708D" w:rsidRPr="00BF61BF" w:rsidRDefault="00F2708D" w:rsidP="00C2160A">
      <w:pPr>
        <w:pStyle w:val="CH2"/>
        <w:ind w:firstLine="0"/>
        <w:jc w:val="center"/>
        <w:rPr>
          <w:lang w:val="es-ES_tradnl"/>
        </w:rPr>
      </w:pPr>
      <w:r w:rsidRPr="00BF61BF">
        <w:rPr>
          <w:bCs/>
          <w:lang w:val="es-ES_tradnl"/>
        </w:rPr>
        <w:t>Fondo Fiduciario Específico del Convenio de Minamata sobre el Mercurio</w:t>
      </w:r>
    </w:p>
    <w:p w14:paraId="56573DBB" w14:textId="0AD92A5F" w:rsidR="00D613A4" w:rsidRPr="00BF61BF" w:rsidRDefault="00F2708D" w:rsidP="005C6555">
      <w:pPr>
        <w:pStyle w:val="Normalnumber"/>
        <w:keepNext/>
        <w:keepLines/>
        <w:tabs>
          <w:tab w:val="left" w:pos="624"/>
        </w:tabs>
        <w:ind w:firstLine="624"/>
        <w:rPr>
          <w:lang w:val="es-ES_tradnl"/>
        </w:rPr>
      </w:pPr>
      <w:r w:rsidRPr="00BF61BF">
        <w:rPr>
          <w:i/>
          <w:iCs/>
          <w:lang w:val="es-ES_tradnl"/>
        </w:rPr>
        <w:t>Toma nota</w:t>
      </w:r>
      <w:r w:rsidR="0097084C" w:rsidRPr="00BF61BF">
        <w:rPr>
          <w:lang w:val="es-ES_tradnl"/>
        </w:rPr>
        <w:t xml:space="preserve"> del informe general sobre el </w:t>
      </w:r>
      <w:r w:rsidR="001C0392" w:rsidRPr="00BF61BF">
        <w:rPr>
          <w:lang w:val="es-ES_tradnl"/>
        </w:rPr>
        <w:t>P</w:t>
      </w:r>
      <w:r w:rsidRPr="00BF61BF">
        <w:rPr>
          <w:lang w:val="es-ES_tradnl"/>
        </w:rPr>
        <w:t>rograma internacional específico para apoyar la creación de capacida</w:t>
      </w:r>
      <w:r w:rsidR="0097084C" w:rsidRPr="00BF61BF">
        <w:rPr>
          <w:lang w:val="es-ES_tradnl"/>
        </w:rPr>
        <w:t xml:space="preserve">d y la asistencia técnica y el </w:t>
      </w:r>
      <w:r w:rsidR="001C0392" w:rsidRPr="00BF61BF">
        <w:rPr>
          <w:lang w:val="es-ES_tradnl"/>
        </w:rPr>
        <w:t>F</w:t>
      </w:r>
      <w:r w:rsidR="0097084C" w:rsidRPr="00BF61BF">
        <w:rPr>
          <w:lang w:val="es-ES_tradnl"/>
        </w:rPr>
        <w:t xml:space="preserve">ondo </w:t>
      </w:r>
      <w:r w:rsidR="001C0392" w:rsidRPr="00BF61BF">
        <w:rPr>
          <w:lang w:val="es-ES_tradnl"/>
        </w:rPr>
        <w:t>F</w:t>
      </w:r>
      <w:r w:rsidR="0097084C" w:rsidRPr="00BF61BF">
        <w:rPr>
          <w:lang w:val="es-ES_tradnl"/>
        </w:rPr>
        <w:t xml:space="preserve">iduciario </w:t>
      </w:r>
      <w:r w:rsidR="001C0392" w:rsidRPr="00BF61BF">
        <w:rPr>
          <w:lang w:val="es-ES_tradnl"/>
        </w:rPr>
        <w:t>E</w:t>
      </w:r>
      <w:r w:rsidRPr="00BF61BF">
        <w:rPr>
          <w:lang w:val="es-ES_tradnl"/>
        </w:rPr>
        <w:t>specífico establecido para esas actividades</w:t>
      </w:r>
      <w:r w:rsidR="00654A36" w:rsidRPr="00BF61BF">
        <w:rPr>
          <w:rStyle w:val="FootnoteReference"/>
          <w:szCs w:val="20"/>
          <w:lang w:val="es-ES_tradnl"/>
        </w:rPr>
        <w:footnoteReference w:id="15"/>
      </w:r>
      <w:r w:rsidRPr="00BF61BF">
        <w:rPr>
          <w:lang w:val="es-ES_tradnl"/>
        </w:rPr>
        <w:t xml:space="preserve">; </w:t>
      </w:r>
    </w:p>
    <w:p w14:paraId="6BE81189" w14:textId="52B7728E" w:rsidR="00F2708D" w:rsidRPr="00BF61BF" w:rsidRDefault="00F2708D" w:rsidP="00DE07FA">
      <w:pPr>
        <w:pStyle w:val="Normalnumber"/>
        <w:tabs>
          <w:tab w:val="clear" w:pos="1134"/>
          <w:tab w:val="clear" w:pos="1247"/>
          <w:tab w:val="clear" w:pos="1814"/>
          <w:tab w:val="clear" w:pos="2381"/>
          <w:tab w:val="clear" w:pos="2948"/>
          <w:tab w:val="clear" w:pos="3515"/>
          <w:tab w:val="clear" w:pos="4082"/>
        </w:tabs>
        <w:ind w:firstLine="624"/>
        <w:rPr>
          <w:lang w:val="es-ES_tradnl"/>
        </w:rPr>
      </w:pPr>
      <w:r w:rsidRPr="00BF61BF">
        <w:rPr>
          <w:i/>
          <w:iCs/>
          <w:lang w:val="es-ES_tradnl"/>
        </w:rPr>
        <w:t>Invita</w:t>
      </w:r>
      <w:r w:rsidRPr="00BF61BF">
        <w:rPr>
          <w:lang w:val="es-ES_tradnl"/>
        </w:rPr>
        <w:t xml:space="preserve"> a las Partes y a los Estados que no s</w:t>
      </w:r>
      <w:r w:rsidR="001C0392" w:rsidRPr="00BF61BF">
        <w:rPr>
          <w:lang w:val="es-ES_tradnl"/>
        </w:rPr>
        <w:t>o</w:t>
      </w:r>
      <w:r w:rsidRPr="00BF61BF">
        <w:rPr>
          <w:lang w:val="es-ES_tradnl"/>
        </w:rPr>
        <w:t>n Partes en el Convenio y otras entidades que estén en condiciones de hacerlo a que</w:t>
      </w:r>
      <w:r w:rsidR="0097084C" w:rsidRPr="00BF61BF">
        <w:rPr>
          <w:lang w:val="es-ES_tradnl"/>
        </w:rPr>
        <w:t xml:space="preserve"> hagan contribuciones al </w:t>
      </w:r>
      <w:r w:rsidR="001C0392" w:rsidRPr="00BF61BF">
        <w:rPr>
          <w:lang w:val="es-ES_tradnl"/>
        </w:rPr>
        <w:t>F</w:t>
      </w:r>
      <w:r w:rsidR="0097084C" w:rsidRPr="00BF61BF">
        <w:rPr>
          <w:lang w:val="es-ES_tradnl"/>
        </w:rPr>
        <w:t xml:space="preserve">ondo </w:t>
      </w:r>
      <w:r w:rsidR="001C0392" w:rsidRPr="00BF61BF">
        <w:rPr>
          <w:lang w:val="es-ES_tradnl"/>
        </w:rPr>
        <w:t>F</w:t>
      </w:r>
      <w:r w:rsidR="0097084C" w:rsidRPr="00BF61BF">
        <w:rPr>
          <w:lang w:val="es-ES_tradnl"/>
        </w:rPr>
        <w:t xml:space="preserve">iduciario </w:t>
      </w:r>
      <w:r w:rsidR="001C0392" w:rsidRPr="00BF61BF">
        <w:rPr>
          <w:lang w:val="es-ES_tradnl"/>
        </w:rPr>
        <w:t>E</w:t>
      </w:r>
      <w:r w:rsidRPr="00BF61BF">
        <w:rPr>
          <w:lang w:val="es-ES_tradnl"/>
        </w:rPr>
        <w:t>specífico para apoyar las actividades de creación de capacidad y asistencia técnica de conformidad con el artículo</w:t>
      </w:r>
      <w:r w:rsidR="00215138" w:rsidRPr="00BF61BF">
        <w:rPr>
          <w:lang w:val="es-ES_tradnl"/>
        </w:rPr>
        <w:t> </w:t>
      </w:r>
      <w:r w:rsidRPr="00BF61BF">
        <w:rPr>
          <w:lang w:val="es-ES_tradnl"/>
        </w:rPr>
        <w:t xml:space="preserve">13 del Convenio; </w:t>
      </w:r>
    </w:p>
    <w:p w14:paraId="40F5B678" w14:textId="77777777" w:rsidR="00F2708D" w:rsidRPr="00BF61BF" w:rsidRDefault="00F2708D" w:rsidP="00311C4E">
      <w:pPr>
        <w:pStyle w:val="CH2"/>
        <w:spacing w:before="240"/>
        <w:ind w:firstLine="0"/>
        <w:jc w:val="center"/>
        <w:rPr>
          <w:lang w:val="es-ES_tradnl"/>
        </w:rPr>
      </w:pPr>
      <w:r w:rsidRPr="00BF61BF">
        <w:rPr>
          <w:bCs/>
          <w:lang w:val="es-ES_tradnl"/>
        </w:rPr>
        <w:t>IV</w:t>
      </w:r>
    </w:p>
    <w:p w14:paraId="2D66039E" w14:textId="5192F1C0" w:rsidR="00F2708D" w:rsidRPr="00BF61BF" w:rsidRDefault="00F2708D" w:rsidP="005C6555">
      <w:pPr>
        <w:pStyle w:val="CH2"/>
        <w:ind w:firstLine="0"/>
        <w:jc w:val="center"/>
        <w:rPr>
          <w:lang w:val="es-ES_tradnl"/>
        </w:rPr>
      </w:pPr>
      <w:r w:rsidRPr="00BF61BF">
        <w:rPr>
          <w:bCs/>
          <w:lang w:val="es-ES_tradnl"/>
        </w:rPr>
        <w:t>Preparativos para el bienio 2022</w:t>
      </w:r>
      <w:r w:rsidR="00106079" w:rsidRPr="00BF61BF">
        <w:rPr>
          <w:bCs/>
          <w:lang w:val="es-ES_tradnl"/>
        </w:rPr>
        <w:noBreakHyphen/>
      </w:r>
      <w:r w:rsidRPr="00BF61BF">
        <w:rPr>
          <w:bCs/>
          <w:lang w:val="es-ES_tradnl"/>
        </w:rPr>
        <w:t>2023</w:t>
      </w:r>
    </w:p>
    <w:p w14:paraId="5878CD1F" w14:textId="36A4F517" w:rsidR="000D7F52" w:rsidRPr="00BF61BF" w:rsidRDefault="00F45B30" w:rsidP="005C6555">
      <w:pPr>
        <w:pStyle w:val="Normalnumber"/>
        <w:tabs>
          <w:tab w:val="clear" w:pos="1134"/>
          <w:tab w:val="clear" w:pos="1247"/>
          <w:tab w:val="clear" w:pos="1814"/>
          <w:tab w:val="clear" w:pos="2381"/>
          <w:tab w:val="clear" w:pos="2948"/>
          <w:tab w:val="clear" w:pos="3515"/>
          <w:tab w:val="clear" w:pos="4082"/>
          <w:tab w:val="left" w:pos="624"/>
        </w:tabs>
        <w:ind w:firstLine="624"/>
        <w:rPr>
          <w:i/>
          <w:iCs/>
          <w:lang w:val="es-ES_tradnl"/>
        </w:rPr>
      </w:pPr>
      <w:r w:rsidRPr="00BF61BF">
        <w:rPr>
          <w:i/>
          <w:iCs/>
          <w:lang w:val="es-ES_tradnl"/>
        </w:rPr>
        <w:t>Solicita</w:t>
      </w:r>
      <w:r w:rsidRPr="00BF61BF">
        <w:rPr>
          <w:lang w:val="es-ES_tradnl"/>
        </w:rPr>
        <w:t xml:space="preserve"> a la Secretaria Ejecutiva que prepare un presupuesto para el bienio</w:t>
      </w:r>
      <w:r w:rsidR="00106079" w:rsidRPr="00BF61BF">
        <w:rPr>
          <w:lang w:val="es-ES_tradnl"/>
        </w:rPr>
        <w:t> </w:t>
      </w:r>
      <w:r w:rsidRPr="00BF61BF">
        <w:rPr>
          <w:lang w:val="es-ES_tradnl"/>
        </w:rPr>
        <w:t>2022</w:t>
      </w:r>
      <w:r w:rsidR="00106079" w:rsidRPr="00BF61BF">
        <w:rPr>
          <w:lang w:val="es-ES_tradnl"/>
        </w:rPr>
        <w:noBreakHyphen/>
      </w:r>
      <w:r w:rsidRPr="00BF61BF">
        <w:rPr>
          <w:lang w:val="es-ES_tradnl"/>
        </w:rPr>
        <w:t>2023, para su examen por la Conferencia de las Partes en su cuarta reunión, en 2021, en el que se expliquen los principios fundamentales, las hipótesis y la estrategia programática en que se basa el presupuesto y se presenten los gastos correspondientes a ese bienio en un formato programático y desglosado por actividad presupuestaria, cada una de las cuales estará apoyada por una ficha de datos sobre la actividad.</w:t>
      </w:r>
    </w:p>
    <w:p w14:paraId="2D61FF85" w14:textId="62B28F05" w:rsidR="000D7F52" w:rsidRPr="00BF61BF" w:rsidRDefault="001C0392" w:rsidP="005C6555">
      <w:pPr>
        <w:pStyle w:val="Normalnumber"/>
        <w:tabs>
          <w:tab w:val="clear" w:pos="1134"/>
          <w:tab w:val="clear" w:pos="1247"/>
          <w:tab w:val="clear" w:pos="1814"/>
          <w:tab w:val="clear" w:pos="2381"/>
          <w:tab w:val="clear" w:pos="2948"/>
          <w:tab w:val="clear" w:pos="3515"/>
          <w:tab w:val="clear" w:pos="4082"/>
          <w:tab w:val="left" w:pos="624"/>
        </w:tabs>
        <w:ind w:firstLine="624"/>
        <w:rPr>
          <w:lang w:val="es-ES_tradnl"/>
        </w:rPr>
      </w:pPr>
      <w:r w:rsidRPr="00BF61BF">
        <w:rPr>
          <w:i/>
          <w:iCs/>
          <w:lang w:val="es-ES_tradnl"/>
        </w:rPr>
        <w:t>Solicita</w:t>
      </w:r>
      <w:r w:rsidR="000D7F52" w:rsidRPr="00BF61BF">
        <w:rPr>
          <w:i/>
          <w:iCs/>
          <w:lang w:val="es-ES_tradnl"/>
        </w:rPr>
        <w:t xml:space="preserve"> también</w:t>
      </w:r>
      <w:r w:rsidR="000D7F52" w:rsidRPr="00BF61BF">
        <w:rPr>
          <w:lang w:val="es-ES_tradnl"/>
        </w:rPr>
        <w:t xml:space="preserve"> a la Secretaria Ejecutiva que, al preparar el presupuesto y programa de trabajo para el bienio</w:t>
      </w:r>
      <w:r w:rsidR="003F3A5F" w:rsidRPr="00BF61BF">
        <w:rPr>
          <w:lang w:val="es-ES_tradnl"/>
        </w:rPr>
        <w:t> </w:t>
      </w:r>
      <w:r w:rsidR="000D7F52" w:rsidRPr="00BF61BF">
        <w:rPr>
          <w:lang w:val="es-ES_tradnl"/>
        </w:rPr>
        <w:t>2022</w:t>
      </w:r>
      <w:r w:rsidR="003F3A5F" w:rsidRPr="00BF61BF">
        <w:rPr>
          <w:lang w:val="es-ES_tradnl"/>
        </w:rPr>
        <w:noBreakHyphen/>
      </w:r>
      <w:r w:rsidR="000D7F52" w:rsidRPr="00BF61BF">
        <w:rPr>
          <w:lang w:val="es-ES_tradnl"/>
        </w:rPr>
        <w:t>2023, presente dos hipótesis:</w:t>
      </w:r>
    </w:p>
    <w:p w14:paraId="23946251" w14:textId="6A16B767" w:rsidR="000D7F52" w:rsidRPr="00BF61BF" w:rsidRDefault="000D7F52" w:rsidP="00106079">
      <w:pPr>
        <w:pStyle w:val="Normal-pool"/>
        <w:numPr>
          <w:ilvl w:val="1"/>
          <w:numId w:val="7"/>
        </w:numPr>
        <w:tabs>
          <w:tab w:val="clear" w:pos="1247"/>
          <w:tab w:val="clear" w:pos="1814"/>
          <w:tab w:val="clear" w:pos="2381"/>
          <w:tab w:val="clear" w:pos="2948"/>
          <w:tab w:val="clear" w:pos="3515"/>
          <w:tab w:val="clear" w:pos="4082"/>
        </w:tabs>
        <w:spacing w:after="120"/>
        <w:ind w:left="1247" w:firstLine="624"/>
        <w:rPr>
          <w:lang w:val="es-ES_tradnl"/>
        </w:rPr>
      </w:pPr>
      <w:r w:rsidRPr="00BF61BF">
        <w:rPr>
          <w:lang w:val="es-ES_tradnl"/>
        </w:rPr>
        <w:t xml:space="preserve">Una en </w:t>
      </w:r>
      <w:r w:rsidR="000C35B5" w:rsidRPr="00BF61BF">
        <w:rPr>
          <w:lang w:val="es-ES_tradnl"/>
        </w:rPr>
        <w:t xml:space="preserve">la </w:t>
      </w:r>
      <w:r w:rsidRPr="00BF61BF">
        <w:rPr>
          <w:lang w:val="es-ES_tradnl"/>
        </w:rPr>
        <w:t>que se mantenga el presupuesto operacional en el nivel de 2020</w:t>
      </w:r>
      <w:r w:rsidR="003F3A5F" w:rsidRPr="00BF61BF">
        <w:rPr>
          <w:lang w:val="es-ES_tradnl"/>
        </w:rPr>
        <w:noBreakHyphen/>
      </w:r>
      <w:r w:rsidRPr="00BF61BF">
        <w:rPr>
          <w:lang w:val="es-ES_tradnl"/>
        </w:rPr>
        <w:t>2021 en términos</w:t>
      </w:r>
      <w:r w:rsidR="00106079" w:rsidRPr="00BF61BF">
        <w:rPr>
          <w:lang w:val="es-ES_tradnl"/>
        </w:rPr>
        <w:t> </w:t>
      </w:r>
      <w:r w:rsidRPr="00BF61BF">
        <w:rPr>
          <w:lang w:val="es-ES_tradnl"/>
        </w:rPr>
        <w:t xml:space="preserve">nominales; </w:t>
      </w:r>
    </w:p>
    <w:p w14:paraId="2F66C1E7" w14:textId="151A2CF0" w:rsidR="00383389" w:rsidRPr="00BF61BF" w:rsidRDefault="00383389" w:rsidP="00837F5F">
      <w:pPr>
        <w:pStyle w:val="Normal-pool"/>
        <w:numPr>
          <w:ilvl w:val="1"/>
          <w:numId w:val="7"/>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BF61BF">
        <w:rPr>
          <w:lang w:val="es-ES_tradnl"/>
        </w:rPr>
        <w:t xml:space="preserve">Otra en </w:t>
      </w:r>
      <w:r w:rsidR="000C35B5" w:rsidRPr="00BF61BF">
        <w:rPr>
          <w:lang w:val="es-ES_tradnl"/>
        </w:rPr>
        <w:t xml:space="preserve">la </w:t>
      </w:r>
      <w:r w:rsidRPr="00BF61BF">
        <w:rPr>
          <w:lang w:val="es-ES_tradnl"/>
        </w:rPr>
        <w:t xml:space="preserve">que se reflejen los cambios necesarios a la hipótesis antes mencionada para satisfacer las necesidades proyectadas y los costos o ahorros conexos. </w:t>
      </w:r>
    </w:p>
    <w:p w14:paraId="163D5E17" w14:textId="77777777" w:rsidR="00C2160A" w:rsidRPr="00BF61BF" w:rsidRDefault="00C2160A" w:rsidP="00C2160A">
      <w:pPr>
        <w:pStyle w:val="Normal-pool"/>
        <w:rPr>
          <w:lang w:val="es-ES_tradnl"/>
        </w:rPr>
      </w:pPr>
    </w:p>
    <w:p w14:paraId="15D3FA6A" w14:textId="77777777" w:rsidR="00EC3F22" w:rsidRPr="00BF61BF" w:rsidRDefault="00EC3F22" w:rsidP="00837F5F">
      <w:pPr>
        <w:pStyle w:val="Normalnumber"/>
        <w:numPr>
          <w:ilvl w:val="0"/>
          <w:numId w:val="7"/>
        </w:numPr>
        <w:rPr>
          <w:lang w:val="es-ES_tradnl"/>
        </w:rPr>
        <w:sectPr w:rsidR="00EC3F22" w:rsidRPr="00BF61BF" w:rsidSect="0034061A">
          <w:headerReference w:type="even" r:id="rId20"/>
          <w:headerReference w:type="default" r:id="rId21"/>
          <w:headerReference w:type="first" r:id="rId22"/>
          <w:footerReference w:type="first" r:id="rId23"/>
          <w:footnotePr>
            <w:numRestart w:val="eachSect"/>
          </w:footnotePr>
          <w:pgSz w:w="11906" w:h="16838" w:code="9"/>
          <w:pgMar w:top="907" w:right="992" w:bottom="1418" w:left="1077" w:header="539" w:footer="975" w:gutter="0"/>
          <w:cols w:space="539"/>
          <w:titlePg/>
          <w:docGrid w:linePitch="360"/>
        </w:sectPr>
      </w:pPr>
    </w:p>
    <w:p w14:paraId="5A976D05" w14:textId="77777777" w:rsidR="00E71861" w:rsidRPr="00BF61BF" w:rsidRDefault="00E71861" w:rsidP="00C2160A">
      <w:pPr>
        <w:pStyle w:val="Normal-pool"/>
        <w:rPr>
          <w:lang w:val="es-ES_tradnl"/>
        </w:rPr>
      </w:pPr>
      <w:r w:rsidRPr="00BF61BF">
        <w:rPr>
          <w:lang w:val="es-ES_tradnl"/>
        </w:rPr>
        <w:br w:type="page"/>
      </w:r>
    </w:p>
    <w:p w14:paraId="7E3E4A8E" w14:textId="5A9A569F" w:rsidR="00885718" w:rsidRPr="00BF61BF" w:rsidRDefault="005F2AF3" w:rsidP="0082498C">
      <w:pPr>
        <w:pStyle w:val="ZZAnxheader"/>
        <w:rPr>
          <w:lang w:val="es-ES_tradnl"/>
        </w:rPr>
      </w:pPr>
      <w:r w:rsidRPr="00BF61BF">
        <w:rPr>
          <w:lang w:val="es-ES_tradnl"/>
        </w:rPr>
        <w:lastRenderedPageBreak/>
        <w:t>Anexo II</w:t>
      </w:r>
    </w:p>
    <w:p w14:paraId="36BF2DD6" w14:textId="7501834A" w:rsidR="000E0C00" w:rsidRPr="00BF61BF" w:rsidRDefault="00F34B53" w:rsidP="00C2160A">
      <w:pPr>
        <w:pStyle w:val="ZZAnxtitle"/>
        <w:rPr>
          <w:lang w:val="es-ES_tradnl"/>
        </w:rPr>
      </w:pPr>
      <w:r w:rsidRPr="00BF61BF">
        <w:rPr>
          <w:lang w:val="es-ES_tradnl"/>
        </w:rPr>
        <w:t>Lista de las actividades propuestas incluidas en los programas de trabajo para el bienio 2020-2021</w:t>
      </w:r>
    </w:p>
    <w:tbl>
      <w:tblPr>
        <w:tblW w:w="5000" w:type="pct"/>
        <w:tblLayout w:type="fixed"/>
        <w:tblLook w:val="04A0" w:firstRow="1" w:lastRow="0" w:firstColumn="1" w:lastColumn="0" w:noHBand="0" w:noVBand="1"/>
      </w:tblPr>
      <w:tblGrid>
        <w:gridCol w:w="1697"/>
        <w:gridCol w:w="8140"/>
      </w:tblGrid>
      <w:tr w:rsidR="00C2160A" w:rsidRPr="00BF61BF" w14:paraId="432B0838" w14:textId="77777777" w:rsidTr="00BF61BF">
        <w:trPr>
          <w:trHeight w:val="340"/>
        </w:trPr>
        <w:tc>
          <w:tcPr>
            <w:tcW w:w="1697" w:type="dxa"/>
            <w:tcBorders>
              <w:top w:val="single" w:sz="4" w:space="0" w:color="auto"/>
              <w:left w:val="nil"/>
              <w:bottom w:val="single" w:sz="8" w:space="0" w:color="auto"/>
              <w:right w:val="nil"/>
            </w:tcBorders>
            <w:shd w:val="clear" w:color="000000" w:fill="FFFFFF"/>
            <w:noWrap/>
            <w:hideMark/>
          </w:tcPr>
          <w:p w14:paraId="4A6C3163" w14:textId="1E099B00" w:rsidR="00C2160A" w:rsidRPr="00BF61BF" w:rsidRDefault="000C35B5" w:rsidP="00C2160A">
            <w:pPr>
              <w:pStyle w:val="Normal-pool"/>
              <w:spacing w:before="40" w:after="40"/>
              <w:rPr>
                <w:b/>
                <w:sz w:val="18"/>
                <w:szCs w:val="18"/>
                <w:lang w:val="es-ES_tradnl"/>
              </w:rPr>
            </w:pPr>
            <w:r w:rsidRPr="00BF61BF">
              <w:rPr>
                <w:b/>
                <w:bCs/>
                <w:sz w:val="18"/>
                <w:szCs w:val="18"/>
                <w:lang w:val="es-ES_tradnl"/>
              </w:rPr>
              <w:t>Núm</w:t>
            </w:r>
            <w:r w:rsidR="00C12DD6" w:rsidRPr="00BF61BF">
              <w:rPr>
                <w:b/>
                <w:bCs/>
                <w:sz w:val="18"/>
                <w:szCs w:val="18"/>
                <w:lang w:val="es-ES_tradnl"/>
              </w:rPr>
              <w:t>.</w:t>
            </w:r>
            <w:r w:rsidRPr="00BF61BF">
              <w:rPr>
                <w:b/>
                <w:bCs/>
                <w:sz w:val="18"/>
                <w:szCs w:val="18"/>
                <w:lang w:val="es-ES_tradnl"/>
              </w:rPr>
              <w:t xml:space="preserve"> de la a</w:t>
            </w:r>
            <w:r w:rsidR="00C2160A" w:rsidRPr="00BF61BF">
              <w:rPr>
                <w:b/>
                <w:bCs/>
                <w:sz w:val="18"/>
                <w:szCs w:val="18"/>
                <w:lang w:val="es-ES_tradnl"/>
              </w:rPr>
              <w:t>ctividad</w:t>
            </w:r>
          </w:p>
        </w:tc>
        <w:tc>
          <w:tcPr>
            <w:tcW w:w="8140" w:type="dxa"/>
            <w:tcBorders>
              <w:top w:val="single" w:sz="4" w:space="0" w:color="auto"/>
              <w:left w:val="nil"/>
              <w:bottom w:val="single" w:sz="8" w:space="0" w:color="auto"/>
              <w:right w:val="nil"/>
            </w:tcBorders>
            <w:shd w:val="clear" w:color="000000" w:fill="FFFFFF"/>
            <w:noWrap/>
            <w:hideMark/>
          </w:tcPr>
          <w:p w14:paraId="6C84F154" w14:textId="65BD2689" w:rsidR="00C2160A" w:rsidRPr="00BF61BF" w:rsidRDefault="000C35B5" w:rsidP="00C2160A">
            <w:pPr>
              <w:pStyle w:val="Normal-pool"/>
              <w:spacing w:before="40" w:after="40"/>
              <w:rPr>
                <w:b/>
                <w:sz w:val="18"/>
                <w:szCs w:val="18"/>
                <w:lang w:val="es-ES_tradnl"/>
              </w:rPr>
            </w:pPr>
            <w:r w:rsidRPr="00BF61BF">
              <w:rPr>
                <w:b/>
                <w:bCs/>
                <w:sz w:val="18"/>
                <w:szCs w:val="18"/>
                <w:lang w:val="es-ES_tradnl"/>
              </w:rPr>
              <w:t>Denominación</w:t>
            </w:r>
            <w:r w:rsidR="00BA6599" w:rsidRPr="00BF61BF">
              <w:rPr>
                <w:b/>
                <w:bCs/>
                <w:sz w:val="18"/>
                <w:szCs w:val="18"/>
                <w:lang w:val="es-ES_tradnl"/>
              </w:rPr>
              <w:t xml:space="preserve"> funcional y descripción de la actividad</w:t>
            </w:r>
            <w:r w:rsidR="00BA6599" w:rsidRPr="00BF61BF">
              <w:rPr>
                <w:sz w:val="18"/>
                <w:szCs w:val="18"/>
                <w:lang w:val="es-ES_tradnl"/>
              </w:rPr>
              <w:t xml:space="preserve"> </w:t>
            </w:r>
          </w:p>
        </w:tc>
      </w:tr>
      <w:tr w:rsidR="00C2160A" w:rsidRPr="00BF61BF" w14:paraId="6456BF7E" w14:textId="77777777" w:rsidTr="00BF61BF">
        <w:trPr>
          <w:trHeight w:val="340"/>
        </w:trPr>
        <w:tc>
          <w:tcPr>
            <w:tcW w:w="1697" w:type="dxa"/>
            <w:tcBorders>
              <w:top w:val="nil"/>
              <w:left w:val="nil"/>
              <w:bottom w:val="single" w:sz="4" w:space="0" w:color="auto"/>
              <w:right w:val="nil"/>
            </w:tcBorders>
            <w:shd w:val="clear" w:color="000000" w:fill="FFFFFF"/>
            <w:noWrap/>
            <w:vAlign w:val="center"/>
            <w:hideMark/>
          </w:tcPr>
          <w:p w14:paraId="64E72AFA" w14:textId="77777777" w:rsidR="00C2160A" w:rsidRPr="00BF61BF" w:rsidRDefault="00C2160A" w:rsidP="00C2160A">
            <w:pPr>
              <w:pStyle w:val="Normal-pool"/>
              <w:rPr>
                <w:sz w:val="18"/>
                <w:szCs w:val="18"/>
                <w:lang w:val="es-ES_tradnl" w:eastAsia="zh-CN"/>
              </w:rPr>
            </w:pPr>
            <w:r w:rsidRPr="00BF61BF">
              <w:rPr>
                <w:sz w:val="18"/>
                <w:szCs w:val="18"/>
                <w:lang w:val="es-ES_tradnl" w:eastAsia="zh-CN"/>
              </w:rPr>
              <w:t> </w:t>
            </w:r>
          </w:p>
        </w:tc>
        <w:tc>
          <w:tcPr>
            <w:tcW w:w="8140" w:type="dxa"/>
            <w:tcBorders>
              <w:top w:val="single" w:sz="8" w:space="0" w:color="auto"/>
              <w:left w:val="nil"/>
              <w:bottom w:val="single" w:sz="4" w:space="0" w:color="auto"/>
              <w:right w:val="nil"/>
            </w:tcBorders>
            <w:shd w:val="clear" w:color="000000" w:fill="FFFFFF"/>
            <w:noWrap/>
            <w:vAlign w:val="center"/>
            <w:hideMark/>
          </w:tcPr>
          <w:p w14:paraId="302DB3C8" w14:textId="1B4793BD" w:rsidR="00C2160A" w:rsidRPr="00BF61BF" w:rsidRDefault="00C2160A" w:rsidP="00C2160A">
            <w:pPr>
              <w:tabs>
                <w:tab w:val="clear" w:pos="1247"/>
                <w:tab w:val="clear" w:pos="1814"/>
                <w:tab w:val="clear" w:pos="2381"/>
                <w:tab w:val="clear" w:pos="2948"/>
                <w:tab w:val="clear" w:pos="3515"/>
              </w:tabs>
              <w:rPr>
                <w:sz w:val="18"/>
                <w:szCs w:val="18"/>
              </w:rPr>
            </w:pPr>
            <w:r w:rsidRPr="00BF61BF">
              <w:rPr>
                <w:b/>
                <w:sz w:val="18"/>
                <w:szCs w:val="18"/>
              </w:rPr>
              <w:t>A.</w:t>
            </w:r>
            <w:r w:rsidRPr="00BF61BF">
              <w:rPr>
                <w:sz w:val="18"/>
                <w:szCs w:val="18"/>
              </w:rPr>
              <w:t xml:space="preserve"> </w:t>
            </w:r>
            <w:r w:rsidRPr="00BF61BF">
              <w:rPr>
                <w:b/>
                <w:bCs/>
                <w:sz w:val="18"/>
                <w:szCs w:val="18"/>
              </w:rPr>
              <w:t>Conferencias y reuniones</w:t>
            </w:r>
          </w:p>
        </w:tc>
      </w:tr>
      <w:tr w:rsidR="00AF0B54" w:rsidRPr="00BF61BF" w14:paraId="6506FCDE" w14:textId="77777777" w:rsidTr="00BF61BF">
        <w:trPr>
          <w:trHeight w:val="340"/>
        </w:trPr>
        <w:tc>
          <w:tcPr>
            <w:tcW w:w="1697" w:type="dxa"/>
            <w:tcBorders>
              <w:top w:val="nil"/>
              <w:left w:val="nil"/>
              <w:bottom w:val="nil"/>
              <w:right w:val="nil"/>
            </w:tcBorders>
            <w:shd w:val="clear" w:color="000000" w:fill="FFFFFF"/>
            <w:noWrap/>
            <w:vAlign w:val="center"/>
            <w:hideMark/>
          </w:tcPr>
          <w:p w14:paraId="6EFD3BAF" w14:textId="77777777" w:rsidR="00AF0B54" w:rsidRPr="00BF61BF" w:rsidRDefault="00AF0B54" w:rsidP="00C2160A">
            <w:pPr>
              <w:pStyle w:val="Normal-pool"/>
              <w:rPr>
                <w:sz w:val="18"/>
                <w:szCs w:val="18"/>
                <w:lang w:val="es-ES_tradnl"/>
              </w:rPr>
            </w:pPr>
            <w:r w:rsidRPr="00BF61BF">
              <w:rPr>
                <w:sz w:val="18"/>
                <w:szCs w:val="18"/>
                <w:lang w:val="es-ES_tradnl"/>
              </w:rPr>
              <w:t>1</w:t>
            </w:r>
          </w:p>
        </w:tc>
        <w:tc>
          <w:tcPr>
            <w:tcW w:w="8140" w:type="dxa"/>
            <w:tcBorders>
              <w:top w:val="nil"/>
              <w:left w:val="nil"/>
              <w:bottom w:val="nil"/>
              <w:right w:val="nil"/>
            </w:tcBorders>
            <w:shd w:val="clear" w:color="000000" w:fill="FFFFFF"/>
            <w:noWrap/>
            <w:vAlign w:val="center"/>
            <w:hideMark/>
          </w:tcPr>
          <w:p w14:paraId="03E78C88" w14:textId="237794E1" w:rsidR="00AF0B54" w:rsidRPr="00BF61BF" w:rsidRDefault="00AF0B54" w:rsidP="00C2160A">
            <w:pPr>
              <w:pStyle w:val="Normal-pool"/>
              <w:rPr>
                <w:sz w:val="18"/>
                <w:szCs w:val="18"/>
                <w:lang w:val="es-ES_tradnl"/>
              </w:rPr>
            </w:pPr>
            <w:r w:rsidRPr="00BF61BF">
              <w:rPr>
                <w:sz w:val="18"/>
                <w:szCs w:val="18"/>
                <w:lang w:val="es-ES_tradnl"/>
              </w:rPr>
              <w:t>Cuarta reunión de la Conferencia de las Partes</w:t>
            </w:r>
          </w:p>
        </w:tc>
      </w:tr>
      <w:tr w:rsidR="00AF0B54" w:rsidRPr="00BF61BF" w14:paraId="6D78A074" w14:textId="77777777" w:rsidTr="00BF61BF">
        <w:trPr>
          <w:trHeight w:val="340"/>
        </w:trPr>
        <w:tc>
          <w:tcPr>
            <w:tcW w:w="1697" w:type="dxa"/>
            <w:tcBorders>
              <w:top w:val="nil"/>
              <w:left w:val="nil"/>
              <w:bottom w:val="nil"/>
              <w:right w:val="nil"/>
            </w:tcBorders>
            <w:shd w:val="clear" w:color="000000" w:fill="FFFFFF"/>
            <w:noWrap/>
            <w:vAlign w:val="center"/>
            <w:hideMark/>
          </w:tcPr>
          <w:p w14:paraId="581FCB15" w14:textId="77777777" w:rsidR="00AF0B54" w:rsidRPr="00BF61BF" w:rsidRDefault="00AF0B54" w:rsidP="00C2160A">
            <w:pPr>
              <w:pStyle w:val="Normal-pool"/>
              <w:rPr>
                <w:sz w:val="18"/>
                <w:szCs w:val="18"/>
                <w:lang w:val="es-ES_tradnl"/>
              </w:rPr>
            </w:pPr>
            <w:r w:rsidRPr="00BF61BF">
              <w:rPr>
                <w:sz w:val="18"/>
                <w:szCs w:val="18"/>
                <w:lang w:val="es-ES_tradnl"/>
              </w:rPr>
              <w:t>2</w:t>
            </w:r>
          </w:p>
        </w:tc>
        <w:tc>
          <w:tcPr>
            <w:tcW w:w="8140" w:type="dxa"/>
            <w:tcBorders>
              <w:top w:val="nil"/>
              <w:left w:val="nil"/>
              <w:bottom w:val="nil"/>
              <w:right w:val="nil"/>
            </w:tcBorders>
            <w:shd w:val="clear" w:color="000000" w:fill="FFFFFF"/>
            <w:noWrap/>
            <w:vAlign w:val="center"/>
            <w:hideMark/>
          </w:tcPr>
          <w:p w14:paraId="56BEB6D3" w14:textId="5AE6B5BC" w:rsidR="00AF0B54" w:rsidRPr="00BF61BF" w:rsidRDefault="00AF0B54" w:rsidP="00C2160A">
            <w:pPr>
              <w:pStyle w:val="Normal-pool"/>
              <w:rPr>
                <w:sz w:val="18"/>
                <w:szCs w:val="18"/>
                <w:lang w:val="es-ES_tradnl"/>
              </w:rPr>
            </w:pPr>
            <w:r w:rsidRPr="00BF61BF">
              <w:rPr>
                <w:sz w:val="18"/>
                <w:szCs w:val="18"/>
                <w:lang w:val="es-ES_tradnl"/>
              </w:rPr>
              <w:t>Mesa de la Conferencia de las Partes</w:t>
            </w:r>
          </w:p>
        </w:tc>
      </w:tr>
      <w:tr w:rsidR="00AF0B54" w:rsidRPr="00BF61BF" w14:paraId="579D26E6" w14:textId="77777777" w:rsidTr="00BF61BF">
        <w:trPr>
          <w:trHeight w:val="340"/>
        </w:trPr>
        <w:tc>
          <w:tcPr>
            <w:tcW w:w="1697" w:type="dxa"/>
            <w:tcBorders>
              <w:top w:val="nil"/>
              <w:left w:val="nil"/>
              <w:bottom w:val="nil"/>
              <w:right w:val="nil"/>
            </w:tcBorders>
            <w:shd w:val="clear" w:color="000000" w:fill="FFFFFF"/>
            <w:noWrap/>
            <w:vAlign w:val="center"/>
            <w:hideMark/>
          </w:tcPr>
          <w:p w14:paraId="47B0803F" w14:textId="77777777" w:rsidR="00AF0B54" w:rsidRPr="00BF61BF" w:rsidRDefault="00AF0B54" w:rsidP="00C2160A">
            <w:pPr>
              <w:pStyle w:val="Normal-pool"/>
              <w:rPr>
                <w:sz w:val="18"/>
                <w:szCs w:val="18"/>
                <w:lang w:val="es-ES_tradnl"/>
              </w:rPr>
            </w:pPr>
            <w:r w:rsidRPr="00BF61BF">
              <w:rPr>
                <w:sz w:val="18"/>
                <w:szCs w:val="18"/>
                <w:lang w:val="es-ES_tradnl"/>
              </w:rPr>
              <w:t>3</w:t>
            </w:r>
          </w:p>
        </w:tc>
        <w:tc>
          <w:tcPr>
            <w:tcW w:w="8140" w:type="dxa"/>
            <w:tcBorders>
              <w:top w:val="nil"/>
              <w:left w:val="nil"/>
              <w:bottom w:val="nil"/>
              <w:right w:val="nil"/>
            </w:tcBorders>
            <w:shd w:val="clear" w:color="000000" w:fill="FFFFFF"/>
            <w:noWrap/>
            <w:vAlign w:val="center"/>
            <w:hideMark/>
          </w:tcPr>
          <w:p w14:paraId="5934BF56" w14:textId="4D96EA2F" w:rsidR="00AF0B54" w:rsidRPr="00BF61BF" w:rsidRDefault="00AF0B54" w:rsidP="00C2160A">
            <w:pPr>
              <w:pStyle w:val="Normal-pool"/>
              <w:rPr>
                <w:sz w:val="18"/>
                <w:szCs w:val="18"/>
                <w:lang w:val="es-ES_tradnl"/>
              </w:rPr>
            </w:pPr>
            <w:r w:rsidRPr="00BF61BF">
              <w:rPr>
                <w:sz w:val="18"/>
                <w:szCs w:val="18"/>
                <w:lang w:val="es-ES_tradnl"/>
              </w:rPr>
              <w:t xml:space="preserve">Comité de </w:t>
            </w:r>
            <w:r w:rsidR="000C35B5" w:rsidRPr="00BF61BF">
              <w:rPr>
                <w:sz w:val="18"/>
                <w:szCs w:val="18"/>
                <w:lang w:val="es-ES_tradnl"/>
              </w:rPr>
              <w:t>A</w:t>
            </w:r>
            <w:r w:rsidRPr="00BF61BF">
              <w:rPr>
                <w:sz w:val="18"/>
                <w:szCs w:val="18"/>
                <w:lang w:val="es-ES_tradnl"/>
              </w:rPr>
              <w:t xml:space="preserve">plicación y </w:t>
            </w:r>
            <w:r w:rsidR="000C35B5" w:rsidRPr="00BF61BF">
              <w:rPr>
                <w:sz w:val="18"/>
                <w:szCs w:val="18"/>
                <w:lang w:val="es-ES_tradnl"/>
              </w:rPr>
              <w:t>C</w:t>
            </w:r>
            <w:r w:rsidRPr="00BF61BF">
              <w:rPr>
                <w:sz w:val="18"/>
                <w:szCs w:val="18"/>
                <w:lang w:val="es-ES_tradnl"/>
              </w:rPr>
              <w:t>umplimiento</w:t>
            </w:r>
          </w:p>
        </w:tc>
      </w:tr>
      <w:tr w:rsidR="00AF0B54" w:rsidRPr="00BF61BF" w14:paraId="66BEC676" w14:textId="77777777" w:rsidTr="00BF61BF">
        <w:trPr>
          <w:trHeight w:val="340"/>
        </w:trPr>
        <w:tc>
          <w:tcPr>
            <w:tcW w:w="1697" w:type="dxa"/>
            <w:tcBorders>
              <w:top w:val="single" w:sz="4" w:space="0" w:color="auto"/>
              <w:left w:val="nil"/>
              <w:bottom w:val="single" w:sz="4" w:space="0" w:color="auto"/>
              <w:right w:val="nil"/>
            </w:tcBorders>
            <w:shd w:val="clear" w:color="000000" w:fill="FFFFFF"/>
            <w:noWrap/>
            <w:vAlign w:val="center"/>
            <w:hideMark/>
          </w:tcPr>
          <w:p w14:paraId="42EA2B88" w14:textId="77777777" w:rsidR="00AF0B54" w:rsidRPr="00BF61BF" w:rsidRDefault="00AF0B54" w:rsidP="00C2160A">
            <w:pPr>
              <w:pStyle w:val="Normal-pool"/>
              <w:rPr>
                <w:sz w:val="18"/>
                <w:szCs w:val="18"/>
                <w:lang w:val="es-ES_tradnl" w:eastAsia="zh-CN"/>
              </w:rPr>
            </w:pPr>
            <w:r w:rsidRPr="00BF61BF">
              <w:rPr>
                <w:sz w:val="18"/>
                <w:szCs w:val="18"/>
                <w:lang w:val="es-ES_tradnl" w:eastAsia="zh-CN"/>
              </w:rPr>
              <w:t> </w:t>
            </w:r>
          </w:p>
        </w:tc>
        <w:tc>
          <w:tcPr>
            <w:tcW w:w="8140" w:type="dxa"/>
            <w:tcBorders>
              <w:top w:val="single" w:sz="4" w:space="0" w:color="auto"/>
              <w:left w:val="nil"/>
              <w:bottom w:val="single" w:sz="4" w:space="0" w:color="auto"/>
              <w:right w:val="nil"/>
            </w:tcBorders>
            <w:shd w:val="clear" w:color="000000" w:fill="FFFFFF"/>
            <w:noWrap/>
            <w:vAlign w:val="center"/>
            <w:hideMark/>
          </w:tcPr>
          <w:p w14:paraId="2C94E26A" w14:textId="77777777" w:rsidR="00AF0B54" w:rsidRPr="00BF61BF" w:rsidRDefault="00AF0B54" w:rsidP="00C2160A">
            <w:pPr>
              <w:pStyle w:val="Normal-pool"/>
              <w:rPr>
                <w:b/>
                <w:bCs/>
                <w:color w:val="000000"/>
                <w:sz w:val="18"/>
                <w:szCs w:val="18"/>
                <w:lang w:val="es-ES_tradnl"/>
              </w:rPr>
            </w:pPr>
            <w:r w:rsidRPr="00BF61BF">
              <w:rPr>
                <w:b/>
                <w:sz w:val="18"/>
                <w:szCs w:val="18"/>
                <w:lang w:val="es-ES_tradnl"/>
              </w:rPr>
              <w:t>B.</w:t>
            </w:r>
            <w:r w:rsidRPr="00BF61BF">
              <w:rPr>
                <w:sz w:val="18"/>
                <w:szCs w:val="18"/>
                <w:lang w:val="es-ES_tradnl"/>
              </w:rPr>
              <w:t xml:space="preserve"> </w:t>
            </w:r>
            <w:r w:rsidRPr="00BF61BF">
              <w:rPr>
                <w:b/>
                <w:bCs/>
                <w:sz w:val="18"/>
                <w:szCs w:val="18"/>
                <w:lang w:val="es-ES_tradnl"/>
              </w:rPr>
              <w:t>Creación de capacidad y asistencia técnica</w:t>
            </w:r>
          </w:p>
        </w:tc>
      </w:tr>
      <w:tr w:rsidR="00AF0B54" w:rsidRPr="00BF61BF" w14:paraId="0B85885B" w14:textId="77777777" w:rsidTr="00BF61BF">
        <w:trPr>
          <w:trHeight w:val="340"/>
        </w:trPr>
        <w:tc>
          <w:tcPr>
            <w:tcW w:w="1697" w:type="dxa"/>
            <w:tcBorders>
              <w:top w:val="nil"/>
              <w:left w:val="nil"/>
              <w:bottom w:val="nil"/>
              <w:right w:val="nil"/>
            </w:tcBorders>
            <w:shd w:val="clear" w:color="000000" w:fill="FFFFFF"/>
            <w:noWrap/>
            <w:vAlign w:val="center"/>
            <w:hideMark/>
          </w:tcPr>
          <w:p w14:paraId="3FD0816C" w14:textId="77777777" w:rsidR="00AF0B54" w:rsidRPr="00BF61BF" w:rsidRDefault="00AF0B54" w:rsidP="00C2160A">
            <w:pPr>
              <w:pStyle w:val="Normal-pool"/>
              <w:rPr>
                <w:sz w:val="18"/>
                <w:szCs w:val="18"/>
                <w:lang w:val="es-ES_tradnl"/>
              </w:rPr>
            </w:pPr>
            <w:r w:rsidRPr="00BF61BF">
              <w:rPr>
                <w:sz w:val="18"/>
                <w:szCs w:val="18"/>
                <w:lang w:val="es-ES_tradnl"/>
              </w:rPr>
              <w:t>4</w:t>
            </w:r>
          </w:p>
        </w:tc>
        <w:tc>
          <w:tcPr>
            <w:tcW w:w="7938" w:type="dxa"/>
            <w:tcBorders>
              <w:top w:val="nil"/>
              <w:left w:val="nil"/>
              <w:bottom w:val="nil"/>
              <w:right w:val="nil"/>
            </w:tcBorders>
            <w:shd w:val="clear" w:color="000000" w:fill="FFFFFF"/>
            <w:noWrap/>
            <w:vAlign w:val="center"/>
            <w:hideMark/>
          </w:tcPr>
          <w:p w14:paraId="3D01DCEF" w14:textId="77777777" w:rsidR="00AF0B54" w:rsidRPr="00BF61BF" w:rsidRDefault="00AF0B54" w:rsidP="00C2160A">
            <w:pPr>
              <w:pStyle w:val="Normal-pool"/>
              <w:rPr>
                <w:color w:val="000000"/>
                <w:sz w:val="18"/>
                <w:szCs w:val="18"/>
                <w:lang w:val="es-ES_tradnl"/>
              </w:rPr>
            </w:pPr>
            <w:r w:rsidRPr="00BF61BF">
              <w:rPr>
                <w:sz w:val="18"/>
                <w:szCs w:val="18"/>
                <w:lang w:val="es-ES_tradnl"/>
              </w:rPr>
              <w:t>Creación de capacidad y programa de asistencia técnica del Convenio de Minamata</w:t>
            </w:r>
          </w:p>
        </w:tc>
      </w:tr>
      <w:tr w:rsidR="00AF0B54" w:rsidRPr="00BF61BF" w14:paraId="1DAC2632" w14:textId="77777777" w:rsidTr="00BF61BF">
        <w:trPr>
          <w:trHeight w:val="340"/>
        </w:trPr>
        <w:tc>
          <w:tcPr>
            <w:tcW w:w="1697" w:type="dxa"/>
            <w:tcBorders>
              <w:top w:val="single" w:sz="4" w:space="0" w:color="auto"/>
              <w:left w:val="nil"/>
              <w:bottom w:val="single" w:sz="4" w:space="0" w:color="auto"/>
              <w:right w:val="nil"/>
            </w:tcBorders>
            <w:shd w:val="clear" w:color="000000" w:fill="FFFFFF"/>
            <w:noWrap/>
            <w:vAlign w:val="center"/>
            <w:hideMark/>
          </w:tcPr>
          <w:p w14:paraId="1CCCC222" w14:textId="77777777" w:rsidR="00AF0B54" w:rsidRPr="00BF61BF" w:rsidRDefault="00AF0B54" w:rsidP="00C2160A">
            <w:pPr>
              <w:pStyle w:val="Normal-pool"/>
              <w:rPr>
                <w:sz w:val="18"/>
                <w:szCs w:val="18"/>
                <w:lang w:val="es-ES_tradnl" w:eastAsia="zh-CN"/>
              </w:rPr>
            </w:pPr>
            <w:r w:rsidRPr="00BF61BF">
              <w:rPr>
                <w:sz w:val="18"/>
                <w:szCs w:val="18"/>
                <w:lang w:val="es-ES_tradnl" w:eastAsia="zh-CN"/>
              </w:rPr>
              <w:t> </w:t>
            </w:r>
          </w:p>
        </w:tc>
        <w:tc>
          <w:tcPr>
            <w:tcW w:w="8140" w:type="dxa"/>
            <w:tcBorders>
              <w:top w:val="single" w:sz="4" w:space="0" w:color="auto"/>
              <w:left w:val="nil"/>
              <w:bottom w:val="single" w:sz="4" w:space="0" w:color="auto"/>
              <w:right w:val="nil"/>
            </w:tcBorders>
            <w:shd w:val="clear" w:color="000000" w:fill="FFFFFF"/>
            <w:noWrap/>
            <w:vAlign w:val="center"/>
            <w:hideMark/>
          </w:tcPr>
          <w:p w14:paraId="7640593B" w14:textId="77777777" w:rsidR="00AF0B54" w:rsidRPr="00BF61BF" w:rsidRDefault="00AF0B54" w:rsidP="00C2160A">
            <w:pPr>
              <w:pStyle w:val="Normal-pool"/>
              <w:rPr>
                <w:b/>
                <w:bCs/>
                <w:color w:val="000000"/>
                <w:sz w:val="18"/>
                <w:szCs w:val="18"/>
                <w:lang w:val="es-ES_tradnl"/>
              </w:rPr>
            </w:pPr>
            <w:r w:rsidRPr="00BF61BF">
              <w:rPr>
                <w:b/>
                <w:sz w:val="18"/>
                <w:szCs w:val="18"/>
                <w:lang w:val="es-ES_tradnl"/>
              </w:rPr>
              <w:t>C.</w:t>
            </w:r>
            <w:r w:rsidRPr="00BF61BF">
              <w:rPr>
                <w:sz w:val="18"/>
                <w:szCs w:val="18"/>
                <w:lang w:val="es-ES_tradnl"/>
              </w:rPr>
              <w:t xml:space="preserve"> </w:t>
            </w:r>
            <w:r w:rsidRPr="00BF61BF">
              <w:rPr>
                <w:b/>
                <w:bCs/>
                <w:sz w:val="18"/>
                <w:szCs w:val="18"/>
                <w:lang w:val="es-ES_tradnl"/>
              </w:rPr>
              <w:t>Actividades científicas y técnicas</w:t>
            </w:r>
          </w:p>
        </w:tc>
      </w:tr>
      <w:tr w:rsidR="00AF0B54" w:rsidRPr="00BF61BF" w14:paraId="2E65EB3D" w14:textId="77777777" w:rsidTr="00BF61BF">
        <w:trPr>
          <w:trHeight w:val="340"/>
        </w:trPr>
        <w:tc>
          <w:tcPr>
            <w:tcW w:w="1697" w:type="dxa"/>
            <w:tcBorders>
              <w:top w:val="nil"/>
              <w:left w:val="nil"/>
              <w:bottom w:val="nil"/>
              <w:right w:val="nil"/>
            </w:tcBorders>
            <w:shd w:val="clear" w:color="000000" w:fill="FFFFFF"/>
            <w:noWrap/>
            <w:vAlign w:val="center"/>
            <w:hideMark/>
          </w:tcPr>
          <w:p w14:paraId="70420615" w14:textId="77777777" w:rsidR="00AF0B54" w:rsidRPr="00BF61BF" w:rsidRDefault="00AF0B54" w:rsidP="00C2160A">
            <w:pPr>
              <w:pStyle w:val="Normal-pool"/>
              <w:rPr>
                <w:sz w:val="18"/>
                <w:szCs w:val="18"/>
                <w:lang w:val="es-ES_tradnl"/>
              </w:rPr>
            </w:pPr>
            <w:r w:rsidRPr="00BF61BF">
              <w:rPr>
                <w:sz w:val="18"/>
                <w:szCs w:val="18"/>
                <w:lang w:val="es-ES_tradnl"/>
              </w:rPr>
              <w:t>5</w:t>
            </w:r>
          </w:p>
        </w:tc>
        <w:tc>
          <w:tcPr>
            <w:tcW w:w="8140" w:type="dxa"/>
            <w:tcBorders>
              <w:top w:val="nil"/>
              <w:left w:val="nil"/>
              <w:bottom w:val="nil"/>
              <w:right w:val="nil"/>
            </w:tcBorders>
            <w:shd w:val="clear" w:color="000000" w:fill="FFFFFF"/>
            <w:noWrap/>
            <w:vAlign w:val="center"/>
            <w:hideMark/>
          </w:tcPr>
          <w:p w14:paraId="2FF03D21" w14:textId="77777777" w:rsidR="00AF0B54" w:rsidRPr="00BF61BF" w:rsidRDefault="00AF0B54" w:rsidP="00C2160A">
            <w:pPr>
              <w:pStyle w:val="Normal-pool"/>
              <w:rPr>
                <w:sz w:val="18"/>
                <w:szCs w:val="18"/>
                <w:lang w:val="es-ES_tradnl"/>
              </w:rPr>
            </w:pPr>
            <w:r w:rsidRPr="00BF61BF">
              <w:rPr>
                <w:sz w:val="18"/>
                <w:szCs w:val="18"/>
                <w:lang w:val="es-ES_tradnl"/>
              </w:rPr>
              <w:t>Apoyo científico a los Estados que son Partes en el Convenio de Minamata</w:t>
            </w:r>
          </w:p>
        </w:tc>
      </w:tr>
      <w:tr w:rsidR="00AF0B54" w:rsidRPr="00BF61BF" w14:paraId="7A0489C9" w14:textId="77777777" w:rsidTr="00BF61BF">
        <w:trPr>
          <w:trHeight w:val="340"/>
        </w:trPr>
        <w:tc>
          <w:tcPr>
            <w:tcW w:w="1697" w:type="dxa"/>
            <w:tcBorders>
              <w:top w:val="nil"/>
              <w:left w:val="nil"/>
              <w:bottom w:val="nil"/>
              <w:right w:val="nil"/>
            </w:tcBorders>
            <w:shd w:val="clear" w:color="000000" w:fill="FFFFFF"/>
            <w:noWrap/>
            <w:vAlign w:val="center"/>
            <w:hideMark/>
          </w:tcPr>
          <w:p w14:paraId="16FE4B3E" w14:textId="77777777" w:rsidR="00AF0B54" w:rsidRPr="00BF61BF" w:rsidRDefault="00AF0B54" w:rsidP="00C2160A">
            <w:pPr>
              <w:pStyle w:val="Normal-pool"/>
              <w:rPr>
                <w:sz w:val="18"/>
                <w:szCs w:val="18"/>
                <w:lang w:val="es-ES_tradnl"/>
              </w:rPr>
            </w:pPr>
            <w:r w:rsidRPr="00BF61BF">
              <w:rPr>
                <w:sz w:val="18"/>
                <w:szCs w:val="18"/>
                <w:lang w:val="es-ES_tradnl"/>
              </w:rPr>
              <w:t>6</w:t>
            </w:r>
          </w:p>
        </w:tc>
        <w:tc>
          <w:tcPr>
            <w:tcW w:w="8140" w:type="dxa"/>
            <w:tcBorders>
              <w:top w:val="nil"/>
              <w:left w:val="nil"/>
              <w:bottom w:val="nil"/>
              <w:right w:val="nil"/>
            </w:tcBorders>
            <w:shd w:val="clear" w:color="000000" w:fill="FFFFFF"/>
            <w:noWrap/>
            <w:vAlign w:val="center"/>
            <w:hideMark/>
          </w:tcPr>
          <w:p w14:paraId="34995953" w14:textId="0DD61E2C" w:rsidR="00AF0B54" w:rsidRPr="00BF61BF" w:rsidRDefault="00AF0B54" w:rsidP="00C2160A">
            <w:pPr>
              <w:pStyle w:val="Normal-pool"/>
              <w:rPr>
                <w:sz w:val="18"/>
                <w:szCs w:val="18"/>
                <w:lang w:val="es-ES_tradnl"/>
              </w:rPr>
            </w:pPr>
            <w:r w:rsidRPr="00BF61BF">
              <w:rPr>
                <w:sz w:val="18"/>
                <w:szCs w:val="18"/>
                <w:lang w:val="es-ES_tradnl"/>
              </w:rPr>
              <w:t>Evaluación de la eficacia y plan de vigilancia mundial</w:t>
            </w:r>
          </w:p>
        </w:tc>
      </w:tr>
      <w:tr w:rsidR="00AF0B54" w:rsidRPr="00BF61BF" w14:paraId="227AFD0D" w14:textId="77777777" w:rsidTr="00BF61BF">
        <w:trPr>
          <w:trHeight w:val="340"/>
        </w:trPr>
        <w:tc>
          <w:tcPr>
            <w:tcW w:w="1697" w:type="dxa"/>
            <w:tcBorders>
              <w:top w:val="nil"/>
              <w:left w:val="nil"/>
              <w:bottom w:val="nil"/>
              <w:right w:val="nil"/>
            </w:tcBorders>
            <w:shd w:val="clear" w:color="000000" w:fill="FFFFFF"/>
            <w:noWrap/>
            <w:vAlign w:val="center"/>
            <w:hideMark/>
          </w:tcPr>
          <w:p w14:paraId="1B26CC8C" w14:textId="77777777" w:rsidR="00AF0B54" w:rsidRPr="00BF61BF" w:rsidRDefault="00AF0B54" w:rsidP="00C2160A">
            <w:pPr>
              <w:pStyle w:val="Normal-pool"/>
              <w:rPr>
                <w:sz w:val="18"/>
                <w:szCs w:val="18"/>
                <w:lang w:val="es-ES_tradnl"/>
              </w:rPr>
            </w:pPr>
            <w:r w:rsidRPr="00BF61BF">
              <w:rPr>
                <w:sz w:val="18"/>
                <w:szCs w:val="18"/>
                <w:lang w:val="es-ES_tradnl"/>
              </w:rPr>
              <w:t>7</w:t>
            </w:r>
          </w:p>
        </w:tc>
        <w:tc>
          <w:tcPr>
            <w:tcW w:w="8140" w:type="dxa"/>
            <w:tcBorders>
              <w:top w:val="nil"/>
              <w:left w:val="nil"/>
              <w:bottom w:val="nil"/>
              <w:right w:val="nil"/>
            </w:tcBorders>
            <w:shd w:val="clear" w:color="000000" w:fill="FFFFFF"/>
            <w:noWrap/>
            <w:vAlign w:val="center"/>
            <w:hideMark/>
          </w:tcPr>
          <w:p w14:paraId="3A81D952" w14:textId="77777777" w:rsidR="00AF0B54" w:rsidRPr="00BF61BF" w:rsidRDefault="00AF0B54" w:rsidP="00C2160A">
            <w:pPr>
              <w:pStyle w:val="Normal-pool"/>
              <w:rPr>
                <w:sz w:val="18"/>
                <w:szCs w:val="18"/>
                <w:lang w:val="es-ES_tradnl"/>
              </w:rPr>
            </w:pPr>
            <w:r w:rsidRPr="00BF61BF">
              <w:rPr>
                <w:sz w:val="18"/>
                <w:szCs w:val="18"/>
                <w:lang w:val="es-ES_tradnl"/>
              </w:rPr>
              <w:t>Presentación de informes nacionales de conformidad con el Convenio de Minamata</w:t>
            </w:r>
          </w:p>
        </w:tc>
      </w:tr>
      <w:tr w:rsidR="00AF0B54" w:rsidRPr="00BF61BF" w14:paraId="501B5AB5" w14:textId="77777777" w:rsidTr="00BF61BF">
        <w:trPr>
          <w:trHeight w:val="340"/>
        </w:trPr>
        <w:tc>
          <w:tcPr>
            <w:tcW w:w="1697" w:type="dxa"/>
            <w:tcBorders>
              <w:top w:val="single" w:sz="4" w:space="0" w:color="auto"/>
              <w:left w:val="nil"/>
              <w:bottom w:val="single" w:sz="4" w:space="0" w:color="auto"/>
              <w:right w:val="nil"/>
            </w:tcBorders>
            <w:shd w:val="clear" w:color="000000" w:fill="FFFFFF"/>
            <w:noWrap/>
            <w:vAlign w:val="center"/>
            <w:hideMark/>
          </w:tcPr>
          <w:p w14:paraId="634AA287" w14:textId="77777777" w:rsidR="00AF0B54" w:rsidRPr="00BF61BF" w:rsidRDefault="00AF0B54" w:rsidP="00C2160A">
            <w:pPr>
              <w:pStyle w:val="Normal-pool"/>
              <w:rPr>
                <w:sz w:val="18"/>
                <w:szCs w:val="18"/>
                <w:lang w:val="es-ES_tradnl" w:eastAsia="zh-CN"/>
              </w:rPr>
            </w:pPr>
            <w:r w:rsidRPr="00BF61BF">
              <w:rPr>
                <w:sz w:val="18"/>
                <w:szCs w:val="18"/>
                <w:lang w:val="es-ES_tradnl" w:eastAsia="zh-CN"/>
              </w:rPr>
              <w:t> </w:t>
            </w:r>
          </w:p>
        </w:tc>
        <w:tc>
          <w:tcPr>
            <w:tcW w:w="8140" w:type="dxa"/>
            <w:tcBorders>
              <w:top w:val="single" w:sz="4" w:space="0" w:color="auto"/>
              <w:left w:val="nil"/>
              <w:bottom w:val="single" w:sz="4" w:space="0" w:color="auto"/>
              <w:right w:val="nil"/>
            </w:tcBorders>
            <w:shd w:val="clear" w:color="000000" w:fill="FFFFFF"/>
            <w:noWrap/>
            <w:vAlign w:val="center"/>
            <w:hideMark/>
          </w:tcPr>
          <w:p w14:paraId="414A07D5" w14:textId="6FE4DE1A" w:rsidR="00AF0B54" w:rsidRPr="00BF61BF" w:rsidRDefault="00AF0B54" w:rsidP="00C2160A">
            <w:pPr>
              <w:pStyle w:val="Normal-pool"/>
              <w:rPr>
                <w:b/>
                <w:bCs/>
                <w:color w:val="000000"/>
                <w:sz w:val="18"/>
                <w:szCs w:val="18"/>
                <w:lang w:val="es-ES_tradnl"/>
              </w:rPr>
            </w:pPr>
            <w:r w:rsidRPr="00BF61BF">
              <w:rPr>
                <w:b/>
                <w:sz w:val="18"/>
                <w:szCs w:val="18"/>
                <w:lang w:val="es-ES_tradnl"/>
              </w:rPr>
              <w:t>D.</w:t>
            </w:r>
            <w:r w:rsidRPr="00BF61BF">
              <w:rPr>
                <w:sz w:val="18"/>
                <w:szCs w:val="18"/>
                <w:lang w:val="es-ES_tradnl"/>
              </w:rPr>
              <w:t xml:space="preserve"> </w:t>
            </w:r>
            <w:r w:rsidRPr="00BF61BF">
              <w:rPr>
                <w:b/>
                <w:bCs/>
                <w:sz w:val="18"/>
                <w:szCs w:val="18"/>
                <w:lang w:val="es-ES_tradnl"/>
              </w:rPr>
              <w:t>Gestión y divulgación de los conocimientos y la información</w:t>
            </w:r>
            <w:r w:rsidRPr="00BF61BF">
              <w:rPr>
                <w:sz w:val="18"/>
                <w:szCs w:val="18"/>
                <w:lang w:val="es-ES_tradnl"/>
              </w:rPr>
              <w:t xml:space="preserve"> </w:t>
            </w:r>
          </w:p>
        </w:tc>
      </w:tr>
      <w:tr w:rsidR="00C2160A" w:rsidRPr="00BF61BF" w14:paraId="6B8AEFBF" w14:textId="77777777" w:rsidTr="00BF61BF">
        <w:trPr>
          <w:trHeight w:val="340"/>
        </w:trPr>
        <w:tc>
          <w:tcPr>
            <w:tcW w:w="1697" w:type="dxa"/>
            <w:tcBorders>
              <w:top w:val="nil"/>
              <w:left w:val="nil"/>
              <w:bottom w:val="nil"/>
              <w:right w:val="nil"/>
            </w:tcBorders>
            <w:shd w:val="clear" w:color="000000" w:fill="FFFFFF"/>
            <w:noWrap/>
            <w:vAlign w:val="center"/>
            <w:hideMark/>
          </w:tcPr>
          <w:p w14:paraId="4473B3E9" w14:textId="77777777" w:rsidR="00C2160A" w:rsidRPr="00BF61BF" w:rsidRDefault="00C2160A" w:rsidP="00C2160A">
            <w:pPr>
              <w:pStyle w:val="Normal-pool"/>
              <w:rPr>
                <w:sz w:val="18"/>
                <w:szCs w:val="18"/>
                <w:lang w:val="es-ES_tradnl"/>
              </w:rPr>
            </w:pPr>
            <w:r w:rsidRPr="00BF61BF">
              <w:rPr>
                <w:sz w:val="18"/>
                <w:szCs w:val="18"/>
                <w:lang w:val="es-ES_tradnl"/>
              </w:rPr>
              <w:t>8</w:t>
            </w:r>
          </w:p>
        </w:tc>
        <w:tc>
          <w:tcPr>
            <w:tcW w:w="8140" w:type="dxa"/>
            <w:tcBorders>
              <w:top w:val="nil"/>
              <w:left w:val="nil"/>
              <w:bottom w:val="nil"/>
              <w:right w:val="nil"/>
            </w:tcBorders>
            <w:shd w:val="clear" w:color="000000" w:fill="FFFFFF"/>
            <w:noWrap/>
            <w:vAlign w:val="center"/>
            <w:hideMark/>
          </w:tcPr>
          <w:p w14:paraId="06DD1C14" w14:textId="625CE361" w:rsidR="00C2160A" w:rsidRPr="00BF61BF" w:rsidRDefault="00C2160A" w:rsidP="00C2160A">
            <w:pPr>
              <w:pStyle w:val="Normal-pool"/>
              <w:rPr>
                <w:sz w:val="18"/>
                <w:szCs w:val="18"/>
                <w:lang w:val="es-ES_tradnl"/>
              </w:rPr>
            </w:pPr>
            <w:r w:rsidRPr="00BF61BF">
              <w:rPr>
                <w:sz w:val="18"/>
                <w:szCs w:val="18"/>
                <w:lang w:val="es-ES_tradnl"/>
              </w:rPr>
              <w:t>Publicaciones</w:t>
            </w:r>
          </w:p>
        </w:tc>
      </w:tr>
      <w:tr w:rsidR="00AF0B54" w:rsidRPr="00BF61BF" w14:paraId="59300335" w14:textId="77777777" w:rsidTr="00BF61BF">
        <w:trPr>
          <w:trHeight w:val="340"/>
        </w:trPr>
        <w:tc>
          <w:tcPr>
            <w:tcW w:w="1697" w:type="dxa"/>
            <w:tcBorders>
              <w:top w:val="nil"/>
              <w:left w:val="nil"/>
              <w:bottom w:val="nil"/>
              <w:right w:val="nil"/>
            </w:tcBorders>
            <w:shd w:val="clear" w:color="000000" w:fill="FFFFFF"/>
            <w:noWrap/>
            <w:vAlign w:val="center"/>
            <w:hideMark/>
          </w:tcPr>
          <w:p w14:paraId="4C1C7357" w14:textId="77777777" w:rsidR="00AF0B54" w:rsidRPr="00BF61BF" w:rsidRDefault="00AF0B54" w:rsidP="00C2160A">
            <w:pPr>
              <w:pStyle w:val="Normal-pool"/>
              <w:rPr>
                <w:sz w:val="18"/>
                <w:szCs w:val="18"/>
                <w:lang w:val="es-ES_tradnl"/>
              </w:rPr>
            </w:pPr>
            <w:r w:rsidRPr="00BF61BF">
              <w:rPr>
                <w:sz w:val="18"/>
                <w:szCs w:val="18"/>
                <w:lang w:val="es-ES_tradnl"/>
              </w:rPr>
              <w:t>9</w:t>
            </w:r>
          </w:p>
        </w:tc>
        <w:tc>
          <w:tcPr>
            <w:tcW w:w="8140" w:type="dxa"/>
            <w:tcBorders>
              <w:top w:val="nil"/>
              <w:left w:val="nil"/>
              <w:bottom w:val="nil"/>
              <w:right w:val="nil"/>
            </w:tcBorders>
            <w:shd w:val="clear" w:color="000000" w:fill="FFFFFF"/>
            <w:noWrap/>
            <w:vAlign w:val="center"/>
            <w:hideMark/>
          </w:tcPr>
          <w:p w14:paraId="7A819B4E" w14:textId="77777777" w:rsidR="00AF0B54" w:rsidRPr="00BF61BF" w:rsidRDefault="00AF0B54" w:rsidP="00AF0B54">
            <w:pPr>
              <w:tabs>
                <w:tab w:val="clear" w:pos="1247"/>
                <w:tab w:val="clear" w:pos="1814"/>
                <w:tab w:val="clear" w:pos="2381"/>
                <w:tab w:val="clear" w:pos="2948"/>
                <w:tab w:val="clear" w:pos="3515"/>
              </w:tabs>
              <w:rPr>
                <w:color w:val="000000"/>
                <w:sz w:val="18"/>
                <w:szCs w:val="18"/>
              </w:rPr>
            </w:pPr>
            <w:r w:rsidRPr="00BF61BF">
              <w:rPr>
                <w:sz w:val="18"/>
                <w:szCs w:val="18"/>
              </w:rPr>
              <w:t>Actividades de comunicación, divulgación y sensibilización del público</w:t>
            </w:r>
          </w:p>
        </w:tc>
      </w:tr>
      <w:tr w:rsidR="00C2160A" w:rsidRPr="00BF61BF" w14:paraId="2B5DAD72" w14:textId="77777777" w:rsidTr="00BF61BF">
        <w:trPr>
          <w:trHeight w:val="340"/>
        </w:trPr>
        <w:tc>
          <w:tcPr>
            <w:tcW w:w="1697" w:type="dxa"/>
            <w:tcBorders>
              <w:top w:val="single" w:sz="4" w:space="0" w:color="auto"/>
              <w:left w:val="nil"/>
              <w:bottom w:val="single" w:sz="4" w:space="0" w:color="auto"/>
              <w:right w:val="nil"/>
            </w:tcBorders>
            <w:shd w:val="clear" w:color="000000" w:fill="FFFFFF"/>
            <w:noWrap/>
            <w:vAlign w:val="center"/>
            <w:hideMark/>
          </w:tcPr>
          <w:p w14:paraId="21F7FC78" w14:textId="77777777" w:rsidR="00C2160A" w:rsidRPr="00BF61BF" w:rsidRDefault="00C2160A" w:rsidP="00C2160A">
            <w:pPr>
              <w:pStyle w:val="Normal-pool"/>
              <w:rPr>
                <w:sz w:val="18"/>
                <w:szCs w:val="18"/>
                <w:lang w:val="es-ES_tradnl" w:eastAsia="zh-CN"/>
              </w:rPr>
            </w:pPr>
            <w:r w:rsidRPr="00BF61BF">
              <w:rPr>
                <w:sz w:val="18"/>
                <w:szCs w:val="18"/>
                <w:lang w:val="es-ES_tradnl" w:eastAsia="zh-CN"/>
              </w:rPr>
              <w:t> </w:t>
            </w:r>
          </w:p>
        </w:tc>
        <w:tc>
          <w:tcPr>
            <w:tcW w:w="8140" w:type="dxa"/>
            <w:tcBorders>
              <w:top w:val="single" w:sz="4" w:space="0" w:color="auto"/>
              <w:left w:val="nil"/>
              <w:bottom w:val="single" w:sz="4" w:space="0" w:color="auto"/>
              <w:right w:val="nil"/>
            </w:tcBorders>
            <w:shd w:val="clear" w:color="000000" w:fill="FFFFFF"/>
            <w:noWrap/>
            <w:vAlign w:val="center"/>
            <w:hideMark/>
          </w:tcPr>
          <w:p w14:paraId="4C1A633B" w14:textId="7CDD60D2" w:rsidR="00C2160A" w:rsidRPr="00BF61BF" w:rsidRDefault="00C2160A" w:rsidP="00C2160A">
            <w:pPr>
              <w:pStyle w:val="Normal-pool"/>
              <w:rPr>
                <w:sz w:val="18"/>
                <w:szCs w:val="18"/>
                <w:lang w:val="es-ES_tradnl"/>
              </w:rPr>
            </w:pPr>
            <w:r w:rsidRPr="00BF61BF">
              <w:rPr>
                <w:b/>
                <w:sz w:val="18"/>
                <w:szCs w:val="18"/>
                <w:lang w:val="es-ES_tradnl"/>
              </w:rPr>
              <w:t>E.</w:t>
            </w:r>
            <w:r w:rsidRPr="00BF61BF">
              <w:rPr>
                <w:sz w:val="18"/>
                <w:szCs w:val="18"/>
                <w:lang w:val="es-ES_tradnl"/>
              </w:rPr>
              <w:t xml:space="preserve"> </w:t>
            </w:r>
            <w:r w:rsidRPr="00BF61BF">
              <w:rPr>
                <w:b/>
                <w:bCs/>
                <w:sz w:val="18"/>
                <w:szCs w:val="18"/>
                <w:lang w:val="es-ES_tradnl"/>
              </w:rPr>
              <w:t>Gestión general</w:t>
            </w:r>
          </w:p>
        </w:tc>
      </w:tr>
      <w:tr w:rsidR="00AF0B54" w:rsidRPr="00BF61BF" w14:paraId="37BBD2F6" w14:textId="77777777" w:rsidTr="00BF61BF">
        <w:trPr>
          <w:trHeight w:val="340"/>
        </w:trPr>
        <w:tc>
          <w:tcPr>
            <w:tcW w:w="1697" w:type="dxa"/>
            <w:tcBorders>
              <w:top w:val="nil"/>
              <w:left w:val="nil"/>
              <w:bottom w:val="nil"/>
              <w:right w:val="nil"/>
            </w:tcBorders>
            <w:shd w:val="clear" w:color="000000" w:fill="FFFFFF"/>
            <w:noWrap/>
            <w:vAlign w:val="center"/>
            <w:hideMark/>
          </w:tcPr>
          <w:p w14:paraId="43D3AE2E" w14:textId="77777777" w:rsidR="00AF0B54" w:rsidRPr="00BF61BF" w:rsidRDefault="00AF0B54" w:rsidP="00C2160A">
            <w:pPr>
              <w:pStyle w:val="Normal-pool"/>
              <w:rPr>
                <w:sz w:val="18"/>
                <w:szCs w:val="18"/>
                <w:lang w:val="es-ES_tradnl"/>
              </w:rPr>
            </w:pPr>
            <w:r w:rsidRPr="00BF61BF">
              <w:rPr>
                <w:sz w:val="18"/>
                <w:szCs w:val="18"/>
                <w:lang w:val="es-ES_tradnl"/>
              </w:rPr>
              <w:t>10</w:t>
            </w:r>
          </w:p>
        </w:tc>
        <w:tc>
          <w:tcPr>
            <w:tcW w:w="8140" w:type="dxa"/>
            <w:tcBorders>
              <w:top w:val="nil"/>
              <w:left w:val="nil"/>
              <w:bottom w:val="nil"/>
              <w:right w:val="nil"/>
            </w:tcBorders>
            <w:shd w:val="clear" w:color="000000" w:fill="FFFFFF"/>
            <w:noWrap/>
            <w:vAlign w:val="center"/>
            <w:hideMark/>
          </w:tcPr>
          <w:p w14:paraId="2ACDE44B" w14:textId="77777777" w:rsidR="00AF0B54" w:rsidRPr="00BF61BF" w:rsidRDefault="00AF0B54" w:rsidP="00C2160A">
            <w:pPr>
              <w:pStyle w:val="Normal-pool"/>
              <w:rPr>
                <w:sz w:val="18"/>
                <w:szCs w:val="18"/>
                <w:lang w:val="es-ES_tradnl"/>
              </w:rPr>
            </w:pPr>
            <w:r w:rsidRPr="00BF61BF">
              <w:rPr>
                <w:sz w:val="18"/>
                <w:szCs w:val="18"/>
                <w:lang w:val="es-ES_tradnl"/>
              </w:rPr>
              <w:t>Dirección y gestión ejecutivas</w:t>
            </w:r>
          </w:p>
        </w:tc>
      </w:tr>
      <w:tr w:rsidR="00AF0B54" w:rsidRPr="00BF61BF" w14:paraId="61A721BD" w14:textId="77777777" w:rsidTr="00BF61BF">
        <w:trPr>
          <w:trHeight w:val="340"/>
        </w:trPr>
        <w:tc>
          <w:tcPr>
            <w:tcW w:w="1697" w:type="dxa"/>
            <w:tcBorders>
              <w:top w:val="nil"/>
              <w:left w:val="nil"/>
              <w:bottom w:val="nil"/>
              <w:right w:val="nil"/>
            </w:tcBorders>
            <w:shd w:val="clear" w:color="000000" w:fill="FFFFFF"/>
            <w:noWrap/>
            <w:vAlign w:val="center"/>
            <w:hideMark/>
          </w:tcPr>
          <w:p w14:paraId="3B98E64F" w14:textId="77777777" w:rsidR="00AF0B54" w:rsidRPr="00BF61BF" w:rsidRDefault="00AF0B54" w:rsidP="00C2160A">
            <w:pPr>
              <w:pStyle w:val="Normal-pool"/>
              <w:rPr>
                <w:sz w:val="18"/>
                <w:szCs w:val="18"/>
                <w:lang w:val="es-ES_tradnl"/>
              </w:rPr>
            </w:pPr>
            <w:r w:rsidRPr="00BF61BF">
              <w:rPr>
                <w:sz w:val="18"/>
                <w:szCs w:val="18"/>
                <w:lang w:val="es-ES_tradnl"/>
              </w:rPr>
              <w:t>11</w:t>
            </w:r>
          </w:p>
        </w:tc>
        <w:tc>
          <w:tcPr>
            <w:tcW w:w="8140" w:type="dxa"/>
            <w:tcBorders>
              <w:top w:val="nil"/>
              <w:left w:val="nil"/>
              <w:bottom w:val="nil"/>
              <w:right w:val="nil"/>
            </w:tcBorders>
            <w:shd w:val="clear" w:color="000000" w:fill="FFFFFF"/>
            <w:noWrap/>
            <w:vAlign w:val="center"/>
            <w:hideMark/>
          </w:tcPr>
          <w:p w14:paraId="73C82E5A" w14:textId="77777777" w:rsidR="00AF0B54" w:rsidRPr="00BF61BF" w:rsidRDefault="00AF0B54" w:rsidP="00C2160A">
            <w:pPr>
              <w:pStyle w:val="Normal-pool"/>
              <w:rPr>
                <w:sz w:val="18"/>
                <w:szCs w:val="18"/>
                <w:lang w:val="es-ES_tradnl"/>
              </w:rPr>
            </w:pPr>
            <w:r w:rsidRPr="00BF61BF">
              <w:rPr>
                <w:sz w:val="18"/>
                <w:szCs w:val="18"/>
                <w:lang w:val="es-ES_tradnl"/>
              </w:rPr>
              <w:t>Cooperación y coordinación internacionales</w:t>
            </w:r>
          </w:p>
        </w:tc>
      </w:tr>
      <w:tr w:rsidR="00AF0B54" w:rsidRPr="00BF61BF" w14:paraId="030FFF72" w14:textId="77777777" w:rsidTr="00BF61BF">
        <w:trPr>
          <w:trHeight w:val="340"/>
        </w:trPr>
        <w:tc>
          <w:tcPr>
            <w:tcW w:w="1697" w:type="dxa"/>
            <w:tcBorders>
              <w:top w:val="nil"/>
              <w:left w:val="nil"/>
              <w:bottom w:val="nil"/>
              <w:right w:val="nil"/>
            </w:tcBorders>
            <w:shd w:val="clear" w:color="000000" w:fill="FFFFFF"/>
            <w:noWrap/>
            <w:vAlign w:val="center"/>
            <w:hideMark/>
          </w:tcPr>
          <w:p w14:paraId="63C630FD" w14:textId="77777777" w:rsidR="00AF0B54" w:rsidRPr="00BF61BF" w:rsidRDefault="00AF0B54" w:rsidP="00C2160A">
            <w:pPr>
              <w:pStyle w:val="Normal-pool"/>
              <w:rPr>
                <w:sz w:val="18"/>
                <w:szCs w:val="18"/>
                <w:lang w:val="es-ES_tradnl"/>
              </w:rPr>
            </w:pPr>
            <w:r w:rsidRPr="00BF61BF">
              <w:rPr>
                <w:sz w:val="18"/>
                <w:szCs w:val="18"/>
                <w:lang w:val="es-ES_tradnl"/>
              </w:rPr>
              <w:t>12</w:t>
            </w:r>
          </w:p>
        </w:tc>
        <w:tc>
          <w:tcPr>
            <w:tcW w:w="8140" w:type="dxa"/>
            <w:tcBorders>
              <w:top w:val="nil"/>
              <w:left w:val="nil"/>
              <w:bottom w:val="nil"/>
              <w:right w:val="nil"/>
            </w:tcBorders>
            <w:shd w:val="clear" w:color="000000" w:fill="FFFFFF"/>
            <w:noWrap/>
            <w:vAlign w:val="center"/>
            <w:hideMark/>
          </w:tcPr>
          <w:p w14:paraId="4552583D" w14:textId="77777777" w:rsidR="00AF0B54" w:rsidRPr="00BF61BF" w:rsidRDefault="00AF0B54" w:rsidP="00C2160A">
            <w:pPr>
              <w:pStyle w:val="Normal-pool"/>
              <w:rPr>
                <w:sz w:val="18"/>
                <w:szCs w:val="18"/>
                <w:lang w:val="es-ES_tradnl"/>
              </w:rPr>
            </w:pPr>
            <w:r w:rsidRPr="00BF61BF">
              <w:rPr>
                <w:sz w:val="18"/>
                <w:szCs w:val="18"/>
                <w:lang w:val="es-ES_tradnl"/>
              </w:rPr>
              <w:t xml:space="preserve">Recursos financieros y mecanismo financiero </w:t>
            </w:r>
          </w:p>
        </w:tc>
      </w:tr>
      <w:tr w:rsidR="00C2160A" w:rsidRPr="00BF61BF" w14:paraId="12F29D7E" w14:textId="77777777" w:rsidTr="00BF61BF">
        <w:trPr>
          <w:trHeight w:val="340"/>
        </w:trPr>
        <w:tc>
          <w:tcPr>
            <w:tcW w:w="1697" w:type="dxa"/>
            <w:tcBorders>
              <w:top w:val="single" w:sz="4" w:space="0" w:color="auto"/>
              <w:left w:val="nil"/>
              <w:bottom w:val="single" w:sz="4" w:space="0" w:color="auto"/>
              <w:right w:val="nil"/>
            </w:tcBorders>
            <w:shd w:val="clear" w:color="000000" w:fill="FFFFFF"/>
            <w:noWrap/>
            <w:vAlign w:val="center"/>
            <w:hideMark/>
          </w:tcPr>
          <w:p w14:paraId="17C75F61" w14:textId="77777777" w:rsidR="00C2160A" w:rsidRPr="00BF61BF" w:rsidRDefault="00C2160A" w:rsidP="00C2160A">
            <w:pPr>
              <w:pStyle w:val="Normal-pool"/>
              <w:rPr>
                <w:sz w:val="18"/>
                <w:szCs w:val="18"/>
                <w:lang w:val="es-ES_tradnl" w:eastAsia="zh-CN"/>
              </w:rPr>
            </w:pPr>
            <w:r w:rsidRPr="00BF61BF">
              <w:rPr>
                <w:sz w:val="18"/>
                <w:szCs w:val="18"/>
                <w:lang w:val="es-ES_tradnl" w:eastAsia="zh-CN"/>
              </w:rPr>
              <w:t> </w:t>
            </w:r>
          </w:p>
        </w:tc>
        <w:tc>
          <w:tcPr>
            <w:tcW w:w="8140" w:type="dxa"/>
            <w:tcBorders>
              <w:top w:val="single" w:sz="4" w:space="0" w:color="auto"/>
              <w:left w:val="nil"/>
              <w:bottom w:val="single" w:sz="4" w:space="0" w:color="auto"/>
              <w:right w:val="nil"/>
            </w:tcBorders>
            <w:shd w:val="clear" w:color="000000" w:fill="FFFFFF"/>
            <w:noWrap/>
            <w:vAlign w:val="center"/>
            <w:hideMark/>
          </w:tcPr>
          <w:p w14:paraId="3F3C9A27" w14:textId="5E6B6ADC" w:rsidR="00C2160A" w:rsidRPr="00BF61BF" w:rsidRDefault="00C2160A" w:rsidP="00C2160A">
            <w:pPr>
              <w:pStyle w:val="Normal-pool"/>
              <w:rPr>
                <w:sz w:val="18"/>
                <w:szCs w:val="18"/>
                <w:lang w:val="es-ES_tradnl"/>
              </w:rPr>
            </w:pPr>
            <w:r w:rsidRPr="00BF61BF">
              <w:rPr>
                <w:b/>
                <w:sz w:val="18"/>
                <w:szCs w:val="18"/>
                <w:lang w:val="es-ES_tradnl"/>
              </w:rPr>
              <w:t>F.</w:t>
            </w:r>
            <w:r w:rsidRPr="00BF61BF">
              <w:rPr>
                <w:sz w:val="18"/>
                <w:szCs w:val="18"/>
                <w:lang w:val="es-ES_tradnl"/>
              </w:rPr>
              <w:t xml:space="preserve"> </w:t>
            </w:r>
            <w:r w:rsidRPr="00BF61BF">
              <w:rPr>
                <w:b/>
                <w:bCs/>
                <w:sz w:val="18"/>
                <w:szCs w:val="18"/>
                <w:lang w:val="es-ES_tradnl"/>
              </w:rPr>
              <w:t>Actividades jurídicas y normativas</w:t>
            </w:r>
          </w:p>
        </w:tc>
      </w:tr>
      <w:tr w:rsidR="00C2160A" w:rsidRPr="00BF61BF" w14:paraId="28FFDCB2" w14:textId="77777777" w:rsidTr="00BF61BF">
        <w:trPr>
          <w:trHeight w:val="340"/>
        </w:trPr>
        <w:tc>
          <w:tcPr>
            <w:tcW w:w="1697" w:type="dxa"/>
            <w:tcBorders>
              <w:top w:val="nil"/>
              <w:left w:val="nil"/>
              <w:bottom w:val="nil"/>
              <w:right w:val="nil"/>
            </w:tcBorders>
            <w:shd w:val="clear" w:color="000000" w:fill="FFFFFF"/>
            <w:noWrap/>
            <w:vAlign w:val="center"/>
            <w:hideMark/>
          </w:tcPr>
          <w:p w14:paraId="00909DA7" w14:textId="77777777" w:rsidR="00C2160A" w:rsidRPr="00BF61BF" w:rsidRDefault="00C2160A" w:rsidP="00C2160A">
            <w:pPr>
              <w:pStyle w:val="Normal-pool"/>
              <w:rPr>
                <w:sz w:val="18"/>
                <w:szCs w:val="18"/>
                <w:lang w:val="es-ES_tradnl"/>
              </w:rPr>
            </w:pPr>
            <w:r w:rsidRPr="00BF61BF">
              <w:rPr>
                <w:sz w:val="18"/>
                <w:szCs w:val="18"/>
                <w:lang w:val="es-ES_tradnl"/>
              </w:rPr>
              <w:t>13</w:t>
            </w:r>
          </w:p>
        </w:tc>
        <w:tc>
          <w:tcPr>
            <w:tcW w:w="8140" w:type="dxa"/>
            <w:tcBorders>
              <w:top w:val="nil"/>
              <w:left w:val="nil"/>
              <w:bottom w:val="nil"/>
              <w:right w:val="nil"/>
            </w:tcBorders>
            <w:shd w:val="clear" w:color="000000" w:fill="FFFFFF"/>
            <w:noWrap/>
            <w:vAlign w:val="center"/>
            <w:hideMark/>
          </w:tcPr>
          <w:p w14:paraId="6BC2BDFF" w14:textId="5DCD7328" w:rsidR="00C2160A" w:rsidRPr="00BF61BF" w:rsidRDefault="00C2160A" w:rsidP="00C2160A">
            <w:pPr>
              <w:pStyle w:val="Normal-pool"/>
              <w:rPr>
                <w:sz w:val="18"/>
                <w:szCs w:val="18"/>
                <w:lang w:val="es-ES_tradnl"/>
              </w:rPr>
            </w:pPr>
            <w:r w:rsidRPr="00BF61BF">
              <w:rPr>
                <w:bCs/>
                <w:sz w:val="18"/>
                <w:szCs w:val="18"/>
                <w:lang w:val="es-ES_tradnl"/>
              </w:rPr>
              <w:t>Actividades jurídicas y normativas</w:t>
            </w:r>
            <w:r w:rsidRPr="00BF61BF">
              <w:rPr>
                <w:sz w:val="18"/>
                <w:szCs w:val="18"/>
                <w:lang w:val="es-ES_tradnl"/>
              </w:rPr>
              <w:t xml:space="preserve"> </w:t>
            </w:r>
          </w:p>
        </w:tc>
      </w:tr>
      <w:tr w:rsidR="00AF0B54" w:rsidRPr="00BF61BF" w14:paraId="0002D42E" w14:textId="77777777" w:rsidTr="00BF61BF">
        <w:trPr>
          <w:trHeight w:val="340"/>
        </w:trPr>
        <w:tc>
          <w:tcPr>
            <w:tcW w:w="1697" w:type="dxa"/>
            <w:tcBorders>
              <w:top w:val="single" w:sz="4" w:space="0" w:color="auto"/>
              <w:left w:val="nil"/>
              <w:bottom w:val="single" w:sz="4" w:space="0" w:color="auto"/>
              <w:right w:val="nil"/>
            </w:tcBorders>
            <w:shd w:val="clear" w:color="000000" w:fill="FFFFFF"/>
            <w:noWrap/>
            <w:vAlign w:val="center"/>
            <w:hideMark/>
          </w:tcPr>
          <w:p w14:paraId="7AC25248" w14:textId="77777777" w:rsidR="00AF0B54" w:rsidRPr="00BF61BF" w:rsidRDefault="00AF0B54" w:rsidP="00C2160A">
            <w:pPr>
              <w:pStyle w:val="Normal-pool"/>
              <w:rPr>
                <w:sz w:val="18"/>
                <w:szCs w:val="18"/>
                <w:lang w:val="es-ES_tradnl" w:eastAsia="zh-CN"/>
              </w:rPr>
            </w:pPr>
            <w:r w:rsidRPr="00BF61BF">
              <w:rPr>
                <w:sz w:val="18"/>
                <w:szCs w:val="18"/>
                <w:lang w:val="es-ES_tradnl" w:eastAsia="zh-CN"/>
              </w:rPr>
              <w:t> </w:t>
            </w:r>
          </w:p>
        </w:tc>
        <w:tc>
          <w:tcPr>
            <w:tcW w:w="8140" w:type="dxa"/>
            <w:tcBorders>
              <w:top w:val="single" w:sz="4" w:space="0" w:color="auto"/>
              <w:left w:val="nil"/>
              <w:bottom w:val="single" w:sz="4" w:space="0" w:color="auto"/>
              <w:right w:val="nil"/>
            </w:tcBorders>
            <w:shd w:val="clear" w:color="000000" w:fill="FFFFFF"/>
            <w:noWrap/>
            <w:vAlign w:val="center"/>
            <w:hideMark/>
          </w:tcPr>
          <w:p w14:paraId="0BDB8826" w14:textId="77777777" w:rsidR="00AF0B54" w:rsidRPr="00BF61BF" w:rsidRDefault="00AF0B54" w:rsidP="00C2160A">
            <w:pPr>
              <w:pStyle w:val="Normal-pool"/>
              <w:rPr>
                <w:b/>
                <w:bCs/>
                <w:color w:val="000000"/>
                <w:sz w:val="18"/>
                <w:szCs w:val="18"/>
                <w:lang w:val="es-ES_tradnl"/>
              </w:rPr>
            </w:pPr>
            <w:r w:rsidRPr="00BF61BF">
              <w:rPr>
                <w:b/>
                <w:sz w:val="18"/>
                <w:szCs w:val="18"/>
                <w:lang w:val="es-ES_tradnl"/>
              </w:rPr>
              <w:t>G.</w:t>
            </w:r>
            <w:r w:rsidRPr="00BF61BF">
              <w:rPr>
                <w:sz w:val="18"/>
                <w:szCs w:val="18"/>
                <w:lang w:val="es-ES_tradnl"/>
              </w:rPr>
              <w:t xml:space="preserve"> </w:t>
            </w:r>
            <w:r w:rsidRPr="00BF61BF">
              <w:rPr>
                <w:b/>
                <w:bCs/>
                <w:sz w:val="18"/>
                <w:szCs w:val="18"/>
                <w:lang w:val="es-ES_tradnl"/>
              </w:rPr>
              <w:t>Mantenimiento y servicios de oficina</w:t>
            </w:r>
          </w:p>
        </w:tc>
      </w:tr>
      <w:tr w:rsidR="00C2160A" w:rsidRPr="00BF61BF" w14:paraId="3415F88B" w14:textId="77777777" w:rsidTr="00BF61BF">
        <w:trPr>
          <w:trHeight w:val="340"/>
        </w:trPr>
        <w:tc>
          <w:tcPr>
            <w:tcW w:w="1697" w:type="dxa"/>
            <w:tcBorders>
              <w:top w:val="nil"/>
              <w:left w:val="nil"/>
              <w:bottom w:val="nil"/>
              <w:right w:val="nil"/>
            </w:tcBorders>
            <w:shd w:val="clear" w:color="000000" w:fill="FFFFFF"/>
            <w:noWrap/>
            <w:vAlign w:val="center"/>
            <w:hideMark/>
          </w:tcPr>
          <w:p w14:paraId="079288EF" w14:textId="77777777" w:rsidR="00C2160A" w:rsidRPr="00BF61BF" w:rsidRDefault="00C2160A" w:rsidP="00C2160A">
            <w:pPr>
              <w:pStyle w:val="Normal-pool"/>
              <w:rPr>
                <w:sz w:val="18"/>
                <w:szCs w:val="18"/>
                <w:lang w:val="es-ES_tradnl"/>
              </w:rPr>
            </w:pPr>
            <w:r w:rsidRPr="00BF61BF">
              <w:rPr>
                <w:sz w:val="18"/>
                <w:szCs w:val="18"/>
                <w:lang w:val="es-ES_tradnl"/>
              </w:rPr>
              <w:t>14</w:t>
            </w:r>
          </w:p>
        </w:tc>
        <w:tc>
          <w:tcPr>
            <w:tcW w:w="8140" w:type="dxa"/>
            <w:tcBorders>
              <w:top w:val="nil"/>
              <w:left w:val="nil"/>
              <w:bottom w:val="nil"/>
              <w:right w:val="nil"/>
            </w:tcBorders>
            <w:shd w:val="clear" w:color="000000" w:fill="FFFFFF"/>
            <w:noWrap/>
            <w:vAlign w:val="center"/>
            <w:hideMark/>
          </w:tcPr>
          <w:p w14:paraId="48605E7F" w14:textId="24CB516E" w:rsidR="00C2160A" w:rsidRPr="00BF61BF" w:rsidRDefault="00C2160A" w:rsidP="00776C40">
            <w:pPr>
              <w:pStyle w:val="Normal-pool"/>
              <w:ind w:left="1247" w:hanging="1247"/>
              <w:rPr>
                <w:sz w:val="18"/>
                <w:szCs w:val="18"/>
                <w:lang w:val="es-ES_tradnl"/>
              </w:rPr>
            </w:pPr>
            <w:r w:rsidRPr="00BF61BF">
              <w:rPr>
                <w:bCs/>
                <w:sz w:val="18"/>
                <w:szCs w:val="18"/>
                <w:lang w:val="es-ES_tradnl"/>
              </w:rPr>
              <w:t>Mantenimiento y servicios de oficina</w:t>
            </w:r>
            <w:r w:rsidRPr="00BF61BF">
              <w:rPr>
                <w:sz w:val="18"/>
                <w:szCs w:val="18"/>
                <w:lang w:val="es-ES_tradnl"/>
              </w:rPr>
              <w:t xml:space="preserve"> </w:t>
            </w:r>
          </w:p>
        </w:tc>
      </w:tr>
      <w:tr w:rsidR="00C2160A" w:rsidRPr="00BF61BF" w14:paraId="1A5919CA" w14:textId="77777777" w:rsidTr="00BF61BF">
        <w:trPr>
          <w:trHeight w:val="340"/>
        </w:trPr>
        <w:tc>
          <w:tcPr>
            <w:tcW w:w="1697" w:type="dxa"/>
            <w:tcBorders>
              <w:top w:val="nil"/>
              <w:left w:val="nil"/>
              <w:bottom w:val="single" w:sz="8" w:space="0" w:color="auto"/>
              <w:right w:val="nil"/>
            </w:tcBorders>
            <w:shd w:val="clear" w:color="000000" w:fill="FFFFFF"/>
            <w:noWrap/>
            <w:vAlign w:val="center"/>
            <w:hideMark/>
          </w:tcPr>
          <w:p w14:paraId="49ECAE22" w14:textId="77777777" w:rsidR="00C2160A" w:rsidRPr="00BF61BF" w:rsidRDefault="00C2160A" w:rsidP="00C2160A">
            <w:pPr>
              <w:pStyle w:val="Normal-pool"/>
              <w:rPr>
                <w:sz w:val="18"/>
                <w:szCs w:val="18"/>
                <w:lang w:val="es-ES_tradnl"/>
              </w:rPr>
            </w:pPr>
            <w:r w:rsidRPr="00BF61BF">
              <w:rPr>
                <w:sz w:val="18"/>
                <w:szCs w:val="18"/>
                <w:lang w:val="es-ES_tradnl"/>
              </w:rPr>
              <w:t>15</w:t>
            </w:r>
          </w:p>
        </w:tc>
        <w:tc>
          <w:tcPr>
            <w:tcW w:w="8140" w:type="dxa"/>
            <w:tcBorders>
              <w:top w:val="nil"/>
              <w:left w:val="nil"/>
              <w:bottom w:val="single" w:sz="8" w:space="0" w:color="auto"/>
              <w:right w:val="nil"/>
            </w:tcBorders>
            <w:shd w:val="clear" w:color="000000" w:fill="FFFFFF"/>
            <w:noWrap/>
            <w:vAlign w:val="center"/>
            <w:hideMark/>
          </w:tcPr>
          <w:p w14:paraId="347C29B7" w14:textId="5E9DF027" w:rsidR="00C2160A" w:rsidRPr="00BF61BF" w:rsidRDefault="00C2160A" w:rsidP="00C2160A">
            <w:pPr>
              <w:pStyle w:val="Normal-pool"/>
              <w:rPr>
                <w:sz w:val="18"/>
                <w:szCs w:val="18"/>
                <w:lang w:val="es-ES_tradnl"/>
              </w:rPr>
            </w:pPr>
            <w:r w:rsidRPr="00BF61BF">
              <w:rPr>
                <w:sz w:val="18"/>
                <w:szCs w:val="18"/>
                <w:lang w:val="es-ES_tradnl"/>
              </w:rPr>
              <w:t xml:space="preserve">Servicios de tecnología de la información </w:t>
            </w:r>
          </w:p>
        </w:tc>
      </w:tr>
    </w:tbl>
    <w:p w14:paraId="673F18B9" w14:textId="362EFF2A" w:rsidR="00F34B53" w:rsidRPr="00BF61BF" w:rsidRDefault="00F34B53" w:rsidP="0082498C">
      <w:pPr>
        <w:pStyle w:val="Normal-pool"/>
        <w:rPr>
          <w:lang w:val="es-ES_tradnl" w:eastAsia="zh-C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64"/>
        <w:gridCol w:w="1965"/>
        <w:gridCol w:w="1965"/>
        <w:gridCol w:w="1965"/>
        <w:gridCol w:w="1965"/>
      </w:tblGrid>
      <w:tr w:rsidR="00C2160A" w:rsidRPr="00BF61BF" w14:paraId="7F6F795F" w14:textId="77777777" w:rsidTr="00C2160A">
        <w:tc>
          <w:tcPr>
            <w:tcW w:w="1964" w:type="dxa"/>
          </w:tcPr>
          <w:p w14:paraId="50FFF35E" w14:textId="77777777" w:rsidR="00C2160A" w:rsidRPr="00BF61BF" w:rsidRDefault="00C2160A" w:rsidP="00C2160A">
            <w:pPr>
              <w:pStyle w:val="Normal-pool"/>
              <w:spacing w:after="520"/>
              <w:rPr>
                <w:lang w:val="es-ES_tradnl" w:eastAsia="zh-CN"/>
              </w:rPr>
            </w:pPr>
          </w:p>
        </w:tc>
        <w:tc>
          <w:tcPr>
            <w:tcW w:w="1965" w:type="dxa"/>
          </w:tcPr>
          <w:p w14:paraId="06284E5E" w14:textId="77777777" w:rsidR="00C2160A" w:rsidRPr="00BF61BF" w:rsidRDefault="00C2160A" w:rsidP="00C2160A">
            <w:pPr>
              <w:pStyle w:val="Normal-pool"/>
              <w:spacing w:after="520"/>
              <w:rPr>
                <w:lang w:val="es-ES_tradnl" w:eastAsia="zh-CN"/>
              </w:rPr>
            </w:pPr>
          </w:p>
        </w:tc>
        <w:tc>
          <w:tcPr>
            <w:tcW w:w="1965" w:type="dxa"/>
            <w:tcBorders>
              <w:bottom w:val="single" w:sz="4" w:space="0" w:color="auto"/>
            </w:tcBorders>
          </w:tcPr>
          <w:p w14:paraId="5353313B" w14:textId="77777777" w:rsidR="00C2160A" w:rsidRPr="00BF61BF" w:rsidRDefault="00C2160A" w:rsidP="00C2160A">
            <w:pPr>
              <w:pStyle w:val="Normal-pool"/>
              <w:spacing w:after="520"/>
              <w:rPr>
                <w:lang w:val="es-ES_tradnl" w:eastAsia="zh-CN"/>
              </w:rPr>
            </w:pPr>
          </w:p>
        </w:tc>
        <w:tc>
          <w:tcPr>
            <w:tcW w:w="1965" w:type="dxa"/>
          </w:tcPr>
          <w:p w14:paraId="39949068" w14:textId="77777777" w:rsidR="00C2160A" w:rsidRPr="00BF61BF" w:rsidRDefault="00C2160A" w:rsidP="00C2160A">
            <w:pPr>
              <w:pStyle w:val="Normal-pool"/>
              <w:spacing w:after="520"/>
              <w:rPr>
                <w:lang w:val="es-ES_tradnl" w:eastAsia="zh-CN"/>
              </w:rPr>
            </w:pPr>
          </w:p>
        </w:tc>
        <w:tc>
          <w:tcPr>
            <w:tcW w:w="1965" w:type="dxa"/>
          </w:tcPr>
          <w:p w14:paraId="1374B5CF" w14:textId="77777777" w:rsidR="00C2160A" w:rsidRPr="00BF61BF" w:rsidRDefault="00C2160A" w:rsidP="00C2160A">
            <w:pPr>
              <w:pStyle w:val="Normal-pool"/>
              <w:spacing w:after="520"/>
              <w:rPr>
                <w:lang w:val="es-ES_tradnl" w:eastAsia="zh-CN"/>
              </w:rPr>
            </w:pPr>
          </w:p>
        </w:tc>
      </w:tr>
    </w:tbl>
    <w:p w14:paraId="77B43A18" w14:textId="77777777" w:rsidR="00C2160A" w:rsidRPr="00BF61BF" w:rsidRDefault="00C2160A" w:rsidP="0082498C">
      <w:pPr>
        <w:pStyle w:val="Normal-pool"/>
        <w:rPr>
          <w:lang w:val="es-ES_tradnl" w:eastAsia="zh-CN"/>
        </w:rPr>
      </w:pPr>
    </w:p>
    <w:sectPr w:rsidR="00C2160A" w:rsidRPr="00BF61BF" w:rsidSect="0034061A">
      <w:headerReference w:type="even" r:id="rId24"/>
      <w:headerReference w:type="default" r:id="rId25"/>
      <w:headerReference w:type="first" r:id="rId26"/>
      <w:footerReference w:type="first" r:id="rId27"/>
      <w:type w:val="continuous"/>
      <w:pgSz w:w="11906" w:h="16838" w:code="9"/>
      <w:pgMar w:top="907" w:right="992" w:bottom="1418" w:left="1077"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0B585C" w16cid:durableId="213739B3"/>
  <w16cid:commentId w16cid:paraId="60CD1D6F" w16cid:durableId="21373A0B"/>
  <w16cid:commentId w16cid:paraId="3A2371E2" w16cid:durableId="21373AF1"/>
  <w16cid:commentId w16cid:paraId="3B96E622" w16cid:durableId="21373B08"/>
  <w16cid:commentId w16cid:paraId="488E0056" w16cid:durableId="21373B3D"/>
  <w16cid:commentId w16cid:paraId="68178932" w16cid:durableId="21335D49"/>
  <w16cid:commentId w16cid:paraId="1A40CAFE" w16cid:durableId="21335C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BC475" w14:textId="77777777" w:rsidR="005202A8" w:rsidRDefault="005202A8">
      <w:r>
        <w:separator/>
      </w:r>
    </w:p>
  </w:endnote>
  <w:endnote w:type="continuationSeparator" w:id="0">
    <w:p w14:paraId="78FA89FC" w14:textId="77777777" w:rsidR="005202A8" w:rsidRDefault="00520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26094" w14:textId="1C95E192" w:rsidR="00D54122" w:rsidRDefault="00D54122">
    <w:pPr>
      <w:pStyle w:val="Footer"/>
    </w:pPr>
    <w:r>
      <w:rPr>
        <w:rStyle w:val="PageNumber"/>
      </w:rPr>
      <w:fldChar w:fldCharType="begin"/>
    </w:r>
    <w:r>
      <w:rPr>
        <w:rStyle w:val="PageNumber"/>
      </w:rPr>
      <w:instrText xml:space="preserve"> PAGE </w:instrText>
    </w:r>
    <w:r>
      <w:rPr>
        <w:rStyle w:val="PageNumber"/>
      </w:rPr>
      <w:fldChar w:fldCharType="separate"/>
    </w:r>
    <w:r w:rsidR="00B815C6">
      <w:rPr>
        <w:rStyle w:val="PageNumber"/>
        <w:noProof/>
      </w:rPr>
      <w:t>10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47A9A" w14:textId="7FB4C466" w:rsidR="00D54122" w:rsidRDefault="00D5412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815C6">
      <w:rPr>
        <w:rStyle w:val="PageNumber"/>
        <w:noProof/>
      </w:rPr>
      <w:t>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BED38" w14:textId="006B0917" w:rsidR="00D54122" w:rsidRDefault="00D54122">
    <w:pPr>
      <w:pStyle w:val="Footer"/>
    </w:pPr>
    <w:r>
      <w:rPr>
        <w:sz w:val="20"/>
        <w:lang w:val="es-ES"/>
      </w:rPr>
      <w:t>K190373</w:t>
    </w:r>
    <w:r w:rsidR="00BF61BF">
      <w:rPr>
        <w:sz w:val="20"/>
        <w:lang w:val="es-ES"/>
      </w:rPr>
      <w:t>1</w:t>
    </w:r>
    <w:r>
      <w:rPr>
        <w:sz w:val="20"/>
        <w:lang w:val="es-ES"/>
      </w:rPr>
      <w:tab/>
      <w:t>2</w:t>
    </w:r>
    <w:r w:rsidR="00FC1A07">
      <w:rPr>
        <w:sz w:val="20"/>
        <w:lang w:val="es-ES"/>
      </w:rPr>
      <w:t>7</w:t>
    </w:r>
    <w:r w:rsidRPr="002A6CFE">
      <w:rPr>
        <w:sz w:val="20"/>
        <w:lang w:val="es-ES"/>
      </w:rPr>
      <w:t>0</w:t>
    </w:r>
    <w:r>
      <w:rPr>
        <w:lang w:val="es-ES"/>
      </w:rPr>
      <w:t>919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2305F" w14:textId="208A113A" w:rsidR="00D54122" w:rsidRPr="00EC3F22" w:rsidRDefault="00D54122" w:rsidP="00EC3F22">
    <w:pPr>
      <w:pStyle w:val="Footer"/>
      <w:jc w:val="right"/>
      <w:rPr>
        <w:b/>
      </w:rPr>
    </w:pPr>
    <w:r w:rsidRPr="00EC3F22">
      <w:rPr>
        <w:b/>
      </w:rPr>
      <w:fldChar w:fldCharType="begin"/>
    </w:r>
    <w:r w:rsidRPr="00EC3F22">
      <w:rPr>
        <w:b/>
      </w:rPr>
      <w:instrText xml:space="preserve"> PAGE   \* MERGEFORMAT </w:instrText>
    </w:r>
    <w:r w:rsidRPr="00EC3F22">
      <w:rPr>
        <w:b/>
      </w:rPr>
      <w:fldChar w:fldCharType="separate"/>
    </w:r>
    <w:r w:rsidR="00FC1A07">
      <w:rPr>
        <w:b/>
        <w:noProof/>
      </w:rPr>
      <w:t>7</w:t>
    </w:r>
    <w:r w:rsidRPr="00EC3F22">
      <w:rPr>
        <w:b/>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8507A" w14:textId="77777777" w:rsidR="00D54122" w:rsidRPr="00784207" w:rsidRDefault="00D54122" w:rsidP="00784207">
    <w:pPr>
      <w:pStyle w:val="Footer"/>
      <w:rPr>
        <w:b/>
      </w:rPr>
    </w:pPr>
    <w:r w:rsidRPr="00784207">
      <w:rPr>
        <w:b/>
      </w:rPr>
      <w:fldChar w:fldCharType="begin"/>
    </w:r>
    <w:r w:rsidRPr="00784207">
      <w:rPr>
        <w:b/>
      </w:rPr>
      <w:instrText xml:space="preserve"> PAGE   \* MERGEFORMAT </w:instrText>
    </w:r>
    <w:r w:rsidRPr="00784207">
      <w:rPr>
        <w:b/>
      </w:rPr>
      <w:fldChar w:fldCharType="separate"/>
    </w:r>
    <w:r>
      <w:rPr>
        <w:b/>
        <w:noProof/>
      </w:rPr>
      <w:t>18</w:t>
    </w:r>
    <w:r w:rsidRPr="00784207">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E2861" w14:textId="77777777" w:rsidR="005202A8" w:rsidRPr="00BC5579" w:rsidRDefault="005202A8" w:rsidP="00D10CD9">
      <w:pPr>
        <w:spacing w:before="20" w:after="40"/>
        <w:ind w:left="624"/>
        <w:rPr>
          <w:sz w:val="18"/>
          <w:szCs w:val="18"/>
        </w:rPr>
      </w:pPr>
      <w:r w:rsidRPr="00BC5579">
        <w:rPr>
          <w:sz w:val="18"/>
          <w:szCs w:val="18"/>
        </w:rPr>
        <w:separator/>
      </w:r>
    </w:p>
  </w:footnote>
  <w:footnote w:type="continuationSeparator" w:id="0">
    <w:p w14:paraId="111BF825" w14:textId="77777777" w:rsidR="005202A8" w:rsidRDefault="005202A8">
      <w:r>
        <w:continuationSeparator/>
      </w:r>
    </w:p>
  </w:footnote>
  <w:footnote w:id="1">
    <w:p w14:paraId="777B19F5" w14:textId="77777777" w:rsidR="00D54122" w:rsidRPr="002A6CFE" w:rsidRDefault="00D54122" w:rsidP="00E54866">
      <w:pPr>
        <w:tabs>
          <w:tab w:val="left" w:pos="624"/>
        </w:tabs>
        <w:spacing w:before="20" w:after="40"/>
        <w:ind w:left="1247"/>
        <w:rPr>
          <w:sz w:val="18"/>
          <w:szCs w:val="18"/>
          <w:lang w:val="es-ES"/>
        </w:rPr>
      </w:pPr>
      <w:r w:rsidRPr="002A6CFE">
        <w:rPr>
          <w:sz w:val="18"/>
          <w:szCs w:val="18"/>
          <w:lang w:val="es-ES"/>
        </w:rPr>
        <w:t>* UNEP/MC/COP.3/1.</w:t>
      </w:r>
    </w:p>
  </w:footnote>
  <w:footnote w:id="2">
    <w:p w14:paraId="659AC53F" w14:textId="4466BD20" w:rsidR="00D54122" w:rsidRPr="002A6CFE" w:rsidRDefault="00D54122" w:rsidP="004B06E0">
      <w:pPr>
        <w:pStyle w:val="FootnoteText"/>
        <w:rPr>
          <w:szCs w:val="18"/>
        </w:rPr>
      </w:pPr>
      <w:r w:rsidRPr="002A6CFE">
        <w:rPr>
          <w:rStyle w:val="FootnoteReference"/>
          <w:sz w:val="18"/>
          <w:lang w:val="es-ES"/>
        </w:rPr>
        <w:footnoteRef/>
      </w:r>
      <w:r w:rsidRPr="002A6CFE">
        <w:rPr>
          <w:szCs w:val="18"/>
          <w:lang w:val="es-ES"/>
        </w:rPr>
        <w:t xml:space="preserve"> Umoja es el sistema de planificación de los recursos institucionales de la Secretaría de las </w:t>
      </w:r>
      <w:r>
        <w:rPr>
          <w:szCs w:val="18"/>
          <w:lang w:val="es-ES"/>
        </w:rPr>
        <w:t>Naciones Unidas</w:t>
      </w:r>
      <w:r w:rsidRPr="002A6CFE">
        <w:rPr>
          <w:szCs w:val="18"/>
          <w:lang w:val="es-ES"/>
        </w:rPr>
        <w:t xml:space="preserve">, implantado en 2015. </w:t>
      </w:r>
    </w:p>
  </w:footnote>
  <w:footnote w:id="3">
    <w:p w14:paraId="31F766A1" w14:textId="6A544DAA" w:rsidR="00D54122" w:rsidRPr="002A6CFE" w:rsidRDefault="00D54122">
      <w:pPr>
        <w:pStyle w:val="FootnoteText"/>
        <w:rPr>
          <w:szCs w:val="18"/>
        </w:rPr>
      </w:pPr>
      <w:r w:rsidRPr="002A6CFE">
        <w:rPr>
          <w:rStyle w:val="FootnoteReference"/>
          <w:sz w:val="18"/>
          <w:lang w:val="es-ES"/>
        </w:rPr>
        <w:footnoteRef/>
      </w:r>
      <w:r w:rsidRPr="002A6CFE">
        <w:rPr>
          <w:szCs w:val="18"/>
          <w:lang w:val="en-US"/>
        </w:rPr>
        <w:t xml:space="preserve"> UNEP/MC/COP.3/19.</w:t>
      </w:r>
    </w:p>
  </w:footnote>
  <w:footnote w:id="4">
    <w:p w14:paraId="3A563240" w14:textId="2DE11BC9" w:rsidR="00D54122" w:rsidRPr="002A6CFE" w:rsidRDefault="00D54122">
      <w:pPr>
        <w:pStyle w:val="FootnoteText"/>
        <w:rPr>
          <w:szCs w:val="18"/>
        </w:rPr>
      </w:pPr>
      <w:r w:rsidRPr="002A6CFE">
        <w:rPr>
          <w:rStyle w:val="FootnoteReference"/>
          <w:sz w:val="18"/>
          <w:lang w:val="es-ES"/>
        </w:rPr>
        <w:footnoteRef/>
      </w:r>
      <w:r w:rsidRPr="002A6CFE">
        <w:rPr>
          <w:szCs w:val="18"/>
          <w:lang w:val="en-US"/>
        </w:rPr>
        <w:t xml:space="preserve"> UNEP/MC/COP.3/INF/10.</w:t>
      </w:r>
    </w:p>
  </w:footnote>
  <w:footnote w:id="5">
    <w:p w14:paraId="0210963C" w14:textId="08CAB1D3" w:rsidR="00D54122" w:rsidRPr="002A6CFE" w:rsidRDefault="00D54122">
      <w:pPr>
        <w:pStyle w:val="FootnoteText"/>
        <w:rPr>
          <w:szCs w:val="18"/>
        </w:rPr>
      </w:pPr>
      <w:r w:rsidRPr="002A6CFE">
        <w:rPr>
          <w:rStyle w:val="FootnoteReference"/>
          <w:sz w:val="18"/>
          <w:lang w:val="es-ES"/>
        </w:rPr>
        <w:footnoteRef/>
      </w:r>
      <w:r w:rsidRPr="002A6CFE">
        <w:rPr>
          <w:szCs w:val="18"/>
          <w:lang w:val="en-US"/>
        </w:rPr>
        <w:t xml:space="preserve"> UNEP/MC/COP.3/20.</w:t>
      </w:r>
    </w:p>
  </w:footnote>
  <w:footnote w:id="6">
    <w:p w14:paraId="44334346" w14:textId="432D53F5" w:rsidR="00D54122" w:rsidRPr="002A6CFE" w:rsidRDefault="00D54122">
      <w:pPr>
        <w:pStyle w:val="FootnoteText"/>
        <w:rPr>
          <w:szCs w:val="18"/>
        </w:rPr>
      </w:pPr>
      <w:r w:rsidRPr="002A6CFE">
        <w:rPr>
          <w:rStyle w:val="FootnoteReference"/>
          <w:sz w:val="18"/>
          <w:lang w:val="es-ES"/>
        </w:rPr>
        <w:footnoteRef/>
      </w:r>
      <w:r w:rsidRPr="002A6CFE">
        <w:rPr>
          <w:szCs w:val="18"/>
          <w:lang w:val="en-US"/>
        </w:rPr>
        <w:t xml:space="preserve"> UNEP/MC/COP.3/INF/10.</w:t>
      </w:r>
    </w:p>
  </w:footnote>
  <w:footnote w:id="7">
    <w:p w14:paraId="27A91447" w14:textId="0EFC714D" w:rsidR="00D54122" w:rsidRPr="002A6CFE" w:rsidRDefault="00D54122">
      <w:pPr>
        <w:pStyle w:val="FootnoteText"/>
        <w:rPr>
          <w:szCs w:val="18"/>
        </w:rPr>
      </w:pPr>
      <w:r w:rsidRPr="002A6CFE">
        <w:rPr>
          <w:rStyle w:val="FootnoteReference"/>
          <w:sz w:val="18"/>
          <w:lang w:val="es-ES"/>
        </w:rPr>
        <w:footnoteRef/>
      </w:r>
      <w:r w:rsidRPr="002A6CFE">
        <w:rPr>
          <w:szCs w:val="18"/>
          <w:lang w:val="en-US"/>
        </w:rPr>
        <w:t xml:space="preserve"> UNEP/MC/COP.3/INF/11.</w:t>
      </w:r>
    </w:p>
  </w:footnote>
  <w:footnote w:id="8">
    <w:p w14:paraId="2120CE6A" w14:textId="1C9980C7" w:rsidR="00D54122" w:rsidRPr="002A6CFE" w:rsidRDefault="00D54122">
      <w:pPr>
        <w:pStyle w:val="FootnoteText"/>
        <w:rPr>
          <w:szCs w:val="18"/>
        </w:rPr>
      </w:pPr>
      <w:r w:rsidRPr="002A6CFE">
        <w:rPr>
          <w:rStyle w:val="FootnoteReference"/>
          <w:sz w:val="18"/>
          <w:lang w:val="es-ES"/>
        </w:rPr>
        <w:footnoteRef/>
      </w:r>
      <w:r w:rsidRPr="002A6CFE">
        <w:rPr>
          <w:szCs w:val="18"/>
          <w:lang w:val="en-US"/>
        </w:rPr>
        <w:t xml:space="preserve"> UNEP/MC/COP.3/INF/9.</w:t>
      </w:r>
    </w:p>
  </w:footnote>
  <w:footnote w:id="9">
    <w:p w14:paraId="5C3112C2" w14:textId="3EFE44D8" w:rsidR="00D54122" w:rsidRPr="002A6CFE" w:rsidRDefault="00D54122">
      <w:pPr>
        <w:pStyle w:val="FootnoteText"/>
        <w:rPr>
          <w:szCs w:val="18"/>
        </w:rPr>
      </w:pPr>
      <w:r w:rsidRPr="002A6CFE">
        <w:rPr>
          <w:rStyle w:val="FootnoteReference"/>
          <w:sz w:val="18"/>
          <w:lang w:val="es-ES"/>
        </w:rPr>
        <w:footnoteRef/>
      </w:r>
      <w:r w:rsidRPr="002A6CFE">
        <w:rPr>
          <w:szCs w:val="18"/>
          <w:lang w:val="en-US"/>
        </w:rPr>
        <w:t xml:space="preserve"> UNEP/MC/COP.3/INF/10.</w:t>
      </w:r>
    </w:p>
  </w:footnote>
  <w:footnote w:id="10">
    <w:p w14:paraId="61A991BD" w14:textId="567BE308" w:rsidR="00D54122" w:rsidRPr="002A6CFE" w:rsidRDefault="00D54122">
      <w:pPr>
        <w:pStyle w:val="FootnoteText"/>
        <w:rPr>
          <w:szCs w:val="18"/>
        </w:rPr>
      </w:pPr>
      <w:r w:rsidRPr="002A6CFE">
        <w:rPr>
          <w:rStyle w:val="FootnoteReference"/>
          <w:sz w:val="18"/>
          <w:lang w:val="es-ES"/>
        </w:rPr>
        <w:footnoteRef/>
      </w:r>
      <w:r w:rsidRPr="002A6CFE">
        <w:rPr>
          <w:szCs w:val="18"/>
          <w:lang w:val="en-US"/>
        </w:rPr>
        <w:t xml:space="preserve"> UNEP/MC/COP.3/19.</w:t>
      </w:r>
    </w:p>
  </w:footnote>
  <w:footnote w:id="11">
    <w:p w14:paraId="04854156" w14:textId="6FECA2D1" w:rsidR="00D54122" w:rsidRPr="002A6CFE" w:rsidRDefault="00D54122" w:rsidP="003D4595">
      <w:pPr>
        <w:pStyle w:val="FootnoteText"/>
        <w:rPr>
          <w:szCs w:val="18"/>
        </w:rPr>
      </w:pPr>
      <w:r w:rsidRPr="002A6CFE">
        <w:rPr>
          <w:rStyle w:val="FootnoteReference"/>
          <w:sz w:val="18"/>
          <w:lang w:val="es-ES"/>
        </w:rPr>
        <w:footnoteRef/>
      </w:r>
      <w:r w:rsidRPr="002A6CFE">
        <w:rPr>
          <w:szCs w:val="18"/>
          <w:lang w:val="en-US"/>
        </w:rPr>
        <w:t xml:space="preserve"> UNEP/MC/COP.3/20.</w:t>
      </w:r>
    </w:p>
  </w:footnote>
  <w:footnote w:id="12">
    <w:p w14:paraId="072836F2" w14:textId="25E8DD43" w:rsidR="00D54122" w:rsidRPr="002A6CFE" w:rsidRDefault="00D54122" w:rsidP="003D4595">
      <w:pPr>
        <w:pStyle w:val="FootnoteText"/>
        <w:rPr>
          <w:szCs w:val="18"/>
        </w:rPr>
      </w:pPr>
      <w:r w:rsidRPr="002A6CFE">
        <w:rPr>
          <w:rStyle w:val="FootnoteReference"/>
          <w:sz w:val="18"/>
          <w:lang w:val="es-ES"/>
        </w:rPr>
        <w:footnoteRef/>
      </w:r>
      <w:r w:rsidRPr="002A6CFE">
        <w:rPr>
          <w:szCs w:val="18"/>
          <w:lang w:val="en-US"/>
        </w:rPr>
        <w:t xml:space="preserve"> UNEP/MC/COP.3/INF/10.</w:t>
      </w:r>
    </w:p>
  </w:footnote>
  <w:footnote w:id="13">
    <w:p w14:paraId="2CD085F5" w14:textId="418C567C" w:rsidR="00D54122" w:rsidRPr="002A6CFE" w:rsidRDefault="00D54122" w:rsidP="003D4595">
      <w:pPr>
        <w:pStyle w:val="FootnoteText"/>
        <w:rPr>
          <w:szCs w:val="18"/>
        </w:rPr>
      </w:pPr>
      <w:r w:rsidRPr="002A6CFE">
        <w:rPr>
          <w:rStyle w:val="FootnoteReference"/>
          <w:sz w:val="18"/>
          <w:lang w:val="es-ES"/>
        </w:rPr>
        <w:footnoteRef/>
      </w:r>
      <w:r w:rsidRPr="002A6CFE">
        <w:rPr>
          <w:szCs w:val="18"/>
          <w:lang w:val="en-US"/>
        </w:rPr>
        <w:t xml:space="preserve"> UNEP/MC/COP.3/INF/11.</w:t>
      </w:r>
    </w:p>
  </w:footnote>
  <w:footnote w:id="14">
    <w:p w14:paraId="56AFC9A4" w14:textId="30797F33" w:rsidR="00D54122" w:rsidRPr="002A6CFE" w:rsidRDefault="00D54122" w:rsidP="003D4595">
      <w:pPr>
        <w:pStyle w:val="FootnoteText"/>
        <w:rPr>
          <w:szCs w:val="18"/>
        </w:rPr>
      </w:pPr>
      <w:r w:rsidRPr="002A6CFE">
        <w:rPr>
          <w:rStyle w:val="FootnoteReference"/>
          <w:sz w:val="18"/>
          <w:lang w:val="es-ES"/>
        </w:rPr>
        <w:footnoteRef/>
      </w:r>
      <w:r w:rsidRPr="002A6CFE">
        <w:rPr>
          <w:szCs w:val="18"/>
          <w:lang w:val="en-US"/>
        </w:rPr>
        <w:t xml:space="preserve"> UNEP/MC/COP.3/INF/9.</w:t>
      </w:r>
    </w:p>
  </w:footnote>
  <w:footnote w:id="15">
    <w:p w14:paraId="2456A375" w14:textId="260C346D" w:rsidR="00D54122" w:rsidRPr="002A6CFE" w:rsidRDefault="00D54122">
      <w:pPr>
        <w:pStyle w:val="FootnoteText"/>
        <w:rPr>
          <w:szCs w:val="18"/>
        </w:rPr>
      </w:pPr>
      <w:r w:rsidRPr="002A6CFE">
        <w:rPr>
          <w:rStyle w:val="FootnoteReference"/>
          <w:sz w:val="18"/>
          <w:lang w:val="es-ES"/>
        </w:rPr>
        <w:footnoteRef/>
      </w:r>
      <w:r w:rsidRPr="002A6CFE">
        <w:rPr>
          <w:szCs w:val="18"/>
          <w:lang w:val="es-ES"/>
        </w:rPr>
        <w:t xml:space="preserve"> UNEP/MC/COP.3/10.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C2176" w14:textId="6C87A84C" w:rsidR="00D54122" w:rsidRPr="00CA5CA9" w:rsidRDefault="00D54122"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E2DBC" w14:textId="75218EF5" w:rsidR="00D54122" w:rsidRPr="00CA5CA9" w:rsidRDefault="00D5412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613F4" w14:textId="32CA1926" w:rsidR="00D54122" w:rsidRDefault="00D54122" w:rsidP="00032E4E">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C3429" w14:textId="2B9E85E8" w:rsidR="00D54122" w:rsidRDefault="00D54122">
    <w:pPr>
      <w:pStyle w:val="Heade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B0D1F" w14:textId="73D4255F" w:rsidR="00D54122" w:rsidRPr="00367C87" w:rsidRDefault="00D54122" w:rsidP="00367C87">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7F447" w14:textId="495D1B60" w:rsidR="00D54122" w:rsidRPr="00CA5CA9" w:rsidRDefault="00D54122" w:rsidP="00EC3F22">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95FCE" w14:textId="7864AD8F" w:rsidR="00D54122" w:rsidRDefault="00D54122">
    <w:pPr>
      <w:pStyle w:val="Heade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20</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453CE" w14:textId="0E7732A7" w:rsidR="00D54122" w:rsidRDefault="005202A8">
    <w:pPr>
      <w:pStyle w:val="Header"/>
    </w:pPr>
    <w:r>
      <w:rPr>
        <w:noProof/>
        <w:lang w:val="en-GB"/>
      </w:rPr>
      <w:pict w14:anchorId="6313EC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16033617" o:spid="_x0000_s2057" type="#_x0000_t136" style="position:absolute;margin-left:0;margin-top:0;width:539.35pt;height:154.1pt;rotation:315;z-index:-251640832;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E91B4" w14:textId="6F1A14B7" w:rsidR="00D54122" w:rsidRDefault="005202A8" w:rsidP="00784207">
    <w:pPr>
      <w:pStyle w:val="Header"/>
    </w:pPr>
    <w:r>
      <w:rPr>
        <w:noProof/>
        <w:lang w:val="en-GB"/>
      </w:rPr>
      <w:pict w14:anchorId="4493A4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16033615" o:spid="_x0000_s2055" type="#_x0000_t136" style="position:absolute;margin-left:0;margin-top:0;width:539.35pt;height:154.1pt;rotation:315;z-index:-251644928;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D54122" w:rsidRPr="00CA5CA9">
      <w:rPr>
        <w:bCs/>
        <w:szCs w:val="18"/>
      </w:rPr>
      <w:t>UNEP</w:t>
    </w:r>
    <w:r w:rsidR="00D54122" w:rsidRPr="00CA5CA9">
      <w:rPr>
        <w:szCs w:val="18"/>
      </w:rPr>
      <w:t>/</w:t>
    </w:r>
    <w:r w:rsidR="00D54122">
      <w:rPr>
        <w:szCs w:val="18"/>
      </w:rPr>
      <w:t>MC</w:t>
    </w:r>
    <w:r w:rsidR="00D54122" w:rsidRPr="00CA5CA9">
      <w:rPr>
        <w:szCs w:val="18"/>
      </w:rPr>
      <w:t>/</w:t>
    </w:r>
    <w:r w:rsidR="00D54122">
      <w:rPr>
        <w:szCs w:val="18"/>
      </w:rPr>
      <w:t>COP.3</w:t>
    </w:r>
    <w:r w:rsidR="00D54122" w:rsidRPr="00CA5CA9">
      <w:rPr>
        <w:szCs w:val="18"/>
      </w:rPr>
      <w:t>/</w:t>
    </w:r>
    <w:r w:rsidR="00D54122">
      <w:rPr>
        <w:szCs w:val="18"/>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C3625"/>
    <w:multiLevelType w:val="hybridMultilevel"/>
    <w:tmpl w:val="B4CEC774"/>
    <w:lvl w:ilvl="0" w:tplc="78083696">
      <w:start w:val="1"/>
      <w:numFmt w:val="lowerLetter"/>
      <w:lvlText w:val="(%1)"/>
      <w:lvlJc w:val="left"/>
      <w:pPr>
        <w:ind w:left="2232" w:hanging="360"/>
      </w:pPr>
      <w:rPr>
        <w:rFonts w:hint="default"/>
      </w:rPr>
    </w:lvl>
    <w:lvl w:ilvl="1" w:tplc="5AF008E4">
      <w:start w:val="1"/>
      <w:numFmt w:val="lowerLetter"/>
      <w:lvlText w:val="%2)"/>
      <w:lvlJc w:val="left"/>
      <w:pPr>
        <w:ind w:left="2952" w:hanging="360"/>
      </w:pPr>
      <w:rPr>
        <w:rFonts w:ascii="Times New Roman" w:eastAsia="Times New Roman" w:hAnsi="Times New Roman" w:cs="Times New Roman"/>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D3A4D86"/>
    <w:multiLevelType w:val="hybridMultilevel"/>
    <w:tmpl w:val="B01EE6A6"/>
    <w:lvl w:ilvl="0" w:tplc="2E4476EC">
      <w:start w:val="1"/>
      <w:numFmt w:val="upperRoman"/>
      <w:lvlText w:val="%1."/>
      <w:lvlJc w:val="left"/>
      <w:pPr>
        <w:ind w:left="1704" w:hanging="720"/>
      </w:pPr>
      <w:rPr>
        <w:rFonts w:hint="default"/>
      </w:rPr>
    </w:lvl>
    <w:lvl w:ilvl="1" w:tplc="0C0A0019" w:tentative="1">
      <w:start w:val="1"/>
      <w:numFmt w:val="lowerLetter"/>
      <w:lvlText w:val="%2."/>
      <w:lvlJc w:val="left"/>
      <w:pPr>
        <w:ind w:left="2064" w:hanging="360"/>
      </w:pPr>
    </w:lvl>
    <w:lvl w:ilvl="2" w:tplc="0C0A001B" w:tentative="1">
      <w:start w:val="1"/>
      <w:numFmt w:val="lowerRoman"/>
      <w:lvlText w:val="%3."/>
      <w:lvlJc w:val="right"/>
      <w:pPr>
        <w:ind w:left="2784" w:hanging="180"/>
      </w:pPr>
    </w:lvl>
    <w:lvl w:ilvl="3" w:tplc="0C0A000F" w:tentative="1">
      <w:start w:val="1"/>
      <w:numFmt w:val="decimal"/>
      <w:lvlText w:val="%4."/>
      <w:lvlJc w:val="left"/>
      <w:pPr>
        <w:ind w:left="3504" w:hanging="360"/>
      </w:pPr>
    </w:lvl>
    <w:lvl w:ilvl="4" w:tplc="0C0A0019" w:tentative="1">
      <w:start w:val="1"/>
      <w:numFmt w:val="lowerLetter"/>
      <w:lvlText w:val="%5."/>
      <w:lvlJc w:val="left"/>
      <w:pPr>
        <w:ind w:left="4224" w:hanging="360"/>
      </w:pPr>
    </w:lvl>
    <w:lvl w:ilvl="5" w:tplc="0C0A001B" w:tentative="1">
      <w:start w:val="1"/>
      <w:numFmt w:val="lowerRoman"/>
      <w:lvlText w:val="%6."/>
      <w:lvlJc w:val="right"/>
      <w:pPr>
        <w:ind w:left="4944" w:hanging="180"/>
      </w:pPr>
    </w:lvl>
    <w:lvl w:ilvl="6" w:tplc="0C0A000F" w:tentative="1">
      <w:start w:val="1"/>
      <w:numFmt w:val="decimal"/>
      <w:lvlText w:val="%7."/>
      <w:lvlJc w:val="left"/>
      <w:pPr>
        <w:ind w:left="5664" w:hanging="360"/>
      </w:pPr>
    </w:lvl>
    <w:lvl w:ilvl="7" w:tplc="0C0A0019" w:tentative="1">
      <w:start w:val="1"/>
      <w:numFmt w:val="lowerLetter"/>
      <w:lvlText w:val="%8."/>
      <w:lvlJc w:val="left"/>
      <w:pPr>
        <w:ind w:left="6384" w:hanging="360"/>
      </w:pPr>
    </w:lvl>
    <w:lvl w:ilvl="8" w:tplc="0C0A001B" w:tentative="1">
      <w:start w:val="1"/>
      <w:numFmt w:val="lowerRoman"/>
      <w:lvlText w:val="%9."/>
      <w:lvlJc w:val="right"/>
      <w:pPr>
        <w:ind w:left="7104"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EDD4A37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74A23338"/>
    <w:multiLevelType w:val="hybridMultilevel"/>
    <w:tmpl w:val="BEF09720"/>
    <w:lvl w:ilvl="0" w:tplc="369438DC">
      <w:start w:val="1"/>
      <w:numFmt w:val="upperRoman"/>
      <w:lvlText w:val="%1."/>
      <w:lvlJc w:val="left"/>
      <w:pPr>
        <w:ind w:left="1704" w:hanging="720"/>
      </w:pPr>
      <w:rPr>
        <w:rFonts w:hint="default"/>
      </w:rPr>
    </w:lvl>
    <w:lvl w:ilvl="1" w:tplc="0C0A0019" w:tentative="1">
      <w:start w:val="1"/>
      <w:numFmt w:val="lowerLetter"/>
      <w:lvlText w:val="%2."/>
      <w:lvlJc w:val="left"/>
      <w:pPr>
        <w:ind w:left="2064" w:hanging="360"/>
      </w:pPr>
    </w:lvl>
    <w:lvl w:ilvl="2" w:tplc="0C0A001B" w:tentative="1">
      <w:start w:val="1"/>
      <w:numFmt w:val="lowerRoman"/>
      <w:lvlText w:val="%3."/>
      <w:lvlJc w:val="right"/>
      <w:pPr>
        <w:ind w:left="2784" w:hanging="180"/>
      </w:pPr>
    </w:lvl>
    <w:lvl w:ilvl="3" w:tplc="0C0A000F" w:tentative="1">
      <w:start w:val="1"/>
      <w:numFmt w:val="decimal"/>
      <w:lvlText w:val="%4."/>
      <w:lvlJc w:val="left"/>
      <w:pPr>
        <w:ind w:left="3504" w:hanging="360"/>
      </w:pPr>
    </w:lvl>
    <w:lvl w:ilvl="4" w:tplc="0C0A0019" w:tentative="1">
      <w:start w:val="1"/>
      <w:numFmt w:val="lowerLetter"/>
      <w:lvlText w:val="%5."/>
      <w:lvlJc w:val="left"/>
      <w:pPr>
        <w:ind w:left="4224" w:hanging="360"/>
      </w:pPr>
    </w:lvl>
    <w:lvl w:ilvl="5" w:tplc="0C0A001B" w:tentative="1">
      <w:start w:val="1"/>
      <w:numFmt w:val="lowerRoman"/>
      <w:lvlText w:val="%6."/>
      <w:lvlJc w:val="right"/>
      <w:pPr>
        <w:ind w:left="4944" w:hanging="180"/>
      </w:pPr>
    </w:lvl>
    <w:lvl w:ilvl="6" w:tplc="0C0A000F" w:tentative="1">
      <w:start w:val="1"/>
      <w:numFmt w:val="decimal"/>
      <w:lvlText w:val="%7."/>
      <w:lvlJc w:val="left"/>
      <w:pPr>
        <w:ind w:left="5664" w:hanging="360"/>
      </w:pPr>
    </w:lvl>
    <w:lvl w:ilvl="7" w:tplc="0C0A0019" w:tentative="1">
      <w:start w:val="1"/>
      <w:numFmt w:val="lowerLetter"/>
      <w:lvlText w:val="%8."/>
      <w:lvlJc w:val="left"/>
      <w:pPr>
        <w:ind w:left="6384" w:hanging="360"/>
      </w:pPr>
    </w:lvl>
    <w:lvl w:ilvl="8" w:tplc="0C0A001B" w:tentative="1">
      <w:start w:val="1"/>
      <w:numFmt w:val="lowerRoman"/>
      <w:lvlText w:val="%9."/>
      <w:lvlJc w:val="right"/>
      <w:pPr>
        <w:ind w:left="7104" w:hanging="180"/>
      </w:pPr>
    </w:lvl>
  </w:abstractNum>
  <w:num w:numId="1">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 w:numId="2">
    <w:abstractNumId w:val="1"/>
  </w:num>
  <w:num w:numId="3">
    <w:abstractNumId w:val="3"/>
  </w:num>
  <w:num w:numId="4">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4"/>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6">
    <w:abstractNumId w:val="0"/>
    <w:lvlOverride w:ilvl="1">
      <w:lvl w:ilvl="1" w:tplc="5AF008E4">
        <w:start w:val="1"/>
        <w:numFmt w:val="lowerLetter"/>
        <w:lvlText w:val="%2)"/>
        <w:lvlJc w:val="left"/>
        <w:pPr>
          <w:ind w:left="2952" w:hanging="360"/>
        </w:pPr>
        <w:rPr>
          <w:rFonts w:hint="default"/>
        </w:rPr>
      </w:lvl>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9">
    <w:abstractNumId w:val="4"/>
  </w:num>
  <w:num w:numId="10">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11">
    <w:abstractNumId w:val="5"/>
  </w:num>
  <w:num w:numId="12">
    <w:abstractNumId w:val="2"/>
  </w:num>
  <w:num w:numId="13">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14">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15">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16">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17">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18">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19">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20">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21">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22">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23">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i w:val="0"/>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activeWritingStyle w:appName="MSWord" w:lang="fr-FR" w:vendorID="64" w:dllVersion="0" w:nlCheck="1" w:checkStyle="0"/>
  <w:activeWritingStyle w:appName="MSWord" w:lang="en-US" w:vendorID="64" w:dllVersion="0" w:nlCheck="1" w:checkStyle="0"/>
  <w:activeWritingStyle w:appName="MSWord" w:lang="en-GB" w:vendorID="64" w:dllVersion="0" w:nlCheck="1" w:checkStyle="1"/>
  <w:activeWritingStyle w:appName="MSWord" w:lang="es-ES" w:vendorID="64" w:dllVersion="0" w:nlCheck="1" w:checkStyle="0"/>
  <w:activeWritingStyle w:appName="MSWord" w:lang="en-CA" w:vendorID="64" w:dllVersion="0" w:nlCheck="1" w:checkStyle="0"/>
  <w:activeWritingStyle w:appName="MSWord" w:lang="es-ES_tradnl"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06"/>
    <w:rsid w:val="000024A3"/>
    <w:rsid w:val="0000287C"/>
    <w:rsid w:val="00002AC3"/>
    <w:rsid w:val="000034C9"/>
    <w:rsid w:val="0000540F"/>
    <w:rsid w:val="000057BB"/>
    <w:rsid w:val="000065CB"/>
    <w:rsid w:val="000077AD"/>
    <w:rsid w:val="00007B70"/>
    <w:rsid w:val="00007CCF"/>
    <w:rsid w:val="0001142B"/>
    <w:rsid w:val="00011A16"/>
    <w:rsid w:val="00014435"/>
    <w:rsid w:val="000149E6"/>
    <w:rsid w:val="000164DE"/>
    <w:rsid w:val="00017F47"/>
    <w:rsid w:val="000202B5"/>
    <w:rsid w:val="00023DA9"/>
    <w:rsid w:val="00023FFF"/>
    <w:rsid w:val="000247B0"/>
    <w:rsid w:val="00026997"/>
    <w:rsid w:val="00026A08"/>
    <w:rsid w:val="00027CBB"/>
    <w:rsid w:val="0003027B"/>
    <w:rsid w:val="000316EE"/>
    <w:rsid w:val="00032A1F"/>
    <w:rsid w:val="00032E4E"/>
    <w:rsid w:val="00033E0B"/>
    <w:rsid w:val="000359CF"/>
    <w:rsid w:val="00035EDE"/>
    <w:rsid w:val="00036EBA"/>
    <w:rsid w:val="00037302"/>
    <w:rsid w:val="00040BA3"/>
    <w:rsid w:val="00040FC9"/>
    <w:rsid w:val="000430A5"/>
    <w:rsid w:val="000438B3"/>
    <w:rsid w:val="00044D98"/>
    <w:rsid w:val="0004673D"/>
    <w:rsid w:val="000503B4"/>
    <w:rsid w:val="000509B4"/>
    <w:rsid w:val="00052125"/>
    <w:rsid w:val="000525BF"/>
    <w:rsid w:val="00056FC3"/>
    <w:rsid w:val="0006035B"/>
    <w:rsid w:val="0006096F"/>
    <w:rsid w:val="000623E4"/>
    <w:rsid w:val="00064800"/>
    <w:rsid w:val="000649C5"/>
    <w:rsid w:val="00064B3F"/>
    <w:rsid w:val="000660EE"/>
    <w:rsid w:val="000665A7"/>
    <w:rsid w:val="00066A79"/>
    <w:rsid w:val="000671D0"/>
    <w:rsid w:val="0006773B"/>
    <w:rsid w:val="00071886"/>
    <w:rsid w:val="00071CF3"/>
    <w:rsid w:val="00072028"/>
    <w:rsid w:val="00072F76"/>
    <w:rsid w:val="0007408F"/>
    <w:rsid w:val="000742BC"/>
    <w:rsid w:val="000751C1"/>
    <w:rsid w:val="00076C22"/>
    <w:rsid w:val="00076CC6"/>
    <w:rsid w:val="000808A8"/>
    <w:rsid w:val="00082681"/>
    <w:rsid w:val="00082A0C"/>
    <w:rsid w:val="00083504"/>
    <w:rsid w:val="000843C4"/>
    <w:rsid w:val="00092266"/>
    <w:rsid w:val="00093BC4"/>
    <w:rsid w:val="0009640C"/>
    <w:rsid w:val="00096D4A"/>
    <w:rsid w:val="000A0EE6"/>
    <w:rsid w:val="000A19CD"/>
    <w:rsid w:val="000A1D77"/>
    <w:rsid w:val="000A33AD"/>
    <w:rsid w:val="000A352A"/>
    <w:rsid w:val="000A4270"/>
    <w:rsid w:val="000A61C6"/>
    <w:rsid w:val="000B22A2"/>
    <w:rsid w:val="000B3E64"/>
    <w:rsid w:val="000B43E4"/>
    <w:rsid w:val="000B541B"/>
    <w:rsid w:val="000B6F60"/>
    <w:rsid w:val="000B73F9"/>
    <w:rsid w:val="000B7D2E"/>
    <w:rsid w:val="000B7D30"/>
    <w:rsid w:val="000C00DA"/>
    <w:rsid w:val="000C2A52"/>
    <w:rsid w:val="000C2A88"/>
    <w:rsid w:val="000C35B5"/>
    <w:rsid w:val="000C7379"/>
    <w:rsid w:val="000D0B0E"/>
    <w:rsid w:val="000D15FB"/>
    <w:rsid w:val="000D33C0"/>
    <w:rsid w:val="000D378B"/>
    <w:rsid w:val="000D3843"/>
    <w:rsid w:val="000D4CF6"/>
    <w:rsid w:val="000D501B"/>
    <w:rsid w:val="000D6941"/>
    <w:rsid w:val="000D7356"/>
    <w:rsid w:val="000D7F52"/>
    <w:rsid w:val="000E0C00"/>
    <w:rsid w:val="000E3CC9"/>
    <w:rsid w:val="000E45DF"/>
    <w:rsid w:val="000F1400"/>
    <w:rsid w:val="000F2B43"/>
    <w:rsid w:val="000F38EF"/>
    <w:rsid w:val="000F3DCD"/>
    <w:rsid w:val="000F4260"/>
    <w:rsid w:val="000F434E"/>
    <w:rsid w:val="000F4829"/>
    <w:rsid w:val="000F5535"/>
    <w:rsid w:val="000F5CAC"/>
    <w:rsid w:val="000F5F8A"/>
    <w:rsid w:val="000F6B21"/>
    <w:rsid w:val="000F744B"/>
    <w:rsid w:val="001017EB"/>
    <w:rsid w:val="00101B1F"/>
    <w:rsid w:val="00102AFD"/>
    <w:rsid w:val="00102EFB"/>
    <w:rsid w:val="00106079"/>
    <w:rsid w:val="00112C13"/>
    <w:rsid w:val="0011532C"/>
    <w:rsid w:val="001202E3"/>
    <w:rsid w:val="00121B66"/>
    <w:rsid w:val="00122F6C"/>
    <w:rsid w:val="0012335D"/>
    <w:rsid w:val="00123699"/>
    <w:rsid w:val="001241FB"/>
    <w:rsid w:val="001269E5"/>
    <w:rsid w:val="00126F8E"/>
    <w:rsid w:val="0013059D"/>
    <w:rsid w:val="00132283"/>
    <w:rsid w:val="00136187"/>
    <w:rsid w:val="001366FD"/>
    <w:rsid w:val="001401D9"/>
    <w:rsid w:val="00141A55"/>
    <w:rsid w:val="0014293F"/>
    <w:rsid w:val="0014397D"/>
    <w:rsid w:val="001446A3"/>
    <w:rsid w:val="00144A65"/>
    <w:rsid w:val="00144E0F"/>
    <w:rsid w:val="00150796"/>
    <w:rsid w:val="00152B6B"/>
    <w:rsid w:val="00153B64"/>
    <w:rsid w:val="00155370"/>
    <w:rsid w:val="00155395"/>
    <w:rsid w:val="00155A2F"/>
    <w:rsid w:val="00156B6B"/>
    <w:rsid w:val="00157490"/>
    <w:rsid w:val="00160442"/>
    <w:rsid w:val="00160D74"/>
    <w:rsid w:val="0016238C"/>
    <w:rsid w:val="001646EA"/>
    <w:rsid w:val="00167722"/>
    <w:rsid w:val="00167D02"/>
    <w:rsid w:val="00171D82"/>
    <w:rsid w:val="00173DB3"/>
    <w:rsid w:val="00174D0C"/>
    <w:rsid w:val="001750A1"/>
    <w:rsid w:val="00175143"/>
    <w:rsid w:val="00175427"/>
    <w:rsid w:val="001759D8"/>
    <w:rsid w:val="00175C76"/>
    <w:rsid w:val="00176711"/>
    <w:rsid w:val="00176F98"/>
    <w:rsid w:val="00177626"/>
    <w:rsid w:val="00177D7F"/>
    <w:rsid w:val="00180C3F"/>
    <w:rsid w:val="00181EC8"/>
    <w:rsid w:val="00184349"/>
    <w:rsid w:val="00185A10"/>
    <w:rsid w:val="00186B1D"/>
    <w:rsid w:val="0019192D"/>
    <w:rsid w:val="00191C20"/>
    <w:rsid w:val="001926B7"/>
    <w:rsid w:val="00192F46"/>
    <w:rsid w:val="00194297"/>
    <w:rsid w:val="00195F33"/>
    <w:rsid w:val="00196464"/>
    <w:rsid w:val="001A0854"/>
    <w:rsid w:val="001A2475"/>
    <w:rsid w:val="001A33B2"/>
    <w:rsid w:val="001A4011"/>
    <w:rsid w:val="001A47E5"/>
    <w:rsid w:val="001A6689"/>
    <w:rsid w:val="001A7144"/>
    <w:rsid w:val="001B1617"/>
    <w:rsid w:val="001B4209"/>
    <w:rsid w:val="001B4718"/>
    <w:rsid w:val="001B504B"/>
    <w:rsid w:val="001B62EC"/>
    <w:rsid w:val="001B6F98"/>
    <w:rsid w:val="001C0392"/>
    <w:rsid w:val="001C1530"/>
    <w:rsid w:val="001C191A"/>
    <w:rsid w:val="001C2486"/>
    <w:rsid w:val="001C3494"/>
    <w:rsid w:val="001C5470"/>
    <w:rsid w:val="001C591C"/>
    <w:rsid w:val="001C5EAE"/>
    <w:rsid w:val="001C6381"/>
    <w:rsid w:val="001C70A9"/>
    <w:rsid w:val="001D3874"/>
    <w:rsid w:val="001D7E75"/>
    <w:rsid w:val="001E0D73"/>
    <w:rsid w:val="001E101B"/>
    <w:rsid w:val="001E2027"/>
    <w:rsid w:val="001E2986"/>
    <w:rsid w:val="001E45BD"/>
    <w:rsid w:val="001E5259"/>
    <w:rsid w:val="001E5528"/>
    <w:rsid w:val="001E56D2"/>
    <w:rsid w:val="001E7D56"/>
    <w:rsid w:val="001F1550"/>
    <w:rsid w:val="001F32AB"/>
    <w:rsid w:val="001F3D7A"/>
    <w:rsid w:val="001F5186"/>
    <w:rsid w:val="001F75DE"/>
    <w:rsid w:val="00200D58"/>
    <w:rsid w:val="002011C1"/>
    <w:rsid w:val="002013BE"/>
    <w:rsid w:val="00201EDC"/>
    <w:rsid w:val="0020295D"/>
    <w:rsid w:val="002031BB"/>
    <w:rsid w:val="002036D9"/>
    <w:rsid w:val="002043AF"/>
    <w:rsid w:val="002046D7"/>
    <w:rsid w:val="002046DC"/>
    <w:rsid w:val="00204818"/>
    <w:rsid w:val="00205661"/>
    <w:rsid w:val="002063A4"/>
    <w:rsid w:val="002063B7"/>
    <w:rsid w:val="002100C2"/>
    <w:rsid w:val="0021086F"/>
    <w:rsid w:val="0021145B"/>
    <w:rsid w:val="002144F3"/>
    <w:rsid w:val="00215138"/>
    <w:rsid w:val="002162FE"/>
    <w:rsid w:val="00220C23"/>
    <w:rsid w:val="00222666"/>
    <w:rsid w:val="0022376E"/>
    <w:rsid w:val="002238F3"/>
    <w:rsid w:val="002247F6"/>
    <w:rsid w:val="00225E21"/>
    <w:rsid w:val="00225E44"/>
    <w:rsid w:val="00225ED7"/>
    <w:rsid w:val="0022753E"/>
    <w:rsid w:val="00231155"/>
    <w:rsid w:val="00232FD5"/>
    <w:rsid w:val="00234E78"/>
    <w:rsid w:val="00235663"/>
    <w:rsid w:val="002374E5"/>
    <w:rsid w:val="00237907"/>
    <w:rsid w:val="00240B7E"/>
    <w:rsid w:val="00240CF4"/>
    <w:rsid w:val="00243D36"/>
    <w:rsid w:val="002458BA"/>
    <w:rsid w:val="00245FD3"/>
    <w:rsid w:val="00246151"/>
    <w:rsid w:val="00246AC3"/>
    <w:rsid w:val="00246CA8"/>
    <w:rsid w:val="0024725F"/>
    <w:rsid w:val="00247443"/>
    <w:rsid w:val="00247707"/>
    <w:rsid w:val="00250E33"/>
    <w:rsid w:val="00252456"/>
    <w:rsid w:val="00252569"/>
    <w:rsid w:val="00255BCA"/>
    <w:rsid w:val="0025687A"/>
    <w:rsid w:val="00256EDA"/>
    <w:rsid w:val="0026018E"/>
    <w:rsid w:val="00260536"/>
    <w:rsid w:val="002649D0"/>
    <w:rsid w:val="002664B0"/>
    <w:rsid w:val="0026675B"/>
    <w:rsid w:val="00266A4C"/>
    <w:rsid w:val="0028120D"/>
    <w:rsid w:val="002828C3"/>
    <w:rsid w:val="00284C8D"/>
    <w:rsid w:val="002859A1"/>
    <w:rsid w:val="00286740"/>
    <w:rsid w:val="00286E0E"/>
    <w:rsid w:val="0028732C"/>
    <w:rsid w:val="002874A7"/>
    <w:rsid w:val="00287AC9"/>
    <w:rsid w:val="00290EF8"/>
    <w:rsid w:val="002912FD"/>
    <w:rsid w:val="00291719"/>
    <w:rsid w:val="00291EAE"/>
    <w:rsid w:val="00291EEC"/>
    <w:rsid w:val="002929D8"/>
    <w:rsid w:val="002964D0"/>
    <w:rsid w:val="00296E2A"/>
    <w:rsid w:val="00296F2D"/>
    <w:rsid w:val="002A03AC"/>
    <w:rsid w:val="002A0E14"/>
    <w:rsid w:val="002A1E35"/>
    <w:rsid w:val="002A237D"/>
    <w:rsid w:val="002A382B"/>
    <w:rsid w:val="002A4C53"/>
    <w:rsid w:val="002A66DE"/>
    <w:rsid w:val="002A6CFE"/>
    <w:rsid w:val="002A77B9"/>
    <w:rsid w:val="002A787F"/>
    <w:rsid w:val="002B003D"/>
    <w:rsid w:val="002B0672"/>
    <w:rsid w:val="002B0D62"/>
    <w:rsid w:val="002B247F"/>
    <w:rsid w:val="002B2A71"/>
    <w:rsid w:val="002B50D4"/>
    <w:rsid w:val="002B58BF"/>
    <w:rsid w:val="002C0915"/>
    <w:rsid w:val="002C145D"/>
    <w:rsid w:val="002C1953"/>
    <w:rsid w:val="002C1A8F"/>
    <w:rsid w:val="002C2C3E"/>
    <w:rsid w:val="002C512F"/>
    <w:rsid w:val="002C533E"/>
    <w:rsid w:val="002D027F"/>
    <w:rsid w:val="002D3E15"/>
    <w:rsid w:val="002D4B4A"/>
    <w:rsid w:val="002D5BD5"/>
    <w:rsid w:val="002D7A85"/>
    <w:rsid w:val="002D7B60"/>
    <w:rsid w:val="002E454B"/>
    <w:rsid w:val="002F08D1"/>
    <w:rsid w:val="002F1DE0"/>
    <w:rsid w:val="002F20DA"/>
    <w:rsid w:val="002F3676"/>
    <w:rsid w:val="002F4761"/>
    <w:rsid w:val="002F5C79"/>
    <w:rsid w:val="002F5DF6"/>
    <w:rsid w:val="002F68EE"/>
    <w:rsid w:val="003019E2"/>
    <w:rsid w:val="003037AF"/>
    <w:rsid w:val="0030544F"/>
    <w:rsid w:val="00306A5E"/>
    <w:rsid w:val="00310076"/>
    <w:rsid w:val="00310BEB"/>
    <w:rsid w:val="00311C4E"/>
    <w:rsid w:val="00311F6E"/>
    <w:rsid w:val="0031393D"/>
    <w:rsid w:val="00313A67"/>
    <w:rsid w:val="0031413F"/>
    <w:rsid w:val="00314854"/>
    <w:rsid w:val="003148BB"/>
    <w:rsid w:val="00315A41"/>
    <w:rsid w:val="00317976"/>
    <w:rsid w:val="00320443"/>
    <w:rsid w:val="00320F2F"/>
    <w:rsid w:val="00322B55"/>
    <w:rsid w:val="0032457E"/>
    <w:rsid w:val="00325D38"/>
    <w:rsid w:val="00327BD8"/>
    <w:rsid w:val="00330093"/>
    <w:rsid w:val="003310E8"/>
    <w:rsid w:val="003366BE"/>
    <w:rsid w:val="00336A58"/>
    <w:rsid w:val="0034061A"/>
    <w:rsid w:val="00340BD1"/>
    <w:rsid w:val="00340E98"/>
    <w:rsid w:val="00342FFB"/>
    <w:rsid w:val="003437F3"/>
    <w:rsid w:val="00344EC7"/>
    <w:rsid w:val="0034668D"/>
    <w:rsid w:val="003467C2"/>
    <w:rsid w:val="00346E39"/>
    <w:rsid w:val="003471FB"/>
    <w:rsid w:val="00347ED6"/>
    <w:rsid w:val="00351F84"/>
    <w:rsid w:val="003523E4"/>
    <w:rsid w:val="0035277E"/>
    <w:rsid w:val="0035397C"/>
    <w:rsid w:val="00354B9D"/>
    <w:rsid w:val="00354BBF"/>
    <w:rsid w:val="00355EA9"/>
    <w:rsid w:val="003578DE"/>
    <w:rsid w:val="00357E31"/>
    <w:rsid w:val="00360DC5"/>
    <w:rsid w:val="00361688"/>
    <w:rsid w:val="003659D9"/>
    <w:rsid w:val="0036633A"/>
    <w:rsid w:val="00367C87"/>
    <w:rsid w:val="00367FD2"/>
    <w:rsid w:val="003707A9"/>
    <w:rsid w:val="00371461"/>
    <w:rsid w:val="00372454"/>
    <w:rsid w:val="003728F6"/>
    <w:rsid w:val="003740D8"/>
    <w:rsid w:val="003807CA"/>
    <w:rsid w:val="00380921"/>
    <w:rsid w:val="0038149E"/>
    <w:rsid w:val="003824D0"/>
    <w:rsid w:val="00383389"/>
    <w:rsid w:val="003855FD"/>
    <w:rsid w:val="003877D5"/>
    <w:rsid w:val="00390EDC"/>
    <w:rsid w:val="0039153B"/>
    <w:rsid w:val="00391B41"/>
    <w:rsid w:val="003929B8"/>
    <w:rsid w:val="00393432"/>
    <w:rsid w:val="00396257"/>
    <w:rsid w:val="003972D3"/>
    <w:rsid w:val="00397A76"/>
    <w:rsid w:val="00397EB8"/>
    <w:rsid w:val="003A083C"/>
    <w:rsid w:val="003A2340"/>
    <w:rsid w:val="003A4FD0"/>
    <w:rsid w:val="003A69D1"/>
    <w:rsid w:val="003A7684"/>
    <w:rsid w:val="003A7705"/>
    <w:rsid w:val="003A77F1"/>
    <w:rsid w:val="003B1545"/>
    <w:rsid w:val="003B3507"/>
    <w:rsid w:val="003B4AB5"/>
    <w:rsid w:val="003B7F7E"/>
    <w:rsid w:val="003C20FC"/>
    <w:rsid w:val="003C3039"/>
    <w:rsid w:val="003C3219"/>
    <w:rsid w:val="003C409D"/>
    <w:rsid w:val="003C4544"/>
    <w:rsid w:val="003C5583"/>
    <w:rsid w:val="003C5BA6"/>
    <w:rsid w:val="003C7153"/>
    <w:rsid w:val="003C7265"/>
    <w:rsid w:val="003C74CF"/>
    <w:rsid w:val="003D1D8B"/>
    <w:rsid w:val="003D3752"/>
    <w:rsid w:val="003D4595"/>
    <w:rsid w:val="003D57DA"/>
    <w:rsid w:val="003E09EA"/>
    <w:rsid w:val="003E35DA"/>
    <w:rsid w:val="003E455D"/>
    <w:rsid w:val="003F0E85"/>
    <w:rsid w:val="003F1639"/>
    <w:rsid w:val="003F1F4B"/>
    <w:rsid w:val="003F3A5F"/>
    <w:rsid w:val="003F4837"/>
    <w:rsid w:val="003F7736"/>
    <w:rsid w:val="004010D5"/>
    <w:rsid w:val="0040258B"/>
    <w:rsid w:val="00403B87"/>
    <w:rsid w:val="00403E46"/>
    <w:rsid w:val="00410A91"/>
    <w:rsid w:val="00410C11"/>
    <w:rsid w:val="00410C55"/>
    <w:rsid w:val="00410FBC"/>
    <w:rsid w:val="00415030"/>
    <w:rsid w:val="004158BF"/>
    <w:rsid w:val="00415B81"/>
    <w:rsid w:val="00416781"/>
    <w:rsid w:val="00416854"/>
    <w:rsid w:val="00416C75"/>
    <w:rsid w:val="00417725"/>
    <w:rsid w:val="0042266F"/>
    <w:rsid w:val="00422E9C"/>
    <w:rsid w:val="00422EF6"/>
    <w:rsid w:val="00422F41"/>
    <w:rsid w:val="00424830"/>
    <w:rsid w:val="00425248"/>
    <w:rsid w:val="00425FF6"/>
    <w:rsid w:val="004307A3"/>
    <w:rsid w:val="0043271D"/>
    <w:rsid w:val="0043327C"/>
    <w:rsid w:val="00434321"/>
    <w:rsid w:val="00435414"/>
    <w:rsid w:val="00437D9C"/>
    <w:rsid w:val="00437F26"/>
    <w:rsid w:val="00442E2C"/>
    <w:rsid w:val="00443983"/>
    <w:rsid w:val="00444097"/>
    <w:rsid w:val="00445487"/>
    <w:rsid w:val="0044597D"/>
    <w:rsid w:val="004474C7"/>
    <w:rsid w:val="00447E0D"/>
    <w:rsid w:val="00453EA8"/>
    <w:rsid w:val="00453F5E"/>
    <w:rsid w:val="00454769"/>
    <w:rsid w:val="00455366"/>
    <w:rsid w:val="00457002"/>
    <w:rsid w:val="00465BAD"/>
    <w:rsid w:val="00466991"/>
    <w:rsid w:val="0047064C"/>
    <w:rsid w:val="00476F6D"/>
    <w:rsid w:val="00480350"/>
    <w:rsid w:val="004822B7"/>
    <w:rsid w:val="00483932"/>
    <w:rsid w:val="0048577E"/>
    <w:rsid w:val="004912E0"/>
    <w:rsid w:val="004933BC"/>
    <w:rsid w:val="0049469E"/>
    <w:rsid w:val="004946C2"/>
    <w:rsid w:val="004953BD"/>
    <w:rsid w:val="0049672C"/>
    <w:rsid w:val="00497629"/>
    <w:rsid w:val="004A2217"/>
    <w:rsid w:val="004A24F9"/>
    <w:rsid w:val="004A42E1"/>
    <w:rsid w:val="004A6A92"/>
    <w:rsid w:val="004A6E2A"/>
    <w:rsid w:val="004A718B"/>
    <w:rsid w:val="004A7449"/>
    <w:rsid w:val="004B06E0"/>
    <w:rsid w:val="004B162C"/>
    <w:rsid w:val="004B271F"/>
    <w:rsid w:val="004B2ABE"/>
    <w:rsid w:val="004B3593"/>
    <w:rsid w:val="004B4413"/>
    <w:rsid w:val="004C06E6"/>
    <w:rsid w:val="004C11D0"/>
    <w:rsid w:val="004C2615"/>
    <w:rsid w:val="004C363C"/>
    <w:rsid w:val="004C3DBE"/>
    <w:rsid w:val="004C5C96"/>
    <w:rsid w:val="004C74BC"/>
    <w:rsid w:val="004D03E9"/>
    <w:rsid w:val="004D06A4"/>
    <w:rsid w:val="004D1F90"/>
    <w:rsid w:val="004D4391"/>
    <w:rsid w:val="004D56B8"/>
    <w:rsid w:val="004D74B7"/>
    <w:rsid w:val="004D7FFA"/>
    <w:rsid w:val="004E08AA"/>
    <w:rsid w:val="004E0D10"/>
    <w:rsid w:val="004E2B2B"/>
    <w:rsid w:val="004E2BDC"/>
    <w:rsid w:val="004E34BB"/>
    <w:rsid w:val="004E356E"/>
    <w:rsid w:val="004E5A49"/>
    <w:rsid w:val="004F1A81"/>
    <w:rsid w:val="004F523C"/>
    <w:rsid w:val="004F59D7"/>
    <w:rsid w:val="004F5D1B"/>
    <w:rsid w:val="004F5D88"/>
    <w:rsid w:val="00501354"/>
    <w:rsid w:val="0050319A"/>
    <w:rsid w:val="005050D2"/>
    <w:rsid w:val="005106BB"/>
    <w:rsid w:val="00510CED"/>
    <w:rsid w:val="00512879"/>
    <w:rsid w:val="00513878"/>
    <w:rsid w:val="005202A8"/>
    <w:rsid w:val="00520E59"/>
    <w:rsid w:val="005218D9"/>
    <w:rsid w:val="00525611"/>
    <w:rsid w:val="00527CCC"/>
    <w:rsid w:val="00531379"/>
    <w:rsid w:val="00533430"/>
    <w:rsid w:val="00533DF9"/>
    <w:rsid w:val="0053493B"/>
    <w:rsid w:val="00536186"/>
    <w:rsid w:val="00536D29"/>
    <w:rsid w:val="00541D39"/>
    <w:rsid w:val="00544498"/>
    <w:rsid w:val="00544CBB"/>
    <w:rsid w:val="005452A4"/>
    <w:rsid w:val="005475DF"/>
    <w:rsid w:val="0054782B"/>
    <w:rsid w:val="00550353"/>
    <w:rsid w:val="005507A8"/>
    <w:rsid w:val="00550D1F"/>
    <w:rsid w:val="00551B65"/>
    <w:rsid w:val="005534C8"/>
    <w:rsid w:val="00553B93"/>
    <w:rsid w:val="00555B1E"/>
    <w:rsid w:val="00556704"/>
    <w:rsid w:val="005573CD"/>
    <w:rsid w:val="00557831"/>
    <w:rsid w:val="005600E0"/>
    <w:rsid w:val="00560D63"/>
    <w:rsid w:val="005628DF"/>
    <w:rsid w:val="005632CA"/>
    <w:rsid w:val="005632CE"/>
    <w:rsid w:val="005656D7"/>
    <w:rsid w:val="00566AD6"/>
    <w:rsid w:val="0057315F"/>
    <w:rsid w:val="00574D3C"/>
    <w:rsid w:val="0057503F"/>
    <w:rsid w:val="00575210"/>
    <w:rsid w:val="00575A8F"/>
    <w:rsid w:val="00576104"/>
    <w:rsid w:val="00576456"/>
    <w:rsid w:val="0057651A"/>
    <w:rsid w:val="00576901"/>
    <w:rsid w:val="00581251"/>
    <w:rsid w:val="005843CA"/>
    <w:rsid w:val="005853DE"/>
    <w:rsid w:val="00586418"/>
    <w:rsid w:val="005878D0"/>
    <w:rsid w:val="0059169B"/>
    <w:rsid w:val="00591AFA"/>
    <w:rsid w:val="00592B21"/>
    <w:rsid w:val="005936B8"/>
    <w:rsid w:val="0059406D"/>
    <w:rsid w:val="005947DD"/>
    <w:rsid w:val="005A38D0"/>
    <w:rsid w:val="005A5705"/>
    <w:rsid w:val="005A6512"/>
    <w:rsid w:val="005B19CE"/>
    <w:rsid w:val="005B211B"/>
    <w:rsid w:val="005B2DF4"/>
    <w:rsid w:val="005B3433"/>
    <w:rsid w:val="005B417D"/>
    <w:rsid w:val="005B44BF"/>
    <w:rsid w:val="005B78F1"/>
    <w:rsid w:val="005C122F"/>
    <w:rsid w:val="005C5EA2"/>
    <w:rsid w:val="005C6555"/>
    <w:rsid w:val="005C67C8"/>
    <w:rsid w:val="005C6A36"/>
    <w:rsid w:val="005D0065"/>
    <w:rsid w:val="005D0249"/>
    <w:rsid w:val="005D0781"/>
    <w:rsid w:val="005D0EE8"/>
    <w:rsid w:val="005D18FA"/>
    <w:rsid w:val="005D2829"/>
    <w:rsid w:val="005D2C20"/>
    <w:rsid w:val="005D339A"/>
    <w:rsid w:val="005D4E0E"/>
    <w:rsid w:val="005D4FD4"/>
    <w:rsid w:val="005D6963"/>
    <w:rsid w:val="005D6E8C"/>
    <w:rsid w:val="005E0D7D"/>
    <w:rsid w:val="005E3004"/>
    <w:rsid w:val="005E3D8B"/>
    <w:rsid w:val="005F100C"/>
    <w:rsid w:val="005F2AF3"/>
    <w:rsid w:val="005F3321"/>
    <w:rsid w:val="005F5459"/>
    <w:rsid w:val="005F5A8C"/>
    <w:rsid w:val="005F68DA"/>
    <w:rsid w:val="005F7419"/>
    <w:rsid w:val="006008E7"/>
    <w:rsid w:val="00601426"/>
    <w:rsid w:val="00601BC9"/>
    <w:rsid w:val="00602A7B"/>
    <w:rsid w:val="00602BC4"/>
    <w:rsid w:val="00603404"/>
    <w:rsid w:val="00603854"/>
    <w:rsid w:val="00606288"/>
    <w:rsid w:val="0060773B"/>
    <w:rsid w:val="006111FE"/>
    <w:rsid w:val="00613FD6"/>
    <w:rsid w:val="006157B5"/>
    <w:rsid w:val="006169E8"/>
    <w:rsid w:val="00617224"/>
    <w:rsid w:val="00621FA7"/>
    <w:rsid w:val="0062233D"/>
    <w:rsid w:val="0062360C"/>
    <w:rsid w:val="00625839"/>
    <w:rsid w:val="00626FC6"/>
    <w:rsid w:val="00630349"/>
    <w:rsid w:val="006303B4"/>
    <w:rsid w:val="00630ADC"/>
    <w:rsid w:val="006325E9"/>
    <w:rsid w:val="00633D3D"/>
    <w:rsid w:val="00634348"/>
    <w:rsid w:val="00634A1A"/>
    <w:rsid w:val="0063575F"/>
    <w:rsid w:val="00636153"/>
    <w:rsid w:val="00641703"/>
    <w:rsid w:val="006431A6"/>
    <w:rsid w:val="00643E3A"/>
    <w:rsid w:val="0064493B"/>
    <w:rsid w:val="006459F6"/>
    <w:rsid w:val="006501AD"/>
    <w:rsid w:val="00650B62"/>
    <w:rsid w:val="00651416"/>
    <w:rsid w:val="00651BFA"/>
    <w:rsid w:val="006520C8"/>
    <w:rsid w:val="00652C9D"/>
    <w:rsid w:val="0065305F"/>
    <w:rsid w:val="00654475"/>
    <w:rsid w:val="00654A36"/>
    <w:rsid w:val="00656901"/>
    <w:rsid w:val="00656DF0"/>
    <w:rsid w:val="0066052D"/>
    <w:rsid w:val="00665A4B"/>
    <w:rsid w:val="00667E64"/>
    <w:rsid w:val="00670F76"/>
    <w:rsid w:val="00670FAE"/>
    <w:rsid w:val="006739CF"/>
    <w:rsid w:val="00674ACB"/>
    <w:rsid w:val="0067547D"/>
    <w:rsid w:val="006770C5"/>
    <w:rsid w:val="00682A50"/>
    <w:rsid w:val="0068678F"/>
    <w:rsid w:val="00691889"/>
    <w:rsid w:val="00692147"/>
    <w:rsid w:val="00692E2A"/>
    <w:rsid w:val="0069323F"/>
    <w:rsid w:val="00693E2C"/>
    <w:rsid w:val="006941E8"/>
    <w:rsid w:val="0069496A"/>
    <w:rsid w:val="00696AD0"/>
    <w:rsid w:val="00696C1C"/>
    <w:rsid w:val="00697523"/>
    <w:rsid w:val="006A0BF7"/>
    <w:rsid w:val="006A115B"/>
    <w:rsid w:val="006A139C"/>
    <w:rsid w:val="006A17B5"/>
    <w:rsid w:val="006A1A35"/>
    <w:rsid w:val="006A390E"/>
    <w:rsid w:val="006A5ABE"/>
    <w:rsid w:val="006A6A61"/>
    <w:rsid w:val="006A76F2"/>
    <w:rsid w:val="006B031C"/>
    <w:rsid w:val="006B11AA"/>
    <w:rsid w:val="006B7D29"/>
    <w:rsid w:val="006C1780"/>
    <w:rsid w:val="006C39F6"/>
    <w:rsid w:val="006C410C"/>
    <w:rsid w:val="006C4C29"/>
    <w:rsid w:val="006C501B"/>
    <w:rsid w:val="006C5046"/>
    <w:rsid w:val="006C7E8E"/>
    <w:rsid w:val="006D19D4"/>
    <w:rsid w:val="006D2402"/>
    <w:rsid w:val="006D2B12"/>
    <w:rsid w:val="006D4BCF"/>
    <w:rsid w:val="006D4E82"/>
    <w:rsid w:val="006D5644"/>
    <w:rsid w:val="006D6081"/>
    <w:rsid w:val="006D7EFB"/>
    <w:rsid w:val="006E4B01"/>
    <w:rsid w:val="006E6672"/>
    <w:rsid w:val="006E6722"/>
    <w:rsid w:val="006F07D0"/>
    <w:rsid w:val="006F1271"/>
    <w:rsid w:val="006F229A"/>
    <w:rsid w:val="006F27D2"/>
    <w:rsid w:val="006F3184"/>
    <w:rsid w:val="006F775C"/>
    <w:rsid w:val="006F7AFF"/>
    <w:rsid w:val="00701D2D"/>
    <w:rsid w:val="007027B9"/>
    <w:rsid w:val="007031C5"/>
    <w:rsid w:val="007052D5"/>
    <w:rsid w:val="007066B5"/>
    <w:rsid w:val="007119A0"/>
    <w:rsid w:val="007124CE"/>
    <w:rsid w:val="007145DA"/>
    <w:rsid w:val="00715E88"/>
    <w:rsid w:val="00716A65"/>
    <w:rsid w:val="00716D8B"/>
    <w:rsid w:val="00720F37"/>
    <w:rsid w:val="007248E3"/>
    <w:rsid w:val="00724BC4"/>
    <w:rsid w:val="007271FE"/>
    <w:rsid w:val="00727510"/>
    <w:rsid w:val="00732059"/>
    <w:rsid w:val="00732B46"/>
    <w:rsid w:val="00733583"/>
    <w:rsid w:val="00734CAA"/>
    <w:rsid w:val="007352DC"/>
    <w:rsid w:val="007353A0"/>
    <w:rsid w:val="0073628A"/>
    <w:rsid w:val="0073685E"/>
    <w:rsid w:val="007369FC"/>
    <w:rsid w:val="00737DF1"/>
    <w:rsid w:val="00740EE2"/>
    <w:rsid w:val="00742680"/>
    <w:rsid w:val="0074368A"/>
    <w:rsid w:val="00744C65"/>
    <w:rsid w:val="007460E6"/>
    <w:rsid w:val="00746C1A"/>
    <w:rsid w:val="00747966"/>
    <w:rsid w:val="007502B7"/>
    <w:rsid w:val="00752259"/>
    <w:rsid w:val="00753BAB"/>
    <w:rsid w:val="007543FF"/>
    <w:rsid w:val="0075533C"/>
    <w:rsid w:val="00755A18"/>
    <w:rsid w:val="0075727D"/>
    <w:rsid w:val="00757581"/>
    <w:rsid w:val="007602F5"/>
    <w:rsid w:val="00760D36"/>
    <w:rsid w:val="007610F0"/>
    <w:rsid w:val="007611A0"/>
    <w:rsid w:val="007615EF"/>
    <w:rsid w:val="00762454"/>
    <w:rsid w:val="00762ADE"/>
    <w:rsid w:val="007646FF"/>
    <w:rsid w:val="0076712C"/>
    <w:rsid w:val="00772574"/>
    <w:rsid w:val="00773E54"/>
    <w:rsid w:val="00774596"/>
    <w:rsid w:val="00775B01"/>
    <w:rsid w:val="00776C40"/>
    <w:rsid w:val="00781C83"/>
    <w:rsid w:val="00782BC9"/>
    <w:rsid w:val="00782EC5"/>
    <w:rsid w:val="00784207"/>
    <w:rsid w:val="0078657F"/>
    <w:rsid w:val="00786B7A"/>
    <w:rsid w:val="00786FF0"/>
    <w:rsid w:val="00787147"/>
    <w:rsid w:val="00787289"/>
    <w:rsid w:val="00787688"/>
    <w:rsid w:val="00791644"/>
    <w:rsid w:val="007921FA"/>
    <w:rsid w:val="00792361"/>
    <w:rsid w:val="00792429"/>
    <w:rsid w:val="00792E9A"/>
    <w:rsid w:val="007935E6"/>
    <w:rsid w:val="0079429E"/>
    <w:rsid w:val="007959C2"/>
    <w:rsid w:val="0079677F"/>
    <w:rsid w:val="00796D3F"/>
    <w:rsid w:val="00796FAE"/>
    <w:rsid w:val="00797ED5"/>
    <w:rsid w:val="007A03B4"/>
    <w:rsid w:val="007A160C"/>
    <w:rsid w:val="007A1683"/>
    <w:rsid w:val="007A1ABA"/>
    <w:rsid w:val="007A45A9"/>
    <w:rsid w:val="007A5C12"/>
    <w:rsid w:val="007A66FB"/>
    <w:rsid w:val="007A67FF"/>
    <w:rsid w:val="007A6B7D"/>
    <w:rsid w:val="007A73F7"/>
    <w:rsid w:val="007A7CB0"/>
    <w:rsid w:val="007B0BF1"/>
    <w:rsid w:val="007B1658"/>
    <w:rsid w:val="007B3288"/>
    <w:rsid w:val="007B68A3"/>
    <w:rsid w:val="007B7C5C"/>
    <w:rsid w:val="007C1E81"/>
    <w:rsid w:val="007C2541"/>
    <w:rsid w:val="007C4E20"/>
    <w:rsid w:val="007C6054"/>
    <w:rsid w:val="007C7243"/>
    <w:rsid w:val="007C76EC"/>
    <w:rsid w:val="007C79EF"/>
    <w:rsid w:val="007C7FC9"/>
    <w:rsid w:val="007D0F27"/>
    <w:rsid w:val="007D66A8"/>
    <w:rsid w:val="007D7F29"/>
    <w:rsid w:val="007E003F"/>
    <w:rsid w:val="007E18DC"/>
    <w:rsid w:val="007E2DF9"/>
    <w:rsid w:val="007E384A"/>
    <w:rsid w:val="007E526D"/>
    <w:rsid w:val="007E6016"/>
    <w:rsid w:val="007E7127"/>
    <w:rsid w:val="007F0CF8"/>
    <w:rsid w:val="007F49F8"/>
    <w:rsid w:val="007F57A7"/>
    <w:rsid w:val="007F5E1B"/>
    <w:rsid w:val="007F62CB"/>
    <w:rsid w:val="00801BB3"/>
    <w:rsid w:val="0080281B"/>
    <w:rsid w:val="008033E9"/>
    <w:rsid w:val="00803579"/>
    <w:rsid w:val="00805226"/>
    <w:rsid w:val="00810A70"/>
    <w:rsid w:val="008125FA"/>
    <w:rsid w:val="00812AFB"/>
    <w:rsid w:val="0081398E"/>
    <w:rsid w:val="008142EC"/>
    <w:rsid w:val="00814983"/>
    <w:rsid w:val="00814DD8"/>
    <w:rsid w:val="008164AD"/>
    <w:rsid w:val="008164F2"/>
    <w:rsid w:val="00821395"/>
    <w:rsid w:val="00821EA3"/>
    <w:rsid w:val="00823402"/>
    <w:rsid w:val="0082498C"/>
    <w:rsid w:val="008309D3"/>
    <w:rsid w:val="00830E26"/>
    <w:rsid w:val="00834368"/>
    <w:rsid w:val="0083441A"/>
    <w:rsid w:val="00835DB4"/>
    <w:rsid w:val="00837F5F"/>
    <w:rsid w:val="00840F59"/>
    <w:rsid w:val="00842A69"/>
    <w:rsid w:val="00843541"/>
    <w:rsid w:val="00843576"/>
    <w:rsid w:val="00843B64"/>
    <w:rsid w:val="008443E7"/>
    <w:rsid w:val="00845261"/>
    <w:rsid w:val="008478FC"/>
    <w:rsid w:val="00851034"/>
    <w:rsid w:val="00851981"/>
    <w:rsid w:val="00851C51"/>
    <w:rsid w:val="008538F7"/>
    <w:rsid w:val="00855325"/>
    <w:rsid w:val="00855F37"/>
    <w:rsid w:val="00857E1B"/>
    <w:rsid w:val="00861CFA"/>
    <w:rsid w:val="00862FE9"/>
    <w:rsid w:val="00865B1C"/>
    <w:rsid w:val="00866240"/>
    <w:rsid w:val="008664AF"/>
    <w:rsid w:val="00866DB6"/>
    <w:rsid w:val="00867BFF"/>
    <w:rsid w:val="00871542"/>
    <w:rsid w:val="00872BF6"/>
    <w:rsid w:val="00880C7B"/>
    <w:rsid w:val="0088109F"/>
    <w:rsid w:val="00881854"/>
    <w:rsid w:val="0088480A"/>
    <w:rsid w:val="00885718"/>
    <w:rsid w:val="0088757A"/>
    <w:rsid w:val="008911BE"/>
    <w:rsid w:val="0089431B"/>
    <w:rsid w:val="00895668"/>
    <w:rsid w:val="008957DD"/>
    <w:rsid w:val="008964D8"/>
    <w:rsid w:val="00896C61"/>
    <w:rsid w:val="00897D98"/>
    <w:rsid w:val="008A1CEE"/>
    <w:rsid w:val="008A326C"/>
    <w:rsid w:val="008A3F8F"/>
    <w:rsid w:val="008A5662"/>
    <w:rsid w:val="008A6DF2"/>
    <w:rsid w:val="008A7807"/>
    <w:rsid w:val="008B218B"/>
    <w:rsid w:val="008B2725"/>
    <w:rsid w:val="008B3237"/>
    <w:rsid w:val="008B4CC9"/>
    <w:rsid w:val="008B5371"/>
    <w:rsid w:val="008B5666"/>
    <w:rsid w:val="008B6B8C"/>
    <w:rsid w:val="008B6C91"/>
    <w:rsid w:val="008C0B15"/>
    <w:rsid w:val="008C11A4"/>
    <w:rsid w:val="008C3B46"/>
    <w:rsid w:val="008D2969"/>
    <w:rsid w:val="008D2BC2"/>
    <w:rsid w:val="008D4DA0"/>
    <w:rsid w:val="008D65BD"/>
    <w:rsid w:val="008D6805"/>
    <w:rsid w:val="008D6BB5"/>
    <w:rsid w:val="008D75E4"/>
    <w:rsid w:val="008D7C99"/>
    <w:rsid w:val="008E0FCB"/>
    <w:rsid w:val="008E2D1A"/>
    <w:rsid w:val="008E788F"/>
    <w:rsid w:val="008F2CAC"/>
    <w:rsid w:val="008F3F1E"/>
    <w:rsid w:val="008F514E"/>
    <w:rsid w:val="008F6DFE"/>
    <w:rsid w:val="008F7B8F"/>
    <w:rsid w:val="00903417"/>
    <w:rsid w:val="0090529F"/>
    <w:rsid w:val="00905593"/>
    <w:rsid w:val="00906661"/>
    <w:rsid w:val="00907C07"/>
    <w:rsid w:val="009109B0"/>
    <w:rsid w:val="0091268C"/>
    <w:rsid w:val="00914126"/>
    <w:rsid w:val="009157FA"/>
    <w:rsid w:val="00916926"/>
    <w:rsid w:val="0092178C"/>
    <w:rsid w:val="00925BB8"/>
    <w:rsid w:val="009266CE"/>
    <w:rsid w:val="00927489"/>
    <w:rsid w:val="00927C73"/>
    <w:rsid w:val="00930018"/>
    <w:rsid w:val="00930B88"/>
    <w:rsid w:val="00933EF9"/>
    <w:rsid w:val="00935376"/>
    <w:rsid w:val="00935F16"/>
    <w:rsid w:val="009363B7"/>
    <w:rsid w:val="009364FE"/>
    <w:rsid w:val="00936E32"/>
    <w:rsid w:val="00940DCC"/>
    <w:rsid w:val="0094159B"/>
    <w:rsid w:val="0094179A"/>
    <w:rsid w:val="00941E96"/>
    <w:rsid w:val="00944493"/>
    <w:rsid w:val="0094459E"/>
    <w:rsid w:val="00944DBC"/>
    <w:rsid w:val="00950977"/>
    <w:rsid w:val="00951A7B"/>
    <w:rsid w:val="009523B4"/>
    <w:rsid w:val="00952C6F"/>
    <w:rsid w:val="00953E1C"/>
    <w:rsid w:val="00955512"/>
    <w:rsid w:val="00956353"/>
    <w:rsid w:val="009564A6"/>
    <w:rsid w:val="00957EF8"/>
    <w:rsid w:val="00960AA5"/>
    <w:rsid w:val="009615DE"/>
    <w:rsid w:val="00961A4B"/>
    <w:rsid w:val="009620E3"/>
    <w:rsid w:val="009649F6"/>
    <w:rsid w:val="00965FE5"/>
    <w:rsid w:val="00966A53"/>
    <w:rsid w:val="00967621"/>
    <w:rsid w:val="00967E6A"/>
    <w:rsid w:val="0097084C"/>
    <w:rsid w:val="0097509D"/>
    <w:rsid w:val="0098011B"/>
    <w:rsid w:val="0098022A"/>
    <w:rsid w:val="00980873"/>
    <w:rsid w:val="00981193"/>
    <w:rsid w:val="0098280D"/>
    <w:rsid w:val="009903C1"/>
    <w:rsid w:val="009907B9"/>
    <w:rsid w:val="00990918"/>
    <w:rsid w:val="00990C53"/>
    <w:rsid w:val="009915BA"/>
    <w:rsid w:val="00994E5B"/>
    <w:rsid w:val="00996EAE"/>
    <w:rsid w:val="009A098B"/>
    <w:rsid w:val="009A21C5"/>
    <w:rsid w:val="009A3A83"/>
    <w:rsid w:val="009A47C6"/>
    <w:rsid w:val="009A5129"/>
    <w:rsid w:val="009B046A"/>
    <w:rsid w:val="009B0C57"/>
    <w:rsid w:val="009B0D9D"/>
    <w:rsid w:val="009B28BE"/>
    <w:rsid w:val="009B361B"/>
    <w:rsid w:val="009B4A0F"/>
    <w:rsid w:val="009B6459"/>
    <w:rsid w:val="009C094D"/>
    <w:rsid w:val="009C11D2"/>
    <w:rsid w:val="009C19E6"/>
    <w:rsid w:val="009C3F6D"/>
    <w:rsid w:val="009C4066"/>
    <w:rsid w:val="009C6788"/>
    <w:rsid w:val="009C6C4F"/>
    <w:rsid w:val="009C6C70"/>
    <w:rsid w:val="009C7B0A"/>
    <w:rsid w:val="009D0134"/>
    <w:rsid w:val="009D0B63"/>
    <w:rsid w:val="009D1608"/>
    <w:rsid w:val="009D2D1C"/>
    <w:rsid w:val="009D5520"/>
    <w:rsid w:val="009D5A40"/>
    <w:rsid w:val="009D5CB8"/>
    <w:rsid w:val="009E0E70"/>
    <w:rsid w:val="009E2745"/>
    <w:rsid w:val="009E307E"/>
    <w:rsid w:val="009E3533"/>
    <w:rsid w:val="009E3A2C"/>
    <w:rsid w:val="009E3FF0"/>
    <w:rsid w:val="009E5B3A"/>
    <w:rsid w:val="009F2A5C"/>
    <w:rsid w:val="009F41B5"/>
    <w:rsid w:val="009F4848"/>
    <w:rsid w:val="009F6774"/>
    <w:rsid w:val="009F7A7C"/>
    <w:rsid w:val="00A03FD1"/>
    <w:rsid w:val="00A06335"/>
    <w:rsid w:val="00A06B25"/>
    <w:rsid w:val="00A06D08"/>
    <w:rsid w:val="00A07870"/>
    <w:rsid w:val="00A07C54"/>
    <w:rsid w:val="00A07F19"/>
    <w:rsid w:val="00A1006F"/>
    <w:rsid w:val="00A10BEF"/>
    <w:rsid w:val="00A124BB"/>
    <w:rsid w:val="00A1348D"/>
    <w:rsid w:val="00A13C99"/>
    <w:rsid w:val="00A15DCF"/>
    <w:rsid w:val="00A179D2"/>
    <w:rsid w:val="00A17D1A"/>
    <w:rsid w:val="00A232EE"/>
    <w:rsid w:val="00A23A26"/>
    <w:rsid w:val="00A254C6"/>
    <w:rsid w:val="00A25CEA"/>
    <w:rsid w:val="00A25F18"/>
    <w:rsid w:val="00A30A78"/>
    <w:rsid w:val="00A36031"/>
    <w:rsid w:val="00A36A08"/>
    <w:rsid w:val="00A40094"/>
    <w:rsid w:val="00A4175F"/>
    <w:rsid w:val="00A44411"/>
    <w:rsid w:val="00A44BB3"/>
    <w:rsid w:val="00A45AB8"/>
    <w:rsid w:val="00A463A9"/>
    <w:rsid w:val="00A469FA"/>
    <w:rsid w:val="00A47A6E"/>
    <w:rsid w:val="00A51B3C"/>
    <w:rsid w:val="00A522F4"/>
    <w:rsid w:val="00A53662"/>
    <w:rsid w:val="00A55B01"/>
    <w:rsid w:val="00A56B5B"/>
    <w:rsid w:val="00A56EF0"/>
    <w:rsid w:val="00A603FF"/>
    <w:rsid w:val="00A60A37"/>
    <w:rsid w:val="00A619B6"/>
    <w:rsid w:val="00A61D06"/>
    <w:rsid w:val="00A6261B"/>
    <w:rsid w:val="00A63B2A"/>
    <w:rsid w:val="00A648CA"/>
    <w:rsid w:val="00A657DD"/>
    <w:rsid w:val="00A666A6"/>
    <w:rsid w:val="00A675FD"/>
    <w:rsid w:val="00A72437"/>
    <w:rsid w:val="00A72F49"/>
    <w:rsid w:val="00A7423E"/>
    <w:rsid w:val="00A8048B"/>
    <w:rsid w:val="00A80611"/>
    <w:rsid w:val="00A80AC4"/>
    <w:rsid w:val="00A84F6A"/>
    <w:rsid w:val="00A85139"/>
    <w:rsid w:val="00A851FB"/>
    <w:rsid w:val="00A85786"/>
    <w:rsid w:val="00A90769"/>
    <w:rsid w:val="00A910A3"/>
    <w:rsid w:val="00A91DD5"/>
    <w:rsid w:val="00A92497"/>
    <w:rsid w:val="00A94138"/>
    <w:rsid w:val="00A96F1E"/>
    <w:rsid w:val="00A976A2"/>
    <w:rsid w:val="00AA0237"/>
    <w:rsid w:val="00AA183C"/>
    <w:rsid w:val="00AA2FDD"/>
    <w:rsid w:val="00AA3587"/>
    <w:rsid w:val="00AA5BF4"/>
    <w:rsid w:val="00AA63F8"/>
    <w:rsid w:val="00AA6982"/>
    <w:rsid w:val="00AB0C47"/>
    <w:rsid w:val="00AB2AD3"/>
    <w:rsid w:val="00AB342C"/>
    <w:rsid w:val="00AB5340"/>
    <w:rsid w:val="00AB602F"/>
    <w:rsid w:val="00AC0075"/>
    <w:rsid w:val="00AC0A89"/>
    <w:rsid w:val="00AC22B0"/>
    <w:rsid w:val="00AC5825"/>
    <w:rsid w:val="00AC5C65"/>
    <w:rsid w:val="00AC6760"/>
    <w:rsid w:val="00AC7C96"/>
    <w:rsid w:val="00AD3593"/>
    <w:rsid w:val="00AD5E7E"/>
    <w:rsid w:val="00AD674A"/>
    <w:rsid w:val="00AE0812"/>
    <w:rsid w:val="00AE119F"/>
    <w:rsid w:val="00AE237D"/>
    <w:rsid w:val="00AE2825"/>
    <w:rsid w:val="00AE3F3F"/>
    <w:rsid w:val="00AE4D0D"/>
    <w:rsid w:val="00AE502A"/>
    <w:rsid w:val="00AE66AC"/>
    <w:rsid w:val="00AF0010"/>
    <w:rsid w:val="00AF0B54"/>
    <w:rsid w:val="00AF1AA8"/>
    <w:rsid w:val="00AF2765"/>
    <w:rsid w:val="00AF2C1F"/>
    <w:rsid w:val="00AF3531"/>
    <w:rsid w:val="00AF621C"/>
    <w:rsid w:val="00AF7C07"/>
    <w:rsid w:val="00B000CD"/>
    <w:rsid w:val="00B009CE"/>
    <w:rsid w:val="00B06C64"/>
    <w:rsid w:val="00B07D8E"/>
    <w:rsid w:val="00B11CAC"/>
    <w:rsid w:val="00B11D7C"/>
    <w:rsid w:val="00B15A29"/>
    <w:rsid w:val="00B16A06"/>
    <w:rsid w:val="00B21962"/>
    <w:rsid w:val="00B22C93"/>
    <w:rsid w:val="00B24493"/>
    <w:rsid w:val="00B246AC"/>
    <w:rsid w:val="00B24B12"/>
    <w:rsid w:val="00B25234"/>
    <w:rsid w:val="00B2620F"/>
    <w:rsid w:val="00B27589"/>
    <w:rsid w:val="00B31A01"/>
    <w:rsid w:val="00B31B94"/>
    <w:rsid w:val="00B31D93"/>
    <w:rsid w:val="00B32D77"/>
    <w:rsid w:val="00B34580"/>
    <w:rsid w:val="00B37A64"/>
    <w:rsid w:val="00B405B7"/>
    <w:rsid w:val="00B4468F"/>
    <w:rsid w:val="00B44F3B"/>
    <w:rsid w:val="00B46019"/>
    <w:rsid w:val="00B468C0"/>
    <w:rsid w:val="00B47088"/>
    <w:rsid w:val="00B477EF"/>
    <w:rsid w:val="00B50213"/>
    <w:rsid w:val="00B50FE9"/>
    <w:rsid w:val="00B519FC"/>
    <w:rsid w:val="00B52222"/>
    <w:rsid w:val="00B531DA"/>
    <w:rsid w:val="00B538B0"/>
    <w:rsid w:val="00B53A55"/>
    <w:rsid w:val="00B54895"/>
    <w:rsid w:val="00B54FE7"/>
    <w:rsid w:val="00B5793E"/>
    <w:rsid w:val="00B63658"/>
    <w:rsid w:val="00B647C6"/>
    <w:rsid w:val="00B648B0"/>
    <w:rsid w:val="00B655F9"/>
    <w:rsid w:val="00B66901"/>
    <w:rsid w:val="00B66F60"/>
    <w:rsid w:val="00B66FAE"/>
    <w:rsid w:val="00B71E6D"/>
    <w:rsid w:val="00B72070"/>
    <w:rsid w:val="00B7286C"/>
    <w:rsid w:val="00B73926"/>
    <w:rsid w:val="00B7705A"/>
    <w:rsid w:val="00B779E1"/>
    <w:rsid w:val="00B8017A"/>
    <w:rsid w:val="00B815C6"/>
    <w:rsid w:val="00B81E3A"/>
    <w:rsid w:val="00B85CFB"/>
    <w:rsid w:val="00B85FFA"/>
    <w:rsid w:val="00B914E9"/>
    <w:rsid w:val="00B918E9"/>
    <w:rsid w:val="00B91EE1"/>
    <w:rsid w:val="00B93694"/>
    <w:rsid w:val="00B94602"/>
    <w:rsid w:val="00B95F22"/>
    <w:rsid w:val="00BA0090"/>
    <w:rsid w:val="00BA009B"/>
    <w:rsid w:val="00BA1A01"/>
    <w:rsid w:val="00BA1A67"/>
    <w:rsid w:val="00BA2224"/>
    <w:rsid w:val="00BA362E"/>
    <w:rsid w:val="00BA44D6"/>
    <w:rsid w:val="00BA6599"/>
    <w:rsid w:val="00BA6A80"/>
    <w:rsid w:val="00BB4ABB"/>
    <w:rsid w:val="00BB5157"/>
    <w:rsid w:val="00BB5DDA"/>
    <w:rsid w:val="00BB7150"/>
    <w:rsid w:val="00BB75B4"/>
    <w:rsid w:val="00BB76B2"/>
    <w:rsid w:val="00BC06B9"/>
    <w:rsid w:val="00BC1D71"/>
    <w:rsid w:val="00BC2473"/>
    <w:rsid w:val="00BC2724"/>
    <w:rsid w:val="00BC4815"/>
    <w:rsid w:val="00BC5579"/>
    <w:rsid w:val="00BC560D"/>
    <w:rsid w:val="00BC62BA"/>
    <w:rsid w:val="00BC7BB6"/>
    <w:rsid w:val="00BD15AE"/>
    <w:rsid w:val="00BD35C9"/>
    <w:rsid w:val="00BE2F31"/>
    <w:rsid w:val="00BE4163"/>
    <w:rsid w:val="00BE531E"/>
    <w:rsid w:val="00BE5B5F"/>
    <w:rsid w:val="00BE63D9"/>
    <w:rsid w:val="00BE76AA"/>
    <w:rsid w:val="00BE7993"/>
    <w:rsid w:val="00BF05B6"/>
    <w:rsid w:val="00BF216C"/>
    <w:rsid w:val="00BF386C"/>
    <w:rsid w:val="00BF452F"/>
    <w:rsid w:val="00BF4A05"/>
    <w:rsid w:val="00BF61BF"/>
    <w:rsid w:val="00BF6BDC"/>
    <w:rsid w:val="00C03196"/>
    <w:rsid w:val="00C0358F"/>
    <w:rsid w:val="00C0517D"/>
    <w:rsid w:val="00C07552"/>
    <w:rsid w:val="00C0780C"/>
    <w:rsid w:val="00C10939"/>
    <w:rsid w:val="00C1110C"/>
    <w:rsid w:val="00C11971"/>
    <w:rsid w:val="00C11D73"/>
    <w:rsid w:val="00C12DD6"/>
    <w:rsid w:val="00C146C1"/>
    <w:rsid w:val="00C16F6C"/>
    <w:rsid w:val="00C179DE"/>
    <w:rsid w:val="00C2042D"/>
    <w:rsid w:val="00C2160A"/>
    <w:rsid w:val="00C21F60"/>
    <w:rsid w:val="00C227DE"/>
    <w:rsid w:val="00C22952"/>
    <w:rsid w:val="00C24959"/>
    <w:rsid w:val="00C264D6"/>
    <w:rsid w:val="00C26BA5"/>
    <w:rsid w:val="00C26EEF"/>
    <w:rsid w:val="00C26F55"/>
    <w:rsid w:val="00C30C63"/>
    <w:rsid w:val="00C30FF3"/>
    <w:rsid w:val="00C3363B"/>
    <w:rsid w:val="00C33A20"/>
    <w:rsid w:val="00C33D0E"/>
    <w:rsid w:val="00C345C0"/>
    <w:rsid w:val="00C34D5C"/>
    <w:rsid w:val="00C35F8D"/>
    <w:rsid w:val="00C36B8B"/>
    <w:rsid w:val="00C3734A"/>
    <w:rsid w:val="00C37644"/>
    <w:rsid w:val="00C37D37"/>
    <w:rsid w:val="00C4135C"/>
    <w:rsid w:val="00C415C1"/>
    <w:rsid w:val="00C42730"/>
    <w:rsid w:val="00C42953"/>
    <w:rsid w:val="00C4299B"/>
    <w:rsid w:val="00C44AEB"/>
    <w:rsid w:val="00C47DBF"/>
    <w:rsid w:val="00C50813"/>
    <w:rsid w:val="00C549C5"/>
    <w:rsid w:val="00C552FF"/>
    <w:rsid w:val="00C55305"/>
    <w:rsid w:val="00C558DA"/>
    <w:rsid w:val="00C55AF3"/>
    <w:rsid w:val="00C564F1"/>
    <w:rsid w:val="00C56E04"/>
    <w:rsid w:val="00C61038"/>
    <w:rsid w:val="00C61A38"/>
    <w:rsid w:val="00C61BED"/>
    <w:rsid w:val="00C621CA"/>
    <w:rsid w:val="00C64F3D"/>
    <w:rsid w:val="00C67A5C"/>
    <w:rsid w:val="00C70BF6"/>
    <w:rsid w:val="00C71E2E"/>
    <w:rsid w:val="00C72692"/>
    <w:rsid w:val="00C73D7C"/>
    <w:rsid w:val="00C75229"/>
    <w:rsid w:val="00C7619F"/>
    <w:rsid w:val="00C76D94"/>
    <w:rsid w:val="00C771A9"/>
    <w:rsid w:val="00C804F5"/>
    <w:rsid w:val="00C806EA"/>
    <w:rsid w:val="00C82332"/>
    <w:rsid w:val="00C82943"/>
    <w:rsid w:val="00C82CD8"/>
    <w:rsid w:val="00C831F1"/>
    <w:rsid w:val="00C83CF1"/>
    <w:rsid w:val="00C84759"/>
    <w:rsid w:val="00C854D1"/>
    <w:rsid w:val="00C85C72"/>
    <w:rsid w:val="00C85F29"/>
    <w:rsid w:val="00C9140F"/>
    <w:rsid w:val="00C92924"/>
    <w:rsid w:val="00C92C09"/>
    <w:rsid w:val="00C93096"/>
    <w:rsid w:val="00C93D8D"/>
    <w:rsid w:val="00CA003B"/>
    <w:rsid w:val="00CA01F7"/>
    <w:rsid w:val="00CA0D3B"/>
    <w:rsid w:val="00CA1222"/>
    <w:rsid w:val="00CA37DD"/>
    <w:rsid w:val="00CA51D5"/>
    <w:rsid w:val="00CA5CA9"/>
    <w:rsid w:val="00CA6C7F"/>
    <w:rsid w:val="00CA6DF4"/>
    <w:rsid w:val="00CA7807"/>
    <w:rsid w:val="00CB007D"/>
    <w:rsid w:val="00CB2ACA"/>
    <w:rsid w:val="00CB4ACA"/>
    <w:rsid w:val="00CB60CA"/>
    <w:rsid w:val="00CC0FC7"/>
    <w:rsid w:val="00CC10A6"/>
    <w:rsid w:val="00CC3D0F"/>
    <w:rsid w:val="00CC3F05"/>
    <w:rsid w:val="00CD1260"/>
    <w:rsid w:val="00CD4256"/>
    <w:rsid w:val="00CD474D"/>
    <w:rsid w:val="00CD5EB8"/>
    <w:rsid w:val="00CD7044"/>
    <w:rsid w:val="00CE023F"/>
    <w:rsid w:val="00CE08B9"/>
    <w:rsid w:val="00CE3515"/>
    <w:rsid w:val="00CE360F"/>
    <w:rsid w:val="00CE3D4B"/>
    <w:rsid w:val="00CE524C"/>
    <w:rsid w:val="00CF141F"/>
    <w:rsid w:val="00CF1615"/>
    <w:rsid w:val="00CF1E5C"/>
    <w:rsid w:val="00CF4777"/>
    <w:rsid w:val="00CF48C7"/>
    <w:rsid w:val="00CF54F8"/>
    <w:rsid w:val="00CF65C8"/>
    <w:rsid w:val="00CF6850"/>
    <w:rsid w:val="00CF7D0F"/>
    <w:rsid w:val="00D00D3C"/>
    <w:rsid w:val="00D013F5"/>
    <w:rsid w:val="00D03A88"/>
    <w:rsid w:val="00D043F6"/>
    <w:rsid w:val="00D04531"/>
    <w:rsid w:val="00D05E3F"/>
    <w:rsid w:val="00D067BB"/>
    <w:rsid w:val="00D102BD"/>
    <w:rsid w:val="00D10CD9"/>
    <w:rsid w:val="00D11153"/>
    <w:rsid w:val="00D118F4"/>
    <w:rsid w:val="00D1352A"/>
    <w:rsid w:val="00D1638E"/>
    <w:rsid w:val="00D169AF"/>
    <w:rsid w:val="00D17814"/>
    <w:rsid w:val="00D200EF"/>
    <w:rsid w:val="00D21B7A"/>
    <w:rsid w:val="00D24A62"/>
    <w:rsid w:val="00D24BAA"/>
    <w:rsid w:val="00D25175"/>
    <w:rsid w:val="00D25249"/>
    <w:rsid w:val="00D2657D"/>
    <w:rsid w:val="00D2668A"/>
    <w:rsid w:val="00D26854"/>
    <w:rsid w:val="00D30297"/>
    <w:rsid w:val="00D31A6B"/>
    <w:rsid w:val="00D33E09"/>
    <w:rsid w:val="00D35357"/>
    <w:rsid w:val="00D35F13"/>
    <w:rsid w:val="00D36664"/>
    <w:rsid w:val="00D36C41"/>
    <w:rsid w:val="00D43884"/>
    <w:rsid w:val="00D44172"/>
    <w:rsid w:val="00D451CC"/>
    <w:rsid w:val="00D4533D"/>
    <w:rsid w:val="00D47BE3"/>
    <w:rsid w:val="00D50150"/>
    <w:rsid w:val="00D50EE6"/>
    <w:rsid w:val="00D54122"/>
    <w:rsid w:val="00D546A1"/>
    <w:rsid w:val="00D5607B"/>
    <w:rsid w:val="00D60979"/>
    <w:rsid w:val="00D613A4"/>
    <w:rsid w:val="00D621FA"/>
    <w:rsid w:val="00D62C15"/>
    <w:rsid w:val="00D63B8C"/>
    <w:rsid w:val="00D63C6F"/>
    <w:rsid w:val="00D63E05"/>
    <w:rsid w:val="00D645E2"/>
    <w:rsid w:val="00D66FF0"/>
    <w:rsid w:val="00D739CC"/>
    <w:rsid w:val="00D77006"/>
    <w:rsid w:val="00D806F9"/>
    <w:rsid w:val="00D8093D"/>
    <w:rsid w:val="00D8108C"/>
    <w:rsid w:val="00D81189"/>
    <w:rsid w:val="00D8404C"/>
    <w:rsid w:val="00D842AE"/>
    <w:rsid w:val="00D84995"/>
    <w:rsid w:val="00D85EA3"/>
    <w:rsid w:val="00D85F43"/>
    <w:rsid w:val="00D85F65"/>
    <w:rsid w:val="00D87C75"/>
    <w:rsid w:val="00D91DD5"/>
    <w:rsid w:val="00D9211C"/>
    <w:rsid w:val="00D92DE0"/>
    <w:rsid w:val="00D92FEF"/>
    <w:rsid w:val="00D931F9"/>
    <w:rsid w:val="00D93A0F"/>
    <w:rsid w:val="00D97922"/>
    <w:rsid w:val="00DA1BCA"/>
    <w:rsid w:val="00DA2B72"/>
    <w:rsid w:val="00DA3663"/>
    <w:rsid w:val="00DA3F86"/>
    <w:rsid w:val="00DA4D7E"/>
    <w:rsid w:val="00DA531B"/>
    <w:rsid w:val="00DA6519"/>
    <w:rsid w:val="00DA78EB"/>
    <w:rsid w:val="00DB53F5"/>
    <w:rsid w:val="00DB5A4A"/>
    <w:rsid w:val="00DB62E8"/>
    <w:rsid w:val="00DC1792"/>
    <w:rsid w:val="00DC274A"/>
    <w:rsid w:val="00DC3214"/>
    <w:rsid w:val="00DC46FF"/>
    <w:rsid w:val="00DC5254"/>
    <w:rsid w:val="00DC569D"/>
    <w:rsid w:val="00DC574A"/>
    <w:rsid w:val="00DC5F89"/>
    <w:rsid w:val="00DC6C56"/>
    <w:rsid w:val="00DC7191"/>
    <w:rsid w:val="00DD1A4F"/>
    <w:rsid w:val="00DD27FF"/>
    <w:rsid w:val="00DD2F83"/>
    <w:rsid w:val="00DD3107"/>
    <w:rsid w:val="00DD4156"/>
    <w:rsid w:val="00DD5D15"/>
    <w:rsid w:val="00DD7C2C"/>
    <w:rsid w:val="00DE07FA"/>
    <w:rsid w:val="00DE2B03"/>
    <w:rsid w:val="00DE5BDA"/>
    <w:rsid w:val="00DE6ADF"/>
    <w:rsid w:val="00DF433C"/>
    <w:rsid w:val="00DF519F"/>
    <w:rsid w:val="00DF71A6"/>
    <w:rsid w:val="00DF7C49"/>
    <w:rsid w:val="00E0035A"/>
    <w:rsid w:val="00E01065"/>
    <w:rsid w:val="00E023A7"/>
    <w:rsid w:val="00E02898"/>
    <w:rsid w:val="00E039B8"/>
    <w:rsid w:val="00E03E8E"/>
    <w:rsid w:val="00E06797"/>
    <w:rsid w:val="00E068AE"/>
    <w:rsid w:val="00E06B10"/>
    <w:rsid w:val="00E100E6"/>
    <w:rsid w:val="00E10627"/>
    <w:rsid w:val="00E11943"/>
    <w:rsid w:val="00E11D31"/>
    <w:rsid w:val="00E1265B"/>
    <w:rsid w:val="00E12E09"/>
    <w:rsid w:val="00E13B48"/>
    <w:rsid w:val="00E13FFD"/>
    <w:rsid w:val="00E1404F"/>
    <w:rsid w:val="00E157BA"/>
    <w:rsid w:val="00E16774"/>
    <w:rsid w:val="00E21C83"/>
    <w:rsid w:val="00E23644"/>
    <w:rsid w:val="00E249F0"/>
    <w:rsid w:val="00E24ADA"/>
    <w:rsid w:val="00E2508D"/>
    <w:rsid w:val="00E27471"/>
    <w:rsid w:val="00E31300"/>
    <w:rsid w:val="00E32F59"/>
    <w:rsid w:val="00E33E79"/>
    <w:rsid w:val="00E33FA7"/>
    <w:rsid w:val="00E3777B"/>
    <w:rsid w:val="00E37BA7"/>
    <w:rsid w:val="00E40819"/>
    <w:rsid w:val="00E41908"/>
    <w:rsid w:val="00E456A2"/>
    <w:rsid w:val="00E46D9A"/>
    <w:rsid w:val="00E47715"/>
    <w:rsid w:val="00E478A4"/>
    <w:rsid w:val="00E521A0"/>
    <w:rsid w:val="00E54866"/>
    <w:rsid w:val="00E565FF"/>
    <w:rsid w:val="00E57DE5"/>
    <w:rsid w:val="00E63D4C"/>
    <w:rsid w:val="00E6489E"/>
    <w:rsid w:val="00E65388"/>
    <w:rsid w:val="00E7093E"/>
    <w:rsid w:val="00E70A52"/>
    <w:rsid w:val="00E71861"/>
    <w:rsid w:val="00E71B6F"/>
    <w:rsid w:val="00E72401"/>
    <w:rsid w:val="00E76DB6"/>
    <w:rsid w:val="00E7741D"/>
    <w:rsid w:val="00E7762C"/>
    <w:rsid w:val="00E808CD"/>
    <w:rsid w:val="00E829B2"/>
    <w:rsid w:val="00E8348F"/>
    <w:rsid w:val="00E8560B"/>
    <w:rsid w:val="00E85B7D"/>
    <w:rsid w:val="00E85FE7"/>
    <w:rsid w:val="00E9121B"/>
    <w:rsid w:val="00E91BF0"/>
    <w:rsid w:val="00E91E99"/>
    <w:rsid w:val="00E921DE"/>
    <w:rsid w:val="00E926E0"/>
    <w:rsid w:val="00E9302E"/>
    <w:rsid w:val="00E9606A"/>
    <w:rsid w:val="00E9624D"/>
    <w:rsid w:val="00E976AB"/>
    <w:rsid w:val="00EA0AE2"/>
    <w:rsid w:val="00EA2C2E"/>
    <w:rsid w:val="00EA39E5"/>
    <w:rsid w:val="00EA57A3"/>
    <w:rsid w:val="00EA62B6"/>
    <w:rsid w:val="00EA644A"/>
    <w:rsid w:val="00EC2813"/>
    <w:rsid w:val="00EC3EEC"/>
    <w:rsid w:val="00EC3F22"/>
    <w:rsid w:val="00EC5A46"/>
    <w:rsid w:val="00EC63E2"/>
    <w:rsid w:val="00ED0225"/>
    <w:rsid w:val="00ED105E"/>
    <w:rsid w:val="00ED14B9"/>
    <w:rsid w:val="00ED1FB1"/>
    <w:rsid w:val="00ED2BBF"/>
    <w:rsid w:val="00ED366A"/>
    <w:rsid w:val="00ED6BB7"/>
    <w:rsid w:val="00EE01BE"/>
    <w:rsid w:val="00EE255A"/>
    <w:rsid w:val="00EF012F"/>
    <w:rsid w:val="00EF19BB"/>
    <w:rsid w:val="00EF22B3"/>
    <w:rsid w:val="00EF2B21"/>
    <w:rsid w:val="00EF4668"/>
    <w:rsid w:val="00EF5203"/>
    <w:rsid w:val="00EF6F6E"/>
    <w:rsid w:val="00F00C0F"/>
    <w:rsid w:val="00F02A1A"/>
    <w:rsid w:val="00F03B69"/>
    <w:rsid w:val="00F06867"/>
    <w:rsid w:val="00F070D2"/>
    <w:rsid w:val="00F07A50"/>
    <w:rsid w:val="00F107AA"/>
    <w:rsid w:val="00F113DA"/>
    <w:rsid w:val="00F151D0"/>
    <w:rsid w:val="00F15578"/>
    <w:rsid w:val="00F202BA"/>
    <w:rsid w:val="00F20C83"/>
    <w:rsid w:val="00F23B21"/>
    <w:rsid w:val="00F24288"/>
    <w:rsid w:val="00F266FC"/>
    <w:rsid w:val="00F26D21"/>
    <w:rsid w:val="00F2708D"/>
    <w:rsid w:val="00F279A3"/>
    <w:rsid w:val="00F3037A"/>
    <w:rsid w:val="00F3043C"/>
    <w:rsid w:val="00F33F50"/>
    <w:rsid w:val="00F3465A"/>
    <w:rsid w:val="00F34B53"/>
    <w:rsid w:val="00F35CFC"/>
    <w:rsid w:val="00F37DC8"/>
    <w:rsid w:val="00F4137F"/>
    <w:rsid w:val="00F421F5"/>
    <w:rsid w:val="00F42492"/>
    <w:rsid w:val="00F439B3"/>
    <w:rsid w:val="00F45B30"/>
    <w:rsid w:val="00F5275D"/>
    <w:rsid w:val="00F650C3"/>
    <w:rsid w:val="00F65414"/>
    <w:rsid w:val="00F65D47"/>
    <w:rsid w:val="00F65D85"/>
    <w:rsid w:val="00F6700B"/>
    <w:rsid w:val="00F6734C"/>
    <w:rsid w:val="00F6774D"/>
    <w:rsid w:val="00F7137B"/>
    <w:rsid w:val="00F716D4"/>
    <w:rsid w:val="00F71976"/>
    <w:rsid w:val="00F7267C"/>
    <w:rsid w:val="00F727F9"/>
    <w:rsid w:val="00F7445B"/>
    <w:rsid w:val="00F74B22"/>
    <w:rsid w:val="00F75F16"/>
    <w:rsid w:val="00F8091E"/>
    <w:rsid w:val="00F80EBB"/>
    <w:rsid w:val="00F8562F"/>
    <w:rsid w:val="00F85FE5"/>
    <w:rsid w:val="00F8615C"/>
    <w:rsid w:val="00F873A1"/>
    <w:rsid w:val="00F92E5D"/>
    <w:rsid w:val="00F9410B"/>
    <w:rsid w:val="00F94A05"/>
    <w:rsid w:val="00F969E5"/>
    <w:rsid w:val="00F971CE"/>
    <w:rsid w:val="00FA2625"/>
    <w:rsid w:val="00FA34A5"/>
    <w:rsid w:val="00FA4972"/>
    <w:rsid w:val="00FA4DF6"/>
    <w:rsid w:val="00FA6BB0"/>
    <w:rsid w:val="00FA7940"/>
    <w:rsid w:val="00FA7B90"/>
    <w:rsid w:val="00FA7C72"/>
    <w:rsid w:val="00FB0548"/>
    <w:rsid w:val="00FB13D8"/>
    <w:rsid w:val="00FB194B"/>
    <w:rsid w:val="00FB2DBD"/>
    <w:rsid w:val="00FB70F6"/>
    <w:rsid w:val="00FC1076"/>
    <w:rsid w:val="00FC1703"/>
    <w:rsid w:val="00FC1A07"/>
    <w:rsid w:val="00FC3631"/>
    <w:rsid w:val="00FD0189"/>
    <w:rsid w:val="00FD48DF"/>
    <w:rsid w:val="00FD5100"/>
    <w:rsid w:val="00FD5860"/>
    <w:rsid w:val="00FD7D3A"/>
    <w:rsid w:val="00FE00E6"/>
    <w:rsid w:val="00FE081E"/>
    <w:rsid w:val="00FE0A0B"/>
    <w:rsid w:val="00FE0C08"/>
    <w:rsid w:val="00FE352D"/>
    <w:rsid w:val="00FE40EB"/>
    <w:rsid w:val="00FE44D8"/>
    <w:rsid w:val="00FE4D02"/>
    <w:rsid w:val="00FE534A"/>
    <w:rsid w:val="00FE7D62"/>
    <w:rsid w:val="00FE7F74"/>
    <w:rsid w:val="00FF0DA0"/>
    <w:rsid w:val="00FF1F95"/>
    <w:rsid w:val="00FF3819"/>
    <w:rsid w:val="00FF607D"/>
    <w:rsid w:val="00FF6A70"/>
    <w:rsid w:val="00FF7E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3863A1C0"/>
  <w15:docId w15:val="{6CE15CFA-5152-41BE-B7B9-AE2D93A1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9"/>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8"/>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NormalnumberChar">
    <w:name w:val="Normal_number Char"/>
    <w:link w:val="Normalnumber"/>
    <w:locked/>
    <w:rsid w:val="001C70A9"/>
    <w:rPr>
      <w:lang w:eastAsia="en-US"/>
    </w:rPr>
  </w:style>
  <w:style w:type="character" w:customStyle="1" w:styleId="CH2Char">
    <w:name w:val="CH2 Char"/>
    <w:link w:val="CH2"/>
    <w:rsid w:val="001C70A9"/>
    <w:rPr>
      <w:b/>
      <w:sz w:val="24"/>
      <w:szCs w:val="24"/>
      <w:lang w:eastAsia="en-US"/>
    </w:rPr>
  </w:style>
  <w:style w:type="character" w:customStyle="1" w:styleId="Normal-poolChar">
    <w:name w:val="Normal-pool Char"/>
    <w:link w:val="Normal-pool"/>
    <w:rsid w:val="00E72401"/>
    <w:rPr>
      <w:lang w:eastAsia="en-US"/>
    </w:rPr>
  </w:style>
  <w:style w:type="paragraph" w:styleId="NormalWeb">
    <w:name w:val="Normal (Web)"/>
    <w:basedOn w:val="Normal"/>
    <w:uiPriority w:val="99"/>
    <w:semiHidden/>
    <w:unhideWhenUsed/>
    <w:rsid w:val="00E3777B"/>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95416491">
      <w:bodyDiv w:val="1"/>
      <w:marLeft w:val="0"/>
      <w:marRight w:val="0"/>
      <w:marTop w:val="0"/>
      <w:marBottom w:val="0"/>
      <w:divBdr>
        <w:top w:val="none" w:sz="0" w:space="0" w:color="auto"/>
        <w:left w:val="none" w:sz="0" w:space="0" w:color="auto"/>
        <w:bottom w:val="none" w:sz="0" w:space="0" w:color="auto"/>
        <w:right w:val="none" w:sz="0" w:space="0" w:color="auto"/>
      </w:divBdr>
    </w:div>
    <w:div w:id="577323253">
      <w:bodyDiv w:val="1"/>
      <w:marLeft w:val="0"/>
      <w:marRight w:val="0"/>
      <w:marTop w:val="0"/>
      <w:marBottom w:val="0"/>
      <w:divBdr>
        <w:top w:val="none" w:sz="0" w:space="0" w:color="auto"/>
        <w:left w:val="none" w:sz="0" w:space="0" w:color="auto"/>
        <w:bottom w:val="none" w:sz="0" w:space="0" w:color="auto"/>
        <w:right w:val="none" w:sz="0" w:space="0" w:color="auto"/>
      </w:divBdr>
    </w:div>
    <w:div w:id="616180696">
      <w:bodyDiv w:val="1"/>
      <w:marLeft w:val="0"/>
      <w:marRight w:val="0"/>
      <w:marTop w:val="0"/>
      <w:marBottom w:val="0"/>
      <w:divBdr>
        <w:top w:val="none" w:sz="0" w:space="0" w:color="auto"/>
        <w:left w:val="none" w:sz="0" w:space="0" w:color="auto"/>
        <w:bottom w:val="none" w:sz="0" w:space="0" w:color="auto"/>
        <w:right w:val="none" w:sz="0" w:space="0" w:color="auto"/>
      </w:divBdr>
    </w:div>
    <w:div w:id="689533195">
      <w:bodyDiv w:val="1"/>
      <w:marLeft w:val="0"/>
      <w:marRight w:val="0"/>
      <w:marTop w:val="0"/>
      <w:marBottom w:val="0"/>
      <w:divBdr>
        <w:top w:val="none" w:sz="0" w:space="0" w:color="auto"/>
        <w:left w:val="none" w:sz="0" w:space="0" w:color="auto"/>
        <w:bottom w:val="none" w:sz="0" w:space="0" w:color="auto"/>
        <w:right w:val="none" w:sz="0" w:space="0" w:color="auto"/>
      </w:divBdr>
    </w:div>
    <w:div w:id="745348804">
      <w:bodyDiv w:val="1"/>
      <w:marLeft w:val="0"/>
      <w:marRight w:val="0"/>
      <w:marTop w:val="0"/>
      <w:marBottom w:val="0"/>
      <w:divBdr>
        <w:top w:val="none" w:sz="0" w:space="0" w:color="auto"/>
        <w:left w:val="none" w:sz="0" w:space="0" w:color="auto"/>
        <w:bottom w:val="none" w:sz="0" w:space="0" w:color="auto"/>
        <w:right w:val="none" w:sz="0" w:space="0" w:color="auto"/>
      </w:divBdr>
    </w:div>
    <w:div w:id="7456925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8230221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25911699">
      <w:bodyDiv w:val="1"/>
      <w:marLeft w:val="0"/>
      <w:marRight w:val="0"/>
      <w:marTop w:val="0"/>
      <w:marBottom w:val="0"/>
      <w:divBdr>
        <w:top w:val="none" w:sz="0" w:space="0" w:color="auto"/>
        <w:left w:val="none" w:sz="0" w:space="0" w:color="auto"/>
        <w:bottom w:val="none" w:sz="0" w:space="0" w:color="auto"/>
        <w:right w:val="none" w:sz="0" w:space="0" w:color="auto"/>
      </w:divBdr>
    </w:div>
    <w:div w:id="1860660493">
      <w:bodyDiv w:val="1"/>
      <w:marLeft w:val="0"/>
      <w:marRight w:val="0"/>
      <w:marTop w:val="0"/>
      <w:marBottom w:val="0"/>
      <w:divBdr>
        <w:top w:val="none" w:sz="0" w:space="0" w:color="auto"/>
        <w:left w:val="none" w:sz="0" w:space="0" w:color="auto"/>
        <w:bottom w:val="none" w:sz="0" w:space="0" w:color="auto"/>
        <w:right w:val="none" w:sz="0" w:space="0" w:color="auto"/>
      </w:divBdr>
    </w:div>
    <w:div w:id="19483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footer" Target="footer5.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9D2B48D0DAA548A0AAE2775B2DD740" ma:contentTypeVersion="10" ma:contentTypeDescription="Create a new document." ma:contentTypeScope="" ma:versionID="7ffe59c308ef4df6cb7eba34134f2d98">
  <xsd:schema xmlns:xsd="http://www.w3.org/2001/XMLSchema" xmlns:xs="http://www.w3.org/2001/XMLSchema" xmlns:p="http://schemas.microsoft.com/office/2006/metadata/properties" xmlns:ns3="43cb8df9-f927-4f3d-851a-f299b11c6a21" xmlns:ns4="45086d35-8c75-448c-9768-fc102d8752f9" targetNamespace="http://schemas.microsoft.com/office/2006/metadata/properties" ma:root="true" ma:fieldsID="0ce30220e6c323c5859c665323bf171a" ns3:_="" ns4:_="">
    <xsd:import namespace="43cb8df9-f927-4f3d-851a-f299b11c6a21"/>
    <xsd:import namespace="45086d35-8c75-448c-9768-fc102d8752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b8df9-f927-4f3d-851a-f299b11c6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086d35-8c75-448c-9768-fc102d8752f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95C75-D4DE-4DBB-B021-ABC622C966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BA98A8-0C24-40F2-B576-E64815183CA7}">
  <ds:schemaRefs>
    <ds:schemaRef ds:uri="http://schemas.microsoft.com/sharepoint/v3/contenttype/forms"/>
  </ds:schemaRefs>
</ds:datastoreItem>
</file>

<file path=customXml/itemProps3.xml><?xml version="1.0" encoding="utf-8"?>
<ds:datastoreItem xmlns:ds="http://schemas.openxmlformats.org/officeDocument/2006/customXml" ds:itemID="{A5FCB7CC-0581-4F50-B21B-A5492413A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b8df9-f927-4f3d-851a-f299b11c6a21"/>
    <ds:schemaRef ds:uri="45086d35-8c75-448c-9768-fc102d875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466474-A530-4265-B66C-79AA4C756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5666</Words>
  <Characters>31168</Characters>
  <Application>Microsoft Office Word</Application>
  <DocSecurity>0</DocSecurity>
  <Lines>259</Lines>
  <Paragraphs>73</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36761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Marina Rodrigo</cp:lastModifiedBy>
  <cp:revision>2</cp:revision>
  <cp:lastPrinted>2019-09-02T06:36:00Z</cp:lastPrinted>
  <dcterms:created xsi:type="dcterms:W3CDTF">2019-09-27T09:15:00Z</dcterms:created>
  <dcterms:modified xsi:type="dcterms:W3CDTF">2019-09-27T09:15:00Z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0x0101009E9D2B48D0DAA548A0AAE2775B2DD740</vt:lpwstr>
  </property>
  <property fmtid="{D5CDD505-2E9C-101B-9397-08002B2CF9AE}" pid="3" name="TranslatedWith">
    <vt:lpwstr>Mercury</vt:lpwstr>
  </property>
  <property fmtid="{D5CDD505-2E9C-101B-9397-08002B2CF9AE}" pid="4" name="GeneratedBy">
    <vt:lpwstr>julia.lecuona.allende</vt:lpwstr>
  </property>
  <property fmtid="{D5CDD505-2E9C-101B-9397-08002B2CF9AE}" pid="5" name="GeneratedDate">
    <vt:lpwstr>9/15/2019 4:07:15 PM</vt:lpwstr>
  </property>
  <property fmtid="{D5CDD505-2E9C-101B-9397-08002B2CF9AE}" pid="6" name="OriginalDocID">
    <vt:lpwstr>bdec171c-59b6-4a8c-a67b-ecbc57453e68</vt:lpwstr>
  </property>
</Properties>
</file>