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2"/>
        <w:gridCol w:w="4639"/>
        <w:gridCol w:w="3335"/>
      </w:tblGrid>
      <w:tr w:rsidR="000E39AB" w:rsidRPr="00876DF4" w14:paraId="42582C1A" w14:textId="77777777" w:rsidTr="00430669">
        <w:trPr>
          <w:cantSplit/>
          <w:trHeight w:val="850"/>
          <w:jc w:val="right"/>
        </w:trPr>
        <w:tc>
          <w:tcPr>
            <w:tcW w:w="1572" w:type="dxa"/>
          </w:tcPr>
          <w:p w14:paraId="5FD73C1C" w14:textId="77777777" w:rsidR="000E39AB" w:rsidRPr="00876DF4" w:rsidRDefault="000E39AB" w:rsidP="00430669">
            <w:pPr>
              <w:rPr>
                <w:rFonts w:ascii="Univers" w:hAnsi="Univers"/>
                <w:b/>
                <w:noProof/>
                <w:sz w:val="27"/>
                <w:szCs w:val="27"/>
              </w:rPr>
            </w:pPr>
            <w:r w:rsidRPr="00876DF4">
              <w:rPr>
                <w:rFonts w:ascii="Arial" w:hAnsi="Arial" w:cs="Arial"/>
                <w:b/>
                <w:noProof/>
                <w:sz w:val="27"/>
                <w:szCs w:val="27"/>
              </w:rPr>
              <w:t>NATIONS</w:t>
            </w:r>
            <w:r w:rsidRPr="00876DF4">
              <w:rPr>
                <w:rFonts w:ascii="Arial" w:hAnsi="Arial" w:cs="Arial"/>
                <w:b/>
                <w:noProof/>
                <w:sz w:val="27"/>
                <w:szCs w:val="27"/>
              </w:rPr>
              <w:br/>
              <w:t>UNIES</w:t>
            </w:r>
          </w:p>
        </w:tc>
        <w:tc>
          <w:tcPr>
            <w:tcW w:w="4810" w:type="dxa"/>
          </w:tcPr>
          <w:p w14:paraId="5F29F382" w14:textId="77777777" w:rsidR="000E39AB" w:rsidRPr="00876DF4" w:rsidRDefault="000E39AB" w:rsidP="00430669">
            <w:pPr>
              <w:rPr>
                <w:rFonts w:ascii="Univers" w:hAnsi="Univers"/>
                <w:b/>
                <w:sz w:val="27"/>
                <w:szCs w:val="27"/>
              </w:rPr>
            </w:pPr>
          </w:p>
        </w:tc>
        <w:tc>
          <w:tcPr>
            <w:tcW w:w="3455" w:type="dxa"/>
          </w:tcPr>
          <w:p w14:paraId="676FAD4C" w14:textId="77777777" w:rsidR="000E39AB" w:rsidRPr="00876DF4" w:rsidRDefault="000E39AB" w:rsidP="00430669">
            <w:pPr>
              <w:jc w:val="right"/>
              <w:rPr>
                <w:rFonts w:ascii="Arial" w:hAnsi="Arial" w:cs="Arial"/>
                <w:b/>
                <w:sz w:val="64"/>
                <w:szCs w:val="64"/>
              </w:rPr>
            </w:pPr>
            <w:r w:rsidRPr="00876DF4">
              <w:rPr>
                <w:rFonts w:ascii="Arial" w:hAnsi="Arial" w:cs="Arial"/>
                <w:b/>
                <w:sz w:val="64"/>
                <w:szCs w:val="64"/>
              </w:rPr>
              <w:t>MC</w:t>
            </w:r>
          </w:p>
        </w:tc>
      </w:tr>
      <w:tr w:rsidR="000E39AB" w:rsidRPr="00876DF4" w14:paraId="06BA094E" w14:textId="77777777" w:rsidTr="00430669">
        <w:trPr>
          <w:cantSplit/>
          <w:trHeight w:val="281"/>
          <w:jc w:val="right"/>
        </w:trPr>
        <w:tc>
          <w:tcPr>
            <w:tcW w:w="1572" w:type="dxa"/>
            <w:tcBorders>
              <w:bottom w:val="single" w:sz="4" w:space="0" w:color="auto"/>
            </w:tcBorders>
          </w:tcPr>
          <w:p w14:paraId="4BA0C613" w14:textId="77777777" w:rsidR="000E39AB" w:rsidRPr="00876DF4" w:rsidRDefault="000E39AB" w:rsidP="00430669">
            <w:pPr>
              <w:rPr>
                <w:noProof/>
                <w:sz w:val="18"/>
                <w:szCs w:val="18"/>
              </w:rPr>
            </w:pPr>
          </w:p>
        </w:tc>
        <w:tc>
          <w:tcPr>
            <w:tcW w:w="4810" w:type="dxa"/>
            <w:tcBorders>
              <w:bottom w:val="single" w:sz="4" w:space="0" w:color="auto"/>
            </w:tcBorders>
          </w:tcPr>
          <w:p w14:paraId="71DB9E91" w14:textId="77777777" w:rsidR="000E39AB" w:rsidRPr="00876DF4" w:rsidRDefault="000E39AB" w:rsidP="00430669">
            <w:pPr>
              <w:rPr>
                <w:rFonts w:ascii="Univers" w:hAnsi="Univers"/>
                <w:b/>
                <w:sz w:val="18"/>
                <w:szCs w:val="18"/>
              </w:rPr>
            </w:pPr>
          </w:p>
        </w:tc>
        <w:tc>
          <w:tcPr>
            <w:tcW w:w="3455" w:type="dxa"/>
            <w:tcBorders>
              <w:bottom w:val="single" w:sz="4" w:space="0" w:color="auto"/>
            </w:tcBorders>
          </w:tcPr>
          <w:p w14:paraId="115F0E73" w14:textId="6C4B413F" w:rsidR="000E39AB" w:rsidRPr="00876DF4" w:rsidRDefault="000E39AB" w:rsidP="00430669">
            <w:pPr>
              <w:rPr>
                <w:noProof/>
                <w:sz w:val="18"/>
                <w:szCs w:val="18"/>
              </w:rPr>
            </w:pPr>
            <w:r w:rsidRPr="00876DF4">
              <w:rPr>
                <w:b/>
                <w:bCs/>
                <w:sz w:val="28"/>
              </w:rPr>
              <w:t>UNEP/</w:t>
            </w:r>
            <w:r w:rsidRPr="00876DF4">
              <w:t>MC/COP.3/</w:t>
            </w:r>
            <w:r>
              <w:t>20</w:t>
            </w:r>
          </w:p>
        </w:tc>
      </w:tr>
      <w:tr w:rsidR="000E39AB" w:rsidRPr="00876DF4" w14:paraId="0C2EAB22" w14:textId="77777777" w:rsidTr="00430669">
        <w:trPr>
          <w:cantSplit/>
          <w:trHeight w:val="2549"/>
          <w:jc w:val="right"/>
        </w:trPr>
        <w:tc>
          <w:tcPr>
            <w:tcW w:w="1572" w:type="dxa"/>
            <w:tcBorders>
              <w:top w:val="single" w:sz="4" w:space="0" w:color="auto"/>
              <w:bottom w:val="single" w:sz="24" w:space="0" w:color="auto"/>
            </w:tcBorders>
          </w:tcPr>
          <w:p w14:paraId="2A03994E" w14:textId="77777777" w:rsidR="000E39AB" w:rsidRPr="00876DF4" w:rsidRDefault="000E39AB" w:rsidP="00430669">
            <w:pPr>
              <w:rPr>
                <w:noProof/>
              </w:rPr>
            </w:pPr>
            <w:r w:rsidRPr="00876DF4">
              <w:rPr>
                <w:noProof/>
              </w:rPr>
              <w:object w:dxaOrig="1831" w:dyaOrig="1726" w14:anchorId="2C269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11" o:title=""/>
                </v:shape>
                <o:OLEObject Type="Embed" ProgID="Word.Picture.8" ShapeID="_x0000_i1025" DrawAspect="Content" ObjectID="_1631082016" r:id="rId12"/>
              </w:object>
            </w:r>
            <w:r w:rsidRPr="00876DF4">
              <w:rPr>
                <w:noProof/>
                <w:lang w:eastAsia="en-GB"/>
              </w:rPr>
              <w:drawing>
                <wp:inline distT="0" distB="0" distL="0" distR="0" wp14:anchorId="50FA6006" wp14:editId="3042AB42">
                  <wp:extent cx="723900" cy="76962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810" w:type="dxa"/>
            <w:tcBorders>
              <w:top w:val="single" w:sz="4" w:space="0" w:color="auto"/>
              <w:bottom w:val="single" w:sz="24" w:space="0" w:color="auto"/>
            </w:tcBorders>
          </w:tcPr>
          <w:p w14:paraId="671D0001" w14:textId="6FCB84FD" w:rsidR="000E39AB" w:rsidRPr="00876DF4" w:rsidRDefault="000E39AB" w:rsidP="00430669">
            <w:pPr>
              <w:spacing w:before="1200"/>
              <w:rPr>
                <w:rFonts w:ascii="Arial" w:hAnsi="Arial" w:cs="Arial"/>
                <w:b/>
                <w:sz w:val="28"/>
              </w:rPr>
            </w:pPr>
            <w:r w:rsidRPr="00876DF4">
              <w:rPr>
                <w:rFonts w:ascii="Arial" w:hAnsi="Arial" w:cs="Arial"/>
                <w:b/>
                <w:sz w:val="32"/>
                <w:szCs w:val="32"/>
              </w:rPr>
              <w:t>Programme</w:t>
            </w:r>
            <w:r w:rsidRPr="00876DF4">
              <w:rPr>
                <w:rFonts w:ascii="Arial" w:hAnsi="Arial" w:cs="Arial"/>
                <w:b/>
                <w:sz w:val="32"/>
                <w:szCs w:val="32"/>
              </w:rPr>
              <w:br/>
              <w:t>des Nations Unies</w:t>
            </w:r>
            <w:r w:rsidRPr="00876DF4">
              <w:rPr>
                <w:rFonts w:ascii="Arial" w:hAnsi="Arial" w:cs="Arial"/>
                <w:b/>
                <w:sz w:val="32"/>
                <w:szCs w:val="32"/>
              </w:rPr>
              <w:br/>
              <w:t>pour l</w:t>
            </w:r>
            <w:r w:rsidR="0058158D">
              <w:rPr>
                <w:rFonts w:ascii="Arial" w:hAnsi="Arial" w:cs="Arial"/>
                <w:b/>
                <w:sz w:val="32"/>
                <w:szCs w:val="32"/>
              </w:rPr>
              <w:t>’</w:t>
            </w:r>
            <w:r w:rsidRPr="00876DF4">
              <w:rPr>
                <w:rFonts w:ascii="Arial" w:hAnsi="Arial" w:cs="Arial"/>
                <w:b/>
                <w:sz w:val="32"/>
                <w:szCs w:val="32"/>
              </w:rPr>
              <w:t>environnement</w:t>
            </w:r>
          </w:p>
        </w:tc>
        <w:tc>
          <w:tcPr>
            <w:tcW w:w="3455" w:type="dxa"/>
            <w:tcBorders>
              <w:top w:val="single" w:sz="4" w:space="0" w:color="auto"/>
              <w:bottom w:val="single" w:sz="24" w:space="0" w:color="auto"/>
            </w:tcBorders>
          </w:tcPr>
          <w:p w14:paraId="5E9608D1" w14:textId="76FDD035" w:rsidR="000E39AB" w:rsidRPr="00876DF4" w:rsidRDefault="000E39AB" w:rsidP="00430669">
            <w:pPr>
              <w:spacing w:before="120"/>
            </w:pPr>
            <w:proofErr w:type="spellStart"/>
            <w:r w:rsidRPr="00876DF4">
              <w:t>Distr</w:t>
            </w:r>
            <w:proofErr w:type="spellEnd"/>
            <w:r w:rsidRPr="00876DF4">
              <w:t xml:space="preserve">. générale </w:t>
            </w:r>
            <w:r w:rsidRPr="00876DF4">
              <w:br/>
            </w:r>
            <w:r>
              <w:t>9</w:t>
            </w:r>
            <w:r w:rsidRPr="00876DF4">
              <w:t> </w:t>
            </w:r>
            <w:r>
              <w:t>août </w:t>
            </w:r>
            <w:r w:rsidRPr="00876DF4">
              <w:t>2019</w:t>
            </w:r>
          </w:p>
          <w:p w14:paraId="3CDD2DB1" w14:textId="77777777" w:rsidR="000E39AB" w:rsidRPr="00876DF4" w:rsidRDefault="000E39AB" w:rsidP="00430669">
            <w:pPr>
              <w:spacing w:before="240"/>
            </w:pPr>
            <w:r w:rsidRPr="00876DF4">
              <w:t>Français</w:t>
            </w:r>
            <w:r>
              <w:t xml:space="preserve"> </w:t>
            </w:r>
            <w:r w:rsidRPr="00876DF4">
              <w:br/>
              <w:t>Original : anglais</w:t>
            </w:r>
          </w:p>
        </w:tc>
      </w:tr>
    </w:tbl>
    <w:p w14:paraId="7567E3EE" w14:textId="1A7EC6FC" w:rsidR="000E39AB" w:rsidRPr="00876DF4" w:rsidRDefault="000E39AB" w:rsidP="000E39AB">
      <w:pPr>
        <w:pStyle w:val="AATitle"/>
        <w:keepNext w:val="0"/>
        <w:keepLines w:val="0"/>
        <w:rPr>
          <w:lang w:val="fr-FR"/>
        </w:rPr>
      </w:pPr>
      <w:r w:rsidRPr="00876DF4">
        <w:rPr>
          <w:bCs/>
          <w:lang w:val="fr-FR"/>
        </w:rPr>
        <w:t xml:space="preserve">Conférence des Parties à la Convention </w:t>
      </w:r>
      <w:r w:rsidR="00430669">
        <w:rPr>
          <w:bCs/>
          <w:lang w:val="fr-FR"/>
        </w:rPr>
        <w:br/>
      </w:r>
      <w:r w:rsidRPr="00876DF4">
        <w:rPr>
          <w:bCs/>
          <w:lang w:val="fr-FR"/>
        </w:rPr>
        <w:t>de Minamata sur le mercure</w:t>
      </w:r>
    </w:p>
    <w:p w14:paraId="2DA02496" w14:textId="77777777" w:rsidR="000E39AB" w:rsidRPr="00876DF4" w:rsidRDefault="000E39AB" w:rsidP="000E39AB">
      <w:pPr>
        <w:pStyle w:val="AATitle"/>
        <w:keepNext w:val="0"/>
        <w:keepLines w:val="0"/>
        <w:rPr>
          <w:lang w:val="fr-FR"/>
        </w:rPr>
      </w:pPr>
      <w:r w:rsidRPr="00876DF4">
        <w:rPr>
          <w:bCs/>
          <w:lang w:val="fr-FR"/>
        </w:rPr>
        <w:t>Troisième réunion</w:t>
      </w:r>
    </w:p>
    <w:p w14:paraId="73A86388" w14:textId="77777777" w:rsidR="000E39AB" w:rsidRPr="00876DF4" w:rsidRDefault="000E39AB" w:rsidP="000E39AB">
      <w:pPr>
        <w:pStyle w:val="AATitle"/>
        <w:rPr>
          <w:b w:val="0"/>
          <w:lang w:val="fr-FR"/>
        </w:rPr>
      </w:pPr>
      <w:r w:rsidRPr="00876DF4">
        <w:rPr>
          <w:b w:val="0"/>
          <w:lang w:val="fr-FR"/>
        </w:rPr>
        <w:t>Genève, 25–29 novembre 2019</w:t>
      </w:r>
    </w:p>
    <w:p w14:paraId="1DFF5ED4" w14:textId="0DE137D7" w:rsidR="000E39AB" w:rsidRPr="0058291A" w:rsidRDefault="000E39AB" w:rsidP="000E39AB">
      <w:pPr>
        <w:pStyle w:val="AATitle"/>
        <w:rPr>
          <w:b w:val="0"/>
        </w:rPr>
      </w:pPr>
      <w:r w:rsidRPr="0058291A">
        <w:rPr>
          <w:b w:val="0"/>
          <w:lang w:val="fr-FR"/>
        </w:rPr>
        <w:t xml:space="preserve">Point </w:t>
      </w:r>
      <w:r w:rsidR="00430669">
        <w:rPr>
          <w:b w:val="0"/>
          <w:lang w:val="fr-FR"/>
        </w:rPr>
        <w:t>7</w:t>
      </w:r>
      <w:r w:rsidRPr="0058291A">
        <w:rPr>
          <w:b w:val="0"/>
          <w:lang w:val="fr-FR"/>
        </w:rPr>
        <w:t xml:space="preserve"> de l</w:t>
      </w:r>
      <w:r w:rsidR="0058158D">
        <w:rPr>
          <w:b w:val="0"/>
          <w:lang w:val="fr-FR"/>
        </w:rPr>
        <w:t>’</w:t>
      </w:r>
      <w:r w:rsidRPr="0058291A">
        <w:rPr>
          <w:b w:val="0"/>
          <w:lang w:val="fr-FR"/>
        </w:rPr>
        <w:t>ordre du jour provisoire</w:t>
      </w:r>
      <w:r w:rsidRPr="003558CC">
        <w:rPr>
          <w:rStyle w:val="FootnoteReference"/>
          <w:b w:val="0"/>
          <w:vertAlign w:val="baseline"/>
          <w:lang w:val="fr-FR"/>
        </w:rPr>
        <w:footnoteReference w:customMarkFollows="1" w:id="1"/>
        <w:t>*</w:t>
      </w:r>
    </w:p>
    <w:p w14:paraId="68E5BFC2" w14:textId="04E2E4F1" w:rsidR="000E39AB" w:rsidRDefault="00430669" w:rsidP="000E39AB">
      <w:pPr>
        <w:pStyle w:val="AATitle2"/>
        <w:ind w:right="3967"/>
        <w:rPr>
          <w:lang w:val="fr-FR"/>
        </w:rPr>
      </w:pPr>
      <w:r>
        <w:rPr>
          <w:lang w:val="fr-FR"/>
        </w:rPr>
        <w:t>Programme de travail et budget</w:t>
      </w:r>
    </w:p>
    <w:p w14:paraId="1684E990" w14:textId="0F5A1EAA" w:rsidR="001C70A9" w:rsidRPr="00CC64D9" w:rsidRDefault="00AE119F" w:rsidP="00430669">
      <w:pPr>
        <w:pStyle w:val="BBTitle"/>
        <w:rPr>
          <w:lang w:val="fr-FR"/>
        </w:rPr>
      </w:pPr>
      <w:r w:rsidRPr="00430669">
        <w:t>Programme</w:t>
      </w:r>
      <w:r>
        <w:rPr>
          <w:lang w:val="fr-FR"/>
        </w:rPr>
        <w:t xml:space="preserve"> de travail et budget pour l</w:t>
      </w:r>
      <w:r w:rsidR="0058158D">
        <w:rPr>
          <w:lang w:val="fr-FR"/>
        </w:rPr>
        <w:t>’</w:t>
      </w:r>
      <w:r>
        <w:rPr>
          <w:lang w:val="fr-FR"/>
        </w:rPr>
        <w:t xml:space="preserve">exercice </w:t>
      </w:r>
      <w:r w:rsidR="007C7196">
        <w:rPr>
          <w:lang w:val="fr-FR"/>
        </w:rPr>
        <w:br/>
      </w:r>
      <w:r>
        <w:rPr>
          <w:lang w:val="fr-FR"/>
        </w:rPr>
        <w:t>biennal</w:t>
      </w:r>
      <w:r w:rsidR="00CC64D9">
        <w:rPr>
          <w:lang w:val="fr-FR"/>
        </w:rPr>
        <w:t> </w:t>
      </w:r>
      <w:r w:rsidR="003C11AD">
        <w:rPr>
          <w:lang w:val="fr-FR"/>
        </w:rPr>
        <w:t>2020–2021</w:t>
      </w:r>
    </w:p>
    <w:p w14:paraId="0400EFCA" w14:textId="77777777" w:rsidR="001C70A9" w:rsidRPr="00AC5825" w:rsidRDefault="001C70A9" w:rsidP="00430669">
      <w:pPr>
        <w:pStyle w:val="CH2"/>
      </w:pPr>
      <w:r>
        <w:rPr>
          <w:lang w:val="fr-FR"/>
        </w:rPr>
        <w:tab/>
      </w:r>
      <w:r>
        <w:rPr>
          <w:lang w:val="fr-FR"/>
        </w:rPr>
        <w:tab/>
        <w:t>Note du secrétariat</w:t>
      </w:r>
    </w:p>
    <w:p w14:paraId="32FBCDE2" w14:textId="194D4A2F" w:rsidR="001C70A9" w:rsidRPr="00AC5825" w:rsidRDefault="005F2D11" w:rsidP="00430669">
      <w:pPr>
        <w:pStyle w:val="CH1"/>
      </w:pPr>
      <w:r>
        <w:rPr>
          <w:lang w:val="fr-FR"/>
        </w:rPr>
        <w:tab/>
      </w:r>
      <w:r w:rsidR="001C70A9">
        <w:rPr>
          <w:lang w:val="fr-FR"/>
        </w:rPr>
        <w:t>I.</w:t>
      </w:r>
      <w:r w:rsidR="001C70A9">
        <w:rPr>
          <w:lang w:val="fr-FR"/>
        </w:rPr>
        <w:tab/>
      </w:r>
      <w:r w:rsidR="001C70A9" w:rsidRPr="00430669">
        <w:t>Introduction</w:t>
      </w:r>
    </w:p>
    <w:p w14:paraId="2B00E0C4" w14:textId="67A0D42B" w:rsidR="00A70083" w:rsidRPr="00CC64D9" w:rsidRDefault="001C70A9" w:rsidP="00430669">
      <w:pPr>
        <w:pStyle w:val="Normalnumber"/>
      </w:pPr>
      <w:r>
        <w:t>La période</w:t>
      </w:r>
      <w:r w:rsidR="00CC64D9">
        <w:t> </w:t>
      </w:r>
      <w:r w:rsidR="003C11AD">
        <w:t>2020–2021</w:t>
      </w:r>
      <w:r>
        <w:t xml:space="preserve"> représente le deuxième</w:t>
      </w:r>
      <w:r w:rsidR="000D2759">
        <w:t> </w:t>
      </w:r>
      <w:r>
        <w:t>exercice biennal pour le secrétariat de la</w:t>
      </w:r>
      <w:r w:rsidR="00430669">
        <w:t> </w:t>
      </w:r>
      <w:r>
        <w:t>Convention de Minamata sur le mercure. Dans sa décision</w:t>
      </w:r>
      <w:r w:rsidR="00CC64D9">
        <w:t> </w:t>
      </w:r>
      <w:r>
        <w:t xml:space="preserve">MC-2/12, la Conférence des Parties </w:t>
      </w:r>
      <w:r w:rsidR="00F42025">
        <w:t>à</w:t>
      </w:r>
      <w:r w:rsidR="00E239CA">
        <w:t> </w:t>
      </w:r>
      <w:r w:rsidR="00F42025">
        <w:t>la</w:t>
      </w:r>
      <w:r w:rsidR="00430669">
        <w:t> </w:t>
      </w:r>
      <w:r>
        <w:t xml:space="preserve">Convention de Minamata sur le mercure, </w:t>
      </w:r>
      <w:r w:rsidRPr="00430669">
        <w:t>rappelant</w:t>
      </w:r>
      <w:r>
        <w:t xml:space="preserve"> la décision MC</w:t>
      </w:r>
      <w:r w:rsidR="00D16221">
        <w:noBreakHyphen/>
      </w:r>
      <w:r>
        <w:t>1/15, a prié la Secrétaire exécutive d</w:t>
      </w:r>
      <w:r w:rsidR="0058158D">
        <w:t>’</w:t>
      </w:r>
      <w:r>
        <w:t>établir un budget pour l</w:t>
      </w:r>
      <w:r w:rsidR="0058158D">
        <w:t>’</w:t>
      </w:r>
      <w:r>
        <w:t>exercice biennal</w:t>
      </w:r>
      <w:r w:rsidR="00CC64D9">
        <w:t> </w:t>
      </w:r>
      <w:r w:rsidR="003C11AD">
        <w:t>2020–2021</w:t>
      </w:r>
      <w:r>
        <w:t>, qu</w:t>
      </w:r>
      <w:r w:rsidR="0058158D">
        <w:t>’</w:t>
      </w:r>
      <w:r>
        <w:t>elle examinera</w:t>
      </w:r>
      <w:r w:rsidR="00381996">
        <w:t>it</w:t>
      </w:r>
      <w:r>
        <w:t xml:space="preserve"> à sa</w:t>
      </w:r>
      <w:r w:rsidR="00430669">
        <w:t> </w:t>
      </w:r>
      <w:r>
        <w:t>troisième</w:t>
      </w:r>
      <w:r w:rsidR="000D2759">
        <w:t> </w:t>
      </w:r>
      <w:r>
        <w:t xml:space="preserve">réunion en 2019, en expliquant les principes fondamentaux, les hypothèses et la stratégie de programmation </w:t>
      </w:r>
      <w:r w:rsidR="00591A9A">
        <w:t>sous-tendant</w:t>
      </w:r>
      <w:r>
        <w:t xml:space="preserve"> ce budget et en présentant les dépenses pour cet exercice biennal par programme et par activité inscrite au budget, chaque activité étant accompagnée d</w:t>
      </w:r>
      <w:r w:rsidR="0058158D">
        <w:t>’</w:t>
      </w:r>
      <w:r>
        <w:t>une</w:t>
      </w:r>
      <w:r w:rsidR="00430669">
        <w:t> </w:t>
      </w:r>
      <w:r>
        <w:t xml:space="preserve">fiche </w:t>
      </w:r>
      <w:r w:rsidR="00586FBD">
        <w:t>descriptive</w:t>
      </w:r>
      <w:r>
        <w:t>. La Conférence des Parties a également prié la Secrétaire exécutive, lors de</w:t>
      </w:r>
      <w:r w:rsidR="00430669">
        <w:t> </w:t>
      </w:r>
      <w:r>
        <w:t>la</w:t>
      </w:r>
      <w:r w:rsidR="0058158D">
        <w:t> </w:t>
      </w:r>
      <w:r>
        <w:t>préparation du budget et du programme de travail de l</w:t>
      </w:r>
      <w:r w:rsidR="0058158D">
        <w:t>’</w:t>
      </w:r>
      <w:r>
        <w:t>exercice biennal</w:t>
      </w:r>
      <w:r w:rsidR="00CC64D9">
        <w:t> </w:t>
      </w:r>
      <w:r w:rsidR="003C11AD">
        <w:t>2020–2021</w:t>
      </w:r>
      <w:r>
        <w:t>, de présenter deux scénarios, l</w:t>
      </w:r>
      <w:r w:rsidR="00381996">
        <w:t>e</w:t>
      </w:r>
      <w:r w:rsidR="007C7196">
        <w:t> </w:t>
      </w:r>
      <w:r w:rsidR="00381996">
        <w:t>premier</w:t>
      </w:r>
      <w:r w:rsidR="007C7196">
        <w:t> </w:t>
      </w:r>
      <w:r>
        <w:t>maintenant le budget opération</w:t>
      </w:r>
      <w:r w:rsidR="00381996">
        <w:t>nel à son</w:t>
      </w:r>
      <w:r>
        <w:t xml:space="preserve"> niveau de 2019 en </w:t>
      </w:r>
      <w:r w:rsidR="006A4B8A">
        <w:t>valeur</w:t>
      </w:r>
      <w:r>
        <w:t xml:space="preserve"> nomina</w:t>
      </w:r>
      <w:r w:rsidR="006A4B8A">
        <w:t>le</w:t>
      </w:r>
      <w:r>
        <w:t xml:space="preserve"> et l</w:t>
      </w:r>
      <w:r w:rsidR="00381996">
        <w:t>e</w:t>
      </w:r>
      <w:r w:rsidR="007C7196">
        <w:t> </w:t>
      </w:r>
      <w:r w:rsidR="00381996">
        <w:t>deuxième</w:t>
      </w:r>
      <w:r w:rsidR="00430669">
        <w:t> </w:t>
      </w:r>
      <w:r w:rsidR="00381996" w:rsidRPr="00381996">
        <w:rPr>
          <w:lang w:val="fr-FR"/>
        </w:rPr>
        <w:t>faisant apparaître les modifications qu</w:t>
      </w:r>
      <w:r w:rsidR="0058158D">
        <w:rPr>
          <w:lang w:val="fr-FR"/>
        </w:rPr>
        <w:t>’</w:t>
      </w:r>
      <w:r w:rsidR="00381996" w:rsidRPr="00381996">
        <w:rPr>
          <w:lang w:val="fr-FR"/>
        </w:rPr>
        <w:t>il faudrait apporter</w:t>
      </w:r>
      <w:r>
        <w:t xml:space="preserve"> à ce scénario </w:t>
      </w:r>
      <w:r w:rsidR="00381996">
        <w:t>pour</w:t>
      </w:r>
      <w:r>
        <w:t xml:space="preserve"> répondre aux</w:t>
      </w:r>
      <w:r w:rsidR="007C7196">
        <w:t> </w:t>
      </w:r>
      <w:r>
        <w:t>besoins prévus et couvrir les coûts ou réaliser des économies connexes.</w:t>
      </w:r>
    </w:p>
    <w:p w14:paraId="4B6203BC" w14:textId="4A035146" w:rsidR="007031C5" w:rsidRPr="00D816DC" w:rsidRDefault="00BC2473" w:rsidP="00430669">
      <w:pPr>
        <w:pStyle w:val="Normalnumber"/>
        <w:rPr>
          <w:lang w:val="fr-FR"/>
        </w:rPr>
      </w:pPr>
      <w:r>
        <w:rPr>
          <w:lang w:val="fr-FR"/>
        </w:rPr>
        <w:t xml:space="preserve">En conséquence, </w:t>
      </w:r>
      <w:r w:rsidR="00FE133B">
        <w:rPr>
          <w:lang w:val="fr-FR"/>
        </w:rPr>
        <w:t xml:space="preserve">on trouvera dans </w:t>
      </w:r>
      <w:r>
        <w:rPr>
          <w:lang w:val="fr-FR"/>
        </w:rPr>
        <w:t>la présente note le projet de programme de travail et de budget pour l</w:t>
      </w:r>
      <w:r w:rsidR="0058158D">
        <w:rPr>
          <w:lang w:val="fr-FR"/>
        </w:rPr>
        <w:t>’</w:t>
      </w:r>
      <w:r>
        <w:rPr>
          <w:lang w:val="fr-FR"/>
        </w:rPr>
        <w:t>exercice biennal</w:t>
      </w:r>
      <w:r w:rsidR="00CC64D9">
        <w:rPr>
          <w:lang w:val="fr-FR"/>
        </w:rPr>
        <w:t> </w:t>
      </w:r>
      <w:r w:rsidR="003C11AD">
        <w:rPr>
          <w:lang w:val="fr-FR"/>
        </w:rPr>
        <w:t>2020–2021</w:t>
      </w:r>
      <w:r>
        <w:rPr>
          <w:lang w:val="fr-FR"/>
        </w:rPr>
        <w:t>. La section</w:t>
      </w:r>
      <w:r w:rsidR="00CC64D9">
        <w:rPr>
          <w:lang w:val="fr-FR"/>
        </w:rPr>
        <w:t> </w:t>
      </w:r>
      <w:r>
        <w:rPr>
          <w:lang w:val="fr-FR"/>
        </w:rPr>
        <w:t>II sur la mise en œuvre donne un aperçu de la</w:t>
      </w:r>
      <w:r w:rsidR="0058158D">
        <w:rPr>
          <w:lang w:val="fr-FR"/>
        </w:rPr>
        <w:t> </w:t>
      </w:r>
      <w:r>
        <w:rPr>
          <w:lang w:val="fr-FR"/>
        </w:rPr>
        <w:t>proposition, suivi d</w:t>
      </w:r>
      <w:r w:rsidR="0058158D">
        <w:rPr>
          <w:lang w:val="fr-FR"/>
        </w:rPr>
        <w:t>’</w:t>
      </w:r>
      <w:r>
        <w:rPr>
          <w:lang w:val="fr-FR"/>
        </w:rPr>
        <w:t xml:space="preserve">une présentation </w:t>
      </w:r>
      <w:r w:rsidR="001013F2">
        <w:rPr>
          <w:lang w:val="fr-FR"/>
        </w:rPr>
        <w:t xml:space="preserve">des </w:t>
      </w:r>
      <w:r w:rsidR="001013F2" w:rsidRPr="001013F2">
        <w:rPr>
          <w:lang w:val="fr-FR"/>
        </w:rPr>
        <w:t xml:space="preserve">deux scénarios </w:t>
      </w:r>
      <w:r w:rsidR="001013F2">
        <w:rPr>
          <w:lang w:val="fr-FR"/>
        </w:rPr>
        <w:t>de</w:t>
      </w:r>
      <w:r>
        <w:rPr>
          <w:lang w:val="fr-FR"/>
        </w:rPr>
        <w:t xml:space="preserve"> budget-</w:t>
      </w:r>
      <w:r w:rsidRPr="00430669">
        <w:t>programme</w:t>
      </w:r>
      <w:r>
        <w:rPr>
          <w:lang w:val="fr-FR"/>
        </w:rPr>
        <w:t xml:space="preserve"> demandés, faisant ressortir les</w:t>
      </w:r>
      <w:r w:rsidR="00430669">
        <w:rPr>
          <w:lang w:val="fr-FR"/>
        </w:rPr>
        <w:t> </w:t>
      </w:r>
      <w:r>
        <w:rPr>
          <w:lang w:val="fr-FR"/>
        </w:rPr>
        <w:t>différences entre le scénario de la Secrétaire exécutive et le scénario d</w:t>
      </w:r>
      <w:r w:rsidR="0058158D">
        <w:rPr>
          <w:lang w:val="fr-FR"/>
        </w:rPr>
        <w:t>’</w:t>
      </w:r>
      <w:r>
        <w:rPr>
          <w:lang w:val="fr-FR"/>
        </w:rPr>
        <w:t>une croissance nominale nulle. La section</w:t>
      </w:r>
      <w:r w:rsidR="00CC64D9">
        <w:rPr>
          <w:lang w:val="fr-FR"/>
        </w:rPr>
        <w:t> </w:t>
      </w:r>
      <w:r>
        <w:rPr>
          <w:lang w:val="fr-FR"/>
        </w:rPr>
        <w:t>III présente les mesures pertinentes que la Conférence des Parties pourrait</w:t>
      </w:r>
      <w:r w:rsidR="0058158D">
        <w:rPr>
          <w:lang w:val="fr-FR"/>
        </w:rPr>
        <w:t xml:space="preserve"> </w:t>
      </w:r>
      <w:r>
        <w:rPr>
          <w:lang w:val="fr-FR"/>
        </w:rPr>
        <w:t>prendre. L</w:t>
      </w:r>
      <w:r w:rsidR="0058158D">
        <w:rPr>
          <w:lang w:val="fr-FR"/>
        </w:rPr>
        <w:t>’</w:t>
      </w:r>
      <w:r>
        <w:rPr>
          <w:lang w:val="fr-FR"/>
        </w:rPr>
        <w:t xml:space="preserve">annexe I </w:t>
      </w:r>
      <w:r w:rsidR="00FE133B">
        <w:rPr>
          <w:lang w:val="fr-FR"/>
        </w:rPr>
        <w:t xml:space="preserve">contient </w:t>
      </w:r>
      <w:r>
        <w:rPr>
          <w:lang w:val="fr-FR"/>
        </w:rPr>
        <w:t>un projet de décision sur le programme de travail et le budget pour l</w:t>
      </w:r>
      <w:r w:rsidR="0058158D">
        <w:rPr>
          <w:lang w:val="fr-FR"/>
        </w:rPr>
        <w:t>’</w:t>
      </w:r>
      <w:r>
        <w:rPr>
          <w:lang w:val="fr-FR"/>
        </w:rPr>
        <w:t>exercice biennal</w:t>
      </w:r>
      <w:r w:rsidR="00CC64D9">
        <w:rPr>
          <w:lang w:val="fr-FR"/>
        </w:rPr>
        <w:t> </w:t>
      </w:r>
      <w:r w:rsidR="003C11AD">
        <w:rPr>
          <w:lang w:val="fr-FR"/>
        </w:rPr>
        <w:t>2020–2021</w:t>
      </w:r>
      <w:r>
        <w:rPr>
          <w:lang w:val="fr-FR"/>
        </w:rPr>
        <w:t xml:space="preserve"> et l</w:t>
      </w:r>
      <w:r w:rsidR="0058158D">
        <w:rPr>
          <w:lang w:val="fr-FR"/>
        </w:rPr>
        <w:t>’</w:t>
      </w:r>
      <w:r>
        <w:rPr>
          <w:lang w:val="fr-FR"/>
        </w:rPr>
        <w:t>annexe</w:t>
      </w:r>
      <w:r w:rsidR="00CC64D9">
        <w:rPr>
          <w:lang w:val="fr-FR"/>
        </w:rPr>
        <w:t> </w:t>
      </w:r>
      <w:r>
        <w:rPr>
          <w:lang w:val="fr-FR"/>
        </w:rPr>
        <w:t>II une liste des activités proposées inscrites au</w:t>
      </w:r>
      <w:r w:rsidR="00430669">
        <w:rPr>
          <w:lang w:val="fr-FR"/>
        </w:rPr>
        <w:t> </w:t>
      </w:r>
      <w:r>
        <w:rPr>
          <w:lang w:val="fr-FR"/>
        </w:rPr>
        <w:t>programme de travail pour l</w:t>
      </w:r>
      <w:r w:rsidR="0058158D">
        <w:rPr>
          <w:lang w:val="fr-FR"/>
        </w:rPr>
        <w:t>’</w:t>
      </w:r>
      <w:r>
        <w:rPr>
          <w:lang w:val="fr-FR"/>
        </w:rPr>
        <w:t>exercice biennal</w:t>
      </w:r>
      <w:r w:rsidR="00CC64D9">
        <w:rPr>
          <w:lang w:val="fr-FR"/>
        </w:rPr>
        <w:t> </w:t>
      </w:r>
      <w:r w:rsidR="003C11AD">
        <w:rPr>
          <w:lang w:val="fr-FR"/>
        </w:rPr>
        <w:t>2020–2021</w:t>
      </w:r>
      <w:r>
        <w:rPr>
          <w:lang w:val="fr-FR"/>
        </w:rPr>
        <w:t>.</w:t>
      </w:r>
    </w:p>
    <w:p w14:paraId="309B47CD" w14:textId="665C6E53" w:rsidR="00A70083" w:rsidRPr="00CC64D9" w:rsidRDefault="00177626" w:rsidP="00430669">
      <w:pPr>
        <w:pStyle w:val="Normalnumber"/>
        <w:rPr>
          <w:lang w:val="fr-FR"/>
        </w:rPr>
      </w:pPr>
      <w:r>
        <w:rPr>
          <w:lang w:val="fr-FR"/>
        </w:rPr>
        <w:t xml:space="preserve">Il convient de lire la présente </w:t>
      </w:r>
      <w:r w:rsidRPr="00430669">
        <w:t>note</w:t>
      </w:r>
      <w:r>
        <w:rPr>
          <w:lang w:val="fr-FR"/>
        </w:rPr>
        <w:t xml:space="preserve"> à la lumière du rapport sur l</w:t>
      </w:r>
      <w:r w:rsidR="0058158D">
        <w:rPr>
          <w:lang w:val="fr-FR"/>
        </w:rPr>
        <w:t>’</w:t>
      </w:r>
      <w:r>
        <w:rPr>
          <w:lang w:val="fr-FR"/>
        </w:rPr>
        <w:t>état d</w:t>
      </w:r>
      <w:r w:rsidR="0058158D">
        <w:rPr>
          <w:lang w:val="fr-FR"/>
        </w:rPr>
        <w:t>’</w:t>
      </w:r>
      <w:r>
        <w:rPr>
          <w:lang w:val="fr-FR"/>
        </w:rPr>
        <w:t>avancement des</w:t>
      </w:r>
      <w:r w:rsidR="00430669">
        <w:rPr>
          <w:lang w:val="fr-FR"/>
        </w:rPr>
        <w:t> </w:t>
      </w:r>
      <w:r>
        <w:rPr>
          <w:lang w:val="fr-FR"/>
        </w:rPr>
        <w:t>principales activités menées par le secrétariat pendant l</w:t>
      </w:r>
      <w:r w:rsidR="0058158D">
        <w:rPr>
          <w:lang w:val="fr-FR"/>
        </w:rPr>
        <w:t>’</w:t>
      </w:r>
      <w:r>
        <w:rPr>
          <w:lang w:val="fr-FR"/>
        </w:rPr>
        <w:t>intersession (UNEP/MC/COP.3/19), des</w:t>
      </w:r>
      <w:r w:rsidR="00430669">
        <w:rPr>
          <w:lang w:val="fr-FR"/>
        </w:rPr>
        <w:t> </w:t>
      </w:r>
      <w:r>
        <w:rPr>
          <w:lang w:val="fr-FR"/>
        </w:rPr>
        <w:t>fiches d</w:t>
      </w:r>
      <w:r w:rsidR="0058158D">
        <w:rPr>
          <w:lang w:val="fr-FR"/>
        </w:rPr>
        <w:t>’</w:t>
      </w:r>
      <w:r>
        <w:rPr>
          <w:lang w:val="fr-FR"/>
        </w:rPr>
        <w:t>information relatives à l</w:t>
      </w:r>
      <w:r w:rsidR="0058158D">
        <w:rPr>
          <w:lang w:val="fr-FR"/>
        </w:rPr>
        <w:t>’</w:t>
      </w:r>
      <w:r>
        <w:rPr>
          <w:lang w:val="fr-FR"/>
        </w:rPr>
        <w:t xml:space="preserve">activité budgétaire présentant les détails des budgets proposés pour </w:t>
      </w:r>
      <w:r w:rsidR="003C11AD">
        <w:rPr>
          <w:lang w:val="fr-FR"/>
        </w:rPr>
        <w:t>2020–2021</w:t>
      </w:r>
      <w:r>
        <w:rPr>
          <w:lang w:val="fr-FR"/>
        </w:rPr>
        <w:t xml:space="preserve"> (UNEP/MC/COP.3/INF/9), </w:t>
      </w:r>
      <w:r w:rsidR="007E577F">
        <w:rPr>
          <w:lang w:val="fr-FR"/>
        </w:rPr>
        <w:t>de</w:t>
      </w:r>
      <w:r w:rsidR="00FE133B">
        <w:rPr>
          <w:lang w:val="fr-FR"/>
        </w:rPr>
        <w:t>s</w:t>
      </w:r>
      <w:r>
        <w:rPr>
          <w:lang w:val="fr-FR"/>
        </w:rPr>
        <w:t xml:space="preserve"> information</w:t>
      </w:r>
      <w:r w:rsidR="00FE133B">
        <w:rPr>
          <w:lang w:val="fr-FR"/>
        </w:rPr>
        <w:t>s</w:t>
      </w:r>
      <w:r>
        <w:rPr>
          <w:lang w:val="fr-FR"/>
        </w:rPr>
        <w:t xml:space="preserve"> relative</w:t>
      </w:r>
      <w:r w:rsidR="00FE133B">
        <w:rPr>
          <w:lang w:val="fr-FR"/>
        </w:rPr>
        <w:t>s</w:t>
      </w:r>
      <w:r>
        <w:rPr>
          <w:lang w:val="fr-FR"/>
        </w:rPr>
        <w:t xml:space="preserve"> aux questions financières (UNEP/MC/COP.3/INF/10) et </w:t>
      </w:r>
      <w:r w:rsidR="007E577F">
        <w:rPr>
          <w:lang w:val="fr-FR"/>
        </w:rPr>
        <w:t>d</w:t>
      </w:r>
      <w:r>
        <w:rPr>
          <w:lang w:val="fr-FR"/>
        </w:rPr>
        <w:t>es projets de budget opération</w:t>
      </w:r>
      <w:r w:rsidR="00FE133B">
        <w:rPr>
          <w:lang w:val="fr-FR"/>
        </w:rPr>
        <w:t>nel</w:t>
      </w:r>
      <w:r>
        <w:rPr>
          <w:lang w:val="fr-FR"/>
        </w:rPr>
        <w:t xml:space="preserve"> </w:t>
      </w:r>
      <w:r w:rsidR="00FE133B">
        <w:rPr>
          <w:lang w:val="fr-FR"/>
        </w:rPr>
        <w:t>dans</w:t>
      </w:r>
      <w:r>
        <w:rPr>
          <w:lang w:val="fr-FR"/>
        </w:rPr>
        <w:t xml:space="preserve"> les deux scénarios de</w:t>
      </w:r>
      <w:r w:rsidR="00430669">
        <w:rPr>
          <w:lang w:val="fr-FR"/>
        </w:rPr>
        <w:t> </w:t>
      </w:r>
      <w:r>
        <w:rPr>
          <w:lang w:val="fr-FR"/>
        </w:rPr>
        <w:t>financement (UNEP/MC/COP.3/INF/11).</w:t>
      </w:r>
    </w:p>
    <w:p w14:paraId="589E3E2C" w14:textId="27923F83" w:rsidR="00D102BD" w:rsidRPr="00CC64D9" w:rsidRDefault="005F2D11" w:rsidP="00430669">
      <w:pPr>
        <w:pStyle w:val="CH1"/>
        <w:rPr>
          <w:lang w:val="fr-FR"/>
        </w:rPr>
      </w:pPr>
      <w:r>
        <w:rPr>
          <w:lang w:val="fr-FR"/>
        </w:rPr>
        <w:lastRenderedPageBreak/>
        <w:tab/>
      </w:r>
      <w:r w:rsidR="000A352A">
        <w:rPr>
          <w:lang w:val="fr-FR"/>
        </w:rPr>
        <w:t>II.</w:t>
      </w:r>
      <w:r w:rsidR="000A352A">
        <w:rPr>
          <w:lang w:val="fr-FR"/>
        </w:rPr>
        <w:tab/>
      </w:r>
      <w:r w:rsidR="000A352A" w:rsidRPr="00430669">
        <w:t>Mise</w:t>
      </w:r>
      <w:r w:rsidR="000A352A">
        <w:rPr>
          <w:lang w:val="fr-FR"/>
        </w:rPr>
        <w:t xml:space="preserve"> en œuvre</w:t>
      </w:r>
    </w:p>
    <w:p w14:paraId="49C3F666" w14:textId="65761D1C" w:rsidR="00D102BD" w:rsidRPr="00CC64D9" w:rsidRDefault="005F2D11" w:rsidP="00430669">
      <w:pPr>
        <w:pStyle w:val="CH2"/>
        <w:rPr>
          <w:lang w:val="fr-FR"/>
        </w:rPr>
      </w:pPr>
      <w:r>
        <w:rPr>
          <w:lang w:val="fr-FR"/>
        </w:rPr>
        <w:tab/>
      </w:r>
      <w:r w:rsidR="00D102BD">
        <w:rPr>
          <w:lang w:val="fr-FR"/>
        </w:rPr>
        <w:t>A.</w:t>
      </w:r>
      <w:r w:rsidR="00D102BD">
        <w:rPr>
          <w:lang w:val="fr-FR"/>
        </w:rPr>
        <w:tab/>
      </w:r>
      <w:r w:rsidR="00D102BD" w:rsidRPr="00430669">
        <w:t>Aperçu</w:t>
      </w:r>
      <w:r w:rsidR="00D102BD">
        <w:rPr>
          <w:lang w:val="fr-FR"/>
        </w:rPr>
        <w:t xml:space="preserve"> du projet de programme de travail et </w:t>
      </w:r>
      <w:r w:rsidR="00CD7BB2">
        <w:rPr>
          <w:lang w:val="fr-FR"/>
        </w:rPr>
        <w:t>de</w:t>
      </w:r>
      <w:r w:rsidR="00D102BD">
        <w:rPr>
          <w:lang w:val="fr-FR"/>
        </w:rPr>
        <w:t xml:space="preserve"> budget pour l</w:t>
      </w:r>
      <w:r w:rsidR="0058158D">
        <w:rPr>
          <w:lang w:val="fr-FR"/>
        </w:rPr>
        <w:t>’</w:t>
      </w:r>
      <w:r w:rsidR="00D102BD">
        <w:rPr>
          <w:lang w:val="fr-FR"/>
        </w:rPr>
        <w:t>exercice</w:t>
      </w:r>
      <w:r w:rsidR="00430669">
        <w:rPr>
          <w:lang w:val="fr-FR"/>
        </w:rPr>
        <w:t> </w:t>
      </w:r>
      <w:r w:rsidR="00D102BD">
        <w:rPr>
          <w:lang w:val="fr-FR"/>
        </w:rPr>
        <w:t>biennal</w:t>
      </w:r>
      <w:r w:rsidR="00CC64D9">
        <w:rPr>
          <w:lang w:val="fr-FR"/>
        </w:rPr>
        <w:t> </w:t>
      </w:r>
      <w:r w:rsidR="003C11AD">
        <w:rPr>
          <w:lang w:val="fr-FR"/>
        </w:rPr>
        <w:t>2020–2021</w:t>
      </w:r>
    </w:p>
    <w:p w14:paraId="552C9711" w14:textId="6E67FCA0" w:rsidR="00A70083" w:rsidRPr="00CC64D9" w:rsidRDefault="00040FC9" w:rsidP="00430669">
      <w:pPr>
        <w:pStyle w:val="Normalnumber"/>
        <w:rPr>
          <w:lang w:val="fr-FR"/>
        </w:rPr>
      </w:pPr>
      <w:r>
        <w:rPr>
          <w:lang w:val="fr-FR"/>
        </w:rPr>
        <w:t>En application de la décision</w:t>
      </w:r>
      <w:r w:rsidR="00CC64D9">
        <w:rPr>
          <w:lang w:val="fr-FR"/>
        </w:rPr>
        <w:t> </w:t>
      </w:r>
      <w:r>
        <w:rPr>
          <w:lang w:val="fr-FR"/>
        </w:rPr>
        <w:t>MC-1/15, la Directrice exécutive du Programme des</w:t>
      </w:r>
      <w:r w:rsidR="00430669">
        <w:rPr>
          <w:lang w:val="fr-FR"/>
        </w:rPr>
        <w:t> </w:t>
      </w:r>
      <w:r w:rsidR="006D45E7">
        <w:rPr>
          <w:lang w:val="fr-FR"/>
        </w:rPr>
        <w:t>Nations Unies</w:t>
      </w:r>
      <w:r>
        <w:rPr>
          <w:lang w:val="fr-FR"/>
        </w:rPr>
        <w:t xml:space="preserve"> pour </w:t>
      </w:r>
      <w:r w:rsidRPr="00430669">
        <w:t>l</w:t>
      </w:r>
      <w:r w:rsidR="0058158D">
        <w:t>’</w:t>
      </w:r>
      <w:r w:rsidRPr="00430669">
        <w:t>environnement</w:t>
      </w:r>
      <w:r>
        <w:rPr>
          <w:lang w:val="fr-FR"/>
        </w:rPr>
        <w:t xml:space="preserve"> a créé </w:t>
      </w:r>
      <w:r w:rsidR="003C2572">
        <w:rPr>
          <w:lang w:val="fr-FR"/>
        </w:rPr>
        <w:t>trois </w:t>
      </w:r>
      <w:r>
        <w:rPr>
          <w:lang w:val="fr-FR"/>
        </w:rPr>
        <w:t>fonds d</w:t>
      </w:r>
      <w:r w:rsidR="0058158D">
        <w:rPr>
          <w:lang w:val="fr-FR"/>
        </w:rPr>
        <w:t>’</w:t>
      </w:r>
      <w:r>
        <w:rPr>
          <w:lang w:val="fr-FR"/>
        </w:rPr>
        <w:t>affectation spéciale à l</w:t>
      </w:r>
      <w:r w:rsidR="0058158D">
        <w:rPr>
          <w:lang w:val="fr-FR"/>
        </w:rPr>
        <w:t>’</w:t>
      </w:r>
      <w:r>
        <w:rPr>
          <w:lang w:val="fr-FR"/>
        </w:rPr>
        <w:t>appui des travaux de la Convention</w:t>
      </w:r>
      <w:r w:rsidR="00CC64D9">
        <w:rPr>
          <w:lang w:val="fr-FR"/>
        </w:rPr>
        <w:t> </w:t>
      </w:r>
      <w:r>
        <w:rPr>
          <w:lang w:val="fr-FR"/>
        </w:rPr>
        <w:t>:</w:t>
      </w:r>
    </w:p>
    <w:p w14:paraId="0014E0AA" w14:textId="68DD09BB" w:rsidR="00A70083" w:rsidRPr="00CC64D9" w:rsidRDefault="00803579" w:rsidP="005064FA">
      <w:pPr>
        <w:pStyle w:val="Normalnumber"/>
        <w:numPr>
          <w:ilvl w:val="1"/>
          <w:numId w:val="4"/>
        </w:numPr>
        <w:rPr>
          <w:lang w:val="fr-FR"/>
        </w:rPr>
      </w:pPr>
      <w:r>
        <w:rPr>
          <w:lang w:val="fr-FR"/>
        </w:rPr>
        <w:t xml:space="preserve">Le </w:t>
      </w:r>
      <w:r w:rsidR="00DB6834">
        <w:rPr>
          <w:lang w:val="fr-FR"/>
        </w:rPr>
        <w:t>Fonds général d</w:t>
      </w:r>
      <w:r w:rsidR="0058158D">
        <w:rPr>
          <w:lang w:val="fr-FR"/>
        </w:rPr>
        <w:t>’</w:t>
      </w:r>
      <w:r w:rsidR="00DB6834">
        <w:rPr>
          <w:lang w:val="fr-FR"/>
        </w:rPr>
        <w:t>affectation spéciale</w:t>
      </w:r>
      <w:r>
        <w:rPr>
          <w:lang w:val="fr-FR"/>
        </w:rPr>
        <w:t xml:space="preserve"> destiné à fournir un appui financier aux travaux du secrétariat de la Convention, qui expire le 31</w:t>
      </w:r>
      <w:r w:rsidR="00E546DF">
        <w:rPr>
          <w:lang w:val="fr-FR"/>
        </w:rPr>
        <w:t> </w:t>
      </w:r>
      <w:r>
        <w:rPr>
          <w:lang w:val="fr-FR"/>
        </w:rPr>
        <w:t>décembre</w:t>
      </w:r>
      <w:r w:rsidR="00E546DF">
        <w:rPr>
          <w:lang w:val="fr-FR"/>
        </w:rPr>
        <w:t> </w:t>
      </w:r>
      <w:r>
        <w:rPr>
          <w:lang w:val="fr-FR"/>
        </w:rPr>
        <w:t>2035</w:t>
      </w:r>
      <w:r w:rsidR="00B56E1F">
        <w:rPr>
          <w:lang w:val="fr-FR"/>
        </w:rPr>
        <w:t> </w:t>
      </w:r>
      <w:r>
        <w:rPr>
          <w:lang w:val="fr-FR"/>
        </w:rPr>
        <w:t>;</w:t>
      </w:r>
    </w:p>
    <w:p w14:paraId="00568A47" w14:textId="42AFC111" w:rsidR="00A70083" w:rsidRPr="00CC64D9" w:rsidRDefault="00803579" w:rsidP="005064FA">
      <w:pPr>
        <w:pStyle w:val="Normalnumber"/>
        <w:numPr>
          <w:ilvl w:val="1"/>
          <w:numId w:val="4"/>
        </w:numPr>
        <w:rPr>
          <w:lang w:val="fr-FR"/>
        </w:rPr>
      </w:pPr>
      <w:r>
        <w:rPr>
          <w:lang w:val="fr-FR"/>
        </w:rPr>
        <w:t xml:space="preserve">Le </w:t>
      </w:r>
      <w:r w:rsidR="00DB6834">
        <w:rPr>
          <w:lang w:val="fr-FR"/>
        </w:rPr>
        <w:t>Fonds d</w:t>
      </w:r>
      <w:r w:rsidR="0058158D">
        <w:rPr>
          <w:lang w:val="fr-FR"/>
        </w:rPr>
        <w:t>’</w:t>
      </w:r>
      <w:r w:rsidR="00DB6834">
        <w:rPr>
          <w:lang w:val="fr-FR"/>
        </w:rPr>
        <w:t>affectation spéciale à des fins déterminées</w:t>
      </w:r>
      <w:r>
        <w:rPr>
          <w:lang w:val="fr-FR"/>
        </w:rPr>
        <w:t xml:space="preserve"> destiné à appuyer les activités de</w:t>
      </w:r>
      <w:r w:rsidR="007C7196">
        <w:rPr>
          <w:lang w:val="fr-FR"/>
        </w:rPr>
        <w:t> </w:t>
      </w:r>
      <w:r>
        <w:rPr>
          <w:lang w:val="fr-FR"/>
        </w:rPr>
        <w:t>renforcement des capacités et d</w:t>
      </w:r>
      <w:r w:rsidR="0058158D">
        <w:rPr>
          <w:lang w:val="fr-FR"/>
        </w:rPr>
        <w:t>’</w:t>
      </w:r>
      <w:r>
        <w:rPr>
          <w:lang w:val="fr-FR"/>
        </w:rPr>
        <w:t>assistance technique entreprises par le secrétariat comme suite à</w:t>
      </w:r>
      <w:r w:rsidR="007C7196">
        <w:rPr>
          <w:lang w:val="fr-FR"/>
        </w:rPr>
        <w:t> </w:t>
      </w:r>
      <w:r>
        <w:rPr>
          <w:lang w:val="fr-FR"/>
        </w:rPr>
        <w:t>l</w:t>
      </w:r>
      <w:r w:rsidR="0058158D">
        <w:rPr>
          <w:lang w:val="fr-FR"/>
        </w:rPr>
        <w:t>’</w:t>
      </w:r>
      <w:r>
        <w:rPr>
          <w:lang w:val="fr-FR"/>
        </w:rPr>
        <w:t>article</w:t>
      </w:r>
      <w:r w:rsidR="00CC64D9">
        <w:rPr>
          <w:lang w:val="fr-FR"/>
        </w:rPr>
        <w:t> </w:t>
      </w:r>
      <w:r>
        <w:rPr>
          <w:lang w:val="fr-FR"/>
        </w:rPr>
        <w:t>14, qui</w:t>
      </w:r>
      <w:r w:rsidR="00430669">
        <w:rPr>
          <w:lang w:val="fr-FR"/>
        </w:rPr>
        <w:t> </w:t>
      </w:r>
      <w:r>
        <w:rPr>
          <w:lang w:val="fr-FR"/>
        </w:rPr>
        <w:t>expire le 31</w:t>
      </w:r>
      <w:r w:rsidR="00E546DF">
        <w:rPr>
          <w:lang w:val="fr-FR"/>
        </w:rPr>
        <w:t> </w:t>
      </w:r>
      <w:r>
        <w:rPr>
          <w:lang w:val="fr-FR"/>
        </w:rPr>
        <w:t>décembre</w:t>
      </w:r>
      <w:r w:rsidR="00E546DF">
        <w:rPr>
          <w:lang w:val="fr-FR"/>
        </w:rPr>
        <w:t> </w:t>
      </w:r>
      <w:r>
        <w:rPr>
          <w:lang w:val="fr-FR"/>
        </w:rPr>
        <w:t>2035</w:t>
      </w:r>
      <w:r w:rsidR="00B56E1F">
        <w:rPr>
          <w:lang w:val="fr-FR"/>
        </w:rPr>
        <w:t> </w:t>
      </w:r>
      <w:r>
        <w:rPr>
          <w:lang w:val="fr-FR"/>
        </w:rPr>
        <w:t>;</w:t>
      </w:r>
    </w:p>
    <w:p w14:paraId="4E662D0A" w14:textId="2C73FE36" w:rsidR="00A70083" w:rsidRPr="00CC64D9" w:rsidRDefault="00803579" w:rsidP="005064FA">
      <w:pPr>
        <w:pStyle w:val="Normalnumber"/>
        <w:numPr>
          <w:ilvl w:val="1"/>
          <w:numId w:val="4"/>
        </w:numPr>
        <w:rPr>
          <w:lang w:val="fr-FR"/>
        </w:rPr>
      </w:pPr>
      <w:r>
        <w:rPr>
          <w:lang w:val="fr-FR"/>
        </w:rPr>
        <w:t xml:space="preserve">Le </w:t>
      </w:r>
      <w:r w:rsidR="00DB6834">
        <w:rPr>
          <w:lang w:val="fr-FR"/>
        </w:rPr>
        <w:t>Fonds d</w:t>
      </w:r>
      <w:r w:rsidR="0058158D">
        <w:rPr>
          <w:lang w:val="fr-FR"/>
        </w:rPr>
        <w:t>’</w:t>
      </w:r>
      <w:r w:rsidR="00DB6834">
        <w:rPr>
          <w:lang w:val="fr-FR"/>
        </w:rPr>
        <w:t>affectation spéciale particulier</w:t>
      </w:r>
      <w:r>
        <w:rPr>
          <w:lang w:val="fr-FR"/>
        </w:rPr>
        <w:t xml:space="preserve"> pour le </w:t>
      </w:r>
      <w:r w:rsidR="00417EBA">
        <w:rPr>
          <w:lang w:val="fr-FR"/>
        </w:rPr>
        <w:t xml:space="preserve">Programme international spécifique </w:t>
      </w:r>
      <w:r>
        <w:rPr>
          <w:lang w:val="fr-FR"/>
        </w:rPr>
        <w:t>visant à soutenir le renforcement des capacités et l</w:t>
      </w:r>
      <w:r w:rsidR="0058158D">
        <w:rPr>
          <w:lang w:val="fr-FR"/>
        </w:rPr>
        <w:t>’</w:t>
      </w:r>
      <w:r>
        <w:rPr>
          <w:lang w:val="fr-FR"/>
        </w:rPr>
        <w:t>assistance technique conformément à l</w:t>
      </w:r>
      <w:r w:rsidR="0058158D">
        <w:rPr>
          <w:lang w:val="fr-FR"/>
        </w:rPr>
        <w:t>’</w:t>
      </w:r>
      <w:r>
        <w:rPr>
          <w:lang w:val="fr-FR"/>
        </w:rPr>
        <w:t>article</w:t>
      </w:r>
      <w:r w:rsidR="00CC64D9">
        <w:rPr>
          <w:lang w:val="fr-FR"/>
        </w:rPr>
        <w:t> </w:t>
      </w:r>
      <w:r>
        <w:rPr>
          <w:lang w:val="fr-FR"/>
        </w:rPr>
        <w:t>13. Sachant que le Programme international spécifique est limité dans le temps, la date d</w:t>
      </w:r>
      <w:r w:rsidR="0058158D">
        <w:rPr>
          <w:lang w:val="fr-FR"/>
        </w:rPr>
        <w:t>’</w:t>
      </w:r>
      <w:r>
        <w:rPr>
          <w:lang w:val="fr-FR"/>
        </w:rPr>
        <w:t>expiration de ce</w:t>
      </w:r>
      <w:r w:rsidR="00430669">
        <w:rPr>
          <w:lang w:val="fr-FR"/>
        </w:rPr>
        <w:t> </w:t>
      </w:r>
      <w:r>
        <w:rPr>
          <w:lang w:val="fr-FR"/>
        </w:rPr>
        <w:t>fonds d</w:t>
      </w:r>
      <w:r w:rsidR="0058158D">
        <w:rPr>
          <w:lang w:val="fr-FR"/>
        </w:rPr>
        <w:t>’</w:t>
      </w:r>
      <w:r>
        <w:rPr>
          <w:lang w:val="fr-FR"/>
        </w:rPr>
        <w:t>affectation spéciale est fixée au 31</w:t>
      </w:r>
      <w:r w:rsidR="00E546DF">
        <w:rPr>
          <w:lang w:val="fr-FR"/>
        </w:rPr>
        <w:t> </w:t>
      </w:r>
      <w:r>
        <w:rPr>
          <w:lang w:val="fr-FR"/>
        </w:rPr>
        <w:t>décembre</w:t>
      </w:r>
      <w:r w:rsidR="00E546DF">
        <w:rPr>
          <w:lang w:val="fr-FR"/>
        </w:rPr>
        <w:t> </w:t>
      </w:r>
      <w:r>
        <w:rPr>
          <w:lang w:val="fr-FR"/>
        </w:rPr>
        <w:t>2028.</w:t>
      </w:r>
    </w:p>
    <w:p w14:paraId="132733E8" w14:textId="3922CEA0" w:rsidR="00397A76" w:rsidRPr="00D816DC" w:rsidRDefault="00DC5F89" w:rsidP="00430669">
      <w:pPr>
        <w:pStyle w:val="Normalnumber"/>
        <w:rPr>
          <w:lang w:val="fr-FR"/>
        </w:rPr>
      </w:pPr>
      <w:r>
        <w:rPr>
          <w:lang w:val="fr-FR"/>
        </w:rPr>
        <w:t>Dans sa décision</w:t>
      </w:r>
      <w:r w:rsidR="00CC64D9">
        <w:rPr>
          <w:lang w:val="fr-FR"/>
        </w:rPr>
        <w:t> </w:t>
      </w:r>
      <w:r>
        <w:rPr>
          <w:lang w:val="fr-FR"/>
        </w:rPr>
        <w:t xml:space="preserve">MC-2/12, la Conférence des Parties a approuvé le budget actualisé </w:t>
      </w:r>
      <w:r w:rsidR="00DB6834">
        <w:rPr>
          <w:lang w:val="fr-FR"/>
        </w:rPr>
        <w:t>du</w:t>
      </w:r>
      <w:r w:rsidR="00430669">
        <w:rPr>
          <w:lang w:val="fr-FR"/>
        </w:rPr>
        <w:t> </w:t>
      </w:r>
      <w:r w:rsidR="00DB6834">
        <w:rPr>
          <w:lang w:val="fr-FR"/>
        </w:rPr>
        <w:t>Fonds général d</w:t>
      </w:r>
      <w:r w:rsidR="0058158D">
        <w:rPr>
          <w:lang w:val="fr-FR"/>
        </w:rPr>
        <w:t>’</w:t>
      </w:r>
      <w:r w:rsidR="00DB6834">
        <w:rPr>
          <w:lang w:val="fr-FR"/>
        </w:rPr>
        <w:t>affectation spéciale,</w:t>
      </w:r>
      <w:r>
        <w:rPr>
          <w:lang w:val="fr-FR"/>
        </w:rPr>
        <w:t xml:space="preserve"> qui s</w:t>
      </w:r>
      <w:r w:rsidR="0058158D">
        <w:rPr>
          <w:lang w:val="fr-FR"/>
        </w:rPr>
        <w:t>’</w:t>
      </w:r>
      <w:r>
        <w:rPr>
          <w:lang w:val="fr-FR"/>
        </w:rPr>
        <w:t>élève à 4</w:t>
      </w:r>
      <w:r w:rsidR="00E546DF">
        <w:rPr>
          <w:lang w:val="fr-FR"/>
        </w:rPr>
        <w:t> 080 </w:t>
      </w:r>
      <w:r>
        <w:rPr>
          <w:lang w:val="fr-FR"/>
        </w:rPr>
        <w:t>374 dollars pour 2019</w:t>
      </w:r>
      <w:r w:rsidR="00DB6834">
        <w:rPr>
          <w:lang w:val="fr-FR"/>
        </w:rPr>
        <w:t>,</w:t>
      </w:r>
      <w:r>
        <w:rPr>
          <w:lang w:val="fr-FR"/>
        </w:rPr>
        <w:t xml:space="preserve"> et autorisé la</w:t>
      </w:r>
      <w:r w:rsidR="00430669">
        <w:rPr>
          <w:lang w:val="fr-FR"/>
        </w:rPr>
        <w:t> </w:t>
      </w:r>
      <w:r>
        <w:rPr>
          <w:lang w:val="fr-FR"/>
        </w:rPr>
        <w:t xml:space="preserve">Secrétaire exécutive à prélever </w:t>
      </w:r>
      <w:r w:rsidR="008B130F">
        <w:rPr>
          <w:lang w:val="fr-FR"/>
        </w:rPr>
        <w:t>un</w:t>
      </w:r>
      <w:r>
        <w:rPr>
          <w:lang w:val="fr-FR"/>
        </w:rPr>
        <w:t xml:space="preserve"> montant de 237</w:t>
      </w:r>
      <w:r w:rsidR="00E546DF">
        <w:rPr>
          <w:lang w:val="fr-FR"/>
        </w:rPr>
        <w:t> </w:t>
      </w:r>
      <w:r>
        <w:rPr>
          <w:lang w:val="fr-FR"/>
        </w:rPr>
        <w:t xml:space="preserve">300 dollars </w:t>
      </w:r>
      <w:r w:rsidR="008B130F">
        <w:rPr>
          <w:lang w:val="fr-FR"/>
        </w:rPr>
        <w:t xml:space="preserve">sur </w:t>
      </w:r>
      <w:r w:rsidR="008B130F" w:rsidRPr="008B130F">
        <w:rPr>
          <w:lang w:val="fr-FR"/>
        </w:rPr>
        <w:t>le solde excédentaire du Fonds général d</w:t>
      </w:r>
      <w:r w:rsidR="0058158D">
        <w:rPr>
          <w:lang w:val="fr-FR"/>
        </w:rPr>
        <w:t>’</w:t>
      </w:r>
      <w:r w:rsidR="008B130F" w:rsidRPr="008B130F">
        <w:rPr>
          <w:lang w:val="fr-FR"/>
        </w:rPr>
        <w:t xml:space="preserve">affectation spéciale disponible </w:t>
      </w:r>
      <w:r>
        <w:rPr>
          <w:lang w:val="fr-FR"/>
        </w:rPr>
        <w:t>en 2019. Elle a également adopté le barème indicatif des quotes-parts pour la répartition des dépenses de 2019 figurant dans la décision et autorisé la Secrétaire exécutive à</w:t>
      </w:r>
      <w:r w:rsidR="00430669">
        <w:rPr>
          <w:lang w:val="fr-FR"/>
        </w:rPr>
        <w:t> </w:t>
      </w:r>
      <w:r>
        <w:rPr>
          <w:lang w:val="fr-FR"/>
        </w:rPr>
        <w:t>ajuster ce barème afin d</w:t>
      </w:r>
      <w:r w:rsidR="0058158D">
        <w:rPr>
          <w:lang w:val="fr-FR"/>
        </w:rPr>
        <w:t>’</w:t>
      </w:r>
      <w:r>
        <w:rPr>
          <w:lang w:val="fr-FR"/>
        </w:rPr>
        <w:t>y inclure toutes les Parties pour lesquelles la Convention est entrée en</w:t>
      </w:r>
      <w:r w:rsidR="007C7196">
        <w:rPr>
          <w:lang w:val="fr-FR"/>
        </w:rPr>
        <w:t> </w:t>
      </w:r>
      <w:r>
        <w:rPr>
          <w:lang w:val="fr-FR"/>
        </w:rPr>
        <w:t>vigueur avant le 1</w:t>
      </w:r>
      <w:r>
        <w:rPr>
          <w:vertAlign w:val="superscript"/>
          <w:lang w:val="fr-FR"/>
        </w:rPr>
        <w:t>er</w:t>
      </w:r>
      <w:r w:rsidR="00E546DF">
        <w:rPr>
          <w:lang w:val="fr-FR"/>
        </w:rPr>
        <w:t> </w:t>
      </w:r>
      <w:r>
        <w:rPr>
          <w:lang w:val="fr-FR"/>
        </w:rPr>
        <w:t>janvier</w:t>
      </w:r>
      <w:r w:rsidR="00E546DF">
        <w:rPr>
          <w:lang w:val="fr-FR"/>
        </w:rPr>
        <w:t> </w:t>
      </w:r>
      <w:r>
        <w:rPr>
          <w:lang w:val="fr-FR"/>
        </w:rPr>
        <w:t>2019. Elle a également prié les Parties et invité les non-Parties à la</w:t>
      </w:r>
      <w:r w:rsidR="00430669">
        <w:rPr>
          <w:lang w:val="fr-FR"/>
        </w:rPr>
        <w:t> </w:t>
      </w:r>
      <w:r>
        <w:rPr>
          <w:lang w:val="fr-FR"/>
        </w:rPr>
        <w:t xml:space="preserve">Convention et les autres intéressés en mesure de le faire à contribuer au </w:t>
      </w:r>
      <w:r w:rsidR="00DB6834">
        <w:rPr>
          <w:lang w:val="fr-FR"/>
        </w:rPr>
        <w:t>Fonds d</w:t>
      </w:r>
      <w:r w:rsidR="0058158D">
        <w:rPr>
          <w:lang w:val="fr-FR"/>
        </w:rPr>
        <w:t>’</w:t>
      </w:r>
      <w:r w:rsidR="00DB6834">
        <w:rPr>
          <w:lang w:val="fr-FR"/>
        </w:rPr>
        <w:t>affectation spéciale à des fins déterminées</w:t>
      </w:r>
      <w:r w:rsidR="008B130F">
        <w:rPr>
          <w:lang w:val="fr-FR"/>
        </w:rPr>
        <w:t>,</w:t>
      </w:r>
      <w:r>
        <w:rPr>
          <w:lang w:val="fr-FR"/>
        </w:rPr>
        <w:t xml:space="preserve"> pour appuyer les activités de renforcement des capacités et d</w:t>
      </w:r>
      <w:r w:rsidR="0058158D">
        <w:rPr>
          <w:lang w:val="fr-FR"/>
        </w:rPr>
        <w:t>’</w:t>
      </w:r>
      <w:r>
        <w:rPr>
          <w:lang w:val="fr-FR"/>
        </w:rPr>
        <w:t>assistance technique du</w:t>
      </w:r>
      <w:r w:rsidR="00430669">
        <w:rPr>
          <w:lang w:val="fr-FR"/>
        </w:rPr>
        <w:t> </w:t>
      </w:r>
      <w:r>
        <w:rPr>
          <w:lang w:val="fr-FR"/>
        </w:rPr>
        <w:t>secrétariat conformément à l</w:t>
      </w:r>
      <w:r w:rsidR="0058158D">
        <w:rPr>
          <w:lang w:val="fr-FR"/>
        </w:rPr>
        <w:t>’</w:t>
      </w:r>
      <w:r>
        <w:rPr>
          <w:lang w:val="fr-FR"/>
        </w:rPr>
        <w:t>article</w:t>
      </w:r>
      <w:r w:rsidR="00CC64D9">
        <w:rPr>
          <w:lang w:val="fr-FR"/>
        </w:rPr>
        <w:t> </w:t>
      </w:r>
      <w:r>
        <w:rPr>
          <w:lang w:val="fr-FR"/>
        </w:rPr>
        <w:t>14</w:t>
      </w:r>
      <w:r w:rsidR="008B130F">
        <w:rPr>
          <w:lang w:val="fr-FR"/>
        </w:rPr>
        <w:t>,</w:t>
      </w:r>
      <w:r>
        <w:rPr>
          <w:lang w:val="fr-FR"/>
        </w:rPr>
        <w:t xml:space="preserve"> et au </w:t>
      </w:r>
      <w:r w:rsidR="00DB6834">
        <w:rPr>
          <w:lang w:val="fr-FR"/>
        </w:rPr>
        <w:t>Fonds d</w:t>
      </w:r>
      <w:r w:rsidR="0058158D">
        <w:rPr>
          <w:lang w:val="fr-FR"/>
        </w:rPr>
        <w:t>’</w:t>
      </w:r>
      <w:r w:rsidR="00DB6834">
        <w:rPr>
          <w:lang w:val="fr-FR"/>
        </w:rPr>
        <w:t>affectation spéciale particulier</w:t>
      </w:r>
      <w:r w:rsidR="008B130F">
        <w:rPr>
          <w:lang w:val="fr-FR"/>
        </w:rPr>
        <w:t>,</w:t>
      </w:r>
      <w:r>
        <w:rPr>
          <w:lang w:val="fr-FR"/>
        </w:rPr>
        <w:t xml:space="preserve"> pour appuyer les activités de renforcement des capacités et d</w:t>
      </w:r>
      <w:r w:rsidR="0058158D">
        <w:rPr>
          <w:lang w:val="fr-FR"/>
        </w:rPr>
        <w:t>’</w:t>
      </w:r>
      <w:r>
        <w:rPr>
          <w:lang w:val="fr-FR"/>
        </w:rPr>
        <w:t>assistance technique conformément à</w:t>
      </w:r>
      <w:r w:rsidR="007C7196">
        <w:rPr>
          <w:lang w:val="fr-FR"/>
        </w:rPr>
        <w:t> </w:t>
      </w:r>
      <w:r>
        <w:rPr>
          <w:lang w:val="fr-FR"/>
        </w:rPr>
        <w:t>l</w:t>
      </w:r>
      <w:r w:rsidR="0058158D">
        <w:rPr>
          <w:lang w:val="fr-FR"/>
        </w:rPr>
        <w:t>’</w:t>
      </w:r>
      <w:r>
        <w:rPr>
          <w:lang w:val="fr-FR"/>
        </w:rPr>
        <w:t>article</w:t>
      </w:r>
      <w:r w:rsidR="00CC64D9">
        <w:rPr>
          <w:lang w:val="fr-FR"/>
        </w:rPr>
        <w:t> </w:t>
      </w:r>
      <w:r>
        <w:rPr>
          <w:lang w:val="fr-FR"/>
        </w:rPr>
        <w:t>13 de la</w:t>
      </w:r>
      <w:r w:rsidR="00430669">
        <w:rPr>
          <w:lang w:val="fr-FR"/>
        </w:rPr>
        <w:t> </w:t>
      </w:r>
      <w:r>
        <w:rPr>
          <w:lang w:val="fr-FR"/>
        </w:rPr>
        <w:t>Convention.</w:t>
      </w:r>
    </w:p>
    <w:p w14:paraId="61FF0952" w14:textId="7D5C8103" w:rsidR="00601426" w:rsidRPr="00CC64D9" w:rsidRDefault="00AB342C" w:rsidP="00430669">
      <w:pPr>
        <w:pStyle w:val="Normalnumber"/>
        <w:rPr>
          <w:lang w:val="fr-FR"/>
        </w:rPr>
      </w:pPr>
      <w:r>
        <w:rPr>
          <w:lang w:val="fr-FR"/>
        </w:rPr>
        <w:t>Comme indiqué au paragraphe 2 de la présente note, la</w:t>
      </w:r>
      <w:r w:rsidR="00430669">
        <w:rPr>
          <w:lang w:val="fr-FR"/>
        </w:rPr>
        <w:t> </w:t>
      </w:r>
      <w:r>
        <w:rPr>
          <w:lang w:val="fr-FR"/>
        </w:rPr>
        <w:t xml:space="preserve">Conférence des </w:t>
      </w:r>
      <w:r w:rsidRPr="00430669">
        <w:t>Parties</w:t>
      </w:r>
      <w:r>
        <w:rPr>
          <w:lang w:val="fr-FR"/>
        </w:rPr>
        <w:t xml:space="preserve"> a</w:t>
      </w:r>
      <w:r w:rsidR="008B130F" w:rsidRPr="008B130F">
        <w:rPr>
          <w:lang w:val="fr-FR"/>
        </w:rPr>
        <w:t>, dans la même décision</w:t>
      </w:r>
      <w:r w:rsidR="008B130F">
        <w:rPr>
          <w:lang w:val="fr-FR"/>
        </w:rPr>
        <w:t>,</w:t>
      </w:r>
      <w:r>
        <w:rPr>
          <w:lang w:val="fr-FR"/>
        </w:rPr>
        <w:t xml:space="preserve"> prié la Secrétaire exécutive de présenter </w:t>
      </w:r>
      <w:r w:rsidR="003C2572">
        <w:rPr>
          <w:lang w:val="fr-FR"/>
        </w:rPr>
        <w:t>deux </w:t>
      </w:r>
      <w:r>
        <w:rPr>
          <w:lang w:val="fr-FR"/>
        </w:rPr>
        <w:t xml:space="preserve">scénarios </w:t>
      </w:r>
      <w:r w:rsidR="00FE47F8">
        <w:rPr>
          <w:lang w:val="fr-FR"/>
        </w:rPr>
        <w:t>pour l</w:t>
      </w:r>
      <w:r>
        <w:rPr>
          <w:lang w:val="fr-FR"/>
        </w:rPr>
        <w:t xml:space="preserve">e budget et </w:t>
      </w:r>
      <w:r w:rsidR="00FE47F8">
        <w:rPr>
          <w:lang w:val="fr-FR"/>
        </w:rPr>
        <w:t>le</w:t>
      </w:r>
      <w:r>
        <w:rPr>
          <w:lang w:val="fr-FR"/>
        </w:rPr>
        <w:t xml:space="preserve"> programme de travail </w:t>
      </w:r>
      <w:r w:rsidR="00FE47F8">
        <w:rPr>
          <w:lang w:val="fr-FR"/>
        </w:rPr>
        <w:t>de</w:t>
      </w:r>
      <w:r>
        <w:rPr>
          <w:lang w:val="fr-FR"/>
        </w:rPr>
        <w:t xml:space="preserve"> l</w:t>
      </w:r>
      <w:r w:rsidR="0058158D">
        <w:rPr>
          <w:lang w:val="fr-FR"/>
        </w:rPr>
        <w:t>’</w:t>
      </w:r>
      <w:r>
        <w:rPr>
          <w:lang w:val="fr-FR"/>
        </w:rPr>
        <w:t>exercice biennal </w:t>
      </w:r>
      <w:r w:rsidR="003C11AD">
        <w:rPr>
          <w:lang w:val="fr-FR"/>
        </w:rPr>
        <w:t>2020–2021</w:t>
      </w:r>
      <w:r>
        <w:rPr>
          <w:lang w:val="fr-FR"/>
        </w:rPr>
        <w:t>.</w:t>
      </w:r>
    </w:p>
    <w:p w14:paraId="5A1DF1FA" w14:textId="165A7908" w:rsidR="0073685E" w:rsidRPr="00CC64D9" w:rsidRDefault="00C16F6C" w:rsidP="00430669">
      <w:pPr>
        <w:pStyle w:val="Normalnumber"/>
        <w:rPr>
          <w:lang w:val="fr-FR"/>
        </w:rPr>
      </w:pPr>
      <w:r>
        <w:rPr>
          <w:lang w:val="fr-FR"/>
        </w:rPr>
        <w:t xml:space="preserve">La Conférence des Parties a en outre </w:t>
      </w:r>
      <w:r w:rsidR="008B130F" w:rsidRPr="008B130F">
        <w:rPr>
          <w:lang w:val="fr-FR"/>
        </w:rPr>
        <w:t xml:space="preserve">prié </w:t>
      </w:r>
      <w:r>
        <w:rPr>
          <w:lang w:val="fr-FR"/>
        </w:rPr>
        <w:t>la Secrétaire exécutive, lors de l</w:t>
      </w:r>
      <w:r w:rsidR="0058158D">
        <w:rPr>
          <w:lang w:val="fr-FR"/>
        </w:rPr>
        <w:t>’</w:t>
      </w:r>
      <w:r>
        <w:rPr>
          <w:lang w:val="fr-FR"/>
        </w:rPr>
        <w:t>élaboration du</w:t>
      </w:r>
      <w:r w:rsidR="00E239CA">
        <w:rPr>
          <w:lang w:val="fr-FR"/>
        </w:rPr>
        <w:t> </w:t>
      </w:r>
      <w:r>
        <w:rPr>
          <w:lang w:val="fr-FR"/>
        </w:rPr>
        <w:t xml:space="preserve">programme de travail et du budget pour </w:t>
      </w:r>
      <w:r w:rsidR="003C11AD">
        <w:rPr>
          <w:lang w:val="fr-FR"/>
        </w:rPr>
        <w:t>2020–2021</w:t>
      </w:r>
      <w:r>
        <w:rPr>
          <w:lang w:val="fr-FR"/>
        </w:rPr>
        <w:t xml:space="preserve">, de prendre en considération les </w:t>
      </w:r>
      <w:r w:rsidR="00FE47F8">
        <w:rPr>
          <w:lang w:val="fr-FR"/>
        </w:rPr>
        <w:t xml:space="preserve">arrangements </w:t>
      </w:r>
      <w:r>
        <w:rPr>
          <w:lang w:val="fr-FR"/>
        </w:rPr>
        <w:t>pertinents en matière de partage de services et les propositions en rapport avec la fourniture de</w:t>
      </w:r>
      <w:r w:rsidR="00E239CA">
        <w:rPr>
          <w:lang w:val="fr-FR"/>
        </w:rPr>
        <w:t> </w:t>
      </w:r>
      <w:r>
        <w:rPr>
          <w:lang w:val="fr-FR"/>
        </w:rPr>
        <w:t xml:space="preserve">services de secrétariat à </w:t>
      </w:r>
      <w:r w:rsidR="00CD7BB2">
        <w:rPr>
          <w:lang w:val="fr-FR"/>
        </w:rPr>
        <w:t xml:space="preserve">la Convention de Minamata </w:t>
      </w:r>
      <w:r>
        <w:rPr>
          <w:lang w:val="fr-FR"/>
        </w:rPr>
        <w:t xml:space="preserve">formulées par la Directrice exécutive du Programme des </w:t>
      </w:r>
      <w:r w:rsidR="006D45E7">
        <w:rPr>
          <w:lang w:val="fr-FR"/>
        </w:rPr>
        <w:t>Nations Unies</w:t>
      </w:r>
      <w:r>
        <w:rPr>
          <w:lang w:val="fr-FR"/>
        </w:rPr>
        <w:t xml:space="preserve"> pour l</w:t>
      </w:r>
      <w:r w:rsidR="0058158D">
        <w:rPr>
          <w:lang w:val="fr-FR"/>
        </w:rPr>
        <w:t>’</w:t>
      </w:r>
      <w:r>
        <w:rPr>
          <w:lang w:val="fr-FR"/>
        </w:rPr>
        <w:t>environnement, avec le concours de la</w:t>
      </w:r>
      <w:r w:rsidR="00E239CA">
        <w:rPr>
          <w:lang w:val="fr-FR"/>
        </w:rPr>
        <w:t> </w:t>
      </w:r>
      <w:r>
        <w:rPr>
          <w:lang w:val="fr-FR"/>
        </w:rPr>
        <w:t>Secrétaire</w:t>
      </w:r>
      <w:r w:rsidR="00E239CA">
        <w:rPr>
          <w:lang w:val="fr-FR"/>
        </w:rPr>
        <w:t> </w:t>
      </w:r>
      <w:r>
        <w:rPr>
          <w:lang w:val="fr-FR"/>
        </w:rPr>
        <w:t xml:space="preserve">exécutive de </w:t>
      </w:r>
      <w:r w:rsidR="00CD7BB2">
        <w:rPr>
          <w:lang w:val="fr-FR"/>
        </w:rPr>
        <w:t>la</w:t>
      </w:r>
      <w:r w:rsidR="007C7196">
        <w:rPr>
          <w:lang w:val="fr-FR"/>
        </w:rPr>
        <w:t> </w:t>
      </w:r>
      <w:r w:rsidR="00CD7BB2">
        <w:rPr>
          <w:lang w:val="fr-FR"/>
        </w:rPr>
        <w:t xml:space="preserve">Convention de Minamata </w:t>
      </w:r>
      <w:r>
        <w:rPr>
          <w:lang w:val="fr-FR"/>
        </w:rPr>
        <w:t xml:space="preserve">et le soutien du Secrétaire exécutif des conventions de Bâle et de Stockholm et de la partie de la Convention de Rotterdam relevant du Programme des </w:t>
      </w:r>
      <w:r w:rsidR="006D45E7">
        <w:rPr>
          <w:lang w:val="fr-FR"/>
        </w:rPr>
        <w:t>Nations Unies</w:t>
      </w:r>
      <w:r>
        <w:rPr>
          <w:lang w:val="fr-FR"/>
        </w:rPr>
        <w:t xml:space="preserve"> pour l</w:t>
      </w:r>
      <w:r w:rsidR="0058158D">
        <w:rPr>
          <w:lang w:val="fr-FR"/>
        </w:rPr>
        <w:t>’</w:t>
      </w:r>
      <w:r>
        <w:rPr>
          <w:lang w:val="fr-FR"/>
        </w:rPr>
        <w:t>environnement, au sujet d</w:t>
      </w:r>
      <w:r w:rsidR="0058158D">
        <w:rPr>
          <w:lang w:val="fr-FR"/>
        </w:rPr>
        <w:t>’</w:t>
      </w:r>
      <w:r>
        <w:rPr>
          <w:lang w:val="fr-FR"/>
        </w:rPr>
        <w:t>un cadre stable pour le</w:t>
      </w:r>
      <w:r w:rsidR="00E239CA">
        <w:rPr>
          <w:lang w:val="fr-FR"/>
        </w:rPr>
        <w:t> </w:t>
      </w:r>
      <w:r>
        <w:rPr>
          <w:lang w:val="fr-FR"/>
        </w:rPr>
        <w:t>partage des services pertinents, conformément au paragraphe</w:t>
      </w:r>
      <w:r w:rsidR="00CC64D9">
        <w:rPr>
          <w:lang w:val="fr-FR"/>
        </w:rPr>
        <w:t> </w:t>
      </w:r>
      <w:r>
        <w:rPr>
          <w:lang w:val="fr-FR"/>
        </w:rPr>
        <w:t>2 de la décision</w:t>
      </w:r>
      <w:r w:rsidR="00F33204">
        <w:rPr>
          <w:lang w:val="fr-FR"/>
        </w:rPr>
        <w:t> </w:t>
      </w:r>
      <w:r>
        <w:rPr>
          <w:lang w:val="fr-FR"/>
        </w:rPr>
        <w:t>MC-2/7.</w:t>
      </w:r>
    </w:p>
    <w:p w14:paraId="49D8F81C" w14:textId="346EC181" w:rsidR="002238F3" w:rsidRPr="00D816DC" w:rsidRDefault="00FE47F8" w:rsidP="00430669">
      <w:pPr>
        <w:pStyle w:val="Normalnumber"/>
        <w:rPr>
          <w:lang w:val="fr-FR"/>
        </w:rPr>
      </w:pPr>
      <w:r>
        <w:rPr>
          <w:lang w:val="fr-FR"/>
        </w:rPr>
        <w:t>Le document d</w:t>
      </w:r>
      <w:r w:rsidR="0058158D">
        <w:rPr>
          <w:lang w:val="fr-FR"/>
        </w:rPr>
        <w:t>’</w:t>
      </w:r>
      <w:r>
        <w:rPr>
          <w:lang w:val="fr-FR"/>
        </w:rPr>
        <w:t>information paru sous la cote</w:t>
      </w:r>
      <w:r w:rsidR="00CC64D9">
        <w:rPr>
          <w:lang w:val="fr-FR"/>
        </w:rPr>
        <w:t> </w:t>
      </w:r>
      <w:r w:rsidR="00C64F3D">
        <w:rPr>
          <w:lang w:val="fr-FR"/>
        </w:rPr>
        <w:t>UNEP/MC/COP.3/INF/9 compile des fiches d</w:t>
      </w:r>
      <w:r w:rsidR="0058158D">
        <w:rPr>
          <w:lang w:val="fr-FR"/>
        </w:rPr>
        <w:t>’</w:t>
      </w:r>
      <w:r w:rsidR="00C64F3D">
        <w:rPr>
          <w:lang w:val="fr-FR"/>
        </w:rPr>
        <w:t>information sur les</w:t>
      </w:r>
      <w:r w:rsidR="00E239CA">
        <w:rPr>
          <w:lang w:val="fr-FR"/>
        </w:rPr>
        <w:t> </w:t>
      </w:r>
      <w:r w:rsidR="00C64F3D">
        <w:rPr>
          <w:lang w:val="fr-FR"/>
        </w:rPr>
        <w:t>activités inscrites au budget et contient des renseignements supplémentaires sur le projet de programme de travail, ainsi que sur les documents pertinents des réunions, mandats et détails propres à</w:t>
      </w:r>
      <w:r w:rsidR="00E239CA">
        <w:rPr>
          <w:lang w:val="fr-FR"/>
        </w:rPr>
        <w:t> </w:t>
      </w:r>
      <w:r w:rsidR="00C64F3D">
        <w:rPr>
          <w:lang w:val="fr-FR"/>
        </w:rPr>
        <w:t xml:space="preserve">chacune des activités, y compris le contexte et la justification, les résultats escomptés, les indicateurs de succès, les moyens de vérification, les partenaires, les ressources approuvées pour </w:t>
      </w:r>
      <w:r w:rsidR="007C7196">
        <w:rPr>
          <w:lang w:val="fr-FR"/>
        </w:rPr>
        <w:t>2018–2019</w:t>
      </w:r>
      <w:r w:rsidR="00C64F3D">
        <w:rPr>
          <w:lang w:val="fr-FR"/>
        </w:rPr>
        <w:t xml:space="preserve"> et les</w:t>
      </w:r>
      <w:r w:rsidR="00E239CA">
        <w:rPr>
          <w:lang w:val="fr-FR"/>
        </w:rPr>
        <w:t> </w:t>
      </w:r>
      <w:r w:rsidR="00C64F3D">
        <w:rPr>
          <w:lang w:val="fr-FR"/>
        </w:rPr>
        <w:t xml:space="preserve">ressources nécessaires pour </w:t>
      </w:r>
      <w:r w:rsidR="003C11AD">
        <w:rPr>
          <w:lang w:val="fr-FR"/>
        </w:rPr>
        <w:t>2020–2021</w:t>
      </w:r>
      <w:r w:rsidR="00C64F3D">
        <w:rPr>
          <w:lang w:val="fr-FR"/>
        </w:rPr>
        <w:t>.</w:t>
      </w:r>
    </w:p>
    <w:p w14:paraId="6F20D364" w14:textId="765242F7" w:rsidR="00A70083" w:rsidRPr="00CC64D9" w:rsidRDefault="005F2D11" w:rsidP="00E239CA">
      <w:pPr>
        <w:pStyle w:val="CH2"/>
        <w:rPr>
          <w:lang w:val="fr-FR"/>
        </w:rPr>
      </w:pPr>
      <w:r>
        <w:rPr>
          <w:lang w:val="fr-FR"/>
        </w:rPr>
        <w:tab/>
      </w:r>
      <w:r w:rsidR="007A73F7">
        <w:rPr>
          <w:lang w:val="fr-FR"/>
        </w:rPr>
        <w:t>B.</w:t>
      </w:r>
      <w:r w:rsidR="007A73F7">
        <w:rPr>
          <w:lang w:val="fr-FR"/>
        </w:rPr>
        <w:tab/>
      </w:r>
      <w:r w:rsidR="007A73F7" w:rsidRPr="00E239CA">
        <w:t>Présentation</w:t>
      </w:r>
      <w:r w:rsidR="007A73F7">
        <w:rPr>
          <w:lang w:val="fr-FR"/>
        </w:rPr>
        <w:t xml:space="preserve"> des </w:t>
      </w:r>
      <w:r w:rsidR="001013F2" w:rsidRPr="001013F2">
        <w:rPr>
          <w:lang w:val="fr-FR"/>
        </w:rPr>
        <w:t xml:space="preserve">deux scénarios </w:t>
      </w:r>
      <w:r w:rsidR="001013F2">
        <w:rPr>
          <w:lang w:val="fr-FR"/>
        </w:rPr>
        <w:t xml:space="preserve">de </w:t>
      </w:r>
      <w:r w:rsidR="007A73F7">
        <w:rPr>
          <w:lang w:val="fr-FR"/>
        </w:rPr>
        <w:t>budget-programme</w:t>
      </w:r>
    </w:p>
    <w:p w14:paraId="06EEB0FF" w14:textId="250E4AC1" w:rsidR="00A70083" w:rsidRPr="00D816DC" w:rsidRDefault="00E926E0" w:rsidP="00430669">
      <w:pPr>
        <w:pStyle w:val="Normalnumber"/>
        <w:rPr>
          <w:lang w:val="fr-FR"/>
        </w:rPr>
      </w:pPr>
      <w:r w:rsidRPr="00430669">
        <w:t>Conformément</w:t>
      </w:r>
      <w:r>
        <w:rPr>
          <w:lang w:val="fr-FR"/>
        </w:rPr>
        <w:t xml:space="preserve"> au système de gestion financière de l</w:t>
      </w:r>
      <w:r w:rsidR="0058158D">
        <w:rPr>
          <w:lang w:val="fr-FR"/>
        </w:rPr>
        <w:t>’</w:t>
      </w:r>
      <w:r>
        <w:rPr>
          <w:lang w:val="fr-FR"/>
        </w:rPr>
        <w:t xml:space="preserve">Organisation des </w:t>
      </w:r>
      <w:r w:rsidR="006D45E7">
        <w:rPr>
          <w:lang w:val="fr-FR"/>
        </w:rPr>
        <w:t>Nations Unies</w:t>
      </w:r>
      <w:r>
        <w:rPr>
          <w:lang w:val="fr-FR"/>
        </w:rPr>
        <w:t>, les</w:t>
      </w:r>
      <w:r w:rsidR="00E239CA">
        <w:rPr>
          <w:lang w:val="fr-FR"/>
        </w:rPr>
        <w:t> </w:t>
      </w:r>
      <w:r>
        <w:rPr>
          <w:lang w:val="fr-FR"/>
        </w:rPr>
        <w:t>activités qui forment le programme de travail servent de base pour l</w:t>
      </w:r>
      <w:r w:rsidR="0058158D">
        <w:rPr>
          <w:lang w:val="fr-FR"/>
        </w:rPr>
        <w:t>’</w:t>
      </w:r>
      <w:r>
        <w:rPr>
          <w:lang w:val="fr-FR"/>
        </w:rPr>
        <w:t>établissement du budget. Le</w:t>
      </w:r>
      <w:r w:rsidR="00E239CA">
        <w:rPr>
          <w:lang w:val="fr-FR"/>
        </w:rPr>
        <w:t> </w:t>
      </w:r>
      <w:r>
        <w:rPr>
          <w:lang w:val="fr-FR"/>
        </w:rPr>
        <w:t xml:space="preserve">projet de programme de travail et le budget correspondant pour </w:t>
      </w:r>
      <w:r w:rsidR="00CD7BB2">
        <w:rPr>
          <w:lang w:val="fr-FR"/>
        </w:rPr>
        <w:t>la Convention de Minamata sur le</w:t>
      </w:r>
      <w:r w:rsidR="00E239CA">
        <w:rPr>
          <w:lang w:val="fr-FR"/>
        </w:rPr>
        <w:t> </w:t>
      </w:r>
      <w:r w:rsidR="00CD7BB2">
        <w:rPr>
          <w:lang w:val="fr-FR"/>
        </w:rPr>
        <w:t>mercure</w:t>
      </w:r>
      <w:r>
        <w:rPr>
          <w:lang w:val="fr-FR"/>
        </w:rPr>
        <w:t xml:space="preserve"> sont donc organisés en 15</w:t>
      </w:r>
      <w:r w:rsidR="00E546DF">
        <w:rPr>
          <w:lang w:val="fr-FR"/>
        </w:rPr>
        <w:t> </w:t>
      </w:r>
      <w:r>
        <w:rPr>
          <w:lang w:val="fr-FR"/>
        </w:rPr>
        <w:t>activités proposées sous les sept</w:t>
      </w:r>
      <w:r w:rsidR="007F33DF">
        <w:rPr>
          <w:lang w:val="fr-FR"/>
        </w:rPr>
        <w:t> </w:t>
      </w:r>
      <w:r>
        <w:rPr>
          <w:lang w:val="fr-FR"/>
        </w:rPr>
        <w:t>rubriques fonctionnelles (voir</w:t>
      </w:r>
      <w:r w:rsidR="00E239CA">
        <w:rPr>
          <w:lang w:val="fr-FR"/>
        </w:rPr>
        <w:t> </w:t>
      </w:r>
      <w:r>
        <w:rPr>
          <w:lang w:val="fr-FR"/>
        </w:rPr>
        <w:t>annexe</w:t>
      </w:r>
      <w:r w:rsidR="00CC64D9">
        <w:rPr>
          <w:lang w:val="fr-FR"/>
        </w:rPr>
        <w:t> </w:t>
      </w:r>
      <w:r>
        <w:rPr>
          <w:lang w:val="fr-FR"/>
        </w:rPr>
        <w:t>II de la présente note).</w:t>
      </w:r>
    </w:p>
    <w:p w14:paraId="5F1B2F7A" w14:textId="1D02AD29" w:rsidR="00E926E0" w:rsidRPr="00CC64D9" w:rsidRDefault="001013F2" w:rsidP="00430669">
      <w:pPr>
        <w:pStyle w:val="Normalnumber"/>
        <w:rPr>
          <w:lang w:val="fr-FR"/>
        </w:rPr>
      </w:pPr>
      <w:r>
        <w:rPr>
          <w:lang w:val="fr-FR"/>
        </w:rPr>
        <w:t xml:space="preserve">En application du </w:t>
      </w:r>
      <w:r w:rsidRPr="001013F2">
        <w:rPr>
          <w:lang w:val="fr-FR"/>
        </w:rPr>
        <w:t>paragraphe 14</w:t>
      </w:r>
      <w:r>
        <w:rPr>
          <w:lang w:val="fr-FR"/>
        </w:rPr>
        <w:t xml:space="preserve"> de</w:t>
      </w:r>
      <w:r w:rsidR="00E926E0">
        <w:rPr>
          <w:lang w:val="fr-FR"/>
        </w:rPr>
        <w:t xml:space="preserve"> la décision MC-2/12,</w:t>
      </w:r>
      <w:r>
        <w:rPr>
          <w:lang w:val="fr-FR"/>
        </w:rPr>
        <w:t xml:space="preserve"> </w:t>
      </w:r>
      <w:r w:rsidR="00E926E0">
        <w:rPr>
          <w:lang w:val="fr-FR"/>
        </w:rPr>
        <w:t>le secrétariat a préparé deux</w:t>
      </w:r>
      <w:r w:rsidR="00417EBA">
        <w:rPr>
          <w:lang w:val="fr-FR"/>
        </w:rPr>
        <w:t> </w:t>
      </w:r>
      <w:r w:rsidR="00E926E0">
        <w:rPr>
          <w:lang w:val="fr-FR"/>
        </w:rPr>
        <w:t xml:space="preserve">scénarios budgétaires, </w:t>
      </w:r>
      <w:r w:rsidR="007538C7">
        <w:rPr>
          <w:lang w:val="fr-FR"/>
        </w:rPr>
        <w:t>l</w:t>
      </w:r>
      <w:r w:rsidR="0058158D">
        <w:rPr>
          <w:lang w:val="fr-FR"/>
        </w:rPr>
        <w:t>’</w:t>
      </w:r>
      <w:r w:rsidR="00E926E0">
        <w:rPr>
          <w:lang w:val="fr-FR"/>
        </w:rPr>
        <w:t xml:space="preserve">un à croissance nominale nulle et </w:t>
      </w:r>
      <w:r w:rsidR="007538C7">
        <w:rPr>
          <w:lang w:val="fr-FR"/>
        </w:rPr>
        <w:t>l</w:t>
      </w:r>
      <w:r w:rsidR="0058158D">
        <w:rPr>
          <w:lang w:val="fr-FR"/>
        </w:rPr>
        <w:t>’</w:t>
      </w:r>
      <w:r w:rsidR="007538C7">
        <w:rPr>
          <w:lang w:val="fr-FR"/>
        </w:rPr>
        <w:t xml:space="preserve">autre </w:t>
      </w:r>
      <w:r w:rsidR="00E926E0">
        <w:rPr>
          <w:lang w:val="fr-FR"/>
        </w:rPr>
        <w:t xml:space="preserve">reflétant les </w:t>
      </w:r>
      <w:r w:rsidR="007F33DF">
        <w:rPr>
          <w:lang w:val="fr-FR"/>
        </w:rPr>
        <w:t>changement</w:t>
      </w:r>
      <w:r w:rsidR="00D16221">
        <w:rPr>
          <w:lang w:val="fr-FR"/>
        </w:rPr>
        <w:t xml:space="preserve">s </w:t>
      </w:r>
      <w:r w:rsidR="00E926E0">
        <w:rPr>
          <w:lang w:val="fr-FR"/>
        </w:rPr>
        <w:t>à apporter à ce</w:t>
      </w:r>
      <w:r w:rsidR="007B292B">
        <w:rPr>
          <w:lang w:val="fr-FR"/>
        </w:rPr>
        <w:t> </w:t>
      </w:r>
      <w:r w:rsidR="00E926E0">
        <w:rPr>
          <w:lang w:val="fr-FR"/>
        </w:rPr>
        <w:t xml:space="preserve">scénario pour répondre aux besoins </w:t>
      </w:r>
      <w:r w:rsidR="00D40981">
        <w:rPr>
          <w:lang w:val="fr-FR"/>
        </w:rPr>
        <w:t>estimatif</w:t>
      </w:r>
      <w:r w:rsidR="00E926E0">
        <w:rPr>
          <w:lang w:val="fr-FR"/>
        </w:rPr>
        <w:t>s associés à l</w:t>
      </w:r>
      <w:r w:rsidR="0058158D">
        <w:rPr>
          <w:lang w:val="fr-FR"/>
        </w:rPr>
        <w:t>’</w:t>
      </w:r>
      <w:r w:rsidR="00E926E0">
        <w:rPr>
          <w:lang w:val="fr-FR"/>
        </w:rPr>
        <w:t>exécution du programme de travail et à</w:t>
      </w:r>
      <w:r w:rsidR="007B292B">
        <w:rPr>
          <w:lang w:val="fr-FR"/>
        </w:rPr>
        <w:t> </w:t>
      </w:r>
      <w:r w:rsidR="00E926E0">
        <w:rPr>
          <w:lang w:val="fr-FR"/>
        </w:rPr>
        <w:t>la</w:t>
      </w:r>
      <w:r w:rsidR="00E239CA">
        <w:rPr>
          <w:lang w:val="fr-FR"/>
        </w:rPr>
        <w:t> </w:t>
      </w:r>
      <w:r w:rsidR="00E926E0">
        <w:rPr>
          <w:lang w:val="fr-FR"/>
        </w:rPr>
        <w:t>satisfaction du mandat du secrétariat. Les deux</w:t>
      </w:r>
      <w:r w:rsidR="00417EBA">
        <w:rPr>
          <w:lang w:val="fr-FR"/>
        </w:rPr>
        <w:t> </w:t>
      </w:r>
      <w:r w:rsidR="00E926E0" w:rsidRPr="00430669">
        <w:t>scénarios</w:t>
      </w:r>
      <w:r w:rsidR="00E926E0">
        <w:rPr>
          <w:lang w:val="fr-FR"/>
        </w:rPr>
        <w:t xml:space="preserve"> budgétaires sont présentés ci-dessous. </w:t>
      </w:r>
      <w:r w:rsidR="00E926E0">
        <w:rPr>
          <w:lang w:val="fr-FR"/>
        </w:rPr>
        <w:lastRenderedPageBreak/>
        <w:t>Des</w:t>
      </w:r>
      <w:r w:rsidR="00E239CA">
        <w:rPr>
          <w:lang w:val="fr-FR"/>
        </w:rPr>
        <w:t> </w:t>
      </w:r>
      <w:r w:rsidR="00E926E0">
        <w:rPr>
          <w:lang w:val="fr-FR"/>
        </w:rPr>
        <w:t>détails figurent dans les fiches d</w:t>
      </w:r>
      <w:r w:rsidR="0058158D">
        <w:rPr>
          <w:lang w:val="fr-FR"/>
        </w:rPr>
        <w:t>’</w:t>
      </w:r>
      <w:r w:rsidR="00E926E0">
        <w:rPr>
          <w:lang w:val="fr-FR"/>
        </w:rPr>
        <w:t>information relative</w:t>
      </w:r>
      <w:r w:rsidR="00CC64D9">
        <w:rPr>
          <w:lang w:val="fr-FR"/>
        </w:rPr>
        <w:t xml:space="preserve">s </w:t>
      </w:r>
      <w:r w:rsidR="00E926E0">
        <w:rPr>
          <w:lang w:val="fr-FR"/>
        </w:rPr>
        <w:t xml:space="preserve">aux activités inscrites au budget (UNEP/MC/COP.3/INF/9) et dans la fiche de renseignements sur les projets de </w:t>
      </w:r>
      <w:r w:rsidR="007538C7">
        <w:rPr>
          <w:lang w:val="fr-FR"/>
        </w:rPr>
        <w:t>budget opérationnel</w:t>
      </w:r>
      <w:r w:rsidR="00E926E0">
        <w:rPr>
          <w:lang w:val="fr-FR"/>
        </w:rPr>
        <w:t xml:space="preserve"> pour les deux scénarios de financement (UNEP/MC/COP.3/INF/11).</w:t>
      </w:r>
    </w:p>
    <w:p w14:paraId="30F93DED" w14:textId="4EE11A6C" w:rsidR="00F94A05" w:rsidRPr="00CC64D9" w:rsidRDefault="0028120D" w:rsidP="00430669">
      <w:pPr>
        <w:pStyle w:val="Normalnumber"/>
        <w:rPr>
          <w:lang w:val="fr-FR"/>
        </w:rPr>
      </w:pPr>
      <w:r>
        <w:rPr>
          <w:lang w:val="fr-FR"/>
        </w:rPr>
        <w:t>Les chiffres indiqués dans cette section ne comprennent pas les dépenses d</w:t>
      </w:r>
      <w:r w:rsidR="0058158D">
        <w:rPr>
          <w:lang w:val="fr-FR"/>
        </w:rPr>
        <w:t>’</w:t>
      </w:r>
      <w:r>
        <w:rPr>
          <w:lang w:val="fr-FR"/>
        </w:rPr>
        <w:t xml:space="preserve">appui au programme, qui représentent </w:t>
      </w:r>
      <w:r w:rsidRPr="00430669">
        <w:t>généralement</w:t>
      </w:r>
      <w:r>
        <w:rPr>
          <w:lang w:val="fr-FR"/>
        </w:rPr>
        <w:t xml:space="preserve"> 13</w:t>
      </w:r>
      <w:r w:rsidR="00CC64D9">
        <w:rPr>
          <w:lang w:val="fr-FR"/>
        </w:rPr>
        <w:t> </w:t>
      </w:r>
      <w:r>
        <w:rPr>
          <w:lang w:val="fr-FR"/>
        </w:rPr>
        <w:t>% des dépenses prévues au budget.</w:t>
      </w:r>
    </w:p>
    <w:p w14:paraId="3B3EF520" w14:textId="39C858FA" w:rsidR="002828C3" w:rsidRPr="00CC64D9" w:rsidRDefault="005F2D11" w:rsidP="00E239CA">
      <w:pPr>
        <w:pStyle w:val="CH3"/>
        <w:rPr>
          <w:lang w:val="fr-FR"/>
        </w:rPr>
      </w:pPr>
      <w:r>
        <w:rPr>
          <w:lang w:val="fr-FR"/>
        </w:rPr>
        <w:tab/>
      </w:r>
      <w:r w:rsidR="00866240">
        <w:rPr>
          <w:lang w:val="fr-FR"/>
        </w:rPr>
        <w:t>1.</w:t>
      </w:r>
      <w:r w:rsidR="00866240">
        <w:rPr>
          <w:lang w:val="fr-FR"/>
        </w:rPr>
        <w:tab/>
      </w:r>
      <w:r w:rsidR="00866240" w:rsidRPr="00E239CA">
        <w:t>Scénario</w:t>
      </w:r>
      <w:r w:rsidR="00866240">
        <w:rPr>
          <w:lang w:val="fr-FR"/>
        </w:rPr>
        <w:t xml:space="preserve"> </w:t>
      </w:r>
      <w:r w:rsidR="004C5F93">
        <w:rPr>
          <w:lang w:val="fr-FR"/>
        </w:rPr>
        <w:t>de</w:t>
      </w:r>
      <w:r w:rsidR="00866240">
        <w:rPr>
          <w:lang w:val="fr-FR"/>
        </w:rPr>
        <w:t xml:space="preserve"> la Secrétaire exécutive</w:t>
      </w:r>
    </w:p>
    <w:p w14:paraId="74FDAF72" w14:textId="0B52F0CB" w:rsidR="00A70083" w:rsidRPr="00CC64D9" w:rsidRDefault="002828C3" w:rsidP="00430669">
      <w:pPr>
        <w:pStyle w:val="Normalnumber"/>
        <w:rPr>
          <w:lang w:val="fr-FR"/>
        </w:rPr>
      </w:pPr>
      <w:r>
        <w:rPr>
          <w:lang w:val="fr-FR"/>
        </w:rPr>
        <w:t xml:space="preserve">Le </w:t>
      </w:r>
      <w:r w:rsidR="00845710">
        <w:rPr>
          <w:lang w:val="fr-FR"/>
        </w:rPr>
        <w:t xml:space="preserve">point de départ du </w:t>
      </w:r>
      <w:r>
        <w:rPr>
          <w:lang w:val="fr-FR"/>
        </w:rPr>
        <w:t xml:space="preserve">scénario de la Secrétaire exécutive a été </w:t>
      </w:r>
      <w:r w:rsidR="00845710">
        <w:rPr>
          <w:lang w:val="fr-FR"/>
        </w:rPr>
        <w:t>la</w:t>
      </w:r>
      <w:r>
        <w:rPr>
          <w:lang w:val="fr-FR"/>
        </w:rPr>
        <w:t xml:space="preserve"> budg</w:t>
      </w:r>
      <w:r w:rsidR="00845710">
        <w:rPr>
          <w:lang w:val="fr-FR"/>
        </w:rPr>
        <w:t>étisation</w:t>
      </w:r>
      <w:r>
        <w:rPr>
          <w:lang w:val="fr-FR"/>
        </w:rPr>
        <w:t xml:space="preserve"> des éléments essentiels du programme de travail </w:t>
      </w:r>
      <w:r w:rsidR="005C607D">
        <w:rPr>
          <w:lang w:val="fr-FR"/>
        </w:rPr>
        <w:t>aux fins d</w:t>
      </w:r>
      <w:r w:rsidR="0058158D">
        <w:rPr>
          <w:lang w:val="fr-FR"/>
        </w:rPr>
        <w:t>’</w:t>
      </w:r>
      <w:r w:rsidR="005C607D">
        <w:rPr>
          <w:lang w:val="fr-FR"/>
        </w:rPr>
        <w:t>exécution</w:t>
      </w:r>
      <w:r w:rsidR="00845710">
        <w:rPr>
          <w:lang w:val="fr-FR"/>
        </w:rPr>
        <w:t xml:space="preserve"> </w:t>
      </w:r>
      <w:r w:rsidR="005C607D">
        <w:rPr>
          <w:lang w:val="fr-FR"/>
        </w:rPr>
        <w:t>d</w:t>
      </w:r>
      <w:r w:rsidR="00845710">
        <w:rPr>
          <w:lang w:val="fr-FR"/>
        </w:rPr>
        <w:t>es</w:t>
      </w:r>
      <w:r>
        <w:rPr>
          <w:lang w:val="fr-FR"/>
        </w:rPr>
        <w:t xml:space="preserve"> activités prescrites </w:t>
      </w:r>
      <w:r w:rsidR="005C607D">
        <w:rPr>
          <w:lang w:val="fr-FR"/>
        </w:rPr>
        <w:t>au titre d</w:t>
      </w:r>
      <w:r>
        <w:rPr>
          <w:lang w:val="fr-FR"/>
        </w:rPr>
        <w:t>es articles de la</w:t>
      </w:r>
      <w:r w:rsidR="00E239CA">
        <w:rPr>
          <w:lang w:val="fr-FR"/>
        </w:rPr>
        <w:t> </w:t>
      </w:r>
      <w:r>
        <w:rPr>
          <w:lang w:val="fr-FR"/>
        </w:rPr>
        <w:t>Convention. Il s</w:t>
      </w:r>
      <w:r w:rsidR="0058158D">
        <w:rPr>
          <w:lang w:val="fr-FR"/>
        </w:rPr>
        <w:t>’</w:t>
      </w:r>
      <w:r>
        <w:rPr>
          <w:lang w:val="fr-FR"/>
        </w:rPr>
        <w:t>agit d</w:t>
      </w:r>
      <w:r w:rsidR="0058158D">
        <w:rPr>
          <w:lang w:val="fr-FR"/>
        </w:rPr>
        <w:t>’</w:t>
      </w:r>
      <w:r>
        <w:rPr>
          <w:lang w:val="fr-FR"/>
        </w:rPr>
        <w:t xml:space="preserve">éléments </w:t>
      </w:r>
      <w:r w:rsidR="005C607D">
        <w:rPr>
          <w:lang w:val="fr-FR"/>
        </w:rPr>
        <w:t>du programme</w:t>
      </w:r>
      <w:r w:rsidR="00CC64D9">
        <w:rPr>
          <w:lang w:val="fr-FR"/>
        </w:rPr>
        <w:t> </w:t>
      </w:r>
      <w:r w:rsidR="007C7196">
        <w:rPr>
          <w:lang w:val="fr-FR"/>
        </w:rPr>
        <w:t>2018–2019</w:t>
      </w:r>
      <w:r>
        <w:rPr>
          <w:lang w:val="fr-FR"/>
        </w:rPr>
        <w:t>, auxquels s</w:t>
      </w:r>
      <w:r w:rsidR="0058158D">
        <w:rPr>
          <w:lang w:val="fr-FR"/>
        </w:rPr>
        <w:t>’</w:t>
      </w:r>
      <w:r>
        <w:rPr>
          <w:lang w:val="fr-FR"/>
        </w:rPr>
        <w:t xml:space="preserve">ajoutent des activités de base supplémentaires proposées </w:t>
      </w:r>
      <w:r w:rsidR="00C03617">
        <w:rPr>
          <w:lang w:val="fr-FR"/>
        </w:rPr>
        <w:t xml:space="preserve">en </w:t>
      </w:r>
      <w:r w:rsidR="00C03617" w:rsidRPr="00430669">
        <w:t>fonction</w:t>
      </w:r>
      <w:r>
        <w:rPr>
          <w:lang w:val="fr-FR"/>
        </w:rPr>
        <w:t xml:space="preserve"> des mandats existants et des besoins des Parties devant être financés par le </w:t>
      </w:r>
      <w:r w:rsidR="00DB6834">
        <w:rPr>
          <w:lang w:val="fr-FR"/>
        </w:rPr>
        <w:t>Fonds général d</w:t>
      </w:r>
      <w:r w:rsidR="0058158D">
        <w:rPr>
          <w:lang w:val="fr-FR"/>
        </w:rPr>
        <w:t>’</w:t>
      </w:r>
      <w:r w:rsidR="00DB6834">
        <w:rPr>
          <w:lang w:val="fr-FR"/>
        </w:rPr>
        <w:t>affectation spéciale</w:t>
      </w:r>
      <w:r>
        <w:rPr>
          <w:lang w:val="fr-FR"/>
        </w:rPr>
        <w:t xml:space="preserve">. Compte tenu des activités de base supplémentaires proposées, le budget total pour </w:t>
      </w:r>
      <w:r w:rsidR="003C11AD">
        <w:rPr>
          <w:lang w:val="fr-FR"/>
        </w:rPr>
        <w:t>2020–2021</w:t>
      </w:r>
      <w:r>
        <w:rPr>
          <w:lang w:val="fr-FR"/>
        </w:rPr>
        <w:t>, avant dépenses d</w:t>
      </w:r>
      <w:r w:rsidR="0058158D">
        <w:rPr>
          <w:lang w:val="fr-FR"/>
        </w:rPr>
        <w:t>’</w:t>
      </w:r>
      <w:r>
        <w:rPr>
          <w:lang w:val="fr-FR"/>
        </w:rPr>
        <w:t>appui aux programmes, est de 8</w:t>
      </w:r>
      <w:r w:rsidR="00E546DF">
        <w:rPr>
          <w:lang w:val="fr-FR"/>
        </w:rPr>
        <w:t> 665 </w:t>
      </w:r>
      <w:r>
        <w:rPr>
          <w:lang w:val="fr-FR"/>
        </w:rPr>
        <w:t>706</w:t>
      </w:r>
      <w:r w:rsidR="00CC64D9">
        <w:rPr>
          <w:lang w:val="fr-FR"/>
        </w:rPr>
        <w:t> </w:t>
      </w:r>
      <w:r>
        <w:rPr>
          <w:lang w:val="fr-FR"/>
        </w:rPr>
        <w:t>dollars, soit 1</w:t>
      </w:r>
      <w:r w:rsidR="00E546DF">
        <w:rPr>
          <w:lang w:val="fr-FR"/>
        </w:rPr>
        <w:t> 798 </w:t>
      </w:r>
      <w:r>
        <w:rPr>
          <w:lang w:val="fr-FR"/>
        </w:rPr>
        <w:t>806</w:t>
      </w:r>
      <w:r w:rsidR="00CC64D9">
        <w:rPr>
          <w:lang w:val="fr-FR"/>
        </w:rPr>
        <w:t> </w:t>
      </w:r>
      <w:r>
        <w:rPr>
          <w:lang w:val="fr-FR"/>
        </w:rPr>
        <w:t xml:space="preserve">dollars de plus que le budget approuvé </w:t>
      </w:r>
      <w:r w:rsidR="005C607D">
        <w:rPr>
          <w:lang w:val="fr-FR"/>
        </w:rPr>
        <w:t xml:space="preserve">de </w:t>
      </w:r>
      <w:r>
        <w:rPr>
          <w:lang w:val="fr-FR"/>
        </w:rPr>
        <w:t>l</w:t>
      </w:r>
      <w:r w:rsidR="0058158D">
        <w:rPr>
          <w:lang w:val="fr-FR"/>
        </w:rPr>
        <w:t>’</w:t>
      </w:r>
      <w:r>
        <w:rPr>
          <w:lang w:val="fr-FR"/>
        </w:rPr>
        <w:t>exercice biennal</w:t>
      </w:r>
      <w:r w:rsidR="00CC64D9">
        <w:rPr>
          <w:lang w:val="fr-FR"/>
        </w:rPr>
        <w:t> </w:t>
      </w:r>
      <w:r w:rsidR="007C7196">
        <w:rPr>
          <w:lang w:val="fr-FR"/>
        </w:rPr>
        <w:t>2018–2019</w:t>
      </w:r>
      <w:r>
        <w:rPr>
          <w:lang w:val="fr-FR"/>
        </w:rPr>
        <w:t>.</w:t>
      </w:r>
    </w:p>
    <w:p w14:paraId="6822EF2C" w14:textId="3C72DA53" w:rsidR="00A70083" w:rsidRPr="00AC5825" w:rsidRDefault="00072F76" w:rsidP="00430669">
      <w:pPr>
        <w:pStyle w:val="Normalnumber"/>
      </w:pPr>
      <w:r>
        <w:rPr>
          <w:lang w:val="fr-FR"/>
        </w:rPr>
        <w:t>Le scénario de la Secrétaire exécutive, introduit pour répondre aux besoins escomptés, n</w:t>
      </w:r>
      <w:r w:rsidR="0058158D">
        <w:rPr>
          <w:lang w:val="fr-FR"/>
        </w:rPr>
        <w:t>’</w:t>
      </w:r>
      <w:r>
        <w:rPr>
          <w:lang w:val="fr-FR"/>
        </w:rPr>
        <w:t>entraîne aucune économie par rapport au scénario de croissance nominale nulle. Les changements les plus importants sont les suivants</w:t>
      </w:r>
      <w:r w:rsidR="00CC64D9">
        <w:rPr>
          <w:lang w:val="fr-FR"/>
        </w:rPr>
        <w:t> </w:t>
      </w:r>
      <w:r>
        <w:rPr>
          <w:lang w:val="fr-FR"/>
        </w:rPr>
        <w:t>:</w:t>
      </w:r>
    </w:p>
    <w:p w14:paraId="5D500C1B" w14:textId="47C83EED" w:rsidR="00905593" w:rsidRPr="00E239CA" w:rsidRDefault="00E239CA" w:rsidP="00E239CA">
      <w:pPr>
        <w:pStyle w:val="CH4"/>
        <w:rPr>
          <w:i/>
        </w:rPr>
      </w:pPr>
      <w:r w:rsidRPr="00E239CA">
        <w:rPr>
          <w:i/>
          <w:lang w:val="fr-FR"/>
        </w:rPr>
        <w:tab/>
      </w:r>
      <w:r w:rsidR="00866240" w:rsidRPr="00E239CA">
        <w:rPr>
          <w:i/>
          <w:lang w:val="fr-FR"/>
        </w:rPr>
        <w:tab/>
        <w:t>Augmentations par rapport au scénario de croissance nominale nulle</w:t>
      </w:r>
    </w:p>
    <w:p w14:paraId="1D68F81E" w14:textId="09664640" w:rsidR="00905593" w:rsidRPr="00CC64D9" w:rsidRDefault="00905593" w:rsidP="00430669">
      <w:pPr>
        <w:pStyle w:val="Normalnumber"/>
        <w:rPr>
          <w:lang w:val="fr-FR"/>
        </w:rPr>
      </w:pPr>
      <w:r>
        <w:rPr>
          <w:lang w:val="fr-FR"/>
        </w:rPr>
        <w:t xml:space="preserve">Les </w:t>
      </w:r>
      <w:r w:rsidRPr="00430669">
        <w:t>augmentations</w:t>
      </w:r>
      <w:r>
        <w:rPr>
          <w:lang w:val="fr-FR"/>
        </w:rPr>
        <w:t xml:space="preserve"> sont les suivantes</w:t>
      </w:r>
      <w:r w:rsidR="00CC64D9">
        <w:rPr>
          <w:lang w:val="fr-FR"/>
        </w:rPr>
        <w:t> </w:t>
      </w:r>
      <w:r>
        <w:rPr>
          <w:lang w:val="fr-FR"/>
        </w:rPr>
        <w:t>:</w:t>
      </w:r>
    </w:p>
    <w:p w14:paraId="06C426FD" w14:textId="409C2814" w:rsidR="00A70083" w:rsidRPr="00CC64D9" w:rsidRDefault="002828C3" w:rsidP="005064FA">
      <w:pPr>
        <w:pStyle w:val="Normalnumber"/>
        <w:numPr>
          <w:ilvl w:val="1"/>
          <w:numId w:val="4"/>
        </w:numPr>
        <w:rPr>
          <w:lang w:val="fr-FR"/>
        </w:rPr>
      </w:pPr>
      <w:r>
        <w:rPr>
          <w:lang w:val="fr-FR"/>
        </w:rPr>
        <w:t>Activité</w:t>
      </w:r>
      <w:r w:rsidR="00CC64D9">
        <w:rPr>
          <w:lang w:val="fr-FR"/>
        </w:rPr>
        <w:t> </w:t>
      </w:r>
      <w:r>
        <w:rPr>
          <w:lang w:val="fr-FR"/>
        </w:rPr>
        <w:t>1</w:t>
      </w:r>
      <w:r w:rsidR="00CC64D9">
        <w:rPr>
          <w:lang w:val="fr-FR"/>
        </w:rPr>
        <w:t> </w:t>
      </w:r>
      <w:r>
        <w:rPr>
          <w:lang w:val="fr-FR"/>
        </w:rPr>
        <w:t>: un montant supplémentaire de 55</w:t>
      </w:r>
      <w:r w:rsidR="00E546DF">
        <w:rPr>
          <w:lang w:val="fr-FR"/>
        </w:rPr>
        <w:t> </w:t>
      </w:r>
      <w:r>
        <w:rPr>
          <w:lang w:val="fr-FR"/>
        </w:rPr>
        <w:t>000</w:t>
      </w:r>
      <w:r w:rsidR="00CC64D9">
        <w:rPr>
          <w:lang w:val="fr-FR"/>
        </w:rPr>
        <w:t> </w:t>
      </w:r>
      <w:r>
        <w:rPr>
          <w:lang w:val="fr-FR"/>
        </w:rPr>
        <w:t xml:space="preserve">dollars a été alloué pour </w:t>
      </w:r>
      <w:r w:rsidR="00842575">
        <w:rPr>
          <w:lang w:val="fr-FR"/>
        </w:rPr>
        <w:t>l</w:t>
      </w:r>
      <w:r w:rsidR="0058158D">
        <w:rPr>
          <w:lang w:val="fr-FR"/>
        </w:rPr>
        <w:t>’</w:t>
      </w:r>
      <w:r w:rsidR="00842575">
        <w:rPr>
          <w:lang w:val="fr-FR"/>
        </w:rPr>
        <w:t>ajout</w:t>
      </w:r>
      <w:r>
        <w:rPr>
          <w:lang w:val="fr-FR"/>
        </w:rPr>
        <w:t xml:space="preserve"> </w:t>
      </w:r>
      <w:r w:rsidR="00842575">
        <w:rPr>
          <w:lang w:val="fr-FR"/>
        </w:rPr>
        <w:t>d</w:t>
      </w:r>
      <w:r w:rsidR="0058158D">
        <w:rPr>
          <w:lang w:val="fr-FR"/>
        </w:rPr>
        <w:t>’</w:t>
      </w:r>
      <w:r>
        <w:rPr>
          <w:lang w:val="fr-FR"/>
        </w:rPr>
        <w:t>un</w:t>
      </w:r>
      <w:r w:rsidR="00E239CA">
        <w:rPr>
          <w:lang w:val="fr-FR"/>
        </w:rPr>
        <w:t> </w:t>
      </w:r>
      <w:r w:rsidR="00842575">
        <w:rPr>
          <w:lang w:val="fr-FR"/>
        </w:rPr>
        <w:t>segment de haut niveau</w:t>
      </w:r>
      <w:r>
        <w:rPr>
          <w:lang w:val="fr-FR"/>
        </w:rPr>
        <w:t xml:space="preserve"> </w:t>
      </w:r>
      <w:r w:rsidR="00842575">
        <w:rPr>
          <w:lang w:val="fr-FR"/>
        </w:rPr>
        <w:t>à</w:t>
      </w:r>
      <w:r>
        <w:rPr>
          <w:lang w:val="fr-FR"/>
        </w:rPr>
        <w:t xml:space="preserve"> la quatrième</w:t>
      </w:r>
      <w:r w:rsidR="00842575">
        <w:rPr>
          <w:lang w:val="fr-FR"/>
        </w:rPr>
        <w:t xml:space="preserve"> réunion de la</w:t>
      </w:r>
      <w:r w:rsidR="00DA0BF1">
        <w:rPr>
          <w:lang w:val="fr-FR"/>
        </w:rPr>
        <w:t> </w:t>
      </w:r>
      <w:r>
        <w:rPr>
          <w:lang w:val="fr-FR"/>
        </w:rPr>
        <w:t xml:space="preserve">Conférence des Parties à </w:t>
      </w:r>
      <w:r w:rsidR="00CD7BB2">
        <w:rPr>
          <w:lang w:val="fr-FR"/>
        </w:rPr>
        <w:t>la Convention de</w:t>
      </w:r>
      <w:r w:rsidR="007C7196">
        <w:rPr>
          <w:lang w:val="fr-FR"/>
        </w:rPr>
        <w:t> </w:t>
      </w:r>
      <w:r w:rsidR="00CD7BB2">
        <w:rPr>
          <w:lang w:val="fr-FR"/>
        </w:rPr>
        <w:t>Minamata</w:t>
      </w:r>
      <w:r w:rsidR="007C7196">
        <w:rPr>
          <w:lang w:val="fr-FR"/>
        </w:rPr>
        <w:t> ;</w:t>
      </w:r>
    </w:p>
    <w:p w14:paraId="2D4D5C87" w14:textId="74EFCDD0" w:rsidR="002828C3" w:rsidRPr="00D816DC" w:rsidRDefault="002828C3" w:rsidP="005064FA">
      <w:pPr>
        <w:pStyle w:val="Normalnumber"/>
        <w:numPr>
          <w:ilvl w:val="1"/>
          <w:numId w:val="4"/>
        </w:numPr>
        <w:rPr>
          <w:lang w:val="fr-FR"/>
        </w:rPr>
      </w:pPr>
      <w:r>
        <w:rPr>
          <w:lang w:val="fr-FR"/>
        </w:rPr>
        <w:t>Activité</w:t>
      </w:r>
      <w:r w:rsidR="00CC64D9">
        <w:rPr>
          <w:lang w:val="fr-FR"/>
        </w:rPr>
        <w:t> </w:t>
      </w:r>
      <w:r>
        <w:rPr>
          <w:lang w:val="fr-FR"/>
        </w:rPr>
        <w:t>6</w:t>
      </w:r>
      <w:r w:rsidR="00CC64D9">
        <w:rPr>
          <w:lang w:val="fr-FR"/>
        </w:rPr>
        <w:t> </w:t>
      </w:r>
      <w:r>
        <w:rPr>
          <w:lang w:val="fr-FR"/>
        </w:rPr>
        <w:t>: pour aider la Conférence des Parties à évaluer l</w:t>
      </w:r>
      <w:r w:rsidR="0058158D">
        <w:rPr>
          <w:lang w:val="fr-FR"/>
        </w:rPr>
        <w:t>’</w:t>
      </w:r>
      <w:r>
        <w:rPr>
          <w:lang w:val="fr-FR"/>
        </w:rPr>
        <w:t>efficacité de la Convention conformément à l</w:t>
      </w:r>
      <w:r w:rsidR="0058158D">
        <w:rPr>
          <w:lang w:val="fr-FR"/>
        </w:rPr>
        <w:t>’</w:t>
      </w:r>
      <w:r>
        <w:rPr>
          <w:lang w:val="fr-FR"/>
        </w:rPr>
        <w:t>article</w:t>
      </w:r>
      <w:r w:rsidR="00CC64D9">
        <w:rPr>
          <w:lang w:val="fr-FR"/>
        </w:rPr>
        <w:t> </w:t>
      </w:r>
      <w:r>
        <w:rPr>
          <w:lang w:val="fr-FR"/>
        </w:rPr>
        <w:t>22 et au cadre proposé par le groupe spécial d</w:t>
      </w:r>
      <w:r w:rsidR="0058158D">
        <w:rPr>
          <w:lang w:val="fr-FR"/>
        </w:rPr>
        <w:t>’</w:t>
      </w:r>
      <w:r>
        <w:rPr>
          <w:lang w:val="fr-FR"/>
        </w:rPr>
        <w:t>experts techniques, un montant supplémentaire de 582</w:t>
      </w:r>
      <w:r w:rsidR="00E546DF">
        <w:rPr>
          <w:lang w:val="fr-FR"/>
        </w:rPr>
        <w:t> </w:t>
      </w:r>
      <w:r>
        <w:rPr>
          <w:lang w:val="fr-FR"/>
        </w:rPr>
        <w:t>000</w:t>
      </w:r>
      <w:r w:rsidR="00CC64D9">
        <w:rPr>
          <w:lang w:val="fr-FR"/>
        </w:rPr>
        <w:t> </w:t>
      </w:r>
      <w:r>
        <w:rPr>
          <w:lang w:val="fr-FR"/>
        </w:rPr>
        <w:t xml:space="preserve">dollars a été alloué pour </w:t>
      </w:r>
      <w:r w:rsidR="00973E23">
        <w:rPr>
          <w:lang w:val="fr-FR"/>
        </w:rPr>
        <w:t>reporter sur le</w:t>
      </w:r>
      <w:r>
        <w:rPr>
          <w:lang w:val="fr-FR"/>
        </w:rPr>
        <w:t xml:space="preserve"> budget de base </w:t>
      </w:r>
      <w:r w:rsidR="00842575">
        <w:rPr>
          <w:lang w:val="fr-FR"/>
        </w:rPr>
        <w:t>d</w:t>
      </w:r>
      <w:r>
        <w:rPr>
          <w:lang w:val="fr-FR"/>
        </w:rPr>
        <w:t xml:space="preserve">es activités financées par le </w:t>
      </w:r>
      <w:r w:rsidR="00DB6834">
        <w:rPr>
          <w:lang w:val="fr-FR"/>
        </w:rPr>
        <w:t>Fonds d</w:t>
      </w:r>
      <w:r w:rsidR="0058158D">
        <w:rPr>
          <w:lang w:val="fr-FR"/>
        </w:rPr>
        <w:t>’</w:t>
      </w:r>
      <w:r w:rsidR="00DB6834">
        <w:rPr>
          <w:lang w:val="fr-FR"/>
        </w:rPr>
        <w:t>affectation spéciale à des fins déterminées</w:t>
      </w:r>
      <w:r>
        <w:rPr>
          <w:lang w:val="fr-FR"/>
        </w:rPr>
        <w:t xml:space="preserve"> dans le scénario de croissance nominale nulle, afin de permettre l</w:t>
      </w:r>
      <w:r w:rsidR="0058158D">
        <w:rPr>
          <w:lang w:val="fr-FR"/>
        </w:rPr>
        <w:t>’</w:t>
      </w:r>
      <w:r>
        <w:rPr>
          <w:lang w:val="fr-FR"/>
        </w:rPr>
        <w:t>élaboration d</w:t>
      </w:r>
      <w:r w:rsidR="0058158D">
        <w:rPr>
          <w:lang w:val="fr-FR"/>
        </w:rPr>
        <w:t>’</w:t>
      </w:r>
      <w:r>
        <w:rPr>
          <w:lang w:val="fr-FR"/>
        </w:rPr>
        <w:t>un rapport sur les émissions et rejets, d</w:t>
      </w:r>
      <w:r w:rsidR="0058158D">
        <w:rPr>
          <w:lang w:val="fr-FR"/>
        </w:rPr>
        <w:t>’</w:t>
      </w:r>
      <w:r>
        <w:rPr>
          <w:lang w:val="fr-FR"/>
        </w:rPr>
        <w:t>un rapport sur l</w:t>
      </w:r>
      <w:r w:rsidR="0058158D">
        <w:rPr>
          <w:lang w:val="fr-FR"/>
        </w:rPr>
        <w:t>’</w:t>
      </w:r>
      <w:r>
        <w:rPr>
          <w:lang w:val="fr-FR"/>
        </w:rPr>
        <w:t>offre, la demande et</w:t>
      </w:r>
      <w:r w:rsidR="00E239CA">
        <w:rPr>
          <w:lang w:val="fr-FR"/>
        </w:rPr>
        <w:t> </w:t>
      </w:r>
      <w:r>
        <w:rPr>
          <w:lang w:val="fr-FR"/>
        </w:rPr>
        <w:t>le commerce ainsi que d</w:t>
      </w:r>
      <w:r w:rsidR="0058158D">
        <w:rPr>
          <w:lang w:val="fr-FR"/>
        </w:rPr>
        <w:t>’</w:t>
      </w:r>
      <w:r>
        <w:rPr>
          <w:lang w:val="fr-FR"/>
        </w:rPr>
        <w:t>un rapport sur les déchets</w:t>
      </w:r>
      <w:r w:rsidR="007C7196">
        <w:rPr>
          <w:lang w:val="fr-FR"/>
        </w:rPr>
        <w:t> ;</w:t>
      </w:r>
    </w:p>
    <w:p w14:paraId="0BE361B7" w14:textId="2C4A3440" w:rsidR="002828C3" w:rsidRPr="00D816DC" w:rsidRDefault="002828C3" w:rsidP="005064FA">
      <w:pPr>
        <w:pStyle w:val="Normalnumber"/>
        <w:numPr>
          <w:ilvl w:val="1"/>
          <w:numId w:val="4"/>
        </w:numPr>
        <w:rPr>
          <w:lang w:val="fr-FR"/>
        </w:rPr>
      </w:pPr>
      <w:r>
        <w:rPr>
          <w:lang w:val="fr-FR"/>
        </w:rPr>
        <w:t>Activité</w:t>
      </w:r>
      <w:r w:rsidR="00CC64D9">
        <w:rPr>
          <w:lang w:val="fr-FR"/>
        </w:rPr>
        <w:t> </w:t>
      </w:r>
      <w:r>
        <w:rPr>
          <w:lang w:val="fr-FR"/>
        </w:rPr>
        <w:t>7</w:t>
      </w:r>
      <w:r w:rsidR="00CC64D9">
        <w:rPr>
          <w:lang w:val="fr-FR"/>
        </w:rPr>
        <w:t> </w:t>
      </w:r>
      <w:r>
        <w:rPr>
          <w:lang w:val="fr-FR"/>
        </w:rPr>
        <w:t>: le secrétariat a estimé qu</w:t>
      </w:r>
      <w:r w:rsidR="0058158D">
        <w:rPr>
          <w:lang w:val="fr-FR"/>
        </w:rPr>
        <w:t>’</w:t>
      </w:r>
      <w:r>
        <w:rPr>
          <w:lang w:val="fr-FR"/>
        </w:rPr>
        <w:t>il faudrait 95</w:t>
      </w:r>
      <w:r w:rsidR="00E546DF">
        <w:rPr>
          <w:lang w:val="fr-FR"/>
        </w:rPr>
        <w:t> </w:t>
      </w:r>
      <w:r>
        <w:rPr>
          <w:lang w:val="fr-FR"/>
        </w:rPr>
        <w:t>000</w:t>
      </w:r>
      <w:r w:rsidR="00CC64D9">
        <w:rPr>
          <w:lang w:val="fr-FR"/>
        </w:rPr>
        <w:t> </w:t>
      </w:r>
      <w:r>
        <w:rPr>
          <w:lang w:val="fr-FR"/>
        </w:rPr>
        <w:t>dollars au cours de l</w:t>
      </w:r>
      <w:r w:rsidR="0058158D">
        <w:rPr>
          <w:lang w:val="fr-FR"/>
        </w:rPr>
        <w:t>’</w:t>
      </w:r>
      <w:r>
        <w:rPr>
          <w:lang w:val="fr-FR"/>
        </w:rPr>
        <w:t xml:space="preserve">exercice biennal pour mettre au point un système électronique </w:t>
      </w:r>
      <w:r w:rsidR="00973E23">
        <w:rPr>
          <w:lang w:val="fr-FR"/>
        </w:rPr>
        <w:t>de commun</w:t>
      </w:r>
      <w:r>
        <w:rPr>
          <w:lang w:val="fr-FR"/>
        </w:rPr>
        <w:t xml:space="preserve">ication en ligne </w:t>
      </w:r>
      <w:r w:rsidR="00973E23">
        <w:rPr>
          <w:lang w:val="fr-FR"/>
        </w:rPr>
        <w:t xml:space="preserve">des données nationales </w:t>
      </w:r>
      <w:r>
        <w:rPr>
          <w:lang w:val="fr-FR"/>
        </w:rPr>
        <w:t>pour le</w:t>
      </w:r>
      <w:r w:rsidR="00E239CA">
        <w:rPr>
          <w:lang w:val="fr-FR"/>
        </w:rPr>
        <w:t> </w:t>
      </w:r>
      <w:r>
        <w:rPr>
          <w:lang w:val="fr-FR"/>
        </w:rPr>
        <w:t>premier</w:t>
      </w:r>
      <w:r w:rsidR="00E239CA">
        <w:rPr>
          <w:lang w:val="fr-FR"/>
        </w:rPr>
        <w:t> </w:t>
      </w:r>
      <w:r>
        <w:rPr>
          <w:lang w:val="fr-FR"/>
        </w:rPr>
        <w:t>rapport complet que les Parties devront présenter d</w:t>
      </w:r>
      <w:r w:rsidR="0058158D">
        <w:rPr>
          <w:lang w:val="fr-FR"/>
        </w:rPr>
        <w:t>’</w:t>
      </w:r>
      <w:r>
        <w:rPr>
          <w:lang w:val="fr-FR"/>
        </w:rPr>
        <w:t>ici au 31</w:t>
      </w:r>
      <w:r w:rsidR="00E546DF">
        <w:rPr>
          <w:lang w:val="fr-FR"/>
        </w:rPr>
        <w:t> </w:t>
      </w:r>
      <w:r>
        <w:rPr>
          <w:lang w:val="fr-FR"/>
        </w:rPr>
        <w:t>décembre</w:t>
      </w:r>
      <w:r w:rsidR="00E546DF">
        <w:rPr>
          <w:lang w:val="fr-FR"/>
        </w:rPr>
        <w:t> </w:t>
      </w:r>
      <w:r>
        <w:rPr>
          <w:lang w:val="fr-FR"/>
        </w:rPr>
        <w:t>2021, y compris la</w:t>
      </w:r>
      <w:r w:rsidR="00E239CA">
        <w:rPr>
          <w:lang w:val="fr-FR"/>
        </w:rPr>
        <w:t> </w:t>
      </w:r>
      <w:r>
        <w:rPr>
          <w:lang w:val="fr-FR"/>
        </w:rPr>
        <w:t>formation et</w:t>
      </w:r>
      <w:r w:rsidR="00E239CA">
        <w:rPr>
          <w:lang w:val="fr-FR"/>
        </w:rPr>
        <w:t> </w:t>
      </w:r>
      <w:r>
        <w:rPr>
          <w:lang w:val="fr-FR"/>
        </w:rPr>
        <w:t>les outils nécessaires, et pour procéder à une évaluation des rapports soumis par les</w:t>
      </w:r>
      <w:r w:rsidR="00E239CA">
        <w:rPr>
          <w:lang w:val="fr-FR"/>
        </w:rPr>
        <w:t> </w:t>
      </w:r>
      <w:r>
        <w:rPr>
          <w:lang w:val="fr-FR"/>
        </w:rPr>
        <w:t>Parties conformément à l</w:t>
      </w:r>
      <w:r w:rsidR="0058158D">
        <w:rPr>
          <w:lang w:val="fr-FR"/>
        </w:rPr>
        <w:t>’</w:t>
      </w:r>
      <w:r>
        <w:rPr>
          <w:lang w:val="fr-FR"/>
        </w:rPr>
        <w:t>article</w:t>
      </w:r>
      <w:r w:rsidR="00CC64D9">
        <w:rPr>
          <w:lang w:val="fr-FR"/>
        </w:rPr>
        <w:t> </w:t>
      </w:r>
      <w:r>
        <w:rPr>
          <w:lang w:val="fr-FR"/>
        </w:rPr>
        <w:t>21. Ce montant a été ramené à 60</w:t>
      </w:r>
      <w:r w:rsidR="00E546DF">
        <w:rPr>
          <w:lang w:val="fr-FR"/>
        </w:rPr>
        <w:t> </w:t>
      </w:r>
      <w:r>
        <w:rPr>
          <w:lang w:val="fr-FR"/>
        </w:rPr>
        <w:t>000</w:t>
      </w:r>
      <w:r w:rsidR="00CC64D9">
        <w:rPr>
          <w:lang w:val="fr-FR"/>
        </w:rPr>
        <w:t> </w:t>
      </w:r>
      <w:r>
        <w:rPr>
          <w:lang w:val="fr-FR"/>
        </w:rPr>
        <w:t>dollars pour parvenir au</w:t>
      </w:r>
      <w:r w:rsidR="00E239CA">
        <w:rPr>
          <w:lang w:val="fr-FR"/>
        </w:rPr>
        <w:t> </w:t>
      </w:r>
      <w:r>
        <w:rPr>
          <w:lang w:val="fr-FR"/>
        </w:rPr>
        <w:t>scénario de croissance nominale nulle, ce qui a entraîné une réduction correspondante de la portée et des produits des activités concernées. En conséquence, le scénario de la</w:t>
      </w:r>
      <w:r w:rsidR="007B292B">
        <w:rPr>
          <w:lang w:val="fr-FR"/>
        </w:rPr>
        <w:t> </w:t>
      </w:r>
      <w:r>
        <w:rPr>
          <w:lang w:val="fr-FR"/>
        </w:rPr>
        <w:t>Secrétaire exécutive implique un coût supplémentaire de 35</w:t>
      </w:r>
      <w:r w:rsidR="00E546DF">
        <w:rPr>
          <w:lang w:val="fr-FR"/>
        </w:rPr>
        <w:t> </w:t>
      </w:r>
      <w:r>
        <w:rPr>
          <w:lang w:val="fr-FR"/>
        </w:rPr>
        <w:t>000</w:t>
      </w:r>
      <w:r w:rsidR="00CC64D9">
        <w:rPr>
          <w:lang w:val="fr-FR"/>
        </w:rPr>
        <w:t> </w:t>
      </w:r>
      <w:r>
        <w:rPr>
          <w:lang w:val="fr-FR"/>
        </w:rPr>
        <w:t>dollars pour cette activité afin de répondre aux besoins prévus</w:t>
      </w:r>
      <w:r w:rsidR="007C7196">
        <w:rPr>
          <w:lang w:val="fr-FR"/>
        </w:rPr>
        <w:t> ;</w:t>
      </w:r>
    </w:p>
    <w:p w14:paraId="31E429EF" w14:textId="78CE5E02" w:rsidR="00A70083" w:rsidRPr="00D816DC" w:rsidRDefault="002828C3" w:rsidP="005064FA">
      <w:pPr>
        <w:pStyle w:val="Normalnumber"/>
        <w:numPr>
          <w:ilvl w:val="1"/>
          <w:numId w:val="4"/>
        </w:numPr>
        <w:rPr>
          <w:lang w:val="fr-FR"/>
        </w:rPr>
      </w:pPr>
      <w:r>
        <w:rPr>
          <w:lang w:val="fr-FR"/>
        </w:rPr>
        <w:t>Activité</w:t>
      </w:r>
      <w:r w:rsidR="00CC64D9">
        <w:rPr>
          <w:lang w:val="fr-FR"/>
        </w:rPr>
        <w:t> </w:t>
      </w:r>
      <w:r>
        <w:rPr>
          <w:lang w:val="fr-FR"/>
        </w:rPr>
        <w:t>8</w:t>
      </w:r>
      <w:r w:rsidR="00CC64D9">
        <w:rPr>
          <w:lang w:val="fr-FR"/>
        </w:rPr>
        <w:t> </w:t>
      </w:r>
      <w:r>
        <w:rPr>
          <w:lang w:val="fr-FR"/>
        </w:rPr>
        <w:t>: dans le domaine des publications, un montant supplémentaire de 65</w:t>
      </w:r>
      <w:r w:rsidR="00E546DF">
        <w:rPr>
          <w:lang w:val="fr-FR"/>
        </w:rPr>
        <w:t> </w:t>
      </w:r>
      <w:r>
        <w:rPr>
          <w:lang w:val="fr-FR"/>
        </w:rPr>
        <w:t>000</w:t>
      </w:r>
      <w:r w:rsidR="00CC64D9">
        <w:rPr>
          <w:lang w:val="fr-FR"/>
        </w:rPr>
        <w:t> </w:t>
      </w:r>
      <w:r>
        <w:rPr>
          <w:lang w:val="fr-FR"/>
        </w:rPr>
        <w:t>dollars est nécessaire pour inclure la traduction des publications dans le budget de base plutôt que dans les contributions volontaires</w:t>
      </w:r>
      <w:r w:rsidR="007C7196">
        <w:rPr>
          <w:lang w:val="fr-FR"/>
        </w:rPr>
        <w:t> ;</w:t>
      </w:r>
    </w:p>
    <w:p w14:paraId="6E38E6D2" w14:textId="54F365E6" w:rsidR="00A70083" w:rsidRPr="00CC64D9" w:rsidRDefault="002828C3" w:rsidP="005064FA">
      <w:pPr>
        <w:pStyle w:val="Normalnumber"/>
        <w:numPr>
          <w:ilvl w:val="1"/>
          <w:numId w:val="4"/>
        </w:numPr>
        <w:rPr>
          <w:lang w:val="fr-FR"/>
        </w:rPr>
      </w:pPr>
      <w:r>
        <w:rPr>
          <w:lang w:val="fr-FR"/>
        </w:rPr>
        <w:t>Activité 10</w:t>
      </w:r>
      <w:r w:rsidR="00CC64D9">
        <w:rPr>
          <w:lang w:val="fr-FR"/>
        </w:rPr>
        <w:t> </w:t>
      </w:r>
      <w:r>
        <w:rPr>
          <w:lang w:val="fr-FR"/>
        </w:rPr>
        <w:t xml:space="preserve">: </w:t>
      </w:r>
      <w:r w:rsidR="008D7322">
        <w:rPr>
          <w:lang w:val="fr-FR"/>
        </w:rPr>
        <w:t xml:space="preserve">afin de </w:t>
      </w:r>
      <w:r>
        <w:rPr>
          <w:lang w:val="fr-FR"/>
        </w:rPr>
        <w:t>pouvoir exécuter le programme de travail du secrétariat pour l</w:t>
      </w:r>
      <w:r w:rsidR="0058158D">
        <w:rPr>
          <w:lang w:val="fr-FR"/>
        </w:rPr>
        <w:t>’</w:t>
      </w:r>
      <w:r>
        <w:rPr>
          <w:lang w:val="fr-FR"/>
        </w:rPr>
        <w:t>exercice biennal</w:t>
      </w:r>
      <w:r w:rsidR="00CC64D9">
        <w:rPr>
          <w:lang w:val="fr-FR"/>
        </w:rPr>
        <w:t> </w:t>
      </w:r>
      <w:r w:rsidR="003C11AD">
        <w:rPr>
          <w:lang w:val="fr-FR"/>
        </w:rPr>
        <w:t>2020–2021</w:t>
      </w:r>
      <w:r>
        <w:rPr>
          <w:lang w:val="fr-FR"/>
        </w:rPr>
        <w:t>, un montant supplémentaire de 815</w:t>
      </w:r>
      <w:r w:rsidR="00E546DF">
        <w:rPr>
          <w:lang w:val="fr-FR"/>
        </w:rPr>
        <w:t> </w:t>
      </w:r>
      <w:r>
        <w:rPr>
          <w:lang w:val="fr-FR"/>
        </w:rPr>
        <w:t>283</w:t>
      </w:r>
      <w:r w:rsidR="00CC64D9">
        <w:rPr>
          <w:lang w:val="fr-FR"/>
        </w:rPr>
        <w:t> </w:t>
      </w:r>
      <w:r>
        <w:rPr>
          <w:lang w:val="fr-FR"/>
        </w:rPr>
        <w:t>dollars est nécessaire dans le</w:t>
      </w:r>
      <w:r w:rsidR="00E239CA">
        <w:rPr>
          <w:lang w:val="fr-FR"/>
        </w:rPr>
        <w:t> </w:t>
      </w:r>
      <w:r>
        <w:rPr>
          <w:lang w:val="fr-FR"/>
        </w:rPr>
        <w:t>domaine de la direction exécutive et de l</w:t>
      </w:r>
      <w:r w:rsidR="0058158D">
        <w:rPr>
          <w:lang w:val="fr-FR"/>
        </w:rPr>
        <w:t>’</w:t>
      </w:r>
      <w:r>
        <w:rPr>
          <w:lang w:val="fr-FR"/>
        </w:rPr>
        <w:t>administration pour un administrateur de programme (P-4) afin d</w:t>
      </w:r>
      <w:r w:rsidR="0058158D">
        <w:rPr>
          <w:lang w:val="fr-FR"/>
        </w:rPr>
        <w:t>’</w:t>
      </w:r>
      <w:r>
        <w:rPr>
          <w:lang w:val="fr-FR"/>
        </w:rPr>
        <w:t>appuyer les travaux du Programme international spécifique, notamment en fournissant des</w:t>
      </w:r>
      <w:r w:rsidR="00E239CA">
        <w:rPr>
          <w:lang w:val="fr-FR"/>
        </w:rPr>
        <w:t> </w:t>
      </w:r>
      <w:r>
        <w:rPr>
          <w:lang w:val="fr-FR"/>
        </w:rPr>
        <w:t>services de secrétariat à son Conseil de direction, en gérant ses processus de candidature et d</w:t>
      </w:r>
      <w:r w:rsidR="0058158D">
        <w:rPr>
          <w:lang w:val="fr-FR"/>
        </w:rPr>
        <w:t>’</w:t>
      </w:r>
      <w:r>
        <w:rPr>
          <w:lang w:val="fr-FR"/>
        </w:rPr>
        <w:t>évaluation, en assurant la mise en œuvre administrative et fonctionnelle des projets approuvés, en</w:t>
      </w:r>
      <w:r w:rsidR="00E239CA">
        <w:rPr>
          <w:lang w:val="fr-FR"/>
        </w:rPr>
        <w:t> </w:t>
      </w:r>
      <w:r>
        <w:rPr>
          <w:lang w:val="fr-FR"/>
        </w:rPr>
        <w:t>établissant les rapports des donateurs et en supervisant l</w:t>
      </w:r>
      <w:r w:rsidR="0058158D">
        <w:rPr>
          <w:lang w:val="fr-FR"/>
        </w:rPr>
        <w:t>’</w:t>
      </w:r>
      <w:r>
        <w:rPr>
          <w:lang w:val="fr-FR"/>
        </w:rPr>
        <w:t xml:space="preserve">évaluation, le suivi et la vérification nécessaires au </w:t>
      </w:r>
      <w:r w:rsidR="00591A9A">
        <w:rPr>
          <w:lang w:val="fr-FR"/>
        </w:rPr>
        <w:t>Programme</w:t>
      </w:r>
      <w:r>
        <w:rPr>
          <w:lang w:val="fr-FR"/>
        </w:rPr>
        <w:t>. En outre, dans ce domaine, il est proposé de scinder l</w:t>
      </w:r>
      <w:r w:rsidR="0058158D">
        <w:rPr>
          <w:lang w:val="fr-FR"/>
        </w:rPr>
        <w:t>’</w:t>
      </w:r>
      <w:r>
        <w:rPr>
          <w:lang w:val="fr-FR"/>
        </w:rPr>
        <w:t>actuel poste</w:t>
      </w:r>
      <w:r w:rsidR="00CC64D9">
        <w:rPr>
          <w:lang w:val="fr-FR"/>
        </w:rPr>
        <w:t> </w:t>
      </w:r>
      <w:r>
        <w:rPr>
          <w:lang w:val="fr-FR"/>
        </w:rPr>
        <w:t>P-3 de</w:t>
      </w:r>
      <w:r w:rsidR="00E239CA">
        <w:rPr>
          <w:lang w:val="fr-FR"/>
        </w:rPr>
        <w:t> </w:t>
      </w:r>
      <w:r>
        <w:rPr>
          <w:lang w:val="fr-FR"/>
        </w:rPr>
        <w:t xml:space="preserve">spécialiste de la communication et de la gestion des connaissances en </w:t>
      </w:r>
      <w:r w:rsidR="003C2572">
        <w:rPr>
          <w:lang w:val="fr-FR"/>
        </w:rPr>
        <w:t>deux </w:t>
      </w:r>
      <w:r>
        <w:rPr>
          <w:lang w:val="fr-FR"/>
        </w:rPr>
        <w:t>domaines d</w:t>
      </w:r>
      <w:r w:rsidR="0058158D">
        <w:rPr>
          <w:lang w:val="fr-FR"/>
        </w:rPr>
        <w:t>’</w:t>
      </w:r>
      <w:r>
        <w:rPr>
          <w:lang w:val="fr-FR"/>
        </w:rPr>
        <w:t>expertise fonctionnels distincts, à savoir un responsable de la communication (P-3) et un spécialiste de la</w:t>
      </w:r>
      <w:r w:rsidR="00E239CA">
        <w:rPr>
          <w:lang w:val="fr-FR"/>
        </w:rPr>
        <w:t> </w:t>
      </w:r>
      <w:r>
        <w:rPr>
          <w:lang w:val="fr-FR"/>
        </w:rPr>
        <w:t>gestion des connaissances (P-3). Cette répartition des fonctions est jugée nécessaire sur la base de l</w:t>
      </w:r>
      <w:r w:rsidR="0058158D">
        <w:rPr>
          <w:lang w:val="fr-FR"/>
        </w:rPr>
        <w:t>’</w:t>
      </w:r>
      <w:r>
        <w:rPr>
          <w:lang w:val="fr-FR"/>
        </w:rPr>
        <w:t>expérience acquise au cours des 18</w:t>
      </w:r>
      <w:r w:rsidR="00E546DF">
        <w:rPr>
          <w:lang w:val="fr-FR"/>
        </w:rPr>
        <w:t> </w:t>
      </w:r>
      <w:r>
        <w:rPr>
          <w:lang w:val="fr-FR"/>
        </w:rPr>
        <w:t>derniers mois, qui montre la nécessité de disposer d</w:t>
      </w:r>
      <w:r w:rsidR="0058158D">
        <w:rPr>
          <w:lang w:val="fr-FR"/>
        </w:rPr>
        <w:t>’</w:t>
      </w:r>
      <w:r>
        <w:rPr>
          <w:lang w:val="fr-FR"/>
        </w:rPr>
        <w:t xml:space="preserve">une expertise spécifique dans </w:t>
      </w:r>
      <w:r w:rsidR="00591A9A">
        <w:rPr>
          <w:lang w:val="fr-FR"/>
        </w:rPr>
        <w:t xml:space="preserve">chaque </w:t>
      </w:r>
      <w:r>
        <w:rPr>
          <w:lang w:val="fr-FR"/>
        </w:rPr>
        <w:t>domaine d</w:t>
      </w:r>
      <w:r w:rsidR="0058158D">
        <w:rPr>
          <w:lang w:val="fr-FR"/>
        </w:rPr>
        <w:t>’</w:t>
      </w:r>
      <w:r>
        <w:rPr>
          <w:lang w:val="fr-FR"/>
        </w:rPr>
        <w:t>activité et d</w:t>
      </w:r>
      <w:r w:rsidR="0058158D">
        <w:rPr>
          <w:lang w:val="fr-FR"/>
        </w:rPr>
        <w:t>’</w:t>
      </w:r>
      <w:r>
        <w:rPr>
          <w:lang w:val="fr-FR"/>
        </w:rPr>
        <w:t>une capacité accrue pour gérer les tâches de communication et de gestion des connaissances à accomplir. L</w:t>
      </w:r>
      <w:r w:rsidR="0058158D">
        <w:rPr>
          <w:lang w:val="fr-FR"/>
        </w:rPr>
        <w:t>’</w:t>
      </w:r>
      <w:r>
        <w:rPr>
          <w:lang w:val="fr-FR"/>
        </w:rPr>
        <w:t xml:space="preserve">augmentation </w:t>
      </w:r>
      <w:r w:rsidR="003A2221">
        <w:rPr>
          <w:lang w:val="fr-FR"/>
        </w:rPr>
        <w:t xml:space="preserve">comprend </w:t>
      </w:r>
      <w:r>
        <w:rPr>
          <w:lang w:val="fr-FR"/>
        </w:rPr>
        <w:t>également un</w:t>
      </w:r>
      <w:r w:rsidR="00E239CA">
        <w:rPr>
          <w:lang w:val="fr-FR"/>
        </w:rPr>
        <w:t> </w:t>
      </w:r>
      <w:r>
        <w:rPr>
          <w:lang w:val="fr-FR"/>
        </w:rPr>
        <w:t>montant supplémentaire de 20</w:t>
      </w:r>
      <w:r w:rsidR="00E546DF">
        <w:rPr>
          <w:lang w:val="fr-FR"/>
        </w:rPr>
        <w:t> </w:t>
      </w:r>
      <w:r>
        <w:rPr>
          <w:lang w:val="fr-FR"/>
        </w:rPr>
        <w:t>000 dollars</w:t>
      </w:r>
      <w:r w:rsidR="003A2221">
        <w:rPr>
          <w:lang w:val="fr-FR"/>
        </w:rPr>
        <w:t>,</w:t>
      </w:r>
      <w:r>
        <w:rPr>
          <w:lang w:val="fr-FR"/>
        </w:rPr>
        <w:t xml:space="preserve"> </w:t>
      </w:r>
      <w:r w:rsidR="003A2221">
        <w:rPr>
          <w:lang w:val="fr-FR"/>
        </w:rPr>
        <w:t>affecté aux</w:t>
      </w:r>
      <w:r>
        <w:rPr>
          <w:lang w:val="fr-FR"/>
        </w:rPr>
        <w:t xml:space="preserve"> voyages du personnel</w:t>
      </w:r>
      <w:r w:rsidR="003A2221">
        <w:rPr>
          <w:lang w:val="fr-FR"/>
        </w:rPr>
        <w:t>,</w:t>
      </w:r>
      <w:r>
        <w:rPr>
          <w:lang w:val="fr-FR"/>
        </w:rPr>
        <w:t xml:space="preserve"> </w:t>
      </w:r>
      <w:r w:rsidR="003A2221">
        <w:rPr>
          <w:lang w:val="fr-FR"/>
        </w:rPr>
        <w:t>qui</w:t>
      </w:r>
      <w:r>
        <w:rPr>
          <w:lang w:val="fr-FR"/>
        </w:rPr>
        <w:t xml:space="preserve"> ram</w:t>
      </w:r>
      <w:r w:rsidR="003A2221">
        <w:rPr>
          <w:lang w:val="fr-FR"/>
        </w:rPr>
        <w:t>ène</w:t>
      </w:r>
      <w:r>
        <w:rPr>
          <w:lang w:val="fr-FR"/>
        </w:rPr>
        <w:t xml:space="preserve"> le</w:t>
      </w:r>
      <w:r w:rsidR="00E239CA">
        <w:rPr>
          <w:lang w:val="fr-FR"/>
        </w:rPr>
        <w:t> </w:t>
      </w:r>
      <w:r>
        <w:rPr>
          <w:lang w:val="fr-FR"/>
        </w:rPr>
        <w:t xml:space="preserve">montant </w:t>
      </w:r>
      <w:r w:rsidR="003A2221">
        <w:rPr>
          <w:lang w:val="fr-FR"/>
        </w:rPr>
        <w:t>inscrit</w:t>
      </w:r>
      <w:r>
        <w:rPr>
          <w:lang w:val="fr-FR"/>
        </w:rPr>
        <w:t xml:space="preserve"> au budget </w:t>
      </w:r>
      <w:r w:rsidR="003A2221">
        <w:rPr>
          <w:lang w:val="fr-FR"/>
        </w:rPr>
        <w:t xml:space="preserve">à son </w:t>
      </w:r>
      <w:r>
        <w:rPr>
          <w:lang w:val="fr-FR"/>
        </w:rPr>
        <w:t xml:space="preserve">niveau de </w:t>
      </w:r>
      <w:r w:rsidR="007C7196">
        <w:rPr>
          <w:lang w:val="fr-FR"/>
        </w:rPr>
        <w:t>2018–2019</w:t>
      </w:r>
      <w:r w:rsidR="003A2221">
        <w:rPr>
          <w:lang w:val="fr-FR"/>
        </w:rPr>
        <w:t>, alors qu’il avait dû être réduit</w:t>
      </w:r>
      <w:r w:rsidR="00591A9A">
        <w:rPr>
          <w:lang w:val="fr-FR"/>
        </w:rPr>
        <w:t xml:space="preserve"> </w:t>
      </w:r>
      <w:r w:rsidR="003A2221">
        <w:rPr>
          <w:lang w:val="fr-FR"/>
        </w:rPr>
        <w:t>pour maintenir la croissance nominale à zéro dans le</w:t>
      </w:r>
      <w:r w:rsidR="00591A9A">
        <w:rPr>
          <w:lang w:val="fr-FR"/>
        </w:rPr>
        <w:t xml:space="preserve"> scénario de croissance nominale nulle</w:t>
      </w:r>
      <w:r w:rsidR="007C7196">
        <w:rPr>
          <w:lang w:val="fr-FR"/>
        </w:rPr>
        <w:t> ;</w:t>
      </w:r>
    </w:p>
    <w:p w14:paraId="4492FBAA" w14:textId="42E0544C" w:rsidR="002828C3" w:rsidRPr="00CC64D9" w:rsidRDefault="002828C3" w:rsidP="005064FA">
      <w:pPr>
        <w:pStyle w:val="Normalnumber"/>
        <w:numPr>
          <w:ilvl w:val="1"/>
          <w:numId w:val="4"/>
        </w:numPr>
        <w:rPr>
          <w:lang w:val="fr-FR"/>
        </w:rPr>
      </w:pPr>
      <w:r>
        <w:rPr>
          <w:lang w:val="fr-FR"/>
        </w:rPr>
        <w:lastRenderedPageBreak/>
        <w:t>Activité</w:t>
      </w:r>
      <w:r w:rsidR="00CC64D9">
        <w:rPr>
          <w:lang w:val="fr-FR"/>
        </w:rPr>
        <w:t> </w:t>
      </w:r>
      <w:r>
        <w:rPr>
          <w:lang w:val="fr-FR"/>
        </w:rPr>
        <w:t>13</w:t>
      </w:r>
      <w:r w:rsidR="00CC64D9">
        <w:rPr>
          <w:lang w:val="fr-FR"/>
        </w:rPr>
        <w:t> </w:t>
      </w:r>
      <w:r>
        <w:rPr>
          <w:lang w:val="fr-FR"/>
        </w:rPr>
        <w:t xml:space="preserve">: </w:t>
      </w:r>
      <w:r w:rsidR="000A2777">
        <w:rPr>
          <w:lang w:val="fr-FR"/>
        </w:rPr>
        <w:t xml:space="preserve">pour ce qui est des </w:t>
      </w:r>
      <w:r>
        <w:rPr>
          <w:lang w:val="fr-FR"/>
        </w:rPr>
        <w:t>activités juridiques et de politique générale, un montant estimatif de 234</w:t>
      </w:r>
      <w:r w:rsidR="00E546DF">
        <w:rPr>
          <w:lang w:val="fr-FR"/>
        </w:rPr>
        <w:t> </w:t>
      </w:r>
      <w:r>
        <w:rPr>
          <w:lang w:val="fr-FR"/>
        </w:rPr>
        <w:t>000</w:t>
      </w:r>
      <w:r w:rsidR="00CC64D9">
        <w:rPr>
          <w:lang w:val="fr-FR"/>
        </w:rPr>
        <w:t> </w:t>
      </w:r>
      <w:r>
        <w:rPr>
          <w:lang w:val="fr-FR"/>
        </w:rPr>
        <w:t>dollars est nécessaire pour l</w:t>
      </w:r>
      <w:r w:rsidR="0058158D">
        <w:rPr>
          <w:lang w:val="fr-FR"/>
        </w:rPr>
        <w:t>’</w:t>
      </w:r>
      <w:r>
        <w:rPr>
          <w:lang w:val="fr-FR"/>
        </w:rPr>
        <w:t>exercice biennal</w:t>
      </w:r>
      <w:r w:rsidR="00CC64D9">
        <w:rPr>
          <w:lang w:val="fr-FR"/>
        </w:rPr>
        <w:t> </w:t>
      </w:r>
      <w:r w:rsidR="003C11AD">
        <w:rPr>
          <w:lang w:val="fr-FR"/>
        </w:rPr>
        <w:t>2020–2021</w:t>
      </w:r>
      <w:r>
        <w:rPr>
          <w:lang w:val="fr-FR"/>
        </w:rPr>
        <w:t xml:space="preserve"> pour travailler sur les</w:t>
      </w:r>
      <w:r w:rsidR="00E239CA">
        <w:rPr>
          <w:lang w:val="fr-FR"/>
        </w:rPr>
        <w:t> </w:t>
      </w:r>
      <w:r>
        <w:rPr>
          <w:lang w:val="fr-FR"/>
        </w:rPr>
        <w:t>objectifs du développement durable et les stratégies relatives à l</w:t>
      </w:r>
      <w:r w:rsidR="0058158D">
        <w:rPr>
          <w:lang w:val="fr-FR"/>
        </w:rPr>
        <w:t>’</w:t>
      </w:r>
      <w:r>
        <w:rPr>
          <w:lang w:val="fr-FR"/>
        </w:rPr>
        <w:t>égalité des genres, y compris des</w:t>
      </w:r>
      <w:r w:rsidR="00E239CA">
        <w:rPr>
          <w:lang w:val="fr-FR"/>
        </w:rPr>
        <w:t> </w:t>
      </w:r>
      <w:r>
        <w:rPr>
          <w:lang w:val="fr-FR"/>
        </w:rPr>
        <w:t xml:space="preserve">études de cas et des ateliers. </w:t>
      </w:r>
      <w:r w:rsidR="008D7322">
        <w:rPr>
          <w:lang w:val="fr-FR"/>
        </w:rPr>
        <w:t>L</w:t>
      </w:r>
      <w:r>
        <w:rPr>
          <w:lang w:val="fr-FR"/>
        </w:rPr>
        <w:t>e scénario de la Secrétaire exécutive</w:t>
      </w:r>
      <w:r w:rsidR="008D7322">
        <w:rPr>
          <w:lang w:val="fr-FR"/>
        </w:rPr>
        <w:t xml:space="preserve"> prévoit de tirer</w:t>
      </w:r>
      <w:r>
        <w:rPr>
          <w:lang w:val="fr-FR"/>
        </w:rPr>
        <w:t xml:space="preserve"> ce montant </w:t>
      </w:r>
      <w:r w:rsidR="008D7322">
        <w:rPr>
          <w:lang w:val="fr-FR"/>
        </w:rPr>
        <w:t>du</w:t>
      </w:r>
      <w:r w:rsidR="007C7196">
        <w:rPr>
          <w:lang w:val="fr-FR"/>
        </w:rPr>
        <w:t> </w:t>
      </w:r>
      <w:r>
        <w:rPr>
          <w:lang w:val="fr-FR"/>
        </w:rPr>
        <w:t>financement des activités de base plutôt qu</w:t>
      </w:r>
      <w:r w:rsidR="008D7322">
        <w:rPr>
          <w:lang w:val="fr-FR"/>
        </w:rPr>
        <w:t>e</w:t>
      </w:r>
      <w:r>
        <w:rPr>
          <w:lang w:val="fr-FR"/>
        </w:rPr>
        <w:t xml:space="preserve"> de</w:t>
      </w:r>
      <w:r w:rsidR="008D7322">
        <w:rPr>
          <w:lang w:val="fr-FR"/>
        </w:rPr>
        <w:t>s</w:t>
      </w:r>
      <w:r>
        <w:rPr>
          <w:lang w:val="fr-FR"/>
        </w:rPr>
        <w:t xml:space="preserve"> contributions volontaires</w:t>
      </w:r>
      <w:r w:rsidR="007C7196">
        <w:rPr>
          <w:lang w:val="fr-FR"/>
        </w:rPr>
        <w:t> ;</w:t>
      </w:r>
    </w:p>
    <w:p w14:paraId="55CD7BB4" w14:textId="06415866" w:rsidR="002828C3" w:rsidRPr="00D816DC" w:rsidRDefault="002828C3" w:rsidP="005064FA">
      <w:pPr>
        <w:pStyle w:val="Normalnumber"/>
        <w:numPr>
          <w:ilvl w:val="1"/>
          <w:numId w:val="4"/>
        </w:numPr>
        <w:rPr>
          <w:lang w:val="fr-FR"/>
        </w:rPr>
      </w:pPr>
      <w:r>
        <w:rPr>
          <w:lang w:val="fr-FR"/>
        </w:rPr>
        <w:t>Activité</w:t>
      </w:r>
      <w:r w:rsidR="00CC64D9">
        <w:rPr>
          <w:lang w:val="fr-FR"/>
        </w:rPr>
        <w:t> </w:t>
      </w:r>
      <w:r>
        <w:rPr>
          <w:lang w:val="fr-FR"/>
        </w:rPr>
        <w:t>14</w:t>
      </w:r>
      <w:r w:rsidR="00CC64D9">
        <w:rPr>
          <w:lang w:val="fr-FR"/>
        </w:rPr>
        <w:t> </w:t>
      </w:r>
      <w:r w:rsidRPr="00E92DE6">
        <w:rPr>
          <w:lang w:val="fr-FR"/>
        </w:rPr>
        <w:t xml:space="preserve">: le </w:t>
      </w:r>
      <w:r w:rsidR="00E92DE6" w:rsidRPr="00E92DE6">
        <w:rPr>
          <w:lang w:val="fr-FR"/>
        </w:rPr>
        <w:t>chiffre donné dans le</w:t>
      </w:r>
      <w:r w:rsidRPr="00E92DE6">
        <w:rPr>
          <w:lang w:val="fr-FR"/>
        </w:rPr>
        <w:t xml:space="preserve"> scénario de la Secrétaire exécutive </w:t>
      </w:r>
      <w:r w:rsidR="00E92DE6" w:rsidRPr="00E92DE6">
        <w:rPr>
          <w:lang w:val="fr-FR"/>
        </w:rPr>
        <w:t>dépasse</w:t>
      </w:r>
      <w:r w:rsidRPr="00E92DE6">
        <w:rPr>
          <w:lang w:val="fr-FR"/>
        </w:rPr>
        <w:t xml:space="preserve"> de</w:t>
      </w:r>
      <w:r w:rsidR="007C7196">
        <w:rPr>
          <w:lang w:val="fr-FR"/>
        </w:rPr>
        <w:t> </w:t>
      </w:r>
      <w:r w:rsidRPr="00E92DE6">
        <w:rPr>
          <w:lang w:val="fr-FR"/>
        </w:rPr>
        <w:t>9</w:t>
      </w:r>
      <w:r w:rsidR="00D244FE" w:rsidRPr="00E92DE6">
        <w:rPr>
          <w:lang w:val="fr-FR"/>
        </w:rPr>
        <w:t> </w:t>
      </w:r>
      <w:r w:rsidRPr="00E92DE6">
        <w:rPr>
          <w:lang w:val="fr-FR"/>
        </w:rPr>
        <w:t>524</w:t>
      </w:r>
      <w:r w:rsidR="00CC64D9" w:rsidRPr="00E92DE6">
        <w:rPr>
          <w:lang w:val="fr-FR"/>
        </w:rPr>
        <w:t> </w:t>
      </w:r>
      <w:r w:rsidRPr="00E92DE6">
        <w:rPr>
          <w:lang w:val="fr-FR"/>
        </w:rPr>
        <w:t xml:space="preserve">dollars </w:t>
      </w:r>
      <w:r w:rsidR="00D244FE" w:rsidRPr="00E92DE6">
        <w:rPr>
          <w:lang w:val="fr-FR"/>
        </w:rPr>
        <w:t>le</w:t>
      </w:r>
      <w:r w:rsidR="00E239CA" w:rsidRPr="00E92DE6">
        <w:rPr>
          <w:lang w:val="fr-FR"/>
        </w:rPr>
        <w:t> </w:t>
      </w:r>
      <w:r w:rsidR="00E92DE6" w:rsidRPr="00E92DE6">
        <w:rPr>
          <w:lang w:val="fr-FR"/>
        </w:rPr>
        <w:t xml:space="preserve">montant prévu pour un </w:t>
      </w:r>
      <w:r w:rsidRPr="00E92DE6">
        <w:rPr>
          <w:lang w:val="fr-FR"/>
        </w:rPr>
        <w:t xml:space="preserve">budget </w:t>
      </w:r>
      <w:r w:rsidR="00E92DE6" w:rsidRPr="00E92DE6">
        <w:rPr>
          <w:lang w:val="fr-FR"/>
        </w:rPr>
        <w:t>à</w:t>
      </w:r>
      <w:r w:rsidRPr="00E92DE6">
        <w:rPr>
          <w:lang w:val="fr-FR"/>
        </w:rPr>
        <w:t xml:space="preserve"> croissance nominale nulle. Il correspond aux</w:t>
      </w:r>
      <w:r w:rsidR="007C7196">
        <w:rPr>
          <w:lang w:val="fr-FR"/>
        </w:rPr>
        <w:t> </w:t>
      </w:r>
      <w:r w:rsidRPr="00E92DE6">
        <w:rPr>
          <w:lang w:val="fr-FR"/>
        </w:rPr>
        <w:t>besoins prévus du secrétariat dans le domaine de l</w:t>
      </w:r>
      <w:r w:rsidR="0058158D">
        <w:rPr>
          <w:lang w:val="fr-FR"/>
        </w:rPr>
        <w:t>’</w:t>
      </w:r>
      <w:r w:rsidRPr="00E92DE6">
        <w:rPr>
          <w:lang w:val="fr-FR"/>
        </w:rPr>
        <w:t>entretien des locaux et des services,</w:t>
      </w:r>
      <w:r>
        <w:rPr>
          <w:lang w:val="fr-FR"/>
        </w:rPr>
        <w:t xml:space="preserve"> tandis que dans le</w:t>
      </w:r>
      <w:r w:rsidR="007B292B">
        <w:rPr>
          <w:lang w:val="fr-FR"/>
        </w:rPr>
        <w:t> </w:t>
      </w:r>
      <w:r>
        <w:rPr>
          <w:lang w:val="fr-FR"/>
        </w:rPr>
        <w:t xml:space="preserve">scénario de croissance nominale nulle, le budget a été réduit </w:t>
      </w:r>
      <w:r w:rsidR="00D244FE">
        <w:rPr>
          <w:lang w:val="fr-FR"/>
        </w:rPr>
        <w:t>d</w:t>
      </w:r>
      <w:r w:rsidR="0058158D">
        <w:rPr>
          <w:lang w:val="fr-FR"/>
        </w:rPr>
        <w:t>’</w:t>
      </w:r>
      <w:r w:rsidR="00D244FE">
        <w:rPr>
          <w:lang w:val="fr-FR"/>
        </w:rPr>
        <w:t>au</w:t>
      </w:r>
      <w:r>
        <w:rPr>
          <w:lang w:val="fr-FR"/>
        </w:rPr>
        <w:t>tant dans les domaines des</w:t>
      </w:r>
      <w:r w:rsidR="007B292B">
        <w:rPr>
          <w:lang w:val="fr-FR"/>
        </w:rPr>
        <w:t> </w:t>
      </w:r>
      <w:r>
        <w:rPr>
          <w:lang w:val="fr-FR"/>
        </w:rPr>
        <w:t>fournitures</w:t>
      </w:r>
      <w:r w:rsidR="00C076A9">
        <w:rPr>
          <w:lang w:val="fr-FR"/>
        </w:rPr>
        <w:t>,</w:t>
      </w:r>
      <w:r>
        <w:rPr>
          <w:lang w:val="fr-FR"/>
        </w:rPr>
        <w:t xml:space="preserve"> de</w:t>
      </w:r>
      <w:r w:rsidR="00C076A9">
        <w:rPr>
          <w:lang w:val="fr-FR"/>
        </w:rPr>
        <w:t>s</w:t>
      </w:r>
      <w:r>
        <w:rPr>
          <w:lang w:val="fr-FR"/>
        </w:rPr>
        <w:t xml:space="preserve"> communication</w:t>
      </w:r>
      <w:r w:rsidR="00C076A9">
        <w:rPr>
          <w:lang w:val="fr-FR"/>
        </w:rPr>
        <w:t>s</w:t>
      </w:r>
      <w:r>
        <w:rPr>
          <w:lang w:val="fr-FR"/>
        </w:rPr>
        <w:t xml:space="preserve"> et de l</w:t>
      </w:r>
      <w:r w:rsidR="0058158D">
        <w:rPr>
          <w:lang w:val="fr-FR"/>
        </w:rPr>
        <w:t>’</w:t>
      </w:r>
      <w:r>
        <w:rPr>
          <w:lang w:val="fr-FR"/>
        </w:rPr>
        <w:t>équipement de bureau afin de parvenir à une croissance nominale nulle</w:t>
      </w:r>
      <w:r w:rsidR="007C7196">
        <w:rPr>
          <w:lang w:val="fr-FR"/>
        </w:rPr>
        <w:t> ;</w:t>
      </w:r>
    </w:p>
    <w:p w14:paraId="57869D9E" w14:textId="61D937FB" w:rsidR="00A70083" w:rsidRPr="00D816DC" w:rsidRDefault="002828C3" w:rsidP="005064FA">
      <w:pPr>
        <w:pStyle w:val="Normalnumber"/>
        <w:numPr>
          <w:ilvl w:val="1"/>
          <w:numId w:val="4"/>
        </w:numPr>
        <w:rPr>
          <w:lang w:val="fr-FR"/>
        </w:rPr>
      </w:pPr>
      <w:r>
        <w:rPr>
          <w:lang w:val="fr-FR"/>
        </w:rPr>
        <w:t>Activité</w:t>
      </w:r>
      <w:r w:rsidR="00CC64D9">
        <w:rPr>
          <w:lang w:val="fr-FR"/>
        </w:rPr>
        <w:t> </w:t>
      </w:r>
      <w:r>
        <w:rPr>
          <w:lang w:val="fr-FR"/>
        </w:rPr>
        <w:t>15</w:t>
      </w:r>
      <w:r w:rsidR="00CC64D9">
        <w:rPr>
          <w:lang w:val="fr-FR"/>
        </w:rPr>
        <w:t> </w:t>
      </w:r>
      <w:r>
        <w:rPr>
          <w:lang w:val="fr-FR"/>
        </w:rPr>
        <w:t>: comme pour l</w:t>
      </w:r>
      <w:r w:rsidR="0058158D">
        <w:rPr>
          <w:lang w:val="fr-FR"/>
        </w:rPr>
        <w:t>’</w:t>
      </w:r>
      <w:r>
        <w:rPr>
          <w:lang w:val="fr-FR"/>
        </w:rPr>
        <w:t>activité</w:t>
      </w:r>
      <w:r w:rsidR="00CC64D9">
        <w:rPr>
          <w:lang w:val="fr-FR"/>
        </w:rPr>
        <w:t> </w:t>
      </w:r>
      <w:r>
        <w:rPr>
          <w:lang w:val="fr-FR"/>
        </w:rPr>
        <w:t>14, l</w:t>
      </w:r>
      <w:r w:rsidR="0058158D">
        <w:rPr>
          <w:lang w:val="fr-FR"/>
        </w:rPr>
        <w:t>’</w:t>
      </w:r>
      <w:r>
        <w:rPr>
          <w:lang w:val="fr-FR"/>
        </w:rPr>
        <w:t>augmentation de 3</w:t>
      </w:r>
      <w:r w:rsidR="00E546DF">
        <w:rPr>
          <w:lang w:val="fr-FR"/>
        </w:rPr>
        <w:t> </w:t>
      </w:r>
      <w:r>
        <w:rPr>
          <w:lang w:val="fr-FR"/>
        </w:rPr>
        <w:t>000</w:t>
      </w:r>
      <w:r w:rsidR="00CC64D9">
        <w:rPr>
          <w:lang w:val="fr-FR"/>
        </w:rPr>
        <w:t> </w:t>
      </w:r>
      <w:r>
        <w:rPr>
          <w:lang w:val="fr-FR"/>
        </w:rPr>
        <w:t xml:space="preserve">dollars du budget prévu pour le matériel </w:t>
      </w:r>
      <w:r w:rsidR="00D244FE">
        <w:rPr>
          <w:lang w:val="fr-FR"/>
        </w:rPr>
        <w:t xml:space="preserve">informatique </w:t>
      </w:r>
      <w:r>
        <w:rPr>
          <w:lang w:val="fr-FR"/>
        </w:rPr>
        <w:t>et les logiciels dans le scénario de la Secrétaire exécutive correspond au</w:t>
      </w:r>
      <w:r w:rsidR="00E239CA">
        <w:rPr>
          <w:lang w:val="fr-FR"/>
        </w:rPr>
        <w:t> </w:t>
      </w:r>
      <w:r>
        <w:rPr>
          <w:lang w:val="fr-FR"/>
        </w:rPr>
        <w:t xml:space="preserve">coût réel </w:t>
      </w:r>
      <w:r w:rsidR="008D7322">
        <w:rPr>
          <w:lang w:val="fr-FR"/>
        </w:rPr>
        <w:t xml:space="preserve">calculé </w:t>
      </w:r>
      <w:r>
        <w:rPr>
          <w:lang w:val="fr-FR"/>
        </w:rPr>
        <w:t>des besoins prévus du secrétariat dans le domaine des services informatiques.</w:t>
      </w:r>
    </w:p>
    <w:p w14:paraId="3CE6765C" w14:textId="6AE5B7FB" w:rsidR="002828C3" w:rsidRPr="00CC64D9" w:rsidRDefault="00B63658" w:rsidP="00430669">
      <w:pPr>
        <w:pStyle w:val="Normalnumber"/>
        <w:rPr>
          <w:lang w:val="fr-FR"/>
        </w:rPr>
      </w:pPr>
      <w:r>
        <w:rPr>
          <w:lang w:val="fr-FR"/>
        </w:rPr>
        <w:t>Le scénario de la Secrétaire exécutive présente à la fois des réductions et des augmentations par</w:t>
      </w:r>
      <w:r w:rsidR="007C7196">
        <w:rPr>
          <w:lang w:val="fr-FR"/>
        </w:rPr>
        <w:t> </w:t>
      </w:r>
      <w:r>
        <w:rPr>
          <w:lang w:val="fr-FR"/>
        </w:rPr>
        <w:t xml:space="preserve">rapport au budget approuvé pour </w:t>
      </w:r>
      <w:r w:rsidR="007C7196">
        <w:rPr>
          <w:lang w:val="fr-FR"/>
        </w:rPr>
        <w:t>2018–2019</w:t>
      </w:r>
      <w:r>
        <w:rPr>
          <w:lang w:val="fr-FR"/>
        </w:rPr>
        <w:t>, comme indiqué ci-dessous :</w:t>
      </w:r>
    </w:p>
    <w:p w14:paraId="79769C61" w14:textId="091D1A8A" w:rsidR="005936B8" w:rsidRPr="00E239CA" w:rsidRDefault="00866240" w:rsidP="00E239CA">
      <w:pPr>
        <w:pStyle w:val="CH4"/>
        <w:rPr>
          <w:i/>
          <w:lang w:val="fr-FR"/>
        </w:rPr>
      </w:pPr>
      <w:r w:rsidRPr="00E239CA">
        <w:rPr>
          <w:i/>
          <w:lang w:val="fr-FR"/>
        </w:rPr>
        <w:tab/>
      </w:r>
      <w:r w:rsidRPr="00E239CA">
        <w:rPr>
          <w:i/>
          <w:lang w:val="fr-FR"/>
        </w:rPr>
        <w:tab/>
      </w:r>
      <w:r w:rsidRPr="00E239CA">
        <w:rPr>
          <w:i/>
        </w:rPr>
        <w:t>Diminutions</w:t>
      </w:r>
      <w:r w:rsidRPr="00E239CA">
        <w:rPr>
          <w:i/>
          <w:lang w:val="fr-FR"/>
        </w:rPr>
        <w:t xml:space="preserve"> par rapport au budget approuvé pour </w:t>
      </w:r>
      <w:r w:rsidR="007C7196">
        <w:rPr>
          <w:i/>
          <w:lang w:val="fr-FR"/>
        </w:rPr>
        <w:t>2018–2019</w:t>
      </w:r>
    </w:p>
    <w:p w14:paraId="71545045" w14:textId="4197712E" w:rsidR="00905593" w:rsidRPr="00CC64D9" w:rsidRDefault="00905593" w:rsidP="00905593">
      <w:pPr>
        <w:pStyle w:val="Normalnumber"/>
        <w:rPr>
          <w:lang w:val="fr-FR"/>
        </w:rPr>
      </w:pPr>
      <w:r>
        <w:rPr>
          <w:lang w:val="fr-FR"/>
        </w:rPr>
        <w:t>Les diminutions sont les suivantes</w:t>
      </w:r>
      <w:r w:rsidR="00CC64D9">
        <w:rPr>
          <w:lang w:val="fr-FR"/>
        </w:rPr>
        <w:t> </w:t>
      </w:r>
      <w:r>
        <w:rPr>
          <w:lang w:val="fr-FR"/>
        </w:rPr>
        <w:t>:</w:t>
      </w:r>
    </w:p>
    <w:p w14:paraId="3262B2B6" w14:textId="11EDB8DB" w:rsidR="005936B8" w:rsidRPr="00D816DC" w:rsidRDefault="005936B8" w:rsidP="005064FA">
      <w:pPr>
        <w:pStyle w:val="Normalnumber"/>
        <w:numPr>
          <w:ilvl w:val="1"/>
          <w:numId w:val="4"/>
        </w:numPr>
        <w:rPr>
          <w:lang w:val="fr-FR"/>
        </w:rPr>
      </w:pPr>
      <w:r>
        <w:rPr>
          <w:lang w:val="fr-FR"/>
        </w:rPr>
        <w:t>Activité</w:t>
      </w:r>
      <w:r w:rsidR="00CC64D9">
        <w:rPr>
          <w:lang w:val="fr-FR"/>
        </w:rPr>
        <w:t> </w:t>
      </w:r>
      <w:r>
        <w:rPr>
          <w:lang w:val="fr-FR"/>
        </w:rPr>
        <w:t>1</w:t>
      </w:r>
      <w:r w:rsidR="00CC64D9">
        <w:rPr>
          <w:lang w:val="fr-FR"/>
        </w:rPr>
        <w:t> </w:t>
      </w:r>
      <w:r>
        <w:rPr>
          <w:lang w:val="fr-FR"/>
        </w:rPr>
        <w:t>: une diminution de 610</w:t>
      </w:r>
      <w:r w:rsidR="00E546DF">
        <w:rPr>
          <w:lang w:val="fr-FR"/>
        </w:rPr>
        <w:t> </w:t>
      </w:r>
      <w:r>
        <w:rPr>
          <w:lang w:val="fr-FR"/>
        </w:rPr>
        <w:t>000</w:t>
      </w:r>
      <w:r w:rsidR="00CC64D9">
        <w:rPr>
          <w:lang w:val="fr-FR"/>
        </w:rPr>
        <w:t> </w:t>
      </w:r>
      <w:r>
        <w:rPr>
          <w:lang w:val="fr-FR"/>
        </w:rPr>
        <w:t>dollars est prévue en lien avec la</w:t>
      </w:r>
      <w:r w:rsidR="00E239CA">
        <w:rPr>
          <w:lang w:val="fr-FR"/>
        </w:rPr>
        <w:t> </w:t>
      </w:r>
      <w:r>
        <w:rPr>
          <w:lang w:val="fr-FR"/>
        </w:rPr>
        <w:t>quatrième</w:t>
      </w:r>
      <w:r w:rsidR="00FD4275">
        <w:rPr>
          <w:lang w:val="fr-FR"/>
        </w:rPr>
        <w:t> </w:t>
      </w:r>
      <w:r>
        <w:rPr>
          <w:lang w:val="fr-FR"/>
        </w:rPr>
        <w:t>réunion de la Conférence des Parties et de ses organes subsidiaires, principalement du fait que les réunions de la Conférence des Parties passeront d</w:t>
      </w:r>
      <w:r w:rsidR="0058158D">
        <w:rPr>
          <w:lang w:val="fr-FR"/>
        </w:rPr>
        <w:t>’</w:t>
      </w:r>
      <w:r>
        <w:rPr>
          <w:lang w:val="fr-FR"/>
        </w:rPr>
        <w:t xml:space="preserve">un cycle annuel à un cycle biennal. </w:t>
      </w:r>
      <w:r w:rsidR="008D7322">
        <w:rPr>
          <w:lang w:val="fr-FR"/>
        </w:rPr>
        <w:t>Toutefois, c</w:t>
      </w:r>
      <w:r>
        <w:rPr>
          <w:lang w:val="fr-FR"/>
        </w:rPr>
        <w:t>omme</w:t>
      </w:r>
      <w:r w:rsidR="00E239CA">
        <w:rPr>
          <w:lang w:val="fr-FR"/>
        </w:rPr>
        <w:t> </w:t>
      </w:r>
      <w:r>
        <w:rPr>
          <w:lang w:val="fr-FR"/>
        </w:rPr>
        <w:t xml:space="preserve">le secrétariat de </w:t>
      </w:r>
      <w:r w:rsidR="00CD7BB2">
        <w:rPr>
          <w:lang w:val="fr-FR"/>
        </w:rPr>
        <w:t>la Convention de Minamata sur le mercure</w:t>
      </w:r>
      <w:r>
        <w:rPr>
          <w:lang w:val="fr-FR"/>
        </w:rPr>
        <w:t xml:space="preserve"> ne dispose pas des</w:t>
      </w:r>
      <w:r w:rsidR="007B292B">
        <w:rPr>
          <w:lang w:val="fr-FR"/>
        </w:rPr>
        <w:t> </w:t>
      </w:r>
      <w:r>
        <w:rPr>
          <w:lang w:val="fr-FR"/>
        </w:rPr>
        <w:t>effectifs nécessaires pour les réunions de la Conférence des Parties, les économies résultantes</w:t>
      </w:r>
      <w:r w:rsidR="007B292B">
        <w:rPr>
          <w:lang w:val="fr-FR"/>
        </w:rPr>
        <w:t xml:space="preserve"> </w:t>
      </w:r>
      <w:r>
        <w:rPr>
          <w:lang w:val="fr-FR"/>
        </w:rPr>
        <w:t xml:space="preserve">seraient partiellement contrebalancées par la nécessité </w:t>
      </w:r>
      <w:r w:rsidR="00BD38DC" w:rsidRPr="00BD38DC">
        <w:rPr>
          <w:lang w:val="fr-FR"/>
        </w:rPr>
        <w:t>d</w:t>
      </w:r>
      <w:r w:rsidR="0058158D">
        <w:rPr>
          <w:lang w:val="fr-FR"/>
        </w:rPr>
        <w:t>’</w:t>
      </w:r>
      <w:r w:rsidR="00BD38DC" w:rsidRPr="00BD38DC">
        <w:rPr>
          <w:lang w:val="fr-FR"/>
        </w:rPr>
        <w:t xml:space="preserve">obtenir des </w:t>
      </w:r>
      <w:r w:rsidR="008D7322">
        <w:rPr>
          <w:lang w:val="fr-FR"/>
        </w:rPr>
        <w:t>renforts</w:t>
      </w:r>
      <w:r w:rsidR="00272B0C">
        <w:rPr>
          <w:lang w:val="fr-FR"/>
        </w:rPr>
        <w:t xml:space="preserve"> </w:t>
      </w:r>
      <w:r w:rsidR="00BD38DC" w:rsidRPr="00BD38DC">
        <w:rPr>
          <w:lang w:val="fr-FR"/>
        </w:rPr>
        <w:t xml:space="preserve">temporaires </w:t>
      </w:r>
      <w:r w:rsidR="00272B0C">
        <w:rPr>
          <w:lang w:val="fr-FR"/>
        </w:rPr>
        <w:t>pour les</w:t>
      </w:r>
      <w:r w:rsidR="007B292B">
        <w:rPr>
          <w:lang w:val="fr-FR"/>
        </w:rPr>
        <w:t> </w:t>
      </w:r>
      <w:r w:rsidR="00272B0C">
        <w:rPr>
          <w:lang w:val="fr-FR"/>
        </w:rPr>
        <w:t xml:space="preserve">réunions, </w:t>
      </w:r>
      <w:r w:rsidR="00BD38DC">
        <w:rPr>
          <w:lang w:val="fr-FR"/>
        </w:rPr>
        <w:t>lesquels</w:t>
      </w:r>
      <w:r w:rsidR="00272B0C">
        <w:rPr>
          <w:lang w:val="fr-FR"/>
        </w:rPr>
        <w:t xml:space="preserve"> pourrai</w:t>
      </w:r>
      <w:r w:rsidR="008D7322">
        <w:rPr>
          <w:lang w:val="fr-FR"/>
        </w:rPr>
        <w:t>en</w:t>
      </w:r>
      <w:r w:rsidR="00272B0C">
        <w:rPr>
          <w:lang w:val="fr-FR"/>
        </w:rPr>
        <w:t>t, comme cela a été proposé, être partagé</w:t>
      </w:r>
      <w:r w:rsidR="008D7322">
        <w:rPr>
          <w:lang w:val="fr-FR"/>
        </w:rPr>
        <w:t>s</w:t>
      </w:r>
      <w:r w:rsidR="00272B0C">
        <w:rPr>
          <w:lang w:val="fr-FR"/>
        </w:rPr>
        <w:t xml:space="preserve"> et fourni</w:t>
      </w:r>
      <w:r w:rsidR="008D7322">
        <w:rPr>
          <w:lang w:val="fr-FR"/>
        </w:rPr>
        <w:t>s</w:t>
      </w:r>
      <w:r>
        <w:rPr>
          <w:lang w:val="fr-FR"/>
        </w:rPr>
        <w:t xml:space="preserve"> par le secrétariat des</w:t>
      </w:r>
      <w:r w:rsidR="00E239CA">
        <w:rPr>
          <w:lang w:val="fr-FR"/>
        </w:rPr>
        <w:t> </w:t>
      </w:r>
      <w:r>
        <w:rPr>
          <w:lang w:val="fr-FR"/>
        </w:rPr>
        <w:t>Conventions de Bâle, de Rotterdam et de Stockholm. En outre, le scénario de la Secrétaire exécutive prévoit l</w:t>
      </w:r>
      <w:r w:rsidR="0058158D">
        <w:rPr>
          <w:lang w:val="fr-FR"/>
        </w:rPr>
        <w:t>’</w:t>
      </w:r>
      <w:r>
        <w:rPr>
          <w:lang w:val="fr-FR"/>
        </w:rPr>
        <w:t>ajout d</w:t>
      </w:r>
      <w:r w:rsidR="0058158D">
        <w:rPr>
          <w:lang w:val="fr-FR"/>
        </w:rPr>
        <w:t>’</w:t>
      </w:r>
      <w:r>
        <w:rPr>
          <w:lang w:val="fr-FR"/>
        </w:rPr>
        <w:t xml:space="preserve">un </w:t>
      </w:r>
      <w:r w:rsidR="00842575">
        <w:rPr>
          <w:lang w:val="fr-FR"/>
        </w:rPr>
        <w:t>segment de haut niveau</w:t>
      </w:r>
      <w:r>
        <w:rPr>
          <w:lang w:val="fr-FR"/>
        </w:rPr>
        <w:t xml:space="preserve"> à la réunion</w:t>
      </w:r>
      <w:r w:rsidR="007C7196">
        <w:rPr>
          <w:lang w:val="fr-FR"/>
        </w:rPr>
        <w:t> ;</w:t>
      </w:r>
    </w:p>
    <w:p w14:paraId="50594920" w14:textId="0BD6D743" w:rsidR="00A70083" w:rsidRPr="00CC64D9" w:rsidRDefault="00E63D4C" w:rsidP="005064FA">
      <w:pPr>
        <w:pStyle w:val="Normalnumber"/>
        <w:numPr>
          <w:ilvl w:val="1"/>
          <w:numId w:val="4"/>
        </w:numPr>
        <w:rPr>
          <w:lang w:val="fr-FR"/>
        </w:rPr>
      </w:pPr>
      <w:r>
        <w:rPr>
          <w:lang w:val="fr-FR"/>
        </w:rPr>
        <w:t>Activité</w:t>
      </w:r>
      <w:r w:rsidR="00CC64D9">
        <w:rPr>
          <w:lang w:val="fr-FR"/>
        </w:rPr>
        <w:t> </w:t>
      </w:r>
      <w:r>
        <w:rPr>
          <w:lang w:val="fr-FR"/>
        </w:rPr>
        <w:t>3</w:t>
      </w:r>
      <w:r w:rsidR="00CC64D9">
        <w:rPr>
          <w:lang w:val="fr-FR"/>
        </w:rPr>
        <w:t> </w:t>
      </w:r>
      <w:r>
        <w:rPr>
          <w:lang w:val="fr-FR"/>
        </w:rPr>
        <w:t xml:space="preserve">: </w:t>
      </w:r>
      <w:r w:rsidR="00E5071B" w:rsidRPr="00E5071B">
        <w:rPr>
          <w:lang w:val="fr-FR"/>
        </w:rPr>
        <w:t>un montant affichant une baisse de 7 000 dollars par rapport à l</w:t>
      </w:r>
      <w:r w:rsidR="0058158D">
        <w:rPr>
          <w:lang w:val="fr-FR"/>
        </w:rPr>
        <w:t>’</w:t>
      </w:r>
      <w:r w:rsidR="00E5071B" w:rsidRPr="00E5071B">
        <w:rPr>
          <w:lang w:val="fr-FR"/>
        </w:rPr>
        <w:t xml:space="preserve">exercice biennal précédent </w:t>
      </w:r>
      <w:r w:rsidR="00F54C68">
        <w:rPr>
          <w:lang w:val="fr-FR"/>
        </w:rPr>
        <w:t>est prévu au budget</w:t>
      </w:r>
      <w:r>
        <w:rPr>
          <w:lang w:val="fr-FR"/>
        </w:rPr>
        <w:t xml:space="preserve"> pour </w:t>
      </w:r>
      <w:r w:rsidR="00E5071B">
        <w:rPr>
          <w:lang w:val="fr-FR"/>
        </w:rPr>
        <w:t xml:space="preserve">tenir </w:t>
      </w:r>
      <w:r>
        <w:rPr>
          <w:lang w:val="fr-FR"/>
        </w:rPr>
        <w:t>une réunion de trois</w:t>
      </w:r>
      <w:r w:rsidR="001C5F63">
        <w:rPr>
          <w:lang w:val="fr-FR"/>
        </w:rPr>
        <w:t> </w:t>
      </w:r>
      <w:r>
        <w:rPr>
          <w:lang w:val="fr-FR"/>
        </w:rPr>
        <w:t xml:space="preserve">jours du </w:t>
      </w:r>
      <w:r w:rsidR="003A2221">
        <w:rPr>
          <w:lang w:val="fr-FR"/>
        </w:rPr>
        <w:t xml:space="preserve">Comité </w:t>
      </w:r>
      <w:r>
        <w:rPr>
          <w:lang w:val="fr-FR"/>
        </w:rPr>
        <w:t>de mise en œuvre et du respect des obligations, comme convenu par le comité à sa réunion de juin</w:t>
      </w:r>
      <w:r w:rsidR="00E546DF">
        <w:rPr>
          <w:lang w:val="fr-FR"/>
        </w:rPr>
        <w:t> </w:t>
      </w:r>
      <w:r>
        <w:rPr>
          <w:lang w:val="fr-FR"/>
        </w:rPr>
        <w:t>2019, au lieu de</w:t>
      </w:r>
      <w:r w:rsidR="00E92DE6">
        <w:rPr>
          <w:lang w:val="fr-FR"/>
        </w:rPr>
        <w:t>s</w:t>
      </w:r>
      <w:r>
        <w:rPr>
          <w:lang w:val="fr-FR"/>
        </w:rPr>
        <w:t xml:space="preserve"> deux</w:t>
      </w:r>
      <w:r w:rsidR="001C5F63">
        <w:rPr>
          <w:lang w:val="fr-FR"/>
        </w:rPr>
        <w:t> </w:t>
      </w:r>
      <w:r>
        <w:rPr>
          <w:lang w:val="fr-FR"/>
        </w:rPr>
        <w:t>réunions de deux</w:t>
      </w:r>
      <w:r w:rsidR="001C5F63">
        <w:rPr>
          <w:lang w:val="fr-FR"/>
        </w:rPr>
        <w:t> </w:t>
      </w:r>
      <w:r>
        <w:rPr>
          <w:lang w:val="fr-FR"/>
        </w:rPr>
        <w:t xml:space="preserve">jours </w:t>
      </w:r>
      <w:r w:rsidR="00FA13E2">
        <w:rPr>
          <w:lang w:val="fr-FR"/>
        </w:rPr>
        <w:t xml:space="preserve">comptabilisées </w:t>
      </w:r>
      <w:r w:rsidR="00E92DE6">
        <w:rPr>
          <w:lang w:val="fr-FR"/>
        </w:rPr>
        <w:t>dans le</w:t>
      </w:r>
      <w:r>
        <w:rPr>
          <w:lang w:val="fr-FR"/>
        </w:rPr>
        <w:t xml:space="preserve"> budget approuvé pour </w:t>
      </w:r>
      <w:r w:rsidR="007C7196">
        <w:rPr>
          <w:lang w:val="fr-FR"/>
        </w:rPr>
        <w:t>2018–2019</w:t>
      </w:r>
      <w:r w:rsidR="00E5071B">
        <w:rPr>
          <w:lang w:val="fr-FR"/>
        </w:rPr>
        <w:t xml:space="preserve">. </w:t>
      </w:r>
      <w:r w:rsidR="00E5071B" w:rsidRPr="00E5071B">
        <w:rPr>
          <w:lang w:val="fr-FR"/>
        </w:rPr>
        <w:t>Ce montant</w:t>
      </w:r>
      <w:r w:rsidR="00E92DE6">
        <w:rPr>
          <w:lang w:val="fr-FR"/>
        </w:rPr>
        <w:t xml:space="preserve"> </w:t>
      </w:r>
      <w:r>
        <w:rPr>
          <w:lang w:val="fr-FR"/>
        </w:rPr>
        <w:t>refl</w:t>
      </w:r>
      <w:r w:rsidR="00E92DE6">
        <w:rPr>
          <w:lang w:val="fr-FR"/>
        </w:rPr>
        <w:t>ète</w:t>
      </w:r>
      <w:r>
        <w:rPr>
          <w:lang w:val="fr-FR"/>
        </w:rPr>
        <w:t xml:space="preserve"> les coûts réels d</w:t>
      </w:r>
      <w:r w:rsidR="0058158D">
        <w:rPr>
          <w:lang w:val="fr-FR"/>
        </w:rPr>
        <w:t>’</w:t>
      </w:r>
      <w:r>
        <w:rPr>
          <w:lang w:val="fr-FR"/>
        </w:rPr>
        <w:t>une telle réunion</w:t>
      </w:r>
      <w:r w:rsidR="007C7196">
        <w:rPr>
          <w:lang w:val="fr-FR"/>
        </w:rPr>
        <w:t> ;</w:t>
      </w:r>
    </w:p>
    <w:p w14:paraId="237F4C31" w14:textId="0DC610FE" w:rsidR="004B06E0" w:rsidRPr="00CC64D9" w:rsidRDefault="005843CA" w:rsidP="005064FA">
      <w:pPr>
        <w:pStyle w:val="Normalnumber"/>
        <w:numPr>
          <w:ilvl w:val="1"/>
          <w:numId w:val="4"/>
        </w:numPr>
        <w:rPr>
          <w:lang w:val="fr-FR"/>
        </w:rPr>
      </w:pPr>
      <w:r>
        <w:rPr>
          <w:lang w:val="fr-FR"/>
        </w:rPr>
        <w:t>Activité</w:t>
      </w:r>
      <w:r w:rsidR="00CC64D9">
        <w:rPr>
          <w:lang w:val="fr-FR"/>
        </w:rPr>
        <w:t> </w:t>
      </w:r>
      <w:r>
        <w:rPr>
          <w:lang w:val="fr-FR"/>
        </w:rPr>
        <w:t>14</w:t>
      </w:r>
      <w:r w:rsidR="00CC64D9">
        <w:rPr>
          <w:lang w:val="fr-FR"/>
        </w:rPr>
        <w:t> </w:t>
      </w:r>
      <w:r>
        <w:rPr>
          <w:lang w:val="fr-FR"/>
        </w:rPr>
        <w:t>: le budget d</w:t>
      </w:r>
      <w:r w:rsidR="0058158D">
        <w:rPr>
          <w:lang w:val="fr-FR"/>
        </w:rPr>
        <w:t>’</w:t>
      </w:r>
      <w:r>
        <w:rPr>
          <w:lang w:val="fr-FR"/>
        </w:rPr>
        <w:t>entretien des locaux est en baisse de 65</w:t>
      </w:r>
      <w:r w:rsidR="00E546DF">
        <w:rPr>
          <w:lang w:val="fr-FR"/>
        </w:rPr>
        <w:t> </w:t>
      </w:r>
      <w:r>
        <w:rPr>
          <w:lang w:val="fr-FR"/>
        </w:rPr>
        <w:t>000</w:t>
      </w:r>
      <w:r w:rsidR="00CC64D9">
        <w:rPr>
          <w:lang w:val="fr-FR"/>
        </w:rPr>
        <w:t> </w:t>
      </w:r>
      <w:r>
        <w:rPr>
          <w:lang w:val="fr-FR"/>
        </w:rPr>
        <w:t>dollars par rapport à l</w:t>
      </w:r>
      <w:r w:rsidR="0058158D">
        <w:rPr>
          <w:lang w:val="fr-FR"/>
        </w:rPr>
        <w:t>’</w:t>
      </w:r>
      <w:r>
        <w:rPr>
          <w:lang w:val="fr-FR"/>
        </w:rPr>
        <w:t xml:space="preserve">exercice biennal précédent, reflétant le fait que certains services, tels que les achats, seraient fournis en interne, et que le coût de certains </w:t>
      </w:r>
      <w:r w:rsidR="00D13B1B">
        <w:rPr>
          <w:lang w:val="fr-FR"/>
        </w:rPr>
        <w:t>post</w:t>
      </w:r>
      <w:r>
        <w:rPr>
          <w:lang w:val="fr-FR"/>
        </w:rPr>
        <w:t>es, tels que l</w:t>
      </w:r>
      <w:r w:rsidR="0058158D">
        <w:rPr>
          <w:lang w:val="fr-FR"/>
        </w:rPr>
        <w:t>’</w:t>
      </w:r>
      <w:r>
        <w:rPr>
          <w:lang w:val="fr-FR"/>
        </w:rPr>
        <w:t xml:space="preserve">achat de matériel de bureau, a </w:t>
      </w:r>
      <w:r w:rsidR="00D13B1B">
        <w:rPr>
          <w:lang w:val="fr-FR"/>
        </w:rPr>
        <w:t>baissé</w:t>
      </w:r>
      <w:r>
        <w:rPr>
          <w:lang w:val="fr-FR"/>
        </w:rPr>
        <w:t xml:space="preserve">, </w:t>
      </w:r>
      <w:r w:rsidR="00E92DE6">
        <w:rPr>
          <w:lang w:val="fr-FR"/>
        </w:rPr>
        <w:t>les</w:t>
      </w:r>
      <w:r w:rsidR="007C7196">
        <w:rPr>
          <w:lang w:val="fr-FR"/>
        </w:rPr>
        <w:t> </w:t>
      </w:r>
      <w:r w:rsidR="00E92DE6">
        <w:rPr>
          <w:lang w:val="fr-FR"/>
        </w:rPr>
        <w:t>titulaires des postes</w:t>
      </w:r>
      <w:r>
        <w:rPr>
          <w:lang w:val="fr-FR"/>
        </w:rPr>
        <w:t xml:space="preserve"> approuvés par la Conférence des Parties à sa</w:t>
      </w:r>
      <w:r w:rsidR="00E239CA">
        <w:rPr>
          <w:lang w:val="fr-FR"/>
        </w:rPr>
        <w:t> </w:t>
      </w:r>
      <w:r>
        <w:rPr>
          <w:lang w:val="fr-FR"/>
        </w:rPr>
        <w:t xml:space="preserve">première réunion ayant </w:t>
      </w:r>
      <w:r w:rsidR="00410C79">
        <w:rPr>
          <w:lang w:val="fr-FR"/>
        </w:rPr>
        <w:t xml:space="preserve">tous </w:t>
      </w:r>
      <w:r>
        <w:rPr>
          <w:lang w:val="fr-FR"/>
        </w:rPr>
        <w:t>été dotés d</w:t>
      </w:r>
      <w:r w:rsidR="00410C79">
        <w:rPr>
          <w:lang w:val="fr-FR"/>
        </w:rPr>
        <w:t>u nécessaire</w:t>
      </w:r>
      <w:r>
        <w:rPr>
          <w:lang w:val="fr-FR"/>
        </w:rPr>
        <w:t xml:space="preserve">. </w:t>
      </w:r>
      <w:r w:rsidR="00FA13E2">
        <w:rPr>
          <w:lang w:val="fr-FR"/>
        </w:rPr>
        <w:t>Cette</w:t>
      </w:r>
      <w:r>
        <w:rPr>
          <w:lang w:val="fr-FR"/>
        </w:rPr>
        <w:t xml:space="preserve"> réduction est en partie contrebalancée par les </w:t>
      </w:r>
      <w:r w:rsidR="000803A9">
        <w:rPr>
          <w:lang w:val="fr-FR"/>
        </w:rPr>
        <w:t>droits de licence</w:t>
      </w:r>
      <w:r w:rsidR="004B06E0" w:rsidRPr="00AC5825">
        <w:rPr>
          <w:rStyle w:val="FootnoteReference"/>
          <w:lang w:val="fr-FR"/>
        </w:rPr>
        <w:footnoteReference w:id="2"/>
      </w:r>
      <w:r>
        <w:rPr>
          <w:lang w:val="fr-FR"/>
        </w:rPr>
        <w:t xml:space="preserve"> </w:t>
      </w:r>
      <w:proofErr w:type="spellStart"/>
      <w:r>
        <w:rPr>
          <w:lang w:val="fr-FR"/>
        </w:rPr>
        <w:t>Umoja</w:t>
      </w:r>
      <w:proofErr w:type="spellEnd"/>
      <w:r>
        <w:rPr>
          <w:lang w:val="fr-FR"/>
        </w:rPr>
        <w:t xml:space="preserve"> que l</w:t>
      </w:r>
      <w:r w:rsidR="0058158D">
        <w:rPr>
          <w:lang w:val="fr-FR"/>
        </w:rPr>
        <w:t>’</w:t>
      </w:r>
      <w:r w:rsidR="00E92DE6">
        <w:rPr>
          <w:lang w:val="fr-FR"/>
        </w:rPr>
        <w:t xml:space="preserve">ONU a </w:t>
      </w:r>
      <w:r>
        <w:rPr>
          <w:lang w:val="fr-FR"/>
        </w:rPr>
        <w:t>commencé à facturer à toutes les entités en</w:t>
      </w:r>
      <w:r w:rsidR="00E239CA">
        <w:rPr>
          <w:lang w:val="fr-FR"/>
        </w:rPr>
        <w:t> </w:t>
      </w:r>
      <w:r>
        <w:rPr>
          <w:lang w:val="fr-FR"/>
        </w:rPr>
        <w:t>2019</w:t>
      </w:r>
      <w:r w:rsidR="007C7196">
        <w:rPr>
          <w:lang w:val="fr-FR"/>
        </w:rPr>
        <w:t> ;</w:t>
      </w:r>
    </w:p>
    <w:p w14:paraId="41EE787F" w14:textId="04812F37" w:rsidR="00A70083" w:rsidRPr="00CC64D9" w:rsidRDefault="004B06E0" w:rsidP="005064FA">
      <w:pPr>
        <w:pStyle w:val="Normalnumber"/>
        <w:numPr>
          <w:ilvl w:val="1"/>
          <w:numId w:val="4"/>
        </w:numPr>
        <w:rPr>
          <w:lang w:val="fr-FR"/>
        </w:rPr>
      </w:pPr>
      <w:r>
        <w:rPr>
          <w:lang w:val="fr-FR"/>
        </w:rPr>
        <w:t>Activité</w:t>
      </w:r>
      <w:r w:rsidR="00CC64D9">
        <w:rPr>
          <w:lang w:val="fr-FR"/>
        </w:rPr>
        <w:t> </w:t>
      </w:r>
      <w:r>
        <w:rPr>
          <w:lang w:val="fr-FR"/>
        </w:rPr>
        <w:t>15</w:t>
      </w:r>
      <w:r w:rsidR="00CC64D9">
        <w:rPr>
          <w:lang w:val="fr-FR"/>
        </w:rPr>
        <w:t> </w:t>
      </w:r>
      <w:r>
        <w:rPr>
          <w:lang w:val="fr-FR"/>
        </w:rPr>
        <w:t xml:space="preserve">: le montant </w:t>
      </w:r>
      <w:r w:rsidR="00E92DE6">
        <w:rPr>
          <w:lang w:val="fr-FR"/>
        </w:rPr>
        <w:t>prévu pour l</w:t>
      </w:r>
      <w:r>
        <w:rPr>
          <w:lang w:val="fr-FR"/>
        </w:rPr>
        <w:t xml:space="preserve">es services informatiques a </w:t>
      </w:r>
      <w:r w:rsidR="00D16221">
        <w:rPr>
          <w:lang w:val="fr-FR"/>
        </w:rPr>
        <w:t>baissé</w:t>
      </w:r>
      <w:r>
        <w:rPr>
          <w:lang w:val="fr-FR"/>
        </w:rPr>
        <w:t xml:space="preserve"> de 7</w:t>
      </w:r>
      <w:r w:rsidR="00E546DF">
        <w:rPr>
          <w:lang w:val="fr-FR"/>
        </w:rPr>
        <w:t> </w:t>
      </w:r>
      <w:r>
        <w:rPr>
          <w:lang w:val="fr-FR"/>
        </w:rPr>
        <w:t>000</w:t>
      </w:r>
      <w:r w:rsidR="00CC64D9">
        <w:rPr>
          <w:lang w:val="fr-FR"/>
        </w:rPr>
        <w:t> </w:t>
      </w:r>
      <w:r>
        <w:rPr>
          <w:lang w:val="fr-FR"/>
        </w:rPr>
        <w:t>dollars par rapport à l</w:t>
      </w:r>
      <w:r w:rsidR="0058158D">
        <w:rPr>
          <w:lang w:val="fr-FR"/>
        </w:rPr>
        <w:t>’</w:t>
      </w:r>
      <w:r>
        <w:rPr>
          <w:lang w:val="fr-FR"/>
        </w:rPr>
        <w:t>exercice biennal précédent, principalement en raison d</w:t>
      </w:r>
      <w:r w:rsidR="0058158D">
        <w:rPr>
          <w:lang w:val="fr-FR"/>
        </w:rPr>
        <w:t>’</w:t>
      </w:r>
      <w:r>
        <w:rPr>
          <w:lang w:val="fr-FR"/>
        </w:rPr>
        <w:t xml:space="preserve">une diminution des achats de nouveau matériel, en partie contrebalancée par la hausse des </w:t>
      </w:r>
      <w:r w:rsidR="000803A9">
        <w:rPr>
          <w:lang w:val="fr-FR"/>
        </w:rPr>
        <w:t>droits de licence</w:t>
      </w:r>
      <w:r>
        <w:rPr>
          <w:lang w:val="fr-FR"/>
        </w:rPr>
        <w:t xml:space="preserve"> </w:t>
      </w:r>
      <w:r w:rsidR="00FA13E2">
        <w:rPr>
          <w:lang w:val="fr-FR"/>
        </w:rPr>
        <w:t xml:space="preserve">pour les </w:t>
      </w:r>
      <w:r>
        <w:rPr>
          <w:lang w:val="fr-FR"/>
        </w:rPr>
        <w:t>logiciels.</w:t>
      </w:r>
    </w:p>
    <w:p w14:paraId="5160D4BA" w14:textId="430100D6" w:rsidR="00C227DE" w:rsidRPr="00CC64D9" w:rsidRDefault="00B63658" w:rsidP="00E239CA">
      <w:pPr>
        <w:pStyle w:val="CH4"/>
        <w:rPr>
          <w:i/>
          <w:iCs/>
          <w:lang w:val="fr-FR"/>
        </w:rPr>
      </w:pPr>
      <w:r>
        <w:rPr>
          <w:lang w:val="fr-FR"/>
        </w:rPr>
        <w:tab/>
      </w:r>
      <w:r>
        <w:rPr>
          <w:lang w:val="fr-FR"/>
        </w:rPr>
        <w:tab/>
      </w:r>
      <w:r>
        <w:rPr>
          <w:bCs/>
          <w:i/>
          <w:iCs/>
          <w:lang w:val="fr-FR"/>
        </w:rPr>
        <w:t xml:space="preserve">Augmentations par </w:t>
      </w:r>
      <w:r w:rsidRPr="00E239CA">
        <w:rPr>
          <w:i/>
          <w:lang w:val="fr-FR"/>
        </w:rPr>
        <w:t>rapport</w:t>
      </w:r>
      <w:r>
        <w:rPr>
          <w:bCs/>
          <w:i/>
          <w:iCs/>
          <w:lang w:val="fr-FR"/>
        </w:rPr>
        <w:t xml:space="preserve"> au budget approuvé pour </w:t>
      </w:r>
      <w:r w:rsidR="007C7196">
        <w:rPr>
          <w:bCs/>
          <w:i/>
          <w:iCs/>
          <w:lang w:val="fr-FR"/>
        </w:rPr>
        <w:t>2018–2019</w:t>
      </w:r>
    </w:p>
    <w:p w14:paraId="5ECEA57C" w14:textId="0B2F8578" w:rsidR="00905593" w:rsidRPr="00CC64D9" w:rsidRDefault="00905593" w:rsidP="00905593">
      <w:pPr>
        <w:pStyle w:val="Normalnumber"/>
        <w:rPr>
          <w:lang w:val="fr-FR"/>
        </w:rPr>
      </w:pPr>
      <w:r>
        <w:rPr>
          <w:lang w:val="fr-FR"/>
        </w:rPr>
        <w:t xml:space="preserve">Les </w:t>
      </w:r>
      <w:r w:rsidRPr="00430669">
        <w:t>augmentations</w:t>
      </w:r>
      <w:r>
        <w:rPr>
          <w:lang w:val="fr-FR"/>
        </w:rPr>
        <w:t xml:space="preserve"> sont les suivantes</w:t>
      </w:r>
      <w:r w:rsidR="00CC64D9">
        <w:rPr>
          <w:lang w:val="fr-FR"/>
        </w:rPr>
        <w:t> </w:t>
      </w:r>
      <w:r>
        <w:rPr>
          <w:lang w:val="fr-FR"/>
        </w:rPr>
        <w:t>:</w:t>
      </w:r>
    </w:p>
    <w:p w14:paraId="1B368EF6" w14:textId="77F0C8DA" w:rsidR="00A70083" w:rsidRPr="00CC64D9" w:rsidRDefault="005936B8" w:rsidP="005064FA">
      <w:pPr>
        <w:pStyle w:val="Normalnumber"/>
        <w:numPr>
          <w:ilvl w:val="1"/>
          <w:numId w:val="4"/>
        </w:numPr>
        <w:rPr>
          <w:lang w:val="fr-FR"/>
        </w:rPr>
      </w:pPr>
      <w:r>
        <w:rPr>
          <w:lang w:val="fr-FR"/>
        </w:rPr>
        <w:t>Activité</w:t>
      </w:r>
      <w:r w:rsidR="00CC64D9">
        <w:rPr>
          <w:lang w:val="fr-FR"/>
        </w:rPr>
        <w:t> </w:t>
      </w:r>
      <w:r>
        <w:rPr>
          <w:lang w:val="fr-FR"/>
        </w:rPr>
        <w:t>2</w:t>
      </w:r>
      <w:r w:rsidR="00CC64D9">
        <w:rPr>
          <w:lang w:val="fr-FR"/>
        </w:rPr>
        <w:t> </w:t>
      </w:r>
      <w:r>
        <w:rPr>
          <w:lang w:val="fr-FR"/>
        </w:rPr>
        <w:t>: un montant supplémentaire de 2</w:t>
      </w:r>
      <w:r w:rsidR="00E546DF">
        <w:rPr>
          <w:lang w:val="fr-FR"/>
        </w:rPr>
        <w:t> </w:t>
      </w:r>
      <w:r>
        <w:rPr>
          <w:lang w:val="fr-FR"/>
        </w:rPr>
        <w:t>000</w:t>
      </w:r>
      <w:r w:rsidR="00CC64D9">
        <w:rPr>
          <w:lang w:val="fr-FR"/>
        </w:rPr>
        <w:t> </w:t>
      </w:r>
      <w:r>
        <w:rPr>
          <w:lang w:val="fr-FR"/>
        </w:rPr>
        <w:t>dollars est prévu au budget pour deux</w:t>
      </w:r>
      <w:r w:rsidR="001C5F63">
        <w:rPr>
          <w:lang w:val="fr-FR"/>
        </w:rPr>
        <w:t> </w:t>
      </w:r>
      <w:r>
        <w:rPr>
          <w:lang w:val="fr-FR"/>
        </w:rPr>
        <w:t>réunions du Bureau de la Conférence des Parties afin d</w:t>
      </w:r>
      <w:r w:rsidR="0058158D">
        <w:rPr>
          <w:lang w:val="fr-FR"/>
        </w:rPr>
        <w:t>’</w:t>
      </w:r>
      <w:r>
        <w:rPr>
          <w:lang w:val="fr-FR"/>
        </w:rPr>
        <w:t>aligner le budget sur les coûts réels des</w:t>
      </w:r>
      <w:r w:rsidR="00E239CA">
        <w:rPr>
          <w:lang w:val="fr-FR"/>
        </w:rPr>
        <w:t> </w:t>
      </w:r>
      <w:r>
        <w:rPr>
          <w:lang w:val="fr-FR"/>
        </w:rPr>
        <w:t>réunions</w:t>
      </w:r>
      <w:r w:rsidR="007C7196">
        <w:rPr>
          <w:lang w:val="fr-FR"/>
        </w:rPr>
        <w:t> ;</w:t>
      </w:r>
    </w:p>
    <w:p w14:paraId="4C90A25B" w14:textId="2940A16B" w:rsidR="00A70083" w:rsidRPr="00CC64D9" w:rsidRDefault="007615EF" w:rsidP="005064FA">
      <w:pPr>
        <w:pStyle w:val="Normalnumber"/>
        <w:numPr>
          <w:ilvl w:val="1"/>
          <w:numId w:val="4"/>
        </w:numPr>
        <w:rPr>
          <w:lang w:val="fr-FR"/>
        </w:rPr>
      </w:pPr>
      <w:r>
        <w:rPr>
          <w:lang w:val="fr-FR"/>
        </w:rPr>
        <w:t>Activité</w:t>
      </w:r>
      <w:r w:rsidR="00CC64D9">
        <w:rPr>
          <w:lang w:val="fr-FR"/>
        </w:rPr>
        <w:t> </w:t>
      </w:r>
      <w:r>
        <w:rPr>
          <w:lang w:val="fr-FR"/>
        </w:rPr>
        <w:t>6</w:t>
      </w:r>
      <w:r w:rsidR="00CC64D9">
        <w:rPr>
          <w:lang w:val="fr-FR"/>
        </w:rPr>
        <w:t> </w:t>
      </w:r>
      <w:r>
        <w:rPr>
          <w:lang w:val="fr-FR"/>
        </w:rPr>
        <w:t xml:space="preserve">: </w:t>
      </w:r>
      <w:r w:rsidR="008D2038">
        <w:rPr>
          <w:lang w:val="fr-FR"/>
        </w:rPr>
        <w:t xml:space="preserve">aux fins de </w:t>
      </w:r>
      <w:r>
        <w:rPr>
          <w:lang w:val="fr-FR"/>
        </w:rPr>
        <w:t>l</w:t>
      </w:r>
      <w:r w:rsidR="0058158D">
        <w:rPr>
          <w:lang w:val="fr-FR"/>
        </w:rPr>
        <w:t>’</w:t>
      </w:r>
      <w:r>
        <w:rPr>
          <w:lang w:val="fr-FR"/>
        </w:rPr>
        <w:t>évaluation de l</w:t>
      </w:r>
      <w:r w:rsidR="0058158D">
        <w:rPr>
          <w:lang w:val="fr-FR"/>
        </w:rPr>
        <w:t>’</w:t>
      </w:r>
      <w:r>
        <w:rPr>
          <w:lang w:val="fr-FR"/>
        </w:rPr>
        <w:t xml:space="preserve">efficacité, qui </w:t>
      </w:r>
      <w:r w:rsidR="008D2038" w:rsidRPr="008D2038">
        <w:rPr>
          <w:lang w:val="fr-FR"/>
        </w:rPr>
        <w:t>ne figurait pas dans le</w:t>
      </w:r>
      <w:r w:rsidR="007C7196">
        <w:rPr>
          <w:lang w:val="fr-FR"/>
        </w:rPr>
        <w:t> </w:t>
      </w:r>
      <w:r w:rsidR="008D2038" w:rsidRPr="008D2038">
        <w:rPr>
          <w:lang w:val="fr-FR"/>
        </w:rPr>
        <w:t xml:space="preserve">programme </w:t>
      </w:r>
      <w:r>
        <w:rPr>
          <w:lang w:val="fr-FR"/>
        </w:rPr>
        <w:t>de l</w:t>
      </w:r>
      <w:r w:rsidR="0058158D">
        <w:rPr>
          <w:lang w:val="fr-FR"/>
        </w:rPr>
        <w:t>’</w:t>
      </w:r>
      <w:r>
        <w:rPr>
          <w:lang w:val="fr-FR"/>
        </w:rPr>
        <w:t>exercice biennal précédent, un montant de 810</w:t>
      </w:r>
      <w:r w:rsidR="00E546DF">
        <w:rPr>
          <w:lang w:val="fr-FR"/>
        </w:rPr>
        <w:t> </w:t>
      </w:r>
      <w:r>
        <w:rPr>
          <w:lang w:val="fr-FR"/>
        </w:rPr>
        <w:t>000</w:t>
      </w:r>
      <w:r w:rsidR="00CC64D9">
        <w:rPr>
          <w:lang w:val="fr-FR"/>
        </w:rPr>
        <w:t> </w:t>
      </w:r>
      <w:r>
        <w:rPr>
          <w:lang w:val="fr-FR"/>
        </w:rPr>
        <w:t xml:space="preserve">dollars est </w:t>
      </w:r>
      <w:r w:rsidR="003A3506">
        <w:rPr>
          <w:lang w:val="fr-FR"/>
        </w:rPr>
        <w:t>inscrit</w:t>
      </w:r>
      <w:r>
        <w:rPr>
          <w:lang w:val="fr-FR"/>
        </w:rPr>
        <w:t xml:space="preserve"> au budget pour </w:t>
      </w:r>
      <w:r w:rsidR="00146668">
        <w:rPr>
          <w:lang w:val="fr-FR"/>
        </w:rPr>
        <w:t>l</w:t>
      </w:r>
      <w:r w:rsidR="0058158D">
        <w:rPr>
          <w:lang w:val="fr-FR"/>
        </w:rPr>
        <w:t>’</w:t>
      </w:r>
      <w:r>
        <w:rPr>
          <w:lang w:val="fr-FR"/>
        </w:rPr>
        <w:t>élabor</w:t>
      </w:r>
      <w:r w:rsidR="00146668">
        <w:rPr>
          <w:lang w:val="fr-FR"/>
        </w:rPr>
        <w:t>ation</w:t>
      </w:r>
      <w:r>
        <w:rPr>
          <w:lang w:val="fr-FR"/>
        </w:rPr>
        <w:t xml:space="preserve"> </w:t>
      </w:r>
      <w:r w:rsidR="00146668">
        <w:rPr>
          <w:lang w:val="fr-FR"/>
        </w:rPr>
        <w:t>d</w:t>
      </w:r>
      <w:r w:rsidR="0058158D">
        <w:rPr>
          <w:lang w:val="fr-FR"/>
        </w:rPr>
        <w:t>’</w:t>
      </w:r>
      <w:r>
        <w:rPr>
          <w:lang w:val="fr-FR"/>
        </w:rPr>
        <w:t>un</w:t>
      </w:r>
      <w:r w:rsidR="00E239CA">
        <w:rPr>
          <w:lang w:val="fr-FR"/>
        </w:rPr>
        <w:t> </w:t>
      </w:r>
      <w:r>
        <w:rPr>
          <w:lang w:val="fr-FR"/>
        </w:rPr>
        <w:t>rapport de suivi et de modélisation</w:t>
      </w:r>
      <w:r w:rsidR="001C5F63">
        <w:rPr>
          <w:lang w:val="fr-FR"/>
        </w:rPr>
        <w:t>,</w:t>
      </w:r>
      <w:r>
        <w:rPr>
          <w:lang w:val="fr-FR"/>
        </w:rPr>
        <w:t xml:space="preserve"> comme proposé </w:t>
      </w:r>
      <w:r w:rsidR="00146668">
        <w:rPr>
          <w:lang w:val="fr-FR"/>
        </w:rPr>
        <w:t xml:space="preserve">par </w:t>
      </w:r>
      <w:r>
        <w:rPr>
          <w:lang w:val="fr-FR"/>
        </w:rPr>
        <w:t>le groupe spécial d</w:t>
      </w:r>
      <w:r w:rsidR="0058158D">
        <w:rPr>
          <w:lang w:val="fr-FR"/>
        </w:rPr>
        <w:t>’</w:t>
      </w:r>
      <w:r>
        <w:rPr>
          <w:lang w:val="fr-FR"/>
        </w:rPr>
        <w:t>experts techniques (sous</w:t>
      </w:r>
      <w:r w:rsidR="00E239CA">
        <w:rPr>
          <w:lang w:val="fr-FR"/>
        </w:rPr>
        <w:t> </w:t>
      </w:r>
      <w:r>
        <w:rPr>
          <w:lang w:val="fr-FR"/>
        </w:rPr>
        <w:t xml:space="preserve">réserve de la décision de la Conférence des Parties </w:t>
      </w:r>
      <w:r w:rsidR="008D2038" w:rsidRPr="008D2038">
        <w:rPr>
          <w:lang w:val="fr-FR"/>
        </w:rPr>
        <w:t>à ce sujet</w:t>
      </w:r>
      <w:r>
        <w:rPr>
          <w:lang w:val="fr-FR"/>
        </w:rPr>
        <w:t xml:space="preserve">), </w:t>
      </w:r>
      <w:r w:rsidR="00146668">
        <w:rPr>
          <w:lang w:val="fr-FR"/>
        </w:rPr>
        <w:t xml:space="preserve">qui </w:t>
      </w:r>
      <w:r w:rsidR="00F315A4">
        <w:rPr>
          <w:lang w:val="fr-FR"/>
        </w:rPr>
        <w:t>implique</w:t>
      </w:r>
      <w:r w:rsidR="00146668">
        <w:rPr>
          <w:lang w:val="fr-FR"/>
        </w:rPr>
        <w:t xml:space="preserve"> de</w:t>
      </w:r>
      <w:r w:rsidR="00F315A4">
        <w:rPr>
          <w:lang w:val="fr-FR"/>
        </w:rPr>
        <w:t>s</w:t>
      </w:r>
      <w:r>
        <w:rPr>
          <w:lang w:val="fr-FR"/>
        </w:rPr>
        <w:t xml:space="preserve"> réunions </w:t>
      </w:r>
      <w:r w:rsidR="00410C79">
        <w:rPr>
          <w:lang w:val="fr-FR"/>
        </w:rPr>
        <w:t xml:space="preserve">en présentiel </w:t>
      </w:r>
      <w:r>
        <w:rPr>
          <w:lang w:val="fr-FR"/>
        </w:rPr>
        <w:t>des experts, une compilation et une évaluation des communications des</w:t>
      </w:r>
      <w:r w:rsidR="007C7196">
        <w:rPr>
          <w:lang w:val="fr-FR"/>
        </w:rPr>
        <w:t> </w:t>
      </w:r>
      <w:r>
        <w:rPr>
          <w:lang w:val="fr-FR"/>
        </w:rPr>
        <w:t xml:space="preserve">Parties et </w:t>
      </w:r>
      <w:r w:rsidR="00F315A4">
        <w:rPr>
          <w:lang w:val="fr-FR"/>
        </w:rPr>
        <w:t xml:space="preserve">des séances de discussion par voie </w:t>
      </w:r>
      <w:r>
        <w:rPr>
          <w:lang w:val="fr-FR"/>
        </w:rPr>
        <w:t>électronique</w:t>
      </w:r>
      <w:r w:rsidR="00F315A4">
        <w:rPr>
          <w:lang w:val="fr-FR"/>
        </w:rPr>
        <w:t xml:space="preserve"> entre les membres du</w:t>
      </w:r>
      <w:r>
        <w:rPr>
          <w:lang w:val="fr-FR"/>
        </w:rPr>
        <w:t xml:space="preserve"> Comité d</w:t>
      </w:r>
      <w:r w:rsidR="0058158D">
        <w:rPr>
          <w:lang w:val="fr-FR"/>
        </w:rPr>
        <w:t>’</w:t>
      </w:r>
      <w:r>
        <w:rPr>
          <w:lang w:val="fr-FR"/>
        </w:rPr>
        <w:t>évaluation de l</w:t>
      </w:r>
      <w:r w:rsidR="0058158D">
        <w:rPr>
          <w:lang w:val="fr-FR"/>
        </w:rPr>
        <w:t>’</w:t>
      </w:r>
      <w:r>
        <w:rPr>
          <w:lang w:val="fr-FR"/>
        </w:rPr>
        <w:t xml:space="preserve">efficacité </w:t>
      </w:r>
      <w:r w:rsidR="008D2038" w:rsidRPr="008D2038">
        <w:rPr>
          <w:lang w:val="fr-FR"/>
        </w:rPr>
        <w:t>afin d</w:t>
      </w:r>
      <w:r w:rsidR="0058158D">
        <w:rPr>
          <w:lang w:val="fr-FR"/>
        </w:rPr>
        <w:t>’</w:t>
      </w:r>
      <w:r>
        <w:rPr>
          <w:lang w:val="fr-FR"/>
        </w:rPr>
        <w:t>assurer l</w:t>
      </w:r>
      <w:r w:rsidR="0058158D">
        <w:rPr>
          <w:lang w:val="fr-FR"/>
        </w:rPr>
        <w:t>’</w:t>
      </w:r>
      <w:r>
        <w:rPr>
          <w:lang w:val="fr-FR"/>
        </w:rPr>
        <w:t>intégration des rapports. Le budget proposé couvre également l</w:t>
      </w:r>
      <w:r w:rsidR="0058158D">
        <w:rPr>
          <w:lang w:val="fr-FR"/>
        </w:rPr>
        <w:t>’</w:t>
      </w:r>
      <w:r>
        <w:rPr>
          <w:lang w:val="fr-FR"/>
        </w:rPr>
        <w:t xml:space="preserve">élaboration </w:t>
      </w:r>
      <w:r>
        <w:rPr>
          <w:lang w:val="fr-FR"/>
        </w:rPr>
        <w:lastRenderedPageBreak/>
        <w:t>d</w:t>
      </w:r>
      <w:r w:rsidR="0058158D">
        <w:rPr>
          <w:lang w:val="fr-FR"/>
        </w:rPr>
        <w:t>’</w:t>
      </w:r>
      <w:r>
        <w:rPr>
          <w:lang w:val="fr-FR"/>
        </w:rPr>
        <w:t>un rapport sur les</w:t>
      </w:r>
      <w:r w:rsidR="00E239CA">
        <w:rPr>
          <w:lang w:val="fr-FR"/>
        </w:rPr>
        <w:t> </w:t>
      </w:r>
      <w:r>
        <w:rPr>
          <w:lang w:val="fr-FR"/>
        </w:rPr>
        <w:t>émissions et les rejets, d</w:t>
      </w:r>
      <w:r w:rsidR="0058158D">
        <w:rPr>
          <w:lang w:val="fr-FR"/>
        </w:rPr>
        <w:t>’</w:t>
      </w:r>
      <w:r>
        <w:rPr>
          <w:lang w:val="fr-FR"/>
        </w:rPr>
        <w:t>un rapport sur l</w:t>
      </w:r>
      <w:r w:rsidR="0058158D">
        <w:rPr>
          <w:lang w:val="fr-FR"/>
        </w:rPr>
        <w:t>’</w:t>
      </w:r>
      <w:r>
        <w:rPr>
          <w:lang w:val="fr-FR"/>
        </w:rPr>
        <w:t>offre, la</w:t>
      </w:r>
      <w:r w:rsidR="007C7196">
        <w:rPr>
          <w:lang w:val="fr-FR"/>
        </w:rPr>
        <w:t> </w:t>
      </w:r>
      <w:r>
        <w:rPr>
          <w:lang w:val="fr-FR"/>
        </w:rPr>
        <w:t>demande et le commerce</w:t>
      </w:r>
      <w:r w:rsidR="00F315A4">
        <w:rPr>
          <w:lang w:val="fr-FR"/>
        </w:rPr>
        <w:t>,</w:t>
      </w:r>
      <w:r>
        <w:rPr>
          <w:lang w:val="fr-FR"/>
        </w:rPr>
        <w:t xml:space="preserve"> </w:t>
      </w:r>
      <w:r w:rsidR="00F315A4">
        <w:rPr>
          <w:lang w:val="fr-FR"/>
        </w:rPr>
        <w:t>et</w:t>
      </w:r>
      <w:r>
        <w:rPr>
          <w:lang w:val="fr-FR"/>
        </w:rPr>
        <w:t xml:space="preserve"> d</w:t>
      </w:r>
      <w:r w:rsidR="0058158D">
        <w:rPr>
          <w:lang w:val="fr-FR"/>
        </w:rPr>
        <w:t>’</w:t>
      </w:r>
      <w:r>
        <w:rPr>
          <w:lang w:val="fr-FR"/>
        </w:rPr>
        <w:t>un</w:t>
      </w:r>
      <w:r w:rsidR="007B292B">
        <w:rPr>
          <w:lang w:val="fr-FR"/>
        </w:rPr>
        <w:t> </w:t>
      </w:r>
      <w:r>
        <w:rPr>
          <w:lang w:val="fr-FR"/>
        </w:rPr>
        <w:t>rapport sur les déchets</w:t>
      </w:r>
      <w:r w:rsidR="007C7196">
        <w:rPr>
          <w:lang w:val="fr-FR"/>
        </w:rPr>
        <w:t> ;</w:t>
      </w:r>
    </w:p>
    <w:p w14:paraId="61CCB8CD" w14:textId="1BF7623E" w:rsidR="00A70083" w:rsidRPr="00CC64D9" w:rsidRDefault="000D378B" w:rsidP="005064FA">
      <w:pPr>
        <w:pStyle w:val="Normalnumber"/>
        <w:numPr>
          <w:ilvl w:val="1"/>
          <w:numId w:val="4"/>
        </w:numPr>
        <w:rPr>
          <w:lang w:val="fr-FR"/>
        </w:rPr>
      </w:pPr>
      <w:r>
        <w:rPr>
          <w:lang w:val="fr-FR"/>
        </w:rPr>
        <w:t>Activité</w:t>
      </w:r>
      <w:r w:rsidR="00CC64D9">
        <w:rPr>
          <w:lang w:val="fr-FR"/>
        </w:rPr>
        <w:t> </w:t>
      </w:r>
      <w:r>
        <w:rPr>
          <w:lang w:val="fr-FR"/>
        </w:rPr>
        <w:t>7</w:t>
      </w:r>
      <w:r w:rsidR="00CC64D9">
        <w:rPr>
          <w:lang w:val="fr-FR"/>
        </w:rPr>
        <w:t> </w:t>
      </w:r>
      <w:r>
        <w:rPr>
          <w:lang w:val="fr-FR"/>
        </w:rPr>
        <w:t>: le secrétariat estime qu</w:t>
      </w:r>
      <w:r w:rsidR="0058158D">
        <w:rPr>
          <w:lang w:val="fr-FR"/>
        </w:rPr>
        <w:t>’</w:t>
      </w:r>
      <w:r>
        <w:rPr>
          <w:lang w:val="fr-FR"/>
        </w:rPr>
        <w:t>il faut 95</w:t>
      </w:r>
      <w:r w:rsidR="00E546DF">
        <w:rPr>
          <w:lang w:val="fr-FR"/>
        </w:rPr>
        <w:t> </w:t>
      </w:r>
      <w:r>
        <w:rPr>
          <w:lang w:val="fr-FR"/>
        </w:rPr>
        <w:t>000</w:t>
      </w:r>
      <w:r w:rsidR="00CC64D9">
        <w:rPr>
          <w:lang w:val="fr-FR"/>
        </w:rPr>
        <w:t> </w:t>
      </w:r>
      <w:r>
        <w:rPr>
          <w:lang w:val="fr-FR"/>
        </w:rPr>
        <w:t>dollars au cours de l</w:t>
      </w:r>
      <w:r w:rsidR="0058158D">
        <w:rPr>
          <w:lang w:val="fr-FR"/>
        </w:rPr>
        <w:t>’</w:t>
      </w:r>
      <w:r>
        <w:rPr>
          <w:lang w:val="fr-FR"/>
        </w:rPr>
        <w:t>exercice biennal pour mettre au point un système électronique</w:t>
      </w:r>
      <w:r w:rsidR="000A1CE8">
        <w:rPr>
          <w:lang w:val="fr-FR"/>
        </w:rPr>
        <w:t xml:space="preserve"> de</w:t>
      </w:r>
      <w:r>
        <w:rPr>
          <w:lang w:val="fr-FR"/>
        </w:rPr>
        <w:t xml:space="preserve"> </w:t>
      </w:r>
      <w:r w:rsidR="000A1CE8" w:rsidRPr="000A1CE8">
        <w:rPr>
          <w:lang w:val="fr-FR"/>
        </w:rPr>
        <w:t xml:space="preserve">communication en ligne des données nationales </w:t>
      </w:r>
      <w:r>
        <w:rPr>
          <w:lang w:val="fr-FR"/>
        </w:rPr>
        <w:t>pour le premier rapport complet à présenter d</w:t>
      </w:r>
      <w:r w:rsidR="0058158D">
        <w:rPr>
          <w:lang w:val="fr-FR"/>
        </w:rPr>
        <w:t>’</w:t>
      </w:r>
      <w:r>
        <w:rPr>
          <w:lang w:val="fr-FR"/>
        </w:rPr>
        <w:t>ici au 31</w:t>
      </w:r>
      <w:r w:rsidR="00E546DF">
        <w:rPr>
          <w:lang w:val="fr-FR"/>
        </w:rPr>
        <w:t> </w:t>
      </w:r>
      <w:r>
        <w:rPr>
          <w:lang w:val="fr-FR"/>
        </w:rPr>
        <w:t>décembre</w:t>
      </w:r>
      <w:r w:rsidR="00E546DF">
        <w:rPr>
          <w:lang w:val="fr-FR"/>
        </w:rPr>
        <w:t> </w:t>
      </w:r>
      <w:r>
        <w:rPr>
          <w:lang w:val="fr-FR"/>
        </w:rPr>
        <w:t>2021, y compris les outils de formation nécessaires, et pour procéder à une évaluation des rapports soumis par les Parties conformément à l</w:t>
      </w:r>
      <w:r w:rsidR="0058158D">
        <w:rPr>
          <w:lang w:val="fr-FR"/>
        </w:rPr>
        <w:t>’</w:t>
      </w:r>
      <w:r>
        <w:rPr>
          <w:lang w:val="fr-FR"/>
        </w:rPr>
        <w:t>article</w:t>
      </w:r>
      <w:r w:rsidR="00CC64D9">
        <w:rPr>
          <w:lang w:val="fr-FR"/>
        </w:rPr>
        <w:t> </w:t>
      </w:r>
      <w:r>
        <w:rPr>
          <w:lang w:val="fr-FR"/>
        </w:rPr>
        <w:t>21. Cette</w:t>
      </w:r>
      <w:r w:rsidR="00E239CA">
        <w:rPr>
          <w:lang w:val="fr-FR"/>
        </w:rPr>
        <w:t> </w:t>
      </w:r>
      <w:r>
        <w:rPr>
          <w:lang w:val="fr-FR"/>
        </w:rPr>
        <w:t>estimation correspond à une augmentation de 35</w:t>
      </w:r>
      <w:r w:rsidR="00E546DF">
        <w:rPr>
          <w:lang w:val="fr-FR"/>
        </w:rPr>
        <w:t> </w:t>
      </w:r>
      <w:r>
        <w:rPr>
          <w:lang w:val="fr-FR"/>
        </w:rPr>
        <w:t>000</w:t>
      </w:r>
      <w:r w:rsidR="00CC64D9">
        <w:rPr>
          <w:lang w:val="fr-FR"/>
        </w:rPr>
        <w:t> </w:t>
      </w:r>
      <w:r>
        <w:rPr>
          <w:lang w:val="fr-FR"/>
        </w:rPr>
        <w:t>dollars par rapport à l</w:t>
      </w:r>
      <w:r w:rsidR="0058158D">
        <w:rPr>
          <w:lang w:val="fr-FR"/>
        </w:rPr>
        <w:t>’</w:t>
      </w:r>
      <w:r>
        <w:rPr>
          <w:lang w:val="fr-FR"/>
        </w:rPr>
        <w:t>exercice biennal précédent</w:t>
      </w:r>
      <w:r w:rsidR="007C7196">
        <w:rPr>
          <w:lang w:val="fr-FR"/>
        </w:rPr>
        <w:t> ;</w:t>
      </w:r>
    </w:p>
    <w:p w14:paraId="37A6A06C" w14:textId="74B89136" w:rsidR="00B47088" w:rsidRPr="00D816DC" w:rsidRDefault="00B47088" w:rsidP="005064FA">
      <w:pPr>
        <w:pStyle w:val="Normalnumber"/>
        <w:numPr>
          <w:ilvl w:val="1"/>
          <w:numId w:val="4"/>
        </w:numPr>
        <w:rPr>
          <w:lang w:val="fr-FR"/>
        </w:rPr>
      </w:pPr>
      <w:r>
        <w:rPr>
          <w:lang w:val="fr-FR"/>
        </w:rPr>
        <w:t>Activité</w:t>
      </w:r>
      <w:r w:rsidR="00CC64D9">
        <w:rPr>
          <w:lang w:val="fr-FR"/>
        </w:rPr>
        <w:t> </w:t>
      </w:r>
      <w:r>
        <w:rPr>
          <w:lang w:val="fr-FR"/>
        </w:rPr>
        <w:t>8</w:t>
      </w:r>
      <w:r w:rsidR="00CC64D9">
        <w:rPr>
          <w:lang w:val="fr-FR"/>
        </w:rPr>
        <w:t> </w:t>
      </w:r>
      <w:r>
        <w:rPr>
          <w:lang w:val="fr-FR"/>
        </w:rPr>
        <w:t>: dans le domaine des publications, un montant supplémentaire de 50</w:t>
      </w:r>
      <w:r w:rsidR="00E546DF">
        <w:rPr>
          <w:lang w:val="fr-FR"/>
        </w:rPr>
        <w:t> </w:t>
      </w:r>
      <w:r>
        <w:rPr>
          <w:lang w:val="fr-FR"/>
        </w:rPr>
        <w:t>000</w:t>
      </w:r>
      <w:r w:rsidR="00CC64D9">
        <w:rPr>
          <w:lang w:val="fr-FR"/>
        </w:rPr>
        <w:t> </w:t>
      </w:r>
      <w:r>
        <w:rPr>
          <w:lang w:val="fr-FR"/>
        </w:rPr>
        <w:t>dollars est nécessaire pour la conception, la traduction et l</w:t>
      </w:r>
      <w:r w:rsidR="0058158D">
        <w:rPr>
          <w:lang w:val="fr-FR"/>
        </w:rPr>
        <w:t>’</w:t>
      </w:r>
      <w:r>
        <w:rPr>
          <w:lang w:val="fr-FR"/>
        </w:rPr>
        <w:t xml:space="preserve">impression </w:t>
      </w:r>
      <w:r w:rsidR="003A3506">
        <w:rPr>
          <w:lang w:val="fr-FR"/>
        </w:rPr>
        <w:t>en différentes</w:t>
      </w:r>
      <w:r>
        <w:rPr>
          <w:lang w:val="fr-FR"/>
        </w:rPr>
        <w:t xml:space="preserve"> langues des documents d</w:t>
      </w:r>
      <w:r w:rsidR="0058158D">
        <w:rPr>
          <w:lang w:val="fr-FR"/>
        </w:rPr>
        <w:t>’</w:t>
      </w:r>
      <w:r>
        <w:rPr>
          <w:lang w:val="fr-FR"/>
        </w:rPr>
        <w:t>orientation les plus importants adoptés par la Conférence des Parties</w:t>
      </w:r>
      <w:r w:rsidR="007C7196">
        <w:rPr>
          <w:lang w:val="fr-FR"/>
        </w:rPr>
        <w:t> ;</w:t>
      </w:r>
    </w:p>
    <w:p w14:paraId="58D7F512" w14:textId="600ED111" w:rsidR="00B538B0" w:rsidRPr="00CC64D9" w:rsidRDefault="00B538B0" w:rsidP="005064FA">
      <w:pPr>
        <w:pStyle w:val="Normalnumber"/>
        <w:numPr>
          <w:ilvl w:val="1"/>
          <w:numId w:val="4"/>
        </w:numPr>
        <w:rPr>
          <w:lang w:val="fr-FR"/>
        </w:rPr>
      </w:pPr>
      <w:r>
        <w:rPr>
          <w:lang w:val="fr-FR"/>
        </w:rPr>
        <w:t>Activité</w:t>
      </w:r>
      <w:r w:rsidR="00CC64D9">
        <w:rPr>
          <w:lang w:val="fr-FR"/>
        </w:rPr>
        <w:t> </w:t>
      </w:r>
      <w:r>
        <w:rPr>
          <w:lang w:val="fr-FR"/>
        </w:rPr>
        <w:t>9</w:t>
      </w:r>
      <w:r w:rsidR="00CC64D9">
        <w:rPr>
          <w:lang w:val="fr-FR"/>
        </w:rPr>
        <w:t> </w:t>
      </w:r>
      <w:r>
        <w:rPr>
          <w:lang w:val="fr-FR"/>
        </w:rPr>
        <w:t>: il est proposé d</w:t>
      </w:r>
      <w:r w:rsidR="0058158D">
        <w:rPr>
          <w:lang w:val="fr-FR"/>
        </w:rPr>
        <w:t>’</w:t>
      </w:r>
      <w:r>
        <w:rPr>
          <w:lang w:val="fr-FR"/>
        </w:rPr>
        <w:t>augmenter de 5</w:t>
      </w:r>
      <w:r w:rsidR="00E546DF">
        <w:rPr>
          <w:lang w:val="fr-FR"/>
        </w:rPr>
        <w:t> </w:t>
      </w:r>
      <w:r>
        <w:rPr>
          <w:lang w:val="fr-FR"/>
        </w:rPr>
        <w:t>000</w:t>
      </w:r>
      <w:r w:rsidR="00CC64D9">
        <w:rPr>
          <w:lang w:val="fr-FR"/>
        </w:rPr>
        <w:t> </w:t>
      </w:r>
      <w:r>
        <w:rPr>
          <w:lang w:val="fr-FR"/>
        </w:rPr>
        <w:t>dollars par rapport à l</w:t>
      </w:r>
      <w:r w:rsidR="0058158D">
        <w:rPr>
          <w:lang w:val="fr-FR"/>
        </w:rPr>
        <w:t>’</w:t>
      </w:r>
      <w:r>
        <w:rPr>
          <w:lang w:val="fr-FR"/>
        </w:rPr>
        <w:t>exercice biennal précédent les crédits demandés au titre de la communication, des activités de proximité et de la</w:t>
      </w:r>
      <w:r w:rsidR="00E239CA">
        <w:rPr>
          <w:lang w:val="fr-FR"/>
        </w:rPr>
        <w:t> </w:t>
      </w:r>
      <w:r>
        <w:rPr>
          <w:lang w:val="fr-FR"/>
        </w:rPr>
        <w:t>sensibilisation du public, ce qui comprend des licences pour des outils spécifiques nécessaires à la</w:t>
      </w:r>
      <w:r w:rsidR="00E239CA">
        <w:rPr>
          <w:lang w:val="fr-FR"/>
        </w:rPr>
        <w:t> </w:t>
      </w:r>
      <w:r>
        <w:rPr>
          <w:lang w:val="fr-FR"/>
        </w:rPr>
        <w:t>communication stratégique</w:t>
      </w:r>
      <w:r w:rsidR="007C7196">
        <w:rPr>
          <w:lang w:val="fr-FR"/>
        </w:rPr>
        <w:t> ;</w:t>
      </w:r>
    </w:p>
    <w:p w14:paraId="40DF5B59" w14:textId="632E23BE" w:rsidR="00A70083" w:rsidRPr="00CC64D9" w:rsidRDefault="00935F16" w:rsidP="005064FA">
      <w:pPr>
        <w:pStyle w:val="Normalnumber"/>
        <w:numPr>
          <w:ilvl w:val="1"/>
          <w:numId w:val="4"/>
        </w:numPr>
        <w:rPr>
          <w:lang w:val="fr-FR"/>
        </w:rPr>
      </w:pPr>
      <w:r>
        <w:rPr>
          <w:lang w:val="fr-FR"/>
        </w:rPr>
        <w:t>Activité</w:t>
      </w:r>
      <w:r w:rsidR="00CC64D9">
        <w:rPr>
          <w:lang w:val="fr-FR"/>
        </w:rPr>
        <w:t> </w:t>
      </w:r>
      <w:r>
        <w:rPr>
          <w:lang w:val="fr-FR"/>
        </w:rPr>
        <w:t>10</w:t>
      </w:r>
      <w:r w:rsidR="00CC64D9">
        <w:rPr>
          <w:lang w:val="fr-FR"/>
        </w:rPr>
        <w:t> </w:t>
      </w:r>
      <w:r>
        <w:rPr>
          <w:lang w:val="fr-FR"/>
        </w:rPr>
        <w:t xml:space="preserve">: </w:t>
      </w:r>
      <w:r w:rsidR="003A3506">
        <w:rPr>
          <w:lang w:val="fr-FR"/>
        </w:rPr>
        <w:t>au titre de la rubrique D</w:t>
      </w:r>
      <w:r>
        <w:rPr>
          <w:lang w:val="fr-FR"/>
        </w:rPr>
        <w:t>irection exécutive et administration, un</w:t>
      </w:r>
      <w:r w:rsidR="00E239CA">
        <w:rPr>
          <w:lang w:val="fr-FR"/>
        </w:rPr>
        <w:t> </w:t>
      </w:r>
      <w:r>
        <w:rPr>
          <w:lang w:val="fr-FR"/>
        </w:rPr>
        <w:t>montant supplémentaire estimé à 1</w:t>
      </w:r>
      <w:r w:rsidR="00E546DF">
        <w:rPr>
          <w:lang w:val="fr-FR"/>
        </w:rPr>
        <w:t> 351 </w:t>
      </w:r>
      <w:r>
        <w:rPr>
          <w:lang w:val="fr-FR"/>
        </w:rPr>
        <w:t>806</w:t>
      </w:r>
      <w:r w:rsidR="00CC64D9">
        <w:rPr>
          <w:lang w:val="fr-FR"/>
        </w:rPr>
        <w:t> </w:t>
      </w:r>
      <w:r>
        <w:rPr>
          <w:lang w:val="fr-FR"/>
        </w:rPr>
        <w:t>dollars est nécessaire par rapport à l</w:t>
      </w:r>
      <w:r w:rsidR="0058158D">
        <w:rPr>
          <w:lang w:val="fr-FR"/>
        </w:rPr>
        <w:t>’</w:t>
      </w:r>
      <w:r>
        <w:rPr>
          <w:lang w:val="fr-FR"/>
        </w:rPr>
        <w:t>exercice biennal</w:t>
      </w:r>
      <w:r w:rsidR="00CC64D9">
        <w:rPr>
          <w:lang w:val="fr-FR"/>
        </w:rPr>
        <w:t> </w:t>
      </w:r>
      <w:r w:rsidR="007C7196">
        <w:rPr>
          <w:lang w:val="fr-FR"/>
        </w:rPr>
        <w:t>2018–2019</w:t>
      </w:r>
      <w:r>
        <w:rPr>
          <w:lang w:val="fr-FR"/>
        </w:rPr>
        <w:t xml:space="preserve"> pour pouvoir exécuter le programme de travail du secrétariat pour l</w:t>
      </w:r>
      <w:r w:rsidR="0058158D">
        <w:rPr>
          <w:lang w:val="fr-FR"/>
        </w:rPr>
        <w:t>’</w:t>
      </w:r>
      <w:r>
        <w:rPr>
          <w:lang w:val="fr-FR"/>
        </w:rPr>
        <w:t>exercice biennal</w:t>
      </w:r>
      <w:r w:rsidR="00CC64D9">
        <w:rPr>
          <w:lang w:val="fr-FR"/>
        </w:rPr>
        <w:t> </w:t>
      </w:r>
      <w:r w:rsidR="003C11AD">
        <w:rPr>
          <w:lang w:val="fr-FR"/>
        </w:rPr>
        <w:t>2020–2021</w:t>
      </w:r>
      <w:r>
        <w:rPr>
          <w:lang w:val="fr-FR"/>
        </w:rPr>
        <w:t>. Quatre</w:t>
      </w:r>
      <w:r w:rsidR="00E035FB">
        <w:rPr>
          <w:lang w:val="fr-FR"/>
        </w:rPr>
        <w:t> </w:t>
      </w:r>
      <w:r>
        <w:rPr>
          <w:lang w:val="fr-FR"/>
        </w:rPr>
        <w:t>postes supplémentaires sont proposés. Un administrateur de programmes (P-3) est nécessaire pour s</w:t>
      </w:r>
      <w:r w:rsidR="0058158D">
        <w:rPr>
          <w:lang w:val="fr-FR"/>
        </w:rPr>
        <w:t>’</w:t>
      </w:r>
      <w:r>
        <w:rPr>
          <w:lang w:val="fr-FR"/>
        </w:rPr>
        <w:t>occuper de l</w:t>
      </w:r>
      <w:r w:rsidR="0058158D">
        <w:rPr>
          <w:lang w:val="fr-FR"/>
        </w:rPr>
        <w:t>’</w:t>
      </w:r>
      <w:r>
        <w:rPr>
          <w:lang w:val="fr-FR"/>
        </w:rPr>
        <w:t>établissement des rapports, de l</w:t>
      </w:r>
      <w:r w:rsidR="0058158D">
        <w:rPr>
          <w:lang w:val="fr-FR"/>
        </w:rPr>
        <w:t>’</w:t>
      </w:r>
      <w:r>
        <w:rPr>
          <w:lang w:val="fr-FR"/>
        </w:rPr>
        <w:t>évaluation de l</w:t>
      </w:r>
      <w:r w:rsidR="0058158D">
        <w:rPr>
          <w:lang w:val="fr-FR"/>
        </w:rPr>
        <w:t>’</w:t>
      </w:r>
      <w:r>
        <w:rPr>
          <w:lang w:val="fr-FR"/>
        </w:rPr>
        <w:t>efficacité et du</w:t>
      </w:r>
      <w:r w:rsidR="00E239CA">
        <w:rPr>
          <w:lang w:val="fr-FR"/>
        </w:rPr>
        <w:t> </w:t>
      </w:r>
      <w:r>
        <w:rPr>
          <w:lang w:val="fr-FR"/>
        </w:rPr>
        <w:t>renforcement des capacités, ainsi qu</w:t>
      </w:r>
      <w:r w:rsidR="0058158D">
        <w:rPr>
          <w:lang w:val="fr-FR"/>
        </w:rPr>
        <w:t>’</w:t>
      </w:r>
      <w:r>
        <w:rPr>
          <w:lang w:val="fr-FR"/>
        </w:rPr>
        <w:t>un assistant administratif (G-6) pour reprendre les fonctions importantes des achats, des ressources humaines et de l</w:t>
      </w:r>
      <w:r w:rsidR="0058158D">
        <w:rPr>
          <w:lang w:val="fr-FR"/>
        </w:rPr>
        <w:t>’</w:t>
      </w:r>
      <w:r>
        <w:rPr>
          <w:lang w:val="fr-FR"/>
        </w:rPr>
        <w:t>administration de projet. Certaines de ces</w:t>
      </w:r>
      <w:r w:rsidR="00E239CA">
        <w:rPr>
          <w:lang w:val="fr-FR"/>
        </w:rPr>
        <w:t> </w:t>
      </w:r>
      <w:r>
        <w:rPr>
          <w:lang w:val="fr-FR"/>
        </w:rPr>
        <w:t xml:space="preserve">fonctions sont actuellement assurées par diverses entités des </w:t>
      </w:r>
      <w:r w:rsidR="006D45E7">
        <w:rPr>
          <w:lang w:val="fr-FR"/>
        </w:rPr>
        <w:t>Nations Unies</w:t>
      </w:r>
      <w:r>
        <w:rPr>
          <w:lang w:val="fr-FR"/>
        </w:rPr>
        <w:t>, dans la plupart des</w:t>
      </w:r>
      <w:r w:rsidR="00E239CA">
        <w:rPr>
          <w:lang w:val="fr-FR"/>
        </w:rPr>
        <w:t> </w:t>
      </w:r>
      <w:r>
        <w:rPr>
          <w:lang w:val="fr-FR"/>
        </w:rPr>
        <w:t>cas</w:t>
      </w:r>
      <w:r w:rsidR="00E239CA">
        <w:rPr>
          <w:lang w:val="fr-FR"/>
        </w:rPr>
        <w:t> </w:t>
      </w:r>
      <w:r>
        <w:rPr>
          <w:lang w:val="fr-FR"/>
        </w:rPr>
        <w:t>gratuitement, ce qui n</w:t>
      </w:r>
      <w:r w:rsidR="0058158D">
        <w:rPr>
          <w:lang w:val="fr-FR"/>
        </w:rPr>
        <w:t>’</w:t>
      </w:r>
      <w:r>
        <w:rPr>
          <w:lang w:val="fr-FR"/>
        </w:rPr>
        <w:t>est ni stable ni viable à long terme. En outre, l</w:t>
      </w:r>
      <w:r w:rsidR="0058158D">
        <w:rPr>
          <w:lang w:val="fr-FR"/>
        </w:rPr>
        <w:t>’</w:t>
      </w:r>
      <w:r>
        <w:rPr>
          <w:lang w:val="fr-FR"/>
        </w:rPr>
        <w:t>introduction d</w:t>
      </w:r>
      <w:r w:rsidR="0058158D">
        <w:rPr>
          <w:lang w:val="fr-FR"/>
        </w:rPr>
        <w:t>’</w:t>
      </w:r>
      <w:proofErr w:type="spellStart"/>
      <w:r>
        <w:rPr>
          <w:lang w:val="fr-FR"/>
        </w:rPr>
        <w:t>Umoja</w:t>
      </w:r>
      <w:proofErr w:type="spellEnd"/>
      <w:r w:rsidR="00E239CA">
        <w:rPr>
          <w:lang w:val="fr-FR"/>
        </w:rPr>
        <w:noBreakHyphen/>
      </w:r>
      <w:r>
        <w:rPr>
          <w:lang w:val="fr-FR"/>
        </w:rPr>
        <w:t>Extension</w:t>
      </w:r>
      <w:r w:rsidR="00CC64D9">
        <w:rPr>
          <w:lang w:val="fr-FR"/>
        </w:rPr>
        <w:t> </w:t>
      </w:r>
      <w:r>
        <w:rPr>
          <w:lang w:val="fr-FR"/>
        </w:rPr>
        <w:t>2 en 2019, à commencer par le module relatif aux partenaires d</w:t>
      </w:r>
      <w:r w:rsidR="0058158D">
        <w:rPr>
          <w:lang w:val="fr-FR"/>
        </w:rPr>
        <w:t>’</w:t>
      </w:r>
      <w:r w:rsidR="000A1CE8">
        <w:rPr>
          <w:lang w:val="fr-FR"/>
        </w:rPr>
        <w:t>exécu</w:t>
      </w:r>
      <w:r>
        <w:rPr>
          <w:lang w:val="fr-FR"/>
        </w:rPr>
        <w:t>tion, a</w:t>
      </w:r>
      <w:r w:rsidR="00E239CA">
        <w:rPr>
          <w:lang w:val="fr-FR"/>
        </w:rPr>
        <w:t> </w:t>
      </w:r>
      <w:r>
        <w:rPr>
          <w:lang w:val="fr-FR"/>
        </w:rPr>
        <w:t>encore accru la charge de travail liée à la conclusion d</w:t>
      </w:r>
      <w:r w:rsidR="0058158D">
        <w:rPr>
          <w:lang w:val="fr-FR"/>
        </w:rPr>
        <w:t>’</w:t>
      </w:r>
      <w:r>
        <w:rPr>
          <w:lang w:val="fr-FR"/>
        </w:rPr>
        <w:t xml:space="preserve">accords avec </w:t>
      </w:r>
      <w:r w:rsidR="000A1CE8">
        <w:rPr>
          <w:lang w:val="fr-FR"/>
        </w:rPr>
        <w:t>c</w:t>
      </w:r>
      <w:r>
        <w:rPr>
          <w:lang w:val="fr-FR"/>
        </w:rPr>
        <w:t>es partenaires. Outre les postes</w:t>
      </w:r>
      <w:r w:rsidR="00CC64D9">
        <w:rPr>
          <w:lang w:val="fr-FR"/>
        </w:rPr>
        <w:t> </w:t>
      </w:r>
      <w:r>
        <w:rPr>
          <w:lang w:val="fr-FR"/>
        </w:rPr>
        <w:t>P-3 et G-6, un administrateur de programme (P-4) est nécessaire pour appuyer le</w:t>
      </w:r>
      <w:r w:rsidR="00E239CA">
        <w:rPr>
          <w:lang w:val="fr-FR"/>
        </w:rPr>
        <w:t> </w:t>
      </w:r>
      <w:r>
        <w:rPr>
          <w:lang w:val="fr-FR"/>
        </w:rPr>
        <w:t>Programme international spécifique, notamment pour fournir des services de secrétariat au Conseil de direction, gérer le processus de candidature et d</w:t>
      </w:r>
      <w:r w:rsidR="0058158D">
        <w:rPr>
          <w:lang w:val="fr-FR"/>
        </w:rPr>
        <w:t>’</w:t>
      </w:r>
      <w:r>
        <w:rPr>
          <w:lang w:val="fr-FR"/>
        </w:rPr>
        <w:t>évaluation, gérer l</w:t>
      </w:r>
      <w:r w:rsidR="0058158D">
        <w:rPr>
          <w:lang w:val="fr-FR"/>
        </w:rPr>
        <w:t>’</w:t>
      </w:r>
      <w:r>
        <w:rPr>
          <w:lang w:val="fr-FR"/>
        </w:rPr>
        <w:t xml:space="preserve">exécution administrative et fonctionnelle des projets approuvés, </w:t>
      </w:r>
      <w:r w:rsidR="000A1CE8">
        <w:rPr>
          <w:lang w:val="fr-FR"/>
        </w:rPr>
        <w:t>rédige</w:t>
      </w:r>
      <w:r>
        <w:rPr>
          <w:lang w:val="fr-FR"/>
        </w:rPr>
        <w:t>r la partie technique des</w:t>
      </w:r>
      <w:r w:rsidR="007C7196">
        <w:rPr>
          <w:lang w:val="fr-FR"/>
        </w:rPr>
        <w:t> </w:t>
      </w:r>
      <w:r>
        <w:rPr>
          <w:lang w:val="fr-FR"/>
        </w:rPr>
        <w:t xml:space="preserve">rapports </w:t>
      </w:r>
      <w:r w:rsidR="000A1CE8">
        <w:rPr>
          <w:lang w:val="fr-FR"/>
        </w:rPr>
        <w:t>aux</w:t>
      </w:r>
      <w:r>
        <w:rPr>
          <w:lang w:val="fr-FR"/>
        </w:rPr>
        <w:t xml:space="preserve"> donateurs et superviser l</w:t>
      </w:r>
      <w:r w:rsidR="0058158D">
        <w:rPr>
          <w:lang w:val="fr-FR"/>
        </w:rPr>
        <w:t>’</w:t>
      </w:r>
      <w:r>
        <w:rPr>
          <w:lang w:val="fr-FR"/>
        </w:rPr>
        <w:t>évaluation, le suivi et la vérification nécessaires au</w:t>
      </w:r>
      <w:r w:rsidR="007C7196">
        <w:rPr>
          <w:lang w:val="fr-FR"/>
        </w:rPr>
        <w:t> </w:t>
      </w:r>
      <w:r>
        <w:rPr>
          <w:lang w:val="fr-FR"/>
        </w:rPr>
        <w:t>programme. Finalement, il est proposé de scinder l</w:t>
      </w:r>
      <w:r w:rsidR="0058158D">
        <w:rPr>
          <w:lang w:val="fr-FR"/>
        </w:rPr>
        <w:t>’</w:t>
      </w:r>
      <w:r>
        <w:rPr>
          <w:lang w:val="fr-FR"/>
        </w:rPr>
        <w:t>actuel poste</w:t>
      </w:r>
      <w:r w:rsidR="00CC64D9">
        <w:rPr>
          <w:lang w:val="fr-FR"/>
        </w:rPr>
        <w:t> </w:t>
      </w:r>
      <w:r>
        <w:rPr>
          <w:lang w:val="fr-FR"/>
        </w:rPr>
        <w:t>P-3 de spécialiste de la</w:t>
      </w:r>
      <w:r w:rsidR="007C7196">
        <w:rPr>
          <w:lang w:val="fr-FR"/>
        </w:rPr>
        <w:t> </w:t>
      </w:r>
      <w:r>
        <w:rPr>
          <w:lang w:val="fr-FR"/>
        </w:rPr>
        <w:t>communication et de la</w:t>
      </w:r>
      <w:r w:rsidR="007B292B">
        <w:rPr>
          <w:lang w:val="fr-FR"/>
        </w:rPr>
        <w:t> </w:t>
      </w:r>
      <w:r>
        <w:rPr>
          <w:lang w:val="fr-FR"/>
        </w:rPr>
        <w:t>gestion des connaissances en</w:t>
      </w:r>
      <w:r w:rsidR="00E239CA">
        <w:rPr>
          <w:lang w:val="fr-FR"/>
        </w:rPr>
        <w:t> </w:t>
      </w:r>
      <w:r>
        <w:rPr>
          <w:lang w:val="fr-FR"/>
        </w:rPr>
        <w:t>deux</w:t>
      </w:r>
      <w:r w:rsidR="00E035FB">
        <w:rPr>
          <w:lang w:val="fr-FR"/>
        </w:rPr>
        <w:t> </w:t>
      </w:r>
      <w:r>
        <w:rPr>
          <w:lang w:val="fr-FR"/>
        </w:rPr>
        <w:t>domaines d</w:t>
      </w:r>
      <w:r w:rsidR="0058158D">
        <w:rPr>
          <w:lang w:val="fr-FR"/>
        </w:rPr>
        <w:t>’</w:t>
      </w:r>
      <w:r>
        <w:rPr>
          <w:lang w:val="fr-FR"/>
        </w:rPr>
        <w:t>expertise fonctionnels distincts, à savoir un responsable de la communication (P</w:t>
      </w:r>
      <w:r w:rsidR="00E239CA">
        <w:rPr>
          <w:lang w:val="fr-FR"/>
        </w:rPr>
        <w:noBreakHyphen/>
      </w:r>
      <w:r>
        <w:rPr>
          <w:lang w:val="fr-FR"/>
        </w:rPr>
        <w:t>3) et un spécialiste de la gestion des connaissances (P-3). Cette</w:t>
      </w:r>
      <w:r w:rsidR="007B292B">
        <w:rPr>
          <w:lang w:val="fr-FR"/>
        </w:rPr>
        <w:t> </w:t>
      </w:r>
      <w:r>
        <w:rPr>
          <w:lang w:val="fr-FR"/>
        </w:rPr>
        <w:t>répartition des fonctions est jugée nécessaire sur la base de l</w:t>
      </w:r>
      <w:r w:rsidR="0058158D">
        <w:rPr>
          <w:lang w:val="fr-FR"/>
        </w:rPr>
        <w:t>’</w:t>
      </w:r>
      <w:r>
        <w:rPr>
          <w:lang w:val="fr-FR"/>
        </w:rPr>
        <w:t>expérience acquise au cours des</w:t>
      </w:r>
      <w:r w:rsidR="007B292B">
        <w:rPr>
          <w:lang w:val="fr-FR"/>
        </w:rPr>
        <w:t> </w:t>
      </w:r>
      <w:r>
        <w:rPr>
          <w:lang w:val="fr-FR"/>
        </w:rPr>
        <w:t>18</w:t>
      </w:r>
      <w:r w:rsidR="00E546DF">
        <w:rPr>
          <w:lang w:val="fr-FR"/>
        </w:rPr>
        <w:t> </w:t>
      </w:r>
      <w:r>
        <w:rPr>
          <w:lang w:val="fr-FR"/>
        </w:rPr>
        <w:t>derniers mois, qui montre la nécessité de</w:t>
      </w:r>
      <w:r w:rsidR="00E239CA">
        <w:rPr>
          <w:lang w:val="fr-FR"/>
        </w:rPr>
        <w:t> </w:t>
      </w:r>
      <w:r>
        <w:rPr>
          <w:lang w:val="fr-FR"/>
        </w:rPr>
        <w:t>disposer d</w:t>
      </w:r>
      <w:r w:rsidR="0058158D">
        <w:rPr>
          <w:lang w:val="fr-FR"/>
        </w:rPr>
        <w:t>’</w:t>
      </w:r>
      <w:r>
        <w:rPr>
          <w:lang w:val="fr-FR"/>
        </w:rPr>
        <w:t xml:space="preserve">une expertise spécifique dans </w:t>
      </w:r>
      <w:r w:rsidR="003A2221">
        <w:rPr>
          <w:lang w:val="fr-FR"/>
        </w:rPr>
        <w:t xml:space="preserve">chaque </w:t>
      </w:r>
      <w:r>
        <w:rPr>
          <w:lang w:val="fr-FR"/>
        </w:rPr>
        <w:t>domaine d</w:t>
      </w:r>
      <w:r w:rsidR="0058158D">
        <w:rPr>
          <w:lang w:val="fr-FR"/>
        </w:rPr>
        <w:t>’</w:t>
      </w:r>
      <w:r>
        <w:rPr>
          <w:lang w:val="fr-FR"/>
        </w:rPr>
        <w:t>activité et d</w:t>
      </w:r>
      <w:r w:rsidR="0058158D">
        <w:rPr>
          <w:lang w:val="fr-FR"/>
        </w:rPr>
        <w:t>’</w:t>
      </w:r>
      <w:r>
        <w:rPr>
          <w:lang w:val="fr-FR"/>
        </w:rPr>
        <w:t>une capacité accrue pour gérer les tâches de communication et de gestion des</w:t>
      </w:r>
      <w:r w:rsidR="007B292B">
        <w:rPr>
          <w:lang w:val="fr-FR"/>
        </w:rPr>
        <w:t> </w:t>
      </w:r>
      <w:r>
        <w:rPr>
          <w:lang w:val="fr-FR"/>
        </w:rPr>
        <w:t>connaissances à accomplir</w:t>
      </w:r>
      <w:r w:rsidR="007C7196">
        <w:rPr>
          <w:lang w:val="fr-FR"/>
        </w:rPr>
        <w:t> ;</w:t>
      </w:r>
    </w:p>
    <w:p w14:paraId="43F92B3B" w14:textId="2D702E50" w:rsidR="006739CF" w:rsidRPr="00D816DC" w:rsidRDefault="0063575F" w:rsidP="005064FA">
      <w:pPr>
        <w:pStyle w:val="Normalnumber"/>
        <w:numPr>
          <w:ilvl w:val="1"/>
          <w:numId w:val="4"/>
        </w:numPr>
        <w:rPr>
          <w:lang w:val="fr-FR"/>
        </w:rPr>
      </w:pPr>
      <w:r>
        <w:rPr>
          <w:lang w:val="fr-FR"/>
        </w:rPr>
        <w:t>Activité</w:t>
      </w:r>
      <w:r w:rsidR="00CC64D9">
        <w:rPr>
          <w:lang w:val="fr-FR"/>
        </w:rPr>
        <w:t> </w:t>
      </w:r>
      <w:r>
        <w:rPr>
          <w:lang w:val="fr-FR"/>
        </w:rPr>
        <w:t>13</w:t>
      </w:r>
      <w:r w:rsidR="00CC64D9">
        <w:rPr>
          <w:lang w:val="fr-FR"/>
        </w:rPr>
        <w:t> </w:t>
      </w:r>
      <w:r>
        <w:rPr>
          <w:lang w:val="fr-FR"/>
        </w:rPr>
        <w:t xml:space="preserve">: </w:t>
      </w:r>
      <w:r w:rsidR="00CF77CD">
        <w:rPr>
          <w:lang w:val="fr-FR"/>
        </w:rPr>
        <w:t xml:space="preserve">pour ce qui est des </w:t>
      </w:r>
      <w:r>
        <w:rPr>
          <w:lang w:val="fr-FR"/>
        </w:rPr>
        <w:t>activités juridiques et de politique générale, un montant estimatif de 234</w:t>
      </w:r>
      <w:r w:rsidR="00E546DF">
        <w:rPr>
          <w:lang w:val="fr-FR"/>
        </w:rPr>
        <w:t> </w:t>
      </w:r>
      <w:r>
        <w:rPr>
          <w:lang w:val="fr-FR"/>
        </w:rPr>
        <w:t>000</w:t>
      </w:r>
      <w:r w:rsidR="00CC64D9">
        <w:rPr>
          <w:lang w:val="fr-FR"/>
        </w:rPr>
        <w:t> </w:t>
      </w:r>
      <w:r>
        <w:rPr>
          <w:lang w:val="fr-FR"/>
        </w:rPr>
        <w:t>dollars est nécessaire pour l</w:t>
      </w:r>
      <w:r w:rsidR="0058158D">
        <w:rPr>
          <w:lang w:val="fr-FR"/>
        </w:rPr>
        <w:t>’</w:t>
      </w:r>
      <w:r>
        <w:rPr>
          <w:lang w:val="fr-FR"/>
        </w:rPr>
        <w:t>exercice biennal</w:t>
      </w:r>
      <w:r w:rsidR="00CC64D9">
        <w:rPr>
          <w:lang w:val="fr-FR"/>
        </w:rPr>
        <w:t> </w:t>
      </w:r>
      <w:r w:rsidR="003C11AD">
        <w:rPr>
          <w:lang w:val="fr-FR"/>
        </w:rPr>
        <w:t>2020–2021</w:t>
      </w:r>
      <w:r>
        <w:rPr>
          <w:lang w:val="fr-FR"/>
        </w:rPr>
        <w:t xml:space="preserve"> pour travailler sur les</w:t>
      </w:r>
      <w:r w:rsidR="00E239CA">
        <w:rPr>
          <w:lang w:val="fr-FR"/>
        </w:rPr>
        <w:t> </w:t>
      </w:r>
      <w:r>
        <w:rPr>
          <w:lang w:val="fr-FR"/>
        </w:rPr>
        <w:t>objectifs du développement durable et les stratégies relatives à l</w:t>
      </w:r>
      <w:r w:rsidR="0058158D">
        <w:rPr>
          <w:lang w:val="fr-FR"/>
        </w:rPr>
        <w:t>’</w:t>
      </w:r>
      <w:r>
        <w:rPr>
          <w:lang w:val="fr-FR"/>
        </w:rPr>
        <w:t>égalité des genres, y compris des</w:t>
      </w:r>
      <w:r w:rsidR="00E239CA">
        <w:rPr>
          <w:lang w:val="fr-FR"/>
        </w:rPr>
        <w:t> </w:t>
      </w:r>
      <w:r>
        <w:rPr>
          <w:lang w:val="fr-FR"/>
        </w:rPr>
        <w:t xml:space="preserve">études de cas et des ateliers. </w:t>
      </w:r>
      <w:r w:rsidR="00BD38DC">
        <w:rPr>
          <w:lang w:val="fr-FR"/>
        </w:rPr>
        <w:t>Dans l</w:t>
      </w:r>
      <w:r w:rsidR="000A1CE8" w:rsidRPr="000A1CE8">
        <w:rPr>
          <w:lang w:val="fr-FR"/>
        </w:rPr>
        <w:t xml:space="preserve">e scénario de la Secrétaire exécutive ce montant </w:t>
      </w:r>
      <w:r w:rsidR="00BD38DC">
        <w:rPr>
          <w:lang w:val="fr-FR"/>
        </w:rPr>
        <w:t xml:space="preserve">est tiré </w:t>
      </w:r>
      <w:r w:rsidR="000A1CE8" w:rsidRPr="000A1CE8">
        <w:rPr>
          <w:lang w:val="fr-FR"/>
        </w:rPr>
        <w:t>du financement des activités de base</w:t>
      </w:r>
      <w:r w:rsidR="00BD38DC">
        <w:rPr>
          <w:lang w:val="fr-FR"/>
        </w:rPr>
        <w:t>,</w:t>
      </w:r>
      <w:r w:rsidR="000A1CE8" w:rsidRPr="000A1CE8">
        <w:rPr>
          <w:lang w:val="fr-FR"/>
        </w:rPr>
        <w:t xml:space="preserve"> plutôt que des contributions volontaires </w:t>
      </w:r>
      <w:r w:rsidR="00BD38DC">
        <w:rPr>
          <w:lang w:val="fr-FR"/>
        </w:rPr>
        <w:t>comme le prévoit le</w:t>
      </w:r>
      <w:r w:rsidR="007C7196">
        <w:rPr>
          <w:lang w:val="fr-FR"/>
        </w:rPr>
        <w:t> </w:t>
      </w:r>
      <w:r>
        <w:rPr>
          <w:lang w:val="fr-FR"/>
        </w:rPr>
        <w:t>scénario de croissance nominale nulle</w:t>
      </w:r>
      <w:r w:rsidR="007C7196">
        <w:rPr>
          <w:lang w:val="fr-FR"/>
        </w:rPr>
        <w:t>.</w:t>
      </w:r>
    </w:p>
    <w:p w14:paraId="43A673B0" w14:textId="7A4F31DE" w:rsidR="00996EAE" w:rsidRPr="00CC64D9" w:rsidRDefault="005F2D11" w:rsidP="00E239CA">
      <w:pPr>
        <w:pStyle w:val="CH3"/>
        <w:rPr>
          <w:lang w:val="fr-FR"/>
        </w:rPr>
      </w:pPr>
      <w:r>
        <w:rPr>
          <w:lang w:val="fr-FR"/>
        </w:rPr>
        <w:tab/>
      </w:r>
      <w:r w:rsidR="00866240">
        <w:rPr>
          <w:lang w:val="fr-FR"/>
        </w:rPr>
        <w:t>2.</w:t>
      </w:r>
      <w:r w:rsidR="00866240">
        <w:rPr>
          <w:lang w:val="fr-FR"/>
        </w:rPr>
        <w:tab/>
      </w:r>
      <w:r w:rsidR="00866240" w:rsidRPr="00E239CA">
        <w:t>Scénario</w:t>
      </w:r>
      <w:r w:rsidR="00866240">
        <w:rPr>
          <w:lang w:val="fr-FR"/>
        </w:rPr>
        <w:t xml:space="preserve"> </w:t>
      </w:r>
      <w:r w:rsidR="00E035FB">
        <w:rPr>
          <w:lang w:val="fr-FR"/>
        </w:rPr>
        <w:t>de</w:t>
      </w:r>
      <w:r w:rsidR="00866240">
        <w:rPr>
          <w:lang w:val="fr-FR"/>
        </w:rPr>
        <w:t xml:space="preserve"> croissance nominale nulle</w:t>
      </w:r>
    </w:p>
    <w:p w14:paraId="63B106FE" w14:textId="31816533" w:rsidR="00996EAE" w:rsidRPr="00D816DC" w:rsidRDefault="00996EAE" w:rsidP="00430669">
      <w:pPr>
        <w:pStyle w:val="Normalnumber"/>
        <w:rPr>
          <w:lang w:val="fr-FR"/>
        </w:rPr>
      </w:pPr>
      <w:r>
        <w:rPr>
          <w:lang w:val="fr-FR"/>
        </w:rPr>
        <w:t>Le scénario de croissance nominale nulle pour l</w:t>
      </w:r>
      <w:r w:rsidR="0058158D">
        <w:rPr>
          <w:lang w:val="fr-FR"/>
        </w:rPr>
        <w:t>’</w:t>
      </w:r>
      <w:r>
        <w:rPr>
          <w:lang w:val="fr-FR"/>
        </w:rPr>
        <w:t>exercice biennal</w:t>
      </w:r>
      <w:r w:rsidR="00CC64D9">
        <w:rPr>
          <w:lang w:val="fr-FR"/>
        </w:rPr>
        <w:t> </w:t>
      </w:r>
      <w:r w:rsidR="003C11AD">
        <w:rPr>
          <w:lang w:val="fr-FR"/>
        </w:rPr>
        <w:t>2020–2021</w:t>
      </w:r>
      <w:r>
        <w:rPr>
          <w:lang w:val="fr-FR"/>
        </w:rPr>
        <w:t xml:space="preserve"> prévoit un budget total de 6</w:t>
      </w:r>
      <w:r w:rsidR="00E546DF">
        <w:rPr>
          <w:lang w:val="fr-FR"/>
        </w:rPr>
        <w:t> 866 </w:t>
      </w:r>
      <w:r>
        <w:rPr>
          <w:lang w:val="fr-FR"/>
        </w:rPr>
        <w:t>900</w:t>
      </w:r>
      <w:r w:rsidR="00CC64D9">
        <w:rPr>
          <w:lang w:val="fr-FR"/>
        </w:rPr>
        <w:t> </w:t>
      </w:r>
      <w:r>
        <w:rPr>
          <w:lang w:val="fr-FR"/>
        </w:rPr>
        <w:t>dollars avant dépenses d</w:t>
      </w:r>
      <w:r w:rsidR="0058158D">
        <w:rPr>
          <w:lang w:val="fr-FR"/>
        </w:rPr>
        <w:t>’</w:t>
      </w:r>
      <w:r>
        <w:rPr>
          <w:lang w:val="fr-FR"/>
        </w:rPr>
        <w:t>appui aux programmes, soit le même montant que le</w:t>
      </w:r>
      <w:r w:rsidR="00E239CA">
        <w:rPr>
          <w:lang w:val="fr-FR"/>
        </w:rPr>
        <w:t> </w:t>
      </w:r>
      <w:r w:rsidR="007538C7">
        <w:rPr>
          <w:lang w:val="fr-FR"/>
        </w:rPr>
        <w:t>budget opérationnel</w:t>
      </w:r>
      <w:r>
        <w:rPr>
          <w:lang w:val="fr-FR"/>
        </w:rPr>
        <w:t xml:space="preserve"> global approuvé pour l</w:t>
      </w:r>
      <w:r w:rsidR="0058158D">
        <w:rPr>
          <w:lang w:val="fr-FR"/>
        </w:rPr>
        <w:t>’</w:t>
      </w:r>
      <w:r>
        <w:rPr>
          <w:lang w:val="fr-FR"/>
        </w:rPr>
        <w:t>exercice biennal</w:t>
      </w:r>
      <w:r w:rsidR="00CC64D9">
        <w:rPr>
          <w:lang w:val="fr-FR"/>
        </w:rPr>
        <w:t> </w:t>
      </w:r>
      <w:r w:rsidR="007C7196">
        <w:rPr>
          <w:lang w:val="fr-FR"/>
        </w:rPr>
        <w:t>2018–2019</w:t>
      </w:r>
      <w:r>
        <w:rPr>
          <w:lang w:val="fr-FR"/>
        </w:rPr>
        <w:t>. Ce scénario nécessite 1</w:t>
      </w:r>
      <w:r w:rsidR="00E546DF">
        <w:rPr>
          <w:lang w:val="fr-FR"/>
        </w:rPr>
        <w:t> 798 </w:t>
      </w:r>
      <w:r>
        <w:rPr>
          <w:lang w:val="fr-FR"/>
        </w:rPr>
        <w:t>807</w:t>
      </w:r>
      <w:r w:rsidR="00CC64D9">
        <w:rPr>
          <w:lang w:val="fr-FR"/>
        </w:rPr>
        <w:t> </w:t>
      </w:r>
      <w:r>
        <w:rPr>
          <w:lang w:val="fr-FR"/>
        </w:rPr>
        <w:t xml:space="preserve">dollars de moins du </w:t>
      </w:r>
      <w:r w:rsidR="00DB6834">
        <w:rPr>
          <w:lang w:val="fr-FR"/>
        </w:rPr>
        <w:t>Fonds général d</w:t>
      </w:r>
      <w:r w:rsidR="0058158D">
        <w:rPr>
          <w:lang w:val="fr-FR"/>
        </w:rPr>
        <w:t>’</w:t>
      </w:r>
      <w:r w:rsidR="00DB6834">
        <w:rPr>
          <w:lang w:val="fr-FR"/>
        </w:rPr>
        <w:t>affectation spéciale</w:t>
      </w:r>
      <w:r>
        <w:rPr>
          <w:lang w:val="fr-FR"/>
        </w:rPr>
        <w:t xml:space="preserve"> que le scénario de la Secrétaire exécutive. Cela signifie aussi, cependant, que des éléments importants du programme de travail ne</w:t>
      </w:r>
      <w:r w:rsidR="00E239CA">
        <w:rPr>
          <w:lang w:val="fr-FR"/>
        </w:rPr>
        <w:t> </w:t>
      </w:r>
      <w:r>
        <w:rPr>
          <w:lang w:val="fr-FR"/>
        </w:rPr>
        <w:t>devraient être que partiellement mis en œuvre ou être financés par des contributions volontaires (c</w:t>
      </w:r>
      <w:r w:rsidR="0058158D">
        <w:rPr>
          <w:lang w:val="fr-FR"/>
        </w:rPr>
        <w:t>’</w:t>
      </w:r>
      <w:r>
        <w:rPr>
          <w:lang w:val="fr-FR"/>
        </w:rPr>
        <w:t>est</w:t>
      </w:r>
      <w:r w:rsidR="00E239CA">
        <w:rPr>
          <w:lang w:val="fr-FR"/>
        </w:rPr>
        <w:noBreakHyphen/>
      </w:r>
      <w:r>
        <w:rPr>
          <w:lang w:val="fr-FR"/>
        </w:rPr>
        <w:t>à</w:t>
      </w:r>
      <w:r w:rsidR="00E239CA">
        <w:rPr>
          <w:lang w:val="fr-FR"/>
        </w:rPr>
        <w:noBreakHyphen/>
      </w:r>
      <w:r>
        <w:rPr>
          <w:lang w:val="fr-FR"/>
        </w:rPr>
        <w:t xml:space="preserve">dire par le </w:t>
      </w:r>
      <w:r w:rsidR="00DB6834">
        <w:rPr>
          <w:lang w:val="fr-FR"/>
        </w:rPr>
        <w:t>Fonds d</w:t>
      </w:r>
      <w:r w:rsidR="0058158D">
        <w:rPr>
          <w:lang w:val="fr-FR"/>
        </w:rPr>
        <w:t>’</w:t>
      </w:r>
      <w:r w:rsidR="00DB6834">
        <w:rPr>
          <w:lang w:val="fr-FR"/>
        </w:rPr>
        <w:t>affectation spéciale à des fins déterminées</w:t>
      </w:r>
      <w:r>
        <w:rPr>
          <w:lang w:val="fr-FR"/>
        </w:rPr>
        <w:t xml:space="preserve">), les </w:t>
      </w:r>
      <w:r w:rsidR="00BD38DC" w:rsidRPr="00BD38DC">
        <w:rPr>
          <w:lang w:val="fr-FR"/>
        </w:rPr>
        <w:t>subordonn</w:t>
      </w:r>
      <w:r>
        <w:rPr>
          <w:lang w:val="fr-FR"/>
        </w:rPr>
        <w:t>ant ainsi à la</w:t>
      </w:r>
      <w:r w:rsidR="00E239CA">
        <w:rPr>
          <w:lang w:val="fr-FR"/>
        </w:rPr>
        <w:t> </w:t>
      </w:r>
      <w:r>
        <w:rPr>
          <w:lang w:val="fr-FR"/>
        </w:rPr>
        <w:t>disponibilité de fonds, ce qui aurait un impact important sur les fonctions, l</w:t>
      </w:r>
      <w:r w:rsidR="0058158D">
        <w:rPr>
          <w:lang w:val="fr-FR"/>
        </w:rPr>
        <w:t>’</w:t>
      </w:r>
      <w:r>
        <w:rPr>
          <w:lang w:val="fr-FR"/>
        </w:rPr>
        <w:t xml:space="preserve">appui et les services </w:t>
      </w:r>
      <w:r w:rsidR="00BD38DC">
        <w:rPr>
          <w:lang w:val="fr-FR"/>
        </w:rPr>
        <w:t>assuré</w:t>
      </w:r>
      <w:r>
        <w:rPr>
          <w:lang w:val="fr-FR"/>
        </w:rPr>
        <w:t>s par le secrétariat.</w:t>
      </w:r>
    </w:p>
    <w:p w14:paraId="7878CA7B" w14:textId="39F4A2A7" w:rsidR="00A70083" w:rsidRPr="00D816DC" w:rsidRDefault="000F5F8A" w:rsidP="00866240">
      <w:pPr>
        <w:pStyle w:val="Normalnumber"/>
        <w:tabs>
          <w:tab w:val="clear" w:pos="1247"/>
          <w:tab w:val="clear" w:pos="1814"/>
          <w:tab w:val="clear" w:pos="2381"/>
          <w:tab w:val="clear" w:pos="2948"/>
          <w:tab w:val="clear" w:pos="3515"/>
          <w:tab w:val="clear" w:pos="4082"/>
          <w:tab w:val="num" w:pos="624"/>
        </w:tabs>
        <w:rPr>
          <w:lang w:val="fr-FR"/>
        </w:rPr>
      </w:pPr>
      <w:r>
        <w:rPr>
          <w:lang w:val="fr-FR"/>
        </w:rPr>
        <w:t xml:space="preserve">Dans le scénario de croissance nominale nulle, les diminutions et augmentations les plus importantes du </w:t>
      </w:r>
      <w:r w:rsidR="007538C7">
        <w:rPr>
          <w:lang w:val="fr-FR"/>
        </w:rPr>
        <w:t>budget opérationnel</w:t>
      </w:r>
      <w:r>
        <w:rPr>
          <w:lang w:val="fr-FR"/>
        </w:rPr>
        <w:t xml:space="preserve"> pour les activités de base financées par le </w:t>
      </w:r>
      <w:r w:rsidR="00DB6834">
        <w:rPr>
          <w:lang w:val="fr-FR"/>
        </w:rPr>
        <w:t>Fonds général d</w:t>
      </w:r>
      <w:r w:rsidR="0058158D">
        <w:rPr>
          <w:lang w:val="fr-FR"/>
        </w:rPr>
        <w:t>’</w:t>
      </w:r>
      <w:r w:rsidR="00DB6834">
        <w:rPr>
          <w:lang w:val="fr-FR"/>
        </w:rPr>
        <w:t>affectation spéciale</w:t>
      </w:r>
      <w:r>
        <w:rPr>
          <w:lang w:val="fr-FR"/>
        </w:rPr>
        <w:t xml:space="preserve"> par rapport au budget approuvé pour </w:t>
      </w:r>
      <w:r w:rsidR="007C7196">
        <w:rPr>
          <w:lang w:val="fr-FR"/>
        </w:rPr>
        <w:t>2018–2019</w:t>
      </w:r>
      <w:r>
        <w:rPr>
          <w:lang w:val="fr-FR"/>
        </w:rPr>
        <w:t xml:space="preserve"> sont les suivantes</w:t>
      </w:r>
      <w:r w:rsidR="00CC64D9">
        <w:rPr>
          <w:lang w:val="fr-FR"/>
        </w:rPr>
        <w:t> </w:t>
      </w:r>
      <w:r>
        <w:rPr>
          <w:lang w:val="fr-FR"/>
        </w:rPr>
        <w:t>:</w:t>
      </w:r>
    </w:p>
    <w:p w14:paraId="588F1ED3" w14:textId="123D19FD" w:rsidR="00A70083" w:rsidRPr="00CC64D9" w:rsidRDefault="00866240" w:rsidP="00E239CA">
      <w:pPr>
        <w:pStyle w:val="CH4"/>
        <w:rPr>
          <w:i/>
          <w:lang w:val="fr-FR"/>
        </w:rPr>
      </w:pPr>
      <w:r>
        <w:rPr>
          <w:lang w:val="fr-FR"/>
        </w:rPr>
        <w:lastRenderedPageBreak/>
        <w:tab/>
      </w:r>
      <w:r>
        <w:rPr>
          <w:lang w:val="fr-FR"/>
        </w:rPr>
        <w:tab/>
      </w:r>
      <w:r>
        <w:rPr>
          <w:bCs/>
          <w:i/>
          <w:iCs/>
          <w:lang w:val="fr-FR"/>
        </w:rPr>
        <w:t xml:space="preserve">Diminutions </w:t>
      </w:r>
      <w:r w:rsidRPr="00E239CA">
        <w:rPr>
          <w:i/>
          <w:lang w:val="fr-FR"/>
        </w:rPr>
        <w:t>par</w:t>
      </w:r>
      <w:r>
        <w:rPr>
          <w:bCs/>
          <w:i/>
          <w:iCs/>
          <w:lang w:val="fr-FR"/>
        </w:rPr>
        <w:t xml:space="preserve"> rapport au budget approuvé pour </w:t>
      </w:r>
      <w:r w:rsidR="007C7196">
        <w:rPr>
          <w:bCs/>
          <w:i/>
          <w:iCs/>
          <w:lang w:val="fr-FR"/>
        </w:rPr>
        <w:t>2018–2019</w:t>
      </w:r>
    </w:p>
    <w:p w14:paraId="2B5687F8" w14:textId="5D1D1D56" w:rsidR="00ED105E" w:rsidRPr="00D816DC" w:rsidRDefault="00ED105E" w:rsidP="005064FA">
      <w:pPr>
        <w:pStyle w:val="Normalnumber"/>
        <w:numPr>
          <w:ilvl w:val="1"/>
          <w:numId w:val="4"/>
        </w:numPr>
        <w:rPr>
          <w:lang w:val="fr-FR"/>
        </w:rPr>
      </w:pPr>
      <w:r>
        <w:rPr>
          <w:lang w:val="fr-FR"/>
        </w:rPr>
        <w:t>Activité</w:t>
      </w:r>
      <w:r w:rsidR="00CC64D9">
        <w:rPr>
          <w:lang w:val="fr-FR"/>
        </w:rPr>
        <w:t> </w:t>
      </w:r>
      <w:r>
        <w:rPr>
          <w:lang w:val="fr-FR"/>
        </w:rPr>
        <w:t>1</w:t>
      </w:r>
      <w:r w:rsidR="00CC64D9">
        <w:rPr>
          <w:lang w:val="fr-FR"/>
        </w:rPr>
        <w:t> </w:t>
      </w:r>
      <w:r>
        <w:rPr>
          <w:lang w:val="fr-FR"/>
        </w:rPr>
        <w:t>: une diminution de 665</w:t>
      </w:r>
      <w:r w:rsidR="00E546DF">
        <w:rPr>
          <w:lang w:val="fr-FR"/>
        </w:rPr>
        <w:t> </w:t>
      </w:r>
      <w:r>
        <w:rPr>
          <w:lang w:val="fr-FR"/>
        </w:rPr>
        <w:t>000</w:t>
      </w:r>
      <w:r w:rsidR="00CC64D9">
        <w:rPr>
          <w:lang w:val="fr-FR"/>
        </w:rPr>
        <w:t> </w:t>
      </w:r>
      <w:r>
        <w:rPr>
          <w:lang w:val="fr-FR"/>
        </w:rPr>
        <w:t xml:space="preserve">dollars est </w:t>
      </w:r>
      <w:r w:rsidR="00BD38DC">
        <w:rPr>
          <w:lang w:val="fr-FR"/>
        </w:rPr>
        <w:t>prévu</w:t>
      </w:r>
      <w:r>
        <w:rPr>
          <w:lang w:val="fr-FR"/>
        </w:rPr>
        <w:t>e en lien avec la</w:t>
      </w:r>
      <w:r w:rsidR="00E239CA">
        <w:rPr>
          <w:lang w:val="fr-FR"/>
        </w:rPr>
        <w:t> </w:t>
      </w:r>
      <w:r>
        <w:rPr>
          <w:lang w:val="fr-FR"/>
        </w:rPr>
        <w:t>quatrième</w:t>
      </w:r>
      <w:r w:rsidR="00E035FB">
        <w:rPr>
          <w:lang w:val="fr-FR"/>
        </w:rPr>
        <w:t> </w:t>
      </w:r>
      <w:r>
        <w:rPr>
          <w:lang w:val="fr-FR"/>
        </w:rPr>
        <w:t>réunion de la Conférence des Parties et de ses organes subsidiaires, principalement du fait que les réunions de la Conférence des Parties passeront d</w:t>
      </w:r>
      <w:r w:rsidR="0058158D">
        <w:rPr>
          <w:lang w:val="fr-FR"/>
        </w:rPr>
        <w:t>’</w:t>
      </w:r>
      <w:r>
        <w:rPr>
          <w:lang w:val="fr-FR"/>
        </w:rPr>
        <w:t>un cycle annuel à un cycle biennal. Comme</w:t>
      </w:r>
      <w:r w:rsidR="00E239CA">
        <w:rPr>
          <w:lang w:val="fr-FR"/>
        </w:rPr>
        <w:t> </w:t>
      </w:r>
      <w:r>
        <w:rPr>
          <w:lang w:val="fr-FR"/>
        </w:rPr>
        <w:t xml:space="preserve">le secrétariat de </w:t>
      </w:r>
      <w:r w:rsidR="00CD7BB2">
        <w:rPr>
          <w:lang w:val="fr-FR"/>
        </w:rPr>
        <w:t>la Convention de Minamata sur le mercure</w:t>
      </w:r>
      <w:r>
        <w:rPr>
          <w:lang w:val="fr-FR"/>
        </w:rPr>
        <w:t xml:space="preserve"> ne dispose pas des effectifs nécessaires pour les réunions de la Conférence des Parties, les économies résultantes seraient partiellement contrebalancées par la nécessité d</w:t>
      </w:r>
      <w:r w:rsidR="0058158D">
        <w:rPr>
          <w:lang w:val="fr-FR"/>
        </w:rPr>
        <w:t>’</w:t>
      </w:r>
      <w:r w:rsidR="00BD38DC">
        <w:rPr>
          <w:lang w:val="fr-FR"/>
        </w:rPr>
        <w:t>obtenir des</w:t>
      </w:r>
      <w:r w:rsidR="00BD38DC" w:rsidRPr="00BD38DC">
        <w:rPr>
          <w:lang w:val="fr-FR"/>
        </w:rPr>
        <w:t xml:space="preserve"> renforts temporaires </w:t>
      </w:r>
      <w:r w:rsidR="00423091">
        <w:rPr>
          <w:lang w:val="fr-FR"/>
        </w:rPr>
        <w:t xml:space="preserve">pour les réunions, </w:t>
      </w:r>
      <w:r w:rsidR="00BD38DC">
        <w:rPr>
          <w:lang w:val="fr-FR"/>
        </w:rPr>
        <w:t>lesquels</w:t>
      </w:r>
      <w:r w:rsidR="00423091">
        <w:rPr>
          <w:lang w:val="fr-FR"/>
        </w:rPr>
        <w:t xml:space="preserve"> </w:t>
      </w:r>
      <w:r w:rsidR="00BD38DC" w:rsidRPr="00BD38DC">
        <w:rPr>
          <w:lang w:val="fr-FR"/>
        </w:rPr>
        <w:t xml:space="preserve">pourraient, comme cela a été proposé, être partagés et fournis </w:t>
      </w:r>
      <w:r>
        <w:rPr>
          <w:lang w:val="fr-FR"/>
        </w:rPr>
        <w:t>par le secrétariat des</w:t>
      </w:r>
      <w:r w:rsidR="00E239CA">
        <w:rPr>
          <w:lang w:val="fr-FR"/>
        </w:rPr>
        <w:t> </w:t>
      </w:r>
      <w:r>
        <w:rPr>
          <w:lang w:val="fr-FR"/>
        </w:rPr>
        <w:t>Conventions de Bâle, de Rotterdam et de Stockholm</w:t>
      </w:r>
      <w:r w:rsidR="007C7196">
        <w:rPr>
          <w:lang w:val="fr-FR"/>
        </w:rPr>
        <w:t> ;</w:t>
      </w:r>
    </w:p>
    <w:p w14:paraId="4FBE4B09" w14:textId="0299E6DB" w:rsidR="0069323F"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3</w:t>
      </w:r>
      <w:r w:rsidR="00CC64D9">
        <w:rPr>
          <w:lang w:val="fr-FR"/>
        </w:rPr>
        <w:t> </w:t>
      </w:r>
      <w:r>
        <w:rPr>
          <w:lang w:val="fr-FR"/>
        </w:rPr>
        <w:t xml:space="preserve">: </w:t>
      </w:r>
      <w:r w:rsidR="008A4C71">
        <w:rPr>
          <w:lang w:val="fr-FR"/>
        </w:rPr>
        <w:t xml:space="preserve">un montant </w:t>
      </w:r>
      <w:r w:rsidR="00E5071B">
        <w:rPr>
          <w:lang w:val="fr-FR"/>
        </w:rPr>
        <w:t>affichant une baisse de</w:t>
      </w:r>
      <w:r w:rsidR="008A4C71">
        <w:rPr>
          <w:lang w:val="fr-FR"/>
        </w:rPr>
        <w:t xml:space="preserve"> </w:t>
      </w:r>
      <w:r>
        <w:rPr>
          <w:lang w:val="fr-FR"/>
        </w:rPr>
        <w:t>7</w:t>
      </w:r>
      <w:r w:rsidR="00E546DF">
        <w:rPr>
          <w:lang w:val="fr-FR"/>
        </w:rPr>
        <w:t> </w:t>
      </w:r>
      <w:r>
        <w:rPr>
          <w:lang w:val="fr-FR"/>
        </w:rPr>
        <w:t>000</w:t>
      </w:r>
      <w:r w:rsidR="00CC64D9">
        <w:rPr>
          <w:lang w:val="fr-FR"/>
        </w:rPr>
        <w:t> </w:t>
      </w:r>
      <w:r>
        <w:rPr>
          <w:lang w:val="fr-FR"/>
        </w:rPr>
        <w:t>dollars</w:t>
      </w:r>
      <w:r w:rsidR="002C362D">
        <w:rPr>
          <w:lang w:val="fr-FR"/>
        </w:rPr>
        <w:t xml:space="preserve"> </w:t>
      </w:r>
      <w:r w:rsidR="00E5071B">
        <w:rPr>
          <w:lang w:val="fr-FR"/>
        </w:rPr>
        <w:t xml:space="preserve">par rapport à </w:t>
      </w:r>
      <w:r w:rsidR="00E5071B" w:rsidRPr="00E5071B">
        <w:rPr>
          <w:lang w:val="fr-FR"/>
        </w:rPr>
        <w:t>l</w:t>
      </w:r>
      <w:r w:rsidR="0058158D">
        <w:rPr>
          <w:lang w:val="fr-FR"/>
        </w:rPr>
        <w:t>’</w:t>
      </w:r>
      <w:r w:rsidR="00E5071B" w:rsidRPr="00E5071B">
        <w:rPr>
          <w:lang w:val="fr-FR"/>
        </w:rPr>
        <w:t>exercice biennal précédent</w:t>
      </w:r>
      <w:r>
        <w:rPr>
          <w:lang w:val="fr-FR"/>
        </w:rPr>
        <w:t xml:space="preserve"> </w:t>
      </w:r>
      <w:r w:rsidR="008A4C71">
        <w:rPr>
          <w:lang w:val="fr-FR"/>
        </w:rPr>
        <w:t>es</w:t>
      </w:r>
      <w:r>
        <w:rPr>
          <w:lang w:val="fr-FR"/>
        </w:rPr>
        <w:t xml:space="preserve">t </w:t>
      </w:r>
      <w:r w:rsidR="002C362D">
        <w:rPr>
          <w:lang w:val="fr-FR"/>
        </w:rPr>
        <w:t>prévu</w:t>
      </w:r>
      <w:r>
        <w:rPr>
          <w:lang w:val="fr-FR"/>
        </w:rPr>
        <w:t xml:space="preserve"> au budget pour </w:t>
      </w:r>
      <w:r w:rsidR="00E5071B">
        <w:rPr>
          <w:lang w:val="fr-FR"/>
        </w:rPr>
        <w:t xml:space="preserve">tenir </w:t>
      </w:r>
      <w:r>
        <w:rPr>
          <w:lang w:val="fr-FR"/>
        </w:rPr>
        <w:t xml:space="preserve">une réunion de </w:t>
      </w:r>
      <w:r w:rsidR="003C2572">
        <w:rPr>
          <w:lang w:val="fr-FR"/>
        </w:rPr>
        <w:t>trois </w:t>
      </w:r>
      <w:r>
        <w:rPr>
          <w:lang w:val="fr-FR"/>
        </w:rPr>
        <w:t>jours du comité de mise en œuvre et du respect des obligations, comme convenu par le comité à sa réunion de juin</w:t>
      </w:r>
      <w:r w:rsidR="00E546DF">
        <w:rPr>
          <w:lang w:val="fr-FR"/>
        </w:rPr>
        <w:t> </w:t>
      </w:r>
      <w:r>
        <w:rPr>
          <w:lang w:val="fr-FR"/>
        </w:rPr>
        <w:t>2019</w:t>
      </w:r>
      <w:r w:rsidR="00E5071B" w:rsidRPr="00E5071B">
        <w:rPr>
          <w:lang w:val="fr-FR"/>
        </w:rPr>
        <w:t xml:space="preserve">, au lieu des deux réunions de deux jours </w:t>
      </w:r>
      <w:r w:rsidR="00FA13E2" w:rsidRPr="00FA13E2">
        <w:rPr>
          <w:lang w:val="fr-FR"/>
        </w:rPr>
        <w:t xml:space="preserve">comptabilisées </w:t>
      </w:r>
      <w:r w:rsidR="00E5071B" w:rsidRPr="00E5071B">
        <w:rPr>
          <w:lang w:val="fr-FR"/>
        </w:rPr>
        <w:t xml:space="preserve">dans le budget approuvé pour </w:t>
      </w:r>
      <w:r w:rsidR="007C7196">
        <w:rPr>
          <w:lang w:val="fr-FR"/>
        </w:rPr>
        <w:t>2018–2019</w:t>
      </w:r>
      <w:r w:rsidR="00E5071B">
        <w:rPr>
          <w:lang w:val="fr-FR"/>
        </w:rPr>
        <w:t>.</w:t>
      </w:r>
      <w:r w:rsidR="00E5071B" w:rsidRPr="00E5071B">
        <w:rPr>
          <w:lang w:val="fr-FR"/>
        </w:rPr>
        <w:t xml:space="preserve"> </w:t>
      </w:r>
      <w:r w:rsidR="00E5071B">
        <w:rPr>
          <w:lang w:val="fr-FR"/>
        </w:rPr>
        <w:t>Ce montant</w:t>
      </w:r>
      <w:r w:rsidR="00E5071B" w:rsidRPr="00E5071B">
        <w:rPr>
          <w:lang w:val="fr-FR"/>
        </w:rPr>
        <w:t xml:space="preserve"> reflète les coûts réels d</w:t>
      </w:r>
      <w:r w:rsidR="0058158D">
        <w:rPr>
          <w:lang w:val="fr-FR"/>
        </w:rPr>
        <w:t>’</w:t>
      </w:r>
      <w:r w:rsidR="00E5071B" w:rsidRPr="00E5071B">
        <w:rPr>
          <w:lang w:val="fr-FR"/>
        </w:rPr>
        <w:t>une telle réunion</w:t>
      </w:r>
      <w:r w:rsidR="007C7196">
        <w:rPr>
          <w:lang w:val="fr-FR"/>
        </w:rPr>
        <w:t> ;</w:t>
      </w:r>
    </w:p>
    <w:p w14:paraId="1A9AB91F" w14:textId="3C40F76B" w:rsidR="00ED105E" w:rsidRPr="00D816DC" w:rsidRDefault="00ED105E" w:rsidP="005064FA">
      <w:pPr>
        <w:pStyle w:val="Normalnumber"/>
        <w:numPr>
          <w:ilvl w:val="1"/>
          <w:numId w:val="4"/>
        </w:numPr>
        <w:rPr>
          <w:lang w:val="fr-FR"/>
        </w:rPr>
      </w:pPr>
      <w:r>
        <w:rPr>
          <w:lang w:val="fr-FR"/>
        </w:rPr>
        <w:t>Activité</w:t>
      </w:r>
      <w:r w:rsidR="00CC64D9">
        <w:rPr>
          <w:lang w:val="fr-FR"/>
        </w:rPr>
        <w:t> </w:t>
      </w:r>
      <w:r>
        <w:rPr>
          <w:lang w:val="fr-FR"/>
        </w:rPr>
        <w:t>8</w:t>
      </w:r>
      <w:r w:rsidR="00CC64D9">
        <w:rPr>
          <w:lang w:val="fr-FR"/>
        </w:rPr>
        <w:t> </w:t>
      </w:r>
      <w:r>
        <w:rPr>
          <w:lang w:val="fr-FR"/>
        </w:rPr>
        <w:t>: le budget des publications est inférieur de 15</w:t>
      </w:r>
      <w:r w:rsidR="00E546DF">
        <w:rPr>
          <w:lang w:val="fr-FR"/>
        </w:rPr>
        <w:t> </w:t>
      </w:r>
      <w:r>
        <w:rPr>
          <w:lang w:val="fr-FR"/>
        </w:rPr>
        <w:t>000</w:t>
      </w:r>
      <w:r w:rsidR="00CC64D9">
        <w:rPr>
          <w:lang w:val="fr-FR"/>
        </w:rPr>
        <w:t> </w:t>
      </w:r>
      <w:r>
        <w:rPr>
          <w:lang w:val="fr-FR"/>
        </w:rPr>
        <w:t>dollars à celui de l</w:t>
      </w:r>
      <w:r w:rsidR="0058158D">
        <w:rPr>
          <w:lang w:val="fr-FR"/>
        </w:rPr>
        <w:t>’</w:t>
      </w:r>
      <w:r>
        <w:rPr>
          <w:lang w:val="fr-FR"/>
        </w:rPr>
        <w:t>exercice biennal</w:t>
      </w:r>
      <w:r w:rsidR="00CC64D9">
        <w:rPr>
          <w:lang w:val="fr-FR"/>
        </w:rPr>
        <w:t> </w:t>
      </w:r>
      <w:r w:rsidR="007C7196">
        <w:rPr>
          <w:lang w:val="fr-FR"/>
        </w:rPr>
        <w:t>2018–2019</w:t>
      </w:r>
      <w:r>
        <w:rPr>
          <w:lang w:val="fr-FR"/>
        </w:rPr>
        <w:t xml:space="preserve">, principalement afin de produire un scénario de croissance nominale nulle. </w:t>
      </w:r>
      <w:r w:rsidR="00D40981">
        <w:rPr>
          <w:lang w:val="fr-FR"/>
        </w:rPr>
        <w:t>C</w:t>
      </w:r>
      <w:r>
        <w:rPr>
          <w:lang w:val="fr-FR"/>
        </w:rPr>
        <w:t xml:space="preserve">e budget </w:t>
      </w:r>
      <w:r w:rsidR="00F07530">
        <w:rPr>
          <w:lang w:val="fr-FR"/>
        </w:rPr>
        <w:t>couvre</w:t>
      </w:r>
      <w:r>
        <w:rPr>
          <w:lang w:val="fr-FR"/>
        </w:rPr>
        <w:t xml:space="preserve"> la conception et l</w:t>
      </w:r>
      <w:r w:rsidR="0058158D">
        <w:rPr>
          <w:lang w:val="fr-FR"/>
        </w:rPr>
        <w:t>’</w:t>
      </w:r>
      <w:r>
        <w:rPr>
          <w:lang w:val="fr-FR"/>
        </w:rPr>
        <w:t>impression des documents d</w:t>
      </w:r>
      <w:r w:rsidR="0058158D">
        <w:rPr>
          <w:lang w:val="fr-FR"/>
        </w:rPr>
        <w:t>’</w:t>
      </w:r>
      <w:r>
        <w:rPr>
          <w:lang w:val="fr-FR"/>
        </w:rPr>
        <w:t xml:space="preserve">orientation les plus importants adoptés par la Conférence des Parties, mais </w:t>
      </w:r>
      <w:r w:rsidR="00D40981">
        <w:rPr>
          <w:lang w:val="fr-FR"/>
        </w:rPr>
        <w:t>pas</w:t>
      </w:r>
      <w:r>
        <w:rPr>
          <w:lang w:val="fr-FR"/>
        </w:rPr>
        <w:t xml:space="preserve"> leur traduction (</w:t>
      </w:r>
      <w:r w:rsidR="00F07530">
        <w:rPr>
          <w:lang w:val="fr-FR"/>
        </w:rPr>
        <w:t>qu</w:t>
      </w:r>
      <w:r w:rsidR="0058158D">
        <w:rPr>
          <w:lang w:val="fr-FR"/>
        </w:rPr>
        <w:t>’</w:t>
      </w:r>
      <w:r w:rsidR="00D40981">
        <w:rPr>
          <w:lang w:val="fr-FR"/>
        </w:rPr>
        <w:t xml:space="preserve">il est </w:t>
      </w:r>
      <w:r>
        <w:rPr>
          <w:lang w:val="fr-FR"/>
        </w:rPr>
        <w:t>prévu</w:t>
      </w:r>
      <w:r w:rsidR="00D40981">
        <w:rPr>
          <w:lang w:val="fr-FR"/>
        </w:rPr>
        <w:t xml:space="preserve"> de financer par </w:t>
      </w:r>
      <w:r>
        <w:rPr>
          <w:lang w:val="fr-FR"/>
        </w:rPr>
        <w:t>des</w:t>
      </w:r>
      <w:r w:rsidR="007B292B">
        <w:rPr>
          <w:lang w:val="fr-FR"/>
        </w:rPr>
        <w:t> </w:t>
      </w:r>
      <w:r>
        <w:rPr>
          <w:lang w:val="fr-FR"/>
        </w:rPr>
        <w:t>contributions volontaires dans le scénario de croissance nominale nulle)</w:t>
      </w:r>
      <w:r w:rsidR="007C7196">
        <w:rPr>
          <w:lang w:val="fr-FR"/>
        </w:rPr>
        <w:t> ;</w:t>
      </w:r>
    </w:p>
    <w:p w14:paraId="054AA816" w14:textId="122D4784" w:rsidR="00ED105E"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14</w:t>
      </w:r>
      <w:r w:rsidR="00CC64D9">
        <w:rPr>
          <w:lang w:val="fr-FR"/>
        </w:rPr>
        <w:t> </w:t>
      </w:r>
      <w:r>
        <w:rPr>
          <w:lang w:val="fr-FR"/>
        </w:rPr>
        <w:t>: le budget d</w:t>
      </w:r>
      <w:r w:rsidR="0058158D">
        <w:rPr>
          <w:lang w:val="fr-FR"/>
        </w:rPr>
        <w:t>’</w:t>
      </w:r>
      <w:r>
        <w:rPr>
          <w:lang w:val="fr-FR"/>
        </w:rPr>
        <w:t>entretien des locaux est en baisse de 74</w:t>
      </w:r>
      <w:r w:rsidR="00E546DF">
        <w:rPr>
          <w:lang w:val="fr-FR"/>
        </w:rPr>
        <w:t> </w:t>
      </w:r>
      <w:r>
        <w:rPr>
          <w:lang w:val="fr-FR"/>
        </w:rPr>
        <w:t>524</w:t>
      </w:r>
      <w:r w:rsidR="00CC64D9">
        <w:rPr>
          <w:lang w:val="fr-FR"/>
        </w:rPr>
        <w:t> </w:t>
      </w:r>
      <w:r>
        <w:rPr>
          <w:lang w:val="fr-FR"/>
        </w:rPr>
        <w:t>dollars par rapport à l</w:t>
      </w:r>
      <w:r w:rsidR="0058158D">
        <w:rPr>
          <w:lang w:val="fr-FR"/>
        </w:rPr>
        <w:t>’</w:t>
      </w:r>
      <w:r>
        <w:rPr>
          <w:lang w:val="fr-FR"/>
        </w:rPr>
        <w:t>exercice biennal précédent, reflétant le fait que certains services, tels que les achats, seraient fournis en interne, et que le coût de certains articles, tels que l</w:t>
      </w:r>
      <w:r w:rsidR="0058158D">
        <w:rPr>
          <w:lang w:val="fr-FR"/>
        </w:rPr>
        <w:t>’</w:t>
      </w:r>
      <w:r>
        <w:rPr>
          <w:lang w:val="fr-FR"/>
        </w:rPr>
        <w:t xml:space="preserve">achat de matériel de bureau, a été réduit, </w:t>
      </w:r>
      <w:r w:rsidR="000803A9" w:rsidRPr="000803A9">
        <w:rPr>
          <w:lang w:val="fr-FR"/>
        </w:rPr>
        <w:t>les titulaires des postes approuvés par la Conférence des Parties à sa première réunion ayant tous été dotés du nécessaire</w:t>
      </w:r>
      <w:r>
        <w:rPr>
          <w:lang w:val="fr-FR"/>
        </w:rPr>
        <w:t xml:space="preserve">. </w:t>
      </w:r>
      <w:r w:rsidR="00FA13E2">
        <w:rPr>
          <w:lang w:val="fr-FR"/>
        </w:rPr>
        <w:t>Cette</w:t>
      </w:r>
      <w:r>
        <w:rPr>
          <w:lang w:val="fr-FR"/>
        </w:rPr>
        <w:t xml:space="preserve"> réduction est en partie contrebalancée par les </w:t>
      </w:r>
      <w:r w:rsidR="000803A9">
        <w:rPr>
          <w:lang w:val="fr-FR"/>
        </w:rPr>
        <w:t>droits de licence</w:t>
      </w:r>
      <w:r>
        <w:rPr>
          <w:lang w:val="fr-FR"/>
        </w:rPr>
        <w:t xml:space="preserve"> </w:t>
      </w:r>
      <w:proofErr w:type="spellStart"/>
      <w:r>
        <w:rPr>
          <w:lang w:val="fr-FR"/>
        </w:rPr>
        <w:t>Umoja</w:t>
      </w:r>
      <w:proofErr w:type="spellEnd"/>
      <w:r>
        <w:rPr>
          <w:lang w:val="fr-FR"/>
        </w:rPr>
        <w:t xml:space="preserve"> que l</w:t>
      </w:r>
      <w:r w:rsidR="0058158D">
        <w:rPr>
          <w:lang w:val="fr-FR"/>
        </w:rPr>
        <w:t>’</w:t>
      </w:r>
      <w:r w:rsidR="000803A9">
        <w:rPr>
          <w:lang w:val="fr-FR"/>
        </w:rPr>
        <w:t>ONU a</w:t>
      </w:r>
      <w:r>
        <w:rPr>
          <w:lang w:val="fr-FR"/>
        </w:rPr>
        <w:t xml:space="preserve"> commencé à facturer à toutes les entités en</w:t>
      </w:r>
      <w:r w:rsidR="00E239CA">
        <w:rPr>
          <w:lang w:val="fr-FR"/>
        </w:rPr>
        <w:t> </w:t>
      </w:r>
      <w:r>
        <w:rPr>
          <w:lang w:val="fr-FR"/>
        </w:rPr>
        <w:t>2019</w:t>
      </w:r>
      <w:r w:rsidR="007C7196">
        <w:rPr>
          <w:lang w:val="fr-FR"/>
        </w:rPr>
        <w:t> ;</w:t>
      </w:r>
    </w:p>
    <w:p w14:paraId="72399544" w14:textId="604BF366" w:rsidR="00ED105E"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15</w:t>
      </w:r>
      <w:r w:rsidR="00CC64D9">
        <w:rPr>
          <w:lang w:val="fr-FR"/>
        </w:rPr>
        <w:t> </w:t>
      </w:r>
      <w:r>
        <w:rPr>
          <w:lang w:val="fr-FR"/>
        </w:rPr>
        <w:t xml:space="preserve">: le montant </w:t>
      </w:r>
      <w:r w:rsidR="00FA13E2">
        <w:rPr>
          <w:lang w:val="fr-FR"/>
        </w:rPr>
        <w:t>prévu pour l</w:t>
      </w:r>
      <w:r>
        <w:rPr>
          <w:lang w:val="fr-FR"/>
        </w:rPr>
        <w:t xml:space="preserve">es services informatiques a </w:t>
      </w:r>
      <w:r w:rsidR="00FA13E2">
        <w:rPr>
          <w:lang w:val="fr-FR"/>
        </w:rPr>
        <w:t>baiss</w:t>
      </w:r>
      <w:r>
        <w:rPr>
          <w:lang w:val="fr-FR"/>
        </w:rPr>
        <w:t>é de 10</w:t>
      </w:r>
      <w:r w:rsidR="00E546DF">
        <w:rPr>
          <w:lang w:val="fr-FR"/>
        </w:rPr>
        <w:t> </w:t>
      </w:r>
      <w:r>
        <w:rPr>
          <w:lang w:val="fr-FR"/>
        </w:rPr>
        <w:t>000</w:t>
      </w:r>
      <w:r w:rsidR="00CC64D9">
        <w:rPr>
          <w:lang w:val="fr-FR"/>
        </w:rPr>
        <w:t> </w:t>
      </w:r>
      <w:r>
        <w:rPr>
          <w:lang w:val="fr-FR"/>
        </w:rPr>
        <w:t>dollars par rapport à l</w:t>
      </w:r>
      <w:r w:rsidR="0058158D">
        <w:rPr>
          <w:lang w:val="fr-FR"/>
        </w:rPr>
        <w:t>’</w:t>
      </w:r>
      <w:r>
        <w:rPr>
          <w:lang w:val="fr-FR"/>
        </w:rPr>
        <w:t>exercice biennal précédent, principalement en raison d</w:t>
      </w:r>
      <w:r w:rsidR="0058158D">
        <w:rPr>
          <w:lang w:val="fr-FR"/>
        </w:rPr>
        <w:t>’</w:t>
      </w:r>
      <w:r>
        <w:rPr>
          <w:lang w:val="fr-FR"/>
        </w:rPr>
        <w:t>une diminution des achats de</w:t>
      </w:r>
      <w:r w:rsidR="00E239CA">
        <w:rPr>
          <w:lang w:val="fr-FR"/>
        </w:rPr>
        <w:t> </w:t>
      </w:r>
      <w:r>
        <w:rPr>
          <w:lang w:val="fr-FR"/>
        </w:rPr>
        <w:t xml:space="preserve">nouveau matériel, en partie contrebalancée par la hausse des </w:t>
      </w:r>
      <w:r w:rsidR="000803A9">
        <w:rPr>
          <w:lang w:val="fr-FR"/>
        </w:rPr>
        <w:t>droits de licence</w:t>
      </w:r>
      <w:r>
        <w:rPr>
          <w:lang w:val="fr-FR"/>
        </w:rPr>
        <w:t xml:space="preserve"> </w:t>
      </w:r>
      <w:r w:rsidR="00FA13E2">
        <w:rPr>
          <w:lang w:val="fr-FR"/>
        </w:rPr>
        <w:t xml:space="preserve">pour les </w:t>
      </w:r>
      <w:r>
        <w:rPr>
          <w:lang w:val="fr-FR"/>
        </w:rPr>
        <w:t>logiciels</w:t>
      </w:r>
      <w:r w:rsidR="007C7196">
        <w:rPr>
          <w:lang w:val="fr-FR"/>
        </w:rPr>
        <w:t> ;</w:t>
      </w:r>
    </w:p>
    <w:p w14:paraId="6758123F" w14:textId="29314326" w:rsidR="00ED105E" w:rsidRPr="00E239CA" w:rsidRDefault="00093BC4" w:rsidP="00E239CA">
      <w:pPr>
        <w:pStyle w:val="CH4"/>
        <w:rPr>
          <w:i/>
          <w:lang w:val="fr-FR"/>
        </w:rPr>
      </w:pPr>
      <w:r w:rsidRPr="00E239CA">
        <w:rPr>
          <w:i/>
          <w:lang w:val="fr-FR"/>
        </w:rPr>
        <w:tab/>
      </w:r>
      <w:r w:rsidRPr="00E239CA">
        <w:rPr>
          <w:i/>
          <w:lang w:val="fr-FR"/>
        </w:rPr>
        <w:tab/>
      </w:r>
      <w:r w:rsidRPr="00E239CA">
        <w:rPr>
          <w:i/>
        </w:rPr>
        <w:t>Augmentations</w:t>
      </w:r>
      <w:r w:rsidRPr="00E239CA">
        <w:rPr>
          <w:i/>
          <w:lang w:val="fr-FR"/>
        </w:rPr>
        <w:t xml:space="preserve"> par rapport au budget approuvé pour </w:t>
      </w:r>
      <w:r w:rsidR="007C7196">
        <w:rPr>
          <w:i/>
          <w:lang w:val="fr-FR"/>
        </w:rPr>
        <w:t>2018–2019</w:t>
      </w:r>
    </w:p>
    <w:p w14:paraId="30C256F1" w14:textId="79DF1A66" w:rsidR="00ED105E"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2</w:t>
      </w:r>
      <w:r w:rsidR="00CC64D9">
        <w:rPr>
          <w:lang w:val="fr-FR"/>
        </w:rPr>
        <w:t> </w:t>
      </w:r>
      <w:r>
        <w:rPr>
          <w:lang w:val="fr-FR"/>
        </w:rPr>
        <w:t>: un montant supplémentaire de 2</w:t>
      </w:r>
      <w:r w:rsidR="00E546DF">
        <w:rPr>
          <w:lang w:val="fr-FR"/>
        </w:rPr>
        <w:t> </w:t>
      </w:r>
      <w:r>
        <w:rPr>
          <w:lang w:val="fr-FR"/>
        </w:rPr>
        <w:t>000</w:t>
      </w:r>
      <w:r w:rsidR="00CC64D9">
        <w:rPr>
          <w:lang w:val="fr-FR"/>
        </w:rPr>
        <w:t> </w:t>
      </w:r>
      <w:r>
        <w:rPr>
          <w:lang w:val="fr-FR"/>
        </w:rPr>
        <w:t>dollars est prévu au budget pour</w:t>
      </w:r>
      <w:r w:rsidR="007C7196">
        <w:rPr>
          <w:lang w:val="fr-FR"/>
        </w:rPr>
        <w:t> </w:t>
      </w:r>
      <w:r w:rsidR="003C2572">
        <w:rPr>
          <w:lang w:val="fr-FR"/>
        </w:rPr>
        <w:t>deux </w:t>
      </w:r>
      <w:r>
        <w:rPr>
          <w:lang w:val="fr-FR"/>
        </w:rPr>
        <w:t>réunions du Bureau de la Conférence des Parties afin d</w:t>
      </w:r>
      <w:r w:rsidR="0058158D">
        <w:rPr>
          <w:lang w:val="fr-FR"/>
        </w:rPr>
        <w:t>’</w:t>
      </w:r>
      <w:r>
        <w:rPr>
          <w:lang w:val="fr-FR"/>
        </w:rPr>
        <w:t>aligner le budget sur les coûts réels des</w:t>
      </w:r>
      <w:r w:rsidR="00E239CA">
        <w:rPr>
          <w:lang w:val="fr-FR"/>
        </w:rPr>
        <w:t> </w:t>
      </w:r>
      <w:r>
        <w:rPr>
          <w:lang w:val="fr-FR"/>
        </w:rPr>
        <w:t>réunions</w:t>
      </w:r>
      <w:r w:rsidR="007C7196">
        <w:rPr>
          <w:lang w:val="fr-FR"/>
        </w:rPr>
        <w:t> ;</w:t>
      </w:r>
    </w:p>
    <w:p w14:paraId="69548EE2" w14:textId="4B946F10" w:rsidR="00ED105E"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6</w:t>
      </w:r>
      <w:r w:rsidR="00CC64D9">
        <w:rPr>
          <w:lang w:val="fr-FR"/>
        </w:rPr>
        <w:t> </w:t>
      </w:r>
      <w:r>
        <w:rPr>
          <w:lang w:val="fr-FR"/>
        </w:rPr>
        <w:t xml:space="preserve">: </w:t>
      </w:r>
      <w:r w:rsidR="008D2038" w:rsidRPr="008D2038">
        <w:rPr>
          <w:lang w:val="fr-FR"/>
        </w:rPr>
        <w:t xml:space="preserve">aux fins de </w:t>
      </w:r>
      <w:r>
        <w:rPr>
          <w:lang w:val="fr-FR"/>
        </w:rPr>
        <w:t>l</w:t>
      </w:r>
      <w:r w:rsidR="0058158D">
        <w:rPr>
          <w:lang w:val="fr-FR"/>
        </w:rPr>
        <w:t>’</w:t>
      </w:r>
      <w:r>
        <w:rPr>
          <w:lang w:val="fr-FR"/>
        </w:rPr>
        <w:t>évaluation de l</w:t>
      </w:r>
      <w:r w:rsidR="0058158D">
        <w:rPr>
          <w:lang w:val="fr-FR"/>
        </w:rPr>
        <w:t>’</w:t>
      </w:r>
      <w:r>
        <w:rPr>
          <w:lang w:val="fr-FR"/>
        </w:rPr>
        <w:t>efficacité, qui n</w:t>
      </w:r>
      <w:r w:rsidR="008D2038">
        <w:rPr>
          <w:lang w:val="fr-FR"/>
        </w:rPr>
        <w:t>e figurait pas dans le</w:t>
      </w:r>
      <w:r w:rsidR="007B292B">
        <w:rPr>
          <w:lang w:val="fr-FR"/>
        </w:rPr>
        <w:t> </w:t>
      </w:r>
      <w:r w:rsidR="008D2038">
        <w:rPr>
          <w:lang w:val="fr-FR"/>
        </w:rPr>
        <w:t xml:space="preserve">programme </w:t>
      </w:r>
      <w:r w:rsidR="00FA13E2">
        <w:rPr>
          <w:lang w:val="fr-FR"/>
        </w:rPr>
        <w:t xml:space="preserve">de </w:t>
      </w:r>
      <w:r>
        <w:rPr>
          <w:lang w:val="fr-FR"/>
        </w:rPr>
        <w:t>l</w:t>
      </w:r>
      <w:r w:rsidR="0058158D">
        <w:rPr>
          <w:lang w:val="fr-FR"/>
        </w:rPr>
        <w:t>’</w:t>
      </w:r>
      <w:r>
        <w:rPr>
          <w:lang w:val="fr-FR"/>
        </w:rPr>
        <w:t>exercice biennal précédent, un montant de 228</w:t>
      </w:r>
      <w:r w:rsidR="00E546DF">
        <w:rPr>
          <w:lang w:val="fr-FR"/>
        </w:rPr>
        <w:t> </w:t>
      </w:r>
      <w:r>
        <w:rPr>
          <w:lang w:val="fr-FR"/>
        </w:rPr>
        <w:t>000</w:t>
      </w:r>
      <w:r w:rsidR="00CC64D9">
        <w:rPr>
          <w:lang w:val="fr-FR"/>
        </w:rPr>
        <w:t> </w:t>
      </w:r>
      <w:r>
        <w:rPr>
          <w:lang w:val="fr-FR"/>
        </w:rPr>
        <w:t xml:space="preserve">dollars est inscrit au budget pour </w:t>
      </w:r>
      <w:r w:rsidR="008D2038" w:rsidRPr="008D2038">
        <w:rPr>
          <w:lang w:val="fr-FR"/>
        </w:rPr>
        <w:t>l</w:t>
      </w:r>
      <w:r w:rsidR="0058158D">
        <w:rPr>
          <w:lang w:val="fr-FR"/>
        </w:rPr>
        <w:t>’</w:t>
      </w:r>
      <w:r w:rsidR="008D2038" w:rsidRPr="008D2038">
        <w:rPr>
          <w:lang w:val="fr-FR"/>
        </w:rPr>
        <w:t>élaboration d</w:t>
      </w:r>
      <w:r w:rsidR="0058158D">
        <w:rPr>
          <w:lang w:val="fr-FR"/>
        </w:rPr>
        <w:t>’</w:t>
      </w:r>
      <w:r w:rsidR="008D2038" w:rsidRPr="008D2038">
        <w:rPr>
          <w:lang w:val="fr-FR"/>
        </w:rPr>
        <w:t>un rapport de suivi et de modélisation, comme proposé par le groupe spécial d</w:t>
      </w:r>
      <w:r w:rsidR="0058158D">
        <w:rPr>
          <w:lang w:val="fr-FR"/>
        </w:rPr>
        <w:t>’</w:t>
      </w:r>
      <w:r w:rsidR="008D2038" w:rsidRPr="008D2038">
        <w:rPr>
          <w:lang w:val="fr-FR"/>
        </w:rPr>
        <w:t xml:space="preserve">experts techniques </w:t>
      </w:r>
      <w:r>
        <w:rPr>
          <w:lang w:val="fr-FR"/>
        </w:rPr>
        <w:t>(sous réserve de la</w:t>
      </w:r>
      <w:r w:rsidR="00E239CA">
        <w:rPr>
          <w:lang w:val="fr-FR"/>
        </w:rPr>
        <w:t> </w:t>
      </w:r>
      <w:r>
        <w:rPr>
          <w:lang w:val="fr-FR"/>
        </w:rPr>
        <w:t xml:space="preserve">décision de la Conférence des Parties </w:t>
      </w:r>
      <w:r w:rsidR="008D2038">
        <w:rPr>
          <w:lang w:val="fr-FR"/>
        </w:rPr>
        <w:t>à ce sujet</w:t>
      </w:r>
      <w:r>
        <w:rPr>
          <w:lang w:val="fr-FR"/>
        </w:rPr>
        <w:t xml:space="preserve">), </w:t>
      </w:r>
      <w:r w:rsidR="008D2038" w:rsidRPr="008D2038">
        <w:rPr>
          <w:lang w:val="fr-FR"/>
        </w:rPr>
        <w:t>qui implique des réunions en présentiel des experts, une compilation et une évaluation des communications des</w:t>
      </w:r>
      <w:r w:rsidR="007B292B">
        <w:rPr>
          <w:lang w:val="fr-FR"/>
        </w:rPr>
        <w:t> </w:t>
      </w:r>
      <w:r w:rsidR="008D2038" w:rsidRPr="008D2038">
        <w:rPr>
          <w:lang w:val="fr-FR"/>
        </w:rPr>
        <w:t>Parties et des séances de discussion par voie électronique entre les membres du Comité d</w:t>
      </w:r>
      <w:r w:rsidR="0058158D">
        <w:rPr>
          <w:lang w:val="fr-FR"/>
        </w:rPr>
        <w:t>’</w:t>
      </w:r>
      <w:r w:rsidR="008D2038" w:rsidRPr="008D2038">
        <w:rPr>
          <w:lang w:val="fr-FR"/>
        </w:rPr>
        <w:t>évaluation de l</w:t>
      </w:r>
      <w:r w:rsidR="0058158D">
        <w:rPr>
          <w:lang w:val="fr-FR"/>
        </w:rPr>
        <w:t>’</w:t>
      </w:r>
      <w:r w:rsidR="008D2038" w:rsidRPr="008D2038">
        <w:rPr>
          <w:lang w:val="fr-FR"/>
        </w:rPr>
        <w:t xml:space="preserve">efficacité </w:t>
      </w:r>
      <w:r w:rsidR="008D2038">
        <w:rPr>
          <w:lang w:val="fr-FR"/>
        </w:rPr>
        <w:t>afin d</w:t>
      </w:r>
      <w:r w:rsidR="0058158D">
        <w:rPr>
          <w:lang w:val="fr-FR"/>
        </w:rPr>
        <w:t>’</w:t>
      </w:r>
      <w:r w:rsidR="008D2038" w:rsidRPr="008D2038">
        <w:rPr>
          <w:lang w:val="fr-FR"/>
        </w:rPr>
        <w:t>assurer l</w:t>
      </w:r>
      <w:r w:rsidR="0058158D">
        <w:rPr>
          <w:lang w:val="fr-FR"/>
        </w:rPr>
        <w:t>’</w:t>
      </w:r>
      <w:r w:rsidR="008D2038" w:rsidRPr="008D2038">
        <w:rPr>
          <w:lang w:val="fr-FR"/>
        </w:rPr>
        <w:t>intégration des rapports</w:t>
      </w:r>
      <w:r w:rsidR="007C7196">
        <w:rPr>
          <w:lang w:val="fr-FR"/>
        </w:rPr>
        <w:t> ;</w:t>
      </w:r>
    </w:p>
    <w:p w14:paraId="05CBCA4E" w14:textId="4BAB1B38" w:rsidR="00ED105E"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9</w:t>
      </w:r>
      <w:r w:rsidR="00CC64D9">
        <w:rPr>
          <w:lang w:val="fr-FR"/>
        </w:rPr>
        <w:t> </w:t>
      </w:r>
      <w:r>
        <w:rPr>
          <w:lang w:val="fr-FR"/>
        </w:rPr>
        <w:t>: le budget consacré à la communication, aux activités de proximité et à la</w:t>
      </w:r>
      <w:r w:rsidR="00E239CA">
        <w:rPr>
          <w:lang w:val="fr-FR"/>
        </w:rPr>
        <w:t> </w:t>
      </w:r>
      <w:r>
        <w:rPr>
          <w:lang w:val="fr-FR"/>
        </w:rPr>
        <w:t>sensibilisation du public fait apparaître une augmentation de 5</w:t>
      </w:r>
      <w:r w:rsidR="00E546DF">
        <w:rPr>
          <w:lang w:val="fr-FR"/>
        </w:rPr>
        <w:t> </w:t>
      </w:r>
      <w:r>
        <w:rPr>
          <w:lang w:val="fr-FR"/>
        </w:rPr>
        <w:t>000</w:t>
      </w:r>
      <w:r w:rsidR="00CC64D9">
        <w:rPr>
          <w:lang w:val="fr-FR"/>
        </w:rPr>
        <w:t> </w:t>
      </w:r>
      <w:r>
        <w:rPr>
          <w:lang w:val="fr-FR"/>
        </w:rPr>
        <w:t>dollars par rapport à l</w:t>
      </w:r>
      <w:r w:rsidR="0058158D">
        <w:rPr>
          <w:lang w:val="fr-FR"/>
        </w:rPr>
        <w:t>’</w:t>
      </w:r>
      <w:r>
        <w:rPr>
          <w:lang w:val="fr-FR"/>
        </w:rPr>
        <w:t>exercice biennal précédent, ce qui comprend des licences pour des outils spécifiques nécessaires à la</w:t>
      </w:r>
      <w:r w:rsidR="00E239CA">
        <w:rPr>
          <w:lang w:val="fr-FR"/>
        </w:rPr>
        <w:t> </w:t>
      </w:r>
      <w:r>
        <w:rPr>
          <w:lang w:val="fr-FR"/>
        </w:rPr>
        <w:t>communication stratégique</w:t>
      </w:r>
      <w:r w:rsidR="007C7196">
        <w:rPr>
          <w:lang w:val="fr-FR"/>
        </w:rPr>
        <w:t> ;</w:t>
      </w:r>
    </w:p>
    <w:p w14:paraId="1349E490" w14:textId="63BCF037" w:rsidR="00A70083" w:rsidRPr="00CC64D9" w:rsidRDefault="00ED105E" w:rsidP="005064FA">
      <w:pPr>
        <w:pStyle w:val="Normalnumber"/>
        <w:numPr>
          <w:ilvl w:val="1"/>
          <w:numId w:val="4"/>
        </w:numPr>
        <w:rPr>
          <w:lang w:val="fr-FR"/>
        </w:rPr>
      </w:pPr>
      <w:r>
        <w:rPr>
          <w:lang w:val="fr-FR"/>
        </w:rPr>
        <w:t>Activité</w:t>
      </w:r>
      <w:r w:rsidR="00CC64D9">
        <w:rPr>
          <w:lang w:val="fr-FR"/>
        </w:rPr>
        <w:t> </w:t>
      </w:r>
      <w:r>
        <w:rPr>
          <w:lang w:val="fr-FR"/>
        </w:rPr>
        <w:t>10</w:t>
      </w:r>
      <w:r w:rsidR="00CC64D9">
        <w:rPr>
          <w:lang w:val="fr-FR"/>
        </w:rPr>
        <w:t> </w:t>
      </w:r>
      <w:r>
        <w:rPr>
          <w:lang w:val="fr-FR"/>
        </w:rPr>
        <w:t>: au titre de la rubrique Direction exécutive et administration, une</w:t>
      </w:r>
      <w:r w:rsidR="00E239CA">
        <w:rPr>
          <w:lang w:val="fr-FR"/>
        </w:rPr>
        <w:t> </w:t>
      </w:r>
      <w:r>
        <w:rPr>
          <w:lang w:val="fr-FR"/>
        </w:rPr>
        <w:t>augmentation de 536</w:t>
      </w:r>
      <w:r w:rsidR="00E546DF">
        <w:rPr>
          <w:lang w:val="fr-FR"/>
        </w:rPr>
        <w:t> </w:t>
      </w:r>
      <w:r>
        <w:rPr>
          <w:lang w:val="fr-FR"/>
        </w:rPr>
        <w:t>524</w:t>
      </w:r>
      <w:r w:rsidR="00CC64D9">
        <w:rPr>
          <w:lang w:val="fr-FR"/>
        </w:rPr>
        <w:t> </w:t>
      </w:r>
      <w:r>
        <w:rPr>
          <w:lang w:val="fr-FR"/>
        </w:rPr>
        <w:t>dollars est prévue par rapport à l</w:t>
      </w:r>
      <w:r w:rsidR="0058158D">
        <w:rPr>
          <w:lang w:val="fr-FR"/>
        </w:rPr>
        <w:t>’</w:t>
      </w:r>
      <w:r>
        <w:rPr>
          <w:lang w:val="fr-FR"/>
        </w:rPr>
        <w:t>exercice biennal</w:t>
      </w:r>
      <w:r w:rsidR="00CC64D9">
        <w:rPr>
          <w:lang w:val="fr-FR"/>
        </w:rPr>
        <w:t> </w:t>
      </w:r>
      <w:r w:rsidR="007C7196">
        <w:rPr>
          <w:lang w:val="fr-FR"/>
        </w:rPr>
        <w:t>2018–2019</w:t>
      </w:r>
      <w:r>
        <w:rPr>
          <w:lang w:val="fr-FR"/>
        </w:rPr>
        <w:t xml:space="preserve"> afin de garantir les effectifs minimaux nécessaires pour assurer les fonctions de secrétariat. Outre la dotation en effectifs approuvée par la Conférence des Parties à sa première</w:t>
      </w:r>
      <w:r w:rsidR="00A86DAD">
        <w:rPr>
          <w:lang w:val="fr-FR"/>
        </w:rPr>
        <w:t> </w:t>
      </w:r>
      <w:r>
        <w:rPr>
          <w:lang w:val="fr-FR"/>
        </w:rPr>
        <w:t>réunion, un administrateur de programmes (P-3) serait ajouté pour s</w:t>
      </w:r>
      <w:r w:rsidR="0058158D">
        <w:rPr>
          <w:lang w:val="fr-FR"/>
        </w:rPr>
        <w:t>’</w:t>
      </w:r>
      <w:r>
        <w:rPr>
          <w:lang w:val="fr-FR"/>
        </w:rPr>
        <w:t>occuper de l</w:t>
      </w:r>
      <w:r w:rsidR="0058158D">
        <w:rPr>
          <w:lang w:val="fr-FR"/>
        </w:rPr>
        <w:t>’</w:t>
      </w:r>
      <w:r>
        <w:rPr>
          <w:lang w:val="fr-FR"/>
        </w:rPr>
        <w:t>établissement des rapports, de l</w:t>
      </w:r>
      <w:r w:rsidR="0058158D">
        <w:rPr>
          <w:lang w:val="fr-FR"/>
        </w:rPr>
        <w:t>’</w:t>
      </w:r>
      <w:r>
        <w:rPr>
          <w:lang w:val="fr-FR"/>
        </w:rPr>
        <w:t>évaluation de l</w:t>
      </w:r>
      <w:r w:rsidR="0058158D">
        <w:rPr>
          <w:lang w:val="fr-FR"/>
        </w:rPr>
        <w:t>’</w:t>
      </w:r>
      <w:r>
        <w:rPr>
          <w:lang w:val="fr-FR"/>
        </w:rPr>
        <w:t>efficacité et du renforcement des capacités, ainsi qu</w:t>
      </w:r>
      <w:r w:rsidR="0058158D">
        <w:rPr>
          <w:lang w:val="fr-FR"/>
        </w:rPr>
        <w:t>’</w:t>
      </w:r>
      <w:r>
        <w:rPr>
          <w:lang w:val="fr-FR"/>
        </w:rPr>
        <w:t>un assistant administratif (G-6) pour reprendre les fonctions importantes des achats, des ressources humaines et de l</w:t>
      </w:r>
      <w:r w:rsidR="0058158D">
        <w:rPr>
          <w:lang w:val="fr-FR"/>
        </w:rPr>
        <w:t>’</w:t>
      </w:r>
      <w:r>
        <w:rPr>
          <w:lang w:val="fr-FR"/>
        </w:rPr>
        <w:t xml:space="preserve">administration de projet. Certaines de ces fonctions sont actuellement assurées par diverses entités des </w:t>
      </w:r>
      <w:r w:rsidR="006D45E7">
        <w:rPr>
          <w:lang w:val="fr-FR"/>
        </w:rPr>
        <w:t>Nations Unies</w:t>
      </w:r>
      <w:r>
        <w:rPr>
          <w:lang w:val="fr-FR"/>
        </w:rPr>
        <w:t>, dans la</w:t>
      </w:r>
      <w:r w:rsidR="00E239CA">
        <w:rPr>
          <w:lang w:val="fr-FR"/>
        </w:rPr>
        <w:t> </w:t>
      </w:r>
      <w:r>
        <w:rPr>
          <w:lang w:val="fr-FR"/>
        </w:rPr>
        <w:t>plupart des cas gratuitement, ce qui n</w:t>
      </w:r>
      <w:r w:rsidR="0058158D">
        <w:rPr>
          <w:lang w:val="fr-FR"/>
        </w:rPr>
        <w:t>’</w:t>
      </w:r>
      <w:r>
        <w:rPr>
          <w:lang w:val="fr-FR"/>
        </w:rPr>
        <w:t>est ni stable ni viable à long terme. En outre, l</w:t>
      </w:r>
      <w:r w:rsidR="0058158D">
        <w:rPr>
          <w:lang w:val="fr-FR"/>
        </w:rPr>
        <w:t>’</w:t>
      </w:r>
      <w:r>
        <w:rPr>
          <w:lang w:val="fr-FR"/>
        </w:rPr>
        <w:t>introduction d</w:t>
      </w:r>
      <w:r w:rsidR="0058158D">
        <w:rPr>
          <w:lang w:val="fr-FR"/>
        </w:rPr>
        <w:t>’</w:t>
      </w:r>
      <w:proofErr w:type="spellStart"/>
      <w:r>
        <w:rPr>
          <w:lang w:val="fr-FR"/>
        </w:rPr>
        <w:t>Umoja</w:t>
      </w:r>
      <w:proofErr w:type="spellEnd"/>
      <w:r>
        <w:rPr>
          <w:lang w:val="fr-FR"/>
        </w:rPr>
        <w:t>-Extension</w:t>
      </w:r>
      <w:r w:rsidR="00CC64D9">
        <w:rPr>
          <w:lang w:val="fr-FR"/>
        </w:rPr>
        <w:t> </w:t>
      </w:r>
      <w:r>
        <w:rPr>
          <w:lang w:val="fr-FR"/>
        </w:rPr>
        <w:t>2 en 2019, à commencer par le module relatif aux partenaires d</w:t>
      </w:r>
      <w:r w:rsidR="0058158D">
        <w:rPr>
          <w:lang w:val="fr-FR"/>
        </w:rPr>
        <w:t>’</w:t>
      </w:r>
      <w:r w:rsidR="008D2038">
        <w:rPr>
          <w:lang w:val="fr-FR"/>
        </w:rPr>
        <w:t>exécu</w:t>
      </w:r>
      <w:r>
        <w:rPr>
          <w:lang w:val="fr-FR"/>
        </w:rPr>
        <w:t>tion, a</w:t>
      </w:r>
      <w:r w:rsidR="00E239CA">
        <w:rPr>
          <w:lang w:val="fr-FR"/>
        </w:rPr>
        <w:t> </w:t>
      </w:r>
      <w:r>
        <w:rPr>
          <w:lang w:val="fr-FR"/>
        </w:rPr>
        <w:t>encore accru la charge de travail liée à la conclusion d</w:t>
      </w:r>
      <w:r w:rsidR="0058158D">
        <w:rPr>
          <w:lang w:val="fr-FR"/>
        </w:rPr>
        <w:t>’</w:t>
      </w:r>
      <w:r>
        <w:rPr>
          <w:lang w:val="fr-FR"/>
        </w:rPr>
        <w:t xml:space="preserve">accords avec </w:t>
      </w:r>
      <w:r w:rsidR="008D2038">
        <w:rPr>
          <w:lang w:val="fr-FR"/>
        </w:rPr>
        <w:t>c</w:t>
      </w:r>
      <w:r>
        <w:rPr>
          <w:lang w:val="fr-FR"/>
        </w:rPr>
        <w:t>es partenaires.</w:t>
      </w:r>
    </w:p>
    <w:p w14:paraId="06ADBFBB" w14:textId="2423FA66" w:rsidR="001C6381" w:rsidRPr="00AC5825" w:rsidRDefault="00C91AEB" w:rsidP="00E239CA">
      <w:pPr>
        <w:pStyle w:val="CH1"/>
        <w:rPr>
          <w:b w:val="0"/>
        </w:rPr>
      </w:pPr>
      <w:r>
        <w:rPr>
          <w:lang w:val="fr-FR"/>
        </w:rPr>
        <w:lastRenderedPageBreak/>
        <w:tab/>
      </w:r>
      <w:r w:rsidR="00176F98">
        <w:rPr>
          <w:lang w:val="fr-FR"/>
        </w:rPr>
        <w:t>III.</w:t>
      </w:r>
      <w:r w:rsidR="00176F98">
        <w:rPr>
          <w:lang w:val="fr-FR"/>
        </w:rPr>
        <w:tab/>
      </w:r>
      <w:r w:rsidR="00176F98" w:rsidRPr="00E239CA">
        <w:t>Mesure</w:t>
      </w:r>
      <w:r w:rsidR="00176F98">
        <w:rPr>
          <w:lang w:val="fr-FR"/>
        </w:rPr>
        <w:t xml:space="preserve"> proposée</w:t>
      </w:r>
    </w:p>
    <w:p w14:paraId="475682C0" w14:textId="186625C3" w:rsidR="00866240" w:rsidRPr="00CC64D9" w:rsidRDefault="00C93D8D" w:rsidP="00430669">
      <w:pPr>
        <w:pStyle w:val="Normalnumber"/>
        <w:rPr>
          <w:bCs/>
          <w:lang w:val="fr-FR"/>
        </w:rPr>
      </w:pPr>
      <w:r>
        <w:rPr>
          <w:lang w:val="fr-FR"/>
        </w:rPr>
        <w:t>Compte tenu des décisions</w:t>
      </w:r>
      <w:r w:rsidR="00CC64D9">
        <w:rPr>
          <w:lang w:val="fr-FR"/>
        </w:rPr>
        <w:t> </w:t>
      </w:r>
      <w:r>
        <w:rPr>
          <w:lang w:val="fr-FR"/>
        </w:rPr>
        <w:t>MC-2/12 et MC-2/7 et après avoir examiné les informations figurant dans la présente note et les fiches d</w:t>
      </w:r>
      <w:r w:rsidR="008D2038">
        <w:rPr>
          <w:lang w:val="fr-FR"/>
        </w:rPr>
        <w:t xml:space="preserve">escriptives des </w:t>
      </w:r>
      <w:r>
        <w:rPr>
          <w:lang w:val="fr-FR"/>
        </w:rPr>
        <w:t>activité</w:t>
      </w:r>
      <w:r w:rsidR="008D2038">
        <w:rPr>
          <w:lang w:val="fr-FR"/>
        </w:rPr>
        <w:t>s</w:t>
      </w:r>
      <w:r>
        <w:rPr>
          <w:lang w:val="fr-FR"/>
        </w:rPr>
        <w:t xml:space="preserve"> </w:t>
      </w:r>
      <w:r w:rsidR="008D2038">
        <w:rPr>
          <w:lang w:val="fr-FR"/>
        </w:rPr>
        <w:t xml:space="preserve">inscrites au </w:t>
      </w:r>
      <w:r>
        <w:rPr>
          <w:lang w:val="fr-FR"/>
        </w:rPr>
        <w:t>budg</w:t>
      </w:r>
      <w:r w:rsidR="008D2038">
        <w:rPr>
          <w:lang w:val="fr-FR"/>
        </w:rPr>
        <w:t>et</w:t>
      </w:r>
      <w:r w:rsidR="005064FA">
        <w:rPr>
          <w:lang w:val="fr-FR"/>
        </w:rPr>
        <w:t xml:space="preserve"> </w:t>
      </w:r>
      <w:r>
        <w:rPr>
          <w:lang w:val="fr-FR"/>
        </w:rPr>
        <w:t xml:space="preserve">(UNEP/MC/COP.3/INF/9), les </w:t>
      </w:r>
      <w:r w:rsidR="007538C7">
        <w:rPr>
          <w:lang w:val="fr-FR"/>
        </w:rPr>
        <w:t>informations</w:t>
      </w:r>
      <w:r>
        <w:rPr>
          <w:lang w:val="fr-FR"/>
        </w:rPr>
        <w:t xml:space="preserve"> relati</w:t>
      </w:r>
      <w:r w:rsidR="007538C7">
        <w:rPr>
          <w:lang w:val="fr-FR"/>
        </w:rPr>
        <w:t>ve</w:t>
      </w:r>
      <w:r>
        <w:rPr>
          <w:lang w:val="fr-FR"/>
        </w:rPr>
        <w:t>s aux questions financières</w:t>
      </w:r>
      <w:r w:rsidR="005064FA">
        <w:rPr>
          <w:lang w:val="fr-FR"/>
        </w:rPr>
        <w:t xml:space="preserve"> </w:t>
      </w:r>
      <w:r>
        <w:rPr>
          <w:lang w:val="fr-FR"/>
        </w:rPr>
        <w:t xml:space="preserve">(UNEP/MC/COP.3/INF/10) et les projets de </w:t>
      </w:r>
      <w:r w:rsidR="007538C7">
        <w:rPr>
          <w:lang w:val="fr-FR"/>
        </w:rPr>
        <w:t>budget opérationnel</w:t>
      </w:r>
      <w:r>
        <w:rPr>
          <w:lang w:val="fr-FR"/>
        </w:rPr>
        <w:t xml:space="preserve"> </w:t>
      </w:r>
      <w:r w:rsidR="008D2038">
        <w:rPr>
          <w:lang w:val="fr-FR"/>
        </w:rPr>
        <w:t>correspondant aux</w:t>
      </w:r>
      <w:r>
        <w:rPr>
          <w:lang w:val="fr-FR"/>
        </w:rPr>
        <w:t xml:space="preserve"> deux scénarios de financement</w:t>
      </w:r>
      <w:r w:rsidR="00A86DAD">
        <w:rPr>
          <w:lang w:val="fr-FR"/>
        </w:rPr>
        <w:t> </w:t>
      </w:r>
      <w:r>
        <w:rPr>
          <w:lang w:val="fr-FR"/>
        </w:rPr>
        <w:t xml:space="preserve">(UNEP/MC/COP.3/INF/11), la Conférence des Parties souhaitera peut-être </w:t>
      </w:r>
      <w:r w:rsidR="008D2038">
        <w:rPr>
          <w:lang w:val="fr-FR"/>
        </w:rPr>
        <w:t>envisag</w:t>
      </w:r>
      <w:r>
        <w:rPr>
          <w:lang w:val="fr-FR"/>
        </w:rPr>
        <w:t>er une</w:t>
      </w:r>
      <w:r w:rsidR="005064FA">
        <w:rPr>
          <w:lang w:val="fr-FR"/>
        </w:rPr>
        <w:t> </w:t>
      </w:r>
      <w:r>
        <w:rPr>
          <w:lang w:val="fr-FR"/>
        </w:rPr>
        <w:t>décision s</w:t>
      </w:r>
      <w:r w:rsidR="0058158D">
        <w:rPr>
          <w:lang w:val="fr-FR"/>
        </w:rPr>
        <w:t>’</w:t>
      </w:r>
      <w:r>
        <w:rPr>
          <w:lang w:val="fr-FR"/>
        </w:rPr>
        <w:t>inspirant du projet de décision reproduit dans l</w:t>
      </w:r>
      <w:r w:rsidR="0058158D">
        <w:rPr>
          <w:lang w:val="fr-FR"/>
        </w:rPr>
        <w:t>’</w:t>
      </w:r>
      <w:r>
        <w:rPr>
          <w:lang w:val="fr-FR"/>
        </w:rPr>
        <w:t>annexe I de la présente note.</w:t>
      </w:r>
    </w:p>
    <w:p w14:paraId="3CCE6D0D" w14:textId="77777777" w:rsidR="00E239CA" w:rsidRDefault="00E239CA" w:rsidP="00430669">
      <w:pPr>
        <w:pStyle w:val="ZZAnxheader"/>
        <w:sectPr w:rsidR="00E239CA" w:rsidSect="00E239CA">
          <w:headerReference w:type="even" r:id="rId14"/>
          <w:headerReference w:type="default" r:id="rId15"/>
          <w:footerReference w:type="even" r:id="rId16"/>
          <w:footerReference w:type="default" r:id="rId17"/>
          <w:footerReference w:type="first" r:id="rId18"/>
          <w:type w:val="continuous"/>
          <w:pgSz w:w="11906" w:h="16838" w:code="9"/>
          <w:pgMar w:top="907" w:right="992" w:bottom="1418" w:left="1418" w:header="539" w:footer="975" w:gutter="0"/>
          <w:cols w:space="539"/>
          <w:titlePg/>
          <w:docGrid w:linePitch="360"/>
        </w:sectPr>
      </w:pPr>
    </w:p>
    <w:p w14:paraId="2CA3D4B1" w14:textId="0CE809D8" w:rsidR="000A19CD" w:rsidRPr="00CC64D9" w:rsidRDefault="000A19CD" w:rsidP="00430669">
      <w:pPr>
        <w:pStyle w:val="ZZAnxheader"/>
        <w:rPr>
          <w:lang w:val="fr-FR"/>
        </w:rPr>
      </w:pPr>
      <w:r w:rsidRPr="00430669">
        <w:lastRenderedPageBreak/>
        <w:t>Annexe</w:t>
      </w:r>
      <w:r>
        <w:rPr>
          <w:lang w:val="fr-FR"/>
        </w:rPr>
        <w:t xml:space="preserve"> I</w:t>
      </w:r>
    </w:p>
    <w:p w14:paraId="0365FA38" w14:textId="06843D14" w:rsidR="00A70083" w:rsidRPr="00CC64D9" w:rsidRDefault="000A19CD" w:rsidP="00430669">
      <w:pPr>
        <w:pStyle w:val="ZZAnxtitle"/>
        <w:rPr>
          <w:lang w:val="fr-FR"/>
        </w:rPr>
      </w:pPr>
      <w:r w:rsidRPr="00430669">
        <w:t>Projet</w:t>
      </w:r>
      <w:r>
        <w:rPr>
          <w:lang w:val="fr-FR"/>
        </w:rPr>
        <w:t xml:space="preserve"> de décision MC</w:t>
      </w:r>
      <w:r w:rsidR="00D16221">
        <w:rPr>
          <w:lang w:val="fr-FR"/>
        </w:rPr>
        <w:t>-</w:t>
      </w:r>
      <w:r>
        <w:rPr>
          <w:lang w:val="fr-FR"/>
        </w:rPr>
        <w:t xml:space="preserve">3[--] : </w:t>
      </w:r>
      <w:r w:rsidR="005064FA">
        <w:rPr>
          <w:lang w:val="fr-FR"/>
        </w:rPr>
        <w:t>P</w:t>
      </w:r>
      <w:r>
        <w:rPr>
          <w:lang w:val="fr-FR"/>
        </w:rPr>
        <w:t>rogramme de travail et budget pour</w:t>
      </w:r>
      <w:r w:rsidR="005064FA">
        <w:rPr>
          <w:lang w:val="fr-FR"/>
        </w:rPr>
        <w:t> </w:t>
      </w:r>
      <w:r>
        <w:rPr>
          <w:lang w:val="fr-FR"/>
        </w:rPr>
        <w:t>l</w:t>
      </w:r>
      <w:r w:rsidR="0058158D">
        <w:rPr>
          <w:lang w:val="fr-FR"/>
        </w:rPr>
        <w:t>’</w:t>
      </w:r>
      <w:r>
        <w:rPr>
          <w:lang w:val="fr-FR"/>
        </w:rPr>
        <w:t>exercice biennal</w:t>
      </w:r>
      <w:r w:rsidR="00CC64D9">
        <w:rPr>
          <w:lang w:val="fr-FR"/>
        </w:rPr>
        <w:t> </w:t>
      </w:r>
      <w:r w:rsidR="003C11AD">
        <w:rPr>
          <w:lang w:val="fr-FR"/>
        </w:rPr>
        <w:t>2020–2021</w:t>
      </w:r>
    </w:p>
    <w:p w14:paraId="15B33064" w14:textId="7F1D888D" w:rsidR="00A70083" w:rsidRPr="00430669" w:rsidRDefault="00430669" w:rsidP="00430669">
      <w:pPr>
        <w:pStyle w:val="NormalNonumber"/>
        <w:rPr>
          <w:i/>
        </w:rPr>
      </w:pPr>
      <w:r>
        <w:tab/>
      </w:r>
      <w:r w:rsidR="000A19CD" w:rsidRPr="00430669">
        <w:rPr>
          <w:i/>
        </w:rPr>
        <w:t>La Conférence des Parties,</w:t>
      </w:r>
    </w:p>
    <w:p w14:paraId="55C3E9F4" w14:textId="745CE031" w:rsidR="000A19CD" w:rsidRPr="00CC64D9" w:rsidRDefault="00430669" w:rsidP="00430669">
      <w:pPr>
        <w:pStyle w:val="NormalNonumber"/>
        <w:rPr>
          <w:lang w:val="fr-FR"/>
        </w:rPr>
      </w:pPr>
      <w:r>
        <w:rPr>
          <w:i/>
          <w:iCs/>
          <w:lang w:val="fr-FR"/>
        </w:rPr>
        <w:tab/>
      </w:r>
      <w:r w:rsidR="000A19CD">
        <w:rPr>
          <w:i/>
          <w:iCs/>
          <w:lang w:val="fr-FR"/>
        </w:rPr>
        <w:t xml:space="preserve">Rappelant </w:t>
      </w:r>
      <w:r w:rsidR="000A19CD">
        <w:rPr>
          <w:lang w:val="fr-FR"/>
        </w:rPr>
        <w:t>sa décision</w:t>
      </w:r>
      <w:r w:rsidR="00CC64D9">
        <w:rPr>
          <w:lang w:val="fr-FR"/>
        </w:rPr>
        <w:t> </w:t>
      </w:r>
      <w:r w:rsidR="000A19CD">
        <w:rPr>
          <w:lang w:val="fr-FR"/>
        </w:rPr>
        <w:t>MC-1/15 sur le programme de travail du secrétariat et le projet de budget pour l</w:t>
      </w:r>
      <w:r w:rsidR="0058158D">
        <w:rPr>
          <w:lang w:val="fr-FR"/>
        </w:rPr>
        <w:t>’</w:t>
      </w:r>
      <w:r w:rsidR="000A19CD">
        <w:rPr>
          <w:lang w:val="fr-FR"/>
        </w:rPr>
        <w:t>exercice biennal</w:t>
      </w:r>
      <w:r w:rsidR="00CC64D9">
        <w:rPr>
          <w:lang w:val="fr-FR"/>
        </w:rPr>
        <w:t> </w:t>
      </w:r>
      <w:r w:rsidR="007C7196">
        <w:rPr>
          <w:lang w:val="fr-FR"/>
        </w:rPr>
        <w:t>2018–2019</w:t>
      </w:r>
      <w:r w:rsidR="000A19CD">
        <w:rPr>
          <w:lang w:val="fr-FR"/>
        </w:rPr>
        <w:t>,</w:t>
      </w:r>
    </w:p>
    <w:p w14:paraId="011BF63A" w14:textId="68294F05" w:rsidR="0007408F" w:rsidRPr="00CC64D9" w:rsidRDefault="00430669" w:rsidP="00430669">
      <w:pPr>
        <w:pStyle w:val="NormalNonumber"/>
        <w:rPr>
          <w:lang w:val="fr-FR"/>
        </w:rPr>
      </w:pPr>
      <w:r>
        <w:rPr>
          <w:i/>
          <w:iCs/>
          <w:lang w:val="fr-FR"/>
        </w:rPr>
        <w:tab/>
      </w:r>
      <w:r w:rsidR="0007408F">
        <w:rPr>
          <w:i/>
          <w:iCs/>
          <w:lang w:val="fr-FR"/>
        </w:rPr>
        <w:t xml:space="preserve">Rappelant également </w:t>
      </w:r>
      <w:r w:rsidR="0007408F">
        <w:rPr>
          <w:lang w:val="fr-FR"/>
        </w:rPr>
        <w:t>sa décision</w:t>
      </w:r>
      <w:r w:rsidR="00CC64D9">
        <w:rPr>
          <w:lang w:val="fr-FR"/>
        </w:rPr>
        <w:t> </w:t>
      </w:r>
      <w:r w:rsidR="0007408F">
        <w:rPr>
          <w:lang w:val="fr-FR"/>
        </w:rPr>
        <w:t>MC-2/12 sur l</w:t>
      </w:r>
      <w:r w:rsidR="0058158D">
        <w:rPr>
          <w:lang w:val="fr-FR"/>
        </w:rPr>
        <w:t>’</w:t>
      </w:r>
      <w:r w:rsidR="0007408F">
        <w:rPr>
          <w:lang w:val="fr-FR"/>
        </w:rPr>
        <w:t>actualisation du budget pour 2019,</w:t>
      </w:r>
    </w:p>
    <w:p w14:paraId="74F849BC" w14:textId="2D659BA9" w:rsidR="0007408F" w:rsidRPr="00CC64D9" w:rsidRDefault="00430669" w:rsidP="00430669">
      <w:pPr>
        <w:pStyle w:val="NormalNonumber"/>
        <w:rPr>
          <w:i/>
          <w:iCs/>
          <w:lang w:val="fr-FR"/>
        </w:rPr>
      </w:pPr>
      <w:r>
        <w:rPr>
          <w:i/>
          <w:iCs/>
          <w:lang w:val="fr-FR"/>
        </w:rPr>
        <w:tab/>
      </w:r>
      <w:r w:rsidR="0007408F">
        <w:rPr>
          <w:i/>
          <w:iCs/>
          <w:lang w:val="fr-FR"/>
        </w:rPr>
        <w:t>Se félicitant</w:t>
      </w:r>
      <w:r w:rsidR="0007408F">
        <w:rPr>
          <w:lang w:val="fr-FR"/>
        </w:rPr>
        <w:t xml:space="preserve"> des efforts déployés par la Directrice exécutive du Programme des </w:t>
      </w:r>
      <w:r w:rsidR="006D45E7">
        <w:rPr>
          <w:lang w:val="fr-FR"/>
        </w:rPr>
        <w:t>Nations Unies</w:t>
      </w:r>
      <w:r w:rsidR="0007408F">
        <w:rPr>
          <w:lang w:val="fr-FR"/>
        </w:rPr>
        <w:t xml:space="preserve"> pour l</w:t>
      </w:r>
      <w:r w:rsidR="0058158D">
        <w:rPr>
          <w:lang w:val="fr-FR"/>
        </w:rPr>
        <w:t>’</w:t>
      </w:r>
      <w:r w:rsidR="0007408F">
        <w:rPr>
          <w:lang w:val="fr-FR"/>
        </w:rPr>
        <w:t>environnement pour élaborer, comme demandé au paragraphe</w:t>
      </w:r>
      <w:r w:rsidR="00CC64D9">
        <w:rPr>
          <w:lang w:val="fr-FR"/>
        </w:rPr>
        <w:t> </w:t>
      </w:r>
      <w:r w:rsidR="0007408F">
        <w:rPr>
          <w:lang w:val="fr-FR"/>
        </w:rPr>
        <w:t>1 de la décision</w:t>
      </w:r>
      <w:r w:rsidR="00CC64D9">
        <w:rPr>
          <w:lang w:val="fr-FR"/>
        </w:rPr>
        <w:t> </w:t>
      </w:r>
      <w:r w:rsidR="0007408F">
        <w:rPr>
          <w:lang w:val="fr-FR"/>
        </w:rPr>
        <w:t xml:space="preserve">MC-2/7, </w:t>
      </w:r>
      <w:r w:rsidR="005E16FC" w:rsidRPr="005E16FC">
        <w:rPr>
          <w:lang w:val="fr-FR"/>
        </w:rPr>
        <w:t>une</w:t>
      </w:r>
      <w:r w:rsidR="007B292B">
        <w:rPr>
          <w:lang w:val="fr-FR"/>
        </w:rPr>
        <w:t> </w:t>
      </w:r>
      <w:r w:rsidR="005E16FC" w:rsidRPr="005E16FC">
        <w:rPr>
          <w:lang w:val="fr-FR"/>
        </w:rPr>
        <w:t xml:space="preserve">proposition </w:t>
      </w:r>
      <w:r w:rsidR="005E16FC">
        <w:rPr>
          <w:lang w:val="fr-FR"/>
        </w:rPr>
        <w:t>permettant de</w:t>
      </w:r>
      <w:r w:rsidR="0007408F">
        <w:rPr>
          <w:lang w:val="fr-FR"/>
        </w:rPr>
        <w:t xml:space="preserve"> maximiser l</w:t>
      </w:r>
      <w:r w:rsidR="0058158D">
        <w:rPr>
          <w:lang w:val="fr-FR"/>
        </w:rPr>
        <w:t>’</w:t>
      </w:r>
      <w:r w:rsidR="0007408F">
        <w:rPr>
          <w:lang w:val="fr-FR"/>
        </w:rPr>
        <w:t>utilisation efficace et efficiente des</w:t>
      </w:r>
      <w:r w:rsidR="005064FA">
        <w:rPr>
          <w:lang w:val="fr-FR"/>
        </w:rPr>
        <w:t> </w:t>
      </w:r>
      <w:r w:rsidR="0007408F">
        <w:rPr>
          <w:lang w:val="fr-FR"/>
        </w:rPr>
        <w:t>ressources de la</w:t>
      </w:r>
      <w:r w:rsidR="007B292B">
        <w:rPr>
          <w:lang w:val="fr-FR"/>
        </w:rPr>
        <w:t> </w:t>
      </w:r>
      <w:r w:rsidR="0007408F">
        <w:rPr>
          <w:lang w:val="fr-FR"/>
        </w:rPr>
        <w:t>Convention de Minamata</w:t>
      </w:r>
      <w:r w:rsidR="006A4B8A">
        <w:rPr>
          <w:lang w:val="fr-FR"/>
        </w:rPr>
        <w:t>,</w:t>
      </w:r>
    </w:p>
    <w:p w14:paraId="57F31878" w14:textId="73C92F20" w:rsidR="000A19CD" w:rsidRPr="00D816DC" w:rsidRDefault="00430669" w:rsidP="00430669">
      <w:pPr>
        <w:pStyle w:val="NormalNonumber"/>
        <w:rPr>
          <w:lang w:val="fr-FR"/>
        </w:rPr>
      </w:pPr>
      <w:r>
        <w:rPr>
          <w:i/>
          <w:iCs/>
          <w:lang w:val="fr-FR"/>
        </w:rPr>
        <w:tab/>
      </w:r>
      <w:r w:rsidR="000A19CD">
        <w:rPr>
          <w:i/>
          <w:iCs/>
          <w:lang w:val="fr-FR"/>
        </w:rPr>
        <w:t xml:space="preserve">Se félicitant également </w:t>
      </w:r>
      <w:r w:rsidR="000A19CD">
        <w:rPr>
          <w:lang w:val="fr-FR"/>
        </w:rPr>
        <w:t>de la contribution annuelle de la Suisse, qui accueille le secrétariat, d</w:t>
      </w:r>
      <w:r w:rsidR="0058158D">
        <w:rPr>
          <w:lang w:val="fr-FR"/>
        </w:rPr>
        <w:t>’</w:t>
      </w:r>
      <w:r w:rsidR="000A19CD">
        <w:rPr>
          <w:lang w:val="fr-FR"/>
        </w:rPr>
        <w:t>un</w:t>
      </w:r>
      <w:r w:rsidR="005064FA">
        <w:rPr>
          <w:lang w:val="fr-FR"/>
        </w:rPr>
        <w:t> </w:t>
      </w:r>
      <w:r w:rsidR="000A19CD">
        <w:rPr>
          <w:lang w:val="fr-FR"/>
        </w:rPr>
        <w:t>montant d</w:t>
      </w:r>
      <w:r w:rsidR="0058158D">
        <w:rPr>
          <w:lang w:val="fr-FR"/>
        </w:rPr>
        <w:t>’</w:t>
      </w:r>
      <w:r w:rsidR="000A19CD">
        <w:rPr>
          <w:lang w:val="fr-FR"/>
        </w:rPr>
        <w:t>un million de francs suisses, qui est réparti à raison de 60</w:t>
      </w:r>
      <w:r w:rsidR="00CC64D9">
        <w:rPr>
          <w:lang w:val="fr-FR"/>
        </w:rPr>
        <w:t> </w:t>
      </w:r>
      <w:r w:rsidR="000A19CD">
        <w:rPr>
          <w:lang w:val="fr-FR"/>
        </w:rPr>
        <w:t xml:space="preserve">% au </w:t>
      </w:r>
      <w:r w:rsidR="00DB6834">
        <w:rPr>
          <w:lang w:val="fr-FR"/>
        </w:rPr>
        <w:t>Fonds général d</w:t>
      </w:r>
      <w:r w:rsidR="0058158D">
        <w:rPr>
          <w:lang w:val="fr-FR"/>
        </w:rPr>
        <w:t>’</w:t>
      </w:r>
      <w:r w:rsidR="00DB6834">
        <w:rPr>
          <w:lang w:val="fr-FR"/>
        </w:rPr>
        <w:t>affectation spéciale</w:t>
      </w:r>
      <w:r w:rsidR="000A19CD">
        <w:rPr>
          <w:lang w:val="fr-FR"/>
        </w:rPr>
        <w:t xml:space="preserve"> et de 40</w:t>
      </w:r>
      <w:r w:rsidR="00CC64D9">
        <w:rPr>
          <w:lang w:val="fr-FR"/>
        </w:rPr>
        <w:t> </w:t>
      </w:r>
      <w:r w:rsidR="000A19CD">
        <w:rPr>
          <w:lang w:val="fr-FR"/>
        </w:rPr>
        <w:t xml:space="preserve">% au </w:t>
      </w:r>
      <w:r w:rsidR="00DB6834">
        <w:rPr>
          <w:lang w:val="fr-FR"/>
        </w:rPr>
        <w:t>Fonds d</w:t>
      </w:r>
      <w:r w:rsidR="0058158D">
        <w:rPr>
          <w:lang w:val="fr-FR"/>
        </w:rPr>
        <w:t>’</w:t>
      </w:r>
      <w:r w:rsidR="00DB6834">
        <w:rPr>
          <w:lang w:val="fr-FR"/>
        </w:rPr>
        <w:t>affectation spéciale à des fins déterminées</w:t>
      </w:r>
      <w:r w:rsidR="000A19CD">
        <w:rPr>
          <w:lang w:val="fr-FR"/>
        </w:rPr>
        <w:t xml:space="preserve"> et qui doit servir en priorité à</w:t>
      </w:r>
      <w:r w:rsidR="005064FA">
        <w:rPr>
          <w:lang w:val="fr-FR"/>
        </w:rPr>
        <w:t> </w:t>
      </w:r>
      <w:r w:rsidR="000A19CD">
        <w:rPr>
          <w:lang w:val="fr-FR"/>
        </w:rPr>
        <w:t>faciliter la participation de représentant(e)s de pays en développement à ses</w:t>
      </w:r>
      <w:r w:rsidR="007C7196">
        <w:rPr>
          <w:lang w:val="fr-FR"/>
        </w:rPr>
        <w:t> </w:t>
      </w:r>
      <w:r w:rsidR="000A19CD">
        <w:rPr>
          <w:lang w:val="fr-FR"/>
        </w:rPr>
        <w:t>réunions,</w:t>
      </w:r>
    </w:p>
    <w:p w14:paraId="23FEA3D7" w14:textId="6605E749" w:rsidR="00D613A4" w:rsidRPr="00CC64D9" w:rsidRDefault="00430669" w:rsidP="00430669">
      <w:pPr>
        <w:pStyle w:val="NormalNonumber"/>
        <w:rPr>
          <w:lang w:val="fr-FR"/>
        </w:rPr>
      </w:pPr>
      <w:r>
        <w:rPr>
          <w:i/>
          <w:iCs/>
          <w:lang w:val="fr-FR"/>
        </w:rPr>
        <w:tab/>
      </w:r>
      <w:r w:rsidR="0007408F">
        <w:rPr>
          <w:i/>
          <w:iCs/>
          <w:lang w:val="fr-FR"/>
        </w:rPr>
        <w:t>Prenant note</w:t>
      </w:r>
      <w:r w:rsidR="0007408F">
        <w:rPr>
          <w:lang w:val="fr-FR"/>
        </w:rPr>
        <w:t xml:space="preserve"> des contributions au </w:t>
      </w:r>
      <w:r w:rsidR="00DB6834">
        <w:rPr>
          <w:lang w:val="fr-FR"/>
        </w:rPr>
        <w:t>Fonds général d</w:t>
      </w:r>
      <w:r w:rsidR="0058158D">
        <w:rPr>
          <w:lang w:val="fr-FR"/>
        </w:rPr>
        <w:t>’</w:t>
      </w:r>
      <w:r w:rsidR="00DB6834">
        <w:rPr>
          <w:lang w:val="fr-FR"/>
        </w:rPr>
        <w:t>affectation spéciale</w:t>
      </w:r>
      <w:r w:rsidR="0007408F">
        <w:rPr>
          <w:lang w:val="fr-FR"/>
        </w:rPr>
        <w:t xml:space="preserve"> versées par les Parties,</w:t>
      </w:r>
    </w:p>
    <w:p w14:paraId="1B8B2766" w14:textId="4B414C93" w:rsidR="00175427" w:rsidRPr="00CC64D9" w:rsidRDefault="00430669" w:rsidP="00430669">
      <w:pPr>
        <w:pStyle w:val="NormalNonumber"/>
        <w:rPr>
          <w:lang w:val="fr-FR"/>
        </w:rPr>
      </w:pPr>
      <w:r>
        <w:rPr>
          <w:i/>
          <w:iCs/>
          <w:lang w:val="fr-FR"/>
        </w:rPr>
        <w:tab/>
      </w:r>
      <w:r w:rsidR="00175427">
        <w:rPr>
          <w:i/>
          <w:iCs/>
          <w:lang w:val="fr-FR"/>
        </w:rPr>
        <w:t xml:space="preserve">Constatant </w:t>
      </w:r>
      <w:r w:rsidR="00175427">
        <w:rPr>
          <w:lang w:val="fr-FR"/>
        </w:rPr>
        <w:t xml:space="preserve">que le montant total de la réserve </w:t>
      </w:r>
      <w:r w:rsidR="008F3C4E">
        <w:rPr>
          <w:lang w:val="fr-FR"/>
        </w:rPr>
        <w:t>de trésorerie</w:t>
      </w:r>
      <w:r w:rsidR="00175427">
        <w:rPr>
          <w:lang w:val="fr-FR"/>
        </w:rPr>
        <w:t xml:space="preserve"> de la Convention dans le</w:t>
      </w:r>
      <w:r w:rsidR="005064FA">
        <w:rPr>
          <w:lang w:val="fr-FR"/>
        </w:rPr>
        <w:t> </w:t>
      </w:r>
      <w:r w:rsidR="00DB6834">
        <w:rPr>
          <w:lang w:val="fr-FR"/>
        </w:rPr>
        <w:t>Fonds général d</w:t>
      </w:r>
      <w:r w:rsidR="0058158D">
        <w:rPr>
          <w:lang w:val="fr-FR"/>
        </w:rPr>
        <w:t>’</w:t>
      </w:r>
      <w:r w:rsidR="00DB6834">
        <w:rPr>
          <w:lang w:val="fr-FR"/>
        </w:rPr>
        <w:t>affectation spéciale</w:t>
      </w:r>
      <w:r w:rsidR="00175427">
        <w:rPr>
          <w:lang w:val="fr-FR"/>
        </w:rPr>
        <w:t xml:space="preserve"> a été constitué en 2018,</w:t>
      </w:r>
    </w:p>
    <w:p w14:paraId="459328A2" w14:textId="0356CCC0" w:rsidR="00A70083" w:rsidRPr="00CC64D9" w:rsidRDefault="00430669" w:rsidP="00430669">
      <w:pPr>
        <w:pStyle w:val="NormalNonumber"/>
        <w:rPr>
          <w:lang w:val="fr-FR"/>
        </w:rPr>
      </w:pPr>
      <w:r>
        <w:rPr>
          <w:i/>
          <w:iCs/>
          <w:lang w:val="fr-FR"/>
        </w:rPr>
        <w:tab/>
      </w:r>
      <w:r w:rsidR="00483932">
        <w:rPr>
          <w:i/>
          <w:iCs/>
          <w:lang w:val="fr-FR"/>
        </w:rPr>
        <w:t>Constatant avec satisfaction</w:t>
      </w:r>
      <w:r w:rsidR="00483932">
        <w:rPr>
          <w:lang w:val="fr-FR"/>
        </w:rPr>
        <w:t xml:space="preserve"> les contributions et les annonces de contributions au </w:t>
      </w:r>
      <w:r w:rsidR="00DB6834">
        <w:rPr>
          <w:lang w:val="fr-FR"/>
        </w:rPr>
        <w:t>Fonds d</w:t>
      </w:r>
      <w:r w:rsidR="0058158D">
        <w:rPr>
          <w:lang w:val="fr-FR"/>
        </w:rPr>
        <w:t>’</w:t>
      </w:r>
      <w:r w:rsidR="00DB6834">
        <w:rPr>
          <w:lang w:val="fr-FR"/>
        </w:rPr>
        <w:t>affectation spéciale à des fins déterminées</w:t>
      </w:r>
      <w:r w:rsidR="00483932">
        <w:rPr>
          <w:lang w:val="fr-FR"/>
        </w:rPr>
        <w:t xml:space="preserve"> faites par l</w:t>
      </w:r>
      <w:r w:rsidR="0058158D">
        <w:rPr>
          <w:lang w:val="fr-FR"/>
        </w:rPr>
        <w:t>’</w:t>
      </w:r>
      <w:r w:rsidR="00483932">
        <w:rPr>
          <w:lang w:val="fr-FR"/>
        </w:rPr>
        <w:t>Autriche, la Finlande, la France, le Japon, la</w:t>
      </w:r>
      <w:r w:rsidR="007B292B">
        <w:rPr>
          <w:lang w:val="fr-FR"/>
        </w:rPr>
        <w:t> </w:t>
      </w:r>
      <w:r w:rsidR="00483932">
        <w:rPr>
          <w:lang w:val="fr-FR"/>
        </w:rPr>
        <w:t>Norvège, les</w:t>
      </w:r>
      <w:r w:rsidR="005064FA">
        <w:rPr>
          <w:lang w:val="fr-FR"/>
        </w:rPr>
        <w:t> </w:t>
      </w:r>
      <w:r w:rsidR="00483932">
        <w:rPr>
          <w:lang w:val="fr-FR"/>
        </w:rPr>
        <w:t xml:space="preserve">Philippines, </w:t>
      </w:r>
      <w:r w:rsidR="007C7196">
        <w:rPr>
          <w:lang w:val="fr-FR"/>
        </w:rPr>
        <w:t xml:space="preserve">la Suède, </w:t>
      </w:r>
      <w:r w:rsidR="00483932">
        <w:rPr>
          <w:lang w:val="fr-FR"/>
        </w:rPr>
        <w:t>la Suisse et l</w:t>
      </w:r>
      <w:r w:rsidR="0058158D">
        <w:rPr>
          <w:lang w:val="fr-FR"/>
        </w:rPr>
        <w:t>’</w:t>
      </w:r>
      <w:r w:rsidR="00483932">
        <w:rPr>
          <w:lang w:val="fr-FR"/>
        </w:rPr>
        <w:t xml:space="preserve">Union européenne </w:t>
      </w:r>
      <w:r w:rsidR="008F3C4E">
        <w:rPr>
          <w:lang w:val="fr-FR"/>
        </w:rPr>
        <w:t>au cours de</w:t>
      </w:r>
      <w:r w:rsidR="00483932">
        <w:rPr>
          <w:lang w:val="fr-FR"/>
        </w:rPr>
        <w:t xml:space="preserve"> l</w:t>
      </w:r>
      <w:r w:rsidR="0058158D">
        <w:rPr>
          <w:lang w:val="fr-FR"/>
        </w:rPr>
        <w:t>’</w:t>
      </w:r>
      <w:r w:rsidR="00483932">
        <w:rPr>
          <w:lang w:val="fr-FR"/>
        </w:rPr>
        <w:t>exercice biennal</w:t>
      </w:r>
      <w:r w:rsidR="00CC64D9">
        <w:rPr>
          <w:lang w:val="fr-FR"/>
        </w:rPr>
        <w:t> </w:t>
      </w:r>
      <w:r w:rsidR="007C7196">
        <w:rPr>
          <w:lang w:val="fr-FR"/>
        </w:rPr>
        <w:t>2018–2019</w:t>
      </w:r>
      <w:r w:rsidR="00483932">
        <w:rPr>
          <w:lang w:val="fr-FR"/>
        </w:rPr>
        <w:t>,</w:t>
      </w:r>
    </w:p>
    <w:p w14:paraId="09436366" w14:textId="31D1B623" w:rsidR="00B7286C" w:rsidRPr="00CC64D9" w:rsidRDefault="00430669" w:rsidP="00430669">
      <w:pPr>
        <w:pStyle w:val="NormalNonumber"/>
        <w:rPr>
          <w:lang w:val="fr-FR"/>
        </w:rPr>
      </w:pPr>
      <w:r>
        <w:rPr>
          <w:i/>
          <w:iCs/>
          <w:lang w:val="fr-FR"/>
        </w:rPr>
        <w:tab/>
      </w:r>
      <w:r w:rsidR="00340E98">
        <w:rPr>
          <w:i/>
          <w:iCs/>
          <w:lang w:val="fr-FR"/>
        </w:rPr>
        <w:t>Constatant également avec satisfaction</w:t>
      </w:r>
      <w:r w:rsidR="00340E98">
        <w:rPr>
          <w:lang w:val="fr-FR"/>
        </w:rPr>
        <w:t xml:space="preserve"> les contributions et les annonces de contributions au</w:t>
      </w:r>
      <w:r w:rsidR="005064FA">
        <w:rPr>
          <w:lang w:val="fr-FR"/>
        </w:rPr>
        <w:t xml:space="preserve"> </w:t>
      </w:r>
      <w:r w:rsidR="00DB6834">
        <w:rPr>
          <w:lang w:val="fr-FR"/>
        </w:rPr>
        <w:t>Fonds d</w:t>
      </w:r>
      <w:r w:rsidR="0058158D">
        <w:rPr>
          <w:lang w:val="fr-FR"/>
        </w:rPr>
        <w:t>’</w:t>
      </w:r>
      <w:r w:rsidR="00DB6834">
        <w:rPr>
          <w:lang w:val="fr-FR"/>
        </w:rPr>
        <w:t>affectation spéciale particulier</w:t>
      </w:r>
      <w:r w:rsidR="00340E98">
        <w:rPr>
          <w:lang w:val="fr-FR"/>
        </w:rPr>
        <w:t xml:space="preserve"> faites par l</w:t>
      </w:r>
      <w:r w:rsidR="0058158D">
        <w:rPr>
          <w:lang w:val="fr-FR"/>
        </w:rPr>
        <w:t>’</w:t>
      </w:r>
      <w:r w:rsidR="00340E98">
        <w:rPr>
          <w:lang w:val="fr-FR"/>
        </w:rPr>
        <w:t>Allemagne, l</w:t>
      </w:r>
      <w:r w:rsidR="0058158D">
        <w:rPr>
          <w:lang w:val="fr-FR"/>
        </w:rPr>
        <w:t>’</w:t>
      </w:r>
      <w:r w:rsidR="00340E98">
        <w:rPr>
          <w:lang w:val="fr-FR"/>
        </w:rPr>
        <w:t>Autriche, le Danemark, les États-Unis d</w:t>
      </w:r>
      <w:r w:rsidR="0058158D">
        <w:rPr>
          <w:lang w:val="fr-FR"/>
        </w:rPr>
        <w:t>’</w:t>
      </w:r>
      <w:r w:rsidR="00340E98">
        <w:rPr>
          <w:lang w:val="fr-FR"/>
        </w:rPr>
        <w:t>Amérique, la Norvège, les Pays-Bas</w:t>
      </w:r>
      <w:r w:rsidR="002839DD">
        <w:rPr>
          <w:lang w:val="fr-FR"/>
        </w:rPr>
        <w:t xml:space="preserve"> et</w:t>
      </w:r>
      <w:r w:rsidR="00340E98">
        <w:rPr>
          <w:lang w:val="fr-FR"/>
        </w:rPr>
        <w:t xml:space="preserve"> le Royaume-Uni de Grande-Bretagne et d</w:t>
      </w:r>
      <w:r w:rsidR="0058158D">
        <w:rPr>
          <w:lang w:val="fr-FR"/>
        </w:rPr>
        <w:t>’</w:t>
      </w:r>
      <w:r w:rsidR="00340E98">
        <w:rPr>
          <w:lang w:val="fr-FR"/>
        </w:rPr>
        <w:t xml:space="preserve">Irlande du Nord </w:t>
      </w:r>
      <w:r w:rsidR="008F3C4E">
        <w:rPr>
          <w:lang w:val="fr-FR"/>
        </w:rPr>
        <w:t>au</w:t>
      </w:r>
      <w:r w:rsidR="002839DD">
        <w:rPr>
          <w:lang w:val="fr-FR"/>
        </w:rPr>
        <w:t> </w:t>
      </w:r>
      <w:r w:rsidR="008F3C4E">
        <w:rPr>
          <w:lang w:val="fr-FR"/>
        </w:rPr>
        <w:t>cours de</w:t>
      </w:r>
      <w:r w:rsidR="00340E98">
        <w:rPr>
          <w:lang w:val="fr-FR"/>
        </w:rPr>
        <w:t xml:space="preserve"> l</w:t>
      </w:r>
      <w:r w:rsidR="0058158D">
        <w:rPr>
          <w:lang w:val="fr-FR"/>
        </w:rPr>
        <w:t>’</w:t>
      </w:r>
      <w:r w:rsidR="00340E98">
        <w:rPr>
          <w:lang w:val="fr-FR"/>
        </w:rPr>
        <w:t>exercice biennal</w:t>
      </w:r>
      <w:r w:rsidR="00CC64D9">
        <w:rPr>
          <w:lang w:val="fr-FR"/>
        </w:rPr>
        <w:t> </w:t>
      </w:r>
      <w:r w:rsidR="007C7196">
        <w:rPr>
          <w:lang w:val="fr-FR"/>
        </w:rPr>
        <w:t>2018–2019</w:t>
      </w:r>
      <w:r w:rsidR="00340E98">
        <w:rPr>
          <w:lang w:val="fr-FR"/>
        </w:rPr>
        <w:t>,</w:t>
      </w:r>
    </w:p>
    <w:p w14:paraId="29FFC218" w14:textId="03C1953F" w:rsidR="00175427" w:rsidRPr="00CC64D9" w:rsidRDefault="00430669" w:rsidP="00430669">
      <w:pPr>
        <w:pStyle w:val="NormalNonumber"/>
        <w:rPr>
          <w:i/>
          <w:iCs/>
          <w:lang w:val="fr-FR"/>
        </w:rPr>
      </w:pPr>
      <w:r>
        <w:rPr>
          <w:i/>
          <w:iCs/>
          <w:lang w:val="fr-FR"/>
        </w:rPr>
        <w:tab/>
      </w:r>
      <w:r w:rsidR="00175427">
        <w:rPr>
          <w:i/>
          <w:iCs/>
          <w:lang w:val="fr-FR"/>
        </w:rPr>
        <w:t xml:space="preserve">Rappelant </w:t>
      </w:r>
      <w:r w:rsidR="00175427">
        <w:rPr>
          <w:lang w:val="fr-FR"/>
        </w:rPr>
        <w:t>qu</w:t>
      </w:r>
      <w:r w:rsidR="0058158D">
        <w:rPr>
          <w:lang w:val="fr-FR"/>
        </w:rPr>
        <w:t>’</w:t>
      </w:r>
      <w:r w:rsidR="00175427">
        <w:rPr>
          <w:lang w:val="fr-FR"/>
        </w:rPr>
        <w:t>elle a prié la Secrétaire exécutive d</w:t>
      </w:r>
      <w:r w:rsidR="0058158D">
        <w:rPr>
          <w:lang w:val="fr-FR"/>
        </w:rPr>
        <w:t>’</w:t>
      </w:r>
      <w:r w:rsidR="00175427">
        <w:rPr>
          <w:lang w:val="fr-FR"/>
        </w:rPr>
        <w:t>établir un budget pour l</w:t>
      </w:r>
      <w:r w:rsidR="0058158D">
        <w:rPr>
          <w:lang w:val="fr-FR"/>
        </w:rPr>
        <w:t>’</w:t>
      </w:r>
      <w:r w:rsidR="00175427">
        <w:rPr>
          <w:lang w:val="fr-FR"/>
        </w:rPr>
        <w:t>exercice biennal</w:t>
      </w:r>
      <w:r w:rsidR="00CC64D9">
        <w:rPr>
          <w:lang w:val="fr-FR"/>
        </w:rPr>
        <w:t> </w:t>
      </w:r>
      <w:r w:rsidR="003C11AD">
        <w:rPr>
          <w:lang w:val="fr-FR"/>
        </w:rPr>
        <w:t>2020–2021</w:t>
      </w:r>
      <w:r w:rsidR="00175427">
        <w:rPr>
          <w:lang w:val="fr-FR"/>
        </w:rPr>
        <w:t>, qu</w:t>
      </w:r>
      <w:r w:rsidR="0058158D">
        <w:rPr>
          <w:lang w:val="fr-FR"/>
        </w:rPr>
        <w:t>’</w:t>
      </w:r>
      <w:r w:rsidR="00175427">
        <w:rPr>
          <w:lang w:val="fr-FR"/>
        </w:rPr>
        <w:t>elle examinera</w:t>
      </w:r>
      <w:r w:rsidR="00E566EE">
        <w:rPr>
          <w:lang w:val="fr-FR"/>
        </w:rPr>
        <w:t>it</w:t>
      </w:r>
      <w:r w:rsidR="00175427">
        <w:rPr>
          <w:lang w:val="fr-FR"/>
        </w:rPr>
        <w:t xml:space="preserve"> à sa troisième réunion en 2019, en expliquant les principes fondamentaux, les hypothèses et la stratégie de programmation sur lesquels repose ce budget et en présentant les dépenses pour cet exercice biennal par programme et par activité inscrite au budget, chaque activité étant accompagnée d</w:t>
      </w:r>
      <w:r w:rsidR="0058158D">
        <w:rPr>
          <w:lang w:val="fr-FR"/>
        </w:rPr>
        <w:t>’</w:t>
      </w:r>
      <w:r w:rsidR="00175427">
        <w:rPr>
          <w:lang w:val="fr-FR"/>
        </w:rPr>
        <w:t>une fiche d</w:t>
      </w:r>
      <w:r w:rsidR="0058158D">
        <w:rPr>
          <w:lang w:val="fr-FR"/>
        </w:rPr>
        <w:t>’</w:t>
      </w:r>
      <w:r w:rsidR="00175427">
        <w:rPr>
          <w:lang w:val="fr-FR"/>
        </w:rPr>
        <w:t>information,</w:t>
      </w:r>
    </w:p>
    <w:p w14:paraId="3111532A" w14:textId="43BC3B1F" w:rsidR="00175427" w:rsidRPr="00CC64D9" w:rsidRDefault="00430669" w:rsidP="00430669">
      <w:pPr>
        <w:pStyle w:val="NormalNonumber"/>
        <w:rPr>
          <w:i/>
          <w:iCs/>
          <w:lang w:val="fr-FR"/>
        </w:rPr>
      </w:pPr>
      <w:r>
        <w:rPr>
          <w:i/>
          <w:iCs/>
          <w:lang w:val="fr-FR"/>
        </w:rPr>
        <w:tab/>
      </w:r>
      <w:r w:rsidR="00175427">
        <w:rPr>
          <w:i/>
          <w:iCs/>
          <w:lang w:val="fr-FR"/>
        </w:rPr>
        <w:t xml:space="preserve">Rappelant également </w:t>
      </w:r>
      <w:r w:rsidR="00175427">
        <w:rPr>
          <w:lang w:val="fr-FR"/>
        </w:rPr>
        <w:t>qu</w:t>
      </w:r>
      <w:r w:rsidR="0058158D">
        <w:rPr>
          <w:lang w:val="fr-FR"/>
        </w:rPr>
        <w:t>’</w:t>
      </w:r>
      <w:r w:rsidR="00175427">
        <w:rPr>
          <w:lang w:val="fr-FR"/>
        </w:rPr>
        <w:t>elle a prié la Secrétaire exécutive, dans le cadre de l</w:t>
      </w:r>
      <w:r w:rsidR="0058158D">
        <w:rPr>
          <w:lang w:val="fr-FR"/>
        </w:rPr>
        <w:t>’</w:t>
      </w:r>
      <w:r w:rsidR="00175427">
        <w:rPr>
          <w:lang w:val="fr-FR"/>
        </w:rPr>
        <w:t>établissement du</w:t>
      </w:r>
      <w:r w:rsidR="005064FA">
        <w:rPr>
          <w:lang w:val="fr-FR"/>
        </w:rPr>
        <w:t> </w:t>
      </w:r>
      <w:r w:rsidR="00175427">
        <w:rPr>
          <w:lang w:val="fr-FR"/>
        </w:rPr>
        <w:t>budget et du programme de travail pour l</w:t>
      </w:r>
      <w:r w:rsidR="0058158D">
        <w:rPr>
          <w:lang w:val="fr-FR"/>
        </w:rPr>
        <w:t>’</w:t>
      </w:r>
      <w:r w:rsidR="00175427">
        <w:rPr>
          <w:lang w:val="fr-FR"/>
        </w:rPr>
        <w:t>exercice biennal</w:t>
      </w:r>
      <w:r w:rsidR="00CC64D9">
        <w:rPr>
          <w:lang w:val="fr-FR"/>
        </w:rPr>
        <w:t> </w:t>
      </w:r>
      <w:r w:rsidR="003C11AD">
        <w:rPr>
          <w:lang w:val="fr-FR"/>
        </w:rPr>
        <w:t>2020–2021</w:t>
      </w:r>
      <w:r w:rsidR="00175427">
        <w:rPr>
          <w:lang w:val="fr-FR"/>
        </w:rPr>
        <w:t xml:space="preserve">, de présenter </w:t>
      </w:r>
      <w:r w:rsidR="003C2572">
        <w:rPr>
          <w:lang w:val="fr-FR"/>
        </w:rPr>
        <w:t>deux </w:t>
      </w:r>
      <w:r w:rsidR="00175427">
        <w:rPr>
          <w:lang w:val="fr-FR"/>
        </w:rPr>
        <w:t>scénarios dont</w:t>
      </w:r>
      <w:r w:rsidR="00CC64D9">
        <w:rPr>
          <w:lang w:val="fr-FR"/>
        </w:rPr>
        <w:t> </w:t>
      </w:r>
      <w:r w:rsidR="00175427">
        <w:rPr>
          <w:lang w:val="fr-FR"/>
        </w:rPr>
        <w:t>:</w:t>
      </w:r>
    </w:p>
    <w:p w14:paraId="6EB753EC" w14:textId="1A1AF6B1" w:rsidR="00A70083" w:rsidRPr="00CC64D9" w:rsidRDefault="00430669" w:rsidP="00430669">
      <w:pPr>
        <w:pStyle w:val="NormalNonumber"/>
        <w:rPr>
          <w:lang w:val="fr-FR"/>
        </w:rPr>
      </w:pPr>
      <w:r>
        <w:rPr>
          <w:lang w:val="fr-FR"/>
        </w:rPr>
        <w:tab/>
        <w:t>a)</w:t>
      </w:r>
      <w:r>
        <w:rPr>
          <w:lang w:val="fr-FR"/>
        </w:rPr>
        <w:tab/>
      </w:r>
      <w:r w:rsidR="00175427">
        <w:rPr>
          <w:lang w:val="fr-FR"/>
        </w:rPr>
        <w:t xml:space="preserve">Un présentant le </w:t>
      </w:r>
      <w:r w:rsidR="007538C7">
        <w:rPr>
          <w:lang w:val="fr-FR"/>
        </w:rPr>
        <w:t>budget opérationnel</w:t>
      </w:r>
      <w:r w:rsidR="006D45E7">
        <w:rPr>
          <w:lang w:val="fr-FR"/>
        </w:rPr>
        <w:t xml:space="preserve"> </w:t>
      </w:r>
      <w:r w:rsidR="00175427">
        <w:rPr>
          <w:lang w:val="fr-FR"/>
        </w:rPr>
        <w:t>maintenu à son niveau de 2019 en valeur nominale</w:t>
      </w:r>
      <w:r w:rsidR="00B56E1F">
        <w:rPr>
          <w:lang w:val="fr-FR"/>
        </w:rPr>
        <w:t> ;</w:t>
      </w:r>
    </w:p>
    <w:p w14:paraId="4B3F1097" w14:textId="2228309D" w:rsidR="00175427" w:rsidRPr="00CC64D9" w:rsidRDefault="00430669" w:rsidP="00430669">
      <w:pPr>
        <w:pStyle w:val="NormalNonumber"/>
        <w:rPr>
          <w:lang w:val="fr-FR"/>
        </w:rPr>
      </w:pPr>
      <w:r>
        <w:rPr>
          <w:lang w:val="fr-FR"/>
        </w:rPr>
        <w:tab/>
        <w:t>b)</w:t>
      </w:r>
      <w:r>
        <w:rPr>
          <w:lang w:val="fr-FR"/>
        </w:rPr>
        <w:tab/>
      </w:r>
      <w:r w:rsidR="00175427">
        <w:rPr>
          <w:lang w:val="fr-FR"/>
        </w:rPr>
        <w:t xml:space="preserve">Un faisant apparaître les </w:t>
      </w:r>
      <w:r w:rsidR="00281A5E">
        <w:rPr>
          <w:lang w:val="fr-FR"/>
        </w:rPr>
        <w:t>changements</w:t>
      </w:r>
      <w:r w:rsidR="00175427">
        <w:rPr>
          <w:lang w:val="fr-FR"/>
        </w:rPr>
        <w:t xml:space="preserve"> qu</w:t>
      </w:r>
      <w:r w:rsidR="0058158D">
        <w:rPr>
          <w:lang w:val="fr-FR"/>
        </w:rPr>
        <w:t>’</w:t>
      </w:r>
      <w:r w:rsidR="00175427">
        <w:rPr>
          <w:lang w:val="fr-FR"/>
        </w:rPr>
        <w:t>il faudrait apporter au scénario visé ci-dessus pour répondre aux besoins prévus et couvrir les coûts ou réaliser des économies connexes</w:t>
      </w:r>
      <w:r w:rsidR="00B56E1F">
        <w:rPr>
          <w:lang w:val="fr-FR"/>
        </w:rPr>
        <w:t> ;</w:t>
      </w:r>
    </w:p>
    <w:p w14:paraId="7D559E98" w14:textId="35B040D5" w:rsidR="00175427" w:rsidRPr="00D816DC" w:rsidRDefault="00430669" w:rsidP="00430669">
      <w:pPr>
        <w:pStyle w:val="NormalNonumber"/>
        <w:rPr>
          <w:lang w:val="fr-FR"/>
        </w:rPr>
      </w:pPr>
      <w:r>
        <w:rPr>
          <w:i/>
          <w:iCs/>
          <w:lang w:val="fr-FR"/>
        </w:rPr>
        <w:tab/>
      </w:r>
      <w:r w:rsidR="00952C6F">
        <w:rPr>
          <w:i/>
          <w:iCs/>
          <w:lang w:val="fr-FR"/>
        </w:rPr>
        <w:t>Rappelle en outre</w:t>
      </w:r>
      <w:r w:rsidR="00952C6F">
        <w:rPr>
          <w:lang w:val="fr-FR"/>
        </w:rPr>
        <w:t xml:space="preserve"> qu</w:t>
      </w:r>
      <w:r w:rsidR="0058158D">
        <w:rPr>
          <w:lang w:val="fr-FR"/>
        </w:rPr>
        <w:t>’</w:t>
      </w:r>
      <w:r w:rsidR="00952C6F">
        <w:rPr>
          <w:lang w:val="fr-FR"/>
        </w:rPr>
        <w:t xml:space="preserve">elle a </w:t>
      </w:r>
      <w:r w:rsidR="00E566EE">
        <w:rPr>
          <w:lang w:val="fr-FR"/>
        </w:rPr>
        <w:t>pri</w:t>
      </w:r>
      <w:r w:rsidR="00952C6F">
        <w:rPr>
          <w:lang w:val="fr-FR"/>
        </w:rPr>
        <w:t xml:space="preserve">é la Secrétaire exécutive de tenir compte de la proposition </w:t>
      </w:r>
      <w:r w:rsidR="008F3C4E">
        <w:rPr>
          <w:lang w:val="fr-FR"/>
        </w:rPr>
        <w:t xml:space="preserve">de modalités permanentes </w:t>
      </w:r>
      <w:r w:rsidR="00952C6F">
        <w:rPr>
          <w:lang w:val="fr-FR"/>
        </w:rPr>
        <w:t xml:space="preserve">de partage des services pertinents présentée par la Directrice exécutive du Programme des </w:t>
      </w:r>
      <w:r w:rsidR="006D45E7">
        <w:rPr>
          <w:lang w:val="fr-FR"/>
        </w:rPr>
        <w:t>Nations Unies</w:t>
      </w:r>
      <w:r w:rsidR="00952C6F">
        <w:rPr>
          <w:lang w:val="fr-FR"/>
        </w:rPr>
        <w:t xml:space="preserve"> pour l</w:t>
      </w:r>
      <w:r w:rsidR="0058158D">
        <w:rPr>
          <w:lang w:val="fr-FR"/>
        </w:rPr>
        <w:t>’</w:t>
      </w:r>
      <w:r w:rsidR="00952C6F">
        <w:rPr>
          <w:lang w:val="fr-FR"/>
        </w:rPr>
        <w:t xml:space="preserve">environnement, </w:t>
      </w:r>
      <w:r w:rsidR="008F3C4E" w:rsidRPr="008F3C4E">
        <w:rPr>
          <w:lang w:val="fr-FR"/>
        </w:rPr>
        <w:t>y compris des options pertinentes</w:t>
      </w:r>
      <w:r w:rsidR="00952C6F">
        <w:rPr>
          <w:lang w:val="fr-FR"/>
        </w:rPr>
        <w:t xml:space="preserve">, </w:t>
      </w:r>
      <w:r w:rsidR="00E566EE" w:rsidRPr="00E566EE">
        <w:rPr>
          <w:lang w:val="fr-FR"/>
        </w:rPr>
        <w:t>lors de l</w:t>
      </w:r>
      <w:r w:rsidR="0058158D">
        <w:rPr>
          <w:lang w:val="fr-FR"/>
        </w:rPr>
        <w:t>’</w:t>
      </w:r>
      <w:r w:rsidR="00E566EE" w:rsidRPr="00E566EE">
        <w:rPr>
          <w:lang w:val="fr-FR"/>
        </w:rPr>
        <w:t xml:space="preserve">élaboration du programme de travail et du budget pour </w:t>
      </w:r>
      <w:r w:rsidR="003C11AD">
        <w:rPr>
          <w:lang w:val="fr-FR"/>
        </w:rPr>
        <w:t>2020–2021</w:t>
      </w:r>
      <w:r w:rsidR="00E566EE" w:rsidRPr="00E566EE">
        <w:rPr>
          <w:lang w:val="fr-FR"/>
        </w:rPr>
        <w:t>,</w:t>
      </w:r>
      <w:r w:rsidR="00E566EE">
        <w:rPr>
          <w:lang w:val="fr-FR"/>
        </w:rPr>
        <w:t xml:space="preserve"> </w:t>
      </w:r>
      <w:r w:rsidR="00952C6F">
        <w:rPr>
          <w:lang w:val="fr-FR"/>
        </w:rPr>
        <w:t>conformément au paragraphe</w:t>
      </w:r>
      <w:r w:rsidR="00CC64D9">
        <w:rPr>
          <w:lang w:val="fr-FR"/>
        </w:rPr>
        <w:t> </w:t>
      </w:r>
      <w:r w:rsidR="00952C6F">
        <w:rPr>
          <w:lang w:val="fr-FR"/>
        </w:rPr>
        <w:t>2 de la décision</w:t>
      </w:r>
      <w:r w:rsidR="00CC64D9">
        <w:rPr>
          <w:lang w:val="fr-FR"/>
        </w:rPr>
        <w:t> </w:t>
      </w:r>
      <w:r w:rsidR="00952C6F">
        <w:rPr>
          <w:lang w:val="fr-FR"/>
        </w:rPr>
        <w:t>MC-2/7,</w:t>
      </w:r>
    </w:p>
    <w:p w14:paraId="7FC48DCA" w14:textId="5E6DAFDE" w:rsidR="00907C07" w:rsidRPr="00CC64D9" w:rsidRDefault="000A19CD" w:rsidP="00AD674A">
      <w:pPr>
        <w:pStyle w:val="CH2"/>
        <w:spacing w:before="240"/>
        <w:ind w:firstLine="0"/>
        <w:jc w:val="center"/>
        <w:rPr>
          <w:lang w:val="fr-FR"/>
        </w:rPr>
      </w:pPr>
      <w:r>
        <w:rPr>
          <w:bCs/>
          <w:lang w:val="fr-FR"/>
        </w:rPr>
        <w:lastRenderedPageBreak/>
        <w:t>I</w:t>
      </w:r>
    </w:p>
    <w:p w14:paraId="32807658" w14:textId="7E30EE5D" w:rsidR="000A19CD" w:rsidRPr="00CC64D9" w:rsidRDefault="00DB6834" w:rsidP="00AD674A">
      <w:pPr>
        <w:pStyle w:val="CH2"/>
        <w:ind w:firstLine="0"/>
        <w:jc w:val="center"/>
        <w:rPr>
          <w:lang w:val="fr-FR"/>
        </w:rPr>
      </w:pPr>
      <w:r>
        <w:rPr>
          <w:bCs/>
          <w:lang w:val="fr-FR"/>
        </w:rPr>
        <w:t>Fonds général d</w:t>
      </w:r>
      <w:r w:rsidR="0058158D">
        <w:rPr>
          <w:bCs/>
          <w:lang w:val="fr-FR"/>
        </w:rPr>
        <w:t>’</w:t>
      </w:r>
      <w:r>
        <w:rPr>
          <w:bCs/>
          <w:lang w:val="fr-FR"/>
        </w:rPr>
        <w:t>affectation spéciale</w:t>
      </w:r>
      <w:r w:rsidR="00A36031">
        <w:rPr>
          <w:bCs/>
          <w:lang w:val="fr-FR"/>
        </w:rPr>
        <w:t xml:space="preserve"> pour la Convention de Minamata sur</w:t>
      </w:r>
      <w:r w:rsidR="005064FA">
        <w:rPr>
          <w:bCs/>
          <w:lang w:val="fr-FR"/>
        </w:rPr>
        <w:t> </w:t>
      </w:r>
      <w:r w:rsidR="00A36031">
        <w:rPr>
          <w:bCs/>
          <w:lang w:val="fr-FR"/>
        </w:rPr>
        <w:t>le</w:t>
      </w:r>
      <w:r w:rsidR="005064FA">
        <w:rPr>
          <w:bCs/>
          <w:lang w:val="fr-FR"/>
        </w:rPr>
        <w:t> </w:t>
      </w:r>
      <w:r w:rsidR="00A36031">
        <w:rPr>
          <w:bCs/>
          <w:lang w:val="fr-FR"/>
        </w:rPr>
        <w:t>mercure</w:t>
      </w:r>
    </w:p>
    <w:p w14:paraId="059D42F9" w14:textId="33F99108" w:rsidR="00A70083" w:rsidRPr="00CC64D9" w:rsidRDefault="00430669" w:rsidP="00430669">
      <w:pPr>
        <w:pStyle w:val="NormalNonumber"/>
        <w:rPr>
          <w:lang w:val="fr-FR"/>
        </w:rPr>
      </w:pPr>
      <w:r>
        <w:rPr>
          <w:iCs/>
          <w:lang w:val="fr-FR"/>
        </w:rPr>
        <w:tab/>
        <w:t>1.</w:t>
      </w:r>
      <w:r>
        <w:rPr>
          <w:iCs/>
          <w:lang w:val="fr-FR"/>
        </w:rPr>
        <w:tab/>
      </w:r>
      <w:r w:rsidR="000A19CD">
        <w:rPr>
          <w:i/>
          <w:iCs/>
          <w:lang w:val="fr-FR"/>
        </w:rPr>
        <w:t>Prend note</w:t>
      </w:r>
      <w:r w:rsidR="000A19CD">
        <w:rPr>
          <w:lang w:val="fr-FR"/>
        </w:rPr>
        <w:t xml:space="preserve"> du rapport fourni par la Secrétaire exécutive sur les principales activités du</w:t>
      </w:r>
      <w:r w:rsidR="005064FA">
        <w:rPr>
          <w:lang w:val="fr-FR"/>
        </w:rPr>
        <w:t> </w:t>
      </w:r>
      <w:r w:rsidR="000A19CD">
        <w:rPr>
          <w:lang w:val="fr-FR"/>
        </w:rPr>
        <w:t>secrétariat pendant l</w:t>
      </w:r>
      <w:r w:rsidR="0058158D">
        <w:rPr>
          <w:lang w:val="fr-FR"/>
        </w:rPr>
        <w:t>’</w:t>
      </w:r>
      <w:r w:rsidR="000A19CD">
        <w:rPr>
          <w:lang w:val="fr-FR"/>
        </w:rPr>
        <w:t>intersession</w:t>
      </w:r>
      <w:r w:rsidR="00D35357" w:rsidRPr="00D36664">
        <w:rPr>
          <w:rStyle w:val="FootnoteReference"/>
          <w:szCs w:val="20"/>
          <w:lang w:val="fr-FR"/>
        </w:rPr>
        <w:footnoteReference w:id="3"/>
      </w:r>
      <w:r w:rsidR="000A19CD">
        <w:rPr>
          <w:lang w:val="fr-FR"/>
        </w:rPr>
        <w:t xml:space="preserve">, ainsi que du rapport sur les dépenses </w:t>
      </w:r>
      <w:r w:rsidR="00E566EE">
        <w:rPr>
          <w:lang w:val="fr-FR"/>
        </w:rPr>
        <w:t>de</w:t>
      </w:r>
      <w:r w:rsidR="000A19CD">
        <w:rPr>
          <w:lang w:val="fr-FR"/>
        </w:rPr>
        <w:t xml:space="preserve"> l</w:t>
      </w:r>
      <w:r w:rsidR="0058158D">
        <w:rPr>
          <w:lang w:val="fr-FR"/>
        </w:rPr>
        <w:t>’</w:t>
      </w:r>
      <w:r w:rsidR="000A19CD">
        <w:rPr>
          <w:lang w:val="fr-FR"/>
        </w:rPr>
        <w:t xml:space="preserve">exercice </w:t>
      </w:r>
      <w:r w:rsidR="007C7196">
        <w:rPr>
          <w:lang w:val="fr-FR"/>
        </w:rPr>
        <w:br/>
      </w:r>
      <w:r w:rsidR="000A19CD">
        <w:rPr>
          <w:lang w:val="fr-FR"/>
        </w:rPr>
        <w:t>biennal</w:t>
      </w:r>
      <w:r w:rsidR="00CC64D9">
        <w:rPr>
          <w:lang w:val="fr-FR"/>
        </w:rPr>
        <w:t> </w:t>
      </w:r>
      <w:r w:rsidR="007C7196">
        <w:rPr>
          <w:lang w:val="fr-FR"/>
        </w:rPr>
        <w:t>2018–2019</w:t>
      </w:r>
      <w:r w:rsidR="000A19CD">
        <w:rPr>
          <w:lang w:val="fr-FR"/>
        </w:rPr>
        <w:t xml:space="preserve"> fourni dans les informations sur les questions financières</w:t>
      </w:r>
      <w:r w:rsidR="009E3FF0" w:rsidRPr="00D36664">
        <w:rPr>
          <w:rStyle w:val="FootnoteReference"/>
          <w:szCs w:val="20"/>
          <w:lang w:val="fr-FR"/>
        </w:rPr>
        <w:footnoteReference w:id="4"/>
      </w:r>
      <w:r w:rsidR="00B56E1F">
        <w:rPr>
          <w:lang w:val="fr-FR"/>
        </w:rPr>
        <w:t> ;</w:t>
      </w:r>
    </w:p>
    <w:p w14:paraId="2EBDECA4" w14:textId="24F9F55F" w:rsidR="002A66DE" w:rsidRPr="00D816DC" w:rsidRDefault="00430669" w:rsidP="00430669">
      <w:pPr>
        <w:pStyle w:val="NormalNonumber"/>
        <w:rPr>
          <w:lang w:val="fr-FR"/>
        </w:rPr>
      </w:pPr>
      <w:r>
        <w:rPr>
          <w:iCs/>
          <w:lang w:val="fr-FR"/>
        </w:rPr>
        <w:tab/>
        <w:t>2.</w:t>
      </w:r>
      <w:r>
        <w:rPr>
          <w:iCs/>
          <w:lang w:val="fr-FR"/>
        </w:rPr>
        <w:tab/>
      </w:r>
      <w:r w:rsidR="00C16F6C">
        <w:rPr>
          <w:i/>
          <w:iCs/>
          <w:lang w:val="fr-FR"/>
        </w:rPr>
        <w:t>Prend également note</w:t>
      </w:r>
      <w:r w:rsidR="00C16F6C">
        <w:rPr>
          <w:lang w:val="fr-FR"/>
        </w:rPr>
        <w:t xml:space="preserve"> du projet de programme de travail et de budget pour l</w:t>
      </w:r>
      <w:r w:rsidR="0058158D">
        <w:rPr>
          <w:lang w:val="fr-FR"/>
        </w:rPr>
        <w:t>’</w:t>
      </w:r>
      <w:r w:rsidR="00C16F6C">
        <w:rPr>
          <w:lang w:val="fr-FR"/>
        </w:rPr>
        <w:t>exercice biennal</w:t>
      </w:r>
      <w:r w:rsidR="00CC64D9">
        <w:rPr>
          <w:lang w:val="fr-FR"/>
        </w:rPr>
        <w:t> </w:t>
      </w:r>
      <w:r w:rsidR="003C11AD">
        <w:rPr>
          <w:lang w:val="fr-FR"/>
        </w:rPr>
        <w:t>2020–2021</w:t>
      </w:r>
      <w:r w:rsidR="002A66DE" w:rsidRPr="005C6555">
        <w:rPr>
          <w:rStyle w:val="FootnoteReference"/>
          <w:szCs w:val="20"/>
          <w:lang w:val="fr-FR"/>
        </w:rPr>
        <w:footnoteReference w:id="5"/>
      </w:r>
      <w:r w:rsidR="00C16F6C">
        <w:rPr>
          <w:lang w:val="fr-FR"/>
        </w:rPr>
        <w:t>, ainsi que des informations supplémentaires sur les questions financières</w:t>
      </w:r>
      <w:r w:rsidR="002A66DE" w:rsidRPr="005C6555">
        <w:rPr>
          <w:rStyle w:val="FootnoteReference"/>
          <w:szCs w:val="20"/>
          <w:lang w:val="fr-FR"/>
        </w:rPr>
        <w:footnoteReference w:id="6"/>
      </w:r>
      <w:r w:rsidR="00C16F6C">
        <w:rPr>
          <w:lang w:val="fr-FR"/>
        </w:rPr>
        <w:t>, des</w:t>
      </w:r>
      <w:r w:rsidR="005064FA">
        <w:rPr>
          <w:lang w:val="fr-FR"/>
        </w:rPr>
        <w:t> </w:t>
      </w:r>
      <w:r w:rsidR="00C16F6C">
        <w:rPr>
          <w:lang w:val="fr-FR"/>
        </w:rPr>
        <w:t xml:space="preserve">projets de </w:t>
      </w:r>
      <w:r w:rsidR="007538C7">
        <w:rPr>
          <w:lang w:val="fr-FR"/>
        </w:rPr>
        <w:t>budget opérationnel</w:t>
      </w:r>
      <w:r w:rsidR="00C16F6C">
        <w:rPr>
          <w:lang w:val="fr-FR"/>
        </w:rPr>
        <w:t xml:space="preserve"> pour les </w:t>
      </w:r>
      <w:r w:rsidR="003C2572">
        <w:rPr>
          <w:lang w:val="fr-FR"/>
        </w:rPr>
        <w:t>deux </w:t>
      </w:r>
      <w:r w:rsidR="00C16F6C">
        <w:rPr>
          <w:lang w:val="fr-FR"/>
        </w:rPr>
        <w:t>scénarios de financement</w:t>
      </w:r>
      <w:r w:rsidR="002A66DE" w:rsidRPr="005C6555">
        <w:rPr>
          <w:rStyle w:val="FootnoteReference"/>
          <w:szCs w:val="20"/>
          <w:lang w:val="fr-FR"/>
        </w:rPr>
        <w:footnoteReference w:id="7"/>
      </w:r>
      <w:r w:rsidR="00C16F6C">
        <w:rPr>
          <w:lang w:val="fr-FR"/>
        </w:rPr>
        <w:t xml:space="preserve"> et des fiches d</w:t>
      </w:r>
      <w:r w:rsidR="0058158D">
        <w:rPr>
          <w:lang w:val="fr-FR"/>
        </w:rPr>
        <w:t>’</w:t>
      </w:r>
      <w:r w:rsidR="00C16F6C">
        <w:rPr>
          <w:lang w:val="fr-FR"/>
        </w:rPr>
        <w:t>information sur les activités inscrites au budget</w:t>
      </w:r>
      <w:r w:rsidR="002A66DE" w:rsidRPr="005C6555">
        <w:rPr>
          <w:rStyle w:val="FootnoteReference"/>
          <w:szCs w:val="20"/>
          <w:lang w:val="fr-FR"/>
        </w:rPr>
        <w:footnoteReference w:id="8"/>
      </w:r>
      <w:r w:rsidR="00B56E1F">
        <w:rPr>
          <w:lang w:val="fr-FR"/>
        </w:rPr>
        <w:t> ;</w:t>
      </w:r>
    </w:p>
    <w:p w14:paraId="57D80E8B" w14:textId="55D64F30" w:rsidR="00907C07" w:rsidRPr="00CC64D9" w:rsidRDefault="00430669" w:rsidP="00430669">
      <w:pPr>
        <w:pStyle w:val="NormalNonumber"/>
        <w:rPr>
          <w:lang w:val="fr-FR"/>
        </w:rPr>
      </w:pPr>
      <w:r>
        <w:rPr>
          <w:iCs/>
          <w:lang w:val="fr-FR"/>
        </w:rPr>
        <w:tab/>
        <w:t>3.</w:t>
      </w:r>
      <w:r>
        <w:rPr>
          <w:iCs/>
          <w:lang w:val="fr-FR"/>
        </w:rPr>
        <w:tab/>
      </w:r>
      <w:r w:rsidR="00907C07">
        <w:rPr>
          <w:i/>
          <w:iCs/>
          <w:lang w:val="fr-FR"/>
        </w:rPr>
        <w:t xml:space="preserve">Approuve </w:t>
      </w:r>
      <w:r w:rsidR="00907C07">
        <w:rPr>
          <w:lang w:val="fr-FR"/>
        </w:rPr>
        <w:t xml:space="preserve">le budget du </w:t>
      </w:r>
      <w:r w:rsidR="00DB6834">
        <w:rPr>
          <w:lang w:val="fr-FR"/>
        </w:rPr>
        <w:t>Fonds général d</w:t>
      </w:r>
      <w:r w:rsidR="0058158D">
        <w:rPr>
          <w:lang w:val="fr-FR"/>
        </w:rPr>
        <w:t>’</w:t>
      </w:r>
      <w:r w:rsidR="00DB6834">
        <w:rPr>
          <w:lang w:val="fr-FR"/>
        </w:rPr>
        <w:t>affectation spéciale</w:t>
      </w:r>
      <w:r w:rsidR="00907C07">
        <w:rPr>
          <w:lang w:val="fr-FR"/>
        </w:rPr>
        <w:t xml:space="preserve"> pour l</w:t>
      </w:r>
      <w:r w:rsidR="0058158D">
        <w:rPr>
          <w:lang w:val="fr-FR"/>
        </w:rPr>
        <w:t>’</w:t>
      </w:r>
      <w:r w:rsidR="00907C07">
        <w:rPr>
          <w:lang w:val="fr-FR"/>
        </w:rPr>
        <w:t>exercice biennal</w:t>
      </w:r>
      <w:r w:rsidR="00CC64D9">
        <w:rPr>
          <w:lang w:val="fr-FR"/>
        </w:rPr>
        <w:t> </w:t>
      </w:r>
      <w:r w:rsidR="003C11AD">
        <w:rPr>
          <w:lang w:val="fr-FR"/>
        </w:rPr>
        <w:t>2020–2021</w:t>
      </w:r>
      <w:r w:rsidR="00907C07">
        <w:rPr>
          <w:lang w:val="fr-FR"/>
        </w:rPr>
        <w:t>, qui s</w:t>
      </w:r>
      <w:r w:rsidR="0058158D">
        <w:rPr>
          <w:lang w:val="fr-FR"/>
        </w:rPr>
        <w:t>’</w:t>
      </w:r>
      <w:r w:rsidR="00907C07">
        <w:rPr>
          <w:lang w:val="fr-FR"/>
        </w:rPr>
        <w:t>élève à [--] dollars des États-Unis</w:t>
      </w:r>
      <w:r w:rsidR="00B56E1F">
        <w:rPr>
          <w:lang w:val="fr-FR"/>
        </w:rPr>
        <w:t> ;</w:t>
      </w:r>
    </w:p>
    <w:p w14:paraId="716E8792" w14:textId="102D2CD0" w:rsidR="00A70083" w:rsidRPr="00CC64D9" w:rsidRDefault="00430669" w:rsidP="00430669">
      <w:pPr>
        <w:pStyle w:val="NormalNonumber"/>
        <w:rPr>
          <w:lang w:val="fr-FR"/>
        </w:rPr>
      </w:pPr>
      <w:bookmarkStart w:id="1" w:name="_Hlk15257842"/>
      <w:r>
        <w:rPr>
          <w:iCs/>
          <w:lang w:val="fr-FR"/>
        </w:rPr>
        <w:tab/>
        <w:t>4.</w:t>
      </w:r>
      <w:r>
        <w:rPr>
          <w:iCs/>
          <w:lang w:val="fr-FR"/>
        </w:rPr>
        <w:tab/>
      </w:r>
      <w:r w:rsidR="00762454">
        <w:rPr>
          <w:i/>
          <w:iCs/>
          <w:lang w:val="fr-FR"/>
        </w:rPr>
        <w:t>Autorise</w:t>
      </w:r>
      <w:r w:rsidR="00762454">
        <w:rPr>
          <w:lang w:val="fr-FR"/>
        </w:rPr>
        <w:t xml:space="preserve"> la Secrétaire exécutive à prélever </w:t>
      </w:r>
      <w:r w:rsidR="00E566EE">
        <w:rPr>
          <w:lang w:val="fr-FR"/>
        </w:rPr>
        <w:t>un</w:t>
      </w:r>
      <w:r w:rsidR="00762454">
        <w:rPr>
          <w:lang w:val="fr-FR"/>
        </w:rPr>
        <w:t xml:space="preserve"> montant </w:t>
      </w:r>
      <w:r w:rsidR="00E566EE">
        <w:rPr>
          <w:lang w:val="fr-FR"/>
        </w:rPr>
        <w:t>de</w:t>
      </w:r>
      <w:r w:rsidR="00762454">
        <w:rPr>
          <w:lang w:val="fr-FR"/>
        </w:rPr>
        <w:t xml:space="preserve"> [--] dollars des États-Unis sur le solde excédentaire du </w:t>
      </w:r>
      <w:r w:rsidR="00DB6834">
        <w:rPr>
          <w:lang w:val="fr-FR"/>
        </w:rPr>
        <w:t>Fonds général d</w:t>
      </w:r>
      <w:r w:rsidR="0058158D">
        <w:rPr>
          <w:lang w:val="fr-FR"/>
        </w:rPr>
        <w:t>’</w:t>
      </w:r>
      <w:r w:rsidR="00DB6834">
        <w:rPr>
          <w:lang w:val="fr-FR"/>
        </w:rPr>
        <w:t>affectation spéciale</w:t>
      </w:r>
      <w:r w:rsidR="00762454">
        <w:rPr>
          <w:lang w:val="fr-FR"/>
        </w:rPr>
        <w:t xml:space="preserve"> disponible</w:t>
      </w:r>
      <w:r w:rsidR="00B56E1F">
        <w:rPr>
          <w:lang w:val="fr-FR"/>
        </w:rPr>
        <w:t> ;</w:t>
      </w:r>
      <w:bookmarkEnd w:id="1"/>
    </w:p>
    <w:p w14:paraId="25E3BB49" w14:textId="7892E73B" w:rsidR="00A70083" w:rsidRPr="00CC64D9" w:rsidRDefault="00430669" w:rsidP="00430669">
      <w:pPr>
        <w:pStyle w:val="NormalNonumber"/>
        <w:rPr>
          <w:lang w:val="fr-FR"/>
        </w:rPr>
      </w:pPr>
      <w:r>
        <w:rPr>
          <w:iCs/>
          <w:lang w:val="fr-FR"/>
        </w:rPr>
        <w:tab/>
        <w:t>5.</w:t>
      </w:r>
      <w:r>
        <w:rPr>
          <w:iCs/>
          <w:lang w:val="fr-FR"/>
        </w:rPr>
        <w:tab/>
      </w:r>
      <w:r w:rsidR="00907C07">
        <w:rPr>
          <w:i/>
          <w:iCs/>
          <w:lang w:val="fr-FR"/>
        </w:rPr>
        <w:t xml:space="preserve">Adopte </w:t>
      </w:r>
      <w:r w:rsidR="00907C07">
        <w:rPr>
          <w:lang w:val="fr-FR"/>
        </w:rPr>
        <w:t xml:space="preserve">le barème indicatif des quotes-parts pour la répartition des dépenses </w:t>
      </w:r>
      <w:r w:rsidR="00E566EE">
        <w:rPr>
          <w:lang w:val="fr-FR"/>
        </w:rPr>
        <w:t>de la période</w:t>
      </w:r>
      <w:r w:rsidR="00907C07">
        <w:rPr>
          <w:lang w:val="fr-FR"/>
        </w:rPr>
        <w:t xml:space="preserve"> </w:t>
      </w:r>
      <w:r w:rsidR="003C11AD">
        <w:rPr>
          <w:lang w:val="fr-FR"/>
        </w:rPr>
        <w:t>2020–2021</w:t>
      </w:r>
      <w:r w:rsidR="00907C07">
        <w:rPr>
          <w:lang w:val="fr-FR"/>
        </w:rPr>
        <w:t xml:space="preserve"> figurant dans le tableau [--] de la présente décision et autorise la Secrétaire exécutive, conformément au Règlement financier et aux règles de gestion financière de l</w:t>
      </w:r>
      <w:r w:rsidR="0058158D">
        <w:rPr>
          <w:lang w:val="fr-FR"/>
        </w:rPr>
        <w:t>’</w:t>
      </w:r>
      <w:r w:rsidR="00907C07">
        <w:rPr>
          <w:lang w:val="fr-FR"/>
        </w:rPr>
        <w:t>Organisation des</w:t>
      </w:r>
      <w:r w:rsidR="005064FA">
        <w:rPr>
          <w:lang w:val="fr-FR"/>
        </w:rPr>
        <w:t> </w:t>
      </w:r>
      <w:r w:rsidR="006D45E7">
        <w:rPr>
          <w:lang w:val="fr-FR"/>
        </w:rPr>
        <w:t>Nations Unies</w:t>
      </w:r>
      <w:r w:rsidR="00907C07">
        <w:rPr>
          <w:lang w:val="fr-FR"/>
        </w:rPr>
        <w:t>, à ajuster ce barème afin d</w:t>
      </w:r>
      <w:r w:rsidR="0058158D">
        <w:rPr>
          <w:lang w:val="fr-FR"/>
        </w:rPr>
        <w:t>’</w:t>
      </w:r>
      <w:r w:rsidR="00907C07">
        <w:rPr>
          <w:lang w:val="fr-FR"/>
        </w:rPr>
        <w:t>y inclure toutes les Parties pour lesquelles la Convention entrera en vigueur avant le 1</w:t>
      </w:r>
      <w:r w:rsidR="00907C07" w:rsidRPr="0036759E">
        <w:rPr>
          <w:vertAlign w:val="superscript"/>
          <w:lang w:val="fr-FR"/>
        </w:rPr>
        <w:t>er</w:t>
      </w:r>
      <w:r w:rsidR="0036759E">
        <w:rPr>
          <w:lang w:val="fr-FR"/>
        </w:rPr>
        <w:t> </w:t>
      </w:r>
      <w:r w:rsidR="00907C07">
        <w:rPr>
          <w:lang w:val="fr-FR"/>
        </w:rPr>
        <w:t>janvier</w:t>
      </w:r>
      <w:r w:rsidR="00E546DF">
        <w:rPr>
          <w:lang w:val="fr-FR"/>
        </w:rPr>
        <w:t> </w:t>
      </w:r>
      <w:r w:rsidR="00907C07">
        <w:rPr>
          <w:lang w:val="fr-FR"/>
        </w:rPr>
        <w:t>2020</w:t>
      </w:r>
      <w:r w:rsidR="00B56E1F">
        <w:rPr>
          <w:lang w:val="fr-FR"/>
        </w:rPr>
        <w:t> ;</w:t>
      </w:r>
    </w:p>
    <w:p w14:paraId="6619C6C5" w14:textId="1BA0D68E" w:rsidR="00907C07" w:rsidRPr="00CC64D9" w:rsidRDefault="00430669" w:rsidP="00430669">
      <w:pPr>
        <w:pStyle w:val="NormalNonumber"/>
        <w:rPr>
          <w:lang w:val="fr-FR"/>
        </w:rPr>
      </w:pPr>
      <w:r>
        <w:rPr>
          <w:iCs/>
          <w:lang w:val="fr-FR"/>
        </w:rPr>
        <w:tab/>
        <w:t>6.</w:t>
      </w:r>
      <w:r>
        <w:rPr>
          <w:iCs/>
          <w:lang w:val="fr-FR"/>
        </w:rPr>
        <w:tab/>
      </w:r>
      <w:r w:rsidR="00907C07">
        <w:rPr>
          <w:i/>
          <w:iCs/>
          <w:lang w:val="fr-FR"/>
        </w:rPr>
        <w:t xml:space="preserve">Rappelle </w:t>
      </w:r>
      <w:r w:rsidR="00907C07">
        <w:rPr>
          <w:lang w:val="fr-FR"/>
        </w:rPr>
        <w:t xml:space="preserve">que les contributions au </w:t>
      </w:r>
      <w:r w:rsidR="00DB6834">
        <w:rPr>
          <w:lang w:val="fr-FR"/>
        </w:rPr>
        <w:t>Fonds général d</w:t>
      </w:r>
      <w:r w:rsidR="0058158D">
        <w:rPr>
          <w:lang w:val="fr-FR"/>
        </w:rPr>
        <w:t>’</w:t>
      </w:r>
      <w:r w:rsidR="00DB6834">
        <w:rPr>
          <w:lang w:val="fr-FR"/>
        </w:rPr>
        <w:t>affectation spéciale</w:t>
      </w:r>
      <w:r w:rsidR="00907C07">
        <w:rPr>
          <w:lang w:val="fr-FR"/>
        </w:rPr>
        <w:t xml:space="preserve"> sont dues le</w:t>
      </w:r>
      <w:r w:rsidR="005064FA">
        <w:rPr>
          <w:lang w:val="fr-FR"/>
        </w:rPr>
        <w:t> </w:t>
      </w:r>
      <w:r w:rsidR="00907C07" w:rsidRPr="0036759E">
        <w:rPr>
          <w:lang w:val="fr-FR"/>
        </w:rPr>
        <w:t>1</w:t>
      </w:r>
      <w:r w:rsidR="00907C07" w:rsidRPr="0036759E">
        <w:rPr>
          <w:vertAlign w:val="superscript"/>
          <w:lang w:val="fr-FR"/>
        </w:rPr>
        <w:t>er</w:t>
      </w:r>
      <w:r w:rsidR="0036759E">
        <w:rPr>
          <w:lang w:val="fr-FR"/>
        </w:rPr>
        <w:t> </w:t>
      </w:r>
      <w:r w:rsidR="00907C07">
        <w:rPr>
          <w:lang w:val="fr-FR"/>
        </w:rPr>
        <w:t>janvier de l</w:t>
      </w:r>
      <w:r w:rsidR="0058158D">
        <w:rPr>
          <w:lang w:val="fr-FR"/>
        </w:rPr>
        <w:t>’</w:t>
      </w:r>
      <w:r w:rsidR="00907C07">
        <w:rPr>
          <w:lang w:val="fr-FR"/>
        </w:rPr>
        <w:t>année pour laquelle ces contributions ont été budgétisées et au plus tard le</w:t>
      </w:r>
      <w:r w:rsidR="005064FA">
        <w:rPr>
          <w:lang w:val="fr-FR"/>
        </w:rPr>
        <w:t> </w:t>
      </w:r>
      <w:r w:rsidR="00907C07">
        <w:rPr>
          <w:lang w:val="fr-FR"/>
        </w:rPr>
        <w:t>31</w:t>
      </w:r>
      <w:r w:rsidR="00E546DF">
        <w:rPr>
          <w:lang w:val="fr-FR"/>
        </w:rPr>
        <w:t> </w:t>
      </w:r>
      <w:r w:rsidR="00907C07">
        <w:rPr>
          <w:lang w:val="fr-FR"/>
        </w:rPr>
        <w:t>décembre de l</w:t>
      </w:r>
      <w:r w:rsidR="0058158D">
        <w:rPr>
          <w:lang w:val="fr-FR"/>
        </w:rPr>
        <w:t>’</w:t>
      </w:r>
      <w:r w:rsidR="00907C07">
        <w:rPr>
          <w:lang w:val="fr-FR"/>
        </w:rPr>
        <w:t>année en question et prie les Parties de payer promptement leurs contributions afin de permettre au secrétariat d</w:t>
      </w:r>
      <w:r w:rsidR="0058158D">
        <w:rPr>
          <w:lang w:val="fr-FR"/>
        </w:rPr>
        <w:t>’</w:t>
      </w:r>
      <w:r w:rsidR="00907C07">
        <w:rPr>
          <w:lang w:val="fr-FR"/>
        </w:rPr>
        <w:t>effectuer ses travaux</w:t>
      </w:r>
      <w:r w:rsidR="00B56E1F">
        <w:rPr>
          <w:lang w:val="fr-FR"/>
        </w:rPr>
        <w:t> ;</w:t>
      </w:r>
    </w:p>
    <w:p w14:paraId="05EB6589" w14:textId="77777777" w:rsidR="00907C07" w:rsidRPr="00CC64D9" w:rsidRDefault="00907C07" w:rsidP="00367C87">
      <w:pPr>
        <w:pStyle w:val="CH2"/>
        <w:spacing w:before="240"/>
        <w:ind w:firstLine="0"/>
        <w:jc w:val="center"/>
        <w:rPr>
          <w:lang w:val="fr-FR"/>
        </w:rPr>
      </w:pPr>
      <w:r>
        <w:rPr>
          <w:bCs/>
          <w:lang w:val="fr-FR"/>
        </w:rPr>
        <w:t>II</w:t>
      </w:r>
    </w:p>
    <w:p w14:paraId="32A2F6D0" w14:textId="0E9FE108" w:rsidR="002964D0" w:rsidRPr="00CC64D9" w:rsidRDefault="00DB6834" w:rsidP="00367C87">
      <w:pPr>
        <w:pStyle w:val="CH2"/>
        <w:ind w:firstLine="0"/>
        <w:jc w:val="center"/>
        <w:rPr>
          <w:lang w:val="fr-FR"/>
        </w:rPr>
      </w:pPr>
      <w:r>
        <w:rPr>
          <w:bCs/>
          <w:lang w:val="fr-FR"/>
        </w:rPr>
        <w:t>Fonds d</w:t>
      </w:r>
      <w:r w:rsidR="0058158D">
        <w:rPr>
          <w:bCs/>
          <w:lang w:val="fr-FR"/>
        </w:rPr>
        <w:t>’</w:t>
      </w:r>
      <w:r>
        <w:rPr>
          <w:bCs/>
          <w:lang w:val="fr-FR"/>
        </w:rPr>
        <w:t>affectation spéciale à des fins déterminées</w:t>
      </w:r>
      <w:r w:rsidR="00907C07">
        <w:rPr>
          <w:bCs/>
          <w:lang w:val="fr-FR"/>
        </w:rPr>
        <w:t xml:space="preserve"> pour la Convention de</w:t>
      </w:r>
      <w:r w:rsidR="007C7196">
        <w:rPr>
          <w:bCs/>
          <w:lang w:val="fr-FR"/>
        </w:rPr>
        <w:t> </w:t>
      </w:r>
      <w:r w:rsidR="00907C07">
        <w:rPr>
          <w:bCs/>
          <w:lang w:val="fr-FR"/>
        </w:rPr>
        <w:t>Minamata sur</w:t>
      </w:r>
      <w:r w:rsidR="005064FA">
        <w:rPr>
          <w:bCs/>
          <w:lang w:val="fr-FR"/>
        </w:rPr>
        <w:t> </w:t>
      </w:r>
      <w:r w:rsidR="00907C07">
        <w:rPr>
          <w:bCs/>
          <w:lang w:val="fr-FR"/>
        </w:rPr>
        <w:t>l</w:t>
      </w:r>
      <w:r w:rsidR="005064FA">
        <w:rPr>
          <w:bCs/>
          <w:lang w:val="fr-FR"/>
        </w:rPr>
        <w:t>e </w:t>
      </w:r>
      <w:r w:rsidR="00907C07">
        <w:rPr>
          <w:bCs/>
          <w:lang w:val="fr-FR"/>
        </w:rPr>
        <w:t>mercure</w:t>
      </w:r>
    </w:p>
    <w:p w14:paraId="401AA6EF" w14:textId="74C6B855" w:rsidR="00A70083" w:rsidRPr="00CC64D9" w:rsidRDefault="00430669" w:rsidP="00430669">
      <w:pPr>
        <w:pStyle w:val="NormalNonumber"/>
        <w:rPr>
          <w:lang w:val="fr-FR"/>
        </w:rPr>
      </w:pPr>
      <w:r>
        <w:rPr>
          <w:iCs/>
          <w:lang w:val="fr-FR"/>
        </w:rPr>
        <w:tab/>
        <w:t>7.</w:t>
      </w:r>
      <w:r>
        <w:rPr>
          <w:iCs/>
          <w:lang w:val="fr-FR"/>
        </w:rPr>
        <w:tab/>
      </w:r>
      <w:r w:rsidR="002964D0">
        <w:rPr>
          <w:i/>
          <w:iCs/>
          <w:lang w:val="fr-FR"/>
        </w:rPr>
        <w:t>Prend note</w:t>
      </w:r>
      <w:r w:rsidR="002964D0">
        <w:rPr>
          <w:lang w:val="fr-FR"/>
        </w:rPr>
        <w:t xml:space="preserve"> des informations actualisées fournies par la Secrétaire exécutive sur les</w:t>
      </w:r>
      <w:r w:rsidR="005064FA">
        <w:rPr>
          <w:lang w:val="fr-FR"/>
        </w:rPr>
        <w:t> </w:t>
      </w:r>
      <w:r w:rsidR="002964D0">
        <w:rPr>
          <w:lang w:val="fr-FR"/>
        </w:rPr>
        <w:t xml:space="preserve">activités de 2019 et les dépenses </w:t>
      </w:r>
      <w:r w:rsidR="00E566EE">
        <w:rPr>
          <w:lang w:val="fr-FR"/>
        </w:rPr>
        <w:t>de la période</w:t>
      </w:r>
      <w:r w:rsidR="002964D0">
        <w:rPr>
          <w:lang w:val="fr-FR"/>
        </w:rPr>
        <w:t xml:space="preserve"> </w:t>
      </w:r>
      <w:r w:rsidR="007C7196">
        <w:rPr>
          <w:lang w:val="fr-FR"/>
        </w:rPr>
        <w:t>2018–2019</w:t>
      </w:r>
      <w:r w:rsidR="002964D0">
        <w:rPr>
          <w:lang w:val="fr-FR"/>
        </w:rPr>
        <w:t xml:space="preserve"> financées par le </w:t>
      </w:r>
      <w:r w:rsidR="00DB6834">
        <w:rPr>
          <w:lang w:val="fr-FR"/>
        </w:rPr>
        <w:t>Fonds d</w:t>
      </w:r>
      <w:r w:rsidR="0058158D">
        <w:rPr>
          <w:lang w:val="fr-FR"/>
        </w:rPr>
        <w:t>’</w:t>
      </w:r>
      <w:r w:rsidR="00DB6834">
        <w:rPr>
          <w:lang w:val="fr-FR"/>
        </w:rPr>
        <w:t>affectation spéciale à des fins déterminées</w:t>
      </w:r>
      <w:r w:rsidR="002964D0">
        <w:rPr>
          <w:lang w:val="fr-FR"/>
        </w:rPr>
        <w:t>, telles qu</w:t>
      </w:r>
      <w:r w:rsidR="0058158D">
        <w:rPr>
          <w:lang w:val="fr-FR"/>
        </w:rPr>
        <w:t>’</w:t>
      </w:r>
      <w:r w:rsidR="002964D0">
        <w:rPr>
          <w:lang w:val="fr-FR"/>
        </w:rPr>
        <w:t>elles figurent dans les informations relatives aux questions financières</w:t>
      </w:r>
      <w:r w:rsidR="009C6788" w:rsidRPr="005C6555">
        <w:rPr>
          <w:rStyle w:val="FootnoteReference"/>
          <w:szCs w:val="20"/>
          <w:lang w:val="fr-FR"/>
        </w:rPr>
        <w:footnoteReference w:id="9"/>
      </w:r>
      <w:r w:rsidR="002964D0">
        <w:rPr>
          <w:lang w:val="fr-FR"/>
        </w:rPr>
        <w:t>, ainsi que du</w:t>
      </w:r>
      <w:r w:rsidR="005064FA">
        <w:rPr>
          <w:lang w:val="fr-FR"/>
        </w:rPr>
        <w:t> </w:t>
      </w:r>
      <w:r w:rsidR="002964D0">
        <w:rPr>
          <w:lang w:val="fr-FR"/>
        </w:rPr>
        <w:t>rapport sur les principales activités du secrétariat pendant l</w:t>
      </w:r>
      <w:r w:rsidR="0058158D">
        <w:rPr>
          <w:lang w:val="fr-FR"/>
        </w:rPr>
        <w:t>’</w:t>
      </w:r>
      <w:r w:rsidR="002964D0">
        <w:rPr>
          <w:lang w:val="fr-FR"/>
        </w:rPr>
        <w:t>intersession</w:t>
      </w:r>
      <w:r w:rsidR="009C6788" w:rsidRPr="005C6555">
        <w:rPr>
          <w:rStyle w:val="FootnoteReference"/>
          <w:szCs w:val="20"/>
          <w:lang w:val="fr-FR"/>
        </w:rPr>
        <w:footnoteReference w:id="10"/>
      </w:r>
      <w:r w:rsidR="00B56E1F">
        <w:rPr>
          <w:lang w:val="fr-FR"/>
        </w:rPr>
        <w:t> ;</w:t>
      </w:r>
    </w:p>
    <w:p w14:paraId="4B3A6F09" w14:textId="2784E8B0" w:rsidR="003D4595" w:rsidRPr="00CC64D9" w:rsidRDefault="00430669" w:rsidP="00430669">
      <w:pPr>
        <w:pStyle w:val="NormalNonumber"/>
        <w:rPr>
          <w:lang w:val="fr-FR"/>
        </w:rPr>
      </w:pPr>
      <w:r>
        <w:rPr>
          <w:iCs/>
          <w:lang w:val="fr-FR"/>
        </w:rPr>
        <w:tab/>
        <w:t>8.</w:t>
      </w:r>
      <w:r>
        <w:rPr>
          <w:iCs/>
          <w:lang w:val="fr-FR"/>
        </w:rPr>
        <w:tab/>
      </w:r>
      <w:r w:rsidR="003D4595">
        <w:rPr>
          <w:i/>
          <w:iCs/>
          <w:lang w:val="fr-FR"/>
        </w:rPr>
        <w:t>Prend également note</w:t>
      </w:r>
      <w:r w:rsidR="003D4595">
        <w:rPr>
          <w:lang w:val="fr-FR"/>
        </w:rPr>
        <w:t xml:space="preserve"> de la proposition de programme de travail et de budget pour l</w:t>
      </w:r>
      <w:r w:rsidR="0058158D">
        <w:rPr>
          <w:lang w:val="fr-FR"/>
        </w:rPr>
        <w:t>’</w:t>
      </w:r>
      <w:r w:rsidR="003D4595">
        <w:rPr>
          <w:lang w:val="fr-FR"/>
        </w:rPr>
        <w:t>exercice biennal</w:t>
      </w:r>
      <w:r w:rsidR="00CC64D9">
        <w:rPr>
          <w:lang w:val="fr-FR"/>
        </w:rPr>
        <w:t> </w:t>
      </w:r>
      <w:r w:rsidR="003C11AD">
        <w:rPr>
          <w:lang w:val="fr-FR"/>
        </w:rPr>
        <w:t>2020–2021</w:t>
      </w:r>
      <w:r w:rsidR="003D4595" w:rsidRPr="005C6555">
        <w:rPr>
          <w:rStyle w:val="FootnoteReference"/>
          <w:szCs w:val="20"/>
          <w:lang w:val="fr-FR"/>
        </w:rPr>
        <w:footnoteReference w:id="11"/>
      </w:r>
      <w:r w:rsidR="003D4595">
        <w:rPr>
          <w:lang w:val="fr-FR"/>
        </w:rPr>
        <w:t>,</w:t>
      </w:r>
      <w:r w:rsidR="00CC64D9">
        <w:rPr>
          <w:lang w:val="fr-FR"/>
        </w:rPr>
        <w:t xml:space="preserve"> a</w:t>
      </w:r>
      <w:r w:rsidR="003D4595">
        <w:rPr>
          <w:lang w:val="fr-FR"/>
        </w:rPr>
        <w:t>insi que des informations supplémentaires sur les questions financières</w:t>
      </w:r>
      <w:r w:rsidR="003D4595" w:rsidRPr="005C6555">
        <w:rPr>
          <w:rStyle w:val="FootnoteReference"/>
          <w:szCs w:val="20"/>
          <w:lang w:val="fr-FR"/>
        </w:rPr>
        <w:footnoteReference w:id="12"/>
      </w:r>
      <w:r w:rsidR="003D4595">
        <w:rPr>
          <w:lang w:val="fr-FR"/>
        </w:rPr>
        <w:t xml:space="preserve">, les projets de </w:t>
      </w:r>
      <w:r w:rsidR="007538C7">
        <w:rPr>
          <w:lang w:val="fr-FR"/>
        </w:rPr>
        <w:t>budget opérationnel</w:t>
      </w:r>
      <w:r w:rsidR="003D4595">
        <w:rPr>
          <w:lang w:val="fr-FR"/>
        </w:rPr>
        <w:t xml:space="preserve"> pour les </w:t>
      </w:r>
      <w:r w:rsidR="003C2572">
        <w:rPr>
          <w:lang w:val="fr-FR"/>
        </w:rPr>
        <w:t>deux </w:t>
      </w:r>
      <w:r w:rsidR="003D4595">
        <w:rPr>
          <w:lang w:val="fr-FR"/>
        </w:rPr>
        <w:t xml:space="preserve">scénarios de financement </w:t>
      </w:r>
      <w:r w:rsidR="003D4595" w:rsidRPr="005C6555">
        <w:rPr>
          <w:rStyle w:val="FootnoteReference"/>
          <w:szCs w:val="20"/>
          <w:lang w:val="fr-FR"/>
        </w:rPr>
        <w:footnoteReference w:id="13"/>
      </w:r>
      <w:r w:rsidR="003D4595">
        <w:rPr>
          <w:lang w:val="fr-FR"/>
        </w:rPr>
        <w:t xml:space="preserve"> et les</w:t>
      </w:r>
      <w:r w:rsidR="005064FA">
        <w:rPr>
          <w:lang w:val="fr-FR"/>
        </w:rPr>
        <w:t> </w:t>
      </w:r>
      <w:r w:rsidR="003D4595">
        <w:rPr>
          <w:lang w:val="fr-FR"/>
        </w:rPr>
        <w:t>fiches d</w:t>
      </w:r>
      <w:r w:rsidR="0058158D">
        <w:rPr>
          <w:lang w:val="fr-FR"/>
        </w:rPr>
        <w:t>’</w:t>
      </w:r>
      <w:r w:rsidR="003D4595">
        <w:rPr>
          <w:lang w:val="fr-FR"/>
        </w:rPr>
        <w:t>information sur les activités inscrites au budget</w:t>
      </w:r>
      <w:r w:rsidR="003D4595" w:rsidRPr="005C6555">
        <w:rPr>
          <w:rStyle w:val="FootnoteReference"/>
          <w:szCs w:val="20"/>
          <w:lang w:val="fr-FR"/>
        </w:rPr>
        <w:footnoteReference w:id="14"/>
      </w:r>
      <w:r w:rsidR="00B56E1F">
        <w:rPr>
          <w:lang w:val="fr-FR"/>
        </w:rPr>
        <w:t> ;</w:t>
      </w:r>
    </w:p>
    <w:p w14:paraId="2B75ED56" w14:textId="05C54C09" w:rsidR="00A70083" w:rsidRPr="00CC64D9" w:rsidRDefault="00430669" w:rsidP="00430669">
      <w:pPr>
        <w:pStyle w:val="NormalNonumber"/>
        <w:rPr>
          <w:lang w:val="fr-FR"/>
        </w:rPr>
      </w:pPr>
      <w:r>
        <w:rPr>
          <w:iCs/>
          <w:lang w:val="fr-FR"/>
        </w:rPr>
        <w:tab/>
        <w:t>9.</w:t>
      </w:r>
      <w:r>
        <w:rPr>
          <w:iCs/>
          <w:lang w:val="fr-FR"/>
        </w:rPr>
        <w:tab/>
      </w:r>
      <w:r w:rsidR="00D613A4">
        <w:rPr>
          <w:i/>
          <w:iCs/>
          <w:lang w:val="fr-FR"/>
        </w:rPr>
        <w:t>Approuve</w:t>
      </w:r>
      <w:r w:rsidR="00D613A4">
        <w:rPr>
          <w:lang w:val="fr-FR"/>
        </w:rPr>
        <w:t xml:space="preserve"> les dépenses </w:t>
      </w:r>
      <w:r w:rsidR="00E566EE" w:rsidRPr="00E566EE">
        <w:rPr>
          <w:lang w:val="fr-FR"/>
        </w:rPr>
        <w:t>estimati</w:t>
      </w:r>
      <w:r w:rsidR="00E566EE">
        <w:rPr>
          <w:lang w:val="fr-FR"/>
        </w:rPr>
        <w:t>ve</w:t>
      </w:r>
      <w:r w:rsidR="00E566EE" w:rsidRPr="00E566EE">
        <w:rPr>
          <w:lang w:val="fr-FR"/>
        </w:rPr>
        <w:t xml:space="preserve">s </w:t>
      </w:r>
      <w:r w:rsidR="00D613A4">
        <w:rPr>
          <w:lang w:val="fr-FR"/>
        </w:rPr>
        <w:t xml:space="preserve">du </w:t>
      </w:r>
      <w:r w:rsidR="00DB6834">
        <w:rPr>
          <w:lang w:val="fr-FR"/>
        </w:rPr>
        <w:t>Fonds d</w:t>
      </w:r>
      <w:r w:rsidR="0058158D">
        <w:rPr>
          <w:lang w:val="fr-FR"/>
        </w:rPr>
        <w:t>’</w:t>
      </w:r>
      <w:r w:rsidR="00DB6834">
        <w:rPr>
          <w:lang w:val="fr-FR"/>
        </w:rPr>
        <w:t>affectation spéciale à des fins déterminées</w:t>
      </w:r>
      <w:r w:rsidR="00D613A4">
        <w:rPr>
          <w:lang w:val="fr-FR"/>
        </w:rPr>
        <w:t xml:space="preserve"> pour l</w:t>
      </w:r>
      <w:r w:rsidR="0058158D">
        <w:rPr>
          <w:lang w:val="fr-FR"/>
        </w:rPr>
        <w:t>’</w:t>
      </w:r>
      <w:r w:rsidR="00D613A4">
        <w:rPr>
          <w:lang w:val="fr-FR"/>
        </w:rPr>
        <w:t>exercice biennal</w:t>
      </w:r>
      <w:r w:rsidR="00CC64D9">
        <w:rPr>
          <w:lang w:val="fr-FR"/>
        </w:rPr>
        <w:t> </w:t>
      </w:r>
      <w:r w:rsidR="003C11AD">
        <w:rPr>
          <w:lang w:val="fr-FR"/>
        </w:rPr>
        <w:t>2020–2021</w:t>
      </w:r>
      <w:r w:rsidR="00D613A4">
        <w:rPr>
          <w:lang w:val="fr-FR"/>
        </w:rPr>
        <w:t>, qui s</w:t>
      </w:r>
      <w:r w:rsidR="0058158D">
        <w:rPr>
          <w:lang w:val="fr-FR"/>
        </w:rPr>
        <w:t>’</w:t>
      </w:r>
      <w:r w:rsidR="00D613A4">
        <w:rPr>
          <w:lang w:val="fr-FR"/>
        </w:rPr>
        <w:t>élèvent à [--] dollars des États-Unis</w:t>
      </w:r>
      <w:r w:rsidR="00B56E1F">
        <w:rPr>
          <w:lang w:val="fr-FR"/>
        </w:rPr>
        <w:t> ;</w:t>
      </w:r>
    </w:p>
    <w:p w14:paraId="4C1D4A68" w14:textId="5ED54D84" w:rsidR="00354BBF" w:rsidRPr="00CC64D9" w:rsidRDefault="00430669" w:rsidP="00430669">
      <w:pPr>
        <w:pStyle w:val="NormalNonumber"/>
        <w:rPr>
          <w:lang w:val="fr-FR"/>
        </w:rPr>
      </w:pPr>
      <w:r>
        <w:rPr>
          <w:iCs/>
          <w:lang w:val="fr-FR"/>
        </w:rPr>
        <w:tab/>
        <w:t>10.</w:t>
      </w:r>
      <w:r>
        <w:rPr>
          <w:iCs/>
          <w:lang w:val="fr-FR"/>
        </w:rPr>
        <w:tab/>
      </w:r>
      <w:r w:rsidR="00E566EE">
        <w:rPr>
          <w:i/>
          <w:iCs/>
          <w:lang w:val="fr-FR"/>
        </w:rPr>
        <w:t>N</w:t>
      </w:r>
      <w:r w:rsidR="00805226">
        <w:rPr>
          <w:i/>
          <w:iCs/>
          <w:lang w:val="fr-FR"/>
        </w:rPr>
        <w:t xml:space="preserve">ote </w:t>
      </w:r>
      <w:r w:rsidR="00805226">
        <w:rPr>
          <w:lang w:val="fr-FR"/>
        </w:rPr>
        <w:t xml:space="preserve">que la mise en œuvre des activités prévues est subordonnée </w:t>
      </w:r>
      <w:r w:rsidR="00E566EE">
        <w:rPr>
          <w:lang w:val="fr-FR"/>
        </w:rPr>
        <w:t>au versement de</w:t>
      </w:r>
      <w:r w:rsidR="00805226">
        <w:rPr>
          <w:lang w:val="fr-FR"/>
        </w:rPr>
        <w:t xml:space="preserve"> ressources au </w:t>
      </w:r>
      <w:r w:rsidR="00DB6834">
        <w:rPr>
          <w:lang w:val="fr-FR"/>
        </w:rPr>
        <w:t>Fonds d</w:t>
      </w:r>
      <w:r w:rsidR="0058158D">
        <w:rPr>
          <w:lang w:val="fr-FR"/>
        </w:rPr>
        <w:t>’</w:t>
      </w:r>
      <w:r w:rsidR="00DB6834">
        <w:rPr>
          <w:lang w:val="fr-FR"/>
        </w:rPr>
        <w:t>affectation spéciale à des fins déterminées</w:t>
      </w:r>
      <w:r w:rsidR="00B56E1F">
        <w:rPr>
          <w:lang w:val="fr-FR"/>
        </w:rPr>
        <w:t> ;</w:t>
      </w:r>
    </w:p>
    <w:p w14:paraId="18E23D6C" w14:textId="4639E7A7" w:rsidR="00D613A4" w:rsidRPr="00D816DC" w:rsidRDefault="00430669" w:rsidP="005064FA">
      <w:pPr>
        <w:pStyle w:val="NormalNonumber"/>
        <w:keepLines/>
        <w:rPr>
          <w:lang w:val="fr-FR"/>
        </w:rPr>
      </w:pPr>
      <w:r>
        <w:rPr>
          <w:i/>
          <w:iCs/>
          <w:lang w:val="fr-FR"/>
        </w:rPr>
        <w:tab/>
      </w:r>
      <w:r>
        <w:rPr>
          <w:iCs/>
          <w:lang w:val="fr-FR"/>
        </w:rPr>
        <w:t>11.</w:t>
      </w:r>
      <w:r>
        <w:rPr>
          <w:iCs/>
          <w:lang w:val="fr-FR"/>
        </w:rPr>
        <w:tab/>
      </w:r>
      <w:r w:rsidR="00D613A4">
        <w:rPr>
          <w:i/>
          <w:iCs/>
          <w:lang w:val="fr-FR"/>
        </w:rPr>
        <w:t>Prie</w:t>
      </w:r>
      <w:r w:rsidR="00D613A4">
        <w:rPr>
          <w:lang w:val="fr-FR"/>
        </w:rPr>
        <w:t xml:space="preserve"> les Parties et invite les non-Parties à la Convention et les autres intéressés en mesure de le faire à contribuer au </w:t>
      </w:r>
      <w:r w:rsidR="00DB6834">
        <w:rPr>
          <w:lang w:val="fr-FR"/>
        </w:rPr>
        <w:t>Fonds d</w:t>
      </w:r>
      <w:r w:rsidR="0058158D">
        <w:rPr>
          <w:lang w:val="fr-FR"/>
        </w:rPr>
        <w:t>’</w:t>
      </w:r>
      <w:r w:rsidR="00DB6834">
        <w:rPr>
          <w:lang w:val="fr-FR"/>
        </w:rPr>
        <w:t>affectation spéciale à des fins déterminées</w:t>
      </w:r>
      <w:r w:rsidR="00D613A4">
        <w:rPr>
          <w:lang w:val="fr-FR"/>
        </w:rPr>
        <w:t xml:space="preserve"> pour appuyer les</w:t>
      </w:r>
      <w:r w:rsidR="005064FA">
        <w:rPr>
          <w:lang w:val="fr-FR"/>
        </w:rPr>
        <w:t> </w:t>
      </w:r>
      <w:r w:rsidR="00D613A4">
        <w:rPr>
          <w:lang w:val="fr-FR"/>
        </w:rPr>
        <w:t>activités de renforcement des capacités et d</w:t>
      </w:r>
      <w:r w:rsidR="0058158D">
        <w:rPr>
          <w:lang w:val="fr-FR"/>
        </w:rPr>
        <w:t>’</w:t>
      </w:r>
      <w:r w:rsidR="00D613A4">
        <w:rPr>
          <w:lang w:val="fr-FR"/>
        </w:rPr>
        <w:t>assistance technique du secrétariat de la Convention de</w:t>
      </w:r>
      <w:r w:rsidR="005064FA">
        <w:rPr>
          <w:lang w:val="fr-FR"/>
        </w:rPr>
        <w:t> </w:t>
      </w:r>
      <w:r w:rsidR="00D613A4">
        <w:rPr>
          <w:lang w:val="fr-FR"/>
        </w:rPr>
        <w:t>Minamata conformément à l</w:t>
      </w:r>
      <w:r w:rsidR="0058158D">
        <w:rPr>
          <w:lang w:val="fr-FR"/>
        </w:rPr>
        <w:t>’</w:t>
      </w:r>
      <w:r w:rsidR="00D613A4">
        <w:rPr>
          <w:lang w:val="fr-FR"/>
        </w:rPr>
        <w:t>article</w:t>
      </w:r>
      <w:r w:rsidR="00CC64D9">
        <w:rPr>
          <w:lang w:val="fr-FR"/>
        </w:rPr>
        <w:t> </w:t>
      </w:r>
      <w:r w:rsidR="00D613A4">
        <w:rPr>
          <w:lang w:val="fr-FR"/>
        </w:rPr>
        <w:t>14 de la Convention ;</w:t>
      </w:r>
    </w:p>
    <w:p w14:paraId="3A5B2629" w14:textId="5297323C" w:rsidR="00F2708D" w:rsidRPr="00D816DC" w:rsidRDefault="00430669" w:rsidP="00430669">
      <w:pPr>
        <w:pStyle w:val="NormalNonumber"/>
        <w:rPr>
          <w:lang w:val="fr-FR"/>
        </w:rPr>
      </w:pPr>
      <w:r w:rsidRPr="00430669">
        <w:rPr>
          <w:iCs/>
          <w:lang w:val="fr-FR"/>
        </w:rPr>
        <w:tab/>
        <w:t>12.</w:t>
      </w:r>
      <w:r w:rsidRPr="00430669">
        <w:rPr>
          <w:iCs/>
          <w:lang w:val="fr-FR"/>
        </w:rPr>
        <w:tab/>
      </w:r>
      <w:r w:rsidR="003D4595">
        <w:rPr>
          <w:i/>
          <w:iCs/>
          <w:lang w:val="fr-FR"/>
        </w:rPr>
        <w:t xml:space="preserve">Invite </w:t>
      </w:r>
      <w:r w:rsidR="003D4595">
        <w:rPr>
          <w:lang w:val="fr-FR"/>
        </w:rPr>
        <w:t>les Parties et les non-Parties à la Convention et les autres intéressés en mesure de</w:t>
      </w:r>
      <w:r w:rsidR="005064FA">
        <w:rPr>
          <w:lang w:val="fr-FR"/>
        </w:rPr>
        <w:t> </w:t>
      </w:r>
      <w:r w:rsidR="003D4595">
        <w:rPr>
          <w:lang w:val="fr-FR"/>
        </w:rPr>
        <w:t xml:space="preserve">le faire à verser des contributions au </w:t>
      </w:r>
      <w:r w:rsidR="00DB6834">
        <w:rPr>
          <w:lang w:val="fr-FR"/>
        </w:rPr>
        <w:t>Fonds d</w:t>
      </w:r>
      <w:r w:rsidR="0058158D">
        <w:rPr>
          <w:lang w:val="fr-FR"/>
        </w:rPr>
        <w:t>’</w:t>
      </w:r>
      <w:r w:rsidR="00DB6834">
        <w:rPr>
          <w:lang w:val="fr-FR"/>
        </w:rPr>
        <w:t>affectation spéciale à des fins déterminées</w:t>
      </w:r>
      <w:r w:rsidR="003D4595">
        <w:rPr>
          <w:lang w:val="fr-FR"/>
        </w:rPr>
        <w:t xml:space="preserve"> afin de faciliter la participation de représentant(e)s des pays en développement et en transition </w:t>
      </w:r>
      <w:r w:rsidR="004C5F93">
        <w:rPr>
          <w:lang w:val="fr-FR"/>
        </w:rPr>
        <w:t xml:space="preserve">Parties </w:t>
      </w:r>
      <w:r w:rsidR="003D4595">
        <w:rPr>
          <w:lang w:val="fr-FR"/>
        </w:rPr>
        <w:t>à ses réunions et à celles de ses organes subsidiaires</w:t>
      </w:r>
      <w:r w:rsidR="00B56E1F">
        <w:rPr>
          <w:lang w:val="fr-FR"/>
        </w:rPr>
        <w:t> ;</w:t>
      </w:r>
    </w:p>
    <w:p w14:paraId="55D3C923" w14:textId="77777777" w:rsidR="00F2708D" w:rsidRPr="00CC64D9" w:rsidRDefault="00F2708D" w:rsidP="00C2160A">
      <w:pPr>
        <w:pStyle w:val="CH2"/>
        <w:spacing w:before="240"/>
        <w:ind w:firstLine="0"/>
        <w:jc w:val="center"/>
        <w:rPr>
          <w:lang w:val="fr-FR"/>
        </w:rPr>
      </w:pPr>
      <w:r>
        <w:rPr>
          <w:bCs/>
          <w:lang w:val="fr-FR"/>
        </w:rPr>
        <w:t>III</w:t>
      </w:r>
    </w:p>
    <w:p w14:paraId="38D8202D" w14:textId="78116B33" w:rsidR="00F2708D" w:rsidRPr="00CC64D9" w:rsidRDefault="00DB6834" w:rsidP="00C2160A">
      <w:pPr>
        <w:pStyle w:val="CH2"/>
        <w:ind w:firstLine="0"/>
        <w:jc w:val="center"/>
        <w:rPr>
          <w:lang w:val="fr-FR"/>
        </w:rPr>
      </w:pPr>
      <w:r>
        <w:rPr>
          <w:bCs/>
          <w:lang w:val="fr-FR"/>
        </w:rPr>
        <w:t>Fonds d</w:t>
      </w:r>
      <w:r w:rsidR="0058158D">
        <w:rPr>
          <w:bCs/>
          <w:lang w:val="fr-FR"/>
        </w:rPr>
        <w:t>’</w:t>
      </w:r>
      <w:r>
        <w:rPr>
          <w:bCs/>
          <w:lang w:val="fr-FR"/>
        </w:rPr>
        <w:t>affectation spéciale particulier</w:t>
      </w:r>
      <w:r w:rsidR="00F2708D">
        <w:rPr>
          <w:bCs/>
          <w:lang w:val="fr-FR"/>
        </w:rPr>
        <w:t xml:space="preserve"> pour la Convention de Minamata sur</w:t>
      </w:r>
      <w:r w:rsidR="005064FA">
        <w:rPr>
          <w:bCs/>
          <w:lang w:val="fr-FR"/>
        </w:rPr>
        <w:t> </w:t>
      </w:r>
      <w:r w:rsidR="00F2708D">
        <w:rPr>
          <w:bCs/>
          <w:lang w:val="fr-FR"/>
        </w:rPr>
        <w:t>le</w:t>
      </w:r>
      <w:r w:rsidR="005064FA">
        <w:rPr>
          <w:bCs/>
          <w:lang w:val="fr-FR"/>
        </w:rPr>
        <w:t> </w:t>
      </w:r>
      <w:r w:rsidR="00F2708D">
        <w:rPr>
          <w:bCs/>
          <w:lang w:val="fr-FR"/>
        </w:rPr>
        <w:t>mercure</w:t>
      </w:r>
    </w:p>
    <w:p w14:paraId="66073330" w14:textId="1DC401B3" w:rsidR="00A70083" w:rsidRPr="00CC64D9" w:rsidRDefault="00430669" w:rsidP="00430669">
      <w:pPr>
        <w:pStyle w:val="NormalNonumber"/>
        <w:rPr>
          <w:lang w:val="fr-FR"/>
        </w:rPr>
      </w:pPr>
      <w:r>
        <w:rPr>
          <w:iCs/>
          <w:lang w:val="fr-FR"/>
        </w:rPr>
        <w:tab/>
        <w:t>13.</w:t>
      </w:r>
      <w:r>
        <w:rPr>
          <w:iCs/>
          <w:lang w:val="fr-FR"/>
        </w:rPr>
        <w:tab/>
      </w:r>
      <w:r w:rsidR="00F2708D">
        <w:rPr>
          <w:i/>
          <w:iCs/>
          <w:lang w:val="fr-FR"/>
        </w:rPr>
        <w:t>Prend note</w:t>
      </w:r>
      <w:r w:rsidR="00F2708D">
        <w:rPr>
          <w:lang w:val="fr-FR"/>
        </w:rPr>
        <w:t xml:space="preserve"> du rapport d</w:t>
      </w:r>
      <w:r w:rsidR="0058158D">
        <w:rPr>
          <w:lang w:val="fr-FR"/>
        </w:rPr>
        <w:t>’</w:t>
      </w:r>
      <w:r w:rsidR="00F2708D">
        <w:rPr>
          <w:lang w:val="fr-FR"/>
        </w:rPr>
        <w:t>ensemble sur le Programme international spécifique visant à soutenir le renforcement des capacités et l</w:t>
      </w:r>
      <w:r w:rsidR="0058158D">
        <w:rPr>
          <w:lang w:val="fr-FR"/>
        </w:rPr>
        <w:t>’</w:t>
      </w:r>
      <w:r w:rsidR="00F2708D">
        <w:rPr>
          <w:lang w:val="fr-FR"/>
        </w:rPr>
        <w:t xml:space="preserve">assistance technique et sur le </w:t>
      </w:r>
      <w:r w:rsidR="00DB6834">
        <w:rPr>
          <w:lang w:val="fr-FR"/>
        </w:rPr>
        <w:t>Fonds d</w:t>
      </w:r>
      <w:r w:rsidR="0058158D">
        <w:rPr>
          <w:lang w:val="fr-FR"/>
        </w:rPr>
        <w:t>’</w:t>
      </w:r>
      <w:r w:rsidR="00DB6834">
        <w:rPr>
          <w:lang w:val="fr-FR"/>
        </w:rPr>
        <w:t>affectation spéciale particulier</w:t>
      </w:r>
      <w:r w:rsidR="00F2708D">
        <w:rPr>
          <w:lang w:val="fr-FR"/>
        </w:rPr>
        <w:t xml:space="preserve"> établi pour ces activités</w:t>
      </w:r>
      <w:r w:rsidR="00654A36" w:rsidRPr="00837F5F">
        <w:rPr>
          <w:rStyle w:val="FootnoteReference"/>
          <w:szCs w:val="20"/>
          <w:lang w:val="fr-FR"/>
        </w:rPr>
        <w:footnoteReference w:id="15"/>
      </w:r>
      <w:r w:rsidR="003F3D92">
        <w:rPr>
          <w:lang w:val="fr-FR"/>
        </w:rPr>
        <w:t> ;</w:t>
      </w:r>
    </w:p>
    <w:p w14:paraId="14B98BD2" w14:textId="0454D727" w:rsidR="00A70083" w:rsidRPr="00D816DC" w:rsidRDefault="00430669" w:rsidP="00430669">
      <w:pPr>
        <w:pStyle w:val="NormalNonumber"/>
        <w:rPr>
          <w:lang w:val="fr-FR"/>
        </w:rPr>
      </w:pPr>
      <w:r>
        <w:rPr>
          <w:iCs/>
          <w:lang w:val="fr-FR"/>
        </w:rPr>
        <w:tab/>
        <w:t>14.</w:t>
      </w:r>
      <w:r>
        <w:rPr>
          <w:iCs/>
          <w:lang w:val="fr-FR"/>
        </w:rPr>
        <w:tab/>
      </w:r>
      <w:r w:rsidR="00F2708D">
        <w:rPr>
          <w:i/>
          <w:iCs/>
          <w:lang w:val="fr-FR"/>
        </w:rPr>
        <w:t xml:space="preserve">Invite </w:t>
      </w:r>
      <w:r w:rsidR="00F2708D">
        <w:rPr>
          <w:lang w:val="fr-FR"/>
        </w:rPr>
        <w:t xml:space="preserve">les Parties et les non-Parties à la Convention et les autres intéressés en mesure de le faire à contribuer au </w:t>
      </w:r>
      <w:r w:rsidR="00DB6834">
        <w:rPr>
          <w:lang w:val="fr-FR"/>
        </w:rPr>
        <w:t>Fonds d</w:t>
      </w:r>
      <w:r w:rsidR="0058158D">
        <w:rPr>
          <w:lang w:val="fr-FR"/>
        </w:rPr>
        <w:t>’</w:t>
      </w:r>
      <w:r w:rsidR="00DB6834">
        <w:rPr>
          <w:lang w:val="fr-FR"/>
        </w:rPr>
        <w:t>affectation spéciale particulier</w:t>
      </w:r>
      <w:r w:rsidR="00F2708D">
        <w:rPr>
          <w:lang w:val="fr-FR"/>
        </w:rPr>
        <w:t xml:space="preserve"> pour appuyer les activités de renforcement des capacités et d</w:t>
      </w:r>
      <w:r w:rsidR="0058158D">
        <w:rPr>
          <w:lang w:val="fr-FR"/>
        </w:rPr>
        <w:t>’</w:t>
      </w:r>
      <w:r w:rsidR="00F2708D">
        <w:rPr>
          <w:lang w:val="fr-FR"/>
        </w:rPr>
        <w:t>assistance technique conformément à l</w:t>
      </w:r>
      <w:r w:rsidR="0058158D">
        <w:rPr>
          <w:lang w:val="fr-FR"/>
        </w:rPr>
        <w:t>’</w:t>
      </w:r>
      <w:r w:rsidR="00F2708D">
        <w:rPr>
          <w:lang w:val="fr-FR"/>
        </w:rPr>
        <w:t>article</w:t>
      </w:r>
      <w:r w:rsidR="00CC64D9">
        <w:rPr>
          <w:lang w:val="fr-FR"/>
        </w:rPr>
        <w:t> </w:t>
      </w:r>
      <w:r w:rsidR="00F2708D">
        <w:rPr>
          <w:lang w:val="fr-FR"/>
        </w:rPr>
        <w:t>13 de la Convention</w:t>
      </w:r>
      <w:r w:rsidR="00B56E1F">
        <w:rPr>
          <w:lang w:val="fr-FR"/>
        </w:rPr>
        <w:t> ;</w:t>
      </w:r>
    </w:p>
    <w:p w14:paraId="40F5B678" w14:textId="135DE8D2" w:rsidR="00F2708D" w:rsidRPr="00CC64D9" w:rsidRDefault="00F2708D" w:rsidP="00311C4E">
      <w:pPr>
        <w:pStyle w:val="CH2"/>
        <w:spacing w:before="240"/>
        <w:ind w:firstLine="0"/>
        <w:jc w:val="center"/>
        <w:rPr>
          <w:lang w:val="fr-FR"/>
        </w:rPr>
      </w:pPr>
      <w:r>
        <w:rPr>
          <w:bCs/>
          <w:lang w:val="fr-FR"/>
        </w:rPr>
        <w:t>IV</w:t>
      </w:r>
    </w:p>
    <w:p w14:paraId="2D66039E" w14:textId="74952A18" w:rsidR="00F2708D" w:rsidRPr="00CC64D9" w:rsidRDefault="00F2708D" w:rsidP="005C6555">
      <w:pPr>
        <w:pStyle w:val="CH2"/>
        <w:ind w:firstLine="0"/>
        <w:jc w:val="center"/>
        <w:rPr>
          <w:lang w:val="fr-FR"/>
        </w:rPr>
      </w:pPr>
      <w:r>
        <w:rPr>
          <w:bCs/>
          <w:lang w:val="fr-FR"/>
        </w:rPr>
        <w:t>Préparatifs pour l</w:t>
      </w:r>
      <w:r w:rsidR="0058158D">
        <w:rPr>
          <w:bCs/>
          <w:lang w:val="fr-FR"/>
        </w:rPr>
        <w:t>’</w:t>
      </w:r>
      <w:r>
        <w:rPr>
          <w:bCs/>
          <w:lang w:val="fr-FR"/>
        </w:rPr>
        <w:t>exercice biennal</w:t>
      </w:r>
      <w:r w:rsidR="00CC64D9">
        <w:rPr>
          <w:bCs/>
          <w:lang w:val="fr-FR"/>
        </w:rPr>
        <w:t> </w:t>
      </w:r>
      <w:r w:rsidR="007C7196">
        <w:rPr>
          <w:bCs/>
          <w:lang w:val="fr-FR"/>
        </w:rPr>
        <w:t>2022–2023</w:t>
      </w:r>
    </w:p>
    <w:p w14:paraId="5878CD1F" w14:textId="629D2772" w:rsidR="000D7F52" w:rsidRPr="00CC64D9" w:rsidRDefault="00430669" w:rsidP="00430669">
      <w:pPr>
        <w:pStyle w:val="NormalNonumber"/>
        <w:rPr>
          <w:i/>
          <w:iCs/>
          <w:lang w:val="fr-FR"/>
        </w:rPr>
      </w:pPr>
      <w:r>
        <w:rPr>
          <w:iCs/>
          <w:lang w:val="fr-FR"/>
        </w:rPr>
        <w:tab/>
        <w:t>15.</w:t>
      </w:r>
      <w:r>
        <w:rPr>
          <w:iCs/>
          <w:lang w:val="fr-FR"/>
        </w:rPr>
        <w:tab/>
      </w:r>
      <w:r w:rsidR="00F45B30">
        <w:rPr>
          <w:i/>
          <w:iCs/>
          <w:lang w:val="fr-FR"/>
        </w:rPr>
        <w:t xml:space="preserve">Prie </w:t>
      </w:r>
      <w:r w:rsidR="00F45B30">
        <w:rPr>
          <w:lang w:val="fr-FR"/>
        </w:rPr>
        <w:t>la Secrétaire exécutive d</w:t>
      </w:r>
      <w:r w:rsidR="0058158D">
        <w:rPr>
          <w:lang w:val="fr-FR"/>
        </w:rPr>
        <w:t>’</w:t>
      </w:r>
      <w:r w:rsidR="00F45B30">
        <w:rPr>
          <w:lang w:val="fr-FR"/>
        </w:rPr>
        <w:t>établir un budget pour l</w:t>
      </w:r>
      <w:r w:rsidR="0058158D">
        <w:rPr>
          <w:lang w:val="fr-FR"/>
        </w:rPr>
        <w:t>’</w:t>
      </w:r>
      <w:r w:rsidR="00F45B30">
        <w:rPr>
          <w:lang w:val="fr-FR"/>
        </w:rPr>
        <w:t>exercice biennal</w:t>
      </w:r>
      <w:r w:rsidR="00CC64D9">
        <w:rPr>
          <w:lang w:val="fr-FR"/>
        </w:rPr>
        <w:t> </w:t>
      </w:r>
      <w:r w:rsidR="007C7196">
        <w:rPr>
          <w:lang w:val="fr-FR"/>
        </w:rPr>
        <w:t>2022–2023</w:t>
      </w:r>
      <w:r w:rsidR="00F45B30">
        <w:rPr>
          <w:lang w:val="fr-FR"/>
        </w:rPr>
        <w:t>, qu</w:t>
      </w:r>
      <w:r w:rsidR="0058158D">
        <w:rPr>
          <w:lang w:val="fr-FR"/>
        </w:rPr>
        <w:t>’</w:t>
      </w:r>
      <w:r w:rsidR="00F45B30">
        <w:rPr>
          <w:lang w:val="fr-FR"/>
        </w:rPr>
        <w:t>elle examinera à sa quatrième réunion en 2021, en expliquant les principes fondamentaux, les</w:t>
      </w:r>
      <w:r w:rsidR="005064FA">
        <w:rPr>
          <w:lang w:val="fr-FR"/>
        </w:rPr>
        <w:t> </w:t>
      </w:r>
      <w:r w:rsidR="00F45B30">
        <w:rPr>
          <w:lang w:val="fr-FR"/>
        </w:rPr>
        <w:t>hypothèses et la stratégie de programmation sur lesquels repose ce budget et en présentant les</w:t>
      </w:r>
      <w:r w:rsidR="005064FA">
        <w:rPr>
          <w:lang w:val="fr-FR"/>
        </w:rPr>
        <w:t> </w:t>
      </w:r>
      <w:r w:rsidR="00F45B30">
        <w:rPr>
          <w:lang w:val="fr-FR"/>
        </w:rPr>
        <w:t>dépenses pour cet exercice biennal par programme et par activité inscrite au budget, chaque activité étant accompagnée d</w:t>
      </w:r>
      <w:r w:rsidR="0058158D">
        <w:rPr>
          <w:lang w:val="fr-FR"/>
        </w:rPr>
        <w:t>’</w:t>
      </w:r>
      <w:r w:rsidR="00F45B30">
        <w:rPr>
          <w:lang w:val="fr-FR"/>
        </w:rPr>
        <w:t>une fiche d</w:t>
      </w:r>
      <w:r w:rsidR="0058158D">
        <w:rPr>
          <w:lang w:val="fr-FR"/>
        </w:rPr>
        <w:t>’</w:t>
      </w:r>
      <w:r w:rsidR="00F45B30">
        <w:rPr>
          <w:lang w:val="fr-FR"/>
        </w:rPr>
        <w:t>information ;</w:t>
      </w:r>
    </w:p>
    <w:p w14:paraId="2D61FF85" w14:textId="775EEA94" w:rsidR="000D7F52" w:rsidRPr="00D816DC" w:rsidRDefault="00430669" w:rsidP="00430669">
      <w:pPr>
        <w:pStyle w:val="NormalNonumber"/>
        <w:rPr>
          <w:lang w:val="fr-FR"/>
        </w:rPr>
      </w:pPr>
      <w:r>
        <w:rPr>
          <w:iCs/>
          <w:lang w:val="fr-FR"/>
        </w:rPr>
        <w:tab/>
        <w:t>16.</w:t>
      </w:r>
      <w:r>
        <w:rPr>
          <w:iCs/>
          <w:lang w:val="fr-FR"/>
        </w:rPr>
        <w:tab/>
      </w:r>
      <w:r w:rsidR="000D7F52" w:rsidRPr="003F3D92">
        <w:rPr>
          <w:i/>
          <w:iCs/>
          <w:lang w:val="fr-FR"/>
        </w:rPr>
        <w:t>Prie</w:t>
      </w:r>
      <w:r w:rsidR="000D7F52" w:rsidRPr="003F3D92">
        <w:rPr>
          <w:i/>
          <w:lang w:val="fr-FR"/>
        </w:rPr>
        <w:t xml:space="preserve"> également</w:t>
      </w:r>
      <w:r w:rsidR="000D7F52">
        <w:rPr>
          <w:lang w:val="fr-FR"/>
        </w:rPr>
        <w:t xml:space="preserve"> la Secrétaire exécutive, </w:t>
      </w:r>
      <w:r w:rsidR="004C5F93">
        <w:rPr>
          <w:lang w:val="fr-FR"/>
        </w:rPr>
        <w:t>lors</w:t>
      </w:r>
      <w:r w:rsidR="000D7F52">
        <w:rPr>
          <w:lang w:val="fr-FR"/>
        </w:rPr>
        <w:t xml:space="preserve"> de l</w:t>
      </w:r>
      <w:r w:rsidR="0058158D">
        <w:rPr>
          <w:lang w:val="fr-FR"/>
        </w:rPr>
        <w:t>’</w:t>
      </w:r>
      <w:r w:rsidR="000D7F52">
        <w:rPr>
          <w:lang w:val="fr-FR"/>
        </w:rPr>
        <w:t>établissement du budget et du programme de travail pour l</w:t>
      </w:r>
      <w:r w:rsidR="0058158D">
        <w:rPr>
          <w:lang w:val="fr-FR"/>
        </w:rPr>
        <w:t>’</w:t>
      </w:r>
      <w:r w:rsidR="000D7F52">
        <w:rPr>
          <w:lang w:val="fr-FR"/>
        </w:rPr>
        <w:t>exercice biennal</w:t>
      </w:r>
      <w:r w:rsidR="00CC64D9">
        <w:rPr>
          <w:lang w:val="fr-FR"/>
        </w:rPr>
        <w:t> </w:t>
      </w:r>
      <w:r w:rsidR="007C7196">
        <w:rPr>
          <w:lang w:val="fr-FR"/>
        </w:rPr>
        <w:t>2022–2023</w:t>
      </w:r>
      <w:r w:rsidR="000D7F52">
        <w:rPr>
          <w:lang w:val="fr-FR"/>
        </w:rPr>
        <w:t xml:space="preserve">, de présenter </w:t>
      </w:r>
      <w:r w:rsidR="003C2572">
        <w:rPr>
          <w:lang w:val="fr-FR"/>
        </w:rPr>
        <w:t>deux </w:t>
      </w:r>
      <w:r w:rsidR="000D7F52">
        <w:rPr>
          <w:lang w:val="fr-FR"/>
        </w:rPr>
        <w:t>scénarios dont</w:t>
      </w:r>
      <w:r w:rsidR="00CC64D9">
        <w:rPr>
          <w:lang w:val="fr-FR"/>
        </w:rPr>
        <w:t> </w:t>
      </w:r>
      <w:r w:rsidR="000D7F52">
        <w:rPr>
          <w:lang w:val="fr-FR"/>
        </w:rPr>
        <w:t>:</w:t>
      </w:r>
    </w:p>
    <w:p w14:paraId="337DBB3D" w14:textId="68AEE8F7" w:rsidR="00A70083" w:rsidRPr="00CC64D9" w:rsidRDefault="00430669" w:rsidP="00430669">
      <w:pPr>
        <w:pStyle w:val="NormalNonumber"/>
        <w:rPr>
          <w:lang w:val="fr-FR"/>
        </w:rPr>
      </w:pPr>
      <w:r>
        <w:rPr>
          <w:lang w:val="fr-FR"/>
        </w:rPr>
        <w:tab/>
        <w:t>a)</w:t>
      </w:r>
      <w:r>
        <w:rPr>
          <w:lang w:val="fr-FR"/>
        </w:rPr>
        <w:tab/>
      </w:r>
      <w:r w:rsidR="000D7F52">
        <w:rPr>
          <w:lang w:val="fr-FR"/>
        </w:rPr>
        <w:t xml:space="preserve">Un </w:t>
      </w:r>
      <w:r w:rsidR="004C5F93">
        <w:rPr>
          <w:lang w:val="fr-FR"/>
        </w:rPr>
        <w:t>mainten</w:t>
      </w:r>
      <w:r w:rsidR="000D7F52">
        <w:rPr>
          <w:lang w:val="fr-FR"/>
        </w:rPr>
        <w:t xml:space="preserve">ant le </w:t>
      </w:r>
      <w:r w:rsidR="007538C7">
        <w:rPr>
          <w:lang w:val="fr-FR"/>
        </w:rPr>
        <w:t>budget opérationnel</w:t>
      </w:r>
      <w:r w:rsidR="000D7F52">
        <w:rPr>
          <w:lang w:val="fr-FR"/>
        </w:rPr>
        <w:t xml:space="preserve"> à son niveau de </w:t>
      </w:r>
      <w:r w:rsidR="003C11AD">
        <w:rPr>
          <w:lang w:val="fr-FR"/>
        </w:rPr>
        <w:t>2020–2021</w:t>
      </w:r>
      <w:r w:rsidR="000D7F52">
        <w:rPr>
          <w:lang w:val="fr-FR"/>
        </w:rPr>
        <w:t xml:space="preserve"> en valeur nominale</w:t>
      </w:r>
      <w:r w:rsidR="00B56E1F">
        <w:rPr>
          <w:lang w:val="fr-FR"/>
        </w:rPr>
        <w:t> ;</w:t>
      </w:r>
    </w:p>
    <w:p w14:paraId="7E9DCF1B" w14:textId="008F1818" w:rsidR="00A70083" w:rsidRPr="00CC64D9" w:rsidRDefault="00430669" w:rsidP="00430669">
      <w:pPr>
        <w:pStyle w:val="NormalNonumber"/>
        <w:rPr>
          <w:lang w:val="fr-FR"/>
        </w:rPr>
      </w:pPr>
      <w:r>
        <w:rPr>
          <w:lang w:val="fr-FR"/>
        </w:rPr>
        <w:tab/>
        <w:t>b)</w:t>
      </w:r>
      <w:r>
        <w:rPr>
          <w:lang w:val="fr-FR"/>
        </w:rPr>
        <w:tab/>
      </w:r>
      <w:r w:rsidR="00383389">
        <w:rPr>
          <w:lang w:val="fr-FR"/>
        </w:rPr>
        <w:t xml:space="preserve">Un faisant apparaître les </w:t>
      </w:r>
      <w:r w:rsidR="00281A5E">
        <w:rPr>
          <w:lang w:val="fr-FR"/>
        </w:rPr>
        <w:t>changements</w:t>
      </w:r>
      <w:r w:rsidR="00383389">
        <w:rPr>
          <w:lang w:val="fr-FR"/>
        </w:rPr>
        <w:t xml:space="preserve"> qu</w:t>
      </w:r>
      <w:r w:rsidR="0058158D">
        <w:rPr>
          <w:lang w:val="fr-FR"/>
        </w:rPr>
        <w:t>’</w:t>
      </w:r>
      <w:r w:rsidR="00383389">
        <w:rPr>
          <w:lang w:val="fr-FR"/>
        </w:rPr>
        <w:t>il faudrait apporter au scénario visé ci-dessus pour répondre aux besoins prévus et couvrir les coûts ou réaliser des économies connexes.</w:t>
      </w:r>
    </w:p>
    <w:p w14:paraId="5A976D05" w14:textId="2FD44D14" w:rsidR="00E71861" w:rsidRPr="00CC64D9" w:rsidRDefault="00E71861" w:rsidP="00C2160A">
      <w:pPr>
        <w:pStyle w:val="Normal-pool"/>
        <w:rPr>
          <w:lang w:val="fr-FR"/>
        </w:rPr>
      </w:pPr>
      <w:r w:rsidRPr="00CC64D9">
        <w:rPr>
          <w:lang w:val="fr-FR"/>
        </w:rPr>
        <w:br w:type="page"/>
      </w:r>
    </w:p>
    <w:p w14:paraId="7E3E4A8E" w14:textId="6EFB8AA0" w:rsidR="00885718" w:rsidRPr="00CC64D9" w:rsidRDefault="005F2AF3" w:rsidP="0082498C">
      <w:pPr>
        <w:pStyle w:val="ZZAnxheader"/>
        <w:rPr>
          <w:lang w:val="fr-FR"/>
        </w:rPr>
      </w:pPr>
      <w:r>
        <w:rPr>
          <w:lang w:val="fr-FR"/>
        </w:rPr>
        <w:t>Annexe</w:t>
      </w:r>
      <w:r w:rsidR="00CC64D9">
        <w:rPr>
          <w:lang w:val="fr-FR"/>
        </w:rPr>
        <w:t> </w:t>
      </w:r>
      <w:r>
        <w:rPr>
          <w:lang w:val="fr-FR"/>
        </w:rPr>
        <w:t>II</w:t>
      </w:r>
    </w:p>
    <w:p w14:paraId="36BF2DD6" w14:textId="4ED51643" w:rsidR="000E0C00" w:rsidRPr="00CC64D9" w:rsidRDefault="00F34B53" w:rsidP="003F3D92">
      <w:pPr>
        <w:pStyle w:val="ZZAnxtitle"/>
        <w:spacing w:after="240"/>
        <w:rPr>
          <w:lang w:val="fr-FR"/>
        </w:rPr>
      </w:pPr>
      <w:r>
        <w:rPr>
          <w:lang w:val="fr-FR"/>
        </w:rPr>
        <w:t>Liste des activités qu</w:t>
      </w:r>
      <w:r w:rsidR="0058158D">
        <w:rPr>
          <w:lang w:val="fr-FR"/>
        </w:rPr>
        <w:t>’</w:t>
      </w:r>
      <w:r>
        <w:rPr>
          <w:lang w:val="fr-FR"/>
        </w:rPr>
        <w:t>il est proposé d</w:t>
      </w:r>
      <w:r w:rsidR="0058158D">
        <w:rPr>
          <w:lang w:val="fr-FR"/>
        </w:rPr>
        <w:t>’</w:t>
      </w:r>
      <w:r>
        <w:rPr>
          <w:lang w:val="fr-FR"/>
        </w:rPr>
        <w:t>inclure dans le programme de</w:t>
      </w:r>
      <w:r w:rsidR="005064FA">
        <w:rPr>
          <w:lang w:val="fr-FR"/>
        </w:rPr>
        <w:t> </w:t>
      </w:r>
      <w:r>
        <w:rPr>
          <w:lang w:val="fr-FR"/>
        </w:rPr>
        <w:t>travail pour l</w:t>
      </w:r>
      <w:r w:rsidR="0058158D">
        <w:rPr>
          <w:lang w:val="fr-FR"/>
        </w:rPr>
        <w:t>’</w:t>
      </w:r>
      <w:r>
        <w:rPr>
          <w:lang w:val="fr-FR"/>
        </w:rPr>
        <w:t>exercice biennal</w:t>
      </w:r>
      <w:r w:rsidR="00CC64D9">
        <w:rPr>
          <w:lang w:val="fr-FR"/>
        </w:rPr>
        <w:t> </w:t>
      </w:r>
      <w:r w:rsidR="003C11AD">
        <w:rPr>
          <w:lang w:val="fr-FR"/>
        </w:rPr>
        <w:t>2020–2021</w:t>
      </w:r>
    </w:p>
    <w:tbl>
      <w:tblPr>
        <w:tblW w:w="8307" w:type="dxa"/>
        <w:jc w:val="right"/>
        <w:tblLayout w:type="fixed"/>
        <w:tblLook w:val="04A0" w:firstRow="1" w:lastRow="0" w:firstColumn="1" w:lastColumn="0" w:noHBand="0" w:noVBand="1"/>
      </w:tblPr>
      <w:tblGrid>
        <w:gridCol w:w="1418"/>
        <w:gridCol w:w="6889"/>
      </w:tblGrid>
      <w:tr w:rsidR="00C2160A" w:rsidRPr="00A86DAD" w14:paraId="432B0838" w14:textId="77777777" w:rsidTr="003F3D92">
        <w:trPr>
          <w:trHeight w:val="57"/>
          <w:jc w:val="right"/>
        </w:trPr>
        <w:tc>
          <w:tcPr>
            <w:tcW w:w="1418" w:type="dxa"/>
            <w:tcBorders>
              <w:top w:val="single" w:sz="4" w:space="0" w:color="auto"/>
              <w:left w:val="nil"/>
              <w:bottom w:val="single" w:sz="8" w:space="0" w:color="auto"/>
              <w:right w:val="nil"/>
            </w:tcBorders>
            <w:shd w:val="clear" w:color="000000" w:fill="FFFFFF"/>
            <w:noWrap/>
            <w:hideMark/>
          </w:tcPr>
          <w:p w14:paraId="4A6C3163" w14:textId="561694FC" w:rsidR="00C2160A" w:rsidRPr="00AC5825" w:rsidRDefault="00C2160A" w:rsidP="007B292B">
            <w:pPr>
              <w:pStyle w:val="Normal-pool"/>
              <w:spacing w:before="40" w:after="40"/>
              <w:rPr>
                <w:b/>
              </w:rPr>
            </w:pPr>
            <w:r>
              <w:rPr>
                <w:b/>
                <w:bCs/>
                <w:lang w:val="fr-FR"/>
              </w:rPr>
              <w:t>Activité n</w:t>
            </w:r>
            <w:r>
              <w:rPr>
                <w:b/>
                <w:bCs/>
                <w:vertAlign w:val="superscript"/>
                <w:lang w:val="fr-FR"/>
              </w:rPr>
              <w:t>o</w:t>
            </w:r>
          </w:p>
        </w:tc>
        <w:tc>
          <w:tcPr>
            <w:tcW w:w="6889" w:type="dxa"/>
            <w:tcBorders>
              <w:top w:val="single" w:sz="4" w:space="0" w:color="auto"/>
              <w:left w:val="nil"/>
              <w:bottom w:val="single" w:sz="8" w:space="0" w:color="auto"/>
              <w:right w:val="nil"/>
            </w:tcBorders>
            <w:shd w:val="clear" w:color="000000" w:fill="FFFFFF"/>
            <w:noWrap/>
            <w:hideMark/>
          </w:tcPr>
          <w:p w14:paraId="6C84F154" w14:textId="0AD8E6CB" w:rsidR="00C2160A" w:rsidRPr="00CC64D9" w:rsidRDefault="00BA6599" w:rsidP="007B292B">
            <w:pPr>
              <w:pStyle w:val="Normal-pool"/>
              <w:spacing w:before="40" w:after="40"/>
              <w:rPr>
                <w:b/>
                <w:lang w:val="fr-FR"/>
              </w:rPr>
            </w:pPr>
            <w:r>
              <w:rPr>
                <w:b/>
                <w:bCs/>
                <w:lang w:val="fr-FR"/>
              </w:rPr>
              <w:t>Rubrique fonctionnelle et description de l</w:t>
            </w:r>
            <w:r w:rsidR="0058158D">
              <w:rPr>
                <w:b/>
                <w:bCs/>
                <w:lang w:val="fr-FR"/>
              </w:rPr>
              <w:t>’</w:t>
            </w:r>
            <w:r>
              <w:rPr>
                <w:b/>
                <w:bCs/>
                <w:lang w:val="fr-FR"/>
              </w:rPr>
              <w:t>activité</w:t>
            </w:r>
            <w:r>
              <w:rPr>
                <w:lang w:val="fr-FR"/>
              </w:rPr>
              <w:t xml:space="preserve"> </w:t>
            </w:r>
          </w:p>
        </w:tc>
      </w:tr>
      <w:tr w:rsidR="00C2160A" w:rsidRPr="00AC5825" w14:paraId="6456BF7E" w14:textId="77777777" w:rsidTr="003F3D92">
        <w:trPr>
          <w:trHeight w:val="57"/>
          <w:jc w:val="right"/>
        </w:trPr>
        <w:tc>
          <w:tcPr>
            <w:tcW w:w="1418" w:type="dxa"/>
            <w:tcBorders>
              <w:top w:val="nil"/>
              <w:left w:val="nil"/>
              <w:bottom w:val="single" w:sz="4" w:space="0" w:color="auto"/>
              <w:right w:val="nil"/>
            </w:tcBorders>
            <w:shd w:val="clear" w:color="000000" w:fill="FFFFFF"/>
            <w:noWrap/>
            <w:vAlign w:val="center"/>
            <w:hideMark/>
          </w:tcPr>
          <w:p w14:paraId="64E72AFA" w14:textId="77777777" w:rsidR="00C2160A" w:rsidRPr="00CC64D9" w:rsidRDefault="00C2160A" w:rsidP="007B292B">
            <w:pPr>
              <w:pStyle w:val="Normal-pool"/>
              <w:spacing w:before="40" w:after="40"/>
              <w:rPr>
                <w:lang w:val="fr-FR" w:eastAsia="zh-CN"/>
              </w:rPr>
            </w:pPr>
            <w:r w:rsidRPr="00CC64D9">
              <w:rPr>
                <w:lang w:val="fr-FR" w:eastAsia="zh-CN"/>
              </w:rPr>
              <w:t> </w:t>
            </w:r>
          </w:p>
        </w:tc>
        <w:tc>
          <w:tcPr>
            <w:tcW w:w="6889" w:type="dxa"/>
            <w:tcBorders>
              <w:top w:val="single" w:sz="8" w:space="0" w:color="auto"/>
              <w:left w:val="nil"/>
              <w:bottom w:val="single" w:sz="4" w:space="0" w:color="auto"/>
              <w:right w:val="nil"/>
            </w:tcBorders>
            <w:shd w:val="clear" w:color="000000" w:fill="FFFFFF"/>
            <w:noWrap/>
            <w:vAlign w:val="center"/>
            <w:hideMark/>
          </w:tcPr>
          <w:p w14:paraId="302DB3C8" w14:textId="1B4793BD" w:rsidR="00C2160A" w:rsidRPr="00AC5825" w:rsidRDefault="00C2160A" w:rsidP="007B292B">
            <w:pPr>
              <w:tabs>
                <w:tab w:val="clear" w:pos="1247"/>
                <w:tab w:val="clear" w:pos="1814"/>
                <w:tab w:val="clear" w:pos="2381"/>
                <w:tab w:val="clear" w:pos="2948"/>
                <w:tab w:val="clear" w:pos="3515"/>
              </w:tabs>
              <w:spacing w:before="40" w:after="40"/>
            </w:pPr>
            <w:r w:rsidRPr="00C91AEB">
              <w:rPr>
                <w:b/>
                <w:bCs/>
              </w:rPr>
              <w:t>A. Conférences</w:t>
            </w:r>
            <w:r>
              <w:rPr>
                <w:b/>
                <w:bCs/>
              </w:rPr>
              <w:t xml:space="preserve"> et réunions</w:t>
            </w:r>
          </w:p>
        </w:tc>
      </w:tr>
      <w:tr w:rsidR="00AF0B54" w:rsidRPr="00A86DAD" w14:paraId="6506FCDE"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6EFD3BAF" w14:textId="77777777" w:rsidR="00AF0B54" w:rsidRPr="00AC5825" w:rsidRDefault="00AF0B54" w:rsidP="007B292B">
            <w:pPr>
              <w:pStyle w:val="Normal-pool"/>
              <w:spacing w:before="40" w:after="40"/>
            </w:pPr>
            <w:r>
              <w:rPr>
                <w:lang w:val="fr-FR"/>
              </w:rPr>
              <w:t>1</w:t>
            </w:r>
          </w:p>
        </w:tc>
        <w:tc>
          <w:tcPr>
            <w:tcW w:w="6889" w:type="dxa"/>
            <w:tcBorders>
              <w:top w:val="nil"/>
              <w:left w:val="nil"/>
              <w:bottom w:val="nil"/>
              <w:right w:val="nil"/>
            </w:tcBorders>
            <w:shd w:val="clear" w:color="000000" w:fill="FFFFFF"/>
            <w:noWrap/>
            <w:vAlign w:val="center"/>
            <w:hideMark/>
          </w:tcPr>
          <w:p w14:paraId="03E78C88" w14:textId="237794E1" w:rsidR="00AF0B54" w:rsidRPr="00CC64D9" w:rsidRDefault="00AF0B54" w:rsidP="007B292B">
            <w:pPr>
              <w:pStyle w:val="Normal-pool"/>
              <w:spacing w:before="40" w:after="40"/>
              <w:rPr>
                <w:lang w:val="fr-FR"/>
              </w:rPr>
            </w:pPr>
            <w:r>
              <w:rPr>
                <w:lang w:val="fr-FR"/>
              </w:rPr>
              <w:t>Quatrième réunion de la Conférence des Parties</w:t>
            </w:r>
          </w:p>
        </w:tc>
      </w:tr>
      <w:tr w:rsidR="00AF0B54" w:rsidRPr="00A86DAD" w14:paraId="6D78A074"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581FCB15" w14:textId="77777777" w:rsidR="00AF0B54" w:rsidRPr="00AC5825" w:rsidRDefault="00AF0B54" w:rsidP="007B292B">
            <w:pPr>
              <w:pStyle w:val="Normal-pool"/>
              <w:spacing w:before="40" w:after="40"/>
            </w:pPr>
            <w:r>
              <w:rPr>
                <w:lang w:val="fr-FR"/>
              </w:rPr>
              <w:t>2</w:t>
            </w:r>
          </w:p>
        </w:tc>
        <w:tc>
          <w:tcPr>
            <w:tcW w:w="6889" w:type="dxa"/>
            <w:tcBorders>
              <w:top w:val="nil"/>
              <w:left w:val="nil"/>
              <w:bottom w:val="nil"/>
              <w:right w:val="nil"/>
            </w:tcBorders>
            <w:shd w:val="clear" w:color="000000" w:fill="FFFFFF"/>
            <w:noWrap/>
            <w:vAlign w:val="center"/>
            <w:hideMark/>
          </w:tcPr>
          <w:p w14:paraId="56BEB6D3" w14:textId="5AE6B5BC" w:rsidR="00AF0B54" w:rsidRPr="00CC64D9" w:rsidRDefault="00AF0B54" w:rsidP="007B292B">
            <w:pPr>
              <w:pStyle w:val="Normal-pool"/>
              <w:spacing w:before="40" w:after="40"/>
              <w:rPr>
                <w:lang w:val="fr-FR"/>
              </w:rPr>
            </w:pPr>
            <w:r>
              <w:rPr>
                <w:lang w:val="fr-FR"/>
              </w:rPr>
              <w:t>Bureau de la Conférence des Parties</w:t>
            </w:r>
          </w:p>
        </w:tc>
      </w:tr>
      <w:tr w:rsidR="00AF0B54" w:rsidRPr="00A86DAD" w14:paraId="579D26E6"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47B0803F" w14:textId="77777777" w:rsidR="00AF0B54" w:rsidRPr="00AC5825" w:rsidRDefault="00AF0B54" w:rsidP="007B292B">
            <w:pPr>
              <w:pStyle w:val="Normal-pool"/>
              <w:spacing w:before="40" w:after="40"/>
            </w:pPr>
            <w:r>
              <w:rPr>
                <w:lang w:val="fr-FR"/>
              </w:rPr>
              <w:t>3</w:t>
            </w:r>
          </w:p>
        </w:tc>
        <w:tc>
          <w:tcPr>
            <w:tcW w:w="6889" w:type="dxa"/>
            <w:tcBorders>
              <w:top w:val="nil"/>
              <w:left w:val="nil"/>
              <w:bottom w:val="nil"/>
              <w:right w:val="nil"/>
            </w:tcBorders>
            <w:shd w:val="clear" w:color="000000" w:fill="FFFFFF"/>
            <w:noWrap/>
            <w:vAlign w:val="center"/>
            <w:hideMark/>
          </w:tcPr>
          <w:p w14:paraId="5934BF56" w14:textId="00BD7275" w:rsidR="00AF0B54" w:rsidRPr="00CC64D9" w:rsidRDefault="00AF0B54" w:rsidP="007B292B">
            <w:pPr>
              <w:pStyle w:val="Normal-pool"/>
              <w:spacing w:before="40" w:after="40"/>
              <w:rPr>
                <w:lang w:val="fr-FR"/>
              </w:rPr>
            </w:pPr>
            <w:r>
              <w:rPr>
                <w:lang w:val="fr-FR"/>
              </w:rPr>
              <w:t>Comité de mise en œuvre et du respect des obligations</w:t>
            </w:r>
          </w:p>
        </w:tc>
      </w:tr>
      <w:tr w:rsidR="00AF0B54" w:rsidRPr="00A86DAD" w14:paraId="66BEC676" w14:textId="77777777" w:rsidTr="003F3D92">
        <w:trPr>
          <w:trHeight w:val="57"/>
          <w:jc w:val="right"/>
        </w:trPr>
        <w:tc>
          <w:tcPr>
            <w:tcW w:w="1418" w:type="dxa"/>
            <w:tcBorders>
              <w:top w:val="single" w:sz="4" w:space="0" w:color="auto"/>
              <w:left w:val="nil"/>
              <w:bottom w:val="single" w:sz="4" w:space="0" w:color="auto"/>
              <w:right w:val="nil"/>
            </w:tcBorders>
            <w:shd w:val="clear" w:color="000000" w:fill="FFFFFF"/>
            <w:noWrap/>
            <w:vAlign w:val="center"/>
            <w:hideMark/>
          </w:tcPr>
          <w:p w14:paraId="42EA2B88" w14:textId="77777777" w:rsidR="00AF0B54" w:rsidRPr="00CC64D9" w:rsidRDefault="00AF0B54" w:rsidP="007B292B">
            <w:pPr>
              <w:pStyle w:val="Normal-pool"/>
              <w:spacing w:before="40" w:after="40"/>
              <w:rPr>
                <w:lang w:val="fr-FR" w:eastAsia="zh-CN"/>
              </w:rPr>
            </w:pPr>
            <w:r w:rsidRPr="00CC64D9">
              <w:rPr>
                <w:lang w:val="fr-FR" w:eastAsia="zh-CN"/>
              </w:rPr>
              <w:t> </w:t>
            </w:r>
          </w:p>
        </w:tc>
        <w:tc>
          <w:tcPr>
            <w:tcW w:w="6889" w:type="dxa"/>
            <w:tcBorders>
              <w:top w:val="single" w:sz="4" w:space="0" w:color="auto"/>
              <w:left w:val="nil"/>
              <w:bottom w:val="single" w:sz="4" w:space="0" w:color="auto"/>
              <w:right w:val="nil"/>
            </w:tcBorders>
            <w:shd w:val="clear" w:color="000000" w:fill="FFFFFF"/>
            <w:noWrap/>
            <w:vAlign w:val="center"/>
            <w:hideMark/>
          </w:tcPr>
          <w:p w14:paraId="2C94E26A" w14:textId="77777777" w:rsidR="00AF0B54" w:rsidRPr="00CC64D9" w:rsidRDefault="00AF0B54" w:rsidP="007B292B">
            <w:pPr>
              <w:pStyle w:val="Normal-pool"/>
              <w:spacing w:before="40" w:after="40"/>
              <w:rPr>
                <w:b/>
                <w:bCs/>
                <w:color w:val="000000"/>
                <w:lang w:val="fr-FR"/>
              </w:rPr>
            </w:pPr>
            <w:r w:rsidRPr="00C91AEB">
              <w:rPr>
                <w:b/>
                <w:bCs/>
                <w:lang w:val="fr-FR"/>
              </w:rPr>
              <w:t>B. Renforcement</w:t>
            </w:r>
            <w:r>
              <w:rPr>
                <w:b/>
                <w:bCs/>
                <w:lang w:val="fr-FR"/>
              </w:rPr>
              <w:t xml:space="preserve"> des capacités et assistance technique</w:t>
            </w:r>
          </w:p>
        </w:tc>
      </w:tr>
      <w:tr w:rsidR="00AF0B54" w:rsidRPr="00A86DAD" w14:paraId="0B85885B"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3FD0816C" w14:textId="77777777" w:rsidR="00AF0B54" w:rsidRPr="00AC5825" w:rsidRDefault="00AF0B54" w:rsidP="007B292B">
            <w:pPr>
              <w:pStyle w:val="Normal-pool"/>
              <w:spacing w:before="40" w:after="40"/>
            </w:pPr>
            <w:r>
              <w:rPr>
                <w:lang w:val="fr-FR"/>
              </w:rPr>
              <w:t>4</w:t>
            </w:r>
          </w:p>
        </w:tc>
        <w:tc>
          <w:tcPr>
            <w:tcW w:w="6889" w:type="dxa"/>
            <w:tcBorders>
              <w:top w:val="nil"/>
              <w:left w:val="nil"/>
              <w:bottom w:val="nil"/>
              <w:right w:val="nil"/>
            </w:tcBorders>
            <w:shd w:val="clear" w:color="000000" w:fill="FFFFFF"/>
            <w:noWrap/>
            <w:vAlign w:val="center"/>
            <w:hideMark/>
          </w:tcPr>
          <w:p w14:paraId="3D01DCEF" w14:textId="10915A20" w:rsidR="00AF0B54" w:rsidRPr="00CC64D9" w:rsidRDefault="00AF0B54" w:rsidP="007B292B">
            <w:pPr>
              <w:pStyle w:val="Normal-pool"/>
              <w:spacing w:before="40" w:after="40"/>
              <w:rPr>
                <w:color w:val="000000"/>
                <w:lang w:val="fr-FR"/>
              </w:rPr>
            </w:pPr>
            <w:r>
              <w:rPr>
                <w:lang w:val="fr-FR"/>
              </w:rPr>
              <w:t>Programme de renforcement des capacités et d</w:t>
            </w:r>
            <w:r w:rsidR="0058158D">
              <w:rPr>
                <w:lang w:val="fr-FR"/>
              </w:rPr>
              <w:t>’</w:t>
            </w:r>
            <w:r>
              <w:rPr>
                <w:lang w:val="fr-FR"/>
              </w:rPr>
              <w:t>assistance technique de la</w:t>
            </w:r>
            <w:r w:rsidR="003F3D92">
              <w:rPr>
                <w:lang w:val="fr-FR"/>
              </w:rPr>
              <w:t> </w:t>
            </w:r>
            <w:r>
              <w:rPr>
                <w:lang w:val="fr-FR"/>
              </w:rPr>
              <w:t>Convention de</w:t>
            </w:r>
            <w:r w:rsidR="007B292B">
              <w:rPr>
                <w:lang w:val="fr-FR"/>
              </w:rPr>
              <w:t> </w:t>
            </w:r>
            <w:r>
              <w:rPr>
                <w:lang w:val="fr-FR"/>
              </w:rPr>
              <w:t>Minamata</w:t>
            </w:r>
          </w:p>
        </w:tc>
      </w:tr>
      <w:tr w:rsidR="00AF0B54" w:rsidRPr="00A86DAD" w14:paraId="1DAC2632" w14:textId="77777777" w:rsidTr="003F3D92">
        <w:trPr>
          <w:trHeight w:val="57"/>
          <w:jc w:val="right"/>
        </w:trPr>
        <w:tc>
          <w:tcPr>
            <w:tcW w:w="1418" w:type="dxa"/>
            <w:tcBorders>
              <w:top w:val="single" w:sz="4" w:space="0" w:color="auto"/>
              <w:left w:val="nil"/>
              <w:bottom w:val="single" w:sz="4" w:space="0" w:color="auto"/>
              <w:right w:val="nil"/>
            </w:tcBorders>
            <w:shd w:val="clear" w:color="000000" w:fill="FFFFFF"/>
            <w:noWrap/>
            <w:vAlign w:val="center"/>
            <w:hideMark/>
          </w:tcPr>
          <w:p w14:paraId="1CCCC222" w14:textId="77777777" w:rsidR="00AF0B54" w:rsidRPr="00CC64D9" w:rsidRDefault="00AF0B54" w:rsidP="007B292B">
            <w:pPr>
              <w:pStyle w:val="Normal-pool"/>
              <w:spacing w:before="40" w:after="40"/>
              <w:rPr>
                <w:lang w:val="fr-FR" w:eastAsia="zh-CN"/>
              </w:rPr>
            </w:pPr>
            <w:r w:rsidRPr="00CC64D9">
              <w:rPr>
                <w:lang w:val="fr-FR" w:eastAsia="zh-CN"/>
              </w:rPr>
              <w:t> </w:t>
            </w:r>
          </w:p>
        </w:tc>
        <w:tc>
          <w:tcPr>
            <w:tcW w:w="6889" w:type="dxa"/>
            <w:tcBorders>
              <w:top w:val="single" w:sz="4" w:space="0" w:color="auto"/>
              <w:left w:val="nil"/>
              <w:bottom w:val="single" w:sz="4" w:space="0" w:color="auto"/>
              <w:right w:val="nil"/>
            </w:tcBorders>
            <w:shd w:val="clear" w:color="000000" w:fill="FFFFFF"/>
            <w:noWrap/>
            <w:vAlign w:val="center"/>
            <w:hideMark/>
          </w:tcPr>
          <w:p w14:paraId="7640593B" w14:textId="77777777" w:rsidR="00AF0B54" w:rsidRPr="00CC64D9" w:rsidRDefault="00AF0B54" w:rsidP="007B292B">
            <w:pPr>
              <w:pStyle w:val="Normal-pool"/>
              <w:spacing w:before="40" w:after="40"/>
              <w:rPr>
                <w:b/>
                <w:bCs/>
                <w:color w:val="000000"/>
                <w:lang w:val="fr-FR"/>
              </w:rPr>
            </w:pPr>
            <w:r w:rsidRPr="00C91AEB">
              <w:rPr>
                <w:b/>
                <w:bCs/>
                <w:lang w:val="fr-FR"/>
              </w:rPr>
              <w:t>C. Activités</w:t>
            </w:r>
            <w:r>
              <w:rPr>
                <w:b/>
                <w:bCs/>
                <w:lang w:val="fr-FR"/>
              </w:rPr>
              <w:t xml:space="preserve"> scientifiques et techniques</w:t>
            </w:r>
          </w:p>
        </w:tc>
      </w:tr>
      <w:tr w:rsidR="00AF0B54" w:rsidRPr="00A86DAD" w14:paraId="2E65EB3D"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70420615" w14:textId="77777777" w:rsidR="00AF0B54" w:rsidRPr="00AC5825" w:rsidRDefault="00AF0B54" w:rsidP="007B292B">
            <w:pPr>
              <w:pStyle w:val="Normal-pool"/>
              <w:spacing w:before="40" w:after="40"/>
            </w:pPr>
            <w:r>
              <w:rPr>
                <w:lang w:val="fr-FR"/>
              </w:rPr>
              <w:t>5</w:t>
            </w:r>
          </w:p>
        </w:tc>
        <w:tc>
          <w:tcPr>
            <w:tcW w:w="6889" w:type="dxa"/>
            <w:tcBorders>
              <w:top w:val="nil"/>
              <w:left w:val="nil"/>
              <w:bottom w:val="nil"/>
              <w:right w:val="nil"/>
            </w:tcBorders>
            <w:shd w:val="clear" w:color="000000" w:fill="FFFFFF"/>
            <w:noWrap/>
            <w:vAlign w:val="center"/>
            <w:hideMark/>
          </w:tcPr>
          <w:p w14:paraId="2FF03D21" w14:textId="2DE513FB" w:rsidR="00AF0B54" w:rsidRPr="00CC64D9" w:rsidRDefault="00AF0B54" w:rsidP="007B292B">
            <w:pPr>
              <w:pStyle w:val="Normal-pool"/>
              <w:spacing w:before="40" w:after="40"/>
              <w:rPr>
                <w:lang w:val="fr-FR"/>
              </w:rPr>
            </w:pPr>
            <w:r>
              <w:rPr>
                <w:lang w:val="fr-FR"/>
              </w:rPr>
              <w:t xml:space="preserve">Appui scientifique aux États parties à </w:t>
            </w:r>
            <w:r w:rsidR="00CD7BB2">
              <w:rPr>
                <w:lang w:val="fr-FR"/>
              </w:rPr>
              <w:t>la Convention de Minamata</w:t>
            </w:r>
          </w:p>
        </w:tc>
      </w:tr>
      <w:tr w:rsidR="00AF0B54" w:rsidRPr="00A86DAD" w14:paraId="7A0489C9"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16FE4B3E" w14:textId="77777777" w:rsidR="00AF0B54" w:rsidRPr="00AC5825" w:rsidRDefault="00AF0B54" w:rsidP="007B292B">
            <w:pPr>
              <w:pStyle w:val="Normal-pool"/>
              <w:spacing w:before="40" w:after="40"/>
            </w:pPr>
            <w:r>
              <w:rPr>
                <w:lang w:val="fr-FR"/>
              </w:rPr>
              <w:t>6</w:t>
            </w:r>
          </w:p>
        </w:tc>
        <w:tc>
          <w:tcPr>
            <w:tcW w:w="6889" w:type="dxa"/>
            <w:tcBorders>
              <w:top w:val="nil"/>
              <w:left w:val="nil"/>
              <w:bottom w:val="nil"/>
              <w:right w:val="nil"/>
            </w:tcBorders>
            <w:shd w:val="clear" w:color="000000" w:fill="FFFFFF"/>
            <w:noWrap/>
            <w:vAlign w:val="center"/>
            <w:hideMark/>
          </w:tcPr>
          <w:p w14:paraId="34995953" w14:textId="4531CF73" w:rsidR="00AF0B54" w:rsidRPr="00CC64D9" w:rsidRDefault="00AF0B54" w:rsidP="007B292B">
            <w:pPr>
              <w:pStyle w:val="Normal-pool"/>
              <w:spacing w:before="40" w:after="40"/>
              <w:rPr>
                <w:lang w:val="fr-FR"/>
              </w:rPr>
            </w:pPr>
            <w:r>
              <w:rPr>
                <w:lang w:val="fr-FR"/>
              </w:rPr>
              <w:t>Évaluation de l</w:t>
            </w:r>
            <w:r w:rsidR="0058158D">
              <w:rPr>
                <w:lang w:val="fr-FR"/>
              </w:rPr>
              <w:t>’</w:t>
            </w:r>
            <w:r>
              <w:rPr>
                <w:lang w:val="fr-FR"/>
              </w:rPr>
              <w:t>efficacité et plan mondial de surveillance</w:t>
            </w:r>
          </w:p>
        </w:tc>
      </w:tr>
      <w:tr w:rsidR="00AF0B54" w:rsidRPr="00A86DAD" w14:paraId="227AFD0D"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1B26CC8C" w14:textId="77777777" w:rsidR="00AF0B54" w:rsidRPr="00AC5825" w:rsidRDefault="00AF0B54" w:rsidP="007B292B">
            <w:pPr>
              <w:pStyle w:val="Normal-pool"/>
              <w:spacing w:before="40" w:after="40"/>
            </w:pPr>
            <w:r>
              <w:rPr>
                <w:lang w:val="fr-FR"/>
              </w:rPr>
              <w:t>7</w:t>
            </w:r>
          </w:p>
        </w:tc>
        <w:tc>
          <w:tcPr>
            <w:tcW w:w="6889" w:type="dxa"/>
            <w:tcBorders>
              <w:top w:val="nil"/>
              <w:left w:val="nil"/>
              <w:bottom w:val="nil"/>
              <w:right w:val="nil"/>
            </w:tcBorders>
            <w:shd w:val="clear" w:color="000000" w:fill="FFFFFF"/>
            <w:noWrap/>
            <w:vAlign w:val="center"/>
            <w:hideMark/>
          </w:tcPr>
          <w:p w14:paraId="3A81D952" w14:textId="424D3412" w:rsidR="00AF0B54" w:rsidRPr="00CC64D9" w:rsidRDefault="00AF0B54" w:rsidP="007B292B">
            <w:pPr>
              <w:pStyle w:val="Normal-pool"/>
              <w:spacing w:before="40" w:after="40"/>
              <w:rPr>
                <w:lang w:val="fr-FR"/>
              </w:rPr>
            </w:pPr>
            <w:r>
              <w:rPr>
                <w:lang w:val="fr-FR"/>
              </w:rPr>
              <w:t xml:space="preserve">Rapports nationaux présentés au titre de </w:t>
            </w:r>
            <w:r w:rsidR="00CD7BB2">
              <w:rPr>
                <w:lang w:val="fr-FR"/>
              </w:rPr>
              <w:t>la Convention de Minamata</w:t>
            </w:r>
          </w:p>
        </w:tc>
      </w:tr>
      <w:tr w:rsidR="00AF0B54" w:rsidRPr="00A86DAD" w14:paraId="501B5AB5" w14:textId="77777777" w:rsidTr="003F3D92">
        <w:trPr>
          <w:trHeight w:val="57"/>
          <w:jc w:val="right"/>
        </w:trPr>
        <w:tc>
          <w:tcPr>
            <w:tcW w:w="1418" w:type="dxa"/>
            <w:tcBorders>
              <w:top w:val="single" w:sz="4" w:space="0" w:color="auto"/>
              <w:left w:val="nil"/>
              <w:bottom w:val="single" w:sz="4" w:space="0" w:color="auto"/>
              <w:right w:val="nil"/>
            </w:tcBorders>
            <w:shd w:val="clear" w:color="000000" w:fill="FFFFFF"/>
            <w:noWrap/>
            <w:vAlign w:val="center"/>
            <w:hideMark/>
          </w:tcPr>
          <w:p w14:paraId="634AA287" w14:textId="77777777" w:rsidR="00AF0B54" w:rsidRPr="00CC64D9" w:rsidRDefault="00AF0B54" w:rsidP="007B292B">
            <w:pPr>
              <w:pStyle w:val="Normal-pool"/>
              <w:spacing w:before="40" w:after="40"/>
              <w:rPr>
                <w:lang w:val="fr-FR" w:eastAsia="zh-CN"/>
              </w:rPr>
            </w:pPr>
            <w:r w:rsidRPr="00CC64D9">
              <w:rPr>
                <w:lang w:val="fr-FR" w:eastAsia="zh-CN"/>
              </w:rPr>
              <w:t> </w:t>
            </w:r>
          </w:p>
        </w:tc>
        <w:tc>
          <w:tcPr>
            <w:tcW w:w="6889" w:type="dxa"/>
            <w:tcBorders>
              <w:top w:val="single" w:sz="4" w:space="0" w:color="auto"/>
              <w:left w:val="nil"/>
              <w:bottom w:val="single" w:sz="4" w:space="0" w:color="auto"/>
              <w:right w:val="nil"/>
            </w:tcBorders>
            <w:shd w:val="clear" w:color="000000" w:fill="FFFFFF"/>
            <w:noWrap/>
            <w:vAlign w:val="center"/>
            <w:hideMark/>
          </w:tcPr>
          <w:p w14:paraId="414A07D5" w14:textId="79AE0995" w:rsidR="00AF0B54" w:rsidRPr="00CC64D9" w:rsidRDefault="00AF0B54" w:rsidP="007B292B">
            <w:pPr>
              <w:pStyle w:val="Normal-pool"/>
              <w:spacing w:before="40" w:after="40"/>
              <w:rPr>
                <w:b/>
                <w:bCs/>
                <w:color w:val="000000"/>
                <w:lang w:val="fr-FR"/>
              </w:rPr>
            </w:pPr>
            <w:r w:rsidRPr="00C91AEB">
              <w:rPr>
                <w:b/>
                <w:bCs/>
                <w:lang w:val="fr-FR"/>
              </w:rPr>
              <w:t>D. Gestion</w:t>
            </w:r>
            <w:r>
              <w:rPr>
                <w:b/>
                <w:bCs/>
                <w:lang w:val="fr-FR"/>
              </w:rPr>
              <w:t xml:space="preserve"> des connaissances et de l</w:t>
            </w:r>
            <w:r w:rsidR="0058158D">
              <w:rPr>
                <w:b/>
                <w:bCs/>
                <w:lang w:val="fr-FR"/>
              </w:rPr>
              <w:t>’</w:t>
            </w:r>
            <w:r>
              <w:rPr>
                <w:b/>
                <w:bCs/>
                <w:lang w:val="fr-FR"/>
              </w:rPr>
              <w:t>information et activités de proximité</w:t>
            </w:r>
            <w:r>
              <w:rPr>
                <w:lang w:val="fr-FR"/>
              </w:rPr>
              <w:t xml:space="preserve"> </w:t>
            </w:r>
          </w:p>
        </w:tc>
      </w:tr>
      <w:tr w:rsidR="00C2160A" w:rsidRPr="00AC5825" w14:paraId="6B8AEFBF"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4473B3E9" w14:textId="77777777" w:rsidR="00C2160A" w:rsidRPr="00AC5825" w:rsidRDefault="00C2160A" w:rsidP="007B292B">
            <w:pPr>
              <w:pStyle w:val="Normal-pool"/>
              <w:spacing w:before="40" w:after="40"/>
            </w:pPr>
            <w:r>
              <w:rPr>
                <w:lang w:val="fr-FR"/>
              </w:rPr>
              <w:t>8</w:t>
            </w:r>
          </w:p>
        </w:tc>
        <w:tc>
          <w:tcPr>
            <w:tcW w:w="6889" w:type="dxa"/>
            <w:tcBorders>
              <w:top w:val="nil"/>
              <w:left w:val="nil"/>
              <w:bottom w:val="nil"/>
              <w:right w:val="nil"/>
            </w:tcBorders>
            <w:shd w:val="clear" w:color="000000" w:fill="FFFFFF"/>
            <w:noWrap/>
            <w:vAlign w:val="center"/>
            <w:hideMark/>
          </w:tcPr>
          <w:p w14:paraId="06DD1C14" w14:textId="625CE361" w:rsidR="00C2160A" w:rsidRPr="00AC5825" w:rsidRDefault="00C2160A" w:rsidP="007B292B">
            <w:pPr>
              <w:pStyle w:val="Normal-pool"/>
              <w:spacing w:before="40" w:after="40"/>
            </w:pPr>
            <w:r>
              <w:rPr>
                <w:lang w:val="fr-FR"/>
              </w:rPr>
              <w:t>Publications</w:t>
            </w:r>
          </w:p>
        </w:tc>
      </w:tr>
      <w:tr w:rsidR="00AF0B54" w:rsidRPr="00A86DAD" w14:paraId="59300335"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4C1C7357" w14:textId="77777777" w:rsidR="00AF0B54" w:rsidRPr="00AC5825" w:rsidRDefault="00AF0B54" w:rsidP="007B292B">
            <w:pPr>
              <w:pStyle w:val="Normal-pool"/>
              <w:spacing w:before="40" w:after="40"/>
            </w:pPr>
            <w:r>
              <w:rPr>
                <w:lang w:val="fr-FR"/>
              </w:rPr>
              <w:t>9</w:t>
            </w:r>
          </w:p>
        </w:tc>
        <w:tc>
          <w:tcPr>
            <w:tcW w:w="6889" w:type="dxa"/>
            <w:tcBorders>
              <w:top w:val="nil"/>
              <w:left w:val="nil"/>
              <w:bottom w:val="nil"/>
              <w:right w:val="nil"/>
            </w:tcBorders>
            <w:shd w:val="clear" w:color="000000" w:fill="FFFFFF"/>
            <w:noWrap/>
            <w:vAlign w:val="center"/>
            <w:hideMark/>
          </w:tcPr>
          <w:p w14:paraId="7A819B4E" w14:textId="77777777" w:rsidR="00AF0B54" w:rsidRPr="00CC64D9" w:rsidRDefault="00AF0B54" w:rsidP="007B292B">
            <w:pPr>
              <w:tabs>
                <w:tab w:val="clear" w:pos="1247"/>
                <w:tab w:val="clear" w:pos="1814"/>
                <w:tab w:val="clear" w:pos="2381"/>
                <w:tab w:val="clear" w:pos="2948"/>
                <w:tab w:val="clear" w:pos="3515"/>
              </w:tabs>
              <w:spacing w:before="40" w:after="40"/>
              <w:rPr>
                <w:color w:val="000000"/>
              </w:rPr>
            </w:pPr>
            <w:r>
              <w:t>Communication, activités de proximité et sensibilisation du public</w:t>
            </w:r>
          </w:p>
        </w:tc>
      </w:tr>
      <w:tr w:rsidR="00C2160A" w:rsidRPr="00AC5825" w14:paraId="2B5DAD72" w14:textId="77777777" w:rsidTr="003F3D92">
        <w:trPr>
          <w:trHeight w:val="57"/>
          <w:jc w:val="right"/>
        </w:trPr>
        <w:tc>
          <w:tcPr>
            <w:tcW w:w="1418" w:type="dxa"/>
            <w:tcBorders>
              <w:top w:val="single" w:sz="4" w:space="0" w:color="auto"/>
              <w:left w:val="nil"/>
              <w:bottom w:val="single" w:sz="4" w:space="0" w:color="auto"/>
              <w:right w:val="nil"/>
            </w:tcBorders>
            <w:shd w:val="clear" w:color="000000" w:fill="FFFFFF"/>
            <w:noWrap/>
            <w:vAlign w:val="center"/>
            <w:hideMark/>
          </w:tcPr>
          <w:p w14:paraId="21F7FC78" w14:textId="77777777" w:rsidR="00C2160A" w:rsidRPr="00CC64D9" w:rsidRDefault="00C2160A" w:rsidP="007B292B">
            <w:pPr>
              <w:pStyle w:val="Normal-pool"/>
              <w:spacing w:before="40" w:after="40"/>
              <w:rPr>
                <w:lang w:val="fr-FR" w:eastAsia="zh-CN"/>
              </w:rPr>
            </w:pPr>
            <w:r w:rsidRPr="00CC64D9">
              <w:rPr>
                <w:lang w:val="fr-FR" w:eastAsia="zh-CN"/>
              </w:rPr>
              <w:t> </w:t>
            </w:r>
          </w:p>
        </w:tc>
        <w:tc>
          <w:tcPr>
            <w:tcW w:w="6889" w:type="dxa"/>
            <w:tcBorders>
              <w:top w:val="single" w:sz="4" w:space="0" w:color="auto"/>
              <w:left w:val="nil"/>
              <w:bottom w:val="single" w:sz="4" w:space="0" w:color="auto"/>
              <w:right w:val="nil"/>
            </w:tcBorders>
            <w:shd w:val="clear" w:color="000000" w:fill="FFFFFF"/>
            <w:noWrap/>
            <w:vAlign w:val="center"/>
            <w:hideMark/>
          </w:tcPr>
          <w:p w14:paraId="4C1A633B" w14:textId="7CDD60D2" w:rsidR="00C2160A" w:rsidRPr="00AC5825" w:rsidRDefault="00C2160A" w:rsidP="007B292B">
            <w:pPr>
              <w:pStyle w:val="Normal-pool"/>
              <w:spacing w:before="40" w:after="40"/>
            </w:pPr>
            <w:r w:rsidRPr="00C91AEB">
              <w:rPr>
                <w:b/>
                <w:bCs/>
                <w:lang w:val="fr-FR"/>
              </w:rPr>
              <w:t>E. Gestion</w:t>
            </w:r>
            <w:r>
              <w:rPr>
                <w:b/>
                <w:bCs/>
                <w:lang w:val="fr-FR"/>
              </w:rPr>
              <w:t xml:space="preserve"> générale</w:t>
            </w:r>
          </w:p>
        </w:tc>
      </w:tr>
      <w:tr w:rsidR="00AF0B54" w:rsidRPr="00AC5825" w14:paraId="37BBD2F6"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43D3AE2E" w14:textId="77777777" w:rsidR="00AF0B54" w:rsidRPr="00AC5825" w:rsidRDefault="00AF0B54" w:rsidP="007B292B">
            <w:pPr>
              <w:pStyle w:val="Normal-pool"/>
              <w:spacing w:before="40" w:after="40"/>
            </w:pPr>
            <w:r>
              <w:rPr>
                <w:lang w:val="fr-FR"/>
              </w:rPr>
              <w:t>10</w:t>
            </w:r>
          </w:p>
        </w:tc>
        <w:tc>
          <w:tcPr>
            <w:tcW w:w="6889" w:type="dxa"/>
            <w:tcBorders>
              <w:top w:val="nil"/>
              <w:left w:val="nil"/>
              <w:bottom w:val="nil"/>
              <w:right w:val="nil"/>
            </w:tcBorders>
            <w:shd w:val="clear" w:color="000000" w:fill="FFFFFF"/>
            <w:noWrap/>
            <w:vAlign w:val="center"/>
            <w:hideMark/>
          </w:tcPr>
          <w:p w14:paraId="2ACDE44B" w14:textId="77777777" w:rsidR="00AF0B54" w:rsidRPr="00AC5825" w:rsidRDefault="00AF0B54" w:rsidP="007B292B">
            <w:pPr>
              <w:pStyle w:val="Normal-pool"/>
              <w:spacing w:before="40" w:after="40"/>
            </w:pPr>
            <w:r>
              <w:rPr>
                <w:lang w:val="fr-FR"/>
              </w:rPr>
              <w:t>Direction exécutive et administration</w:t>
            </w:r>
          </w:p>
        </w:tc>
      </w:tr>
      <w:tr w:rsidR="00AF0B54" w:rsidRPr="00A86DAD" w14:paraId="61A721BD"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3B98E64F" w14:textId="77777777" w:rsidR="00AF0B54" w:rsidRPr="00AC5825" w:rsidRDefault="00AF0B54" w:rsidP="007B292B">
            <w:pPr>
              <w:pStyle w:val="Normal-pool"/>
              <w:spacing w:before="40" w:after="40"/>
            </w:pPr>
            <w:r>
              <w:rPr>
                <w:lang w:val="fr-FR"/>
              </w:rPr>
              <w:t>11</w:t>
            </w:r>
          </w:p>
        </w:tc>
        <w:tc>
          <w:tcPr>
            <w:tcW w:w="6889" w:type="dxa"/>
            <w:tcBorders>
              <w:top w:val="nil"/>
              <w:left w:val="nil"/>
              <w:bottom w:val="nil"/>
              <w:right w:val="nil"/>
            </w:tcBorders>
            <w:shd w:val="clear" w:color="000000" w:fill="FFFFFF"/>
            <w:noWrap/>
            <w:vAlign w:val="center"/>
            <w:hideMark/>
          </w:tcPr>
          <w:p w14:paraId="73C82E5A" w14:textId="77777777" w:rsidR="00AF0B54" w:rsidRPr="00CC64D9" w:rsidRDefault="00AF0B54" w:rsidP="007B292B">
            <w:pPr>
              <w:pStyle w:val="Normal-pool"/>
              <w:spacing w:before="40" w:after="40"/>
              <w:rPr>
                <w:lang w:val="fr-FR"/>
              </w:rPr>
            </w:pPr>
            <w:r>
              <w:rPr>
                <w:lang w:val="fr-FR"/>
              </w:rPr>
              <w:t>Coopération et coordination au niveau international</w:t>
            </w:r>
          </w:p>
        </w:tc>
      </w:tr>
      <w:tr w:rsidR="00AF0B54" w:rsidRPr="00A86DAD" w14:paraId="030FFF72"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63C630FD" w14:textId="77777777" w:rsidR="00AF0B54" w:rsidRPr="00AC5825" w:rsidRDefault="00AF0B54" w:rsidP="007B292B">
            <w:pPr>
              <w:pStyle w:val="Normal-pool"/>
              <w:spacing w:before="40" w:after="40"/>
            </w:pPr>
            <w:r>
              <w:rPr>
                <w:lang w:val="fr-FR"/>
              </w:rPr>
              <w:t>12</w:t>
            </w:r>
          </w:p>
        </w:tc>
        <w:tc>
          <w:tcPr>
            <w:tcW w:w="6889" w:type="dxa"/>
            <w:tcBorders>
              <w:top w:val="nil"/>
              <w:left w:val="nil"/>
              <w:bottom w:val="nil"/>
              <w:right w:val="nil"/>
            </w:tcBorders>
            <w:shd w:val="clear" w:color="000000" w:fill="FFFFFF"/>
            <w:noWrap/>
            <w:vAlign w:val="center"/>
            <w:hideMark/>
          </w:tcPr>
          <w:p w14:paraId="4552583D" w14:textId="77777777" w:rsidR="00AF0B54" w:rsidRPr="00CC64D9" w:rsidRDefault="00AF0B54" w:rsidP="007B292B">
            <w:pPr>
              <w:pStyle w:val="Normal-pool"/>
              <w:spacing w:before="40" w:after="40"/>
              <w:rPr>
                <w:lang w:val="fr-FR"/>
              </w:rPr>
            </w:pPr>
            <w:r>
              <w:rPr>
                <w:lang w:val="fr-FR"/>
              </w:rPr>
              <w:t xml:space="preserve">Ressources financières et mécanisme de financement </w:t>
            </w:r>
          </w:p>
        </w:tc>
      </w:tr>
      <w:tr w:rsidR="00C2160A" w:rsidRPr="00A86DAD" w14:paraId="12F29D7E" w14:textId="77777777" w:rsidTr="003F3D92">
        <w:trPr>
          <w:trHeight w:val="57"/>
          <w:jc w:val="right"/>
        </w:trPr>
        <w:tc>
          <w:tcPr>
            <w:tcW w:w="1418" w:type="dxa"/>
            <w:tcBorders>
              <w:top w:val="single" w:sz="4" w:space="0" w:color="auto"/>
              <w:left w:val="nil"/>
              <w:bottom w:val="single" w:sz="4" w:space="0" w:color="auto"/>
              <w:right w:val="nil"/>
            </w:tcBorders>
            <w:shd w:val="clear" w:color="000000" w:fill="FFFFFF"/>
            <w:noWrap/>
            <w:vAlign w:val="center"/>
            <w:hideMark/>
          </w:tcPr>
          <w:p w14:paraId="17C75F61" w14:textId="77777777" w:rsidR="00C2160A" w:rsidRPr="00CC64D9" w:rsidRDefault="00C2160A" w:rsidP="007B292B">
            <w:pPr>
              <w:pStyle w:val="Normal-pool"/>
              <w:spacing w:before="40" w:after="40"/>
              <w:rPr>
                <w:lang w:val="fr-FR" w:eastAsia="zh-CN"/>
              </w:rPr>
            </w:pPr>
            <w:r w:rsidRPr="00CC64D9">
              <w:rPr>
                <w:lang w:val="fr-FR" w:eastAsia="zh-CN"/>
              </w:rPr>
              <w:t> </w:t>
            </w:r>
          </w:p>
        </w:tc>
        <w:tc>
          <w:tcPr>
            <w:tcW w:w="6889" w:type="dxa"/>
            <w:tcBorders>
              <w:top w:val="single" w:sz="4" w:space="0" w:color="auto"/>
              <w:left w:val="nil"/>
              <w:bottom w:val="single" w:sz="4" w:space="0" w:color="auto"/>
              <w:right w:val="nil"/>
            </w:tcBorders>
            <w:shd w:val="clear" w:color="000000" w:fill="FFFFFF"/>
            <w:noWrap/>
            <w:vAlign w:val="center"/>
            <w:hideMark/>
          </w:tcPr>
          <w:p w14:paraId="3F3C9A27" w14:textId="5E6B6ADC" w:rsidR="00C2160A" w:rsidRPr="00CC64D9" w:rsidRDefault="00C2160A" w:rsidP="007B292B">
            <w:pPr>
              <w:pStyle w:val="Normal-pool"/>
              <w:spacing w:before="40" w:after="40"/>
              <w:rPr>
                <w:lang w:val="fr-FR"/>
              </w:rPr>
            </w:pPr>
            <w:r w:rsidRPr="00C91AEB">
              <w:rPr>
                <w:b/>
                <w:bCs/>
                <w:lang w:val="fr-FR"/>
              </w:rPr>
              <w:t>F. Activités</w:t>
            </w:r>
            <w:r>
              <w:rPr>
                <w:b/>
                <w:bCs/>
                <w:lang w:val="fr-FR"/>
              </w:rPr>
              <w:t xml:space="preserve"> juridiques et de politique générale</w:t>
            </w:r>
          </w:p>
        </w:tc>
      </w:tr>
      <w:tr w:rsidR="00C2160A" w:rsidRPr="00A86DAD" w14:paraId="28FFDCB2"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00909DA7" w14:textId="77777777" w:rsidR="00C2160A" w:rsidRPr="00AC5825" w:rsidRDefault="00C2160A" w:rsidP="007B292B">
            <w:pPr>
              <w:pStyle w:val="Normal-pool"/>
              <w:spacing w:before="40" w:after="40"/>
            </w:pPr>
            <w:r>
              <w:rPr>
                <w:lang w:val="fr-FR"/>
              </w:rPr>
              <w:t>13</w:t>
            </w:r>
          </w:p>
        </w:tc>
        <w:tc>
          <w:tcPr>
            <w:tcW w:w="6889" w:type="dxa"/>
            <w:tcBorders>
              <w:top w:val="nil"/>
              <w:left w:val="nil"/>
              <w:bottom w:val="nil"/>
              <w:right w:val="nil"/>
            </w:tcBorders>
            <w:shd w:val="clear" w:color="000000" w:fill="FFFFFF"/>
            <w:noWrap/>
            <w:vAlign w:val="center"/>
            <w:hideMark/>
          </w:tcPr>
          <w:p w14:paraId="6BC2BDFF" w14:textId="5DCD7328" w:rsidR="00C2160A" w:rsidRPr="00CC64D9" w:rsidRDefault="00C2160A" w:rsidP="007B292B">
            <w:pPr>
              <w:pStyle w:val="Normal-pool"/>
              <w:spacing w:before="40" w:after="40"/>
              <w:rPr>
                <w:lang w:val="fr-FR"/>
              </w:rPr>
            </w:pPr>
            <w:r>
              <w:rPr>
                <w:lang w:val="fr-FR"/>
              </w:rPr>
              <w:t xml:space="preserve">Activités juridiques et de politique générale </w:t>
            </w:r>
          </w:p>
        </w:tc>
      </w:tr>
      <w:tr w:rsidR="00AF0B54" w:rsidRPr="00A86DAD" w14:paraId="0002D42E" w14:textId="77777777" w:rsidTr="003F3D92">
        <w:trPr>
          <w:trHeight w:val="57"/>
          <w:jc w:val="right"/>
        </w:trPr>
        <w:tc>
          <w:tcPr>
            <w:tcW w:w="1418" w:type="dxa"/>
            <w:tcBorders>
              <w:top w:val="single" w:sz="4" w:space="0" w:color="auto"/>
              <w:left w:val="nil"/>
              <w:bottom w:val="single" w:sz="4" w:space="0" w:color="auto"/>
              <w:right w:val="nil"/>
            </w:tcBorders>
            <w:shd w:val="clear" w:color="000000" w:fill="FFFFFF"/>
            <w:noWrap/>
            <w:vAlign w:val="center"/>
            <w:hideMark/>
          </w:tcPr>
          <w:p w14:paraId="7AC25248" w14:textId="77777777" w:rsidR="00AF0B54" w:rsidRPr="00CC64D9" w:rsidRDefault="00AF0B54" w:rsidP="007B292B">
            <w:pPr>
              <w:pStyle w:val="Normal-pool"/>
              <w:spacing w:before="40" w:after="40"/>
              <w:rPr>
                <w:lang w:val="fr-FR" w:eastAsia="zh-CN"/>
              </w:rPr>
            </w:pPr>
            <w:r w:rsidRPr="00CC64D9">
              <w:rPr>
                <w:lang w:val="fr-FR" w:eastAsia="zh-CN"/>
              </w:rPr>
              <w:t> </w:t>
            </w:r>
          </w:p>
        </w:tc>
        <w:tc>
          <w:tcPr>
            <w:tcW w:w="6889" w:type="dxa"/>
            <w:tcBorders>
              <w:top w:val="single" w:sz="4" w:space="0" w:color="auto"/>
              <w:left w:val="nil"/>
              <w:bottom w:val="single" w:sz="4" w:space="0" w:color="auto"/>
              <w:right w:val="nil"/>
            </w:tcBorders>
            <w:shd w:val="clear" w:color="000000" w:fill="FFFFFF"/>
            <w:noWrap/>
            <w:vAlign w:val="center"/>
            <w:hideMark/>
          </w:tcPr>
          <w:p w14:paraId="0BDB8826" w14:textId="77777777" w:rsidR="00AF0B54" w:rsidRPr="00CC64D9" w:rsidRDefault="00AF0B54" w:rsidP="007B292B">
            <w:pPr>
              <w:pStyle w:val="Normal-pool"/>
              <w:spacing w:before="40" w:after="40"/>
              <w:rPr>
                <w:b/>
                <w:bCs/>
                <w:color w:val="000000"/>
                <w:lang w:val="fr-FR"/>
              </w:rPr>
            </w:pPr>
            <w:r w:rsidRPr="00C91AEB">
              <w:rPr>
                <w:b/>
                <w:bCs/>
                <w:lang w:val="fr-FR"/>
              </w:rPr>
              <w:t>G. Entretien</w:t>
            </w:r>
            <w:r>
              <w:rPr>
                <w:b/>
                <w:bCs/>
                <w:lang w:val="fr-FR"/>
              </w:rPr>
              <w:t xml:space="preserve"> des locaux et services</w:t>
            </w:r>
          </w:p>
        </w:tc>
      </w:tr>
      <w:tr w:rsidR="00C2160A" w:rsidRPr="00A86DAD" w14:paraId="3415F88B" w14:textId="77777777" w:rsidTr="003F3D92">
        <w:trPr>
          <w:trHeight w:val="57"/>
          <w:jc w:val="right"/>
        </w:trPr>
        <w:tc>
          <w:tcPr>
            <w:tcW w:w="1418" w:type="dxa"/>
            <w:tcBorders>
              <w:top w:val="nil"/>
              <w:left w:val="nil"/>
              <w:bottom w:val="nil"/>
              <w:right w:val="nil"/>
            </w:tcBorders>
            <w:shd w:val="clear" w:color="000000" w:fill="FFFFFF"/>
            <w:noWrap/>
            <w:vAlign w:val="center"/>
            <w:hideMark/>
          </w:tcPr>
          <w:p w14:paraId="079288EF" w14:textId="77777777" w:rsidR="00C2160A" w:rsidRPr="00AC5825" w:rsidRDefault="00C2160A" w:rsidP="007B292B">
            <w:pPr>
              <w:pStyle w:val="Normal-pool"/>
              <w:spacing w:before="40" w:after="40"/>
            </w:pPr>
            <w:r>
              <w:rPr>
                <w:lang w:val="fr-FR"/>
              </w:rPr>
              <w:t>14</w:t>
            </w:r>
          </w:p>
        </w:tc>
        <w:tc>
          <w:tcPr>
            <w:tcW w:w="6889" w:type="dxa"/>
            <w:tcBorders>
              <w:top w:val="nil"/>
              <w:left w:val="nil"/>
              <w:bottom w:val="nil"/>
              <w:right w:val="nil"/>
            </w:tcBorders>
            <w:shd w:val="clear" w:color="000000" w:fill="FFFFFF"/>
            <w:noWrap/>
            <w:vAlign w:val="center"/>
            <w:hideMark/>
          </w:tcPr>
          <w:p w14:paraId="48605E7F" w14:textId="24CB516E" w:rsidR="00C2160A" w:rsidRPr="00CC64D9" w:rsidRDefault="00C2160A" w:rsidP="007B292B">
            <w:pPr>
              <w:pStyle w:val="Normal-pool"/>
              <w:spacing w:before="40" w:after="40"/>
              <w:rPr>
                <w:lang w:val="fr-FR"/>
              </w:rPr>
            </w:pPr>
            <w:r>
              <w:rPr>
                <w:lang w:val="fr-FR"/>
              </w:rPr>
              <w:t xml:space="preserve">Entretien des locaux et services </w:t>
            </w:r>
          </w:p>
        </w:tc>
      </w:tr>
      <w:tr w:rsidR="00C2160A" w:rsidRPr="00AC5825" w14:paraId="1A5919CA" w14:textId="77777777" w:rsidTr="003F3D92">
        <w:trPr>
          <w:trHeight w:val="57"/>
          <w:jc w:val="right"/>
        </w:trPr>
        <w:tc>
          <w:tcPr>
            <w:tcW w:w="1418" w:type="dxa"/>
            <w:tcBorders>
              <w:top w:val="nil"/>
              <w:left w:val="nil"/>
              <w:bottom w:val="single" w:sz="8" w:space="0" w:color="auto"/>
              <w:right w:val="nil"/>
            </w:tcBorders>
            <w:shd w:val="clear" w:color="000000" w:fill="FFFFFF"/>
            <w:noWrap/>
            <w:vAlign w:val="center"/>
            <w:hideMark/>
          </w:tcPr>
          <w:p w14:paraId="49ECAE22" w14:textId="77777777" w:rsidR="00C2160A" w:rsidRPr="00AC5825" w:rsidRDefault="00C2160A" w:rsidP="007B292B">
            <w:pPr>
              <w:pStyle w:val="Normal-pool"/>
              <w:spacing w:before="40" w:after="40"/>
            </w:pPr>
            <w:r>
              <w:rPr>
                <w:lang w:val="fr-FR"/>
              </w:rPr>
              <w:t>15</w:t>
            </w:r>
          </w:p>
        </w:tc>
        <w:tc>
          <w:tcPr>
            <w:tcW w:w="6889" w:type="dxa"/>
            <w:tcBorders>
              <w:top w:val="nil"/>
              <w:left w:val="nil"/>
              <w:bottom w:val="single" w:sz="8" w:space="0" w:color="auto"/>
              <w:right w:val="nil"/>
            </w:tcBorders>
            <w:shd w:val="clear" w:color="000000" w:fill="FFFFFF"/>
            <w:noWrap/>
            <w:vAlign w:val="center"/>
            <w:hideMark/>
          </w:tcPr>
          <w:p w14:paraId="347C29B7" w14:textId="7E31E7B7" w:rsidR="00C2160A" w:rsidRPr="00AC5825" w:rsidRDefault="00C2160A" w:rsidP="007B292B">
            <w:pPr>
              <w:pStyle w:val="Normal-pool"/>
              <w:spacing w:before="40" w:after="40"/>
            </w:pPr>
            <w:r>
              <w:rPr>
                <w:lang w:val="fr-FR"/>
              </w:rPr>
              <w:t>Services informatiques</w:t>
            </w:r>
          </w:p>
        </w:tc>
      </w:tr>
    </w:tbl>
    <w:p w14:paraId="673F18B9" w14:textId="362EFF2A" w:rsidR="00F34B53" w:rsidRPr="00AC5825" w:rsidRDefault="00F34B53" w:rsidP="0082498C">
      <w:pPr>
        <w:pStyle w:val="Normal-pool"/>
        <w:rPr>
          <w:lang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64"/>
        <w:gridCol w:w="1965"/>
        <w:gridCol w:w="1965"/>
        <w:gridCol w:w="1965"/>
        <w:gridCol w:w="1965"/>
      </w:tblGrid>
      <w:tr w:rsidR="00C2160A" w:rsidRPr="00AC5825" w14:paraId="7F6F795F" w14:textId="77777777" w:rsidTr="00C2160A">
        <w:tc>
          <w:tcPr>
            <w:tcW w:w="1964" w:type="dxa"/>
          </w:tcPr>
          <w:p w14:paraId="50FFF35E" w14:textId="77777777" w:rsidR="00C2160A" w:rsidRPr="00AC5825" w:rsidRDefault="00C2160A" w:rsidP="00C2160A">
            <w:pPr>
              <w:pStyle w:val="Normal-pool"/>
              <w:spacing w:after="520"/>
              <w:rPr>
                <w:lang w:eastAsia="zh-CN"/>
              </w:rPr>
            </w:pPr>
          </w:p>
        </w:tc>
        <w:tc>
          <w:tcPr>
            <w:tcW w:w="1965" w:type="dxa"/>
          </w:tcPr>
          <w:p w14:paraId="06284E5E" w14:textId="77777777" w:rsidR="00C2160A" w:rsidRPr="00AC5825" w:rsidRDefault="00C2160A" w:rsidP="00C2160A">
            <w:pPr>
              <w:pStyle w:val="Normal-pool"/>
              <w:spacing w:after="520"/>
              <w:rPr>
                <w:lang w:eastAsia="zh-CN"/>
              </w:rPr>
            </w:pPr>
          </w:p>
        </w:tc>
        <w:tc>
          <w:tcPr>
            <w:tcW w:w="1965" w:type="dxa"/>
            <w:tcBorders>
              <w:bottom w:val="single" w:sz="4" w:space="0" w:color="auto"/>
            </w:tcBorders>
          </w:tcPr>
          <w:p w14:paraId="5353313B" w14:textId="77777777" w:rsidR="00C2160A" w:rsidRPr="00AC5825" w:rsidRDefault="00C2160A" w:rsidP="00C2160A">
            <w:pPr>
              <w:pStyle w:val="Normal-pool"/>
              <w:spacing w:after="520"/>
              <w:rPr>
                <w:lang w:eastAsia="zh-CN"/>
              </w:rPr>
            </w:pPr>
          </w:p>
        </w:tc>
        <w:tc>
          <w:tcPr>
            <w:tcW w:w="1965" w:type="dxa"/>
          </w:tcPr>
          <w:p w14:paraId="39949068" w14:textId="77777777" w:rsidR="00C2160A" w:rsidRPr="00AC5825" w:rsidRDefault="00C2160A" w:rsidP="00C2160A">
            <w:pPr>
              <w:pStyle w:val="Normal-pool"/>
              <w:spacing w:after="520"/>
              <w:rPr>
                <w:lang w:eastAsia="zh-CN"/>
              </w:rPr>
            </w:pPr>
          </w:p>
        </w:tc>
        <w:tc>
          <w:tcPr>
            <w:tcW w:w="1965" w:type="dxa"/>
          </w:tcPr>
          <w:p w14:paraId="1374B5CF" w14:textId="77777777" w:rsidR="00C2160A" w:rsidRPr="00AC5825" w:rsidRDefault="00C2160A" w:rsidP="00C2160A">
            <w:pPr>
              <w:pStyle w:val="Normal-pool"/>
              <w:spacing w:after="520"/>
              <w:rPr>
                <w:lang w:eastAsia="zh-CN"/>
              </w:rPr>
            </w:pPr>
          </w:p>
        </w:tc>
      </w:tr>
    </w:tbl>
    <w:p w14:paraId="77B43A18" w14:textId="77777777" w:rsidR="00C2160A" w:rsidRPr="00AC5825" w:rsidRDefault="00C2160A" w:rsidP="0082498C">
      <w:pPr>
        <w:pStyle w:val="Normal-pool"/>
        <w:rPr>
          <w:lang w:eastAsia="zh-CN"/>
        </w:rPr>
      </w:pPr>
    </w:p>
    <w:sectPr w:rsidR="00C2160A" w:rsidRPr="00AC5825" w:rsidSect="005064FA">
      <w:footnotePr>
        <w:numRestart w:val="eachSect"/>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9ABA9" w14:textId="77777777" w:rsidR="00777797" w:rsidRDefault="00777797">
      <w:r>
        <w:separator/>
      </w:r>
    </w:p>
  </w:endnote>
  <w:endnote w:type="continuationSeparator" w:id="0">
    <w:p w14:paraId="2004D328" w14:textId="77777777" w:rsidR="00777797" w:rsidRDefault="00777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980A1" w14:textId="196AE204" w:rsidR="00E239CA" w:rsidRPr="00E239CA" w:rsidRDefault="00E239CA" w:rsidP="00E239CA">
    <w:pPr>
      <w:pStyle w:val="Footer-pool"/>
    </w:pPr>
    <w:r w:rsidRPr="00E239CA">
      <w:fldChar w:fldCharType="begin"/>
    </w:r>
    <w:r w:rsidRPr="00E239CA">
      <w:instrText xml:space="preserve"> PAGE   \* MERGEFORMAT </w:instrText>
    </w:r>
    <w:r w:rsidRPr="00E239CA">
      <w:fldChar w:fldCharType="separate"/>
    </w:r>
    <w:r w:rsidRPr="00E239CA">
      <w:rPr>
        <w:noProof/>
      </w:rPr>
      <w:t>1</w:t>
    </w:r>
    <w:r w:rsidRPr="00E239C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C3BD3" w14:textId="77777777" w:rsidR="00E239CA" w:rsidRPr="00E239CA" w:rsidRDefault="00E239CA" w:rsidP="00E239CA">
    <w:pPr>
      <w:pStyle w:val="Footer-pool"/>
      <w:jc w:val="right"/>
    </w:pPr>
    <w:r w:rsidRPr="00E239CA">
      <w:fldChar w:fldCharType="begin"/>
    </w:r>
    <w:r w:rsidRPr="00E239CA">
      <w:instrText xml:space="preserve"> PAGE   \* MERGEFORMAT </w:instrText>
    </w:r>
    <w:r w:rsidRPr="00E239CA">
      <w:fldChar w:fldCharType="separate"/>
    </w:r>
    <w:r>
      <w:t>2</w:t>
    </w:r>
    <w:r w:rsidRPr="00E239C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4A662" w14:textId="7426586C" w:rsidR="00E239CA" w:rsidRPr="00E239CA" w:rsidRDefault="00E239CA" w:rsidP="00E239CA">
    <w:pPr>
      <w:pStyle w:val="Normal-pool"/>
    </w:pPr>
    <w:r>
      <w:rPr>
        <w:lang w:val="fr-FR"/>
      </w:rPr>
      <w:t>K1903729</w:t>
    </w:r>
    <w:r>
      <w:rPr>
        <w:lang w:val="fr-FR"/>
      </w:rPr>
      <w:tab/>
    </w:r>
    <w:r w:rsidR="007B292B">
      <w:rPr>
        <w:lang w:val="fr-FR"/>
      </w:rPr>
      <w:t>27</w:t>
    </w:r>
    <w:r>
      <w:rPr>
        <w:lang w:val="fr-FR"/>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F8BBD" w14:textId="77777777" w:rsidR="00777797" w:rsidRPr="00BC5579" w:rsidRDefault="00777797" w:rsidP="00BC5579">
      <w:pPr>
        <w:spacing w:before="60"/>
        <w:ind w:left="624"/>
        <w:rPr>
          <w:sz w:val="18"/>
          <w:szCs w:val="18"/>
        </w:rPr>
      </w:pPr>
      <w:r w:rsidRPr="00BC5579">
        <w:rPr>
          <w:sz w:val="18"/>
          <w:szCs w:val="18"/>
        </w:rPr>
        <w:separator/>
      </w:r>
    </w:p>
  </w:footnote>
  <w:footnote w:type="continuationSeparator" w:id="0">
    <w:p w14:paraId="48B9626C" w14:textId="77777777" w:rsidR="00777797" w:rsidRDefault="00777797">
      <w:r>
        <w:continuationSeparator/>
      </w:r>
    </w:p>
  </w:footnote>
  <w:footnote w:id="1">
    <w:p w14:paraId="08B0DE18" w14:textId="77777777" w:rsidR="00430669" w:rsidRPr="003558CC" w:rsidRDefault="00430669" w:rsidP="000E39AB">
      <w:pPr>
        <w:pStyle w:val="FootnoteText"/>
        <w:rPr>
          <w:lang w:val="fr-FR"/>
        </w:rPr>
      </w:pPr>
      <w:r w:rsidRPr="00430669">
        <w:rPr>
          <w:rStyle w:val="FootnoteReference"/>
          <w:sz w:val="18"/>
          <w:vertAlign w:val="baseline"/>
        </w:rPr>
        <w:t>*</w:t>
      </w:r>
      <w:r w:rsidRPr="00430669">
        <w:rPr>
          <w:szCs w:val="18"/>
        </w:rPr>
        <w:t xml:space="preserve"> </w:t>
      </w:r>
      <w:r w:rsidRPr="00430669">
        <w:rPr>
          <w:szCs w:val="18"/>
          <w:lang w:val="fr-FR"/>
        </w:rPr>
        <w:t>UNEP/MC/COP</w:t>
      </w:r>
      <w:r>
        <w:rPr>
          <w:lang w:val="fr-FR"/>
        </w:rPr>
        <w:t>.3/1.</w:t>
      </w:r>
    </w:p>
  </w:footnote>
  <w:footnote w:id="2">
    <w:p w14:paraId="659AC53F" w14:textId="6C382677" w:rsidR="00430669" w:rsidRPr="00AC3C5A" w:rsidRDefault="00430669" w:rsidP="004B06E0">
      <w:pPr>
        <w:pStyle w:val="FootnoteText"/>
      </w:pPr>
      <w:r w:rsidRPr="00E239CA">
        <w:rPr>
          <w:rStyle w:val="FootnoteReference"/>
          <w:sz w:val="18"/>
        </w:rPr>
        <w:footnoteRef/>
      </w:r>
      <w:r w:rsidRPr="00E239CA">
        <w:rPr>
          <w:szCs w:val="18"/>
        </w:rPr>
        <w:t xml:space="preserve"> </w:t>
      </w:r>
      <w:proofErr w:type="spellStart"/>
      <w:r w:rsidRPr="00E239CA">
        <w:rPr>
          <w:szCs w:val="18"/>
        </w:rPr>
        <w:t>Umoja</w:t>
      </w:r>
      <w:proofErr w:type="spellEnd"/>
      <w:r w:rsidRPr="00E239CA">
        <w:rPr>
          <w:szCs w:val="18"/>
        </w:rPr>
        <w:t xml:space="preserve"> est le progiciel de gestion intégré</w:t>
      </w:r>
      <w:r>
        <w:t xml:space="preserve"> du Secrét</w:t>
      </w:r>
      <w:bookmarkStart w:id="0" w:name="_GoBack"/>
      <w:bookmarkEnd w:id="0"/>
      <w:r>
        <w:t>ariat de l</w:t>
      </w:r>
      <w:r w:rsidR="0058158D">
        <w:t>’</w:t>
      </w:r>
      <w:r>
        <w:t xml:space="preserve">ONU, mis en place en 2015. </w:t>
      </w:r>
    </w:p>
  </w:footnote>
  <w:footnote w:id="3">
    <w:p w14:paraId="31F766A1" w14:textId="6A544DAA"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UNEP/MC/COP.3/19.</w:t>
      </w:r>
    </w:p>
  </w:footnote>
  <w:footnote w:id="4">
    <w:p w14:paraId="3A563240" w14:textId="2DE11BC9"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UNEP/MC/COP.3/INF/10.</w:t>
      </w:r>
    </w:p>
  </w:footnote>
  <w:footnote w:id="5">
    <w:p w14:paraId="0210963C" w14:textId="08CAB1D3"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UNEP/MC/COP.3/20.</w:t>
      </w:r>
    </w:p>
  </w:footnote>
  <w:footnote w:id="6">
    <w:p w14:paraId="44334346" w14:textId="432D53F5"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UNEP/MC/COP.3/INF/10.</w:t>
      </w:r>
    </w:p>
  </w:footnote>
  <w:footnote w:id="7">
    <w:p w14:paraId="27A91447" w14:textId="0EFC714D"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UNEP/MC/COP.3/INF/11.</w:t>
      </w:r>
    </w:p>
  </w:footnote>
  <w:footnote w:id="8">
    <w:p w14:paraId="2120CE6A" w14:textId="1C9980C7"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UNEP/MC/COP.3/INF/9.</w:t>
      </w:r>
    </w:p>
  </w:footnote>
  <w:footnote w:id="9">
    <w:p w14:paraId="5C3112C2" w14:textId="3EFE44D8"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UNEP/MC/COP.3/INF/10.</w:t>
      </w:r>
    </w:p>
  </w:footnote>
  <w:footnote w:id="10">
    <w:p w14:paraId="61A991BD" w14:textId="567BE308" w:rsidR="00430669" w:rsidRPr="005064FA" w:rsidRDefault="00430669">
      <w:pPr>
        <w:pStyle w:val="FootnoteText"/>
        <w:rPr>
          <w:szCs w:val="18"/>
          <w:lang w:val="en-US"/>
        </w:rPr>
      </w:pPr>
      <w:r w:rsidRPr="005064FA">
        <w:rPr>
          <w:rStyle w:val="FootnoteReference"/>
          <w:sz w:val="18"/>
        </w:rPr>
        <w:footnoteRef/>
      </w:r>
      <w:r w:rsidRPr="005064FA">
        <w:rPr>
          <w:szCs w:val="18"/>
          <w:lang w:val="en-US"/>
        </w:rPr>
        <w:t xml:space="preserve"> UNEP/MC/COP.3/19.</w:t>
      </w:r>
    </w:p>
  </w:footnote>
  <w:footnote w:id="11">
    <w:p w14:paraId="04854156" w14:textId="6FECA2D1" w:rsidR="00430669" w:rsidRPr="005064FA" w:rsidRDefault="00430669" w:rsidP="003D4595">
      <w:pPr>
        <w:pStyle w:val="FootnoteText"/>
        <w:rPr>
          <w:szCs w:val="18"/>
          <w:lang w:val="en-US"/>
        </w:rPr>
      </w:pPr>
      <w:r w:rsidRPr="005064FA">
        <w:rPr>
          <w:rStyle w:val="FootnoteReference"/>
          <w:sz w:val="18"/>
        </w:rPr>
        <w:footnoteRef/>
      </w:r>
      <w:r w:rsidRPr="005064FA">
        <w:rPr>
          <w:szCs w:val="18"/>
          <w:lang w:val="en-US"/>
        </w:rPr>
        <w:t xml:space="preserve"> UNEP/MC/COP.3/20.</w:t>
      </w:r>
    </w:p>
  </w:footnote>
  <w:footnote w:id="12">
    <w:p w14:paraId="072836F2" w14:textId="25E8DD43" w:rsidR="00430669" w:rsidRPr="005064FA" w:rsidRDefault="00430669" w:rsidP="003D4595">
      <w:pPr>
        <w:pStyle w:val="FootnoteText"/>
        <w:rPr>
          <w:szCs w:val="18"/>
          <w:lang w:val="en-US"/>
        </w:rPr>
      </w:pPr>
      <w:r w:rsidRPr="005064FA">
        <w:rPr>
          <w:rStyle w:val="FootnoteReference"/>
          <w:sz w:val="18"/>
        </w:rPr>
        <w:footnoteRef/>
      </w:r>
      <w:r w:rsidRPr="005064FA">
        <w:rPr>
          <w:szCs w:val="18"/>
          <w:lang w:val="en-US"/>
        </w:rPr>
        <w:t xml:space="preserve"> UNEP/MC/COP.3/INF/10.</w:t>
      </w:r>
    </w:p>
  </w:footnote>
  <w:footnote w:id="13">
    <w:p w14:paraId="2CD085F5" w14:textId="418C567C" w:rsidR="00430669" w:rsidRPr="005064FA" w:rsidRDefault="00430669" w:rsidP="003D4595">
      <w:pPr>
        <w:pStyle w:val="FootnoteText"/>
        <w:rPr>
          <w:szCs w:val="18"/>
          <w:lang w:val="en-US"/>
        </w:rPr>
      </w:pPr>
      <w:r w:rsidRPr="005064FA">
        <w:rPr>
          <w:rStyle w:val="FootnoteReference"/>
          <w:sz w:val="18"/>
        </w:rPr>
        <w:footnoteRef/>
      </w:r>
      <w:r w:rsidRPr="005064FA">
        <w:rPr>
          <w:szCs w:val="18"/>
          <w:lang w:val="en-US"/>
        </w:rPr>
        <w:t xml:space="preserve"> UNEP/MC/COP.3/INF/11.</w:t>
      </w:r>
    </w:p>
  </w:footnote>
  <w:footnote w:id="14">
    <w:p w14:paraId="56AFC9A4" w14:textId="30797F33" w:rsidR="00430669" w:rsidRPr="005064FA" w:rsidRDefault="00430669" w:rsidP="003D4595">
      <w:pPr>
        <w:pStyle w:val="FootnoteText"/>
        <w:rPr>
          <w:szCs w:val="18"/>
          <w:lang w:val="en-US"/>
        </w:rPr>
      </w:pPr>
      <w:r w:rsidRPr="005064FA">
        <w:rPr>
          <w:rStyle w:val="FootnoteReference"/>
          <w:sz w:val="18"/>
        </w:rPr>
        <w:footnoteRef/>
      </w:r>
      <w:r w:rsidRPr="005064FA">
        <w:rPr>
          <w:szCs w:val="18"/>
          <w:lang w:val="en-US"/>
        </w:rPr>
        <w:t xml:space="preserve"> UNEP/MC/COP.3/INF/9.</w:t>
      </w:r>
    </w:p>
  </w:footnote>
  <w:footnote w:id="15">
    <w:p w14:paraId="2456A375" w14:textId="260C346D" w:rsidR="00430669" w:rsidRPr="00367C87" w:rsidRDefault="00430669">
      <w:pPr>
        <w:pStyle w:val="FootnoteText"/>
        <w:rPr>
          <w:szCs w:val="18"/>
        </w:rPr>
      </w:pPr>
      <w:r w:rsidRPr="00367C87">
        <w:rPr>
          <w:rStyle w:val="FootnoteReference"/>
          <w:sz w:val="18"/>
        </w:rPr>
        <w:footnoteRef/>
      </w:r>
      <w:r>
        <w:t xml:space="preserve"> UNEP/MC/COP.3/10.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95FCE" w14:textId="158FBF2C" w:rsidR="00430669" w:rsidRDefault="00430669" w:rsidP="00E239CA">
    <w:pPr>
      <w:pStyle w:val="Header-pool"/>
    </w:pPr>
    <w:r w:rsidRPr="00CA5CA9">
      <w:rPr>
        <w:bCs/>
      </w:rPr>
      <w:t>UNEP</w:t>
    </w:r>
    <w:r w:rsidRPr="00CA5CA9">
      <w:t>/</w:t>
    </w:r>
    <w:r>
      <w:t>MC</w:t>
    </w:r>
    <w:r w:rsidRPr="00CA5CA9">
      <w:t>/</w:t>
    </w:r>
    <w:r>
      <w:t>COP.3</w:t>
    </w:r>
    <w:r w:rsidRPr="00CA5CA9">
      <w:t>/</w:t>
    </w:r>
    <w: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10942" w14:textId="77777777" w:rsidR="00E239CA" w:rsidRDefault="00E239CA" w:rsidP="00E239CA">
    <w:pPr>
      <w:pStyle w:val="Header-pool"/>
      <w:jc w:val="right"/>
    </w:pPr>
    <w:r w:rsidRPr="00CA5CA9">
      <w:rPr>
        <w:bCs/>
      </w:rPr>
      <w:t>UNEP</w:t>
    </w:r>
    <w:r w:rsidRPr="00CA5CA9">
      <w:t>/</w:t>
    </w:r>
    <w:r w:rsidRPr="00E239CA">
      <w:t>MC</w:t>
    </w:r>
    <w:r w:rsidRPr="00CA5CA9">
      <w:t>/</w:t>
    </w:r>
    <w:r>
      <w:t>COP.3</w:t>
    </w:r>
    <w:r w:rsidRPr="00CA5CA9">
      <w:t>/</w:t>
    </w:r>
    <w: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F4ACF36E"/>
    <w:numStyleLink w:val="Normallist"/>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06"/>
    <w:rsid w:val="000024A3"/>
    <w:rsid w:val="0000287C"/>
    <w:rsid w:val="00002AC3"/>
    <w:rsid w:val="000034C9"/>
    <w:rsid w:val="0000540F"/>
    <w:rsid w:val="000057BB"/>
    <w:rsid w:val="000065CB"/>
    <w:rsid w:val="000077AD"/>
    <w:rsid w:val="00007B70"/>
    <w:rsid w:val="00007CCF"/>
    <w:rsid w:val="0001142B"/>
    <w:rsid w:val="00011A16"/>
    <w:rsid w:val="00014435"/>
    <w:rsid w:val="000149E6"/>
    <w:rsid w:val="000164DE"/>
    <w:rsid w:val="00017F47"/>
    <w:rsid w:val="00023DA9"/>
    <w:rsid w:val="00023FFF"/>
    <w:rsid w:val="000247B0"/>
    <w:rsid w:val="00026997"/>
    <w:rsid w:val="00026A08"/>
    <w:rsid w:val="00027CBB"/>
    <w:rsid w:val="000316EE"/>
    <w:rsid w:val="00032A1F"/>
    <w:rsid w:val="00032E4E"/>
    <w:rsid w:val="00033E0B"/>
    <w:rsid w:val="00035EDE"/>
    <w:rsid w:val="00036EBA"/>
    <w:rsid w:val="00037302"/>
    <w:rsid w:val="000400EF"/>
    <w:rsid w:val="00040BA3"/>
    <w:rsid w:val="00040FC9"/>
    <w:rsid w:val="000430A5"/>
    <w:rsid w:val="000438B3"/>
    <w:rsid w:val="00044D98"/>
    <w:rsid w:val="0004673D"/>
    <w:rsid w:val="000503B4"/>
    <w:rsid w:val="000509B4"/>
    <w:rsid w:val="00052125"/>
    <w:rsid w:val="00056FC3"/>
    <w:rsid w:val="0006035B"/>
    <w:rsid w:val="0006096F"/>
    <w:rsid w:val="000623E4"/>
    <w:rsid w:val="00064800"/>
    <w:rsid w:val="000649C5"/>
    <w:rsid w:val="00064B3F"/>
    <w:rsid w:val="000660EE"/>
    <w:rsid w:val="000665A7"/>
    <w:rsid w:val="00066A79"/>
    <w:rsid w:val="000671D0"/>
    <w:rsid w:val="0006773B"/>
    <w:rsid w:val="00071886"/>
    <w:rsid w:val="00071CF3"/>
    <w:rsid w:val="00072028"/>
    <w:rsid w:val="00072F76"/>
    <w:rsid w:val="0007408F"/>
    <w:rsid w:val="000742BC"/>
    <w:rsid w:val="000751C1"/>
    <w:rsid w:val="00076C22"/>
    <w:rsid w:val="00076CC6"/>
    <w:rsid w:val="000803A9"/>
    <w:rsid w:val="000808A8"/>
    <w:rsid w:val="00082681"/>
    <w:rsid w:val="00082A0C"/>
    <w:rsid w:val="00083504"/>
    <w:rsid w:val="000843C4"/>
    <w:rsid w:val="00091300"/>
    <w:rsid w:val="00092266"/>
    <w:rsid w:val="00093BC4"/>
    <w:rsid w:val="00094BD1"/>
    <w:rsid w:val="0009640C"/>
    <w:rsid w:val="00096D4A"/>
    <w:rsid w:val="000A0EE6"/>
    <w:rsid w:val="000A182C"/>
    <w:rsid w:val="000A19CD"/>
    <w:rsid w:val="000A1CE8"/>
    <w:rsid w:val="000A1D77"/>
    <w:rsid w:val="000A2777"/>
    <w:rsid w:val="000A33AD"/>
    <w:rsid w:val="000A352A"/>
    <w:rsid w:val="000A4270"/>
    <w:rsid w:val="000A49D4"/>
    <w:rsid w:val="000A61C6"/>
    <w:rsid w:val="000B22A2"/>
    <w:rsid w:val="000B3E64"/>
    <w:rsid w:val="000B43E4"/>
    <w:rsid w:val="000B541B"/>
    <w:rsid w:val="000B73F9"/>
    <w:rsid w:val="000B7D2E"/>
    <w:rsid w:val="000B7D30"/>
    <w:rsid w:val="000C00DA"/>
    <w:rsid w:val="000C2A52"/>
    <w:rsid w:val="000C2A88"/>
    <w:rsid w:val="000C7379"/>
    <w:rsid w:val="000D0B0E"/>
    <w:rsid w:val="000D15FB"/>
    <w:rsid w:val="000D2759"/>
    <w:rsid w:val="000D33C0"/>
    <w:rsid w:val="000D378B"/>
    <w:rsid w:val="000D3843"/>
    <w:rsid w:val="000D4CF6"/>
    <w:rsid w:val="000D501B"/>
    <w:rsid w:val="000D6941"/>
    <w:rsid w:val="000D7356"/>
    <w:rsid w:val="000D7F52"/>
    <w:rsid w:val="000E0C00"/>
    <w:rsid w:val="000E39AB"/>
    <w:rsid w:val="000E3CC9"/>
    <w:rsid w:val="000E45DF"/>
    <w:rsid w:val="000F1400"/>
    <w:rsid w:val="000F2B43"/>
    <w:rsid w:val="000F38EF"/>
    <w:rsid w:val="000F3DCD"/>
    <w:rsid w:val="000F4260"/>
    <w:rsid w:val="000F434E"/>
    <w:rsid w:val="000F4829"/>
    <w:rsid w:val="000F5535"/>
    <w:rsid w:val="000F5CAC"/>
    <w:rsid w:val="000F5F8A"/>
    <w:rsid w:val="000F6B21"/>
    <w:rsid w:val="000F744B"/>
    <w:rsid w:val="001013F2"/>
    <w:rsid w:val="001017EB"/>
    <w:rsid w:val="00101B1F"/>
    <w:rsid w:val="00102AFD"/>
    <w:rsid w:val="00102EFB"/>
    <w:rsid w:val="00112C13"/>
    <w:rsid w:val="0011532C"/>
    <w:rsid w:val="001202E3"/>
    <w:rsid w:val="00121B66"/>
    <w:rsid w:val="00122F6C"/>
    <w:rsid w:val="0012335D"/>
    <w:rsid w:val="00123699"/>
    <w:rsid w:val="001241FB"/>
    <w:rsid w:val="001269E5"/>
    <w:rsid w:val="00126F8E"/>
    <w:rsid w:val="0013059D"/>
    <w:rsid w:val="00132283"/>
    <w:rsid w:val="00136187"/>
    <w:rsid w:val="001366FD"/>
    <w:rsid w:val="001401D9"/>
    <w:rsid w:val="00141A55"/>
    <w:rsid w:val="0014293F"/>
    <w:rsid w:val="0014397D"/>
    <w:rsid w:val="001446A3"/>
    <w:rsid w:val="00144A65"/>
    <w:rsid w:val="00144E0F"/>
    <w:rsid w:val="00146668"/>
    <w:rsid w:val="00150796"/>
    <w:rsid w:val="00152B6B"/>
    <w:rsid w:val="00153B64"/>
    <w:rsid w:val="00155370"/>
    <w:rsid w:val="00155395"/>
    <w:rsid w:val="00155A2F"/>
    <w:rsid w:val="00156B6B"/>
    <w:rsid w:val="00157490"/>
    <w:rsid w:val="00160442"/>
    <w:rsid w:val="00160D74"/>
    <w:rsid w:val="0016238C"/>
    <w:rsid w:val="001646EA"/>
    <w:rsid w:val="00167D02"/>
    <w:rsid w:val="00170B32"/>
    <w:rsid w:val="00171D82"/>
    <w:rsid w:val="00173DB3"/>
    <w:rsid w:val="00174D0C"/>
    <w:rsid w:val="001750A1"/>
    <w:rsid w:val="00175143"/>
    <w:rsid w:val="00175427"/>
    <w:rsid w:val="001759D8"/>
    <w:rsid w:val="00175C76"/>
    <w:rsid w:val="00176711"/>
    <w:rsid w:val="00176F98"/>
    <w:rsid w:val="00177626"/>
    <w:rsid w:val="00177D7F"/>
    <w:rsid w:val="00180C3F"/>
    <w:rsid w:val="00181EC8"/>
    <w:rsid w:val="00184349"/>
    <w:rsid w:val="00185A10"/>
    <w:rsid w:val="00186B1D"/>
    <w:rsid w:val="0019192D"/>
    <w:rsid w:val="00191C20"/>
    <w:rsid w:val="001926B7"/>
    <w:rsid w:val="00192F46"/>
    <w:rsid w:val="00194297"/>
    <w:rsid w:val="00195F33"/>
    <w:rsid w:val="00196464"/>
    <w:rsid w:val="001A0854"/>
    <w:rsid w:val="001A2475"/>
    <w:rsid w:val="001A33B2"/>
    <w:rsid w:val="001A4011"/>
    <w:rsid w:val="001A47E5"/>
    <w:rsid w:val="001A6689"/>
    <w:rsid w:val="001A7144"/>
    <w:rsid w:val="001B064B"/>
    <w:rsid w:val="001B1617"/>
    <w:rsid w:val="001B4209"/>
    <w:rsid w:val="001B4718"/>
    <w:rsid w:val="001B504B"/>
    <w:rsid w:val="001B62EC"/>
    <w:rsid w:val="001B6F98"/>
    <w:rsid w:val="001C1530"/>
    <w:rsid w:val="001C191A"/>
    <w:rsid w:val="001C2486"/>
    <w:rsid w:val="001C3494"/>
    <w:rsid w:val="001C5470"/>
    <w:rsid w:val="001C591C"/>
    <w:rsid w:val="001C5EAE"/>
    <w:rsid w:val="001C5F63"/>
    <w:rsid w:val="001C6381"/>
    <w:rsid w:val="001C70A9"/>
    <w:rsid w:val="001D3874"/>
    <w:rsid w:val="001D7E75"/>
    <w:rsid w:val="001E0D73"/>
    <w:rsid w:val="001E101B"/>
    <w:rsid w:val="001E2027"/>
    <w:rsid w:val="001E2986"/>
    <w:rsid w:val="001E45BD"/>
    <w:rsid w:val="001E5259"/>
    <w:rsid w:val="001E5528"/>
    <w:rsid w:val="001E56D2"/>
    <w:rsid w:val="001E7D56"/>
    <w:rsid w:val="001F1550"/>
    <w:rsid w:val="001F32AB"/>
    <w:rsid w:val="001F3D7A"/>
    <w:rsid w:val="001F5186"/>
    <w:rsid w:val="001F75DE"/>
    <w:rsid w:val="00200C95"/>
    <w:rsid w:val="00200D58"/>
    <w:rsid w:val="002011C1"/>
    <w:rsid w:val="002013BE"/>
    <w:rsid w:val="00201EDC"/>
    <w:rsid w:val="0020295D"/>
    <w:rsid w:val="002031BB"/>
    <w:rsid w:val="002043AF"/>
    <w:rsid w:val="002046D7"/>
    <w:rsid w:val="002046DC"/>
    <w:rsid w:val="00204818"/>
    <w:rsid w:val="00205661"/>
    <w:rsid w:val="002063A4"/>
    <w:rsid w:val="002063B7"/>
    <w:rsid w:val="002100C2"/>
    <w:rsid w:val="0021086F"/>
    <w:rsid w:val="0021145B"/>
    <w:rsid w:val="002162FE"/>
    <w:rsid w:val="00220C23"/>
    <w:rsid w:val="00222666"/>
    <w:rsid w:val="0022376E"/>
    <w:rsid w:val="002238F3"/>
    <w:rsid w:val="002247F6"/>
    <w:rsid w:val="00225C09"/>
    <w:rsid w:val="00225E21"/>
    <w:rsid w:val="00225E44"/>
    <w:rsid w:val="00225ED7"/>
    <w:rsid w:val="0022753E"/>
    <w:rsid w:val="00231155"/>
    <w:rsid w:val="00234E78"/>
    <w:rsid w:val="00235663"/>
    <w:rsid w:val="002374E5"/>
    <w:rsid w:val="00237907"/>
    <w:rsid w:val="00240B7E"/>
    <w:rsid w:val="00240CF4"/>
    <w:rsid w:val="00243D36"/>
    <w:rsid w:val="002458BA"/>
    <w:rsid w:val="00245FD3"/>
    <w:rsid w:val="00246151"/>
    <w:rsid w:val="00246CA8"/>
    <w:rsid w:val="0024725F"/>
    <w:rsid w:val="00247443"/>
    <w:rsid w:val="00247707"/>
    <w:rsid w:val="00250E33"/>
    <w:rsid w:val="00252456"/>
    <w:rsid w:val="00252569"/>
    <w:rsid w:val="00255BCA"/>
    <w:rsid w:val="0025687A"/>
    <w:rsid w:val="00256EDA"/>
    <w:rsid w:val="0026018E"/>
    <w:rsid w:val="00260536"/>
    <w:rsid w:val="002664B0"/>
    <w:rsid w:val="0026675B"/>
    <w:rsid w:val="00272B0C"/>
    <w:rsid w:val="0028120D"/>
    <w:rsid w:val="00281A5E"/>
    <w:rsid w:val="002828C3"/>
    <w:rsid w:val="002839DD"/>
    <w:rsid w:val="00284C8D"/>
    <w:rsid w:val="002859A1"/>
    <w:rsid w:val="00286740"/>
    <w:rsid w:val="00286E0E"/>
    <w:rsid w:val="0028732C"/>
    <w:rsid w:val="002874A7"/>
    <w:rsid w:val="00287AC9"/>
    <w:rsid w:val="00290EF8"/>
    <w:rsid w:val="002912FD"/>
    <w:rsid w:val="00291719"/>
    <w:rsid w:val="00291EAE"/>
    <w:rsid w:val="00291EEC"/>
    <w:rsid w:val="002929D8"/>
    <w:rsid w:val="002964D0"/>
    <w:rsid w:val="00296E2A"/>
    <w:rsid w:val="00296F2D"/>
    <w:rsid w:val="002A03AC"/>
    <w:rsid w:val="002A0E14"/>
    <w:rsid w:val="002A1E35"/>
    <w:rsid w:val="002A237D"/>
    <w:rsid w:val="002A4C53"/>
    <w:rsid w:val="002A66DE"/>
    <w:rsid w:val="002A6EF4"/>
    <w:rsid w:val="002A77B9"/>
    <w:rsid w:val="002A787F"/>
    <w:rsid w:val="002B003D"/>
    <w:rsid w:val="002B0672"/>
    <w:rsid w:val="002B0D62"/>
    <w:rsid w:val="002B247F"/>
    <w:rsid w:val="002B2A71"/>
    <w:rsid w:val="002B50D4"/>
    <w:rsid w:val="002B58BF"/>
    <w:rsid w:val="002C08A6"/>
    <w:rsid w:val="002C0915"/>
    <w:rsid w:val="002C145D"/>
    <w:rsid w:val="002C1953"/>
    <w:rsid w:val="002C1A8F"/>
    <w:rsid w:val="002C2C3E"/>
    <w:rsid w:val="002C362D"/>
    <w:rsid w:val="002C512F"/>
    <w:rsid w:val="002C533E"/>
    <w:rsid w:val="002D027F"/>
    <w:rsid w:val="002D3E15"/>
    <w:rsid w:val="002D4B4A"/>
    <w:rsid w:val="002D5BD5"/>
    <w:rsid w:val="002D7A85"/>
    <w:rsid w:val="002D7B60"/>
    <w:rsid w:val="002E454B"/>
    <w:rsid w:val="002F08D1"/>
    <w:rsid w:val="002F1DE0"/>
    <w:rsid w:val="002F20DA"/>
    <w:rsid w:val="002F3676"/>
    <w:rsid w:val="002F4761"/>
    <w:rsid w:val="002F5C79"/>
    <w:rsid w:val="002F5DF6"/>
    <w:rsid w:val="002F68EE"/>
    <w:rsid w:val="003019E2"/>
    <w:rsid w:val="003037AF"/>
    <w:rsid w:val="0030544F"/>
    <w:rsid w:val="00306A5E"/>
    <w:rsid w:val="00310076"/>
    <w:rsid w:val="00310BEB"/>
    <w:rsid w:val="00311C4E"/>
    <w:rsid w:val="00311F6E"/>
    <w:rsid w:val="0031393D"/>
    <w:rsid w:val="00313A67"/>
    <w:rsid w:val="0031413F"/>
    <w:rsid w:val="00314854"/>
    <w:rsid w:val="003148BB"/>
    <w:rsid w:val="00315A41"/>
    <w:rsid w:val="00317976"/>
    <w:rsid w:val="00317FF8"/>
    <w:rsid w:val="00320443"/>
    <w:rsid w:val="00320F2F"/>
    <w:rsid w:val="0032457E"/>
    <w:rsid w:val="00325D38"/>
    <w:rsid w:val="00327BD8"/>
    <w:rsid w:val="00330093"/>
    <w:rsid w:val="003310E8"/>
    <w:rsid w:val="00332EA7"/>
    <w:rsid w:val="00336A58"/>
    <w:rsid w:val="0034061A"/>
    <w:rsid w:val="00340BD1"/>
    <w:rsid w:val="00340E98"/>
    <w:rsid w:val="00342FFB"/>
    <w:rsid w:val="003437F3"/>
    <w:rsid w:val="00344EC7"/>
    <w:rsid w:val="0034668D"/>
    <w:rsid w:val="003467C2"/>
    <w:rsid w:val="00346E39"/>
    <w:rsid w:val="003471FB"/>
    <w:rsid w:val="00347ED6"/>
    <w:rsid w:val="00351F84"/>
    <w:rsid w:val="003523E4"/>
    <w:rsid w:val="0035277E"/>
    <w:rsid w:val="0035397C"/>
    <w:rsid w:val="00354B9D"/>
    <w:rsid w:val="00354BBF"/>
    <w:rsid w:val="00355EA9"/>
    <w:rsid w:val="003578DE"/>
    <w:rsid w:val="00357E31"/>
    <w:rsid w:val="00360DC5"/>
    <w:rsid w:val="00361688"/>
    <w:rsid w:val="003659D9"/>
    <w:rsid w:val="0036633A"/>
    <w:rsid w:val="0036759E"/>
    <w:rsid w:val="00367C87"/>
    <w:rsid w:val="00367FD2"/>
    <w:rsid w:val="003707A9"/>
    <w:rsid w:val="00372454"/>
    <w:rsid w:val="003728F6"/>
    <w:rsid w:val="003740D8"/>
    <w:rsid w:val="003807CA"/>
    <w:rsid w:val="00380921"/>
    <w:rsid w:val="0038149E"/>
    <w:rsid w:val="00381996"/>
    <w:rsid w:val="003824D0"/>
    <w:rsid w:val="00383389"/>
    <w:rsid w:val="003855FD"/>
    <w:rsid w:val="003877D5"/>
    <w:rsid w:val="00390EDC"/>
    <w:rsid w:val="00391683"/>
    <w:rsid w:val="00391B41"/>
    <w:rsid w:val="003929B8"/>
    <w:rsid w:val="00393432"/>
    <w:rsid w:val="00396257"/>
    <w:rsid w:val="003972D3"/>
    <w:rsid w:val="00397A76"/>
    <w:rsid w:val="00397EB8"/>
    <w:rsid w:val="003A083C"/>
    <w:rsid w:val="003A2221"/>
    <w:rsid w:val="003A2340"/>
    <w:rsid w:val="003A3506"/>
    <w:rsid w:val="003A4FD0"/>
    <w:rsid w:val="003A69D1"/>
    <w:rsid w:val="003A7684"/>
    <w:rsid w:val="003A7705"/>
    <w:rsid w:val="003A77F1"/>
    <w:rsid w:val="003B1545"/>
    <w:rsid w:val="003B4AB5"/>
    <w:rsid w:val="003B7F7E"/>
    <w:rsid w:val="003C11AD"/>
    <w:rsid w:val="003C20FC"/>
    <w:rsid w:val="003C2572"/>
    <w:rsid w:val="003C3039"/>
    <w:rsid w:val="003C3219"/>
    <w:rsid w:val="003C409D"/>
    <w:rsid w:val="003C4544"/>
    <w:rsid w:val="003C5583"/>
    <w:rsid w:val="003C5BA6"/>
    <w:rsid w:val="003C7153"/>
    <w:rsid w:val="003C7265"/>
    <w:rsid w:val="003C74CF"/>
    <w:rsid w:val="003D1D8B"/>
    <w:rsid w:val="003D3752"/>
    <w:rsid w:val="003D4595"/>
    <w:rsid w:val="003D57DA"/>
    <w:rsid w:val="003E09EA"/>
    <w:rsid w:val="003E35DA"/>
    <w:rsid w:val="003E455D"/>
    <w:rsid w:val="003F0E85"/>
    <w:rsid w:val="003F1639"/>
    <w:rsid w:val="003F1F4B"/>
    <w:rsid w:val="003F3D92"/>
    <w:rsid w:val="003F4837"/>
    <w:rsid w:val="003F7736"/>
    <w:rsid w:val="0040258B"/>
    <w:rsid w:val="00403B87"/>
    <w:rsid w:val="00403E46"/>
    <w:rsid w:val="00410A91"/>
    <w:rsid w:val="00410C55"/>
    <w:rsid w:val="00410C79"/>
    <w:rsid w:val="00410FBC"/>
    <w:rsid w:val="00412206"/>
    <w:rsid w:val="00415030"/>
    <w:rsid w:val="004158BF"/>
    <w:rsid w:val="00415B81"/>
    <w:rsid w:val="00416781"/>
    <w:rsid w:val="00416854"/>
    <w:rsid w:val="00416C75"/>
    <w:rsid w:val="00417725"/>
    <w:rsid w:val="00417EBA"/>
    <w:rsid w:val="0042266F"/>
    <w:rsid w:val="00422E9C"/>
    <w:rsid w:val="00422EF6"/>
    <w:rsid w:val="00422F41"/>
    <w:rsid w:val="00423091"/>
    <w:rsid w:val="00424830"/>
    <w:rsid w:val="00425248"/>
    <w:rsid w:val="00425FF6"/>
    <w:rsid w:val="00430669"/>
    <w:rsid w:val="004307A3"/>
    <w:rsid w:val="0043271D"/>
    <w:rsid w:val="00434321"/>
    <w:rsid w:val="00435414"/>
    <w:rsid w:val="00437D9C"/>
    <w:rsid w:val="00437F26"/>
    <w:rsid w:val="00442E2C"/>
    <w:rsid w:val="00443983"/>
    <w:rsid w:val="00444097"/>
    <w:rsid w:val="00445487"/>
    <w:rsid w:val="004474C7"/>
    <w:rsid w:val="00447E0D"/>
    <w:rsid w:val="00452308"/>
    <w:rsid w:val="00453EA8"/>
    <w:rsid w:val="00453F5E"/>
    <w:rsid w:val="00454769"/>
    <w:rsid w:val="00455366"/>
    <w:rsid w:val="00457002"/>
    <w:rsid w:val="00465BAD"/>
    <w:rsid w:val="00466991"/>
    <w:rsid w:val="0047064C"/>
    <w:rsid w:val="00476F6D"/>
    <w:rsid w:val="00480350"/>
    <w:rsid w:val="004822B7"/>
    <w:rsid w:val="00482494"/>
    <w:rsid w:val="00483932"/>
    <w:rsid w:val="0048577E"/>
    <w:rsid w:val="004912E0"/>
    <w:rsid w:val="004933BC"/>
    <w:rsid w:val="0049469E"/>
    <w:rsid w:val="004946C2"/>
    <w:rsid w:val="004953BD"/>
    <w:rsid w:val="0049672C"/>
    <w:rsid w:val="00497629"/>
    <w:rsid w:val="004A2217"/>
    <w:rsid w:val="004A24F9"/>
    <w:rsid w:val="004A42E1"/>
    <w:rsid w:val="004A6A92"/>
    <w:rsid w:val="004A6E2A"/>
    <w:rsid w:val="004A718B"/>
    <w:rsid w:val="004A7449"/>
    <w:rsid w:val="004B06E0"/>
    <w:rsid w:val="004B162C"/>
    <w:rsid w:val="004B271F"/>
    <w:rsid w:val="004B2ABE"/>
    <w:rsid w:val="004B3593"/>
    <w:rsid w:val="004B4413"/>
    <w:rsid w:val="004C06E6"/>
    <w:rsid w:val="004C11D0"/>
    <w:rsid w:val="004C2615"/>
    <w:rsid w:val="004C363C"/>
    <w:rsid w:val="004C3DBE"/>
    <w:rsid w:val="004C5C96"/>
    <w:rsid w:val="004C5F93"/>
    <w:rsid w:val="004D03E9"/>
    <w:rsid w:val="004D06A4"/>
    <w:rsid w:val="004D1F90"/>
    <w:rsid w:val="004D4391"/>
    <w:rsid w:val="004D56B8"/>
    <w:rsid w:val="004D74B7"/>
    <w:rsid w:val="004D7FFA"/>
    <w:rsid w:val="004E08AA"/>
    <w:rsid w:val="004E0D10"/>
    <w:rsid w:val="004E2B2B"/>
    <w:rsid w:val="004E2BDC"/>
    <w:rsid w:val="004E34BB"/>
    <w:rsid w:val="004E356E"/>
    <w:rsid w:val="004E691C"/>
    <w:rsid w:val="004F1A81"/>
    <w:rsid w:val="004F36DB"/>
    <w:rsid w:val="004F4D84"/>
    <w:rsid w:val="004F523C"/>
    <w:rsid w:val="004F59D7"/>
    <w:rsid w:val="004F5D1B"/>
    <w:rsid w:val="004F5D88"/>
    <w:rsid w:val="00501354"/>
    <w:rsid w:val="0050319A"/>
    <w:rsid w:val="005050D2"/>
    <w:rsid w:val="005064FA"/>
    <w:rsid w:val="005106BB"/>
    <w:rsid w:val="00510CED"/>
    <w:rsid w:val="00512879"/>
    <w:rsid w:val="00513878"/>
    <w:rsid w:val="00520E59"/>
    <w:rsid w:val="005218D9"/>
    <w:rsid w:val="00525B44"/>
    <w:rsid w:val="00531379"/>
    <w:rsid w:val="00533430"/>
    <w:rsid w:val="00533DF9"/>
    <w:rsid w:val="0053493B"/>
    <w:rsid w:val="00536186"/>
    <w:rsid w:val="00536D29"/>
    <w:rsid w:val="00541D39"/>
    <w:rsid w:val="00544498"/>
    <w:rsid w:val="00544CBB"/>
    <w:rsid w:val="005452A4"/>
    <w:rsid w:val="005475DF"/>
    <w:rsid w:val="0054782B"/>
    <w:rsid w:val="00550353"/>
    <w:rsid w:val="005507A8"/>
    <w:rsid w:val="00550D1F"/>
    <w:rsid w:val="00551B65"/>
    <w:rsid w:val="005534C8"/>
    <w:rsid w:val="00553B93"/>
    <w:rsid w:val="00555B1E"/>
    <w:rsid w:val="00556704"/>
    <w:rsid w:val="005573CD"/>
    <w:rsid w:val="005600E0"/>
    <w:rsid w:val="005628DF"/>
    <w:rsid w:val="005632CA"/>
    <w:rsid w:val="005656D7"/>
    <w:rsid w:val="00566AD6"/>
    <w:rsid w:val="0057315F"/>
    <w:rsid w:val="00574D3C"/>
    <w:rsid w:val="0057503F"/>
    <w:rsid w:val="00575210"/>
    <w:rsid w:val="00575A8F"/>
    <w:rsid w:val="00576104"/>
    <w:rsid w:val="00576456"/>
    <w:rsid w:val="0057651A"/>
    <w:rsid w:val="00576901"/>
    <w:rsid w:val="00581251"/>
    <w:rsid w:val="0058158D"/>
    <w:rsid w:val="005843CA"/>
    <w:rsid w:val="005853DE"/>
    <w:rsid w:val="00586418"/>
    <w:rsid w:val="00586FBD"/>
    <w:rsid w:val="005878D0"/>
    <w:rsid w:val="0059169B"/>
    <w:rsid w:val="00591A9A"/>
    <w:rsid w:val="00592B21"/>
    <w:rsid w:val="005936B8"/>
    <w:rsid w:val="0059406D"/>
    <w:rsid w:val="005947DD"/>
    <w:rsid w:val="005A38D0"/>
    <w:rsid w:val="005A5705"/>
    <w:rsid w:val="005A6512"/>
    <w:rsid w:val="005B19CE"/>
    <w:rsid w:val="005B211B"/>
    <w:rsid w:val="005B2DF4"/>
    <w:rsid w:val="005B3433"/>
    <w:rsid w:val="005B417D"/>
    <w:rsid w:val="005B44BF"/>
    <w:rsid w:val="005B78F1"/>
    <w:rsid w:val="005C5EA2"/>
    <w:rsid w:val="005C607D"/>
    <w:rsid w:val="005C6555"/>
    <w:rsid w:val="005C67C8"/>
    <w:rsid w:val="005C6A36"/>
    <w:rsid w:val="005D0065"/>
    <w:rsid w:val="005D0249"/>
    <w:rsid w:val="005D0781"/>
    <w:rsid w:val="005D0EE8"/>
    <w:rsid w:val="005D18FA"/>
    <w:rsid w:val="005D2829"/>
    <w:rsid w:val="005D2C20"/>
    <w:rsid w:val="005D339A"/>
    <w:rsid w:val="005D4E0E"/>
    <w:rsid w:val="005D4FD4"/>
    <w:rsid w:val="005D6963"/>
    <w:rsid w:val="005D6E8C"/>
    <w:rsid w:val="005E0D7D"/>
    <w:rsid w:val="005E16FC"/>
    <w:rsid w:val="005E3004"/>
    <w:rsid w:val="005E3D8B"/>
    <w:rsid w:val="005E777E"/>
    <w:rsid w:val="005F100C"/>
    <w:rsid w:val="005F2AF3"/>
    <w:rsid w:val="005F2D11"/>
    <w:rsid w:val="005F3321"/>
    <w:rsid w:val="005F5459"/>
    <w:rsid w:val="005F5A8C"/>
    <w:rsid w:val="005F68DA"/>
    <w:rsid w:val="005F7419"/>
    <w:rsid w:val="006008E7"/>
    <w:rsid w:val="00601426"/>
    <w:rsid w:val="00601BC9"/>
    <w:rsid w:val="00602A7B"/>
    <w:rsid w:val="00602BC4"/>
    <w:rsid w:val="00603404"/>
    <w:rsid w:val="00603854"/>
    <w:rsid w:val="00606288"/>
    <w:rsid w:val="0060773B"/>
    <w:rsid w:val="006111FE"/>
    <w:rsid w:val="00613FD6"/>
    <w:rsid w:val="006157B5"/>
    <w:rsid w:val="006169E8"/>
    <w:rsid w:val="00617224"/>
    <w:rsid w:val="00621FA7"/>
    <w:rsid w:val="0062233D"/>
    <w:rsid w:val="0062360C"/>
    <w:rsid w:val="00625839"/>
    <w:rsid w:val="00626FC6"/>
    <w:rsid w:val="00630349"/>
    <w:rsid w:val="006303B4"/>
    <w:rsid w:val="00630ADC"/>
    <w:rsid w:val="006325E9"/>
    <w:rsid w:val="00633D3D"/>
    <w:rsid w:val="00634348"/>
    <w:rsid w:val="00634A1A"/>
    <w:rsid w:val="0063575F"/>
    <w:rsid w:val="00636153"/>
    <w:rsid w:val="00641703"/>
    <w:rsid w:val="006431A6"/>
    <w:rsid w:val="00643E3A"/>
    <w:rsid w:val="0064493B"/>
    <w:rsid w:val="006459F6"/>
    <w:rsid w:val="006501AD"/>
    <w:rsid w:val="00650B62"/>
    <w:rsid w:val="00651416"/>
    <w:rsid w:val="00651BFA"/>
    <w:rsid w:val="006520C8"/>
    <w:rsid w:val="00652C9D"/>
    <w:rsid w:val="0065305F"/>
    <w:rsid w:val="00654475"/>
    <w:rsid w:val="00654A36"/>
    <w:rsid w:val="00656901"/>
    <w:rsid w:val="00656DF0"/>
    <w:rsid w:val="0066052D"/>
    <w:rsid w:val="00665A4B"/>
    <w:rsid w:val="00667E64"/>
    <w:rsid w:val="00670F76"/>
    <w:rsid w:val="00670FAE"/>
    <w:rsid w:val="006739CF"/>
    <w:rsid w:val="00674ACB"/>
    <w:rsid w:val="0067547D"/>
    <w:rsid w:val="006770C5"/>
    <w:rsid w:val="00682A50"/>
    <w:rsid w:val="0068678F"/>
    <w:rsid w:val="00691889"/>
    <w:rsid w:val="00692147"/>
    <w:rsid w:val="00692E2A"/>
    <w:rsid w:val="0069323F"/>
    <w:rsid w:val="00693E2C"/>
    <w:rsid w:val="006941E8"/>
    <w:rsid w:val="0069496A"/>
    <w:rsid w:val="00696AD0"/>
    <w:rsid w:val="00696C1C"/>
    <w:rsid w:val="00697523"/>
    <w:rsid w:val="006A0BF7"/>
    <w:rsid w:val="006A115B"/>
    <w:rsid w:val="006A139C"/>
    <w:rsid w:val="006A17B5"/>
    <w:rsid w:val="006A1A35"/>
    <w:rsid w:val="006A390E"/>
    <w:rsid w:val="006A4B8A"/>
    <w:rsid w:val="006A5ABE"/>
    <w:rsid w:val="006A6A61"/>
    <w:rsid w:val="006A76F2"/>
    <w:rsid w:val="006B031C"/>
    <w:rsid w:val="006B11AA"/>
    <w:rsid w:val="006B7D29"/>
    <w:rsid w:val="006C1780"/>
    <w:rsid w:val="006C39F6"/>
    <w:rsid w:val="006C410C"/>
    <w:rsid w:val="006C4C29"/>
    <w:rsid w:val="006C501B"/>
    <w:rsid w:val="006C7E8E"/>
    <w:rsid w:val="006D19D4"/>
    <w:rsid w:val="006D2402"/>
    <w:rsid w:val="006D2B12"/>
    <w:rsid w:val="006D45E7"/>
    <w:rsid w:val="006D4BCF"/>
    <w:rsid w:val="006D4E82"/>
    <w:rsid w:val="006D5644"/>
    <w:rsid w:val="006D6081"/>
    <w:rsid w:val="006D7EFB"/>
    <w:rsid w:val="006E4B01"/>
    <w:rsid w:val="006E6672"/>
    <w:rsid w:val="006E6722"/>
    <w:rsid w:val="006F07D0"/>
    <w:rsid w:val="006F1271"/>
    <w:rsid w:val="006F229A"/>
    <w:rsid w:val="006F27D2"/>
    <w:rsid w:val="006F3184"/>
    <w:rsid w:val="006F775C"/>
    <w:rsid w:val="006F7AFF"/>
    <w:rsid w:val="00701D2D"/>
    <w:rsid w:val="007027B9"/>
    <w:rsid w:val="007031C5"/>
    <w:rsid w:val="007052D5"/>
    <w:rsid w:val="007066B5"/>
    <w:rsid w:val="007119A0"/>
    <w:rsid w:val="007124CE"/>
    <w:rsid w:val="007145DA"/>
    <w:rsid w:val="00715E88"/>
    <w:rsid w:val="00716A65"/>
    <w:rsid w:val="00716D8B"/>
    <w:rsid w:val="00720F37"/>
    <w:rsid w:val="007248E3"/>
    <w:rsid w:val="00724BC4"/>
    <w:rsid w:val="00727510"/>
    <w:rsid w:val="00732059"/>
    <w:rsid w:val="00732B46"/>
    <w:rsid w:val="00733583"/>
    <w:rsid w:val="00734CAA"/>
    <w:rsid w:val="007352DC"/>
    <w:rsid w:val="007353A0"/>
    <w:rsid w:val="0073628A"/>
    <w:rsid w:val="0073685E"/>
    <w:rsid w:val="00737DF1"/>
    <w:rsid w:val="00740EE2"/>
    <w:rsid w:val="00742680"/>
    <w:rsid w:val="0074368A"/>
    <w:rsid w:val="00744C65"/>
    <w:rsid w:val="007460E6"/>
    <w:rsid w:val="00746C1A"/>
    <w:rsid w:val="00747966"/>
    <w:rsid w:val="007502B7"/>
    <w:rsid w:val="00752259"/>
    <w:rsid w:val="007538C7"/>
    <w:rsid w:val="00753BAB"/>
    <w:rsid w:val="007543FF"/>
    <w:rsid w:val="0075533C"/>
    <w:rsid w:val="00755A18"/>
    <w:rsid w:val="0075727D"/>
    <w:rsid w:val="00757581"/>
    <w:rsid w:val="007602F5"/>
    <w:rsid w:val="00760D36"/>
    <w:rsid w:val="007610F0"/>
    <w:rsid w:val="007611A0"/>
    <w:rsid w:val="007615EF"/>
    <w:rsid w:val="00762454"/>
    <w:rsid w:val="00762ADE"/>
    <w:rsid w:val="007646FF"/>
    <w:rsid w:val="0076712C"/>
    <w:rsid w:val="00772574"/>
    <w:rsid w:val="00773E54"/>
    <w:rsid w:val="00774596"/>
    <w:rsid w:val="00775B01"/>
    <w:rsid w:val="00777797"/>
    <w:rsid w:val="00781C83"/>
    <w:rsid w:val="00782BC9"/>
    <w:rsid w:val="00782EC5"/>
    <w:rsid w:val="00784207"/>
    <w:rsid w:val="0078657F"/>
    <w:rsid w:val="00786FF0"/>
    <w:rsid w:val="00787147"/>
    <w:rsid w:val="00787289"/>
    <w:rsid w:val="00787688"/>
    <w:rsid w:val="00791644"/>
    <w:rsid w:val="007921FA"/>
    <w:rsid w:val="00792361"/>
    <w:rsid w:val="00792429"/>
    <w:rsid w:val="00792E9A"/>
    <w:rsid w:val="007935E6"/>
    <w:rsid w:val="0079429E"/>
    <w:rsid w:val="007959C2"/>
    <w:rsid w:val="0079677F"/>
    <w:rsid w:val="00796D3F"/>
    <w:rsid w:val="00796FAE"/>
    <w:rsid w:val="00797ED5"/>
    <w:rsid w:val="007A03B4"/>
    <w:rsid w:val="007A160C"/>
    <w:rsid w:val="007A1683"/>
    <w:rsid w:val="007A1ABA"/>
    <w:rsid w:val="007A45A9"/>
    <w:rsid w:val="007A5C12"/>
    <w:rsid w:val="007A66FB"/>
    <w:rsid w:val="007A67FF"/>
    <w:rsid w:val="007A6B7D"/>
    <w:rsid w:val="007A73F7"/>
    <w:rsid w:val="007A7CB0"/>
    <w:rsid w:val="007B0BF1"/>
    <w:rsid w:val="007B1658"/>
    <w:rsid w:val="007B292B"/>
    <w:rsid w:val="007B3288"/>
    <w:rsid w:val="007B68A3"/>
    <w:rsid w:val="007B7C5C"/>
    <w:rsid w:val="007C1E81"/>
    <w:rsid w:val="007C2541"/>
    <w:rsid w:val="007C4E20"/>
    <w:rsid w:val="007C6054"/>
    <w:rsid w:val="007C7196"/>
    <w:rsid w:val="007C7243"/>
    <w:rsid w:val="007C76EC"/>
    <w:rsid w:val="007C79EF"/>
    <w:rsid w:val="007C7FC9"/>
    <w:rsid w:val="007D0F27"/>
    <w:rsid w:val="007D66A8"/>
    <w:rsid w:val="007E003F"/>
    <w:rsid w:val="007E18DC"/>
    <w:rsid w:val="007E2DF9"/>
    <w:rsid w:val="007E384A"/>
    <w:rsid w:val="007E526D"/>
    <w:rsid w:val="007E577F"/>
    <w:rsid w:val="007E6016"/>
    <w:rsid w:val="007E7127"/>
    <w:rsid w:val="007F0CF8"/>
    <w:rsid w:val="007F33DF"/>
    <w:rsid w:val="007F49F8"/>
    <w:rsid w:val="007F57A7"/>
    <w:rsid w:val="007F5E1B"/>
    <w:rsid w:val="007F62CB"/>
    <w:rsid w:val="00801BB3"/>
    <w:rsid w:val="0080281B"/>
    <w:rsid w:val="008033E9"/>
    <w:rsid w:val="00803579"/>
    <w:rsid w:val="00805226"/>
    <w:rsid w:val="00810A70"/>
    <w:rsid w:val="008125FA"/>
    <w:rsid w:val="00812AFB"/>
    <w:rsid w:val="0081398E"/>
    <w:rsid w:val="008142EC"/>
    <w:rsid w:val="00814983"/>
    <w:rsid w:val="00814DD8"/>
    <w:rsid w:val="008164AD"/>
    <w:rsid w:val="008164F2"/>
    <w:rsid w:val="0082126B"/>
    <w:rsid w:val="00821395"/>
    <w:rsid w:val="00821EA3"/>
    <w:rsid w:val="00823402"/>
    <w:rsid w:val="0082498C"/>
    <w:rsid w:val="008309D3"/>
    <w:rsid w:val="00830E26"/>
    <w:rsid w:val="00834368"/>
    <w:rsid w:val="0083441A"/>
    <w:rsid w:val="00835DB4"/>
    <w:rsid w:val="00837F5F"/>
    <w:rsid w:val="00840F59"/>
    <w:rsid w:val="00842575"/>
    <w:rsid w:val="00842A69"/>
    <w:rsid w:val="00843541"/>
    <w:rsid w:val="00843576"/>
    <w:rsid w:val="00843B64"/>
    <w:rsid w:val="008443E7"/>
    <w:rsid w:val="00845261"/>
    <w:rsid w:val="00845710"/>
    <w:rsid w:val="008478FC"/>
    <w:rsid w:val="00851034"/>
    <w:rsid w:val="00851981"/>
    <w:rsid w:val="00851C51"/>
    <w:rsid w:val="008538F7"/>
    <w:rsid w:val="00855325"/>
    <w:rsid w:val="00855F37"/>
    <w:rsid w:val="00857E1B"/>
    <w:rsid w:val="00861CFA"/>
    <w:rsid w:val="00862FE9"/>
    <w:rsid w:val="00865B1C"/>
    <w:rsid w:val="00866240"/>
    <w:rsid w:val="008664AF"/>
    <w:rsid w:val="00867BFF"/>
    <w:rsid w:val="00871542"/>
    <w:rsid w:val="00872BF6"/>
    <w:rsid w:val="00880C7B"/>
    <w:rsid w:val="0088109F"/>
    <w:rsid w:val="00881854"/>
    <w:rsid w:val="0088480A"/>
    <w:rsid w:val="00885718"/>
    <w:rsid w:val="0088757A"/>
    <w:rsid w:val="008911BE"/>
    <w:rsid w:val="0089431B"/>
    <w:rsid w:val="00895668"/>
    <w:rsid w:val="008957DD"/>
    <w:rsid w:val="008964D8"/>
    <w:rsid w:val="00896C61"/>
    <w:rsid w:val="00897D98"/>
    <w:rsid w:val="008A1CEE"/>
    <w:rsid w:val="008A326C"/>
    <w:rsid w:val="008A3F8F"/>
    <w:rsid w:val="008A4C71"/>
    <w:rsid w:val="008A5662"/>
    <w:rsid w:val="008A6DF2"/>
    <w:rsid w:val="008A7807"/>
    <w:rsid w:val="008B1153"/>
    <w:rsid w:val="008B130F"/>
    <w:rsid w:val="008B218B"/>
    <w:rsid w:val="008B2705"/>
    <w:rsid w:val="008B2725"/>
    <w:rsid w:val="008B4CC9"/>
    <w:rsid w:val="008B5371"/>
    <w:rsid w:val="008B5666"/>
    <w:rsid w:val="008B6B8C"/>
    <w:rsid w:val="008B6C91"/>
    <w:rsid w:val="008C0B15"/>
    <w:rsid w:val="008C11A4"/>
    <w:rsid w:val="008C3B46"/>
    <w:rsid w:val="008D2038"/>
    <w:rsid w:val="008D2969"/>
    <w:rsid w:val="008D2BC2"/>
    <w:rsid w:val="008D4DA0"/>
    <w:rsid w:val="008D65BD"/>
    <w:rsid w:val="008D6805"/>
    <w:rsid w:val="008D6BB5"/>
    <w:rsid w:val="008D7322"/>
    <w:rsid w:val="008D75E4"/>
    <w:rsid w:val="008D7C99"/>
    <w:rsid w:val="008E0FCB"/>
    <w:rsid w:val="008E2D1A"/>
    <w:rsid w:val="008E788F"/>
    <w:rsid w:val="008F2CAC"/>
    <w:rsid w:val="008F3C4E"/>
    <w:rsid w:val="008F514E"/>
    <w:rsid w:val="008F6DFE"/>
    <w:rsid w:val="008F7B8F"/>
    <w:rsid w:val="00903417"/>
    <w:rsid w:val="0090529F"/>
    <w:rsid w:val="00905593"/>
    <w:rsid w:val="00906661"/>
    <w:rsid w:val="00907C07"/>
    <w:rsid w:val="009109B0"/>
    <w:rsid w:val="0091268C"/>
    <w:rsid w:val="00914126"/>
    <w:rsid w:val="009157FA"/>
    <w:rsid w:val="00916926"/>
    <w:rsid w:val="0092178C"/>
    <w:rsid w:val="00925BB8"/>
    <w:rsid w:val="009266CE"/>
    <w:rsid w:val="00927489"/>
    <w:rsid w:val="00927C73"/>
    <w:rsid w:val="00930018"/>
    <w:rsid w:val="00930B88"/>
    <w:rsid w:val="00933EF9"/>
    <w:rsid w:val="00935376"/>
    <w:rsid w:val="00935F16"/>
    <w:rsid w:val="009363B7"/>
    <w:rsid w:val="009364FE"/>
    <w:rsid w:val="00936E32"/>
    <w:rsid w:val="00940DCC"/>
    <w:rsid w:val="0094159B"/>
    <w:rsid w:val="0094179A"/>
    <w:rsid w:val="00941E96"/>
    <w:rsid w:val="00944493"/>
    <w:rsid w:val="0094459E"/>
    <w:rsid w:val="00944D72"/>
    <w:rsid w:val="00944DBC"/>
    <w:rsid w:val="00950977"/>
    <w:rsid w:val="00951A7B"/>
    <w:rsid w:val="009523B4"/>
    <w:rsid w:val="00952C6F"/>
    <w:rsid w:val="00953E1C"/>
    <w:rsid w:val="00955512"/>
    <w:rsid w:val="00956353"/>
    <w:rsid w:val="009564A6"/>
    <w:rsid w:val="00957EF8"/>
    <w:rsid w:val="00960AA5"/>
    <w:rsid w:val="009615DE"/>
    <w:rsid w:val="00961A4B"/>
    <w:rsid w:val="009620E3"/>
    <w:rsid w:val="009649F6"/>
    <w:rsid w:val="00965FE5"/>
    <w:rsid w:val="00966A53"/>
    <w:rsid w:val="00967621"/>
    <w:rsid w:val="00967E6A"/>
    <w:rsid w:val="00973E23"/>
    <w:rsid w:val="0097509D"/>
    <w:rsid w:val="0098011B"/>
    <w:rsid w:val="0098022A"/>
    <w:rsid w:val="00980873"/>
    <w:rsid w:val="00982333"/>
    <w:rsid w:val="0098280D"/>
    <w:rsid w:val="009903C1"/>
    <w:rsid w:val="009907B9"/>
    <w:rsid w:val="00990918"/>
    <w:rsid w:val="00990C53"/>
    <w:rsid w:val="009915BA"/>
    <w:rsid w:val="00994E5B"/>
    <w:rsid w:val="00996EAE"/>
    <w:rsid w:val="009A098B"/>
    <w:rsid w:val="009A21C5"/>
    <w:rsid w:val="009A3A83"/>
    <w:rsid w:val="009A47C6"/>
    <w:rsid w:val="009A5129"/>
    <w:rsid w:val="009B046A"/>
    <w:rsid w:val="009B0C57"/>
    <w:rsid w:val="009B0D9D"/>
    <w:rsid w:val="009B28BE"/>
    <w:rsid w:val="009B361B"/>
    <w:rsid w:val="009B4A0F"/>
    <w:rsid w:val="009B6459"/>
    <w:rsid w:val="009C094D"/>
    <w:rsid w:val="009C11D2"/>
    <w:rsid w:val="009C19E6"/>
    <w:rsid w:val="009C3F6D"/>
    <w:rsid w:val="009C6788"/>
    <w:rsid w:val="009C6C4F"/>
    <w:rsid w:val="009C6C70"/>
    <w:rsid w:val="009C7B0A"/>
    <w:rsid w:val="009D0134"/>
    <w:rsid w:val="009D0B63"/>
    <w:rsid w:val="009D2D1C"/>
    <w:rsid w:val="009D5520"/>
    <w:rsid w:val="009D5A40"/>
    <w:rsid w:val="009D5CB8"/>
    <w:rsid w:val="009E0E70"/>
    <w:rsid w:val="009E2745"/>
    <w:rsid w:val="009E307E"/>
    <w:rsid w:val="009E3533"/>
    <w:rsid w:val="009E3A2C"/>
    <w:rsid w:val="009E3FF0"/>
    <w:rsid w:val="009E5B3A"/>
    <w:rsid w:val="009F2A5C"/>
    <w:rsid w:val="009F41B5"/>
    <w:rsid w:val="009F4848"/>
    <w:rsid w:val="009F6774"/>
    <w:rsid w:val="009F7A7C"/>
    <w:rsid w:val="00A03FD1"/>
    <w:rsid w:val="00A06335"/>
    <w:rsid w:val="00A06B25"/>
    <w:rsid w:val="00A06D08"/>
    <w:rsid w:val="00A07870"/>
    <w:rsid w:val="00A07C54"/>
    <w:rsid w:val="00A07F19"/>
    <w:rsid w:val="00A1006F"/>
    <w:rsid w:val="00A10BEF"/>
    <w:rsid w:val="00A124BB"/>
    <w:rsid w:val="00A1348D"/>
    <w:rsid w:val="00A13C99"/>
    <w:rsid w:val="00A15DCF"/>
    <w:rsid w:val="00A179D2"/>
    <w:rsid w:val="00A17D1A"/>
    <w:rsid w:val="00A232EE"/>
    <w:rsid w:val="00A23A26"/>
    <w:rsid w:val="00A254C6"/>
    <w:rsid w:val="00A25CEA"/>
    <w:rsid w:val="00A25F18"/>
    <w:rsid w:val="00A30A78"/>
    <w:rsid w:val="00A36031"/>
    <w:rsid w:val="00A36A08"/>
    <w:rsid w:val="00A40094"/>
    <w:rsid w:val="00A4175F"/>
    <w:rsid w:val="00A42C04"/>
    <w:rsid w:val="00A44411"/>
    <w:rsid w:val="00A463A9"/>
    <w:rsid w:val="00A469FA"/>
    <w:rsid w:val="00A47A6E"/>
    <w:rsid w:val="00A51B3C"/>
    <w:rsid w:val="00A522F4"/>
    <w:rsid w:val="00A53662"/>
    <w:rsid w:val="00A55B01"/>
    <w:rsid w:val="00A56B5B"/>
    <w:rsid w:val="00A56EF0"/>
    <w:rsid w:val="00A603FF"/>
    <w:rsid w:val="00A60A37"/>
    <w:rsid w:val="00A619B6"/>
    <w:rsid w:val="00A61D06"/>
    <w:rsid w:val="00A6261B"/>
    <w:rsid w:val="00A63B2A"/>
    <w:rsid w:val="00A648CA"/>
    <w:rsid w:val="00A657DD"/>
    <w:rsid w:val="00A666A6"/>
    <w:rsid w:val="00A675FD"/>
    <w:rsid w:val="00A70083"/>
    <w:rsid w:val="00A72437"/>
    <w:rsid w:val="00A72F49"/>
    <w:rsid w:val="00A7423E"/>
    <w:rsid w:val="00A8048B"/>
    <w:rsid w:val="00A80611"/>
    <w:rsid w:val="00A80AC4"/>
    <w:rsid w:val="00A84F6A"/>
    <w:rsid w:val="00A851FB"/>
    <w:rsid w:val="00A85786"/>
    <w:rsid w:val="00A86DAD"/>
    <w:rsid w:val="00A90769"/>
    <w:rsid w:val="00A910A3"/>
    <w:rsid w:val="00A91DD5"/>
    <w:rsid w:val="00A92497"/>
    <w:rsid w:val="00A94138"/>
    <w:rsid w:val="00A96F1E"/>
    <w:rsid w:val="00A976A2"/>
    <w:rsid w:val="00AA0237"/>
    <w:rsid w:val="00AA183C"/>
    <w:rsid w:val="00AA2FDD"/>
    <w:rsid w:val="00AA3587"/>
    <w:rsid w:val="00AA5BF4"/>
    <w:rsid w:val="00AB0C47"/>
    <w:rsid w:val="00AB2AD3"/>
    <w:rsid w:val="00AB342C"/>
    <w:rsid w:val="00AB5340"/>
    <w:rsid w:val="00AB602F"/>
    <w:rsid w:val="00AC0075"/>
    <w:rsid w:val="00AC0A89"/>
    <w:rsid w:val="00AC19BD"/>
    <w:rsid w:val="00AC22B0"/>
    <w:rsid w:val="00AC4590"/>
    <w:rsid w:val="00AC5825"/>
    <w:rsid w:val="00AC5C65"/>
    <w:rsid w:val="00AC6760"/>
    <w:rsid w:val="00AC7C96"/>
    <w:rsid w:val="00AD3593"/>
    <w:rsid w:val="00AD5E7E"/>
    <w:rsid w:val="00AD674A"/>
    <w:rsid w:val="00AE0812"/>
    <w:rsid w:val="00AE119F"/>
    <w:rsid w:val="00AE237D"/>
    <w:rsid w:val="00AE2825"/>
    <w:rsid w:val="00AE3F3F"/>
    <w:rsid w:val="00AE4D0D"/>
    <w:rsid w:val="00AE502A"/>
    <w:rsid w:val="00AE66AC"/>
    <w:rsid w:val="00AF0010"/>
    <w:rsid w:val="00AF0B54"/>
    <w:rsid w:val="00AF1AA8"/>
    <w:rsid w:val="00AF2765"/>
    <w:rsid w:val="00AF2C1F"/>
    <w:rsid w:val="00AF3531"/>
    <w:rsid w:val="00AF621C"/>
    <w:rsid w:val="00AF7C07"/>
    <w:rsid w:val="00B000CD"/>
    <w:rsid w:val="00B009CE"/>
    <w:rsid w:val="00B06C64"/>
    <w:rsid w:val="00B07D8E"/>
    <w:rsid w:val="00B11CAC"/>
    <w:rsid w:val="00B11D7C"/>
    <w:rsid w:val="00B15A29"/>
    <w:rsid w:val="00B21962"/>
    <w:rsid w:val="00B22C93"/>
    <w:rsid w:val="00B24493"/>
    <w:rsid w:val="00B246AC"/>
    <w:rsid w:val="00B24B12"/>
    <w:rsid w:val="00B25234"/>
    <w:rsid w:val="00B2620F"/>
    <w:rsid w:val="00B27589"/>
    <w:rsid w:val="00B31A01"/>
    <w:rsid w:val="00B31D93"/>
    <w:rsid w:val="00B32D77"/>
    <w:rsid w:val="00B34580"/>
    <w:rsid w:val="00B37A64"/>
    <w:rsid w:val="00B405B7"/>
    <w:rsid w:val="00B4468F"/>
    <w:rsid w:val="00B44F3B"/>
    <w:rsid w:val="00B46019"/>
    <w:rsid w:val="00B468C0"/>
    <w:rsid w:val="00B47088"/>
    <w:rsid w:val="00B477EF"/>
    <w:rsid w:val="00B50FE9"/>
    <w:rsid w:val="00B519FC"/>
    <w:rsid w:val="00B52222"/>
    <w:rsid w:val="00B531DA"/>
    <w:rsid w:val="00B538B0"/>
    <w:rsid w:val="00B53A55"/>
    <w:rsid w:val="00B54895"/>
    <w:rsid w:val="00B54FE7"/>
    <w:rsid w:val="00B56E1F"/>
    <w:rsid w:val="00B5793E"/>
    <w:rsid w:val="00B63658"/>
    <w:rsid w:val="00B647C6"/>
    <w:rsid w:val="00B648B0"/>
    <w:rsid w:val="00B655F9"/>
    <w:rsid w:val="00B66901"/>
    <w:rsid w:val="00B66F60"/>
    <w:rsid w:val="00B66FAE"/>
    <w:rsid w:val="00B71E6D"/>
    <w:rsid w:val="00B72070"/>
    <w:rsid w:val="00B7286C"/>
    <w:rsid w:val="00B73926"/>
    <w:rsid w:val="00B7705A"/>
    <w:rsid w:val="00B779E1"/>
    <w:rsid w:val="00B8017A"/>
    <w:rsid w:val="00B81E3A"/>
    <w:rsid w:val="00B85CFB"/>
    <w:rsid w:val="00B85FFA"/>
    <w:rsid w:val="00B914E9"/>
    <w:rsid w:val="00B918E9"/>
    <w:rsid w:val="00B91EE1"/>
    <w:rsid w:val="00B93694"/>
    <w:rsid w:val="00B94602"/>
    <w:rsid w:val="00B95F22"/>
    <w:rsid w:val="00BA0090"/>
    <w:rsid w:val="00BA009B"/>
    <w:rsid w:val="00BA1A01"/>
    <w:rsid w:val="00BA1A67"/>
    <w:rsid w:val="00BA2224"/>
    <w:rsid w:val="00BA362E"/>
    <w:rsid w:val="00BA44D6"/>
    <w:rsid w:val="00BA6599"/>
    <w:rsid w:val="00BA6A80"/>
    <w:rsid w:val="00BB4ABB"/>
    <w:rsid w:val="00BB5157"/>
    <w:rsid w:val="00BB5DDA"/>
    <w:rsid w:val="00BB7150"/>
    <w:rsid w:val="00BB75B4"/>
    <w:rsid w:val="00BB76B2"/>
    <w:rsid w:val="00BC06B9"/>
    <w:rsid w:val="00BC1D71"/>
    <w:rsid w:val="00BC2473"/>
    <w:rsid w:val="00BC2724"/>
    <w:rsid w:val="00BC5579"/>
    <w:rsid w:val="00BC560D"/>
    <w:rsid w:val="00BC62BA"/>
    <w:rsid w:val="00BC7BB6"/>
    <w:rsid w:val="00BD15AE"/>
    <w:rsid w:val="00BD35C9"/>
    <w:rsid w:val="00BD38DC"/>
    <w:rsid w:val="00BE4163"/>
    <w:rsid w:val="00BE531E"/>
    <w:rsid w:val="00BE5B5F"/>
    <w:rsid w:val="00BE63D9"/>
    <w:rsid w:val="00BE76AA"/>
    <w:rsid w:val="00BE7993"/>
    <w:rsid w:val="00BF05B6"/>
    <w:rsid w:val="00BF216C"/>
    <w:rsid w:val="00BF386C"/>
    <w:rsid w:val="00BF452F"/>
    <w:rsid w:val="00BF4A05"/>
    <w:rsid w:val="00BF6BDC"/>
    <w:rsid w:val="00C03196"/>
    <w:rsid w:val="00C0358F"/>
    <w:rsid w:val="00C03617"/>
    <w:rsid w:val="00C0517D"/>
    <w:rsid w:val="00C07552"/>
    <w:rsid w:val="00C076A9"/>
    <w:rsid w:val="00C0780C"/>
    <w:rsid w:val="00C10939"/>
    <w:rsid w:val="00C1110C"/>
    <w:rsid w:val="00C11971"/>
    <w:rsid w:val="00C11D73"/>
    <w:rsid w:val="00C146C1"/>
    <w:rsid w:val="00C16F6C"/>
    <w:rsid w:val="00C179DE"/>
    <w:rsid w:val="00C17CDF"/>
    <w:rsid w:val="00C2042D"/>
    <w:rsid w:val="00C2160A"/>
    <w:rsid w:val="00C21F60"/>
    <w:rsid w:val="00C227DE"/>
    <w:rsid w:val="00C22952"/>
    <w:rsid w:val="00C24959"/>
    <w:rsid w:val="00C264D6"/>
    <w:rsid w:val="00C26BA5"/>
    <w:rsid w:val="00C26EEF"/>
    <w:rsid w:val="00C26F55"/>
    <w:rsid w:val="00C30C63"/>
    <w:rsid w:val="00C30FF3"/>
    <w:rsid w:val="00C3363B"/>
    <w:rsid w:val="00C33A20"/>
    <w:rsid w:val="00C33D0E"/>
    <w:rsid w:val="00C34D5C"/>
    <w:rsid w:val="00C35F8D"/>
    <w:rsid w:val="00C36B8B"/>
    <w:rsid w:val="00C3734A"/>
    <w:rsid w:val="00C37D37"/>
    <w:rsid w:val="00C4135C"/>
    <w:rsid w:val="00C415C1"/>
    <w:rsid w:val="00C42953"/>
    <w:rsid w:val="00C4299B"/>
    <w:rsid w:val="00C44AEB"/>
    <w:rsid w:val="00C47DBF"/>
    <w:rsid w:val="00C50813"/>
    <w:rsid w:val="00C549C5"/>
    <w:rsid w:val="00C552FF"/>
    <w:rsid w:val="00C55305"/>
    <w:rsid w:val="00C558DA"/>
    <w:rsid w:val="00C55AF3"/>
    <w:rsid w:val="00C564F1"/>
    <w:rsid w:val="00C56E04"/>
    <w:rsid w:val="00C61038"/>
    <w:rsid w:val="00C61A38"/>
    <w:rsid w:val="00C61BED"/>
    <w:rsid w:val="00C621CA"/>
    <w:rsid w:val="00C64F3D"/>
    <w:rsid w:val="00C67A5C"/>
    <w:rsid w:val="00C70BF6"/>
    <w:rsid w:val="00C71E2E"/>
    <w:rsid w:val="00C72692"/>
    <w:rsid w:val="00C73D7C"/>
    <w:rsid w:val="00C75229"/>
    <w:rsid w:val="00C76D94"/>
    <w:rsid w:val="00C771A9"/>
    <w:rsid w:val="00C804F5"/>
    <w:rsid w:val="00C806EA"/>
    <w:rsid w:val="00C82332"/>
    <w:rsid w:val="00C82943"/>
    <w:rsid w:val="00C82CD8"/>
    <w:rsid w:val="00C831F1"/>
    <w:rsid w:val="00C84759"/>
    <w:rsid w:val="00C854D1"/>
    <w:rsid w:val="00C85C72"/>
    <w:rsid w:val="00C85F29"/>
    <w:rsid w:val="00C9140F"/>
    <w:rsid w:val="00C91AEB"/>
    <w:rsid w:val="00C92924"/>
    <w:rsid w:val="00C92C09"/>
    <w:rsid w:val="00C93096"/>
    <w:rsid w:val="00C93D8D"/>
    <w:rsid w:val="00CA003B"/>
    <w:rsid w:val="00CA01F7"/>
    <w:rsid w:val="00CA0D3B"/>
    <w:rsid w:val="00CA1222"/>
    <w:rsid w:val="00CA37DD"/>
    <w:rsid w:val="00CA51D5"/>
    <w:rsid w:val="00CA5CA9"/>
    <w:rsid w:val="00CA6C7F"/>
    <w:rsid w:val="00CA6DF4"/>
    <w:rsid w:val="00CA7807"/>
    <w:rsid w:val="00CB007D"/>
    <w:rsid w:val="00CB2ACA"/>
    <w:rsid w:val="00CB4ACA"/>
    <w:rsid w:val="00CB60CA"/>
    <w:rsid w:val="00CC0FC7"/>
    <w:rsid w:val="00CC10A6"/>
    <w:rsid w:val="00CC3D0F"/>
    <w:rsid w:val="00CC3F05"/>
    <w:rsid w:val="00CC64D9"/>
    <w:rsid w:val="00CD1260"/>
    <w:rsid w:val="00CD4256"/>
    <w:rsid w:val="00CD474D"/>
    <w:rsid w:val="00CD5EB8"/>
    <w:rsid w:val="00CD7044"/>
    <w:rsid w:val="00CD7BB2"/>
    <w:rsid w:val="00CE023F"/>
    <w:rsid w:val="00CE08B9"/>
    <w:rsid w:val="00CE3515"/>
    <w:rsid w:val="00CE360F"/>
    <w:rsid w:val="00CE3D4B"/>
    <w:rsid w:val="00CE524C"/>
    <w:rsid w:val="00CF141F"/>
    <w:rsid w:val="00CF1615"/>
    <w:rsid w:val="00CF1E5C"/>
    <w:rsid w:val="00CF4777"/>
    <w:rsid w:val="00CF48C7"/>
    <w:rsid w:val="00CF54F8"/>
    <w:rsid w:val="00CF65C8"/>
    <w:rsid w:val="00CF6850"/>
    <w:rsid w:val="00CF77CD"/>
    <w:rsid w:val="00CF7D0F"/>
    <w:rsid w:val="00D00D3C"/>
    <w:rsid w:val="00D013F5"/>
    <w:rsid w:val="00D03A88"/>
    <w:rsid w:val="00D04531"/>
    <w:rsid w:val="00D05E3F"/>
    <w:rsid w:val="00D067BB"/>
    <w:rsid w:val="00D102BD"/>
    <w:rsid w:val="00D11153"/>
    <w:rsid w:val="00D118F4"/>
    <w:rsid w:val="00D1352A"/>
    <w:rsid w:val="00D13B1B"/>
    <w:rsid w:val="00D16221"/>
    <w:rsid w:val="00D1638E"/>
    <w:rsid w:val="00D169AF"/>
    <w:rsid w:val="00D17814"/>
    <w:rsid w:val="00D200EF"/>
    <w:rsid w:val="00D21B7A"/>
    <w:rsid w:val="00D244FE"/>
    <w:rsid w:val="00D24A62"/>
    <w:rsid w:val="00D24BAA"/>
    <w:rsid w:val="00D25175"/>
    <w:rsid w:val="00D25249"/>
    <w:rsid w:val="00D2657D"/>
    <w:rsid w:val="00D2668A"/>
    <w:rsid w:val="00D26854"/>
    <w:rsid w:val="00D31A6B"/>
    <w:rsid w:val="00D35357"/>
    <w:rsid w:val="00D35F13"/>
    <w:rsid w:val="00D36664"/>
    <w:rsid w:val="00D36C41"/>
    <w:rsid w:val="00D40981"/>
    <w:rsid w:val="00D43884"/>
    <w:rsid w:val="00D44172"/>
    <w:rsid w:val="00D451CC"/>
    <w:rsid w:val="00D4533D"/>
    <w:rsid w:val="00D47BE3"/>
    <w:rsid w:val="00D50150"/>
    <w:rsid w:val="00D50EE6"/>
    <w:rsid w:val="00D5607B"/>
    <w:rsid w:val="00D60979"/>
    <w:rsid w:val="00D613A4"/>
    <w:rsid w:val="00D621FA"/>
    <w:rsid w:val="00D62C15"/>
    <w:rsid w:val="00D63B8C"/>
    <w:rsid w:val="00D63C6F"/>
    <w:rsid w:val="00D63E05"/>
    <w:rsid w:val="00D645E2"/>
    <w:rsid w:val="00D66FF0"/>
    <w:rsid w:val="00D739CC"/>
    <w:rsid w:val="00D77006"/>
    <w:rsid w:val="00D806F9"/>
    <w:rsid w:val="00D8093D"/>
    <w:rsid w:val="00D8108C"/>
    <w:rsid w:val="00D81189"/>
    <w:rsid w:val="00D816DC"/>
    <w:rsid w:val="00D8404C"/>
    <w:rsid w:val="00D842AE"/>
    <w:rsid w:val="00D84995"/>
    <w:rsid w:val="00D85EA3"/>
    <w:rsid w:val="00D85F43"/>
    <w:rsid w:val="00D85F65"/>
    <w:rsid w:val="00D87C75"/>
    <w:rsid w:val="00D91DD5"/>
    <w:rsid w:val="00D9211C"/>
    <w:rsid w:val="00D92DE0"/>
    <w:rsid w:val="00D92FEF"/>
    <w:rsid w:val="00D931F9"/>
    <w:rsid w:val="00D93A0F"/>
    <w:rsid w:val="00D97922"/>
    <w:rsid w:val="00DA0BF1"/>
    <w:rsid w:val="00DA1BCA"/>
    <w:rsid w:val="00DA2B72"/>
    <w:rsid w:val="00DA3663"/>
    <w:rsid w:val="00DA3F86"/>
    <w:rsid w:val="00DA4D7E"/>
    <w:rsid w:val="00DA531B"/>
    <w:rsid w:val="00DA6519"/>
    <w:rsid w:val="00DA78EB"/>
    <w:rsid w:val="00DB4D20"/>
    <w:rsid w:val="00DB53F5"/>
    <w:rsid w:val="00DB5A4A"/>
    <w:rsid w:val="00DB62E8"/>
    <w:rsid w:val="00DB6834"/>
    <w:rsid w:val="00DC1792"/>
    <w:rsid w:val="00DC274A"/>
    <w:rsid w:val="00DC3214"/>
    <w:rsid w:val="00DC46FF"/>
    <w:rsid w:val="00DC5254"/>
    <w:rsid w:val="00DC569D"/>
    <w:rsid w:val="00DC574A"/>
    <w:rsid w:val="00DC5F89"/>
    <w:rsid w:val="00DC6C56"/>
    <w:rsid w:val="00DC7191"/>
    <w:rsid w:val="00DD1A4F"/>
    <w:rsid w:val="00DD27FF"/>
    <w:rsid w:val="00DD2F83"/>
    <w:rsid w:val="00DD3107"/>
    <w:rsid w:val="00DD4156"/>
    <w:rsid w:val="00DD5D15"/>
    <w:rsid w:val="00DD67B5"/>
    <w:rsid w:val="00DD7C2C"/>
    <w:rsid w:val="00DE2B03"/>
    <w:rsid w:val="00DE5BDA"/>
    <w:rsid w:val="00DE6ADF"/>
    <w:rsid w:val="00DF433C"/>
    <w:rsid w:val="00DF519F"/>
    <w:rsid w:val="00DF71A6"/>
    <w:rsid w:val="00DF7C49"/>
    <w:rsid w:val="00E0035A"/>
    <w:rsid w:val="00E01065"/>
    <w:rsid w:val="00E023A7"/>
    <w:rsid w:val="00E02898"/>
    <w:rsid w:val="00E035FB"/>
    <w:rsid w:val="00E039B8"/>
    <w:rsid w:val="00E03E8E"/>
    <w:rsid w:val="00E06797"/>
    <w:rsid w:val="00E068AE"/>
    <w:rsid w:val="00E06B10"/>
    <w:rsid w:val="00E100E6"/>
    <w:rsid w:val="00E10627"/>
    <w:rsid w:val="00E11943"/>
    <w:rsid w:val="00E11D31"/>
    <w:rsid w:val="00E1265B"/>
    <w:rsid w:val="00E12E09"/>
    <w:rsid w:val="00E13B48"/>
    <w:rsid w:val="00E13FFD"/>
    <w:rsid w:val="00E1404F"/>
    <w:rsid w:val="00E157BA"/>
    <w:rsid w:val="00E16774"/>
    <w:rsid w:val="00E21C83"/>
    <w:rsid w:val="00E23644"/>
    <w:rsid w:val="00E239CA"/>
    <w:rsid w:val="00E249F0"/>
    <w:rsid w:val="00E24ADA"/>
    <w:rsid w:val="00E2508D"/>
    <w:rsid w:val="00E27471"/>
    <w:rsid w:val="00E32F59"/>
    <w:rsid w:val="00E33E79"/>
    <w:rsid w:val="00E33FA7"/>
    <w:rsid w:val="00E3777B"/>
    <w:rsid w:val="00E37BA7"/>
    <w:rsid w:val="00E40819"/>
    <w:rsid w:val="00E41908"/>
    <w:rsid w:val="00E45008"/>
    <w:rsid w:val="00E456A2"/>
    <w:rsid w:val="00E46D9A"/>
    <w:rsid w:val="00E47715"/>
    <w:rsid w:val="00E478A4"/>
    <w:rsid w:val="00E5071B"/>
    <w:rsid w:val="00E521A0"/>
    <w:rsid w:val="00E546DF"/>
    <w:rsid w:val="00E54866"/>
    <w:rsid w:val="00E565FF"/>
    <w:rsid w:val="00E566EE"/>
    <w:rsid w:val="00E57DE5"/>
    <w:rsid w:val="00E63D4C"/>
    <w:rsid w:val="00E6489E"/>
    <w:rsid w:val="00E65388"/>
    <w:rsid w:val="00E7093E"/>
    <w:rsid w:val="00E71861"/>
    <w:rsid w:val="00E72401"/>
    <w:rsid w:val="00E76DB6"/>
    <w:rsid w:val="00E7741D"/>
    <w:rsid w:val="00E7762C"/>
    <w:rsid w:val="00E808CD"/>
    <w:rsid w:val="00E829B2"/>
    <w:rsid w:val="00E8348F"/>
    <w:rsid w:val="00E8560B"/>
    <w:rsid w:val="00E85B7D"/>
    <w:rsid w:val="00E85FE7"/>
    <w:rsid w:val="00E9121B"/>
    <w:rsid w:val="00E91BF0"/>
    <w:rsid w:val="00E91E99"/>
    <w:rsid w:val="00E921DE"/>
    <w:rsid w:val="00E926E0"/>
    <w:rsid w:val="00E92DE6"/>
    <w:rsid w:val="00E9302E"/>
    <w:rsid w:val="00E9606A"/>
    <w:rsid w:val="00E9624D"/>
    <w:rsid w:val="00E976AB"/>
    <w:rsid w:val="00EA0AE2"/>
    <w:rsid w:val="00EA2C2E"/>
    <w:rsid w:val="00EA39E5"/>
    <w:rsid w:val="00EA57A3"/>
    <w:rsid w:val="00EA62B6"/>
    <w:rsid w:val="00EA644A"/>
    <w:rsid w:val="00EC2813"/>
    <w:rsid w:val="00EC3EEC"/>
    <w:rsid w:val="00EC3F22"/>
    <w:rsid w:val="00EC5A46"/>
    <w:rsid w:val="00EC63E2"/>
    <w:rsid w:val="00ED0225"/>
    <w:rsid w:val="00ED105E"/>
    <w:rsid w:val="00ED14B9"/>
    <w:rsid w:val="00ED1FB1"/>
    <w:rsid w:val="00ED2BBF"/>
    <w:rsid w:val="00ED366A"/>
    <w:rsid w:val="00ED6BB7"/>
    <w:rsid w:val="00EE01BE"/>
    <w:rsid w:val="00EE255A"/>
    <w:rsid w:val="00EE3C39"/>
    <w:rsid w:val="00EF012F"/>
    <w:rsid w:val="00EF03BD"/>
    <w:rsid w:val="00EF19BB"/>
    <w:rsid w:val="00EF22B3"/>
    <w:rsid w:val="00EF2B21"/>
    <w:rsid w:val="00EF4668"/>
    <w:rsid w:val="00EF5203"/>
    <w:rsid w:val="00F00C0F"/>
    <w:rsid w:val="00F02A1A"/>
    <w:rsid w:val="00F03B69"/>
    <w:rsid w:val="00F06867"/>
    <w:rsid w:val="00F070D2"/>
    <w:rsid w:val="00F07530"/>
    <w:rsid w:val="00F07A50"/>
    <w:rsid w:val="00F107AA"/>
    <w:rsid w:val="00F113DA"/>
    <w:rsid w:val="00F151D0"/>
    <w:rsid w:val="00F15578"/>
    <w:rsid w:val="00F202BA"/>
    <w:rsid w:val="00F20C83"/>
    <w:rsid w:val="00F23B21"/>
    <w:rsid w:val="00F24288"/>
    <w:rsid w:val="00F266FC"/>
    <w:rsid w:val="00F26D21"/>
    <w:rsid w:val="00F2708D"/>
    <w:rsid w:val="00F279A3"/>
    <w:rsid w:val="00F3037A"/>
    <w:rsid w:val="00F3043C"/>
    <w:rsid w:val="00F315A4"/>
    <w:rsid w:val="00F33204"/>
    <w:rsid w:val="00F33F50"/>
    <w:rsid w:val="00F3465A"/>
    <w:rsid w:val="00F34B53"/>
    <w:rsid w:val="00F35CFC"/>
    <w:rsid w:val="00F37DC8"/>
    <w:rsid w:val="00F4137F"/>
    <w:rsid w:val="00F42025"/>
    <w:rsid w:val="00F421F5"/>
    <w:rsid w:val="00F42492"/>
    <w:rsid w:val="00F439B3"/>
    <w:rsid w:val="00F45B30"/>
    <w:rsid w:val="00F51044"/>
    <w:rsid w:val="00F5275D"/>
    <w:rsid w:val="00F54C68"/>
    <w:rsid w:val="00F650C3"/>
    <w:rsid w:val="00F65414"/>
    <w:rsid w:val="00F65D47"/>
    <w:rsid w:val="00F65D85"/>
    <w:rsid w:val="00F6700B"/>
    <w:rsid w:val="00F6774D"/>
    <w:rsid w:val="00F7137B"/>
    <w:rsid w:val="00F716D4"/>
    <w:rsid w:val="00F71976"/>
    <w:rsid w:val="00F7267C"/>
    <w:rsid w:val="00F727F9"/>
    <w:rsid w:val="00F7445B"/>
    <w:rsid w:val="00F74B22"/>
    <w:rsid w:val="00F75F16"/>
    <w:rsid w:val="00F8091E"/>
    <w:rsid w:val="00F80EBB"/>
    <w:rsid w:val="00F8562F"/>
    <w:rsid w:val="00F85FE5"/>
    <w:rsid w:val="00F8615C"/>
    <w:rsid w:val="00F873A1"/>
    <w:rsid w:val="00F92E5D"/>
    <w:rsid w:val="00F9410B"/>
    <w:rsid w:val="00F94A05"/>
    <w:rsid w:val="00F969E5"/>
    <w:rsid w:val="00F971CE"/>
    <w:rsid w:val="00FA13E2"/>
    <w:rsid w:val="00FA2625"/>
    <w:rsid w:val="00FA34A5"/>
    <w:rsid w:val="00FA4972"/>
    <w:rsid w:val="00FA4DF6"/>
    <w:rsid w:val="00FA6BB0"/>
    <w:rsid w:val="00FA7940"/>
    <w:rsid w:val="00FA7B90"/>
    <w:rsid w:val="00FA7C72"/>
    <w:rsid w:val="00FB0548"/>
    <w:rsid w:val="00FB13D8"/>
    <w:rsid w:val="00FB194B"/>
    <w:rsid w:val="00FB2DBD"/>
    <w:rsid w:val="00FB70F6"/>
    <w:rsid w:val="00FC1076"/>
    <w:rsid w:val="00FC1703"/>
    <w:rsid w:val="00FC3631"/>
    <w:rsid w:val="00FD0189"/>
    <w:rsid w:val="00FD4275"/>
    <w:rsid w:val="00FD48DF"/>
    <w:rsid w:val="00FD5100"/>
    <w:rsid w:val="00FD5860"/>
    <w:rsid w:val="00FD7D3A"/>
    <w:rsid w:val="00FE00E6"/>
    <w:rsid w:val="00FE081E"/>
    <w:rsid w:val="00FE0A0B"/>
    <w:rsid w:val="00FE0C08"/>
    <w:rsid w:val="00FE133B"/>
    <w:rsid w:val="00FE352D"/>
    <w:rsid w:val="00FE40EB"/>
    <w:rsid w:val="00FE44D8"/>
    <w:rsid w:val="00FE47F8"/>
    <w:rsid w:val="00FE4D02"/>
    <w:rsid w:val="00FE534A"/>
    <w:rsid w:val="00FE7D62"/>
    <w:rsid w:val="00FE7F74"/>
    <w:rsid w:val="00FF0DA0"/>
    <w:rsid w:val="00FF1F95"/>
    <w:rsid w:val="00FF3819"/>
    <w:rsid w:val="00FF607D"/>
    <w:rsid w:val="00FF6A70"/>
    <w:rsid w:val="00FF7E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863A1C0"/>
  <w15:docId w15:val="{6CE15CFA-5152-41BE-B7B9-AE2D93A1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39A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0E39AB"/>
    <w:pPr>
      <w:keepNext/>
      <w:spacing w:before="240" w:after="120"/>
      <w:ind w:left="1247" w:hanging="680"/>
      <w:outlineLvl w:val="0"/>
    </w:pPr>
    <w:rPr>
      <w:b/>
      <w:sz w:val="28"/>
    </w:rPr>
  </w:style>
  <w:style w:type="paragraph" w:styleId="Heading2">
    <w:name w:val="heading 2"/>
    <w:basedOn w:val="Normal"/>
    <w:next w:val="Normal"/>
    <w:link w:val="Heading2Char"/>
    <w:qFormat/>
    <w:rsid w:val="000E39AB"/>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0E39AB"/>
    <w:pPr>
      <w:spacing w:after="120"/>
      <w:ind w:left="1247" w:hanging="680"/>
      <w:outlineLvl w:val="2"/>
    </w:pPr>
    <w:rPr>
      <w:b/>
    </w:rPr>
  </w:style>
  <w:style w:type="paragraph" w:styleId="Heading4">
    <w:name w:val="heading 4"/>
    <w:basedOn w:val="Heading3"/>
    <w:next w:val="Normal"/>
    <w:link w:val="Heading4Char"/>
    <w:qFormat/>
    <w:rsid w:val="000E39AB"/>
    <w:pPr>
      <w:keepNext/>
      <w:outlineLvl w:val="3"/>
    </w:pPr>
  </w:style>
  <w:style w:type="paragraph" w:styleId="Heading5">
    <w:name w:val="heading 5"/>
    <w:basedOn w:val="Normal"/>
    <w:next w:val="Normal"/>
    <w:link w:val="Heading5Char"/>
    <w:qFormat/>
    <w:rsid w:val="000E39AB"/>
    <w:pPr>
      <w:keepNext/>
      <w:outlineLvl w:val="4"/>
    </w:pPr>
    <w:rPr>
      <w:rFonts w:ascii="Univers" w:hAnsi="Univers"/>
      <w:b/>
      <w:sz w:val="24"/>
    </w:rPr>
  </w:style>
  <w:style w:type="paragraph" w:styleId="Heading6">
    <w:name w:val="heading 6"/>
    <w:basedOn w:val="Normal"/>
    <w:next w:val="Normal"/>
    <w:link w:val="Heading6Char"/>
    <w:qFormat/>
    <w:rsid w:val="000E39AB"/>
    <w:pPr>
      <w:keepNext/>
      <w:ind w:left="578"/>
      <w:outlineLvl w:val="5"/>
    </w:pPr>
    <w:rPr>
      <w:b/>
      <w:bCs/>
      <w:sz w:val="24"/>
    </w:rPr>
  </w:style>
  <w:style w:type="paragraph" w:styleId="Heading7">
    <w:name w:val="heading 7"/>
    <w:basedOn w:val="Normal"/>
    <w:next w:val="Normal"/>
    <w:link w:val="Heading7Char"/>
    <w:qFormat/>
    <w:rsid w:val="000E39AB"/>
    <w:pPr>
      <w:keepNext/>
      <w:widowControl w:val="0"/>
      <w:jc w:val="center"/>
      <w:outlineLvl w:val="6"/>
    </w:pPr>
    <w:rPr>
      <w:snapToGrid w:val="0"/>
      <w:u w:val="single"/>
      <w:lang w:val="en-US"/>
    </w:rPr>
  </w:style>
  <w:style w:type="paragraph" w:styleId="Heading8">
    <w:name w:val="heading 8"/>
    <w:basedOn w:val="Normal"/>
    <w:next w:val="Normal"/>
    <w:link w:val="Heading8Char"/>
    <w:qFormat/>
    <w:rsid w:val="000E39A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E39A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E39AB"/>
    <w:rPr>
      <w:rFonts w:ascii="Times New Roman" w:hAnsi="Times New Roman"/>
      <w:b/>
      <w:sz w:val="18"/>
    </w:rPr>
  </w:style>
  <w:style w:type="table" w:customStyle="1" w:styleId="Tabledocright">
    <w:name w:val="Table_doc_right"/>
    <w:basedOn w:val="TableNormal"/>
    <w:rsid w:val="000E39AB"/>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E39A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E39A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E39A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E39AB"/>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E39AB"/>
    <w:rPr>
      <w:bCs w:val="0"/>
    </w:rPr>
  </w:style>
  <w:style w:type="paragraph" w:styleId="TableofFigures">
    <w:name w:val="table of figures"/>
    <w:basedOn w:val="Normal"/>
    <w:next w:val="Normal"/>
    <w:autoRedefine/>
    <w:semiHidden/>
    <w:rsid w:val="000E39AB"/>
    <w:pPr>
      <w:tabs>
        <w:tab w:val="clear" w:pos="1814"/>
        <w:tab w:val="clear" w:pos="2381"/>
        <w:tab w:val="clear" w:pos="2948"/>
        <w:tab w:val="clear" w:pos="3515"/>
      </w:tabs>
      <w:ind w:left="1814" w:hanging="567"/>
    </w:pPr>
  </w:style>
  <w:style w:type="paragraph" w:customStyle="1" w:styleId="CH1">
    <w:name w:val="CH1"/>
    <w:basedOn w:val="Normalpool"/>
    <w:next w:val="Normal"/>
    <w:rsid w:val="000E39A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0E39A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rsid w:val="000E39AB"/>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0E39AB"/>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0E39AB"/>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0E39AB"/>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0E39AB"/>
    <w:pPr>
      <w:tabs>
        <w:tab w:val="left" w:pos="4321"/>
        <w:tab w:val="right" w:pos="8641"/>
      </w:tabs>
      <w:spacing w:before="60" w:after="120"/>
    </w:pPr>
    <w:rPr>
      <w:b/>
      <w:sz w:val="18"/>
    </w:rPr>
  </w:style>
  <w:style w:type="paragraph" w:customStyle="1" w:styleId="Headerpool">
    <w:name w:val="Header_pool"/>
    <w:basedOn w:val="Normal"/>
    <w:next w:val="Normal"/>
    <w:semiHidden/>
    <w:rsid w:val="000E39A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0E39AB"/>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0E39AB"/>
    <w:pPr>
      <w:tabs>
        <w:tab w:val="left" w:pos="4321"/>
        <w:tab w:val="right" w:pos="8641"/>
      </w:tabs>
      <w:spacing w:before="60" w:after="120"/>
    </w:pPr>
    <w:rPr>
      <w:b/>
      <w:sz w:val="18"/>
    </w:rPr>
  </w:style>
  <w:style w:type="paragraph" w:customStyle="1" w:styleId="Header-pool">
    <w:name w:val="Header-pool"/>
    <w:basedOn w:val="Normal-pool"/>
    <w:next w:val="Normal-pool"/>
    <w:rsid w:val="000E39A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0E39AB"/>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semiHidden/>
    <w:rsid w:val="000E39AB"/>
    <w:rPr>
      <w:rFonts w:ascii="Times New Roman" w:hAnsi="Times New Roman"/>
      <w:color w:val="auto"/>
      <w:sz w:val="20"/>
      <w:szCs w:val="18"/>
      <w:vertAlign w:val="superscript"/>
    </w:rPr>
  </w:style>
  <w:style w:type="paragraph" w:styleId="FootnoteText">
    <w:name w:val="footnote text"/>
    <w:basedOn w:val="Normalpool"/>
    <w:link w:val="FootnoteTextChar"/>
    <w:rsid w:val="000E39AB"/>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link w:val="FootnoteText"/>
    <w:locked/>
    <w:rsid w:val="000E39AB"/>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0E39AB"/>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0E39AB"/>
    <w:pPr>
      <w:keepNext/>
      <w:keepLines/>
      <w:suppressAutoHyphens/>
      <w:ind w:right="5103"/>
    </w:pPr>
    <w:rPr>
      <w:b/>
    </w:rPr>
  </w:style>
  <w:style w:type="paragraph" w:customStyle="1" w:styleId="AATitle2">
    <w:name w:val="AA_Title2"/>
    <w:basedOn w:val="AATitle"/>
    <w:rsid w:val="000E39AB"/>
    <w:pPr>
      <w:tabs>
        <w:tab w:val="clear" w:pos="4082"/>
      </w:tabs>
      <w:spacing w:before="120" w:after="120"/>
      <w:ind w:right="4536"/>
    </w:pPr>
  </w:style>
  <w:style w:type="paragraph" w:customStyle="1" w:styleId="BBTitle">
    <w:name w:val="BB_Title"/>
    <w:basedOn w:val="Normalpool"/>
    <w:link w:val="BBTitleChar"/>
    <w:rsid w:val="000E39AB"/>
    <w:pPr>
      <w:keepNext/>
      <w:keepLines/>
      <w:suppressAutoHyphens/>
      <w:spacing w:before="320" w:after="240"/>
      <w:ind w:left="1247" w:right="567"/>
    </w:pPr>
    <w:rPr>
      <w:b/>
      <w:sz w:val="28"/>
      <w:szCs w:val="28"/>
    </w:rPr>
  </w:style>
  <w:style w:type="paragraph" w:styleId="Footer">
    <w:name w:val="footer"/>
    <w:basedOn w:val="Normal"/>
    <w:link w:val="FooterChar"/>
    <w:semiHidden/>
    <w:rsid w:val="000E39AB"/>
    <w:pPr>
      <w:tabs>
        <w:tab w:val="center" w:pos="4320"/>
        <w:tab w:val="right" w:pos="8640"/>
      </w:tabs>
      <w:spacing w:before="60" w:after="120"/>
    </w:pPr>
    <w:rPr>
      <w:sz w:val="18"/>
    </w:rPr>
  </w:style>
  <w:style w:type="paragraph" w:styleId="Header">
    <w:name w:val="header"/>
    <w:basedOn w:val="Normal"/>
    <w:link w:val="HeaderChar"/>
    <w:semiHidden/>
    <w:rsid w:val="000E39A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E39AB"/>
    <w:rPr>
      <w:rFonts w:ascii="Times New Roman" w:hAnsi="Times New Roman"/>
      <w:color w:val="auto"/>
      <w:sz w:val="20"/>
      <w:szCs w:val="20"/>
      <w:u w:val="none"/>
      <w:lang w:val="fr-FR"/>
    </w:rPr>
  </w:style>
  <w:style w:type="numbering" w:customStyle="1" w:styleId="Normallist">
    <w:name w:val="Normal_list"/>
    <w:basedOn w:val="NoList"/>
    <w:rsid w:val="000E39AB"/>
    <w:pPr>
      <w:numPr>
        <w:numId w:val="3"/>
      </w:numPr>
    </w:pPr>
  </w:style>
  <w:style w:type="paragraph" w:customStyle="1" w:styleId="NormalNonumber">
    <w:name w:val="Normal_No_number"/>
    <w:basedOn w:val="Normalpool"/>
    <w:rsid w:val="000E39AB"/>
    <w:pPr>
      <w:spacing w:after="120"/>
      <w:ind w:left="1247"/>
    </w:pPr>
  </w:style>
  <w:style w:type="paragraph" w:customStyle="1" w:styleId="Normalnumber">
    <w:name w:val="Normal_number"/>
    <w:basedOn w:val="Normalpool"/>
    <w:link w:val="NormalnumberChar"/>
    <w:rsid w:val="000E39AB"/>
    <w:pPr>
      <w:numPr>
        <w:numId w:val="4"/>
      </w:numPr>
      <w:spacing w:after="120"/>
    </w:pPr>
  </w:style>
  <w:style w:type="paragraph" w:customStyle="1" w:styleId="Titletable">
    <w:name w:val="Title_table"/>
    <w:basedOn w:val="Normalpool"/>
    <w:rsid w:val="000E39AB"/>
    <w:pPr>
      <w:keepNext/>
      <w:keepLines/>
      <w:suppressAutoHyphens/>
      <w:spacing w:after="60"/>
      <w:ind w:left="1247"/>
    </w:pPr>
    <w:rPr>
      <w:b/>
      <w:bCs/>
    </w:rPr>
  </w:style>
  <w:style w:type="paragraph" w:styleId="TOC1">
    <w:name w:val="toc 1"/>
    <w:basedOn w:val="Normalpool"/>
    <w:next w:val="Normalpool"/>
    <w:rsid w:val="000E39AB"/>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E39AB"/>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E39AB"/>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E39A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E39AB"/>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0E39AB"/>
    <w:rPr>
      <w:b/>
      <w:bCs/>
      <w:sz w:val="28"/>
      <w:szCs w:val="22"/>
    </w:rPr>
  </w:style>
  <w:style w:type="paragraph" w:customStyle="1" w:styleId="ZZAnxtitle">
    <w:name w:val="ZZ_Anx_title"/>
    <w:basedOn w:val="Normalpool"/>
    <w:link w:val="ZZAnxtitleChar"/>
    <w:rsid w:val="000E39AB"/>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val="fr-CA" w:eastAsia="en-US"/>
    </w:rPr>
  </w:style>
  <w:style w:type="character" w:customStyle="1" w:styleId="ZZAnxtitleChar">
    <w:name w:val="ZZ_Anx_title Char"/>
    <w:link w:val="ZZAnxtitle"/>
    <w:rsid w:val="00F15578"/>
    <w:rPr>
      <w:b/>
      <w:bCs/>
      <w:sz w:val="28"/>
      <w:szCs w:val="26"/>
      <w:lang w:val="fr-CA" w:eastAsia="en-US"/>
    </w:rPr>
  </w:style>
  <w:style w:type="character" w:customStyle="1" w:styleId="NormalnumberChar">
    <w:name w:val="Normal_number Char"/>
    <w:link w:val="Normalnumber"/>
    <w:locked/>
    <w:rsid w:val="001C70A9"/>
    <w:rPr>
      <w:lang w:val="fr-CA" w:eastAsia="en-US"/>
    </w:rPr>
  </w:style>
  <w:style w:type="character" w:customStyle="1" w:styleId="CH2Char">
    <w:name w:val="CH2 Char"/>
    <w:link w:val="CH2"/>
    <w:rsid w:val="001C70A9"/>
    <w:rPr>
      <w:b/>
      <w:sz w:val="24"/>
      <w:szCs w:val="24"/>
      <w:lang w:val="fr-CA" w:eastAsia="en-US"/>
    </w:rPr>
  </w:style>
  <w:style w:type="character" w:customStyle="1" w:styleId="Normal-poolChar">
    <w:name w:val="Normal-pool Char"/>
    <w:link w:val="Normal-pool"/>
    <w:rsid w:val="00E72401"/>
    <w:rPr>
      <w:lang w:val="fr-CA" w:eastAsia="en-US"/>
    </w:rPr>
  </w:style>
  <w:style w:type="paragraph" w:styleId="NormalWeb">
    <w:name w:val="Normal (Web)"/>
    <w:basedOn w:val="Normal"/>
    <w:uiPriority w:val="99"/>
    <w:semiHidden/>
    <w:unhideWhenUsed/>
    <w:rsid w:val="00E3777B"/>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character" w:customStyle="1" w:styleId="FooterChar">
    <w:name w:val="Footer Char"/>
    <w:link w:val="Footer"/>
    <w:semiHidden/>
    <w:rsid w:val="000E39AB"/>
    <w:rPr>
      <w:sz w:val="18"/>
      <w:lang w:val="fr-FR" w:eastAsia="en-US"/>
    </w:rPr>
  </w:style>
  <w:style w:type="character" w:customStyle="1" w:styleId="HeaderChar">
    <w:name w:val="Header Char"/>
    <w:link w:val="Header"/>
    <w:semiHidden/>
    <w:rsid w:val="000E39AB"/>
    <w:rPr>
      <w:b/>
      <w:sz w:val="18"/>
      <w:lang w:val="fr-FR" w:eastAsia="en-US"/>
    </w:rPr>
  </w:style>
  <w:style w:type="character" w:customStyle="1" w:styleId="Heading1Char">
    <w:name w:val="Heading 1 Char"/>
    <w:link w:val="Heading1"/>
    <w:rsid w:val="000E39AB"/>
    <w:rPr>
      <w:b/>
      <w:sz w:val="28"/>
      <w:lang w:val="fr-FR" w:eastAsia="en-US"/>
    </w:rPr>
  </w:style>
  <w:style w:type="character" w:customStyle="1" w:styleId="Heading2Char">
    <w:name w:val="Heading 2 Char"/>
    <w:link w:val="Heading2"/>
    <w:rsid w:val="000E39AB"/>
    <w:rPr>
      <w:b/>
      <w:sz w:val="24"/>
      <w:szCs w:val="24"/>
      <w:lang w:val="fr-FR" w:eastAsia="en-US"/>
    </w:rPr>
  </w:style>
  <w:style w:type="character" w:customStyle="1" w:styleId="Heading3Char">
    <w:name w:val="Heading 3 Char"/>
    <w:link w:val="Heading3"/>
    <w:rsid w:val="000E39AB"/>
    <w:rPr>
      <w:b/>
      <w:lang w:val="fr-FR" w:eastAsia="en-US"/>
    </w:rPr>
  </w:style>
  <w:style w:type="character" w:customStyle="1" w:styleId="Heading4Char">
    <w:name w:val="Heading 4 Char"/>
    <w:link w:val="Heading4"/>
    <w:rsid w:val="000E39AB"/>
    <w:rPr>
      <w:b/>
      <w:lang w:val="fr-FR" w:eastAsia="en-US"/>
    </w:rPr>
  </w:style>
  <w:style w:type="character" w:customStyle="1" w:styleId="Heading5Char">
    <w:name w:val="Heading 5 Char"/>
    <w:link w:val="Heading5"/>
    <w:rsid w:val="000E39AB"/>
    <w:rPr>
      <w:rFonts w:ascii="Univers" w:hAnsi="Univers"/>
      <w:b/>
      <w:sz w:val="24"/>
      <w:lang w:val="fr-FR" w:eastAsia="en-US"/>
    </w:rPr>
  </w:style>
  <w:style w:type="character" w:customStyle="1" w:styleId="Heading6Char">
    <w:name w:val="Heading 6 Char"/>
    <w:link w:val="Heading6"/>
    <w:rsid w:val="000E39AB"/>
    <w:rPr>
      <w:b/>
      <w:bCs/>
      <w:sz w:val="24"/>
      <w:lang w:val="fr-FR" w:eastAsia="en-US"/>
    </w:rPr>
  </w:style>
  <w:style w:type="character" w:customStyle="1" w:styleId="Heading7Char">
    <w:name w:val="Heading 7 Char"/>
    <w:link w:val="Heading7"/>
    <w:rsid w:val="000E39AB"/>
    <w:rPr>
      <w:snapToGrid w:val="0"/>
      <w:u w:val="single"/>
      <w:lang w:val="en-US" w:eastAsia="en-US"/>
    </w:rPr>
  </w:style>
  <w:style w:type="character" w:customStyle="1" w:styleId="Heading8Char">
    <w:name w:val="Heading 8 Char"/>
    <w:link w:val="Heading8"/>
    <w:rsid w:val="000E39AB"/>
    <w:rPr>
      <w:snapToGrid w:val="0"/>
      <w:u w:val="single"/>
      <w:lang w:val="en-US" w:eastAsia="en-US"/>
    </w:rPr>
  </w:style>
  <w:style w:type="character" w:customStyle="1" w:styleId="Heading9Char">
    <w:name w:val="Heading 9 Char"/>
    <w:link w:val="Heading9"/>
    <w:rsid w:val="000E39AB"/>
    <w:rPr>
      <w:snapToGrid w:val="0"/>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5416491">
      <w:bodyDiv w:val="1"/>
      <w:marLeft w:val="0"/>
      <w:marRight w:val="0"/>
      <w:marTop w:val="0"/>
      <w:marBottom w:val="0"/>
      <w:divBdr>
        <w:top w:val="none" w:sz="0" w:space="0" w:color="auto"/>
        <w:left w:val="none" w:sz="0" w:space="0" w:color="auto"/>
        <w:bottom w:val="none" w:sz="0" w:space="0" w:color="auto"/>
        <w:right w:val="none" w:sz="0" w:space="0" w:color="auto"/>
      </w:divBdr>
    </w:div>
    <w:div w:id="577323253">
      <w:bodyDiv w:val="1"/>
      <w:marLeft w:val="0"/>
      <w:marRight w:val="0"/>
      <w:marTop w:val="0"/>
      <w:marBottom w:val="0"/>
      <w:divBdr>
        <w:top w:val="none" w:sz="0" w:space="0" w:color="auto"/>
        <w:left w:val="none" w:sz="0" w:space="0" w:color="auto"/>
        <w:bottom w:val="none" w:sz="0" w:space="0" w:color="auto"/>
        <w:right w:val="none" w:sz="0" w:space="0" w:color="auto"/>
      </w:divBdr>
    </w:div>
    <w:div w:id="616180696">
      <w:bodyDiv w:val="1"/>
      <w:marLeft w:val="0"/>
      <w:marRight w:val="0"/>
      <w:marTop w:val="0"/>
      <w:marBottom w:val="0"/>
      <w:divBdr>
        <w:top w:val="none" w:sz="0" w:space="0" w:color="auto"/>
        <w:left w:val="none" w:sz="0" w:space="0" w:color="auto"/>
        <w:bottom w:val="none" w:sz="0" w:space="0" w:color="auto"/>
        <w:right w:val="none" w:sz="0" w:space="0" w:color="auto"/>
      </w:divBdr>
    </w:div>
    <w:div w:id="689533195">
      <w:bodyDiv w:val="1"/>
      <w:marLeft w:val="0"/>
      <w:marRight w:val="0"/>
      <w:marTop w:val="0"/>
      <w:marBottom w:val="0"/>
      <w:divBdr>
        <w:top w:val="none" w:sz="0" w:space="0" w:color="auto"/>
        <w:left w:val="none" w:sz="0" w:space="0" w:color="auto"/>
        <w:bottom w:val="none" w:sz="0" w:space="0" w:color="auto"/>
        <w:right w:val="none" w:sz="0" w:space="0" w:color="auto"/>
      </w:divBdr>
    </w:div>
    <w:div w:id="7456925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8230221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25911699">
      <w:bodyDiv w:val="1"/>
      <w:marLeft w:val="0"/>
      <w:marRight w:val="0"/>
      <w:marTop w:val="0"/>
      <w:marBottom w:val="0"/>
      <w:divBdr>
        <w:top w:val="none" w:sz="0" w:space="0" w:color="auto"/>
        <w:left w:val="none" w:sz="0" w:space="0" w:color="auto"/>
        <w:bottom w:val="none" w:sz="0" w:space="0" w:color="auto"/>
        <w:right w:val="none" w:sz="0" w:space="0" w:color="auto"/>
      </w:divBdr>
    </w:div>
    <w:div w:id="1860660493">
      <w:bodyDiv w:val="1"/>
      <w:marLeft w:val="0"/>
      <w:marRight w:val="0"/>
      <w:marTop w:val="0"/>
      <w:marBottom w:val="0"/>
      <w:divBdr>
        <w:top w:val="none" w:sz="0" w:space="0" w:color="auto"/>
        <w:left w:val="none" w:sz="0" w:space="0" w:color="auto"/>
        <w:bottom w:val="none" w:sz="0" w:space="0" w:color="auto"/>
        <w:right w:val="none" w:sz="0" w:space="0" w:color="auto"/>
      </w:divBdr>
    </w:div>
    <w:div w:id="19483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9D2B48D0DAA548A0AAE2775B2DD740" ma:contentTypeVersion="10" ma:contentTypeDescription="Create a new document." ma:contentTypeScope="" ma:versionID="7ffe59c308ef4df6cb7eba34134f2d98">
  <xsd:schema xmlns:xsd="http://www.w3.org/2001/XMLSchema" xmlns:xs="http://www.w3.org/2001/XMLSchema" xmlns:p="http://schemas.microsoft.com/office/2006/metadata/properties" xmlns:ns3="43cb8df9-f927-4f3d-851a-f299b11c6a21" xmlns:ns4="45086d35-8c75-448c-9768-fc102d8752f9" targetNamespace="http://schemas.microsoft.com/office/2006/metadata/properties" ma:root="true" ma:fieldsID="0ce30220e6c323c5859c665323bf171a" ns3:_="" ns4:_="">
    <xsd:import namespace="43cb8df9-f927-4f3d-851a-f299b11c6a21"/>
    <xsd:import namespace="45086d35-8c75-448c-9768-fc102d8752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b8df9-f927-4f3d-851a-f299b11c6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086d35-8c75-448c-9768-fc102d8752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A98A8-0C24-40F2-B576-E64815183CA7}">
  <ds:schemaRefs>
    <ds:schemaRef ds:uri="http://schemas.microsoft.com/sharepoint/v3/contenttype/forms"/>
  </ds:schemaRefs>
</ds:datastoreItem>
</file>

<file path=customXml/itemProps2.xml><?xml version="1.0" encoding="utf-8"?>
<ds:datastoreItem xmlns:ds="http://schemas.openxmlformats.org/officeDocument/2006/customXml" ds:itemID="{54895C75-D4DE-4DBB-B021-ABC622C96658}">
  <ds:schemaRefs>
    <ds:schemaRef ds:uri="http://schemas.microsoft.com/office/infopath/2007/PartnerControls"/>
    <ds:schemaRef ds:uri="http://purl.org/dc/terms/"/>
    <ds:schemaRef ds:uri="http://schemas.openxmlformats.org/package/2006/metadata/core-properties"/>
    <ds:schemaRef ds:uri="45086d35-8c75-448c-9768-fc102d8752f9"/>
    <ds:schemaRef ds:uri="http://schemas.microsoft.com/office/2006/documentManagement/types"/>
    <ds:schemaRef ds:uri="http://purl.org/dc/elements/1.1/"/>
    <ds:schemaRef ds:uri="http://schemas.microsoft.com/office/2006/metadata/properties"/>
    <ds:schemaRef ds:uri="43cb8df9-f927-4f3d-851a-f299b11c6a21"/>
    <ds:schemaRef ds:uri="http://www.w3.org/XML/1998/namespace"/>
    <ds:schemaRef ds:uri="http://purl.org/dc/dcmitype/"/>
  </ds:schemaRefs>
</ds:datastoreItem>
</file>

<file path=customXml/itemProps3.xml><?xml version="1.0" encoding="utf-8"?>
<ds:datastoreItem xmlns:ds="http://schemas.openxmlformats.org/officeDocument/2006/customXml" ds:itemID="{A5FCB7CC-0581-4F50-B21B-A5492413A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b8df9-f927-4f3d-851a-f299b11c6a21"/>
    <ds:schemaRef ds:uri="45086d35-8c75-448c-9768-fc102d875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E0B9D2-73CD-43C8-BC98-3B1D8084F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5526</Words>
  <Characters>31504</Characters>
  <Application>Microsoft Office Word</Application>
  <DocSecurity>0</DocSecurity>
  <Lines>262</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UNON-DCS-FLU</cp:lastModifiedBy>
  <cp:revision>2</cp:revision>
  <cp:lastPrinted>2019-09-27T05:51:00Z</cp:lastPrinted>
  <dcterms:created xsi:type="dcterms:W3CDTF">2019-09-27T06:34:00Z</dcterms:created>
  <dcterms:modified xsi:type="dcterms:W3CDTF">2019-09-27T06:34:00Z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0x0101009E9D2B48D0DAA548A0AAE2775B2DD740</vt:lpwstr>
  </property>
  <property fmtid="{D5CDD505-2E9C-101B-9397-08002B2CF9AE}" pid="3" name="TranslatedWith">
    <vt:lpwstr>Mercury</vt:lpwstr>
  </property>
  <property fmtid="{D5CDD505-2E9C-101B-9397-08002B2CF9AE}" pid="4" name="GeneratedBy">
    <vt:lpwstr>laurence.echasserieau</vt:lpwstr>
  </property>
  <property fmtid="{D5CDD505-2E9C-101B-9397-08002B2CF9AE}" pid="5" name="GeneratedDate">
    <vt:lpwstr>9/9/2019 10:00:50 AM</vt:lpwstr>
  </property>
  <property fmtid="{D5CDD505-2E9C-101B-9397-08002B2CF9AE}" pid="6" name="OriginalDocID">
    <vt:lpwstr>b79d2505-f0d6-4201-8628-3c01cb7e337f</vt:lpwstr>
  </property>
</Properties>
</file>