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70"/>
        <w:gridCol w:w="4812"/>
        <w:gridCol w:w="3455"/>
      </w:tblGrid>
      <w:tr w:rsidR="00032E4E" w:rsidRPr="00AC5825" w14:paraId="678523C1" w14:textId="77777777" w:rsidTr="00866240">
        <w:trPr>
          <w:cantSplit/>
          <w:trHeight w:val="57"/>
          <w:jc w:val="right"/>
        </w:trPr>
        <w:tc>
          <w:tcPr>
            <w:tcW w:w="1550" w:type="dxa"/>
          </w:tcPr>
          <w:p w14:paraId="404DE9E4" w14:textId="77777777" w:rsidR="00032E4E" w:rsidRPr="00AC5825" w:rsidRDefault="00032E4E" w:rsidP="00023DA9">
            <w:pPr>
              <w:rPr>
                <w:rFonts w:ascii="Univers" w:hAnsi="Univers"/>
                <w:b/>
                <w:sz w:val="27"/>
                <w:szCs w:val="27"/>
              </w:rPr>
            </w:pPr>
            <w:bookmarkStart w:id="0" w:name="_GoBack"/>
            <w:bookmarkEnd w:id="0"/>
            <w:r w:rsidRPr="00AC5825">
              <w:rPr>
                <w:rFonts w:ascii="Arial" w:hAnsi="Arial" w:cs="Arial"/>
                <w:b/>
                <w:sz w:val="27"/>
                <w:szCs w:val="27"/>
              </w:rPr>
              <w:t>UNITED</w:t>
            </w:r>
            <w:r w:rsidR="0082498C" w:rsidRPr="00AC5825">
              <w:rPr>
                <w:rFonts w:ascii="Arial" w:hAnsi="Arial" w:cs="Arial"/>
                <w:b/>
                <w:sz w:val="27"/>
                <w:szCs w:val="27"/>
              </w:rPr>
              <w:t xml:space="preserve"> </w:t>
            </w:r>
            <w:r w:rsidRPr="00AC5825">
              <w:rPr>
                <w:rFonts w:ascii="Arial" w:hAnsi="Arial" w:cs="Arial"/>
                <w:b/>
                <w:sz w:val="27"/>
                <w:szCs w:val="27"/>
              </w:rPr>
              <w:br/>
              <w:t>NATIONS</w:t>
            </w:r>
          </w:p>
        </w:tc>
        <w:tc>
          <w:tcPr>
            <w:tcW w:w="4751" w:type="dxa"/>
          </w:tcPr>
          <w:p w14:paraId="08129E48" w14:textId="77777777" w:rsidR="00032E4E" w:rsidRPr="00AC5825" w:rsidRDefault="00032E4E" w:rsidP="00023DA9">
            <w:pPr>
              <w:rPr>
                <w:rFonts w:ascii="Univers" w:hAnsi="Univers"/>
                <w:b/>
                <w:sz w:val="27"/>
                <w:szCs w:val="27"/>
              </w:rPr>
            </w:pPr>
          </w:p>
        </w:tc>
        <w:tc>
          <w:tcPr>
            <w:tcW w:w="3411" w:type="dxa"/>
          </w:tcPr>
          <w:p w14:paraId="4D4EEA73" w14:textId="77777777" w:rsidR="00032E4E" w:rsidRPr="00AC5825" w:rsidRDefault="00787688" w:rsidP="00023DA9">
            <w:pPr>
              <w:jc w:val="right"/>
              <w:rPr>
                <w:rFonts w:ascii="Arial" w:hAnsi="Arial" w:cs="Arial"/>
                <w:b/>
                <w:sz w:val="64"/>
                <w:szCs w:val="64"/>
              </w:rPr>
            </w:pPr>
            <w:r w:rsidRPr="00AC5825">
              <w:rPr>
                <w:rFonts w:ascii="Arial" w:hAnsi="Arial" w:cs="Arial"/>
                <w:b/>
                <w:sz w:val="64"/>
                <w:szCs w:val="64"/>
              </w:rPr>
              <w:t>MC</w:t>
            </w:r>
          </w:p>
        </w:tc>
      </w:tr>
      <w:tr w:rsidR="00032E4E" w:rsidRPr="00AC5825" w14:paraId="75085256" w14:textId="77777777" w:rsidTr="00866240">
        <w:trPr>
          <w:cantSplit/>
          <w:trHeight w:val="57"/>
          <w:jc w:val="right"/>
        </w:trPr>
        <w:tc>
          <w:tcPr>
            <w:tcW w:w="1550" w:type="dxa"/>
            <w:tcBorders>
              <w:bottom w:val="single" w:sz="4" w:space="0" w:color="auto"/>
            </w:tcBorders>
          </w:tcPr>
          <w:p w14:paraId="79B9851E" w14:textId="77777777" w:rsidR="00032E4E" w:rsidRPr="00AC5825" w:rsidRDefault="00032E4E" w:rsidP="00023DA9">
            <w:pPr>
              <w:rPr>
                <w:sz w:val="18"/>
                <w:szCs w:val="18"/>
              </w:rPr>
            </w:pPr>
          </w:p>
        </w:tc>
        <w:tc>
          <w:tcPr>
            <w:tcW w:w="4751" w:type="dxa"/>
            <w:tcBorders>
              <w:bottom w:val="single" w:sz="4" w:space="0" w:color="auto"/>
            </w:tcBorders>
          </w:tcPr>
          <w:p w14:paraId="5D34C037" w14:textId="77777777" w:rsidR="00032E4E" w:rsidRPr="00AC5825" w:rsidRDefault="00032E4E" w:rsidP="00023DA9">
            <w:pPr>
              <w:rPr>
                <w:rFonts w:ascii="Univers" w:hAnsi="Univers"/>
                <w:b/>
                <w:sz w:val="18"/>
                <w:szCs w:val="18"/>
              </w:rPr>
            </w:pPr>
          </w:p>
        </w:tc>
        <w:tc>
          <w:tcPr>
            <w:tcW w:w="3411" w:type="dxa"/>
            <w:tcBorders>
              <w:bottom w:val="single" w:sz="4" w:space="0" w:color="auto"/>
            </w:tcBorders>
          </w:tcPr>
          <w:p w14:paraId="4BBEE29C" w14:textId="77777777" w:rsidR="00032E4E" w:rsidRPr="00AC5825" w:rsidRDefault="00032E4E" w:rsidP="00434321">
            <w:pPr>
              <w:rPr>
                <w:sz w:val="18"/>
                <w:szCs w:val="18"/>
              </w:rPr>
            </w:pPr>
            <w:r w:rsidRPr="00AC5825">
              <w:rPr>
                <w:b/>
                <w:bCs/>
                <w:sz w:val="28"/>
              </w:rPr>
              <w:t>UNEP</w:t>
            </w:r>
            <w:bookmarkStart w:id="1" w:name="OLE_LINK1"/>
            <w:bookmarkStart w:id="2" w:name="OLE_LINK2"/>
            <w:r w:rsidR="00787688" w:rsidRPr="00AC5825">
              <w:rPr>
                <w:b/>
                <w:bCs/>
                <w:sz w:val="28"/>
              </w:rPr>
              <w:t>/</w:t>
            </w:r>
            <w:r w:rsidR="00787688" w:rsidRPr="00AC5825">
              <w:t>MC</w:t>
            </w:r>
            <w:r w:rsidRPr="00AC5825">
              <w:t>/</w:t>
            </w:r>
            <w:bookmarkEnd w:id="1"/>
            <w:bookmarkEnd w:id="2"/>
            <w:r w:rsidR="00787688" w:rsidRPr="00AC5825">
              <w:t>COP.</w:t>
            </w:r>
            <w:r w:rsidR="00AE119F" w:rsidRPr="00AC5825">
              <w:t>3</w:t>
            </w:r>
            <w:r w:rsidRPr="00AC5825">
              <w:t>/</w:t>
            </w:r>
            <w:r w:rsidR="00AE119F" w:rsidRPr="00AC5825">
              <w:t>20</w:t>
            </w:r>
            <w:r w:rsidR="0048577E" w:rsidRPr="00AC5825">
              <w:t xml:space="preserve"> </w:t>
            </w:r>
          </w:p>
        </w:tc>
      </w:tr>
      <w:bookmarkStart w:id="3" w:name="_MON_1021710482"/>
      <w:bookmarkEnd w:id="3"/>
      <w:bookmarkStart w:id="4" w:name="_MON_1021710510"/>
      <w:bookmarkEnd w:id="4"/>
      <w:tr w:rsidR="00032E4E" w:rsidRPr="00AC5825" w14:paraId="57E32232" w14:textId="77777777" w:rsidTr="00866240">
        <w:trPr>
          <w:cantSplit/>
          <w:trHeight w:val="57"/>
          <w:jc w:val="right"/>
        </w:trPr>
        <w:tc>
          <w:tcPr>
            <w:tcW w:w="1550" w:type="dxa"/>
            <w:tcBorders>
              <w:top w:val="single" w:sz="4" w:space="0" w:color="auto"/>
              <w:bottom w:val="single" w:sz="24" w:space="0" w:color="auto"/>
            </w:tcBorders>
          </w:tcPr>
          <w:p w14:paraId="5B4B9B03" w14:textId="77777777" w:rsidR="00032E4E" w:rsidRPr="00AC5825" w:rsidRDefault="00032E4E" w:rsidP="00023DA9">
            <w:r w:rsidRPr="00AC5825">
              <w:object w:dxaOrig="1831" w:dyaOrig="1726" w14:anchorId="7AA44F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61.15pt" o:ole="" fillcolor="window">
                  <v:imagedata r:id="rId11" o:title=""/>
                </v:shape>
                <o:OLEObject Type="Embed" ProgID="Word.Picture.8" ShapeID="_x0000_i1025" DrawAspect="Content" ObjectID="_1631006097" r:id="rId12"/>
              </w:object>
            </w:r>
            <w:r w:rsidR="00011A16" w:rsidRPr="00AC5825">
              <w:rPr>
                <w:noProof/>
                <w:lang w:eastAsia="en-GB"/>
              </w:rPr>
              <w:drawing>
                <wp:inline distT="0" distB="0" distL="0" distR="0" wp14:anchorId="0C97D4C2" wp14:editId="37C9CE73">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7E869FF9" w14:textId="77777777" w:rsidR="00032E4E" w:rsidRPr="00AC5825" w:rsidRDefault="00032E4E" w:rsidP="00023DA9">
            <w:pPr>
              <w:spacing w:before="1200"/>
              <w:rPr>
                <w:rFonts w:ascii="Arial" w:hAnsi="Arial" w:cs="Arial"/>
                <w:b/>
                <w:sz w:val="28"/>
              </w:rPr>
            </w:pPr>
            <w:r w:rsidRPr="00AC5825">
              <w:rPr>
                <w:rFonts w:ascii="Arial" w:hAnsi="Arial" w:cs="Arial"/>
                <w:b/>
                <w:sz w:val="32"/>
                <w:szCs w:val="32"/>
              </w:rPr>
              <w:t>United Nations</w:t>
            </w:r>
            <w:r w:rsidR="005B2DF4" w:rsidRPr="00AC5825">
              <w:rPr>
                <w:rFonts w:ascii="Arial" w:hAnsi="Arial" w:cs="Arial"/>
                <w:b/>
                <w:sz w:val="32"/>
                <w:szCs w:val="32"/>
              </w:rPr>
              <w:t xml:space="preserve"> </w:t>
            </w:r>
            <w:r w:rsidRPr="00AC5825">
              <w:rPr>
                <w:rFonts w:ascii="Arial" w:hAnsi="Arial" w:cs="Arial"/>
                <w:b/>
                <w:sz w:val="32"/>
                <w:szCs w:val="32"/>
              </w:rPr>
              <w:br w:type="textWrapping" w:clear="all"/>
              <w:t>Environment</w:t>
            </w:r>
            <w:r w:rsidR="005B2DF4" w:rsidRPr="00AC5825">
              <w:rPr>
                <w:rFonts w:ascii="Arial" w:hAnsi="Arial" w:cs="Arial"/>
                <w:b/>
                <w:sz w:val="32"/>
                <w:szCs w:val="32"/>
              </w:rPr>
              <w:t xml:space="preserve"> </w:t>
            </w:r>
            <w:r w:rsidRPr="00AC582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0DB40427" w14:textId="75623622" w:rsidR="00032E4E" w:rsidRPr="00AC5825" w:rsidRDefault="00032E4E" w:rsidP="0082498C">
            <w:pPr>
              <w:spacing w:before="120"/>
            </w:pPr>
            <w:r w:rsidRPr="00AC5825">
              <w:t xml:space="preserve">Distr.: </w:t>
            </w:r>
            <w:r w:rsidRPr="00BC06B9">
              <w:t>General</w:t>
            </w:r>
            <w:r w:rsidR="005B2DF4" w:rsidRPr="00BC06B9">
              <w:t xml:space="preserve"> </w:t>
            </w:r>
            <w:r w:rsidRPr="00BC06B9">
              <w:br w:type="textWrapping" w:clear="all"/>
            </w:r>
            <w:r w:rsidR="00BC06B9" w:rsidRPr="00BC06B9">
              <w:t>9</w:t>
            </w:r>
            <w:r w:rsidR="00866240" w:rsidRPr="00BC06B9">
              <w:t xml:space="preserve"> August</w:t>
            </w:r>
            <w:r w:rsidR="009D2D1C" w:rsidRPr="00BC06B9">
              <w:t xml:space="preserve"> 201</w:t>
            </w:r>
            <w:r w:rsidR="00AE119F" w:rsidRPr="00BC06B9">
              <w:t>9</w:t>
            </w:r>
          </w:p>
          <w:p w14:paraId="4E1006D6" w14:textId="77777777" w:rsidR="00032E4E" w:rsidRPr="00AC5825" w:rsidRDefault="00032E4E" w:rsidP="0082498C">
            <w:pPr>
              <w:spacing w:before="120"/>
            </w:pPr>
            <w:r w:rsidRPr="00AC5825">
              <w:t>Original: English</w:t>
            </w:r>
          </w:p>
        </w:tc>
      </w:tr>
    </w:tbl>
    <w:p w14:paraId="3FA3CBEE" w14:textId="77777777" w:rsidR="00E976AB" w:rsidRPr="00AC5825" w:rsidRDefault="00CB007D" w:rsidP="00E976AB">
      <w:pPr>
        <w:pStyle w:val="AATitle"/>
        <w:keepNext w:val="0"/>
        <w:keepLines w:val="0"/>
      </w:pPr>
      <w:r w:rsidRPr="00AC5825">
        <w:t>Conference of the Parties to the</w:t>
      </w:r>
      <w:r w:rsidR="005B2DF4" w:rsidRPr="00AC5825">
        <w:t xml:space="preserve"> </w:t>
      </w:r>
      <w:r w:rsidR="005B2DF4" w:rsidRPr="00AC5825">
        <w:br/>
      </w:r>
      <w:r w:rsidR="00787688" w:rsidRPr="00AC5825">
        <w:t>Minamata Convention on Mercury</w:t>
      </w:r>
    </w:p>
    <w:p w14:paraId="09D3354B" w14:textId="77777777" w:rsidR="00E976AB" w:rsidRPr="00AC5825" w:rsidRDefault="00AE119F" w:rsidP="00E976AB">
      <w:pPr>
        <w:pStyle w:val="AATitle"/>
        <w:keepNext w:val="0"/>
        <w:keepLines w:val="0"/>
      </w:pPr>
      <w:r w:rsidRPr="00AC5825">
        <w:t>Third</w:t>
      </w:r>
      <w:r w:rsidR="00787688" w:rsidRPr="00AC5825">
        <w:t xml:space="preserve"> meeting</w:t>
      </w:r>
    </w:p>
    <w:p w14:paraId="06B02AD5" w14:textId="77777777" w:rsidR="00787688" w:rsidRPr="00AC5825" w:rsidRDefault="00787688" w:rsidP="00434321">
      <w:pPr>
        <w:pStyle w:val="AATitle"/>
        <w:rPr>
          <w:b w:val="0"/>
        </w:rPr>
      </w:pPr>
      <w:r w:rsidRPr="00AC5825">
        <w:rPr>
          <w:b w:val="0"/>
        </w:rPr>
        <w:t>Geneva</w:t>
      </w:r>
      <w:r w:rsidR="00E976AB" w:rsidRPr="00AC5825">
        <w:rPr>
          <w:b w:val="0"/>
        </w:rPr>
        <w:t xml:space="preserve">, </w:t>
      </w:r>
      <w:r w:rsidR="00AE119F" w:rsidRPr="00AC5825">
        <w:rPr>
          <w:b w:val="0"/>
        </w:rPr>
        <w:t>25</w:t>
      </w:r>
      <w:r w:rsidR="00325D38" w:rsidRPr="00AC5825">
        <w:rPr>
          <w:b w:val="0"/>
        </w:rPr>
        <w:t>–</w:t>
      </w:r>
      <w:r w:rsidR="00AE119F" w:rsidRPr="00AC5825">
        <w:rPr>
          <w:b w:val="0"/>
        </w:rPr>
        <w:t>29</w:t>
      </w:r>
      <w:r w:rsidR="00325D38" w:rsidRPr="00AC5825">
        <w:rPr>
          <w:b w:val="0"/>
        </w:rPr>
        <w:t xml:space="preserve"> </w:t>
      </w:r>
      <w:r w:rsidR="00434321" w:rsidRPr="00AC5825">
        <w:rPr>
          <w:b w:val="0"/>
        </w:rPr>
        <w:t>November 201</w:t>
      </w:r>
      <w:r w:rsidR="00AE119F" w:rsidRPr="00AC5825">
        <w:rPr>
          <w:b w:val="0"/>
        </w:rPr>
        <w:t>9</w:t>
      </w:r>
    </w:p>
    <w:p w14:paraId="2F67E3C7" w14:textId="77777777" w:rsidR="00F15578" w:rsidRPr="00AC5825" w:rsidRDefault="00E54866" w:rsidP="00F15578">
      <w:pPr>
        <w:pStyle w:val="AATitle"/>
        <w:keepNext w:val="0"/>
        <w:keepLines w:val="0"/>
        <w:rPr>
          <w:b w:val="0"/>
        </w:rPr>
      </w:pPr>
      <w:r w:rsidRPr="00AC5825">
        <w:rPr>
          <w:b w:val="0"/>
        </w:rPr>
        <w:t xml:space="preserve">Item </w:t>
      </w:r>
      <w:r w:rsidR="00AE119F" w:rsidRPr="00AC5825">
        <w:rPr>
          <w:b w:val="0"/>
        </w:rPr>
        <w:t>7</w:t>
      </w:r>
      <w:r w:rsidR="00175C76" w:rsidRPr="00AC5825">
        <w:rPr>
          <w:b w:val="0"/>
        </w:rPr>
        <w:t xml:space="preserve"> </w:t>
      </w:r>
      <w:r w:rsidRPr="00AC5825">
        <w:rPr>
          <w:b w:val="0"/>
        </w:rPr>
        <w:t>of the provisional agenda</w:t>
      </w:r>
      <w:r w:rsidRPr="00AC5825">
        <w:rPr>
          <w:b w:val="0"/>
        </w:rPr>
        <w:footnoteReference w:customMarkFollows="1" w:id="1"/>
        <w:t>*</w:t>
      </w:r>
    </w:p>
    <w:p w14:paraId="3F9A1E30" w14:textId="77777777" w:rsidR="00F15578" w:rsidRPr="00AC5825" w:rsidRDefault="00175C76" w:rsidP="009B0C57">
      <w:pPr>
        <w:pStyle w:val="AATitle2"/>
        <w:spacing w:before="60"/>
      </w:pPr>
      <w:r w:rsidRPr="00AC5825">
        <w:t>Programme of work and budget</w:t>
      </w:r>
    </w:p>
    <w:p w14:paraId="1684E990" w14:textId="77777777" w:rsidR="001C70A9" w:rsidRPr="00AC5825" w:rsidRDefault="00AE119F" w:rsidP="00BC5579">
      <w:pPr>
        <w:pStyle w:val="BBTitle"/>
      </w:pPr>
      <w:r w:rsidRPr="00AC5825">
        <w:t>P</w:t>
      </w:r>
      <w:r w:rsidR="00175C76" w:rsidRPr="00AC5825">
        <w:t xml:space="preserve">rogramme of work and budget for the </w:t>
      </w:r>
      <w:r w:rsidR="005475DF" w:rsidRPr="00AC5825">
        <w:t xml:space="preserve">biennium </w:t>
      </w:r>
      <w:r w:rsidR="00175C76" w:rsidRPr="00AC5825">
        <w:t>20</w:t>
      </w:r>
      <w:r w:rsidRPr="00AC5825">
        <w:t>20</w:t>
      </w:r>
      <w:r w:rsidR="00175C76" w:rsidRPr="00AC5825">
        <w:t>–</w:t>
      </w:r>
      <w:r w:rsidR="001C70A9" w:rsidRPr="00AC5825">
        <w:t>20</w:t>
      </w:r>
      <w:r w:rsidRPr="00AC5825">
        <w:t>21</w:t>
      </w:r>
    </w:p>
    <w:p w14:paraId="0400EFCA" w14:textId="77777777" w:rsidR="001C70A9" w:rsidRPr="00AC5825" w:rsidRDefault="001C70A9" w:rsidP="00BC5579">
      <w:pPr>
        <w:pStyle w:val="CH2"/>
      </w:pPr>
      <w:r w:rsidRPr="00AC5825">
        <w:tab/>
      </w:r>
      <w:r w:rsidRPr="00AC5825">
        <w:tab/>
        <w:t>Note by the secretariat</w:t>
      </w:r>
    </w:p>
    <w:p w14:paraId="32FBCDE2" w14:textId="77777777" w:rsidR="001C70A9" w:rsidRPr="00AC5825" w:rsidRDefault="001C70A9" w:rsidP="00BC5579">
      <w:pPr>
        <w:pStyle w:val="CH1"/>
      </w:pPr>
      <w:r w:rsidRPr="00AC5825">
        <w:tab/>
        <w:t>I.</w:t>
      </w:r>
      <w:r w:rsidRPr="00AC5825">
        <w:tab/>
        <w:t>Introduction</w:t>
      </w:r>
    </w:p>
    <w:p w14:paraId="3BBC8C60" w14:textId="5FA2F2BC" w:rsidR="00A84F6A" w:rsidRPr="00AC5825" w:rsidRDefault="001C70A9" w:rsidP="00866240">
      <w:pPr>
        <w:pStyle w:val="Normal-pool"/>
        <w:numPr>
          <w:ilvl w:val="0"/>
          <w:numId w:val="1"/>
        </w:numPr>
        <w:tabs>
          <w:tab w:val="clear" w:pos="1134"/>
          <w:tab w:val="clear" w:pos="1247"/>
          <w:tab w:val="clear" w:pos="1814"/>
          <w:tab w:val="clear" w:pos="2381"/>
          <w:tab w:val="clear" w:pos="2948"/>
          <w:tab w:val="clear" w:pos="3515"/>
          <w:tab w:val="clear" w:pos="4082"/>
          <w:tab w:val="left" w:pos="624"/>
        </w:tabs>
        <w:spacing w:after="120"/>
      </w:pPr>
      <w:r w:rsidRPr="00AC5825">
        <w:t>The period 20</w:t>
      </w:r>
      <w:r w:rsidR="007031C5" w:rsidRPr="00AC5825">
        <w:t>20</w:t>
      </w:r>
      <w:r w:rsidRPr="00AC5825">
        <w:t>–20</w:t>
      </w:r>
      <w:r w:rsidR="007031C5" w:rsidRPr="00AC5825">
        <w:t>21</w:t>
      </w:r>
      <w:r w:rsidRPr="00AC5825">
        <w:t xml:space="preserve"> marks the </w:t>
      </w:r>
      <w:r w:rsidR="007031C5" w:rsidRPr="00AC5825">
        <w:t>second</w:t>
      </w:r>
      <w:r w:rsidRPr="00AC5825">
        <w:t xml:space="preserve"> biennium</w:t>
      </w:r>
      <w:r w:rsidR="00BC2473" w:rsidRPr="00AC5825">
        <w:t xml:space="preserve"> of work</w:t>
      </w:r>
      <w:r w:rsidRPr="00AC5825">
        <w:t xml:space="preserve"> for the </w:t>
      </w:r>
      <w:r w:rsidR="00A94138" w:rsidRPr="00AC5825">
        <w:t>s</w:t>
      </w:r>
      <w:r w:rsidR="00D21B7A" w:rsidRPr="00AC5825">
        <w:t xml:space="preserve">ecretariat of the </w:t>
      </w:r>
      <w:r w:rsidRPr="00AC5825">
        <w:t xml:space="preserve">Minamata Convention </w:t>
      </w:r>
      <w:r w:rsidRPr="00CA50D3">
        <w:t>on Me</w:t>
      </w:r>
      <w:r w:rsidR="00DC3214" w:rsidRPr="00CA50D3">
        <w:t>rcury</w:t>
      </w:r>
      <w:r w:rsidR="00DC3214" w:rsidRPr="00AC5825">
        <w:t xml:space="preserve">. </w:t>
      </w:r>
      <w:r w:rsidR="00FB0548" w:rsidRPr="00AC5825">
        <w:t>In its decision MC-2/12</w:t>
      </w:r>
      <w:r w:rsidR="00A84F6A" w:rsidRPr="00AC5825">
        <w:t>, the Conference of the Parties</w:t>
      </w:r>
      <w:r w:rsidR="00FB0548" w:rsidRPr="00AC5825">
        <w:t xml:space="preserve"> to the Minamata Convention,</w:t>
      </w:r>
      <w:r w:rsidR="00A84F6A" w:rsidRPr="00AC5825">
        <w:t xml:space="preserve"> </w:t>
      </w:r>
      <w:r w:rsidR="00D21B7A" w:rsidRPr="00AC5825">
        <w:t>recalling decision MC</w:t>
      </w:r>
      <w:r w:rsidR="00FB0548" w:rsidRPr="00AC5825">
        <w:noBreakHyphen/>
      </w:r>
      <w:r w:rsidR="00D21B7A" w:rsidRPr="00AC5825">
        <w:t xml:space="preserve">1/15, requested the Executive Secretary to </w:t>
      </w:r>
      <w:r w:rsidR="00D21B7A" w:rsidRPr="00AC5825">
        <w:rPr>
          <w:iCs/>
        </w:rPr>
        <w:t>prepare a budget for the biennium 2020–2021, for consideration</w:t>
      </w:r>
      <w:r w:rsidR="009E5B3A" w:rsidRPr="00AC5825">
        <w:rPr>
          <w:iCs/>
        </w:rPr>
        <w:t xml:space="preserve"> by</w:t>
      </w:r>
      <w:r w:rsidR="00D21B7A" w:rsidRPr="00AC5825">
        <w:rPr>
          <w:iCs/>
        </w:rPr>
        <w:t xml:space="preserve"> the Conference </w:t>
      </w:r>
      <w:r w:rsidR="00D4533D" w:rsidRPr="00AC5825">
        <w:rPr>
          <w:iCs/>
        </w:rPr>
        <w:t xml:space="preserve">of the Parties </w:t>
      </w:r>
      <w:r w:rsidR="00D21B7A" w:rsidRPr="00AC5825">
        <w:rPr>
          <w:iCs/>
        </w:rPr>
        <w:t xml:space="preserve">at its third meeting, in 2019, explaining the key principles, assumptions and programmatic strategy on which the budget </w:t>
      </w:r>
      <w:r w:rsidR="00816C57">
        <w:rPr>
          <w:iCs/>
        </w:rPr>
        <w:t>was</w:t>
      </w:r>
      <w:r w:rsidR="00816C57" w:rsidRPr="00AC5825">
        <w:rPr>
          <w:iCs/>
        </w:rPr>
        <w:t xml:space="preserve"> </w:t>
      </w:r>
      <w:r w:rsidR="00D21B7A" w:rsidRPr="00AC5825">
        <w:rPr>
          <w:iCs/>
        </w:rPr>
        <w:t xml:space="preserve">based and presenting expenditures for that biennium in a programmatic format and broken down by budget activities, with each activity supported by a budget activity fact sheet. The Conference </w:t>
      </w:r>
      <w:r w:rsidR="00D4533D" w:rsidRPr="00AC5825">
        <w:rPr>
          <w:iCs/>
        </w:rPr>
        <w:t xml:space="preserve">of the Parties </w:t>
      </w:r>
      <w:r w:rsidR="00D21B7A" w:rsidRPr="00AC5825">
        <w:rPr>
          <w:iCs/>
        </w:rPr>
        <w:t>also requested</w:t>
      </w:r>
      <w:r w:rsidR="00D21B7A" w:rsidRPr="00AC5825">
        <w:t xml:space="preserve"> the Executive Secretary, in preparing the budget and programme of work for the biennium 2020</w:t>
      </w:r>
      <w:r w:rsidR="00D21B7A" w:rsidRPr="00AC5825">
        <w:rPr>
          <w:iCs/>
        </w:rPr>
        <w:t>–</w:t>
      </w:r>
      <w:r w:rsidR="00D21B7A" w:rsidRPr="00AC5825">
        <w:t>2021, to present two scenarios</w:t>
      </w:r>
      <w:r w:rsidR="00CA003B" w:rsidRPr="00AC5825">
        <w:t>, o</w:t>
      </w:r>
      <w:r w:rsidR="00D21B7A" w:rsidRPr="00AC5825">
        <w:t>ne maintaining the operational budget at the 2019 level in nominal terms</w:t>
      </w:r>
      <w:r w:rsidR="00CA003B" w:rsidRPr="00AC5825">
        <w:t xml:space="preserve"> and one</w:t>
      </w:r>
      <w:r w:rsidR="00D21B7A" w:rsidRPr="00AC5825">
        <w:t xml:space="preserve"> reflecting required changes to </w:t>
      </w:r>
      <w:r w:rsidR="000F5CAC" w:rsidRPr="00AC5825">
        <w:t>that</w:t>
      </w:r>
      <w:r w:rsidR="00D21B7A" w:rsidRPr="00AC5825">
        <w:t xml:space="preserve"> scenario to meet the projected needs and costs or savings related to</w:t>
      </w:r>
      <w:r w:rsidR="00040BA3">
        <w:t xml:space="preserve"> it</w:t>
      </w:r>
      <w:r w:rsidR="00CA003B" w:rsidRPr="00AC5825">
        <w:t>.</w:t>
      </w:r>
      <w:r w:rsidR="00621FA7" w:rsidRPr="00AC5825">
        <w:t xml:space="preserve"> </w:t>
      </w:r>
    </w:p>
    <w:p w14:paraId="4B6203BC" w14:textId="5EC5F97B" w:rsidR="007031C5" w:rsidRPr="00AC5825" w:rsidRDefault="00BC2473" w:rsidP="00866240">
      <w:pPr>
        <w:pStyle w:val="Normalnumber"/>
        <w:tabs>
          <w:tab w:val="clear" w:pos="1134"/>
          <w:tab w:val="clear" w:pos="1247"/>
          <w:tab w:val="clear" w:pos="1814"/>
          <w:tab w:val="clear" w:pos="2381"/>
          <w:tab w:val="clear" w:pos="2948"/>
          <w:tab w:val="clear" w:pos="3515"/>
          <w:tab w:val="clear" w:pos="4082"/>
          <w:tab w:val="left" w:pos="624"/>
        </w:tabs>
      </w:pPr>
      <w:r w:rsidRPr="00AC5825">
        <w:t xml:space="preserve">Accordingly, the present note </w:t>
      </w:r>
      <w:r w:rsidR="006C4C29" w:rsidRPr="00AC5825">
        <w:t>describes</w:t>
      </w:r>
      <w:r w:rsidR="00AF2765" w:rsidRPr="00AC5825">
        <w:t xml:space="preserve"> the </w:t>
      </w:r>
      <w:r w:rsidR="007031C5" w:rsidRPr="00AC5825">
        <w:t xml:space="preserve">proposed programme of work and </w:t>
      </w:r>
      <w:r w:rsidR="00AF2765" w:rsidRPr="00AC5825">
        <w:t xml:space="preserve">budget </w:t>
      </w:r>
      <w:r w:rsidR="007031C5" w:rsidRPr="00AC5825">
        <w:t>for the biennium 2020</w:t>
      </w:r>
      <w:r w:rsidR="00B246AC" w:rsidRPr="00AC5825">
        <w:sym w:font="Symbol" w:char="F02D"/>
      </w:r>
      <w:r w:rsidR="007031C5" w:rsidRPr="00AC5825">
        <w:t>2021</w:t>
      </w:r>
      <w:r w:rsidR="00D50EE6" w:rsidRPr="00AC5825">
        <w:t>.</w:t>
      </w:r>
      <w:r w:rsidR="00621FA7" w:rsidRPr="00AC5825">
        <w:t xml:space="preserve"> </w:t>
      </w:r>
      <w:r w:rsidR="00D50EE6" w:rsidRPr="00AC5825">
        <w:t>S</w:t>
      </w:r>
      <w:r w:rsidR="00621FA7" w:rsidRPr="00AC5825">
        <w:t xml:space="preserve">ection </w:t>
      </w:r>
      <w:r w:rsidR="002C0915" w:rsidRPr="00AC5825">
        <w:t>II</w:t>
      </w:r>
      <w:r w:rsidR="00621FA7" w:rsidRPr="00AC5825">
        <w:t xml:space="preserve"> </w:t>
      </w:r>
      <w:r w:rsidR="00D50EE6" w:rsidRPr="00AC5825">
        <w:t xml:space="preserve">on implementation </w:t>
      </w:r>
      <w:r w:rsidR="00621FA7" w:rsidRPr="00AC5825">
        <w:t xml:space="preserve">gives an overview of </w:t>
      </w:r>
      <w:r w:rsidR="00D50EE6" w:rsidRPr="00AC5825">
        <w:t>the proposal</w:t>
      </w:r>
      <w:r w:rsidR="002C0915" w:rsidRPr="00AC5825">
        <w:t xml:space="preserve">, </w:t>
      </w:r>
      <w:r w:rsidR="004A6E2A">
        <w:t>followed by</w:t>
      </w:r>
      <w:r w:rsidR="00C64F3D" w:rsidRPr="00AC5825">
        <w:t xml:space="preserve"> </w:t>
      </w:r>
      <w:r w:rsidR="002C0915" w:rsidRPr="00AC5825">
        <w:t xml:space="preserve">a presentation of the programme budget </w:t>
      </w:r>
      <w:r w:rsidR="00D50EE6" w:rsidRPr="00AC5825">
        <w:t xml:space="preserve">for </w:t>
      </w:r>
      <w:r w:rsidR="002C0915" w:rsidRPr="00AC5825">
        <w:t xml:space="preserve">the </w:t>
      </w:r>
      <w:r w:rsidR="00D50EE6" w:rsidRPr="00AC5825">
        <w:t xml:space="preserve">two </w:t>
      </w:r>
      <w:r w:rsidR="002C0915" w:rsidRPr="00AC5825">
        <w:t>requested scenarios, setting out</w:t>
      </w:r>
      <w:r w:rsidR="007031C5" w:rsidRPr="00AC5825">
        <w:t xml:space="preserve"> the differences between the Executive Secretary’s scenario and the zero nominal growth scenario</w:t>
      </w:r>
      <w:r w:rsidR="00DC5F89" w:rsidRPr="00AC5825">
        <w:t>.</w:t>
      </w:r>
      <w:r w:rsidR="007031C5" w:rsidRPr="00AC5825">
        <w:t xml:space="preserve"> </w:t>
      </w:r>
      <w:r w:rsidR="00DC5F89" w:rsidRPr="00AC5825">
        <w:t>S</w:t>
      </w:r>
      <w:r w:rsidR="007031C5" w:rsidRPr="00AC5825">
        <w:t xml:space="preserve">ection III presents </w:t>
      </w:r>
      <w:r w:rsidR="002C0915" w:rsidRPr="00AC5825">
        <w:t xml:space="preserve">the </w:t>
      </w:r>
      <w:r w:rsidR="007031C5" w:rsidRPr="00AC5825">
        <w:t>relevant suggested action by the Conference of the Parties. Annex I to the present note sets out a draft decision on the programme of work and budget for the biennium 2020–2021</w:t>
      </w:r>
      <w:r w:rsidR="00F65414" w:rsidRPr="00AC5825">
        <w:t xml:space="preserve"> and </w:t>
      </w:r>
      <w:r w:rsidR="007031C5" w:rsidRPr="00AC5825">
        <w:t xml:space="preserve">annex II </w:t>
      </w:r>
      <w:r w:rsidR="002100C2" w:rsidRPr="00AC5825">
        <w:t>provides a list of proposed activities included in the programme of work for the biennium 2020</w:t>
      </w:r>
      <w:r w:rsidR="00B246AC" w:rsidRPr="00AC5825">
        <w:sym w:font="Symbol" w:char="F02D"/>
      </w:r>
      <w:r w:rsidR="002100C2" w:rsidRPr="00AC5825">
        <w:t>2021</w:t>
      </w:r>
      <w:r w:rsidR="007031C5" w:rsidRPr="00AC5825">
        <w:t>.</w:t>
      </w:r>
    </w:p>
    <w:p w14:paraId="0A361A5E" w14:textId="4133885A" w:rsidR="00177626" w:rsidRPr="00AC5825" w:rsidRDefault="00177626" w:rsidP="00866240">
      <w:pPr>
        <w:pStyle w:val="Normalnumber"/>
        <w:tabs>
          <w:tab w:val="clear" w:pos="1134"/>
          <w:tab w:val="clear" w:pos="1247"/>
          <w:tab w:val="clear" w:pos="1814"/>
          <w:tab w:val="clear" w:pos="2381"/>
          <w:tab w:val="clear" w:pos="2948"/>
          <w:tab w:val="clear" w:pos="3515"/>
          <w:tab w:val="clear" w:pos="4082"/>
          <w:tab w:val="left" w:pos="624"/>
        </w:tabs>
      </w:pPr>
      <w:r w:rsidRPr="00040BA3">
        <w:t>Th</w:t>
      </w:r>
      <w:r w:rsidR="00DB5A4A" w:rsidRPr="00040BA3">
        <w:t>e present note</w:t>
      </w:r>
      <w:r w:rsidRPr="00040BA3">
        <w:t xml:space="preserve"> </w:t>
      </w:r>
      <w:r w:rsidR="00C72692" w:rsidRPr="00040BA3">
        <w:t xml:space="preserve">should be read in conjunction with </w:t>
      </w:r>
      <w:r w:rsidR="00733583" w:rsidRPr="00040BA3">
        <w:t xml:space="preserve">the report </w:t>
      </w:r>
      <w:r w:rsidR="00733583" w:rsidRPr="00B73926">
        <w:t xml:space="preserve">on the </w:t>
      </w:r>
      <w:r w:rsidR="00040BA3" w:rsidRPr="00B73926">
        <w:t xml:space="preserve">main </w:t>
      </w:r>
      <w:r w:rsidR="00733583" w:rsidRPr="00B73926">
        <w:t xml:space="preserve">activities of the secretariat in </w:t>
      </w:r>
      <w:r w:rsidR="002664B0" w:rsidRPr="00B73926">
        <w:t>the intersessional period</w:t>
      </w:r>
      <w:r w:rsidRPr="00B73926">
        <w:t xml:space="preserve"> </w:t>
      </w:r>
      <w:r w:rsidR="00733583" w:rsidRPr="00B73926">
        <w:t>(</w:t>
      </w:r>
      <w:r w:rsidR="00C76D94" w:rsidRPr="00B73926">
        <w:t>UNEP/MC/COP.</w:t>
      </w:r>
      <w:r w:rsidR="002664B0" w:rsidRPr="00B73926">
        <w:t>3</w:t>
      </w:r>
      <w:r w:rsidR="00C76D94" w:rsidRPr="00B73926">
        <w:t>/</w:t>
      </w:r>
      <w:r w:rsidR="002664B0" w:rsidRPr="00B73926">
        <w:t>19</w:t>
      </w:r>
      <w:r w:rsidR="00733583" w:rsidRPr="00B73926">
        <w:t>)</w:t>
      </w:r>
      <w:r w:rsidR="00803579" w:rsidRPr="00B73926">
        <w:t>,</w:t>
      </w:r>
      <w:r w:rsidR="00C76D94" w:rsidRPr="00B73926">
        <w:t xml:space="preserve"> </w:t>
      </w:r>
      <w:r w:rsidR="002A0E14" w:rsidRPr="00B73926">
        <w:t xml:space="preserve">the </w:t>
      </w:r>
      <w:r w:rsidR="00DC5F89" w:rsidRPr="00B73926">
        <w:t>budget activity fact sheets setting out the details of the budget</w:t>
      </w:r>
      <w:r w:rsidR="002A0E14" w:rsidRPr="00B73926">
        <w:t>s</w:t>
      </w:r>
      <w:r w:rsidR="00DC5F89" w:rsidRPr="00B73926">
        <w:t xml:space="preserve"> proposed for 2020</w:t>
      </w:r>
      <w:r w:rsidR="00DC5F89" w:rsidRPr="00B73926">
        <w:sym w:font="Symbol" w:char="F02D"/>
      </w:r>
      <w:r w:rsidR="00DC5F89" w:rsidRPr="00B73926">
        <w:t xml:space="preserve">2021 (UNEP/MC/COP.3/INF/9), </w:t>
      </w:r>
      <w:r w:rsidR="009E5B3A" w:rsidRPr="00B73926">
        <w:t xml:space="preserve">the </w:t>
      </w:r>
      <w:r w:rsidR="002A0E14" w:rsidRPr="00B73926">
        <w:t xml:space="preserve">information </w:t>
      </w:r>
      <w:r w:rsidR="009E5B3A" w:rsidRPr="00B73926">
        <w:t>on financial matters (UNEP/MC/COP.3/INF/</w:t>
      </w:r>
      <w:r w:rsidR="00C07552" w:rsidRPr="00B73926">
        <w:t>10</w:t>
      </w:r>
      <w:r w:rsidR="009E5B3A" w:rsidRPr="00B73926">
        <w:t xml:space="preserve">) </w:t>
      </w:r>
      <w:r w:rsidR="00D50EE6" w:rsidRPr="00B73926">
        <w:t>and</w:t>
      </w:r>
      <w:r w:rsidR="00F873A1" w:rsidRPr="00B73926">
        <w:t xml:space="preserve"> </w:t>
      </w:r>
      <w:r w:rsidR="0057651A" w:rsidRPr="00B73926">
        <w:t xml:space="preserve">the </w:t>
      </w:r>
      <w:r w:rsidR="00C1110C" w:rsidRPr="00B73926">
        <w:t>proposed operational budget</w:t>
      </w:r>
      <w:r w:rsidR="002A0E14" w:rsidRPr="00B73926">
        <w:t>s</w:t>
      </w:r>
      <w:r w:rsidR="00C1110C" w:rsidRPr="00B73926">
        <w:t xml:space="preserve"> for the two funding scenarios (UNEP/MC/COP</w:t>
      </w:r>
      <w:r w:rsidRPr="00B73926">
        <w:t>.</w:t>
      </w:r>
      <w:r w:rsidR="00792E9A" w:rsidRPr="00B73926">
        <w:t>3/INF/</w:t>
      </w:r>
      <w:r w:rsidR="00296F2D" w:rsidRPr="00B73926">
        <w:t>11).</w:t>
      </w:r>
      <w:r w:rsidRPr="00AC5825">
        <w:t xml:space="preserve"> </w:t>
      </w:r>
    </w:p>
    <w:p w14:paraId="589E3E2C" w14:textId="77777777" w:rsidR="00D102BD" w:rsidRPr="00AC5825" w:rsidRDefault="000A352A" w:rsidP="00D102BD">
      <w:pPr>
        <w:pStyle w:val="CH1"/>
      </w:pPr>
      <w:r w:rsidRPr="00AC5825">
        <w:lastRenderedPageBreak/>
        <w:tab/>
      </w:r>
      <w:r w:rsidR="00693E2C" w:rsidRPr="00AC5825">
        <w:t>II.</w:t>
      </w:r>
      <w:r w:rsidR="00693E2C" w:rsidRPr="00AC5825">
        <w:tab/>
      </w:r>
      <w:r w:rsidR="009620E3" w:rsidRPr="00AC5825">
        <w:t>Implementation</w:t>
      </w:r>
    </w:p>
    <w:p w14:paraId="49C3F666" w14:textId="7102BB29" w:rsidR="00D102BD" w:rsidRPr="00AC5825" w:rsidRDefault="00D102BD" w:rsidP="00866240">
      <w:pPr>
        <w:pStyle w:val="CH2"/>
        <w:spacing w:before="240"/>
      </w:pPr>
      <w:r w:rsidRPr="00AC5825">
        <w:tab/>
        <w:t>A.</w:t>
      </w:r>
      <w:r w:rsidRPr="00AC5825">
        <w:tab/>
        <w:t>Overview</w:t>
      </w:r>
      <w:r w:rsidR="00D43884" w:rsidRPr="00AC5825">
        <w:t xml:space="preserve"> </w:t>
      </w:r>
      <w:r w:rsidR="001750A1" w:rsidRPr="00AC5825">
        <w:t xml:space="preserve">of </w:t>
      </w:r>
      <w:r w:rsidR="009620E3" w:rsidRPr="00AC5825">
        <w:t>the proposed programme of work and budget for the biennium 2020</w:t>
      </w:r>
      <w:r w:rsidR="00B246AC" w:rsidRPr="00AC5825">
        <w:sym w:font="Symbol" w:char="F02D"/>
      </w:r>
      <w:r w:rsidR="009620E3" w:rsidRPr="00AC5825">
        <w:t>2021</w:t>
      </w:r>
    </w:p>
    <w:p w14:paraId="7DD08DC7" w14:textId="77777777" w:rsidR="009D5A40" w:rsidRPr="00AC5825" w:rsidRDefault="00040FC9" w:rsidP="00866240">
      <w:pPr>
        <w:pStyle w:val="Normalnumber"/>
        <w:tabs>
          <w:tab w:val="clear" w:pos="1134"/>
          <w:tab w:val="clear" w:pos="1247"/>
          <w:tab w:val="clear" w:pos="1814"/>
          <w:tab w:val="clear" w:pos="2381"/>
          <w:tab w:val="clear" w:pos="2948"/>
          <w:tab w:val="clear" w:pos="3515"/>
          <w:tab w:val="clear" w:pos="4082"/>
          <w:tab w:val="left" w:pos="624"/>
        </w:tabs>
      </w:pPr>
      <w:r w:rsidRPr="00AC5825">
        <w:t xml:space="preserve">Pursuant </w:t>
      </w:r>
      <w:r w:rsidR="00D63C6F" w:rsidRPr="00AC5825">
        <w:t xml:space="preserve">to </w:t>
      </w:r>
      <w:r w:rsidRPr="00AC5825">
        <w:t>decision MC-1/15</w:t>
      </w:r>
      <w:r w:rsidR="00D63C6F" w:rsidRPr="00AC5825">
        <w:t>, t</w:t>
      </w:r>
      <w:r w:rsidR="00E456A2" w:rsidRPr="00AC5825">
        <w:t xml:space="preserve">he </w:t>
      </w:r>
      <w:r w:rsidR="00E456A2" w:rsidRPr="00D36664">
        <w:t xml:space="preserve">Executive Director </w:t>
      </w:r>
      <w:r w:rsidR="00D63C6F" w:rsidRPr="00D36664">
        <w:t xml:space="preserve">of the United Nations Environment Programme </w:t>
      </w:r>
      <w:r w:rsidR="00E456A2" w:rsidRPr="00D36664">
        <w:t xml:space="preserve">established three </w:t>
      </w:r>
      <w:r w:rsidR="00803579" w:rsidRPr="00D36664">
        <w:t>t</w:t>
      </w:r>
      <w:r w:rsidR="00E456A2" w:rsidRPr="00D36664">
        <w:t xml:space="preserve">rust </w:t>
      </w:r>
      <w:r w:rsidR="00803579" w:rsidRPr="00D36664">
        <w:t>f</w:t>
      </w:r>
      <w:r w:rsidR="00E456A2" w:rsidRPr="00D36664">
        <w:t>unds supporting</w:t>
      </w:r>
      <w:r w:rsidR="00E456A2" w:rsidRPr="00AC5825">
        <w:t xml:space="preserve"> the work of the Convention</w:t>
      </w:r>
      <w:r w:rsidR="009D5A40" w:rsidRPr="00AC5825">
        <w:t xml:space="preserve">: </w:t>
      </w:r>
    </w:p>
    <w:p w14:paraId="44DC0C9F" w14:textId="2FDB89D5" w:rsidR="009D5A40" w:rsidRPr="00AC5825" w:rsidRDefault="00803579" w:rsidP="00866240">
      <w:pPr>
        <w:pStyle w:val="Normalnumber"/>
        <w:numPr>
          <w:ilvl w:val="1"/>
          <w:numId w:val="4"/>
        </w:numPr>
        <w:tabs>
          <w:tab w:val="clear" w:pos="1134"/>
          <w:tab w:val="clear" w:pos="1247"/>
          <w:tab w:val="clear" w:pos="1814"/>
          <w:tab w:val="clear" w:pos="2381"/>
          <w:tab w:val="clear" w:pos="2948"/>
          <w:tab w:val="clear" w:pos="3515"/>
          <w:tab w:val="clear" w:pos="4082"/>
          <w:tab w:val="left" w:pos="624"/>
        </w:tabs>
        <w:ind w:firstLine="624"/>
      </w:pPr>
      <w:r w:rsidRPr="00AC5825">
        <w:t>T</w:t>
      </w:r>
      <w:r w:rsidR="009D5A40" w:rsidRPr="00AC5825">
        <w:t xml:space="preserve">he </w:t>
      </w:r>
      <w:r w:rsidR="00724BC4" w:rsidRPr="00AC5825">
        <w:t>g</w:t>
      </w:r>
      <w:r w:rsidR="009D5A40" w:rsidRPr="00AC5825">
        <w:t xml:space="preserve">eneral </w:t>
      </w:r>
      <w:r w:rsidR="00724BC4" w:rsidRPr="00AC5825">
        <w:t>t</w:t>
      </w:r>
      <w:r w:rsidR="009D5A40" w:rsidRPr="00AC5825">
        <w:t xml:space="preserve">rust </w:t>
      </w:r>
      <w:r w:rsidR="00724BC4" w:rsidRPr="00AC5825">
        <w:t>f</w:t>
      </w:r>
      <w:r w:rsidR="009D5A40" w:rsidRPr="00AC5825">
        <w:t>und</w:t>
      </w:r>
      <w:r w:rsidR="008033E9" w:rsidRPr="00AC5825">
        <w:t>,</w:t>
      </w:r>
      <w:r w:rsidR="009D5A40" w:rsidRPr="00AC5825">
        <w:t xml:space="preserve"> </w:t>
      </w:r>
      <w:r w:rsidR="00CD4256" w:rsidRPr="00AC5825">
        <w:t xml:space="preserve">to provide financial support </w:t>
      </w:r>
      <w:r w:rsidR="00DD4156" w:rsidRPr="00AC5825">
        <w:t xml:space="preserve">for the work of the </w:t>
      </w:r>
      <w:r w:rsidR="00CD4256" w:rsidRPr="00AC5825">
        <w:t>C</w:t>
      </w:r>
      <w:r w:rsidR="00DD4156" w:rsidRPr="00AC5825">
        <w:t xml:space="preserve">onvention secretariat, </w:t>
      </w:r>
      <w:r w:rsidR="009D5A40" w:rsidRPr="00AC5825">
        <w:t xml:space="preserve">with an expiry date of 31 December 2035; </w:t>
      </w:r>
    </w:p>
    <w:p w14:paraId="48DCF705" w14:textId="164DBC8D" w:rsidR="009D5A40" w:rsidRPr="00AC5825" w:rsidRDefault="00803579" w:rsidP="00866240">
      <w:pPr>
        <w:pStyle w:val="Normalnumber"/>
        <w:numPr>
          <w:ilvl w:val="1"/>
          <w:numId w:val="4"/>
        </w:numPr>
        <w:tabs>
          <w:tab w:val="clear" w:pos="1134"/>
          <w:tab w:val="clear" w:pos="1247"/>
          <w:tab w:val="clear" w:pos="1814"/>
          <w:tab w:val="clear" w:pos="2381"/>
          <w:tab w:val="clear" w:pos="2948"/>
          <w:tab w:val="clear" w:pos="3515"/>
          <w:tab w:val="clear" w:pos="4082"/>
          <w:tab w:val="left" w:pos="624"/>
        </w:tabs>
        <w:ind w:firstLine="624"/>
      </w:pPr>
      <w:r w:rsidRPr="00AC5825">
        <w:t>T</w:t>
      </w:r>
      <w:r w:rsidR="009D5A40" w:rsidRPr="00AC5825">
        <w:t xml:space="preserve">he </w:t>
      </w:r>
      <w:r w:rsidR="00724BC4" w:rsidRPr="00AC5825">
        <w:t>s</w:t>
      </w:r>
      <w:r w:rsidR="009D5A40" w:rsidRPr="00AC5825">
        <w:t xml:space="preserve">pecial </w:t>
      </w:r>
      <w:r w:rsidR="00724BC4" w:rsidRPr="00AC5825">
        <w:t>t</w:t>
      </w:r>
      <w:r w:rsidR="009D5A40" w:rsidRPr="00AC5825">
        <w:t xml:space="preserve">rust </w:t>
      </w:r>
      <w:r w:rsidR="00724BC4" w:rsidRPr="00AC5825">
        <w:t>f</w:t>
      </w:r>
      <w:r w:rsidR="009D5A40" w:rsidRPr="00AC5825">
        <w:t>und</w:t>
      </w:r>
      <w:r w:rsidR="008033E9" w:rsidRPr="00AC5825">
        <w:t>,</w:t>
      </w:r>
      <w:r w:rsidR="007A73F7" w:rsidRPr="00AC5825">
        <w:t xml:space="preserve"> </w:t>
      </w:r>
      <w:r w:rsidR="009D5A40" w:rsidRPr="00AC5825">
        <w:t xml:space="preserve">to support </w:t>
      </w:r>
      <w:r w:rsidR="0053493B" w:rsidRPr="00AC5825">
        <w:t xml:space="preserve">the </w:t>
      </w:r>
      <w:r w:rsidR="009D5A40" w:rsidRPr="00AC5825">
        <w:t xml:space="preserve">capacity-building and technical assistance activities of the </w:t>
      </w:r>
      <w:r w:rsidR="00A94138" w:rsidRPr="00AC5825">
        <w:t>s</w:t>
      </w:r>
      <w:r w:rsidR="009D5A40" w:rsidRPr="00AC5825">
        <w:t xml:space="preserve">ecretariat in accordance with </w:t>
      </w:r>
      <w:r w:rsidR="000F2B43" w:rsidRPr="00AC5825">
        <w:t>a</w:t>
      </w:r>
      <w:r w:rsidR="009D5A40" w:rsidRPr="00AC5825">
        <w:t>rticle 14</w:t>
      </w:r>
      <w:r w:rsidR="00DD4156" w:rsidRPr="00AC5825">
        <w:t>,</w:t>
      </w:r>
      <w:r w:rsidR="009D5A40" w:rsidRPr="00AC5825">
        <w:t xml:space="preserve"> with an expiry date of 31 December 2035; </w:t>
      </w:r>
    </w:p>
    <w:p w14:paraId="5FFD4AB0" w14:textId="0E452024" w:rsidR="009D5A40" w:rsidRPr="00AC5825" w:rsidRDefault="00803579" w:rsidP="00866240">
      <w:pPr>
        <w:pStyle w:val="Normalnumber"/>
        <w:numPr>
          <w:ilvl w:val="1"/>
          <w:numId w:val="4"/>
        </w:numPr>
        <w:tabs>
          <w:tab w:val="clear" w:pos="1134"/>
          <w:tab w:val="clear" w:pos="1247"/>
          <w:tab w:val="clear" w:pos="1814"/>
          <w:tab w:val="clear" w:pos="2381"/>
          <w:tab w:val="clear" w:pos="2948"/>
          <w:tab w:val="clear" w:pos="3515"/>
          <w:tab w:val="clear" w:pos="4082"/>
          <w:tab w:val="left" w:pos="624"/>
        </w:tabs>
        <w:ind w:firstLine="624"/>
      </w:pPr>
      <w:r w:rsidRPr="00AC5825">
        <w:t>T</w:t>
      </w:r>
      <w:r w:rsidR="009D5A40" w:rsidRPr="00AC5825">
        <w:t>he Specific Trust Fund</w:t>
      </w:r>
      <w:r w:rsidR="00724BC4" w:rsidRPr="00AC5825">
        <w:t>,</w:t>
      </w:r>
      <w:r w:rsidR="009D5A40" w:rsidRPr="00AC5825">
        <w:t xml:space="preserve"> </w:t>
      </w:r>
      <w:r w:rsidR="00424830" w:rsidRPr="00AC5825">
        <w:t xml:space="preserve">for the Specific International Programme to </w:t>
      </w:r>
      <w:r w:rsidRPr="00AC5825">
        <w:t>S</w:t>
      </w:r>
      <w:r w:rsidR="009D5A40" w:rsidRPr="00AC5825">
        <w:t xml:space="preserve">upport </w:t>
      </w:r>
      <w:r w:rsidR="00746C1A">
        <w:br/>
      </w:r>
      <w:r w:rsidRPr="00AC5825">
        <w:t>C</w:t>
      </w:r>
      <w:r w:rsidR="009D5A40" w:rsidRPr="00AC5825">
        <w:t>apacity-</w:t>
      </w:r>
      <w:r w:rsidR="00205661" w:rsidRPr="00AC5825">
        <w:t>B</w:t>
      </w:r>
      <w:r w:rsidR="009D5A40" w:rsidRPr="00AC5825">
        <w:t>u</w:t>
      </w:r>
      <w:r w:rsidR="00424830" w:rsidRPr="00AC5825">
        <w:t xml:space="preserve">ilding and </w:t>
      </w:r>
      <w:r w:rsidRPr="00AC5825">
        <w:t>T</w:t>
      </w:r>
      <w:r w:rsidR="00424830" w:rsidRPr="00AC5825">
        <w:t xml:space="preserve">echnical </w:t>
      </w:r>
      <w:r w:rsidRPr="00AC5825">
        <w:t>A</w:t>
      </w:r>
      <w:r w:rsidR="00424830" w:rsidRPr="00AC5825">
        <w:t xml:space="preserve">ssistance </w:t>
      </w:r>
      <w:r w:rsidR="00724BC4" w:rsidRPr="00AC5825">
        <w:t xml:space="preserve">established </w:t>
      </w:r>
      <w:r w:rsidR="009D5A40" w:rsidRPr="00AC5825">
        <w:t xml:space="preserve">in accordance with </w:t>
      </w:r>
      <w:r w:rsidR="000F2B43" w:rsidRPr="00AC5825">
        <w:t>a</w:t>
      </w:r>
      <w:r w:rsidR="009D5A40" w:rsidRPr="00AC5825">
        <w:t>rticle 13</w:t>
      </w:r>
      <w:r w:rsidR="00424830" w:rsidRPr="00AC5825">
        <w:t xml:space="preserve">. As the Specific International Programme is time-limited, this trust fund’s </w:t>
      </w:r>
      <w:r w:rsidR="009D5A40" w:rsidRPr="00AC5825">
        <w:t xml:space="preserve">expiry date </w:t>
      </w:r>
      <w:r w:rsidR="00424830" w:rsidRPr="00AC5825">
        <w:t xml:space="preserve">is set </w:t>
      </w:r>
      <w:r w:rsidR="00724BC4" w:rsidRPr="00AC5825">
        <w:t xml:space="preserve">as </w:t>
      </w:r>
      <w:r w:rsidR="009D5A40" w:rsidRPr="00AC5825">
        <w:t xml:space="preserve">31 December 2028. </w:t>
      </w:r>
    </w:p>
    <w:p w14:paraId="132733E8" w14:textId="2586C7C7" w:rsidR="00397A76" w:rsidRPr="00AC5825" w:rsidRDefault="00DC5F89" w:rsidP="00866240">
      <w:pPr>
        <w:pStyle w:val="Normalnumber"/>
        <w:tabs>
          <w:tab w:val="clear" w:pos="1134"/>
          <w:tab w:val="clear" w:pos="1247"/>
          <w:tab w:val="clear" w:pos="1814"/>
          <w:tab w:val="clear" w:pos="2381"/>
          <w:tab w:val="clear" w:pos="2948"/>
          <w:tab w:val="clear" w:pos="3515"/>
          <w:tab w:val="clear" w:pos="4082"/>
          <w:tab w:val="left" w:pos="624"/>
        </w:tabs>
      </w:pPr>
      <w:r w:rsidRPr="00AC5825">
        <w:t>In its decision MC-2/12</w:t>
      </w:r>
      <w:r w:rsidR="00D43884" w:rsidRPr="00AC5825">
        <w:t xml:space="preserve">, </w:t>
      </w:r>
      <w:r w:rsidR="000A352A" w:rsidRPr="00AC5825">
        <w:t xml:space="preserve">the Conference of </w:t>
      </w:r>
      <w:r w:rsidR="00BC2473" w:rsidRPr="00AC5825">
        <w:t xml:space="preserve">the </w:t>
      </w:r>
      <w:r w:rsidR="000A352A" w:rsidRPr="00AC5825">
        <w:t>Parties</w:t>
      </w:r>
      <w:r w:rsidR="0073685E" w:rsidRPr="00AC5825">
        <w:t xml:space="preserve"> </w:t>
      </w:r>
      <w:r w:rsidR="00D43884" w:rsidRPr="00AC5825">
        <w:t xml:space="preserve">approved </w:t>
      </w:r>
      <w:r w:rsidR="00036EBA" w:rsidRPr="00AC5825">
        <w:t>the updated</w:t>
      </w:r>
      <w:r w:rsidR="000A352A" w:rsidRPr="00AC5825">
        <w:t xml:space="preserve"> budget for the </w:t>
      </w:r>
      <w:r w:rsidR="00E921DE" w:rsidRPr="00AC5825">
        <w:t>g</w:t>
      </w:r>
      <w:r w:rsidR="0053493B" w:rsidRPr="00AC5825">
        <w:t xml:space="preserve">eneral </w:t>
      </w:r>
      <w:r w:rsidR="00E921DE" w:rsidRPr="00AC5825">
        <w:t>t</w:t>
      </w:r>
      <w:r w:rsidR="0053493B" w:rsidRPr="00AC5825">
        <w:t xml:space="preserve">rust </w:t>
      </w:r>
      <w:r w:rsidR="00E921DE" w:rsidRPr="00AC5825">
        <w:t>f</w:t>
      </w:r>
      <w:r w:rsidR="0053493B" w:rsidRPr="00AC5825">
        <w:t>und</w:t>
      </w:r>
      <w:r w:rsidR="000A352A" w:rsidRPr="00AC5825">
        <w:t xml:space="preserve"> </w:t>
      </w:r>
      <w:r w:rsidR="001B4718" w:rsidRPr="00AC5825">
        <w:t>of</w:t>
      </w:r>
      <w:r w:rsidR="000A352A" w:rsidRPr="00AC5825">
        <w:t xml:space="preserve"> </w:t>
      </w:r>
      <w:r w:rsidR="00B246AC" w:rsidRPr="00AC5825">
        <w:t>$</w:t>
      </w:r>
      <w:r w:rsidR="00036EBA" w:rsidRPr="00AC5825">
        <w:t>4</w:t>
      </w:r>
      <w:r w:rsidR="000A352A" w:rsidRPr="00AC5825">
        <w:t>,</w:t>
      </w:r>
      <w:r w:rsidR="00036EBA" w:rsidRPr="00AC5825">
        <w:t>080</w:t>
      </w:r>
      <w:r w:rsidR="000A352A" w:rsidRPr="00AC5825">
        <w:t>,</w:t>
      </w:r>
      <w:r w:rsidR="00036EBA" w:rsidRPr="00AC5825">
        <w:t>374</w:t>
      </w:r>
      <w:r w:rsidR="000A352A" w:rsidRPr="00AC5825">
        <w:t xml:space="preserve"> for 201</w:t>
      </w:r>
      <w:r w:rsidR="00036EBA" w:rsidRPr="00AC5825">
        <w:t xml:space="preserve">9 and authorized the Executive Secretary to draw down from the available surplus of the general trust fund the amount of </w:t>
      </w:r>
      <w:r w:rsidR="00A94138" w:rsidRPr="00AC5825">
        <w:t>$</w:t>
      </w:r>
      <w:r w:rsidR="00036EBA" w:rsidRPr="00AC5825">
        <w:t xml:space="preserve">237,300 in 2019. It also </w:t>
      </w:r>
      <w:r w:rsidRPr="00AC5825">
        <w:t>adopted</w:t>
      </w:r>
      <w:r w:rsidR="0073685E" w:rsidRPr="00AC5825">
        <w:t xml:space="preserve"> </w:t>
      </w:r>
      <w:r w:rsidR="00036EBA" w:rsidRPr="00AC5825">
        <w:t>the indicative scale of assessment of the apportionment of expenses for 2019</w:t>
      </w:r>
      <w:r w:rsidR="0073685E" w:rsidRPr="00AC5825">
        <w:t xml:space="preserve"> as set out in the decision</w:t>
      </w:r>
      <w:r w:rsidR="00036EBA" w:rsidRPr="00AC5825">
        <w:t xml:space="preserve"> </w:t>
      </w:r>
      <w:r w:rsidR="0073685E" w:rsidRPr="00AC5825">
        <w:t xml:space="preserve">and authorized the Executive Secretary </w:t>
      </w:r>
      <w:r w:rsidR="00036EBA" w:rsidRPr="00AC5825">
        <w:t xml:space="preserve">to adjust the scale to include all parties for which the Convention </w:t>
      </w:r>
      <w:r w:rsidRPr="00AC5825">
        <w:t>wa</w:t>
      </w:r>
      <w:r w:rsidR="00036EBA" w:rsidRPr="00AC5825">
        <w:t>s in force by 1</w:t>
      </w:r>
      <w:r w:rsidR="00FB0548" w:rsidRPr="00AC5825">
        <w:t> </w:t>
      </w:r>
      <w:r w:rsidR="00036EBA" w:rsidRPr="00AC5825">
        <w:t>January 2019.</w:t>
      </w:r>
      <w:r w:rsidR="00397A76" w:rsidRPr="00AC5825">
        <w:t xml:space="preserve"> It </w:t>
      </w:r>
      <w:r w:rsidR="00BA6599" w:rsidRPr="00AC5825">
        <w:t xml:space="preserve">further </w:t>
      </w:r>
      <w:r w:rsidR="00397A76" w:rsidRPr="00AC5825">
        <w:t xml:space="preserve">requested parties and invited non-parties to the Convention and others in a position to do so to contribute to the </w:t>
      </w:r>
      <w:r w:rsidR="00E921DE" w:rsidRPr="00AC5825">
        <w:t>s</w:t>
      </w:r>
      <w:r w:rsidR="00397A76" w:rsidRPr="00AC5825">
        <w:t xml:space="preserve">pecial </w:t>
      </w:r>
      <w:r w:rsidR="00E921DE" w:rsidRPr="00AC5825">
        <w:t>t</w:t>
      </w:r>
      <w:r w:rsidR="00397A76" w:rsidRPr="00AC5825">
        <w:t xml:space="preserve">rust </w:t>
      </w:r>
      <w:r w:rsidR="00E921DE" w:rsidRPr="00AC5825">
        <w:t>f</w:t>
      </w:r>
      <w:r w:rsidR="00397A76" w:rsidRPr="00AC5825">
        <w:t xml:space="preserve">und to support the capacity-building and technical assistance activities of the secretariat in accordance with article 14 and the </w:t>
      </w:r>
      <w:r w:rsidR="00ED105E" w:rsidRPr="00AC5825">
        <w:t>S</w:t>
      </w:r>
      <w:r w:rsidR="00397A76" w:rsidRPr="00AC5825">
        <w:t xml:space="preserve">pecific </w:t>
      </w:r>
      <w:r w:rsidR="00ED105E" w:rsidRPr="00AC5825">
        <w:t>T</w:t>
      </w:r>
      <w:r w:rsidR="00397A76" w:rsidRPr="00AC5825">
        <w:t xml:space="preserve">rust </w:t>
      </w:r>
      <w:r w:rsidR="00ED105E" w:rsidRPr="00AC5825">
        <w:t>F</w:t>
      </w:r>
      <w:r w:rsidR="00397A76" w:rsidRPr="00AC5825">
        <w:t xml:space="preserve">und to support capacity-building and technical assistance activities </w:t>
      </w:r>
      <w:r w:rsidR="00F151D0" w:rsidRPr="00AC5825">
        <w:t xml:space="preserve">in </w:t>
      </w:r>
      <w:r w:rsidR="00397A76" w:rsidRPr="00AC5825">
        <w:t>accordance with article 13 of the Convention.</w:t>
      </w:r>
    </w:p>
    <w:p w14:paraId="61FF0952" w14:textId="3B28FAF4" w:rsidR="00601426" w:rsidRPr="00AC5825" w:rsidRDefault="00AB342C" w:rsidP="00866240">
      <w:pPr>
        <w:pStyle w:val="Normalnumber"/>
        <w:tabs>
          <w:tab w:val="clear" w:pos="1134"/>
          <w:tab w:val="clear" w:pos="1247"/>
          <w:tab w:val="clear" w:pos="1814"/>
          <w:tab w:val="clear" w:pos="2381"/>
          <w:tab w:val="clear" w:pos="2948"/>
          <w:tab w:val="clear" w:pos="3515"/>
          <w:tab w:val="clear" w:pos="4082"/>
          <w:tab w:val="left" w:pos="624"/>
        </w:tabs>
      </w:pPr>
      <w:r w:rsidRPr="00AC5825">
        <w:t xml:space="preserve">As </w:t>
      </w:r>
      <w:r w:rsidR="00C16F6C">
        <w:t>is mentioned</w:t>
      </w:r>
      <w:r w:rsidRPr="00AC5825">
        <w:t xml:space="preserve"> in paragraph 2 of the present note, i</w:t>
      </w:r>
      <w:r w:rsidR="00397A76" w:rsidRPr="00AC5825">
        <w:t>n the same decision, t</w:t>
      </w:r>
      <w:r w:rsidR="00601426" w:rsidRPr="00AC5825">
        <w:t>he Conference of the Parties requested the Executive Secretary to present two scenarios in preparing the budgets and programme of work for the biennium 2020</w:t>
      </w:r>
      <w:r w:rsidR="00A94138" w:rsidRPr="00AC5825">
        <w:sym w:font="Symbol" w:char="F02D"/>
      </w:r>
      <w:r w:rsidR="00601426" w:rsidRPr="00AC5825">
        <w:t>2021</w:t>
      </w:r>
      <w:r w:rsidRPr="00AC5825">
        <w:t>.</w:t>
      </w:r>
    </w:p>
    <w:p w14:paraId="5A1DF1FA" w14:textId="01C4DCE6" w:rsidR="0073685E" w:rsidRPr="00AC5825" w:rsidRDefault="00C16F6C" w:rsidP="00866240">
      <w:pPr>
        <w:pStyle w:val="Normalnumber"/>
        <w:tabs>
          <w:tab w:val="clear" w:pos="1134"/>
          <w:tab w:val="clear" w:pos="1247"/>
          <w:tab w:val="clear" w:pos="1814"/>
          <w:tab w:val="clear" w:pos="2381"/>
          <w:tab w:val="clear" w:pos="2948"/>
          <w:tab w:val="clear" w:pos="3515"/>
          <w:tab w:val="clear" w:pos="4082"/>
          <w:tab w:val="left" w:pos="624"/>
        </w:tabs>
      </w:pPr>
      <w:r>
        <w:t>T</w:t>
      </w:r>
      <w:r w:rsidRPr="00AC5825">
        <w:t xml:space="preserve">he Conference of the Parties </w:t>
      </w:r>
      <w:r>
        <w:t>also</w:t>
      </w:r>
      <w:r w:rsidR="0073685E" w:rsidRPr="00AC5825">
        <w:t xml:space="preserve"> </w:t>
      </w:r>
      <w:r w:rsidR="0073685E" w:rsidRPr="006363D3">
        <w:t>requested t</w:t>
      </w:r>
      <w:r w:rsidR="0073685E" w:rsidRPr="00AC5825">
        <w:t>he Executive Secretary to take into account</w:t>
      </w:r>
      <w:r w:rsidR="00BA6599" w:rsidRPr="00AC5825">
        <w:t>,</w:t>
      </w:r>
      <w:r w:rsidR="0073685E" w:rsidRPr="00AC5825">
        <w:t xml:space="preserve"> in the preparation of the programme of work and budget for 2020</w:t>
      </w:r>
      <w:r w:rsidR="00A94138" w:rsidRPr="00AC5825">
        <w:sym w:font="Symbol" w:char="F02D"/>
      </w:r>
      <w:r w:rsidR="0073685E" w:rsidRPr="00AC5825">
        <w:t>2021</w:t>
      </w:r>
      <w:r w:rsidR="00BA6599" w:rsidRPr="00AC5825">
        <w:t>,</w:t>
      </w:r>
      <w:r w:rsidR="0073685E" w:rsidRPr="00AC5825">
        <w:t xml:space="preserve"> relevant service</w:t>
      </w:r>
      <w:r w:rsidR="006363D3">
        <w:t>-</w:t>
      </w:r>
      <w:r w:rsidR="0073685E" w:rsidRPr="00AC5825">
        <w:t xml:space="preserve">sharing arrangements and operative proposals made by the Executive Director of the United Nations Environment Programme in the capacity of performing secretariat services </w:t>
      </w:r>
      <w:r w:rsidR="006363D3">
        <w:t>for</w:t>
      </w:r>
      <w:r w:rsidR="006363D3" w:rsidRPr="00AC5825">
        <w:t xml:space="preserve"> </w:t>
      </w:r>
      <w:r w:rsidR="0073685E" w:rsidRPr="00AC5825">
        <w:t xml:space="preserve">the </w:t>
      </w:r>
      <w:proofErr w:type="spellStart"/>
      <w:r w:rsidR="0073685E" w:rsidRPr="00AC5825">
        <w:t>Minamata</w:t>
      </w:r>
      <w:proofErr w:type="spellEnd"/>
      <w:r w:rsidR="0073685E" w:rsidRPr="00AC5825">
        <w:t xml:space="preserve"> Convention</w:t>
      </w:r>
      <w:r w:rsidR="00CE360F" w:rsidRPr="00AC5825">
        <w:t>,</w:t>
      </w:r>
      <w:r w:rsidR="0073685E" w:rsidRPr="00AC5825">
        <w:t xml:space="preserve"> prepared together with the Executive Secretary of the Minamata Convention and with the support of the Executive Secretary of the Basel and Stockholm conventions and the United Nations Environment Programme part of the Rotterdam Convention</w:t>
      </w:r>
      <w:r w:rsidR="00BA6599" w:rsidRPr="00AC5825">
        <w:t>,</w:t>
      </w:r>
      <w:r w:rsidR="0073685E" w:rsidRPr="00AC5825">
        <w:t xml:space="preserve"> on a stable framework for sharing of relevant services pursuant to paragraph 2 of decision MC-2/7.</w:t>
      </w:r>
    </w:p>
    <w:p w14:paraId="49D8F81C" w14:textId="0F87A977" w:rsidR="002238F3" w:rsidRPr="00AC5825" w:rsidRDefault="00C64F3D" w:rsidP="00866240">
      <w:pPr>
        <w:pStyle w:val="Normalnumber"/>
        <w:tabs>
          <w:tab w:val="clear" w:pos="1134"/>
          <w:tab w:val="clear" w:pos="1247"/>
          <w:tab w:val="clear" w:pos="1814"/>
          <w:tab w:val="clear" w:pos="2381"/>
          <w:tab w:val="clear" w:pos="2948"/>
          <w:tab w:val="clear" w:pos="3515"/>
          <w:tab w:val="clear" w:pos="4082"/>
          <w:tab w:val="left" w:pos="624"/>
        </w:tabs>
      </w:pPr>
      <w:r w:rsidRPr="00AC5825">
        <w:t>I</w:t>
      </w:r>
      <w:r w:rsidR="002238F3" w:rsidRPr="00AC5825">
        <w:t xml:space="preserve">nformation document </w:t>
      </w:r>
      <w:r w:rsidRPr="00AC5825">
        <w:t xml:space="preserve">UNEP/MC/COP.3/INF/9 </w:t>
      </w:r>
      <w:r w:rsidR="002238F3" w:rsidRPr="00AC5825">
        <w:t>set</w:t>
      </w:r>
      <w:r w:rsidRPr="00AC5825">
        <w:t>s</w:t>
      </w:r>
      <w:r w:rsidR="002238F3" w:rsidRPr="00AC5825">
        <w:t xml:space="preserve"> out </w:t>
      </w:r>
      <w:r w:rsidR="006A390E">
        <w:t xml:space="preserve">budget </w:t>
      </w:r>
      <w:r w:rsidR="002238F3" w:rsidRPr="00AC5825">
        <w:t xml:space="preserve">activity fact sheets </w:t>
      </w:r>
      <w:r w:rsidRPr="00AC5825">
        <w:t xml:space="preserve">and </w:t>
      </w:r>
      <w:r w:rsidR="009E3A2C" w:rsidRPr="00AC5825">
        <w:t>provides additional information on the proposed programme of work, along with information on relevant meeting documents, mandates and the particulars of each activity, including background and rationale, expected outcomes, indicators of achievement, means of verification, partners, resources approved for 2018</w:t>
      </w:r>
      <w:r w:rsidR="00B246AC" w:rsidRPr="00AC5825">
        <w:sym w:font="Symbol" w:char="F02D"/>
      </w:r>
      <w:r w:rsidR="009E3A2C" w:rsidRPr="00AC5825">
        <w:t>2019 and resources required for 2020</w:t>
      </w:r>
      <w:r w:rsidR="00B246AC" w:rsidRPr="00AC5825">
        <w:sym w:font="Symbol" w:char="F02D"/>
      </w:r>
      <w:r w:rsidR="009E3A2C" w:rsidRPr="00AC5825">
        <w:t>2021.</w:t>
      </w:r>
    </w:p>
    <w:p w14:paraId="23B3206B" w14:textId="627CE8E9" w:rsidR="007A73F7" w:rsidRPr="00AC5825" w:rsidRDefault="007A73F7" w:rsidP="00866240">
      <w:pPr>
        <w:pStyle w:val="CH2"/>
        <w:spacing w:before="240"/>
      </w:pPr>
      <w:r w:rsidRPr="00AC5825">
        <w:tab/>
        <w:t>B.</w:t>
      </w:r>
      <w:r w:rsidRPr="00AC5825">
        <w:tab/>
      </w:r>
      <w:r w:rsidR="00176711" w:rsidRPr="00AC5825">
        <w:t xml:space="preserve">Presentation of the </w:t>
      </w:r>
      <w:r w:rsidR="00C564F1" w:rsidRPr="00AC5825">
        <w:t>p</w:t>
      </w:r>
      <w:r w:rsidR="00176711" w:rsidRPr="00AC5825">
        <w:t>rogramme budget</w:t>
      </w:r>
      <w:r w:rsidR="006A390E">
        <w:t>s</w:t>
      </w:r>
      <w:r w:rsidR="00176711" w:rsidRPr="00AC5825">
        <w:t xml:space="preserve"> </w:t>
      </w:r>
      <w:r w:rsidR="00D50EE6" w:rsidRPr="00AC5825">
        <w:t>for the two</w:t>
      </w:r>
      <w:r w:rsidR="00176711" w:rsidRPr="00AC5825">
        <w:t xml:space="preserve"> scenario</w:t>
      </w:r>
      <w:r w:rsidR="0028120D" w:rsidRPr="00AC5825">
        <w:t>s</w:t>
      </w:r>
    </w:p>
    <w:p w14:paraId="29EF5EF9" w14:textId="2450A174" w:rsidR="00E926E0" w:rsidRPr="00AC5825" w:rsidRDefault="00E926E0" w:rsidP="00866240">
      <w:pPr>
        <w:pStyle w:val="Normalnumber"/>
        <w:tabs>
          <w:tab w:val="clear" w:pos="1134"/>
          <w:tab w:val="clear" w:pos="1247"/>
          <w:tab w:val="clear" w:pos="1814"/>
          <w:tab w:val="clear" w:pos="2381"/>
          <w:tab w:val="clear" w:pos="2948"/>
          <w:tab w:val="clear" w:pos="3515"/>
          <w:tab w:val="clear" w:pos="4082"/>
          <w:tab w:val="num" w:pos="624"/>
        </w:tabs>
      </w:pPr>
      <w:r w:rsidRPr="00AC5825">
        <w:t xml:space="preserve">According to the United </w:t>
      </w:r>
      <w:r w:rsidRPr="005C1398">
        <w:t>Nations financial management</w:t>
      </w:r>
      <w:r w:rsidRPr="00AC5825">
        <w:t xml:space="preserve"> system, the activities that form the programme of work serve as the basis for budgeting. </w:t>
      </w:r>
      <w:r w:rsidR="00BA6599" w:rsidRPr="00AC5825">
        <w:t>T</w:t>
      </w:r>
      <w:r w:rsidRPr="00AC5825">
        <w:t xml:space="preserve">he proposed programme of work </w:t>
      </w:r>
      <w:r w:rsidR="0054782B" w:rsidRPr="00AC5825">
        <w:t xml:space="preserve">and </w:t>
      </w:r>
      <w:r w:rsidRPr="00AC5825">
        <w:t xml:space="preserve">the related budget for the Minamata Convention </w:t>
      </w:r>
      <w:r w:rsidR="00C16F6C">
        <w:t>are</w:t>
      </w:r>
      <w:r w:rsidRPr="00AC5825">
        <w:t xml:space="preserve"> </w:t>
      </w:r>
      <w:r w:rsidR="00BA6599" w:rsidRPr="00AC5825">
        <w:t xml:space="preserve">therefore </w:t>
      </w:r>
      <w:r w:rsidRPr="00AC5825">
        <w:t>organi</w:t>
      </w:r>
      <w:r w:rsidR="00A94138" w:rsidRPr="00AC5825">
        <w:t>z</w:t>
      </w:r>
      <w:r w:rsidRPr="00AC5825">
        <w:t xml:space="preserve">ed into 15 proposed activities </w:t>
      </w:r>
      <w:r w:rsidR="00BA6599" w:rsidRPr="00AC5825">
        <w:t xml:space="preserve">under the seven functional headings </w:t>
      </w:r>
      <w:r w:rsidRPr="00AC5825">
        <w:t>(see annex I</w:t>
      </w:r>
      <w:r w:rsidR="00A1006F" w:rsidRPr="00AC5825">
        <w:t>I</w:t>
      </w:r>
      <w:r w:rsidR="00C16F6C">
        <w:t xml:space="preserve"> of the present note</w:t>
      </w:r>
      <w:r w:rsidRPr="00AC5825">
        <w:t xml:space="preserve">). </w:t>
      </w:r>
    </w:p>
    <w:p w14:paraId="5F1B2F7A" w14:textId="238FCA97" w:rsidR="00E926E0" w:rsidRPr="00AC5825" w:rsidRDefault="00E926E0" w:rsidP="00866240">
      <w:pPr>
        <w:pStyle w:val="Normalnumber"/>
        <w:tabs>
          <w:tab w:val="clear" w:pos="1134"/>
          <w:tab w:val="clear" w:pos="1247"/>
          <w:tab w:val="clear" w:pos="1814"/>
          <w:tab w:val="clear" w:pos="2381"/>
          <w:tab w:val="clear" w:pos="2948"/>
          <w:tab w:val="clear" w:pos="3515"/>
          <w:tab w:val="clear" w:pos="4082"/>
          <w:tab w:val="num" w:pos="624"/>
        </w:tabs>
      </w:pPr>
      <w:r w:rsidRPr="007F49F8">
        <w:t>In accordance</w:t>
      </w:r>
      <w:r w:rsidRPr="00AC5825">
        <w:t xml:space="preserve"> with decision MC-2/12, par</w:t>
      </w:r>
      <w:r w:rsidR="00C92924" w:rsidRPr="00AC5825">
        <w:t>a</w:t>
      </w:r>
      <w:r w:rsidR="00C61038" w:rsidRPr="00AC5825">
        <w:t>graph</w:t>
      </w:r>
      <w:r w:rsidRPr="00AC5825">
        <w:t xml:space="preserve"> 14, the </w:t>
      </w:r>
      <w:r w:rsidR="00A94138" w:rsidRPr="00AC5825">
        <w:t>s</w:t>
      </w:r>
      <w:r w:rsidRPr="00AC5825">
        <w:t>ecretariat has prepared t</w:t>
      </w:r>
      <w:r w:rsidR="005F3321" w:rsidRPr="00AC5825">
        <w:t>w</w:t>
      </w:r>
      <w:r w:rsidRPr="00AC5825">
        <w:t>o budget scenarios</w:t>
      </w:r>
      <w:r w:rsidR="00C16F6C">
        <w:t>,</w:t>
      </w:r>
      <w:r w:rsidRPr="00AC5825">
        <w:t xml:space="preserve"> one at zero nominal growth and one reflect</w:t>
      </w:r>
      <w:r w:rsidR="00BA6599" w:rsidRPr="00AC5825">
        <w:t>ing</w:t>
      </w:r>
      <w:r w:rsidRPr="00AC5825">
        <w:t xml:space="preserve"> required changes to </w:t>
      </w:r>
      <w:r w:rsidR="00BA6599" w:rsidRPr="00AC5825">
        <w:t>that</w:t>
      </w:r>
      <w:r w:rsidRPr="00AC5825">
        <w:t xml:space="preserve"> scenario to meet the projected needs </w:t>
      </w:r>
      <w:r w:rsidR="00634A1A" w:rsidRPr="00AC5825">
        <w:t>associated with</w:t>
      </w:r>
      <w:r w:rsidR="00574D3C" w:rsidRPr="00AC5825">
        <w:t xml:space="preserve"> executing</w:t>
      </w:r>
      <w:r w:rsidRPr="00AC5825">
        <w:t xml:space="preserve"> the work programme and </w:t>
      </w:r>
      <w:r w:rsidR="00574D3C" w:rsidRPr="00AC5825">
        <w:t xml:space="preserve">fulfilling the </w:t>
      </w:r>
      <w:r w:rsidRPr="00AC5825">
        <w:t>mandate</w:t>
      </w:r>
      <w:r w:rsidR="0057651A" w:rsidRPr="00AC5825">
        <w:t xml:space="preserve"> of the </w:t>
      </w:r>
      <w:r w:rsidR="00A94138" w:rsidRPr="00AC5825">
        <w:t>s</w:t>
      </w:r>
      <w:r w:rsidR="0057651A" w:rsidRPr="00AC5825">
        <w:t>ecretariat</w:t>
      </w:r>
      <w:r w:rsidRPr="00AC5825">
        <w:t xml:space="preserve">. </w:t>
      </w:r>
      <w:r w:rsidR="00574D3C" w:rsidRPr="00AC5825">
        <w:t>T</w:t>
      </w:r>
      <w:r w:rsidRPr="00AC5825">
        <w:t>he two budgetary scenarios are introduced below</w:t>
      </w:r>
      <w:r w:rsidR="0062360C" w:rsidRPr="00AC5825">
        <w:t>.</w:t>
      </w:r>
      <w:r w:rsidR="00574D3C" w:rsidRPr="00AC5825">
        <w:t xml:space="preserve"> </w:t>
      </w:r>
      <w:r w:rsidR="0062360C" w:rsidRPr="00AC5825">
        <w:t>D</w:t>
      </w:r>
      <w:r w:rsidRPr="00AC5825">
        <w:t xml:space="preserve">etails can be found in the budget </w:t>
      </w:r>
      <w:r w:rsidR="002A0E14" w:rsidRPr="00AC5825">
        <w:t xml:space="preserve">activity </w:t>
      </w:r>
      <w:r w:rsidRPr="00AC5825">
        <w:t>fact sheets (UNEP/MC/COP.3/IN</w:t>
      </w:r>
      <w:r w:rsidR="00C61038" w:rsidRPr="00AC5825">
        <w:t>F/</w:t>
      </w:r>
      <w:r w:rsidRPr="00AC5825">
        <w:t xml:space="preserve">9) </w:t>
      </w:r>
      <w:r w:rsidR="002A0E14" w:rsidRPr="00AC5825">
        <w:t xml:space="preserve">and </w:t>
      </w:r>
      <w:r w:rsidRPr="00AC5825">
        <w:t xml:space="preserve">in the information document on the proposed </w:t>
      </w:r>
      <w:r w:rsidR="0057651A" w:rsidRPr="00AC5825">
        <w:t xml:space="preserve">operational </w:t>
      </w:r>
      <w:r w:rsidRPr="00AC5825">
        <w:t>budget</w:t>
      </w:r>
      <w:r w:rsidR="002A0E14" w:rsidRPr="00AC5825">
        <w:t>s</w:t>
      </w:r>
      <w:r w:rsidR="0057651A" w:rsidRPr="00AC5825">
        <w:t xml:space="preserve"> for the two funding scenarios </w:t>
      </w:r>
      <w:r w:rsidRPr="00AC5825">
        <w:t>(UNEP/MC/COP.3/INF</w:t>
      </w:r>
      <w:r w:rsidR="00C61038" w:rsidRPr="00AC5825">
        <w:t>/</w:t>
      </w:r>
      <w:r w:rsidRPr="00AC5825">
        <w:t>11).</w:t>
      </w:r>
    </w:p>
    <w:p w14:paraId="30F93DED" w14:textId="4566FD55" w:rsidR="00F94A05" w:rsidRPr="00AC5825" w:rsidRDefault="0028120D" w:rsidP="00866240">
      <w:pPr>
        <w:pStyle w:val="Normalnumber"/>
        <w:tabs>
          <w:tab w:val="clear" w:pos="1134"/>
          <w:tab w:val="clear" w:pos="1247"/>
          <w:tab w:val="clear" w:pos="1814"/>
          <w:tab w:val="clear" w:pos="2381"/>
          <w:tab w:val="clear" w:pos="2948"/>
          <w:tab w:val="clear" w:pos="3515"/>
          <w:tab w:val="clear" w:pos="4082"/>
          <w:tab w:val="num" w:pos="624"/>
        </w:tabs>
      </w:pPr>
      <w:r w:rsidRPr="00AC5825">
        <w:t xml:space="preserve">The figures </w:t>
      </w:r>
      <w:r w:rsidR="00C16F6C">
        <w:t>provided</w:t>
      </w:r>
      <w:r w:rsidRPr="00AC5825">
        <w:t xml:space="preserve"> in this section are net of programme support costs, which usually represent 13</w:t>
      </w:r>
      <w:r w:rsidR="008D6805">
        <w:t> </w:t>
      </w:r>
      <w:r w:rsidRPr="00AC5825">
        <w:t>per</w:t>
      </w:r>
      <w:r w:rsidR="006F3184" w:rsidRPr="00AC5825">
        <w:t xml:space="preserve"> </w:t>
      </w:r>
      <w:r w:rsidRPr="00AC5825">
        <w:t>cent of the budgeted expenditures.</w:t>
      </w:r>
    </w:p>
    <w:p w14:paraId="3B3EF520" w14:textId="75A23CB1" w:rsidR="002828C3" w:rsidRPr="00AC5825" w:rsidRDefault="00866240" w:rsidP="00866240">
      <w:pPr>
        <w:pStyle w:val="CH3"/>
        <w:spacing w:before="240"/>
      </w:pPr>
      <w:r w:rsidRPr="00AC5825">
        <w:tab/>
        <w:t>1.</w:t>
      </w:r>
      <w:r w:rsidRPr="00AC5825">
        <w:tab/>
      </w:r>
      <w:r w:rsidR="002828C3" w:rsidRPr="00AC5825">
        <w:t>Executive Secretary’s scenario</w:t>
      </w:r>
    </w:p>
    <w:p w14:paraId="794EA257" w14:textId="71CDCCB9" w:rsidR="002828C3" w:rsidRPr="00AC5825" w:rsidRDefault="002828C3" w:rsidP="00866240">
      <w:pPr>
        <w:pStyle w:val="Normalnumber"/>
        <w:tabs>
          <w:tab w:val="clear" w:pos="1134"/>
          <w:tab w:val="clear" w:pos="1247"/>
          <w:tab w:val="clear" w:pos="1814"/>
          <w:tab w:val="clear" w:pos="2381"/>
          <w:tab w:val="clear" w:pos="2948"/>
          <w:tab w:val="clear" w:pos="3515"/>
          <w:tab w:val="clear" w:pos="4082"/>
          <w:tab w:val="num" w:pos="624"/>
        </w:tabs>
      </w:pPr>
      <w:r w:rsidRPr="00AC5825">
        <w:t xml:space="preserve">The </w:t>
      </w:r>
      <w:r w:rsidR="007B1658" w:rsidRPr="00AC5825">
        <w:t>E</w:t>
      </w:r>
      <w:r w:rsidRPr="00AC5825">
        <w:t xml:space="preserve">xecutive </w:t>
      </w:r>
      <w:r w:rsidR="007B1658" w:rsidRPr="00AC5825">
        <w:t>S</w:t>
      </w:r>
      <w:r w:rsidRPr="00AC5825">
        <w:t xml:space="preserve">ecretary’s scenario </w:t>
      </w:r>
      <w:r w:rsidRPr="00970AFD">
        <w:t>has been developed</w:t>
      </w:r>
      <w:r w:rsidRPr="00AC5825">
        <w:t xml:space="preserve"> with a view to budget</w:t>
      </w:r>
      <w:r w:rsidR="006F3184" w:rsidRPr="00AC5825">
        <w:t>ing</w:t>
      </w:r>
      <w:r w:rsidRPr="00AC5825">
        <w:t xml:space="preserve"> for essential elements of the work programme to comply with the mandated activities under the articles of the Convention. This constitutes elements at the 2018</w:t>
      </w:r>
      <w:r w:rsidR="00B246AC" w:rsidRPr="00AC5825">
        <w:sym w:font="Symbol" w:char="F02D"/>
      </w:r>
      <w:r w:rsidRPr="00AC5825">
        <w:t>2019 level</w:t>
      </w:r>
      <w:r w:rsidR="00634A1A" w:rsidRPr="00AC5825">
        <w:t>,</w:t>
      </w:r>
      <w:r w:rsidR="006F3184" w:rsidRPr="00AC5825">
        <w:t xml:space="preserve"> </w:t>
      </w:r>
      <w:r w:rsidR="00072F76" w:rsidRPr="00AC5825">
        <w:t xml:space="preserve">plus </w:t>
      </w:r>
      <w:r w:rsidRPr="00AC5825">
        <w:t>addition</w:t>
      </w:r>
      <w:r w:rsidR="00072F76" w:rsidRPr="00AC5825">
        <w:t>al</w:t>
      </w:r>
      <w:r w:rsidR="006F3184" w:rsidRPr="00AC5825">
        <w:t xml:space="preserve"> </w:t>
      </w:r>
      <w:r w:rsidR="0062360C" w:rsidRPr="00AC5825">
        <w:t xml:space="preserve">proposed </w:t>
      </w:r>
      <w:r w:rsidRPr="00AC5825">
        <w:t xml:space="preserve">core activities </w:t>
      </w:r>
      <w:r w:rsidRPr="006A390E">
        <w:t xml:space="preserve">based on the existing mandates and the needs of the </w:t>
      </w:r>
      <w:r w:rsidR="006F3184" w:rsidRPr="006A390E">
        <w:t>p</w:t>
      </w:r>
      <w:r w:rsidRPr="006A390E">
        <w:t>arties</w:t>
      </w:r>
      <w:r w:rsidRPr="00AC5825">
        <w:t xml:space="preserve"> </w:t>
      </w:r>
      <w:r w:rsidR="006F3184" w:rsidRPr="00AC5825">
        <w:t xml:space="preserve">to </w:t>
      </w:r>
      <w:r w:rsidRPr="00AC5825">
        <w:t>be financed from the general trust fund</w:t>
      </w:r>
      <w:r w:rsidR="000B7D30" w:rsidRPr="00AC5825">
        <w:t xml:space="preserve">. </w:t>
      </w:r>
      <w:r w:rsidR="0062360C" w:rsidRPr="00AC5825">
        <w:t>With t</w:t>
      </w:r>
      <w:r w:rsidR="000B7D30" w:rsidRPr="00AC5825">
        <w:t>h</w:t>
      </w:r>
      <w:r w:rsidR="0062360C" w:rsidRPr="00AC5825">
        <w:t>e additional proposed core activities,</w:t>
      </w:r>
      <w:r w:rsidR="000B7D30" w:rsidRPr="00AC5825">
        <w:t xml:space="preserve"> </w:t>
      </w:r>
      <w:r w:rsidRPr="00AC5825">
        <w:t>the total budget for 2020</w:t>
      </w:r>
      <w:r w:rsidR="002F3676" w:rsidRPr="00AC5825">
        <w:sym w:font="Symbol" w:char="F02D"/>
      </w:r>
      <w:r w:rsidRPr="00AC5825">
        <w:t>2021</w:t>
      </w:r>
      <w:r w:rsidR="00914126" w:rsidRPr="00AC5825">
        <w:t xml:space="preserve"> </w:t>
      </w:r>
      <w:r w:rsidR="0062360C" w:rsidRPr="00AC5825">
        <w:t>before programme support costs</w:t>
      </w:r>
      <w:r w:rsidR="009D0134" w:rsidRPr="00AC5825">
        <w:t xml:space="preserve"> </w:t>
      </w:r>
      <w:r w:rsidR="004E0D10" w:rsidRPr="00AC5825">
        <w:t>is</w:t>
      </w:r>
      <w:r w:rsidR="009D0134" w:rsidRPr="00AC5825">
        <w:t xml:space="preserve"> $8,665,706</w:t>
      </w:r>
      <w:r w:rsidR="0062360C" w:rsidRPr="00AC5825">
        <w:t>,</w:t>
      </w:r>
      <w:r w:rsidR="0062360C" w:rsidRPr="00AC5825" w:rsidDel="001C5EAE">
        <w:t xml:space="preserve"> </w:t>
      </w:r>
      <w:r w:rsidR="001C5EAE" w:rsidRPr="00AC5825">
        <w:t>$</w:t>
      </w:r>
      <w:r w:rsidR="0019192D" w:rsidRPr="00AC5825">
        <w:t>1,798,806</w:t>
      </w:r>
      <w:r w:rsidRPr="00AC5825">
        <w:t xml:space="preserve"> </w:t>
      </w:r>
      <w:r w:rsidR="001C5EAE" w:rsidRPr="00AC5825">
        <w:t>higher than the approved budget for the 2018</w:t>
      </w:r>
      <w:r w:rsidR="001C5EAE" w:rsidRPr="00AC5825">
        <w:sym w:font="Symbol" w:char="F02D"/>
      </w:r>
      <w:r w:rsidR="001C5EAE" w:rsidRPr="00AC5825">
        <w:t>2019 biennium</w:t>
      </w:r>
      <w:r w:rsidRPr="00AC5825">
        <w:t xml:space="preserve">. </w:t>
      </w:r>
    </w:p>
    <w:p w14:paraId="58B6DC04" w14:textId="1B9CFFC5" w:rsidR="002828C3" w:rsidRPr="009E66D8" w:rsidRDefault="00072F76" w:rsidP="00866240">
      <w:pPr>
        <w:pStyle w:val="Normalnumber"/>
        <w:tabs>
          <w:tab w:val="clear" w:pos="1134"/>
          <w:tab w:val="clear" w:pos="1247"/>
          <w:tab w:val="clear" w:pos="1814"/>
          <w:tab w:val="clear" w:pos="2381"/>
          <w:tab w:val="clear" w:pos="2948"/>
          <w:tab w:val="clear" w:pos="3515"/>
          <w:tab w:val="clear" w:pos="4082"/>
          <w:tab w:val="num" w:pos="624"/>
        </w:tabs>
      </w:pPr>
      <w:r w:rsidRPr="00AC5825">
        <w:t xml:space="preserve">The </w:t>
      </w:r>
      <w:r w:rsidR="00C71E2E" w:rsidRPr="00AC5825">
        <w:t xml:space="preserve">Executive Secretary’s </w:t>
      </w:r>
      <w:r w:rsidR="00C71E2E" w:rsidRPr="009E66D8">
        <w:t>scenario</w:t>
      </w:r>
      <w:r w:rsidR="007A67FF" w:rsidRPr="009E66D8">
        <w:t>, introduced to meet the projected needs,</w:t>
      </w:r>
      <w:r w:rsidR="00C71E2E" w:rsidRPr="009E66D8">
        <w:t xml:space="preserve"> does not result in any savings </w:t>
      </w:r>
      <w:r w:rsidR="009F41B5" w:rsidRPr="009E66D8">
        <w:t xml:space="preserve">compared to </w:t>
      </w:r>
      <w:r w:rsidRPr="009E66D8">
        <w:t>the zero nominal growth scenario</w:t>
      </w:r>
      <w:r w:rsidR="00D36664" w:rsidRPr="009E66D8">
        <w:t>.</w:t>
      </w:r>
      <w:r w:rsidRPr="009E66D8">
        <w:t xml:space="preserve"> </w:t>
      </w:r>
      <w:r w:rsidR="00C71E2E" w:rsidRPr="009E66D8">
        <w:t xml:space="preserve">The most significant </w:t>
      </w:r>
      <w:r w:rsidR="00E91E99" w:rsidRPr="009E66D8">
        <w:t xml:space="preserve">changes </w:t>
      </w:r>
      <w:r w:rsidRPr="009E66D8">
        <w:t>are as follows:</w:t>
      </w:r>
    </w:p>
    <w:p w14:paraId="5D500C1B" w14:textId="29BACF51" w:rsidR="00905593" w:rsidRPr="00B46019" w:rsidRDefault="00866240" w:rsidP="00453F5E">
      <w:pPr>
        <w:pStyle w:val="CH4"/>
        <w:tabs>
          <w:tab w:val="clear" w:pos="851"/>
        </w:tabs>
        <w:spacing w:before="240"/>
        <w:rPr>
          <w:i/>
          <w:iCs/>
        </w:rPr>
      </w:pPr>
      <w:r w:rsidRPr="009E66D8">
        <w:rPr>
          <w:bCs/>
          <w:i/>
          <w:iCs/>
        </w:rPr>
        <w:tab/>
      </w:r>
      <w:r w:rsidR="002828C3" w:rsidRPr="009E66D8">
        <w:rPr>
          <w:i/>
          <w:iCs/>
        </w:rPr>
        <w:t xml:space="preserve">Increases </w:t>
      </w:r>
      <w:r w:rsidR="00B46019" w:rsidRPr="009E66D8">
        <w:rPr>
          <w:i/>
          <w:iCs/>
        </w:rPr>
        <w:t>relative</w:t>
      </w:r>
      <w:r w:rsidR="002828C3" w:rsidRPr="009E66D8">
        <w:rPr>
          <w:i/>
          <w:iCs/>
        </w:rPr>
        <w:t xml:space="preserve"> to </w:t>
      </w:r>
      <w:r w:rsidR="00B46019" w:rsidRPr="009E66D8">
        <w:rPr>
          <w:i/>
          <w:iCs/>
        </w:rPr>
        <w:t xml:space="preserve">the </w:t>
      </w:r>
      <w:r w:rsidR="002828C3" w:rsidRPr="009E66D8">
        <w:rPr>
          <w:i/>
          <w:iCs/>
        </w:rPr>
        <w:t>zero nominal growth</w:t>
      </w:r>
      <w:r w:rsidR="002828C3" w:rsidRPr="00B46019">
        <w:rPr>
          <w:i/>
          <w:iCs/>
        </w:rPr>
        <w:t xml:space="preserve"> scenario</w:t>
      </w:r>
    </w:p>
    <w:p w14:paraId="1D68F81E" w14:textId="77777777" w:rsidR="00905593" w:rsidRDefault="00905593" w:rsidP="00905593">
      <w:pPr>
        <w:pStyle w:val="Normalnumber"/>
        <w:tabs>
          <w:tab w:val="clear" w:pos="1134"/>
          <w:tab w:val="clear" w:pos="1247"/>
          <w:tab w:val="clear" w:pos="1814"/>
          <w:tab w:val="clear" w:pos="2381"/>
          <w:tab w:val="clear" w:pos="2948"/>
          <w:tab w:val="clear" w:pos="3515"/>
          <w:tab w:val="clear" w:pos="4082"/>
          <w:tab w:val="num" w:pos="624"/>
        </w:tabs>
      </w:pPr>
      <w:r>
        <w:t>The increases are as follows:</w:t>
      </w:r>
    </w:p>
    <w:p w14:paraId="3EA72543" w14:textId="7EB02985" w:rsidR="002828C3" w:rsidRPr="00AC5825" w:rsidRDefault="002828C3" w:rsidP="00837F5F">
      <w:pPr>
        <w:pStyle w:val="Normalnumber"/>
        <w:numPr>
          <w:ilvl w:val="1"/>
          <w:numId w:val="8"/>
        </w:numPr>
        <w:tabs>
          <w:tab w:val="clear" w:pos="1247"/>
          <w:tab w:val="clear" w:pos="1814"/>
          <w:tab w:val="clear" w:pos="2381"/>
          <w:tab w:val="clear" w:pos="2948"/>
          <w:tab w:val="clear" w:pos="3515"/>
          <w:tab w:val="clear" w:pos="4082"/>
        </w:tabs>
      </w:pPr>
      <w:r w:rsidRPr="00AC5825">
        <w:t xml:space="preserve">Activity 1: An additional </w:t>
      </w:r>
      <w:r w:rsidR="00B246AC" w:rsidRPr="00AC5825">
        <w:t>$</w:t>
      </w:r>
      <w:r w:rsidRPr="00AC5825">
        <w:t xml:space="preserve">55,000 has been allocated to include a high-level segment for the fourth Conference of the Parties </w:t>
      </w:r>
      <w:r w:rsidR="00C61038" w:rsidRPr="00AC5825">
        <w:t>to</w:t>
      </w:r>
      <w:r w:rsidRPr="00AC5825">
        <w:t xml:space="preserve"> the Minamata Convention. </w:t>
      </w:r>
    </w:p>
    <w:p w14:paraId="2D4D5C87" w14:textId="0CD444C5" w:rsidR="002828C3" w:rsidRPr="00AC5825" w:rsidRDefault="002828C3" w:rsidP="00837F5F">
      <w:pPr>
        <w:pStyle w:val="Normalnumber"/>
        <w:numPr>
          <w:ilvl w:val="1"/>
          <w:numId w:val="8"/>
        </w:numPr>
        <w:tabs>
          <w:tab w:val="clear" w:pos="1247"/>
          <w:tab w:val="clear" w:pos="1814"/>
          <w:tab w:val="clear" w:pos="2381"/>
          <w:tab w:val="clear" w:pos="2948"/>
          <w:tab w:val="clear" w:pos="3515"/>
          <w:tab w:val="clear" w:pos="4082"/>
        </w:tabs>
      </w:pPr>
      <w:r w:rsidRPr="00AC5825">
        <w:t xml:space="preserve">Activity 6: To </w:t>
      </w:r>
      <w:r w:rsidR="00F151D0" w:rsidRPr="00AC5825">
        <w:t xml:space="preserve">support the Conference of the Parties in evaluating the effectiveness of the Convention pursuant to article 22 and in line with the framework proposed by the ad-hoc </w:t>
      </w:r>
      <w:r w:rsidR="0057651A" w:rsidRPr="00AC5825">
        <w:t xml:space="preserve">technical expert </w:t>
      </w:r>
      <w:r w:rsidR="00F151D0" w:rsidRPr="00AC5825">
        <w:t>group</w:t>
      </w:r>
      <w:r w:rsidRPr="00AC5825">
        <w:t xml:space="preserve">, an additional </w:t>
      </w:r>
      <w:r w:rsidR="00B246AC" w:rsidRPr="00AC5825">
        <w:t>$</w:t>
      </w:r>
      <w:r w:rsidRPr="00AC5825">
        <w:t xml:space="preserve">582,000 </w:t>
      </w:r>
      <w:r w:rsidR="00B24493" w:rsidRPr="00AC5825">
        <w:t xml:space="preserve">has been </w:t>
      </w:r>
      <w:r w:rsidRPr="00AC5825">
        <w:t xml:space="preserve">allocated to move </w:t>
      </w:r>
      <w:r w:rsidR="00B24493" w:rsidRPr="00AC5825">
        <w:t>activities funded by</w:t>
      </w:r>
      <w:r w:rsidRPr="00AC5825">
        <w:t xml:space="preserve"> the special trust fund in the zero nominal growth scenario to the core budget</w:t>
      </w:r>
      <w:r w:rsidR="00B24493" w:rsidRPr="00AC5825">
        <w:t>,</w:t>
      </w:r>
      <w:r w:rsidRPr="00AC5825">
        <w:t xml:space="preserve"> to allow for the development of an emission</w:t>
      </w:r>
      <w:r w:rsidR="00C61038" w:rsidRPr="00AC5825">
        <w:t>s</w:t>
      </w:r>
      <w:r w:rsidRPr="00AC5825">
        <w:t xml:space="preserve"> and release</w:t>
      </w:r>
      <w:r w:rsidR="00C61038" w:rsidRPr="00AC5825">
        <w:t>s</w:t>
      </w:r>
      <w:r w:rsidRPr="00AC5825">
        <w:t xml:space="preserve"> report, a supply, demand and trade report </w:t>
      </w:r>
      <w:r w:rsidR="00B24493" w:rsidRPr="00AC5825">
        <w:t>and</w:t>
      </w:r>
      <w:r w:rsidRPr="00AC5825">
        <w:t xml:space="preserve"> a waste report.</w:t>
      </w:r>
    </w:p>
    <w:p w14:paraId="0BE361B7" w14:textId="41BF04DE" w:rsidR="002828C3" w:rsidRPr="00AC5825" w:rsidRDefault="002828C3" w:rsidP="00837F5F">
      <w:pPr>
        <w:pStyle w:val="Normalnumber"/>
        <w:numPr>
          <w:ilvl w:val="1"/>
          <w:numId w:val="8"/>
        </w:numPr>
        <w:tabs>
          <w:tab w:val="clear" w:pos="1247"/>
          <w:tab w:val="clear" w:pos="1814"/>
          <w:tab w:val="clear" w:pos="2381"/>
          <w:tab w:val="clear" w:pos="2948"/>
          <w:tab w:val="clear" w:pos="3515"/>
          <w:tab w:val="clear" w:pos="4082"/>
        </w:tabs>
      </w:pPr>
      <w:r w:rsidRPr="00AC5825">
        <w:t xml:space="preserve">Activity 7: </w:t>
      </w:r>
      <w:r w:rsidR="009C19E6" w:rsidRPr="00AC5825">
        <w:t xml:space="preserve">The secretariat </w:t>
      </w:r>
      <w:r w:rsidR="004E0D10" w:rsidRPr="00AC5825">
        <w:t xml:space="preserve">has </w:t>
      </w:r>
      <w:r w:rsidR="009C19E6" w:rsidRPr="00AC5825">
        <w:t xml:space="preserve">assessed a need </w:t>
      </w:r>
      <w:r w:rsidR="004E0D10" w:rsidRPr="00AC5825">
        <w:t>for</w:t>
      </w:r>
      <w:r w:rsidR="009C19E6" w:rsidRPr="00AC5825">
        <w:t xml:space="preserve"> $95,000 in the biennium t</w:t>
      </w:r>
      <w:r w:rsidRPr="00AC5825">
        <w:t>o develop an online electronic national reporting system</w:t>
      </w:r>
      <w:r w:rsidR="00F151D0" w:rsidRPr="00AC5825">
        <w:t xml:space="preserve"> for the first full</w:t>
      </w:r>
      <w:r w:rsidR="00023FFF">
        <w:t xml:space="preserve"> </w:t>
      </w:r>
      <w:r w:rsidR="00F151D0" w:rsidRPr="00AC5825">
        <w:t xml:space="preserve">reporting to be submitted </w:t>
      </w:r>
      <w:r w:rsidR="00E57DE5">
        <w:t xml:space="preserve">by parties </w:t>
      </w:r>
      <w:r w:rsidR="00F151D0" w:rsidRPr="00AC5825">
        <w:t>by 31</w:t>
      </w:r>
      <w:r w:rsidR="00746C1A">
        <w:t> </w:t>
      </w:r>
      <w:r w:rsidR="00F151D0" w:rsidRPr="00AC5825">
        <w:t>December 2021</w:t>
      </w:r>
      <w:r w:rsidR="009C19E6" w:rsidRPr="00AC5825">
        <w:t>,</w:t>
      </w:r>
      <w:r w:rsidRPr="00AC5825">
        <w:t xml:space="preserve"> including </w:t>
      </w:r>
      <w:r w:rsidR="004E0D10" w:rsidRPr="00AC5825">
        <w:t xml:space="preserve">the </w:t>
      </w:r>
      <w:r w:rsidRPr="00AC5825">
        <w:t>necessary training and tools</w:t>
      </w:r>
      <w:r w:rsidR="004E0D10" w:rsidRPr="00AC5825">
        <w:t>, and to</w:t>
      </w:r>
      <w:r w:rsidRPr="00AC5825">
        <w:t xml:space="preserve"> undertak</w:t>
      </w:r>
      <w:r w:rsidR="004E0D10" w:rsidRPr="00AC5825">
        <w:t>e</w:t>
      </w:r>
      <w:r w:rsidRPr="00AC5825">
        <w:t xml:space="preserve"> an assessment of the </w:t>
      </w:r>
      <w:r w:rsidR="009C19E6" w:rsidRPr="00AC5825">
        <w:t>p</w:t>
      </w:r>
      <w:r w:rsidRPr="00AC5825">
        <w:t xml:space="preserve">arties’ submissions under </w:t>
      </w:r>
      <w:r w:rsidR="00C61038" w:rsidRPr="00AC5825">
        <w:t>a</w:t>
      </w:r>
      <w:r w:rsidRPr="00AC5825">
        <w:t>rticle 21</w:t>
      </w:r>
      <w:r w:rsidR="009C19E6" w:rsidRPr="00AC5825">
        <w:t>. This amount</w:t>
      </w:r>
      <w:r w:rsidRPr="00AC5825">
        <w:t xml:space="preserve"> was cut to </w:t>
      </w:r>
      <w:r w:rsidR="00B246AC" w:rsidRPr="00AC5825">
        <w:t>$</w:t>
      </w:r>
      <w:r w:rsidRPr="00AC5825">
        <w:t xml:space="preserve">60,000 to </w:t>
      </w:r>
      <w:r w:rsidR="004E0D10" w:rsidRPr="00AC5825">
        <w:t>arrive at</w:t>
      </w:r>
      <w:r w:rsidRPr="00AC5825">
        <w:t xml:space="preserve"> the zero nominal growth scenario</w:t>
      </w:r>
      <w:r w:rsidR="009C19E6" w:rsidRPr="00AC5825">
        <w:t>,</w:t>
      </w:r>
      <w:r w:rsidR="0057651A" w:rsidRPr="00AC5825">
        <w:t xml:space="preserve"> which </w:t>
      </w:r>
      <w:r w:rsidR="009C19E6" w:rsidRPr="00AC5825">
        <w:t xml:space="preserve">entailed </w:t>
      </w:r>
      <w:r w:rsidR="0057651A" w:rsidRPr="00AC5825">
        <w:t xml:space="preserve">a corresponding reduction in the scope and </w:t>
      </w:r>
      <w:r w:rsidR="00BA44D6" w:rsidRPr="00AC5825">
        <w:t>outputs</w:t>
      </w:r>
      <w:r w:rsidR="0057651A" w:rsidRPr="00AC5825">
        <w:t xml:space="preserve"> of the relevant activities</w:t>
      </w:r>
      <w:r w:rsidRPr="00AC5825">
        <w:t xml:space="preserve">. </w:t>
      </w:r>
      <w:r w:rsidR="00186B1D">
        <w:t>As a result, the Executive Secretary’s scenario entails an additional cost of $35,000 for this activity to meet the projected needs.</w:t>
      </w:r>
    </w:p>
    <w:p w14:paraId="2F1A8CD2" w14:textId="1F03E120" w:rsidR="00F421F5" w:rsidRPr="00AC5825" w:rsidRDefault="002828C3" w:rsidP="00837F5F">
      <w:pPr>
        <w:pStyle w:val="Normalnumber"/>
        <w:numPr>
          <w:ilvl w:val="1"/>
          <w:numId w:val="8"/>
        </w:numPr>
        <w:tabs>
          <w:tab w:val="clear" w:pos="1247"/>
          <w:tab w:val="clear" w:pos="1814"/>
          <w:tab w:val="clear" w:pos="2381"/>
          <w:tab w:val="clear" w:pos="2948"/>
          <w:tab w:val="clear" w:pos="3515"/>
          <w:tab w:val="clear" w:pos="4082"/>
        </w:tabs>
      </w:pPr>
      <w:r w:rsidRPr="00AC5825">
        <w:t xml:space="preserve">Activity 8: In the area of publications, an additional </w:t>
      </w:r>
      <w:r w:rsidR="00B246AC" w:rsidRPr="00AC5825">
        <w:t>$</w:t>
      </w:r>
      <w:r w:rsidRPr="00AC5825">
        <w:t xml:space="preserve">65,000 is needed to include translation of publications in the core budget rather than under voluntary funding. </w:t>
      </w:r>
    </w:p>
    <w:p w14:paraId="01CD85CF" w14:textId="4D67802D" w:rsidR="002828C3" w:rsidRPr="00D36664" w:rsidRDefault="002828C3" w:rsidP="00837F5F">
      <w:pPr>
        <w:pStyle w:val="Normalnumber"/>
        <w:numPr>
          <w:ilvl w:val="1"/>
          <w:numId w:val="8"/>
        </w:numPr>
        <w:tabs>
          <w:tab w:val="clear" w:pos="1247"/>
          <w:tab w:val="clear" w:pos="1814"/>
          <w:tab w:val="clear" w:pos="2381"/>
          <w:tab w:val="clear" w:pos="2948"/>
          <w:tab w:val="clear" w:pos="3515"/>
          <w:tab w:val="clear" w:pos="4082"/>
        </w:tabs>
      </w:pPr>
      <w:r w:rsidRPr="00AC5825">
        <w:t xml:space="preserve">Activity 10: To be able to deliver the work programme of the </w:t>
      </w:r>
      <w:r w:rsidR="00A94138" w:rsidRPr="00AC5825">
        <w:t>s</w:t>
      </w:r>
      <w:r w:rsidRPr="00AC5825">
        <w:t>ecretariat for the 2020</w:t>
      </w:r>
      <w:r w:rsidR="00B246AC" w:rsidRPr="00AC5825">
        <w:sym w:font="Symbol" w:char="F02D"/>
      </w:r>
      <w:r w:rsidRPr="00AC5825">
        <w:t xml:space="preserve">2021 biennium, an additional </w:t>
      </w:r>
      <w:r w:rsidR="00B246AC" w:rsidRPr="00AC5825">
        <w:t>$</w:t>
      </w:r>
      <w:r w:rsidRPr="00AC5825">
        <w:t>815,283 is needed in the area of executive direction and management for a P</w:t>
      </w:r>
      <w:r w:rsidR="00A94138" w:rsidRPr="00AC5825">
        <w:noBreakHyphen/>
      </w:r>
      <w:r w:rsidRPr="00AC5825">
        <w:t>4</w:t>
      </w:r>
      <w:r w:rsidR="00746C1A">
        <w:t> </w:t>
      </w:r>
      <w:r w:rsidRPr="00AC5825">
        <w:t>Programme Officer</w:t>
      </w:r>
      <w:r w:rsidR="0057651A" w:rsidRPr="00AC5825">
        <w:t xml:space="preserve"> to support the work of</w:t>
      </w:r>
      <w:r w:rsidRPr="00AC5825">
        <w:t xml:space="preserve"> the Specific International Programme</w:t>
      </w:r>
      <w:r w:rsidR="009C19E6" w:rsidRPr="00AC5825">
        <w:t>, including</w:t>
      </w:r>
      <w:r w:rsidR="0057651A" w:rsidRPr="00AC5825">
        <w:t xml:space="preserve"> </w:t>
      </w:r>
      <w:r w:rsidR="00CD1260" w:rsidRPr="00AC5825">
        <w:t>provid</w:t>
      </w:r>
      <w:r w:rsidR="009C19E6" w:rsidRPr="00AC5825">
        <w:t>ing</w:t>
      </w:r>
      <w:r w:rsidR="00CD1260" w:rsidRPr="00AC5825">
        <w:t xml:space="preserve"> secretariat services to</w:t>
      </w:r>
      <w:r w:rsidR="0057651A" w:rsidRPr="00AC5825">
        <w:t xml:space="preserve"> its</w:t>
      </w:r>
      <w:r w:rsidR="00CD1260" w:rsidRPr="00AC5825">
        <w:t xml:space="preserve"> Governing Board, manag</w:t>
      </w:r>
      <w:r w:rsidR="009C19E6" w:rsidRPr="00AC5825">
        <w:t>ing</w:t>
      </w:r>
      <w:r w:rsidR="00CD1260" w:rsidRPr="00AC5825">
        <w:t xml:space="preserve"> </w:t>
      </w:r>
      <w:r w:rsidR="009C19E6" w:rsidRPr="00AC5825">
        <w:t xml:space="preserve">its </w:t>
      </w:r>
      <w:r w:rsidR="00CD1260" w:rsidRPr="00AC5825">
        <w:t>application and appraisal process</w:t>
      </w:r>
      <w:r w:rsidR="0057651A" w:rsidRPr="00AC5825">
        <w:t>es</w:t>
      </w:r>
      <w:r w:rsidR="00CD1260" w:rsidRPr="00AC5825">
        <w:t>, manag</w:t>
      </w:r>
      <w:r w:rsidR="009C19E6" w:rsidRPr="00AC5825">
        <w:t>ing</w:t>
      </w:r>
      <w:r w:rsidR="00CD1260" w:rsidRPr="00AC5825">
        <w:t xml:space="preserve"> the administrative and substantive implementation of approved projects, provid</w:t>
      </w:r>
      <w:r w:rsidR="009C19E6" w:rsidRPr="00AC5825">
        <w:t>ing</w:t>
      </w:r>
      <w:r w:rsidR="00CD1260" w:rsidRPr="00AC5825">
        <w:t xml:space="preserve"> donor reports and oversee</w:t>
      </w:r>
      <w:r w:rsidR="009C19E6" w:rsidRPr="00AC5825">
        <w:t xml:space="preserve">ing the </w:t>
      </w:r>
      <w:r w:rsidR="00221481">
        <w:t>P</w:t>
      </w:r>
      <w:r w:rsidR="00221481" w:rsidRPr="00AC5825">
        <w:t xml:space="preserve">rogramme’s </w:t>
      </w:r>
      <w:r w:rsidR="00CD1260" w:rsidRPr="00AC5825">
        <w:t xml:space="preserve">evaluation, monitoring and auditing requirements. Furthermore, under this area it is proposed that the </w:t>
      </w:r>
      <w:r w:rsidR="003F4837" w:rsidRPr="00AC5825">
        <w:t xml:space="preserve">current </w:t>
      </w:r>
      <w:r w:rsidRPr="00AC5825">
        <w:t>P-3 Communication</w:t>
      </w:r>
      <w:r w:rsidR="0057651A" w:rsidRPr="00AC5825">
        <w:t>s</w:t>
      </w:r>
      <w:r w:rsidR="00CD1260" w:rsidRPr="00AC5825">
        <w:t>/Knowledge Management</w:t>
      </w:r>
      <w:r w:rsidRPr="00AC5825">
        <w:t xml:space="preserve"> Officer</w:t>
      </w:r>
      <w:r w:rsidR="00CD1260" w:rsidRPr="00AC5825">
        <w:t xml:space="preserve"> post </w:t>
      </w:r>
      <w:r w:rsidR="009C19E6" w:rsidRPr="00AC5825">
        <w:t>be</w:t>
      </w:r>
      <w:r w:rsidRPr="00AC5825">
        <w:t xml:space="preserve"> split </w:t>
      </w:r>
      <w:r w:rsidR="00CD1260" w:rsidRPr="00AC5825">
        <w:t>into two distinct functional areas of expertise, that is</w:t>
      </w:r>
      <w:r w:rsidR="009C19E6" w:rsidRPr="00AC5825">
        <w:t>,</w:t>
      </w:r>
      <w:r w:rsidR="00CD1260" w:rsidRPr="00AC5825">
        <w:t xml:space="preserve"> a P-3 Communications Officer and a P-3 </w:t>
      </w:r>
      <w:r w:rsidRPr="00AC5825">
        <w:t>Knowledge Management</w:t>
      </w:r>
      <w:r w:rsidR="00D03A88" w:rsidRPr="00AC5825">
        <w:t xml:space="preserve"> Officer</w:t>
      </w:r>
      <w:r w:rsidRPr="00AC5825">
        <w:t>.</w:t>
      </w:r>
      <w:r w:rsidR="006D2402" w:rsidRPr="00AC5825">
        <w:t xml:space="preserve"> This split in functions is </w:t>
      </w:r>
      <w:r w:rsidR="007E384A" w:rsidRPr="00AC5825">
        <w:t xml:space="preserve">deemed </w:t>
      </w:r>
      <w:r w:rsidR="006D2402" w:rsidRPr="00AC5825">
        <w:t>necess</w:t>
      </w:r>
      <w:r w:rsidR="009C19E6" w:rsidRPr="00AC5825">
        <w:t>ary</w:t>
      </w:r>
      <w:r w:rsidR="006D2402" w:rsidRPr="00AC5825">
        <w:t xml:space="preserve"> on</w:t>
      </w:r>
      <w:r w:rsidR="00FC5E6C">
        <w:t xml:space="preserve"> the basis of</w:t>
      </w:r>
      <w:r w:rsidR="006D2402" w:rsidRPr="00AC5825">
        <w:t xml:space="preserve"> the experience gained over the past 18 months </w:t>
      </w:r>
      <w:r w:rsidR="00C16F6C" w:rsidRPr="009E66D8">
        <w:t>indicating</w:t>
      </w:r>
      <w:r w:rsidR="006D2402" w:rsidRPr="009E66D8">
        <w:t xml:space="preserve"> the need for specific expertise in </w:t>
      </w:r>
      <w:r w:rsidR="009E66D8" w:rsidRPr="00566482">
        <w:t>each</w:t>
      </w:r>
      <w:r w:rsidR="006D2402" w:rsidRPr="009E66D8">
        <w:t xml:space="preserve"> area of work and </w:t>
      </w:r>
      <w:r w:rsidR="009C19E6" w:rsidRPr="009E66D8">
        <w:t>gre</w:t>
      </w:r>
      <w:r w:rsidR="009C19E6" w:rsidRPr="00AC5825">
        <w:t xml:space="preserve">ater </w:t>
      </w:r>
      <w:r w:rsidR="006D2402" w:rsidRPr="00AC5825">
        <w:t xml:space="preserve">capacity </w:t>
      </w:r>
      <w:r w:rsidR="006D2402" w:rsidRPr="00D36664">
        <w:t xml:space="preserve">to manage the </w:t>
      </w:r>
      <w:r w:rsidR="009C19E6" w:rsidRPr="00D36664">
        <w:t>communications</w:t>
      </w:r>
      <w:r w:rsidR="00221481">
        <w:t xml:space="preserve"> tasks</w:t>
      </w:r>
      <w:r w:rsidR="009C19E6" w:rsidRPr="00D36664">
        <w:t xml:space="preserve"> and knowledge management </w:t>
      </w:r>
      <w:r w:rsidR="006D2402" w:rsidRPr="00D36664">
        <w:t xml:space="preserve">tasks to be </w:t>
      </w:r>
      <w:r w:rsidR="009C19E6" w:rsidRPr="00D36664">
        <w:t>performed</w:t>
      </w:r>
      <w:r w:rsidR="006D2402" w:rsidRPr="00D36664">
        <w:t>.</w:t>
      </w:r>
      <w:r w:rsidRPr="00D36664">
        <w:t xml:space="preserve"> </w:t>
      </w:r>
      <w:bookmarkStart w:id="5" w:name="_Hlk20160206"/>
      <w:r w:rsidRPr="00EC7F44">
        <w:t>Th</w:t>
      </w:r>
      <w:r w:rsidR="009C19E6" w:rsidRPr="00EC7F44">
        <w:t>e</w:t>
      </w:r>
      <w:r w:rsidRPr="00EC7F44">
        <w:t xml:space="preserve"> increase also includes an additional </w:t>
      </w:r>
      <w:r w:rsidR="00B246AC" w:rsidRPr="00EC7F44">
        <w:t>$</w:t>
      </w:r>
      <w:r w:rsidRPr="00EC7F44">
        <w:t>20,000 for staff travel to bring the budgeted amount back to the 2018</w:t>
      </w:r>
      <w:r w:rsidR="00B246AC" w:rsidRPr="00EC7F44">
        <w:sym w:font="Symbol" w:char="F02D"/>
      </w:r>
      <w:r w:rsidRPr="00EC7F44">
        <w:t>2019 level</w:t>
      </w:r>
      <w:bookmarkEnd w:id="5"/>
      <w:r w:rsidR="00EC7F44" w:rsidRPr="00EC7F44">
        <w:t>,</w:t>
      </w:r>
      <w:r w:rsidR="00EC7F44" w:rsidRPr="00566482">
        <w:rPr>
          <w:u w:val="single"/>
        </w:rPr>
        <w:t xml:space="preserve"> which had to be reduced in order to arrive at zero nominal growth in the zero nominal growth scenario</w:t>
      </w:r>
      <w:r w:rsidRPr="00D36664">
        <w:t xml:space="preserve">. </w:t>
      </w:r>
    </w:p>
    <w:p w14:paraId="4492FBAA" w14:textId="1913034A" w:rsidR="002828C3" w:rsidRPr="00AC5825" w:rsidRDefault="002828C3" w:rsidP="00837F5F">
      <w:pPr>
        <w:pStyle w:val="Normalnumber"/>
        <w:numPr>
          <w:ilvl w:val="1"/>
          <w:numId w:val="8"/>
        </w:numPr>
        <w:tabs>
          <w:tab w:val="clear" w:pos="1247"/>
          <w:tab w:val="clear" w:pos="1814"/>
          <w:tab w:val="clear" w:pos="2381"/>
          <w:tab w:val="clear" w:pos="2948"/>
          <w:tab w:val="clear" w:pos="3515"/>
          <w:tab w:val="clear" w:pos="4082"/>
        </w:tabs>
      </w:pPr>
      <w:r w:rsidRPr="00D36664">
        <w:t xml:space="preserve">Activity 13: In terms of legal and policy activities, </w:t>
      </w:r>
      <w:r w:rsidR="002046D7" w:rsidRPr="00D36664">
        <w:t>an estimated $234,000 is needed for the 2020</w:t>
      </w:r>
      <w:r w:rsidR="002046D7" w:rsidRPr="00D36664">
        <w:sym w:font="Symbol" w:char="F02D"/>
      </w:r>
      <w:r w:rsidR="002046D7" w:rsidRPr="00D36664">
        <w:t xml:space="preserve">2021 biennium </w:t>
      </w:r>
      <w:r w:rsidRPr="00D36664">
        <w:t xml:space="preserve">to work on </w:t>
      </w:r>
      <w:r w:rsidR="007E384A" w:rsidRPr="00D36664">
        <w:t>S</w:t>
      </w:r>
      <w:r w:rsidR="0057651A" w:rsidRPr="00D36664">
        <w:t xml:space="preserve">ustainable </w:t>
      </w:r>
      <w:r w:rsidR="007E384A" w:rsidRPr="00D36664">
        <w:t>D</w:t>
      </w:r>
      <w:r w:rsidR="0057651A" w:rsidRPr="00D36664">
        <w:t xml:space="preserve">evelopment </w:t>
      </w:r>
      <w:r w:rsidR="007E384A" w:rsidRPr="00D36664">
        <w:t>G</w:t>
      </w:r>
      <w:r w:rsidR="0057651A" w:rsidRPr="00D36664">
        <w:t>oals</w:t>
      </w:r>
      <w:r w:rsidRPr="00D36664">
        <w:t xml:space="preserve"> and gender strategies</w:t>
      </w:r>
      <w:r w:rsidR="002046D7" w:rsidRPr="00D36664">
        <w:t>,</w:t>
      </w:r>
      <w:r w:rsidRPr="00D36664">
        <w:t xml:space="preserve"> including</w:t>
      </w:r>
      <w:r w:rsidRPr="00AC5825">
        <w:t xml:space="preserve"> case studies and workshops</w:t>
      </w:r>
      <w:r w:rsidR="009A098B" w:rsidRPr="00AC5825">
        <w:t>.</w:t>
      </w:r>
      <w:r w:rsidRPr="00AC5825">
        <w:t xml:space="preserve"> </w:t>
      </w:r>
      <w:r w:rsidR="009A098B" w:rsidRPr="00AC5825">
        <w:t>I</w:t>
      </w:r>
      <w:r w:rsidRPr="00AC5825">
        <w:t>n the Executive Secretary’s scenario</w:t>
      </w:r>
      <w:r w:rsidR="009A098B" w:rsidRPr="00AC5825">
        <w:t>, this amount</w:t>
      </w:r>
      <w:r w:rsidR="004E0D10" w:rsidRPr="00AC5825">
        <w:t xml:space="preserve"> is included in core funding</w:t>
      </w:r>
      <w:r w:rsidRPr="00AC5825">
        <w:t xml:space="preserve"> rather than under voluntary funding.</w:t>
      </w:r>
    </w:p>
    <w:p w14:paraId="55CD7BB4" w14:textId="7465C609" w:rsidR="002828C3" w:rsidRPr="00AC5825" w:rsidRDefault="002828C3" w:rsidP="00837F5F">
      <w:pPr>
        <w:pStyle w:val="Normalnumber"/>
        <w:numPr>
          <w:ilvl w:val="1"/>
          <w:numId w:val="8"/>
        </w:numPr>
        <w:tabs>
          <w:tab w:val="clear" w:pos="1247"/>
          <w:tab w:val="clear" w:pos="1814"/>
          <w:tab w:val="clear" w:pos="2381"/>
          <w:tab w:val="clear" w:pos="2948"/>
          <w:tab w:val="clear" w:pos="3515"/>
          <w:tab w:val="clear" w:pos="4082"/>
        </w:tabs>
      </w:pPr>
      <w:r w:rsidRPr="00AC5825">
        <w:t>Activity 14: The budget</w:t>
      </w:r>
      <w:r w:rsidR="00716A65" w:rsidRPr="00AC5825">
        <w:t xml:space="preserve"> for the Executive Secretary’s scenario is</w:t>
      </w:r>
      <w:r w:rsidRPr="00AC5825">
        <w:t xml:space="preserve"> </w:t>
      </w:r>
      <w:r w:rsidR="00B246AC" w:rsidRPr="00AC5825">
        <w:t>$</w:t>
      </w:r>
      <w:r w:rsidRPr="00AC5825">
        <w:t xml:space="preserve">9,524 </w:t>
      </w:r>
      <w:r w:rsidR="00EF2B21" w:rsidRPr="00AC5825">
        <w:t xml:space="preserve">higher than the budget for the zero nominal growth scenario. It </w:t>
      </w:r>
      <w:r w:rsidRPr="00AC5825">
        <w:t xml:space="preserve">corresponds to the </w:t>
      </w:r>
      <w:r w:rsidR="00A94138" w:rsidRPr="00AC5825">
        <w:t>s</w:t>
      </w:r>
      <w:r w:rsidRPr="00AC5825">
        <w:t>ecretariat</w:t>
      </w:r>
      <w:r w:rsidR="00EF2B21" w:rsidRPr="00AC5825">
        <w:t>’s projected needs</w:t>
      </w:r>
      <w:r w:rsidRPr="00AC5825">
        <w:t xml:space="preserve"> </w:t>
      </w:r>
      <w:r w:rsidR="00EF2B21" w:rsidRPr="00AC5825">
        <w:t xml:space="preserve">in the area of </w:t>
      </w:r>
      <w:r w:rsidRPr="00AC5825">
        <w:t>office maintenance and services</w:t>
      </w:r>
      <w:r w:rsidR="00EF2B21" w:rsidRPr="00AC5825">
        <w:t xml:space="preserve">, </w:t>
      </w:r>
      <w:r w:rsidR="00EF2B21" w:rsidRPr="000D37B6">
        <w:t>while i</w:t>
      </w:r>
      <w:r w:rsidRPr="000D37B6">
        <w:t>n the zero nominal growth scenario</w:t>
      </w:r>
      <w:r w:rsidR="002046D7" w:rsidRPr="000D37B6">
        <w:t>, the budget was reduced by th</w:t>
      </w:r>
      <w:r w:rsidR="00716A65" w:rsidRPr="000D37B6">
        <w:t>at</w:t>
      </w:r>
      <w:r w:rsidR="002046D7" w:rsidRPr="000D37B6">
        <w:t xml:space="preserve"> amount</w:t>
      </w:r>
      <w:r w:rsidRPr="000D37B6">
        <w:t xml:space="preserve"> </w:t>
      </w:r>
      <w:r w:rsidR="00B66FAE" w:rsidRPr="000D37B6">
        <w:t xml:space="preserve">in the areas of communication supplies and office equipment </w:t>
      </w:r>
      <w:r w:rsidR="002046D7" w:rsidRPr="000D37B6">
        <w:t xml:space="preserve">in order to achieve </w:t>
      </w:r>
      <w:r w:rsidRPr="000D37B6">
        <w:t>zero nominal growth</w:t>
      </w:r>
      <w:r w:rsidRPr="00AC5825">
        <w:t>.</w:t>
      </w:r>
    </w:p>
    <w:p w14:paraId="470F9C28" w14:textId="79436C39" w:rsidR="002828C3" w:rsidRPr="00AC5825" w:rsidRDefault="002828C3" w:rsidP="00837F5F">
      <w:pPr>
        <w:pStyle w:val="Normalnumber"/>
        <w:numPr>
          <w:ilvl w:val="1"/>
          <w:numId w:val="8"/>
        </w:numPr>
        <w:tabs>
          <w:tab w:val="clear" w:pos="1247"/>
          <w:tab w:val="clear" w:pos="1814"/>
          <w:tab w:val="clear" w:pos="2381"/>
          <w:tab w:val="clear" w:pos="2948"/>
          <w:tab w:val="clear" w:pos="3515"/>
          <w:tab w:val="clear" w:pos="4082"/>
        </w:tabs>
      </w:pPr>
      <w:r w:rsidRPr="00AC5825">
        <w:t xml:space="preserve">Activity 15: </w:t>
      </w:r>
      <w:r w:rsidR="002046D7" w:rsidRPr="00AC5825">
        <w:t>Similarly to the situation for activity 14, t</w:t>
      </w:r>
      <w:r w:rsidRPr="00AC5825">
        <w:t xml:space="preserve">he </w:t>
      </w:r>
      <w:r w:rsidR="00B246AC" w:rsidRPr="00AC5825">
        <w:t>$</w:t>
      </w:r>
      <w:r w:rsidRPr="00AC5825">
        <w:t xml:space="preserve">3,000 </w:t>
      </w:r>
      <w:r w:rsidR="00716A65" w:rsidRPr="00AC5825">
        <w:t xml:space="preserve">higher budget </w:t>
      </w:r>
      <w:r w:rsidR="0098280D" w:rsidRPr="00AC5825">
        <w:t xml:space="preserve">for information technology equipment and software </w:t>
      </w:r>
      <w:r w:rsidR="00716A65" w:rsidRPr="00AC5825">
        <w:t xml:space="preserve">in the Executive Secretary’s scenario </w:t>
      </w:r>
      <w:r w:rsidRPr="00AC5825">
        <w:t xml:space="preserve">corresponds to the </w:t>
      </w:r>
      <w:r w:rsidR="0057651A" w:rsidRPr="00AC5825">
        <w:t xml:space="preserve">actual </w:t>
      </w:r>
      <w:r w:rsidRPr="00AC5825">
        <w:t xml:space="preserve">estimated </w:t>
      </w:r>
      <w:r w:rsidR="00716A65" w:rsidRPr="00AC5825">
        <w:t xml:space="preserve">cost of the </w:t>
      </w:r>
      <w:r w:rsidR="00A94138" w:rsidRPr="00AC5825">
        <w:t>s</w:t>
      </w:r>
      <w:r w:rsidRPr="00AC5825">
        <w:t>ecretariat</w:t>
      </w:r>
      <w:r w:rsidR="002C1A8F" w:rsidRPr="00AC5825">
        <w:t>’s projected needs</w:t>
      </w:r>
      <w:r w:rsidRPr="00AC5825">
        <w:t xml:space="preserve"> </w:t>
      </w:r>
      <w:r w:rsidR="002046D7" w:rsidRPr="00AC5825">
        <w:t xml:space="preserve">in the area of </w:t>
      </w:r>
      <w:r w:rsidRPr="00AC5825">
        <w:t xml:space="preserve">information technology services. </w:t>
      </w:r>
    </w:p>
    <w:p w14:paraId="3CE6765C" w14:textId="6E87EDDD" w:rsidR="002828C3" w:rsidRPr="00AC5825" w:rsidRDefault="00B63658" w:rsidP="00866240">
      <w:pPr>
        <w:pStyle w:val="Normalnumber"/>
        <w:tabs>
          <w:tab w:val="clear" w:pos="1134"/>
          <w:tab w:val="clear" w:pos="1247"/>
          <w:tab w:val="clear" w:pos="1814"/>
          <w:tab w:val="clear" w:pos="2381"/>
          <w:tab w:val="clear" w:pos="2948"/>
          <w:tab w:val="clear" w:pos="3515"/>
          <w:tab w:val="clear" w:pos="4082"/>
          <w:tab w:val="num" w:pos="624"/>
        </w:tabs>
      </w:pPr>
      <w:r w:rsidRPr="00AC5825">
        <w:t>The Executive Secretary’s scenario represents both decreases and increases relative to the 2018</w:t>
      </w:r>
      <w:r w:rsidRPr="00AC5825">
        <w:sym w:font="Symbol" w:char="F02D"/>
      </w:r>
      <w:r w:rsidRPr="00AC5825">
        <w:t xml:space="preserve">2019 approved </w:t>
      </w:r>
      <w:r w:rsidRPr="009E66D8">
        <w:t>budget, as follows:</w:t>
      </w:r>
    </w:p>
    <w:p w14:paraId="79769C61" w14:textId="7445AC11" w:rsidR="005936B8" w:rsidRPr="00B46019" w:rsidRDefault="00866240" w:rsidP="00866240">
      <w:pPr>
        <w:pStyle w:val="CH4"/>
        <w:spacing w:before="240"/>
        <w:rPr>
          <w:i/>
          <w:iCs/>
        </w:rPr>
      </w:pPr>
      <w:r w:rsidRPr="00B46019">
        <w:rPr>
          <w:i/>
          <w:iCs/>
        </w:rPr>
        <w:tab/>
      </w:r>
      <w:r w:rsidR="00B63658" w:rsidRPr="00B46019">
        <w:rPr>
          <w:i/>
          <w:iCs/>
        </w:rPr>
        <w:tab/>
      </w:r>
      <w:r w:rsidR="005936B8" w:rsidRPr="00B46019">
        <w:rPr>
          <w:i/>
          <w:iCs/>
        </w:rPr>
        <w:t xml:space="preserve">Decreases </w:t>
      </w:r>
      <w:r w:rsidR="002046D7" w:rsidRPr="00B46019">
        <w:rPr>
          <w:i/>
          <w:iCs/>
        </w:rPr>
        <w:t xml:space="preserve">relative </w:t>
      </w:r>
      <w:r w:rsidR="005936B8" w:rsidRPr="00B46019">
        <w:rPr>
          <w:i/>
          <w:iCs/>
        </w:rPr>
        <w:t>to the 2018</w:t>
      </w:r>
      <w:r w:rsidR="00CF6850" w:rsidRPr="00B46019">
        <w:rPr>
          <w:i/>
          <w:iCs/>
        </w:rPr>
        <w:sym w:font="Symbol" w:char="F02D"/>
      </w:r>
      <w:r w:rsidR="005936B8" w:rsidRPr="00B46019">
        <w:rPr>
          <w:i/>
          <w:iCs/>
        </w:rPr>
        <w:t>2019 approved budget</w:t>
      </w:r>
    </w:p>
    <w:p w14:paraId="71545045" w14:textId="32053A07" w:rsidR="00905593" w:rsidRDefault="00905593" w:rsidP="00905593">
      <w:pPr>
        <w:pStyle w:val="Normalnumber"/>
      </w:pPr>
      <w:r>
        <w:t>The decreases are as follows:</w:t>
      </w:r>
    </w:p>
    <w:p w14:paraId="3262B2B6" w14:textId="178F4BDD" w:rsidR="005936B8" w:rsidRPr="00AC5825" w:rsidRDefault="005936B8"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AC5825">
        <w:t>Activity 1: A</w:t>
      </w:r>
      <w:r w:rsidR="00CA1222" w:rsidRPr="00AC5825">
        <w:t xml:space="preserve"> </w:t>
      </w:r>
      <w:r w:rsidR="00CF6850" w:rsidRPr="00AC5825">
        <w:t xml:space="preserve">decrease </w:t>
      </w:r>
      <w:r w:rsidR="00CA1222" w:rsidRPr="00AC5825">
        <w:t xml:space="preserve">of </w:t>
      </w:r>
      <w:r w:rsidR="00A94138" w:rsidRPr="00AC5825">
        <w:t>$</w:t>
      </w:r>
      <w:r w:rsidR="00416781" w:rsidRPr="00AC5825">
        <w:t xml:space="preserve">610,000 is estimated </w:t>
      </w:r>
      <w:r w:rsidR="00CF6850" w:rsidRPr="00AC5825">
        <w:t>in connection with</w:t>
      </w:r>
      <w:r w:rsidR="00416781" w:rsidRPr="00AC5825">
        <w:t xml:space="preserve"> the fourth meeting of the </w:t>
      </w:r>
      <w:r w:rsidR="00BB5157" w:rsidRPr="00AC5825">
        <w:t>C</w:t>
      </w:r>
      <w:r w:rsidR="00416781" w:rsidRPr="00AC5825">
        <w:t>onference of the Parties and its subsidiary bodies, mainly due to the fact that the meeting</w:t>
      </w:r>
      <w:r w:rsidR="00CF6850" w:rsidRPr="00AC5825">
        <w:t>s of the Conference of the Parties</w:t>
      </w:r>
      <w:r w:rsidR="00416781" w:rsidRPr="00AC5825">
        <w:t xml:space="preserve"> will be moving to </w:t>
      </w:r>
      <w:r w:rsidR="00CF6850" w:rsidRPr="00AC5825">
        <w:t xml:space="preserve">a </w:t>
      </w:r>
      <w:r w:rsidR="00416781" w:rsidRPr="00AC5825">
        <w:t>two-year cy</w:t>
      </w:r>
      <w:r w:rsidR="00B2620F" w:rsidRPr="00AC5825">
        <w:t>c</w:t>
      </w:r>
      <w:r w:rsidR="00416781" w:rsidRPr="00AC5825">
        <w:t>l</w:t>
      </w:r>
      <w:r w:rsidR="00B2620F" w:rsidRPr="00AC5825">
        <w:t>e rather than</w:t>
      </w:r>
      <w:r w:rsidR="00C55305" w:rsidRPr="00AC5825">
        <w:t xml:space="preserve"> an annual cycle. As the Minamata</w:t>
      </w:r>
      <w:r w:rsidR="00A94138" w:rsidRPr="00AC5825">
        <w:t xml:space="preserve"> Convention</w:t>
      </w:r>
      <w:r w:rsidR="00C55305" w:rsidRPr="00AC5825">
        <w:t xml:space="preserve"> </w:t>
      </w:r>
      <w:r w:rsidR="00A94138" w:rsidRPr="00AC5825">
        <w:t>s</w:t>
      </w:r>
      <w:r w:rsidR="00C55305" w:rsidRPr="00AC5825">
        <w:t>ecretariat does not have the staffing level to fully service the meetings</w:t>
      </w:r>
      <w:r w:rsidR="00D4533D" w:rsidRPr="00AC5825">
        <w:t xml:space="preserve"> of the Conference of the Parties</w:t>
      </w:r>
      <w:r w:rsidR="00C55305" w:rsidRPr="00AC5825">
        <w:t xml:space="preserve">, </w:t>
      </w:r>
      <w:r w:rsidR="00BD35C9" w:rsidRPr="00AC5825">
        <w:t>however, the resulting savings</w:t>
      </w:r>
      <w:r w:rsidR="00C55305" w:rsidRPr="00AC5825">
        <w:t xml:space="preserve"> would be </w:t>
      </w:r>
      <w:r w:rsidR="00BD35C9" w:rsidRPr="00AC5825">
        <w:t>partially offset by the need</w:t>
      </w:r>
      <w:r w:rsidR="00C55305" w:rsidRPr="00AC5825">
        <w:t xml:space="preserve"> to cover surge capacity requirements for the meetings, which </w:t>
      </w:r>
      <w:r w:rsidR="00BD35C9" w:rsidRPr="00AC5825">
        <w:t>are</w:t>
      </w:r>
      <w:r w:rsidR="00C55305" w:rsidRPr="00AC5825">
        <w:t xml:space="preserve"> proposed to be shared and provided for by the </w:t>
      </w:r>
      <w:r w:rsidR="00A94138" w:rsidRPr="00AC5825">
        <w:t xml:space="preserve">secretariat of the </w:t>
      </w:r>
      <w:r w:rsidR="00C55305" w:rsidRPr="00AC5825">
        <w:t>Basel, Rotterdam and Stockholm conventions.</w:t>
      </w:r>
      <w:r w:rsidR="00351F84" w:rsidRPr="00AC5825">
        <w:t xml:space="preserve"> Furthermore, </w:t>
      </w:r>
      <w:r w:rsidR="00194297" w:rsidRPr="00AC5825">
        <w:t xml:space="preserve">the </w:t>
      </w:r>
      <w:r w:rsidR="001F32AB" w:rsidRPr="00AC5825">
        <w:t xml:space="preserve">Executive Secretary’s </w:t>
      </w:r>
      <w:r w:rsidR="00194297" w:rsidRPr="00AC5825">
        <w:t xml:space="preserve">scenario </w:t>
      </w:r>
      <w:r w:rsidR="00BD35C9" w:rsidRPr="00AC5825">
        <w:t xml:space="preserve">includes the addition of </w:t>
      </w:r>
      <w:r w:rsidR="00194297" w:rsidRPr="00AC5825">
        <w:t>a high-level segment</w:t>
      </w:r>
      <w:r w:rsidR="00BD35C9" w:rsidRPr="00AC5825">
        <w:t xml:space="preserve"> of the meeting</w:t>
      </w:r>
      <w:r w:rsidR="00194297" w:rsidRPr="00AC5825">
        <w:t xml:space="preserve">. </w:t>
      </w:r>
      <w:r w:rsidR="00B2620F" w:rsidRPr="00AC5825">
        <w:t xml:space="preserve">  </w:t>
      </w:r>
    </w:p>
    <w:p w14:paraId="0BBD006D" w14:textId="5C1ED542" w:rsidR="00194297" w:rsidRPr="00AC5825" w:rsidRDefault="00E63D4C"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3: Compared to the previous biennium, </w:t>
      </w:r>
      <w:r w:rsidR="00A94138" w:rsidRPr="00AC5825">
        <w:t>$</w:t>
      </w:r>
      <w:r w:rsidRPr="00AC5825">
        <w:t xml:space="preserve">7,000 less is budgeted </w:t>
      </w:r>
      <w:r w:rsidR="00D00D3C" w:rsidRPr="00AC5825">
        <w:t>for</w:t>
      </w:r>
      <w:r w:rsidRPr="00AC5825">
        <w:t xml:space="preserve"> one three-day meeting </w:t>
      </w:r>
      <w:r w:rsidR="00D00D3C" w:rsidRPr="00AC5825">
        <w:t xml:space="preserve">of </w:t>
      </w:r>
      <w:r w:rsidRPr="00AC5825">
        <w:t xml:space="preserve">the </w:t>
      </w:r>
      <w:r w:rsidR="000E398D">
        <w:t>I</w:t>
      </w:r>
      <w:r w:rsidR="000E398D" w:rsidRPr="00AC5825">
        <w:t xml:space="preserve">mplementation </w:t>
      </w:r>
      <w:r w:rsidRPr="00AC5825">
        <w:t xml:space="preserve">and </w:t>
      </w:r>
      <w:r w:rsidR="000E398D">
        <w:t>C</w:t>
      </w:r>
      <w:r w:rsidRPr="00AC5825">
        <w:t xml:space="preserve">ompliance </w:t>
      </w:r>
      <w:r w:rsidR="000E398D">
        <w:t>C</w:t>
      </w:r>
      <w:r w:rsidRPr="00AC5825">
        <w:t>ommittee</w:t>
      </w:r>
      <w:r w:rsidR="00E100E6" w:rsidRPr="00AC5825">
        <w:t xml:space="preserve">, as agreed by the committee </w:t>
      </w:r>
      <w:r w:rsidR="00F23B21">
        <w:t>at</w:t>
      </w:r>
      <w:r w:rsidR="00F23B21" w:rsidRPr="00AC5825">
        <w:t xml:space="preserve"> </w:t>
      </w:r>
      <w:r w:rsidR="00E100E6" w:rsidRPr="00AC5825">
        <w:t>its meeting of June 2019, instead of two two-day meetings as per the 2018</w:t>
      </w:r>
      <w:r w:rsidR="00A94138" w:rsidRPr="00AC5825">
        <w:sym w:font="Symbol" w:char="F02D"/>
      </w:r>
      <w:r w:rsidR="00E100E6" w:rsidRPr="00AC5825">
        <w:t>2019 approved budget</w:t>
      </w:r>
      <w:r w:rsidR="00186B1D">
        <w:t>,</w:t>
      </w:r>
      <w:r w:rsidR="00E100E6" w:rsidRPr="00AC5825">
        <w:t xml:space="preserve"> </w:t>
      </w:r>
      <w:r w:rsidR="00E100E6" w:rsidRPr="00186B1D">
        <w:t xml:space="preserve">and to reflect the </w:t>
      </w:r>
      <w:r w:rsidR="00186B1D">
        <w:t>actual</w:t>
      </w:r>
      <w:r w:rsidR="00186B1D" w:rsidRPr="00186B1D">
        <w:t xml:space="preserve"> </w:t>
      </w:r>
      <w:r w:rsidR="00636153" w:rsidRPr="00186B1D">
        <w:t xml:space="preserve">costs of such </w:t>
      </w:r>
      <w:r w:rsidR="00186B1D">
        <w:t xml:space="preserve">a </w:t>
      </w:r>
      <w:r w:rsidR="00636153" w:rsidRPr="00186B1D">
        <w:t>meeting.</w:t>
      </w:r>
      <w:r w:rsidR="00636153" w:rsidRPr="00AC5825">
        <w:t xml:space="preserve"> </w:t>
      </w:r>
    </w:p>
    <w:p w14:paraId="237F4C31" w14:textId="7EA2D138" w:rsidR="004B06E0" w:rsidRPr="00AC5825" w:rsidRDefault="005843CA"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14: </w:t>
      </w:r>
      <w:r w:rsidR="00E16774" w:rsidRPr="00AC5825">
        <w:t xml:space="preserve">The office maintenance budget </w:t>
      </w:r>
      <w:r w:rsidR="001F32AB" w:rsidRPr="00AC5825">
        <w:t>shows</w:t>
      </w:r>
      <w:r w:rsidR="00E16774" w:rsidRPr="00AC5825">
        <w:t xml:space="preserve"> a</w:t>
      </w:r>
      <w:r w:rsidR="005A38D0" w:rsidRPr="00AC5825">
        <w:t xml:space="preserve"> decrease of </w:t>
      </w:r>
      <w:r w:rsidR="00A94138" w:rsidRPr="00AC5825">
        <w:t>$</w:t>
      </w:r>
      <w:r w:rsidR="005A38D0" w:rsidRPr="00AC5825">
        <w:t xml:space="preserve">65,000 </w:t>
      </w:r>
      <w:r w:rsidR="004B06E0" w:rsidRPr="00AC5825">
        <w:t xml:space="preserve">compared to the previous biennium, </w:t>
      </w:r>
      <w:r w:rsidR="00E16774" w:rsidRPr="00AC5825">
        <w:t>reflecting the fact</w:t>
      </w:r>
      <w:r w:rsidR="004B06E0" w:rsidRPr="00AC5825">
        <w:t xml:space="preserve"> that certain services</w:t>
      </w:r>
      <w:r w:rsidR="00E16774" w:rsidRPr="00AC5825">
        <w:t>,</w:t>
      </w:r>
      <w:r w:rsidR="004B06E0" w:rsidRPr="00AC5825">
        <w:t xml:space="preserve"> such as procurement</w:t>
      </w:r>
      <w:r w:rsidR="00E16774" w:rsidRPr="00AC5825">
        <w:t>,</w:t>
      </w:r>
      <w:r w:rsidR="004B06E0" w:rsidRPr="00AC5825">
        <w:t xml:space="preserve"> would be </w:t>
      </w:r>
      <w:r w:rsidR="00E16774" w:rsidRPr="00AC5825">
        <w:t xml:space="preserve">provided </w:t>
      </w:r>
      <w:r w:rsidR="00746C1A">
        <w:br/>
      </w:r>
      <w:r w:rsidR="004B06E0" w:rsidRPr="00AC5825">
        <w:t>in-house</w:t>
      </w:r>
      <w:r w:rsidR="00E16774" w:rsidRPr="00AC5825">
        <w:t>,</w:t>
      </w:r>
      <w:r w:rsidR="004B06E0" w:rsidRPr="00AC5825">
        <w:t xml:space="preserve"> as well as </w:t>
      </w:r>
      <w:r w:rsidR="00E16774" w:rsidRPr="00AC5825">
        <w:t>the lower cost of</w:t>
      </w:r>
      <w:r w:rsidR="004B06E0" w:rsidRPr="00AC5825">
        <w:t xml:space="preserve"> items such as </w:t>
      </w:r>
      <w:r w:rsidR="00E16774" w:rsidRPr="00AC5825">
        <w:t xml:space="preserve">the </w:t>
      </w:r>
      <w:r w:rsidR="004B06E0" w:rsidRPr="00AC5825">
        <w:t>purchase of office equipment</w:t>
      </w:r>
      <w:r w:rsidR="00E16774" w:rsidRPr="00AC5825">
        <w:t>,</w:t>
      </w:r>
      <w:r w:rsidR="004B06E0" w:rsidRPr="00AC5825">
        <w:t xml:space="preserve"> as all staff </w:t>
      </w:r>
      <w:r w:rsidR="00E16774" w:rsidRPr="00AC5825">
        <w:t xml:space="preserve">in the </w:t>
      </w:r>
      <w:r w:rsidR="004B06E0" w:rsidRPr="00AC5825">
        <w:t xml:space="preserve">positions approved by </w:t>
      </w:r>
      <w:r w:rsidR="00A94138" w:rsidRPr="00AC5825">
        <w:t>the Conference of the Parties at its first meeting</w:t>
      </w:r>
      <w:r w:rsidR="004B06E0" w:rsidRPr="00AC5825">
        <w:t xml:space="preserve"> have been equipped with furniture. The reduced costs are partly offset by </w:t>
      </w:r>
      <w:r w:rsidR="00E16774" w:rsidRPr="00AC5825">
        <w:t xml:space="preserve">the </w:t>
      </w:r>
      <w:proofErr w:type="spellStart"/>
      <w:r w:rsidR="004B06E0" w:rsidRPr="00AC5825">
        <w:t>U</w:t>
      </w:r>
      <w:r w:rsidR="00A94138" w:rsidRPr="00AC5825">
        <w:t>moja</w:t>
      </w:r>
      <w:proofErr w:type="spellEnd"/>
      <w:r w:rsidR="004B06E0" w:rsidRPr="00AC5825">
        <w:rPr>
          <w:rStyle w:val="FootnoteReference"/>
        </w:rPr>
        <w:footnoteReference w:id="2"/>
      </w:r>
      <w:r w:rsidR="004B06E0" w:rsidRPr="00AC5825">
        <w:t xml:space="preserve"> </w:t>
      </w:r>
      <w:r w:rsidR="000E398D" w:rsidRPr="00AC5825">
        <w:t>licen</w:t>
      </w:r>
      <w:r w:rsidR="000E398D">
        <w:t>c</w:t>
      </w:r>
      <w:r w:rsidR="000E398D" w:rsidRPr="00AC5825">
        <w:t xml:space="preserve">e </w:t>
      </w:r>
      <w:r w:rsidR="004B06E0" w:rsidRPr="00AC5825">
        <w:t xml:space="preserve">costs </w:t>
      </w:r>
      <w:r w:rsidR="00E16774" w:rsidRPr="00AC5825">
        <w:t xml:space="preserve">that </w:t>
      </w:r>
      <w:r w:rsidR="004B06E0" w:rsidRPr="00AC5825">
        <w:t>the U</w:t>
      </w:r>
      <w:r w:rsidR="00A94138" w:rsidRPr="00AC5825">
        <w:t xml:space="preserve">nited </w:t>
      </w:r>
      <w:r w:rsidR="004B06E0" w:rsidRPr="00AC5825">
        <w:t>N</w:t>
      </w:r>
      <w:r w:rsidR="00A94138" w:rsidRPr="00AC5825">
        <w:t>ations</w:t>
      </w:r>
      <w:r w:rsidR="004B06E0" w:rsidRPr="00AC5825">
        <w:t xml:space="preserve"> started charging all entities in 2019.</w:t>
      </w:r>
    </w:p>
    <w:p w14:paraId="5AB04212" w14:textId="47414555" w:rsidR="005843CA" w:rsidRPr="00AC5825" w:rsidRDefault="004B06E0"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15: </w:t>
      </w:r>
      <w:r w:rsidR="0069323F" w:rsidRPr="00AC5825">
        <w:t>There is a</w:t>
      </w:r>
      <w:r w:rsidR="00FF1F95" w:rsidRPr="00AC5825">
        <w:t xml:space="preserve"> decrease of </w:t>
      </w:r>
      <w:r w:rsidR="00A94138" w:rsidRPr="00AC5825">
        <w:t>$</w:t>
      </w:r>
      <w:r w:rsidR="00FF1F95" w:rsidRPr="00AC5825">
        <w:t>7,000</w:t>
      </w:r>
      <w:r w:rsidR="00B37A64" w:rsidRPr="00AC5825">
        <w:t xml:space="preserve"> in information technology services compared to the previous biennium</w:t>
      </w:r>
      <w:r w:rsidR="0069323F" w:rsidRPr="00AC5825">
        <w:t>,</w:t>
      </w:r>
      <w:r w:rsidR="00B37A64" w:rsidRPr="00AC5825">
        <w:t xml:space="preserve"> mainly due to a decrease in the purchase of new equipment</w:t>
      </w:r>
      <w:r w:rsidR="004E34BB" w:rsidRPr="00AC5825">
        <w:t>,</w:t>
      </w:r>
      <w:r w:rsidR="00B37A64" w:rsidRPr="00AC5825">
        <w:t xml:space="preserve"> partly offset by the increase in costs for software </w:t>
      </w:r>
      <w:r w:rsidR="000E398D" w:rsidRPr="00AC5825">
        <w:t>licen</w:t>
      </w:r>
      <w:r w:rsidR="000E398D">
        <w:t>c</w:t>
      </w:r>
      <w:r w:rsidR="000E398D" w:rsidRPr="00AC5825">
        <w:t>es</w:t>
      </w:r>
      <w:r w:rsidR="00B37A64" w:rsidRPr="00AC5825">
        <w:t xml:space="preserve">. </w:t>
      </w:r>
    </w:p>
    <w:p w14:paraId="5160D4BA" w14:textId="4F26E2B8" w:rsidR="00C227DE" w:rsidRDefault="00B63658" w:rsidP="00866240">
      <w:pPr>
        <w:pStyle w:val="CH4"/>
        <w:spacing w:before="240"/>
        <w:rPr>
          <w:i/>
          <w:iCs/>
        </w:rPr>
      </w:pPr>
      <w:r w:rsidRPr="00B46019">
        <w:rPr>
          <w:i/>
          <w:iCs/>
        </w:rPr>
        <w:tab/>
      </w:r>
      <w:r w:rsidRPr="00B46019">
        <w:rPr>
          <w:i/>
          <w:iCs/>
        </w:rPr>
        <w:tab/>
      </w:r>
      <w:r w:rsidR="00C227DE" w:rsidRPr="00B46019">
        <w:rPr>
          <w:i/>
          <w:iCs/>
        </w:rPr>
        <w:t xml:space="preserve">Increases </w:t>
      </w:r>
      <w:r w:rsidR="002046D7" w:rsidRPr="00B46019">
        <w:rPr>
          <w:i/>
          <w:iCs/>
        </w:rPr>
        <w:t xml:space="preserve">relative </w:t>
      </w:r>
      <w:r w:rsidR="00C227DE" w:rsidRPr="00B46019">
        <w:rPr>
          <w:i/>
          <w:iCs/>
        </w:rPr>
        <w:t xml:space="preserve">to </w:t>
      </w:r>
      <w:r w:rsidR="005936B8" w:rsidRPr="00B46019">
        <w:rPr>
          <w:i/>
          <w:iCs/>
        </w:rPr>
        <w:t>the 2018</w:t>
      </w:r>
      <w:r w:rsidR="00B246AC" w:rsidRPr="00B46019">
        <w:rPr>
          <w:i/>
          <w:iCs/>
        </w:rPr>
        <w:sym w:font="Symbol" w:char="F02D"/>
      </w:r>
      <w:r w:rsidR="005936B8" w:rsidRPr="00B46019">
        <w:rPr>
          <w:i/>
          <w:iCs/>
        </w:rPr>
        <w:t>2019 approved budget</w:t>
      </w:r>
    </w:p>
    <w:p w14:paraId="5ECEA57C" w14:textId="3455B186" w:rsidR="00905593" w:rsidRPr="00905593" w:rsidRDefault="00905593" w:rsidP="00905593">
      <w:pPr>
        <w:pStyle w:val="Normalnumber"/>
      </w:pPr>
      <w:r>
        <w:t xml:space="preserve">The </w:t>
      </w:r>
      <w:r w:rsidRPr="00905593">
        <w:t>increases are as follows:</w:t>
      </w:r>
    </w:p>
    <w:p w14:paraId="0F6EB9B3" w14:textId="21D4870F" w:rsidR="005936B8" w:rsidRPr="00D36664" w:rsidRDefault="005936B8" w:rsidP="00B63658">
      <w:pPr>
        <w:pStyle w:val="Normalnumber"/>
        <w:numPr>
          <w:ilvl w:val="1"/>
          <w:numId w:val="1"/>
        </w:numPr>
        <w:tabs>
          <w:tab w:val="clear" w:pos="1247"/>
          <w:tab w:val="clear" w:pos="1814"/>
          <w:tab w:val="clear" w:pos="2381"/>
          <w:tab w:val="clear" w:pos="2948"/>
          <w:tab w:val="clear" w:pos="3515"/>
          <w:tab w:val="clear" w:pos="4082"/>
        </w:tabs>
        <w:ind w:firstLine="624"/>
      </w:pPr>
      <w:r w:rsidRPr="00905593">
        <w:t xml:space="preserve">Activity </w:t>
      </w:r>
      <w:r w:rsidR="00C82332" w:rsidRPr="00905593">
        <w:t>2: An additional</w:t>
      </w:r>
      <w:r w:rsidR="00C82332" w:rsidRPr="00D36664">
        <w:t xml:space="preserve"> </w:t>
      </w:r>
      <w:r w:rsidR="00A94138" w:rsidRPr="00D36664">
        <w:t>$</w:t>
      </w:r>
      <w:r w:rsidR="00C82332" w:rsidRPr="00D36664">
        <w:t xml:space="preserve">2,000 is budgeted for two meetings of the Bureau of the Conference of the Parties to align the budget with the actual costs of the meetings. </w:t>
      </w:r>
    </w:p>
    <w:p w14:paraId="40E30437" w14:textId="275A56BB" w:rsidR="00330093" w:rsidRPr="00AC5825" w:rsidRDefault="007615EF" w:rsidP="00837F5F">
      <w:pPr>
        <w:pStyle w:val="Normalnumber"/>
        <w:numPr>
          <w:ilvl w:val="1"/>
          <w:numId w:val="8"/>
        </w:numPr>
        <w:tabs>
          <w:tab w:val="clear" w:pos="1134"/>
          <w:tab w:val="clear" w:pos="1247"/>
          <w:tab w:val="clear" w:pos="1814"/>
          <w:tab w:val="clear" w:pos="2381"/>
          <w:tab w:val="clear" w:pos="2948"/>
          <w:tab w:val="clear" w:pos="3515"/>
          <w:tab w:val="clear" w:pos="4082"/>
          <w:tab w:val="num" w:pos="624"/>
        </w:tabs>
        <w:ind w:firstLine="624"/>
      </w:pPr>
      <w:r w:rsidRPr="00D36664">
        <w:t xml:space="preserve">Activity 6: </w:t>
      </w:r>
      <w:r w:rsidR="009F7A7C" w:rsidRPr="00D36664">
        <w:t xml:space="preserve">For effectiveness evaluation, which was not </w:t>
      </w:r>
      <w:r w:rsidR="00E13FFD" w:rsidRPr="00D36664">
        <w:t xml:space="preserve">provided for in the </w:t>
      </w:r>
      <w:r w:rsidR="004E34BB" w:rsidRPr="00D36664">
        <w:t xml:space="preserve">budget for the </w:t>
      </w:r>
      <w:r w:rsidR="00E13FFD" w:rsidRPr="00D36664">
        <w:t xml:space="preserve">previous biennium, </w:t>
      </w:r>
      <w:r w:rsidR="00B246AC" w:rsidRPr="00D36664">
        <w:t>$</w:t>
      </w:r>
      <w:r w:rsidR="00E13FFD" w:rsidRPr="00D36664">
        <w:t xml:space="preserve">810,000 </w:t>
      </w:r>
      <w:r w:rsidR="00B24493" w:rsidRPr="00D36664">
        <w:t xml:space="preserve">is </w:t>
      </w:r>
      <w:r w:rsidR="00E13FFD" w:rsidRPr="00D36664">
        <w:t>budgeted to develop a monitoring and modelling report</w:t>
      </w:r>
      <w:r w:rsidR="00A15DCF" w:rsidRPr="00D36664">
        <w:t xml:space="preserve"> as proposed by the ad-hoc te</w:t>
      </w:r>
      <w:r w:rsidR="00B34580" w:rsidRPr="00D36664">
        <w:t>chnical expert group</w:t>
      </w:r>
      <w:r w:rsidR="009B28BE" w:rsidRPr="00D36664">
        <w:t xml:space="preserve"> </w:t>
      </w:r>
      <w:r w:rsidR="009A098B" w:rsidRPr="00D36664">
        <w:t>(</w:t>
      </w:r>
      <w:r w:rsidR="00550D1F" w:rsidRPr="00D36664">
        <w:t>subject to the decision of the Conference of the Parties on this matter</w:t>
      </w:r>
      <w:r w:rsidR="009A098B" w:rsidRPr="00D36664">
        <w:t>)</w:t>
      </w:r>
      <w:r w:rsidR="00550D1F" w:rsidRPr="00D36664">
        <w:t>, involving face-to-face meetings of experts,</w:t>
      </w:r>
      <w:r w:rsidR="00B34580" w:rsidRPr="00D36664">
        <w:t xml:space="preserve"> compil</w:t>
      </w:r>
      <w:r w:rsidR="00550D1F" w:rsidRPr="00D36664">
        <w:t>ation</w:t>
      </w:r>
      <w:r w:rsidR="00B34580" w:rsidRPr="00D36664">
        <w:t xml:space="preserve"> and assess</w:t>
      </w:r>
      <w:r w:rsidR="00550D1F" w:rsidRPr="00D36664">
        <w:t>ment of</w:t>
      </w:r>
      <w:r w:rsidR="00B34580" w:rsidRPr="00D36664">
        <w:t xml:space="preserve"> party submissions and conven</w:t>
      </w:r>
      <w:r w:rsidR="00550D1F" w:rsidRPr="00D36664">
        <w:t>ing of</w:t>
      </w:r>
      <w:r w:rsidR="00B34580" w:rsidRPr="00D36664">
        <w:t xml:space="preserve"> electronic discussion</w:t>
      </w:r>
      <w:r w:rsidR="00550D1F" w:rsidRPr="00D36664">
        <w:t>s</w:t>
      </w:r>
      <w:r w:rsidR="00B34580" w:rsidRPr="00D36664">
        <w:t xml:space="preserve"> by the </w:t>
      </w:r>
      <w:r w:rsidR="00550D1F" w:rsidRPr="00D36664">
        <w:t>e</w:t>
      </w:r>
      <w:r w:rsidR="00B34580" w:rsidRPr="00D36664">
        <w:t xml:space="preserve">ffectiveness </w:t>
      </w:r>
      <w:r w:rsidR="00550D1F" w:rsidRPr="00D36664">
        <w:t>e</w:t>
      </w:r>
      <w:r w:rsidR="00B34580" w:rsidRPr="00D36664">
        <w:t xml:space="preserve">valuation </w:t>
      </w:r>
      <w:r w:rsidR="00550D1F" w:rsidRPr="00D36664">
        <w:t>c</w:t>
      </w:r>
      <w:r w:rsidR="00B34580" w:rsidRPr="00D36664">
        <w:t xml:space="preserve">ommittee to </w:t>
      </w:r>
      <w:r w:rsidR="00550D1F" w:rsidRPr="00D36664">
        <w:t>ensure a</w:t>
      </w:r>
      <w:r w:rsidR="000D501B" w:rsidRPr="00D36664">
        <w:t>n integrated</w:t>
      </w:r>
      <w:r w:rsidR="00550D1F" w:rsidRPr="00D36664">
        <w:t xml:space="preserve"> report</w:t>
      </w:r>
      <w:r w:rsidR="00B34580" w:rsidRPr="00D36664">
        <w:t xml:space="preserve">. </w:t>
      </w:r>
      <w:r w:rsidR="00550D1F" w:rsidRPr="00D36664">
        <w:t>T</w:t>
      </w:r>
      <w:r w:rsidR="0022753E" w:rsidRPr="00D36664">
        <w:t xml:space="preserve">he proposed budget </w:t>
      </w:r>
      <w:r w:rsidR="00550D1F" w:rsidRPr="00D36664">
        <w:t xml:space="preserve">also covers </w:t>
      </w:r>
      <w:r w:rsidR="0022753E" w:rsidRPr="00D36664">
        <w:t xml:space="preserve">the </w:t>
      </w:r>
      <w:r w:rsidR="006A5ABE" w:rsidRPr="00D36664">
        <w:t xml:space="preserve">development of an emissions and releases report, </w:t>
      </w:r>
      <w:r w:rsidR="006A5ABE" w:rsidRPr="00AC5825">
        <w:t xml:space="preserve">a supply, demand and trade report </w:t>
      </w:r>
      <w:r w:rsidR="00B24493" w:rsidRPr="00AC5825">
        <w:t>and</w:t>
      </w:r>
      <w:r w:rsidR="006A5ABE" w:rsidRPr="00AC5825">
        <w:t xml:space="preserve"> a waste report. </w:t>
      </w:r>
    </w:p>
    <w:p w14:paraId="18B77F0C" w14:textId="4BF40000" w:rsidR="000D378B" w:rsidRPr="00AC5825" w:rsidRDefault="000D378B" w:rsidP="00837F5F">
      <w:pPr>
        <w:pStyle w:val="Normalnumber"/>
        <w:numPr>
          <w:ilvl w:val="1"/>
          <w:numId w:val="8"/>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7: </w:t>
      </w:r>
      <w:r w:rsidR="00550D1F" w:rsidRPr="00AC5825">
        <w:t>The secretariat estimates that $95,000 is needed during the biennium t</w:t>
      </w:r>
      <w:r w:rsidR="00C831F1" w:rsidRPr="00AC5825">
        <w:t xml:space="preserve">o </w:t>
      </w:r>
      <w:r w:rsidR="00DC574A" w:rsidRPr="00AC5825">
        <w:t>develop an online electronic national reporting system for the first full reporting to be submitted by 31 December 2021</w:t>
      </w:r>
      <w:r w:rsidR="00550D1F" w:rsidRPr="00AC5825">
        <w:t>,</w:t>
      </w:r>
      <w:r w:rsidR="00DC574A" w:rsidRPr="00AC5825">
        <w:t xml:space="preserve"> including </w:t>
      </w:r>
      <w:r w:rsidR="00550D1F" w:rsidRPr="00AC5825">
        <w:t xml:space="preserve">the </w:t>
      </w:r>
      <w:r w:rsidR="00DC574A" w:rsidRPr="00AC5825">
        <w:t>necessary training tools</w:t>
      </w:r>
      <w:r w:rsidR="009A098B" w:rsidRPr="00AC5825">
        <w:t>, and to undertake</w:t>
      </w:r>
      <w:r w:rsidR="00DC574A" w:rsidRPr="00AC5825">
        <w:t xml:space="preserve"> an assessment of the </w:t>
      </w:r>
      <w:r w:rsidR="00550D1F" w:rsidRPr="00AC5825">
        <w:t>p</w:t>
      </w:r>
      <w:r w:rsidR="00DC574A" w:rsidRPr="00AC5825">
        <w:t>arties’ submissions under article 21</w:t>
      </w:r>
      <w:r w:rsidR="00550D1F" w:rsidRPr="00AC5825">
        <w:t>. This estimate</w:t>
      </w:r>
      <w:r w:rsidR="006F229A" w:rsidRPr="00AC5825">
        <w:t xml:space="preserve"> corresponds to an increase of </w:t>
      </w:r>
      <w:r w:rsidR="00A94138" w:rsidRPr="00AC5825">
        <w:t>$</w:t>
      </w:r>
      <w:r w:rsidR="006F229A" w:rsidRPr="00AC5825">
        <w:t xml:space="preserve">35,000 compared to the previous biennium. </w:t>
      </w:r>
    </w:p>
    <w:p w14:paraId="37A6A06C" w14:textId="6AB0E59A" w:rsidR="00B47088" w:rsidRPr="00AC5825" w:rsidRDefault="00B47088" w:rsidP="00837F5F">
      <w:pPr>
        <w:pStyle w:val="Normalnumber"/>
        <w:numPr>
          <w:ilvl w:val="1"/>
          <w:numId w:val="8"/>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8: </w:t>
      </w:r>
      <w:r w:rsidR="00E47715" w:rsidRPr="00AC5825">
        <w:t xml:space="preserve">In the area of publications, an additional </w:t>
      </w:r>
      <w:r w:rsidR="00A94138" w:rsidRPr="00AC5825">
        <w:t>$</w:t>
      </w:r>
      <w:r w:rsidR="00E47715" w:rsidRPr="00AC5825">
        <w:t xml:space="preserve">50,000 is needed </w:t>
      </w:r>
      <w:r w:rsidR="008B6B8C" w:rsidRPr="00AC5825">
        <w:t>for the design</w:t>
      </w:r>
      <w:r w:rsidR="007502B7" w:rsidRPr="00AC5825">
        <w:t xml:space="preserve">, translation and printing </w:t>
      </w:r>
      <w:r w:rsidR="0050319A" w:rsidRPr="00AC5825">
        <w:t xml:space="preserve">in languages </w:t>
      </w:r>
      <w:r w:rsidR="007502B7" w:rsidRPr="00AC5825">
        <w:t>of the most important guidance documents adopted by the Conference of the Parties</w:t>
      </w:r>
      <w:r w:rsidR="00B538B0" w:rsidRPr="00AC5825">
        <w:t>.</w:t>
      </w:r>
    </w:p>
    <w:p w14:paraId="58D7F512" w14:textId="3BD3A4A2" w:rsidR="00B538B0" w:rsidRPr="00AC5825" w:rsidRDefault="00B538B0" w:rsidP="00837F5F">
      <w:pPr>
        <w:pStyle w:val="Normalnumber"/>
        <w:numPr>
          <w:ilvl w:val="1"/>
          <w:numId w:val="8"/>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9: </w:t>
      </w:r>
      <w:r w:rsidR="0031393D" w:rsidRPr="00AC5825">
        <w:t xml:space="preserve">An increase of </w:t>
      </w:r>
      <w:r w:rsidR="00A94138" w:rsidRPr="00AC5825">
        <w:t>$</w:t>
      </w:r>
      <w:r w:rsidR="0031393D" w:rsidRPr="00AC5825">
        <w:t xml:space="preserve">5,000 </w:t>
      </w:r>
      <w:r w:rsidR="0031393D" w:rsidRPr="00B955A9">
        <w:t>compared to the previous bienni</w:t>
      </w:r>
      <w:r w:rsidR="0031393D" w:rsidRPr="00AC5825">
        <w:t xml:space="preserve">um </w:t>
      </w:r>
      <w:r w:rsidR="00A63B2A" w:rsidRPr="00AC5825">
        <w:t xml:space="preserve">is proposed </w:t>
      </w:r>
      <w:r w:rsidR="0031393D" w:rsidRPr="00AC5825">
        <w:t xml:space="preserve">for communication, outreach and public awareness, </w:t>
      </w:r>
      <w:r w:rsidR="00A63B2A" w:rsidRPr="00AC5825">
        <w:t>which</w:t>
      </w:r>
      <w:r w:rsidR="0031393D" w:rsidRPr="00AC5825">
        <w:t xml:space="preserve"> include</w:t>
      </w:r>
      <w:r w:rsidR="00A63B2A" w:rsidRPr="00AC5825">
        <w:t>s</w:t>
      </w:r>
      <w:r w:rsidR="0031393D" w:rsidRPr="00AC5825">
        <w:t xml:space="preserve"> licences for </w:t>
      </w:r>
      <w:r w:rsidR="003A083C" w:rsidRPr="00AC5825">
        <w:t>specific tools necessary for strategic communication.</w:t>
      </w:r>
    </w:p>
    <w:p w14:paraId="71E8D6D5" w14:textId="5DF0839E" w:rsidR="00455366" w:rsidRPr="00AC5825" w:rsidRDefault="00935F16" w:rsidP="00837F5F">
      <w:pPr>
        <w:pStyle w:val="Normalnumber"/>
        <w:numPr>
          <w:ilvl w:val="1"/>
          <w:numId w:val="8"/>
        </w:numPr>
        <w:tabs>
          <w:tab w:val="clear" w:pos="1134"/>
          <w:tab w:val="clear" w:pos="1247"/>
          <w:tab w:val="clear" w:pos="1814"/>
          <w:tab w:val="clear" w:pos="2381"/>
          <w:tab w:val="clear" w:pos="2948"/>
          <w:tab w:val="clear" w:pos="3515"/>
          <w:tab w:val="clear" w:pos="4082"/>
          <w:tab w:val="num" w:pos="624"/>
        </w:tabs>
        <w:ind w:firstLine="624"/>
      </w:pPr>
      <w:r w:rsidRPr="00AC5825">
        <w:t>Activity 10: Under executive direction and management, ther</w:t>
      </w:r>
      <w:r w:rsidR="00851981" w:rsidRPr="00AC5825">
        <w:t>e</w:t>
      </w:r>
      <w:r w:rsidRPr="00AC5825">
        <w:t xml:space="preserve"> is an estimated need </w:t>
      </w:r>
      <w:r w:rsidR="00A63B2A" w:rsidRPr="00AC5825">
        <w:t xml:space="preserve">for </w:t>
      </w:r>
      <w:r w:rsidRPr="00AC5825">
        <w:t xml:space="preserve">an additional </w:t>
      </w:r>
      <w:r w:rsidR="00A94138" w:rsidRPr="00AC5825">
        <w:t>$</w:t>
      </w:r>
      <w:r w:rsidRPr="00AC5825">
        <w:t>1,351</w:t>
      </w:r>
      <w:r w:rsidR="007B0BF1" w:rsidRPr="00AC5825">
        <w:t>,806 compared to the 2018</w:t>
      </w:r>
      <w:r w:rsidR="00A94138" w:rsidRPr="00AC5825">
        <w:sym w:font="Symbol" w:char="F02D"/>
      </w:r>
      <w:r w:rsidR="007B0BF1" w:rsidRPr="00AC5825">
        <w:t xml:space="preserve">2019 biennium to be able to deliver the work programme of the </w:t>
      </w:r>
      <w:r w:rsidR="00A94138" w:rsidRPr="00AC5825">
        <w:t>s</w:t>
      </w:r>
      <w:r w:rsidR="007B0BF1" w:rsidRPr="00AC5825">
        <w:t>ecretariat for the 2020</w:t>
      </w:r>
      <w:r w:rsidR="00A94138" w:rsidRPr="00AC5825">
        <w:sym w:font="Symbol" w:char="F02D"/>
      </w:r>
      <w:r w:rsidR="007B0BF1" w:rsidRPr="00AC5825">
        <w:t>2021 biennium</w:t>
      </w:r>
      <w:r w:rsidR="00903417" w:rsidRPr="00AC5825">
        <w:t>. F</w:t>
      </w:r>
      <w:r w:rsidR="00E829B2" w:rsidRPr="00AC5825">
        <w:t>our additional positions</w:t>
      </w:r>
      <w:r w:rsidR="00903417" w:rsidRPr="00AC5825">
        <w:t xml:space="preserve"> are proposed</w:t>
      </w:r>
      <w:r w:rsidR="00A63B2A" w:rsidRPr="00AC5825">
        <w:t>.</w:t>
      </w:r>
      <w:r w:rsidR="00E829B2" w:rsidRPr="00AC5825">
        <w:t xml:space="preserve"> </w:t>
      </w:r>
      <w:r w:rsidR="000671D0" w:rsidRPr="00AC5825">
        <w:t>A P</w:t>
      </w:r>
      <w:r w:rsidR="00442E2C" w:rsidRPr="00AC5825">
        <w:t>-</w:t>
      </w:r>
      <w:r w:rsidR="000671D0" w:rsidRPr="00AC5825">
        <w:t xml:space="preserve">3 Programme Officer </w:t>
      </w:r>
      <w:r w:rsidR="00A63B2A" w:rsidRPr="00AC5825">
        <w:t xml:space="preserve">is needed </w:t>
      </w:r>
      <w:r w:rsidR="000671D0" w:rsidRPr="00AC5825">
        <w:t>to deal with reporting, effectiveness evaluation and capacity-building</w:t>
      </w:r>
      <w:r w:rsidR="00442E2C" w:rsidRPr="00AC5825">
        <w:t xml:space="preserve">, </w:t>
      </w:r>
      <w:r w:rsidR="00A63B2A" w:rsidRPr="00AC5825">
        <w:t xml:space="preserve">along with </w:t>
      </w:r>
      <w:r w:rsidR="00174D0C" w:rsidRPr="00AC5825">
        <w:t xml:space="preserve">a </w:t>
      </w:r>
      <w:r w:rsidR="00DB5C84">
        <w:br/>
      </w:r>
      <w:r w:rsidR="00442E2C" w:rsidRPr="00AC5825">
        <w:t>G-6</w:t>
      </w:r>
      <w:r w:rsidR="00E829B2" w:rsidRPr="00AC5825">
        <w:t xml:space="preserve"> </w:t>
      </w:r>
      <w:r w:rsidR="00174D0C" w:rsidRPr="00AC5825">
        <w:t>Administrative Assistant to take over important functions in procurement</w:t>
      </w:r>
      <w:r w:rsidR="00A63B2A" w:rsidRPr="00AC5825">
        <w:t>,</w:t>
      </w:r>
      <w:r w:rsidR="00174D0C" w:rsidRPr="00AC5825">
        <w:t xml:space="preserve"> human resources </w:t>
      </w:r>
      <w:r w:rsidR="00A63B2A" w:rsidRPr="00AC5825">
        <w:t>and</w:t>
      </w:r>
      <w:r w:rsidR="00174D0C" w:rsidRPr="00AC5825">
        <w:t xml:space="preserve"> project administration. Some of these functions are currently provided by various U</w:t>
      </w:r>
      <w:r w:rsidR="00B246AC" w:rsidRPr="00AC5825">
        <w:t xml:space="preserve">nited </w:t>
      </w:r>
      <w:r w:rsidR="00174D0C" w:rsidRPr="00AC5825">
        <w:t>N</w:t>
      </w:r>
      <w:r w:rsidR="00B246AC" w:rsidRPr="00AC5825">
        <w:t>ations</w:t>
      </w:r>
      <w:r w:rsidR="00174D0C" w:rsidRPr="00AC5825">
        <w:t xml:space="preserve"> entities, in most cases free of charge, which is neither stable nor sustainable in the long</w:t>
      </w:r>
      <w:r w:rsidR="007C6054" w:rsidRPr="00AC5825">
        <w:t xml:space="preserve"> </w:t>
      </w:r>
      <w:r w:rsidR="00174D0C" w:rsidRPr="00AC5825">
        <w:t>term. Furthermore, the introduction of U</w:t>
      </w:r>
      <w:r w:rsidR="00A94138" w:rsidRPr="00AC5825">
        <w:t>moja</w:t>
      </w:r>
      <w:r w:rsidR="00174D0C" w:rsidRPr="00AC5825">
        <w:t xml:space="preserve"> </w:t>
      </w:r>
      <w:r w:rsidR="007C6054" w:rsidRPr="00AC5825">
        <w:t>E</w:t>
      </w:r>
      <w:r w:rsidR="00174D0C" w:rsidRPr="00AC5825">
        <w:t>xtension 2 in 2019</w:t>
      </w:r>
      <w:r w:rsidR="00A63B2A" w:rsidRPr="00AC5825">
        <w:t>,</w:t>
      </w:r>
      <w:r w:rsidR="00174D0C" w:rsidRPr="00AC5825">
        <w:t xml:space="preserve"> starting with the implementing partner module, has further increased the workload of concluding agreements with implementing partners.</w:t>
      </w:r>
      <w:r w:rsidR="00DA531B" w:rsidRPr="00AC5825">
        <w:t xml:space="preserve"> </w:t>
      </w:r>
      <w:r w:rsidR="00A63B2A" w:rsidRPr="00AC5825">
        <w:t>In addition to the P-3 and G-6 positions, a</w:t>
      </w:r>
      <w:r w:rsidR="00455366" w:rsidRPr="00AC5825">
        <w:t xml:space="preserve"> P</w:t>
      </w:r>
      <w:r w:rsidR="00A94138" w:rsidRPr="00AC5825">
        <w:noBreakHyphen/>
      </w:r>
      <w:r w:rsidR="00455366" w:rsidRPr="00AC5825">
        <w:t xml:space="preserve">4 Programme Officer is </w:t>
      </w:r>
      <w:r w:rsidR="00C804F5" w:rsidRPr="00AC5825">
        <w:t>needed</w:t>
      </w:r>
      <w:r w:rsidR="00455366" w:rsidRPr="00AC5825">
        <w:t xml:space="preserve"> </w:t>
      </w:r>
      <w:r w:rsidR="00F23B21">
        <w:t>to</w:t>
      </w:r>
      <w:r w:rsidR="00455366" w:rsidRPr="00AC5825">
        <w:t xml:space="preserve"> support the Specific International Programme</w:t>
      </w:r>
      <w:r w:rsidR="00A63B2A" w:rsidRPr="00AC5825">
        <w:t>, including</w:t>
      </w:r>
      <w:r w:rsidR="00455366" w:rsidRPr="00AC5825">
        <w:t xml:space="preserve"> provid</w:t>
      </w:r>
      <w:r w:rsidR="007C6054" w:rsidRPr="00AC5825">
        <w:t>ing</w:t>
      </w:r>
      <w:r w:rsidR="00455366" w:rsidRPr="00AC5825">
        <w:t xml:space="preserve"> secretariat services to the Governing Board, manag</w:t>
      </w:r>
      <w:r w:rsidR="007C6054" w:rsidRPr="00AC5825">
        <w:t>ing</w:t>
      </w:r>
      <w:r w:rsidR="00455366" w:rsidRPr="00AC5825">
        <w:t xml:space="preserve"> the application and appraisal process, manag</w:t>
      </w:r>
      <w:r w:rsidR="007C6054" w:rsidRPr="00AC5825">
        <w:t>ing</w:t>
      </w:r>
      <w:r w:rsidR="00455366" w:rsidRPr="00AC5825">
        <w:t xml:space="preserve"> the administrative and substantive implementation of approved projects, provid</w:t>
      </w:r>
      <w:r w:rsidR="007C6054" w:rsidRPr="00AC5825">
        <w:t>ing</w:t>
      </w:r>
      <w:r w:rsidR="00455366" w:rsidRPr="00AC5825">
        <w:t xml:space="preserve"> the substantive p</w:t>
      </w:r>
      <w:r w:rsidR="007C6054" w:rsidRPr="00AC5825">
        <w:t>ortion</w:t>
      </w:r>
      <w:r w:rsidR="00455366" w:rsidRPr="00AC5825">
        <w:t xml:space="preserve"> of donor reports and oversee</w:t>
      </w:r>
      <w:r w:rsidR="007C6054" w:rsidRPr="00AC5825">
        <w:t>ing</w:t>
      </w:r>
      <w:r w:rsidR="00455366" w:rsidRPr="00AC5825">
        <w:t xml:space="preserve"> evaluation, monitoring and auditing requirements for the </w:t>
      </w:r>
      <w:r w:rsidR="007C6054" w:rsidRPr="00AC5825">
        <w:t>p</w:t>
      </w:r>
      <w:r w:rsidR="00455366" w:rsidRPr="00AC5825">
        <w:t xml:space="preserve">rogramme. </w:t>
      </w:r>
      <w:r w:rsidR="007C6054" w:rsidRPr="00AC5825">
        <w:t>Finally</w:t>
      </w:r>
      <w:r w:rsidR="00455366" w:rsidRPr="00AC5825">
        <w:t xml:space="preserve">, it is proposed that the current P-3 Communications/Knowledge Management Officer post </w:t>
      </w:r>
      <w:r w:rsidR="007E384A" w:rsidRPr="00AC5825">
        <w:t xml:space="preserve">be </w:t>
      </w:r>
      <w:r w:rsidR="00455366" w:rsidRPr="00AC5825">
        <w:t>split into two distinct functional areas of expertise, that is</w:t>
      </w:r>
      <w:r w:rsidR="007E384A" w:rsidRPr="00AC5825">
        <w:t>,</w:t>
      </w:r>
      <w:r w:rsidR="00455366" w:rsidRPr="00AC5825">
        <w:t xml:space="preserve"> a P-3 Communications Officer and a P-3 Knowledge Management Officer. </w:t>
      </w:r>
      <w:r w:rsidR="007E384A" w:rsidRPr="00AC5825">
        <w:t xml:space="preserve">This split in functions is deemed necessary based on the experience gained over the past 18 months of the need for specific expertise </w:t>
      </w:r>
      <w:r w:rsidR="007E384A" w:rsidRPr="00EE6AE8">
        <w:t xml:space="preserve">in </w:t>
      </w:r>
      <w:r w:rsidR="00585364">
        <w:t>each</w:t>
      </w:r>
      <w:r w:rsidR="00585364" w:rsidRPr="00EE6AE8">
        <w:t xml:space="preserve"> </w:t>
      </w:r>
      <w:r w:rsidR="007E384A" w:rsidRPr="00EE6AE8">
        <w:t>area</w:t>
      </w:r>
      <w:r w:rsidR="007E384A" w:rsidRPr="00AC5825">
        <w:t xml:space="preserve"> of work and greater capacity to manage the communications and knowledge management tasks to be performed. </w:t>
      </w:r>
    </w:p>
    <w:p w14:paraId="43F92B3B" w14:textId="6EF62248" w:rsidR="006739CF" w:rsidRPr="00AC5825" w:rsidRDefault="0063575F"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13: </w:t>
      </w:r>
      <w:r w:rsidR="006739CF" w:rsidRPr="00AC5825">
        <w:t xml:space="preserve">In terms of legal and policy activities, </w:t>
      </w:r>
      <w:r w:rsidR="007E384A" w:rsidRPr="00AC5825">
        <w:t>an estimated $234,000 is needed for the 2020</w:t>
      </w:r>
      <w:r w:rsidR="007E384A" w:rsidRPr="00AC5825">
        <w:sym w:font="Symbol" w:char="F02D"/>
      </w:r>
      <w:r w:rsidR="007E384A" w:rsidRPr="00AC5825">
        <w:t xml:space="preserve">2021 biennium </w:t>
      </w:r>
      <w:r w:rsidR="006739CF" w:rsidRPr="00AC5825">
        <w:t xml:space="preserve">to work on </w:t>
      </w:r>
      <w:r w:rsidR="007E384A" w:rsidRPr="00AC5825">
        <w:t>S</w:t>
      </w:r>
      <w:r w:rsidR="006739CF" w:rsidRPr="00AC5825">
        <w:t xml:space="preserve">ustainable </w:t>
      </w:r>
      <w:r w:rsidR="007E384A" w:rsidRPr="00AC5825">
        <w:t>D</w:t>
      </w:r>
      <w:r w:rsidR="006739CF" w:rsidRPr="00AC5825">
        <w:t xml:space="preserve">evelopment </w:t>
      </w:r>
      <w:r w:rsidR="007E384A" w:rsidRPr="00AC5825">
        <w:t>G</w:t>
      </w:r>
      <w:r w:rsidR="006739CF" w:rsidRPr="00AC5825">
        <w:t xml:space="preserve">oals </w:t>
      </w:r>
      <w:r w:rsidR="006739CF" w:rsidRPr="009E66D8">
        <w:t>and gender strategies</w:t>
      </w:r>
      <w:r w:rsidR="007E384A" w:rsidRPr="009E66D8">
        <w:t>,</w:t>
      </w:r>
      <w:r w:rsidR="006739CF" w:rsidRPr="009E66D8">
        <w:t xml:space="preserve"> including case studies and workshops</w:t>
      </w:r>
      <w:r w:rsidR="009A098B" w:rsidRPr="009E66D8">
        <w:t>. I</w:t>
      </w:r>
      <w:r w:rsidR="006739CF" w:rsidRPr="009E66D8">
        <w:t>n the Executive Secretary’s scenario</w:t>
      </w:r>
      <w:r w:rsidR="009A098B" w:rsidRPr="009E66D8">
        <w:t>, this amount is included in core funding</w:t>
      </w:r>
      <w:r w:rsidR="002033A9" w:rsidRPr="009E66D8">
        <w:t>,</w:t>
      </w:r>
      <w:r w:rsidR="006739CF" w:rsidRPr="009E66D8">
        <w:t xml:space="preserve"> rather than under voluntary funding</w:t>
      </w:r>
      <w:r w:rsidR="006A115B" w:rsidRPr="009E66D8">
        <w:t xml:space="preserve"> as </w:t>
      </w:r>
      <w:r w:rsidR="009E66D8" w:rsidRPr="00566482">
        <w:rPr>
          <w:bCs/>
        </w:rPr>
        <w:t>in</w:t>
      </w:r>
      <w:r w:rsidR="00F9410B" w:rsidRPr="009E66D8">
        <w:t xml:space="preserve"> the</w:t>
      </w:r>
      <w:r w:rsidR="00F9410B">
        <w:t xml:space="preserve"> zero nominal growth scenario</w:t>
      </w:r>
      <w:r w:rsidR="006739CF" w:rsidRPr="00AC5825">
        <w:t>.</w:t>
      </w:r>
    </w:p>
    <w:p w14:paraId="43A673B0" w14:textId="630B9A0A" w:rsidR="00996EAE" w:rsidRPr="00AC5825" w:rsidRDefault="00866240" w:rsidP="00866240">
      <w:pPr>
        <w:pStyle w:val="CH3"/>
        <w:spacing w:before="240"/>
      </w:pPr>
      <w:r w:rsidRPr="00AC5825">
        <w:tab/>
        <w:t>2.</w:t>
      </w:r>
      <w:r w:rsidRPr="00AC5825">
        <w:tab/>
      </w:r>
      <w:r w:rsidR="00996EAE" w:rsidRPr="00AC5825">
        <w:t>Zero nominal growth scenario</w:t>
      </w:r>
    </w:p>
    <w:p w14:paraId="63B106FE" w14:textId="63FA74E1" w:rsidR="00996EAE" w:rsidRPr="00AC5825" w:rsidRDefault="00996EAE" w:rsidP="00866240">
      <w:pPr>
        <w:pStyle w:val="Normalnumber"/>
        <w:tabs>
          <w:tab w:val="clear" w:pos="1134"/>
          <w:tab w:val="clear" w:pos="1247"/>
          <w:tab w:val="clear" w:pos="1814"/>
          <w:tab w:val="clear" w:pos="2381"/>
          <w:tab w:val="clear" w:pos="2948"/>
          <w:tab w:val="clear" w:pos="3515"/>
          <w:tab w:val="clear" w:pos="4082"/>
          <w:tab w:val="num" w:pos="624"/>
        </w:tabs>
      </w:pPr>
      <w:r w:rsidRPr="00AC5825">
        <w:t xml:space="preserve">The zero nominal growth scenario </w:t>
      </w:r>
      <w:r w:rsidR="00B31A01" w:rsidRPr="00AC5825">
        <w:t>for the 2020</w:t>
      </w:r>
      <w:r w:rsidR="00B31A01" w:rsidRPr="00AC5825">
        <w:sym w:font="Symbol" w:char="F02D"/>
      </w:r>
      <w:r w:rsidR="00B31A01" w:rsidRPr="00AC5825">
        <w:t xml:space="preserve">2021 biennium </w:t>
      </w:r>
      <w:r w:rsidR="00093BC4" w:rsidRPr="00AC5825">
        <w:t xml:space="preserve">calls for a total budget of $6,866,900 before programme support costs, the same amount as the overall operational budget approved for </w:t>
      </w:r>
      <w:r w:rsidRPr="00AC5825">
        <w:t>the 2018</w:t>
      </w:r>
      <w:r w:rsidR="00B246AC" w:rsidRPr="00AC5825">
        <w:sym w:font="Symbol" w:char="F02D"/>
      </w:r>
      <w:r w:rsidRPr="00AC5825">
        <w:t>2019 biennium</w:t>
      </w:r>
      <w:r w:rsidR="00B31A01" w:rsidRPr="00AC5825">
        <w:t>. This scenario</w:t>
      </w:r>
      <w:r w:rsidR="00093BC4" w:rsidRPr="00AC5825">
        <w:t xml:space="preserve"> </w:t>
      </w:r>
      <w:r w:rsidRPr="00AC5825">
        <w:t>requir</w:t>
      </w:r>
      <w:r w:rsidR="00B31A01" w:rsidRPr="00AC5825">
        <w:t>es</w:t>
      </w:r>
      <w:r w:rsidRPr="00AC5825">
        <w:t xml:space="preserve"> </w:t>
      </w:r>
      <w:r w:rsidR="00B246AC" w:rsidRPr="00AC5825">
        <w:t>$</w:t>
      </w:r>
      <w:r w:rsidRPr="00AC5825">
        <w:t xml:space="preserve">1,798,807 less from the </w:t>
      </w:r>
      <w:r w:rsidR="00E921DE" w:rsidRPr="00AC5825">
        <w:t>g</w:t>
      </w:r>
      <w:r w:rsidRPr="00AC5825">
        <w:t xml:space="preserve">eneral </w:t>
      </w:r>
      <w:r w:rsidR="00E921DE" w:rsidRPr="00AC5825">
        <w:t>t</w:t>
      </w:r>
      <w:r w:rsidRPr="00AC5825">
        <w:t xml:space="preserve">rust </w:t>
      </w:r>
      <w:r w:rsidR="00E921DE" w:rsidRPr="00AC5825">
        <w:t>f</w:t>
      </w:r>
      <w:r w:rsidRPr="00AC5825">
        <w:t>und than the Executive Secretary’s scenario</w:t>
      </w:r>
      <w:r w:rsidR="00093BC4" w:rsidRPr="00AC5825">
        <w:t xml:space="preserve">. </w:t>
      </w:r>
      <w:r w:rsidR="00B31A01" w:rsidRPr="00AC5825">
        <w:t>It also</w:t>
      </w:r>
      <w:r w:rsidR="00093BC4" w:rsidRPr="00AC5825">
        <w:t xml:space="preserve"> means, however,</w:t>
      </w:r>
      <w:r w:rsidRPr="00AC5825">
        <w:t xml:space="preserve"> that important elements of the work programme would either need to be </w:t>
      </w:r>
      <w:r w:rsidR="00093BC4" w:rsidRPr="00AC5825">
        <w:t xml:space="preserve">only partially </w:t>
      </w:r>
      <w:r w:rsidRPr="00AC5825">
        <w:t>undertaken or shifted to voluntary funding (meaning the special trust fund)</w:t>
      </w:r>
      <w:r w:rsidR="00093BC4" w:rsidRPr="00AC5825">
        <w:t>, making them</w:t>
      </w:r>
      <w:r w:rsidR="0057651A" w:rsidRPr="00AC5825">
        <w:t xml:space="preserve"> subject to the availability of funds</w:t>
      </w:r>
      <w:r w:rsidR="00B31A01" w:rsidRPr="00AC5825">
        <w:t>, which</w:t>
      </w:r>
      <w:r w:rsidR="00093BC4" w:rsidRPr="00AC5825">
        <w:t xml:space="preserve"> would have a significant impact on</w:t>
      </w:r>
      <w:r w:rsidR="008A1CEE" w:rsidRPr="00AC5825">
        <w:t xml:space="preserve"> </w:t>
      </w:r>
      <w:r w:rsidRPr="00AC5825">
        <w:t xml:space="preserve">the </w:t>
      </w:r>
      <w:r w:rsidR="0057651A" w:rsidRPr="00AC5825">
        <w:t xml:space="preserve">functions, </w:t>
      </w:r>
      <w:r w:rsidRPr="00AC5825">
        <w:t xml:space="preserve">support and services provided by the </w:t>
      </w:r>
      <w:r w:rsidR="00A94138" w:rsidRPr="00AC5825">
        <w:t>s</w:t>
      </w:r>
      <w:r w:rsidRPr="00AC5825">
        <w:t>ecretariat.</w:t>
      </w:r>
    </w:p>
    <w:p w14:paraId="1966393C" w14:textId="1B112BA2" w:rsidR="00996EAE" w:rsidRPr="00AC5825" w:rsidRDefault="000F5F8A" w:rsidP="00866240">
      <w:pPr>
        <w:pStyle w:val="Normalnumber"/>
        <w:tabs>
          <w:tab w:val="clear" w:pos="1134"/>
          <w:tab w:val="clear" w:pos="1247"/>
          <w:tab w:val="clear" w:pos="1814"/>
          <w:tab w:val="clear" w:pos="2381"/>
          <w:tab w:val="clear" w:pos="2948"/>
          <w:tab w:val="clear" w:pos="3515"/>
          <w:tab w:val="clear" w:pos="4082"/>
          <w:tab w:val="num" w:pos="624"/>
        </w:tabs>
      </w:pPr>
      <w:r w:rsidRPr="00AC5825">
        <w:t>For the zero nominal growth scenario, t</w:t>
      </w:r>
      <w:r w:rsidR="00996EAE" w:rsidRPr="00AC5825">
        <w:t xml:space="preserve">he most significant </w:t>
      </w:r>
      <w:r w:rsidR="00093BC4" w:rsidRPr="00AC5825">
        <w:t>decreases and increases in</w:t>
      </w:r>
      <w:r w:rsidR="00996EAE" w:rsidRPr="00AC5825">
        <w:t xml:space="preserve"> the operational budget for core activities funded through the general trust fund compared to the 2018</w:t>
      </w:r>
      <w:r w:rsidR="00B246AC" w:rsidRPr="00AC5825">
        <w:sym w:font="Symbol" w:char="F02D"/>
      </w:r>
      <w:r w:rsidR="00996EAE" w:rsidRPr="00AC5825">
        <w:t>2019 approved budget</w:t>
      </w:r>
      <w:r w:rsidR="00093BC4" w:rsidRPr="00AC5825">
        <w:t xml:space="preserve"> are as follows</w:t>
      </w:r>
      <w:r w:rsidR="00996EAE" w:rsidRPr="00AC5825">
        <w:t xml:space="preserve">: </w:t>
      </w:r>
    </w:p>
    <w:p w14:paraId="76EE645F" w14:textId="7B6D08AE" w:rsidR="00ED105E" w:rsidRPr="008D6805" w:rsidRDefault="00866240" w:rsidP="00866240">
      <w:pPr>
        <w:pStyle w:val="CH4"/>
        <w:spacing w:before="240"/>
        <w:rPr>
          <w:i/>
        </w:rPr>
      </w:pPr>
      <w:r w:rsidRPr="008D6805">
        <w:rPr>
          <w:i/>
        </w:rPr>
        <w:tab/>
      </w:r>
      <w:r w:rsidR="00093BC4" w:rsidRPr="008D6805">
        <w:rPr>
          <w:i/>
        </w:rPr>
        <w:tab/>
      </w:r>
      <w:r w:rsidR="00996EAE" w:rsidRPr="008D6805">
        <w:rPr>
          <w:i/>
        </w:rPr>
        <w:t xml:space="preserve">Decreases compared to </w:t>
      </w:r>
      <w:r w:rsidR="00C16F6C" w:rsidRPr="008D6805">
        <w:rPr>
          <w:i/>
        </w:rPr>
        <w:t xml:space="preserve">the </w:t>
      </w:r>
      <w:r w:rsidR="00996EAE" w:rsidRPr="008D6805">
        <w:rPr>
          <w:i/>
        </w:rPr>
        <w:t>2018</w:t>
      </w:r>
      <w:r w:rsidR="00B246AC" w:rsidRPr="008D6805">
        <w:rPr>
          <w:i/>
        </w:rPr>
        <w:sym w:font="Symbol" w:char="F02D"/>
      </w:r>
      <w:r w:rsidR="00996EAE" w:rsidRPr="008D6805">
        <w:rPr>
          <w:i/>
        </w:rPr>
        <w:t xml:space="preserve">2019 approved budget </w:t>
      </w:r>
    </w:p>
    <w:p w14:paraId="2B5687F8" w14:textId="00C87C3D" w:rsidR="00ED105E" w:rsidRPr="00AC5825"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1: </w:t>
      </w:r>
      <w:r w:rsidR="00CF6850" w:rsidRPr="00AC5825">
        <w:t>A decrease</w:t>
      </w:r>
      <w:r w:rsidRPr="00AC5825">
        <w:t xml:space="preserve"> of </w:t>
      </w:r>
      <w:r w:rsidR="00B246AC" w:rsidRPr="00AC5825">
        <w:t>$</w:t>
      </w:r>
      <w:r w:rsidRPr="00AC5825">
        <w:t xml:space="preserve">665,000 is estimated </w:t>
      </w:r>
      <w:r w:rsidR="000F5F8A" w:rsidRPr="00AC5825">
        <w:t xml:space="preserve">in connection with </w:t>
      </w:r>
      <w:r w:rsidRPr="00AC5825">
        <w:t xml:space="preserve">the fourth meeting of the Conference of the Parties and its subsidiary bodies, mainly due to the fact that the </w:t>
      </w:r>
      <w:r w:rsidR="0040258B" w:rsidRPr="00AC5825">
        <w:t>meeting</w:t>
      </w:r>
      <w:r w:rsidR="000F5F8A" w:rsidRPr="00AC5825">
        <w:t>s of the Conference of the Parties</w:t>
      </w:r>
      <w:r w:rsidR="0040258B" w:rsidRPr="00AC5825">
        <w:t xml:space="preserve"> </w:t>
      </w:r>
      <w:r w:rsidRPr="00AC5825">
        <w:t xml:space="preserve">will be moving to </w:t>
      </w:r>
      <w:r w:rsidR="000F5F8A" w:rsidRPr="00AC5825">
        <w:t xml:space="preserve">a </w:t>
      </w:r>
      <w:r w:rsidRPr="00AC5825">
        <w:t xml:space="preserve">two-year rather than an annual cycle. As the Minamata </w:t>
      </w:r>
      <w:r w:rsidR="00A94138" w:rsidRPr="00AC5825">
        <w:t>Convention s</w:t>
      </w:r>
      <w:r w:rsidRPr="00AC5825">
        <w:t xml:space="preserve">ecretariat does not have the staffing level to fully service </w:t>
      </w:r>
      <w:r w:rsidR="00346E39" w:rsidRPr="00AC5825">
        <w:t xml:space="preserve">the </w:t>
      </w:r>
      <w:r w:rsidR="0040258B" w:rsidRPr="00AC5825">
        <w:t>meetings</w:t>
      </w:r>
      <w:r w:rsidR="00D4533D" w:rsidRPr="00AC5825">
        <w:t xml:space="preserve"> of the Conference of the Parties</w:t>
      </w:r>
      <w:r w:rsidRPr="00AC5825">
        <w:t xml:space="preserve">, </w:t>
      </w:r>
      <w:r w:rsidR="000F5CAC" w:rsidRPr="00AC5825">
        <w:t>the resulting savings would be partially offset by the need to cover surge capacity requirements for the meetings, which are proposed to be shared and provided for by the secretariat of the Basel, Rotterdam and Stockholm conventions</w:t>
      </w:r>
      <w:r w:rsidRPr="00AC5825">
        <w:t>.</w:t>
      </w:r>
    </w:p>
    <w:p w14:paraId="4FBE4B09" w14:textId="2DFEE153" w:rsidR="0069323F" w:rsidRPr="00AC5825" w:rsidRDefault="00ED105E" w:rsidP="0069323F">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3: </w:t>
      </w:r>
      <w:r w:rsidR="0025687A" w:rsidRPr="00AC5825">
        <w:t xml:space="preserve">Compared to the previous biennium, $7,000 less is budgeted for one three-day meeting of the implementation and compliance committee, as agreed by the committee </w:t>
      </w:r>
      <w:r w:rsidR="0025687A">
        <w:t>at</w:t>
      </w:r>
      <w:r w:rsidR="0025687A" w:rsidRPr="00AC5825">
        <w:t xml:space="preserve"> its meeting of June 2019, instead of two two-day meetings as per the 2018</w:t>
      </w:r>
      <w:r w:rsidR="0025687A" w:rsidRPr="00AC5825">
        <w:sym w:font="Symbol" w:char="F02D"/>
      </w:r>
      <w:r w:rsidR="0025687A" w:rsidRPr="00AC5825">
        <w:t>2019 approved budget</w:t>
      </w:r>
      <w:r w:rsidR="0025687A">
        <w:t>,</w:t>
      </w:r>
      <w:r w:rsidR="0025687A" w:rsidRPr="00AC5825">
        <w:t xml:space="preserve"> </w:t>
      </w:r>
      <w:r w:rsidR="0025687A" w:rsidRPr="00186B1D">
        <w:t xml:space="preserve">and to reflect the </w:t>
      </w:r>
      <w:r w:rsidR="0025687A">
        <w:t>actual</w:t>
      </w:r>
      <w:r w:rsidR="0025687A" w:rsidRPr="00186B1D">
        <w:t xml:space="preserve"> costs of such </w:t>
      </w:r>
      <w:r w:rsidR="0025687A">
        <w:t xml:space="preserve">a </w:t>
      </w:r>
      <w:r w:rsidR="0025687A" w:rsidRPr="00186B1D">
        <w:t>meeting.</w:t>
      </w:r>
    </w:p>
    <w:p w14:paraId="1A9AB91F" w14:textId="70B2CD17" w:rsidR="00ED105E" w:rsidRPr="00AC5825"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8: </w:t>
      </w:r>
      <w:r w:rsidR="0074368A" w:rsidRPr="00AC5825">
        <w:t xml:space="preserve">The publications budget is </w:t>
      </w:r>
      <w:r w:rsidR="00B246AC" w:rsidRPr="00AC5825">
        <w:t>$</w:t>
      </w:r>
      <w:r w:rsidRPr="00AC5825">
        <w:t xml:space="preserve">15,000 </w:t>
      </w:r>
      <w:r w:rsidR="0074368A" w:rsidRPr="00AC5825">
        <w:t>lower than for</w:t>
      </w:r>
      <w:r w:rsidRPr="00AC5825">
        <w:t xml:space="preserve"> the 2018</w:t>
      </w:r>
      <w:r w:rsidR="00B246AC" w:rsidRPr="00AC5825">
        <w:sym w:font="Symbol" w:char="F02D"/>
      </w:r>
      <w:r w:rsidRPr="00AC5825">
        <w:t xml:space="preserve">2019 biennium, mainly </w:t>
      </w:r>
      <w:r w:rsidR="0069323F" w:rsidRPr="00AC5825">
        <w:t xml:space="preserve">in order </w:t>
      </w:r>
      <w:r w:rsidRPr="00AC5825">
        <w:t xml:space="preserve">to </w:t>
      </w:r>
      <w:r w:rsidR="0074368A" w:rsidRPr="00AC5825">
        <w:t>produce</w:t>
      </w:r>
      <w:r w:rsidRPr="00AC5825">
        <w:t xml:space="preserve"> a zero nominal growth scenario</w:t>
      </w:r>
      <w:r w:rsidR="0074368A" w:rsidRPr="00AC5825">
        <w:t>. The budget covers</w:t>
      </w:r>
      <w:r w:rsidRPr="00AC5825">
        <w:t xml:space="preserve"> the design and printing of the most important guidance documents</w:t>
      </w:r>
      <w:r w:rsidR="0040258B" w:rsidRPr="00AC5825">
        <w:t xml:space="preserve"> adopted by the Conference of the Parties</w:t>
      </w:r>
      <w:r w:rsidRPr="00AC5825">
        <w:t xml:space="preserve"> but </w:t>
      </w:r>
      <w:r w:rsidR="0074368A" w:rsidRPr="00AC5825">
        <w:t>pre</w:t>
      </w:r>
      <w:r w:rsidRPr="00AC5825">
        <w:t>clude</w:t>
      </w:r>
      <w:r w:rsidR="0074368A" w:rsidRPr="00AC5825">
        <w:t>s</w:t>
      </w:r>
      <w:r w:rsidRPr="00AC5825">
        <w:t xml:space="preserve"> their translation (which is why the translation is </w:t>
      </w:r>
      <w:r w:rsidR="0074368A" w:rsidRPr="00AC5825">
        <w:t xml:space="preserve">provided for </w:t>
      </w:r>
      <w:r w:rsidRPr="00AC5825">
        <w:t>under voluntary funding in the zero nominal growth scenario).</w:t>
      </w:r>
    </w:p>
    <w:p w14:paraId="054AA816" w14:textId="738E14D8" w:rsidR="00ED105E" w:rsidRPr="00AC5825"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14: </w:t>
      </w:r>
      <w:r w:rsidR="0069323F" w:rsidRPr="00AC5825">
        <w:t xml:space="preserve">The office maintenance budget </w:t>
      </w:r>
      <w:r w:rsidR="00B31A01" w:rsidRPr="00AC5825">
        <w:t>shows</w:t>
      </w:r>
      <w:r w:rsidR="0069323F" w:rsidRPr="00AC5825">
        <w:t xml:space="preserve"> a decrease of $74,524 compared to the previous biennium, reflecting the fact that certain services, such as procurement, would be provided </w:t>
      </w:r>
      <w:r w:rsidR="008D6805">
        <w:br/>
      </w:r>
      <w:r w:rsidR="0069323F" w:rsidRPr="00AC5825">
        <w:t xml:space="preserve">in-house, as well as the lower cost of items such as the purchase of office equipment, as all staff in the positions approved by the Conference of the Parties at its first meeting have been equipped with furniture. The reduced costs are partly offset by the </w:t>
      </w:r>
      <w:proofErr w:type="spellStart"/>
      <w:r w:rsidR="0069323F" w:rsidRPr="00AC5825">
        <w:t>Umoja</w:t>
      </w:r>
      <w:proofErr w:type="spellEnd"/>
      <w:r w:rsidR="0069323F" w:rsidRPr="00AC5825">
        <w:t xml:space="preserve"> </w:t>
      </w:r>
      <w:r w:rsidR="00C83786" w:rsidRPr="00AC5825">
        <w:t>licen</w:t>
      </w:r>
      <w:r w:rsidR="00C83786">
        <w:t>c</w:t>
      </w:r>
      <w:r w:rsidR="00C83786" w:rsidRPr="00AC5825">
        <w:t xml:space="preserve">e </w:t>
      </w:r>
      <w:r w:rsidR="0069323F" w:rsidRPr="00AC5825">
        <w:t>costs that the United Nations started charging all entities in 2019.</w:t>
      </w:r>
    </w:p>
    <w:p w14:paraId="72399544" w14:textId="2CC2A9DE" w:rsidR="00ED105E" w:rsidRPr="00AC5825"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15: </w:t>
      </w:r>
      <w:r w:rsidR="0069323F" w:rsidRPr="00AC5825">
        <w:t>There is a</w:t>
      </w:r>
      <w:r w:rsidRPr="00AC5825">
        <w:t xml:space="preserve"> decrease of </w:t>
      </w:r>
      <w:r w:rsidR="00B246AC" w:rsidRPr="00AC5825">
        <w:t>$</w:t>
      </w:r>
      <w:r w:rsidRPr="00AC5825">
        <w:t>10,000 in information technology services compared to the previous biennium</w:t>
      </w:r>
      <w:r w:rsidR="0069323F" w:rsidRPr="00AC5825">
        <w:t>,</w:t>
      </w:r>
      <w:r w:rsidRPr="00AC5825">
        <w:t xml:space="preserve"> mainly due to a decrease in the purchase of new equipment</w:t>
      </w:r>
      <w:r w:rsidR="0069323F" w:rsidRPr="00AC5825">
        <w:t>,</w:t>
      </w:r>
      <w:r w:rsidRPr="00AC5825">
        <w:t xml:space="preserve"> partly offset by the increase in costs for software </w:t>
      </w:r>
      <w:r w:rsidR="00C83786" w:rsidRPr="00AC5825">
        <w:t>licen</w:t>
      </w:r>
      <w:r w:rsidR="00C83786">
        <w:t>c</w:t>
      </w:r>
      <w:r w:rsidR="00C83786" w:rsidRPr="00AC5825">
        <w:t>es</w:t>
      </w:r>
      <w:r w:rsidRPr="00AC5825">
        <w:t>.</w:t>
      </w:r>
    </w:p>
    <w:p w14:paraId="6758123F" w14:textId="3B35ED8C" w:rsidR="00ED105E" w:rsidRPr="008D6805" w:rsidRDefault="00093BC4" w:rsidP="00866240">
      <w:pPr>
        <w:pStyle w:val="CH4"/>
        <w:spacing w:before="240"/>
        <w:rPr>
          <w:i/>
        </w:rPr>
      </w:pPr>
      <w:r w:rsidRPr="008D6805">
        <w:rPr>
          <w:i/>
        </w:rPr>
        <w:tab/>
      </w:r>
      <w:r w:rsidRPr="008D6805">
        <w:rPr>
          <w:i/>
        </w:rPr>
        <w:tab/>
      </w:r>
      <w:r w:rsidR="00996EAE" w:rsidRPr="008D6805">
        <w:rPr>
          <w:i/>
        </w:rPr>
        <w:t>Increases compared to 2018</w:t>
      </w:r>
      <w:r w:rsidR="00B246AC" w:rsidRPr="008D6805">
        <w:rPr>
          <w:i/>
        </w:rPr>
        <w:sym w:font="Symbol" w:char="F02D"/>
      </w:r>
      <w:r w:rsidR="00996EAE" w:rsidRPr="008D6805">
        <w:rPr>
          <w:i/>
        </w:rPr>
        <w:t>2019 approved budget</w:t>
      </w:r>
    </w:p>
    <w:p w14:paraId="30C256F1" w14:textId="1EE6E16A" w:rsidR="00ED105E" w:rsidRPr="00C16F6C" w:rsidRDefault="00ED105E" w:rsidP="000F5F8A">
      <w:pPr>
        <w:pStyle w:val="Normalnumber"/>
        <w:numPr>
          <w:ilvl w:val="1"/>
          <w:numId w:val="1"/>
        </w:numPr>
        <w:tabs>
          <w:tab w:val="clear" w:pos="1247"/>
          <w:tab w:val="clear" w:pos="1814"/>
          <w:tab w:val="clear" w:pos="2381"/>
          <w:tab w:val="clear" w:pos="2948"/>
          <w:tab w:val="clear" w:pos="3515"/>
          <w:tab w:val="clear" w:pos="4082"/>
        </w:tabs>
        <w:ind w:firstLine="624"/>
      </w:pPr>
      <w:r w:rsidRPr="00AC5825">
        <w:t xml:space="preserve">Activity 2: An additional </w:t>
      </w:r>
      <w:r w:rsidR="00B246AC" w:rsidRPr="00AC5825">
        <w:t>$</w:t>
      </w:r>
      <w:r w:rsidRPr="00C16F6C">
        <w:t>2,000 is budgeted for two meetings of the Bureau of the Conference of the Parties to align the budget with the actual costs of the meetings.</w:t>
      </w:r>
    </w:p>
    <w:p w14:paraId="69548EE2" w14:textId="424794FE" w:rsidR="00ED105E" w:rsidRPr="00C16F6C"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C16F6C">
        <w:t>Activity 6: For the effectiveness evaluation</w:t>
      </w:r>
      <w:r w:rsidR="0040258B" w:rsidRPr="00C16F6C">
        <w:t>,</w:t>
      </w:r>
      <w:r w:rsidRPr="00C16F6C">
        <w:t xml:space="preserve"> which was not provided for in the previous biennium, </w:t>
      </w:r>
      <w:r w:rsidR="00B246AC" w:rsidRPr="00C16F6C">
        <w:t>$</w:t>
      </w:r>
      <w:r w:rsidRPr="00C16F6C">
        <w:t xml:space="preserve">228,000 </w:t>
      </w:r>
      <w:r w:rsidR="0069323F" w:rsidRPr="00C16F6C">
        <w:t xml:space="preserve">is budgeted to develop a monitoring and modelling report as proposed by the ad-hoc technical expert group </w:t>
      </w:r>
      <w:r w:rsidR="00144E0F" w:rsidRPr="00C16F6C">
        <w:t>(</w:t>
      </w:r>
      <w:r w:rsidR="0069323F" w:rsidRPr="00C16F6C">
        <w:t>subject to the decision of the Conference of the Parties on this matter</w:t>
      </w:r>
      <w:r w:rsidR="00144E0F" w:rsidRPr="00C16F6C">
        <w:t>)</w:t>
      </w:r>
      <w:r w:rsidR="0069323F" w:rsidRPr="00C16F6C">
        <w:t>, involving face-to-face meetings of experts, compilation and assessment of party submissions and convening of electronic discussions by the effectiveness evaluation committee to ensure a</w:t>
      </w:r>
      <w:r w:rsidR="00510CED">
        <w:t>n integrated</w:t>
      </w:r>
      <w:r w:rsidR="0069323F" w:rsidRPr="00C16F6C">
        <w:t xml:space="preserve"> report</w:t>
      </w:r>
      <w:r w:rsidRPr="00C16F6C">
        <w:t>.</w:t>
      </w:r>
    </w:p>
    <w:p w14:paraId="05CBCA4E" w14:textId="594D8582" w:rsidR="00ED105E" w:rsidRPr="00AC5825"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9: </w:t>
      </w:r>
      <w:r w:rsidR="00144E0F" w:rsidRPr="00AC5825">
        <w:t xml:space="preserve">The budget </w:t>
      </w:r>
      <w:r w:rsidR="002031BB" w:rsidRPr="00AC5825">
        <w:t>for communication, outreach and public awareness</w:t>
      </w:r>
      <w:r w:rsidR="00144E0F" w:rsidRPr="00AC5825">
        <w:t xml:space="preserve"> shows an increase of $5,000 compared to the previous biennium</w:t>
      </w:r>
      <w:r w:rsidR="002031BB" w:rsidRPr="00AC5825">
        <w:t>, which includes licences for specific tools necessary for strategic communication.</w:t>
      </w:r>
    </w:p>
    <w:p w14:paraId="270FF6E5" w14:textId="49E9E868" w:rsidR="00ED105E" w:rsidRPr="00AC5825"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pPr>
      <w:r w:rsidRPr="00AC5825">
        <w:t xml:space="preserve">Activity 10: </w:t>
      </w:r>
      <w:r w:rsidR="0040258B" w:rsidRPr="00AC5825">
        <w:t>Under e</w:t>
      </w:r>
      <w:r w:rsidRPr="00AC5825">
        <w:t xml:space="preserve">xecutive direction and management, there is an </w:t>
      </w:r>
      <w:r w:rsidR="000F5CAC" w:rsidRPr="00AC5825">
        <w:t>increase of</w:t>
      </w:r>
      <w:r w:rsidRPr="00AC5825">
        <w:t xml:space="preserve"> </w:t>
      </w:r>
      <w:r w:rsidR="00B246AC" w:rsidRPr="00AC5825">
        <w:t>$</w:t>
      </w:r>
      <w:r w:rsidRPr="00AC5825">
        <w:t>536,524 compared to the 2018</w:t>
      </w:r>
      <w:r w:rsidR="00B246AC" w:rsidRPr="00AC5825">
        <w:sym w:font="Symbol" w:char="F02D"/>
      </w:r>
      <w:r w:rsidRPr="00AC5825">
        <w:t xml:space="preserve">2019 biennium to ensure </w:t>
      </w:r>
      <w:r w:rsidR="00144E0F" w:rsidRPr="00AC5825">
        <w:t>the</w:t>
      </w:r>
      <w:r w:rsidRPr="00AC5825">
        <w:t xml:space="preserve"> minimum staffing level required to fulfil the </w:t>
      </w:r>
      <w:r w:rsidR="00A94138" w:rsidRPr="00AC5825">
        <w:t>s</w:t>
      </w:r>
      <w:r w:rsidR="0040258B" w:rsidRPr="00AC5825">
        <w:t>ecretariat functions</w:t>
      </w:r>
      <w:r w:rsidRPr="00AC5825">
        <w:t xml:space="preserve">. </w:t>
      </w:r>
      <w:r w:rsidR="000F5CAC" w:rsidRPr="00AC5825">
        <w:t xml:space="preserve">In addition </w:t>
      </w:r>
      <w:r w:rsidRPr="00AC5825">
        <w:t xml:space="preserve">to the staffing level approved by </w:t>
      </w:r>
      <w:r w:rsidR="00A94138" w:rsidRPr="00AC5825">
        <w:t>the Conference of the Parties at its first meeting</w:t>
      </w:r>
      <w:r w:rsidRPr="00AC5825">
        <w:t xml:space="preserve">, </w:t>
      </w:r>
      <w:r w:rsidR="000F5CAC" w:rsidRPr="00AC5825">
        <w:t xml:space="preserve">a </w:t>
      </w:r>
      <w:r w:rsidRPr="00AC5825">
        <w:t xml:space="preserve">P-3 Programme Officer </w:t>
      </w:r>
      <w:r w:rsidR="000F5CAC" w:rsidRPr="00AC5825">
        <w:t xml:space="preserve">would be added </w:t>
      </w:r>
      <w:r w:rsidRPr="00AC5825">
        <w:t>to deal with reporting, effectiveness evaluation and capacity-building</w:t>
      </w:r>
      <w:r w:rsidR="000F5CAC" w:rsidRPr="00AC5825">
        <w:t xml:space="preserve"> and</w:t>
      </w:r>
      <w:r w:rsidRPr="00AC5825">
        <w:t xml:space="preserve"> a G-6 Administrative Assistant to take over important functions in procurement</w:t>
      </w:r>
      <w:r w:rsidR="002031BB" w:rsidRPr="00AC5825">
        <w:t>,</w:t>
      </w:r>
      <w:r w:rsidRPr="00AC5825">
        <w:t xml:space="preserve"> human resources </w:t>
      </w:r>
      <w:r w:rsidR="002031BB" w:rsidRPr="00AC5825">
        <w:t>and</w:t>
      </w:r>
      <w:r w:rsidRPr="00AC5825">
        <w:t xml:space="preserve"> project administration. Some of these functions are currently provided by various U</w:t>
      </w:r>
      <w:r w:rsidR="00A94138" w:rsidRPr="00AC5825">
        <w:t xml:space="preserve">nited </w:t>
      </w:r>
      <w:r w:rsidRPr="00AC5825">
        <w:t>N</w:t>
      </w:r>
      <w:r w:rsidR="00A94138" w:rsidRPr="00AC5825">
        <w:t>ations</w:t>
      </w:r>
      <w:r w:rsidRPr="00AC5825">
        <w:t xml:space="preserve"> entities, in most cases free of charge, which is </w:t>
      </w:r>
      <w:r w:rsidR="0040258B" w:rsidRPr="00AC5825">
        <w:t>neither</w:t>
      </w:r>
      <w:r w:rsidRPr="00AC5825">
        <w:t xml:space="preserve"> stable </w:t>
      </w:r>
      <w:r w:rsidR="0040258B" w:rsidRPr="00AC5825">
        <w:t>nor</w:t>
      </w:r>
      <w:r w:rsidRPr="00AC5825">
        <w:t xml:space="preserve"> sustainable in the long</w:t>
      </w:r>
      <w:r w:rsidR="002031BB" w:rsidRPr="00AC5825">
        <w:t xml:space="preserve"> </w:t>
      </w:r>
      <w:r w:rsidRPr="00AC5825">
        <w:t>term. Furthermore, the introduction of U</w:t>
      </w:r>
      <w:r w:rsidR="00A94138" w:rsidRPr="00AC5825">
        <w:t>moja</w:t>
      </w:r>
      <w:r w:rsidRPr="00AC5825">
        <w:t xml:space="preserve"> </w:t>
      </w:r>
      <w:r w:rsidR="002031BB" w:rsidRPr="00AC5825">
        <w:t>E</w:t>
      </w:r>
      <w:r w:rsidRPr="00AC5825">
        <w:t>xtension 2 in 2019</w:t>
      </w:r>
      <w:r w:rsidR="002031BB" w:rsidRPr="00AC5825">
        <w:t>,</w:t>
      </w:r>
      <w:r w:rsidRPr="00AC5825">
        <w:t xml:space="preserve"> starting with the implementing partner module, has further increased the workload </w:t>
      </w:r>
      <w:r w:rsidR="00C16F6C">
        <w:t>involved in</w:t>
      </w:r>
      <w:r w:rsidRPr="00AC5825">
        <w:t xml:space="preserve"> concluding agreements with implementing partners.</w:t>
      </w:r>
      <w:r w:rsidR="002031BB" w:rsidRPr="00AC5825">
        <w:t xml:space="preserve"> </w:t>
      </w:r>
    </w:p>
    <w:p w14:paraId="06ADBFBB" w14:textId="77777777" w:rsidR="001C6381" w:rsidRPr="00AC5825" w:rsidRDefault="00176F98" w:rsidP="000F744B">
      <w:pPr>
        <w:pStyle w:val="CH1"/>
        <w:keepNext w:val="0"/>
        <w:keepLines w:val="0"/>
        <w:rPr>
          <w:b w:val="0"/>
        </w:rPr>
      </w:pPr>
      <w:r w:rsidRPr="00AC5825">
        <w:tab/>
      </w:r>
      <w:r w:rsidR="00D87C75" w:rsidRPr="00AC5825">
        <w:t>III</w:t>
      </w:r>
      <w:r w:rsidR="00A522F4" w:rsidRPr="00AC5825">
        <w:t>.</w:t>
      </w:r>
      <w:r w:rsidR="00A522F4" w:rsidRPr="00AC5825">
        <w:tab/>
      </w:r>
      <w:r w:rsidR="000034C9" w:rsidRPr="00AC5825">
        <w:t xml:space="preserve">Suggested </w:t>
      </w:r>
      <w:r w:rsidR="00C82CD8" w:rsidRPr="00AC5825">
        <w:rPr>
          <w:rStyle w:val="CH2Char"/>
          <w:b/>
          <w:sz w:val="28"/>
          <w:szCs w:val="28"/>
        </w:rPr>
        <w:t>a</w:t>
      </w:r>
      <w:r w:rsidR="000034C9" w:rsidRPr="00AC5825">
        <w:rPr>
          <w:rStyle w:val="CH2Char"/>
          <w:b/>
          <w:sz w:val="28"/>
          <w:szCs w:val="28"/>
        </w:rPr>
        <w:t>ction</w:t>
      </w:r>
    </w:p>
    <w:p w14:paraId="475682C0" w14:textId="6AD11BA1" w:rsidR="00866240" w:rsidRPr="00AC5825" w:rsidRDefault="00C93D8D" w:rsidP="00866240">
      <w:pPr>
        <w:pStyle w:val="Normalnumber"/>
        <w:tabs>
          <w:tab w:val="clear" w:pos="1134"/>
          <w:tab w:val="clear" w:pos="1247"/>
          <w:tab w:val="clear" w:pos="1814"/>
          <w:tab w:val="clear" w:pos="2381"/>
          <w:tab w:val="clear" w:pos="2948"/>
          <w:tab w:val="clear" w:pos="3515"/>
          <w:tab w:val="clear" w:pos="4082"/>
          <w:tab w:val="num" w:pos="624"/>
        </w:tabs>
        <w:rPr>
          <w:bCs/>
        </w:rPr>
      </w:pPr>
      <w:r w:rsidRPr="00AC5825">
        <w:t xml:space="preserve">In </w:t>
      </w:r>
      <w:r w:rsidR="001E101B" w:rsidRPr="00AC5825">
        <w:t xml:space="preserve">the </w:t>
      </w:r>
      <w:r w:rsidRPr="00AC5825">
        <w:t>light of decision</w:t>
      </w:r>
      <w:r w:rsidR="00A94138" w:rsidRPr="00AC5825">
        <w:t>s</w:t>
      </w:r>
      <w:r w:rsidRPr="00AC5825">
        <w:t xml:space="preserve"> </w:t>
      </w:r>
      <w:r w:rsidR="006A139C" w:rsidRPr="00AC5825">
        <w:t>MC-</w:t>
      </w:r>
      <w:r w:rsidR="003F4837" w:rsidRPr="00AC5825">
        <w:t>2</w:t>
      </w:r>
      <w:r w:rsidRPr="00AC5825">
        <w:t>/1</w:t>
      </w:r>
      <w:r w:rsidR="003F4837" w:rsidRPr="00AC5825">
        <w:t>2 and MC-2/7,</w:t>
      </w:r>
      <w:r w:rsidRPr="00AC5825">
        <w:t xml:space="preserve"> </w:t>
      </w:r>
      <w:r w:rsidR="00ED14B9" w:rsidRPr="00AC5825">
        <w:t>after considering</w:t>
      </w:r>
      <w:r w:rsidRPr="00AC5825">
        <w:t xml:space="preserve"> the </w:t>
      </w:r>
      <w:r w:rsidR="005452A4" w:rsidRPr="00AC5825">
        <w:t xml:space="preserve">information set out in the </w:t>
      </w:r>
      <w:r w:rsidRPr="00AC5825">
        <w:t xml:space="preserve">present note and the </w:t>
      </w:r>
      <w:r w:rsidR="00D03A88" w:rsidRPr="00AC5825">
        <w:t xml:space="preserve">budget activity fact sheets (UNEP/MC/COP.3/INF/9), </w:t>
      </w:r>
      <w:r w:rsidR="0025687A">
        <w:t xml:space="preserve">the </w:t>
      </w:r>
      <w:r w:rsidRPr="00AC5825">
        <w:t xml:space="preserve">information </w:t>
      </w:r>
      <w:r w:rsidR="003F4837" w:rsidRPr="00AC5825">
        <w:t>on financial matters (UNEP/MC/COP.3/INF/</w:t>
      </w:r>
      <w:r w:rsidR="00D03A88" w:rsidRPr="00AC5825">
        <w:t>10</w:t>
      </w:r>
      <w:r w:rsidR="003F4837" w:rsidRPr="00AC5825">
        <w:t xml:space="preserve">) and </w:t>
      </w:r>
      <w:r w:rsidR="00144E0F" w:rsidRPr="00AC5825">
        <w:t xml:space="preserve">the proposed </w:t>
      </w:r>
      <w:r w:rsidR="003F4837" w:rsidRPr="00AC5825">
        <w:t>operational budget</w:t>
      </w:r>
      <w:r w:rsidR="009363B7" w:rsidRPr="00AC5825">
        <w:t>s</w:t>
      </w:r>
      <w:r w:rsidR="003F4837" w:rsidRPr="00AC5825">
        <w:t xml:space="preserve"> </w:t>
      </w:r>
      <w:r w:rsidR="00FE081E" w:rsidRPr="00AC5825">
        <w:t xml:space="preserve">for the two funding scenarios </w:t>
      </w:r>
      <w:r w:rsidR="003F4837" w:rsidRPr="00AC5825">
        <w:t>(UNEP/MC/COP.</w:t>
      </w:r>
      <w:r w:rsidR="00144E0F" w:rsidRPr="00AC5825">
        <w:t>3</w:t>
      </w:r>
      <w:r w:rsidR="003F4837" w:rsidRPr="00AC5825">
        <w:t>/INF/</w:t>
      </w:r>
      <w:r w:rsidR="00D03A88" w:rsidRPr="00AC5825">
        <w:t>11</w:t>
      </w:r>
      <w:r w:rsidR="003F4837" w:rsidRPr="00AC5825">
        <w:t xml:space="preserve">), </w:t>
      </w:r>
      <w:r w:rsidRPr="00AC5825">
        <w:t>the Conference of the P</w:t>
      </w:r>
      <w:r w:rsidR="005D0EE8" w:rsidRPr="00AC5825">
        <w:t xml:space="preserve">arties may wish to </w:t>
      </w:r>
      <w:r w:rsidR="001E101B" w:rsidRPr="00AC5825">
        <w:t>consider</w:t>
      </w:r>
      <w:r w:rsidRPr="00AC5825">
        <w:t xml:space="preserve"> a decision along the lines </w:t>
      </w:r>
      <w:r w:rsidR="000751C1" w:rsidRPr="00AC5825">
        <w:t xml:space="preserve">of the text </w:t>
      </w:r>
      <w:r w:rsidRPr="00AC5825">
        <w:t>set out in annex I</w:t>
      </w:r>
      <w:r w:rsidR="00340E98" w:rsidRPr="00AC5825">
        <w:t xml:space="preserve"> to the present note</w:t>
      </w:r>
      <w:r w:rsidRPr="00AC5825">
        <w:t>.</w:t>
      </w:r>
    </w:p>
    <w:p w14:paraId="52A11969" w14:textId="2DABD5DB" w:rsidR="000034C9" w:rsidRPr="00AC5825" w:rsidRDefault="000034C9" w:rsidP="00866240">
      <w:pPr>
        <w:pStyle w:val="Normal-pool"/>
      </w:pPr>
    </w:p>
    <w:p w14:paraId="0958BEFE" w14:textId="77777777" w:rsidR="00EC3F22" w:rsidRPr="00AC5825" w:rsidRDefault="00EC3F22">
      <w:pPr>
        <w:tabs>
          <w:tab w:val="clear" w:pos="1247"/>
          <w:tab w:val="clear" w:pos="1814"/>
          <w:tab w:val="clear" w:pos="2381"/>
          <w:tab w:val="clear" w:pos="2948"/>
          <w:tab w:val="clear" w:pos="3515"/>
        </w:tabs>
        <w:rPr>
          <w:sz w:val="28"/>
          <w:szCs w:val="28"/>
        </w:rPr>
        <w:sectPr w:rsidR="00EC3F22" w:rsidRPr="00AC5825" w:rsidSect="0034061A">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077" w:header="539" w:footer="975" w:gutter="0"/>
          <w:cols w:space="539"/>
          <w:titlePg/>
          <w:docGrid w:linePitch="360"/>
        </w:sectPr>
      </w:pPr>
    </w:p>
    <w:p w14:paraId="2CA3D4B1" w14:textId="77777777" w:rsidR="000A19CD" w:rsidRPr="00AC5825" w:rsidRDefault="000A19CD" w:rsidP="00176F98">
      <w:pPr>
        <w:pStyle w:val="ZZAnxheader"/>
      </w:pPr>
      <w:r w:rsidRPr="00AC5825">
        <w:t>Annex I</w:t>
      </w:r>
    </w:p>
    <w:p w14:paraId="2423498B" w14:textId="731DE247" w:rsidR="000A19CD" w:rsidRPr="00AC5825" w:rsidRDefault="000A19CD" w:rsidP="00176F98">
      <w:pPr>
        <w:pStyle w:val="ZZAnxtitle"/>
      </w:pPr>
      <w:r w:rsidRPr="00AC5825">
        <w:t>Draft decision MC-</w:t>
      </w:r>
      <w:r w:rsidR="0007408F" w:rsidRPr="00AC5825">
        <w:t>3</w:t>
      </w:r>
      <w:r w:rsidRPr="00AC5825">
        <w:t>[</w:t>
      </w:r>
      <w:r w:rsidR="00C16F6C">
        <w:t>--</w:t>
      </w:r>
      <w:r w:rsidRPr="00AC5825">
        <w:t xml:space="preserve">]: </w:t>
      </w:r>
      <w:r w:rsidR="0007408F" w:rsidRPr="00AC5825">
        <w:t>P</w:t>
      </w:r>
      <w:r w:rsidRPr="00AC5825">
        <w:t xml:space="preserve">rogramme of work and budget for the </w:t>
      </w:r>
      <w:r w:rsidR="005475DF" w:rsidRPr="00AC5825">
        <w:t xml:space="preserve">biennium </w:t>
      </w:r>
      <w:r w:rsidRPr="00AC5825">
        <w:t>20</w:t>
      </w:r>
      <w:r w:rsidR="0007408F" w:rsidRPr="00AC5825">
        <w:t>20</w:t>
      </w:r>
      <w:r w:rsidR="006A139C" w:rsidRPr="00AC5825">
        <w:t>–</w:t>
      </w:r>
      <w:r w:rsidRPr="00AC5825">
        <w:t>20</w:t>
      </w:r>
      <w:r w:rsidR="0007408F" w:rsidRPr="00AC5825">
        <w:t>21</w:t>
      </w:r>
      <w:r w:rsidRPr="00AC5825">
        <w:t xml:space="preserve"> </w:t>
      </w:r>
    </w:p>
    <w:p w14:paraId="78C918A8" w14:textId="77777777" w:rsidR="000A19CD" w:rsidRPr="00AC5825" w:rsidRDefault="000A19CD" w:rsidP="00367C87">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AC5825">
        <w:rPr>
          <w:i/>
        </w:rPr>
        <w:t xml:space="preserve">The Conference of the Parties, </w:t>
      </w:r>
    </w:p>
    <w:p w14:paraId="55C3E9F4" w14:textId="0ED449B2" w:rsidR="000A19CD" w:rsidRPr="00AC5825" w:rsidRDefault="000A19CD"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pPr>
      <w:r w:rsidRPr="00AC5825">
        <w:rPr>
          <w:i/>
          <w:iCs/>
        </w:rPr>
        <w:t xml:space="preserve">Recalling </w:t>
      </w:r>
      <w:r w:rsidR="00CB4ACA" w:rsidRPr="00AC5825">
        <w:t>its decision MC-1/</w:t>
      </w:r>
      <w:r w:rsidRPr="00AC5825">
        <w:t xml:space="preserve">15 </w:t>
      </w:r>
      <w:r w:rsidR="00340E98" w:rsidRPr="00AC5825">
        <w:t>on</w:t>
      </w:r>
      <w:r w:rsidRPr="00AC5825">
        <w:t xml:space="preserve"> the programme of work of the secretariat and </w:t>
      </w:r>
      <w:r w:rsidR="00907C07" w:rsidRPr="00AC5825">
        <w:t>proposed</w:t>
      </w:r>
      <w:r w:rsidRPr="00AC5825">
        <w:t xml:space="preserve"> bu</w:t>
      </w:r>
      <w:r w:rsidR="000316EE" w:rsidRPr="00AC5825">
        <w:t>dget for the biennium 2018</w:t>
      </w:r>
      <w:r w:rsidR="006A139C" w:rsidRPr="00AC5825">
        <w:t>–</w:t>
      </w:r>
      <w:r w:rsidR="000316EE" w:rsidRPr="00AC5825">
        <w:t>2019</w:t>
      </w:r>
      <w:r w:rsidR="00F24288" w:rsidRPr="00AC5825">
        <w:t>,</w:t>
      </w:r>
    </w:p>
    <w:p w14:paraId="011BF63A" w14:textId="4AFABBD2" w:rsidR="0007408F" w:rsidRPr="00AC5825" w:rsidRDefault="0007408F"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pPr>
      <w:r w:rsidRPr="00AC5825">
        <w:rPr>
          <w:i/>
          <w:iCs/>
        </w:rPr>
        <w:t>Recalling</w:t>
      </w:r>
      <w:r w:rsidR="0035397C" w:rsidRPr="00AC5825">
        <w:rPr>
          <w:i/>
          <w:iCs/>
        </w:rPr>
        <w:t xml:space="preserve"> also</w:t>
      </w:r>
      <w:r w:rsidRPr="00AC5825">
        <w:t xml:space="preserve"> its decision MC-2/</w:t>
      </w:r>
      <w:r w:rsidR="00801BB3" w:rsidRPr="00AC5825">
        <w:t>12</w:t>
      </w:r>
      <w:r w:rsidRPr="00AC5825">
        <w:t xml:space="preserve"> on the </w:t>
      </w:r>
      <w:r w:rsidR="00801BB3" w:rsidRPr="00AC5825">
        <w:t>u</w:t>
      </w:r>
      <w:r w:rsidRPr="00AC5825">
        <w:t>pdate</w:t>
      </w:r>
      <w:r w:rsidR="00801BB3" w:rsidRPr="00AC5825">
        <w:t xml:space="preserve"> on the budget for 2019,</w:t>
      </w:r>
    </w:p>
    <w:p w14:paraId="74F849BC" w14:textId="5C7EA21F" w:rsidR="0007408F" w:rsidRPr="00AC5825" w:rsidRDefault="0007408F"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rPr>
          <w:i/>
          <w:iCs/>
        </w:rPr>
      </w:pPr>
      <w:r w:rsidRPr="00AC5825">
        <w:rPr>
          <w:i/>
          <w:iCs/>
        </w:rPr>
        <w:t xml:space="preserve">Welcoming </w:t>
      </w:r>
      <w:r w:rsidRPr="00AC5825">
        <w:t>the effort</w:t>
      </w:r>
      <w:r w:rsidR="00C07552" w:rsidRPr="00AC5825">
        <w:t xml:space="preserve"> undertaken</w:t>
      </w:r>
      <w:r w:rsidRPr="00AC5825">
        <w:t xml:space="preserve"> </w:t>
      </w:r>
      <w:r w:rsidR="00801BB3" w:rsidRPr="00AC5825">
        <w:t>by</w:t>
      </w:r>
      <w:r w:rsidRPr="00AC5825">
        <w:t xml:space="preserve"> the Executive Directo</w:t>
      </w:r>
      <w:r w:rsidR="00801BB3" w:rsidRPr="00AC5825">
        <w:t xml:space="preserve">r of the United Nations Environment Programme </w:t>
      </w:r>
      <w:r w:rsidR="00C07552" w:rsidRPr="00AC5825">
        <w:t>in preparing</w:t>
      </w:r>
      <w:r w:rsidR="00801BB3" w:rsidRPr="00AC5825">
        <w:t xml:space="preserve"> an operative proposal, as requested in paragraph 1 of</w:t>
      </w:r>
      <w:r w:rsidR="00C07552" w:rsidRPr="00AC5825">
        <w:t xml:space="preserve"> decision</w:t>
      </w:r>
      <w:r w:rsidR="00801BB3" w:rsidRPr="00AC5825">
        <w:t xml:space="preserve"> MC-2/7, to maximi</w:t>
      </w:r>
      <w:r w:rsidR="00670F76" w:rsidRPr="00AC5825">
        <w:t>z</w:t>
      </w:r>
      <w:r w:rsidR="00801BB3" w:rsidRPr="00AC5825">
        <w:t>e the effective and efficient use of resources of the Minamata Convention,</w:t>
      </w:r>
      <w:r w:rsidR="00801BB3" w:rsidRPr="00AC5825">
        <w:rPr>
          <w:i/>
          <w:iCs/>
        </w:rPr>
        <w:t xml:space="preserve"> </w:t>
      </w:r>
    </w:p>
    <w:p w14:paraId="57F31878" w14:textId="058EFDA3" w:rsidR="000A19CD" w:rsidRPr="00AC5825" w:rsidRDefault="000A19CD"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pPr>
      <w:r w:rsidRPr="00AC5825">
        <w:rPr>
          <w:i/>
          <w:iCs/>
        </w:rPr>
        <w:t xml:space="preserve">Welcoming </w:t>
      </w:r>
      <w:r w:rsidR="0035397C" w:rsidRPr="00AC5825">
        <w:rPr>
          <w:i/>
          <w:iCs/>
        </w:rPr>
        <w:t xml:space="preserve">also </w:t>
      </w:r>
      <w:r w:rsidRPr="00AC5825">
        <w:t>the annual contribution by Switzerland, the host country of the secretariat</w:t>
      </w:r>
      <w:r w:rsidR="000316EE" w:rsidRPr="00AC5825">
        <w:t>, of 1</w:t>
      </w:r>
      <w:r w:rsidR="00367C87" w:rsidRPr="00AC5825">
        <w:t> </w:t>
      </w:r>
      <w:r w:rsidR="000316EE" w:rsidRPr="00AC5825">
        <w:t>million Swiss francs</w:t>
      </w:r>
      <w:r w:rsidR="00CB4ACA" w:rsidRPr="00AC5825">
        <w:t xml:space="preserve">, apportioned 60 per cent to the </w:t>
      </w:r>
      <w:r w:rsidR="00175427" w:rsidRPr="00AC5825">
        <w:t>general</w:t>
      </w:r>
      <w:r w:rsidR="00CB4ACA" w:rsidRPr="00AC5825">
        <w:t xml:space="preserve"> </w:t>
      </w:r>
      <w:r w:rsidR="00175427" w:rsidRPr="00AC5825">
        <w:t>t</w:t>
      </w:r>
      <w:r w:rsidR="00CB4ACA" w:rsidRPr="00AC5825">
        <w:t xml:space="preserve">rust </w:t>
      </w:r>
      <w:r w:rsidR="00175427" w:rsidRPr="00AC5825">
        <w:t>f</w:t>
      </w:r>
      <w:r w:rsidR="00CB4ACA" w:rsidRPr="00AC5825">
        <w:t xml:space="preserve">und and 40 per cent to the </w:t>
      </w:r>
      <w:r w:rsidR="00175427" w:rsidRPr="00AC5825">
        <w:t>s</w:t>
      </w:r>
      <w:r w:rsidR="00CB4ACA" w:rsidRPr="00AC5825">
        <w:t xml:space="preserve">pecial </w:t>
      </w:r>
      <w:r w:rsidR="00175427" w:rsidRPr="00AC5825">
        <w:t>t</w:t>
      </w:r>
      <w:r w:rsidR="00CB4ACA" w:rsidRPr="00AC5825">
        <w:t xml:space="preserve">rust </w:t>
      </w:r>
      <w:r w:rsidR="00175427" w:rsidRPr="00AC5825">
        <w:t>f</w:t>
      </w:r>
      <w:r w:rsidR="00CB4ACA" w:rsidRPr="00AC5825">
        <w:t xml:space="preserve">und </w:t>
      </w:r>
      <w:r w:rsidR="00814DD8" w:rsidRPr="00AC5825">
        <w:t xml:space="preserve">to be prioritized </w:t>
      </w:r>
      <w:r w:rsidR="00CB4ACA" w:rsidRPr="00AC5825">
        <w:t xml:space="preserve">for the purpose of supporting the participation </w:t>
      </w:r>
      <w:r w:rsidR="00A30A78" w:rsidRPr="00AC5825">
        <w:t xml:space="preserve">of representatives from developing countries in the meetings of the Conference of </w:t>
      </w:r>
      <w:r w:rsidR="00483932" w:rsidRPr="00AC5825">
        <w:t xml:space="preserve">the </w:t>
      </w:r>
      <w:r w:rsidR="00A30A78" w:rsidRPr="00AC5825">
        <w:t>Parties</w:t>
      </w:r>
      <w:r w:rsidR="00F24288" w:rsidRPr="00AC5825">
        <w:t>,</w:t>
      </w:r>
    </w:p>
    <w:p w14:paraId="23FEA3D7" w14:textId="18E7EE6A" w:rsidR="00D613A4" w:rsidRPr="00AC5825" w:rsidRDefault="0007408F"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pPr>
      <w:r w:rsidRPr="00AC5825">
        <w:rPr>
          <w:i/>
          <w:iCs/>
        </w:rPr>
        <w:t>Taking note</w:t>
      </w:r>
      <w:r w:rsidR="00D613A4" w:rsidRPr="00AC5825">
        <w:t xml:space="preserve"> of </w:t>
      </w:r>
      <w:r w:rsidRPr="00AC5825">
        <w:t xml:space="preserve">the </w:t>
      </w:r>
      <w:r w:rsidR="00D613A4" w:rsidRPr="00AC5825">
        <w:t xml:space="preserve">contributions paid by </w:t>
      </w:r>
      <w:r w:rsidRPr="00AC5825">
        <w:t>the</w:t>
      </w:r>
      <w:r w:rsidR="00953E1C" w:rsidRPr="00AC5825">
        <w:t xml:space="preserve"> </w:t>
      </w:r>
      <w:r w:rsidR="00D613A4" w:rsidRPr="00AC5825">
        <w:t xml:space="preserve">parties to the </w:t>
      </w:r>
      <w:r w:rsidR="00175427" w:rsidRPr="00AC5825">
        <w:t>g</w:t>
      </w:r>
      <w:r w:rsidR="00D613A4" w:rsidRPr="00AC5825">
        <w:t xml:space="preserve">eneral </w:t>
      </w:r>
      <w:r w:rsidR="00175427" w:rsidRPr="00AC5825">
        <w:t>t</w:t>
      </w:r>
      <w:r w:rsidR="00D613A4" w:rsidRPr="00AC5825">
        <w:t>rust</w:t>
      </w:r>
      <w:r w:rsidR="000316EE" w:rsidRPr="00AC5825">
        <w:t xml:space="preserve"> </w:t>
      </w:r>
      <w:r w:rsidR="00175427" w:rsidRPr="00AC5825">
        <w:t>f</w:t>
      </w:r>
      <w:r w:rsidR="000316EE" w:rsidRPr="00AC5825">
        <w:t>und</w:t>
      </w:r>
      <w:r w:rsidR="00F24288" w:rsidRPr="00AC5825">
        <w:t>,</w:t>
      </w:r>
    </w:p>
    <w:p w14:paraId="1B8B2766" w14:textId="14B20B16" w:rsidR="00175427" w:rsidRPr="00AC5825" w:rsidRDefault="00175427"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pPr>
      <w:r w:rsidRPr="00AC5825">
        <w:rPr>
          <w:i/>
          <w:iCs/>
        </w:rPr>
        <w:t>Noting</w:t>
      </w:r>
      <w:r w:rsidRPr="00AC5825">
        <w:t xml:space="preserve"> that the Convention’s full working capital reserve in the general trust fund was established in 2018,</w:t>
      </w:r>
    </w:p>
    <w:p w14:paraId="042B3957" w14:textId="59A5080B" w:rsidR="00D613A4" w:rsidRPr="00AC5825" w:rsidRDefault="00483932"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pPr>
      <w:r w:rsidRPr="00AC5825">
        <w:rPr>
          <w:i/>
          <w:iCs/>
        </w:rPr>
        <w:t>Recogni</w:t>
      </w:r>
      <w:r w:rsidR="001E2027" w:rsidRPr="00AC5825">
        <w:rPr>
          <w:i/>
          <w:iCs/>
        </w:rPr>
        <w:t>z</w:t>
      </w:r>
      <w:r w:rsidRPr="00AC5825">
        <w:rPr>
          <w:i/>
          <w:iCs/>
        </w:rPr>
        <w:t>ing</w:t>
      </w:r>
      <w:r w:rsidR="00D613A4" w:rsidRPr="00AC5825">
        <w:rPr>
          <w:i/>
          <w:iCs/>
        </w:rPr>
        <w:t xml:space="preserve"> with </w:t>
      </w:r>
      <w:r w:rsidR="00340E98" w:rsidRPr="00AC5825">
        <w:rPr>
          <w:i/>
          <w:iCs/>
        </w:rPr>
        <w:t xml:space="preserve">appreciation </w:t>
      </w:r>
      <w:r w:rsidR="00D613A4" w:rsidRPr="00AC5825">
        <w:t>the contributions and pledges made by Austria, the European Union, Finland, France, Japan, Norway, the Philippines, Sweden and Switzerland</w:t>
      </w:r>
      <w:r w:rsidR="00953E1C" w:rsidRPr="00AC5825">
        <w:t xml:space="preserve"> </w:t>
      </w:r>
      <w:r w:rsidR="000316EE" w:rsidRPr="00AC5825">
        <w:t xml:space="preserve">to the </w:t>
      </w:r>
      <w:r w:rsidR="00175427" w:rsidRPr="00AC5825">
        <w:t>s</w:t>
      </w:r>
      <w:r w:rsidR="000316EE" w:rsidRPr="00AC5825">
        <w:t xml:space="preserve">pecial </w:t>
      </w:r>
      <w:r w:rsidR="00175427" w:rsidRPr="00AC5825">
        <w:t>t</w:t>
      </w:r>
      <w:r w:rsidR="000316EE" w:rsidRPr="00AC5825">
        <w:t xml:space="preserve">rust </w:t>
      </w:r>
      <w:r w:rsidR="00175427" w:rsidRPr="00AC5825">
        <w:t>f</w:t>
      </w:r>
      <w:r w:rsidR="000316EE" w:rsidRPr="00AC5825">
        <w:t>und</w:t>
      </w:r>
      <w:r w:rsidR="00952C6F" w:rsidRPr="00AC5825">
        <w:t xml:space="preserve"> in the biennium 2018</w:t>
      </w:r>
      <w:r w:rsidR="00B246AC" w:rsidRPr="00AC5825">
        <w:sym w:font="Symbol" w:char="F02D"/>
      </w:r>
      <w:r w:rsidR="00952C6F" w:rsidRPr="00AC5825">
        <w:t>2019</w:t>
      </w:r>
      <w:r w:rsidR="00F24288" w:rsidRPr="00AC5825">
        <w:t>,</w:t>
      </w:r>
      <w:r w:rsidR="00D613A4" w:rsidRPr="00AC5825">
        <w:t xml:space="preserve"> </w:t>
      </w:r>
    </w:p>
    <w:p w14:paraId="09436366" w14:textId="42FB65D1" w:rsidR="00B7286C" w:rsidRPr="00AC5825" w:rsidRDefault="00340E98"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pPr>
      <w:r w:rsidRPr="00AC5825">
        <w:rPr>
          <w:i/>
          <w:iCs/>
        </w:rPr>
        <w:t>R</w:t>
      </w:r>
      <w:r w:rsidR="00483932" w:rsidRPr="00AC5825">
        <w:rPr>
          <w:i/>
          <w:iCs/>
        </w:rPr>
        <w:t>ecogni</w:t>
      </w:r>
      <w:r w:rsidR="001E2027" w:rsidRPr="00AC5825">
        <w:rPr>
          <w:i/>
          <w:iCs/>
        </w:rPr>
        <w:t>z</w:t>
      </w:r>
      <w:r w:rsidR="00483932" w:rsidRPr="00AC5825">
        <w:rPr>
          <w:i/>
          <w:iCs/>
        </w:rPr>
        <w:t>ing</w:t>
      </w:r>
      <w:r w:rsidRPr="00AC5825">
        <w:rPr>
          <w:i/>
          <w:iCs/>
        </w:rPr>
        <w:t xml:space="preserve"> also</w:t>
      </w:r>
      <w:r w:rsidR="00C16F6C">
        <w:rPr>
          <w:i/>
          <w:iCs/>
        </w:rPr>
        <w:t>,</w:t>
      </w:r>
      <w:r w:rsidR="0016238C" w:rsidRPr="00AC5825">
        <w:rPr>
          <w:i/>
          <w:iCs/>
        </w:rPr>
        <w:t xml:space="preserve"> with </w:t>
      </w:r>
      <w:r w:rsidRPr="00AC5825">
        <w:rPr>
          <w:i/>
          <w:iCs/>
        </w:rPr>
        <w:t>appreciation</w:t>
      </w:r>
      <w:r w:rsidR="00C16F6C">
        <w:rPr>
          <w:i/>
          <w:iCs/>
        </w:rPr>
        <w:t>,</w:t>
      </w:r>
      <w:r w:rsidR="0016238C" w:rsidRPr="00AC5825">
        <w:t xml:space="preserve"> the contributions and pledges made by Austria, Denmark, Germany, the Netherlands, Norway, the United Kingdom </w:t>
      </w:r>
      <w:r w:rsidR="00F24288" w:rsidRPr="00AC5825">
        <w:t xml:space="preserve">of Great Britain and Northern Ireland </w:t>
      </w:r>
      <w:r w:rsidR="0016238C" w:rsidRPr="00AC5825">
        <w:t>and the United States</w:t>
      </w:r>
      <w:r w:rsidRPr="00AC5825">
        <w:t xml:space="preserve"> of America</w:t>
      </w:r>
      <w:r w:rsidR="00953E1C" w:rsidRPr="00AC5825">
        <w:t xml:space="preserve"> </w:t>
      </w:r>
      <w:r w:rsidR="0016238C" w:rsidRPr="00AC5825">
        <w:t xml:space="preserve">to the </w:t>
      </w:r>
      <w:r w:rsidR="00E921DE" w:rsidRPr="00AC5825">
        <w:t>S</w:t>
      </w:r>
      <w:r w:rsidR="0016238C" w:rsidRPr="00AC5825">
        <w:t xml:space="preserve">pecific </w:t>
      </w:r>
      <w:r w:rsidR="00E921DE" w:rsidRPr="00AC5825">
        <w:t>T</w:t>
      </w:r>
      <w:r w:rsidR="0016238C" w:rsidRPr="00AC5825">
        <w:t>rust</w:t>
      </w:r>
      <w:r w:rsidR="000316EE" w:rsidRPr="00AC5825">
        <w:t xml:space="preserve"> </w:t>
      </w:r>
      <w:r w:rsidR="00E921DE" w:rsidRPr="00AC5825">
        <w:t>F</w:t>
      </w:r>
      <w:r w:rsidR="000316EE" w:rsidRPr="00AC5825">
        <w:t>und</w:t>
      </w:r>
      <w:r w:rsidR="00952C6F" w:rsidRPr="00AC5825">
        <w:t xml:space="preserve"> in the biennium 2018</w:t>
      </w:r>
      <w:r w:rsidR="00B246AC" w:rsidRPr="00AC5825">
        <w:sym w:font="Symbol" w:char="F02D"/>
      </w:r>
      <w:r w:rsidR="00952C6F" w:rsidRPr="00AC5825">
        <w:t>2019</w:t>
      </w:r>
      <w:r w:rsidR="00F24288" w:rsidRPr="00AC5825">
        <w:t>,</w:t>
      </w:r>
    </w:p>
    <w:p w14:paraId="29FFC218" w14:textId="0CDA4465" w:rsidR="00175427" w:rsidRPr="00AC5825" w:rsidRDefault="00175427" w:rsidP="00367C87">
      <w:pPr>
        <w:pStyle w:val="Normal-pool"/>
        <w:tabs>
          <w:tab w:val="clear" w:pos="1247"/>
          <w:tab w:val="clear" w:pos="1814"/>
          <w:tab w:val="clear" w:pos="2381"/>
          <w:tab w:val="clear" w:pos="2948"/>
          <w:tab w:val="clear" w:pos="3515"/>
          <w:tab w:val="clear" w:pos="4082"/>
          <w:tab w:val="left" w:pos="624"/>
        </w:tabs>
        <w:spacing w:after="120"/>
        <w:ind w:left="1247" w:firstLine="624"/>
        <w:rPr>
          <w:i/>
          <w:iCs/>
        </w:rPr>
      </w:pPr>
      <w:r w:rsidRPr="00AC5825">
        <w:rPr>
          <w:i/>
          <w:iCs/>
        </w:rPr>
        <w:t xml:space="preserve">Recalling </w:t>
      </w:r>
      <w:r w:rsidRPr="00AC5825">
        <w:t>its request to the</w:t>
      </w:r>
      <w:r w:rsidRPr="00AC5825">
        <w:rPr>
          <w:iCs/>
        </w:rPr>
        <w:t xml:space="preserve"> Executive Secretary to prepare a budget for the biennium </w:t>
      </w:r>
      <w:r w:rsidR="00367C87" w:rsidRPr="00AC5825">
        <w:rPr>
          <w:iCs/>
        </w:rPr>
        <w:br/>
      </w:r>
      <w:r w:rsidRPr="00AC5825">
        <w:rPr>
          <w:iCs/>
        </w:rPr>
        <w:t>2020–2021, for consideration by the Conference of the Parties at its third meeting, in 2019, explaining the key principles, assumptions and programmatic strategy on which the budget is based and presenting expenditures for that biennium in a programmatic format and broken down by budget activities, with each activity to be supported by a budget activity fact sheet</w:t>
      </w:r>
      <w:r w:rsidR="0025687A">
        <w:rPr>
          <w:iCs/>
        </w:rPr>
        <w:t>,</w:t>
      </w:r>
    </w:p>
    <w:p w14:paraId="3111532A" w14:textId="2C7E9C3A" w:rsidR="00175427" w:rsidRPr="00AC5825" w:rsidRDefault="00175427" w:rsidP="00367C87">
      <w:pPr>
        <w:pStyle w:val="Normal-pool"/>
        <w:tabs>
          <w:tab w:val="clear" w:pos="1247"/>
          <w:tab w:val="clear" w:pos="1814"/>
          <w:tab w:val="clear" w:pos="2381"/>
          <w:tab w:val="clear" w:pos="2948"/>
          <w:tab w:val="clear" w:pos="3515"/>
          <w:tab w:val="clear" w:pos="4082"/>
          <w:tab w:val="left" w:pos="624"/>
        </w:tabs>
        <w:spacing w:after="120"/>
        <w:ind w:left="1247" w:firstLine="624"/>
        <w:rPr>
          <w:i/>
          <w:iCs/>
        </w:rPr>
      </w:pPr>
      <w:r w:rsidRPr="00AC5825">
        <w:rPr>
          <w:i/>
          <w:iCs/>
        </w:rPr>
        <w:t xml:space="preserve">Recalling </w:t>
      </w:r>
      <w:r w:rsidR="0035397C" w:rsidRPr="00AC5825">
        <w:rPr>
          <w:i/>
          <w:iCs/>
        </w:rPr>
        <w:t xml:space="preserve">also </w:t>
      </w:r>
      <w:r w:rsidRPr="00AC5825">
        <w:t>its request to the Executive Secretary, in preparing the budgets and programme of work for the biennium 2020</w:t>
      </w:r>
      <w:r w:rsidRPr="00AC5825">
        <w:rPr>
          <w:iCs/>
        </w:rPr>
        <w:t>–</w:t>
      </w:r>
      <w:r w:rsidRPr="00AC5825">
        <w:t>2021, to present two scenarios:</w:t>
      </w:r>
    </w:p>
    <w:p w14:paraId="00B04B5A" w14:textId="77777777" w:rsidR="00175427" w:rsidRPr="00AC5825" w:rsidRDefault="00175427" w:rsidP="00837F5F">
      <w:pPr>
        <w:pStyle w:val="Normal-pool"/>
        <w:numPr>
          <w:ilvl w:val="1"/>
          <w:numId w:val="6"/>
        </w:numPr>
        <w:tabs>
          <w:tab w:val="clear" w:pos="1247"/>
          <w:tab w:val="clear" w:pos="1814"/>
          <w:tab w:val="clear" w:pos="2381"/>
          <w:tab w:val="clear" w:pos="2948"/>
          <w:tab w:val="clear" w:pos="3515"/>
          <w:tab w:val="clear" w:pos="4082"/>
          <w:tab w:val="left" w:pos="624"/>
        </w:tabs>
        <w:spacing w:after="120"/>
        <w:ind w:left="1247" w:firstLine="624"/>
      </w:pPr>
      <w:r w:rsidRPr="00AC5825">
        <w:t xml:space="preserve">One maintaining the operational budget at the 2019 level in nominal terms; </w:t>
      </w:r>
    </w:p>
    <w:p w14:paraId="4B3F1097" w14:textId="103C2621" w:rsidR="00175427" w:rsidRPr="00AC5825" w:rsidRDefault="00175427" w:rsidP="00837F5F">
      <w:pPr>
        <w:pStyle w:val="Normal-pool"/>
        <w:numPr>
          <w:ilvl w:val="1"/>
          <w:numId w:val="6"/>
        </w:numPr>
        <w:tabs>
          <w:tab w:val="clear" w:pos="1247"/>
          <w:tab w:val="clear" w:pos="1814"/>
          <w:tab w:val="clear" w:pos="2381"/>
          <w:tab w:val="clear" w:pos="2948"/>
          <w:tab w:val="clear" w:pos="3515"/>
          <w:tab w:val="clear" w:pos="4082"/>
          <w:tab w:val="left" w:pos="624"/>
        </w:tabs>
        <w:spacing w:after="120"/>
        <w:ind w:left="1247" w:firstLine="624"/>
      </w:pPr>
      <w:r w:rsidRPr="00AC5825">
        <w:t>One reflecting required changes to the above-mentioned scenario to meet the projected needs and costs or savings related thereto</w:t>
      </w:r>
      <w:r w:rsidR="0025687A">
        <w:t>,</w:t>
      </w:r>
    </w:p>
    <w:p w14:paraId="7D559E98" w14:textId="750B378A" w:rsidR="00175427" w:rsidRPr="00AC5825" w:rsidRDefault="00952C6F" w:rsidP="00367C87">
      <w:pPr>
        <w:pStyle w:val="Normal-pool"/>
        <w:tabs>
          <w:tab w:val="clear" w:pos="1247"/>
          <w:tab w:val="clear" w:pos="1814"/>
          <w:tab w:val="clear" w:pos="2381"/>
          <w:tab w:val="clear" w:pos="2948"/>
          <w:tab w:val="clear" w:pos="3515"/>
          <w:tab w:val="clear" w:pos="4082"/>
          <w:tab w:val="left" w:pos="624"/>
        </w:tabs>
        <w:spacing w:after="120"/>
        <w:ind w:left="1247" w:firstLine="624"/>
      </w:pPr>
      <w:r w:rsidRPr="00AC5825">
        <w:rPr>
          <w:i/>
        </w:rPr>
        <w:t>R</w:t>
      </w:r>
      <w:r w:rsidR="00175427" w:rsidRPr="00AC5825">
        <w:rPr>
          <w:i/>
        </w:rPr>
        <w:t>ecalling</w:t>
      </w:r>
      <w:r w:rsidRPr="00AC5825">
        <w:rPr>
          <w:i/>
        </w:rPr>
        <w:t xml:space="preserve"> </w:t>
      </w:r>
      <w:r w:rsidR="0035397C" w:rsidRPr="00AC5825">
        <w:rPr>
          <w:i/>
        </w:rPr>
        <w:t xml:space="preserve">further </w:t>
      </w:r>
      <w:r w:rsidR="00175427" w:rsidRPr="00AC5825">
        <w:rPr>
          <w:iCs/>
        </w:rPr>
        <w:t>its request to</w:t>
      </w:r>
      <w:r w:rsidR="00175427" w:rsidRPr="00AC5825">
        <w:t xml:space="preserve"> the Executive Secretary to take into account</w:t>
      </w:r>
      <w:r w:rsidRPr="00AC5825">
        <w:t xml:space="preserve"> the operative proposal on a stable framework for sharing of relevant services </w:t>
      </w:r>
      <w:r w:rsidR="005D4E0E" w:rsidRPr="00AC5825">
        <w:t>submitt</w:t>
      </w:r>
      <w:r w:rsidRPr="00AC5825">
        <w:t>ed by the Executive Director of the United</w:t>
      </w:r>
      <w:r w:rsidR="00746C1A">
        <w:t> </w:t>
      </w:r>
      <w:r w:rsidRPr="00AC5825">
        <w:t>Nations Environment Programme, including relevant options,</w:t>
      </w:r>
      <w:r w:rsidR="00175427" w:rsidRPr="00AC5825">
        <w:t xml:space="preserve"> in the preparation of the programme of work and budget for 2020–2021, pursuant to paragraph 2 of decision MC-2/7</w:t>
      </w:r>
      <w:r w:rsidR="0025687A">
        <w:t>,</w:t>
      </w:r>
    </w:p>
    <w:p w14:paraId="7FC48DCA" w14:textId="5E6DAFDE" w:rsidR="00907C07" w:rsidRPr="00AC5825" w:rsidRDefault="000A19CD" w:rsidP="00AD674A">
      <w:pPr>
        <w:pStyle w:val="CH2"/>
        <w:spacing w:before="240"/>
        <w:ind w:firstLine="0"/>
        <w:jc w:val="center"/>
      </w:pPr>
      <w:r w:rsidRPr="00AC5825">
        <w:t>I</w:t>
      </w:r>
    </w:p>
    <w:p w14:paraId="32807658" w14:textId="2D97C590" w:rsidR="000A19CD" w:rsidRPr="00D36664" w:rsidRDefault="00A36031" w:rsidP="00AD674A">
      <w:pPr>
        <w:pStyle w:val="CH2"/>
        <w:ind w:firstLine="0"/>
        <w:jc w:val="center"/>
      </w:pPr>
      <w:r w:rsidRPr="00AC5825">
        <w:t xml:space="preserve">General </w:t>
      </w:r>
      <w:r w:rsidR="00E921DE" w:rsidRPr="00AC5825">
        <w:t>t</w:t>
      </w:r>
      <w:r w:rsidRPr="00AC5825">
        <w:t xml:space="preserve">rust </w:t>
      </w:r>
      <w:r w:rsidR="00E921DE" w:rsidRPr="00D36664">
        <w:t>f</w:t>
      </w:r>
      <w:r w:rsidRPr="00D36664">
        <w:t>und</w:t>
      </w:r>
      <w:r w:rsidR="000A19CD" w:rsidRPr="00D36664">
        <w:t xml:space="preserve"> for the Minamata Convention on Mercury</w:t>
      </w:r>
    </w:p>
    <w:p w14:paraId="0548E078" w14:textId="417DD74C" w:rsidR="000A19CD" w:rsidRPr="00D36664" w:rsidRDefault="000A19CD" w:rsidP="00837F5F">
      <w:pPr>
        <w:pStyle w:val="Normalnumber"/>
        <w:keepNext/>
        <w:keepLines/>
        <w:numPr>
          <w:ilvl w:val="0"/>
          <w:numId w:val="5"/>
        </w:numPr>
        <w:tabs>
          <w:tab w:val="clear" w:pos="1134"/>
          <w:tab w:val="clear" w:pos="1247"/>
          <w:tab w:val="clear" w:pos="1814"/>
          <w:tab w:val="clear" w:pos="2381"/>
          <w:tab w:val="clear" w:pos="2948"/>
          <w:tab w:val="clear" w:pos="3515"/>
          <w:tab w:val="clear" w:pos="4082"/>
          <w:tab w:val="num" w:pos="624"/>
        </w:tabs>
        <w:ind w:firstLine="624"/>
      </w:pPr>
      <w:r w:rsidRPr="00D36664">
        <w:rPr>
          <w:i/>
        </w:rPr>
        <w:t xml:space="preserve">Takes </w:t>
      </w:r>
      <w:r w:rsidRPr="007008E8">
        <w:rPr>
          <w:i/>
        </w:rPr>
        <w:t>note</w:t>
      </w:r>
      <w:r w:rsidRPr="007008E8">
        <w:t xml:space="preserve"> of the</w:t>
      </w:r>
      <w:r w:rsidRPr="00D36664">
        <w:t xml:space="preserve"> </w:t>
      </w:r>
      <w:r w:rsidR="002A66DE" w:rsidRPr="00D36664">
        <w:t xml:space="preserve">report </w:t>
      </w:r>
      <w:r w:rsidRPr="00D36664">
        <w:t xml:space="preserve">provided by the Executive Secretary on the </w:t>
      </w:r>
      <w:r w:rsidR="002046DC" w:rsidRPr="00D36664">
        <w:t xml:space="preserve">main </w:t>
      </w:r>
      <w:r w:rsidRPr="00D36664">
        <w:t xml:space="preserve">activities of the secretariat </w:t>
      </w:r>
      <w:r w:rsidR="003D57DA" w:rsidRPr="00D36664">
        <w:t>in the intersessional period</w:t>
      </w:r>
      <w:r w:rsidR="00A30A78" w:rsidRPr="00D36664">
        <w:t>,</w:t>
      </w:r>
      <w:r w:rsidR="00D35357" w:rsidRPr="00D36664">
        <w:rPr>
          <w:rStyle w:val="FootnoteReference"/>
          <w:szCs w:val="20"/>
        </w:rPr>
        <w:footnoteReference w:id="3"/>
      </w:r>
      <w:r w:rsidR="003D57DA" w:rsidRPr="00D36664">
        <w:t xml:space="preserve"> </w:t>
      </w:r>
      <w:r w:rsidR="00E2508D" w:rsidRPr="00D36664">
        <w:t xml:space="preserve">as well as </w:t>
      </w:r>
      <w:r w:rsidR="009E3FF0" w:rsidRPr="00D36664">
        <w:t>the report on expenditures for the biennium 2018</w:t>
      </w:r>
      <w:r w:rsidR="005826E6">
        <w:t>–</w:t>
      </w:r>
      <w:r w:rsidR="009E3FF0" w:rsidRPr="00D36664">
        <w:t>2019</w:t>
      </w:r>
      <w:r w:rsidR="00291EEC" w:rsidRPr="00D36664">
        <w:t xml:space="preserve"> provided in the </w:t>
      </w:r>
      <w:r w:rsidR="00311C4E" w:rsidRPr="00D36664">
        <w:t>information</w:t>
      </w:r>
      <w:r w:rsidR="00291EEC" w:rsidRPr="00D36664">
        <w:t xml:space="preserve"> on financial matters</w:t>
      </w:r>
      <w:r w:rsidR="00B246AC" w:rsidRPr="00D36664">
        <w:t>;</w:t>
      </w:r>
      <w:r w:rsidR="009E3FF0" w:rsidRPr="00D36664">
        <w:rPr>
          <w:rStyle w:val="FootnoteReference"/>
          <w:szCs w:val="20"/>
        </w:rPr>
        <w:footnoteReference w:id="4"/>
      </w:r>
      <w:r w:rsidRPr="00D36664">
        <w:t xml:space="preserve"> </w:t>
      </w:r>
    </w:p>
    <w:p w14:paraId="2EBDECA4" w14:textId="65EB2F56" w:rsidR="002A66DE" w:rsidRPr="005C6555" w:rsidRDefault="00C16F6C" w:rsidP="00837F5F">
      <w:pPr>
        <w:pStyle w:val="Normalnumber"/>
        <w:keepNext/>
        <w:keepLines/>
        <w:numPr>
          <w:ilvl w:val="0"/>
          <w:numId w:val="5"/>
        </w:numPr>
        <w:tabs>
          <w:tab w:val="clear" w:pos="1134"/>
          <w:tab w:val="clear" w:pos="1247"/>
          <w:tab w:val="clear" w:pos="1814"/>
          <w:tab w:val="clear" w:pos="2381"/>
          <w:tab w:val="clear" w:pos="2948"/>
          <w:tab w:val="clear" w:pos="3515"/>
          <w:tab w:val="clear" w:pos="4082"/>
          <w:tab w:val="num" w:pos="624"/>
        </w:tabs>
        <w:ind w:firstLine="624"/>
      </w:pPr>
      <w:r w:rsidRPr="005C6555">
        <w:rPr>
          <w:i/>
          <w:iCs/>
        </w:rPr>
        <w:t>Also t</w:t>
      </w:r>
      <w:r w:rsidR="002A66DE" w:rsidRPr="005C6555">
        <w:rPr>
          <w:i/>
          <w:iCs/>
        </w:rPr>
        <w:t>akes note</w:t>
      </w:r>
      <w:r w:rsidR="002A66DE" w:rsidRPr="005C6555">
        <w:t xml:space="preserve"> of the </w:t>
      </w:r>
      <w:r w:rsidR="00FE081E" w:rsidRPr="005C6555">
        <w:t xml:space="preserve">proposed </w:t>
      </w:r>
      <w:r w:rsidR="002A66DE" w:rsidRPr="005C6555">
        <w:t>programme of work and budget for the biennium 2020</w:t>
      </w:r>
      <w:r w:rsidR="00A25CEA" w:rsidRPr="005C6555">
        <w:sym w:font="Symbol" w:char="F02D"/>
      </w:r>
      <w:r w:rsidR="002A66DE" w:rsidRPr="005C6555">
        <w:t>2021</w:t>
      </w:r>
      <w:r w:rsidR="00B246AC" w:rsidRPr="005C6555">
        <w:t>,</w:t>
      </w:r>
      <w:r w:rsidR="002A66DE" w:rsidRPr="005C6555">
        <w:rPr>
          <w:rStyle w:val="FootnoteReference"/>
          <w:szCs w:val="20"/>
        </w:rPr>
        <w:footnoteReference w:id="5"/>
      </w:r>
      <w:r w:rsidR="002A66DE" w:rsidRPr="005C6555">
        <w:t xml:space="preserve"> as well as </w:t>
      </w:r>
      <w:r w:rsidR="00311C4E" w:rsidRPr="005C6555">
        <w:t xml:space="preserve">the </w:t>
      </w:r>
      <w:r w:rsidR="002A66DE" w:rsidRPr="005C6555">
        <w:t>additional information on financial matters</w:t>
      </w:r>
      <w:r w:rsidR="00B246AC" w:rsidRPr="005C6555">
        <w:t>,</w:t>
      </w:r>
      <w:r w:rsidR="002A66DE" w:rsidRPr="005C6555">
        <w:rPr>
          <w:rStyle w:val="FootnoteReference"/>
          <w:szCs w:val="20"/>
        </w:rPr>
        <w:footnoteReference w:id="6"/>
      </w:r>
      <w:r w:rsidR="002A66DE" w:rsidRPr="005C6555">
        <w:t xml:space="preserve"> </w:t>
      </w:r>
      <w:r w:rsidR="007C7FC9" w:rsidRPr="005C6555">
        <w:t xml:space="preserve">the </w:t>
      </w:r>
      <w:r w:rsidR="009363B7" w:rsidRPr="005C6555">
        <w:t xml:space="preserve">proposed </w:t>
      </w:r>
      <w:r w:rsidR="007C7FC9" w:rsidRPr="005C6555">
        <w:t xml:space="preserve">operational </w:t>
      </w:r>
      <w:r w:rsidR="002A66DE" w:rsidRPr="005C6555">
        <w:t>budgets</w:t>
      </w:r>
      <w:r w:rsidR="009363B7" w:rsidRPr="005C6555">
        <w:t xml:space="preserve"> for the two funding scenarios</w:t>
      </w:r>
      <w:r w:rsidR="002A66DE" w:rsidRPr="005C6555">
        <w:rPr>
          <w:rStyle w:val="FootnoteReference"/>
          <w:szCs w:val="20"/>
        </w:rPr>
        <w:footnoteReference w:id="7"/>
      </w:r>
      <w:r w:rsidR="002A66DE" w:rsidRPr="005C6555">
        <w:t xml:space="preserve"> and the budget activity fact sheets</w:t>
      </w:r>
      <w:r w:rsidR="00A25CEA" w:rsidRPr="005C6555">
        <w:t>;</w:t>
      </w:r>
      <w:r w:rsidR="002A66DE" w:rsidRPr="005C6555">
        <w:rPr>
          <w:rStyle w:val="FootnoteReference"/>
          <w:szCs w:val="20"/>
        </w:rPr>
        <w:footnoteReference w:id="8"/>
      </w:r>
    </w:p>
    <w:p w14:paraId="57D80E8B" w14:textId="74DC7816" w:rsidR="00907C07" w:rsidRPr="005C6555" w:rsidRDefault="00907C07"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pPr>
      <w:r w:rsidRPr="005C6555">
        <w:rPr>
          <w:i/>
          <w:iCs/>
        </w:rPr>
        <w:t xml:space="preserve">Approves </w:t>
      </w:r>
      <w:r w:rsidRPr="005C6555">
        <w:t xml:space="preserve">the </w:t>
      </w:r>
      <w:r w:rsidR="00654A36" w:rsidRPr="005C6555">
        <w:t>budget</w:t>
      </w:r>
      <w:r w:rsidRPr="005C6555">
        <w:t xml:space="preserve"> for the </w:t>
      </w:r>
      <w:r w:rsidR="00E921DE" w:rsidRPr="005C6555">
        <w:t>g</w:t>
      </w:r>
      <w:r w:rsidR="00D613A4" w:rsidRPr="005C6555">
        <w:t xml:space="preserve">eneral </w:t>
      </w:r>
      <w:r w:rsidR="00E921DE" w:rsidRPr="005C6555">
        <w:t>t</w:t>
      </w:r>
      <w:r w:rsidR="00D613A4" w:rsidRPr="005C6555">
        <w:t xml:space="preserve">rust </w:t>
      </w:r>
      <w:r w:rsidR="00E921DE" w:rsidRPr="005C6555">
        <w:t>f</w:t>
      </w:r>
      <w:r w:rsidR="00D613A4" w:rsidRPr="005C6555">
        <w:t>und</w:t>
      </w:r>
      <w:r w:rsidRPr="005C6555">
        <w:t xml:space="preserve"> for </w:t>
      </w:r>
      <w:r w:rsidR="00952C6F" w:rsidRPr="005C6555">
        <w:t xml:space="preserve">the </w:t>
      </w:r>
      <w:r w:rsidR="002A66DE" w:rsidRPr="005C6555">
        <w:t>biennium 2020</w:t>
      </w:r>
      <w:r w:rsidR="00A25CEA" w:rsidRPr="005C6555">
        <w:sym w:font="Symbol" w:char="F02D"/>
      </w:r>
      <w:r w:rsidR="002A66DE" w:rsidRPr="005C6555">
        <w:t xml:space="preserve">2021 </w:t>
      </w:r>
      <w:r w:rsidR="000316EE" w:rsidRPr="005C6555">
        <w:t xml:space="preserve">of </w:t>
      </w:r>
      <w:r w:rsidR="005475DF" w:rsidRPr="005C6555">
        <w:t>[</w:t>
      </w:r>
      <w:r w:rsidR="00C16F6C" w:rsidRPr="005C6555">
        <w:t>--</w:t>
      </w:r>
      <w:r w:rsidR="005475DF" w:rsidRPr="005C6555">
        <w:t>]</w:t>
      </w:r>
      <w:r w:rsidR="000316EE" w:rsidRPr="005C6555">
        <w:t xml:space="preserve"> United</w:t>
      </w:r>
      <w:r w:rsidR="00746C1A">
        <w:t> </w:t>
      </w:r>
      <w:r w:rsidR="000316EE" w:rsidRPr="005C6555">
        <w:t>States dollars;</w:t>
      </w:r>
    </w:p>
    <w:p w14:paraId="6968FD06" w14:textId="76B9B7BB" w:rsidR="00762454" w:rsidRPr="005C6555" w:rsidRDefault="00762454"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pPr>
      <w:bookmarkStart w:id="6" w:name="_Hlk15257842"/>
      <w:r w:rsidRPr="005C6555">
        <w:rPr>
          <w:i/>
          <w:iCs/>
        </w:rPr>
        <w:t xml:space="preserve">Authorizes </w:t>
      </w:r>
      <w:r w:rsidRPr="005C6555">
        <w:t xml:space="preserve">the Executive Secretary to draw down from the </w:t>
      </w:r>
      <w:r w:rsidR="0098280D" w:rsidRPr="005C6555">
        <w:t xml:space="preserve">estimated </w:t>
      </w:r>
      <w:r w:rsidRPr="005C6555">
        <w:t>available surplus of the general trust fund the amount of [</w:t>
      </w:r>
      <w:r w:rsidR="00C16F6C" w:rsidRPr="005C6555">
        <w:t>--</w:t>
      </w:r>
      <w:r w:rsidRPr="005C6555">
        <w:t>] United States dollars</w:t>
      </w:r>
      <w:r w:rsidR="00A25CEA" w:rsidRPr="005C6555">
        <w:t>;</w:t>
      </w:r>
      <w:r w:rsidRPr="005C6555">
        <w:rPr>
          <w:i/>
          <w:iCs/>
        </w:rPr>
        <w:t xml:space="preserve"> </w:t>
      </w:r>
    </w:p>
    <w:bookmarkEnd w:id="6"/>
    <w:p w14:paraId="16B2D81E" w14:textId="366ADEA6" w:rsidR="00907C07" w:rsidRPr="005C6555" w:rsidRDefault="00907C07"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pPr>
      <w:r w:rsidRPr="005C6555">
        <w:rPr>
          <w:i/>
          <w:iCs/>
        </w:rPr>
        <w:t xml:space="preserve">Adopts </w:t>
      </w:r>
      <w:r w:rsidRPr="005C6555">
        <w:t xml:space="preserve">the indicative scale of assessment for the apportionment of expenses for </w:t>
      </w:r>
      <w:r w:rsidR="002A66DE" w:rsidRPr="005C6555">
        <w:t>2020</w:t>
      </w:r>
      <w:r w:rsidR="00A25CEA" w:rsidRPr="005C6555">
        <w:sym w:font="Symbol" w:char="F02D"/>
      </w:r>
      <w:r w:rsidR="0043271D" w:rsidRPr="005C6555">
        <w:t>2021</w:t>
      </w:r>
      <w:r w:rsidR="002A66DE" w:rsidRPr="005C6555">
        <w:t xml:space="preserve"> </w:t>
      </w:r>
      <w:r w:rsidRPr="005C6555">
        <w:t xml:space="preserve">as set out in table </w:t>
      </w:r>
      <w:r w:rsidR="005475DF" w:rsidRPr="005C6555">
        <w:t>[</w:t>
      </w:r>
      <w:r w:rsidR="00C16F6C" w:rsidRPr="005C6555">
        <w:t>--</w:t>
      </w:r>
      <w:r w:rsidR="005475DF" w:rsidRPr="005C6555">
        <w:t>]</w:t>
      </w:r>
      <w:r w:rsidRPr="005C6555">
        <w:t xml:space="preserve"> of the</w:t>
      </w:r>
      <w:r w:rsidR="00483932" w:rsidRPr="005C6555">
        <w:t xml:space="preserve"> present decision and authori</w:t>
      </w:r>
      <w:r w:rsidR="00D35357" w:rsidRPr="005C6555">
        <w:t>z</w:t>
      </w:r>
      <w:r w:rsidR="00483932" w:rsidRPr="005C6555">
        <w:t>es</w:t>
      </w:r>
      <w:r w:rsidRPr="005C6555">
        <w:t xml:space="preserve"> the Executive Secretary, consistent with the Financial Regulations and Rules of the United Nations, to adjust the scale to include all parties for which the Convention</w:t>
      </w:r>
      <w:r w:rsidR="000316EE" w:rsidRPr="005C6555">
        <w:t xml:space="preserve"> is in force by 1 January 20</w:t>
      </w:r>
      <w:r w:rsidR="002A66DE" w:rsidRPr="005C6555">
        <w:t>20</w:t>
      </w:r>
      <w:r w:rsidR="000316EE" w:rsidRPr="005C6555">
        <w:t xml:space="preserve">; </w:t>
      </w:r>
    </w:p>
    <w:p w14:paraId="6619C6C5" w14:textId="24E93EFE" w:rsidR="00907C07" w:rsidRPr="005C6555" w:rsidRDefault="00907C07"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pPr>
      <w:r w:rsidRPr="005C6555">
        <w:rPr>
          <w:i/>
          <w:iCs/>
        </w:rPr>
        <w:t xml:space="preserve">Recalls </w:t>
      </w:r>
      <w:r w:rsidRPr="005C6555">
        <w:t xml:space="preserve">that contributions to the </w:t>
      </w:r>
      <w:r w:rsidR="00E921DE" w:rsidRPr="005C6555">
        <w:t>g</w:t>
      </w:r>
      <w:r w:rsidRPr="005C6555">
        <w:t xml:space="preserve">eneral </w:t>
      </w:r>
      <w:r w:rsidR="00E921DE" w:rsidRPr="005C6555">
        <w:t>t</w:t>
      </w:r>
      <w:r w:rsidRPr="005C6555">
        <w:t xml:space="preserve">rust </w:t>
      </w:r>
      <w:r w:rsidR="00E921DE" w:rsidRPr="005C6555">
        <w:t>f</w:t>
      </w:r>
      <w:r w:rsidRPr="005C6555">
        <w:t xml:space="preserve">und are due by 1 January of the year for which those contributions have been budgeted and </w:t>
      </w:r>
      <w:r w:rsidR="009C6788" w:rsidRPr="005C6555">
        <w:t xml:space="preserve">at </w:t>
      </w:r>
      <w:r w:rsidRPr="005C6555">
        <w:t xml:space="preserve">the latest by 31 December of that year, and requests parties to pay their contributions as soon as possible to enable the secretariat to </w:t>
      </w:r>
      <w:r w:rsidR="00483932" w:rsidRPr="005C6555">
        <w:t>carry out</w:t>
      </w:r>
      <w:r w:rsidRPr="005C6555">
        <w:t xml:space="preserve"> its work</w:t>
      </w:r>
      <w:r w:rsidR="000316EE" w:rsidRPr="005C6555">
        <w:t>;</w:t>
      </w:r>
    </w:p>
    <w:p w14:paraId="05EB6589" w14:textId="77777777" w:rsidR="00907C07" w:rsidRPr="00AC5825" w:rsidRDefault="00907C07" w:rsidP="00367C87">
      <w:pPr>
        <w:pStyle w:val="CH2"/>
        <w:spacing w:before="240"/>
        <w:ind w:firstLine="0"/>
        <w:jc w:val="center"/>
      </w:pPr>
      <w:r w:rsidRPr="00AC5825">
        <w:t>II</w:t>
      </w:r>
    </w:p>
    <w:p w14:paraId="32A2F6D0" w14:textId="75BBF930" w:rsidR="002964D0" w:rsidRPr="00AC5825" w:rsidRDefault="00907C07" w:rsidP="00367C87">
      <w:pPr>
        <w:pStyle w:val="CH2"/>
        <w:ind w:firstLine="0"/>
        <w:jc w:val="center"/>
      </w:pPr>
      <w:r w:rsidRPr="00AC5825">
        <w:t>Special</w:t>
      </w:r>
      <w:r w:rsidR="0079429E" w:rsidRPr="00AC5825">
        <w:t xml:space="preserve"> </w:t>
      </w:r>
      <w:r w:rsidR="00E921DE" w:rsidRPr="00AC5825">
        <w:t>t</w:t>
      </w:r>
      <w:r w:rsidR="0079429E" w:rsidRPr="00AC5825">
        <w:t xml:space="preserve">rust </w:t>
      </w:r>
      <w:r w:rsidR="00E921DE" w:rsidRPr="00AC5825">
        <w:t>f</w:t>
      </w:r>
      <w:r w:rsidR="0079429E" w:rsidRPr="00AC5825">
        <w:t xml:space="preserve">und </w:t>
      </w:r>
      <w:r w:rsidRPr="00AC5825">
        <w:t>for the</w:t>
      </w:r>
      <w:r w:rsidR="00F2708D" w:rsidRPr="00AC5825">
        <w:t xml:space="preserve"> Minamata Convention on Mercury</w:t>
      </w:r>
    </w:p>
    <w:p w14:paraId="30E34C53" w14:textId="2ED8DFC1" w:rsidR="002964D0" w:rsidRPr="005C6555" w:rsidRDefault="002964D0"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pPr>
      <w:r w:rsidRPr="005C6555">
        <w:rPr>
          <w:i/>
          <w:iCs/>
        </w:rPr>
        <w:t>Takes note</w:t>
      </w:r>
      <w:r w:rsidRPr="005C6555">
        <w:t xml:space="preserve"> of the update provided by the Executive Secretary on the activities of 201</w:t>
      </w:r>
      <w:r w:rsidR="00762454" w:rsidRPr="005C6555">
        <w:t>9</w:t>
      </w:r>
      <w:r w:rsidRPr="005C6555">
        <w:t xml:space="preserve"> and the expenditures for 201</w:t>
      </w:r>
      <w:r w:rsidR="00F35CFC" w:rsidRPr="005C6555">
        <w:t>8</w:t>
      </w:r>
      <w:r w:rsidR="00A25CEA" w:rsidRPr="005C6555">
        <w:sym w:font="Symbol" w:char="F02D"/>
      </w:r>
      <w:r w:rsidR="00F35CFC" w:rsidRPr="005C6555">
        <w:t>2019</w:t>
      </w:r>
      <w:r w:rsidRPr="005C6555">
        <w:t xml:space="preserve"> </w:t>
      </w:r>
      <w:r w:rsidR="00D613A4" w:rsidRPr="005C6555">
        <w:t xml:space="preserve">through the </w:t>
      </w:r>
      <w:r w:rsidR="00762454" w:rsidRPr="005C6555">
        <w:t>s</w:t>
      </w:r>
      <w:r w:rsidR="00D613A4" w:rsidRPr="005C6555">
        <w:t xml:space="preserve">pecial </w:t>
      </w:r>
      <w:r w:rsidR="00762454" w:rsidRPr="005C6555">
        <w:t>t</w:t>
      </w:r>
      <w:r w:rsidR="00D613A4" w:rsidRPr="005C6555">
        <w:t xml:space="preserve">rust </w:t>
      </w:r>
      <w:r w:rsidR="00762454" w:rsidRPr="005C6555">
        <w:t>f</w:t>
      </w:r>
      <w:r w:rsidR="00D613A4" w:rsidRPr="005C6555">
        <w:t xml:space="preserve">und </w:t>
      </w:r>
      <w:r w:rsidRPr="005C6555">
        <w:t xml:space="preserve">as contained in </w:t>
      </w:r>
      <w:r w:rsidR="00F35CFC" w:rsidRPr="005C6555">
        <w:t xml:space="preserve">the </w:t>
      </w:r>
      <w:r w:rsidR="006E4B01" w:rsidRPr="005C6555">
        <w:t>information on financial matters</w:t>
      </w:r>
      <w:r w:rsidR="00A30A78" w:rsidRPr="005C6555">
        <w:t>,</w:t>
      </w:r>
      <w:r w:rsidR="009C6788" w:rsidRPr="005C6555">
        <w:rPr>
          <w:rStyle w:val="FootnoteReference"/>
          <w:szCs w:val="20"/>
        </w:rPr>
        <w:footnoteReference w:id="9"/>
      </w:r>
      <w:r w:rsidRPr="005C6555">
        <w:t xml:space="preserve"> as well as the </w:t>
      </w:r>
      <w:r w:rsidR="00733583" w:rsidRPr="005C6555">
        <w:t>report</w:t>
      </w:r>
      <w:r w:rsidR="005475DF" w:rsidRPr="005C6555">
        <w:t xml:space="preserve"> </w:t>
      </w:r>
      <w:r w:rsidRPr="005C6555">
        <w:t>on the</w:t>
      </w:r>
      <w:r w:rsidR="00040BA3" w:rsidRPr="005C6555">
        <w:t xml:space="preserve"> main</w:t>
      </w:r>
      <w:r w:rsidRPr="005C6555">
        <w:t xml:space="preserve"> activities of the secretariat</w:t>
      </w:r>
      <w:r w:rsidR="00733583" w:rsidRPr="005C6555">
        <w:t xml:space="preserve"> </w:t>
      </w:r>
      <w:r w:rsidR="00291EEC" w:rsidRPr="005C6555">
        <w:t>in the intersessional period</w:t>
      </w:r>
      <w:r w:rsidR="009363B7" w:rsidRPr="005C6555">
        <w:t>;</w:t>
      </w:r>
      <w:r w:rsidR="009C6788" w:rsidRPr="005C6555">
        <w:rPr>
          <w:rStyle w:val="FootnoteReference"/>
          <w:szCs w:val="20"/>
        </w:rPr>
        <w:footnoteReference w:id="10"/>
      </w:r>
      <w:r w:rsidRPr="005C6555">
        <w:t xml:space="preserve"> </w:t>
      </w:r>
    </w:p>
    <w:p w14:paraId="4B3A6F09" w14:textId="537FB52D" w:rsidR="003D4595" w:rsidRPr="005C6555" w:rsidRDefault="003D4595"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pPr>
      <w:r w:rsidRPr="005C6555">
        <w:rPr>
          <w:i/>
          <w:iCs/>
        </w:rPr>
        <w:t>Takes note also</w:t>
      </w:r>
      <w:r w:rsidRPr="005C6555">
        <w:t xml:space="preserve"> of the </w:t>
      </w:r>
      <w:r w:rsidR="00311C4E" w:rsidRPr="005C6555">
        <w:t xml:space="preserve">proposed </w:t>
      </w:r>
      <w:r w:rsidRPr="005C6555">
        <w:t>programme of work and budget for the biennium 2020</w:t>
      </w:r>
      <w:r w:rsidR="00A25CEA" w:rsidRPr="005C6555">
        <w:sym w:font="Symbol" w:char="F02D"/>
      </w:r>
      <w:r w:rsidRPr="005C6555">
        <w:t>2021</w:t>
      </w:r>
      <w:r w:rsidR="00A25CEA" w:rsidRPr="005C6555">
        <w:t>,</w:t>
      </w:r>
      <w:r w:rsidRPr="005C6555">
        <w:rPr>
          <w:rStyle w:val="FootnoteReference"/>
          <w:szCs w:val="20"/>
        </w:rPr>
        <w:footnoteReference w:id="11"/>
      </w:r>
      <w:r w:rsidRPr="005C6555">
        <w:t xml:space="preserve"> as well as </w:t>
      </w:r>
      <w:r w:rsidR="00311C4E" w:rsidRPr="005C6555">
        <w:t xml:space="preserve">the </w:t>
      </w:r>
      <w:r w:rsidRPr="005C6555">
        <w:t>additional information on financial matters</w:t>
      </w:r>
      <w:r w:rsidR="00A25CEA" w:rsidRPr="005C6555">
        <w:t>,</w:t>
      </w:r>
      <w:r w:rsidRPr="005C6555">
        <w:rPr>
          <w:rStyle w:val="FootnoteReference"/>
          <w:szCs w:val="20"/>
        </w:rPr>
        <w:footnoteReference w:id="12"/>
      </w:r>
      <w:r w:rsidRPr="005C6555">
        <w:t xml:space="preserve"> </w:t>
      </w:r>
      <w:r w:rsidR="007C76EC" w:rsidRPr="005C6555">
        <w:t xml:space="preserve">the </w:t>
      </w:r>
      <w:r w:rsidR="009363B7" w:rsidRPr="005C6555">
        <w:t xml:space="preserve">proposed </w:t>
      </w:r>
      <w:r w:rsidRPr="005C6555">
        <w:t>operati</w:t>
      </w:r>
      <w:r w:rsidR="007C76EC" w:rsidRPr="005C6555">
        <w:t xml:space="preserve">onal </w:t>
      </w:r>
      <w:r w:rsidRPr="005C6555">
        <w:t>budgets</w:t>
      </w:r>
      <w:r w:rsidR="009363B7" w:rsidRPr="005C6555">
        <w:t xml:space="preserve"> for the two funding scenarios</w:t>
      </w:r>
      <w:r w:rsidRPr="005C6555">
        <w:rPr>
          <w:rStyle w:val="FootnoteReference"/>
          <w:szCs w:val="20"/>
        </w:rPr>
        <w:footnoteReference w:id="13"/>
      </w:r>
      <w:r w:rsidRPr="005C6555">
        <w:t xml:space="preserve"> and the budget activity fact sheets</w:t>
      </w:r>
      <w:r w:rsidR="00A25CEA" w:rsidRPr="005C6555">
        <w:t>;</w:t>
      </w:r>
      <w:r w:rsidRPr="005C6555">
        <w:rPr>
          <w:rStyle w:val="FootnoteReference"/>
          <w:szCs w:val="20"/>
        </w:rPr>
        <w:footnoteReference w:id="14"/>
      </w:r>
    </w:p>
    <w:p w14:paraId="1AF3DFED" w14:textId="3B15EA37" w:rsidR="002964D0" w:rsidRPr="005C6555" w:rsidRDefault="00D613A4"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pPr>
      <w:r w:rsidRPr="005C6555">
        <w:rPr>
          <w:i/>
          <w:iCs/>
        </w:rPr>
        <w:t>Agree</w:t>
      </w:r>
      <w:r w:rsidR="002964D0" w:rsidRPr="005C6555">
        <w:rPr>
          <w:i/>
          <w:iCs/>
        </w:rPr>
        <w:t xml:space="preserve">s </w:t>
      </w:r>
      <w:r w:rsidR="002964D0" w:rsidRPr="005C6555">
        <w:t>t</w:t>
      </w:r>
      <w:r w:rsidRPr="005C6555">
        <w:t>o t</w:t>
      </w:r>
      <w:r w:rsidR="002964D0" w:rsidRPr="005C6555">
        <w:t xml:space="preserve">he </w:t>
      </w:r>
      <w:r w:rsidRPr="005C6555">
        <w:t xml:space="preserve">estimates </w:t>
      </w:r>
      <w:r w:rsidR="002964D0" w:rsidRPr="005C6555">
        <w:t xml:space="preserve">for the </w:t>
      </w:r>
      <w:r w:rsidR="003D4595" w:rsidRPr="005C6555">
        <w:t>s</w:t>
      </w:r>
      <w:r w:rsidRPr="005C6555">
        <w:t xml:space="preserve">pecial </w:t>
      </w:r>
      <w:r w:rsidR="003D4595" w:rsidRPr="005C6555">
        <w:t>t</w:t>
      </w:r>
      <w:r w:rsidRPr="005C6555">
        <w:t xml:space="preserve">rust </w:t>
      </w:r>
      <w:r w:rsidR="003D4595" w:rsidRPr="005C6555">
        <w:t>f</w:t>
      </w:r>
      <w:r w:rsidRPr="005C6555">
        <w:t>und</w:t>
      </w:r>
      <w:r w:rsidR="002964D0" w:rsidRPr="005C6555">
        <w:t xml:space="preserve"> for </w:t>
      </w:r>
      <w:r w:rsidR="003D4595" w:rsidRPr="005C6555">
        <w:t>the 2020</w:t>
      </w:r>
      <w:r w:rsidR="00A25CEA" w:rsidRPr="005C6555">
        <w:sym w:font="Symbol" w:char="F02D"/>
      </w:r>
      <w:r w:rsidR="002964D0" w:rsidRPr="005C6555">
        <w:t>20</w:t>
      </w:r>
      <w:r w:rsidR="003D4595" w:rsidRPr="005C6555">
        <w:t>21 biennium</w:t>
      </w:r>
      <w:r w:rsidR="000316EE" w:rsidRPr="005C6555">
        <w:t xml:space="preserve"> of </w:t>
      </w:r>
      <w:r w:rsidR="005475DF" w:rsidRPr="005C6555">
        <w:t>[</w:t>
      </w:r>
      <w:r w:rsidR="00C16F6C" w:rsidRPr="005C6555">
        <w:t>--</w:t>
      </w:r>
      <w:r w:rsidR="005475DF" w:rsidRPr="005C6555">
        <w:t xml:space="preserve">] </w:t>
      </w:r>
      <w:r w:rsidR="00072028" w:rsidRPr="005C6555">
        <w:t>United </w:t>
      </w:r>
      <w:r w:rsidR="000316EE" w:rsidRPr="005C6555">
        <w:t>States dollars;</w:t>
      </w:r>
      <w:r w:rsidR="002964D0" w:rsidRPr="005C6555">
        <w:t xml:space="preserve"> </w:t>
      </w:r>
    </w:p>
    <w:p w14:paraId="4C1D4A68" w14:textId="52C71ADE" w:rsidR="00354BBF" w:rsidRPr="005C6555" w:rsidRDefault="00805226"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pPr>
      <w:r w:rsidRPr="005C6555">
        <w:rPr>
          <w:i/>
          <w:iCs/>
        </w:rPr>
        <w:t>N</w:t>
      </w:r>
      <w:r w:rsidR="00354BBF" w:rsidRPr="005C6555">
        <w:rPr>
          <w:i/>
          <w:iCs/>
        </w:rPr>
        <w:t>ote</w:t>
      </w:r>
      <w:r w:rsidRPr="005C6555">
        <w:rPr>
          <w:i/>
          <w:iCs/>
        </w:rPr>
        <w:t>s</w:t>
      </w:r>
      <w:r w:rsidR="00354BBF" w:rsidRPr="005C6555">
        <w:rPr>
          <w:i/>
          <w:iCs/>
        </w:rPr>
        <w:t xml:space="preserve"> </w:t>
      </w:r>
      <w:r w:rsidR="009F4848" w:rsidRPr="005C6555">
        <w:t xml:space="preserve">that </w:t>
      </w:r>
      <w:r w:rsidR="00A85786" w:rsidRPr="005C6555">
        <w:t xml:space="preserve">implementation of </w:t>
      </w:r>
      <w:r w:rsidR="00311C4E" w:rsidRPr="005C6555">
        <w:t xml:space="preserve">the </w:t>
      </w:r>
      <w:r w:rsidR="00A85786" w:rsidRPr="005C6555">
        <w:t>planned activities is subject to the availability of resources contributed to the special trust fund;</w:t>
      </w:r>
    </w:p>
    <w:p w14:paraId="18E23D6C" w14:textId="33B5E487" w:rsidR="00D613A4" w:rsidRPr="005C6555" w:rsidRDefault="00D613A4"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pPr>
      <w:r w:rsidRPr="005C6555">
        <w:rPr>
          <w:i/>
          <w:iCs/>
        </w:rPr>
        <w:t xml:space="preserve">Requests </w:t>
      </w:r>
      <w:r w:rsidRPr="005C6555">
        <w:t>parties</w:t>
      </w:r>
      <w:r w:rsidR="00C16F6C" w:rsidRPr="005C6555">
        <w:t xml:space="preserve"> to the Convention,</w:t>
      </w:r>
      <w:r w:rsidRPr="005C6555">
        <w:t xml:space="preserve"> and invites non-parties to the Convention and others in a position to do so</w:t>
      </w:r>
      <w:r w:rsidR="00C16F6C" w:rsidRPr="005C6555">
        <w:t>,</w:t>
      </w:r>
      <w:r w:rsidR="00F2708D" w:rsidRPr="005C6555">
        <w:t xml:space="preserve"> to contribute to the </w:t>
      </w:r>
      <w:r w:rsidR="003D4595" w:rsidRPr="005C6555">
        <w:t>s</w:t>
      </w:r>
      <w:r w:rsidR="00F2708D" w:rsidRPr="005C6555">
        <w:t xml:space="preserve">pecial </w:t>
      </w:r>
      <w:r w:rsidR="003D4595" w:rsidRPr="005C6555">
        <w:t>t</w:t>
      </w:r>
      <w:r w:rsidRPr="005C6555">
        <w:t xml:space="preserve">rust </w:t>
      </w:r>
      <w:r w:rsidR="003D4595" w:rsidRPr="005C6555">
        <w:t>f</w:t>
      </w:r>
      <w:r w:rsidRPr="005C6555">
        <w:t xml:space="preserve">und to support </w:t>
      </w:r>
      <w:r w:rsidR="005475DF" w:rsidRPr="005C6555">
        <w:t>the</w:t>
      </w:r>
      <w:r w:rsidRPr="005C6555">
        <w:t xml:space="preserve"> capacity</w:t>
      </w:r>
      <w:r w:rsidR="005E0D7D" w:rsidRPr="005C6555">
        <w:t>-</w:t>
      </w:r>
      <w:r w:rsidRPr="005C6555">
        <w:t xml:space="preserve">building and technical assistance activities of the </w:t>
      </w:r>
      <w:r w:rsidR="002374E5" w:rsidRPr="005C6555">
        <w:t>secretariat of the Minamata C</w:t>
      </w:r>
      <w:r w:rsidRPr="005C6555">
        <w:t xml:space="preserve">onvention </w:t>
      </w:r>
      <w:r w:rsidR="00F2708D" w:rsidRPr="005C6555">
        <w:t>in accordance with article 14</w:t>
      </w:r>
      <w:r w:rsidR="005E0D7D" w:rsidRPr="005C6555">
        <w:t xml:space="preserve"> of the Convention</w:t>
      </w:r>
      <w:r w:rsidR="00F2708D" w:rsidRPr="005C6555">
        <w:t>;</w:t>
      </w:r>
    </w:p>
    <w:p w14:paraId="3A5B2629" w14:textId="0DA4CE24" w:rsidR="00F2708D" w:rsidRPr="00AC5825" w:rsidRDefault="003D4595" w:rsidP="00746C1A">
      <w:pPr>
        <w:pStyle w:val="Normalnumber"/>
        <w:keepNext/>
        <w:keepLines/>
        <w:numPr>
          <w:ilvl w:val="0"/>
          <w:numId w:val="5"/>
        </w:numPr>
        <w:tabs>
          <w:tab w:val="clear" w:pos="1134"/>
          <w:tab w:val="clear" w:pos="1247"/>
          <w:tab w:val="clear" w:pos="1814"/>
          <w:tab w:val="clear" w:pos="2381"/>
          <w:tab w:val="clear" w:pos="2948"/>
          <w:tab w:val="clear" w:pos="3515"/>
          <w:tab w:val="clear" w:pos="4082"/>
          <w:tab w:val="num" w:pos="624"/>
        </w:tabs>
        <w:ind w:firstLine="624"/>
      </w:pPr>
      <w:r w:rsidRPr="005C6555">
        <w:rPr>
          <w:i/>
          <w:iCs/>
        </w:rPr>
        <w:t>Invites</w:t>
      </w:r>
      <w:r w:rsidR="00D613A4" w:rsidRPr="005C6555">
        <w:t xml:space="preserve"> parties and non-parties to the </w:t>
      </w:r>
      <w:r w:rsidR="00F2708D" w:rsidRPr="005C6555">
        <w:t>Convention</w:t>
      </w:r>
      <w:r w:rsidR="00D613A4" w:rsidRPr="005C6555">
        <w:t xml:space="preserve"> and others in a position to do so to </w:t>
      </w:r>
      <w:r w:rsidR="00F2708D" w:rsidRPr="005C6555">
        <w:t>contribute</w:t>
      </w:r>
      <w:r w:rsidR="00D613A4" w:rsidRPr="005C6555">
        <w:t xml:space="preserve"> to the </w:t>
      </w:r>
      <w:r w:rsidRPr="005C6555">
        <w:t>s</w:t>
      </w:r>
      <w:r w:rsidR="00D613A4" w:rsidRPr="005C6555">
        <w:t xml:space="preserve">pecial </w:t>
      </w:r>
      <w:r w:rsidRPr="005C6555">
        <w:t>t</w:t>
      </w:r>
      <w:r w:rsidR="00D613A4" w:rsidRPr="005C6555">
        <w:t xml:space="preserve">rust </w:t>
      </w:r>
      <w:r w:rsidRPr="005C6555">
        <w:t>f</w:t>
      </w:r>
      <w:r w:rsidR="00D613A4" w:rsidRPr="005C6555">
        <w:t xml:space="preserve">und to support </w:t>
      </w:r>
      <w:r w:rsidR="00F2708D" w:rsidRPr="005C6555">
        <w:t>t</w:t>
      </w:r>
      <w:r w:rsidR="00D613A4" w:rsidRPr="005C6555">
        <w:t xml:space="preserve">he participation of </w:t>
      </w:r>
      <w:r w:rsidR="00F2708D" w:rsidRPr="005C6555">
        <w:t>representatives</w:t>
      </w:r>
      <w:r w:rsidR="000D7F52" w:rsidRPr="005C6555">
        <w:t xml:space="preserve"> of parties</w:t>
      </w:r>
      <w:r w:rsidR="00D613A4" w:rsidRPr="005C6555">
        <w:t xml:space="preserve"> from </w:t>
      </w:r>
      <w:r w:rsidR="00D613A4" w:rsidRPr="00AC5825">
        <w:t>developing co</w:t>
      </w:r>
      <w:r w:rsidR="00483932" w:rsidRPr="00AC5825">
        <w:t>untries</w:t>
      </w:r>
      <w:r w:rsidR="00D613A4" w:rsidRPr="00AC5825">
        <w:t xml:space="preserve"> </w:t>
      </w:r>
      <w:r w:rsidR="000D7F52" w:rsidRPr="00AC5825">
        <w:t xml:space="preserve">and countries with economies in transition </w:t>
      </w:r>
      <w:r w:rsidR="00D613A4" w:rsidRPr="00AC5825">
        <w:t>in the meetings of the Conference of t</w:t>
      </w:r>
      <w:r w:rsidR="00F2708D" w:rsidRPr="00AC5825">
        <w:t>h</w:t>
      </w:r>
      <w:r w:rsidR="00D613A4" w:rsidRPr="00AC5825">
        <w:t>e Parties and its subsidiary bodies;</w:t>
      </w:r>
    </w:p>
    <w:p w14:paraId="55D3C923" w14:textId="77777777" w:rsidR="00F2708D" w:rsidRPr="00AC5825" w:rsidRDefault="00F2708D" w:rsidP="00C2160A">
      <w:pPr>
        <w:pStyle w:val="CH2"/>
        <w:spacing w:before="240"/>
        <w:ind w:firstLine="0"/>
        <w:jc w:val="center"/>
      </w:pPr>
      <w:r w:rsidRPr="00AC5825">
        <w:t>III</w:t>
      </w:r>
    </w:p>
    <w:p w14:paraId="38D8202D" w14:textId="77777777" w:rsidR="00F2708D" w:rsidRPr="00AC5825" w:rsidRDefault="00F2708D" w:rsidP="00C2160A">
      <w:pPr>
        <w:pStyle w:val="CH2"/>
        <w:ind w:firstLine="0"/>
        <w:jc w:val="center"/>
      </w:pPr>
      <w:r w:rsidRPr="00AC5825">
        <w:t>Specific</w:t>
      </w:r>
      <w:r w:rsidR="0079429E" w:rsidRPr="00AC5825">
        <w:t xml:space="preserve"> Trust Fund </w:t>
      </w:r>
      <w:r w:rsidRPr="00AC5825">
        <w:t>for the Minamata Convention on Mercury</w:t>
      </w:r>
    </w:p>
    <w:p w14:paraId="56573DBB" w14:textId="2547304F" w:rsidR="00D613A4" w:rsidRPr="00837F5F" w:rsidRDefault="00F2708D" w:rsidP="005C6555">
      <w:pPr>
        <w:pStyle w:val="Normalnumber"/>
        <w:keepNext/>
        <w:keepLines/>
        <w:tabs>
          <w:tab w:val="left" w:pos="624"/>
        </w:tabs>
        <w:ind w:firstLine="624"/>
      </w:pPr>
      <w:r w:rsidRPr="00837F5F">
        <w:rPr>
          <w:i/>
          <w:iCs/>
        </w:rPr>
        <w:t>Takes note</w:t>
      </w:r>
      <w:r w:rsidRPr="00837F5F">
        <w:t xml:space="preserve"> of the </w:t>
      </w:r>
      <w:r w:rsidR="007543FF" w:rsidRPr="00837F5F">
        <w:t xml:space="preserve">overall report on the </w:t>
      </w:r>
      <w:r w:rsidRPr="00837F5F">
        <w:t xml:space="preserve">Specific International Programme </w:t>
      </w:r>
      <w:r w:rsidR="007543FF" w:rsidRPr="00837F5F">
        <w:t>to Support Capacity-</w:t>
      </w:r>
      <w:r w:rsidR="00173DB3" w:rsidRPr="00837F5F">
        <w:t>B</w:t>
      </w:r>
      <w:r w:rsidR="007543FF" w:rsidRPr="00837F5F">
        <w:t>uilding and Technical Assistance</w:t>
      </w:r>
      <w:r w:rsidR="00D36664">
        <w:t xml:space="preserve"> </w:t>
      </w:r>
      <w:r w:rsidR="000D0B0E">
        <w:t>and the Specific Trust Fund established for those activities</w:t>
      </w:r>
      <w:r w:rsidRPr="00837F5F">
        <w:t>;</w:t>
      </w:r>
      <w:r w:rsidR="00654A36" w:rsidRPr="00837F5F">
        <w:rPr>
          <w:rStyle w:val="FootnoteReference"/>
          <w:szCs w:val="20"/>
        </w:rPr>
        <w:footnoteReference w:id="15"/>
      </w:r>
      <w:r w:rsidRPr="00837F5F">
        <w:t xml:space="preserve"> </w:t>
      </w:r>
    </w:p>
    <w:p w14:paraId="6BE81189" w14:textId="77777777" w:rsidR="00F2708D" w:rsidRPr="00837F5F" w:rsidRDefault="00F2708D" w:rsidP="005C6555">
      <w:pPr>
        <w:pStyle w:val="Normalnumber"/>
        <w:tabs>
          <w:tab w:val="clear" w:pos="1134"/>
          <w:tab w:val="clear" w:pos="1247"/>
          <w:tab w:val="clear" w:pos="1814"/>
          <w:tab w:val="clear" w:pos="2381"/>
          <w:tab w:val="clear" w:pos="2948"/>
          <w:tab w:val="clear" w:pos="3515"/>
          <w:tab w:val="clear" w:pos="4082"/>
          <w:tab w:val="left" w:pos="624"/>
        </w:tabs>
        <w:ind w:firstLine="624"/>
      </w:pPr>
      <w:r w:rsidRPr="00837F5F">
        <w:rPr>
          <w:i/>
          <w:iCs/>
        </w:rPr>
        <w:t>Invites</w:t>
      </w:r>
      <w:r w:rsidRPr="00837F5F">
        <w:t xml:space="preserve"> parties and non-parties to the Convention and others in a position </w:t>
      </w:r>
      <w:r w:rsidR="00A30A78" w:rsidRPr="00837F5F">
        <w:t>to do so to contribute to the Specific Trust F</w:t>
      </w:r>
      <w:r w:rsidRPr="00837F5F">
        <w:t>und to support capacity-building and technical assistance</w:t>
      </w:r>
      <w:r w:rsidR="007543FF" w:rsidRPr="00837F5F">
        <w:t xml:space="preserve"> activities</w:t>
      </w:r>
      <w:r w:rsidRPr="00837F5F">
        <w:t xml:space="preserve"> in accordance with article 13</w:t>
      </w:r>
      <w:r w:rsidR="00654A36" w:rsidRPr="00837F5F">
        <w:t xml:space="preserve"> of the Convention</w:t>
      </w:r>
      <w:r w:rsidRPr="00837F5F">
        <w:t xml:space="preserve">; </w:t>
      </w:r>
    </w:p>
    <w:p w14:paraId="40F5B678" w14:textId="77777777" w:rsidR="00F2708D" w:rsidRPr="00AC5825" w:rsidRDefault="00F2708D" w:rsidP="00311C4E">
      <w:pPr>
        <w:pStyle w:val="CH2"/>
        <w:spacing w:before="240"/>
        <w:ind w:firstLine="0"/>
        <w:jc w:val="center"/>
      </w:pPr>
      <w:r w:rsidRPr="00AC5825">
        <w:t>IV</w:t>
      </w:r>
    </w:p>
    <w:p w14:paraId="2D66039E" w14:textId="37150ABC" w:rsidR="00F2708D" w:rsidRPr="005C6555" w:rsidRDefault="00F2708D" w:rsidP="005C6555">
      <w:pPr>
        <w:pStyle w:val="CH2"/>
        <w:ind w:firstLine="0"/>
        <w:jc w:val="center"/>
      </w:pPr>
      <w:r w:rsidRPr="005C6555">
        <w:t>Preparations for the</w:t>
      </w:r>
      <w:r w:rsidR="007543FF" w:rsidRPr="005C6555">
        <w:t xml:space="preserve"> biennium</w:t>
      </w:r>
      <w:r w:rsidRPr="005C6555">
        <w:t xml:space="preserve"> 2022</w:t>
      </w:r>
      <w:r w:rsidR="006A139C" w:rsidRPr="005C6555">
        <w:t>–</w:t>
      </w:r>
      <w:r w:rsidRPr="005C6555">
        <w:t>2023</w:t>
      </w:r>
    </w:p>
    <w:p w14:paraId="5878CD1F" w14:textId="6A81B213" w:rsidR="000D7F52" w:rsidRPr="00AC5825" w:rsidRDefault="00F45B30" w:rsidP="005C6555">
      <w:pPr>
        <w:pStyle w:val="Normalnumber"/>
        <w:tabs>
          <w:tab w:val="clear" w:pos="1134"/>
          <w:tab w:val="clear" w:pos="1247"/>
          <w:tab w:val="clear" w:pos="1814"/>
          <w:tab w:val="clear" w:pos="2381"/>
          <w:tab w:val="clear" w:pos="2948"/>
          <w:tab w:val="clear" w:pos="3515"/>
          <w:tab w:val="clear" w:pos="4082"/>
          <w:tab w:val="left" w:pos="624"/>
        </w:tabs>
        <w:ind w:firstLine="624"/>
        <w:rPr>
          <w:i/>
          <w:iCs/>
          <w:lang w:eastAsia="en-GB"/>
        </w:rPr>
      </w:pPr>
      <w:r w:rsidRPr="00AC5825">
        <w:rPr>
          <w:i/>
          <w:iCs/>
        </w:rPr>
        <w:t xml:space="preserve">Requests </w:t>
      </w:r>
      <w:r w:rsidRPr="00AC5825">
        <w:t xml:space="preserve">the Executive Secretary to prepare </w:t>
      </w:r>
      <w:r w:rsidR="001C5470" w:rsidRPr="00AC5825">
        <w:t xml:space="preserve">a budget </w:t>
      </w:r>
      <w:r w:rsidRPr="00AC5825">
        <w:t>for the biennium 2022</w:t>
      </w:r>
      <w:r w:rsidR="006A139C" w:rsidRPr="00AC5825">
        <w:t>–</w:t>
      </w:r>
      <w:r w:rsidRPr="00AC5825">
        <w:t>2023 for consideration by the Conference of the Parties at its fourth meeting</w:t>
      </w:r>
      <w:r w:rsidR="00422EF6" w:rsidRPr="00AC5825">
        <w:t>,</w:t>
      </w:r>
      <w:r w:rsidRPr="00AC5825">
        <w:t xml:space="preserve"> in 2021</w:t>
      </w:r>
      <w:r w:rsidR="000D7F52" w:rsidRPr="00AC5825">
        <w:t>,</w:t>
      </w:r>
      <w:r w:rsidR="000D7F52" w:rsidRPr="00AC5825">
        <w:rPr>
          <w:iCs/>
        </w:rPr>
        <w:t xml:space="preserve"> explaining the key principles, assumptions and programmatic strategy on which the budget is based and presenting expenditures for that biennium in a programmatic format and broken down by budget activities, with each activity to be supported by a budget activity fact sheet;</w:t>
      </w:r>
    </w:p>
    <w:p w14:paraId="2D61FF85" w14:textId="3D49A570" w:rsidR="000D7F52" w:rsidRPr="00AC5825" w:rsidRDefault="000D7F52" w:rsidP="005C6555">
      <w:pPr>
        <w:pStyle w:val="Normalnumber"/>
        <w:tabs>
          <w:tab w:val="clear" w:pos="1134"/>
          <w:tab w:val="clear" w:pos="1247"/>
          <w:tab w:val="clear" w:pos="1814"/>
          <w:tab w:val="clear" w:pos="2381"/>
          <w:tab w:val="clear" w:pos="2948"/>
          <w:tab w:val="clear" w:pos="3515"/>
          <w:tab w:val="clear" w:pos="4082"/>
          <w:tab w:val="left" w:pos="624"/>
        </w:tabs>
        <w:ind w:firstLine="624"/>
      </w:pPr>
      <w:r w:rsidRPr="00AC5825">
        <w:rPr>
          <w:i/>
        </w:rPr>
        <w:t>Also requests</w:t>
      </w:r>
      <w:r w:rsidRPr="00AC5825">
        <w:t xml:space="preserve"> the Executive Secretary, in preparing the budget and programme of work for the biennium 2022</w:t>
      </w:r>
      <w:r w:rsidRPr="00AC5825">
        <w:rPr>
          <w:iCs/>
        </w:rPr>
        <w:t>–</w:t>
      </w:r>
      <w:r w:rsidRPr="00AC5825">
        <w:t>2023, to present two scenarios:</w:t>
      </w:r>
    </w:p>
    <w:p w14:paraId="23946251" w14:textId="4D5C9D0B" w:rsidR="000D7F52" w:rsidRPr="00AC5825" w:rsidRDefault="000D7F52" w:rsidP="00837F5F">
      <w:pPr>
        <w:pStyle w:val="Normal-pool"/>
        <w:numPr>
          <w:ilvl w:val="1"/>
          <w:numId w:val="7"/>
        </w:numPr>
        <w:tabs>
          <w:tab w:val="clear" w:pos="1247"/>
          <w:tab w:val="clear" w:pos="1814"/>
          <w:tab w:val="clear" w:pos="2381"/>
          <w:tab w:val="clear" w:pos="2948"/>
          <w:tab w:val="clear" w:pos="3515"/>
          <w:tab w:val="clear" w:pos="4082"/>
          <w:tab w:val="left" w:pos="624"/>
        </w:tabs>
        <w:spacing w:after="120"/>
        <w:ind w:left="1247" w:firstLine="624"/>
      </w:pPr>
      <w:r w:rsidRPr="00AC5825">
        <w:t>One maintaining the operational budget at the 2020</w:t>
      </w:r>
      <w:r w:rsidR="00670F76" w:rsidRPr="00AC5825">
        <w:sym w:font="Symbol" w:char="F02D"/>
      </w:r>
      <w:r w:rsidRPr="00AC5825">
        <w:t xml:space="preserve">2021 level in nominal terms; </w:t>
      </w:r>
    </w:p>
    <w:p w14:paraId="2F66C1E7" w14:textId="4AFE3B7F" w:rsidR="00383389" w:rsidRPr="00AC5825" w:rsidRDefault="00383389" w:rsidP="00837F5F">
      <w:pPr>
        <w:pStyle w:val="Normal-pool"/>
        <w:numPr>
          <w:ilvl w:val="1"/>
          <w:numId w:val="7"/>
        </w:numPr>
        <w:tabs>
          <w:tab w:val="clear" w:pos="1247"/>
          <w:tab w:val="clear" w:pos="1814"/>
          <w:tab w:val="clear" w:pos="2381"/>
          <w:tab w:val="clear" w:pos="2948"/>
          <w:tab w:val="clear" w:pos="3515"/>
          <w:tab w:val="clear" w:pos="4082"/>
          <w:tab w:val="left" w:pos="624"/>
        </w:tabs>
        <w:spacing w:after="120"/>
        <w:ind w:left="1247" w:firstLine="624"/>
      </w:pPr>
      <w:r w:rsidRPr="00AC5825">
        <w:t>One reflecting required changes to the above-mentioned scenario to meet the projected</w:t>
      </w:r>
      <w:r w:rsidR="0038149E" w:rsidRPr="00AC5825">
        <w:t xml:space="preserve"> needs and costs or savings related thereto</w:t>
      </w:r>
      <w:r w:rsidRPr="00AC5825">
        <w:t xml:space="preserve">. </w:t>
      </w:r>
    </w:p>
    <w:p w14:paraId="163D5E17" w14:textId="77777777" w:rsidR="00C2160A" w:rsidRPr="00AC5825" w:rsidRDefault="00C2160A" w:rsidP="00C2160A">
      <w:pPr>
        <w:pStyle w:val="Normal-pool"/>
      </w:pPr>
    </w:p>
    <w:p w14:paraId="15D3FA6A" w14:textId="77777777" w:rsidR="00EC3F22" w:rsidRPr="00AC5825" w:rsidRDefault="00EC3F22" w:rsidP="00837F5F">
      <w:pPr>
        <w:pStyle w:val="Normalnumber"/>
        <w:numPr>
          <w:ilvl w:val="0"/>
          <w:numId w:val="7"/>
        </w:numPr>
        <w:sectPr w:rsidR="00EC3F22" w:rsidRPr="00AC5825" w:rsidSect="0034061A">
          <w:headerReference w:type="even" r:id="rId20"/>
          <w:headerReference w:type="default" r:id="rId21"/>
          <w:headerReference w:type="first" r:id="rId22"/>
          <w:footerReference w:type="first" r:id="rId23"/>
          <w:footnotePr>
            <w:numRestart w:val="eachSect"/>
          </w:footnotePr>
          <w:pgSz w:w="11906" w:h="16838" w:code="9"/>
          <w:pgMar w:top="907" w:right="992" w:bottom="1418" w:left="1077" w:header="539" w:footer="975" w:gutter="0"/>
          <w:cols w:space="539"/>
          <w:titlePg/>
          <w:docGrid w:linePitch="360"/>
        </w:sectPr>
      </w:pPr>
    </w:p>
    <w:p w14:paraId="5A976D05" w14:textId="77777777" w:rsidR="00E71861" w:rsidRPr="00AC5825" w:rsidRDefault="00E71861" w:rsidP="00C2160A">
      <w:pPr>
        <w:pStyle w:val="Normal-pool"/>
      </w:pPr>
      <w:r w:rsidRPr="00AC5825">
        <w:br w:type="page"/>
      </w:r>
    </w:p>
    <w:p w14:paraId="7E3E4A8E" w14:textId="77777777" w:rsidR="00885718" w:rsidRPr="00AC5825" w:rsidRDefault="005F2AF3" w:rsidP="0082498C">
      <w:pPr>
        <w:pStyle w:val="ZZAnxheader"/>
      </w:pPr>
      <w:r w:rsidRPr="00AC5825">
        <w:t>Annex</w:t>
      </w:r>
      <w:r w:rsidR="00096D4A" w:rsidRPr="00AC5825">
        <w:t xml:space="preserve"> I</w:t>
      </w:r>
      <w:r w:rsidR="00E71861" w:rsidRPr="00AC5825">
        <w:t>I</w:t>
      </w:r>
      <w:r w:rsidR="000E0C00" w:rsidRPr="00AC5825">
        <w:t xml:space="preserve"> </w:t>
      </w:r>
    </w:p>
    <w:p w14:paraId="36BF2DD6" w14:textId="7501834A" w:rsidR="000E0C00" w:rsidRPr="00AC5825" w:rsidRDefault="00F34B53" w:rsidP="00C2160A">
      <w:pPr>
        <w:pStyle w:val="ZZAnxtitle"/>
      </w:pPr>
      <w:r w:rsidRPr="00AC5825">
        <w:t>List of proposed activities included in the programme of work for the biennium 2020</w:t>
      </w:r>
      <w:r w:rsidR="00670F76" w:rsidRPr="00AC5825">
        <w:sym w:font="Symbol" w:char="F02D"/>
      </w:r>
      <w:r w:rsidRPr="00AC5825">
        <w:t>2021</w:t>
      </w:r>
    </w:p>
    <w:tbl>
      <w:tblPr>
        <w:tblW w:w="8307" w:type="dxa"/>
        <w:jc w:val="right"/>
        <w:tblLook w:val="04A0" w:firstRow="1" w:lastRow="0" w:firstColumn="1" w:lastColumn="0" w:noHBand="0" w:noVBand="1"/>
      </w:tblPr>
      <w:tblGrid>
        <w:gridCol w:w="1505"/>
        <w:gridCol w:w="7371"/>
      </w:tblGrid>
      <w:tr w:rsidR="00C2160A" w:rsidRPr="00AC5825" w14:paraId="432B0838" w14:textId="77777777" w:rsidTr="00566482">
        <w:trPr>
          <w:trHeight w:val="57"/>
          <w:jc w:val="right"/>
        </w:trPr>
        <w:tc>
          <w:tcPr>
            <w:tcW w:w="1505" w:type="dxa"/>
            <w:tcBorders>
              <w:top w:val="single" w:sz="4" w:space="0" w:color="auto"/>
              <w:left w:val="nil"/>
              <w:bottom w:val="single" w:sz="8" w:space="0" w:color="auto"/>
              <w:right w:val="nil"/>
            </w:tcBorders>
            <w:shd w:val="clear" w:color="000000" w:fill="FFFFFF"/>
            <w:noWrap/>
            <w:hideMark/>
          </w:tcPr>
          <w:p w14:paraId="4A6C3163" w14:textId="561694FC" w:rsidR="00C2160A" w:rsidRPr="00AC5825" w:rsidRDefault="00C2160A" w:rsidP="00DB5C84">
            <w:pPr>
              <w:pStyle w:val="Normal-pool"/>
              <w:spacing w:before="40" w:after="40"/>
              <w:rPr>
                <w:b/>
                <w:lang w:eastAsia="zh-CN"/>
              </w:rPr>
            </w:pPr>
            <w:r w:rsidRPr="00AC5825">
              <w:rPr>
                <w:b/>
                <w:lang w:eastAsia="zh-CN"/>
              </w:rPr>
              <w:t xml:space="preserve">Activity </w:t>
            </w:r>
            <w:r w:rsidR="00C16F6C">
              <w:rPr>
                <w:b/>
                <w:lang w:eastAsia="zh-CN"/>
              </w:rPr>
              <w:t>no.</w:t>
            </w:r>
          </w:p>
        </w:tc>
        <w:tc>
          <w:tcPr>
            <w:tcW w:w="7371" w:type="dxa"/>
            <w:tcBorders>
              <w:top w:val="single" w:sz="4" w:space="0" w:color="auto"/>
              <w:left w:val="nil"/>
              <w:bottom w:val="single" w:sz="8" w:space="0" w:color="auto"/>
              <w:right w:val="nil"/>
            </w:tcBorders>
            <w:shd w:val="clear" w:color="000000" w:fill="FFFFFF"/>
            <w:noWrap/>
            <w:hideMark/>
          </w:tcPr>
          <w:p w14:paraId="6C84F154" w14:textId="2E6EE8C7" w:rsidR="00C2160A" w:rsidRPr="00AC5825" w:rsidRDefault="00BA6599" w:rsidP="00566482">
            <w:pPr>
              <w:pStyle w:val="Normal-pool"/>
              <w:spacing w:before="40" w:after="40"/>
              <w:rPr>
                <w:b/>
                <w:lang w:eastAsia="zh-CN"/>
              </w:rPr>
            </w:pPr>
            <w:r w:rsidRPr="00AC5825">
              <w:rPr>
                <w:b/>
                <w:lang w:eastAsia="zh-CN"/>
              </w:rPr>
              <w:t>Functional h</w:t>
            </w:r>
            <w:r w:rsidR="00C2160A" w:rsidRPr="00AC5825">
              <w:rPr>
                <w:b/>
                <w:lang w:eastAsia="zh-CN"/>
              </w:rPr>
              <w:t>eading and activity description </w:t>
            </w:r>
          </w:p>
        </w:tc>
      </w:tr>
      <w:tr w:rsidR="00C2160A" w:rsidRPr="00AC5825" w14:paraId="6456BF7E" w14:textId="77777777" w:rsidTr="00566482">
        <w:trPr>
          <w:trHeight w:val="57"/>
          <w:jc w:val="right"/>
        </w:trPr>
        <w:tc>
          <w:tcPr>
            <w:tcW w:w="1505" w:type="dxa"/>
            <w:tcBorders>
              <w:top w:val="nil"/>
              <w:left w:val="nil"/>
              <w:bottom w:val="single" w:sz="4" w:space="0" w:color="auto"/>
              <w:right w:val="nil"/>
            </w:tcBorders>
            <w:shd w:val="clear" w:color="000000" w:fill="FFFFFF"/>
            <w:noWrap/>
            <w:vAlign w:val="center"/>
            <w:hideMark/>
          </w:tcPr>
          <w:p w14:paraId="64E72AFA" w14:textId="77777777" w:rsidR="00C2160A" w:rsidRPr="00AC5825" w:rsidRDefault="00C2160A" w:rsidP="00566482">
            <w:pPr>
              <w:pStyle w:val="Normal-pool"/>
              <w:spacing w:before="40" w:after="40"/>
              <w:rPr>
                <w:lang w:eastAsia="zh-CN"/>
              </w:rPr>
            </w:pPr>
            <w:r w:rsidRPr="00AC5825">
              <w:rPr>
                <w:lang w:eastAsia="zh-CN"/>
              </w:rPr>
              <w:t> </w:t>
            </w:r>
          </w:p>
        </w:tc>
        <w:tc>
          <w:tcPr>
            <w:tcW w:w="7371" w:type="dxa"/>
            <w:tcBorders>
              <w:top w:val="single" w:sz="8" w:space="0" w:color="auto"/>
              <w:left w:val="nil"/>
              <w:bottom w:val="single" w:sz="4" w:space="0" w:color="auto"/>
              <w:right w:val="nil"/>
            </w:tcBorders>
            <w:shd w:val="clear" w:color="000000" w:fill="FFFFFF"/>
            <w:noWrap/>
            <w:vAlign w:val="center"/>
            <w:hideMark/>
          </w:tcPr>
          <w:p w14:paraId="302DB3C8" w14:textId="1B4793BD" w:rsidR="00C2160A" w:rsidRPr="00AC5825" w:rsidRDefault="00C2160A" w:rsidP="00566482">
            <w:pPr>
              <w:tabs>
                <w:tab w:val="clear" w:pos="1247"/>
                <w:tab w:val="clear" w:pos="1814"/>
                <w:tab w:val="clear" w:pos="2381"/>
                <w:tab w:val="clear" w:pos="2948"/>
                <w:tab w:val="clear" w:pos="3515"/>
              </w:tabs>
              <w:spacing w:before="40" w:after="40"/>
            </w:pPr>
            <w:r w:rsidRPr="00AC5825">
              <w:rPr>
                <w:b/>
                <w:bCs/>
                <w:color w:val="000000"/>
                <w:lang w:eastAsia="zh-CN"/>
              </w:rPr>
              <w:t>A. Conferences and meetings</w:t>
            </w:r>
          </w:p>
        </w:tc>
      </w:tr>
      <w:tr w:rsidR="00AF0B54" w:rsidRPr="00AC5825" w14:paraId="6506FCDE"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6EFD3BAF" w14:textId="77777777" w:rsidR="00AF0B54" w:rsidRPr="00AC5825" w:rsidRDefault="00AF0B54" w:rsidP="00566482">
            <w:pPr>
              <w:pStyle w:val="Normal-pool"/>
              <w:spacing w:before="40" w:after="40"/>
              <w:rPr>
                <w:lang w:eastAsia="zh-CN"/>
              </w:rPr>
            </w:pPr>
            <w:r w:rsidRPr="00AC5825">
              <w:rPr>
                <w:lang w:eastAsia="zh-CN"/>
              </w:rPr>
              <w:t>1</w:t>
            </w:r>
          </w:p>
        </w:tc>
        <w:tc>
          <w:tcPr>
            <w:tcW w:w="7371" w:type="dxa"/>
            <w:tcBorders>
              <w:top w:val="nil"/>
              <w:left w:val="nil"/>
              <w:bottom w:val="nil"/>
              <w:right w:val="nil"/>
            </w:tcBorders>
            <w:shd w:val="clear" w:color="000000" w:fill="FFFFFF"/>
            <w:noWrap/>
            <w:vAlign w:val="center"/>
            <w:hideMark/>
          </w:tcPr>
          <w:p w14:paraId="03E78C88" w14:textId="237794E1" w:rsidR="00AF0B54" w:rsidRPr="00AC5825" w:rsidRDefault="00AF0B54" w:rsidP="00566482">
            <w:pPr>
              <w:pStyle w:val="Normal-pool"/>
              <w:spacing w:before="40" w:after="40"/>
              <w:rPr>
                <w:lang w:eastAsia="zh-CN"/>
              </w:rPr>
            </w:pPr>
            <w:r w:rsidRPr="00AC5825">
              <w:rPr>
                <w:lang w:eastAsia="zh-CN"/>
              </w:rPr>
              <w:t>Fourth meeting of the Conference of the Parties</w:t>
            </w:r>
          </w:p>
        </w:tc>
      </w:tr>
      <w:tr w:rsidR="00AF0B54" w:rsidRPr="00AC5825" w14:paraId="6D78A074"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581FCB15" w14:textId="77777777" w:rsidR="00AF0B54" w:rsidRPr="00AC5825" w:rsidRDefault="00AF0B54" w:rsidP="00566482">
            <w:pPr>
              <w:pStyle w:val="Normal-pool"/>
              <w:spacing w:before="40" w:after="40"/>
              <w:rPr>
                <w:lang w:eastAsia="zh-CN"/>
              </w:rPr>
            </w:pPr>
            <w:r w:rsidRPr="00AC5825">
              <w:rPr>
                <w:lang w:eastAsia="zh-CN"/>
              </w:rPr>
              <w:t>2</w:t>
            </w:r>
          </w:p>
        </w:tc>
        <w:tc>
          <w:tcPr>
            <w:tcW w:w="7371" w:type="dxa"/>
            <w:tcBorders>
              <w:top w:val="nil"/>
              <w:left w:val="nil"/>
              <w:bottom w:val="nil"/>
              <w:right w:val="nil"/>
            </w:tcBorders>
            <w:shd w:val="clear" w:color="000000" w:fill="FFFFFF"/>
            <w:noWrap/>
            <w:vAlign w:val="center"/>
            <w:hideMark/>
          </w:tcPr>
          <w:p w14:paraId="56BEB6D3" w14:textId="5AE6B5BC" w:rsidR="00AF0B54" w:rsidRPr="00AC5825" w:rsidRDefault="00AF0B54" w:rsidP="00566482">
            <w:pPr>
              <w:pStyle w:val="Normal-pool"/>
              <w:spacing w:before="40" w:after="40"/>
              <w:rPr>
                <w:lang w:eastAsia="zh-CN"/>
              </w:rPr>
            </w:pPr>
            <w:r w:rsidRPr="00AC5825">
              <w:rPr>
                <w:lang w:eastAsia="zh-CN"/>
              </w:rPr>
              <w:t>Bureau of the Conference of the Parties</w:t>
            </w:r>
          </w:p>
        </w:tc>
      </w:tr>
      <w:tr w:rsidR="00AF0B54" w:rsidRPr="00AC5825" w14:paraId="579D26E6"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47B0803F" w14:textId="77777777" w:rsidR="00AF0B54" w:rsidRPr="00AC5825" w:rsidRDefault="00AF0B54" w:rsidP="00566482">
            <w:pPr>
              <w:pStyle w:val="Normal-pool"/>
              <w:spacing w:before="40" w:after="40"/>
              <w:rPr>
                <w:lang w:eastAsia="zh-CN"/>
              </w:rPr>
            </w:pPr>
            <w:r w:rsidRPr="00AC5825">
              <w:rPr>
                <w:lang w:eastAsia="zh-CN"/>
              </w:rPr>
              <w:t>3</w:t>
            </w:r>
          </w:p>
        </w:tc>
        <w:tc>
          <w:tcPr>
            <w:tcW w:w="7371" w:type="dxa"/>
            <w:tcBorders>
              <w:top w:val="nil"/>
              <w:left w:val="nil"/>
              <w:bottom w:val="nil"/>
              <w:right w:val="nil"/>
            </w:tcBorders>
            <w:shd w:val="clear" w:color="000000" w:fill="FFFFFF"/>
            <w:noWrap/>
            <w:vAlign w:val="center"/>
            <w:hideMark/>
          </w:tcPr>
          <w:p w14:paraId="5934BF56" w14:textId="00BD7275" w:rsidR="00AF0B54" w:rsidRPr="00AC5825" w:rsidRDefault="00AF0B54" w:rsidP="00566482">
            <w:pPr>
              <w:pStyle w:val="Normal-pool"/>
              <w:spacing w:before="40" w:after="40"/>
              <w:rPr>
                <w:lang w:eastAsia="zh-CN"/>
              </w:rPr>
            </w:pPr>
            <w:r w:rsidRPr="00AC5825">
              <w:rPr>
                <w:lang w:eastAsia="zh-CN"/>
              </w:rPr>
              <w:t>Implementation and compliance committee</w:t>
            </w:r>
          </w:p>
        </w:tc>
      </w:tr>
      <w:tr w:rsidR="00AF0B54" w:rsidRPr="00AC5825" w14:paraId="66BEC676" w14:textId="77777777" w:rsidTr="00566482">
        <w:trPr>
          <w:trHeight w:val="57"/>
          <w:jc w:val="right"/>
        </w:trPr>
        <w:tc>
          <w:tcPr>
            <w:tcW w:w="1505" w:type="dxa"/>
            <w:tcBorders>
              <w:top w:val="single" w:sz="4" w:space="0" w:color="auto"/>
              <w:left w:val="nil"/>
              <w:bottom w:val="single" w:sz="4" w:space="0" w:color="auto"/>
              <w:right w:val="nil"/>
            </w:tcBorders>
            <w:shd w:val="clear" w:color="000000" w:fill="FFFFFF"/>
            <w:noWrap/>
            <w:vAlign w:val="center"/>
            <w:hideMark/>
          </w:tcPr>
          <w:p w14:paraId="42EA2B88" w14:textId="77777777" w:rsidR="00AF0B54" w:rsidRPr="00AC5825" w:rsidRDefault="00AF0B54" w:rsidP="00566482">
            <w:pPr>
              <w:pStyle w:val="Normal-pool"/>
              <w:spacing w:before="40" w:after="40"/>
              <w:rPr>
                <w:lang w:eastAsia="zh-CN"/>
              </w:rPr>
            </w:pPr>
            <w:r w:rsidRPr="00AC5825">
              <w:rPr>
                <w:lang w:eastAsia="zh-CN"/>
              </w:rPr>
              <w:t> </w:t>
            </w:r>
          </w:p>
        </w:tc>
        <w:tc>
          <w:tcPr>
            <w:tcW w:w="7371" w:type="dxa"/>
            <w:tcBorders>
              <w:top w:val="single" w:sz="4" w:space="0" w:color="auto"/>
              <w:left w:val="nil"/>
              <w:bottom w:val="single" w:sz="4" w:space="0" w:color="auto"/>
              <w:right w:val="nil"/>
            </w:tcBorders>
            <w:shd w:val="clear" w:color="000000" w:fill="FFFFFF"/>
            <w:noWrap/>
            <w:vAlign w:val="center"/>
            <w:hideMark/>
          </w:tcPr>
          <w:p w14:paraId="2C94E26A" w14:textId="77777777" w:rsidR="00AF0B54" w:rsidRPr="00AC5825" w:rsidRDefault="00AF0B54" w:rsidP="00566482">
            <w:pPr>
              <w:pStyle w:val="Normal-pool"/>
              <w:spacing w:before="40" w:after="40"/>
              <w:rPr>
                <w:b/>
                <w:bCs/>
                <w:color w:val="000000"/>
                <w:lang w:eastAsia="zh-CN"/>
              </w:rPr>
            </w:pPr>
            <w:r w:rsidRPr="00AC5825">
              <w:rPr>
                <w:b/>
                <w:bCs/>
                <w:color w:val="000000"/>
                <w:lang w:eastAsia="zh-CN"/>
              </w:rPr>
              <w:t>B. Capacity-building and technical assistance</w:t>
            </w:r>
          </w:p>
        </w:tc>
      </w:tr>
      <w:tr w:rsidR="00AF0B54" w:rsidRPr="00AC5825" w14:paraId="0B85885B"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3FD0816C" w14:textId="77777777" w:rsidR="00AF0B54" w:rsidRPr="00AC5825" w:rsidRDefault="00AF0B54" w:rsidP="00566482">
            <w:pPr>
              <w:pStyle w:val="Normal-pool"/>
              <w:spacing w:before="40" w:after="40"/>
              <w:rPr>
                <w:lang w:eastAsia="zh-CN"/>
              </w:rPr>
            </w:pPr>
            <w:r w:rsidRPr="00AC5825">
              <w:rPr>
                <w:lang w:eastAsia="zh-CN"/>
              </w:rPr>
              <w:t>4</w:t>
            </w:r>
          </w:p>
        </w:tc>
        <w:tc>
          <w:tcPr>
            <w:tcW w:w="7371" w:type="dxa"/>
            <w:tcBorders>
              <w:top w:val="nil"/>
              <w:left w:val="nil"/>
              <w:bottom w:val="nil"/>
              <w:right w:val="nil"/>
            </w:tcBorders>
            <w:shd w:val="clear" w:color="000000" w:fill="FFFFFF"/>
            <w:noWrap/>
            <w:vAlign w:val="center"/>
            <w:hideMark/>
          </w:tcPr>
          <w:p w14:paraId="3D01DCEF" w14:textId="77777777" w:rsidR="00AF0B54" w:rsidRPr="00AC5825" w:rsidRDefault="00AF0B54" w:rsidP="00566482">
            <w:pPr>
              <w:pStyle w:val="Normal-pool"/>
              <w:spacing w:before="40" w:after="40"/>
              <w:rPr>
                <w:color w:val="000000"/>
                <w:lang w:eastAsia="zh-CN"/>
              </w:rPr>
            </w:pPr>
            <w:r w:rsidRPr="00AC5825">
              <w:rPr>
                <w:lang w:eastAsia="zh-CN"/>
              </w:rPr>
              <w:t>Capacity-building and technical assistance programme of the Minamata Convention</w:t>
            </w:r>
          </w:p>
        </w:tc>
      </w:tr>
      <w:tr w:rsidR="00AF0B54" w:rsidRPr="00AC5825" w14:paraId="1DAC2632" w14:textId="77777777" w:rsidTr="00566482">
        <w:trPr>
          <w:trHeight w:val="57"/>
          <w:jc w:val="right"/>
        </w:trPr>
        <w:tc>
          <w:tcPr>
            <w:tcW w:w="1505" w:type="dxa"/>
            <w:tcBorders>
              <w:top w:val="single" w:sz="4" w:space="0" w:color="auto"/>
              <w:left w:val="nil"/>
              <w:bottom w:val="single" w:sz="4" w:space="0" w:color="auto"/>
              <w:right w:val="nil"/>
            </w:tcBorders>
            <w:shd w:val="clear" w:color="000000" w:fill="FFFFFF"/>
            <w:noWrap/>
            <w:vAlign w:val="center"/>
            <w:hideMark/>
          </w:tcPr>
          <w:p w14:paraId="1CCCC222" w14:textId="77777777" w:rsidR="00AF0B54" w:rsidRPr="00AC5825" w:rsidRDefault="00AF0B54" w:rsidP="00566482">
            <w:pPr>
              <w:pStyle w:val="Normal-pool"/>
              <w:spacing w:before="40" w:after="40"/>
              <w:rPr>
                <w:lang w:eastAsia="zh-CN"/>
              </w:rPr>
            </w:pPr>
            <w:r w:rsidRPr="00AC5825">
              <w:rPr>
                <w:lang w:eastAsia="zh-CN"/>
              </w:rPr>
              <w:t> </w:t>
            </w:r>
          </w:p>
        </w:tc>
        <w:tc>
          <w:tcPr>
            <w:tcW w:w="7371" w:type="dxa"/>
            <w:tcBorders>
              <w:top w:val="single" w:sz="4" w:space="0" w:color="auto"/>
              <w:left w:val="nil"/>
              <w:bottom w:val="single" w:sz="4" w:space="0" w:color="auto"/>
              <w:right w:val="nil"/>
            </w:tcBorders>
            <w:shd w:val="clear" w:color="000000" w:fill="FFFFFF"/>
            <w:noWrap/>
            <w:vAlign w:val="center"/>
            <w:hideMark/>
          </w:tcPr>
          <w:p w14:paraId="7640593B" w14:textId="77777777" w:rsidR="00AF0B54" w:rsidRPr="00AC5825" w:rsidRDefault="00AF0B54" w:rsidP="00566482">
            <w:pPr>
              <w:pStyle w:val="Normal-pool"/>
              <w:spacing w:before="40" w:after="40"/>
              <w:rPr>
                <w:b/>
                <w:bCs/>
                <w:color w:val="000000"/>
                <w:lang w:eastAsia="zh-CN"/>
              </w:rPr>
            </w:pPr>
            <w:r w:rsidRPr="00AC5825">
              <w:rPr>
                <w:b/>
                <w:bCs/>
                <w:color w:val="000000"/>
                <w:lang w:eastAsia="zh-CN"/>
              </w:rPr>
              <w:t>C. Scientific and technical activities</w:t>
            </w:r>
          </w:p>
        </w:tc>
      </w:tr>
      <w:tr w:rsidR="00AF0B54" w:rsidRPr="00AC5825" w14:paraId="2E65EB3D"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70420615" w14:textId="77777777" w:rsidR="00AF0B54" w:rsidRPr="00AC5825" w:rsidRDefault="00AF0B54" w:rsidP="00566482">
            <w:pPr>
              <w:pStyle w:val="Normal-pool"/>
              <w:spacing w:before="40" w:after="40"/>
              <w:rPr>
                <w:lang w:eastAsia="zh-CN"/>
              </w:rPr>
            </w:pPr>
            <w:r w:rsidRPr="00AC5825">
              <w:rPr>
                <w:lang w:eastAsia="zh-CN"/>
              </w:rPr>
              <w:t>5</w:t>
            </w:r>
          </w:p>
        </w:tc>
        <w:tc>
          <w:tcPr>
            <w:tcW w:w="7371" w:type="dxa"/>
            <w:tcBorders>
              <w:top w:val="nil"/>
              <w:left w:val="nil"/>
              <w:bottom w:val="nil"/>
              <w:right w:val="nil"/>
            </w:tcBorders>
            <w:shd w:val="clear" w:color="000000" w:fill="FFFFFF"/>
            <w:noWrap/>
            <w:vAlign w:val="center"/>
            <w:hideMark/>
          </w:tcPr>
          <w:p w14:paraId="2FF03D21" w14:textId="77777777" w:rsidR="00AF0B54" w:rsidRPr="00AC5825" w:rsidRDefault="00AF0B54" w:rsidP="00566482">
            <w:pPr>
              <w:pStyle w:val="Normal-pool"/>
              <w:spacing w:before="40" w:after="40"/>
              <w:rPr>
                <w:lang w:eastAsia="zh-CN"/>
              </w:rPr>
            </w:pPr>
            <w:r w:rsidRPr="00AC5825">
              <w:rPr>
                <w:lang w:eastAsia="zh-CN"/>
              </w:rPr>
              <w:t>Scientific support to the States parties to the Minamata Convention</w:t>
            </w:r>
          </w:p>
        </w:tc>
      </w:tr>
      <w:tr w:rsidR="00AF0B54" w:rsidRPr="00AC5825" w14:paraId="7A0489C9"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16FE4B3E" w14:textId="77777777" w:rsidR="00AF0B54" w:rsidRPr="00AC5825" w:rsidRDefault="00AF0B54" w:rsidP="00566482">
            <w:pPr>
              <w:pStyle w:val="Normal-pool"/>
              <w:spacing w:before="40" w:after="40"/>
              <w:rPr>
                <w:lang w:eastAsia="zh-CN"/>
              </w:rPr>
            </w:pPr>
            <w:r w:rsidRPr="00AC5825">
              <w:rPr>
                <w:lang w:eastAsia="zh-CN"/>
              </w:rPr>
              <w:t>6</w:t>
            </w:r>
          </w:p>
        </w:tc>
        <w:tc>
          <w:tcPr>
            <w:tcW w:w="7371" w:type="dxa"/>
            <w:tcBorders>
              <w:top w:val="nil"/>
              <w:left w:val="nil"/>
              <w:bottom w:val="nil"/>
              <w:right w:val="nil"/>
            </w:tcBorders>
            <w:shd w:val="clear" w:color="000000" w:fill="FFFFFF"/>
            <w:noWrap/>
            <w:vAlign w:val="center"/>
            <w:hideMark/>
          </w:tcPr>
          <w:p w14:paraId="34995953" w14:textId="0DD61E2C" w:rsidR="00AF0B54" w:rsidRPr="00AC5825" w:rsidRDefault="00AF0B54" w:rsidP="00566482">
            <w:pPr>
              <w:pStyle w:val="Normal-pool"/>
              <w:spacing w:before="40" w:after="40"/>
              <w:rPr>
                <w:lang w:eastAsia="zh-CN"/>
              </w:rPr>
            </w:pPr>
            <w:r w:rsidRPr="00AC5825">
              <w:rPr>
                <w:lang w:eastAsia="zh-CN"/>
              </w:rPr>
              <w:t>Effectiveness evaluation and global monitoring plan</w:t>
            </w:r>
          </w:p>
        </w:tc>
      </w:tr>
      <w:tr w:rsidR="00AF0B54" w:rsidRPr="00AC5825" w14:paraId="227AFD0D"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1B26CC8C" w14:textId="77777777" w:rsidR="00AF0B54" w:rsidRPr="00AC5825" w:rsidRDefault="00AF0B54" w:rsidP="00566482">
            <w:pPr>
              <w:pStyle w:val="Normal-pool"/>
              <w:spacing w:before="40" w:after="40"/>
              <w:rPr>
                <w:lang w:eastAsia="zh-CN"/>
              </w:rPr>
            </w:pPr>
            <w:r w:rsidRPr="00AC5825">
              <w:rPr>
                <w:lang w:eastAsia="zh-CN"/>
              </w:rPr>
              <w:t>7</w:t>
            </w:r>
          </w:p>
        </w:tc>
        <w:tc>
          <w:tcPr>
            <w:tcW w:w="7371" w:type="dxa"/>
            <w:tcBorders>
              <w:top w:val="nil"/>
              <w:left w:val="nil"/>
              <w:bottom w:val="nil"/>
              <w:right w:val="nil"/>
            </w:tcBorders>
            <w:shd w:val="clear" w:color="000000" w:fill="FFFFFF"/>
            <w:noWrap/>
            <w:vAlign w:val="center"/>
            <w:hideMark/>
          </w:tcPr>
          <w:p w14:paraId="3A81D952" w14:textId="77777777" w:rsidR="00AF0B54" w:rsidRPr="00AC5825" w:rsidRDefault="00AF0B54" w:rsidP="00566482">
            <w:pPr>
              <w:pStyle w:val="Normal-pool"/>
              <w:spacing w:before="40" w:after="40"/>
              <w:rPr>
                <w:lang w:eastAsia="zh-CN"/>
              </w:rPr>
            </w:pPr>
            <w:r w:rsidRPr="00AC5825">
              <w:rPr>
                <w:lang w:eastAsia="zh-CN"/>
              </w:rPr>
              <w:t>National reporting under the Minamata Convention</w:t>
            </w:r>
          </w:p>
        </w:tc>
      </w:tr>
      <w:tr w:rsidR="00AF0B54" w:rsidRPr="00AC5825" w14:paraId="501B5AB5" w14:textId="77777777" w:rsidTr="00566482">
        <w:trPr>
          <w:trHeight w:val="57"/>
          <w:jc w:val="right"/>
        </w:trPr>
        <w:tc>
          <w:tcPr>
            <w:tcW w:w="1505" w:type="dxa"/>
            <w:tcBorders>
              <w:top w:val="single" w:sz="4" w:space="0" w:color="auto"/>
              <w:left w:val="nil"/>
              <w:bottom w:val="single" w:sz="4" w:space="0" w:color="auto"/>
              <w:right w:val="nil"/>
            </w:tcBorders>
            <w:shd w:val="clear" w:color="000000" w:fill="FFFFFF"/>
            <w:noWrap/>
            <w:vAlign w:val="center"/>
            <w:hideMark/>
          </w:tcPr>
          <w:p w14:paraId="634AA287" w14:textId="77777777" w:rsidR="00AF0B54" w:rsidRPr="00AC5825" w:rsidRDefault="00AF0B54" w:rsidP="00566482">
            <w:pPr>
              <w:pStyle w:val="Normal-pool"/>
              <w:spacing w:before="40" w:after="40"/>
              <w:rPr>
                <w:lang w:eastAsia="zh-CN"/>
              </w:rPr>
            </w:pPr>
            <w:r w:rsidRPr="00AC5825">
              <w:rPr>
                <w:lang w:eastAsia="zh-CN"/>
              </w:rPr>
              <w:t> </w:t>
            </w:r>
          </w:p>
        </w:tc>
        <w:tc>
          <w:tcPr>
            <w:tcW w:w="7371" w:type="dxa"/>
            <w:tcBorders>
              <w:top w:val="single" w:sz="4" w:space="0" w:color="auto"/>
              <w:left w:val="nil"/>
              <w:bottom w:val="single" w:sz="4" w:space="0" w:color="auto"/>
              <w:right w:val="nil"/>
            </w:tcBorders>
            <w:shd w:val="clear" w:color="000000" w:fill="FFFFFF"/>
            <w:noWrap/>
            <w:vAlign w:val="center"/>
            <w:hideMark/>
          </w:tcPr>
          <w:p w14:paraId="414A07D5" w14:textId="6FE4DE1A" w:rsidR="00AF0B54" w:rsidRPr="00AC5825" w:rsidRDefault="00AF0B54" w:rsidP="00566482">
            <w:pPr>
              <w:pStyle w:val="Normal-pool"/>
              <w:spacing w:before="40" w:after="40"/>
              <w:rPr>
                <w:b/>
                <w:bCs/>
                <w:color w:val="000000"/>
                <w:lang w:eastAsia="zh-CN"/>
              </w:rPr>
            </w:pPr>
            <w:r w:rsidRPr="00AC5825">
              <w:rPr>
                <w:b/>
                <w:bCs/>
                <w:color w:val="000000"/>
                <w:lang w:eastAsia="zh-CN"/>
              </w:rPr>
              <w:t xml:space="preserve">D. Knowledge and information management and outreach </w:t>
            </w:r>
          </w:p>
        </w:tc>
      </w:tr>
      <w:tr w:rsidR="00C2160A" w:rsidRPr="00AC5825" w14:paraId="6B8AEFBF"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4473B3E9" w14:textId="77777777" w:rsidR="00C2160A" w:rsidRPr="00AC5825" w:rsidRDefault="00C2160A" w:rsidP="00566482">
            <w:pPr>
              <w:pStyle w:val="Normal-pool"/>
              <w:spacing w:before="40" w:after="40"/>
              <w:rPr>
                <w:lang w:eastAsia="zh-CN"/>
              </w:rPr>
            </w:pPr>
            <w:r w:rsidRPr="00AC5825">
              <w:rPr>
                <w:lang w:eastAsia="zh-CN"/>
              </w:rPr>
              <w:t>8</w:t>
            </w:r>
          </w:p>
        </w:tc>
        <w:tc>
          <w:tcPr>
            <w:tcW w:w="7371" w:type="dxa"/>
            <w:tcBorders>
              <w:top w:val="nil"/>
              <w:left w:val="nil"/>
              <w:bottom w:val="nil"/>
              <w:right w:val="nil"/>
            </w:tcBorders>
            <w:shd w:val="clear" w:color="000000" w:fill="FFFFFF"/>
            <w:noWrap/>
            <w:vAlign w:val="center"/>
            <w:hideMark/>
          </w:tcPr>
          <w:p w14:paraId="06DD1C14" w14:textId="625CE361" w:rsidR="00C2160A" w:rsidRPr="00AC5825" w:rsidRDefault="00C2160A" w:rsidP="00566482">
            <w:pPr>
              <w:pStyle w:val="Normal-pool"/>
              <w:spacing w:before="40" w:after="40"/>
              <w:rPr>
                <w:lang w:eastAsia="zh-CN"/>
              </w:rPr>
            </w:pPr>
            <w:r w:rsidRPr="00AC5825">
              <w:rPr>
                <w:lang w:eastAsia="zh-CN"/>
              </w:rPr>
              <w:t>Publications</w:t>
            </w:r>
          </w:p>
        </w:tc>
      </w:tr>
      <w:tr w:rsidR="00AF0B54" w:rsidRPr="00AC5825" w14:paraId="59300335"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4C1C7357" w14:textId="77777777" w:rsidR="00AF0B54" w:rsidRPr="00AC5825" w:rsidRDefault="00AF0B54" w:rsidP="00566482">
            <w:pPr>
              <w:pStyle w:val="Normal-pool"/>
              <w:spacing w:before="40" w:after="40"/>
              <w:rPr>
                <w:lang w:eastAsia="zh-CN"/>
              </w:rPr>
            </w:pPr>
            <w:r w:rsidRPr="00AC5825">
              <w:rPr>
                <w:lang w:eastAsia="zh-CN"/>
              </w:rPr>
              <w:t>9</w:t>
            </w:r>
          </w:p>
        </w:tc>
        <w:tc>
          <w:tcPr>
            <w:tcW w:w="7371" w:type="dxa"/>
            <w:tcBorders>
              <w:top w:val="nil"/>
              <w:left w:val="nil"/>
              <w:bottom w:val="nil"/>
              <w:right w:val="nil"/>
            </w:tcBorders>
            <w:shd w:val="clear" w:color="000000" w:fill="FFFFFF"/>
            <w:noWrap/>
            <w:vAlign w:val="center"/>
            <w:hideMark/>
          </w:tcPr>
          <w:p w14:paraId="7A819B4E" w14:textId="77777777" w:rsidR="00AF0B54" w:rsidRPr="00AC5825" w:rsidRDefault="00AF0B54" w:rsidP="00566482">
            <w:pPr>
              <w:tabs>
                <w:tab w:val="clear" w:pos="1247"/>
                <w:tab w:val="clear" w:pos="1814"/>
                <w:tab w:val="clear" w:pos="2381"/>
                <w:tab w:val="clear" w:pos="2948"/>
                <w:tab w:val="clear" w:pos="3515"/>
              </w:tabs>
              <w:spacing w:before="40" w:after="40"/>
              <w:rPr>
                <w:color w:val="000000"/>
                <w:lang w:eastAsia="zh-CN"/>
              </w:rPr>
            </w:pPr>
            <w:r w:rsidRPr="00AC5825">
              <w:rPr>
                <w:color w:val="000000"/>
                <w:lang w:eastAsia="zh-CN"/>
              </w:rPr>
              <w:t>Communication, outreach and public awareness</w:t>
            </w:r>
          </w:p>
        </w:tc>
      </w:tr>
      <w:tr w:rsidR="00C2160A" w:rsidRPr="00AC5825" w14:paraId="2B5DAD72" w14:textId="77777777" w:rsidTr="00566482">
        <w:trPr>
          <w:trHeight w:val="57"/>
          <w:jc w:val="right"/>
        </w:trPr>
        <w:tc>
          <w:tcPr>
            <w:tcW w:w="1505" w:type="dxa"/>
            <w:tcBorders>
              <w:top w:val="single" w:sz="4" w:space="0" w:color="auto"/>
              <w:left w:val="nil"/>
              <w:bottom w:val="single" w:sz="4" w:space="0" w:color="auto"/>
              <w:right w:val="nil"/>
            </w:tcBorders>
            <w:shd w:val="clear" w:color="000000" w:fill="FFFFFF"/>
            <w:noWrap/>
            <w:vAlign w:val="center"/>
            <w:hideMark/>
          </w:tcPr>
          <w:p w14:paraId="21F7FC78" w14:textId="77777777" w:rsidR="00C2160A" w:rsidRPr="00AC5825" w:rsidRDefault="00C2160A" w:rsidP="00566482">
            <w:pPr>
              <w:pStyle w:val="Normal-pool"/>
              <w:spacing w:before="40" w:after="40"/>
              <w:rPr>
                <w:lang w:eastAsia="zh-CN"/>
              </w:rPr>
            </w:pPr>
            <w:r w:rsidRPr="00AC5825">
              <w:rPr>
                <w:lang w:eastAsia="zh-CN"/>
              </w:rPr>
              <w:t> </w:t>
            </w:r>
          </w:p>
        </w:tc>
        <w:tc>
          <w:tcPr>
            <w:tcW w:w="7371" w:type="dxa"/>
            <w:tcBorders>
              <w:top w:val="single" w:sz="4" w:space="0" w:color="auto"/>
              <w:left w:val="nil"/>
              <w:bottom w:val="single" w:sz="4" w:space="0" w:color="auto"/>
              <w:right w:val="nil"/>
            </w:tcBorders>
            <w:shd w:val="clear" w:color="000000" w:fill="FFFFFF"/>
            <w:noWrap/>
            <w:vAlign w:val="center"/>
            <w:hideMark/>
          </w:tcPr>
          <w:p w14:paraId="4C1A633B" w14:textId="7CDD60D2" w:rsidR="00C2160A" w:rsidRPr="00AC5825" w:rsidRDefault="00C2160A" w:rsidP="00566482">
            <w:pPr>
              <w:pStyle w:val="Normal-pool"/>
              <w:spacing w:before="40" w:after="40"/>
            </w:pPr>
            <w:r w:rsidRPr="00AC5825">
              <w:rPr>
                <w:b/>
                <w:bCs/>
                <w:color w:val="000000"/>
                <w:lang w:eastAsia="zh-CN"/>
              </w:rPr>
              <w:t>E. Overall management</w:t>
            </w:r>
          </w:p>
        </w:tc>
      </w:tr>
      <w:tr w:rsidR="00AF0B54" w:rsidRPr="00AC5825" w14:paraId="37BBD2F6"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43D3AE2E" w14:textId="77777777" w:rsidR="00AF0B54" w:rsidRPr="00AC5825" w:rsidRDefault="00AF0B54" w:rsidP="00566482">
            <w:pPr>
              <w:pStyle w:val="Normal-pool"/>
              <w:spacing w:before="40" w:after="40"/>
              <w:rPr>
                <w:lang w:eastAsia="zh-CN"/>
              </w:rPr>
            </w:pPr>
            <w:r w:rsidRPr="00AC5825">
              <w:rPr>
                <w:lang w:eastAsia="zh-CN"/>
              </w:rPr>
              <w:t>10</w:t>
            </w:r>
          </w:p>
        </w:tc>
        <w:tc>
          <w:tcPr>
            <w:tcW w:w="7371" w:type="dxa"/>
            <w:tcBorders>
              <w:top w:val="nil"/>
              <w:left w:val="nil"/>
              <w:bottom w:val="nil"/>
              <w:right w:val="nil"/>
            </w:tcBorders>
            <w:shd w:val="clear" w:color="000000" w:fill="FFFFFF"/>
            <w:noWrap/>
            <w:vAlign w:val="center"/>
            <w:hideMark/>
          </w:tcPr>
          <w:p w14:paraId="2ACDE44B" w14:textId="77777777" w:rsidR="00AF0B54" w:rsidRPr="00AC5825" w:rsidRDefault="00AF0B54" w:rsidP="00566482">
            <w:pPr>
              <w:pStyle w:val="Normal-pool"/>
              <w:spacing w:before="40" w:after="40"/>
              <w:rPr>
                <w:lang w:eastAsia="zh-CN"/>
              </w:rPr>
            </w:pPr>
            <w:r w:rsidRPr="00AC5825">
              <w:rPr>
                <w:lang w:eastAsia="zh-CN"/>
              </w:rPr>
              <w:t>Executive direction and management</w:t>
            </w:r>
          </w:p>
        </w:tc>
      </w:tr>
      <w:tr w:rsidR="00AF0B54" w:rsidRPr="00AC5825" w14:paraId="61A721BD"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3B98E64F" w14:textId="77777777" w:rsidR="00AF0B54" w:rsidRPr="00AC5825" w:rsidRDefault="00AF0B54" w:rsidP="00566482">
            <w:pPr>
              <w:pStyle w:val="Normal-pool"/>
              <w:spacing w:before="40" w:after="40"/>
              <w:rPr>
                <w:lang w:eastAsia="zh-CN"/>
              </w:rPr>
            </w:pPr>
            <w:r w:rsidRPr="00AC5825">
              <w:rPr>
                <w:lang w:eastAsia="zh-CN"/>
              </w:rPr>
              <w:t>11</w:t>
            </w:r>
          </w:p>
        </w:tc>
        <w:tc>
          <w:tcPr>
            <w:tcW w:w="7371" w:type="dxa"/>
            <w:tcBorders>
              <w:top w:val="nil"/>
              <w:left w:val="nil"/>
              <w:bottom w:val="nil"/>
              <w:right w:val="nil"/>
            </w:tcBorders>
            <w:shd w:val="clear" w:color="000000" w:fill="FFFFFF"/>
            <w:noWrap/>
            <w:vAlign w:val="center"/>
            <w:hideMark/>
          </w:tcPr>
          <w:p w14:paraId="73C82E5A" w14:textId="77777777" w:rsidR="00AF0B54" w:rsidRPr="00AC5825" w:rsidRDefault="00AF0B54" w:rsidP="00566482">
            <w:pPr>
              <w:pStyle w:val="Normal-pool"/>
              <w:spacing w:before="40" w:after="40"/>
              <w:rPr>
                <w:lang w:eastAsia="zh-CN"/>
              </w:rPr>
            </w:pPr>
            <w:r w:rsidRPr="00AC5825">
              <w:rPr>
                <w:lang w:eastAsia="zh-CN"/>
              </w:rPr>
              <w:t>International cooperation and coordination</w:t>
            </w:r>
          </w:p>
        </w:tc>
      </w:tr>
      <w:tr w:rsidR="00AF0B54" w:rsidRPr="00AC5825" w14:paraId="030FFF72"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63C630FD" w14:textId="77777777" w:rsidR="00AF0B54" w:rsidRPr="00AC5825" w:rsidRDefault="00AF0B54" w:rsidP="00566482">
            <w:pPr>
              <w:pStyle w:val="Normal-pool"/>
              <w:spacing w:before="40" w:after="40"/>
              <w:rPr>
                <w:lang w:eastAsia="zh-CN"/>
              </w:rPr>
            </w:pPr>
            <w:r w:rsidRPr="00AC5825">
              <w:rPr>
                <w:lang w:eastAsia="zh-CN"/>
              </w:rPr>
              <w:t>12</w:t>
            </w:r>
          </w:p>
        </w:tc>
        <w:tc>
          <w:tcPr>
            <w:tcW w:w="7371" w:type="dxa"/>
            <w:tcBorders>
              <w:top w:val="nil"/>
              <w:left w:val="nil"/>
              <w:bottom w:val="nil"/>
              <w:right w:val="nil"/>
            </w:tcBorders>
            <w:shd w:val="clear" w:color="000000" w:fill="FFFFFF"/>
            <w:noWrap/>
            <w:vAlign w:val="center"/>
            <w:hideMark/>
          </w:tcPr>
          <w:p w14:paraId="4552583D" w14:textId="77777777" w:rsidR="00AF0B54" w:rsidRPr="00AC5825" w:rsidRDefault="00AF0B54" w:rsidP="00566482">
            <w:pPr>
              <w:pStyle w:val="Normal-pool"/>
              <w:spacing w:before="40" w:after="40"/>
              <w:rPr>
                <w:lang w:eastAsia="zh-CN"/>
              </w:rPr>
            </w:pPr>
            <w:r w:rsidRPr="00AC5825">
              <w:rPr>
                <w:lang w:eastAsia="zh-CN"/>
              </w:rPr>
              <w:t xml:space="preserve">Financial resources and mechanism </w:t>
            </w:r>
          </w:p>
        </w:tc>
      </w:tr>
      <w:tr w:rsidR="00C2160A" w:rsidRPr="00AC5825" w14:paraId="12F29D7E" w14:textId="77777777" w:rsidTr="00566482">
        <w:trPr>
          <w:trHeight w:val="57"/>
          <w:jc w:val="right"/>
        </w:trPr>
        <w:tc>
          <w:tcPr>
            <w:tcW w:w="1505" w:type="dxa"/>
            <w:tcBorders>
              <w:top w:val="single" w:sz="4" w:space="0" w:color="auto"/>
              <w:left w:val="nil"/>
              <w:bottom w:val="single" w:sz="4" w:space="0" w:color="auto"/>
              <w:right w:val="nil"/>
            </w:tcBorders>
            <w:shd w:val="clear" w:color="000000" w:fill="FFFFFF"/>
            <w:noWrap/>
            <w:vAlign w:val="center"/>
            <w:hideMark/>
          </w:tcPr>
          <w:p w14:paraId="17C75F61" w14:textId="77777777" w:rsidR="00C2160A" w:rsidRPr="00AC5825" w:rsidRDefault="00C2160A" w:rsidP="00566482">
            <w:pPr>
              <w:pStyle w:val="Normal-pool"/>
              <w:spacing w:before="40" w:after="40"/>
              <w:rPr>
                <w:lang w:eastAsia="zh-CN"/>
              </w:rPr>
            </w:pPr>
            <w:r w:rsidRPr="00AC5825">
              <w:rPr>
                <w:lang w:eastAsia="zh-CN"/>
              </w:rPr>
              <w:t> </w:t>
            </w:r>
          </w:p>
        </w:tc>
        <w:tc>
          <w:tcPr>
            <w:tcW w:w="7371" w:type="dxa"/>
            <w:tcBorders>
              <w:top w:val="single" w:sz="4" w:space="0" w:color="auto"/>
              <w:left w:val="nil"/>
              <w:bottom w:val="single" w:sz="4" w:space="0" w:color="auto"/>
              <w:right w:val="nil"/>
            </w:tcBorders>
            <w:shd w:val="clear" w:color="000000" w:fill="FFFFFF"/>
            <w:noWrap/>
            <w:vAlign w:val="center"/>
            <w:hideMark/>
          </w:tcPr>
          <w:p w14:paraId="3F3C9A27" w14:textId="5E6B6ADC" w:rsidR="00C2160A" w:rsidRPr="00AC5825" w:rsidRDefault="00C2160A" w:rsidP="00566482">
            <w:pPr>
              <w:pStyle w:val="Normal-pool"/>
              <w:spacing w:before="40" w:after="40"/>
              <w:rPr>
                <w:lang w:eastAsia="zh-CN"/>
              </w:rPr>
            </w:pPr>
            <w:r w:rsidRPr="00AC5825">
              <w:rPr>
                <w:b/>
                <w:bCs/>
                <w:color w:val="000000"/>
                <w:lang w:eastAsia="zh-CN"/>
              </w:rPr>
              <w:t>F. Legal and policy activities</w:t>
            </w:r>
          </w:p>
        </w:tc>
      </w:tr>
      <w:tr w:rsidR="00C2160A" w:rsidRPr="00AC5825" w14:paraId="28FFDCB2"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00909DA7" w14:textId="77777777" w:rsidR="00C2160A" w:rsidRPr="00AC5825" w:rsidRDefault="00C2160A" w:rsidP="00566482">
            <w:pPr>
              <w:pStyle w:val="Normal-pool"/>
              <w:spacing w:before="40" w:after="40"/>
              <w:rPr>
                <w:lang w:eastAsia="zh-CN"/>
              </w:rPr>
            </w:pPr>
            <w:r w:rsidRPr="00AC5825">
              <w:rPr>
                <w:lang w:eastAsia="zh-CN"/>
              </w:rPr>
              <w:t>13</w:t>
            </w:r>
          </w:p>
        </w:tc>
        <w:tc>
          <w:tcPr>
            <w:tcW w:w="7371" w:type="dxa"/>
            <w:tcBorders>
              <w:top w:val="nil"/>
              <w:left w:val="nil"/>
              <w:bottom w:val="nil"/>
              <w:right w:val="nil"/>
            </w:tcBorders>
            <w:shd w:val="clear" w:color="000000" w:fill="FFFFFF"/>
            <w:noWrap/>
            <w:vAlign w:val="center"/>
            <w:hideMark/>
          </w:tcPr>
          <w:p w14:paraId="6BC2BDFF" w14:textId="5DCD7328" w:rsidR="00C2160A" w:rsidRPr="00AC5825" w:rsidRDefault="00C2160A" w:rsidP="00566482">
            <w:pPr>
              <w:pStyle w:val="Normal-pool"/>
              <w:spacing w:before="40" w:after="40"/>
              <w:rPr>
                <w:lang w:eastAsia="zh-CN"/>
              </w:rPr>
            </w:pPr>
            <w:r w:rsidRPr="00AC5825">
              <w:rPr>
                <w:lang w:eastAsia="zh-CN"/>
              </w:rPr>
              <w:t xml:space="preserve">Legal and policy activities </w:t>
            </w:r>
          </w:p>
        </w:tc>
      </w:tr>
      <w:tr w:rsidR="00AF0B54" w:rsidRPr="00AC5825" w14:paraId="0002D42E" w14:textId="77777777" w:rsidTr="00566482">
        <w:trPr>
          <w:trHeight w:val="57"/>
          <w:jc w:val="right"/>
        </w:trPr>
        <w:tc>
          <w:tcPr>
            <w:tcW w:w="1505" w:type="dxa"/>
            <w:tcBorders>
              <w:top w:val="single" w:sz="4" w:space="0" w:color="auto"/>
              <w:left w:val="nil"/>
              <w:bottom w:val="single" w:sz="4" w:space="0" w:color="auto"/>
              <w:right w:val="nil"/>
            </w:tcBorders>
            <w:shd w:val="clear" w:color="000000" w:fill="FFFFFF"/>
            <w:noWrap/>
            <w:vAlign w:val="center"/>
            <w:hideMark/>
          </w:tcPr>
          <w:p w14:paraId="7AC25248" w14:textId="77777777" w:rsidR="00AF0B54" w:rsidRPr="00AC5825" w:rsidRDefault="00AF0B54" w:rsidP="00566482">
            <w:pPr>
              <w:pStyle w:val="Normal-pool"/>
              <w:spacing w:before="40" w:after="40"/>
              <w:rPr>
                <w:lang w:eastAsia="zh-CN"/>
              </w:rPr>
            </w:pPr>
            <w:r w:rsidRPr="00AC5825">
              <w:rPr>
                <w:lang w:eastAsia="zh-CN"/>
              </w:rPr>
              <w:t> </w:t>
            </w:r>
          </w:p>
        </w:tc>
        <w:tc>
          <w:tcPr>
            <w:tcW w:w="7371" w:type="dxa"/>
            <w:tcBorders>
              <w:top w:val="single" w:sz="4" w:space="0" w:color="auto"/>
              <w:left w:val="nil"/>
              <w:bottom w:val="single" w:sz="4" w:space="0" w:color="auto"/>
              <w:right w:val="nil"/>
            </w:tcBorders>
            <w:shd w:val="clear" w:color="000000" w:fill="FFFFFF"/>
            <w:noWrap/>
            <w:vAlign w:val="center"/>
            <w:hideMark/>
          </w:tcPr>
          <w:p w14:paraId="0BDB8826" w14:textId="77777777" w:rsidR="00AF0B54" w:rsidRPr="00AC5825" w:rsidRDefault="00AF0B54" w:rsidP="00566482">
            <w:pPr>
              <w:pStyle w:val="Normal-pool"/>
              <w:spacing w:before="40" w:after="40"/>
              <w:rPr>
                <w:b/>
                <w:bCs/>
                <w:color w:val="000000"/>
                <w:lang w:eastAsia="zh-CN"/>
              </w:rPr>
            </w:pPr>
            <w:r w:rsidRPr="00AC5825">
              <w:rPr>
                <w:b/>
                <w:bCs/>
                <w:color w:val="000000"/>
                <w:lang w:eastAsia="zh-CN"/>
              </w:rPr>
              <w:t>G. Office maintenance and services</w:t>
            </w:r>
          </w:p>
        </w:tc>
      </w:tr>
      <w:tr w:rsidR="00C2160A" w:rsidRPr="00AC5825" w14:paraId="3415F88B" w14:textId="77777777" w:rsidTr="00566482">
        <w:trPr>
          <w:trHeight w:val="57"/>
          <w:jc w:val="right"/>
        </w:trPr>
        <w:tc>
          <w:tcPr>
            <w:tcW w:w="1505" w:type="dxa"/>
            <w:tcBorders>
              <w:top w:val="nil"/>
              <w:left w:val="nil"/>
              <w:bottom w:val="nil"/>
              <w:right w:val="nil"/>
            </w:tcBorders>
            <w:shd w:val="clear" w:color="000000" w:fill="FFFFFF"/>
            <w:noWrap/>
            <w:vAlign w:val="center"/>
            <w:hideMark/>
          </w:tcPr>
          <w:p w14:paraId="079288EF" w14:textId="77777777" w:rsidR="00C2160A" w:rsidRPr="00AC5825" w:rsidRDefault="00C2160A" w:rsidP="00566482">
            <w:pPr>
              <w:pStyle w:val="Normal-pool"/>
              <w:spacing w:before="40" w:after="40"/>
              <w:rPr>
                <w:lang w:eastAsia="zh-CN"/>
              </w:rPr>
            </w:pPr>
            <w:r w:rsidRPr="00AC5825">
              <w:rPr>
                <w:lang w:eastAsia="zh-CN"/>
              </w:rPr>
              <w:t>14</w:t>
            </w:r>
          </w:p>
        </w:tc>
        <w:tc>
          <w:tcPr>
            <w:tcW w:w="7371" w:type="dxa"/>
            <w:tcBorders>
              <w:top w:val="nil"/>
              <w:left w:val="nil"/>
              <w:bottom w:val="nil"/>
              <w:right w:val="nil"/>
            </w:tcBorders>
            <w:shd w:val="clear" w:color="000000" w:fill="FFFFFF"/>
            <w:noWrap/>
            <w:vAlign w:val="center"/>
            <w:hideMark/>
          </w:tcPr>
          <w:p w14:paraId="48605E7F" w14:textId="24CB516E" w:rsidR="00C2160A" w:rsidRPr="00AC5825" w:rsidRDefault="00C2160A" w:rsidP="00566482">
            <w:pPr>
              <w:pStyle w:val="Normal-pool"/>
              <w:spacing w:before="40" w:after="40"/>
              <w:rPr>
                <w:lang w:eastAsia="zh-CN"/>
              </w:rPr>
            </w:pPr>
            <w:r w:rsidRPr="00AC5825">
              <w:rPr>
                <w:lang w:eastAsia="zh-CN"/>
              </w:rPr>
              <w:t>Office maintenance and services </w:t>
            </w:r>
          </w:p>
        </w:tc>
      </w:tr>
      <w:tr w:rsidR="00C2160A" w:rsidRPr="00AC5825" w14:paraId="1A5919CA" w14:textId="77777777" w:rsidTr="00566482">
        <w:trPr>
          <w:trHeight w:val="57"/>
          <w:jc w:val="right"/>
        </w:trPr>
        <w:tc>
          <w:tcPr>
            <w:tcW w:w="1505" w:type="dxa"/>
            <w:tcBorders>
              <w:top w:val="nil"/>
              <w:left w:val="nil"/>
              <w:bottom w:val="single" w:sz="8" w:space="0" w:color="auto"/>
              <w:right w:val="nil"/>
            </w:tcBorders>
            <w:shd w:val="clear" w:color="000000" w:fill="FFFFFF"/>
            <w:noWrap/>
            <w:vAlign w:val="center"/>
            <w:hideMark/>
          </w:tcPr>
          <w:p w14:paraId="49ECAE22" w14:textId="77777777" w:rsidR="00C2160A" w:rsidRPr="00AC5825" w:rsidRDefault="00C2160A" w:rsidP="00566482">
            <w:pPr>
              <w:pStyle w:val="Normal-pool"/>
              <w:spacing w:before="40" w:after="40"/>
              <w:rPr>
                <w:lang w:eastAsia="zh-CN"/>
              </w:rPr>
            </w:pPr>
            <w:r w:rsidRPr="00AC5825">
              <w:rPr>
                <w:lang w:eastAsia="zh-CN"/>
              </w:rPr>
              <w:t>15</w:t>
            </w:r>
          </w:p>
        </w:tc>
        <w:tc>
          <w:tcPr>
            <w:tcW w:w="7371" w:type="dxa"/>
            <w:tcBorders>
              <w:top w:val="nil"/>
              <w:left w:val="nil"/>
              <w:bottom w:val="single" w:sz="8" w:space="0" w:color="auto"/>
              <w:right w:val="nil"/>
            </w:tcBorders>
            <w:shd w:val="clear" w:color="000000" w:fill="FFFFFF"/>
            <w:noWrap/>
            <w:vAlign w:val="center"/>
            <w:hideMark/>
          </w:tcPr>
          <w:p w14:paraId="347C29B7" w14:textId="5E9DF027" w:rsidR="00C2160A" w:rsidRPr="00AC5825" w:rsidRDefault="00C2160A" w:rsidP="00566482">
            <w:pPr>
              <w:pStyle w:val="Normal-pool"/>
              <w:spacing w:before="40" w:after="40"/>
              <w:rPr>
                <w:lang w:eastAsia="zh-CN"/>
              </w:rPr>
            </w:pPr>
            <w:r w:rsidRPr="00AC5825">
              <w:rPr>
                <w:lang w:eastAsia="zh-CN"/>
              </w:rPr>
              <w:t>Information technology services </w:t>
            </w:r>
          </w:p>
        </w:tc>
      </w:tr>
    </w:tbl>
    <w:p w14:paraId="673F18B9" w14:textId="362EFF2A" w:rsidR="00F34B53" w:rsidRPr="00AC5825" w:rsidRDefault="00F34B53" w:rsidP="0082498C">
      <w:pPr>
        <w:pStyle w:val="Normal-pool"/>
        <w:rPr>
          <w:lang w:eastAsia="zh-C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4"/>
        <w:gridCol w:w="1965"/>
        <w:gridCol w:w="1965"/>
        <w:gridCol w:w="1965"/>
        <w:gridCol w:w="1965"/>
      </w:tblGrid>
      <w:tr w:rsidR="00C2160A" w:rsidRPr="00AC5825" w14:paraId="7F6F795F" w14:textId="77777777" w:rsidTr="00C2160A">
        <w:tc>
          <w:tcPr>
            <w:tcW w:w="1964" w:type="dxa"/>
          </w:tcPr>
          <w:p w14:paraId="50FFF35E" w14:textId="77777777" w:rsidR="00C2160A" w:rsidRPr="00AC5825" w:rsidRDefault="00C2160A" w:rsidP="00C2160A">
            <w:pPr>
              <w:pStyle w:val="Normal-pool"/>
              <w:spacing w:after="520"/>
              <w:rPr>
                <w:lang w:eastAsia="zh-CN"/>
              </w:rPr>
            </w:pPr>
          </w:p>
        </w:tc>
        <w:tc>
          <w:tcPr>
            <w:tcW w:w="1965" w:type="dxa"/>
          </w:tcPr>
          <w:p w14:paraId="06284E5E" w14:textId="77777777" w:rsidR="00C2160A" w:rsidRPr="00AC5825" w:rsidRDefault="00C2160A" w:rsidP="00C2160A">
            <w:pPr>
              <w:pStyle w:val="Normal-pool"/>
              <w:spacing w:after="520"/>
              <w:rPr>
                <w:lang w:eastAsia="zh-CN"/>
              </w:rPr>
            </w:pPr>
          </w:p>
        </w:tc>
        <w:tc>
          <w:tcPr>
            <w:tcW w:w="1965" w:type="dxa"/>
            <w:tcBorders>
              <w:bottom w:val="single" w:sz="4" w:space="0" w:color="auto"/>
            </w:tcBorders>
          </w:tcPr>
          <w:p w14:paraId="5353313B" w14:textId="77777777" w:rsidR="00C2160A" w:rsidRPr="00AC5825" w:rsidRDefault="00C2160A" w:rsidP="00C2160A">
            <w:pPr>
              <w:pStyle w:val="Normal-pool"/>
              <w:spacing w:after="520"/>
              <w:rPr>
                <w:lang w:eastAsia="zh-CN"/>
              </w:rPr>
            </w:pPr>
          </w:p>
        </w:tc>
        <w:tc>
          <w:tcPr>
            <w:tcW w:w="1965" w:type="dxa"/>
          </w:tcPr>
          <w:p w14:paraId="39949068" w14:textId="77777777" w:rsidR="00C2160A" w:rsidRPr="00AC5825" w:rsidRDefault="00C2160A" w:rsidP="00C2160A">
            <w:pPr>
              <w:pStyle w:val="Normal-pool"/>
              <w:spacing w:after="520"/>
              <w:rPr>
                <w:lang w:eastAsia="zh-CN"/>
              </w:rPr>
            </w:pPr>
          </w:p>
        </w:tc>
        <w:tc>
          <w:tcPr>
            <w:tcW w:w="1965" w:type="dxa"/>
          </w:tcPr>
          <w:p w14:paraId="1374B5CF" w14:textId="77777777" w:rsidR="00C2160A" w:rsidRPr="00AC5825" w:rsidRDefault="00C2160A" w:rsidP="00C2160A">
            <w:pPr>
              <w:pStyle w:val="Normal-pool"/>
              <w:spacing w:after="520"/>
              <w:rPr>
                <w:lang w:eastAsia="zh-CN"/>
              </w:rPr>
            </w:pPr>
          </w:p>
        </w:tc>
      </w:tr>
    </w:tbl>
    <w:p w14:paraId="77B43A18" w14:textId="77777777" w:rsidR="00C2160A" w:rsidRPr="00AC5825" w:rsidRDefault="00C2160A" w:rsidP="0082498C">
      <w:pPr>
        <w:pStyle w:val="Normal-pool"/>
        <w:rPr>
          <w:lang w:eastAsia="zh-CN"/>
        </w:rPr>
      </w:pPr>
    </w:p>
    <w:sectPr w:rsidR="00C2160A" w:rsidRPr="00AC5825" w:rsidSect="0034061A">
      <w:headerReference w:type="even" r:id="rId24"/>
      <w:headerReference w:type="default" r:id="rId25"/>
      <w:headerReference w:type="first" r:id="rId26"/>
      <w:footerReference w:type="first" r:id="rId27"/>
      <w:type w:val="continuous"/>
      <w:pgSz w:w="11906" w:h="16838" w:code="9"/>
      <w:pgMar w:top="907" w:right="992" w:bottom="1418" w:left="107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4918B" w14:textId="77777777" w:rsidR="0068678F" w:rsidRDefault="0068678F">
      <w:r>
        <w:separator/>
      </w:r>
    </w:p>
  </w:endnote>
  <w:endnote w:type="continuationSeparator" w:id="0">
    <w:p w14:paraId="329C0112" w14:textId="77777777" w:rsidR="0068678F" w:rsidRDefault="00686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26094" w14:textId="55DC8C10" w:rsidR="007E384A" w:rsidRDefault="007E384A">
    <w:pPr>
      <w:pStyle w:val="Footer"/>
    </w:pPr>
    <w:r>
      <w:rPr>
        <w:rStyle w:val="PageNumber"/>
      </w:rPr>
      <w:fldChar w:fldCharType="begin"/>
    </w:r>
    <w:r>
      <w:rPr>
        <w:rStyle w:val="PageNumber"/>
      </w:rPr>
      <w:instrText xml:space="preserve"> PAGE </w:instrText>
    </w:r>
    <w:r>
      <w:rPr>
        <w:rStyle w:val="PageNumber"/>
      </w:rPr>
      <w:fldChar w:fldCharType="separate"/>
    </w:r>
    <w:r w:rsidR="00D16FD6">
      <w:rPr>
        <w:rStyle w:val="PageNumber"/>
        <w:noProof/>
      </w:rPr>
      <w:t>10</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47A9A" w14:textId="50839E4D" w:rsidR="007E384A" w:rsidRDefault="007E384A"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D16FD6">
      <w:rPr>
        <w:rStyle w:val="PageNumber"/>
        <w:noProof/>
      </w:rPr>
      <w:t>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BED38" w14:textId="45CB64BF" w:rsidR="007E384A" w:rsidRDefault="007E384A">
    <w:pPr>
      <w:pStyle w:val="Footer"/>
    </w:pPr>
    <w:r>
      <w:t>K1903728</w:t>
    </w:r>
    <w:r>
      <w:tab/>
    </w:r>
    <w:r w:rsidR="00DB5C84">
      <w:t>260919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2305F" w14:textId="545F9DCC" w:rsidR="007E384A" w:rsidRPr="00EC3F22" w:rsidRDefault="007E384A" w:rsidP="00EC3F22">
    <w:pPr>
      <w:pStyle w:val="Footer"/>
      <w:jc w:val="right"/>
      <w:rPr>
        <w:b/>
      </w:rPr>
    </w:pPr>
    <w:r w:rsidRPr="00EC3F22">
      <w:rPr>
        <w:b/>
      </w:rPr>
      <w:fldChar w:fldCharType="begin"/>
    </w:r>
    <w:r w:rsidRPr="00EC3F22">
      <w:rPr>
        <w:b/>
      </w:rPr>
      <w:instrText xml:space="preserve"> PAGE   \* MERGEFORMAT </w:instrText>
    </w:r>
    <w:r w:rsidRPr="00EC3F22">
      <w:rPr>
        <w:b/>
      </w:rPr>
      <w:fldChar w:fldCharType="separate"/>
    </w:r>
    <w:r w:rsidR="00D16FD6">
      <w:rPr>
        <w:b/>
        <w:noProof/>
      </w:rPr>
      <w:t>7</w:t>
    </w:r>
    <w:r w:rsidRPr="00EC3F22">
      <w:rPr>
        <w:b/>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8507A" w14:textId="77777777" w:rsidR="007E384A" w:rsidRPr="00784207" w:rsidRDefault="007E384A" w:rsidP="00784207">
    <w:pPr>
      <w:pStyle w:val="Footer"/>
      <w:rPr>
        <w:b/>
      </w:rPr>
    </w:pPr>
    <w:r w:rsidRPr="00784207">
      <w:rPr>
        <w:b/>
      </w:rPr>
      <w:fldChar w:fldCharType="begin"/>
    </w:r>
    <w:r w:rsidRPr="00784207">
      <w:rPr>
        <w:b/>
      </w:rPr>
      <w:instrText xml:space="preserve"> PAGE   \* MERGEFORMAT </w:instrText>
    </w:r>
    <w:r w:rsidRPr="00784207">
      <w:rPr>
        <w:b/>
      </w:rPr>
      <w:fldChar w:fldCharType="separate"/>
    </w:r>
    <w:r>
      <w:rPr>
        <w:b/>
        <w:noProof/>
      </w:rPr>
      <w:t>18</w:t>
    </w:r>
    <w:r w:rsidRPr="00784207">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37903" w14:textId="77777777" w:rsidR="0068678F" w:rsidRPr="00BC5579" w:rsidRDefault="0068678F" w:rsidP="00BC5579">
      <w:pPr>
        <w:spacing w:before="60"/>
        <w:ind w:left="624"/>
        <w:rPr>
          <w:sz w:val="18"/>
          <w:szCs w:val="18"/>
        </w:rPr>
      </w:pPr>
      <w:r w:rsidRPr="00BC5579">
        <w:rPr>
          <w:sz w:val="18"/>
          <w:szCs w:val="18"/>
        </w:rPr>
        <w:separator/>
      </w:r>
    </w:p>
  </w:footnote>
  <w:footnote w:type="continuationSeparator" w:id="0">
    <w:p w14:paraId="155F1A1D" w14:textId="77777777" w:rsidR="0068678F" w:rsidRDefault="0068678F">
      <w:r>
        <w:continuationSeparator/>
      </w:r>
    </w:p>
  </w:footnote>
  <w:footnote w:id="1">
    <w:p w14:paraId="777B19F5" w14:textId="77777777" w:rsidR="007E384A" w:rsidRPr="009D5520" w:rsidRDefault="007E384A" w:rsidP="00E54866">
      <w:pPr>
        <w:tabs>
          <w:tab w:val="left" w:pos="624"/>
        </w:tabs>
        <w:spacing w:before="20" w:after="40"/>
        <w:ind w:left="1247"/>
        <w:rPr>
          <w:sz w:val="18"/>
          <w:szCs w:val="18"/>
        </w:rPr>
      </w:pPr>
      <w:r w:rsidRPr="009D5520">
        <w:rPr>
          <w:sz w:val="18"/>
          <w:szCs w:val="18"/>
        </w:rPr>
        <w:t>* UNEP/MC/COP.</w:t>
      </w:r>
      <w:r>
        <w:rPr>
          <w:sz w:val="18"/>
          <w:szCs w:val="18"/>
        </w:rPr>
        <w:t>3</w:t>
      </w:r>
      <w:r w:rsidRPr="009D5520">
        <w:rPr>
          <w:sz w:val="18"/>
          <w:szCs w:val="18"/>
        </w:rPr>
        <w:t>/1.</w:t>
      </w:r>
    </w:p>
  </w:footnote>
  <w:footnote w:id="2">
    <w:p w14:paraId="659AC53F" w14:textId="3A29740C" w:rsidR="007E384A" w:rsidRPr="00AC3C5A" w:rsidRDefault="007E384A" w:rsidP="004B06E0">
      <w:pPr>
        <w:pStyle w:val="FootnoteText"/>
        <w:rPr>
          <w:lang w:val="en-US"/>
        </w:rPr>
      </w:pPr>
      <w:r>
        <w:rPr>
          <w:rStyle w:val="FootnoteReference"/>
        </w:rPr>
        <w:footnoteRef/>
      </w:r>
      <w:r w:rsidRPr="00996EAE">
        <w:rPr>
          <w:lang w:val="en-US"/>
        </w:rPr>
        <w:t xml:space="preserve"> </w:t>
      </w:r>
      <w:proofErr w:type="spellStart"/>
      <w:r>
        <w:rPr>
          <w:lang w:val="en-US"/>
        </w:rPr>
        <w:t>Umoja</w:t>
      </w:r>
      <w:proofErr w:type="spellEnd"/>
      <w:r>
        <w:rPr>
          <w:lang w:val="en-US"/>
        </w:rPr>
        <w:t xml:space="preserve"> is the United Nations Secretariat-wide enterprise resource planning system, introduced in 2015. </w:t>
      </w:r>
    </w:p>
  </w:footnote>
  <w:footnote w:id="3">
    <w:p w14:paraId="31F766A1" w14:textId="6A544DAA" w:rsidR="007E384A" w:rsidRPr="00367C87" w:rsidRDefault="007E384A">
      <w:pPr>
        <w:pStyle w:val="FootnoteText"/>
        <w:rPr>
          <w:szCs w:val="18"/>
          <w:lang w:val="en-GB"/>
        </w:rPr>
      </w:pPr>
      <w:r w:rsidRPr="00367C87">
        <w:rPr>
          <w:rStyle w:val="FootnoteReference"/>
          <w:sz w:val="18"/>
          <w:lang w:val="en-GB"/>
        </w:rPr>
        <w:footnoteRef/>
      </w:r>
      <w:r w:rsidRPr="00367C87">
        <w:rPr>
          <w:szCs w:val="18"/>
          <w:lang w:val="en-GB"/>
        </w:rPr>
        <w:t xml:space="preserve"> UNEP/MC/COP.3/19</w:t>
      </w:r>
      <w:r w:rsidR="00C16F6C">
        <w:rPr>
          <w:szCs w:val="18"/>
          <w:lang w:val="en-GB"/>
        </w:rPr>
        <w:t>.</w:t>
      </w:r>
    </w:p>
  </w:footnote>
  <w:footnote w:id="4">
    <w:p w14:paraId="3A563240" w14:textId="2DE11BC9" w:rsidR="007E384A" w:rsidRPr="00367C87" w:rsidRDefault="007E384A">
      <w:pPr>
        <w:pStyle w:val="FootnoteText"/>
        <w:rPr>
          <w:szCs w:val="18"/>
          <w:lang w:val="en-US"/>
        </w:rPr>
      </w:pPr>
      <w:r w:rsidRPr="00367C87">
        <w:rPr>
          <w:rStyle w:val="FootnoteReference"/>
          <w:sz w:val="18"/>
        </w:rPr>
        <w:footnoteRef/>
      </w:r>
      <w:r w:rsidRPr="00367C87">
        <w:rPr>
          <w:szCs w:val="18"/>
          <w:lang w:val="en-US"/>
        </w:rPr>
        <w:t xml:space="preserve"> UNEP/MC/COP.3/INF/10</w:t>
      </w:r>
      <w:r w:rsidR="00C16F6C">
        <w:rPr>
          <w:szCs w:val="18"/>
          <w:lang w:val="en-US"/>
        </w:rPr>
        <w:t>.</w:t>
      </w:r>
    </w:p>
  </w:footnote>
  <w:footnote w:id="5">
    <w:p w14:paraId="0210963C" w14:textId="08CAB1D3" w:rsidR="007E384A" w:rsidRPr="00367C87" w:rsidRDefault="007E384A">
      <w:pPr>
        <w:pStyle w:val="FootnoteText"/>
        <w:rPr>
          <w:szCs w:val="18"/>
          <w:lang w:val="en-US"/>
        </w:rPr>
      </w:pPr>
      <w:r w:rsidRPr="00367C87">
        <w:rPr>
          <w:rStyle w:val="FootnoteReference"/>
          <w:sz w:val="18"/>
        </w:rPr>
        <w:footnoteRef/>
      </w:r>
      <w:r w:rsidRPr="00367C87">
        <w:rPr>
          <w:szCs w:val="18"/>
          <w:lang w:val="en-US"/>
        </w:rPr>
        <w:t xml:space="preserve"> </w:t>
      </w:r>
      <w:r w:rsidRPr="00367C87">
        <w:rPr>
          <w:szCs w:val="18"/>
          <w:lang w:val="en-GB"/>
        </w:rPr>
        <w:t>UNEP/MC/COP.3/20</w:t>
      </w:r>
      <w:r w:rsidR="00C16F6C">
        <w:rPr>
          <w:szCs w:val="18"/>
          <w:lang w:val="en-GB"/>
        </w:rPr>
        <w:t>.</w:t>
      </w:r>
    </w:p>
  </w:footnote>
  <w:footnote w:id="6">
    <w:p w14:paraId="44334346" w14:textId="432D53F5" w:rsidR="007E384A" w:rsidRPr="00367C87" w:rsidRDefault="007E384A">
      <w:pPr>
        <w:pStyle w:val="FootnoteText"/>
        <w:rPr>
          <w:szCs w:val="18"/>
          <w:lang w:val="en-US"/>
        </w:rPr>
      </w:pPr>
      <w:r w:rsidRPr="00367C87">
        <w:rPr>
          <w:rStyle w:val="FootnoteReference"/>
          <w:sz w:val="18"/>
        </w:rPr>
        <w:footnoteRef/>
      </w:r>
      <w:r w:rsidRPr="00367C87">
        <w:rPr>
          <w:szCs w:val="18"/>
          <w:lang w:val="en-US"/>
        </w:rPr>
        <w:t xml:space="preserve"> </w:t>
      </w:r>
      <w:r w:rsidRPr="00367C87">
        <w:rPr>
          <w:szCs w:val="18"/>
          <w:lang w:val="en-GB"/>
        </w:rPr>
        <w:t>UNEP/MC/COP.3/INF/10</w:t>
      </w:r>
      <w:r w:rsidR="00C16F6C">
        <w:rPr>
          <w:szCs w:val="18"/>
          <w:lang w:val="en-GB"/>
        </w:rPr>
        <w:t>.</w:t>
      </w:r>
    </w:p>
  </w:footnote>
  <w:footnote w:id="7">
    <w:p w14:paraId="27A91447" w14:textId="0EFC714D" w:rsidR="007E384A" w:rsidRPr="00367C87" w:rsidRDefault="007E384A">
      <w:pPr>
        <w:pStyle w:val="FootnoteText"/>
        <w:rPr>
          <w:szCs w:val="18"/>
          <w:lang w:val="en-US"/>
        </w:rPr>
      </w:pPr>
      <w:r w:rsidRPr="00367C87">
        <w:rPr>
          <w:rStyle w:val="FootnoteReference"/>
          <w:sz w:val="18"/>
        </w:rPr>
        <w:footnoteRef/>
      </w:r>
      <w:r w:rsidRPr="00367C87">
        <w:rPr>
          <w:szCs w:val="18"/>
          <w:lang w:val="en-US"/>
        </w:rPr>
        <w:t xml:space="preserve"> </w:t>
      </w:r>
      <w:r w:rsidRPr="00367C87">
        <w:rPr>
          <w:szCs w:val="18"/>
          <w:lang w:val="en-GB"/>
        </w:rPr>
        <w:t>UNEP/MC/COP.3/INF/11</w:t>
      </w:r>
      <w:r w:rsidR="00C16F6C">
        <w:rPr>
          <w:szCs w:val="18"/>
          <w:lang w:val="en-GB"/>
        </w:rPr>
        <w:t>.</w:t>
      </w:r>
    </w:p>
  </w:footnote>
  <w:footnote w:id="8">
    <w:p w14:paraId="2120CE6A" w14:textId="1C9980C7" w:rsidR="007E384A" w:rsidRPr="00367C87" w:rsidRDefault="007E384A">
      <w:pPr>
        <w:pStyle w:val="FootnoteText"/>
        <w:rPr>
          <w:szCs w:val="18"/>
          <w:lang w:val="en-US"/>
        </w:rPr>
      </w:pPr>
      <w:r w:rsidRPr="00367C87">
        <w:rPr>
          <w:rStyle w:val="FootnoteReference"/>
          <w:sz w:val="18"/>
        </w:rPr>
        <w:footnoteRef/>
      </w:r>
      <w:r w:rsidRPr="00367C87">
        <w:rPr>
          <w:szCs w:val="18"/>
          <w:lang w:val="en-US"/>
        </w:rPr>
        <w:t xml:space="preserve"> </w:t>
      </w:r>
      <w:r w:rsidRPr="00367C87">
        <w:rPr>
          <w:szCs w:val="18"/>
          <w:lang w:val="en-GB"/>
        </w:rPr>
        <w:t>UNEP/MC/COP.3/INF/9</w:t>
      </w:r>
      <w:r w:rsidR="00C16F6C">
        <w:rPr>
          <w:szCs w:val="18"/>
          <w:lang w:val="en-GB"/>
        </w:rPr>
        <w:t>.</w:t>
      </w:r>
    </w:p>
  </w:footnote>
  <w:footnote w:id="9">
    <w:p w14:paraId="5C3112C2" w14:textId="3EFE44D8" w:rsidR="007E384A" w:rsidRPr="00367C87" w:rsidRDefault="007E384A">
      <w:pPr>
        <w:pStyle w:val="FootnoteText"/>
        <w:rPr>
          <w:szCs w:val="18"/>
          <w:lang w:val="en-GB"/>
        </w:rPr>
      </w:pPr>
      <w:r w:rsidRPr="00367C87">
        <w:rPr>
          <w:rStyle w:val="FootnoteReference"/>
          <w:sz w:val="18"/>
          <w:lang w:val="en-GB"/>
        </w:rPr>
        <w:footnoteRef/>
      </w:r>
      <w:r w:rsidRPr="00367C87">
        <w:rPr>
          <w:szCs w:val="18"/>
          <w:lang w:val="en-GB"/>
        </w:rPr>
        <w:t xml:space="preserve"> UNEP/MC/COP.3/INF/10</w:t>
      </w:r>
      <w:r w:rsidR="00C16F6C">
        <w:rPr>
          <w:szCs w:val="18"/>
          <w:lang w:val="en-GB"/>
        </w:rPr>
        <w:t>.</w:t>
      </w:r>
    </w:p>
  </w:footnote>
  <w:footnote w:id="10">
    <w:p w14:paraId="61A991BD" w14:textId="567BE308" w:rsidR="007E384A" w:rsidRPr="00367C87" w:rsidRDefault="007E384A">
      <w:pPr>
        <w:pStyle w:val="FootnoteText"/>
        <w:rPr>
          <w:szCs w:val="18"/>
          <w:lang w:val="en-GB"/>
        </w:rPr>
      </w:pPr>
      <w:r w:rsidRPr="00367C87">
        <w:rPr>
          <w:rStyle w:val="FootnoteReference"/>
          <w:sz w:val="18"/>
          <w:lang w:val="en-GB"/>
        </w:rPr>
        <w:footnoteRef/>
      </w:r>
      <w:r w:rsidRPr="00367C87">
        <w:rPr>
          <w:szCs w:val="18"/>
          <w:lang w:val="en-GB"/>
        </w:rPr>
        <w:t xml:space="preserve"> UNEP/MC/COP.3/19</w:t>
      </w:r>
      <w:r w:rsidR="00C16F6C">
        <w:rPr>
          <w:szCs w:val="18"/>
          <w:lang w:val="en-GB"/>
        </w:rPr>
        <w:t>.</w:t>
      </w:r>
    </w:p>
  </w:footnote>
  <w:footnote w:id="11">
    <w:p w14:paraId="04854156" w14:textId="6FECA2D1" w:rsidR="007E384A" w:rsidRPr="00367C87" w:rsidRDefault="007E384A" w:rsidP="003D4595">
      <w:pPr>
        <w:pStyle w:val="FootnoteText"/>
        <w:rPr>
          <w:szCs w:val="18"/>
          <w:lang w:val="en-US"/>
        </w:rPr>
      </w:pPr>
      <w:r w:rsidRPr="00367C87">
        <w:rPr>
          <w:rStyle w:val="FootnoteReference"/>
          <w:sz w:val="18"/>
        </w:rPr>
        <w:footnoteRef/>
      </w:r>
      <w:r w:rsidRPr="00367C87">
        <w:rPr>
          <w:szCs w:val="18"/>
          <w:lang w:val="en-US"/>
        </w:rPr>
        <w:t xml:space="preserve"> </w:t>
      </w:r>
      <w:r w:rsidRPr="00367C87">
        <w:rPr>
          <w:szCs w:val="18"/>
          <w:lang w:val="en-GB"/>
        </w:rPr>
        <w:t>UNEP/MC/COP.3/20</w:t>
      </w:r>
      <w:r w:rsidR="00C16F6C">
        <w:rPr>
          <w:szCs w:val="18"/>
          <w:lang w:val="en-GB"/>
        </w:rPr>
        <w:t>.</w:t>
      </w:r>
    </w:p>
  </w:footnote>
  <w:footnote w:id="12">
    <w:p w14:paraId="072836F2" w14:textId="25E8DD43" w:rsidR="007E384A" w:rsidRPr="00367C87" w:rsidRDefault="007E384A" w:rsidP="003D4595">
      <w:pPr>
        <w:pStyle w:val="FootnoteText"/>
        <w:rPr>
          <w:szCs w:val="18"/>
          <w:lang w:val="en-US"/>
        </w:rPr>
      </w:pPr>
      <w:r w:rsidRPr="00367C87">
        <w:rPr>
          <w:rStyle w:val="FootnoteReference"/>
          <w:sz w:val="18"/>
        </w:rPr>
        <w:footnoteRef/>
      </w:r>
      <w:r w:rsidRPr="00367C87">
        <w:rPr>
          <w:szCs w:val="18"/>
          <w:lang w:val="en-US"/>
        </w:rPr>
        <w:t xml:space="preserve"> </w:t>
      </w:r>
      <w:r w:rsidRPr="00367C87">
        <w:rPr>
          <w:szCs w:val="18"/>
          <w:lang w:val="en-GB"/>
        </w:rPr>
        <w:t>UNEP/MC/COP.3/INF/10</w:t>
      </w:r>
      <w:r w:rsidR="00C16F6C">
        <w:rPr>
          <w:szCs w:val="18"/>
          <w:lang w:val="en-GB"/>
        </w:rPr>
        <w:t>.</w:t>
      </w:r>
    </w:p>
  </w:footnote>
  <w:footnote w:id="13">
    <w:p w14:paraId="2CD085F5" w14:textId="418C567C" w:rsidR="007E384A" w:rsidRPr="00367C87" w:rsidRDefault="007E384A" w:rsidP="003D4595">
      <w:pPr>
        <w:pStyle w:val="FootnoteText"/>
        <w:rPr>
          <w:szCs w:val="18"/>
          <w:lang w:val="en-US"/>
        </w:rPr>
      </w:pPr>
      <w:r w:rsidRPr="00367C87">
        <w:rPr>
          <w:rStyle w:val="FootnoteReference"/>
          <w:sz w:val="18"/>
        </w:rPr>
        <w:footnoteRef/>
      </w:r>
      <w:r w:rsidRPr="00367C87">
        <w:rPr>
          <w:szCs w:val="18"/>
          <w:lang w:val="en-US"/>
        </w:rPr>
        <w:t xml:space="preserve"> </w:t>
      </w:r>
      <w:r w:rsidRPr="00367C87">
        <w:rPr>
          <w:szCs w:val="18"/>
          <w:lang w:val="en-GB"/>
        </w:rPr>
        <w:t>UNEP/MC/COP.3/INF/11</w:t>
      </w:r>
      <w:r w:rsidR="00C16F6C">
        <w:rPr>
          <w:szCs w:val="18"/>
          <w:lang w:val="en-GB"/>
        </w:rPr>
        <w:t>.</w:t>
      </w:r>
    </w:p>
  </w:footnote>
  <w:footnote w:id="14">
    <w:p w14:paraId="56AFC9A4" w14:textId="30797F33" w:rsidR="007E384A" w:rsidRPr="00367C87" w:rsidRDefault="007E384A" w:rsidP="003D4595">
      <w:pPr>
        <w:pStyle w:val="FootnoteText"/>
        <w:rPr>
          <w:szCs w:val="18"/>
          <w:lang w:val="en-GB"/>
        </w:rPr>
      </w:pPr>
      <w:r w:rsidRPr="00367C87">
        <w:rPr>
          <w:rStyle w:val="FootnoteReference"/>
          <w:sz w:val="18"/>
        </w:rPr>
        <w:footnoteRef/>
      </w:r>
      <w:r w:rsidRPr="00367C87">
        <w:rPr>
          <w:szCs w:val="18"/>
          <w:lang w:val="en-GB"/>
        </w:rPr>
        <w:t xml:space="preserve"> UNEP/MC/COP.3/INF/9</w:t>
      </w:r>
      <w:r w:rsidR="00C16F6C">
        <w:rPr>
          <w:szCs w:val="18"/>
          <w:lang w:val="en-GB"/>
        </w:rPr>
        <w:t>.</w:t>
      </w:r>
    </w:p>
  </w:footnote>
  <w:footnote w:id="15">
    <w:p w14:paraId="2456A375" w14:textId="260C346D" w:rsidR="007E384A" w:rsidRPr="00367C87" w:rsidRDefault="007E384A">
      <w:pPr>
        <w:pStyle w:val="FootnoteText"/>
        <w:rPr>
          <w:szCs w:val="18"/>
          <w:lang w:val="en-GB"/>
        </w:rPr>
      </w:pPr>
      <w:r w:rsidRPr="00367C87">
        <w:rPr>
          <w:rStyle w:val="FootnoteReference"/>
          <w:sz w:val="18"/>
          <w:lang w:val="en-GB"/>
        </w:rPr>
        <w:footnoteRef/>
      </w:r>
      <w:r w:rsidRPr="00367C87">
        <w:rPr>
          <w:szCs w:val="18"/>
          <w:lang w:val="en-GB"/>
        </w:rPr>
        <w:t xml:space="preserve"> UNEP/MC/COP.3/10.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C2176" w14:textId="58054E15" w:rsidR="007E384A" w:rsidRPr="00CA5CA9" w:rsidRDefault="007E384A"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E2DBC" w14:textId="5E9164E7" w:rsidR="007E384A" w:rsidRPr="00CA5CA9" w:rsidRDefault="007E384A"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613F4" w14:textId="5F3A3B64" w:rsidR="007E384A" w:rsidRDefault="007E384A" w:rsidP="00032E4E">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C3429" w14:textId="3B3B7592" w:rsidR="007E384A" w:rsidRDefault="007E384A">
    <w:pPr>
      <w:pStyle w:val="Heade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B0D1F" w14:textId="731A30B6" w:rsidR="007E384A" w:rsidRPr="00367C87" w:rsidRDefault="007E384A" w:rsidP="00367C87">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7F447" w14:textId="0AD8D3A1" w:rsidR="007E384A" w:rsidRPr="00CA5CA9" w:rsidRDefault="007E384A" w:rsidP="00EC3F22">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95FCE" w14:textId="76860BE6" w:rsidR="007E384A" w:rsidRDefault="007E384A">
    <w:pPr>
      <w:pStyle w:val="Heade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453CE" w14:textId="0F8360A8" w:rsidR="007E384A" w:rsidRDefault="007E384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E91B4" w14:textId="4ECBABAE" w:rsidR="007E384A" w:rsidRDefault="007E384A" w:rsidP="00784207">
    <w:pPr>
      <w:pStyle w:val="Heade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1A075C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lvlOverride w:ilvl="1">
      <w:lvl w:ilvl="1">
        <w:start w:val="1"/>
        <w:numFmt w:val="lowerLetter"/>
        <w:lvlText w:val="(%2)"/>
        <w:lvlJc w:val="left"/>
        <w:pPr>
          <w:tabs>
            <w:tab w:val="num" w:pos="1134"/>
          </w:tabs>
          <w:ind w:left="1247" w:firstLine="567"/>
        </w:pPr>
        <w:rPr>
          <w:rFonts w:hint="default"/>
        </w:rPr>
      </w:lvl>
    </w:lvlOverride>
  </w:num>
  <w:num w:numId="2">
    <w:abstractNumId w:val="1"/>
  </w:num>
  <w:num w:numId="3">
    <w:abstractNumId w:val="2"/>
  </w:num>
  <w:num w:numId="4">
    <w:abstractNumId w:val="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3"/>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 w:ilvl="0">
        <w:start w:val="1"/>
        <w:numFmt w:val="decimal"/>
        <w:pStyle w:val="Normalnumber"/>
        <w:lvlText w:val="%1."/>
        <w:lvlJc w:val="left"/>
        <w:pPr>
          <w:tabs>
            <w:tab w:val="num" w:pos="1134"/>
          </w:tabs>
          <w:ind w:left="1247" w:firstLine="0"/>
        </w:pPr>
        <w:rPr>
          <w:rFonts w:hint="default"/>
          <w:i w:val="0"/>
        </w:rPr>
      </w:lvl>
    </w:lvlOverride>
  </w:num>
  <w:num w:numId="9">
    <w:abstractNumId w:val="3"/>
  </w:num>
  <w:num w:numId="10">
    <w:abstractNumId w:val="3"/>
    <w:lvlOverride w:ilvl="0">
      <w:lvl w:ilvl="0">
        <w:start w:val="1"/>
        <w:numFmt w:val="decimal"/>
        <w:pStyle w:val="Normalnumber"/>
        <w:lvlText w:val="%1."/>
        <w:lvlJc w:val="left"/>
        <w:pPr>
          <w:tabs>
            <w:tab w:val="num" w:pos="1134"/>
          </w:tabs>
          <w:ind w:left="1247" w:firstLine="0"/>
        </w:pPr>
        <w:rPr>
          <w:rFonts w:hint="default"/>
          <w:i w:val="0"/>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06"/>
    <w:rsid w:val="000024A3"/>
    <w:rsid w:val="0000287C"/>
    <w:rsid w:val="00002AC3"/>
    <w:rsid w:val="000034C9"/>
    <w:rsid w:val="00004E48"/>
    <w:rsid w:val="0000540F"/>
    <w:rsid w:val="000057BB"/>
    <w:rsid w:val="000065CB"/>
    <w:rsid w:val="000077AD"/>
    <w:rsid w:val="00007B70"/>
    <w:rsid w:val="00007CCF"/>
    <w:rsid w:val="0001142B"/>
    <w:rsid w:val="00011A16"/>
    <w:rsid w:val="00014435"/>
    <w:rsid w:val="000149E6"/>
    <w:rsid w:val="000164DE"/>
    <w:rsid w:val="00017F47"/>
    <w:rsid w:val="00023DA9"/>
    <w:rsid w:val="00023FFF"/>
    <w:rsid w:val="000247B0"/>
    <w:rsid w:val="00026997"/>
    <w:rsid w:val="00026A08"/>
    <w:rsid w:val="00027CBB"/>
    <w:rsid w:val="000316EE"/>
    <w:rsid w:val="00032A1F"/>
    <w:rsid w:val="00032E4E"/>
    <w:rsid w:val="00033E0B"/>
    <w:rsid w:val="00035EDE"/>
    <w:rsid w:val="00036EBA"/>
    <w:rsid w:val="00037302"/>
    <w:rsid w:val="00040BA3"/>
    <w:rsid w:val="00040FC9"/>
    <w:rsid w:val="000430A5"/>
    <w:rsid w:val="000438B3"/>
    <w:rsid w:val="00044D98"/>
    <w:rsid w:val="0004673D"/>
    <w:rsid w:val="000503B4"/>
    <w:rsid w:val="000509B4"/>
    <w:rsid w:val="00052125"/>
    <w:rsid w:val="00056FC3"/>
    <w:rsid w:val="0006035B"/>
    <w:rsid w:val="0006096F"/>
    <w:rsid w:val="000623E4"/>
    <w:rsid w:val="00064800"/>
    <w:rsid w:val="000649C5"/>
    <w:rsid w:val="00064B3F"/>
    <w:rsid w:val="000660EE"/>
    <w:rsid w:val="000665A7"/>
    <w:rsid w:val="00066A79"/>
    <w:rsid w:val="000671D0"/>
    <w:rsid w:val="0006773B"/>
    <w:rsid w:val="00071886"/>
    <w:rsid w:val="00071CF3"/>
    <w:rsid w:val="00072028"/>
    <w:rsid w:val="00072F76"/>
    <w:rsid w:val="0007408F"/>
    <w:rsid w:val="000742BC"/>
    <w:rsid w:val="000751C1"/>
    <w:rsid w:val="00076C22"/>
    <w:rsid w:val="00076CC6"/>
    <w:rsid w:val="000808A8"/>
    <w:rsid w:val="00082681"/>
    <w:rsid w:val="00082A0C"/>
    <w:rsid w:val="00083504"/>
    <w:rsid w:val="000843C4"/>
    <w:rsid w:val="00092266"/>
    <w:rsid w:val="00093BC4"/>
    <w:rsid w:val="0009640C"/>
    <w:rsid w:val="00096D4A"/>
    <w:rsid w:val="000A0EE6"/>
    <w:rsid w:val="000A19CD"/>
    <w:rsid w:val="000A1D77"/>
    <w:rsid w:val="000A33AD"/>
    <w:rsid w:val="000A352A"/>
    <w:rsid w:val="000A4270"/>
    <w:rsid w:val="000A61C6"/>
    <w:rsid w:val="000B22A2"/>
    <w:rsid w:val="000B3E64"/>
    <w:rsid w:val="000B43E4"/>
    <w:rsid w:val="000B541B"/>
    <w:rsid w:val="000B73F9"/>
    <w:rsid w:val="000B7D2E"/>
    <w:rsid w:val="000B7D30"/>
    <w:rsid w:val="000C00DA"/>
    <w:rsid w:val="000C2A52"/>
    <w:rsid w:val="000C2A88"/>
    <w:rsid w:val="000C7379"/>
    <w:rsid w:val="000D0B0E"/>
    <w:rsid w:val="000D15FB"/>
    <w:rsid w:val="000D33C0"/>
    <w:rsid w:val="000D378B"/>
    <w:rsid w:val="000D37B6"/>
    <w:rsid w:val="000D3843"/>
    <w:rsid w:val="000D4CF6"/>
    <w:rsid w:val="000D501B"/>
    <w:rsid w:val="000D6941"/>
    <w:rsid w:val="000D7356"/>
    <w:rsid w:val="000D7F52"/>
    <w:rsid w:val="000E0C00"/>
    <w:rsid w:val="000E398D"/>
    <w:rsid w:val="000E3CC9"/>
    <w:rsid w:val="000E45DF"/>
    <w:rsid w:val="000F1400"/>
    <w:rsid w:val="000F2B43"/>
    <w:rsid w:val="000F38EF"/>
    <w:rsid w:val="000F3DCD"/>
    <w:rsid w:val="000F4260"/>
    <w:rsid w:val="000F434E"/>
    <w:rsid w:val="000F4829"/>
    <w:rsid w:val="000F5535"/>
    <w:rsid w:val="000F5CAC"/>
    <w:rsid w:val="000F5F8A"/>
    <w:rsid w:val="000F6B21"/>
    <w:rsid w:val="000F744B"/>
    <w:rsid w:val="001017EB"/>
    <w:rsid w:val="00101B1F"/>
    <w:rsid w:val="0010213F"/>
    <w:rsid w:val="00102AFD"/>
    <w:rsid w:val="00102EFB"/>
    <w:rsid w:val="00112C13"/>
    <w:rsid w:val="0011532C"/>
    <w:rsid w:val="001202E3"/>
    <w:rsid w:val="00121B66"/>
    <w:rsid w:val="00122F6C"/>
    <w:rsid w:val="0012335D"/>
    <w:rsid w:val="00123699"/>
    <w:rsid w:val="001241FB"/>
    <w:rsid w:val="001269E5"/>
    <w:rsid w:val="00126F8E"/>
    <w:rsid w:val="0013059D"/>
    <w:rsid w:val="00132283"/>
    <w:rsid w:val="00136187"/>
    <w:rsid w:val="001366FD"/>
    <w:rsid w:val="001401D9"/>
    <w:rsid w:val="00141A55"/>
    <w:rsid w:val="0014293F"/>
    <w:rsid w:val="0014397D"/>
    <w:rsid w:val="001446A3"/>
    <w:rsid w:val="00144A65"/>
    <w:rsid w:val="00144E0F"/>
    <w:rsid w:val="00150796"/>
    <w:rsid w:val="00152B6B"/>
    <w:rsid w:val="00153B64"/>
    <w:rsid w:val="00155370"/>
    <w:rsid w:val="00155395"/>
    <w:rsid w:val="00155A2F"/>
    <w:rsid w:val="00156B6B"/>
    <w:rsid w:val="00157490"/>
    <w:rsid w:val="00160442"/>
    <w:rsid w:val="00160D74"/>
    <w:rsid w:val="0016238C"/>
    <w:rsid w:val="001646EA"/>
    <w:rsid w:val="00167D02"/>
    <w:rsid w:val="00171D82"/>
    <w:rsid w:val="00173DB3"/>
    <w:rsid w:val="00174D0C"/>
    <w:rsid w:val="001750A1"/>
    <w:rsid w:val="00175143"/>
    <w:rsid w:val="00175427"/>
    <w:rsid w:val="0017562B"/>
    <w:rsid w:val="001759D8"/>
    <w:rsid w:val="00175C76"/>
    <w:rsid w:val="00176711"/>
    <w:rsid w:val="00176F98"/>
    <w:rsid w:val="00177626"/>
    <w:rsid w:val="00177D7F"/>
    <w:rsid w:val="00180C3F"/>
    <w:rsid w:val="00181EC8"/>
    <w:rsid w:val="00184349"/>
    <w:rsid w:val="00185A10"/>
    <w:rsid w:val="00186B1D"/>
    <w:rsid w:val="0019192D"/>
    <w:rsid w:val="00191C20"/>
    <w:rsid w:val="001926B7"/>
    <w:rsid w:val="00192F46"/>
    <w:rsid w:val="00194297"/>
    <w:rsid w:val="00195F33"/>
    <w:rsid w:val="00196464"/>
    <w:rsid w:val="001A0854"/>
    <w:rsid w:val="001A2475"/>
    <w:rsid w:val="001A33B2"/>
    <w:rsid w:val="001A4011"/>
    <w:rsid w:val="001A47E5"/>
    <w:rsid w:val="001A6689"/>
    <w:rsid w:val="001A7144"/>
    <w:rsid w:val="001B1617"/>
    <w:rsid w:val="001B4209"/>
    <w:rsid w:val="001B4718"/>
    <w:rsid w:val="001B504B"/>
    <w:rsid w:val="001B62EC"/>
    <w:rsid w:val="001B6F98"/>
    <w:rsid w:val="001C1530"/>
    <w:rsid w:val="001C191A"/>
    <w:rsid w:val="001C2486"/>
    <w:rsid w:val="001C3494"/>
    <w:rsid w:val="001C5470"/>
    <w:rsid w:val="001C591C"/>
    <w:rsid w:val="001C5EAE"/>
    <w:rsid w:val="001C6381"/>
    <w:rsid w:val="001C70A9"/>
    <w:rsid w:val="001D3874"/>
    <w:rsid w:val="001D7E75"/>
    <w:rsid w:val="001E0D73"/>
    <w:rsid w:val="001E101B"/>
    <w:rsid w:val="001E2027"/>
    <w:rsid w:val="001E2986"/>
    <w:rsid w:val="001E45BD"/>
    <w:rsid w:val="001E5259"/>
    <w:rsid w:val="001E5528"/>
    <w:rsid w:val="001E56D2"/>
    <w:rsid w:val="001E7D56"/>
    <w:rsid w:val="001F1550"/>
    <w:rsid w:val="001F32AB"/>
    <w:rsid w:val="001F3D7A"/>
    <w:rsid w:val="001F5186"/>
    <w:rsid w:val="001F75DE"/>
    <w:rsid w:val="00200D58"/>
    <w:rsid w:val="002011C1"/>
    <w:rsid w:val="002013BE"/>
    <w:rsid w:val="00201EDC"/>
    <w:rsid w:val="0020295D"/>
    <w:rsid w:val="002031BB"/>
    <w:rsid w:val="002033A9"/>
    <w:rsid w:val="002043AF"/>
    <w:rsid w:val="002046D7"/>
    <w:rsid w:val="002046DC"/>
    <w:rsid w:val="00204818"/>
    <w:rsid w:val="00205661"/>
    <w:rsid w:val="002063A4"/>
    <w:rsid w:val="002063B7"/>
    <w:rsid w:val="002100C2"/>
    <w:rsid w:val="0021086F"/>
    <w:rsid w:val="0021145B"/>
    <w:rsid w:val="002162FE"/>
    <w:rsid w:val="00220C23"/>
    <w:rsid w:val="00221481"/>
    <w:rsid w:val="00222666"/>
    <w:rsid w:val="0022376E"/>
    <w:rsid w:val="002238F3"/>
    <w:rsid w:val="002247F6"/>
    <w:rsid w:val="00225E21"/>
    <w:rsid w:val="00225E44"/>
    <w:rsid w:val="00225ED7"/>
    <w:rsid w:val="0022753E"/>
    <w:rsid w:val="00231155"/>
    <w:rsid w:val="00234E78"/>
    <w:rsid w:val="00235663"/>
    <w:rsid w:val="002374E5"/>
    <w:rsid w:val="00237907"/>
    <w:rsid w:val="00240B7E"/>
    <w:rsid w:val="00240CF4"/>
    <w:rsid w:val="00243D36"/>
    <w:rsid w:val="002458BA"/>
    <w:rsid w:val="00245FD3"/>
    <w:rsid w:val="00246151"/>
    <w:rsid w:val="00246CA8"/>
    <w:rsid w:val="0024725F"/>
    <w:rsid w:val="00247443"/>
    <w:rsid w:val="00247707"/>
    <w:rsid w:val="00250E33"/>
    <w:rsid w:val="00252456"/>
    <w:rsid w:val="00252569"/>
    <w:rsid w:val="00255BCA"/>
    <w:rsid w:val="0025687A"/>
    <w:rsid w:val="0025698C"/>
    <w:rsid w:val="00256EDA"/>
    <w:rsid w:val="0026018E"/>
    <w:rsid w:val="00260536"/>
    <w:rsid w:val="002664B0"/>
    <w:rsid w:val="0026675B"/>
    <w:rsid w:val="0028120D"/>
    <w:rsid w:val="002828C3"/>
    <w:rsid w:val="00284C8D"/>
    <w:rsid w:val="002859A1"/>
    <w:rsid w:val="00286740"/>
    <w:rsid w:val="00286E0E"/>
    <w:rsid w:val="0028732C"/>
    <w:rsid w:val="002874A7"/>
    <w:rsid w:val="00287AC9"/>
    <w:rsid w:val="00290EF8"/>
    <w:rsid w:val="002912FD"/>
    <w:rsid w:val="00291719"/>
    <w:rsid w:val="00291EAE"/>
    <w:rsid w:val="00291EEC"/>
    <w:rsid w:val="002929D8"/>
    <w:rsid w:val="002964D0"/>
    <w:rsid w:val="00296E2A"/>
    <w:rsid w:val="00296F2D"/>
    <w:rsid w:val="002A03AC"/>
    <w:rsid w:val="002A0E14"/>
    <w:rsid w:val="002A1E35"/>
    <w:rsid w:val="002A237D"/>
    <w:rsid w:val="002A4C53"/>
    <w:rsid w:val="002A66DE"/>
    <w:rsid w:val="002A77B9"/>
    <w:rsid w:val="002A787F"/>
    <w:rsid w:val="002B003D"/>
    <w:rsid w:val="002B0672"/>
    <w:rsid w:val="002B0D62"/>
    <w:rsid w:val="002B247F"/>
    <w:rsid w:val="002B2A71"/>
    <w:rsid w:val="002B50D4"/>
    <w:rsid w:val="002B58BF"/>
    <w:rsid w:val="002C0915"/>
    <w:rsid w:val="002C145D"/>
    <w:rsid w:val="002C1953"/>
    <w:rsid w:val="002C1A8F"/>
    <w:rsid w:val="002C2C3E"/>
    <w:rsid w:val="002C41D2"/>
    <w:rsid w:val="002C512F"/>
    <w:rsid w:val="002C533E"/>
    <w:rsid w:val="002D027F"/>
    <w:rsid w:val="002D3E15"/>
    <w:rsid w:val="002D4B4A"/>
    <w:rsid w:val="002D5BD5"/>
    <w:rsid w:val="002D7A85"/>
    <w:rsid w:val="002D7B60"/>
    <w:rsid w:val="002E454B"/>
    <w:rsid w:val="002F08D1"/>
    <w:rsid w:val="002F1DE0"/>
    <w:rsid w:val="002F20DA"/>
    <w:rsid w:val="002F3676"/>
    <w:rsid w:val="002F4761"/>
    <w:rsid w:val="002F5C79"/>
    <w:rsid w:val="002F5DF6"/>
    <w:rsid w:val="002F68EE"/>
    <w:rsid w:val="003019E2"/>
    <w:rsid w:val="003037AF"/>
    <w:rsid w:val="0030544F"/>
    <w:rsid w:val="00306A5E"/>
    <w:rsid w:val="00310076"/>
    <w:rsid w:val="00310BEB"/>
    <w:rsid w:val="00311C4E"/>
    <w:rsid w:val="00311F6E"/>
    <w:rsid w:val="0031393D"/>
    <w:rsid w:val="00313A67"/>
    <w:rsid w:val="0031413F"/>
    <w:rsid w:val="00314854"/>
    <w:rsid w:val="003148BB"/>
    <w:rsid w:val="00315A41"/>
    <w:rsid w:val="00317976"/>
    <w:rsid w:val="00320443"/>
    <w:rsid w:val="00320F2F"/>
    <w:rsid w:val="0032457E"/>
    <w:rsid w:val="00325D38"/>
    <w:rsid w:val="00327BD8"/>
    <w:rsid w:val="00330093"/>
    <w:rsid w:val="003310E8"/>
    <w:rsid w:val="00336A58"/>
    <w:rsid w:val="0034061A"/>
    <w:rsid w:val="00340BD1"/>
    <w:rsid w:val="00340E98"/>
    <w:rsid w:val="00342FFB"/>
    <w:rsid w:val="003437F3"/>
    <w:rsid w:val="00344EC7"/>
    <w:rsid w:val="0034668D"/>
    <w:rsid w:val="003467C2"/>
    <w:rsid w:val="00346E39"/>
    <w:rsid w:val="003471FB"/>
    <w:rsid w:val="00347ED6"/>
    <w:rsid w:val="00351F84"/>
    <w:rsid w:val="003523E4"/>
    <w:rsid w:val="0035277E"/>
    <w:rsid w:val="0035397C"/>
    <w:rsid w:val="00354B9D"/>
    <w:rsid w:val="00354BBF"/>
    <w:rsid w:val="00355EA9"/>
    <w:rsid w:val="003578DE"/>
    <w:rsid w:val="00357E31"/>
    <w:rsid w:val="00360DC5"/>
    <w:rsid w:val="00361688"/>
    <w:rsid w:val="003659D9"/>
    <w:rsid w:val="0036633A"/>
    <w:rsid w:val="00367C87"/>
    <w:rsid w:val="00367FD2"/>
    <w:rsid w:val="003707A9"/>
    <w:rsid w:val="00372454"/>
    <w:rsid w:val="003728F6"/>
    <w:rsid w:val="003740D8"/>
    <w:rsid w:val="003807CA"/>
    <w:rsid w:val="00380921"/>
    <w:rsid w:val="0038149E"/>
    <w:rsid w:val="003824D0"/>
    <w:rsid w:val="00383389"/>
    <w:rsid w:val="003855FD"/>
    <w:rsid w:val="003877D5"/>
    <w:rsid w:val="00390EDC"/>
    <w:rsid w:val="00391B41"/>
    <w:rsid w:val="003929B8"/>
    <w:rsid w:val="00393432"/>
    <w:rsid w:val="00396257"/>
    <w:rsid w:val="003972D3"/>
    <w:rsid w:val="00397A76"/>
    <w:rsid w:val="00397EB8"/>
    <w:rsid w:val="003A083C"/>
    <w:rsid w:val="003A2340"/>
    <w:rsid w:val="003A4FD0"/>
    <w:rsid w:val="003A69D1"/>
    <w:rsid w:val="003A7684"/>
    <w:rsid w:val="003A7705"/>
    <w:rsid w:val="003A77F1"/>
    <w:rsid w:val="003B1545"/>
    <w:rsid w:val="003B4AB5"/>
    <w:rsid w:val="003B7F7E"/>
    <w:rsid w:val="003C20FC"/>
    <w:rsid w:val="003C3039"/>
    <w:rsid w:val="003C3219"/>
    <w:rsid w:val="003C409D"/>
    <w:rsid w:val="003C4544"/>
    <w:rsid w:val="003C5583"/>
    <w:rsid w:val="003C5BA6"/>
    <w:rsid w:val="003C7153"/>
    <w:rsid w:val="003C7265"/>
    <w:rsid w:val="003C74CF"/>
    <w:rsid w:val="003D1D8B"/>
    <w:rsid w:val="003D3752"/>
    <w:rsid w:val="003D4595"/>
    <w:rsid w:val="003D57DA"/>
    <w:rsid w:val="003E09EA"/>
    <w:rsid w:val="003E35DA"/>
    <w:rsid w:val="003E455D"/>
    <w:rsid w:val="003F0E85"/>
    <w:rsid w:val="003F1639"/>
    <w:rsid w:val="003F1F4B"/>
    <w:rsid w:val="003F4837"/>
    <w:rsid w:val="003F7736"/>
    <w:rsid w:val="0040258B"/>
    <w:rsid w:val="00403B87"/>
    <w:rsid w:val="00403E46"/>
    <w:rsid w:val="00410A91"/>
    <w:rsid w:val="00410C55"/>
    <w:rsid w:val="00410FBC"/>
    <w:rsid w:val="00415030"/>
    <w:rsid w:val="004158BF"/>
    <w:rsid w:val="00415B81"/>
    <w:rsid w:val="00416781"/>
    <w:rsid w:val="00416854"/>
    <w:rsid w:val="00416C75"/>
    <w:rsid w:val="00417725"/>
    <w:rsid w:val="00421409"/>
    <w:rsid w:val="0042266F"/>
    <w:rsid w:val="00422E9C"/>
    <w:rsid w:val="00422EF6"/>
    <w:rsid w:val="00422F41"/>
    <w:rsid w:val="00424830"/>
    <w:rsid w:val="00425248"/>
    <w:rsid w:val="00425AF8"/>
    <w:rsid w:val="00425FF6"/>
    <w:rsid w:val="004307A3"/>
    <w:rsid w:val="0043271D"/>
    <w:rsid w:val="00434321"/>
    <w:rsid w:val="00435414"/>
    <w:rsid w:val="00437D9C"/>
    <w:rsid w:val="00437F26"/>
    <w:rsid w:val="00442E2C"/>
    <w:rsid w:val="00443983"/>
    <w:rsid w:val="00444097"/>
    <w:rsid w:val="00445487"/>
    <w:rsid w:val="004474C7"/>
    <w:rsid w:val="00447E0D"/>
    <w:rsid w:val="00453EA8"/>
    <w:rsid w:val="00453F5E"/>
    <w:rsid w:val="00454769"/>
    <w:rsid w:val="00455366"/>
    <w:rsid w:val="00457002"/>
    <w:rsid w:val="00465BAD"/>
    <w:rsid w:val="00466991"/>
    <w:rsid w:val="0047064C"/>
    <w:rsid w:val="00476F6D"/>
    <w:rsid w:val="00480350"/>
    <w:rsid w:val="004822B7"/>
    <w:rsid w:val="00483932"/>
    <w:rsid w:val="0048577E"/>
    <w:rsid w:val="004912E0"/>
    <w:rsid w:val="004933BC"/>
    <w:rsid w:val="0049469E"/>
    <w:rsid w:val="004946C2"/>
    <w:rsid w:val="004953BD"/>
    <w:rsid w:val="0049672C"/>
    <w:rsid w:val="00497629"/>
    <w:rsid w:val="004A2217"/>
    <w:rsid w:val="004A24F9"/>
    <w:rsid w:val="004A42E1"/>
    <w:rsid w:val="004A6A92"/>
    <w:rsid w:val="004A6E2A"/>
    <w:rsid w:val="004A718B"/>
    <w:rsid w:val="004A7449"/>
    <w:rsid w:val="004B06E0"/>
    <w:rsid w:val="004B162C"/>
    <w:rsid w:val="004B271F"/>
    <w:rsid w:val="004B2ABE"/>
    <w:rsid w:val="004B3593"/>
    <w:rsid w:val="004B4413"/>
    <w:rsid w:val="004C06E6"/>
    <w:rsid w:val="004C11D0"/>
    <w:rsid w:val="004C2615"/>
    <w:rsid w:val="004C363C"/>
    <w:rsid w:val="004C3DBE"/>
    <w:rsid w:val="004C5C96"/>
    <w:rsid w:val="004D03E9"/>
    <w:rsid w:val="004D06A4"/>
    <w:rsid w:val="004D1F90"/>
    <w:rsid w:val="004D4391"/>
    <w:rsid w:val="004D56B8"/>
    <w:rsid w:val="004D74B7"/>
    <w:rsid w:val="004D7FFA"/>
    <w:rsid w:val="004E08AA"/>
    <w:rsid w:val="004E0D10"/>
    <w:rsid w:val="004E2B2B"/>
    <w:rsid w:val="004E2BDC"/>
    <w:rsid w:val="004E34BB"/>
    <w:rsid w:val="004E356E"/>
    <w:rsid w:val="004F1A81"/>
    <w:rsid w:val="004F523C"/>
    <w:rsid w:val="004F59D7"/>
    <w:rsid w:val="004F5D1B"/>
    <w:rsid w:val="004F5D88"/>
    <w:rsid w:val="00501354"/>
    <w:rsid w:val="0050319A"/>
    <w:rsid w:val="005050D2"/>
    <w:rsid w:val="005106BB"/>
    <w:rsid w:val="00510CED"/>
    <w:rsid w:val="00512879"/>
    <w:rsid w:val="00513878"/>
    <w:rsid w:val="00520E59"/>
    <w:rsid w:val="005218D9"/>
    <w:rsid w:val="00531379"/>
    <w:rsid w:val="00533430"/>
    <w:rsid w:val="00533DF9"/>
    <w:rsid w:val="0053493B"/>
    <w:rsid w:val="00536186"/>
    <w:rsid w:val="00536D29"/>
    <w:rsid w:val="00541D39"/>
    <w:rsid w:val="00544498"/>
    <w:rsid w:val="00544CBB"/>
    <w:rsid w:val="005452A4"/>
    <w:rsid w:val="005475DF"/>
    <w:rsid w:val="0054782B"/>
    <w:rsid w:val="00550353"/>
    <w:rsid w:val="005507A8"/>
    <w:rsid w:val="00550D1F"/>
    <w:rsid w:val="00551B65"/>
    <w:rsid w:val="005534C8"/>
    <w:rsid w:val="00553B93"/>
    <w:rsid w:val="00555B1E"/>
    <w:rsid w:val="00556704"/>
    <w:rsid w:val="005573CD"/>
    <w:rsid w:val="005600E0"/>
    <w:rsid w:val="005628DF"/>
    <w:rsid w:val="005632CA"/>
    <w:rsid w:val="005656D7"/>
    <w:rsid w:val="00566482"/>
    <w:rsid w:val="00566AD6"/>
    <w:rsid w:val="0057315F"/>
    <w:rsid w:val="00574D3C"/>
    <w:rsid w:val="0057503F"/>
    <w:rsid w:val="00575210"/>
    <w:rsid w:val="00575A8F"/>
    <w:rsid w:val="00576104"/>
    <w:rsid w:val="00576456"/>
    <w:rsid w:val="0057651A"/>
    <w:rsid w:val="00576901"/>
    <w:rsid w:val="00581251"/>
    <w:rsid w:val="005826E6"/>
    <w:rsid w:val="005843CA"/>
    <w:rsid w:val="00585364"/>
    <w:rsid w:val="005853DE"/>
    <w:rsid w:val="00586418"/>
    <w:rsid w:val="005878D0"/>
    <w:rsid w:val="0059169B"/>
    <w:rsid w:val="00592B21"/>
    <w:rsid w:val="005936B8"/>
    <w:rsid w:val="0059406D"/>
    <w:rsid w:val="005947DD"/>
    <w:rsid w:val="005A38D0"/>
    <w:rsid w:val="005A5705"/>
    <w:rsid w:val="005A6512"/>
    <w:rsid w:val="005B19CE"/>
    <w:rsid w:val="005B211B"/>
    <w:rsid w:val="005B2DF4"/>
    <w:rsid w:val="005B3433"/>
    <w:rsid w:val="005B417D"/>
    <w:rsid w:val="005B44BF"/>
    <w:rsid w:val="005B78F1"/>
    <w:rsid w:val="005C1398"/>
    <w:rsid w:val="005C5EA2"/>
    <w:rsid w:val="005C6555"/>
    <w:rsid w:val="005C67C8"/>
    <w:rsid w:val="005C6A36"/>
    <w:rsid w:val="005D0065"/>
    <w:rsid w:val="005D0249"/>
    <w:rsid w:val="005D0781"/>
    <w:rsid w:val="005D0EE8"/>
    <w:rsid w:val="005D18FA"/>
    <w:rsid w:val="005D2829"/>
    <w:rsid w:val="005D2C20"/>
    <w:rsid w:val="005D339A"/>
    <w:rsid w:val="005D4E0E"/>
    <w:rsid w:val="005D4FD4"/>
    <w:rsid w:val="005D6963"/>
    <w:rsid w:val="005D6E8C"/>
    <w:rsid w:val="005E0D7D"/>
    <w:rsid w:val="005E3004"/>
    <w:rsid w:val="005E3D8B"/>
    <w:rsid w:val="005F100C"/>
    <w:rsid w:val="005F2AF3"/>
    <w:rsid w:val="005F3321"/>
    <w:rsid w:val="005F5459"/>
    <w:rsid w:val="005F5A8C"/>
    <w:rsid w:val="005F68DA"/>
    <w:rsid w:val="005F7419"/>
    <w:rsid w:val="006008E7"/>
    <w:rsid w:val="00601426"/>
    <w:rsid w:val="00601BC9"/>
    <w:rsid w:val="00602A7B"/>
    <w:rsid w:val="00602BC4"/>
    <w:rsid w:val="00603404"/>
    <w:rsid w:val="00603854"/>
    <w:rsid w:val="00606288"/>
    <w:rsid w:val="0060773B"/>
    <w:rsid w:val="006111FE"/>
    <w:rsid w:val="00613FD6"/>
    <w:rsid w:val="006157B5"/>
    <w:rsid w:val="006169E8"/>
    <w:rsid w:val="00617224"/>
    <w:rsid w:val="00621FA7"/>
    <w:rsid w:val="0062233D"/>
    <w:rsid w:val="0062360C"/>
    <w:rsid w:val="00625839"/>
    <w:rsid w:val="00626FC6"/>
    <w:rsid w:val="00630349"/>
    <w:rsid w:val="006303B4"/>
    <w:rsid w:val="00630ADC"/>
    <w:rsid w:val="006325E9"/>
    <w:rsid w:val="00633D3D"/>
    <w:rsid w:val="00634348"/>
    <w:rsid w:val="00634A1A"/>
    <w:rsid w:val="0063575F"/>
    <w:rsid w:val="00636153"/>
    <w:rsid w:val="006363D3"/>
    <w:rsid w:val="00641703"/>
    <w:rsid w:val="006431A6"/>
    <w:rsid w:val="00643E3A"/>
    <w:rsid w:val="0064493B"/>
    <w:rsid w:val="006459F6"/>
    <w:rsid w:val="006501AD"/>
    <w:rsid w:val="00650B62"/>
    <w:rsid w:val="00651416"/>
    <w:rsid w:val="00651BFA"/>
    <w:rsid w:val="006520C8"/>
    <w:rsid w:val="00652C9D"/>
    <w:rsid w:val="0065305F"/>
    <w:rsid w:val="00654475"/>
    <w:rsid w:val="00654A36"/>
    <w:rsid w:val="00656901"/>
    <w:rsid w:val="00656DF0"/>
    <w:rsid w:val="0066052D"/>
    <w:rsid w:val="00665A4B"/>
    <w:rsid w:val="00667E64"/>
    <w:rsid w:val="00670F76"/>
    <w:rsid w:val="00670FAE"/>
    <w:rsid w:val="006739CF"/>
    <w:rsid w:val="00674ACB"/>
    <w:rsid w:val="0067547D"/>
    <w:rsid w:val="006770C5"/>
    <w:rsid w:val="00682A50"/>
    <w:rsid w:val="0068678F"/>
    <w:rsid w:val="00691889"/>
    <w:rsid w:val="00692147"/>
    <w:rsid w:val="00692E2A"/>
    <w:rsid w:val="0069323F"/>
    <w:rsid w:val="00693E2C"/>
    <w:rsid w:val="006941E8"/>
    <w:rsid w:val="0069496A"/>
    <w:rsid w:val="00696AD0"/>
    <w:rsid w:val="00696C1C"/>
    <w:rsid w:val="00697523"/>
    <w:rsid w:val="006A0BF7"/>
    <w:rsid w:val="006A115B"/>
    <w:rsid w:val="006A139C"/>
    <w:rsid w:val="006A17B5"/>
    <w:rsid w:val="006A1A35"/>
    <w:rsid w:val="006A390E"/>
    <w:rsid w:val="006A5ABE"/>
    <w:rsid w:val="006A6A61"/>
    <w:rsid w:val="006A76F2"/>
    <w:rsid w:val="006B031C"/>
    <w:rsid w:val="006B11AA"/>
    <w:rsid w:val="006B7D29"/>
    <w:rsid w:val="006C15C5"/>
    <w:rsid w:val="006C1780"/>
    <w:rsid w:val="006C39F6"/>
    <w:rsid w:val="006C410C"/>
    <w:rsid w:val="006C4C29"/>
    <w:rsid w:val="006C501B"/>
    <w:rsid w:val="006C7E8E"/>
    <w:rsid w:val="006D19D4"/>
    <w:rsid w:val="006D2402"/>
    <w:rsid w:val="006D2B12"/>
    <w:rsid w:val="006D4BCF"/>
    <w:rsid w:val="006D4E82"/>
    <w:rsid w:val="006D5644"/>
    <w:rsid w:val="006D6081"/>
    <w:rsid w:val="006D7EFB"/>
    <w:rsid w:val="006E4B01"/>
    <w:rsid w:val="006E6672"/>
    <w:rsid w:val="006E6722"/>
    <w:rsid w:val="006F07D0"/>
    <w:rsid w:val="006F1271"/>
    <w:rsid w:val="006F229A"/>
    <w:rsid w:val="006F27D2"/>
    <w:rsid w:val="006F3184"/>
    <w:rsid w:val="006F775C"/>
    <w:rsid w:val="006F7AFF"/>
    <w:rsid w:val="007008E8"/>
    <w:rsid w:val="00701D2D"/>
    <w:rsid w:val="007027B9"/>
    <w:rsid w:val="007031C5"/>
    <w:rsid w:val="007052D5"/>
    <w:rsid w:val="007066B5"/>
    <w:rsid w:val="007119A0"/>
    <w:rsid w:val="007124CE"/>
    <w:rsid w:val="0071363B"/>
    <w:rsid w:val="007145DA"/>
    <w:rsid w:val="00715E88"/>
    <w:rsid w:val="00716A65"/>
    <w:rsid w:val="00716D8B"/>
    <w:rsid w:val="00720F37"/>
    <w:rsid w:val="007248E3"/>
    <w:rsid w:val="00724BC4"/>
    <w:rsid w:val="007274EE"/>
    <w:rsid w:val="00727510"/>
    <w:rsid w:val="00732059"/>
    <w:rsid w:val="00732B46"/>
    <w:rsid w:val="00733583"/>
    <w:rsid w:val="00734CAA"/>
    <w:rsid w:val="007352DC"/>
    <w:rsid w:val="007353A0"/>
    <w:rsid w:val="0073628A"/>
    <w:rsid w:val="0073685E"/>
    <w:rsid w:val="00737DF1"/>
    <w:rsid w:val="00740EE2"/>
    <w:rsid w:val="00742680"/>
    <w:rsid w:val="0074368A"/>
    <w:rsid w:val="00744C65"/>
    <w:rsid w:val="007460E6"/>
    <w:rsid w:val="00746C1A"/>
    <w:rsid w:val="00747966"/>
    <w:rsid w:val="007502B7"/>
    <w:rsid w:val="00752259"/>
    <w:rsid w:val="00753BAB"/>
    <w:rsid w:val="007543FF"/>
    <w:rsid w:val="0075533C"/>
    <w:rsid w:val="00755A18"/>
    <w:rsid w:val="0075727D"/>
    <w:rsid w:val="00757581"/>
    <w:rsid w:val="007602F5"/>
    <w:rsid w:val="00760D36"/>
    <w:rsid w:val="007610F0"/>
    <w:rsid w:val="007611A0"/>
    <w:rsid w:val="007615EF"/>
    <w:rsid w:val="00762454"/>
    <w:rsid w:val="00762ADE"/>
    <w:rsid w:val="007646FF"/>
    <w:rsid w:val="0076712C"/>
    <w:rsid w:val="00772574"/>
    <w:rsid w:val="00773E54"/>
    <w:rsid w:val="00774596"/>
    <w:rsid w:val="00775B01"/>
    <w:rsid w:val="00781C83"/>
    <w:rsid w:val="00782BC9"/>
    <w:rsid w:val="00782EC5"/>
    <w:rsid w:val="00784207"/>
    <w:rsid w:val="0078657F"/>
    <w:rsid w:val="00786FF0"/>
    <w:rsid w:val="00787147"/>
    <w:rsid w:val="00787289"/>
    <w:rsid w:val="00787688"/>
    <w:rsid w:val="00791644"/>
    <w:rsid w:val="007921FA"/>
    <w:rsid w:val="00792361"/>
    <w:rsid w:val="00792429"/>
    <w:rsid w:val="00792E9A"/>
    <w:rsid w:val="007935E6"/>
    <w:rsid w:val="0079429E"/>
    <w:rsid w:val="007959C2"/>
    <w:rsid w:val="0079677F"/>
    <w:rsid w:val="00796D3F"/>
    <w:rsid w:val="00796FAE"/>
    <w:rsid w:val="00797ED5"/>
    <w:rsid w:val="007A03B4"/>
    <w:rsid w:val="007A160C"/>
    <w:rsid w:val="007A1683"/>
    <w:rsid w:val="007A1ABA"/>
    <w:rsid w:val="007A45A9"/>
    <w:rsid w:val="007A5C12"/>
    <w:rsid w:val="007A66FB"/>
    <w:rsid w:val="007A67FF"/>
    <w:rsid w:val="007A6B7D"/>
    <w:rsid w:val="007A73F7"/>
    <w:rsid w:val="007A7CB0"/>
    <w:rsid w:val="007B0BF1"/>
    <w:rsid w:val="007B1658"/>
    <w:rsid w:val="007B3288"/>
    <w:rsid w:val="007B68A3"/>
    <w:rsid w:val="007B7C5C"/>
    <w:rsid w:val="007C1E81"/>
    <w:rsid w:val="007C2541"/>
    <w:rsid w:val="007C4E20"/>
    <w:rsid w:val="007C6054"/>
    <w:rsid w:val="007C7243"/>
    <w:rsid w:val="007C76EC"/>
    <w:rsid w:val="007C79EF"/>
    <w:rsid w:val="007C7FC9"/>
    <w:rsid w:val="007D0F27"/>
    <w:rsid w:val="007D66A8"/>
    <w:rsid w:val="007E003F"/>
    <w:rsid w:val="007E18DC"/>
    <w:rsid w:val="007E2DF9"/>
    <w:rsid w:val="007E384A"/>
    <w:rsid w:val="007E526D"/>
    <w:rsid w:val="007E6016"/>
    <w:rsid w:val="007E7127"/>
    <w:rsid w:val="007F0CF8"/>
    <w:rsid w:val="007F49F8"/>
    <w:rsid w:val="007F57A7"/>
    <w:rsid w:val="007F5E1B"/>
    <w:rsid w:val="007F62CB"/>
    <w:rsid w:val="00801BB3"/>
    <w:rsid w:val="0080281B"/>
    <w:rsid w:val="008033E9"/>
    <w:rsid w:val="00803579"/>
    <w:rsid w:val="00805226"/>
    <w:rsid w:val="00810A70"/>
    <w:rsid w:val="008125FA"/>
    <w:rsid w:val="00812AFB"/>
    <w:rsid w:val="0081398E"/>
    <w:rsid w:val="008142EC"/>
    <w:rsid w:val="00814983"/>
    <w:rsid w:val="00814DD8"/>
    <w:rsid w:val="008164AD"/>
    <w:rsid w:val="008164F2"/>
    <w:rsid w:val="00816C57"/>
    <w:rsid w:val="00821395"/>
    <w:rsid w:val="00821EA3"/>
    <w:rsid w:val="00823402"/>
    <w:rsid w:val="0082498C"/>
    <w:rsid w:val="008309D3"/>
    <w:rsid w:val="00830E26"/>
    <w:rsid w:val="00834368"/>
    <w:rsid w:val="0083441A"/>
    <w:rsid w:val="00835DB4"/>
    <w:rsid w:val="00837F5F"/>
    <w:rsid w:val="00840F59"/>
    <w:rsid w:val="00842A69"/>
    <w:rsid w:val="00843541"/>
    <w:rsid w:val="00843576"/>
    <w:rsid w:val="00843B64"/>
    <w:rsid w:val="008443E7"/>
    <w:rsid w:val="00845261"/>
    <w:rsid w:val="008478FC"/>
    <w:rsid w:val="00851034"/>
    <w:rsid w:val="00851981"/>
    <w:rsid w:val="00851C51"/>
    <w:rsid w:val="008538F7"/>
    <w:rsid w:val="00855325"/>
    <w:rsid w:val="00855F37"/>
    <w:rsid w:val="00857E1B"/>
    <w:rsid w:val="00861CFA"/>
    <w:rsid w:val="00862FE9"/>
    <w:rsid w:val="00865B1C"/>
    <w:rsid w:val="00866240"/>
    <w:rsid w:val="008664AF"/>
    <w:rsid w:val="00867BFF"/>
    <w:rsid w:val="00871542"/>
    <w:rsid w:val="00872BF6"/>
    <w:rsid w:val="00880C7B"/>
    <w:rsid w:val="0088109F"/>
    <w:rsid w:val="00881854"/>
    <w:rsid w:val="0088480A"/>
    <w:rsid w:val="00885718"/>
    <w:rsid w:val="0088757A"/>
    <w:rsid w:val="008911BE"/>
    <w:rsid w:val="0089431B"/>
    <w:rsid w:val="00895668"/>
    <w:rsid w:val="008957DD"/>
    <w:rsid w:val="008964D8"/>
    <w:rsid w:val="00896C61"/>
    <w:rsid w:val="00897D98"/>
    <w:rsid w:val="008A1CEE"/>
    <w:rsid w:val="008A326C"/>
    <w:rsid w:val="008A3F8F"/>
    <w:rsid w:val="008A5662"/>
    <w:rsid w:val="008A6DF2"/>
    <w:rsid w:val="008A7807"/>
    <w:rsid w:val="008B218B"/>
    <w:rsid w:val="008B2725"/>
    <w:rsid w:val="008B4CC9"/>
    <w:rsid w:val="008B5371"/>
    <w:rsid w:val="008B5666"/>
    <w:rsid w:val="008B6B8C"/>
    <w:rsid w:val="008B6C91"/>
    <w:rsid w:val="008C0B15"/>
    <w:rsid w:val="008C11A4"/>
    <w:rsid w:val="008C11EA"/>
    <w:rsid w:val="008C3B46"/>
    <w:rsid w:val="008D2969"/>
    <w:rsid w:val="008D2BC2"/>
    <w:rsid w:val="008D4DA0"/>
    <w:rsid w:val="008D65BD"/>
    <w:rsid w:val="008D6805"/>
    <w:rsid w:val="008D6BB5"/>
    <w:rsid w:val="008D75E4"/>
    <w:rsid w:val="008D7C99"/>
    <w:rsid w:val="008E0FCB"/>
    <w:rsid w:val="008E2D1A"/>
    <w:rsid w:val="008E788F"/>
    <w:rsid w:val="008F2CAC"/>
    <w:rsid w:val="008F514E"/>
    <w:rsid w:val="008F6DFE"/>
    <w:rsid w:val="008F7B8F"/>
    <w:rsid w:val="00903417"/>
    <w:rsid w:val="0090529F"/>
    <w:rsid w:val="00905593"/>
    <w:rsid w:val="00906661"/>
    <w:rsid w:val="00907C07"/>
    <w:rsid w:val="00910377"/>
    <w:rsid w:val="009109B0"/>
    <w:rsid w:val="0091268C"/>
    <w:rsid w:val="00914126"/>
    <w:rsid w:val="009157FA"/>
    <w:rsid w:val="00916926"/>
    <w:rsid w:val="0092178C"/>
    <w:rsid w:val="00925BB8"/>
    <w:rsid w:val="009266CE"/>
    <w:rsid w:val="00927489"/>
    <w:rsid w:val="00927C73"/>
    <w:rsid w:val="00927C8C"/>
    <w:rsid w:val="00930018"/>
    <w:rsid w:val="00930B88"/>
    <w:rsid w:val="00933EF9"/>
    <w:rsid w:val="00935376"/>
    <w:rsid w:val="00935F16"/>
    <w:rsid w:val="009363B7"/>
    <w:rsid w:val="009364FE"/>
    <w:rsid w:val="00936E32"/>
    <w:rsid w:val="00940DCC"/>
    <w:rsid w:val="0094159B"/>
    <w:rsid w:val="0094179A"/>
    <w:rsid w:val="00941E96"/>
    <w:rsid w:val="00944493"/>
    <w:rsid w:val="0094459E"/>
    <w:rsid w:val="00944DBC"/>
    <w:rsid w:val="00950977"/>
    <w:rsid w:val="00951A7B"/>
    <w:rsid w:val="009523B4"/>
    <w:rsid w:val="00952C6F"/>
    <w:rsid w:val="00953E1C"/>
    <w:rsid w:val="00955512"/>
    <w:rsid w:val="00956353"/>
    <w:rsid w:val="009564A6"/>
    <w:rsid w:val="00957EF8"/>
    <w:rsid w:val="00960AA5"/>
    <w:rsid w:val="009615DE"/>
    <w:rsid w:val="00961A4B"/>
    <w:rsid w:val="009620E3"/>
    <w:rsid w:val="009649F6"/>
    <w:rsid w:val="00965FE5"/>
    <w:rsid w:val="00966A53"/>
    <w:rsid w:val="00967621"/>
    <w:rsid w:val="00967E6A"/>
    <w:rsid w:val="00970AFD"/>
    <w:rsid w:val="0097509D"/>
    <w:rsid w:val="0098011B"/>
    <w:rsid w:val="0098022A"/>
    <w:rsid w:val="00980873"/>
    <w:rsid w:val="0098280D"/>
    <w:rsid w:val="009903C1"/>
    <w:rsid w:val="009907B9"/>
    <w:rsid w:val="00990918"/>
    <w:rsid w:val="00990C53"/>
    <w:rsid w:val="009915BA"/>
    <w:rsid w:val="00994E5B"/>
    <w:rsid w:val="00996EAE"/>
    <w:rsid w:val="00996F0F"/>
    <w:rsid w:val="009A098B"/>
    <w:rsid w:val="009A21C5"/>
    <w:rsid w:val="009A3A83"/>
    <w:rsid w:val="009A47C6"/>
    <w:rsid w:val="009A5129"/>
    <w:rsid w:val="009B046A"/>
    <w:rsid w:val="009B0C57"/>
    <w:rsid w:val="009B0D9D"/>
    <w:rsid w:val="009B28BE"/>
    <w:rsid w:val="009B361B"/>
    <w:rsid w:val="009B4A0F"/>
    <w:rsid w:val="009B6459"/>
    <w:rsid w:val="009C094D"/>
    <w:rsid w:val="009C11D2"/>
    <w:rsid w:val="009C19E6"/>
    <w:rsid w:val="009C3F6D"/>
    <w:rsid w:val="009C6788"/>
    <w:rsid w:val="009C6C4F"/>
    <w:rsid w:val="009C6C70"/>
    <w:rsid w:val="009C7B0A"/>
    <w:rsid w:val="009D0134"/>
    <w:rsid w:val="009D0B63"/>
    <w:rsid w:val="009D2D1C"/>
    <w:rsid w:val="009D5520"/>
    <w:rsid w:val="009D5A40"/>
    <w:rsid w:val="009D5CB8"/>
    <w:rsid w:val="009E0E70"/>
    <w:rsid w:val="009E2745"/>
    <w:rsid w:val="009E307E"/>
    <w:rsid w:val="009E3533"/>
    <w:rsid w:val="009E3A2C"/>
    <w:rsid w:val="009E3FF0"/>
    <w:rsid w:val="009E5B3A"/>
    <w:rsid w:val="009E66D8"/>
    <w:rsid w:val="009F2A5C"/>
    <w:rsid w:val="009F41B5"/>
    <w:rsid w:val="009F4848"/>
    <w:rsid w:val="009F6774"/>
    <w:rsid w:val="009F7A7C"/>
    <w:rsid w:val="00A03FD1"/>
    <w:rsid w:val="00A06335"/>
    <w:rsid w:val="00A06B25"/>
    <w:rsid w:val="00A06D08"/>
    <w:rsid w:val="00A07870"/>
    <w:rsid w:val="00A07C54"/>
    <w:rsid w:val="00A07F19"/>
    <w:rsid w:val="00A1006F"/>
    <w:rsid w:val="00A10BEF"/>
    <w:rsid w:val="00A124BB"/>
    <w:rsid w:val="00A1348D"/>
    <w:rsid w:val="00A13C99"/>
    <w:rsid w:val="00A15DCF"/>
    <w:rsid w:val="00A179D2"/>
    <w:rsid w:val="00A17D1A"/>
    <w:rsid w:val="00A232EE"/>
    <w:rsid w:val="00A23A26"/>
    <w:rsid w:val="00A254C6"/>
    <w:rsid w:val="00A25CEA"/>
    <w:rsid w:val="00A25F18"/>
    <w:rsid w:val="00A30A78"/>
    <w:rsid w:val="00A36031"/>
    <w:rsid w:val="00A36A08"/>
    <w:rsid w:val="00A40094"/>
    <w:rsid w:val="00A4175F"/>
    <w:rsid w:val="00A44411"/>
    <w:rsid w:val="00A463A9"/>
    <w:rsid w:val="00A469FA"/>
    <w:rsid w:val="00A47A6E"/>
    <w:rsid w:val="00A51B3C"/>
    <w:rsid w:val="00A522F4"/>
    <w:rsid w:val="00A53662"/>
    <w:rsid w:val="00A55B01"/>
    <w:rsid w:val="00A56B5B"/>
    <w:rsid w:val="00A56EF0"/>
    <w:rsid w:val="00A603FF"/>
    <w:rsid w:val="00A60A37"/>
    <w:rsid w:val="00A619B6"/>
    <w:rsid w:val="00A61D06"/>
    <w:rsid w:val="00A6261B"/>
    <w:rsid w:val="00A63B2A"/>
    <w:rsid w:val="00A648CA"/>
    <w:rsid w:val="00A657DD"/>
    <w:rsid w:val="00A666A6"/>
    <w:rsid w:val="00A675FD"/>
    <w:rsid w:val="00A72437"/>
    <w:rsid w:val="00A72F49"/>
    <w:rsid w:val="00A7423E"/>
    <w:rsid w:val="00A8048B"/>
    <w:rsid w:val="00A80611"/>
    <w:rsid w:val="00A80AC4"/>
    <w:rsid w:val="00A84F6A"/>
    <w:rsid w:val="00A851FB"/>
    <w:rsid w:val="00A85786"/>
    <w:rsid w:val="00A90769"/>
    <w:rsid w:val="00A910A3"/>
    <w:rsid w:val="00A91DD5"/>
    <w:rsid w:val="00A92497"/>
    <w:rsid w:val="00A94138"/>
    <w:rsid w:val="00A96F1E"/>
    <w:rsid w:val="00A976A2"/>
    <w:rsid w:val="00AA0237"/>
    <w:rsid w:val="00AA183C"/>
    <w:rsid w:val="00AA2FDD"/>
    <w:rsid w:val="00AA3587"/>
    <w:rsid w:val="00AA5BF4"/>
    <w:rsid w:val="00AB0C47"/>
    <w:rsid w:val="00AB2AD3"/>
    <w:rsid w:val="00AB342C"/>
    <w:rsid w:val="00AB5340"/>
    <w:rsid w:val="00AB602F"/>
    <w:rsid w:val="00AC0075"/>
    <w:rsid w:val="00AC0A89"/>
    <w:rsid w:val="00AC22B0"/>
    <w:rsid w:val="00AC5825"/>
    <w:rsid w:val="00AC5C65"/>
    <w:rsid w:val="00AC6760"/>
    <w:rsid w:val="00AC7C96"/>
    <w:rsid w:val="00AD3593"/>
    <w:rsid w:val="00AD5E7E"/>
    <w:rsid w:val="00AD674A"/>
    <w:rsid w:val="00AE0812"/>
    <w:rsid w:val="00AE119F"/>
    <w:rsid w:val="00AE237D"/>
    <w:rsid w:val="00AE2825"/>
    <w:rsid w:val="00AE3F3F"/>
    <w:rsid w:val="00AE4D0D"/>
    <w:rsid w:val="00AE502A"/>
    <w:rsid w:val="00AE66AC"/>
    <w:rsid w:val="00AF0010"/>
    <w:rsid w:val="00AF0B54"/>
    <w:rsid w:val="00AF1AA8"/>
    <w:rsid w:val="00AF2765"/>
    <w:rsid w:val="00AF2C1F"/>
    <w:rsid w:val="00AF3531"/>
    <w:rsid w:val="00AF425C"/>
    <w:rsid w:val="00AF621C"/>
    <w:rsid w:val="00AF7C07"/>
    <w:rsid w:val="00B000CD"/>
    <w:rsid w:val="00B009CE"/>
    <w:rsid w:val="00B06C64"/>
    <w:rsid w:val="00B07D8E"/>
    <w:rsid w:val="00B11CAC"/>
    <w:rsid w:val="00B11D7C"/>
    <w:rsid w:val="00B15A29"/>
    <w:rsid w:val="00B21962"/>
    <w:rsid w:val="00B22C93"/>
    <w:rsid w:val="00B24493"/>
    <w:rsid w:val="00B246AC"/>
    <w:rsid w:val="00B24B12"/>
    <w:rsid w:val="00B25234"/>
    <w:rsid w:val="00B2620F"/>
    <w:rsid w:val="00B27589"/>
    <w:rsid w:val="00B31A01"/>
    <w:rsid w:val="00B31D93"/>
    <w:rsid w:val="00B32D77"/>
    <w:rsid w:val="00B34580"/>
    <w:rsid w:val="00B37A64"/>
    <w:rsid w:val="00B405B7"/>
    <w:rsid w:val="00B4468F"/>
    <w:rsid w:val="00B44F3B"/>
    <w:rsid w:val="00B46019"/>
    <w:rsid w:val="00B468C0"/>
    <w:rsid w:val="00B47088"/>
    <w:rsid w:val="00B477EF"/>
    <w:rsid w:val="00B50FE9"/>
    <w:rsid w:val="00B519FC"/>
    <w:rsid w:val="00B52222"/>
    <w:rsid w:val="00B531DA"/>
    <w:rsid w:val="00B538B0"/>
    <w:rsid w:val="00B53A55"/>
    <w:rsid w:val="00B54895"/>
    <w:rsid w:val="00B54FE7"/>
    <w:rsid w:val="00B5793E"/>
    <w:rsid w:val="00B63658"/>
    <w:rsid w:val="00B647C6"/>
    <w:rsid w:val="00B648B0"/>
    <w:rsid w:val="00B655F9"/>
    <w:rsid w:val="00B66901"/>
    <w:rsid w:val="00B66F60"/>
    <w:rsid w:val="00B66FAE"/>
    <w:rsid w:val="00B71E6D"/>
    <w:rsid w:val="00B72070"/>
    <w:rsid w:val="00B7286C"/>
    <w:rsid w:val="00B73926"/>
    <w:rsid w:val="00B7705A"/>
    <w:rsid w:val="00B779E1"/>
    <w:rsid w:val="00B8017A"/>
    <w:rsid w:val="00B81E3A"/>
    <w:rsid w:val="00B85CFB"/>
    <w:rsid w:val="00B85FFA"/>
    <w:rsid w:val="00B914E9"/>
    <w:rsid w:val="00B918E9"/>
    <w:rsid w:val="00B91EE1"/>
    <w:rsid w:val="00B93694"/>
    <w:rsid w:val="00B94602"/>
    <w:rsid w:val="00B955A9"/>
    <w:rsid w:val="00B95F22"/>
    <w:rsid w:val="00BA0090"/>
    <w:rsid w:val="00BA009B"/>
    <w:rsid w:val="00BA1A01"/>
    <w:rsid w:val="00BA1A67"/>
    <w:rsid w:val="00BA2224"/>
    <w:rsid w:val="00BA362E"/>
    <w:rsid w:val="00BA44D6"/>
    <w:rsid w:val="00BA6599"/>
    <w:rsid w:val="00BA6A80"/>
    <w:rsid w:val="00BB4ABB"/>
    <w:rsid w:val="00BB5157"/>
    <w:rsid w:val="00BB5DDA"/>
    <w:rsid w:val="00BB7150"/>
    <w:rsid w:val="00BB75B4"/>
    <w:rsid w:val="00BB76B2"/>
    <w:rsid w:val="00BC06B9"/>
    <w:rsid w:val="00BC1D71"/>
    <w:rsid w:val="00BC2473"/>
    <w:rsid w:val="00BC2724"/>
    <w:rsid w:val="00BC5579"/>
    <w:rsid w:val="00BC560D"/>
    <w:rsid w:val="00BC62BA"/>
    <w:rsid w:val="00BC7BB6"/>
    <w:rsid w:val="00BD15AE"/>
    <w:rsid w:val="00BD35C9"/>
    <w:rsid w:val="00BE4163"/>
    <w:rsid w:val="00BE531E"/>
    <w:rsid w:val="00BE5B5F"/>
    <w:rsid w:val="00BE63D9"/>
    <w:rsid w:val="00BE76AA"/>
    <w:rsid w:val="00BE7993"/>
    <w:rsid w:val="00BF05B6"/>
    <w:rsid w:val="00BF216C"/>
    <w:rsid w:val="00BF386C"/>
    <w:rsid w:val="00BF452F"/>
    <w:rsid w:val="00BF4A05"/>
    <w:rsid w:val="00BF6BDC"/>
    <w:rsid w:val="00C03196"/>
    <w:rsid w:val="00C0358F"/>
    <w:rsid w:val="00C0517D"/>
    <w:rsid w:val="00C07552"/>
    <w:rsid w:val="00C0780C"/>
    <w:rsid w:val="00C10939"/>
    <w:rsid w:val="00C1110C"/>
    <w:rsid w:val="00C11971"/>
    <w:rsid w:val="00C11D73"/>
    <w:rsid w:val="00C146C1"/>
    <w:rsid w:val="00C16F6C"/>
    <w:rsid w:val="00C179DE"/>
    <w:rsid w:val="00C2042D"/>
    <w:rsid w:val="00C2160A"/>
    <w:rsid w:val="00C21F60"/>
    <w:rsid w:val="00C227DE"/>
    <w:rsid w:val="00C22952"/>
    <w:rsid w:val="00C24959"/>
    <w:rsid w:val="00C264D6"/>
    <w:rsid w:val="00C26BA5"/>
    <w:rsid w:val="00C26EEF"/>
    <w:rsid w:val="00C26F55"/>
    <w:rsid w:val="00C30C63"/>
    <w:rsid w:val="00C30FF3"/>
    <w:rsid w:val="00C3363B"/>
    <w:rsid w:val="00C33A20"/>
    <w:rsid w:val="00C33D0E"/>
    <w:rsid w:val="00C34D5C"/>
    <w:rsid w:val="00C35F8D"/>
    <w:rsid w:val="00C36B8B"/>
    <w:rsid w:val="00C3734A"/>
    <w:rsid w:val="00C37D37"/>
    <w:rsid w:val="00C4135C"/>
    <w:rsid w:val="00C415C1"/>
    <w:rsid w:val="00C42953"/>
    <w:rsid w:val="00C4299B"/>
    <w:rsid w:val="00C44AEB"/>
    <w:rsid w:val="00C47DBF"/>
    <w:rsid w:val="00C50813"/>
    <w:rsid w:val="00C549C5"/>
    <w:rsid w:val="00C552FF"/>
    <w:rsid w:val="00C55305"/>
    <w:rsid w:val="00C558DA"/>
    <w:rsid w:val="00C55AF3"/>
    <w:rsid w:val="00C564F1"/>
    <w:rsid w:val="00C56E04"/>
    <w:rsid w:val="00C61038"/>
    <w:rsid w:val="00C61A38"/>
    <w:rsid w:val="00C61BED"/>
    <w:rsid w:val="00C621CA"/>
    <w:rsid w:val="00C64F3D"/>
    <w:rsid w:val="00C67A5C"/>
    <w:rsid w:val="00C70BF6"/>
    <w:rsid w:val="00C71E2E"/>
    <w:rsid w:val="00C72692"/>
    <w:rsid w:val="00C73D7C"/>
    <w:rsid w:val="00C75229"/>
    <w:rsid w:val="00C76D94"/>
    <w:rsid w:val="00C771A9"/>
    <w:rsid w:val="00C804F5"/>
    <w:rsid w:val="00C806EA"/>
    <w:rsid w:val="00C82332"/>
    <w:rsid w:val="00C82943"/>
    <w:rsid w:val="00C82CD8"/>
    <w:rsid w:val="00C831F1"/>
    <w:rsid w:val="00C83786"/>
    <w:rsid w:val="00C84759"/>
    <w:rsid w:val="00C854D1"/>
    <w:rsid w:val="00C85C72"/>
    <w:rsid w:val="00C85F29"/>
    <w:rsid w:val="00C9140F"/>
    <w:rsid w:val="00C92924"/>
    <w:rsid w:val="00C92C09"/>
    <w:rsid w:val="00C93096"/>
    <w:rsid w:val="00C93D8D"/>
    <w:rsid w:val="00CA003B"/>
    <w:rsid w:val="00CA01F7"/>
    <w:rsid w:val="00CA0D3B"/>
    <w:rsid w:val="00CA1222"/>
    <w:rsid w:val="00CA37DD"/>
    <w:rsid w:val="00CA50D3"/>
    <w:rsid w:val="00CA51D5"/>
    <w:rsid w:val="00CA5CA9"/>
    <w:rsid w:val="00CA6C7F"/>
    <w:rsid w:val="00CA6DF4"/>
    <w:rsid w:val="00CA7807"/>
    <w:rsid w:val="00CB007D"/>
    <w:rsid w:val="00CB2ACA"/>
    <w:rsid w:val="00CB4ACA"/>
    <w:rsid w:val="00CB60CA"/>
    <w:rsid w:val="00CC0FC7"/>
    <w:rsid w:val="00CC10A6"/>
    <w:rsid w:val="00CC3D0F"/>
    <w:rsid w:val="00CC3F05"/>
    <w:rsid w:val="00CD1260"/>
    <w:rsid w:val="00CD4256"/>
    <w:rsid w:val="00CD474D"/>
    <w:rsid w:val="00CD5EB8"/>
    <w:rsid w:val="00CD7044"/>
    <w:rsid w:val="00CE023F"/>
    <w:rsid w:val="00CE08B9"/>
    <w:rsid w:val="00CE3515"/>
    <w:rsid w:val="00CE360F"/>
    <w:rsid w:val="00CE3D4B"/>
    <w:rsid w:val="00CE524C"/>
    <w:rsid w:val="00CF141F"/>
    <w:rsid w:val="00CF1615"/>
    <w:rsid w:val="00CF1E5C"/>
    <w:rsid w:val="00CF4777"/>
    <w:rsid w:val="00CF48C7"/>
    <w:rsid w:val="00CF54F8"/>
    <w:rsid w:val="00CF65C8"/>
    <w:rsid w:val="00CF6850"/>
    <w:rsid w:val="00CF7D0F"/>
    <w:rsid w:val="00D00D3C"/>
    <w:rsid w:val="00D013F5"/>
    <w:rsid w:val="00D03A88"/>
    <w:rsid w:val="00D04531"/>
    <w:rsid w:val="00D05E3F"/>
    <w:rsid w:val="00D067BB"/>
    <w:rsid w:val="00D102BD"/>
    <w:rsid w:val="00D11153"/>
    <w:rsid w:val="00D118F4"/>
    <w:rsid w:val="00D1352A"/>
    <w:rsid w:val="00D1638E"/>
    <w:rsid w:val="00D169AF"/>
    <w:rsid w:val="00D16FD6"/>
    <w:rsid w:val="00D17814"/>
    <w:rsid w:val="00D200EF"/>
    <w:rsid w:val="00D21B7A"/>
    <w:rsid w:val="00D24A62"/>
    <w:rsid w:val="00D24BAA"/>
    <w:rsid w:val="00D25175"/>
    <w:rsid w:val="00D25249"/>
    <w:rsid w:val="00D2657D"/>
    <w:rsid w:val="00D2668A"/>
    <w:rsid w:val="00D26854"/>
    <w:rsid w:val="00D31A6B"/>
    <w:rsid w:val="00D35357"/>
    <w:rsid w:val="00D35F13"/>
    <w:rsid w:val="00D36664"/>
    <w:rsid w:val="00D36C41"/>
    <w:rsid w:val="00D43884"/>
    <w:rsid w:val="00D44172"/>
    <w:rsid w:val="00D451CC"/>
    <w:rsid w:val="00D4533D"/>
    <w:rsid w:val="00D47BE3"/>
    <w:rsid w:val="00D50150"/>
    <w:rsid w:val="00D50EE6"/>
    <w:rsid w:val="00D5607B"/>
    <w:rsid w:val="00D60979"/>
    <w:rsid w:val="00D613A4"/>
    <w:rsid w:val="00D621FA"/>
    <w:rsid w:val="00D62C15"/>
    <w:rsid w:val="00D63B8C"/>
    <w:rsid w:val="00D63C6F"/>
    <w:rsid w:val="00D63E05"/>
    <w:rsid w:val="00D645E2"/>
    <w:rsid w:val="00D66FF0"/>
    <w:rsid w:val="00D739CC"/>
    <w:rsid w:val="00D77006"/>
    <w:rsid w:val="00D806F9"/>
    <w:rsid w:val="00D8093D"/>
    <w:rsid w:val="00D8108C"/>
    <w:rsid w:val="00D81189"/>
    <w:rsid w:val="00D8404C"/>
    <w:rsid w:val="00D842AE"/>
    <w:rsid w:val="00D84995"/>
    <w:rsid w:val="00D85EA3"/>
    <w:rsid w:val="00D85F43"/>
    <w:rsid w:val="00D85F65"/>
    <w:rsid w:val="00D87C75"/>
    <w:rsid w:val="00D91DD5"/>
    <w:rsid w:val="00D9211C"/>
    <w:rsid w:val="00D92DE0"/>
    <w:rsid w:val="00D92FEF"/>
    <w:rsid w:val="00D931F9"/>
    <w:rsid w:val="00D93A0F"/>
    <w:rsid w:val="00D97922"/>
    <w:rsid w:val="00DA1BCA"/>
    <w:rsid w:val="00DA2B72"/>
    <w:rsid w:val="00DA3663"/>
    <w:rsid w:val="00DA3F86"/>
    <w:rsid w:val="00DA4D7E"/>
    <w:rsid w:val="00DA531B"/>
    <w:rsid w:val="00DA6519"/>
    <w:rsid w:val="00DA78EB"/>
    <w:rsid w:val="00DB53F5"/>
    <w:rsid w:val="00DB5A4A"/>
    <w:rsid w:val="00DB5C84"/>
    <w:rsid w:val="00DB62E8"/>
    <w:rsid w:val="00DC1792"/>
    <w:rsid w:val="00DC274A"/>
    <w:rsid w:val="00DC3214"/>
    <w:rsid w:val="00DC46FF"/>
    <w:rsid w:val="00DC5254"/>
    <w:rsid w:val="00DC569D"/>
    <w:rsid w:val="00DC574A"/>
    <w:rsid w:val="00DC5F89"/>
    <w:rsid w:val="00DC6C56"/>
    <w:rsid w:val="00DC7191"/>
    <w:rsid w:val="00DD1A4F"/>
    <w:rsid w:val="00DD27FF"/>
    <w:rsid w:val="00DD2F83"/>
    <w:rsid w:val="00DD3107"/>
    <w:rsid w:val="00DD4156"/>
    <w:rsid w:val="00DD5D15"/>
    <w:rsid w:val="00DD7C2C"/>
    <w:rsid w:val="00DE2B03"/>
    <w:rsid w:val="00DE5BDA"/>
    <w:rsid w:val="00DE6ADF"/>
    <w:rsid w:val="00DF433C"/>
    <w:rsid w:val="00DF519F"/>
    <w:rsid w:val="00DF71A6"/>
    <w:rsid w:val="00DF7C49"/>
    <w:rsid w:val="00E0035A"/>
    <w:rsid w:val="00E01065"/>
    <w:rsid w:val="00E023A7"/>
    <w:rsid w:val="00E02898"/>
    <w:rsid w:val="00E039B8"/>
    <w:rsid w:val="00E03E8E"/>
    <w:rsid w:val="00E06797"/>
    <w:rsid w:val="00E068AE"/>
    <w:rsid w:val="00E06B10"/>
    <w:rsid w:val="00E100E6"/>
    <w:rsid w:val="00E10627"/>
    <w:rsid w:val="00E11943"/>
    <w:rsid w:val="00E11D31"/>
    <w:rsid w:val="00E1265B"/>
    <w:rsid w:val="00E12E09"/>
    <w:rsid w:val="00E13B48"/>
    <w:rsid w:val="00E13FFD"/>
    <w:rsid w:val="00E1404F"/>
    <w:rsid w:val="00E157BA"/>
    <w:rsid w:val="00E16774"/>
    <w:rsid w:val="00E21C83"/>
    <w:rsid w:val="00E23644"/>
    <w:rsid w:val="00E249F0"/>
    <w:rsid w:val="00E24ADA"/>
    <w:rsid w:val="00E2508D"/>
    <w:rsid w:val="00E27471"/>
    <w:rsid w:val="00E32F59"/>
    <w:rsid w:val="00E33E79"/>
    <w:rsid w:val="00E33FA7"/>
    <w:rsid w:val="00E3777B"/>
    <w:rsid w:val="00E37BA7"/>
    <w:rsid w:val="00E40819"/>
    <w:rsid w:val="00E41908"/>
    <w:rsid w:val="00E456A2"/>
    <w:rsid w:val="00E46D9A"/>
    <w:rsid w:val="00E47715"/>
    <w:rsid w:val="00E478A4"/>
    <w:rsid w:val="00E521A0"/>
    <w:rsid w:val="00E54866"/>
    <w:rsid w:val="00E565FF"/>
    <w:rsid w:val="00E57DE5"/>
    <w:rsid w:val="00E63D4C"/>
    <w:rsid w:val="00E6489E"/>
    <w:rsid w:val="00E65388"/>
    <w:rsid w:val="00E7093E"/>
    <w:rsid w:val="00E71861"/>
    <w:rsid w:val="00E72401"/>
    <w:rsid w:val="00E76DB6"/>
    <w:rsid w:val="00E7741D"/>
    <w:rsid w:val="00E7762C"/>
    <w:rsid w:val="00E808CD"/>
    <w:rsid w:val="00E829B2"/>
    <w:rsid w:val="00E8348F"/>
    <w:rsid w:val="00E8560B"/>
    <w:rsid w:val="00E85B7D"/>
    <w:rsid w:val="00E85FE7"/>
    <w:rsid w:val="00E9121B"/>
    <w:rsid w:val="00E91BF0"/>
    <w:rsid w:val="00E91E99"/>
    <w:rsid w:val="00E921DE"/>
    <w:rsid w:val="00E926E0"/>
    <w:rsid w:val="00E9302E"/>
    <w:rsid w:val="00E9606A"/>
    <w:rsid w:val="00E9624D"/>
    <w:rsid w:val="00E976AB"/>
    <w:rsid w:val="00EA0AE2"/>
    <w:rsid w:val="00EA2C2E"/>
    <w:rsid w:val="00EA39E5"/>
    <w:rsid w:val="00EA57A3"/>
    <w:rsid w:val="00EA598D"/>
    <w:rsid w:val="00EA62B6"/>
    <w:rsid w:val="00EA644A"/>
    <w:rsid w:val="00EC2813"/>
    <w:rsid w:val="00EC3EEC"/>
    <w:rsid w:val="00EC3F22"/>
    <w:rsid w:val="00EC5A46"/>
    <w:rsid w:val="00EC63E2"/>
    <w:rsid w:val="00EC7F44"/>
    <w:rsid w:val="00ED0225"/>
    <w:rsid w:val="00ED105E"/>
    <w:rsid w:val="00ED14B9"/>
    <w:rsid w:val="00ED1FB1"/>
    <w:rsid w:val="00ED2BBF"/>
    <w:rsid w:val="00ED366A"/>
    <w:rsid w:val="00ED3C00"/>
    <w:rsid w:val="00ED6BB7"/>
    <w:rsid w:val="00EE01BE"/>
    <w:rsid w:val="00EE255A"/>
    <w:rsid w:val="00EE6AE8"/>
    <w:rsid w:val="00EF012F"/>
    <w:rsid w:val="00EF19BB"/>
    <w:rsid w:val="00EF22B3"/>
    <w:rsid w:val="00EF2B21"/>
    <w:rsid w:val="00EF4668"/>
    <w:rsid w:val="00EF5203"/>
    <w:rsid w:val="00F00C0F"/>
    <w:rsid w:val="00F02A1A"/>
    <w:rsid w:val="00F03B69"/>
    <w:rsid w:val="00F06867"/>
    <w:rsid w:val="00F070D2"/>
    <w:rsid w:val="00F07A50"/>
    <w:rsid w:val="00F107AA"/>
    <w:rsid w:val="00F113DA"/>
    <w:rsid w:val="00F151D0"/>
    <w:rsid w:val="00F15578"/>
    <w:rsid w:val="00F202BA"/>
    <w:rsid w:val="00F20C83"/>
    <w:rsid w:val="00F23B21"/>
    <w:rsid w:val="00F24288"/>
    <w:rsid w:val="00F266FC"/>
    <w:rsid w:val="00F26D21"/>
    <w:rsid w:val="00F2708D"/>
    <w:rsid w:val="00F279A3"/>
    <w:rsid w:val="00F27BB7"/>
    <w:rsid w:val="00F3037A"/>
    <w:rsid w:val="00F3043C"/>
    <w:rsid w:val="00F33F50"/>
    <w:rsid w:val="00F3465A"/>
    <w:rsid w:val="00F34B53"/>
    <w:rsid w:val="00F35CFC"/>
    <w:rsid w:val="00F37DC8"/>
    <w:rsid w:val="00F4137F"/>
    <w:rsid w:val="00F421F5"/>
    <w:rsid w:val="00F42492"/>
    <w:rsid w:val="00F439B3"/>
    <w:rsid w:val="00F45B30"/>
    <w:rsid w:val="00F5275D"/>
    <w:rsid w:val="00F650C3"/>
    <w:rsid w:val="00F65414"/>
    <w:rsid w:val="00F65D47"/>
    <w:rsid w:val="00F65D85"/>
    <w:rsid w:val="00F6700B"/>
    <w:rsid w:val="00F6774D"/>
    <w:rsid w:val="00F7137B"/>
    <w:rsid w:val="00F716D4"/>
    <w:rsid w:val="00F71976"/>
    <w:rsid w:val="00F7267C"/>
    <w:rsid w:val="00F727F9"/>
    <w:rsid w:val="00F7445B"/>
    <w:rsid w:val="00F74B22"/>
    <w:rsid w:val="00F75F16"/>
    <w:rsid w:val="00F8091E"/>
    <w:rsid w:val="00F80EBB"/>
    <w:rsid w:val="00F8562F"/>
    <w:rsid w:val="00F85FE5"/>
    <w:rsid w:val="00F8615C"/>
    <w:rsid w:val="00F873A1"/>
    <w:rsid w:val="00F92E5D"/>
    <w:rsid w:val="00F9410B"/>
    <w:rsid w:val="00F94A05"/>
    <w:rsid w:val="00F969E5"/>
    <w:rsid w:val="00F971CE"/>
    <w:rsid w:val="00FA2625"/>
    <w:rsid w:val="00FA34A5"/>
    <w:rsid w:val="00FA4972"/>
    <w:rsid w:val="00FA4DF6"/>
    <w:rsid w:val="00FA6BB0"/>
    <w:rsid w:val="00FA7940"/>
    <w:rsid w:val="00FA7B90"/>
    <w:rsid w:val="00FA7C72"/>
    <w:rsid w:val="00FB0548"/>
    <w:rsid w:val="00FB13D8"/>
    <w:rsid w:val="00FB194B"/>
    <w:rsid w:val="00FB2DBD"/>
    <w:rsid w:val="00FB70F6"/>
    <w:rsid w:val="00FC1076"/>
    <w:rsid w:val="00FC1703"/>
    <w:rsid w:val="00FC3631"/>
    <w:rsid w:val="00FC5E6C"/>
    <w:rsid w:val="00FD0189"/>
    <w:rsid w:val="00FD48DF"/>
    <w:rsid w:val="00FD5100"/>
    <w:rsid w:val="00FD5860"/>
    <w:rsid w:val="00FD7D3A"/>
    <w:rsid w:val="00FE00E6"/>
    <w:rsid w:val="00FE081E"/>
    <w:rsid w:val="00FE0A0B"/>
    <w:rsid w:val="00FE0C08"/>
    <w:rsid w:val="00FE352D"/>
    <w:rsid w:val="00FE40EB"/>
    <w:rsid w:val="00FE44D8"/>
    <w:rsid w:val="00FE4D02"/>
    <w:rsid w:val="00FE534A"/>
    <w:rsid w:val="00FE7D62"/>
    <w:rsid w:val="00FE7F74"/>
    <w:rsid w:val="00FF0DA0"/>
    <w:rsid w:val="00FF1F95"/>
    <w:rsid w:val="00FF3819"/>
    <w:rsid w:val="00FF607D"/>
    <w:rsid w:val="00FF6A70"/>
    <w:rsid w:val="00FF7E9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863A1C0"/>
  <w15:docId w15:val="{6CE15CFA-5152-41BE-B7B9-AE2D93A1B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9"/>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8"/>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NormalnumberChar">
    <w:name w:val="Normal_number Char"/>
    <w:link w:val="Normalnumber"/>
    <w:locked/>
    <w:rsid w:val="001C70A9"/>
    <w:rPr>
      <w:lang w:eastAsia="en-US"/>
    </w:rPr>
  </w:style>
  <w:style w:type="character" w:customStyle="1" w:styleId="CH2Char">
    <w:name w:val="CH2 Char"/>
    <w:link w:val="CH2"/>
    <w:rsid w:val="001C70A9"/>
    <w:rPr>
      <w:b/>
      <w:sz w:val="24"/>
      <w:szCs w:val="24"/>
      <w:lang w:eastAsia="en-US"/>
    </w:rPr>
  </w:style>
  <w:style w:type="character" w:customStyle="1" w:styleId="Normal-poolChar">
    <w:name w:val="Normal-pool Char"/>
    <w:link w:val="Normal-pool"/>
    <w:rsid w:val="00E72401"/>
    <w:rPr>
      <w:lang w:eastAsia="en-US"/>
    </w:rPr>
  </w:style>
  <w:style w:type="paragraph" w:styleId="NormalWeb">
    <w:name w:val="Normal (Web)"/>
    <w:basedOn w:val="Normal"/>
    <w:uiPriority w:val="99"/>
    <w:semiHidden/>
    <w:unhideWhenUsed/>
    <w:rsid w:val="00E3777B"/>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95416491">
      <w:bodyDiv w:val="1"/>
      <w:marLeft w:val="0"/>
      <w:marRight w:val="0"/>
      <w:marTop w:val="0"/>
      <w:marBottom w:val="0"/>
      <w:divBdr>
        <w:top w:val="none" w:sz="0" w:space="0" w:color="auto"/>
        <w:left w:val="none" w:sz="0" w:space="0" w:color="auto"/>
        <w:bottom w:val="none" w:sz="0" w:space="0" w:color="auto"/>
        <w:right w:val="none" w:sz="0" w:space="0" w:color="auto"/>
      </w:divBdr>
    </w:div>
    <w:div w:id="577323253">
      <w:bodyDiv w:val="1"/>
      <w:marLeft w:val="0"/>
      <w:marRight w:val="0"/>
      <w:marTop w:val="0"/>
      <w:marBottom w:val="0"/>
      <w:divBdr>
        <w:top w:val="none" w:sz="0" w:space="0" w:color="auto"/>
        <w:left w:val="none" w:sz="0" w:space="0" w:color="auto"/>
        <w:bottom w:val="none" w:sz="0" w:space="0" w:color="auto"/>
        <w:right w:val="none" w:sz="0" w:space="0" w:color="auto"/>
      </w:divBdr>
    </w:div>
    <w:div w:id="616180696">
      <w:bodyDiv w:val="1"/>
      <w:marLeft w:val="0"/>
      <w:marRight w:val="0"/>
      <w:marTop w:val="0"/>
      <w:marBottom w:val="0"/>
      <w:divBdr>
        <w:top w:val="none" w:sz="0" w:space="0" w:color="auto"/>
        <w:left w:val="none" w:sz="0" w:space="0" w:color="auto"/>
        <w:bottom w:val="none" w:sz="0" w:space="0" w:color="auto"/>
        <w:right w:val="none" w:sz="0" w:space="0" w:color="auto"/>
      </w:divBdr>
    </w:div>
    <w:div w:id="689533195">
      <w:bodyDiv w:val="1"/>
      <w:marLeft w:val="0"/>
      <w:marRight w:val="0"/>
      <w:marTop w:val="0"/>
      <w:marBottom w:val="0"/>
      <w:divBdr>
        <w:top w:val="none" w:sz="0" w:space="0" w:color="auto"/>
        <w:left w:val="none" w:sz="0" w:space="0" w:color="auto"/>
        <w:bottom w:val="none" w:sz="0" w:space="0" w:color="auto"/>
        <w:right w:val="none" w:sz="0" w:space="0" w:color="auto"/>
      </w:divBdr>
    </w:div>
    <w:div w:id="7456925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8230221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25911699">
      <w:bodyDiv w:val="1"/>
      <w:marLeft w:val="0"/>
      <w:marRight w:val="0"/>
      <w:marTop w:val="0"/>
      <w:marBottom w:val="0"/>
      <w:divBdr>
        <w:top w:val="none" w:sz="0" w:space="0" w:color="auto"/>
        <w:left w:val="none" w:sz="0" w:space="0" w:color="auto"/>
        <w:bottom w:val="none" w:sz="0" w:space="0" w:color="auto"/>
        <w:right w:val="none" w:sz="0" w:space="0" w:color="auto"/>
      </w:divBdr>
    </w:div>
    <w:div w:id="1860660493">
      <w:bodyDiv w:val="1"/>
      <w:marLeft w:val="0"/>
      <w:marRight w:val="0"/>
      <w:marTop w:val="0"/>
      <w:marBottom w:val="0"/>
      <w:divBdr>
        <w:top w:val="none" w:sz="0" w:space="0" w:color="auto"/>
        <w:left w:val="none" w:sz="0" w:space="0" w:color="auto"/>
        <w:bottom w:val="none" w:sz="0" w:space="0" w:color="auto"/>
        <w:right w:val="none" w:sz="0" w:space="0" w:color="auto"/>
      </w:divBdr>
    </w:div>
    <w:div w:id="194834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E9D2B48D0DAA548A0AAE2775B2DD740" ma:contentTypeVersion="10" ma:contentTypeDescription="Create a new document." ma:contentTypeScope="" ma:versionID="7ffe59c308ef4df6cb7eba34134f2d98">
  <xsd:schema xmlns:xsd="http://www.w3.org/2001/XMLSchema" xmlns:xs="http://www.w3.org/2001/XMLSchema" xmlns:p="http://schemas.microsoft.com/office/2006/metadata/properties" xmlns:ns3="43cb8df9-f927-4f3d-851a-f299b11c6a21" xmlns:ns4="45086d35-8c75-448c-9768-fc102d8752f9" targetNamespace="http://schemas.microsoft.com/office/2006/metadata/properties" ma:root="true" ma:fieldsID="0ce30220e6c323c5859c665323bf171a" ns3:_="" ns4:_="">
    <xsd:import namespace="43cb8df9-f927-4f3d-851a-f299b11c6a21"/>
    <xsd:import namespace="45086d35-8c75-448c-9768-fc102d8752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b8df9-f927-4f3d-851a-f299b11c6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086d35-8c75-448c-9768-fc102d8752f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A98A8-0C24-40F2-B576-E64815183CA7}">
  <ds:schemaRefs>
    <ds:schemaRef ds:uri="http://schemas.microsoft.com/sharepoint/v3/contenttype/forms"/>
  </ds:schemaRefs>
</ds:datastoreItem>
</file>

<file path=customXml/itemProps2.xml><?xml version="1.0" encoding="utf-8"?>
<ds:datastoreItem xmlns:ds="http://schemas.openxmlformats.org/officeDocument/2006/customXml" ds:itemID="{54895C75-D4DE-4DBB-B021-ABC622C96658}">
  <ds:schemaRefs>
    <ds:schemaRef ds:uri="45086d35-8c75-448c-9768-fc102d8752f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3cb8df9-f927-4f3d-851a-f299b11c6a21"/>
    <ds:schemaRef ds:uri="http://www.w3.org/XML/1998/namespace"/>
    <ds:schemaRef ds:uri="http://purl.org/dc/dcmitype/"/>
  </ds:schemaRefs>
</ds:datastoreItem>
</file>

<file path=customXml/itemProps3.xml><?xml version="1.0" encoding="utf-8"?>
<ds:datastoreItem xmlns:ds="http://schemas.openxmlformats.org/officeDocument/2006/customXml" ds:itemID="{A5FCB7CC-0581-4F50-B21B-A5492413A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b8df9-f927-4f3d-851a-f299b11c6a21"/>
    <ds:schemaRef ds:uri="45086d35-8c75-448c-9768-fc102d875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AC8B7F-453A-481A-B797-FAB0BD05F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4673</Words>
  <Characters>26641</Characters>
  <Application>Microsoft Office Word</Application>
  <DocSecurity>0</DocSecurity>
  <Lines>222</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31252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Jane Mbau</cp:lastModifiedBy>
  <cp:revision>5</cp:revision>
  <cp:lastPrinted>2019-09-26T09:25:00Z</cp:lastPrinted>
  <dcterms:created xsi:type="dcterms:W3CDTF">2019-09-26T09:22:00Z</dcterms:created>
  <dcterms:modified xsi:type="dcterms:W3CDTF">2019-09-26T09:28:00Z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0x0101009E9D2B48D0DAA548A0AAE2775B2DD740</vt:lpwstr>
  </property>
</Properties>
</file>