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21"/>
        <w:gridCol w:w="1174"/>
        <w:gridCol w:w="3509"/>
        <w:gridCol w:w="3292"/>
      </w:tblGrid>
      <w:tr w:rsidR="00032E4E" w:rsidRPr="00C6062B" w14:paraId="2623362B" w14:textId="77777777" w:rsidTr="008D1818">
        <w:trPr>
          <w:cantSplit/>
          <w:trHeight w:val="850"/>
          <w:jc w:val="right"/>
        </w:trPr>
        <w:tc>
          <w:tcPr>
            <w:tcW w:w="2755" w:type="dxa"/>
            <w:gridSpan w:val="2"/>
          </w:tcPr>
          <w:p w14:paraId="1537DD56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noProof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ОРГАНИЗАЦИЯ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ОБЪЕДИНЕННЫХ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НАЦИЙ</w:t>
            </w:r>
          </w:p>
        </w:tc>
        <w:tc>
          <w:tcPr>
            <w:tcW w:w="3590" w:type="dxa"/>
          </w:tcPr>
          <w:p w14:paraId="1B32F467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367" w:type="dxa"/>
          </w:tcPr>
          <w:p w14:paraId="0CD6C3D3" w14:textId="77777777" w:rsidR="00032E4E" w:rsidRPr="00C6062B" w:rsidRDefault="00787688" w:rsidP="00023DA9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>
              <w:rPr>
                <w:rFonts w:ascii="Arial" w:hAnsi="Arial"/>
                <w:b/>
                <w:sz w:val="64"/>
                <w:szCs w:val="64"/>
              </w:rPr>
              <w:t>MC</w:t>
            </w:r>
          </w:p>
        </w:tc>
      </w:tr>
      <w:tr w:rsidR="00032E4E" w:rsidRPr="00684351" w14:paraId="36878BD8" w14:textId="77777777" w:rsidTr="008D1818">
        <w:trPr>
          <w:cantSplit/>
          <w:trHeight w:val="281"/>
          <w:jc w:val="right"/>
        </w:trPr>
        <w:tc>
          <w:tcPr>
            <w:tcW w:w="1552" w:type="dxa"/>
            <w:tcBorders>
              <w:bottom w:val="single" w:sz="4" w:space="0" w:color="auto"/>
            </w:tcBorders>
          </w:tcPr>
          <w:p w14:paraId="2FE1D229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</w:rPr>
            </w:pPr>
          </w:p>
        </w:tc>
        <w:tc>
          <w:tcPr>
            <w:tcW w:w="4793" w:type="dxa"/>
            <w:gridSpan w:val="2"/>
            <w:tcBorders>
              <w:bottom w:val="single" w:sz="4" w:space="0" w:color="auto"/>
            </w:tcBorders>
          </w:tcPr>
          <w:p w14:paraId="05482DC3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14:paraId="3D105487" w14:textId="2780F7B6" w:rsidR="00032E4E" w:rsidRPr="00620245" w:rsidRDefault="00032E4E" w:rsidP="00620245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  <w:lang w:val="en-GB"/>
              </w:rPr>
            </w:pPr>
            <w:r w:rsidRPr="008D1818">
              <w:rPr>
                <w:b/>
                <w:bCs/>
                <w:sz w:val="28"/>
                <w:lang w:val="en-US"/>
              </w:rPr>
              <w:t>UNE</w:t>
            </w:r>
            <w:r w:rsidR="00616741">
              <w:rPr>
                <w:b/>
                <w:bCs/>
                <w:sz w:val="28"/>
                <w:lang w:val="en-US"/>
              </w:rPr>
              <w:t>P</w:t>
            </w:r>
            <w:r w:rsidR="00616741" w:rsidRPr="00620245">
              <w:t>/</w:t>
            </w:r>
            <w:r w:rsidR="00616741">
              <w:rPr>
                <w:lang w:val="en-US"/>
              </w:rPr>
              <w:t>MC</w:t>
            </w:r>
            <w:r w:rsidR="00616741" w:rsidRPr="00620245">
              <w:t>/</w:t>
            </w:r>
            <w:r w:rsidR="00616741">
              <w:rPr>
                <w:lang w:val="en-US"/>
              </w:rPr>
              <w:t>CO</w:t>
            </w:r>
            <w:r w:rsidR="00620245">
              <w:rPr>
                <w:lang w:val="en-US"/>
              </w:rPr>
              <w:t>P</w:t>
            </w:r>
            <w:r w:rsidR="00620245" w:rsidRPr="00620245">
              <w:t>.</w:t>
            </w:r>
            <w:r w:rsidR="002E408B">
              <w:rPr>
                <w:lang w:val="en-US"/>
              </w:rPr>
              <w:t>3</w:t>
            </w:r>
            <w:r w:rsidR="008D1818" w:rsidRPr="00620245">
              <w:t>/</w:t>
            </w:r>
            <w:r w:rsidR="00676F7F">
              <w:rPr>
                <w:lang w:val="en-GB"/>
              </w:rPr>
              <w:t>19</w:t>
            </w:r>
          </w:p>
        </w:tc>
      </w:tr>
      <w:tr w:rsidR="00032E4E" w:rsidRPr="00AA738A" w14:paraId="0344FC84" w14:textId="77777777" w:rsidTr="008D1818">
        <w:trPr>
          <w:cantSplit/>
          <w:trHeight w:val="2549"/>
          <w:jc w:val="right"/>
        </w:trPr>
        <w:tc>
          <w:tcPr>
            <w:tcW w:w="1552" w:type="dxa"/>
            <w:tcBorders>
              <w:top w:val="single" w:sz="4" w:space="0" w:color="auto"/>
              <w:bottom w:val="single" w:sz="24" w:space="0" w:color="auto"/>
            </w:tcBorders>
          </w:tcPr>
          <w:p w14:paraId="090CBE48" w14:textId="2C7D94C1" w:rsidR="00032E4E" w:rsidRPr="00C6062B" w:rsidRDefault="006534F9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</w:rPr>
            </w:pPr>
            <w:bookmarkStart w:id="0" w:name="_MON_1021710510"/>
            <w:bookmarkStart w:id="1" w:name="_MON_1021710482"/>
            <w:bookmarkEnd w:id="0"/>
            <w:bookmarkEnd w:id="1"/>
            <w:r>
              <w:rPr>
                <w:noProof/>
                <w:lang w:val="en-GB" w:eastAsia="en-GB"/>
              </w:rPr>
              <w:drawing>
                <wp:inline distT="0" distB="0" distL="0" distR="0" wp14:anchorId="6E5AC7B0" wp14:editId="027344ED">
                  <wp:extent cx="826770" cy="78295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78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832C7" w:rsidRPr="00C6062B">
              <w:rPr>
                <w:noProof/>
                <w:lang w:val="en-GB" w:eastAsia="en-GB"/>
              </w:rPr>
              <w:drawing>
                <wp:inline distT="0" distB="0" distL="0" distR="0" wp14:anchorId="2BAB8A53" wp14:editId="6EE64E78">
                  <wp:extent cx="723900" cy="76835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3" w:type="dxa"/>
            <w:gridSpan w:val="2"/>
            <w:tcBorders>
              <w:top w:val="single" w:sz="4" w:space="0" w:color="auto"/>
              <w:bottom w:val="single" w:sz="24" w:space="0" w:color="auto"/>
            </w:tcBorders>
          </w:tcPr>
          <w:p w14:paraId="48EC7758" w14:textId="77777777" w:rsidR="00032E4E" w:rsidRPr="00AD1D99" w:rsidRDefault="00032E4E" w:rsidP="00E7138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440"/>
              <w:rPr>
                <w:rFonts w:ascii="Arial" w:hAnsi="Arial" w:cs="Arial"/>
                <w:b/>
                <w:sz w:val="27"/>
                <w:szCs w:val="27"/>
              </w:rPr>
            </w:pPr>
            <w:r w:rsidRPr="00AD1D99">
              <w:rPr>
                <w:rFonts w:ascii="Arial" w:hAnsi="Arial"/>
                <w:b/>
                <w:sz w:val="27"/>
                <w:szCs w:val="27"/>
              </w:rPr>
              <w:t>Программа Организации Объединенных Наций по окружающей среде</w:t>
            </w:r>
          </w:p>
        </w:tc>
        <w:tc>
          <w:tcPr>
            <w:tcW w:w="3367" w:type="dxa"/>
            <w:tcBorders>
              <w:top w:val="single" w:sz="4" w:space="0" w:color="auto"/>
              <w:bottom w:val="single" w:sz="24" w:space="0" w:color="auto"/>
            </w:tcBorders>
          </w:tcPr>
          <w:p w14:paraId="6F57742E" w14:textId="605C9DC1" w:rsidR="00093477" w:rsidRPr="00826AF3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GB"/>
              </w:rPr>
            </w:pPr>
            <w:r w:rsidRPr="00200ABD">
              <w:rPr>
                <w:lang w:val="en-GB"/>
              </w:rPr>
              <w:t>Distr</w:t>
            </w:r>
            <w:r w:rsidRPr="00826AF3">
              <w:rPr>
                <w:lang w:val="en-GB"/>
              </w:rPr>
              <w:t xml:space="preserve">.: </w:t>
            </w:r>
            <w:r w:rsidR="00684351">
              <w:rPr>
                <w:lang w:val="en-GB"/>
              </w:rPr>
              <w:t>General</w:t>
            </w:r>
          </w:p>
          <w:p w14:paraId="32AB44BC" w14:textId="14BE402F" w:rsidR="00032E4E" w:rsidRPr="00620245" w:rsidRDefault="00676F7F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GB"/>
              </w:rPr>
            </w:pPr>
            <w:r w:rsidRPr="00FF23CB">
              <w:t>6 August</w:t>
            </w:r>
            <w:r w:rsidR="00032E4E" w:rsidRPr="00826AF3">
              <w:rPr>
                <w:lang w:val="en-GB"/>
              </w:rPr>
              <w:t xml:space="preserve"> 201</w:t>
            </w:r>
            <w:r w:rsidR="002E408B">
              <w:rPr>
                <w:lang w:val="en-GB"/>
              </w:rPr>
              <w:t>9</w:t>
            </w:r>
          </w:p>
          <w:p w14:paraId="6F78AAFF" w14:textId="77777777" w:rsidR="00032E4E" w:rsidRPr="00826AF3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GB"/>
              </w:rPr>
            </w:pPr>
            <w:r w:rsidRPr="00200ABD">
              <w:rPr>
                <w:lang w:val="en-GB"/>
              </w:rPr>
              <w:t>Russian</w:t>
            </w:r>
            <w:r w:rsidRPr="00826AF3">
              <w:rPr>
                <w:lang w:val="en-GB"/>
              </w:rPr>
              <w:t xml:space="preserve"> </w:t>
            </w:r>
            <w:r w:rsidRPr="00826AF3">
              <w:rPr>
                <w:lang w:val="en-GB"/>
              </w:rPr>
              <w:br/>
            </w:r>
            <w:r w:rsidRPr="00200ABD">
              <w:rPr>
                <w:lang w:val="en-GB"/>
              </w:rPr>
              <w:t>Original</w:t>
            </w:r>
            <w:r w:rsidRPr="00826AF3">
              <w:rPr>
                <w:lang w:val="en-GB"/>
              </w:rPr>
              <w:t xml:space="preserve">: </w:t>
            </w:r>
            <w:r w:rsidRPr="00200ABD">
              <w:rPr>
                <w:lang w:val="en-GB"/>
              </w:rPr>
              <w:t>English</w:t>
            </w:r>
          </w:p>
        </w:tc>
      </w:tr>
    </w:tbl>
    <w:p w14:paraId="0C61A782" w14:textId="151C12A2" w:rsidR="002F42D1" w:rsidRPr="00A54CB9" w:rsidRDefault="008B6ECC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</w:rPr>
      </w:pPr>
      <w:r w:rsidRPr="00A54CB9">
        <w:rPr>
          <w:b/>
        </w:rPr>
        <w:t xml:space="preserve">Конференция Сторон </w:t>
      </w:r>
      <w:r w:rsidR="002F42D1" w:rsidRPr="00A54CB9">
        <w:rPr>
          <w:b/>
        </w:rPr>
        <w:t>Минаматск</w:t>
      </w:r>
      <w:r>
        <w:rPr>
          <w:b/>
        </w:rPr>
        <w:t>ой</w:t>
      </w:r>
      <w:r w:rsidR="002F42D1" w:rsidRPr="00A54CB9">
        <w:rPr>
          <w:b/>
        </w:rPr>
        <w:t xml:space="preserve"> конвенц</w:t>
      </w:r>
      <w:r w:rsidR="00A54CB9" w:rsidRPr="00A54CB9">
        <w:rPr>
          <w:b/>
        </w:rPr>
        <w:t>и</w:t>
      </w:r>
      <w:r>
        <w:rPr>
          <w:b/>
        </w:rPr>
        <w:t>и</w:t>
      </w:r>
      <w:r w:rsidR="002F42D1" w:rsidRPr="00A54CB9">
        <w:rPr>
          <w:b/>
        </w:rPr>
        <w:t xml:space="preserve"> о ртути</w:t>
      </w:r>
    </w:p>
    <w:p w14:paraId="17BE80BB" w14:textId="352B01DA" w:rsidR="00E976AB" w:rsidRPr="00A54CB9" w:rsidRDefault="002B66A7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</w:rPr>
      </w:pPr>
      <w:r>
        <w:rPr>
          <w:b/>
        </w:rPr>
        <w:t>Третье</w:t>
      </w:r>
      <w:r w:rsidRPr="00A54CB9">
        <w:rPr>
          <w:b/>
        </w:rPr>
        <w:t xml:space="preserve"> </w:t>
      </w:r>
      <w:r w:rsidR="00787688" w:rsidRPr="00A54CB9">
        <w:rPr>
          <w:b/>
        </w:rPr>
        <w:t>совещание</w:t>
      </w:r>
    </w:p>
    <w:p w14:paraId="025D4C98" w14:textId="0928F327" w:rsidR="00E976AB" w:rsidRDefault="00787688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</w:pPr>
      <w:r w:rsidRPr="00A54CB9">
        <w:t xml:space="preserve">Женева, </w:t>
      </w:r>
      <w:r w:rsidR="002B66A7">
        <w:t>25</w:t>
      </w:r>
      <w:r w:rsidR="00620245">
        <w:t>-</w:t>
      </w:r>
      <w:r w:rsidRPr="00A54CB9">
        <w:t>2</w:t>
      </w:r>
      <w:r w:rsidR="002B66A7">
        <w:t>9</w:t>
      </w:r>
      <w:r w:rsidRPr="00A54CB9">
        <w:t xml:space="preserve"> </w:t>
      </w:r>
      <w:r w:rsidR="00826AF3">
        <w:t>ноября</w:t>
      </w:r>
      <w:r w:rsidRPr="00A54CB9">
        <w:t xml:space="preserve"> 201</w:t>
      </w:r>
      <w:r w:rsidR="002B66A7">
        <w:t>9</w:t>
      </w:r>
      <w:r w:rsidRPr="00A54CB9">
        <w:t xml:space="preserve"> года</w:t>
      </w:r>
    </w:p>
    <w:p w14:paraId="1D9EA475" w14:textId="26C5868C" w:rsidR="00620245" w:rsidRDefault="00620245" w:rsidP="0062024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60"/>
      </w:pPr>
      <w:r>
        <w:t xml:space="preserve">Пункт </w:t>
      </w:r>
      <w:r w:rsidR="00676F7F" w:rsidRPr="00FF23CB">
        <w:t>5 j)</w:t>
      </w:r>
      <w:r>
        <w:t xml:space="preserve"> предварительной повестки дня</w:t>
      </w:r>
      <w:r w:rsidRPr="0070769D">
        <w:footnoteReference w:customMarkFollows="1" w:id="1"/>
        <w:sym w:font="Symbol" w:char="F02A"/>
      </w:r>
    </w:p>
    <w:p w14:paraId="6A17D167" w14:textId="37386B51" w:rsidR="00620245" w:rsidRPr="00676F7F" w:rsidRDefault="00676F7F" w:rsidP="00365B0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right="1701"/>
        <w:rPr>
          <w:b/>
        </w:rPr>
      </w:pPr>
      <w:r w:rsidRPr="00676F7F">
        <w:rPr>
          <w:b/>
        </w:rPr>
        <w:t>Вопросы для рассмотрения или принятия мер Конференцией Сторон: секретариат</w:t>
      </w:r>
      <w:r w:rsidR="002B66A7" w:rsidRPr="00676F7F">
        <w:rPr>
          <w:b/>
        </w:rPr>
        <w:t xml:space="preserve"> </w:t>
      </w:r>
    </w:p>
    <w:p w14:paraId="3115C062" w14:textId="557271F2" w:rsidR="009A7349" w:rsidRPr="00365B01" w:rsidRDefault="009A7349" w:rsidP="00365B0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320" w:after="240"/>
        <w:ind w:left="1247" w:right="567"/>
        <w:rPr>
          <w:b/>
          <w:bCs/>
          <w:sz w:val="28"/>
          <w:szCs w:val="28"/>
        </w:rPr>
      </w:pPr>
      <w:r w:rsidRPr="00365B01">
        <w:rPr>
          <w:b/>
          <w:bCs/>
          <w:sz w:val="28"/>
          <w:szCs w:val="28"/>
        </w:rPr>
        <w:t>Доклад о</w:t>
      </w:r>
      <w:r w:rsidR="003238CC">
        <w:rPr>
          <w:b/>
          <w:bCs/>
          <w:sz w:val="28"/>
          <w:szCs w:val="28"/>
        </w:rPr>
        <w:t>б</w:t>
      </w:r>
      <w:r w:rsidRPr="00365B01">
        <w:rPr>
          <w:b/>
          <w:bCs/>
          <w:sz w:val="28"/>
          <w:szCs w:val="28"/>
        </w:rPr>
        <w:t xml:space="preserve"> осуществлени</w:t>
      </w:r>
      <w:r w:rsidR="003238CC">
        <w:rPr>
          <w:b/>
          <w:bCs/>
          <w:sz w:val="28"/>
          <w:szCs w:val="28"/>
        </w:rPr>
        <w:t>и</w:t>
      </w:r>
      <w:r w:rsidRPr="00365B01">
        <w:rPr>
          <w:b/>
          <w:bCs/>
          <w:sz w:val="28"/>
          <w:szCs w:val="28"/>
        </w:rPr>
        <w:t xml:space="preserve"> основных мероприятий секретариата в межсессионный период</w:t>
      </w:r>
    </w:p>
    <w:p w14:paraId="2A824326" w14:textId="511479F8" w:rsidR="009A7349" w:rsidRPr="00365B01" w:rsidRDefault="009A7349" w:rsidP="009A73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bCs/>
          <w:sz w:val="24"/>
          <w:szCs w:val="24"/>
        </w:rPr>
      </w:pPr>
      <w:r w:rsidRPr="00365B01">
        <w:rPr>
          <w:b/>
          <w:bCs/>
          <w:sz w:val="24"/>
          <w:szCs w:val="24"/>
        </w:rPr>
        <w:tab/>
        <w:t>Записка секретариата</w:t>
      </w:r>
    </w:p>
    <w:p w14:paraId="6256D096" w14:textId="77777777" w:rsidR="009A7349" w:rsidRPr="00365B01" w:rsidRDefault="009A7349" w:rsidP="00365B01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bCs/>
          <w:sz w:val="28"/>
          <w:szCs w:val="28"/>
        </w:rPr>
      </w:pPr>
      <w:r w:rsidRPr="00365B01">
        <w:rPr>
          <w:b/>
          <w:bCs/>
          <w:sz w:val="28"/>
          <w:szCs w:val="28"/>
        </w:rPr>
        <w:tab/>
        <w:t>I.</w:t>
      </w:r>
      <w:r w:rsidRPr="00365B01">
        <w:rPr>
          <w:b/>
          <w:bCs/>
          <w:sz w:val="28"/>
          <w:szCs w:val="28"/>
        </w:rPr>
        <w:tab/>
        <w:t>Введение</w:t>
      </w:r>
    </w:p>
    <w:p w14:paraId="378CE4C8" w14:textId="1B2DDDAF" w:rsidR="009A7349" w:rsidRPr="00626DEF" w:rsidRDefault="00365B01" w:rsidP="00365B0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1247"/>
      </w:pPr>
      <w:r>
        <w:rPr>
          <w:lang w:val="en-GB"/>
        </w:rPr>
        <w:t>1.</w:t>
      </w:r>
      <w:r>
        <w:rPr>
          <w:lang w:val="en-GB"/>
        </w:rPr>
        <w:tab/>
      </w:r>
      <w:r w:rsidR="009A7349" w:rsidRPr="00626DEF">
        <w:t xml:space="preserve">В настоящем докладе кратко излагаются основные мероприятия, проведенные секретариатом Минаматской конвенции о ртути в межсессионный период после проведения второго совещания Конференции </w:t>
      </w:r>
      <w:r w:rsidR="00241135" w:rsidRPr="00626DEF">
        <w:t>Сторон</w:t>
      </w:r>
      <w:r w:rsidR="009A7349" w:rsidRPr="00626DEF">
        <w:t xml:space="preserve">, состоявшегося в Женеве в ноябре 2018 года. В докладе приводится обновленная информация о работе, проделанной секретариатом в связи с конференциями и совещаниями, и об успешных усилиях по осуществлению программы работы секретариата. В нем содержится обзор </w:t>
      </w:r>
      <w:r w:rsidR="00F029BD">
        <w:t xml:space="preserve">хода </w:t>
      </w:r>
      <w:r w:rsidR="009A7349" w:rsidRPr="00626DEF">
        <w:t xml:space="preserve">подготовки к третьему совещанию Конференции Сторон, поддержки, предоставленной для Бюро и Комитета по осуществлению и соблюдению (вспомогательного органа Конференции Сторон), межсессионной работы по техническим вопросам, решение по которым было принято Конференцией Сторон на ее втором совещании, поддержки осуществления Конвенции и различных другие мероприятий. </w:t>
      </w:r>
    </w:p>
    <w:p w14:paraId="3331A1C7" w14:textId="77777777" w:rsidR="009A7349" w:rsidRPr="00365B01" w:rsidRDefault="009A7349" w:rsidP="00365B01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bCs/>
          <w:sz w:val="28"/>
          <w:szCs w:val="28"/>
        </w:rPr>
      </w:pPr>
      <w:r w:rsidRPr="00365B01">
        <w:rPr>
          <w:b/>
          <w:bCs/>
          <w:sz w:val="28"/>
          <w:szCs w:val="28"/>
        </w:rPr>
        <w:tab/>
        <w:t>II.</w:t>
      </w:r>
      <w:r w:rsidRPr="00365B01">
        <w:rPr>
          <w:b/>
          <w:bCs/>
          <w:sz w:val="28"/>
          <w:szCs w:val="28"/>
        </w:rPr>
        <w:tab/>
        <w:t>Конференции и совещания</w:t>
      </w:r>
    </w:p>
    <w:p w14:paraId="12180FF6" w14:textId="77777777" w:rsidR="009A7349" w:rsidRPr="00365B01" w:rsidRDefault="009A7349" w:rsidP="00365B01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bCs/>
          <w:sz w:val="24"/>
          <w:szCs w:val="24"/>
        </w:rPr>
      </w:pPr>
      <w:r w:rsidRPr="00365B01">
        <w:rPr>
          <w:b/>
          <w:bCs/>
          <w:sz w:val="24"/>
          <w:szCs w:val="24"/>
        </w:rPr>
        <w:tab/>
        <w:t>A.</w:t>
      </w:r>
      <w:r w:rsidRPr="00365B01">
        <w:rPr>
          <w:b/>
          <w:bCs/>
          <w:sz w:val="24"/>
          <w:szCs w:val="24"/>
        </w:rPr>
        <w:tab/>
        <w:t>Третье совещание Конференции Сторон</w:t>
      </w:r>
    </w:p>
    <w:p w14:paraId="4028FA7A" w14:textId="68FA8A89" w:rsidR="009A7349" w:rsidRPr="00626DEF" w:rsidRDefault="00365B01" w:rsidP="009A73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rPr>
          <w:lang w:val="en-GB"/>
        </w:rPr>
        <w:t>2.</w:t>
      </w:r>
      <w:r>
        <w:rPr>
          <w:lang w:val="en-GB"/>
        </w:rPr>
        <w:tab/>
      </w:r>
      <w:r w:rsidR="009A7349" w:rsidRPr="00626DEF">
        <w:t xml:space="preserve">Секретариат занимается организацией третьего совещания Конференции Сторон Минаматской конвенции, которое состоится в Женеве с 25 по 29 ноября 2019 года. Подготовительные мероприятия включали многочисленные логистические и организационные задачи, в том числе связанные с местом проведения </w:t>
      </w:r>
      <w:r w:rsidR="00241135" w:rsidRPr="00626DEF">
        <w:t>Конференции</w:t>
      </w:r>
      <w:r w:rsidR="009A7349" w:rsidRPr="00626DEF">
        <w:t>, регистрацией участников и организацией поездок имеющих право на финансирование участников, а также сопутствующих мероприятий и других встреч. Секретариат продолжает готовить информацию для участников и наблюдателей и распространять информацию и обновленные данные о совещании на веб</w:t>
      </w:r>
      <w:r>
        <w:noBreakHyphen/>
      </w:r>
      <w:r w:rsidR="009A7349" w:rsidRPr="00626DEF">
        <w:t>сайте Минаматской конвенции на английском, испанском и французском языках, а также</w:t>
      </w:r>
      <w:r w:rsidR="006F3475">
        <w:t xml:space="preserve"> путем проведения</w:t>
      </w:r>
      <w:r w:rsidR="009A7349" w:rsidRPr="00626DEF">
        <w:t xml:space="preserve"> брифинг</w:t>
      </w:r>
      <w:r w:rsidR="006F3475">
        <w:t>ов</w:t>
      </w:r>
      <w:r w:rsidR="009A7349" w:rsidRPr="00626DEF">
        <w:t xml:space="preserve"> для различных аудиторий. </w:t>
      </w:r>
    </w:p>
    <w:p w14:paraId="7F1DF74E" w14:textId="463CDE18" w:rsidR="009A7349" w:rsidRPr="00626DEF" w:rsidRDefault="005526A1" w:rsidP="009A73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rPr>
          <w:lang w:val="en-GB"/>
        </w:rPr>
        <w:t>3.</w:t>
      </w:r>
      <w:r>
        <w:rPr>
          <w:lang w:val="en-GB"/>
        </w:rPr>
        <w:tab/>
      </w:r>
      <w:r w:rsidR="009A7349" w:rsidRPr="00626DEF">
        <w:t xml:space="preserve">Что касается вопросов существа, то секретариат осуществил </w:t>
      </w:r>
      <w:r w:rsidR="000C1CF9">
        <w:t>подготовку проектов</w:t>
      </w:r>
      <w:r w:rsidR="000C1CF9" w:rsidRPr="00626DEF">
        <w:t xml:space="preserve"> </w:t>
      </w:r>
      <w:r w:rsidR="009A7349" w:rsidRPr="00626DEF">
        <w:t xml:space="preserve">и координацию рабочих документов и информационных документов для совещания, включая мероприятия по </w:t>
      </w:r>
      <w:r w:rsidR="00533344">
        <w:t>организации взаимодействия</w:t>
      </w:r>
      <w:r w:rsidR="009A7349" w:rsidRPr="00626DEF">
        <w:t xml:space="preserve"> в целях обработки, редактирования и </w:t>
      </w:r>
      <w:r w:rsidR="00533344">
        <w:t xml:space="preserve">письменного </w:t>
      </w:r>
      <w:r w:rsidR="009A7349" w:rsidRPr="00626DEF">
        <w:t xml:space="preserve">перевода этих документов Отделом конференционного обслуживания Отделения Организации Объединенных Наций в Найроби. Подготовка значительного объема технических </w:t>
      </w:r>
      <w:r w:rsidR="009A7349" w:rsidRPr="00626DEF">
        <w:lastRenderedPageBreak/>
        <w:t>материалов для совещания, в частности рабочих и информационных документов, включала консультации с секретариатом Базельской, Роттердамской и Стокгольмской конвенций, различными отделами Программы Организации Объединенных Наций по окружающей среде (ЮНЕП), Сектором химических веществ и здравоохранения Отдела экономики ЮНЕП и различными другими партнерами и заинтересованными сторонами, по мере необходимости.</w:t>
      </w:r>
    </w:p>
    <w:p w14:paraId="3BA55523" w14:textId="3A8E1532" w:rsidR="009A7349" w:rsidRPr="00626DEF" w:rsidRDefault="005526A1" w:rsidP="009A73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rPr>
          <w:lang w:val="en-GB"/>
        </w:rPr>
        <w:t>4.</w:t>
      </w:r>
      <w:r>
        <w:rPr>
          <w:lang w:val="en-GB"/>
        </w:rPr>
        <w:tab/>
      </w:r>
      <w:r w:rsidR="009A7349" w:rsidRPr="00626DEF">
        <w:t>В соответствии с решением МК-2/7 о сотрудничестве между секретариатом Минаматской конвенции и секретариатом Базельской, Роттердамской и Стокгольмской конвенций, созданы механизмы для взаимного предоставления услуг в поддержку конференционного обслуживания и обслуживания заседаний третьего совещания Конференции Сторон, включая услуги в области материально-технического обеспечения до и в ходе совещания (координация процесса материально-технического обеспечения, организационные мероприятия в месте проведения, организация информационно-технологического обеспечения и обеспечение безбумажного формата заседаний и т.д.), управление участниками (регистрация и поездки) и контроль за документацией (сессионный документооборот и обработка документов). В документе UNEP/MC/COP.3/16 представлено предложение ЮНЕП о сотрудничестве между секретариатом Минаматской конвенции и секретариатом Базельской, Роттердамской и Стокгольмской конвенций в соответствии с решением MК-2/7. Кроме того, секретариат Базельской, Роттердамской и Стокгольмской конвенций и Сектор химических веществ и здравоохранения ЮНЕП на основе взаимности предоставят персонал для оказания поддержки секретариату Минаматской конвенции в проведении совещания, в частности в связи с деятельностью контактных групп. Правовой отдел ЮНЕП окажет поддержку, предоставив юрисконсульта в распоряжение участников совещания.</w:t>
      </w:r>
    </w:p>
    <w:p w14:paraId="50BFE579" w14:textId="77777777" w:rsidR="009A7349" w:rsidRPr="005526A1" w:rsidRDefault="009A7349" w:rsidP="00365B01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bCs/>
          <w:sz w:val="24"/>
          <w:szCs w:val="24"/>
        </w:rPr>
      </w:pPr>
      <w:r w:rsidRPr="005526A1">
        <w:rPr>
          <w:b/>
          <w:bCs/>
          <w:sz w:val="24"/>
          <w:szCs w:val="24"/>
        </w:rPr>
        <w:tab/>
        <w:t>B.</w:t>
      </w:r>
      <w:r w:rsidRPr="005526A1">
        <w:rPr>
          <w:b/>
          <w:bCs/>
          <w:sz w:val="24"/>
          <w:szCs w:val="24"/>
        </w:rPr>
        <w:tab/>
        <w:t>Бюро Конференции Сторон</w:t>
      </w:r>
    </w:p>
    <w:p w14:paraId="6CD330EA" w14:textId="3874A09A" w:rsidR="009A7349" w:rsidRPr="00626DEF" w:rsidRDefault="005526A1" w:rsidP="009A73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rPr>
          <w:lang w:val="en-GB"/>
        </w:rPr>
        <w:t>5.</w:t>
      </w:r>
      <w:r>
        <w:rPr>
          <w:lang w:val="en-GB"/>
        </w:rPr>
        <w:tab/>
      </w:r>
      <w:r w:rsidR="009A7349" w:rsidRPr="00626DEF">
        <w:t>Секретариат оказывает поддержку Председателю Конференции Сторон во всех вопросах существа, связанных с Конвенцией после второго совещания Конференции Сторон. Он содействует материально-техническому обеспечению и основным организационным мероприятиям двух совещаний Бюро Конференции Сторон, первое из которых состоялось в режиме телеконференции 29 января 2019 года, а второе, очное, совещание – в Женеве 26 апреля 2019 года. Основными целями этих совещаний были подведение итогов второго совещания Конференции Сторон в целях обеспечения надлежащего планирования ее третьего совещания, рассмотрение вопросов повестки дня третьего совещания Конференции Сторон и выработка руководящих указаний в отношении документов, а также обсуждение стратегических и политических вопросов. Доклады о совещаниях Бюро размещены на веб-сайте Конвенции</w:t>
      </w:r>
      <w:r w:rsidRPr="005526A1">
        <w:rPr>
          <w:vertAlign w:val="superscript"/>
        </w:rPr>
        <w:footnoteReference w:id="2"/>
      </w:r>
      <w:r w:rsidR="009A7349" w:rsidRPr="00626DEF">
        <w:t>. Секретариатом выполняются все решения Бюро и, в соответствующих случаях, принимаются последующие меры в связи с ними.</w:t>
      </w:r>
    </w:p>
    <w:p w14:paraId="7D0878AA" w14:textId="63A6B3D8" w:rsidR="009A7349" w:rsidRPr="00626DEF" w:rsidRDefault="005526A1" w:rsidP="009A73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rPr>
          <w:lang w:val="en-GB"/>
        </w:rPr>
        <w:t>6.</w:t>
      </w:r>
      <w:r>
        <w:rPr>
          <w:lang w:val="en-GB"/>
        </w:rPr>
        <w:tab/>
      </w:r>
      <w:r w:rsidR="009A7349" w:rsidRPr="00626DEF">
        <w:t xml:space="preserve">Следующее очное совещание Бюро планируется провести 28 и 29 сентября 2019 года в Бангкоке в увязке с третьим совещанием межсессионного процесса Стратегического подхода к международному регулированию химических веществ (СПМРХВ). Бюро также проведет свое </w:t>
      </w:r>
      <w:r w:rsidR="00710DD1">
        <w:t>совещание</w:t>
      </w:r>
      <w:r w:rsidR="009A7349" w:rsidRPr="00626DEF">
        <w:t xml:space="preserve"> 24 ноября, за день до начала третьего совещания Конференции Сторон, и в ходе этого совещания.</w:t>
      </w:r>
    </w:p>
    <w:p w14:paraId="490A151B" w14:textId="77777777" w:rsidR="009A7349" w:rsidRPr="005526A1" w:rsidRDefault="009A7349" w:rsidP="00365B01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bCs/>
          <w:sz w:val="24"/>
          <w:szCs w:val="24"/>
        </w:rPr>
      </w:pPr>
      <w:r w:rsidRPr="005526A1">
        <w:rPr>
          <w:b/>
          <w:bCs/>
          <w:sz w:val="24"/>
          <w:szCs w:val="24"/>
        </w:rPr>
        <w:tab/>
        <w:t>C.</w:t>
      </w:r>
      <w:r w:rsidRPr="005526A1">
        <w:rPr>
          <w:b/>
          <w:bCs/>
          <w:sz w:val="24"/>
          <w:szCs w:val="24"/>
        </w:rPr>
        <w:tab/>
        <w:t xml:space="preserve">Региональные совещания </w:t>
      </w:r>
    </w:p>
    <w:p w14:paraId="22D896AF" w14:textId="02933A8B" w:rsidR="009A7349" w:rsidRPr="00626DEF" w:rsidRDefault="005526A1" w:rsidP="009A73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rPr>
          <w:lang w:val="en-GB"/>
        </w:rPr>
        <w:t>7.</w:t>
      </w:r>
      <w:r>
        <w:rPr>
          <w:lang w:val="en-GB"/>
        </w:rPr>
        <w:tab/>
      </w:r>
      <w:r w:rsidR="009A7349" w:rsidRPr="00626DEF">
        <w:t>На своем первом совещании Конференция Сторон, в решении MК-1/15, о программе работы секретариата и предлагаемом бюджете на двухгодичный период 2018-2019 годов предусмотрела, что подготовительные совещания для второго и третьего совещаний Конференции Сторон будут финансироваться за счет добровольных взносов. Цель региональных подготовительных совещаний заключается в содействии успешному проведению совещаний Конференции Сторон в 2018 и 2019 годах путем предоставления регионам возможности консультироваться друг с другом до начала Конференции, рассматривать документы совещания, обсуждать вопросы существа, определять региональные приоритеты и задачи и подготавливать региональные позиции. Эти совещания повышают легитимность решений, принимаемых Конференцией Сторон, и поддерживают осуществление Конвенции на всех уровнях.</w:t>
      </w:r>
    </w:p>
    <w:p w14:paraId="6A19844C" w14:textId="03C80245" w:rsidR="009A7349" w:rsidRPr="00626DEF" w:rsidRDefault="005526A1" w:rsidP="009A73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rPr>
          <w:lang w:val="en-GB"/>
        </w:rPr>
        <w:t>8.</w:t>
      </w:r>
      <w:r>
        <w:rPr>
          <w:lang w:val="en-GB"/>
        </w:rPr>
        <w:tab/>
      </w:r>
      <w:r w:rsidR="009A7349" w:rsidRPr="00626DEF">
        <w:t>Председатель Конференции Сторон и Исполнительный секретарь направили два сообщения от 19 декабря 2018 года и 3 мая 2019 года</w:t>
      </w:r>
      <w:r w:rsidR="00710DD1">
        <w:t xml:space="preserve"> с целью </w:t>
      </w:r>
      <w:r w:rsidR="009A7349" w:rsidRPr="00626DEF">
        <w:t>мобилизаци</w:t>
      </w:r>
      <w:r w:rsidR="00710DD1">
        <w:t>и</w:t>
      </w:r>
      <w:r w:rsidR="009A7349" w:rsidRPr="00626DEF">
        <w:t xml:space="preserve"> средств для организации региональных совещаний в рамках подготовки к третьему совещанию Конференции. Они также провели многочисленные двусторонние консультации с донорами по </w:t>
      </w:r>
      <w:r w:rsidR="009A7349" w:rsidRPr="00626DEF">
        <w:lastRenderedPageBreak/>
        <w:t>этому вопросу. К настоящему времени добровольные взносы поступили от Австрии, Норвегии, Швеции и Японии. При условии надлежащего финансирования региональные совещания, как ожидается, пройдут следующим образом:</w:t>
      </w:r>
    </w:p>
    <w:p w14:paraId="6FF557CF" w14:textId="3D7BF7A7" w:rsidR="009A7349" w:rsidRPr="00626DEF" w:rsidRDefault="00100DC5" w:rsidP="00100DC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>
        <w:rPr>
          <w:lang w:val="en-GB"/>
        </w:rPr>
        <w:t>a)</w:t>
      </w:r>
      <w:r>
        <w:rPr>
          <w:lang w:val="en-GB"/>
        </w:rPr>
        <w:tab/>
      </w:r>
      <w:r w:rsidRPr="00626DEF">
        <w:t xml:space="preserve">для </w:t>
      </w:r>
      <w:r w:rsidR="009A7349" w:rsidRPr="00626DEF">
        <w:t>Азии и Тихого океана – 7-8 октября 2019 года (место проведения: будет подтверждено позднее);</w:t>
      </w:r>
    </w:p>
    <w:p w14:paraId="3236983C" w14:textId="6B4BADB8" w:rsidR="009A7349" w:rsidRPr="00626DEF" w:rsidRDefault="00100DC5" w:rsidP="00100DC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>
        <w:rPr>
          <w:lang w:val="en-GB"/>
        </w:rPr>
        <w:t>b)</w:t>
      </w:r>
      <w:r>
        <w:rPr>
          <w:lang w:val="en-GB"/>
        </w:rPr>
        <w:tab/>
      </w:r>
      <w:r w:rsidRPr="00626DEF">
        <w:t xml:space="preserve">для </w:t>
      </w:r>
      <w:r w:rsidR="009A7349" w:rsidRPr="00626DEF">
        <w:t>Африки – 15 и 16 октября 2019 года (место проведения: Аккра);</w:t>
      </w:r>
    </w:p>
    <w:p w14:paraId="737B0F55" w14:textId="677E1E76" w:rsidR="009A7349" w:rsidRPr="00626DEF" w:rsidRDefault="00100DC5" w:rsidP="00100DC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>
        <w:rPr>
          <w:lang w:val="en-GB"/>
        </w:rPr>
        <w:t>c)</w:t>
      </w:r>
      <w:r>
        <w:rPr>
          <w:lang w:val="en-GB"/>
        </w:rPr>
        <w:tab/>
      </w:r>
      <w:r w:rsidR="009A7349" w:rsidRPr="00626DEF">
        <w:t>для региона Центральной и Восточной Европы и Центральной Азии – 22 и 23</w:t>
      </w:r>
      <w:r w:rsidR="00580BDD">
        <w:rPr>
          <w:lang w:val="en-GB"/>
        </w:rPr>
        <w:t> </w:t>
      </w:r>
      <w:r w:rsidR="009A7349" w:rsidRPr="00626DEF">
        <w:t>октября 2019 года (место проведения: Таллин);</w:t>
      </w:r>
    </w:p>
    <w:p w14:paraId="53083267" w14:textId="1C4F441B" w:rsidR="009A7349" w:rsidRPr="00626DEF" w:rsidRDefault="00100DC5" w:rsidP="00100DC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>
        <w:rPr>
          <w:lang w:val="en-GB"/>
        </w:rPr>
        <w:t>d)</w:t>
      </w:r>
      <w:r>
        <w:rPr>
          <w:lang w:val="en-GB"/>
        </w:rPr>
        <w:tab/>
      </w:r>
      <w:r w:rsidRPr="00626DEF">
        <w:t xml:space="preserve">для </w:t>
      </w:r>
      <w:r w:rsidR="009A7349" w:rsidRPr="00626DEF">
        <w:t>Латинской Америки и Карибского бассейна – 29 и 30 октября 2019 года (место проведения: будет подтверждено позднее).</w:t>
      </w:r>
    </w:p>
    <w:p w14:paraId="7C828370" w14:textId="064D225C" w:rsidR="009A7349" w:rsidRPr="00626DEF" w:rsidRDefault="00100DC5" w:rsidP="00100DC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1247"/>
      </w:pPr>
      <w:r>
        <w:rPr>
          <w:lang w:val="en-GB"/>
        </w:rPr>
        <w:t>9.</w:t>
      </w:r>
      <w:r>
        <w:rPr>
          <w:lang w:val="en-GB"/>
        </w:rPr>
        <w:tab/>
      </w:r>
      <w:r w:rsidR="009A7349" w:rsidRPr="00626DEF">
        <w:t>Предварительные повестки дня для каждой региональной консультации будут подготовлены в сотрудничестве с членами Бюро, представляющими в нем соответствующие регионы. Секретариат организует региональные консультации в сотрудничестве с региональными и координационными центрами Базельской конвенции о контроле за трансграничной перевозкой опасных отходов и их удалением и Стокгольмской конвенции о стойких органических загрязнителях в целях организации материально-технического обеспечения и поездок участников. В соответствии с установившейся практикой секретариату Базельской, Роттердамской и Стокгольмской конвенций и секретариату Стратегического подхода к международному регулированию химических веществ в целях обеспечения максимального обмена информацией, сотрудничества и взаимодействия в рамках тематического блока вопросов, касающихся химических веществ и отходов, будет предложено провести информационные сессии по их соответствующим вопросам в увязке с региональными консультациями.</w:t>
      </w:r>
    </w:p>
    <w:p w14:paraId="35F960B7" w14:textId="77777777" w:rsidR="009A7349" w:rsidRPr="00365B01" w:rsidRDefault="009A7349" w:rsidP="00365B01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bCs/>
          <w:sz w:val="28"/>
          <w:szCs w:val="28"/>
        </w:rPr>
      </w:pPr>
      <w:r w:rsidRPr="00365B01">
        <w:rPr>
          <w:b/>
          <w:bCs/>
          <w:sz w:val="28"/>
          <w:szCs w:val="28"/>
        </w:rPr>
        <w:tab/>
        <w:t>III.</w:t>
      </w:r>
      <w:r w:rsidRPr="00365B01">
        <w:rPr>
          <w:b/>
          <w:bCs/>
          <w:sz w:val="28"/>
          <w:szCs w:val="28"/>
        </w:rPr>
        <w:tab/>
        <w:t xml:space="preserve">Межсессионная работа, испрошенная Конференцией Сторон на ее втором совещании </w:t>
      </w:r>
    </w:p>
    <w:p w14:paraId="3B001E3A" w14:textId="16ACCF29" w:rsidR="009A7349" w:rsidRPr="00626DEF" w:rsidRDefault="00100DC5" w:rsidP="009A73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rPr>
          <w:lang w:val="en-GB"/>
        </w:rPr>
        <w:t>10.</w:t>
      </w:r>
      <w:r>
        <w:rPr>
          <w:lang w:val="en-GB"/>
        </w:rPr>
        <w:tab/>
      </w:r>
      <w:r w:rsidR="009A7349" w:rsidRPr="00626DEF">
        <w:t xml:space="preserve">На своем втором совещании Конференция Сторон </w:t>
      </w:r>
      <w:r w:rsidR="00470A52">
        <w:t>поручила</w:t>
      </w:r>
      <w:r w:rsidR="00470A52" w:rsidRPr="00626DEF">
        <w:t xml:space="preserve"> </w:t>
      </w:r>
      <w:r w:rsidR="009A7349" w:rsidRPr="00626DEF">
        <w:t>секретариат</w:t>
      </w:r>
      <w:r w:rsidR="00470A52">
        <w:t>у</w:t>
      </w:r>
      <w:r w:rsidR="009A7349" w:rsidRPr="00626DEF">
        <w:t xml:space="preserve"> запросить материалы и провести мероприятия по ряду вопросов, изложенных в решениях, принятых на этом совещании. По некоторым пунктам повестки дня Сторонам и другим заинтересованным субъектам было предложено представить материалы, а по другим пунктам через членов Бюро Конференции Сторон, представляющих соответствующие регионы Организации Объединенных Наций, было предложено выдвинуть кандидатуры. Секретариат координировал работу групп экспертов по выбросам, пороговым уровням для ртутных отходов и оценке эффективности и подготовил соответствующие документы совещания. Он также координировал представления по следующим направлениям: руководство по загрязненным участкам; создание потенциала, техническое содействие и передач</w:t>
      </w:r>
      <w:r w:rsidR="00FC7090">
        <w:t>а</w:t>
      </w:r>
      <w:r w:rsidR="009A7349" w:rsidRPr="00626DEF">
        <w:t xml:space="preserve"> технологии; Целевая международная программа для поддержки процессов создания потенциала и оказания технической помощи; обзор механизма</w:t>
      </w:r>
      <w:r w:rsidR="009A409B">
        <w:t xml:space="preserve"> финансирования</w:t>
      </w:r>
      <w:r w:rsidR="009A7349" w:rsidRPr="00626DEF">
        <w:t xml:space="preserve">; и выбросы ртути в результате открытого сжигания отходов. Представления в секретариат размещены на веб-сайте Минаматской конвенции. </w:t>
      </w:r>
    </w:p>
    <w:p w14:paraId="0E94776E" w14:textId="2A9C928F" w:rsidR="009A7349" w:rsidRPr="00626DEF" w:rsidRDefault="00100DC5" w:rsidP="009A73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rPr>
          <w:lang w:val="en-GB"/>
        </w:rPr>
        <w:t>11.</w:t>
      </w:r>
      <w:r>
        <w:rPr>
          <w:lang w:val="en-GB"/>
        </w:rPr>
        <w:tab/>
      </w:r>
      <w:r w:rsidR="009A7349" w:rsidRPr="00626DEF">
        <w:t xml:space="preserve">В соответствии с </w:t>
      </w:r>
      <w:r w:rsidR="00D51D78">
        <w:t>планом действий</w:t>
      </w:r>
      <w:r w:rsidR="009A7349" w:rsidRPr="00626DEF">
        <w:t>, принят</w:t>
      </w:r>
      <w:r w:rsidR="00D51D78">
        <w:t>ым</w:t>
      </w:r>
      <w:r w:rsidR="009A7349" w:rsidRPr="00626DEF">
        <w:t xml:space="preserve"> </w:t>
      </w:r>
      <w:r w:rsidR="00CC4510">
        <w:t>в</w:t>
      </w:r>
      <w:r w:rsidR="009A7349" w:rsidRPr="00626DEF">
        <w:t xml:space="preserve"> решени</w:t>
      </w:r>
      <w:r w:rsidR="00CC4510">
        <w:t>и</w:t>
      </w:r>
      <w:r w:rsidR="009A7349" w:rsidRPr="00626DEF">
        <w:t xml:space="preserve"> МК-2/10, секретариат оказал поддержку работе специальной технической группы экспертов по оценке эффективности. После полного формирования группы экспертов секретариат организовал в Женеве 8-12 апреля 2019 года очное совещание группы экспертов. На этом совещании группа экспертов обсудила пункты, определенные Конференцией Сторон, в целях дальнейшей разработки проекта своего доклада. После совещания секретариат продолжал оказывать поддержку группе экспертов в ее подготовке проекта доклада с помощью электронных средств. После подготовки проекта доклада он был опубликован для всеобщего обсуждения. После этого секретариат обобщил замечания по оценке эффективности и оказал поддержку сопредседателям и группе в завершении подготовки доклада для включения в документацию третьего совещания Конференции Сторон в соответствии с программой работы, установленной Конференцией Сторон в </w:t>
      </w:r>
      <w:r w:rsidR="00D51D78">
        <w:t>плане действий</w:t>
      </w:r>
      <w:r w:rsidR="009A7349" w:rsidRPr="00626DEF">
        <w:t xml:space="preserve">. С дополнительной информацией можно ознакомиться в документе UNEP/MC/COP.3/14. </w:t>
      </w:r>
    </w:p>
    <w:p w14:paraId="70B68110" w14:textId="465CD9F2" w:rsidR="009A7349" w:rsidRPr="00626DEF" w:rsidRDefault="00100DC5" w:rsidP="009A73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rPr>
          <w:lang w:val="en-GB"/>
        </w:rPr>
        <w:t>12.</w:t>
      </w:r>
      <w:r>
        <w:rPr>
          <w:lang w:val="en-GB"/>
        </w:rPr>
        <w:tab/>
      </w:r>
      <w:r w:rsidR="009A7349" w:rsidRPr="00626DEF">
        <w:t>Секретариатом было организовано первое совещание Комитета по осуществлению и соблюдению, состоявшееся в Женеве 3-4 июня 2019 года, включая его полное материально</w:t>
      </w:r>
      <w:r>
        <w:noBreakHyphen/>
      </w:r>
      <w:r w:rsidR="009A7349" w:rsidRPr="00626DEF">
        <w:t>техническое обеспечение, подготовку документов совещания и оказание поддержки Председателю и заместителю Председателя в ходе обсуждений в Комитете и подготовки доклада о работе совещания. Доклад о работе второго совещания Комитета имеется в документе UNEP/MC/COP.3/13.</w:t>
      </w:r>
    </w:p>
    <w:p w14:paraId="2482354E" w14:textId="16485660" w:rsidR="009A7349" w:rsidRPr="00626DEF" w:rsidRDefault="00100DC5" w:rsidP="009A73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rPr>
          <w:lang w:val="en-GB"/>
        </w:rPr>
        <w:t>13.</w:t>
      </w:r>
      <w:r>
        <w:rPr>
          <w:lang w:val="en-GB"/>
        </w:rPr>
        <w:tab/>
      </w:r>
      <w:r w:rsidR="009A7349" w:rsidRPr="00626DEF">
        <w:t>В решении МК-2/9</w:t>
      </w:r>
      <w:r w:rsidR="002F2608">
        <w:t xml:space="preserve"> о кодах Гармонизированной системы</w:t>
      </w:r>
      <w:r w:rsidR="009A7349" w:rsidRPr="00626DEF">
        <w:t xml:space="preserve"> Конференция Сторон просила секретариат в сотрудничестве с Партнерством по продуктам и в консультации с соответствующими организациями предложить подходы в отношении таможенных кодов в целях определения и разграничения продуктов без добавления ртути и продуктов с добавлением ртути, перечисленных в приложении А к Конвенции, включая подходы к их возможному согласованию. Проект доклада координировался секретариатом в консультации с Партнерством по продуктам и 31 мая 2019</w:t>
      </w:r>
      <w:r>
        <w:rPr>
          <w:lang w:val="en-GB"/>
        </w:rPr>
        <w:t> </w:t>
      </w:r>
      <w:r w:rsidR="009A7349" w:rsidRPr="00626DEF">
        <w:t>года был направлен партнерам Партнерства по продуктам для окончательной доработки и рассмотрения. Пересмотренный проект доклада был размещен на веб-сайте Минаматской конвенции для представления Сторонами и другими заинтересованными субъектами замечаний к 1 августа 2019 года, включая информацию о текущем использовании таможенного кода в отношении продуктов с добавлением ртути. Секретариату было поручено учесть полученные замечания и доработать этот документ</w:t>
      </w:r>
      <w:r w:rsidR="00B67021">
        <w:t xml:space="preserve">, который содержится в документе </w:t>
      </w:r>
      <w:r w:rsidR="009A7349" w:rsidRPr="00626DEF">
        <w:t>UNEP/MC/COP.3/5. Справочная информация о подходах к таможенным кодам изложена в документе UNEP/MC/COP.3/INF/12.</w:t>
      </w:r>
    </w:p>
    <w:p w14:paraId="3243B9CB" w14:textId="52FD6A6D" w:rsidR="009A7349" w:rsidRPr="00626DEF" w:rsidRDefault="00100DC5" w:rsidP="009A73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rPr>
          <w:lang w:val="en-GB"/>
        </w:rPr>
        <w:t>14.</w:t>
      </w:r>
      <w:r>
        <w:rPr>
          <w:lang w:val="en-GB"/>
        </w:rPr>
        <w:tab/>
      </w:r>
      <w:r w:rsidR="009A7349" w:rsidRPr="00626DEF">
        <w:t>В соответствии с решением МК-2/3</w:t>
      </w:r>
      <w:r w:rsidR="00B67021">
        <w:t xml:space="preserve"> о высвобождениях</w:t>
      </w:r>
      <w:r w:rsidR="009A7349" w:rsidRPr="00626DEF">
        <w:t xml:space="preserve"> была учреждена группа технических экспертов по руководящим указаниям в отношении вы</w:t>
      </w:r>
      <w:r w:rsidR="009249FD">
        <w:t>свобождений</w:t>
      </w:r>
      <w:r w:rsidR="009A7349" w:rsidRPr="00626DEF">
        <w:t xml:space="preserve"> ртути для подготовки доклада об определении значительных антропогенных точечных источников категорий выбросов, не охватываемых положениями Конвенции, помимо статьи 9, для рассмотрения Конференцией Сторон на ее третьем совещании. Группа работала в электронном формате, в том числе с помощью телеконференций, проводимых при содействии секретариата. Сторонам и другим заинтересованным субъектам было предложено представить информацию, касающуюся определения соответствующих категорий точечных источников выбросов, до 15 февраля 2019</w:t>
      </w:r>
      <w:r w:rsidR="0029665F">
        <w:rPr>
          <w:lang w:val="en-GB"/>
        </w:rPr>
        <w:t> </w:t>
      </w:r>
      <w:r w:rsidR="009A7349" w:rsidRPr="00626DEF">
        <w:t>года. Проект доклада группы технических экспертов, подготовленный на основе обсуждений, состоявшихся в ходе ее двух телеконференций, был размещен на веб-сайте Конвенции 15 мая 2019 года, и Сторонам, сигнатариям и другим заинтересованным субъектам было предложено представить свои замечания к 15 июня 2019 года. Затем группа технических экспертов завершила подготовку доклада (UNEP/MC/COP.3/6), приняв во внимание полученные замечания.</w:t>
      </w:r>
    </w:p>
    <w:p w14:paraId="6B3B6D05" w14:textId="46331D8F" w:rsidR="009A7349" w:rsidRPr="00626DEF" w:rsidRDefault="0029665F" w:rsidP="009A73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rPr>
          <w:lang w:val="en-GB"/>
        </w:rPr>
        <w:t>15.</w:t>
      </w:r>
      <w:r>
        <w:rPr>
          <w:lang w:val="en-GB"/>
        </w:rPr>
        <w:tab/>
      </w:r>
      <w:r w:rsidR="009A7349" w:rsidRPr="00626DEF">
        <w:t>В соответствии с решением МК-2/2 была учреждена группа технических экспертов по пороговым значениям ртутных отходов для работы над рядом технических вопросов, касающихся установления пороговых значений для ртутных отходов в соответствии со статьей</w:t>
      </w:r>
      <w:r w:rsidR="00D51D78">
        <w:t> </w:t>
      </w:r>
      <w:r w:rsidR="009A7349" w:rsidRPr="00626DEF">
        <w:t>11, для рассмотрения Конференцией Сторон на ее третьем совещании. Сторонам и другим заинтересованным субъектам было предложено представить соответствующую информацию до 15 февраля 2019 года. Группа технических экспертов провела совещание в Осаке, Япония, 27</w:t>
      </w:r>
      <w:r>
        <w:noBreakHyphen/>
      </w:r>
      <w:r w:rsidR="009A7349" w:rsidRPr="00626DEF">
        <w:t>29 мая 2019 года. Секретариат оказал поддержку сопредседателям и группе в подготовке к совещанию и в последующей деятельности по итогам совещания в целях окончательной доработки доклада в сотрудничестве с Международным центром природоохранных технологий ЮНЕП. Доклад группы содержится в документе UNEP/MC/COP.3/7.</w:t>
      </w:r>
    </w:p>
    <w:p w14:paraId="61D25592" w14:textId="19D3714A" w:rsidR="009A7349" w:rsidRPr="00626DEF" w:rsidRDefault="0029665F" w:rsidP="009A73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rPr>
          <w:lang w:val="en-GB"/>
        </w:rPr>
        <w:t>16.</w:t>
      </w:r>
      <w:r>
        <w:rPr>
          <w:lang w:val="en-GB"/>
        </w:rPr>
        <w:tab/>
      </w:r>
      <w:r w:rsidR="007B1C13" w:rsidRPr="00626DEF">
        <w:t xml:space="preserve">В </w:t>
      </w:r>
      <w:r w:rsidR="007B1C13" w:rsidRPr="00626DEF">
        <w:t>соответствии с решением МК-2/8</w:t>
      </w:r>
      <w:r w:rsidR="007B1C13">
        <w:t xml:space="preserve"> о </w:t>
      </w:r>
      <w:r w:rsidR="0052418A" w:rsidRPr="0052418A">
        <w:t>регулирования участков, загрязненных ртутью и ртутными соединениями</w:t>
      </w:r>
      <w:r w:rsidR="0052418A">
        <w:t>,</w:t>
      </w:r>
      <w:r w:rsidR="007B1C13" w:rsidRPr="00626DEF">
        <w:t xml:space="preserve"> </w:t>
      </w:r>
      <w:r w:rsidR="007B1C13" w:rsidRPr="00626DEF">
        <w:t xml:space="preserve">секретариат </w:t>
      </w:r>
      <w:r w:rsidR="009A7349" w:rsidRPr="00626DEF">
        <w:t>предложил Сторонам и другим заинтересованным субъектам представить до 15 февраля 2019 года замечания и информацию в целях дополнения и дальнейшего совершенствования проекта руководящих указаний по загрязненным участкам, представленного Конференции Сторон на ее втором совещании. Пересмотренный проект руководящих указаний, подготовленный секретариатом с учетом этих представлений, был размещен на веб-сайте Конвенции, и экспертам, назначенным в соответствии с решением</w:t>
      </w:r>
      <w:r w:rsidR="0052418A">
        <w:t> </w:t>
      </w:r>
      <w:r w:rsidR="009A7349" w:rsidRPr="00626DEF">
        <w:t>МК</w:t>
      </w:r>
      <w:r w:rsidR="0052418A">
        <w:noBreakHyphen/>
      </w:r>
      <w:r w:rsidR="009A7349" w:rsidRPr="00626DEF">
        <w:t>1/20, Сторонам и другим заинтересованным субъектам было предложено представить замечания к 21 июня 2019 года. Затем секретариат пересмотрел проект, приняв во внимание представленные замечания и в консультации с экспертами посредством телеконференции и электронного сообщения. Проект руководящих указаний приводится в документе UNEP/MC/COP.3/8.</w:t>
      </w:r>
    </w:p>
    <w:p w14:paraId="5D29AC83" w14:textId="1121361E" w:rsidR="009A7349" w:rsidRPr="00626DEF" w:rsidRDefault="0029665F" w:rsidP="009A73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rPr>
          <w:lang w:val="en-GB"/>
        </w:rPr>
        <w:t>17.</w:t>
      </w:r>
      <w:r>
        <w:rPr>
          <w:lang w:val="en-GB"/>
        </w:rPr>
        <w:tab/>
      </w:r>
      <w:r w:rsidR="009A7349" w:rsidRPr="00626DEF">
        <w:t xml:space="preserve">На своем втором совещании Конференция Сторон просила секретариат скомпилировать информацию, которая будет представлена Глобальным экологическим фондом (ГЭФ), Целевой международной программой, </w:t>
      </w:r>
      <w:r w:rsidR="00D342E5" w:rsidRPr="00626DEF">
        <w:t xml:space="preserve">Сторонами </w:t>
      </w:r>
      <w:r w:rsidR="009A7349" w:rsidRPr="00626DEF">
        <w:t>и другими соответствующими источниками и которая была определена в пункте 11 статьи 13</w:t>
      </w:r>
      <w:r w:rsidR="0052418A">
        <w:t xml:space="preserve"> Конвенции</w:t>
      </w:r>
      <w:r w:rsidR="009A7349" w:rsidRPr="00626DEF">
        <w:t xml:space="preserve"> в качестве необходимой для обзора механизма </w:t>
      </w:r>
      <w:r w:rsidR="00F132DD">
        <w:t xml:space="preserve">финансирования </w:t>
      </w:r>
      <w:r w:rsidR="009A7349" w:rsidRPr="00626DEF">
        <w:t>(UNEP/MC/COP.2/19, пункт 120). В письме Исполнительного секретаря от 3</w:t>
      </w:r>
      <w:r w:rsidR="00BD3491">
        <w:rPr>
          <w:lang w:val="en-GB"/>
        </w:rPr>
        <w:t> </w:t>
      </w:r>
      <w:r w:rsidR="009A7349" w:rsidRPr="00626DEF">
        <w:t xml:space="preserve">декабря 2018 года </w:t>
      </w:r>
      <w:r w:rsidR="00D342E5" w:rsidRPr="00626DEF">
        <w:t xml:space="preserve">Сторонам </w:t>
      </w:r>
      <w:r w:rsidR="009A7349" w:rsidRPr="00626DEF">
        <w:t>и другим заинтересованным субъектам было предложено представить до 31 мая 2019 года информацию, касающуюся уровня финансирования, руководящие указания Конференции Сторон в адрес органов, которым поручено обеспечить работоспособность механизма</w:t>
      </w:r>
      <w:r w:rsidR="00EA2032">
        <w:t xml:space="preserve"> финансирования</w:t>
      </w:r>
      <w:r w:rsidR="009A7349" w:rsidRPr="00626DEF">
        <w:t>, а также эффективности этих органов и их способности удовлетворять изменяющиеся потребности Сторон, являющихся развивающимися странами и странами с переходной экономикой. Исполнительный секретарь также направил 16</w:t>
      </w:r>
      <w:r w:rsidR="00BE51AD">
        <w:rPr>
          <w:lang w:val="en-GB"/>
        </w:rPr>
        <w:t> </w:t>
      </w:r>
      <w:r w:rsidR="009A7349" w:rsidRPr="00626DEF">
        <w:t>апреля 2019 года письмо Главному административному сотруднику и Председателю ГЭФ с просьбой представить соответствующую информацию, которая была получена от ГЭФ 29 мая 2019 года. Обобщенная информация представлена в документе UNEP/MC/COP.3/11. Общие доклады о механизме</w:t>
      </w:r>
      <w:r w:rsidR="00476A4B">
        <w:t xml:space="preserve"> финансирования</w:t>
      </w:r>
      <w:r w:rsidR="009A7349" w:rsidRPr="00626DEF">
        <w:t>, представленные ГЭФ и Целевой международной программой, содержатся</w:t>
      </w:r>
      <w:r w:rsidR="00EE4408">
        <w:t xml:space="preserve"> </w:t>
      </w:r>
      <w:r w:rsidR="009A7349" w:rsidRPr="00626DEF">
        <w:t>в документах UNEP/MC/COP.3/9</w:t>
      </w:r>
      <w:r w:rsidR="00EE4408">
        <w:t xml:space="preserve">, </w:t>
      </w:r>
      <w:r w:rsidR="009A7349" w:rsidRPr="00626DEF">
        <w:t>UNEP/MC/COP.3/10</w:t>
      </w:r>
      <w:r w:rsidR="00EE4408">
        <w:t xml:space="preserve"> и </w:t>
      </w:r>
      <w:r w:rsidR="00EE4408" w:rsidRPr="00076075">
        <w:t>UNEP/MC/COP.3/10</w:t>
      </w:r>
      <w:r w:rsidR="00EE4408">
        <w:t>/Add.1</w:t>
      </w:r>
      <w:r w:rsidR="009A7349" w:rsidRPr="00626DEF">
        <w:t>.</w:t>
      </w:r>
    </w:p>
    <w:p w14:paraId="22CBFBB4" w14:textId="2926B68A" w:rsidR="009A7349" w:rsidRPr="00626DEF" w:rsidRDefault="0029665F" w:rsidP="009A73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rPr>
          <w:lang w:val="en-GB"/>
        </w:rPr>
        <w:t>18.</w:t>
      </w:r>
      <w:r>
        <w:rPr>
          <w:lang w:val="en-GB"/>
        </w:rPr>
        <w:tab/>
      </w:r>
      <w:r w:rsidR="009A7349" w:rsidRPr="00626DEF">
        <w:t>В решении МК-2/11 Конференция Сторон поручила секретариату собрать информацию, полученную от существующих региональных, субрегиональных и национальных механизмов, об их деятельности по созданию потенциала и оказанию технической помощи в целях оказания поддержки Сторонам в выполнении их обязательств по Минаматской конвенции. В письме Исполнительного секретаря от 3 декабря 2018 года Сторонам и другим заинтересованным субъектам было предложено представить соответствующую информацию. Полученная информация обобщена в документах UNEP/MC/COP.3/12 и UNEP/MC/COP.3/INF/14.</w:t>
      </w:r>
    </w:p>
    <w:p w14:paraId="0683E144" w14:textId="44CF62A5" w:rsidR="009A7349" w:rsidRPr="00626DEF" w:rsidRDefault="0029665F" w:rsidP="009A73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rPr>
          <w:lang w:val="en-GB"/>
        </w:rPr>
        <w:t>19.</w:t>
      </w:r>
      <w:r>
        <w:rPr>
          <w:lang w:val="en-GB"/>
        </w:rPr>
        <w:tab/>
      </w:r>
      <w:r w:rsidR="009A7349" w:rsidRPr="00626DEF">
        <w:t>На своем втором совещании Конференция Сторон также просила секретариат продолжать сбор и распространение информации, касающейся выбросов ртути в результате открытого сжигания отходов. В письме Исполнительного секретаря от 3 декабря 2018 года Сторонам и другим заинтересованным субъектам было предложено представить соответствующую информацию, которая была отражена секретариатом в документе UNEP/MC/COP.3/17.</w:t>
      </w:r>
    </w:p>
    <w:p w14:paraId="0C659C03" w14:textId="09BFF586" w:rsidR="009A7349" w:rsidRPr="00626DEF" w:rsidRDefault="0029665F" w:rsidP="009A73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rPr>
          <w:lang w:val="en-GB"/>
        </w:rPr>
        <w:t>20.</w:t>
      </w:r>
      <w:r>
        <w:rPr>
          <w:lang w:val="en-GB"/>
        </w:rPr>
        <w:tab/>
      </w:r>
      <w:r w:rsidR="009A7349" w:rsidRPr="00626DEF">
        <w:t xml:space="preserve">Секретариат также предоставлял научно-технические консультации Сторонам по их просьбе. Помимо ответов на многочисленные вопросы Сторон и других заинтересованных субъектов по электронной почте и телефону, это предусматривало участие представителей секретариата в ряде технических совещаний, таких как финансируемое ГЭФ консультативное совещание экспертов по мониторингу ртути, состоявшееся 13 и 14 мая 2019 года в Монако; совещание по наилучшим имеющимся методам, состоявшееся в Берлине 14-16 мая 2019 года; практикум по продуктам с добавлением ртути, финансируемый Азиатско-Тихоокеанским экономическим сотрудничеством, который был проведен в Винья-дель-Мар, Чили, 9-11 июля 2019 года; и региональный практикум на тему «Определение пути вперед: уроки, извлеченные при разработке национальных планов действий по сокращению использования ртути в кустарной и мелкомасштабной золотодобыче», состоявшийся в Манзини, Эсватини, 22 и 23 мая 2019 года. </w:t>
      </w:r>
    </w:p>
    <w:p w14:paraId="311EDC4F" w14:textId="61A7D068" w:rsidR="009A7349" w:rsidRPr="00626DEF" w:rsidRDefault="00674C83" w:rsidP="00674C8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1247"/>
      </w:pPr>
      <w:r>
        <w:rPr>
          <w:lang w:val="en-GB"/>
        </w:rPr>
        <w:t>21.</w:t>
      </w:r>
      <w:r>
        <w:rPr>
          <w:lang w:val="en-GB"/>
        </w:rPr>
        <w:tab/>
      </w:r>
      <w:r w:rsidR="009A7349" w:rsidRPr="00626DEF">
        <w:t>Секретариат совместно с Международным центром природоохранных технологий и министерством окружающей среды Японии организовал, при финансировании Японии, 30 и 31</w:t>
      </w:r>
      <w:r>
        <w:rPr>
          <w:lang w:val="en-GB"/>
        </w:rPr>
        <w:t> </w:t>
      </w:r>
      <w:r w:rsidR="009A7349" w:rsidRPr="00626DEF">
        <w:t xml:space="preserve">мая 2019 года в Осаке, Япония, параллельно с совещанием группы технических экспертов по пороговым значениям ртутных отходов, </w:t>
      </w:r>
      <w:r w:rsidR="00D11657">
        <w:t>семинар-практикум</w:t>
      </w:r>
      <w:r w:rsidR="009A7349" w:rsidRPr="00626DEF">
        <w:t xml:space="preserve"> по синергии в области регулирования ртутных отходов. Доклад о работе </w:t>
      </w:r>
      <w:r w:rsidR="00D11657">
        <w:t>семинара-</w:t>
      </w:r>
      <w:r w:rsidR="009A7349" w:rsidRPr="00626DEF">
        <w:t>практикума размещен на веб-сайте Конвенции</w:t>
      </w:r>
      <w:r w:rsidRPr="00674C83">
        <w:rPr>
          <w:vertAlign w:val="superscript"/>
        </w:rPr>
        <w:footnoteReference w:id="3"/>
      </w:r>
      <w:r w:rsidR="009A7349" w:rsidRPr="00626DEF">
        <w:t>.</w:t>
      </w:r>
    </w:p>
    <w:p w14:paraId="07F6858A" w14:textId="77777777" w:rsidR="009A7349" w:rsidRPr="00365B01" w:rsidRDefault="009A7349" w:rsidP="00365B01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bCs/>
          <w:sz w:val="28"/>
          <w:szCs w:val="28"/>
        </w:rPr>
      </w:pPr>
      <w:r w:rsidRPr="00365B01">
        <w:rPr>
          <w:b/>
          <w:bCs/>
          <w:sz w:val="28"/>
          <w:szCs w:val="28"/>
        </w:rPr>
        <w:tab/>
        <w:t>IV.</w:t>
      </w:r>
      <w:r w:rsidRPr="00365B01">
        <w:rPr>
          <w:b/>
          <w:bCs/>
          <w:sz w:val="28"/>
          <w:szCs w:val="28"/>
        </w:rPr>
        <w:tab/>
        <w:t xml:space="preserve">Поддержка осуществления Минаматской конвенции </w:t>
      </w:r>
    </w:p>
    <w:p w14:paraId="176DB383" w14:textId="4C1E63A9" w:rsidR="009A7349" w:rsidRPr="00626DEF" w:rsidRDefault="00674C83" w:rsidP="009A73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rPr>
          <w:lang w:val="en-GB"/>
        </w:rPr>
        <w:t>22.</w:t>
      </w:r>
      <w:r>
        <w:rPr>
          <w:lang w:val="en-GB"/>
        </w:rPr>
        <w:tab/>
      </w:r>
      <w:r w:rsidR="009A7349" w:rsidRPr="00626DEF">
        <w:t>В дополнение к своей работе в поддержку Конференции Сторон и в рамках подготовки к ее третьему совещанию секретариат оказывал поддержку деятельности на национальном и региональном уровнях в целях содействия осуществлению Минаматской конвенции и проводил консультации с соответствующими партнерами, включая организации</w:t>
      </w:r>
      <w:r w:rsidR="00644CBF">
        <w:t xml:space="preserve"> – </w:t>
      </w:r>
      <w:r w:rsidR="009A7349" w:rsidRPr="00626DEF">
        <w:t>участницы Межорганизационной программы по рациональному регулированию химических веществ (МПРРХВ), для выявления возможных межсекторальных мероприятий.</w:t>
      </w:r>
    </w:p>
    <w:p w14:paraId="668C5ACA" w14:textId="2C1CE43C" w:rsidR="009A7349" w:rsidRPr="00626DEF" w:rsidRDefault="00674C83" w:rsidP="009A73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rPr>
          <w:lang w:val="en-GB"/>
        </w:rPr>
        <w:t>23.</w:t>
      </w:r>
      <w:r>
        <w:rPr>
          <w:lang w:val="en-GB"/>
        </w:rPr>
        <w:tab/>
      </w:r>
      <w:r w:rsidR="009A7349" w:rsidRPr="00626DEF">
        <w:t>Секретариат работал над осуществлением мероприятий по оказанию технической помощи и созданию потенциала в рамках программы работы Конвенции путем продвижения работы над финансируемым Европейским союзом проектом по торговле ртутью и выбросам ртути. Эти два направления были определены в качестве приоритетных задач на субрегиональном и региональном уровнях. В рамках этого проекта в течение 2019 и 2020 годов секретариат будет проводить региональные и/или субрегиональные учебные практикумы, разрабатывать учебные материалы, осуществлять национальные экспериментальные проекты, распространять информацию об извлеченных уроках и проводить предварительный обзор оценки потребностей. Первый субрегиональный практикум по торговле планируется провести в Многонациональном Государстве Боливия в сентябре 2019 года, а затем – субрегиональный практикум по выбросам во Вьетнаме в октябре 2019 года. Секретариат также работает над разработкой удобного для чтения дизайна и макета, а также над изданием на английском, испанском и французском языках руководства по передовой экологической практике в связи с выбросами ртути из точечных источников, подпадающих под категории источников, перечисленные в приложении D к Конвенции.</w:t>
      </w:r>
    </w:p>
    <w:p w14:paraId="3183EC0C" w14:textId="1420A45B" w:rsidR="009A7349" w:rsidRPr="00626DEF" w:rsidRDefault="00674C83" w:rsidP="009A73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rPr>
          <w:lang w:val="en-GB"/>
        </w:rPr>
        <w:t>24.</w:t>
      </w:r>
      <w:r>
        <w:rPr>
          <w:lang w:val="en-GB"/>
        </w:rPr>
        <w:tab/>
      </w:r>
      <w:r w:rsidR="009A7349" w:rsidRPr="00626DEF">
        <w:t>В ответ на конкретную просьбу Исламской Республики Иран об укреплении потенциала секретариат провел учебный курс по инструментарию для составления кадастра по ртути, в котором приняли участие почти 60 представителей различных министерств и ведомств, включая провинциальные отделения. Для этой деятельности был использован вклад Франции.</w:t>
      </w:r>
    </w:p>
    <w:p w14:paraId="2D035B15" w14:textId="32998C3D" w:rsidR="009A7349" w:rsidRPr="00626DEF" w:rsidRDefault="00674C83" w:rsidP="009A73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rPr>
          <w:lang w:val="en-GB"/>
        </w:rPr>
        <w:t>25.</w:t>
      </w:r>
      <w:r>
        <w:rPr>
          <w:lang w:val="en-GB"/>
        </w:rPr>
        <w:tab/>
      </w:r>
      <w:r w:rsidR="009A7349" w:rsidRPr="00626DEF">
        <w:t>Секретариат провел анализ первоначальных оценок в рамках Минаматской конвенции в целях подготовки к разработке программы укрепления потенциала и технической помощи на 2020-2021 годы в соответствии с Минаматской конвенцией. Доклады о первоначальной оценке в рамках Минаматской конвенции, представленные в секретариат правительствами и учреждениями-исполнителями, размещены на веб-сайте Конвенции</w:t>
      </w:r>
      <w:r w:rsidRPr="00674C83">
        <w:rPr>
          <w:vertAlign w:val="superscript"/>
        </w:rPr>
        <w:footnoteReference w:id="4"/>
      </w:r>
      <w:r w:rsidR="009A7349" w:rsidRPr="00626DEF">
        <w:t>. Используя национальные приоритетные меры и планы осуществления, определенные в докладах, полученных к июлю 2019 года, секретариат разработал проекты планов действий для оказания помощи Сторонам в осуществлении ими Конвенции. Эти планы были также разработаны с учетом потребностей, выраженных развивающимися странами и странами с переходной экономикой, в частности на первом и втором совещаниях Конференции Сторон, региональных подготовительных совещаниях, в рамках стимулирующей деятельности и обмена информацией с различными заинтересованными сторонами. В дополнение к докладам о первоначальной оценке в рамках Минаматской конвенции по состоянию на</w:t>
      </w:r>
      <w:r w:rsidR="000D4BE5">
        <w:t xml:space="preserve"> 31</w:t>
      </w:r>
      <w:r w:rsidR="009A7349" w:rsidRPr="00626DEF">
        <w:t xml:space="preserve"> июл</w:t>
      </w:r>
      <w:r w:rsidR="000D4BE5">
        <w:t>я</w:t>
      </w:r>
      <w:r w:rsidR="009A7349" w:rsidRPr="00626DEF">
        <w:t xml:space="preserve"> 2019 года был</w:t>
      </w:r>
      <w:r w:rsidR="00644CBF">
        <w:t>и</w:t>
      </w:r>
      <w:r w:rsidR="009A7349" w:rsidRPr="00626DEF">
        <w:t xml:space="preserve"> представлен</w:t>
      </w:r>
      <w:r w:rsidR="00D40489">
        <w:t>ы</w:t>
      </w:r>
      <w:r w:rsidR="009A7349" w:rsidRPr="00626DEF">
        <w:t xml:space="preserve"> один национальный план действий по кустарной и мелкомасштабной золотодобыче и два национальных плана осуществления в соответствии с пунктом 3 статьи 7 и пунктом 1 статьи</w:t>
      </w:r>
      <w:r w:rsidR="000D4BE5">
        <w:t> </w:t>
      </w:r>
      <w:r w:rsidR="009A7349" w:rsidRPr="00626DEF">
        <w:t>20, соответственно, которые также были размещены на веб-сайте Конвенции</w:t>
      </w:r>
      <w:r w:rsidR="000D4BE5">
        <w:rPr>
          <w:rStyle w:val="FootnoteReference"/>
        </w:rPr>
        <w:footnoteReference w:id="5"/>
      </w:r>
      <w:r w:rsidR="009A7349" w:rsidRPr="00626DEF">
        <w:t>. Анализ будет и далее уточняться по мере поступления новых оценок и планов.</w:t>
      </w:r>
    </w:p>
    <w:p w14:paraId="74C9FC7B" w14:textId="5389D23E" w:rsidR="009A7349" w:rsidRPr="00626DEF" w:rsidRDefault="00E3556E" w:rsidP="009A73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rPr>
          <w:lang w:val="en-GB"/>
        </w:rPr>
        <w:t>26.</w:t>
      </w:r>
      <w:r>
        <w:rPr>
          <w:lang w:val="en-GB"/>
        </w:rPr>
        <w:tab/>
      </w:r>
      <w:r w:rsidR="009A7349" w:rsidRPr="00626DEF">
        <w:t>Представитель секретариата принял участие в первоначальном совещании в рамках третьего этапа Программы многосторонних природоохранных соглашений для Африки, Карибского бассейна и Тихого океана, финансируемой Европейской комиссией. Программа включает мероприятия в поддержку осуществления Минаматской конвенции в странах Африки, Карибского бассейна и Тихого океана, направленные на увеличение числа участников Конвенции, проведение оценок исходных условий и реагирование на конкретные просьбы стран об укреплении потенциала. Секретариат будет участвовать в осуществлении этих мероприятий по мере необходимости.</w:t>
      </w:r>
    </w:p>
    <w:p w14:paraId="03E8024F" w14:textId="6301F31F" w:rsidR="009A7349" w:rsidRPr="00626DEF" w:rsidRDefault="00E3556E" w:rsidP="009A73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rPr>
          <w:lang w:val="en-GB"/>
        </w:rPr>
        <w:t>27.</w:t>
      </w:r>
      <w:r>
        <w:rPr>
          <w:lang w:val="en-GB"/>
        </w:rPr>
        <w:tab/>
      </w:r>
      <w:r w:rsidR="009A7349" w:rsidRPr="00626DEF">
        <w:t>В настоящее время ЮНЕП осуществляет финансируемый Китаем проект по оказанию странам Азии поддержки в осуществлении многосторонних природоохранных соглашений и рациональном регулировании химических веществ. Это включает компонент решения проблемы выбросов ртути. Представитель секретариата принял участие в первоначальном практикуме по этому проекту, состоявшемся в Пекине 12 и 13 июня 2019 года, и внес вклад в разработку проекта.</w:t>
      </w:r>
    </w:p>
    <w:p w14:paraId="76AD3B7B" w14:textId="74AA991C" w:rsidR="009A7349" w:rsidRPr="00626DEF" w:rsidRDefault="00E3556E" w:rsidP="009A73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rPr>
          <w:lang w:val="en-GB"/>
        </w:rPr>
        <w:t>28.</w:t>
      </w:r>
      <w:r>
        <w:rPr>
          <w:lang w:val="en-GB"/>
        </w:rPr>
        <w:tab/>
      </w:r>
      <w:r w:rsidR="009A7349" w:rsidRPr="00626DEF">
        <w:t>В Азиатско-Тихоокеанском регионе секретариат координирует с Отделением ЮНЕП для Азии и Тихого океана осуществление финансируемого Японией многолетнего проекта под названием «Содействие осуществлению Минаматской конвенции о ртути на основе максимального использования знаний и опыта Японии». Исполнительный секретарь секретариата Минаматской конвенции примет участие в первоначальном практикуме по этому проекту, который планируется провести в городе Минамата со 2 по 4 сентября 2019 года.</w:t>
      </w:r>
    </w:p>
    <w:p w14:paraId="6ECFD305" w14:textId="72169C76" w:rsidR="009A7349" w:rsidRPr="00626DEF" w:rsidRDefault="00E3556E" w:rsidP="009A73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rPr>
          <w:lang w:val="en-GB"/>
        </w:rPr>
        <w:t>29.</w:t>
      </w:r>
      <w:r>
        <w:rPr>
          <w:lang w:val="en-GB"/>
        </w:rPr>
        <w:tab/>
      </w:r>
      <w:r w:rsidR="009A7349" w:rsidRPr="00626DEF">
        <w:t>Что касается финансовых ресурсов и механизма</w:t>
      </w:r>
      <w:r w:rsidR="00EE6AE9">
        <w:t xml:space="preserve"> финансирования</w:t>
      </w:r>
      <w:r w:rsidR="009A7349" w:rsidRPr="00626DEF">
        <w:t xml:space="preserve">, то секретариат осуществляет тесное взаимодействие с секретариатом ГЭФ по вопросам, касающимся механизма </w:t>
      </w:r>
      <w:r w:rsidR="00EE6AE9">
        <w:t xml:space="preserve">финансирования </w:t>
      </w:r>
      <w:r w:rsidR="009A7349" w:rsidRPr="00626DEF">
        <w:t>Конвенции. Исполнительный секретарь приняла участие в пятьдесят пятом (18-20 декабря 2018 года) и пятьдесят шестом (10-13 июня 2019 года)</w:t>
      </w:r>
      <w:r w:rsidR="00D40489">
        <w:t xml:space="preserve"> совещаниях</w:t>
      </w:r>
      <w:r w:rsidR="009A7349" w:rsidRPr="00626DEF">
        <w:t xml:space="preserve"> Совета ГЭФ, провела встречи с делегатами, выступила в Совете и приняла участие в работе различных дискуссионных групп. Совет утвердил </w:t>
      </w:r>
      <w:r w:rsidR="00D40489" w:rsidRPr="00626DEF">
        <w:t xml:space="preserve">Меморандум </w:t>
      </w:r>
      <w:r w:rsidR="009A7349" w:rsidRPr="00626DEF">
        <w:t>о взаимопонимании между Советом ГЭФ и Конференцией Сторон на своем пятьдесят шестом совещании. Исполнительный секретарь также участвовала в начале реализации программы ГЭФ «Глобальные возможности для долгосрочного развития сектора кустарной и мелкомасштабной золотодобычи (ГОЛД)» в Лондоне в феврале 2019 года.</w:t>
      </w:r>
    </w:p>
    <w:p w14:paraId="35DF520A" w14:textId="309B314C" w:rsidR="009A7349" w:rsidRPr="00626DEF" w:rsidRDefault="00E3556E" w:rsidP="009A73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rPr>
          <w:lang w:val="en-GB"/>
        </w:rPr>
        <w:t>30.</w:t>
      </w:r>
      <w:r>
        <w:rPr>
          <w:lang w:val="en-GB"/>
        </w:rPr>
        <w:tab/>
      </w:r>
      <w:r w:rsidR="009A7349" w:rsidRPr="00626DEF">
        <w:t xml:space="preserve">В рамках своей поддержки Целевой международной программы секретариат оказал содействие </w:t>
      </w:r>
      <w:r w:rsidR="00A230B0">
        <w:t>Правлению</w:t>
      </w:r>
      <w:r w:rsidR="009A7349" w:rsidRPr="00626DEF">
        <w:t xml:space="preserve"> Целевой международной программы в организации второго раунда подачи заявок. Секретариат обратился с просьбой представить отзывы о первом раунде подачи заявок на участие в Целевой международной программе и на основе указаний </w:t>
      </w:r>
      <w:r w:rsidR="00A230B0">
        <w:t>Правления</w:t>
      </w:r>
      <w:r w:rsidR="009A7349" w:rsidRPr="00626DEF">
        <w:t xml:space="preserve"> пересмотрел </w:t>
      </w:r>
      <w:r w:rsidR="006D7BAB">
        <w:t>руководство по подаче заявок и их бланки</w:t>
      </w:r>
      <w:r w:rsidR="009A7349" w:rsidRPr="00626DEF">
        <w:t>. Второй раунд был начат 5</w:t>
      </w:r>
      <w:r>
        <w:rPr>
          <w:lang w:val="en-GB"/>
        </w:rPr>
        <w:t> </w:t>
      </w:r>
      <w:r w:rsidR="009A7349" w:rsidRPr="00626DEF">
        <w:t>марта 2019</w:t>
      </w:r>
      <w:r w:rsidR="00136F47">
        <w:rPr>
          <w:lang w:val="en-GB"/>
        </w:rPr>
        <w:t> </w:t>
      </w:r>
      <w:r w:rsidR="009A7349" w:rsidRPr="00626DEF">
        <w:t>года. По завершении периода подачи заявок 14 июня 2019 года секретариат рассмотрел полученные заявки на предмет их полноты, провел первую оценку на основе критериев, принятых Советом управляющих, и подготовил соответствующую документацию для четвертого совещания Совета управляющих, которое состоится в Вашингтоне 16</w:t>
      </w:r>
      <w:r>
        <w:noBreakHyphen/>
      </w:r>
      <w:r w:rsidR="009A7349" w:rsidRPr="00626DEF">
        <w:t>18</w:t>
      </w:r>
      <w:r>
        <w:rPr>
          <w:lang w:val="en-GB"/>
        </w:rPr>
        <w:t> </w:t>
      </w:r>
      <w:r w:rsidR="009A7349" w:rsidRPr="00626DEF">
        <w:t xml:space="preserve">сентября 2019 года, будет организовано секретариатом Конвенции и проведено секретариатом ГЭФ. Совет управляющих рассмотрит заявки </w:t>
      </w:r>
      <w:r w:rsidR="00B925AD">
        <w:t xml:space="preserve">по проектам </w:t>
      </w:r>
      <w:r w:rsidR="009A7349" w:rsidRPr="00626DEF">
        <w:t>и утвердит ряд проектов в соответствии с имеющимся финансированием. Важно отметить, что в период между первым и вторым раундами объем взносов в Целевую международную программу удвоился, что является важным показателем доверия и заинтересованности доноров.</w:t>
      </w:r>
    </w:p>
    <w:p w14:paraId="535B20C6" w14:textId="5D2B4110" w:rsidR="009A7349" w:rsidRPr="00626DEF" w:rsidRDefault="00E3556E" w:rsidP="009A73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rPr>
          <w:lang w:val="en-GB"/>
        </w:rPr>
        <w:t>31.</w:t>
      </w:r>
      <w:r>
        <w:rPr>
          <w:lang w:val="en-GB"/>
        </w:rPr>
        <w:tab/>
      </w:r>
      <w:r w:rsidR="009A7349" w:rsidRPr="00626DEF">
        <w:t xml:space="preserve">После анализа практики и инструментов, используемых различными конвенциями для онлайновой отчетности, секретариат сотрудничает с Информационным порталом Организации Объединенных Наций по многосторонним природоохранным соглашениям (ИнфорМПС) и секретариатом Конвенции о биологическом разнообразии в деле разработки онлайнового инструмента </w:t>
      </w:r>
      <w:r w:rsidR="008F51AE">
        <w:t xml:space="preserve">представления </w:t>
      </w:r>
      <w:r w:rsidR="009A7349" w:rsidRPr="00626DEF">
        <w:t>отчетности для Минаматской конвенции, который должен быть готов к использованию Сторонами для подготовки первого двухгодичного краткого доклада, подлежащего представлению к 31 декабря 2019 года.</w:t>
      </w:r>
    </w:p>
    <w:p w14:paraId="6A052F48" w14:textId="3D470A18" w:rsidR="009A7349" w:rsidRPr="00626DEF" w:rsidRDefault="002B7C50" w:rsidP="002B7C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1247"/>
      </w:pPr>
      <w:r>
        <w:rPr>
          <w:lang w:val="en-GB"/>
        </w:rPr>
        <w:t>32.</w:t>
      </w:r>
      <w:r>
        <w:rPr>
          <w:lang w:val="en-GB"/>
        </w:rPr>
        <w:tab/>
      </w:r>
      <w:r w:rsidR="009A7349" w:rsidRPr="00626DEF">
        <w:t xml:space="preserve">Секретариат также обновляет брошюры о тексте Минаматской конвенции на шести официальных языках Организации Объединенных Наций и переиздает руководство по разработке национального плана действий по сокращению и, где это возможно, прекращению применения ртути в кустарной и мелкомасштабной золотодобыче. </w:t>
      </w:r>
    </w:p>
    <w:p w14:paraId="63F3D7D0" w14:textId="77777777" w:rsidR="009A7349" w:rsidRPr="00365B01" w:rsidRDefault="009A7349" w:rsidP="00365B01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bCs/>
          <w:sz w:val="28"/>
          <w:szCs w:val="28"/>
        </w:rPr>
      </w:pPr>
      <w:r w:rsidRPr="00365B01">
        <w:rPr>
          <w:b/>
          <w:bCs/>
          <w:sz w:val="28"/>
          <w:szCs w:val="28"/>
        </w:rPr>
        <w:tab/>
        <w:t>V.</w:t>
      </w:r>
      <w:r w:rsidRPr="00365B01">
        <w:rPr>
          <w:b/>
          <w:bCs/>
          <w:sz w:val="28"/>
          <w:szCs w:val="28"/>
        </w:rPr>
        <w:tab/>
        <w:t>Другие мероприятия, проведенные секретариатом</w:t>
      </w:r>
    </w:p>
    <w:p w14:paraId="1CAB2DAB" w14:textId="617AB323" w:rsidR="009A7349" w:rsidRPr="00626DEF" w:rsidRDefault="002B7C50" w:rsidP="009A73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rPr>
          <w:lang w:val="en-GB"/>
        </w:rPr>
        <w:t>33.</w:t>
      </w:r>
      <w:r>
        <w:rPr>
          <w:lang w:val="en-GB"/>
        </w:rPr>
        <w:tab/>
      </w:r>
      <w:r w:rsidR="009A7349" w:rsidRPr="00626DEF">
        <w:t xml:space="preserve">Как указано в пункте 29 выше, секретариат осуществляет тесное взаимодействие с секретариатом ГЭФ и его страновыми группами, с тем чтобы поддерживать осведомленность о развитии политики и, при необходимости, вносить вклад в дискуссии, особенно в том, что касается воздействия программ. </w:t>
      </w:r>
    </w:p>
    <w:p w14:paraId="6E03AA32" w14:textId="4B32C229" w:rsidR="009A7349" w:rsidRPr="00626DEF" w:rsidRDefault="002B7C50" w:rsidP="009A73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rPr>
          <w:lang w:val="en-GB"/>
        </w:rPr>
        <w:t>34.</w:t>
      </w:r>
      <w:r>
        <w:rPr>
          <w:lang w:val="en-GB"/>
        </w:rPr>
        <w:tab/>
      </w:r>
      <w:r w:rsidR="009A7349" w:rsidRPr="00626DEF">
        <w:t>Секретариат принял участие в ряде процессов совместно с Сектором химических веществ и здравоохранения ЮНЕП, секретариатом Базельской, Роттердамской и Стокгольмской конвенций и секретариатом С</w:t>
      </w:r>
      <w:r w:rsidR="00E43BBC">
        <w:t>тратегического подхода к международному регулированию химических веществ</w:t>
      </w:r>
      <w:r w:rsidR="009A7349" w:rsidRPr="00626DEF">
        <w:t>. Это включает обзор проектов, представленных в рамках Специальной программы для оказания поддержки деятельности по укреплению институционального потенциала на национальном уровне в интересах осуществления Базельской, Роттердамской и Стокгольмской конвенций, Минаматской конвенции и СПМРХВ. Представитель секретариата также принял участие в четвертом совещании Исполнительного совета Специальной программы, состоявшемся в Женеве 29</w:t>
      </w:r>
      <w:r>
        <w:noBreakHyphen/>
      </w:r>
      <w:r w:rsidR="009A7349" w:rsidRPr="00626DEF">
        <w:t>31</w:t>
      </w:r>
      <w:r>
        <w:rPr>
          <w:lang w:val="en-GB"/>
        </w:rPr>
        <w:t> </w:t>
      </w:r>
      <w:r w:rsidR="009A7349" w:rsidRPr="00626DEF">
        <w:t>января 2019 года.</w:t>
      </w:r>
    </w:p>
    <w:p w14:paraId="1DA53F65" w14:textId="17DC9F88" w:rsidR="009A7349" w:rsidRPr="00626DEF" w:rsidRDefault="002B7C50" w:rsidP="009A73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rPr>
          <w:lang w:val="en-GB"/>
        </w:rPr>
        <w:t>35.</w:t>
      </w:r>
      <w:r>
        <w:rPr>
          <w:lang w:val="en-GB"/>
        </w:rPr>
        <w:tab/>
      </w:r>
      <w:r w:rsidR="009A7349" w:rsidRPr="00626DEF">
        <w:t>Секретариат представил бюро Базельской, Роттердамской и Стокгольмской конвенций обновленную информацию о прогрессе в осуществлении Минаматской конвенции, по просьбе бюро. Секретариат также сообщил об осуществлении Минаматской конвенции на всех региональных подготовительных совещаниях к совещаниям конференций Сторон Базельской, Роттердамской и Стокгольмской конвенций 2019 года и провел параллельную углубленную сессию продолжительностью в полдня, посвященную Минаматской конвенции.</w:t>
      </w:r>
    </w:p>
    <w:p w14:paraId="72789E16" w14:textId="77777777" w:rsidR="00AE26D5" w:rsidRDefault="002B7C50" w:rsidP="009A73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rPr>
          <w:lang w:val="en-GB"/>
        </w:rPr>
        <w:t>36.</w:t>
      </w:r>
      <w:r>
        <w:rPr>
          <w:lang w:val="en-GB"/>
        </w:rPr>
        <w:tab/>
      </w:r>
      <w:r w:rsidR="009A7349" w:rsidRPr="00626DEF">
        <w:t xml:space="preserve">В середине 2018 года была реорганизована совместная целевая группа Сектора химических веществ и здравоохранения ЮНЕП, секретариата Базельской, Роттердамской и Стокгольмской конвенций и секретариата Минаматской конвенции, сопредседателями которой в настоящее время являются представители </w:t>
      </w:r>
      <w:r w:rsidR="009E5FC5">
        <w:t xml:space="preserve">руководства </w:t>
      </w:r>
      <w:r w:rsidR="009A7349" w:rsidRPr="00626DEF">
        <w:t>от каждо</w:t>
      </w:r>
      <w:r w:rsidR="00A1495C">
        <w:t>й</w:t>
      </w:r>
      <w:r w:rsidR="009A7349" w:rsidRPr="00626DEF">
        <w:t xml:space="preserve"> из этих трех структур. Совместная целевая группа была создана для того, чтобы сосредоточить внимание на программном и ином сотрудничестве между этими тремя структурами. В качестве первой инициативы в августе 2018 года было проведено общее собрание всех руководителей и всех сотрудников этих трех структур. Совместная целевая группа также приступила к работе по объединению усилий на научно-политическом фронте для внесения вклада в ряд текущих процессов. В первой половине 2019 года в рамках подготовки к следующему совещанию СПМРХВ совместная целевая группа провела совещание для углубленного рассмотрения взаимосвязей в рамках тематического блока, касающегося химических веществ, а также взаимосвязей с тематическим блоком, касающимся биоразнообразия, с учетом мандата, полученного Конвенцией о биологическом разнообразии для продвижения работы над глобальной рамочной программой на период после 2020 года, охватывающей деятельность в рамках тематического блока, касающегося химических веществ. </w:t>
      </w:r>
    </w:p>
    <w:p w14:paraId="677DC9A6" w14:textId="37B4B556" w:rsidR="009A7349" w:rsidRPr="00626DEF" w:rsidRDefault="00AE26D5" w:rsidP="009A73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37.</w:t>
      </w:r>
      <w:r>
        <w:tab/>
      </w:r>
      <w:r w:rsidR="009A7349" w:rsidRPr="00626DEF">
        <w:t>Усилия совместной целевой группы также привели к разработке ряда конкретных проектов, направленных на повышение согласованности и наглядности деятельности в рамках тематического блока, касающегося химических веществ. Это включает совместн</w:t>
      </w:r>
      <w:r w:rsidR="00F35721">
        <w:t>ый стенд</w:t>
      </w:r>
      <w:r w:rsidR="009A7349" w:rsidRPr="00626DEF">
        <w:t xml:space="preserve"> Сектора химических веществ и здравоохранения, секретариата Базельской, Роттердамской и Стокгольмской конвенций, секретариата Минаматской конвенции и секретариата СПМРХВ «Сделаем невидимое видимым: очистка моего дома», котор</w:t>
      </w:r>
      <w:r w:rsidR="00F35721">
        <w:t>ый</w:t>
      </w:r>
      <w:r w:rsidR="009A7349" w:rsidRPr="00626DEF">
        <w:t xml:space="preserve"> был представлен на четвертой сессии Ассамблеи Организации Объединенных Наций по окружающей среде в Найроби в марте 2019 года, совещании СПМРХВ в Монтевидео в марте 2019 года и совещаниях конференций Сторон Базельской, Роттердамской и Стокгольмской конвенций в Женеве в апреле и мае 2019 года, а также будет установлен </w:t>
      </w:r>
      <w:r w:rsidR="00F35721">
        <w:t xml:space="preserve">на </w:t>
      </w:r>
      <w:r w:rsidR="009A7349" w:rsidRPr="00626DEF">
        <w:t>третье</w:t>
      </w:r>
      <w:r w:rsidR="00F35721">
        <w:t>м</w:t>
      </w:r>
      <w:r w:rsidR="009A7349" w:rsidRPr="00626DEF">
        <w:t xml:space="preserve"> совещани</w:t>
      </w:r>
      <w:r w:rsidR="00F35721">
        <w:t>и</w:t>
      </w:r>
      <w:r w:rsidR="009A7349" w:rsidRPr="00626DEF">
        <w:t xml:space="preserve"> Конференции Сторон Минаматской конвенции, которое состоится в Женеве в ноябре 2019 года. Главная цель это</w:t>
      </w:r>
      <w:r w:rsidR="00590351">
        <w:t>го стенда</w:t>
      </w:r>
      <w:r w:rsidR="009A7349" w:rsidRPr="00626DEF">
        <w:t xml:space="preserve"> заключается в повышении осведомленности о необходимости рационального регулирования химических веществ и отходов путем демонстрации в привлекательной, интерактивной и инновационной форме как потенциально негативных последствий химических веществ содержащихся в бытовых предметах, так и нетоксичных альтернатив. Совместная целевая группа также активизировала свои усилия по укреплению совместного календарного планирования между партнерами в целях максимального расширения работы по всему тематическому блоку. Через Сектор химических веществ и здравоохранения совместная целевая группа также поддерживает связи с подпрограммой ЮНЕП по химическим веществам и отходам в целях координации усилий по содействию осуществлению соответствующих решений Ассамблеи по окружающей среде.</w:t>
      </w:r>
    </w:p>
    <w:p w14:paraId="5FADDBD7" w14:textId="61EE7B45" w:rsidR="009A7349" w:rsidRPr="00626DEF" w:rsidRDefault="002B7C50" w:rsidP="009A73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rPr>
          <w:lang w:val="en-GB"/>
        </w:rPr>
        <w:t>3</w:t>
      </w:r>
      <w:r w:rsidR="00AE26D5">
        <w:t>8</w:t>
      </w:r>
      <w:r>
        <w:rPr>
          <w:lang w:val="en-GB"/>
        </w:rPr>
        <w:t>.</w:t>
      </w:r>
      <w:r>
        <w:rPr>
          <w:lang w:val="en-GB"/>
        </w:rPr>
        <w:tab/>
      </w:r>
      <w:r w:rsidR="009A7349" w:rsidRPr="00626DEF">
        <w:t>Секретариат также является частью целевой группы ГЭФ по химическим веществам, которая обеспечивает основу для сотрудничества в рамках группы субъектов, занимающихся вопросами химических веществ и отходов, из числа учреждений</w:t>
      </w:r>
      <w:r w:rsidR="00590351">
        <w:t xml:space="preserve"> – </w:t>
      </w:r>
      <w:r w:rsidR="009A7349" w:rsidRPr="00626DEF">
        <w:t xml:space="preserve">исполнителей ГЭФ. Представители секретариата приняли участие в совещаниях целевой группы как в виртуальном формате, так и лично, в том числе в 2019 году в совещаниях </w:t>
      </w:r>
      <w:r w:rsidR="00AE26D5" w:rsidRPr="00626DEF">
        <w:t xml:space="preserve">конференций </w:t>
      </w:r>
      <w:r w:rsidR="009A7349" w:rsidRPr="00626DEF">
        <w:t>Сторон Базельской, Роттердамской и Стокгольмской конвенций до начала совещаний Совета ГЭФ и в преддверии третьего совещания Конференции Сторон.</w:t>
      </w:r>
    </w:p>
    <w:p w14:paraId="2BD7AE95" w14:textId="20505BDB" w:rsidR="009A7349" w:rsidRPr="00626DEF" w:rsidRDefault="002B7C50" w:rsidP="009A73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rPr>
          <w:lang w:val="en-GB"/>
        </w:rPr>
        <w:t>3</w:t>
      </w:r>
      <w:r w:rsidR="00AE26D5">
        <w:t>9</w:t>
      </w:r>
      <w:r>
        <w:rPr>
          <w:lang w:val="en-GB"/>
        </w:rPr>
        <w:t>.</w:t>
      </w:r>
      <w:r>
        <w:rPr>
          <w:lang w:val="en-GB"/>
        </w:rPr>
        <w:tab/>
      </w:r>
      <w:r w:rsidR="009A7349" w:rsidRPr="00626DEF">
        <w:t>Секретариат принимает участие в качестве наблюдателя в работе МПРРХВ и участвует в работе ее группы по ртути, которая уделяет основное внимание сотрудничеству по касающимся ртути вопросам между членами МПРРХВ и работает в тесном контакте с участниками Глобального партнерства по ртути.</w:t>
      </w:r>
    </w:p>
    <w:p w14:paraId="0C515E0D" w14:textId="7C896CBB" w:rsidR="009A7349" w:rsidRPr="00626DEF" w:rsidRDefault="00AE26D5" w:rsidP="009A73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40</w:t>
      </w:r>
      <w:r w:rsidR="002B7C50">
        <w:rPr>
          <w:lang w:val="en-GB"/>
        </w:rPr>
        <w:t>.</w:t>
      </w:r>
      <w:r w:rsidR="002B7C50">
        <w:rPr>
          <w:lang w:val="en-GB"/>
        </w:rPr>
        <w:tab/>
      </w:r>
      <w:r w:rsidR="009A7349" w:rsidRPr="00626DEF">
        <w:t xml:space="preserve">Секретариат является активным и давним членом инициативы ИнфорМПС по обеспечению доступа к информации о многосторонних природоохранных соглашениях. </w:t>
      </w:r>
      <w:r w:rsidR="008A520B">
        <w:t>П</w:t>
      </w:r>
      <w:r w:rsidR="009A7349" w:rsidRPr="00626DEF">
        <w:t xml:space="preserve">редставитель </w:t>
      </w:r>
      <w:r w:rsidR="008A520B">
        <w:t xml:space="preserve">руководства </w:t>
      </w:r>
      <w:r w:rsidR="009A7349" w:rsidRPr="00626DEF">
        <w:t>секретариата принял участие в десятом совещании Руководящего комитета ИнфорМПС, состоявшемся в Монтрё, Швейцария, в июне 2019 года. Участники совещания также отметили десятую годовщину этого важного взаимодействия между различными многосторонними природоохранными соглашениями с целью обеспечения большей согласованности и транспарентности в области отчетности, обмена информацией и управления знаниями в рамках всей работы соглашений и конвенций.</w:t>
      </w:r>
    </w:p>
    <w:p w14:paraId="2891DCFC" w14:textId="61791F49" w:rsidR="009A7349" w:rsidRPr="00626DEF" w:rsidRDefault="002B7C50" w:rsidP="009A73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rPr>
          <w:lang w:val="en-GB"/>
        </w:rPr>
        <w:t>4</w:t>
      </w:r>
      <w:r w:rsidR="00AE26D5">
        <w:t>1</w:t>
      </w:r>
      <w:r>
        <w:rPr>
          <w:lang w:val="en-GB"/>
        </w:rPr>
        <w:t>.</w:t>
      </w:r>
      <w:r>
        <w:rPr>
          <w:lang w:val="en-GB"/>
        </w:rPr>
        <w:tab/>
      </w:r>
      <w:r w:rsidR="009A7349" w:rsidRPr="00626DEF">
        <w:t xml:space="preserve">В июне 2019 года в Берне представитель </w:t>
      </w:r>
      <w:r w:rsidR="00541928">
        <w:t xml:space="preserve">руководства </w:t>
      </w:r>
      <w:r w:rsidR="009A7349" w:rsidRPr="00626DEF">
        <w:t>секретариата принял участие в дискуссиях по тематическому блоку вопросов биоразнообразия на период после 2020</w:t>
      </w:r>
      <w:r w:rsidR="00480B10">
        <w:rPr>
          <w:lang w:val="en-GB"/>
        </w:rPr>
        <w:t> </w:t>
      </w:r>
      <w:r w:rsidR="009A7349" w:rsidRPr="00626DEF">
        <w:t>года и изучил взаимосвязи между обсуждениями по химическим веществам и биоразнообразию, особенно в том, что касается формирования глобальных рамок биоразнообразия на период после 2020 года.</w:t>
      </w:r>
    </w:p>
    <w:p w14:paraId="7ED7753A" w14:textId="0FBFF3B6" w:rsidR="009A7349" w:rsidRPr="00626DEF" w:rsidRDefault="00480B10" w:rsidP="009A73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rPr>
          <w:lang w:val="en-GB"/>
        </w:rPr>
        <w:t>4</w:t>
      </w:r>
      <w:r w:rsidR="00AE26D5">
        <w:t>2</w:t>
      </w:r>
      <w:r>
        <w:rPr>
          <w:lang w:val="en-GB"/>
        </w:rPr>
        <w:t>.</w:t>
      </w:r>
      <w:r>
        <w:rPr>
          <w:lang w:val="en-GB"/>
        </w:rPr>
        <w:tab/>
      </w:r>
      <w:r w:rsidR="009A7349" w:rsidRPr="00626DEF">
        <w:t>Секретариат продолжает активно участвовать в регулярных брифингах для постоянных представительств в Женеве, проводимых при содействии Женевской экологической сети, и в совещаниях целевой группы по стратегическому подходу к регулированию химических веществ на период после 2020 года под председательством Сектора химических веществ и здравоохранения ЮНЕП.</w:t>
      </w:r>
    </w:p>
    <w:p w14:paraId="2AB92F6D" w14:textId="46D32EE0" w:rsidR="009A7349" w:rsidRPr="00626DEF" w:rsidRDefault="00480B10" w:rsidP="009A73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rPr>
          <w:lang w:val="en-GB"/>
        </w:rPr>
        <w:t>4</w:t>
      </w:r>
      <w:r w:rsidR="00AE26D5">
        <w:t>3</w:t>
      </w:r>
      <w:r>
        <w:rPr>
          <w:lang w:val="en-GB"/>
        </w:rPr>
        <w:t>.</w:t>
      </w:r>
      <w:r>
        <w:rPr>
          <w:lang w:val="en-GB"/>
        </w:rPr>
        <w:tab/>
      </w:r>
      <w:r w:rsidR="009A7349" w:rsidRPr="00626DEF">
        <w:t>Секретариат присоединился к Инициативе «Зеленая таможня», представляющей собой партнерство международных организаций, сотрудничающих в целях предотвращения незаконной торговли товарами и веществами</w:t>
      </w:r>
      <w:r w:rsidR="00777B90">
        <w:t xml:space="preserve">, оказывающими воздействие на окружающую среду, </w:t>
      </w:r>
      <w:r w:rsidR="009A7349" w:rsidRPr="00626DEF">
        <w:t xml:space="preserve">и содействия законной торговле. Следующее </w:t>
      </w:r>
      <w:r w:rsidR="00590351">
        <w:t xml:space="preserve">совещание </w:t>
      </w:r>
      <w:r w:rsidR="00590351" w:rsidRPr="00626DEF">
        <w:t xml:space="preserve">Инициативы </w:t>
      </w:r>
      <w:r w:rsidR="009A7349" w:rsidRPr="00626DEF">
        <w:t>состоится в Женеве 2 и 3 октября 2019</w:t>
      </w:r>
      <w:r>
        <w:rPr>
          <w:lang w:val="en-GB"/>
        </w:rPr>
        <w:t> </w:t>
      </w:r>
      <w:r w:rsidR="009A7349" w:rsidRPr="00626DEF">
        <w:t>года.</w:t>
      </w:r>
    </w:p>
    <w:p w14:paraId="1D5D3E18" w14:textId="3708FC19" w:rsidR="009A7349" w:rsidRPr="00626DEF" w:rsidRDefault="00480B10" w:rsidP="009A73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rPr>
          <w:lang w:val="en-GB"/>
        </w:rPr>
        <w:t>4</w:t>
      </w:r>
      <w:r w:rsidR="00AE26D5">
        <w:t>4</w:t>
      </w:r>
      <w:r>
        <w:rPr>
          <w:lang w:val="en-GB"/>
        </w:rPr>
        <w:t>.</w:t>
      </w:r>
      <w:r>
        <w:rPr>
          <w:lang w:val="en-GB"/>
        </w:rPr>
        <w:tab/>
      </w:r>
      <w:r w:rsidR="009A7349" w:rsidRPr="00626DEF">
        <w:t>Исполнительный секретарь секретариата Минаматской конвенции выступит на четырнадцатой Международной конференции по ртути как глобальному загрязнителю, которая состоится в Кракове, Польша, 8-13 сентября 2019 года, с пленарной лекцией о необходимости научного вклада в осуществление Минаматской конвенции. Секретариат выступит с устным сообщением об анализе национальных приоритетов, определенных в первоначальных оценках в рамках Минаматской конвенции, и с плакатной презентацией по разработке технического руководства по осуществлению Конвенции.</w:t>
      </w:r>
    </w:p>
    <w:p w14:paraId="1D23DBDD" w14:textId="443FF3A1" w:rsidR="009A7349" w:rsidRPr="00626DEF" w:rsidRDefault="00480B10" w:rsidP="00480B1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1247"/>
      </w:pPr>
      <w:r>
        <w:rPr>
          <w:lang w:val="en-GB"/>
        </w:rPr>
        <w:t>4</w:t>
      </w:r>
      <w:r w:rsidR="00AE26D5">
        <w:t>5</w:t>
      </w:r>
      <w:r>
        <w:rPr>
          <w:lang w:val="en-GB"/>
        </w:rPr>
        <w:t>.</w:t>
      </w:r>
      <w:r>
        <w:rPr>
          <w:lang w:val="en-GB"/>
        </w:rPr>
        <w:tab/>
      </w:r>
      <w:r w:rsidR="009A7349" w:rsidRPr="00626DEF">
        <w:t>Секретариат принял участие в других соответствующих международных совещаниях, включая сессии Ассамблеи Организации Объединенных Наций по окружающей среде (11</w:t>
      </w:r>
      <w:r>
        <w:noBreakHyphen/>
      </w:r>
      <w:r w:rsidR="009A7349" w:rsidRPr="00626DEF">
        <w:t>15</w:t>
      </w:r>
      <w:r>
        <w:rPr>
          <w:lang w:val="en-GB"/>
        </w:rPr>
        <w:t> </w:t>
      </w:r>
      <w:r w:rsidR="009A7349" w:rsidRPr="00626DEF">
        <w:t>марта 2019</w:t>
      </w:r>
      <w:r w:rsidR="00365B01">
        <w:rPr>
          <w:lang w:val="en-GB"/>
        </w:rPr>
        <w:t> </w:t>
      </w:r>
      <w:r w:rsidR="009A7349" w:rsidRPr="00626DEF">
        <w:t>года), Всемирной ассамблеи здравоохранения (20-28 мая 2019 года) и Исполнительного органа Конвенции о трансграничном загрязнении воздуха на большие расстояния (10</w:t>
      </w:r>
      <w:r w:rsidR="00365B01">
        <w:noBreakHyphen/>
      </w:r>
      <w:r w:rsidR="009A7349" w:rsidRPr="00626DEF">
        <w:t>14</w:t>
      </w:r>
      <w:r w:rsidR="00365B01">
        <w:rPr>
          <w:lang w:val="en-GB"/>
        </w:rPr>
        <w:t> </w:t>
      </w:r>
      <w:r w:rsidR="009A7349" w:rsidRPr="00626DEF">
        <w:t>декабря 2018 года).</w:t>
      </w:r>
    </w:p>
    <w:p w14:paraId="03B66928" w14:textId="77777777" w:rsidR="009A7349" w:rsidRPr="00365B01" w:rsidRDefault="009A7349" w:rsidP="00365B01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bCs/>
          <w:sz w:val="28"/>
          <w:szCs w:val="28"/>
        </w:rPr>
      </w:pPr>
      <w:r w:rsidRPr="00365B01">
        <w:rPr>
          <w:b/>
          <w:bCs/>
          <w:sz w:val="28"/>
          <w:szCs w:val="28"/>
        </w:rPr>
        <w:tab/>
        <w:t>VI.</w:t>
      </w:r>
      <w:r w:rsidRPr="00365B01">
        <w:rPr>
          <w:b/>
          <w:bCs/>
          <w:sz w:val="28"/>
          <w:szCs w:val="28"/>
        </w:rPr>
        <w:tab/>
        <w:t>Предлагаемые меры для принятия Конференцией Сторон</w:t>
      </w:r>
    </w:p>
    <w:p w14:paraId="07ECDC08" w14:textId="04F8874D" w:rsidR="009A7349" w:rsidRDefault="00480B10" w:rsidP="009A73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rPr>
          <w:lang w:val="en-GB"/>
        </w:rPr>
        <w:t>4</w:t>
      </w:r>
      <w:r w:rsidR="006713B7">
        <w:t>6</w:t>
      </w:r>
      <w:bookmarkStart w:id="2" w:name="_GoBack"/>
      <w:bookmarkEnd w:id="2"/>
      <w:r>
        <w:rPr>
          <w:lang w:val="en-GB"/>
        </w:rPr>
        <w:t>.</w:t>
      </w:r>
      <w:r>
        <w:rPr>
          <w:lang w:val="en-GB"/>
        </w:rPr>
        <w:tab/>
      </w:r>
      <w:r w:rsidR="009A7349" w:rsidRPr="00626DEF">
        <w:t xml:space="preserve">Конференция Сторон, возможно, пожелает принять к сведению основные мероприятия секретариата в межсессионный период после </w:t>
      </w:r>
      <w:r w:rsidR="00204DC3">
        <w:t>второго</w:t>
      </w:r>
      <w:r w:rsidR="00204DC3" w:rsidRPr="00626DEF">
        <w:t xml:space="preserve"> </w:t>
      </w:r>
      <w:r w:rsidR="009A7349" w:rsidRPr="00626DEF">
        <w:t>совещания Конференции Сторон.</w:t>
      </w:r>
    </w:p>
    <w:p w14:paraId="11AF9FF1" w14:textId="35A0A481" w:rsidR="00365B01" w:rsidRPr="00365B01" w:rsidRDefault="00365B01" w:rsidP="00365B0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360" w:after="120"/>
        <w:jc w:val="center"/>
        <w:rPr>
          <w:lang w:val="en-GB"/>
        </w:rPr>
      </w:pPr>
      <w:r>
        <w:rPr>
          <w:lang w:val="en-GB"/>
        </w:rPr>
        <w:t>_________________________</w:t>
      </w:r>
    </w:p>
    <w:sectPr w:rsidR="00365B01" w:rsidRPr="00365B01" w:rsidSect="00C606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B87EB2" w14:textId="77777777" w:rsidR="005C73B4" w:rsidRDefault="005C73B4">
      <w:r>
        <w:separator/>
      </w:r>
    </w:p>
  </w:endnote>
  <w:endnote w:type="continuationSeparator" w:id="0">
    <w:p w14:paraId="6D268CAD" w14:textId="77777777" w:rsidR="005C73B4" w:rsidRDefault="005C7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9DB75" w14:textId="24DEF760" w:rsidR="00C870D8" w:rsidRPr="001C208E" w:rsidRDefault="00C870D8" w:rsidP="000A2D0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0270D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3D921" w14:textId="54AE1831" w:rsidR="00C870D8" w:rsidRDefault="00C870D8" w:rsidP="00F1712F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0270D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FBE341" w14:textId="0592D5F2" w:rsidR="00C870D8" w:rsidRPr="00620245" w:rsidRDefault="00874534" w:rsidP="000A2D0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sz w:val="20"/>
        <w:lang w:val="en-GB"/>
      </w:rPr>
    </w:pPr>
    <w:r>
      <w:rPr>
        <w:sz w:val="20"/>
        <w:lang w:val="en-GB"/>
      </w:rPr>
      <w:t>K1</w:t>
    </w:r>
    <w:r w:rsidR="002E408B">
      <w:rPr>
        <w:sz w:val="20"/>
        <w:lang w:val="en-GB"/>
      </w:rPr>
      <w:t>90</w:t>
    </w:r>
    <w:r w:rsidR="00676F7F">
      <w:rPr>
        <w:sz w:val="20"/>
        <w:lang w:val="en-GB"/>
      </w:rPr>
      <w:t>3</w:t>
    </w:r>
    <w:r w:rsidR="009A7349">
      <w:rPr>
        <w:sz w:val="20"/>
        <w:lang w:val="en-GB"/>
      </w:rPr>
      <w:t>670</w:t>
    </w:r>
    <w:r w:rsidR="00FA3168">
      <w:rPr>
        <w:sz w:val="20"/>
        <w:lang w:val="en-US"/>
      </w:rPr>
      <w:t xml:space="preserve">      </w:t>
    </w:r>
    <w:r w:rsidR="00114D5C">
      <w:rPr>
        <w:sz w:val="20"/>
        <w:lang w:val="en-GB"/>
      </w:rPr>
      <w:t>24</w:t>
    </w:r>
    <w:r w:rsidR="00FA3168">
      <w:rPr>
        <w:sz w:val="20"/>
        <w:lang w:val="en-US"/>
      </w:rPr>
      <w:t>0</w:t>
    </w:r>
    <w:r w:rsidR="009A7349">
      <w:rPr>
        <w:sz w:val="20"/>
        <w:lang w:val="en-US"/>
      </w:rPr>
      <w:t>9</w:t>
    </w:r>
    <w:r w:rsidR="00C870D8" w:rsidRPr="00C4766A">
      <w:rPr>
        <w:sz w:val="20"/>
      </w:rPr>
      <w:t>1</w:t>
    </w:r>
    <w:r w:rsidR="002E408B">
      <w:rPr>
        <w:sz w:val="20"/>
        <w:lang w:val="en-GB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D9E49" w14:textId="77777777" w:rsidR="005C73B4" w:rsidRDefault="005C73B4" w:rsidP="00851756">
      <w:pPr>
        <w:spacing w:before="60"/>
        <w:ind w:left="624"/>
      </w:pPr>
      <w:r>
        <w:separator/>
      </w:r>
    </w:p>
  </w:footnote>
  <w:footnote w:type="continuationSeparator" w:id="0">
    <w:p w14:paraId="50FDEDE6" w14:textId="77777777" w:rsidR="005C73B4" w:rsidRDefault="005C73B4">
      <w:r>
        <w:continuationSeparator/>
      </w:r>
    </w:p>
  </w:footnote>
  <w:footnote w:id="1">
    <w:p w14:paraId="6E78A238" w14:textId="05B712E1" w:rsidR="00620245" w:rsidRPr="00181773" w:rsidRDefault="00620245" w:rsidP="00620245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</w:rPr>
      </w:pPr>
      <w:r w:rsidRPr="00181773">
        <w:rPr>
          <w:szCs w:val="18"/>
        </w:rPr>
        <w:t>*</w:t>
      </w:r>
      <w:r w:rsidRPr="00181773">
        <w:rPr>
          <w:szCs w:val="18"/>
          <w:lang w:val="en-US"/>
        </w:rPr>
        <w:tab/>
      </w:r>
      <w:r>
        <w:rPr>
          <w:szCs w:val="18"/>
        </w:rPr>
        <w:t>UNEP/</w:t>
      </w:r>
      <w:r>
        <w:rPr>
          <w:szCs w:val="18"/>
          <w:lang w:val="en-GB"/>
        </w:rPr>
        <w:t>MC/COP.</w:t>
      </w:r>
      <w:r w:rsidR="002B66A7">
        <w:rPr>
          <w:szCs w:val="18"/>
        </w:rPr>
        <w:t>3</w:t>
      </w:r>
      <w:r w:rsidRPr="00181773">
        <w:rPr>
          <w:szCs w:val="18"/>
        </w:rPr>
        <w:t>/1.</w:t>
      </w:r>
    </w:p>
  </w:footnote>
  <w:footnote w:id="2">
    <w:p w14:paraId="6D420B62" w14:textId="545023E1" w:rsidR="005526A1" w:rsidRPr="000760B6" w:rsidRDefault="005526A1" w:rsidP="005526A1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</w:rPr>
      </w:pPr>
      <w:r w:rsidRPr="00E87859">
        <w:rPr>
          <w:rStyle w:val="FootnoteReference"/>
          <w:sz w:val="18"/>
        </w:rPr>
        <w:footnoteRef/>
      </w:r>
      <w:r>
        <w:t xml:space="preserve"> </w:t>
      </w:r>
      <w:r>
        <w:tab/>
        <w:t>http://mercuryconvention.org/Meetings/COPBureau/tabid/6328/language/en-US/Default.aspx.</w:t>
      </w:r>
    </w:p>
  </w:footnote>
  <w:footnote w:id="3">
    <w:p w14:paraId="53B810D3" w14:textId="6B6C8964" w:rsidR="00674C83" w:rsidRPr="009C71F9" w:rsidRDefault="00674C83" w:rsidP="00674C83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  <w:lang w:val="en-US"/>
        </w:rPr>
      </w:pPr>
      <w:r w:rsidRPr="009C71F9">
        <w:rPr>
          <w:rStyle w:val="FootnoteReference"/>
          <w:sz w:val="18"/>
        </w:rPr>
        <w:footnoteRef/>
      </w:r>
      <w:r w:rsidRPr="009C71F9">
        <w:rPr>
          <w:szCs w:val="18"/>
          <w:lang w:val="en-US"/>
        </w:rPr>
        <w:t xml:space="preserve"> </w:t>
      </w:r>
      <w:r>
        <w:rPr>
          <w:szCs w:val="18"/>
          <w:lang w:val="en-US"/>
        </w:rPr>
        <w:tab/>
      </w:r>
      <w:r w:rsidRPr="009C71F9">
        <w:rPr>
          <w:szCs w:val="18"/>
          <w:lang w:val="en-US"/>
        </w:rPr>
        <w:t>See http://www.mercuryconvention.org/Meetings/Othermeetings/tabid/8102/language/en-US/Default.aspx.</w:t>
      </w:r>
    </w:p>
  </w:footnote>
  <w:footnote w:id="4">
    <w:p w14:paraId="64141C29" w14:textId="0F2DD79B" w:rsidR="00674C83" w:rsidRPr="009C71F9" w:rsidRDefault="00674C83" w:rsidP="00E3556E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</w:rPr>
      </w:pPr>
      <w:r w:rsidRPr="009C71F9">
        <w:rPr>
          <w:rStyle w:val="FootnoteReference"/>
          <w:sz w:val="18"/>
        </w:rPr>
        <w:footnoteRef/>
      </w:r>
      <w:r>
        <w:t xml:space="preserve"> </w:t>
      </w:r>
      <w:r w:rsidR="00E3556E">
        <w:tab/>
      </w:r>
      <w:r>
        <w:t>См. http://www.mercuryconvention.org/Countries/Parties/MinamataInitialAssessments/tabid/</w:t>
      </w:r>
      <w:r w:rsidR="00E3556E">
        <w:br/>
      </w:r>
      <w:r>
        <w:t>6166/language/ en-US/Default.aspx.</w:t>
      </w:r>
    </w:p>
  </w:footnote>
  <w:footnote w:id="5">
    <w:p w14:paraId="47A5C804" w14:textId="7F18EEE2" w:rsidR="000D4BE5" w:rsidRPr="006965E2" w:rsidRDefault="000D4BE5" w:rsidP="006965E2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</w:rPr>
      </w:pPr>
      <w:r w:rsidRPr="006965E2">
        <w:rPr>
          <w:rStyle w:val="FootnoteReference"/>
          <w:sz w:val="18"/>
        </w:rPr>
        <w:footnoteRef/>
      </w:r>
      <w:r w:rsidRPr="006965E2">
        <w:rPr>
          <w:szCs w:val="18"/>
        </w:rPr>
        <w:t xml:space="preserve"> </w:t>
      </w:r>
      <w:r w:rsidRPr="006965E2">
        <w:rPr>
          <w:szCs w:val="18"/>
        </w:rPr>
        <w:tab/>
      </w:r>
      <w:r w:rsidRPr="006965E2">
        <w:rPr>
          <w:szCs w:val="18"/>
        </w:rPr>
        <w:t xml:space="preserve">См. </w:t>
      </w:r>
      <w:hyperlink r:id="rId1" w:history="1">
        <w:r w:rsidR="006965E2" w:rsidRPr="00324D57">
          <w:rPr>
            <w:rStyle w:val="Hyperlink"/>
            <w:sz w:val="18"/>
            <w:szCs w:val="18"/>
            <w:lang w:val="en-GB"/>
          </w:rPr>
          <w:t>http://www.mercuryconvention.org/Countries/Parties/MinamataInitialAssessments/tabid/6166/</w:t>
        </w:r>
        <w:r w:rsidR="006965E2" w:rsidRPr="00324D57">
          <w:rPr>
            <w:rStyle w:val="Hyperlink"/>
            <w:sz w:val="18"/>
            <w:szCs w:val="18"/>
            <w:lang w:val="en-GB"/>
          </w:rPr>
          <w:br/>
        </w:r>
        <w:r w:rsidR="006965E2" w:rsidRPr="00324D57">
          <w:rPr>
            <w:rStyle w:val="Hyperlink"/>
            <w:sz w:val="18"/>
            <w:szCs w:val="18"/>
            <w:lang w:val="en-GB"/>
          </w:rPr>
          <w:t>language/en-US/Default.aspx</w:t>
        </w:r>
      </w:hyperlink>
      <w:r w:rsidR="006965E2">
        <w:rPr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12C64" w14:textId="39FF3838" w:rsidR="00C870D8" w:rsidRPr="00942112" w:rsidRDefault="00620245" w:rsidP="000A2D09">
    <w:pPr>
      <w:pStyle w:val="Header"/>
      <w:tabs>
        <w:tab w:val="clear" w:pos="1247"/>
        <w:tab w:val="clear" w:pos="4536"/>
        <w:tab w:val="clear" w:pos="9072"/>
      </w:tabs>
      <w:rPr>
        <w:szCs w:val="18"/>
        <w:lang w:val="en-US"/>
      </w:rPr>
    </w:pPr>
    <w:r>
      <w:rPr>
        <w:lang w:val="en-US"/>
      </w:rPr>
      <w:t>UNEP/MC/COP.</w:t>
    </w:r>
    <w:r w:rsidR="002E408B">
      <w:rPr>
        <w:lang w:val="en-US"/>
      </w:rPr>
      <w:t>3</w:t>
    </w:r>
    <w:r w:rsidR="00942112">
      <w:rPr>
        <w:lang w:val="en-US"/>
      </w:rPr>
      <w:t>/</w:t>
    </w:r>
    <w:r w:rsidR="00676F7F">
      <w:rPr>
        <w:lang w:val="en-US"/>
      </w:rPr>
      <w:t>19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6C210" w14:textId="722E3120" w:rsidR="00C870D8" w:rsidRPr="00942112" w:rsidRDefault="00620245" w:rsidP="00F1712F">
    <w:pPr>
      <w:pStyle w:val="Header"/>
      <w:tabs>
        <w:tab w:val="clear" w:pos="1247"/>
        <w:tab w:val="clear" w:pos="4536"/>
        <w:tab w:val="clear" w:pos="9072"/>
      </w:tabs>
      <w:jc w:val="right"/>
      <w:rPr>
        <w:szCs w:val="18"/>
        <w:lang w:val="en-US"/>
      </w:rPr>
    </w:pPr>
    <w:r>
      <w:rPr>
        <w:lang w:val="en-US"/>
      </w:rPr>
      <w:t>UNEP/MC/COP.</w:t>
    </w:r>
    <w:r w:rsidR="002E408B">
      <w:rPr>
        <w:lang w:val="en-US"/>
      </w:rPr>
      <w:t>3</w:t>
    </w:r>
    <w:r w:rsidR="00942112">
      <w:rPr>
        <w:lang w:val="en-US"/>
      </w:rPr>
      <w:t>/</w:t>
    </w:r>
    <w:r w:rsidR="00676F7F">
      <w:rPr>
        <w:lang w:val="en-US"/>
      </w:rPr>
      <w:t>19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F63D9A" w14:textId="422262CC" w:rsidR="00C870D8" w:rsidRDefault="00C870D8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1113A7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1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4FF53DE2"/>
    <w:multiLevelType w:val="hybridMultilevel"/>
    <w:tmpl w:val="86DAFF5E"/>
    <w:lvl w:ilvl="0" w:tplc="0809000F">
      <w:start w:val="1"/>
      <w:numFmt w:val="decimal"/>
      <w:lvlText w:val="%1."/>
      <w:lvlJc w:val="left"/>
      <w:pPr>
        <w:ind w:left="2591" w:hanging="360"/>
      </w:p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5" w15:restartNumberingAfterBreak="0">
    <w:nsid w:val="52A66A9D"/>
    <w:multiLevelType w:val="multilevel"/>
    <w:tmpl w:val="BBB80F2E"/>
    <w:styleLink w:val="Normallist"/>
    <w:lvl w:ilvl="0">
      <w:start w:val="1"/>
      <w:numFmt w:val="decimal"/>
      <w:pStyle w:val="Normalnumber"/>
      <w:lvlText w:val="%1."/>
      <w:lvlJc w:val="left"/>
      <w:pPr>
        <w:ind w:left="1607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6" w15:restartNumberingAfterBreak="0">
    <w:nsid w:val="62291BF8"/>
    <w:multiLevelType w:val="multilevel"/>
    <w:tmpl w:val="F4ACF36E"/>
    <w:lvl w:ilvl="0">
      <w:start w:val="1"/>
      <w:numFmt w:val="decimal"/>
      <w:pStyle w:val="Articleheading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7" w15:restartNumberingAfterBreak="0">
    <w:nsid w:val="68C652F8"/>
    <w:multiLevelType w:val="hybridMultilevel"/>
    <w:tmpl w:val="59AA36CC"/>
    <w:lvl w:ilvl="0" w:tplc="0409001B">
      <w:start w:val="1"/>
      <w:numFmt w:val="lowerRoman"/>
      <w:lvlText w:val="%1."/>
      <w:lvlJc w:val="righ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 w15:restartNumberingAfterBreak="0">
    <w:nsid w:val="7D2E1FDA"/>
    <w:multiLevelType w:val="hybridMultilevel"/>
    <w:tmpl w:val="D8EC986A"/>
    <w:lvl w:ilvl="0" w:tplc="3CA059FE">
      <w:start w:val="1"/>
      <w:numFmt w:val="lowerRoman"/>
      <w:lvlText w:val="(%1)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5"/>
  </w:num>
  <w:num w:numId="5">
    <w:abstractNumId w:val="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">
    <w:abstractNumId w:val="2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8"/>
  </w:num>
  <w:num w:numId="13">
    <w:abstractNumId w:val="5"/>
  </w:num>
  <w:num w:numId="14">
    <w:abstractNumId w:val="5"/>
  </w:num>
  <w:num w:numId="15">
    <w:abstractNumId w:val="5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18">
    <w:abstractNumId w:val="4"/>
  </w:num>
  <w:num w:numId="19">
    <w:abstractNumId w:val="5"/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fr-FR" w:vendorID="64" w:dllVersion="0" w:nlCheck="1" w:checkStyle="1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ru-RU" w:vendorID="64" w:dllVersion="0" w:nlCheck="1" w:checkStyle="0"/>
  <w:proofState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D7F"/>
    <w:rsid w:val="00000E4A"/>
    <w:rsid w:val="000016E8"/>
    <w:rsid w:val="000024A3"/>
    <w:rsid w:val="0000270D"/>
    <w:rsid w:val="000149E6"/>
    <w:rsid w:val="00023DA9"/>
    <w:rsid w:val="000247B0"/>
    <w:rsid w:val="0002502C"/>
    <w:rsid w:val="00025395"/>
    <w:rsid w:val="00026997"/>
    <w:rsid w:val="00026A08"/>
    <w:rsid w:val="00032E4E"/>
    <w:rsid w:val="00033E0B"/>
    <w:rsid w:val="00035EDE"/>
    <w:rsid w:val="000509B4"/>
    <w:rsid w:val="000553F1"/>
    <w:rsid w:val="0006035B"/>
    <w:rsid w:val="0006096F"/>
    <w:rsid w:val="000649C5"/>
    <w:rsid w:val="00066CAB"/>
    <w:rsid w:val="00071886"/>
    <w:rsid w:val="000742BC"/>
    <w:rsid w:val="00075D5E"/>
    <w:rsid w:val="00076CC6"/>
    <w:rsid w:val="00082A0C"/>
    <w:rsid w:val="00082BFB"/>
    <w:rsid w:val="000832C7"/>
    <w:rsid w:val="00083504"/>
    <w:rsid w:val="000849CA"/>
    <w:rsid w:val="00093477"/>
    <w:rsid w:val="0009640C"/>
    <w:rsid w:val="000A035D"/>
    <w:rsid w:val="000A2D09"/>
    <w:rsid w:val="000A33DF"/>
    <w:rsid w:val="000A48BD"/>
    <w:rsid w:val="000A5627"/>
    <w:rsid w:val="000B22A2"/>
    <w:rsid w:val="000B3A56"/>
    <w:rsid w:val="000B5621"/>
    <w:rsid w:val="000B6C42"/>
    <w:rsid w:val="000B73F9"/>
    <w:rsid w:val="000C1CF9"/>
    <w:rsid w:val="000C2A52"/>
    <w:rsid w:val="000D24D3"/>
    <w:rsid w:val="000D33C0"/>
    <w:rsid w:val="000D4BE5"/>
    <w:rsid w:val="000D4CF6"/>
    <w:rsid w:val="000D6941"/>
    <w:rsid w:val="000E04CD"/>
    <w:rsid w:val="000E57AF"/>
    <w:rsid w:val="000F1B80"/>
    <w:rsid w:val="000F4829"/>
    <w:rsid w:val="000F60C7"/>
    <w:rsid w:val="000F6535"/>
    <w:rsid w:val="00100DC5"/>
    <w:rsid w:val="001056F1"/>
    <w:rsid w:val="001143B8"/>
    <w:rsid w:val="00114D5C"/>
    <w:rsid w:val="001202E3"/>
    <w:rsid w:val="00123699"/>
    <w:rsid w:val="001241FB"/>
    <w:rsid w:val="00126CBE"/>
    <w:rsid w:val="00126E66"/>
    <w:rsid w:val="0013059D"/>
    <w:rsid w:val="00136187"/>
    <w:rsid w:val="00136F47"/>
    <w:rsid w:val="00141A55"/>
    <w:rsid w:val="0014293F"/>
    <w:rsid w:val="0014397D"/>
    <w:rsid w:val="001446A3"/>
    <w:rsid w:val="00145890"/>
    <w:rsid w:val="00152B6B"/>
    <w:rsid w:val="00153ED2"/>
    <w:rsid w:val="00155395"/>
    <w:rsid w:val="00156B6B"/>
    <w:rsid w:val="00160D74"/>
    <w:rsid w:val="0016251F"/>
    <w:rsid w:val="001646EA"/>
    <w:rsid w:val="00167D02"/>
    <w:rsid w:val="001759D8"/>
    <w:rsid w:val="00177D7F"/>
    <w:rsid w:val="00180C3F"/>
    <w:rsid w:val="00181EC8"/>
    <w:rsid w:val="00184349"/>
    <w:rsid w:val="00195F33"/>
    <w:rsid w:val="001A04AA"/>
    <w:rsid w:val="001A3865"/>
    <w:rsid w:val="001B1617"/>
    <w:rsid w:val="001B504B"/>
    <w:rsid w:val="001B6F89"/>
    <w:rsid w:val="001B6F98"/>
    <w:rsid w:val="001C0FF0"/>
    <w:rsid w:val="001C191A"/>
    <w:rsid w:val="001C208E"/>
    <w:rsid w:val="001D3874"/>
    <w:rsid w:val="001D7E75"/>
    <w:rsid w:val="001E0D73"/>
    <w:rsid w:val="001E4028"/>
    <w:rsid w:val="001E45BD"/>
    <w:rsid w:val="001E56D2"/>
    <w:rsid w:val="001E7D56"/>
    <w:rsid w:val="001F0FBB"/>
    <w:rsid w:val="001F4EF3"/>
    <w:rsid w:val="001F75DE"/>
    <w:rsid w:val="00200ABD"/>
    <w:rsid w:val="00200D58"/>
    <w:rsid w:val="002011C1"/>
    <w:rsid w:val="002013BE"/>
    <w:rsid w:val="00201EDC"/>
    <w:rsid w:val="00204DC3"/>
    <w:rsid w:val="002063A4"/>
    <w:rsid w:val="0021145B"/>
    <w:rsid w:val="00220C23"/>
    <w:rsid w:val="002247F6"/>
    <w:rsid w:val="00225E21"/>
    <w:rsid w:val="002274D8"/>
    <w:rsid w:val="00234E78"/>
    <w:rsid w:val="00241135"/>
    <w:rsid w:val="00243D36"/>
    <w:rsid w:val="002445B0"/>
    <w:rsid w:val="00246151"/>
    <w:rsid w:val="0024616E"/>
    <w:rsid w:val="00247707"/>
    <w:rsid w:val="00255632"/>
    <w:rsid w:val="0026018E"/>
    <w:rsid w:val="002623CD"/>
    <w:rsid w:val="00272100"/>
    <w:rsid w:val="00277CE2"/>
    <w:rsid w:val="0028635C"/>
    <w:rsid w:val="00286740"/>
    <w:rsid w:val="00291EAE"/>
    <w:rsid w:val="002929D8"/>
    <w:rsid w:val="0029570E"/>
    <w:rsid w:val="0029665F"/>
    <w:rsid w:val="002A237D"/>
    <w:rsid w:val="002A4C53"/>
    <w:rsid w:val="002B0672"/>
    <w:rsid w:val="002B247F"/>
    <w:rsid w:val="002B50D4"/>
    <w:rsid w:val="002B66A7"/>
    <w:rsid w:val="002B7C50"/>
    <w:rsid w:val="002C145D"/>
    <w:rsid w:val="002C2C3E"/>
    <w:rsid w:val="002C3FC3"/>
    <w:rsid w:val="002C477F"/>
    <w:rsid w:val="002C533E"/>
    <w:rsid w:val="002D027F"/>
    <w:rsid w:val="002D3E15"/>
    <w:rsid w:val="002D7A85"/>
    <w:rsid w:val="002D7B60"/>
    <w:rsid w:val="002E408B"/>
    <w:rsid w:val="002E6C80"/>
    <w:rsid w:val="002F2608"/>
    <w:rsid w:val="002F42D1"/>
    <w:rsid w:val="002F4761"/>
    <w:rsid w:val="002F5C79"/>
    <w:rsid w:val="002F68EE"/>
    <w:rsid w:val="002F7DFB"/>
    <w:rsid w:val="003019E2"/>
    <w:rsid w:val="00304499"/>
    <w:rsid w:val="00310B4B"/>
    <w:rsid w:val="00310BEB"/>
    <w:rsid w:val="00312543"/>
    <w:rsid w:val="0031413F"/>
    <w:rsid w:val="00314854"/>
    <w:rsid w:val="003148BB"/>
    <w:rsid w:val="00317976"/>
    <w:rsid w:val="00320F2F"/>
    <w:rsid w:val="003238CC"/>
    <w:rsid w:val="00326E66"/>
    <w:rsid w:val="00332216"/>
    <w:rsid w:val="003338F7"/>
    <w:rsid w:val="00334B6F"/>
    <w:rsid w:val="00355EA9"/>
    <w:rsid w:val="003578DE"/>
    <w:rsid w:val="0035792B"/>
    <w:rsid w:val="00361688"/>
    <w:rsid w:val="003616AB"/>
    <w:rsid w:val="00361855"/>
    <w:rsid w:val="00365B01"/>
    <w:rsid w:val="00372443"/>
    <w:rsid w:val="00377FD5"/>
    <w:rsid w:val="003877D5"/>
    <w:rsid w:val="003929B8"/>
    <w:rsid w:val="00396257"/>
    <w:rsid w:val="00397EB8"/>
    <w:rsid w:val="003A4FD0"/>
    <w:rsid w:val="003A69D1"/>
    <w:rsid w:val="003A7705"/>
    <w:rsid w:val="003A77F1"/>
    <w:rsid w:val="003B1545"/>
    <w:rsid w:val="003B34AA"/>
    <w:rsid w:val="003C2885"/>
    <w:rsid w:val="003C3219"/>
    <w:rsid w:val="003C34B1"/>
    <w:rsid w:val="003C409D"/>
    <w:rsid w:val="003C5583"/>
    <w:rsid w:val="003C5BA6"/>
    <w:rsid w:val="003C74CF"/>
    <w:rsid w:val="003D2FCB"/>
    <w:rsid w:val="003D3752"/>
    <w:rsid w:val="003E35DA"/>
    <w:rsid w:val="003E455D"/>
    <w:rsid w:val="003F0E85"/>
    <w:rsid w:val="003F10BE"/>
    <w:rsid w:val="003F5F95"/>
    <w:rsid w:val="00401D8B"/>
    <w:rsid w:val="00410C55"/>
    <w:rsid w:val="00415FE6"/>
    <w:rsid w:val="00416854"/>
    <w:rsid w:val="00417725"/>
    <w:rsid w:val="00420709"/>
    <w:rsid w:val="004375DD"/>
    <w:rsid w:val="00437F26"/>
    <w:rsid w:val="00444097"/>
    <w:rsid w:val="00445487"/>
    <w:rsid w:val="0044713F"/>
    <w:rsid w:val="00447E0D"/>
    <w:rsid w:val="00453A68"/>
    <w:rsid w:val="00454769"/>
    <w:rsid w:val="0046222F"/>
    <w:rsid w:val="00465D27"/>
    <w:rsid w:val="00466991"/>
    <w:rsid w:val="0047064C"/>
    <w:rsid w:val="00470A52"/>
    <w:rsid w:val="00476A4B"/>
    <w:rsid w:val="00480B10"/>
    <w:rsid w:val="004822B7"/>
    <w:rsid w:val="00483E03"/>
    <w:rsid w:val="004844FA"/>
    <w:rsid w:val="0049469E"/>
    <w:rsid w:val="004A2217"/>
    <w:rsid w:val="004A24F9"/>
    <w:rsid w:val="004A42E1"/>
    <w:rsid w:val="004A7DDC"/>
    <w:rsid w:val="004B162C"/>
    <w:rsid w:val="004B2ABE"/>
    <w:rsid w:val="004B50B2"/>
    <w:rsid w:val="004C3DBE"/>
    <w:rsid w:val="004C5C96"/>
    <w:rsid w:val="004D06A4"/>
    <w:rsid w:val="004E4F58"/>
    <w:rsid w:val="004F14FF"/>
    <w:rsid w:val="004F1A81"/>
    <w:rsid w:val="004F2185"/>
    <w:rsid w:val="004F3976"/>
    <w:rsid w:val="005050D2"/>
    <w:rsid w:val="00511D7B"/>
    <w:rsid w:val="0051272E"/>
    <w:rsid w:val="00514C13"/>
    <w:rsid w:val="00516D71"/>
    <w:rsid w:val="005218D9"/>
    <w:rsid w:val="00521EED"/>
    <w:rsid w:val="0052216E"/>
    <w:rsid w:val="0052418A"/>
    <w:rsid w:val="005254C3"/>
    <w:rsid w:val="00533344"/>
    <w:rsid w:val="005357DF"/>
    <w:rsid w:val="005360CF"/>
    <w:rsid w:val="00536186"/>
    <w:rsid w:val="00541928"/>
    <w:rsid w:val="00541E9C"/>
    <w:rsid w:val="00544CBB"/>
    <w:rsid w:val="00545499"/>
    <w:rsid w:val="005526A1"/>
    <w:rsid w:val="00562374"/>
    <w:rsid w:val="005656D7"/>
    <w:rsid w:val="0056690C"/>
    <w:rsid w:val="00567280"/>
    <w:rsid w:val="00571C42"/>
    <w:rsid w:val="0057315F"/>
    <w:rsid w:val="005738A4"/>
    <w:rsid w:val="00576104"/>
    <w:rsid w:val="00580923"/>
    <w:rsid w:val="00580BDD"/>
    <w:rsid w:val="00584860"/>
    <w:rsid w:val="00590351"/>
    <w:rsid w:val="00592B21"/>
    <w:rsid w:val="005A110C"/>
    <w:rsid w:val="005B44BF"/>
    <w:rsid w:val="005B66F5"/>
    <w:rsid w:val="005C4410"/>
    <w:rsid w:val="005C4DFD"/>
    <w:rsid w:val="005C67C8"/>
    <w:rsid w:val="005C73B4"/>
    <w:rsid w:val="005C782C"/>
    <w:rsid w:val="005D0249"/>
    <w:rsid w:val="005D18FA"/>
    <w:rsid w:val="005D2120"/>
    <w:rsid w:val="005D25CF"/>
    <w:rsid w:val="005D4FD4"/>
    <w:rsid w:val="005D6E8C"/>
    <w:rsid w:val="005E287A"/>
    <w:rsid w:val="005E29FF"/>
    <w:rsid w:val="005E3004"/>
    <w:rsid w:val="005E3C86"/>
    <w:rsid w:val="005F100C"/>
    <w:rsid w:val="005F68DA"/>
    <w:rsid w:val="00601BC9"/>
    <w:rsid w:val="0060773B"/>
    <w:rsid w:val="00613FD6"/>
    <w:rsid w:val="00614E24"/>
    <w:rsid w:val="006157B5"/>
    <w:rsid w:val="00616741"/>
    <w:rsid w:val="00617224"/>
    <w:rsid w:val="00620222"/>
    <w:rsid w:val="00620245"/>
    <w:rsid w:val="006233C8"/>
    <w:rsid w:val="00624B58"/>
    <w:rsid w:val="00624C92"/>
    <w:rsid w:val="00626FC6"/>
    <w:rsid w:val="006303B4"/>
    <w:rsid w:val="00630ADC"/>
    <w:rsid w:val="00633D3D"/>
    <w:rsid w:val="006343C4"/>
    <w:rsid w:val="006368F1"/>
    <w:rsid w:val="00641703"/>
    <w:rsid w:val="006431A6"/>
    <w:rsid w:val="00643B4C"/>
    <w:rsid w:val="00643E3A"/>
    <w:rsid w:val="00644CBF"/>
    <w:rsid w:val="006459F6"/>
    <w:rsid w:val="006501AD"/>
    <w:rsid w:val="00651BFA"/>
    <w:rsid w:val="006534F9"/>
    <w:rsid w:val="00654475"/>
    <w:rsid w:val="00655560"/>
    <w:rsid w:val="00655F5E"/>
    <w:rsid w:val="00656DF0"/>
    <w:rsid w:val="00661446"/>
    <w:rsid w:val="00665A4B"/>
    <w:rsid w:val="00665D0D"/>
    <w:rsid w:val="006713B7"/>
    <w:rsid w:val="00674C83"/>
    <w:rsid w:val="00676F7F"/>
    <w:rsid w:val="00684351"/>
    <w:rsid w:val="00684BE1"/>
    <w:rsid w:val="00692E2A"/>
    <w:rsid w:val="00693692"/>
    <w:rsid w:val="006965E2"/>
    <w:rsid w:val="006A76F2"/>
    <w:rsid w:val="006A7DE0"/>
    <w:rsid w:val="006B6333"/>
    <w:rsid w:val="006D19D4"/>
    <w:rsid w:val="006D2247"/>
    <w:rsid w:val="006D33B6"/>
    <w:rsid w:val="006D7BAB"/>
    <w:rsid w:val="006D7EFB"/>
    <w:rsid w:val="006E6672"/>
    <w:rsid w:val="006E6722"/>
    <w:rsid w:val="006F0198"/>
    <w:rsid w:val="006F0D46"/>
    <w:rsid w:val="006F27D0"/>
    <w:rsid w:val="006F3475"/>
    <w:rsid w:val="006F7AFF"/>
    <w:rsid w:val="007027B9"/>
    <w:rsid w:val="007066B5"/>
    <w:rsid w:val="00710DD1"/>
    <w:rsid w:val="00711F4E"/>
    <w:rsid w:val="007145DA"/>
    <w:rsid w:val="00715E88"/>
    <w:rsid w:val="00720092"/>
    <w:rsid w:val="00721A6D"/>
    <w:rsid w:val="007334E8"/>
    <w:rsid w:val="00734CAA"/>
    <w:rsid w:val="00741552"/>
    <w:rsid w:val="00742680"/>
    <w:rsid w:val="00744004"/>
    <w:rsid w:val="007551E2"/>
    <w:rsid w:val="0075533C"/>
    <w:rsid w:val="00755A53"/>
    <w:rsid w:val="00757581"/>
    <w:rsid w:val="007602F5"/>
    <w:rsid w:val="00760D36"/>
    <w:rsid w:val="007611A0"/>
    <w:rsid w:val="00773E54"/>
    <w:rsid w:val="00774E34"/>
    <w:rsid w:val="00775D8D"/>
    <w:rsid w:val="00777B90"/>
    <w:rsid w:val="0078489D"/>
    <w:rsid w:val="00787240"/>
    <w:rsid w:val="00787688"/>
    <w:rsid w:val="007935E6"/>
    <w:rsid w:val="00796D3F"/>
    <w:rsid w:val="007A1683"/>
    <w:rsid w:val="007A3DC0"/>
    <w:rsid w:val="007A5C12"/>
    <w:rsid w:val="007A7CB0"/>
    <w:rsid w:val="007B1C13"/>
    <w:rsid w:val="007B68A3"/>
    <w:rsid w:val="007C2541"/>
    <w:rsid w:val="007D66A8"/>
    <w:rsid w:val="007E003F"/>
    <w:rsid w:val="007E5F07"/>
    <w:rsid w:val="007F0CF8"/>
    <w:rsid w:val="007F62CB"/>
    <w:rsid w:val="00805335"/>
    <w:rsid w:val="008142EC"/>
    <w:rsid w:val="008164F2"/>
    <w:rsid w:val="00821395"/>
    <w:rsid w:val="00826AF3"/>
    <w:rsid w:val="00830E26"/>
    <w:rsid w:val="00833D15"/>
    <w:rsid w:val="00842874"/>
    <w:rsid w:val="00843576"/>
    <w:rsid w:val="00843B64"/>
    <w:rsid w:val="008473F4"/>
    <w:rsid w:val="008478FC"/>
    <w:rsid w:val="00851756"/>
    <w:rsid w:val="00851C51"/>
    <w:rsid w:val="00856CDB"/>
    <w:rsid w:val="00867A15"/>
    <w:rsid w:val="00867BFF"/>
    <w:rsid w:val="00871542"/>
    <w:rsid w:val="00871E08"/>
    <w:rsid w:val="00872BF6"/>
    <w:rsid w:val="00874534"/>
    <w:rsid w:val="0088480A"/>
    <w:rsid w:val="0088757A"/>
    <w:rsid w:val="0089431B"/>
    <w:rsid w:val="00894479"/>
    <w:rsid w:val="00894DA2"/>
    <w:rsid w:val="00895668"/>
    <w:rsid w:val="008957DD"/>
    <w:rsid w:val="00897D98"/>
    <w:rsid w:val="008A2570"/>
    <w:rsid w:val="008A2F23"/>
    <w:rsid w:val="008A520B"/>
    <w:rsid w:val="008A6DF2"/>
    <w:rsid w:val="008A7807"/>
    <w:rsid w:val="008B0CED"/>
    <w:rsid w:val="008B4CC9"/>
    <w:rsid w:val="008B6ECC"/>
    <w:rsid w:val="008C34A4"/>
    <w:rsid w:val="008C5EE0"/>
    <w:rsid w:val="008C5FFF"/>
    <w:rsid w:val="008D1818"/>
    <w:rsid w:val="008D4EF1"/>
    <w:rsid w:val="008D75E4"/>
    <w:rsid w:val="008D7C99"/>
    <w:rsid w:val="008E0FCB"/>
    <w:rsid w:val="008E54E3"/>
    <w:rsid w:val="008F51AE"/>
    <w:rsid w:val="008F6DFE"/>
    <w:rsid w:val="009008EA"/>
    <w:rsid w:val="0090529F"/>
    <w:rsid w:val="00905742"/>
    <w:rsid w:val="00917EEE"/>
    <w:rsid w:val="0092178C"/>
    <w:rsid w:val="00922BA1"/>
    <w:rsid w:val="009249FD"/>
    <w:rsid w:val="00930B88"/>
    <w:rsid w:val="00934554"/>
    <w:rsid w:val="00940DCC"/>
    <w:rsid w:val="0094179A"/>
    <w:rsid w:val="00942112"/>
    <w:rsid w:val="00942F46"/>
    <w:rsid w:val="0094459E"/>
    <w:rsid w:val="00944DBC"/>
    <w:rsid w:val="00950977"/>
    <w:rsid w:val="00951A7B"/>
    <w:rsid w:val="009541FC"/>
    <w:rsid w:val="009564A6"/>
    <w:rsid w:val="00960425"/>
    <w:rsid w:val="00966A53"/>
    <w:rsid w:val="00967621"/>
    <w:rsid w:val="00967E6A"/>
    <w:rsid w:val="0097657A"/>
    <w:rsid w:val="009907B9"/>
    <w:rsid w:val="00990918"/>
    <w:rsid w:val="00991B19"/>
    <w:rsid w:val="009A2194"/>
    <w:rsid w:val="009A3A83"/>
    <w:rsid w:val="009A409B"/>
    <w:rsid w:val="009A7349"/>
    <w:rsid w:val="009B0D04"/>
    <w:rsid w:val="009B1C44"/>
    <w:rsid w:val="009B30FD"/>
    <w:rsid w:val="009B4A0F"/>
    <w:rsid w:val="009C11D2"/>
    <w:rsid w:val="009C3362"/>
    <w:rsid w:val="009C6C70"/>
    <w:rsid w:val="009C7B0A"/>
    <w:rsid w:val="009D0B63"/>
    <w:rsid w:val="009D0FE9"/>
    <w:rsid w:val="009D197D"/>
    <w:rsid w:val="009D32CE"/>
    <w:rsid w:val="009D5CB8"/>
    <w:rsid w:val="009E307E"/>
    <w:rsid w:val="009E5FC5"/>
    <w:rsid w:val="009F0A2A"/>
    <w:rsid w:val="009F7611"/>
    <w:rsid w:val="00A0132D"/>
    <w:rsid w:val="00A018C0"/>
    <w:rsid w:val="00A056B5"/>
    <w:rsid w:val="00A07870"/>
    <w:rsid w:val="00A07C54"/>
    <w:rsid w:val="00A07F19"/>
    <w:rsid w:val="00A1348D"/>
    <w:rsid w:val="00A13C99"/>
    <w:rsid w:val="00A1495C"/>
    <w:rsid w:val="00A230B0"/>
    <w:rsid w:val="00A232EE"/>
    <w:rsid w:val="00A243E5"/>
    <w:rsid w:val="00A2589A"/>
    <w:rsid w:val="00A345E1"/>
    <w:rsid w:val="00A414F6"/>
    <w:rsid w:val="00A4175F"/>
    <w:rsid w:val="00A43A67"/>
    <w:rsid w:val="00A44411"/>
    <w:rsid w:val="00A469FA"/>
    <w:rsid w:val="00A53662"/>
    <w:rsid w:val="00A54CB9"/>
    <w:rsid w:val="00A55B01"/>
    <w:rsid w:val="00A55DA3"/>
    <w:rsid w:val="00A56158"/>
    <w:rsid w:val="00A56B5B"/>
    <w:rsid w:val="00A603FF"/>
    <w:rsid w:val="00A619B6"/>
    <w:rsid w:val="00A648CA"/>
    <w:rsid w:val="00A657DD"/>
    <w:rsid w:val="00A65D0C"/>
    <w:rsid w:val="00A666A6"/>
    <w:rsid w:val="00A675FD"/>
    <w:rsid w:val="00A72437"/>
    <w:rsid w:val="00A752FE"/>
    <w:rsid w:val="00A8048B"/>
    <w:rsid w:val="00A80611"/>
    <w:rsid w:val="00A84544"/>
    <w:rsid w:val="00A91D38"/>
    <w:rsid w:val="00A92050"/>
    <w:rsid w:val="00AA2EC0"/>
    <w:rsid w:val="00AA5BF4"/>
    <w:rsid w:val="00AA738A"/>
    <w:rsid w:val="00AB5340"/>
    <w:rsid w:val="00AC0A89"/>
    <w:rsid w:val="00AC4F32"/>
    <w:rsid w:val="00AC62F0"/>
    <w:rsid w:val="00AC7252"/>
    <w:rsid w:val="00AC7C96"/>
    <w:rsid w:val="00AD1D99"/>
    <w:rsid w:val="00AD2C81"/>
    <w:rsid w:val="00AD4326"/>
    <w:rsid w:val="00AE237D"/>
    <w:rsid w:val="00AE26D5"/>
    <w:rsid w:val="00AE38EB"/>
    <w:rsid w:val="00AE502A"/>
    <w:rsid w:val="00AF0010"/>
    <w:rsid w:val="00AF2C1F"/>
    <w:rsid w:val="00AF5E0F"/>
    <w:rsid w:val="00AF7A9F"/>
    <w:rsid w:val="00AF7C07"/>
    <w:rsid w:val="00B03E98"/>
    <w:rsid w:val="00B06C64"/>
    <w:rsid w:val="00B10CD8"/>
    <w:rsid w:val="00B11CAC"/>
    <w:rsid w:val="00B15A29"/>
    <w:rsid w:val="00B17A26"/>
    <w:rsid w:val="00B22C93"/>
    <w:rsid w:val="00B27589"/>
    <w:rsid w:val="00B3178D"/>
    <w:rsid w:val="00B405B7"/>
    <w:rsid w:val="00B45A38"/>
    <w:rsid w:val="00B52222"/>
    <w:rsid w:val="00B52581"/>
    <w:rsid w:val="00B531DA"/>
    <w:rsid w:val="00B54895"/>
    <w:rsid w:val="00B54FE7"/>
    <w:rsid w:val="00B62CB6"/>
    <w:rsid w:val="00B647C6"/>
    <w:rsid w:val="00B655F9"/>
    <w:rsid w:val="00B66901"/>
    <w:rsid w:val="00B67021"/>
    <w:rsid w:val="00B70F47"/>
    <w:rsid w:val="00B71151"/>
    <w:rsid w:val="00B71E6D"/>
    <w:rsid w:val="00B72070"/>
    <w:rsid w:val="00B779E1"/>
    <w:rsid w:val="00B81E3A"/>
    <w:rsid w:val="00B85CFB"/>
    <w:rsid w:val="00B91EE1"/>
    <w:rsid w:val="00B925AD"/>
    <w:rsid w:val="00B94602"/>
    <w:rsid w:val="00BA0090"/>
    <w:rsid w:val="00BA1A67"/>
    <w:rsid w:val="00BA6A80"/>
    <w:rsid w:val="00BB3A5D"/>
    <w:rsid w:val="00BB4ABB"/>
    <w:rsid w:val="00BC041F"/>
    <w:rsid w:val="00BC5810"/>
    <w:rsid w:val="00BD3491"/>
    <w:rsid w:val="00BD506D"/>
    <w:rsid w:val="00BE51AD"/>
    <w:rsid w:val="00BE5B5F"/>
    <w:rsid w:val="00BE7993"/>
    <w:rsid w:val="00BF3C98"/>
    <w:rsid w:val="00BF58C3"/>
    <w:rsid w:val="00BF5992"/>
    <w:rsid w:val="00BF6873"/>
    <w:rsid w:val="00C027FF"/>
    <w:rsid w:val="00C116AA"/>
    <w:rsid w:val="00C12FD1"/>
    <w:rsid w:val="00C168A7"/>
    <w:rsid w:val="00C172E3"/>
    <w:rsid w:val="00C20A2D"/>
    <w:rsid w:val="00C26F55"/>
    <w:rsid w:val="00C27DCA"/>
    <w:rsid w:val="00C30C63"/>
    <w:rsid w:val="00C30FF3"/>
    <w:rsid w:val="00C36B8B"/>
    <w:rsid w:val="00C415C1"/>
    <w:rsid w:val="00C4766A"/>
    <w:rsid w:val="00C47DBF"/>
    <w:rsid w:val="00C543FE"/>
    <w:rsid w:val="00C552FF"/>
    <w:rsid w:val="00C558DA"/>
    <w:rsid w:val="00C55AF3"/>
    <w:rsid w:val="00C57E56"/>
    <w:rsid w:val="00C6062B"/>
    <w:rsid w:val="00C724EE"/>
    <w:rsid w:val="00C75781"/>
    <w:rsid w:val="00C771A9"/>
    <w:rsid w:val="00C84759"/>
    <w:rsid w:val="00C854BD"/>
    <w:rsid w:val="00C870D8"/>
    <w:rsid w:val="00C87AAA"/>
    <w:rsid w:val="00C87EEF"/>
    <w:rsid w:val="00C93753"/>
    <w:rsid w:val="00CA1B79"/>
    <w:rsid w:val="00CA2EA3"/>
    <w:rsid w:val="00CA5CA9"/>
    <w:rsid w:val="00CA6C7F"/>
    <w:rsid w:val="00CB6B35"/>
    <w:rsid w:val="00CB71A3"/>
    <w:rsid w:val="00CC0FC7"/>
    <w:rsid w:val="00CC10A6"/>
    <w:rsid w:val="00CC4510"/>
    <w:rsid w:val="00CC7142"/>
    <w:rsid w:val="00CD2011"/>
    <w:rsid w:val="00CD46C5"/>
    <w:rsid w:val="00CD5EB8"/>
    <w:rsid w:val="00CD7044"/>
    <w:rsid w:val="00CE08B9"/>
    <w:rsid w:val="00CE524C"/>
    <w:rsid w:val="00CF141F"/>
    <w:rsid w:val="00CF4777"/>
    <w:rsid w:val="00CF65C8"/>
    <w:rsid w:val="00D013F5"/>
    <w:rsid w:val="00D05E3F"/>
    <w:rsid w:val="00D067BB"/>
    <w:rsid w:val="00D11657"/>
    <w:rsid w:val="00D1226D"/>
    <w:rsid w:val="00D1352A"/>
    <w:rsid w:val="00D15EC4"/>
    <w:rsid w:val="00D169AF"/>
    <w:rsid w:val="00D25249"/>
    <w:rsid w:val="00D342E5"/>
    <w:rsid w:val="00D37EBA"/>
    <w:rsid w:val="00D40489"/>
    <w:rsid w:val="00D411B5"/>
    <w:rsid w:val="00D4234C"/>
    <w:rsid w:val="00D44172"/>
    <w:rsid w:val="00D47BE3"/>
    <w:rsid w:val="00D51D78"/>
    <w:rsid w:val="00D52975"/>
    <w:rsid w:val="00D555AC"/>
    <w:rsid w:val="00D63B8C"/>
    <w:rsid w:val="00D651E4"/>
    <w:rsid w:val="00D739CC"/>
    <w:rsid w:val="00D8093D"/>
    <w:rsid w:val="00D8108C"/>
    <w:rsid w:val="00D842AE"/>
    <w:rsid w:val="00D9211C"/>
    <w:rsid w:val="00D92DE0"/>
    <w:rsid w:val="00D92FEF"/>
    <w:rsid w:val="00D93A0F"/>
    <w:rsid w:val="00D94C06"/>
    <w:rsid w:val="00D9579D"/>
    <w:rsid w:val="00DA1BCA"/>
    <w:rsid w:val="00DA4A45"/>
    <w:rsid w:val="00DA6C01"/>
    <w:rsid w:val="00DB34E0"/>
    <w:rsid w:val="00DB5925"/>
    <w:rsid w:val="00DC46FF"/>
    <w:rsid w:val="00DC5254"/>
    <w:rsid w:val="00DC569D"/>
    <w:rsid w:val="00DC5AB5"/>
    <w:rsid w:val="00DD0B5A"/>
    <w:rsid w:val="00DD1A4F"/>
    <w:rsid w:val="00DD3107"/>
    <w:rsid w:val="00DD7C2C"/>
    <w:rsid w:val="00DE5BDA"/>
    <w:rsid w:val="00DF433C"/>
    <w:rsid w:val="00E0035A"/>
    <w:rsid w:val="00E06797"/>
    <w:rsid w:val="00E1265B"/>
    <w:rsid w:val="00E13B48"/>
    <w:rsid w:val="00E1404F"/>
    <w:rsid w:val="00E2042D"/>
    <w:rsid w:val="00E21C83"/>
    <w:rsid w:val="00E24ADA"/>
    <w:rsid w:val="00E32F59"/>
    <w:rsid w:val="00E3556E"/>
    <w:rsid w:val="00E41908"/>
    <w:rsid w:val="00E43BBC"/>
    <w:rsid w:val="00E46D9A"/>
    <w:rsid w:val="00E565FF"/>
    <w:rsid w:val="00E65388"/>
    <w:rsid w:val="00E660D9"/>
    <w:rsid w:val="00E71382"/>
    <w:rsid w:val="00E74C25"/>
    <w:rsid w:val="00E76752"/>
    <w:rsid w:val="00E7741D"/>
    <w:rsid w:val="00E808CD"/>
    <w:rsid w:val="00E82928"/>
    <w:rsid w:val="00E8348F"/>
    <w:rsid w:val="00E85B7D"/>
    <w:rsid w:val="00E9121B"/>
    <w:rsid w:val="00E9302E"/>
    <w:rsid w:val="00E94F86"/>
    <w:rsid w:val="00E9582E"/>
    <w:rsid w:val="00E96942"/>
    <w:rsid w:val="00E976AB"/>
    <w:rsid w:val="00EA0AE2"/>
    <w:rsid w:val="00EA1159"/>
    <w:rsid w:val="00EA2032"/>
    <w:rsid w:val="00EA39E5"/>
    <w:rsid w:val="00EA57A3"/>
    <w:rsid w:val="00EC2813"/>
    <w:rsid w:val="00EC4197"/>
    <w:rsid w:val="00EC5A46"/>
    <w:rsid w:val="00EC6114"/>
    <w:rsid w:val="00EC63E2"/>
    <w:rsid w:val="00EC7AAA"/>
    <w:rsid w:val="00ED366A"/>
    <w:rsid w:val="00ED6BB7"/>
    <w:rsid w:val="00EE027A"/>
    <w:rsid w:val="00EE1723"/>
    <w:rsid w:val="00EE4408"/>
    <w:rsid w:val="00EE6AE9"/>
    <w:rsid w:val="00EF19FD"/>
    <w:rsid w:val="00EF22B3"/>
    <w:rsid w:val="00EF5D53"/>
    <w:rsid w:val="00F029BD"/>
    <w:rsid w:val="00F03B69"/>
    <w:rsid w:val="00F07A50"/>
    <w:rsid w:val="00F113DA"/>
    <w:rsid w:val="00F12DA4"/>
    <w:rsid w:val="00F132DD"/>
    <w:rsid w:val="00F1495C"/>
    <w:rsid w:val="00F1712F"/>
    <w:rsid w:val="00F22A8E"/>
    <w:rsid w:val="00F266FC"/>
    <w:rsid w:val="00F3037A"/>
    <w:rsid w:val="00F3465A"/>
    <w:rsid w:val="00F35721"/>
    <w:rsid w:val="00F37DC8"/>
    <w:rsid w:val="00F439B3"/>
    <w:rsid w:val="00F650C3"/>
    <w:rsid w:val="00F65D85"/>
    <w:rsid w:val="00F6700B"/>
    <w:rsid w:val="00F71760"/>
    <w:rsid w:val="00F8091E"/>
    <w:rsid w:val="00F83855"/>
    <w:rsid w:val="00F8615C"/>
    <w:rsid w:val="00F8673E"/>
    <w:rsid w:val="00F969E5"/>
    <w:rsid w:val="00FA1D9B"/>
    <w:rsid w:val="00FA3168"/>
    <w:rsid w:val="00FA4972"/>
    <w:rsid w:val="00FA6617"/>
    <w:rsid w:val="00FA6BB0"/>
    <w:rsid w:val="00FB0AC5"/>
    <w:rsid w:val="00FB2DBD"/>
    <w:rsid w:val="00FB53D9"/>
    <w:rsid w:val="00FC6DA0"/>
    <w:rsid w:val="00FC7090"/>
    <w:rsid w:val="00FD48DF"/>
    <w:rsid w:val="00FD5860"/>
    <w:rsid w:val="00FE352D"/>
    <w:rsid w:val="00FE40EB"/>
    <w:rsid w:val="00FE4D02"/>
    <w:rsid w:val="00FE7D62"/>
    <w:rsid w:val="00FF08D3"/>
    <w:rsid w:val="00FF3559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275BAC1F"/>
  <w15:docId w15:val="{B02D798A-72AB-4EF1-A6BA-6C361C070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number"/>
    <w:link w:val="CH3Cha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pool"/>
    <w:link w:val="FootnoteTextChar"/>
    <w:qFormat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4293F"/>
    <w:rPr>
      <w:sz w:val="18"/>
      <w:lang w:val="ru-RU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character" w:customStyle="1" w:styleId="BBTitleChar">
    <w:name w:val="BB_Title Char"/>
    <w:link w:val="BBTitle"/>
    <w:rsid w:val="00312543"/>
    <w:rPr>
      <w:b/>
      <w:sz w:val="28"/>
      <w:szCs w:val="28"/>
      <w:lang w:eastAsia="en-US"/>
    </w:rPr>
  </w:style>
  <w:style w:type="character" w:customStyle="1" w:styleId="CH2Char">
    <w:name w:val="CH2 Char"/>
    <w:link w:val="CH2"/>
    <w:rsid w:val="00312543"/>
    <w:rPr>
      <w:b/>
      <w:sz w:val="24"/>
      <w:szCs w:val="24"/>
      <w:lang w:eastAsia="en-US"/>
    </w:rPr>
  </w:style>
  <w:style w:type="character" w:customStyle="1" w:styleId="CH3Char">
    <w:name w:val="CH3 Char"/>
    <w:link w:val="CH3"/>
    <w:rsid w:val="00312543"/>
    <w:rPr>
      <w:b/>
      <w:lang w:eastAsia="en-US"/>
    </w:rPr>
  </w:style>
  <w:style w:type="character" w:customStyle="1" w:styleId="ZZAnxtitleChar">
    <w:name w:val="ZZ_Anx_title Char"/>
    <w:link w:val="ZZAnxtitle"/>
    <w:rsid w:val="00312543"/>
    <w:rPr>
      <w:b/>
      <w:bCs/>
      <w:sz w:val="28"/>
      <w:szCs w:val="26"/>
      <w:lang w:eastAsia="en-US"/>
    </w:rPr>
  </w:style>
  <w:style w:type="paragraph" w:customStyle="1" w:styleId="Articleheading">
    <w:name w:val="Article heading"/>
    <w:basedOn w:val="Normal"/>
    <w:next w:val="Subtitle"/>
    <w:rsid w:val="00312543"/>
    <w:pPr>
      <w:numPr>
        <w:numId w:val="8"/>
      </w:numPr>
      <w:tabs>
        <w:tab w:val="clear" w:pos="567"/>
        <w:tab w:val="clear" w:pos="1247"/>
        <w:tab w:val="clear" w:pos="1814"/>
        <w:tab w:val="clear" w:pos="2381"/>
        <w:tab w:val="clear" w:pos="2948"/>
        <w:tab w:val="clear" w:pos="3515"/>
      </w:tabs>
      <w:spacing w:after="240"/>
      <w:ind w:left="720" w:firstLine="3600"/>
    </w:pPr>
    <w:rPr>
      <w:sz w:val="28"/>
      <w:szCs w:val="28"/>
    </w:rPr>
  </w:style>
  <w:style w:type="character" w:customStyle="1" w:styleId="ZZAnxheaderChar">
    <w:name w:val="ZZ_Anx_header Char"/>
    <w:link w:val="ZZAnxheader"/>
    <w:rsid w:val="00312543"/>
    <w:rPr>
      <w:b/>
      <w:bCs/>
      <w:sz w:val="28"/>
      <w:szCs w:val="22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312543"/>
    <w:pPr>
      <w:spacing w:after="60"/>
      <w:jc w:val="center"/>
      <w:outlineLvl w:val="1"/>
    </w:pPr>
    <w:rPr>
      <w:rFonts w:ascii="Cambria" w:eastAsia="SimSun" w:hAnsi="Cambria"/>
      <w:sz w:val="24"/>
      <w:szCs w:val="24"/>
    </w:rPr>
  </w:style>
  <w:style w:type="character" w:customStyle="1" w:styleId="SubtitleChar">
    <w:name w:val="Subtitle Char"/>
    <w:link w:val="Subtitle"/>
    <w:rsid w:val="00312543"/>
    <w:rPr>
      <w:rFonts w:ascii="Cambria" w:eastAsia="SimSun" w:hAnsi="Cambria" w:cs="Times New Roman"/>
      <w:sz w:val="24"/>
      <w:szCs w:val="24"/>
      <w:lang w:eastAsia="en-US"/>
    </w:r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ru-RU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</w:style>
  <w:style w:type="paragraph" w:customStyle="1" w:styleId="Normalnumber">
    <w:name w:val="Normal_number"/>
    <w:basedOn w:val="Normalpool"/>
    <w:rsid w:val="000832C7"/>
    <w:pPr>
      <w:numPr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</w:rPr>
  </w:style>
  <w:style w:type="paragraph" w:styleId="Revision">
    <w:name w:val="Revision"/>
    <w:hidden/>
    <w:uiPriority w:val="99"/>
    <w:semiHidden/>
    <w:rsid w:val="00255632"/>
    <w:rPr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965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ercuryconvention.org/Countries/Parties/MinamataInitialAssessments/tabid/6166/language/en-US/Default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7EC2F-B826-4EB3-B191-5493D58C7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9</Pages>
  <Words>4267</Words>
  <Characters>30644</Characters>
  <Application>Microsoft Office Word</Application>
  <DocSecurity>0</DocSecurity>
  <Lines>255</Lines>
  <Paragraphs>69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34842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Tamara Olago</cp:lastModifiedBy>
  <cp:revision>6</cp:revision>
  <cp:lastPrinted>2019-07-16T12:06:00Z</cp:lastPrinted>
  <dcterms:created xsi:type="dcterms:W3CDTF">2019-09-18T12:15:00Z</dcterms:created>
  <dcterms:modified xsi:type="dcterms:W3CDTF">2019-09-24T06:37:00Z</dcterms:modified>
</cp:coreProperties>
</file>