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48" w:type="pct"/>
        <w:jc w:val="right"/>
        <w:tblLayout w:type="fixed"/>
        <w:tblLook w:val="04A0" w:firstRow="1" w:lastRow="0" w:firstColumn="1" w:lastColumn="0" w:noHBand="0" w:noVBand="1"/>
      </w:tblPr>
      <w:tblGrid>
        <w:gridCol w:w="1516"/>
        <w:gridCol w:w="4643"/>
        <w:gridCol w:w="3618"/>
      </w:tblGrid>
      <w:tr w:rsidR="00465C40" w14:paraId="6EE5A6D4" w14:textId="77777777" w:rsidTr="001069EF">
        <w:trPr>
          <w:cantSplit/>
          <w:trHeight w:val="850"/>
          <w:jc w:val="right"/>
        </w:trPr>
        <w:tc>
          <w:tcPr>
            <w:tcW w:w="1516" w:type="dxa"/>
            <w:hideMark/>
          </w:tcPr>
          <w:p w14:paraId="5D82ADF3" w14:textId="77777777" w:rsidR="00465C40" w:rsidRDefault="00465C40" w:rsidP="001069EF">
            <w:pPr>
              <w:rPr>
                <w:rFonts w:ascii="Univers" w:hAnsi="Univers"/>
                <w:b/>
                <w:noProof/>
                <w:sz w:val="27"/>
                <w:szCs w:val="27"/>
              </w:rPr>
            </w:pPr>
            <w:bookmarkStart w:id="0" w:name="_Hlk517786179"/>
            <w:r>
              <w:rPr>
                <w:rFonts w:ascii="Arial" w:hAnsi="Arial" w:cs="Arial"/>
                <w:b/>
                <w:noProof/>
                <w:sz w:val="27"/>
                <w:szCs w:val="27"/>
              </w:rPr>
              <w:t>NATIONS</w:t>
            </w:r>
            <w:r>
              <w:rPr>
                <w:rFonts w:ascii="Arial" w:hAnsi="Arial" w:cs="Arial"/>
                <w:b/>
                <w:noProof/>
                <w:sz w:val="27"/>
                <w:szCs w:val="27"/>
              </w:rPr>
              <w:br/>
              <w:t>UNIES</w:t>
            </w:r>
          </w:p>
        </w:tc>
        <w:tc>
          <w:tcPr>
            <w:tcW w:w="4643" w:type="dxa"/>
          </w:tcPr>
          <w:p w14:paraId="7958231C" w14:textId="77777777" w:rsidR="00465C40" w:rsidRDefault="00465C40">
            <w:pPr>
              <w:rPr>
                <w:rFonts w:ascii="Univers" w:hAnsi="Univers"/>
                <w:b/>
                <w:sz w:val="27"/>
                <w:szCs w:val="27"/>
              </w:rPr>
            </w:pPr>
          </w:p>
        </w:tc>
        <w:tc>
          <w:tcPr>
            <w:tcW w:w="3618" w:type="dxa"/>
            <w:hideMark/>
          </w:tcPr>
          <w:p w14:paraId="4547CF39" w14:textId="77777777" w:rsidR="00465C40" w:rsidRDefault="00465C40">
            <w:pPr>
              <w:jc w:val="right"/>
              <w:rPr>
                <w:rFonts w:ascii="Arial" w:hAnsi="Arial" w:cs="Arial"/>
                <w:b/>
                <w:sz w:val="64"/>
                <w:szCs w:val="64"/>
              </w:rPr>
            </w:pPr>
            <w:r>
              <w:rPr>
                <w:rFonts w:ascii="Arial" w:hAnsi="Arial" w:cs="Arial"/>
                <w:b/>
                <w:sz w:val="64"/>
                <w:szCs w:val="64"/>
              </w:rPr>
              <w:t>MC</w:t>
            </w:r>
          </w:p>
        </w:tc>
      </w:tr>
      <w:tr w:rsidR="00465C40" w14:paraId="05F9AEED" w14:textId="77777777" w:rsidTr="001069EF">
        <w:trPr>
          <w:cantSplit/>
          <w:trHeight w:val="281"/>
          <w:jc w:val="right"/>
        </w:trPr>
        <w:tc>
          <w:tcPr>
            <w:tcW w:w="1516" w:type="dxa"/>
            <w:tcBorders>
              <w:top w:val="nil"/>
              <w:left w:val="nil"/>
              <w:bottom w:val="single" w:sz="4" w:space="0" w:color="auto"/>
              <w:right w:val="nil"/>
            </w:tcBorders>
          </w:tcPr>
          <w:p w14:paraId="7B3E0D25" w14:textId="77777777" w:rsidR="00465C40" w:rsidRDefault="00465C40">
            <w:pPr>
              <w:rPr>
                <w:noProof/>
                <w:sz w:val="18"/>
                <w:szCs w:val="18"/>
              </w:rPr>
            </w:pPr>
          </w:p>
        </w:tc>
        <w:tc>
          <w:tcPr>
            <w:tcW w:w="4643" w:type="dxa"/>
            <w:tcBorders>
              <w:top w:val="nil"/>
              <w:left w:val="nil"/>
              <w:bottom w:val="single" w:sz="4" w:space="0" w:color="auto"/>
              <w:right w:val="nil"/>
            </w:tcBorders>
          </w:tcPr>
          <w:p w14:paraId="168B47A5" w14:textId="77777777" w:rsidR="00465C40" w:rsidRDefault="00465C40">
            <w:pPr>
              <w:rPr>
                <w:rFonts w:ascii="Univers" w:hAnsi="Univers"/>
                <w:b/>
                <w:sz w:val="18"/>
                <w:szCs w:val="18"/>
              </w:rPr>
            </w:pPr>
          </w:p>
        </w:tc>
        <w:tc>
          <w:tcPr>
            <w:tcW w:w="3618" w:type="dxa"/>
            <w:tcBorders>
              <w:top w:val="nil"/>
              <w:left w:val="nil"/>
              <w:bottom w:val="single" w:sz="4" w:space="0" w:color="auto"/>
              <w:right w:val="nil"/>
            </w:tcBorders>
            <w:hideMark/>
          </w:tcPr>
          <w:p w14:paraId="78483A83" w14:textId="05F06CE9" w:rsidR="00465C40" w:rsidRDefault="00465C40">
            <w:pPr>
              <w:rPr>
                <w:noProof/>
                <w:sz w:val="18"/>
                <w:szCs w:val="18"/>
              </w:rPr>
            </w:pPr>
            <w:r>
              <w:rPr>
                <w:b/>
                <w:bCs/>
                <w:sz w:val="28"/>
              </w:rPr>
              <w:t>UNEP</w:t>
            </w:r>
            <w:bookmarkStart w:id="1" w:name="OLE_LINK1"/>
            <w:bookmarkStart w:id="2" w:name="OLE_LINK2"/>
            <w:r>
              <w:rPr>
                <w:b/>
                <w:bCs/>
                <w:sz w:val="28"/>
              </w:rPr>
              <w:t>/</w:t>
            </w:r>
            <w:r>
              <w:t>MC/</w:t>
            </w:r>
            <w:bookmarkEnd w:id="1"/>
            <w:bookmarkEnd w:id="2"/>
            <w:r>
              <w:t>COP.3/19</w:t>
            </w:r>
          </w:p>
        </w:tc>
      </w:tr>
      <w:bookmarkStart w:id="3" w:name="_MON_1021710510"/>
      <w:bookmarkEnd w:id="3"/>
      <w:tr w:rsidR="00465C40" w:rsidRPr="00D83693" w14:paraId="2FD80DA1" w14:textId="77777777" w:rsidTr="001069EF">
        <w:trPr>
          <w:cantSplit/>
          <w:trHeight w:val="2549"/>
          <w:jc w:val="right"/>
        </w:trPr>
        <w:tc>
          <w:tcPr>
            <w:tcW w:w="1516" w:type="dxa"/>
            <w:tcBorders>
              <w:top w:val="single" w:sz="4" w:space="0" w:color="auto"/>
              <w:left w:val="nil"/>
              <w:bottom w:val="single" w:sz="24" w:space="0" w:color="auto"/>
              <w:right w:val="nil"/>
            </w:tcBorders>
            <w:hideMark/>
          </w:tcPr>
          <w:p w14:paraId="56B86CF9" w14:textId="75E24EA8" w:rsidR="00465C40" w:rsidRDefault="00465C40">
            <w:pPr>
              <w:rPr>
                <w:noProof/>
              </w:rPr>
            </w:pPr>
            <w:r>
              <w:rPr>
                <w:rFonts w:eastAsia="Times New Roman"/>
                <w:noProof/>
                <w:lang w:val="fr-FR"/>
              </w:rPr>
              <w:object w:dxaOrig="1305" w:dyaOrig="1230" w14:anchorId="2C1C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9pt" o:ole="" fillcolor="window">
                  <v:imagedata r:id="rId8" o:title=""/>
                </v:shape>
                <o:OLEObject Type="Embed" ProgID="Word.Picture.8" ShapeID="_x0000_i1025" DrawAspect="Content" ObjectID="_1630910681" r:id="rId9"/>
              </w:object>
            </w:r>
            <w:r>
              <w:rPr>
                <w:noProof/>
                <w:lang w:val="fr-FR" w:eastAsia="fr-FR"/>
              </w:rPr>
              <w:drawing>
                <wp:inline distT="0" distB="0" distL="0" distR="0" wp14:anchorId="49730B3B" wp14:editId="00BD368C">
                  <wp:extent cx="723900" cy="771525"/>
                  <wp:effectExtent l="0" t="0" r="0" b="9525"/>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643" w:type="dxa"/>
            <w:tcBorders>
              <w:top w:val="single" w:sz="4" w:space="0" w:color="auto"/>
              <w:left w:val="nil"/>
              <w:bottom w:val="single" w:sz="24" w:space="0" w:color="auto"/>
              <w:right w:val="nil"/>
            </w:tcBorders>
            <w:hideMark/>
          </w:tcPr>
          <w:p w14:paraId="7C39731B" w14:textId="77777777" w:rsidR="00465C40" w:rsidRPr="00465C40" w:rsidRDefault="00465C40">
            <w:pPr>
              <w:spacing w:before="1200"/>
              <w:rPr>
                <w:rFonts w:ascii="Arial" w:hAnsi="Arial" w:cs="Arial"/>
                <w:b/>
                <w:sz w:val="28"/>
                <w:lang w:val="fr-FR"/>
              </w:rPr>
            </w:pPr>
            <w:r w:rsidRPr="00465C40">
              <w:rPr>
                <w:rFonts w:ascii="Arial" w:hAnsi="Arial" w:cs="Arial"/>
                <w:b/>
                <w:sz w:val="32"/>
                <w:szCs w:val="32"/>
                <w:lang w:val="fr-FR"/>
              </w:rPr>
              <w:t>Programme</w:t>
            </w:r>
            <w:r w:rsidRPr="00465C40">
              <w:rPr>
                <w:rFonts w:ascii="Arial" w:hAnsi="Arial" w:cs="Arial"/>
                <w:b/>
                <w:sz w:val="32"/>
                <w:szCs w:val="32"/>
                <w:lang w:val="fr-FR"/>
              </w:rPr>
              <w:br/>
              <w:t>des Nations Unies</w:t>
            </w:r>
            <w:r w:rsidRPr="00465C40">
              <w:rPr>
                <w:rFonts w:ascii="Arial" w:hAnsi="Arial" w:cs="Arial"/>
                <w:b/>
                <w:sz w:val="32"/>
                <w:szCs w:val="32"/>
                <w:lang w:val="fr-FR"/>
              </w:rPr>
              <w:br/>
              <w:t>pour l’environnement</w:t>
            </w:r>
          </w:p>
        </w:tc>
        <w:tc>
          <w:tcPr>
            <w:tcW w:w="3618" w:type="dxa"/>
            <w:tcBorders>
              <w:top w:val="single" w:sz="4" w:space="0" w:color="auto"/>
              <w:left w:val="nil"/>
              <w:bottom w:val="single" w:sz="24" w:space="0" w:color="auto"/>
              <w:right w:val="nil"/>
            </w:tcBorders>
            <w:hideMark/>
          </w:tcPr>
          <w:p w14:paraId="4301CD2B" w14:textId="31D8F611" w:rsidR="00465C40" w:rsidRPr="00465C40" w:rsidRDefault="00465C40">
            <w:pPr>
              <w:spacing w:before="120"/>
              <w:rPr>
                <w:lang w:val="fr-FR"/>
              </w:rPr>
            </w:pPr>
            <w:r w:rsidRPr="00465C40">
              <w:rPr>
                <w:lang w:val="fr-FR"/>
              </w:rPr>
              <w:t xml:space="preserve">Distr. générale </w:t>
            </w:r>
            <w:r w:rsidRPr="00465C40">
              <w:rPr>
                <w:lang w:val="fr-FR"/>
              </w:rPr>
              <w:br/>
            </w:r>
            <w:r w:rsidR="00AB46AD">
              <w:rPr>
                <w:lang w:val="fr-FR"/>
              </w:rPr>
              <w:t>6 </w:t>
            </w:r>
            <w:r>
              <w:rPr>
                <w:lang w:val="fr-FR"/>
              </w:rPr>
              <w:t>août</w:t>
            </w:r>
            <w:r w:rsidRPr="00465C40">
              <w:rPr>
                <w:lang w:val="fr-FR"/>
              </w:rPr>
              <w:t xml:space="preserve"> 2019</w:t>
            </w:r>
          </w:p>
          <w:p w14:paraId="3728B5ED" w14:textId="77777777" w:rsidR="00465C40" w:rsidRPr="00465C40" w:rsidRDefault="00465C40">
            <w:pPr>
              <w:spacing w:before="240"/>
              <w:rPr>
                <w:lang w:val="fr-FR"/>
              </w:rPr>
            </w:pPr>
            <w:r w:rsidRPr="00465C40">
              <w:rPr>
                <w:lang w:val="fr-FR"/>
              </w:rPr>
              <w:t>Français</w:t>
            </w:r>
            <w:r w:rsidRPr="00465C40">
              <w:rPr>
                <w:lang w:val="fr-FR"/>
              </w:rPr>
              <w:br/>
              <w:t>Original : anglais</w:t>
            </w:r>
          </w:p>
        </w:tc>
      </w:tr>
    </w:tbl>
    <w:p w14:paraId="0E8FACBD" w14:textId="77777777" w:rsidR="00465C40" w:rsidRDefault="00465C40" w:rsidP="00465C40">
      <w:pPr>
        <w:pStyle w:val="AATitle"/>
        <w:keepNext w:val="0"/>
        <w:keepLines w:val="0"/>
        <w:rPr>
          <w:lang w:val="fr-FR"/>
        </w:rPr>
      </w:pPr>
      <w:r>
        <w:rPr>
          <w:bCs/>
          <w:lang w:val="fr-FR"/>
        </w:rPr>
        <w:t>Conférence des Parties à la Convention de Minamata sur le mercure</w:t>
      </w:r>
    </w:p>
    <w:p w14:paraId="38E27A92" w14:textId="77777777" w:rsidR="00465C40" w:rsidRDefault="00465C40" w:rsidP="00465C40">
      <w:pPr>
        <w:pStyle w:val="AATitle"/>
        <w:keepNext w:val="0"/>
        <w:keepLines w:val="0"/>
        <w:rPr>
          <w:lang w:val="fr-FR"/>
        </w:rPr>
      </w:pPr>
      <w:r>
        <w:rPr>
          <w:bCs/>
          <w:lang w:val="fr-FR"/>
        </w:rPr>
        <w:t>Troisième réunion</w:t>
      </w:r>
    </w:p>
    <w:p w14:paraId="6384F772" w14:textId="63102E63" w:rsidR="00465C40" w:rsidRDefault="00AB46AD" w:rsidP="00465C40">
      <w:pPr>
        <w:pStyle w:val="AATitle"/>
        <w:rPr>
          <w:b w:val="0"/>
          <w:lang w:val="fr-FR"/>
        </w:rPr>
      </w:pPr>
      <w:r>
        <w:rPr>
          <w:b w:val="0"/>
          <w:lang w:val="fr-FR"/>
        </w:rPr>
        <w:t>Genève, 25–29 </w:t>
      </w:r>
      <w:r w:rsidR="00465C40">
        <w:rPr>
          <w:b w:val="0"/>
          <w:lang w:val="fr-FR"/>
        </w:rPr>
        <w:t>novembre 2019</w:t>
      </w:r>
    </w:p>
    <w:p w14:paraId="1CA8CFB4" w14:textId="18C5B21D" w:rsidR="001D2D56" w:rsidRPr="00465C40" w:rsidRDefault="00AB46AD" w:rsidP="00976789">
      <w:pPr>
        <w:pStyle w:val="AATitle"/>
        <w:rPr>
          <w:b w:val="0"/>
          <w:lang w:val="fr-FR"/>
        </w:rPr>
      </w:pPr>
      <w:r>
        <w:rPr>
          <w:b w:val="0"/>
          <w:lang w:val="fr-FR"/>
        </w:rPr>
        <w:t>Point 5 </w:t>
      </w:r>
      <w:r w:rsidR="001D2D56" w:rsidRPr="00465C40">
        <w:rPr>
          <w:b w:val="0"/>
          <w:lang w:val="fr-FR"/>
        </w:rPr>
        <w:t>j) de l</w:t>
      </w:r>
      <w:r w:rsidR="00465C40" w:rsidRPr="00465C40">
        <w:rPr>
          <w:b w:val="0"/>
          <w:lang w:val="fr-FR"/>
        </w:rPr>
        <w:t>’</w:t>
      </w:r>
      <w:r w:rsidR="001D2D56" w:rsidRPr="00465C40">
        <w:rPr>
          <w:b w:val="0"/>
          <w:lang w:val="fr-FR"/>
        </w:rPr>
        <w:t>ordre du jour provisoire</w:t>
      </w:r>
      <w:r w:rsidR="001D2D56" w:rsidRPr="00465C40">
        <w:rPr>
          <w:b w:val="0"/>
          <w:lang w:val="fr-FR"/>
        </w:rPr>
        <w:footnoteReference w:customMarkFollows="1" w:id="1"/>
        <w:t>*</w:t>
      </w:r>
    </w:p>
    <w:p w14:paraId="1334F1A1" w14:textId="7A85D4E2" w:rsidR="001D2D56" w:rsidRPr="00465C40" w:rsidRDefault="001D2D56" w:rsidP="00613212">
      <w:pPr>
        <w:pStyle w:val="AATitle2"/>
        <w:spacing w:before="60"/>
        <w:rPr>
          <w:lang w:val="fr-FR"/>
        </w:rPr>
      </w:pPr>
      <w:r w:rsidRPr="00465C40">
        <w:rPr>
          <w:bCs/>
          <w:lang w:val="fr-FR"/>
        </w:rPr>
        <w:t>Questions soumises à</w:t>
      </w:r>
      <w:r w:rsidR="007E71CE">
        <w:rPr>
          <w:bCs/>
          <w:lang w:val="fr-FR"/>
        </w:rPr>
        <w:t xml:space="preserve"> la Conférence des Parties pour </w:t>
      </w:r>
      <w:r w:rsidRPr="00465C40">
        <w:rPr>
          <w:bCs/>
          <w:lang w:val="fr-FR"/>
        </w:rPr>
        <w:t>examen ou décision</w:t>
      </w:r>
      <w:r w:rsidR="00465C40" w:rsidRPr="00465C40">
        <w:rPr>
          <w:bCs/>
          <w:lang w:val="fr-FR"/>
        </w:rPr>
        <w:t> :</w:t>
      </w:r>
      <w:r w:rsidRPr="00465C40">
        <w:rPr>
          <w:bCs/>
          <w:lang w:val="fr-FR"/>
        </w:rPr>
        <w:t xml:space="preserve"> secrétariat</w:t>
      </w:r>
    </w:p>
    <w:p w14:paraId="71265AAB" w14:textId="0EBEC24A" w:rsidR="00163DA4" w:rsidRPr="00465C40" w:rsidRDefault="007F455C" w:rsidP="00116AF5">
      <w:pPr>
        <w:pStyle w:val="BBTitle"/>
        <w:rPr>
          <w:lang w:val="fr-FR"/>
        </w:rPr>
      </w:pPr>
      <w:r w:rsidRPr="00465C40">
        <w:rPr>
          <w:bCs/>
          <w:lang w:val="fr-FR"/>
        </w:rPr>
        <w:t>Rapport sur les principales activités menées par le secrétariat pendant l</w:t>
      </w:r>
      <w:r w:rsidR="00465C40" w:rsidRPr="00465C40">
        <w:rPr>
          <w:bCs/>
          <w:lang w:val="fr-FR"/>
        </w:rPr>
        <w:t>’</w:t>
      </w:r>
      <w:r w:rsidRPr="00465C40">
        <w:rPr>
          <w:bCs/>
          <w:lang w:val="fr-FR"/>
        </w:rPr>
        <w:t>intersession</w:t>
      </w:r>
    </w:p>
    <w:p w14:paraId="67714043" w14:textId="77777777" w:rsidR="001D2D56" w:rsidRPr="00465C40" w:rsidRDefault="001D2D56" w:rsidP="00976789">
      <w:pPr>
        <w:pStyle w:val="CH2"/>
        <w:rPr>
          <w:lang w:val="fr-FR"/>
        </w:rPr>
      </w:pPr>
      <w:r w:rsidRPr="00465C40">
        <w:rPr>
          <w:lang w:val="fr-FR"/>
        </w:rPr>
        <w:tab/>
      </w:r>
      <w:r w:rsidRPr="00465C40">
        <w:rPr>
          <w:lang w:val="fr-FR"/>
        </w:rPr>
        <w:tab/>
      </w:r>
      <w:r w:rsidRPr="00465C40">
        <w:rPr>
          <w:bCs/>
          <w:lang w:val="fr-FR"/>
        </w:rPr>
        <w:t>Note du secrétariat</w:t>
      </w:r>
    </w:p>
    <w:p w14:paraId="7EBB4B23" w14:textId="1879E7A5" w:rsidR="00163DA4" w:rsidRPr="00465C40" w:rsidRDefault="001069EF" w:rsidP="00116AF5">
      <w:pPr>
        <w:pStyle w:val="CH1"/>
        <w:rPr>
          <w:lang w:val="fr-FR"/>
        </w:rPr>
      </w:pPr>
      <w:r>
        <w:rPr>
          <w:lang w:val="fr-FR"/>
        </w:rPr>
        <w:tab/>
      </w:r>
      <w:r w:rsidR="00163DA4" w:rsidRPr="00465C40">
        <w:rPr>
          <w:lang w:val="fr-FR"/>
        </w:rPr>
        <w:t>I.</w:t>
      </w:r>
      <w:r w:rsidR="00163DA4" w:rsidRPr="00465C40">
        <w:rPr>
          <w:lang w:val="fr-FR"/>
        </w:rPr>
        <w:tab/>
      </w:r>
      <w:r w:rsidR="00163DA4" w:rsidRPr="00465C40">
        <w:rPr>
          <w:bCs/>
          <w:lang w:val="fr-FR"/>
        </w:rPr>
        <w:t>Introduction</w:t>
      </w:r>
    </w:p>
    <w:p w14:paraId="723E8721" w14:textId="179E86ED" w:rsidR="00163DA4"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présent rapport passe rapidement en revue les principales activités menées par le secrétariat de la Convention de Minamata sur le mercure durant la période intersessions écoulée depuis la deuxième réunion de la Conférence des Parties, qui s</w:t>
      </w:r>
      <w:r w:rsidR="00465C40" w:rsidRPr="00465C40">
        <w:rPr>
          <w:lang w:val="fr-FR"/>
        </w:rPr>
        <w:t>’</w:t>
      </w:r>
      <w:r w:rsidRPr="00465C40">
        <w:rPr>
          <w:lang w:val="fr-FR"/>
        </w:rPr>
        <w:t>est tenu</w:t>
      </w:r>
      <w:r w:rsidR="001069EF">
        <w:rPr>
          <w:lang w:val="fr-FR"/>
        </w:rPr>
        <w:t>e à Genève en novembre 2018. Le </w:t>
      </w:r>
      <w:r w:rsidRPr="00465C40">
        <w:rPr>
          <w:lang w:val="fr-FR"/>
        </w:rPr>
        <w:t>rapport fait le point sur les activités relatives aux conférences et aux réunions menées par le secrétariat, ainsi que sur les efforts entrepris avec succès pour mettre en œuvre le programme de travail du secrétariat. Il rend compte des préparatifs de la troisième réunion de la Conférence des Parties, de l</w:t>
      </w:r>
      <w:r w:rsidR="00465C40" w:rsidRPr="00465C40">
        <w:rPr>
          <w:lang w:val="fr-FR"/>
        </w:rPr>
        <w:t>’</w:t>
      </w:r>
      <w:r w:rsidRPr="00465C40">
        <w:rPr>
          <w:lang w:val="fr-FR"/>
        </w:rPr>
        <w:t>appui fourni au Bureau et au Comité de mise en œuvre et du respect des obligations (un organe subsidiaire de la Conférence des Parties), des activités intersessions sur les questions techniques ayant fait l</w:t>
      </w:r>
      <w:r w:rsidR="00465C40" w:rsidRPr="00465C40">
        <w:rPr>
          <w:lang w:val="fr-FR"/>
        </w:rPr>
        <w:t>’</w:t>
      </w:r>
      <w:r w:rsidRPr="00465C40">
        <w:rPr>
          <w:lang w:val="fr-FR"/>
        </w:rPr>
        <w:t>objet d</w:t>
      </w:r>
      <w:r w:rsidR="00465C40" w:rsidRPr="00465C40">
        <w:rPr>
          <w:lang w:val="fr-FR"/>
        </w:rPr>
        <w:t>’</w:t>
      </w:r>
      <w:r w:rsidRPr="00465C40">
        <w:rPr>
          <w:lang w:val="fr-FR"/>
        </w:rPr>
        <w:t>une décision de la Conférence des Parties à sa deuxième réunion, de l</w:t>
      </w:r>
      <w:r w:rsidR="00465C40" w:rsidRPr="00465C40">
        <w:rPr>
          <w:lang w:val="fr-FR"/>
        </w:rPr>
        <w:t>’</w:t>
      </w:r>
      <w:r w:rsidRPr="00465C40">
        <w:rPr>
          <w:lang w:val="fr-FR"/>
        </w:rPr>
        <w:t>appui fourni en vue de</w:t>
      </w:r>
      <w:r w:rsidR="00A55383">
        <w:rPr>
          <w:lang w:val="fr-FR"/>
        </w:rPr>
        <w:t xml:space="preserve"> </w:t>
      </w:r>
      <w:r w:rsidRPr="00465C40">
        <w:rPr>
          <w:lang w:val="fr-FR"/>
        </w:rPr>
        <w:t xml:space="preserve">la mise en œuvre de la Convention et de diverses autres activités. </w:t>
      </w:r>
    </w:p>
    <w:p w14:paraId="63D30249" w14:textId="46141047" w:rsidR="00163DA4" w:rsidRPr="00465C40" w:rsidRDefault="001069EF" w:rsidP="00116AF5">
      <w:pPr>
        <w:pStyle w:val="CH1"/>
        <w:rPr>
          <w:lang w:val="fr-FR"/>
        </w:rPr>
      </w:pPr>
      <w:r>
        <w:rPr>
          <w:lang w:val="fr-FR"/>
        </w:rPr>
        <w:tab/>
      </w:r>
      <w:r w:rsidR="00163DA4" w:rsidRPr="00465C40">
        <w:rPr>
          <w:lang w:val="fr-FR"/>
        </w:rPr>
        <w:t>II.</w:t>
      </w:r>
      <w:r w:rsidR="00A80DC2">
        <w:rPr>
          <w:lang w:val="fr-FR"/>
        </w:rPr>
        <w:tab/>
      </w:r>
      <w:r w:rsidR="00163DA4" w:rsidRPr="00465C40">
        <w:rPr>
          <w:bCs/>
          <w:lang w:val="fr-FR"/>
        </w:rPr>
        <w:t>Conférences et réunions</w:t>
      </w:r>
    </w:p>
    <w:p w14:paraId="310B89C1" w14:textId="5FA2D578" w:rsidR="00163DA4" w:rsidRPr="00465C40" w:rsidRDefault="001069EF" w:rsidP="00ED53BC">
      <w:pPr>
        <w:pStyle w:val="CH2"/>
        <w:spacing w:before="240"/>
        <w:rPr>
          <w:lang w:val="fr-FR"/>
        </w:rPr>
      </w:pPr>
      <w:r>
        <w:rPr>
          <w:lang w:val="fr-FR"/>
        </w:rPr>
        <w:tab/>
      </w:r>
      <w:r w:rsidR="00163DA4" w:rsidRPr="00465C40">
        <w:rPr>
          <w:lang w:val="fr-FR"/>
        </w:rPr>
        <w:t>A.</w:t>
      </w:r>
      <w:r w:rsidR="00163DA4" w:rsidRPr="00465C40">
        <w:rPr>
          <w:lang w:val="fr-FR"/>
        </w:rPr>
        <w:tab/>
      </w:r>
      <w:r w:rsidR="00163DA4" w:rsidRPr="00465C40">
        <w:rPr>
          <w:bCs/>
          <w:lang w:val="fr-FR"/>
        </w:rPr>
        <w:t>Troisième réunion de la Conférence des Parties</w:t>
      </w:r>
    </w:p>
    <w:p w14:paraId="22B085C9" w14:textId="1BF72450" w:rsidR="00CC0724" w:rsidRPr="00465C40" w:rsidRDefault="00CC072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s</w:t>
      </w:r>
      <w:r w:rsidR="00465C40" w:rsidRPr="00465C40">
        <w:rPr>
          <w:lang w:val="fr-FR"/>
        </w:rPr>
        <w:t>’</w:t>
      </w:r>
      <w:r w:rsidRPr="00465C40">
        <w:rPr>
          <w:lang w:val="fr-FR"/>
        </w:rPr>
        <w:t>emploie actuellement à organiser la troisième réunion de la Conférence des Parties à la Convention de Minamata, qui s</w:t>
      </w:r>
      <w:r w:rsidR="00AB46AD">
        <w:rPr>
          <w:lang w:val="fr-FR"/>
        </w:rPr>
        <w:t>e tiendra à Genève du 25 au 29 </w:t>
      </w:r>
      <w:r w:rsidRPr="00465C40">
        <w:rPr>
          <w:lang w:val="fr-FR"/>
        </w:rPr>
        <w:t xml:space="preserve">novembre 2019. </w:t>
      </w:r>
      <w:r w:rsidR="000A1084">
        <w:rPr>
          <w:lang w:val="fr-FR"/>
        </w:rPr>
        <w:t>Dans le cadre d</w:t>
      </w:r>
      <w:r w:rsidRPr="00465C40">
        <w:rPr>
          <w:lang w:val="fr-FR"/>
        </w:rPr>
        <w:t xml:space="preserve">es </w:t>
      </w:r>
      <w:r w:rsidR="000A1084">
        <w:rPr>
          <w:lang w:val="fr-FR"/>
        </w:rPr>
        <w:t xml:space="preserve">travaux </w:t>
      </w:r>
      <w:r w:rsidRPr="00465C40">
        <w:rPr>
          <w:lang w:val="fr-FR"/>
        </w:rPr>
        <w:t>préparat</w:t>
      </w:r>
      <w:r w:rsidR="000A1084">
        <w:rPr>
          <w:lang w:val="fr-FR"/>
        </w:rPr>
        <w:t xml:space="preserve">oires, il a </w:t>
      </w:r>
      <w:r w:rsidR="00F00B95">
        <w:rPr>
          <w:lang w:val="fr-FR"/>
        </w:rPr>
        <w:t>entrepris</w:t>
      </w:r>
      <w:r w:rsidR="00E60EC6">
        <w:rPr>
          <w:lang w:val="fr-FR"/>
        </w:rPr>
        <w:t xml:space="preserve"> </w:t>
      </w:r>
      <w:r w:rsidRPr="00465C40">
        <w:rPr>
          <w:lang w:val="fr-FR"/>
        </w:rPr>
        <w:t xml:space="preserve">de multiples </w:t>
      </w:r>
      <w:r w:rsidR="000A1084">
        <w:rPr>
          <w:lang w:val="fr-FR"/>
        </w:rPr>
        <w:t>activités</w:t>
      </w:r>
      <w:r w:rsidRPr="00465C40">
        <w:rPr>
          <w:lang w:val="fr-FR"/>
        </w:rPr>
        <w:t xml:space="preserve"> logistique</w:t>
      </w:r>
      <w:r w:rsidR="00E60EC6">
        <w:rPr>
          <w:lang w:val="fr-FR"/>
        </w:rPr>
        <w:t>s</w:t>
      </w:r>
      <w:r w:rsidRPr="00465C40">
        <w:rPr>
          <w:lang w:val="fr-FR"/>
        </w:rPr>
        <w:t xml:space="preserve"> et d</w:t>
      </w:r>
      <w:r w:rsidR="00465C40" w:rsidRPr="00465C40">
        <w:rPr>
          <w:lang w:val="fr-FR"/>
        </w:rPr>
        <w:t>’</w:t>
      </w:r>
      <w:r w:rsidRPr="00465C40">
        <w:rPr>
          <w:lang w:val="fr-FR"/>
        </w:rPr>
        <w:t xml:space="preserve">organisation </w:t>
      </w:r>
      <w:r w:rsidR="00E60EC6">
        <w:rPr>
          <w:lang w:val="fr-FR"/>
        </w:rPr>
        <w:t>en rapport avec, entre autres,</w:t>
      </w:r>
      <w:r w:rsidRPr="00465C40">
        <w:rPr>
          <w:lang w:val="fr-FR"/>
        </w:rPr>
        <w:t xml:space="preserve"> le lieu de la conférence, l</w:t>
      </w:r>
      <w:r w:rsidR="00465C40" w:rsidRPr="00465C40">
        <w:rPr>
          <w:lang w:val="fr-FR"/>
        </w:rPr>
        <w:t>’</w:t>
      </w:r>
      <w:r w:rsidRPr="00465C40">
        <w:rPr>
          <w:lang w:val="fr-FR"/>
        </w:rPr>
        <w:t>inscription des participant(e)s et l</w:t>
      </w:r>
      <w:r w:rsidR="00465C40" w:rsidRPr="00465C40">
        <w:rPr>
          <w:lang w:val="fr-FR"/>
        </w:rPr>
        <w:t>’</w:t>
      </w:r>
      <w:r w:rsidRPr="00465C40">
        <w:rPr>
          <w:lang w:val="fr-FR"/>
        </w:rPr>
        <w:t xml:space="preserve">organisation du voyage des participant(e)s pouvant prétendre à un financement, </w:t>
      </w:r>
      <w:r w:rsidR="00E60EC6">
        <w:rPr>
          <w:lang w:val="fr-FR"/>
        </w:rPr>
        <w:t>de</w:t>
      </w:r>
      <w:r w:rsidRPr="00465C40">
        <w:rPr>
          <w:lang w:val="fr-FR"/>
        </w:rPr>
        <w:t xml:space="preserve"> manifestations parallèles et d</w:t>
      </w:r>
      <w:r w:rsidR="00465C40" w:rsidRPr="00465C40">
        <w:rPr>
          <w:lang w:val="fr-FR"/>
        </w:rPr>
        <w:t>’</w:t>
      </w:r>
      <w:r w:rsidRPr="00465C40">
        <w:rPr>
          <w:lang w:val="fr-FR"/>
        </w:rPr>
        <w:t xml:space="preserve">autres réunions. </w:t>
      </w:r>
      <w:r w:rsidR="00F00B95">
        <w:rPr>
          <w:lang w:val="fr-FR"/>
        </w:rPr>
        <w:t>Il</w:t>
      </w:r>
      <w:r w:rsidR="000A1084">
        <w:rPr>
          <w:lang w:val="fr-FR"/>
        </w:rPr>
        <w:t xml:space="preserve"> </w:t>
      </w:r>
      <w:r w:rsidRPr="00465C40">
        <w:rPr>
          <w:lang w:val="fr-FR"/>
        </w:rPr>
        <w:t>continue d</w:t>
      </w:r>
      <w:r w:rsidR="00465C40" w:rsidRPr="00465C40">
        <w:rPr>
          <w:lang w:val="fr-FR"/>
        </w:rPr>
        <w:t>’</w:t>
      </w:r>
      <w:r w:rsidRPr="00465C40">
        <w:rPr>
          <w:lang w:val="fr-FR"/>
        </w:rPr>
        <w:t>élaborer des documents d</w:t>
      </w:r>
      <w:r w:rsidR="00465C40" w:rsidRPr="00465C40">
        <w:rPr>
          <w:lang w:val="fr-FR"/>
        </w:rPr>
        <w:t>’</w:t>
      </w:r>
      <w:r w:rsidRPr="00465C40">
        <w:rPr>
          <w:lang w:val="fr-FR"/>
        </w:rPr>
        <w:t>information à l</w:t>
      </w:r>
      <w:r w:rsidR="00465C40" w:rsidRPr="00465C40">
        <w:rPr>
          <w:lang w:val="fr-FR"/>
        </w:rPr>
        <w:t>’</w:t>
      </w:r>
      <w:r w:rsidRPr="00465C40">
        <w:rPr>
          <w:lang w:val="fr-FR"/>
        </w:rPr>
        <w:t>intention des participant(e)s et des observateur(trice)s et de communiquer</w:t>
      </w:r>
      <w:r w:rsidR="00E60EC6">
        <w:rPr>
          <w:lang w:val="fr-FR"/>
        </w:rPr>
        <w:t>,</w:t>
      </w:r>
      <w:r w:rsidRPr="00465C40">
        <w:rPr>
          <w:lang w:val="fr-FR"/>
        </w:rPr>
        <w:t xml:space="preserve"> </w:t>
      </w:r>
      <w:r w:rsidR="00F00B95">
        <w:rPr>
          <w:lang w:val="fr-FR"/>
        </w:rPr>
        <w:t>par le biais du</w:t>
      </w:r>
      <w:r w:rsidR="00E60EC6" w:rsidRPr="00E60EC6">
        <w:rPr>
          <w:lang w:val="fr-FR"/>
        </w:rPr>
        <w:t xml:space="preserve"> site Web de la Convention de Minamata </w:t>
      </w:r>
      <w:r w:rsidR="00E60EC6">
        <w:rPr>
          <w:lang w:val="fr-FR"/>
        </w:rPr>
        <w:t>et</w:t>
      </w:r>
      <w:r w:rsidR="00E60EC6" w:rsidRPr="00E60EC6">
        <w:rPr>
          <w:lang w:val="fr-FR"/>
        </w:rPr>
        <w:t xml:space="preserve"> d</w:t>
      </w:r>
      <w:r w:rsidR="00E60EC6">
        <w:rPr>
          <w:lang w:val="fr-FR"/>
        </w:rPr>
        <w:t xml:space="preserve">e </w:t>
      </w:r>
      <w:r w:rsidR="00F00B95">
        <w:rPr>
          <w:lang w:val="fr-FR"/>
        </w:rPr>
        <w:t>séanc</w:t>
      </w:r>
      <w:r w:rsidR="00E60EC6">
        <w:rPr>
          <w:lang w:val="fr-FR"/>
        </w:rPr>
        <w:t xml:space="preserve">es d’information </w:t>
      </w:r>
      <w:r w:rsidR="00F00B95">
        <w:rPr>
          <w:lang w:val="fr-FR"/>
        </w:rPr>
        <w:t>s’adress</w:t>
      </w:r>
      <w:r w:rsidR="00E60EC6">
        <w:rPr>
          <w:lang w:val="fr-FR"/>
        </w:rPr>
        <w:t>ant</w:t>
      </w:r>
      <w:r w:rsidR="00E60EC6" w:rsidRPr="00E60EC6">
        <w:rPr>
          <w:lang w:val="fr-FR"/>
        </w:rPr>
        <w:t xml:space="preserve"> </w:t>
      </w:r>
      <w:r w:rsidR="00F00B95">
        <w:rPr>
          <w:lang w:val="fr-FR"/>
        </w:rPr>
        <w:t xml:space="preserve">à </w:t>
      </w:r>
      <w:r w:rsidR="00E60EC6" w:rsidRPr="00E60EC6">
        <w:rPr>
          <w:lang w:val="fr-FR"/>
        </w:rPr>
        <w:t>divers publics</w:t>
      </w:r>
      <w:r w:rsidR="00E60EC6">
        <w:rPr>
          <w:lang w:val="fr-FR"/>
        </w:rPr>
        <w:t>,</w:t>
      </w:r>
      <w:r w:rsidR="00E60EC6" w:rsidRPr="00E60EC6">
        <w:rPr>
          <w:lang w:val="fr-FR"/>
        </w:rPr>
        <w:t xml:space="preserve"> </w:t>
      </w:r>
      <w:r w:rsidRPr="00465C40">
        <w:rPr>
          <w:lang w:val="fr-FR"/>
        </w:rPr>
        <w:t xml:space="preserve">des </w:t>
      </w:r>
      <w:r w:rsidR="00E60EC6">
        <w:rPr>
          <w:lang w:val="fr-FR"/>
        </w:rPr>
        <w:t>renseignements</w:t>
      </w:r>
      <w:r w:rsidRPr="00465C40">
        <w:rPr>
          <w:lang w:val="fr-FR"/>
        </w:rPr>
        <w:t xml:space="preserve"> et mises à jour en anglais, en espagnol</w:t>
      </w:r>
      <w:r w:rsidR="00E60EC6">
        <w:rPr>
          <w:lang w:val="fr-FR"/>
        </w:rPr>
        <w:t xml:space="preserve"> </w:t>
      </w:r>
      <w:r w:rsidR="000A1084">
        <w:rPr>
          <w:lang w:val="fr-FR"/>
        </w:rPr>
        <w:t xml:space="preserve">et </w:t>
      </w:r>
      <w:r w:rsidR="000A1084" w:rsidRPr="000A1084">
        <w:rPr>
          <w:lang w:val="fr-FR"/>
        </w:rPr>
        <w:t xml:space="preserve">en français </w:t>
      </w:r>
      <w:r w:rsidR="00E60EC6" w:rsidRPr="00E60EC6">
        <w:rPr>
          <w:lang w:val="fr-FR"/>
        </w:rPr>
        <w:t>concernant la réunion</w:t>
      </w:r>
      <w:r w:rsidRPr="00465C40">
        <w:rPr>
          <w:lang w:val="fr-FR"/>
        </w:rPr>
        <w:t xml:space="preserve">. </w:t>
      </w:r>
    </w:p>
    <w:p w14:paraId="69092D3C" w14:textId="1DD61136" w:rsidR="00820194" w:rsidRPr="00465C40" w:rsidRDefault="00820194" w:rsidP="00AB46AD">
      <w:pPr>
        <w:pStyle w:val="Normalnumber"/>
        <w:keepNext/>
        <w:keepLines/>
        <w:tabs>
          <w:tab w:val="clear" w:pos="1134"/>
          <w:tab w:val="clear" w:pos="1247"/>
          <w:tab w:val="clear" w:pos="1814"/>
          <w:tab w:val="clear" w:pos="2381"/>
          <w:tab w:val="clear" w:pos="2948"/>
          <w:tab w:val="clear" w:pos="3515"/>
          <w:tab w:val="clear" w:pos="4082"/>
          <w:tab w:val="num" w:pos="624"/>
        </w:tabs>
        <w:rPr>
          <w:lang w:val="fr-FR"/>
        </w:rPr>
      </w:pPr>
      <w:r w:rsidRPr="00465C40">
        <w:rPr>
          <w:lang w:val="fr-FR"/>
        </w:rPr>
        <w:lastRenderedPageBreak/>
        <w:t xml:space="preserve">Par ailleurs, le secrétariat a </w:t>
      </w:r>
      <w:r w:rsidR="004D2474">
        <w:rPr>
          <w:lang w:val="fr-FR"/>
        </w:rPr>
        <w:t>assuré l’</w:t>
      </w:r>
      <w:r w:rsidRPr="00465C40">
        <w:rPr>
          <w:lang w:val="fr-FR"/>
        </w:rPr>
        <w:t>établi</w:t>
      </w:r>
      <w:r w:rsidR="004D2474">
        <w:rPr>
          <w:lang w:val="fr-FR"/>
        </w:rPr>
        <w:t>ssement et la coordination</w:t>
      </w:r>
      <w:r w:rsidRPr="00465C40">
        <w:rPr>
          <w:lang w:val="fr-FR"/>
        </w:rPr>
        <w:t xml:space="preserve"> </w:t>
      </w:r>
      <w:r w:rsidR="004D2474">
        <w:rPr>
          <w:lang w:val="fr-FR"/>
        </w:rPr>
        <w:t>d</w:t>
      </w:r>
      <w:r w:rsidRPr="00465C40">
        <w:rPr>
          <w:lang w:val="fr-FR"/>
        </w:rPr>
        <w:t>es documents de travail et d</w:t>
      </w:r>
      <w:r w:rsidR="00465C40" w:rsidRPr="00465C40">
        <w:rPr>
          <w:lang w:val="fr-FR"/>
        </w:rPr>
        <w:t>’</w:t>
      </w:r>
      <w:r w:rsidRPr="00465C40">
        <w:rPr>
          <w:lang w:val="fr-FR"/>
        </w:rPr>
        <w:t>information de la réunion, y compris l</w:t>
      </w:r>
      <w:r w:rsidR="004D2474">
        <w:rPr>
          <w:lang w:val="fr-FR"/>
        </w:rPr>
        <w:t>a</w:t>
      </w:r>
      <w:r w:rsidRPr="00465C40">
        <w:rPr>
          <w:lang w:val="fr-FR"/>
        </w:rPr>
        <w:t xml:space="preserve"> liaison </w:t>
      </w:r>
      <w:r w:rsidR="004D2474">
        <w:rPr>
          <w:lang w:val="fr-FR"/>
        </w:rPr>
        <w:t>avec</w:t>
      </w:r>
      <w:r w:rsidRPr="00465C40">
        <w:rPr>
          <w:lang w:val="fr-FR"/>
        </w:rPr>
        <w:t xml:space="preserve"> la Division des services de conférence de l</w:t>
      </w:r>
      <w:r w:rsidR="00465C40" w:rsidRPr="00465C40">
        <w:rPr>
          <w:lang w:val="fr-FR"/>
        </w:rPr>
        <w:t>’</w:t>
      </w:r>
      <w:r w:rsidRPr="00465C40">
        <w:rPr>
          <w:lang w:val="fr-FR"/>
        </w:rPr>
        <w:t>Office des Nations Unies à Nairobi</w:t>
      </w:r>
      <w:r w:rsidR="004D2474" w:rsidRPr="004D2474">
        <w:rPr>
          <w:lang w:val="fr-FR"/>
        </w:rPr>
        <w:t xml:space="preserve"> en vue d</w:t>
      </w:r>
      <w:r w:rsidR="004D2474">
        <w:rPr>
          <w:lang w:val="fr-FR"/>
        </w:rPr>
        <w:t>e leur</w:t>
      </w:r>
      <w:r w:rsidR="004D2474" w:rsidRPr="004D2474">
        <w:rPr>
          <w:lang w:val="fr-FR"/>
        </w:rPr>
        <w:t xml:space="preserve"> traitement, édition et traduction</w:t>
      </w:r>
      <w:r w:rsidRPr="00465C40">
        <w:rPr>
          <w:lang w:val="fr-FR"/>
        </w:rPr>
        <w:t xml:space="preserve">. </w:t>
      </w:r>
      <w:r w:rsidR="004D2474">
        <w:rPr>
          <w:lang w:val="fr-FR"/>
        </w:rPr>
        <w:t>L</w:t>
      </w:r>
      <w:r w:rsidR="00465C40" w:rsidRPr="00465C40">
        <w:rPr>
          <w:lang w:val="fr-FR"/>
        </w:rPr>
        <w:t>’</w:t>
      </w:r>
      <w:r w:rsidRPr="00465C40">
        <w:rPr>
          <w:lang w:val="fr-FR"/>
        </w:rPr>
        <w:t>élabor</w:t>
      </w:r>
      <w:r w:rsidR="004D2474">
        <w:rPr>
          <w:lang w:val="fr-FR"/>
        </w:rPr>
        <w:t>ation</w:t>
      </w:r>
      <w:r w:rsidRPr="00465C40">
        <w:rPr>
          <w:lang w:val="fr-FR"/>
        </w:rPr>
        <w:t xml:space="preserve"> </w:t>
      </w:r>
      <w:r w:rsidR="004D2474">
        <w:rPr>
          <w:lang w:val="fr-FR"/>
        </w:rPr>
        <w:t xml:space="preserve">d’un nombre considérable </w:t>
      </w:r>
      <w:r w:rsidRPr="00465C40">
        <w:rPr>
          <w:lang w:val="fr-FR"/>
        </w:rPr>
        <w:t>de document</w:t>
      </w:r>
      <w:r w:rsidR="004D2474">
        <w:rPr>
          <w:lang w:val="fr-FR"/>
        </w:rPr>
        <w:t>s</w:t>
      </w:r>
      <w:r w:rsidRPr="00465C40">
        <w:rPr>
          <w:lang w:val="fr-FR"/>
        </w:rPr>
        <w:t xml:space="preserve"> technique</w:t>
      </w:r>
      <w:r w:rsidR="004D2474">
        <w:rPr>
          <w:lang w:val="fr-FR"/>
        </w:rPr>
        <w:t>s aux fins de</w:t>
      </w:r>
      <w:r w:rsidRPr="00465C40">
        <w:rPr>
          <w:lang w:val="fr-FR"/>
        </w:rPr>
        <w:t xml:space="preserve"> la réunion, notamment </w:t>
      </w:r>
      <w:r w:rsidR="004D2474">
        <w:rPr>
          <w:lang w:val="fr-FR"/>
        </w:rPr>
        <w:t>celle d</w:t>
      </w:r>
      <w:r w:rsidRPr="00465C40">
        <w:rPr>
          <w:lang w:val="fr-FR"/>
        </w:rPr>
        <w:t>es documents de travail et d</w:t>
      </w:r>
      <w:r w:rsidR="00465C40" w:rsidRPr="00465C40">
        <w:rPr>
          <w:lang w:val="fr-FR"/>
        </w:rPr>
        <w:t>’</w:t>
      </w:r>
      <w:r w:rsidRPr="00465C40">
        <w:rPr>
          <w:lang w:val="fr-FR"/>
        </w:rPr>
        <w:t xml:space="preserve">information, </w:t>
      </w:r>
      <w:r w:rsidR="004D2474">
        <w:rPr>
          <w:lang w:val="fr-FR"/>
        </w:rPr>
        <w:t xml:space="preserve">a nécessité </w:t>
      </w:r>
      <w:r w:rsidRPr="00465C40">
        <w:rPr>
          <w:lang w:val="fr-FR"/>
        </w:rPr>
        <w:t xml:space="preserve">des consultations avec le </w:t>
      </w:r>
      <w:r w:rsidR="006C1A94">
        <w:rPr>
          <w:lang w:val="fr-FR"/>
        </w:rPr>
        <w:t>S</w:t>
      </w:r>
      <w:r w:rsidR="007E71CE">
        <w:rPr>
          <w:lang w:val="fr-FR"/>
        </w:rPr>
        <w:t>ecrétariat des c</w:t>
      </w:r>
      <w:r w:rsidRPr="00465C40">
        <w:rPr>
          <w:lang w:val="fr-FR"/>
        </w:rPr>
        <w:t>onventions de Bâle, de Rotterdam et de Stockholm, diverses divi</w:t>
      </w:r>
      <w:r w:rsidR="007E71CE">
        <w:rPr>
          <w:lang w:val="fr-FR"/>
        </w:rPr>
        <w:t>sions du Programme des Nations </w:t>
      </w:r>
      <w:r w:rsidRPr="00465C40">
        <w:rPr>
          <w:lang w:val="fr-FR"/>
        </w:rPr>
        <w:t>Unies pour l</w:t>
      </w:r>
      <w:r w:rsidR="00465C40" w:rsidRPr="00465C40">
        <w:rPr>
          <w:lang w:val="fr-FR"/>
        </w:rPr>
        <w:t>’</w:t>
      </w:r>
      <w:r w:rsidRPr="00465C40">
        <w:rPr>
          <w:lang w:val="fr-FR"/>
        </w:rPr>
        <w:t>environnement (PNUE), le Service des produits</w:t>
      </w:r>
      <w:r w:rsidR="007E71CE">
        <w:rPr>
          <w:lang w:val="fr-FR"/>
        </w:rPr>
        <w:t xml:space="preserve"> chimiques et de la santé de la </w:t>
      </w:r>
      <w:r w:rsidRPr="00465C40">
        <w:rPr>
          <w:lang w:val="fr-FR"/>
        </w:rPr>
        <w:t>Division de l</w:t>
      </w:r>
      <w:r w:rsidR="00465C40" w:rsidRPr="00465C40">
        <w:rPr>
          <w:lang w:val="fr-FR"/>
        </w:rPr>
        <w:t>’</w:t>
      </w:r>
      <w:r w:rsidRPr="00465C40">
        <w:rPr>
          <w:lang w:val="fr-FR"/>
        </w:rPr>
        <w:t>économie du PNUE et d</w:t>
      </w:r>
      <w:r w:rsidR="00465C40" w:rsidRPr="00465C40">
        <w:rPr>
          <w:lang w:val="fr-FR"/>
        </w:rPr>
        <w:t>’</w:t>
      </w:r>
      <w:r w:rsidRPr="00465C40">
        <w:rPr>
          <w:lang w:val="fr-FR"/>
        </w:rPr>
        <w:t xml:space="preserve">autres partenaires et parties prenantes, selon </w:t>
      </w:r>
      <w:r w:rsidR="00D464BB">
        <w:rPr>
          <w:lang w:val="fr-FR"/>
        </w:rPr>
        <w:t>que de besoin</w:t>
      </w:r>
      <w:r w:rsidRPr="00465C40">
        <w:rPr>
          <w:lang w:val="fr-FR"/>
        </w:rPr>
        <w:t>.</w:t>
      </w:r>
    </w:p>
    <w:p w14:paraId="20194000" w14:textId="6A604D62" w:rsidR="00E13110" w:rsidRPr="00465C40" w:rsidRDefault="00AB46AD"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Par suite de la décision </w:t>
      </w:r>
      <w:r w:rsidR="00A65EA7" w:rsidRPr="00465C40">
        <w:rPr>
          <w:lang w:val="fr-FR"/>
        </w:rPr>
        <w:t>MC-2/7 sur la coopération entre le secrétariat de la Convention de Minamata et le Secrétariat des conventions de Bâle, de Rotterdam et de Stockholm, des arrangements ont été mis en place pour partager les services d</w:t>
      </w:r>
      <w:r w:rsidR="00465C40" w:rsidRPr="00465C40">
        <w:rPr>
          <w:lang w:val="fr-FR"/>
        </w:rPr>
        <w:t>’</w:t>
      </w:r>
      <w:r w:rsidR="00A65EA7" w:rsidRPr="00465C40">
        <w:rPr>
          <w:lang w:val="fr-FR"/>
        </w:rPr>
        <w:t>appui aux conférences et aux réunions en vue de la troisième réunion de la Conférence des Parties, y compris les services d</w:t>
      </w:r>
      <w:r w:rsidR="00465C40" w:rsidRPr="00465C40">
        <w:rPr>
          <w:lang w:val="fr-FR"/>
        </w:rPr>
        <w:t>’</w:t>
      </w:r>
      <w:r w:rsidR="00A65EA7" w:rsidRPr="00465C40">
        <w:rPr>
          <w:lang w:val="fr-FR"/>
        </w:rPr>
        <w:t xml:space="preserve">appui logistique avant et pendant la réunion (coordination du processus logistique, arrangements sur le lieu de la réunion, arrangements relatifs aux services informatiques et dématérialisés, etc.), </w:t>
      </w:r>
      <w:r w:rsidR="00FD0C0C">
        <w:rPr>
          <w:lang w:val="fr-FR"/>
        </w:rPr>
        <w:t xml:space="preserve">la </w:t>
      </w:r>
      <w:r w:rsidR="00A65EA7" w:rsidRPr="00465C40">
        <w:rPr>
          <w:lang w:val="fr-FR"/>
        </w:rPr>
        <w:t xml:space="preserve">gestion des participant(e)s (inscription et voyage) et </w:t>
      </w:r>
      <w:r w:rsidR="00FD0C0C">
        <w:rPr>
          <w:lang w:val="fr-FR"/>
        </w:rPr>
        <w:t xml:space="preserve">le </w:t>
      </w:r>
      <w:r w:rsidR="00A65EA7" w:rsidRPr="00465C40">
        <w:rPr>
          <w:lang w:val="fr-FR"/>
        </w:rPr>
        <w:t>contrôle des documents (gestion et traitement des doc</w:t>
      </w:r>
      <w:r>
        <w:rPr>
          <w:lang w:val="fr-FR"/>
        </w:rPr>
        <w:t>uments de session). Le document </w:t>
      </w:r>
      <w:r w:rsidR="00A65EA7" w:rsidRPr="00465C40">
        <w:rPr>
          <w:lang w:val="fr-FR"/>
        </w:rPr>
        <w:t>UNEP/MC/COP.3/16 présente la proposition du PNUE en vue d</w:t>
      </w:r>
      <w:r w:rsidR="00465C40" w:rsidRPr="00465C40">
        <w:rPr>
          <w:lang w:val="fr-FR"/>
        </w:rPr>
        <w:t>’</w:t>
      </w:r>
      <w:r w:rsidR="00A65EA7" w:rsidRPr="00465C40">
        <w:rPr>
          <w:lang w:val="fr-FR"/>
        </w:rPr>
        <w:t>une coopération entre le secrétariat de la Convention de Minamata et le Secrétariat des conve</w:t>
      </w:r>
      <w:r w:rsidR="007E71CE">
        <w:rPr>
          <w:lang w:val="fr-FR"/>
        </w:rPr>
        <w:t>ntions de Bâle, de Rotterdam et </w:t>
      </w:r>
      <w:r w:rsidR="00A65EA7" w:rsidRPr="00465C40">
        <w:rPr>
          <w:lang w:val="fr-FR"/>
        </w:rPr>
        <w:t>de Stockh</w:t>
      </w:r>
      <w:r>
        <w:rPr>
          <w:lang w:val="fr-FR"/>
        </w:rPr>
        <w:t>olm, conformément à la décision </w:t>
      </w:r>
      <w:r w:rsidR="00A65EA7" w:rsidRPr="00465C40">
        <w:rPr>
          <w:lang w:val="fr-FR"/>
        </w:rPr>
        <w:t>MC-2/7. Le Service des produits chimiques et de la santé</w:t>
      </w:r>
      <w:r w:rsidR="00FD0C0C">
        <w:rPr>
          <w:lang w:val="fr-FR"/>
        </w:rPr>
        <w:t xml:space="preserve"> du PNUE</w:t>
      </w:r>
      <w:r w:rsidR="00A65EA7" w:rsidRPr="00465C40">
        <w:rPr>
          <w:lang w:val="fr-FR"/>
        </w:rPr>
        <w:t xml:space="preserve"> et le Secrétariat des conventions de Bâle, de Rotterdam et de Stockholm fourniront également, sur la base de la réciprocité, du personnel au secrétariat de la Convention de Minamata en vue du bon déroulement de la réunion, en particulier concernant les groupes de contact. La Division juridique du PNUE fournira un appui en mettant à disposition les services d</w:t>
      </w:r>
      <w:r w:rsidR="00465C40" w:rsidRPr="00465C40">
        <w:rPr>
          <w:lang w:val="fr-FR"/>
        </w:rPr>
        <w:t>’</w:t>
      </w:r>
      <w:r w:rsidR="00A65EA7" w:rsidRPr="00465C40">
        <w:rPr>
          <w:lang w:val="fr-FR"/>
        </w:rPr>
        <w:t>un(e) conseiller(ère) juridique durant la réunion.</w:t>
      </w:r>
    </w:p>
    <w:p w14:paraId="03B8F461" w14:textId="191BCDCE" w:rsidR="00163DA4" w:rsidRPr="00465C40" w:rsidRDefault="001069EF" w:rsidP="00ED53BC">
      <w:pPr>
        <w:pStyle w:val="CH2"/>
        <w:spacing w:before="240"/>
        <w:rPr>
          <w:lang w:val="fr-FR"/>
        </w:rPr>
      </w:pPr>
      <w:r>
        <w:rPr>
          <w:lang w:val="fr-FR"/>
        </w:rPr>
        <w:tab/>
      </w:r>
      <w:r w:rsidR="00163DA4" w:rsidRPr="00465C40">
        <w:rPr>
          <w:lang w:val="fr-FR"/>
        </w:rPr>
        <w:t>B.</w:t>
      </w:r>
      <w:r w:rsidR="00163DA4" w:rsidRPr="00465C40">
        <w:rPr>
          <w:lang w:val="fr-FR"/>
        </w:rPr>
        <w:tab/>
      </w:r>
      <w:r w:rsidR="00163DA4" w:rsidRPr="00465C40">
        <w:rPr>
          <w:bCs/>
          <w:lang w:val="fr-FR"/>
        </w:rPr>
        <w:t>Bureau de la Conférence des Parties</w:t>
      </w:r>
    </w:p>
    <w:p w14:paraId="6983DF70" w14:textId="705F5247" w:rsidR="00163DA4"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a </w:t>
      </w:r>
      <w:r w:rsidR="001564AD">
        <w:rPr>
          <w:lang w:val="fr-FR"/>
        </w:rPr>
        <w:t>fourni un appui à</w:t>
      </w:r>
      <w:r w:rsidRPr="00465C40">
        <w:rPr>
          <w:lang w:val="fr-FR"/>
        </w:rPr>
        <w:t xml:space="preserve"> la présidence de la Conférence des Parties pour toutes les questions de fond </w:t>
      </w:r>
      <w:r w:rsidR="001564AD">
        <w:rPr>
          <w:lang w:val="fr-FR"/>
        </w:rPr>
        <w:t>en rapport avec</w:t>
      </w:r>
      <w:r w:rsidRPr="00465C40">
        <w:rPr>
          <w:lang w:val="fr-FR"/>
        </w:rPr>
        <w:t xml:space="preserve"> la Convention soulevées depuis la deuxième réunion de la Conférence des Parties. Il a facilité </w:t>
      </w:r>
      <w:r w:rsidR="001564AD">
        <w:rPr>
          <w:lang w:val="fr-FR"/>
        </w:rPr>
        <w:t>l’organisation, sur le plan</w:t>
      </w:r>
      <w:r w:rsidRPr="00465C40">
        <w:rPr>
          <w:lang w:val="fr-FR"/>
        </w:rPr>
        <w:t xml:space="preserve"> d</w:t>
      </w:r>
      <w:r w:rsidR="001564AD">
        <w:rPr>
          <w:lang w:val="fr-FR"/>
        </w:rPr>
        <w:t>es modalités</w:t>
      </w:r>
      <w:r w:rsidRPr="00465C40">
        <w:rPr>
          <w:lang w:val="fr-FR"/>
        </w:rPr>
        <w:t xml:space="preserve"> logistique</w:t>
      </w:r>
      <w:r w:rsidR="001564AD">
        <w:rPr>
          <w:lang w:val="fr-FR"/>
        </w:rPr>
        <w:t>s</w:t>
      </w:r>
      <w:r w:rsidRPr="00465C40">
        <w:rPr>
          <w:lang w:val="fr-FR"/>
        </w:rPr>
        <w:t xml:space="preserve"> et </w:t>
      </w:r>
      <w:r w:rsidR="001564AD">
        <w:rPr>
          <w:lang w:val="fr-FR"/>
        </w:rPr>
        <w:t>techniques, de</w:t>
      </w:r>
      <w:r w:rsidRPr="00465C40">
        <w:rPr>
          <w:lang w:val="fr-FR"/>
        </w:rPr>
        <w:t xml:space="preserve"> deux réunions du Bureau de la Conférence des Parties, </w:t>
      </w:r>
      <w:r w:rsidR="004D2474">
        <w:rPr>
          <w:lang w:val="fr-FR"/>
        </w:rPr>
        <w:t>à savoir une</w:t>
      </w:r>
      <w:r w:rsidRPr="00465C40">
        <w:rPr>
          <w:lang w:val="fr-FR"/>
        </w:rPr>
        <w:t xml:space="preserve"> téléconférence </w:t>
      </w:r>
      <w:r w:rsidR="004D2474">
        <w:rPr>
          <w:lang w:val="fr-FR"/>
        </w:rPr>
        <w:t xml:space="preserve">tenue </w:t>
      </w:r>
      <w:r w:rsidR="00AB46AD">
        <w:rPr>
          <w:lang w:val="fr-FR"/>
        </w:rPr>
        <w:t>le 29 </w:t>
      </w:r>
      <w:r w:rsidRPr="00465C40">
        <w:rPr>
          <w:lang w:val="fr-FR"/>
        </w:rPr>
        <w:t xml:space="preserve">janvier 2019 et </w:t>
      </w:r>
      <w:r w:rsidR="004D2474">
        <w:rPr>
          <w:lang w:val="fr-FR"/>
        </w:rPr>
        <w:t>une réunion</w:t>
      </w:r>
      <w:r w:rsidRPr="00465C40">
        <w:rPr>
          <w:lang w:val="fr-FR"/>
        </w:rPr>
        <w:t xml:space="preserve"> en </w:t>
      </w:r>
      <w:r w:rsidR="001A7AEF">
        <w:rPr>
          <w:lang w:val="fr-FR"/>
        </w:rPr>
        <w:t>présentiel</w:t>
      </w:r>
      <w:r w:rsidRPr="00465C40">
        <w:rPr>
          <w:lang w:val="fr-FR"/>
        </w:rPr>
        <w:t xml:space="preserve"> </w:t>
      </w:r>
      <w:r w:rsidR="004D2474">
        <w:rPr>
          <w:lang w:val="fr-FR"/>
        </w:rPr>
        <w:t xml:space="preserve">tenue </w:t>
      </w:r>
      <w:r w:rsidR="00AB46AD">
        <w:rPr>
          <w:lang w:val="fr-FR"/>
        </w:rPr>
        <w:t>à Genève le 26 </w:t>
      </w:r>
      <w:r w:rsidRPr="00465C40">
        <w:rPr>
          <w:lang w:val="fr-FR"/>
        </w:rPr>
        <w:t>avril 2019. Ces réunions avaient pour objectifs principaux de dresser le bilan des résultats de la deuxième réunion de la Conférence des Parties, de manière à assurer la planification adéquate de sa troisième réunion, d</w:t>
      </w:r>
      <w:r w:rsidR="00465C40" w:rsidRPr="00465C40">
        <w:rPr>
          <w:lang w:val="fr-FR"/>
        </w:rPr>
        <w:t>’</w:t>
      </w:r>
      <w:r w:rsidRPr="00465C40">
        <w:rPr>
          <w:lang w:val="fr-FR"/>
        </w:rPr>
        <w:t>examiner les questions inscrites à l</w:t>
      </w:r>
      <w:r w:rsidR="00465C40" w:rsidRPr="00465C40">
        <w:rPr>
          <w:lang w:val="fr-FR"/>
        </w:rPr>
        <w:t>’</w:t>
      </w:r>
      <w:r w:rsidRPr="00465C40">
        <w:rPr>
          <w:lang w:val="fr-FR"/>
        </w:rPr>
        <w:t>ordre du jour de la troisième réunion de la Conférence des Parties et de donner des orientations concernant les documents qui seront présentés à la réunion et d</w:t>
      </w:r>
      <w:r w:rsidR="00465C40" w:rsidRPr="00465C40">
        <w:rPr>
          <w:lang w:val="fr-FR"/>
        </w:rPr>
        <w:t>’</w:t>
      </w:r>
      <w:r w:rsidRPr="00465C40">
        <w:rPr>
          <w:lang w:val="fr-FR"/>
        </w:rPr>
        <w:t>examiner les questions stratégiques et de politique générale. Les rapports des réunions du Bureau sont disponibles sur le site Web de la Convention</w:t>
      </w:r>
      <w:r w:rsidRPr="00465C40">
        <w:rPr>
          <w:vertAlign w:val="superscript"/>
          <w:lang w:val="fr-FR"/>
        </w:rPr>
        <w:footnoteReference w:id="2"/>
      </w:r>
      <w:r w:rsidRPr="00465C40">
        <w:rPr>
          <w:lang w:val="fr-FR"/>
        </w:rPr>
        <w:t>. Le secrétariat a mis en œuvre toutes les décisi</w:t>
      </w:r>
      <w:r w:rsidR="007E71CE">
        <w:rPr>
          <w:lang w:val="fr-FR"/>
        </w:rPr>
        <w:t>ons du Bureau et en a assuré le </w:t>
      </w:r>
      <w:r w:rsidRPr="00465C40">
        <w:rPr>
          <w:lang w:val="fr-FR"/>
        </w:rPr>
        <w:t xml:space="preserve">suivi, selon </w:t>
      </w:r>
      <w:r w:rsidR="00D136FB">
        <w:rPr>
          <w:lang w:val="fr-FR"/>
        </w:rPr>
        <w:t>que de besoin</w:t>
      </w:r>
      <w:r w:rsidRPr="00465C40">
        <w:rPr>
          <w:lang w:val="fr-FR"/>
        </w:rPr>
        <w:t>.</w:t>
      </w:r>
    </w:p>
    <w:p w14:paraId="031FC05B" w14:textId="416B01F4" w:rsidR="00F75C06" w:rsidRPr="00465C40" w:rsidRDefault="00F75C06" w:rsidP="00ED53BC">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lang w:val="fr-FR"/>
        </w:rPr>
      </w:pPr>
      <w:r w:rsidRPr="00465C40">
        <w:rPr>
          <w:lang w:val="fr-FR"/>
        </w:rPr>
        <w:t>La prochaine réunion</w:t>
      </w:r>
      <w:r w:rsidR="001A7AEF">
        <w:rPr>
          <w:lang w:val="fr-FR"/>
        </w:rPr>
        <w:t xml:space="preserve"> en présentiel</w:t>
      </w:r>
      <w:r w:rsidRPr="00465C40">
        <w:rPr>
          <w:lang w:val="fr-FR"/>
        </w:rPr>
        <w:t xml:space="preserve"> du Bureau se tiendra</w:t>
      </w:r>
      <w:r w:rsidR="00465C40" w:rsidRPr="00465C40">
        <w:rPr>
          <w:lang w:val="fr-FR"/>
        </w:rPr>
        <w:t xml:space="preserve"> </w:t>
      </w:r>
      <w:r w:rsidR="00AB46AD">
        <w:rPr>
          <w:lang w:val="fr-FR"/>
        </w:rPr>
        <w:t>les 28 et 29 septembre 2019 à </w:t>
      </w:r>
      <w:r w:rsidRPr="00465C40">
        <w:rPr>
          <w:lang w:val="fr-FR"/>
        </w:rPr>
        <w:t>Bangkok, immédiatement avant ou après la troisième réunion du processus intersessions de l</w:t>
      </w:r>
      <w:r w:rsidR="00465C40" w:rsidRPr="00465C40">
        <w:rPr>
          <w:lang w:val="fr-FR"/>
        </w:rPr>
        <w:t>’</w:t>
      </w:r>
      <w:r w:rsidRPr="00465C40">
        <w:rPr>
          <w:lang w:val="fr-FR"/>
        </w:rPr>
        <w:t>Approche stratégique de la gestion internationale des produits chimiques (l</w:t>
      </w:r>
      <w:r w:rsidR="00465C40" w:rsidRPr="00465C40">
        <w:rPr>
          <w:lang w:val="fr-FR"/>
        </w:rPr>
        <w:t>’</w:t>
      </w:r>
      <w:r w:rsidRPr="00465C40">
        <w:rPr>
          <w:lang w:val="fr-FR"/>
        </w:rPr>
        <w:t>« Approche stratégique »). Le Bu</w:t>
      </w:r>
      <w:r w:rsidR="00AB46AD">
        <w:rPr>
          <w:lang w:val="fr-FR"/>
        </w:rPr>
        <w:t>reau se réunira également le 24 </w:t>
      </w:r>
      <w:r w:rsidRPr="00465C40">
        <w:rPr>
          <w:lang w:val="fr-FR"/>
        </w:rPr>
        <w:t xml:space="preserve">novembre 2019, </w:t>
      </w:r>
      <w:r w:rsidR="001A7AEF">
        <w:rPr>
          <w:lang w:val="fr-FR"/>
        </w:rPr>
        <w:t xml:space="preserve">à la </w:t>
      </w:r>
      <w:r w:rsidRPr="00465C40">
        <w:rPr>
          <w:lang w:val="fr-FR"/>
        </w:rPr>
        <w:t>veille du début de la troisième réunion de la Conférence des Parties, ainsi que durant cette dernière.</w:t>
      </w:r>
    </w:p>
    <w:p w14:paraId="74230F6A" w14:textId="5DB64EBA" w:rsidR="00163DA4" w:rsidRPr="00465C40" w:rsidRDefault="00163DA4" w:rsidP="001564AD">
      <w:pPr>
        <w:pStyle w:val="CH2"/>
        <w:spacing w:before="240"/>
        <w:ind w:left="1871"/>
        <w:rPr>
          <w:lang w:val="fr-FR"/>
        </w:rPr>
      </w:pPr>
      <w:r w:rsidRPr="00465C40">
        <w:rPr>
          <w:lang w:val="fr-FR"/>
        </w:rPr>
        <w:t>C.</w:t>
      </w:r>
      <w:r w:rsidRPr="00465C40">
        <w:rPr>
          <w:lang w:val="fr-FR"/>
        </w:rPr>
        <w:tab/>
      </w:r>
      <w:r w:rsidRPr="00465C40">
        <w:rPr>
          <w:bCs/>
          <w:lang w:val="fr-FR"/>
        </w:rPr>
        <w:t>Réunions régionales</w:t>
      </w:r>
      <w:r w:rsidRPr="00465C40">
        <w:rPr>
          <w:lang w:val="fr-FR"/>
        </w:rPr>
        <w:t xml:space="preserve"> </w:t>
      </w:r>
    </w:p>
    <w:p w14:paraId="001343BC" w14:textId="11B07A3B" w:rsidR="00FF2073" w:rsidRPr="00465C40" w:rsidRDefault="00AB46AD"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Dans sa décision </w:t>
      </w:r>
      <w:r w:rsidR="003B2198" w:rsidRPr="00465C40">
        <w:rPr>
          <w:lang w:val="fr-FR"/>
        </w:rPr>
        <w:t>MC-1/15 sur le programme de travail du secrétaria</w:t>
      </w:r>
      <w:r>
        <w:rPr>
          <w:lang w:val="fr-FR"/>
        </w:rPr>
        <w:t>t et le budget pour la période </w:t>
      </w:r>
      <w:r w:rsidR="003B2198" w:rsidRPr="00465C40">
        <w:rPr>
          <w:lang w:val="fr-FR"/>
        </w:rPr>
        <w:t>2018–2019</w:t>
      </w:r>
      <w:r w:rsidR="00B14D6F">
        <w:rPr>
          <w:lang w:val="fr-FR"/>
        </w:rPr>
        <w:t>,</w:t>
      </w:r>
      <w:r w:rsidR="003B2198" w:rsidRPr="00465C40">
        <w:rPr>
          <w:lang w:val="fr-FR"/>
        </w:rPr>
        <w:t xml:space="preserve"> adoptée à sa première réunion, la Conférence des Parties a établi que les réunions préparatoir</w:t>
      </w:r>
      <w:r>
        <w:rPr>
          <w:lang w:val="fr-FR"/>
        </w:rPr>
        <w:t>es de ses deuxième et troisième </w:t>
      </w:r>
      <w:r w:rsidR="003B2198" w:rsidRPr="00465C40">
        <w:rPr>
          <w:lang w:val="fr-FR"/>
        </w:rPr>
        <w:t>réunions seraient financées au moyen des contributions volontaires. Les réunions préparatoires régionales ont pour objectif de contribuer au succès des réunions de la Conférence des Parties en 2018 et 2019 en donnant aux régions la possibilité de se consulter les unes les autres avant la tenue de la réunion, d</w:t>
      </w:r>
      <w:r w:rsidR="00465C40" w:rsidRPr="00465C40">
        <w:rPr>
          <w:lang w:val="fr-FR"/>
        </w:rPr>
        <w:t>’</w:t>
      </w:r>
      <w:r w:rsidR="003B2198" w:rsidRPr="00465C40">
        <w:rPr>
          <w:lang w:val="fr-FR"/>
        </w:rPr>
        <w:t>examiner les documents de réunion, de débattre de questions de fond, de cerner les priorités et problèmes régionaux et d</w:t>
      </w:r>
      <w:r w:rsidR="00465C40" w:rsidRPr="00465C40">
        <w:rPr>
          <w:lang w:val="fr-FR"/>
        </w:rPr>
        <w:t>’</w:t>
      </w:r>
      <w:r w:rsidR="003B2198" w:rsidRPr="00465C40">
        <w:rPr>
          <w:lang w:val="fr-FR"/>
        </w:rPr>
        <w:t>élaborer les positions régionales. Ces réunions renforcent la légitimité des décisions adoptées par la Conférence des Parties et appuient la mise en œuvre de la Convention à tous les niveaux.</w:t>
      </w:r>
    </w:p>
    <w:p w14:paraId="7E1A2ED4" w14:textId="33C19BE9" w:rsidR="00AF676C" w:rsidRPr="00465C40" w:rsidRDefault="00AF676C" w:rsidP="00D2142E">
      <w:pPr>
        <w:pStyle w:val="Normalnumber"/>
        <w:keepNext/>
        <w:keepLines/>
        <w:tabs>
          <w:tab w:val="clear" w:pos="1134"/>
          <w:tab w:val="clear" w:pos="1247"/>
          <w:tab w:val="clear" w:pos="1814"/>
          <w:tab w:val="clear" w:pos="2381"/>
          <w:tab w:val="clear" w:pos="2948"/>
          <w:tab w:val="clear" w:pos="3515"/>
          <w:tab w:val="clear" w:pos="4082"/>
          <w:tab w:val="num" w:pos="624"/>
        </w:tabs>
        <w:rPr>
          <w:lang w:val="fr-FR"/>
        </w:rPr>
      </w:pPr>
      <w:r w:rsidRPr="00465C40">
        <w:rPr>
          <w:lang w:val="fr-FR"/>
        </w:rPr>
        <w:lastRenderedPageBreak/>
        <w:t>Le Président de la Conférence des Parties et la Secrétaire exécutive ont publié de</w:t>
      </w:r>
      <w:r w:rsidR="00AB46AD">
        <w:rPr>
          <w:lang w:val="fr-FR"/>
        </w:rPr>
        <w:t>ux communications, datées du 19 décembre 2018 et du 3 </w:t>
      </w:r>
      <w:r w:rsidRPr="00465C40">
        <w:rPr>
          <w:lang w:val="fr-FR"/>
        </w:rPr>
        <w:t>mai 2019, afin de lever des fonds pour organiser les réunions régionales préparatoires en vue de la troisième réunion de la Conférence des Parties. Ils ont également mené de nombreuses consultations bilatérales sur la question avec des donateurs. À ce jour, l</w:t>
      </w:r>
      <w:r w:rsidR="00465C40" w:rsidRPr="00465C40">
        <w:rPr>
          <w:lang w:val="fr-FR"/>
        </w:rPr>
        <w:t>’</w:t>
      </w:r>
      <w:r w:rsidRPr="00465C40">
        <w:rPr>
          <w:lang w:val="fr-FR"/>
        </w:rPr>
        <w:t>Autriche, le Japon, la Norvège et la Suède ont versé des contributions volontaires. Sous réserve que les ressources nécessaires soient disponibles, les réunions régionales se tiendront comme suit</w:t>
      </w:r>
      <w:r w:rsidR="00465C40" w:rsidRPr="00465C40">
        <w:rPr>
          <w:lang w:val="fr-FR"/>
        </w:rPr>
        <w:t> :</w:t>
      </w:r>
    </w:p>
    <w:p w14:paraId="4D836950" w14:textId="492A9E03" w:rsidR="00B07B2B" w:rsidRPr="00465C40" w:rsidRDefault="00B07B2B" w:rsidP="001564AD">
      <w:pPr>
        <w:pStyle w:val="Normalnumber"/>
        <w:numPr>
          <w:ilvl w:val="1"/>
          <w:numId w:val="5"/>
        </w:numPr>
        <w:tabs>
          <w:tab w:val="left" w:pos="624"/>
        </w:tabs>
        <w:rPr>
          <w:lang w:val="fr-FR"/>
        </w:rPr>
      </w:pPr>
      <w:r w:rsidRPr="00465C40">
        <w:rPr>
          <w:lang w:val="fr-FR"/>
        </w:rPr>
        <w:t>Asie et Pacifique</w:t>
      </w:r>
      <w:r w:rsidR="00465C40" w:rsidRPr="00465C40">
        <w:rPr>
          <w:lang w:val="fr-FR"/>
        </w:rPr>
        <w:t> :</w:t>
      </w:r>
      <w:r w:rsidR="00626E7C">
        <w:rPr>
          <w:lang w:val="fr-FR"/>
        </w:rPr>
        <w:t xml:space="preserve"> 7 </w:t>
      </w:r>
      <w:r w:rsidR="00AB46AD">
        <w:rPr>
          <w:lang w:val="fr-FR"/>
        </w:rPr>
        <w:t>et 8 </w:t>
      </w:r>
      <w:r w:rsidRPr="00465C40">
        <w:rPr>
          <w:lang w:val="fr-FR"/>
        </w:rPr>
        <w:t>octobre 2019 (lieu à confirmer)</w:t>
      </w:r>
      <w:r w:rsidR="00465C40" w:rsidRPr="00465C40">
        <w:rPr>
          <w:lang w:val="fr-FR"/>
        </w:rPr>
        <w:t> ;</w:t>
      </w:r>
    </w:p>
    <w:p w14:paraId="456BF1B6" w14:textId="29749DD9" w:rsidR="00EB7A8E" w:rsidRPr="00465C40" w:rsidRDefault="00EB7A8E" w:rsidP="001564AD">
      <w:pPr>
        <w:pStyle w:val="Normalnumber"/>
        <w:numPr>
          <w:ilvl w:val="1"/>
          <w:numId w:val="5"/>
        </w:numPr>
        <w:tabs>
          <w:tab w:val="left" w:pos="624"/>
        </w:tabs>
        <w:rPr>
          <w:lang w:val="fr-FR"/>
        </w:rPr>
      </w:pPr>
      <w:r w:rsidRPr="00465C40">
        <w:rPr>
          <w:lang w:val="fr-FR"/>
        </w:rPr>
        <w:t>Afrique</w:t>
      </w:r>
      <w:r w:rsidR="00465C40" w:rsidRPr="00465C40">
        <w:rPr>
          <w:lang w:val="fr-FR"/>
        </w:rPr>
        <w:t> :</w:t>
      </w:r>
      <w:r w:rsidR="00626E7C">
        <w:rPr>
          <w:lang w:val="fr-FR"/>
        </w:rPr>
        <w:t xml:space="preserve"> 15 </w:t>
      </w:r>
      <w:r w:rsidR="00AB46AD">
        <w:rPr>
          <w:lang w:val="fr-FR"/>
        </w:rPr>
        <w:t>et 16 </w:t>
      </w:r>
      <w:r w:rsidRPr="00465C40">
        <w:rPr>
          <w:lang w:val="fr-FR"/>
        </w:rPr>
        <w:t>octobre 2019 (Accra)</w:t>
      </w:r>
      <w:r w:rsidR="00465C40" w:rsidRPr="00465C40">
        <w:rPr>
          <w:lang w:val="fr-FR"/>
        </w:rPr>
        <w:t> ;</w:t>
      </w:r>
    </w:p>
    <w:p w14:paraId="5924B02D" w14:textId="3B99F069" w:rsidR="003B2198" w:rsidRPr="00465C40" w:rsidRDefault="003B2198" w:rsidP="001564AD">
      <w:pPr>
        <w:pStyle w:val="Normalnumber"/>
        <w:numPr>
          <w:ilvl w:val="1"/>
          <w:numId w:val="5"/>
        </w:numPr>
        <w:tabs>
          <w:tab w:val="clear" w:pos="1247"/>
          <w:tab w:val="clear" w:pos="1814"/>
          <w:tab w:val="left" w:pos="624"/>
        </w:tabs>
        <w:rPr>
          <w:lang w:val="fr-FR"/>
        </w:rPr>
      </w:pPr>
      <w:r w:rsidRPr="00465C40">
        <w:rPr>
          <w:lang w:val="fr-FR"/>
        </w:rPr>
        <w:t>Europe centrale et orientale et Asie centrale</w:t>
      </w:r>
      <w:r w:rsidR="00465C40" w:rsidRPr="00465C40">
        <w:rPr>
          <w:lang w:val="fr-FR"/>
        </w:rPr>
        <w:t> :</w:t>
      </w:r>
      <w:r w:rsidR="00626E7C">
        <w:rPr>
          <w:lang w:val="fr-FR"/>
        </w:rPr>
        <w:t xml:space="preserve"> 22 </w:t>
      </w:r>
      <w:r w:rsidR="00AB46AD">
        <w:rPr>
          <w:lang w:val="fr-FR"/>
        </w:rPr>
        <w:t>et 23 </w:t>
      </w:r>
      <w:r w:rsidR="00A55383" w:rsidRPr="00465C40">
        <w:rPr>
          <w:lang w:val="fr-FR"/>
        </w:rPr>
        <w:t>octobre</w:t>
      </w:r>
      <w:r w:rsidRPr="00465C40">
        <w:rPr>
          <w:lang w:val="fr-FR"/>
        </w:rPr>
        <w:t xml:space="preserve"> 2019 (Tallinn)</w:t>
      </w:r>
      <w:r w:rsidR="00465C40" w:rsidRPr="00465C40">
        <w:rPr>
          <w:lang w:val="fr-FR"/>
        </w:rPr>
        <w:t> ;</w:t>
      </w:r>
    </w:p>
    <w:p w14:paraId="6F879F1D" w14:textId="0AE5F48F" w:rsidR="00163DA4" w:rsidRPr="00465C40" w:rsidRDefault="00247F3D" w:rsidP="001564AD">
      <w:pPr>
        <w:pStyle w:val="Normalnumber"/>
        <w:numPr>
          <w:ilvl w:val="1"/>
          <w:numId w:val="5"/>
        </w:numPr>
        <w:tabs>
          <w:tab w:val="clear" w:pos="1247"/>
          <w:tab w:val="clear" w:pos="1814"/>
          <w:tab w:val="left" w:pos="624"/>
          <w:tab w:val="left" w:pos="1843"/>
        </w:tabs>
        <w:rPr>
          <w:lang w:val="fr-FR"/>
        </w:rPr>
      </w:pPr>
      <w:r w:rsidRPr="00465C40">
        <w:rPr>
          <w:lang w:val="fr-FR"/>
        </w:rPr>
        <w:t>Amérique latine et Caraïbes</w:t>
      </w:r>
      <w:r w:rsidR="00465C40" w:rsidRPr="00465C40">
        <w:rPr>
          <w:lang w:val="fr-FR"/>
        </w:rPr>
        <w:t> :</w:t>
      </w:r>
      <w:r w:rsidR="00626E7C">
        <w:rPr>
          <w:lang w:val="fr-FR"/>
        </w:rPr>
        <w:t xml:space="preserve"> 29 </w:t>
      </w:r>
      <w:r w:rsidR="00AB46AD">
        <w:rPr>
          <w:lang w:val="fr-FR"/>
        </w:rPr>
        <w:t>et 30 </w:t>
      </w:r>
      <w:r w:rsidRPr="00465C40">
        <w:rPr>
          <w:lang w:val="fr-FR"/>
        </w:rPr>
        <w:t>octobre 2019 (lieu à confirmer).</w:t>
      </w:r>
    </w:p>
    <w:p w14:paraId="40F00389" w14:textId="5A85DF9B" w:rsidR="00163DA4"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w:t>
      </w:r>
      <w:r w:rsidR="00465C40" w:rsidRPr="00465C40">
        <w:rPr>
          <w:lang w:val="fr-FR"/>
        </w:rPr>
        <w:t>’</w:t>
      </w:r>
      <w:r w:rsidRPr="00465C40">
        <w:rPr>
          <w:lang w:val="fr-FR"/>
        </w:rPr>
        <w:t>ordre du jour provisoire de chaque réunion régionale sera élaboré en coopération avec les membres du Bureau représentant la région intéressée. Le secrétariat organisera les réunions régionales en coopération avec les centres régionaux et les centres de coordination de la Convention de Bâle sur le contrôle des mouvements transfrontières de déchets dangereux et de leur élimination et de l</w:t>
      </w:r>
      <w:r w:rsidR="00B14D6F">
        <w:rPr>
          <w:lang w:val="fr-FR"/>
        </w:rPr>
        <w:t>a</w:t>
      </w:r>
      <w:r w:rsidRPr="00465C40">
        <w:rPr>
          <w:lang w:val="fr-FR"/>
        </w:rPr>
        <w:t xml:space="preserve"> Convention de Stockholm sur les polluants organiques persistants en ce qui concerne les </w:t>
      </w:r>
      <w:r w:rsidR="00476F2F">
        <w:rPr>
          <w:lang w:val="fr-FR"/>
        </w:rPr>
        <w:t>modalités</w:t>
      </w:r>
      <w:r w:rsidRPr="00465C40">
        <w:rPr>
          <w:lang w:val="fr-FR"/>
        </w:rPr>
        <w:t xml:space="preserve"> logistiques et le voyage des participant(e)s. Comme </w:t>
      </w:r>
      <w:r w:rsidR="00DC7B7A">
        <w:rPr>
          <w:lang w:val="fr-FR"/>
        </w:rPr>
        <w:t>précédemment, afin</w:t>
      </w:r>
      <w:r w:rsidRPr="00465C40">
        <w:rPr>
          <w:lang w:val="fr-FR"/>
        </w:rPr>
        <w:t xml:space="preserve"> d</w:t>
      </w:r>
      <w:r w:rsidR="00465C40" w:rsidRPr="00465C40">
        <w:rPr>
          <w:lang w:val="fr-FR"/>
        </w:rPr>
        <w:t>’</w:t>
      </w:r>
      <w:r w:rsidRPr="00465C40">
        <w:rPr>
          <w:lang w:val="fr-FR"/>
        </w:rPr>
        <w:t>optimiser l</w:t>
      </w:r>
      <w:r w:rsidR="00465C40" w:rsidRPr="00465C40">
        <w:rPr>
          <w:lang w:val="fr-FR"/>
        </w:rPr>
        <w:t>’</w:t>
      </w:r>
      <w:r w:rsidRPr="00465C40">
        <w:rPr>
          <w:lang w:val="fr-FR"/>
        </w:rPr>
        <w:t>échange d</w:t>
      </w:r>
      <w:r w:rsidR="00465C40" w:rsidRPr="00465C40">
        <w:rPr>
          <w:lang w:val="fr-FR"/>
        </w:rPr>
        <w:t>’</w:t>
      </w:r>
      <w:r w:rsidRPr="00465C40">
        <w:rPr>
          <w:lang w:val="fr-FR"/>
        </w:rPr>
        <w:t>informations et la coopération au sein des entités traitant des produits chimiques et des dé</w:t>
      </w:r>
      <w:r w:rsidR="00AB46AD">
        <w:rPr>
          <w:lang w:val="fr-FR"/>
        </w:rPr>
        <w:t>chets, le </w:t>
      </w:r>
      <w:r w:rsidR="00C35F7D">
        <w:rPr>
          <w:lang w:val="fr-FR"/>
        </w:rPr>
        <w:t>S</w:t>
      </w:r>
      <w:r w:rsidRPr="00465C40">
        <w:rPr>
          <w:lang w:val="fr-FR"/>
        </w:rPr>
        <w:t>ecrétariat des Conventions de Bâle, de Rotterdam et de Stockholm et le secrétariat de l</w:t>
      </w:r>
      <w:r w:rsidR="00465C40" w:rsidRPr="00465C40">
        <w:rPr>
          <w:lang w:val="fr-FR"/>
        </w:rPr>
        <w:t>’</w:t>
      </w:r>
      <w:r w:rsidRPr="00465C40">
        <w:rPr>
          <w:lang w:val="fr-FR"/>
        </w:rPr>
        <w:t>Approche stratégique seront invités à organiser des séances d</w:t>
      </w:r>
      <w:r w:rsidR="00465C40" w:rsidRPr="00465C40">
        <w:rPr>
          <w:lang w:val="fr-FR"/>
        </w:rPr>
        <w:t>’</w:t>
      </w:r>
      <w:r w:rsidRPr="00465C40">
        <w:rPr>
          <w:lang w:val="fr-FR"/>
        </w:rPr>
        <w:t>information sur les questions qui les intéressent</w:t>
      </w:r>
      <w:r w:rsidR="00BF2D0C">
        <w:rPr>
          <w:lang w:val="fr-FR"/>
        </w:rPr>
        <w:t>,</w:t>
      </w:r>
      <w:r w:rsidRPr="00465C40">
        <w:rPr>
          <w:lang w:val="fr-FR"/>
        </w:rPr>
        <w:t xml:space="preserve"> immédiatement avant ou après les consultations régionales.</w:t>
      </w:r>
    </w:p>
    <w:p w14:paraId="52C47D1A" w14:textId="20245A69" w:rsidR="00163DA4" w:rsidRPr="00465C40" w:rsidRDefault="00163DA4" w:rsidP="00DC7B7A">
      <w:pPr>
        <w:pStyle w:val="CH1"/>
        <w:ind w:hanging="623"/>
        <w:rPr>
          <w:lang w:val="fr-FR"/>
        </w:rPr>
      </w:pPr>
      <w:r w:rsidRPr="00465C40">
        <w:rPr>
          <w:lang w:val="fr-FR"/>
        </w:rPr>
        <w:t>III.</w:t>
      </w:r>
      <w:r w:rsidRPr="00465C40">
        <w:rPr>
          <w:lang w:val="fr-FR"/>
        </w:rPr>
        <w:tab/>
      </w:r>
      <w:r w:rsidRPr="00465C40">
        <w:rPr>
          <w:bCs/>
          <w:lang w:val="fr-FR"/>
        </w:rPr>
        <w:t xml:space="preserve">Travaux intersessions demandés </w:t>
      </w:r>
      <w:r w:rsidR="001069EF">
        <w:rPr>
          <w:bCs/>
          <w:lang w:val="fr-FR"/>
        </w:rPr>
        <w:t>par la Conférence des Parties à sa deuxième </w:t>
      </w:r>
      <w:r w:rsidRPr="00465C40">
        <w:rPr>
          <w:bCs/>
          <w:lang w:val="fr-FR"/>
        </w:rPr>
        <w:t>réunion</w:t>
      </w:r>
      <w:r w:rsidRPr="00465C40">
        <w:rPr>
          <w:lang w:val="fr-FR"/>
        </w:rPr>
        <w:t xml:space="preserve"> </w:t>
      </w:r>
    </w:p>
    <w:p w14:paraId="57004295" w14:textId="020EFEAD" w:rsidR="00D40C05" w:rsidRPr="00465C40" w:rsidRDefault="001069EF"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À sa deuxième </w:t>
      </w:r>
      <w:r w:rsidR="009C68A0" w:rsidRPr="00465C40">
        <w:rPr>
          <w:lang w:val="fr-FR"/>
        </w:rPr>
        <w:t xml:space="preserve">réunion, la Conférence des Parties a prié le secrétariat de recueillir des </w:t>
      </w:r>
      <w:r w:rsidR="006C098C">
        <w:rPr>
          <w:lang w:val="fr-FR"/>
        </w:rPr>
        <w:t>informa</w:t>
      </w:r>
      <w:r w:rsidR="009C68A0" w:rsidRPr="00465C40">
        <w:rPr>
          <w:lang w:val="fr-FR"/>
        </w:rPr>
        <w:t>tions et d</w:t>
      </w:r>
      <w:r w:rsidR="00465C40" w:rsidRPr="00465C40">
        <w:rPr>
          <w:lang w:val="fr-FR"/>
        </w:rPr>
        <w:t>’</w:t>
      </w:r>
      <w:r w:rsidR="009C68A0" w:rsidRPr="00465C40">
        <w:rPr>
          <w:lang w:val="fr-FR"/>
        </w:rPr>
        <w:t xml:space="preserve">entreprendre des activités </w:t>
      </w:r>
      <w:r w:rsidR="00DC7B7A">
        <w:rPr>
          <w:lang w:val="fr-FR"/>
        </w:rPr>
        <w:t xml:space="preserve">sur </w:t>
      </w:r>
      <w:r w:rsidR="009C68A0" w:rsidRPr="00465C40">
        <w:rPr>
          <w:lang w:val="fr-FR"/>
        </w:rPr>
        <w:t>un certain nombre de questions définies dans les décisions adoptées à cette réunion. Les Parties et les autres parti</w:t>
      </w:r>
      <w:r w:rsidR="007E71CE">
        <w:rPr>
          <w:lang w:val="fr-FR"/>
        </w:rPr>
        <w:t>es prenantes ont été invitées à </w:t>
      </w:r>
      <w:r w:rsidR="009C68A0" w:rsidRPr="00465C40">
        <w:rPr>
          <w:lang w:val="fr-FR"/>
        </w:rPr>
        <w:t xml:space="preserve">contribuer sur certains points, tandis que </w:t>
      </w:r>
      <w:r w:rsidR="006C098C" w:rsidRPr="006C098C">
        <w:rPr>
          <w:lang w:val="fr-FR"/>
        </w:rPr>
        <w:t xml:space="preserve">sur d’autres, </w:t>
      </w:r>
      <w:r w:rsidR="009C68A0" w:rsidRPr="00465C40">
        <w:rPr>
          <w:lang w:val="fr-FR"/>
        </w:rPr>
        <w:t>les membres</w:t>
      </w:r>
      <w:r w:rsidR="007E71CE">
        <w:rPr>
          <w:lang w:val="fr-FR"/>
        </w:rPr>
        <w:t xml:space="preserve"> du Bureau de la Conférence des </w:t>
      </w:r>
      <w:r w:rsidR="009C68A0" w:rsidRPr="00465C40">
        <w:rPr>
          <w:lang w:val="fr-FR"/>
        </w:rPr>
        <w:t xml:space="preserve">Parties ont été invités, à </w:t>
      </w:r>
      <w:r w:rsidR="006C098C">
        <w:rPr>
          <w:lang w:val="fr-FR"/>
        </w:rPr>
        <w:t>présenter des candidature</w:t>
      </w:r>
      <w:r w:rsidR="009C68A0" w:rsidRPr="00465C40">
        <w:rPr>
          <w:lang w:val="fr-FR"/>
        </w:rPr>
        <w:t xml:space="preserve">s </w:t>
      </w:r>
      <w:r w:rsidR="006C098C">
        <w:rPr>
          <w:lang w:val="fr-FR"/>
        </w:rPr>
        <w:t>d’experts</w:t>
      </w:r>
      <w:r w:rsidR="009C68A0" w:rsidRPr="00465C40">
        <w:rPr>
          <w:lang w:val="fr-FR"/>
        </w:rPr>
        <w:t xml:space="preserve"> </w:t>
      </w:r>
      <w:r w:rsidR="006C098C">
        <w:rPr>
          <w:lang w:val="fr-FR"/>
        </w:rPr>
        <w:t xml:space="preserve">pour </w:t>
      </w:r>
      <w:r w:rsidR="009C68A0" w:rsidRPr="00465C40">
        <w:rPr>
          <w:lang w:val="fr-FR"/>
        </w:rPr>
        <w:t>représent</w:t>
      </w:r>
      <w:r w:rsidR="006C098C">
        <w:rPr>
          <w:lang w:val="fr-FR"/>
        </w:rPr>
        <w:t>er leurs</w:t>
      </w:r>
      <w:r w:rsidR="009C68A0" w:rsidRPr="00465C40">
        <w:rPr>
          <w:lang w:val="fr-FR"/>
        </w:rPr>
        <w:t xml:space="preserve"> régions </w:t>
      </w:r>
      <w:r w:rsidR="006C098C">
        <w:rPr>
          <w:lang w:val="fr-FR"/>
        </w:rPr>
        <w:t>respectives</w:t>
      </w:r>
      <w:r w:rsidR="009C68A0" w:rsidRPr="00465C40">
        <w:rPr>
          <w:lang w:val="fr-FR"/>
        </w:rPr>
        <w:t>. Le secrétariat a coordonné les travaux des groupes d</w:t>
      </w:r>
      <w:r w:rsidR="00465C40" w:rsidRPr="00465C40">
        <w:rPr>
          <w:lang w:val="fr-FR"/>
        </w:rPr>
        <w:t>’</w:t>
      </w:r>
      <w:r w:rsidR="009C68A0" w:rsidRPr="00465C40">
        <w:rPr>
          <w:lang w:val="fr-FR"/>
        </w:rPr>
        <w:t>experts sur les rejets, les seuils applicables aux déchets de mercure et l</w:t>
      </w:r>
      <w:r w:rsidR="00465C40" w:rsidRPr="00465C40">
        <w:rPr>
          <w:lang w:val="fr-FR"/>
        </w:rPr>
        <w:t>’</w:t>
      </w:r>
      <w:r w:rsidR="009C68A0" w:rsidRPr="00465C40">
        <w:rPr>
          <w:lang w:val="fr-FR"/>
        </w:rPr>
        <w:t>évaluation de l</w:t>
      </w:r>
      <w:r w:rsidR="00465C40" w:rsidRPr="00465C40">
        <w:rPr>
          <w:lang w:val="fr-FR"/>
        </w:rPr>
        <w:t>’</w:t>
      </w:r>
      <w:r w:rsidR="009C68A0" w:rsidRPr="00465C40">
        <w:rPr>
          <w:lang w:val="fr-FR"/>
        </w:rPr>
        <w:t>efficacité et a élaboré les documents de réunion connexes. Il a également coordonné les contributions relatives aux points suivants</w:t>
      </w:r>
      <w:r w:rsidR="00465C40" w:rsidRPr="00465C40">
        <w:rPr>
          <w:lang w:val="fr-FR"/>
        </w:rPr>
        <w:t> :</w:t>
      </w:r>
      <w:r w:rsidR="009C68A0" w:rsidRPr="00465C40">
        <w:rPr>
          <w:lang w:val="fr-FR"/>
        </w:rPr>
        <w:t xml:space="preserve"> orientations sur la gestion des sites contaminés</w:t>
      </w:r>
      <w:r w:rsidR="00465C40" w:rsidRPr="00465C40">
        <w:rPr>
          <w:lang w:val="fr-FR"/>
        </w:rPr>
        <w:t> ;</w:t>
      </w:r>
      <w:r w:rsidR="009C68A0" w:rsidRPr="00465C40">
        <w:rPr>
          <w:lang w:val="fr-FR"/>
        </w:rPr>
        <w:t xml:space="preserve"> renforcement des capacités, assistance technique et transfert de technologie</w:t>
      </w:r>
      <w:r w:rsidR="00465C40" w:rsidRPr="00465C40">
        <w:rPr>
          <w:lang w:val="fr-FR"/>
        </w:rPr>
        <w:t> ;</w:t>
      </w:r>
      <w:r w:rsidR="009C68A0" w:rsidRPr="00465C40">
        <w:rPr>
          <w:lang w:val="fr-FR"/>
        </w:rPr>
        <w:t xml:space="preserve"> Programme international spécifique visant à soutenir le renforcement des capacités et l</w:t>
      </w:r>
      <w:r w:rsidR="00465C40" w:rsidRPr="00465C40">
        <w:rPr>
          <w:lang w:val="fr-FR"/>
        </w:rPr>
        <w:t>’</w:t>
      </w:r>
      <w:r w:rsidR="009C68A0" w:rsidRPr="00465C40">
        <w:rPr>
          <w:lang w:val="fr-FR"/>
        </w:rPr>
        <w:t>assistance technique</w:t>
      </w:r>
      <w:r w:rsidR="00465C40" w:rsidRPr="00465C40">
        <w:rPr>
          <w:lang w:val="fr-FR"/>
        </w:rPr>
        <w:t> ;</w:t>
      </w:r>
      <w:r w:rsidR="009C68A0" w:rsidRPr="00465C40">
        <w:rPr>
          <w:lang w:val="fr-FR"/>
        </w:rPr>
        <w:t xml:space="preserve"> examen du mécanisme de financement</w:t>
      </w:r>
      <w:r w:rsidR="00465C40" w:rsidRPr="00465C40">
        <w:rPr>
          <w:lang w:val="fr-FR"/>
        </w:rPr>
        <w:t> ;</w:t>
      </w:r>
      <w:r w:rsidR="009C68A0" w:rsidRPr="00465C40">
        <w:rPr>
          <w:lang w:val="fr-FR"/>
        </w:rPr>
        <w:t xml:space="preserve"> </w:t>
      </w:r>
      <w:r w:rsidR="006C098C">
        <w:rPr>
          <w:lang w:val="fr-FR"/>
        </w:rPr>
        <w:t xml:space="preserve">et </w:t>
      </w:r>
      <w:r w:rsidR="009C68A0" w:rsidRPr="00465C40">
        <w:rPr>
          <w:lang w:val="fr-FR"/>
        </w:rPr>
        <w:t>émissions de mercure provenant du brûlage de déchets à l</w:t>
      </w:r>
      <w:r w:rsidR="00465C40" w:rsidRPr="00465C40">
        <w:rPr>
          <w:lang w:val="fr-FR"/>
        </w:rPr>
        <w:t>’</w:t>
      </w:r>
      <w:r w:rsidR="009C68A0" w:rsidRPr="00465C40">
        <w:rPr>
          <w:lang w:val="fr-FR"/>
        </w:rPr>
        <w:t xml:space="preserve">air libre. Les contributions reçues peuvent être consultées sur le site Web de la Convention de Minamata. </w:t>
      </w:r>
    </w:p>
    <w:p w14:paraId="40073CCC" w14:textId="4FA3630D" w:rsidR="00163DA4" w:rsidRPr="00465C40" w:rsidRDefault="00F43B41"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Conformément à la feuille de</w:t>
      </w:r>
      <w:r w:rsidR="00AB46AD">
        <w:rPr>
          <w:lang w:val="fr-FR"/>
        </w:rPr>
        <w:t xml:space="preserve"> route adoptée dans la décision </w:t>
      </w:r>
      <w:r w:rsidRPr="00465C40">
        <w:rPr>
          <w:lang w:val="fr-FR"/>
        </w:rPr>
        <w:t>MC-2/10, le secrétariat a appuyé les travaux du groupe spécial d</w:t>
      </w:r>
      <w:r w:rsidR="00465C40" w:rsidRPr="00465C40">
        <w:rPr>
          <w:lang w:val="fr-FR"/>
        </w:rPr>
        <w:t>’</w:t>
      </w:r>
      <w:r w:rsidRPr="00465C40">
        <w:rPr>
          <w:lang w:val="fr-FR"/>
        </w:rPr>
        <w:t>experts techniques sur l</w:t>
      </w:r>
      <w:r w:rsidR="00465C40" w:rsidRPr="00465C40">
        <w:rPr>
          <w:lang w:val="fr-FR"/>
        </w:rPr>
        <w:t>’</w:t>
      </w:r>
      <w:r w:rsidRPr="00465C40">
        <w:rPr>
          <w:lang w:val="fr-FR"/>
        </w:rPr>
        <w:t>évaluation de l</w:t>
      </w:r>
      <w:r w:rsidR="00465C40" w:rsidRPr="00465C40">
        <w:rPr>
          <w:lang w:val="fr-FR"/>
        </w:rPr>
        <w:t>’</w:t>
      </w:r>
      <w:r w:rsidRPr="00465C40">
        <w:rPr>
          <w:lang w:val="fr-FR"/>
        </w:rPr>
        <w:t>efficacité. Après que tous les membres du groupe d</w:t>
      </w:r>
      <w:r w:rsidR="00465C40" w:rsidRPr="00465C40">
        <w:rPr>
          <w:lang w:val="fr-FR"/>
        </w:rPr>
        <w:t>’</w:t>
      </w:r>
      <w:r w:rsidRPr="00465C40">
        <w:rPr>
          <w:lang w:val="fr-FR"/>
        </w:rPr>
        <w:t xml:space="preserve">experts ont été désignés, le secrétariat a organisé une réunion en </w:t>
      </w:r>
      <w:r w:rsidR="001A7AEF">
        <w:rPr>
          <w:lang w:val="fr-FR"/>
        </w:rPr>
        <w:t>présentiel</w:t>
      </w:r>
      <w:r w:rsidRPr="00465C40">
        <w:rPr>
          <w:lang w:val="fr-FR"/>
        </w:rPr>
        <w:t xml:space="preserve"> du groupe, qui s</w:t>
      </w:r>
      <w:r w:rsidR="00465C40" w:rsidRPr="00465C40">
        <w:rPr>
          <w:lang w:val="fr-FR"/>
        </w:rPr>
        <w:t>’</w:t>
      </w:r>
      <w:r w:rsidR="00AB46AD">
        <w:rPr>
          <w:lang w:val="fr-FR"/>
        </w:rPr>
        <w:t xml:space="preserve">est tenue du </w:t>
      </w:r>
      <w:r w:rsidR="00626E7C">
        <w:rPr>
          <w:lang w:val="fr-FR"/>
        </w:rPr>
        <w:t>8 </w:t>
      </w:r>
      <w:r w:rsidR="00AB46AD">
        <w:rPr>
          <w:lang w:val="fr-FR"/>
        </w:rPr>
        <w:t>au 12 </w:t>
      </w:r>
      <w:r w:rsidRPr="00465C40">
        <w:rPr>
          <w:lang w:val="fr-FR"/>
        </w:rPr>
        <w:t>avril 2019 à Genève. Lors de la réunion, le groupe d</w:t>
      </w:r>
      <w:r w:rsidR="00465C40" w:rsidRPr="00465C40">
        <w:rPr>
          <w:lang w:val="fr-FR"/>
        </w:rPr>
        <w:t>’</w:t>
      </w:r>
      <w:r w:rsidRPr="00465C40">
        <w:rPr>
          <w:lang w:val="fr-FR"/>
        </w:rPr>
        <w:t>experts a examiné les points définis par la Conférence des Parties, afin de faire progresser son projet de rapport. À l</w:t>
      </w:r>
      <w:r w:rsidR="00465C40" w:rsidRPr="00465C40">
        <w:rPr>
          <w:lang w:val="fr-FR"/>
        </w:rPr>
        <w:t>’</w:t>
      </w:r>
      <w:r w:rsidRPr="00465C40">
        <w:rPr>
          <w:lang w:val="fr-FR"/>
        </w:rPr>
        <w:t>issue de la réunion, le secrétariat a continué d</w:t>
      </w:r>
      <w:r w:rsidR="00465C40" w:rsidRPr="00465C40">
        <w:rPr>
          <w:lang w:val="fr-FR"/>
        </w:rPr>
        <w:t>’</w:t>
      </w:r>
      <w:r w:rsidRPr="00465C40">
        <w:rPr>
          <w:lang w:val="fr-FR"/>
        </w:rPr>
        <w:t>aider le groupe d</w:t>
      </w:r>
      <w:r w:rsidR="00465C40" w:rsidRPr="00465C40">
        <w:rPr>
          <w:lang w:val="fr-FR"/>
        </w:rPr>
        <w:t>’</w:t>
      </w:r>
      <w:r w:rsidRPr="00465C40">
        <w:rPr>
          <w:lang w:val="fr-FR"/>
        </w:rPr>
        <w:t>experts à rédiger le rapport par voie électronique. Une fois complété, le projet de rapport a été publié en vue de recueillir des observations du public. Le secrétariat a ensuite consolidé les observations relatives à l</w:t>
      </w:r>
      <w:r w:rsidR="00465C40" w:rsidRPr="00465C40">
        <w:rPr>
          <w:lang w:val="fr-FR"/>
        </w:rPr>
        <w:t>’</w:t>
      </w:r>
      <w:r w:rsidRPr="00465C40">
        <w:rPr>
          <w:lang w:val="fr-FR"/>
        </w:rPr>
        <w:t>évaluation de l</w:t>
      </w:r>
      <w:r w:rsidR="00465C40" w:rsidRPr="00465C40">
        <w:rPr>
          <w:lang w:val="fr-FR"/>
        </w:rPr>
        <w:t>’</w:t>
      </w:r>
      <w:r w:rsidRPr="00465C40">
        <w:rPr>
          <w:lang w:val="fr-FR"/>
        </w:rPr>
        <w:t>efficacité et a aidé le groupe et s</w:t>
      </w:r>
      <w:r w:rsidR="006C098C">
        <w:rPr>
          <w:lang w:val="fr-FR"/>
        </w:rPr>
        <w:t>es</w:t>
      </w:r>
      <w:r w:rsidRPr="00465C40">
        <w:rPr>
          <w:lang w:val="fr-FR"/>
        </w:rPr>
        <w:t xml:space="preserve"> coprésiden</w:t>
      </w:r>
      <w:r w:rsidR="006C098C">
        <w:rPr>
          <w:lang w:val="fr-FR"/>
        </w:rPr>
        <w:t>t</w:t>
      </w:r>
      <w:r w:rsidR="00826988">
        <w:rPr>
          <w:lang w:val="fr-FR"/>
        </w:rPr>
        <w:t>e</w:t>
      </w:r>
      <w:r w:rsidR="006C098C">
        <w:rPr>
          <w:lang w:val="fr-FR"/>
        </w:rPr>
        <w:t>s</w:t>
      </w:r>
      <w:r w:rsidRPr="00465C40">
        <w:rPr>
          <w:lang w:val="fr-FR"/>
        </w:rPr>
        <w:t xml:space="preserve"> à </w:t>
      </w:r>
      <w:r w:rsidR="00D23D82">
        <w:rPr>
          <w:lang w:val="fr-FR"/>
        </w:rPr>
        <w:t>achever</w:t>
      </w:r>
      <w:r w:rsidRPr="00465C40">
        <w:rPr>
          <w:lang w:val="fr-FR"/>
        </w:rPr>
        <w:t xml:space="preserve"> le rapport en vue de son in</w:t>
      </w:r>
      <w:r w:rsidR="006C098C">
        <w:rPr>
          <w:lang w:val="fr-FR"/>
        </w:rPr>
        <w:t>corpo</w:t>
      </w:r>
      <w:r w:rsidRPr="00465C40">
        <w:rPr>
          <w:lang w:val="fr-FR"/>
        </w:rPr>
        <w:t xml:space="preserve">ration </w:t>
      </w:r>
      <w:r w:rsidR="00EC1186">
        <w:rPr>
          <w:lang w:val="fr-FR"/>
        </w:rPr>
        <w:t>dans</w:t>
      </w:r>
      <w:r w:rsidRPr="00465C40">
        <w:rPr>
          <w:lang w:val="fr-FR"/>
        </w:rPr>
        <w:t xml:space="preserve"> la documentation établie pour la troisième réunion de la Conférence des Parties, conformément au calendrier défini par la Conférence des Parties</w:t>
      </w:r>
      <w:r w:rsidR="00D23D82">
        <w:rPr>
          <w:lang w:val="fr-FR"/>
        </w:rPr>
        <w:t xml:space="preserve"> dans la feuille de route</w:t>
      </w:r>
      <w:r w:rsidRPr="00465C40">
        <w:rPr>
          <w:lang w:val="fr-FR"/>
        </w:rPr>
        <w:t>. Des informations supplément</w:t>
      </w:r>
      <w:r w:rsidR="00AB46AD">
        <w:rPr>
          <w:lang w:val="fr-FR"/>
        </w:rPr>
        <w:t>aires figurent dans le document </w:t>
      </w:r>
      <w:r w:rsidRPr="00465C40">
        <w:rPr>
          <w:lang w:val="fr-FR"/>
        </w:rPr>
        <w:t xml:space="preserve">UNEP/MC/COP.3/14. </w:t>
      </w:r>
    </w:p>
    <w:p w14:paraId="70B442CF" w14:textId="5403EF64" w:rsidR="008A7943"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a organisé la deuxième réunion du Comité de mise en œuvre et du respect des obligations, qui s</w:t>
      </w:r>
      <w:r w:rsidR="00465C40" w:rsidRPr="00465C40">
        <w:rPr>
          <w:lang w:val="fr-FR"/>
        </w:rPr>
        <w:t>’</w:t>
      </w:r>
      <w:r w:rsidR="00AB46AD">
        <w:rPr>
          <w:lang w:val="fr-FR"/>
        </w:rPr>
        <w:t>est tenue à Genève les 3 et 4 </w:t>
      </w:r>
      <w:r w:rsidRPr="00465C40">
        <w:rPr>
          <w:lang w:val="fr-FR"/>
        </w:rPr>
        <w:t>juin 2019, et s</w:t>
      </w:r>
      <w:r w:rsidR="00465C40" w:rsidRPr="00465C40">
        <w:rPr>
          <w:lang w:val="fr-FR"/>
        </w:rPr>
        <w:t>’</w:t>
      </w:r>
      <w:r w:rsidRPr="00465C40">
        <w:rPr>
          <w:lang w:val="fr-FR"/>
        </w:rPr>
        <w:t>est notamment chargé de l</w:t>
      </w:r>
      <w:r w:rsidR="00465C40" w:rsidRPr="00465C40">
        <w:rPr>
          <w:lang w:val="fr-FR"/>
        </w:rPr>
        <w:t>’</w:t>
      </w:r>
      <w:r w:rsidRPr="00465C40">
        <w:rPr>
          <w:lang w:val="fr-FR"/>
        </w:rPr>
        <w:t xml:space="preserve">ensemble des </w:t>
      </w:r>
      <w:r w:rsidR="00ED0063">
        <w:rPr>
          <w:lang w:val="fr-FR"/>
        </w:rPr>
        <w:t>arrangements</w:t>
      </w:r>
      <w:r w:rsidRPr="00465C40">
        <w:rPr>
          <w:lang w:val="fr-FR"/>
        </w:rPr>
        <w:t xml:space="preserve"> logistiques indispensables, de la préparation des documents de réunion et de la fourniture d</w:t>
      </w:r>
      <w:r w:rsidR="00465C40" w:rsidRPr="00465C40">
        <w:rPr>
          <w:lang w:val="fr-FR"/>
        </w:rPr>
        <w:t>’</w:t>
      </w:r>
      <w:r w:rsidRPr="00465C40">
        <w:rPr>
          <w:lang w:val="fr-FR"/>
        </w:rPr>
        <w:t xml:space="preserve">un appui </w:t>
      </w:r>
      <w:r w:rsidR="00EC1186">
        <w:rPr>
          <w:lang w:val="fr-FR"/>
        </w:rPr>
        <w:t xml:space="preserve">au </w:t>
      </w:r>
      <w:r w:rsidRPr="00465C40">
        <w:rPr>
          <w:lang w:val="fr-FR"/>
        </w:rPr>
        <w:t>présiden</w:t>
      </w:r>
      <w:r w:rsidR="00EC1186">
        <w:rPr>
          <w:lang w:val="fr-FR"/>
        </w:rPr>
        <w:t>t</w:t>
      </w:r>
      <w:r w:rsidRPr="00465C40">
        <w:rPr>
          <w:lang w:val="fr-FR"/>
        </w:rPr>
        <w:t xml:space="preserve"> et à la vice-présiden</w:t>
      </w:r>
      <w:r w:rsidR="00EC1186">
        <w:rPr>
          <w:lang w:val="fr-FR"/>
        </w:rPr>
        <w:t>t</w:t>
      </w:r>
      <w:r w:rsidRPr="00465C40">
        <w:rPr>
          <w:lang w:val="fr-FR"/>
        </w:rPr>
        <w:t>e durant les délibérations du Comité et l</w:t>
      </w:r>
      <w:r w:rsidR="00465C40" w:rsidRPr="00465C40">
        <w:rPr>
          <w:lang w:val="fr-FR"/>
        </w:rPr>
        <w:t>’</w:t>
      </w:r>
      <w:r w:rsidRPr="00465C40">
        <w:rPr>
          <w:lang w:val="fr-FR"/>
        </w:rPr>
        <w:t>élaboration du rapport de la réunion. Le rapport de la deuxième réunion du Comité</w:t>
      </w:r>
      <w:r w:rsidR="001069EF">
        <w:rPr>
          <w:lang w:val="fr-FR"/>
        </w:rPr>
        <w:t xml:space="preserve"> est reproduit dans le document </w:t>
      </w:r>
      <w:r w:rsidRPr="00465C40">
        <w:rPr>
          <w:lang w:val="fr-FR"/>
        </w:rPr>
        <w:t>UNEP/MC/COP.3/13.</w:t>
      </w:r>
    </w:p>
    <w:p w14:paraId="4E740432" w14:textId="19F2E7DD" w:rsidR="008403F7" w:rsidRPr="00465C40" w:rsidRDefault="00AB46AD" w:rsidP="00D2142E">
      <w:pPr>
        <w:pStyle w:val="Normalnumber"/>
        <w:keepNext/>
        <w:keepLines/>
        <w:tabs>
          <w:tab w:val="clear" w:pos="1134"/>
          <w:tab w:val="clear" w:pos="1247"/>
          <w:tab w:val="clear" w:pos="1814"/>
          <w:tab w:val="clear" w:pos="2381"/>
          <w:tab w:val="clear" w:pos="2948"/>
          <w:tab w:val="clear" w:pos="3515"/>
          <w:tab w:val="clear" w:pos="4082"/>
          <w:tab w:val="num" w:pos="624"/>
        </w:tabs>
        <w:rPr>
          <w:lang w:val="fr-FR"/>
        </w:rPr>
      </w:pPr>
      <w:r>
        <w:rPr>
          <w:lang w:val="fr-FR"/>
        </w:rPr>
        <w:lastRenderedPageBreak/>
        <w:t>Dans sa décision </w:t>
      </w:r>
      <w:r w:rsidR="00023CDA" w:rsidRPr="00465C40">
        <w:rPr>
          <w:lang w:val="fr-FR"/>
        </w:rPr>
        <w:t>MC-2/9</w:t>
      </w:r>
      <w:r w:rsidR="00EC1186">
        <w:rPr>
          <w:lang w:val="fr-FR"/>
        </w:rPr>
        <w:t xml:space="preserve"> sur les codes du Système harmonisé</w:t>
      </w:r>
      <w:r w:rsidR="00023CDA" w:rsidRPr="00465C40">
        <w:rPr>
          <w:lang w:val="fr-FR"/>
        </w:rPr>
        <w:t>, la Conférence des Parties a prié le secrétariat, en collaboration avec le Partenariat sur les produits contenant du mercure et en concertation avec les organisations compétentes, de proposer des solutions pour la définition de codes douaniers permettant d</w:t>
      </w:r>
      <w:r w:rsidR="00465C40" w:rsidRPr="00465C40">
        <w:rPr>
          <w:lang w:val="fr-FR"/>
        </w:rPr>
        <w:t>’</w:t>
      </w:r>
      <w:r w:rsidR="00023CDA" w:rsidRPr="00465C40">
        <w:rPr>
          <w:lang w:val="fr-FR"/>
        </w:rPr>
        <w:t xml:space="preserve">identifier et de distinguer les produits sans mercure ajouté et ceux </w:t>
      </w:r>
      <w:r w:rsidR="00EC1186">
        <w:rPr>
          <w:lang w:val="fr-FR"/>
        </w:rPr>
        <w:t xml:space="preserve">en </w:t>
      </w:r>
      <w:r w:rsidR="00023CDA" w:rsidRPr="00465C40">
        <w:rPr>
          <w:lang w:val="fr-FR"/>
        </w:rPr>
        <w:t>contenant qui figurent dans l</w:t>
      </w:r>
      <w:r w:rsidR="00465C40" w:rsidRPr="00465C40">
        <w:rPr>
          <w:lang w:val="fr-FR"/>
        </w:rPr>
        <w:t>’</w:t>
      </w:r>
      <w:r w:rsidR="00023CDA" w:rsidRPr="00465C40">
        <w:rPr>
          <w:lang w:val="fr-FR"/>
        </w:rPr>
        <w:t>Annexe A de la Convention, y compris des moyens de les harmoniser éventuellement. Le secrétariat a coordonné l</w:t>
      </w:r>
      <w:r w:rsidR="00465C40" w:rsidRPr="00465C40">
        <w:rPr>
          <w:lang w:val="fr-FR"/>
        </w:rPr>
        <w:t>’</w:t>
      </w:r>
      <w:r w:rsidR="00023CDA" w:rsidRPr="00465C40">
        <w:rPr>
          <w:lang w:val="fr-FR"/>
        </w:rPr>
        <w:t>élaboration, en consultat</w:t>
      </w:r>
      <w:r w:rsidR="007E71CE">
        <w:rPr>
          <w:lang w:val="fr-FR"/>
        </w:rPr>
        <w:t>ion avec le Partenariat sur les </w:t>
      </w:r>
      <w:r w:rsidR="00023CDA" w:rsidRPr="00465C40">
        <w:rPr>
          <w:lang w:val="fr-FR"/>
        </w:rPr>
        <w:t xml:space="preserve">produits contenant du mercure, </w:t>
      </w:r>
      <w:r w:rsidR="00EC1186" w:rsidRPr="00EC1186">
        <w:rPr>
          <w:lang w:val="fr-FR"/>
        </w:rPr>
        <w:t xml:space="preserve">d’un projet de rapport </w:t>
      </w:r>
      <w:r w:rsidR="00023CDA" w:rsidRPr="00465C40">
        <w:rPr>
          <w:lang w:val="fr-FR"/>
        </w:rPr>
        <w:t xml:space="preserve">qui </w:t>
      </w:r>
      <w:r w:rsidR="007E71CE">
        <w:rPr>
          <w:lang w:val="fr-FR"/>
        </w:rPr>
        <w:t>a été communiqué aux membres du </w:t>
      </w:r>
      <w:r w:rsidR="00023CDA" w:rsidRPr="00465C40">
        <w:rPr>
          <w:lang w:val="fr-FR"/>
        </w:rPr>
        <w:t xml:space="preserve">Partenariat </w:t>
      </w:r>
      <w:r w:rsidR="001069EF">
        <w:rPr>
          <w:lang w:val="fr-FR"/>
        </w:rPr>
        <w:t>le 31 </w:t>
      </w:r>
      <w:r w:rsidR="00EC1186" w:rsidRPr="00EC1186">
        <w:rPr>
          <w:lang w:val="fr-FR"/>
        </w:rPr>
        <w:t xml:space="preserve">mai 2019 </w:t>
      </w:r>
      <w:r w:rsidR="00023CDA" w:rsidRPr="00465C40">
        <w:rPr>
          <w:lang w:val="fr-FR"/>
        </w:rPr>
        <w:t>afin qu</w:t>
      </w:r>
      <w:r w:rsidR="00465C40" w:rsidRPr="00465C40">
        <w:rPr>
          <w:lang w:val="fr-FR"/>
        </w:rPr>
        <w:t>’</w:t>
      </w:r>
      <w:r w:rsidR="00023CDA" w:rsidRPr="00465C40">
        <w:rPr>
          <w:lang w:val="fr-FR"/>
        </w:rPr>
        <w:t>ils formulent</w:t>
      </w:r>
      <w:r w:rsidR="008436E8" w:rsidRPr="008436E8">
        <w:rPr>
          <w:lang w:val="fr-FR"/>
        </w:rPr>
        <w:t xml:space="preserve"> </w:t>
      </w:r>
      <w:r w:rsidR="008436E8" w:rsidRPr="00465C40">
        <w:rPr>
          <w:lang w:val="fr-FR"/>
        </w:rPr>
        <w:t>des observations</w:t>
      </w:r>
      <w:r w:rsidR="008436E8" w:rsidRPr="008436E8">
        <w:rPr>
          <w:lang w:val="fr-FR"/>
        </w:rPr>
        <w:t xml:space="preserve"> </w:t>
      </w:r>
      <w:r w:rsidR="008436E8" w:rsidRPr="00465C40">
        <w:rPr>
          <w:lang w:val="fr-FR"/>
        </w:rPr>
        <w:t>et l’examinent</w:t>
      </w:r>
      <w:r w:rsidR="001069EF">
        <w:rPr>
          <w:lang w:val="fr-FR"/>
        </w:rPr>
        <w:t xml:space="preserve"> une dernière fois. À </w:t>
      </w:r>
      <w:r w:rsidR="00023CDA" w:rsidRPr="00465C40">
        <w:rPr>
          <w:lang w:val="fr-FR"/>
        </w:rPr>
        <w:t>l</w:t>
      </w:r>
      <w:r w:rsidR="00465C40" w:rsidRPr="00465C40">
        <w:rPr>
          <w:lang w:val="fr-FR"/>
        </w:rPr>
        <w:t>’</w:t>
      </w:r>
      <w:r w:rsidR="00023CDA" w:rsidRPr="00465C40">
        <w:rPr>
          <w:lang w:val="fr-FR"/>
        </w:rPr>
        <w:t>issue de son examen, le projet de rapport a été publié sur le site Web de la Convention de Minamata afin que les Parties et les autres parties prenantes formulent des observations jusqu</w:t>
      </w:r>
      <w:r w:rsidR="00465C40" w:rsidRPr="00465C40">
        <w:rPr>
          <w:lang w:val="fr-FR"/>
        </w:rPr>
        <w:t>’</w:t>
      </w:r>
      <w:r w:rsidR="00023CDA" w:rsidRPr="00465C40">
        <w:rPr>
          <w:lang w:val="fr-FR"/>
        </w:rPr>
        <w:t>au 1</w:t>
      </w:r>
      <w:r w:rsidR="00023CDA" w:rsidRPr="00465C40">
        <w:rPr>
          <w:vertAlign w:val="superscript"/>
          <w:lang w:val="fr-FR"/>
        </w:rPr>
        <w:t>er</w:t>
      </w:r>
      <w:r>
        <w:rPr>
          <w:lang w:val="fr-FR"/>
        </w:rPr>
        <w:t> </w:t>
      </w:r>
      <w:r w:rsidR="00023CDA" w:rsidRPr="00465C40">
        <w:rPr>
          <w:lang w:val="fr-FR"/>
        </w:rPr>
        <w:t>août 2019, y compris des informations relatives à l</w:t>
      </w:r>
      <w:r w:rsidR="00465C40" w:rsidRPr="00465C40">
        <w:rPr>
          <w:lang w:val="fr-FR"/>
        </w:rPr>
        <w:t>’</w:t>
      </w:r>
      <w:r w:rsidR="00023CDA" w:rsidRPr="00465C40">
        <w:rPr>
          <w:lang w:val="fr-FR"/>
        </w:rPr>
        <w:t xml:space="preserve">utilisation </w:t>
      </w:r>
      <w:r w:rsidR="007E71CE">
        <w:rPr>
          <w:lang w:val="fr-FR"/>
        </w:rPr>
        <w:t>actuelle des codes douaniers en </w:t>
      </w:r>
      <w:r w:rsidR="00023CDA" w:rsidRPr="00465C40">
        <w:rPr>
          <w:lang w:val="fr-FR"/>
        </w:rPr>
        <w:t>matière de produits contenant du mercure ajouté. Le secrétariat devait compiler les observations reçues et mettre au point la version définitive du document</w:t>
      </w:r>
      <w:r w:rsidR="00EC1186">
        <w:rPr>
          <w:lang w:val="fr-FR"/>
        </w:rPr>
        <w:t>,</w:t>
      </w:r>
      <w:r w:rsidR="00023CDA" w:rsidRPr="00465C40">
        <w:rPr>
          <w:lang w:val="fr-FR"/>
        </w:rPr>
        <w:t xml:space="preserve"> </w:t>
      </w:r>
      <w:r w:rsidR="00626E7C">
        <w:rPr>
          <w:lang w:val="fr-FR"/>
        </w:rPr>
        <w:t>qui est parue sous la cote </w:t>
      </w:r>
      <w:r w:rsidR="00023CDA" w:rsidRPr="00465C40">
        <w:rPr>
          <w:lang w:val="fr-FR"/>
        </w:rPr>
        <w:t>UNEP/MC/COP.3/5. Des informations d</w:t>
      </w:r>
      <w:r w:rsidR="00465C40" w:rsidRPr="00465C40">
        <w:rPr>
          <w:lang w:val="fr-FR"/>
        </w:rPr>
        <w:t>’</w:t>
      </w:r>
      <w:r w:rsidR="00023CDA" w:rsidRPr="00465C40">
        <w:rPr>
          <w:lang w:val="fr-FR"/>
        </w:rPr>
        <w:t>ordre général relatives aux solutions pour la définition de codes doua</w:t>
      </w:r>
      <w:r>
        <w:rPr>
          <w:lang w:val="fr-FR"/>
        </w:rPr>
        <w:t>niers figurent dans le document </w:t>
      </w:r>
      <w:r w:rsidR="00023CDA" w:rsidRPr="00465C40">
        <w:rPr>
          <w:lang w:val="fr-FR"/>
        </w:rPr>
        <w:t>UNEP/MC/COP.3/INF/12.</w:t>
      </w:r>
    </w:p>
    <w:p w14:paraId="53D1DBE3" w14:textId="1A8D838A" w:rsidR="00D709CB" w:rsidRPr="00465C40" w:rsidRDefault="00EC1186"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En application de</w:t>
      </w:r>
      <w:r w:rsidR="001069EF">
        <w:rPr>
          <w:lang w:val="fr-FR"/>
        </w:rPr>
        <w:t xml:space="preserve"> la décision </w:t>
      </w:r>
      <w:r w:rsidR="008D56A8" w:rsidRPr="00465C40">
        <w:rPr>
          <w:lang w:val="fr-FR"/>
        </w:rPr>
        <w:t>MC-2/3</w:t>
      </w:r>
      <w:r>
        <w:rPr>
          <w:lang w:val="fr-FR"/>
        </w:rPr>
        <w:t xml:space="preserve"> sur les rejets</w:t>
      </w:r>
      <w:r w:rsidR="008D56A8" w:rsidRPr="00465C40">
        <w:rPr>
          <w:lang w:val="fr-FR"/>
        </w:rPr>
        <w:t>, un groupe d</w:t>
      </w:r>
      <w:r w:rsidR="00465C40" w:rsidRPr="00465C40">
        <w:rPr>
          <w:lang w:val="fr-FR"/>
        </w:rPr>
        <w:t>’</w:t>
      </w:r>
      <w:r w:rsidR="008D56A8" w:rsidRPr="00465C40">
        <w:rPr>
          <w:lang w:val="fr-FR"/>
        </w:rPr>
        <w:t>experts technique</w:t>
      </w:r>
      <w:r>
        <w:rPr>
          <w:lang w:val="fr-FR"/>
        </w:rPr>
        <w:t>s</w:t>
      </w:r>
      <w:r w:rsidR="007E71CE">
        <w:rPr>
          <w:lang w:val="fr-FR"/>
        </w:rPr>
        <w:t xml:space="preserve"> sur les </w:t>
      </w:r>
      <w:r w:rsidR="008D56A8" w:rsidRPr="00465C40">
        <w:rPr>
          <w:lang w:val="fr-FR"/>
        </w:rPr>
        <w:t>orientations relatives aux rejets de mercure a été créé pour élaborer</w:t>
      </w:r>
      <w:r w:rsidR="007E71CE">
        <w:rPr>
          <w:lang w:val="fr-FR"/>
        </w:rPr>
        <w:t xml:space="preserve"> un rapport visant à établir la </w:t>
      </w:r>
      <w:r w:rsidR="008D56A8" w:rsidRPr="00465C40">
        <w:rPr>
          <w:lang w:val="fr-FR"/>
        </w:rPr>
        <w:t>liste des catégories importantes de sources anthropiques ponctuelles non visées par les dispositions de la Convention, à l</w:t>
      </w:r>
      <w:r w:rsidR="00465C40" w:rsidRPr="00465C40">
        <w:rPr>
          <w:lang w:val="fr-FR"/>
        </w:rPr>
        <w:t>’</w:t>
      </w:r>
      <w:r w:rsidR="008D56A8" w:rsidRPr="00465C40">
        <w:rPr>
          <w:lang w:val="fr-FR"/>
        </w:rPr>
        <w:t>exception de l</w:t>
      </w:r>
      <w:r w:rsidR="00465C40" w:rsidRPr="00465C40">
        <w:rPr>
          <w:lang w:val="fr-FR"/>
        </w:rPr>
        <w:t>’</w:t>
      </w:r>
      <w:r w:rsidR="001069EF">
        <w:rPr>
          <w:lang w:val="fr-FR"/>
        </w:rPr>
        <w:t>article </w:t>
      </w:r>
      <w:r w:rsidR="008D56A8" w:rsidRPr="00465C40">
        <w:rPr>
          <w:lang w:val="fr-FR"/>
        </w:rPr>
        <w:t>9, afin que la Conférence des Parties l</w:t>
      </w:r>
      <w:r w:rsidR="00465C40" w:rsidRPr="00465C40">
        <w:rPr>
          <w:lang w:val="fr-FR"/>
        </w:rPr>
        <w:t>’</w:t>
      </w:r>
      <w:r w:rsidR="008D56A8" w:rsidRPr="00465C40">
        <w:rPr>
          <w:lang w:val="fr-FR"/>
        </w:rPr>
        <w:t>examine à sa troisième réunion. Le groupe a travaillé par voie électronique, y compris par le biais de téléconférences organisées avec l</w:t>
      </w:r>
      <w:r w:rsidR="00465C40" w:rsidRPr="00465C40">
        <w:rPr>
          <w:lang w:val="fr-FR"/>
        </w:rPr>
        <w:t>’</w:t>
      </w:r>
      <w:r w:rsidR="008D56A8" w:rsidRPr="00465C40">
        <w:rPr>
          <w:lang w:val="fr-FR"/>
        </w:rPr>
        <w:t>aide du secrétariat. Les Parties et les a</w:t>
      </w:r>
      <w:r w:rsidR="007E71CE">
        <w:rPr>
          <w:lang w:val="fr-FR"/>
        </w:rPr>
        <w:t>utres parties prenantes ont été </w:t>
      </w:r>
      <w:r w:rsidR="008D56A8" w:rsidRPr="00465C40">
        <w:rPr>
          <w:lang w:val="fr-FR"/>
        </w:rPr>
        <w:t>inv</w:t>
      </w:r>
      <w:r w:rsidR="007E71CE">
        <w:rPr>
          <w:lang w:val="fr-FR"/>
        </w:rPr>
        <w:t>itées à </w:t>
      </w:r>
      <w:r w:rsidR="001069EF">
        <w:rPr>
          <w:lang w:val="fr-FR"/>
        </w:rPr>
        <w:t>communiquer avant le 15 </w:t>
      </w:r>
      <w:r w:rsidR="008D56A8" w:rsidRPr="00465C40">
        <w:rPr>
          <w:lang w:val="fr-FR"/>
        </w:rPr>
        <w:t>février 2019 des informations en vue d</w:t>
      </w:r>
      <w:r w:rsidR="00465C40" w:rsidRPr="00465C40">
        <w:rPr>
          <w:lang w:val="fr-FR"/>
        </w:rPr>
        <w:t>’</w:t>
      </w:r>
      <w:r w:rsidR="008D56A8" w:rsidRPr="00465C40">
        <w:rPr>
          <w:lang w:val="fr-FR"/>
        </w:rPr>
        <w:t>établir la liste des catégories importantes de sources ponctuelles de rejets. Le projet de rapport du groupe d</w:t>
      </w:r>
      <w:r w:rsidR="00465C40" w:rsidRPr="00465C40">
        <w:rPr>
          <w:lang w:val="fr-FR"/>
        </w:rPr>
        <w:t>’</w:t>
      </w:r>
      <w:r w:rsidR="008D56A8" w:rsidRPr="00465C40">
        <w:rPr>
          <w:lang w:val="fr-FR"/>
        </w:rPr>
        <w:t>experts technique, s</w:t>
      </w:r>
      <w:r w:rsidR="00465C40" w:rsidRPr="00465C40">
        <w:rPr>
          <w:lang w:val="fr-FR"/>
        </w:rPr>
        <w:t>’</w:t>
      </w:r>
      <w:r w:rsidR="008D56A8" w:rsidRPr="00465C40">
        <w:rPr>
          <w:lang w:val="fr-FR"/>
        </w:rPr>
        <w:t>appuyant sur les débats tenus à l</w:t>
      </w:r>
      <w:r w:rsidR="00465C40" w:rsidRPr="00465C40">
        <w:rPr>
          <w:lang w:val="fr-FR"/>
        </w:rPr>
        <w:t>’</w:t>
      </w:r>
      <w:r w:rsidR="008D56A8" w:rsidRPr="00465C40">
        <w:rPr>
          <w:lang w:val="fr-FR"/>
        </w:rPr>
        <w:t>occasion de ses deux télé</w:t>
      </w:r>
      <w:r w:rsidR="001069EF">
        <w:rPr>
          <w:lang w:val="fr-FR"/>
        </w:rPr>
        <w:t>conférences, a été publié le 15 </w:t>
      </w:r>
      <w:r w:rsidR="008D56A8" w:rsidRPr="00465C40">
        <w:rPr>
          <w:lang w:val="fr-FR"/>
        </w:rPr>
        <w:t>mai 2019 sur le site Web de la Convention</w:t>
      </w:r>
      <w:r>
        <w:rPr>
          <w:lang w:val="fr-FR"/>
        </w:rPr>
        <w:t>,</w:t>
      </w:r>
      <w:r w:rsidR="008D56A8" w:rsidRPr="00465C40">
        <w:rPr>
          <w:lang w:val="fr-FR"/>
        </w:rPr>
        <w:t xml:space="preserve"> et les Parties,</w:t>
      </w:r>
      <w:r w:rsidR="00E52B07">
        <w:rPr>
          <w:lang w:val="fr-FR"/>
        </w:rPr>
        <w:t xml:space="preserve"> les parties</w:t>
      </w:r>
      <w:r w:rsidR="008D56A8" w:rsidRPr="00465C40">
        <w:rPr>
          <w:lang w:val="fr-FR"/>
        </w:rPr>
        <w:t xml:space="preserve"> signataires et </w:t>
      </w:r>
      <w:r w:rsidR="00E52B07">
        <w:rPr>
          <w:lang w:val="fr-FR"/>
        </w:rPr>
        <w:t xml:space="preserve">les </w:t>
      </w:r>
      <w:r w:rsidR="008D56A8" w:rsidRPr="00465C40">
        <w:rPr>
          <w:lang w:val="fr-FR"/>
        </w:rPr>
        <w:t>autres parties prenantes ont été invité</w:t>
      </w:r>
      <w:r w:rsidR="00E52B07">
        <w:rPr>
          <w:lang w:val="fr-FR"/>
        </w:rPr>
        <w:t>e</w:t>
      </w:r>
      <w:r w:rsidR="008D56A8" w:rsidRPr="00465C40">
        <w:rPr>
          <w:lang w:val="fr-FR"/>
        </w:rPr>
        <w:t>s à formuler des observations jusqu</w:t>
      </w:r>
      <w:r w:rsidR="00465C40" w:rsidRPr="00465C40">
        <w:rPr>
          <w:lang w:val="fr-FR"/>
        </w:rPr>
        <w:t>’</w:t>
      </w:r>
      <w:r w:rsidR="008D56A8" w:rsidRPr="00465C40">
        <w:rPr>
          <w:lang w:val="fr-FR"/>
        </w:rPr>
        <w:t xml:space="preserve">au 15 juin 2019. Par la suite, le groupe </w:t>
      </w:r>
      <w:r w:rsidR="00826988">
        <w:rPr>
          <w:lang w:val="fr-FR"/>
        </w:rPr>
        <w:t xml:space="preserve">d’experts techniques </w:t>
      </w:r>
      <w:r w:rsidR="008D56A8" w:rsidRPr="00465C40">
        <w:rPr>
          <w:lang w:val="fr-FR"/>
        </w:rPr>
        <w:t>a mis au point la version définitive du rapport (UNEP/MC/COP.3/6), en tenant compte des observations reçues.</w:t>
      </w:r>
    </w:p>
    <w:p w14:paraId="34ED789E" w14:textId="75498A78" w:rsidR="00C12AEC" w:rsidRPr="00465C40" w:rsidRDefault="0082698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Conformément à</w:t>
      </w:r>
      <w:r w:rsidR="001069EF">
        <w:rPr>
          <w:lang w:val="fr-FR"/>
        </w:rPr>
        <w:t xml:space="preserve"> la décision </w:t>
      </w:r>
      <w:r w:rsidR="00C12AEC" w:rsidRPr="00465C40">
        <w:rPr>
          <w:lang w:val="fr-FR"/>
        </w:rPr>
        <w:t>MC-2/2, un groupe d</w:t>
      </w:r>
      <w:r w:rsidR="00465C40" w:rsidRPr="00465C40">
        <w:rPr>
          <w:lang w:val="fr-FR"/>
        </w:rPr>
        <w:t>’</w:t>
      </w:r>
      <w:r w:rsidR="00C12AEC" w:rsidRPr="00465C40">
        <w:rPr>
          <w:lang w:val="fr-FR"/>
        </w:rPr>
        <w:t>experts technique</w:t>
      </w:r>
      <w:r w:rsidR="00EC1186">
        <w:rPr>
          <w:lang w:val="fr-FR"/>
        </w:rPr>
        <w:t>s</w:t>
      </w:r>
      <w:r w:rsidR="00C12AEC" w:rsidRPr="00465C40">
        <w:rPr>
          <w:lang w:val="fr-FR"/>
        </w:rPr>
        <w:t xml:space="preserve"> sur les seuils applicables aux déchets de mercure a été créé afin de se pencher sur un certain nombre de questions techniques </w:t>
      </w:r>
      <w:r w:rsidR="008C246A">
        <w:rPr>
          <w:lang w:val="fr-FR"/>
        </w:rPr>
        <w:t>relatives</w:t>
      </w:r>
      <w:r w:rsidR="00C12AEC" w:rsidRPr="00465C40">
        <w:rPr>
          <w:lang w:val="fr-FR"/>
        </w:rPr>
        <w:t xml:space="preserve"> à la définition de seuils applicables aux déchets de mercure au titre de l</w:t>
      </w:r>
      <w:r w:rsidR="00465C40" w:rsidRPr="00465C40">
        <w:rPr>
          <w:lang w:val="fr-FR"/>
        </w:rPr>
        <w:t>’</w:t>
      </w:r>
      <w:r w:rsidR="001069EF">
        <w:rPr>
          <w:lang w:val="fr-FR"/>
        </w:rPr>
        <w:t>article </w:t>
      </w:r>
      <w:r w:rsidR="007E71CE">
        <w:rPr>
          <w:lang w:val="fr-FR"/>
        </w:rPr>
        <w:t>11, pour </w:t>
      </w:r>
      <w:r w:rsidR="00C12AEC" w:rsidRPr="00465C40">
        <w:rPr>
          <w:lang w:val="fr-FR"/>
        </w:rPr>
        <w:t>examen par la Conférence des Parties à sa troisième réunion. Les Parties et les autres parties prenantes ont été invitées à communiquer des informations pertinent</w:t>
      </w:r>
      <w:r w:rsidR="007E71CE">
        <w:rPr>
          <w:lang w:val="fr-FR"/>
        </w:rPr>
        <w:t>es avant le 15 février 2019. Le </w:t>
      </w:r>
      <w:r w:rsidR="00C12AEC" w:rsidRPr="00465C40">
        <w:rPr>
          <w:lang w:val="fr-FR"/>
        </w:rPr>
        <w:t xml:space="preserve">groupe </w:t>
      </w:r>
      <w:r>
        <w:rPr>
          <w:lang w:val="fr-FR"/>
        </w:rPr>
        <w:t xml:space="preserve">d’experts techniques </w:t>
      </w:r>
      <w:r w:rsidR="00C12AEC" w:rsidRPr="00465C40">
        <w:rPr>
          <w:lang w:val="fr-FR"/>
        </w:rPr>
        <w:t>s</w:t>
      </w:r>
      <w:r w:rsidR="00465C40" w:rsidRPr="00465C40">
        <w:rPr>
          <w:lang w:val="fr-FR"/>
        </w:rPr>
        <w:t>’</w:t>
      </w:r>
      <w:r w:rsidR="001069EF">
        <w:rPr>
          <w:lang w:val="fr-FR"/>
        </w:rPr>
        <w:t>est réuni du 27 au 29 </w:t>
      </w:r>
      <w:r w:rsidR="00C12AEC" w:rsidRPr="00465C40">
        <w:rPr>
          <w:lang w:val="fr-FR"/>
        </w:rPr>
        <w:t>mai 2019 à Osaka (Japon). Le secrétariat a aidé le groupe et s</w:t>
      </w:r>
      <w:r>
        <w:rPr>
          <w:lang w:val="fr-FR"/>
        </w:rPr>
        <w:t>es</w:t>
      </w:r>
      <w:r w:rsidR="00C12AEC" w:rsidRPr="00465C40">
        <w:rPr>
          <w:lang w:val="fr-FR"/>
        </w:rPr>
        <w:t xml:space="preserve"> coprésiden</w:t>
      </w:r>
      <w:r>
        <w:rPr>
          <w:lang w:val="fr-FR"/>
        </w:rPr>
        <w:t xml:space="preserve">ts </w:t>
      </w:r>
      <w:r w:rsidR="00C12AEC" w:rsidRPr="00465C40">
        <w:rPr>
          <w:lang w:val="fr-FR"/>
        </w:rPr>
        <w:t>en amont de la réunion, ainsi qu</w:t>
      </w:r>
      <w:r w:rsidR="00465C40" w:rsidRPr="00465C40">
        <w:rPr>
          <w:lang w:val="fr-FR"/>
        </w:rPr>
        <w:t>’</w:t>
      </w:r>
      <w:r w:rsidR="00C12AEC" w:rsidRPr="00465C40">
        <w:rPr>
          <w:lang w:val="fr-FR"/>
        </w:rPr>
        <w:t>à son issue en vue de mettre au point la version définitive du rapport, en coopération avec le Centre international d</w:t>
      </w:r>
      <w:r w:rsidR="00465C40" w:rsidRPr="00465C40">
        <w:rPr>
          <w:lang w:val="fr-FR"/>
        </w:rPr>
        <w:t>’</w:t>
      </w:r>
      <w:r w:rsidR="00C12AEC" w:rsidRPr="00465C40">
        <w:rPr>
          <w:lang w:val="fr-FR"/>
        </w:rPr>
        <w:t>écotechnologie</w:t>
      </w:r>
      <w:r w:rsidR="008C246A">
        <w:rPr>
          <w:lang w:val="fr-FR"/>
        </w:rPr>
        <w:t xml:space="preserve"> du PNUE</w:t>
      </w:r>
      <w:r w:rsidR="001069EF">
        <w:rPr>
          <w:lang w:val="fr-FR"/>
        </w:rPr>
        <w:t>. Le </w:t>
      </w:r>
      <w:r w:rsidR="00C12AEC" w:rsidRPr="00465C40">
        <w:rPr>
          <w:lang w:val="fr-FR"/>
        </w:rPr>
        <w:t>rapport du groupe est reproduit dans le document UNEP/MC/COP.3/7.</w:t>
      </w:r>
    </w:p>
    <w:p w14:paraId="1539277C" w14:textId="36D71EC1" w:rsidR="00D91211" w:rsidRPr="00465C40" w:rsidRDefault="003E6340"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 xml:space="preserve">En application de la </w:t>
      </w:r>
      <w:r w:rsidR="00AB46AD">
        <w:rPr>
          <w:lang w:val="fr-FR"/>
        </w:rPr>
        <w:t>décision </w:t>
      </w:r>
      <w:r w:rsidRPr="003E6340">
        <w:rPr>
          <w:lang w:val="fr-FR"/>
        </w:rPr>
        <w:t>MC-2/8 sur la gestion des sites contaminé</w:t>
      </w:r>
      <w:r w:rsidR="007E71CE">
        <w:rPr>
          <w:lang w:val="fr-FR"/>
        </w:rPr>
        <w:t>s par le mercure et les </w:t>
      </w:r>
      <w:r w:rsidRPr="003E6340">
        <w:rPr>
          <w:lang w:val="fr-FR"/>
        </w:rPr>
        <w:t>composés du mercure</w:t>
      </w:r>
      <w:r>
        <w:rPr>
          <w:lang w:val="fr-FR"/>
        </w:rPr>
        <w:t>,</w:t>
      </w:r>
      <w:r w:rsidRPr="003E6340">
        <w:rPr>
          <w:lang w:val="fr-FR"/>
        </w:rPr>
        <w:t xml:space="preserve"> </w:t>
      </w:r>
      <w:r>
        <w:rPr>
          <w:lang w:val="fr-FR"/>
        </w:rPr>
        <w:t>l</w:t>
      </w:r>
      <w:r w:rsidR="00836C70" w:rsidRPr="00465C40">
        <w:rPr>
          <w:lang w:val="fr-FR"/>
        </w:rPr>
        <w:t>e secrétariat a invité les Parties et les autres parties pre</w:t>
      </w:r>
      <w:r w:rsidR="00AB46AD">
        <w:rPr>
          <w:lang w:val="fr-FR"/>
        </w:rPr>
        <w:t>nantes à soumettre, avant le 15 </w:t>
      </w:r>
      <w:r w:rsidR="00836C70" w:rsidRPr="00465C40">
        <w:rPr>
          <w:lang w:val="fr-FR"/>
        </w:rPr>
        <w:t>février 2019, des observations et des informations supplémentaires pour compléter et améliorer le projet d</w:t>
      </w:r>
      <w:r w:rsidR="00465C40" w:rsidRPr="00465C40">
        <w:rPr>
          <w:lang w:val="fr-FR"/>
        </w:rPr>
        <w:t>’</w:t>
      </w:r>
      <w:r w:rsidR="00836C70" w:rsidRPr="00465C40">
        <w:rPr>
          <w:lang w:val="fr-FR"/>
        </w:rPr>
        <w:t>orientations sur la gestion des sites contaminés présenté à la Confé</w:t>
      </w:r>
      <w:r w:rsidR="00AB46AD">
        <w:rPr>
          <w:lang w:val="fr-FR"/>
        </w:rPr>
        <w:t>rence des Parties à sa deuxième </w:t>
      </w:r>
      <w:r w:rsidR="00836C70" w:rsidRPr="00465C40">
        <w:rPr>
          <w:lang w:val="fr-FR"/>
        </w:rPr>
        <w:t>réunion. Un projet révisé d</w:t>
      </w:r>
      <w:r w:rsidR="00465C40" w:rsidRPr="00465C40">
        <w:rPr>
          <w:lang w:val="fr-FR"/>
        </w:rPr>
        <w:t>’</w:t>
      </w:r>
      <w:r w:rsidR="00836C70" w:rsidRPr="00465C40">
        <w:rPr>
          <w:lang w:val="fr-FR"/>
        </w:rPr>
        <w:t>orientations, élaboré par le secrétariat en tenant compte des observations et informations reçues, a é</w:t>
      </w:r>
      <w:r w:rsidR="004951E0">
        <w:rPr>
          <w:lang w:val="fr-FR"/>
        </w:rPr>
        <w:t>té publié sur le site Web de la </w:t>
      </w:r>
      <w:r w:rsidR="00836C70" w:rsidRPr="00465C40">
        <w:rPr>
          <w:lang w:val="fr-FR"/>
        </w:rPr>
        <w:t>Convention et les experts désignés c</w:t>
      </w:r>
      <w:r w:rsidR="00AB46AD">
        <w:rPr>
          <w:lang w:val="fr-FR"/>
        </w:rPr>
        <w:t>onformément à la décision </w:t>
      </w:r>
      <w:r w:rsidR="00836C70" w:rsidRPr="00465C40">
        <w:rPr>
          <w:lang w:val="fr-FR"/>
        </w:rPr>
        <w:t>MC-1/20, les Parties et les autres parties prenantes ont été invités à formuler des obser</w:t>
      </w:r>
      <w:r w:rsidR="00AB46AD">
        <w:rPr>
          <w:lang w:val="fr-FR"/>
        </w:rPr>
        <w:t>vations à son sujet avant le 21 </w:t>
      </w:r>
      <w:r w:rsidR="004951E0">
        <w:rPr>
          <w:lang w:val="fr-FR"/>
        </w:rPr>
        <w:t>juin 2019. Par la </w:t>
      </w:r>
      <w:r w:rsidR="00836C70" w:rsidRPr="00465C40">
        <w:rPr>
          <w:lang w:val="fr-FR"/>
        </w:rPr>
        <w:t xml:space="preserve">suite, le secrétariat a examiné le projet </w:t>
      </w:r>
      <w:r w:rsidR="00280DC1" w:rsidRPr="00280DC1">
        <w:rPr>
          <w:lang w:val="fr-FR"/>
        </w:rPr>
        <w:t xml:space="preserve">avec les experts, </w:t>
      </w:r>
      <w:r w:rsidR="00280DC1">
        <w:rPr>
          <w:lang w:val="fr-FR"/>
        </w:rPr>
        <w:t>dans le cadre d’une</w:t>
      </w:r>
      <w:r w:rsidR="00836C70" w:rsidRPr="00465C40">
        <w:rPr>
          <w:lang w:val="fr-FR"/>
        </w:rPr>
        <w:t xml:space="preserve"> téléconférence et </w:t>
      </w:r>
      <w:r w:rsidR="00280DC1">
        <w:rPr>
          <w:lang w:val="fr-FR"/>
        </w:rPr>
        <w:t xml:space="preserve">d’échanges </w:t>
      </w:r>
      <w:r w:rsidR="00836C70" w:rsidRPr="00465C40">
        <w:rPr>
          <w:lang w:val="fr-FR"/>
        </w:rPr>
        <w:t>par voie électronique</w:t>
      </w:r>
      <w:r w:rsidR="00280DC1">
        <w:rPr>
          <w:lang w:val="fr-FR"/>
        </w:rPr>
        <w:t>,</w:t>
      </w:r>
      <w:r w:rsidR="00280DC1" w:rsidRPr="00280DC1">
        <w:rPr>
          <w:lang w:val="fr-FR"/>
        </w:rPr>
        <w:t xml:space="preserve"> en tenant compte des observations reçues</w:t>
      </w:r>
      <w:r w:rsidR="00836C70" w:rsidRPr="00465C40">
        <w:rPr>
          <w:lang w:val="fr-FR"/>
        </w:rPr>
        <w:t>. Le projet d</w:t>
      </w:r>
      <w:r w:rsidR="00465C40" w:rsidRPr="00465C40">
        <w:rPr>
          <w:lang w:val="fr-FR"/>
        </w:rPr>
        <w:t>’</w:t>
      </w:r>
      <w:r w:rsidR="00836C70" w:rsidRPr="00465C40">
        <w:rPr>
          <w:lang w:val="fr-FR"/>
        </w:rPr>
        <w:t>orien</w:t>
      </w:r>
      <w:r w:rsidR="00AB46AD">
        <w:rPr>
          <w:lang w:val="fr-FR"/>
        </w:rPr>
        <w:t>tations figure dans le document </w:t>
      </w:r>
      <w:r w:rsidR="00836C70" w:rsidRPr="00465C40">
        <w:rPr>
          <w:lang w:val="fr-FR"/>
        </w:rPr>
        <w:t>UNEP/MC/COP.3/8.</w:t>
      </w:r>
    </w:p>
    <w:p w14:paraId="4CAC6A9B" w14:textId="7D1B1E60" w:rsidR="00665E01" w:rsidRPr="00465C40" w:rsidRDefault="00023CDA"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À sa deuxième réunion, la Conférence des Parties a prié le secrétariat de compiler les informations </w:t>
      </w:r>
      <w:r w:rsidR="00AB46AD">
        <w:rPr>
          <w:lang w:val="fr-FR"/>
        </w:rPr>
        <w:t>énumérées au paragraphe 11 de l’article </w:t>
      </w:r>
      <w:r w:rsidR="002021AC" w:rsidRPr="00465C40">
        <w:rPr>
          <w:lang w:val="fr-FR"/>
        </w:rPr>
        <w:t xml:space="preserve">13 de la Convention </w:t>
      </w:r>
      <w:r w:rsidRPr="00465C40">
        <w:rPr>
          <w:lang w:val="fr-FR"/>
        </w:rPr>
        <w:t>devant être recueillies auprès du Fonds pour l</w:t>
      </w:r>
      <w:r w:rsidR="00465C40" w:rsidRPr="00465C40">
        <w:rPr>
          <w:lang w:val="fr-FR"/>
        </w:rPr>
        <w:t>’</w:t>
      </w:r>
      <w:r w:rsidRPr="00465C40">
        <w:rPr>
          <w:lang w:val="fr-FR"/>
        </w:rPr>
        <w:t>environnement mondial (FEM), du Programme Interna</w:t>
      </w:r>
      <w:r w:rsidR="004951E0">
        <w:rPr>
          <w:lang w:val="fr-FR"/>
        </w:rPr>
        <w:t>tional spécifique, des </w:t>
      </w:r>
      <w:r w:rsidRPr="00465C40">
        <w:rPr>
          <w:lang w:val="fr-FR"/>
        </w:rPr>
        <w:t>Parties et d</w:t>
      </w:r>
      <w:r w:rsidR="00465C40" w:rsidRPr="00465C40">
        <w:rPr>
          <w:lang w:val="fr-FR"/>
        </w:rPr>
        <w:t>’</w:t>
      </w:r>
      <w:r w:rsidRPr="00465C40">
        <w:rPr>
          <w:lang w:val="fr-FR"/>
        </w:rPr>
        <w:t>autres sources pertinentes</w:t>
      </w:r>
      <w:r w:rsidR="002021AC">
        <w:rPr>
          <w:lang w:val="fr-FR"/>
        </w:rPr>
        <w:t xml:space="preserve">, </w:t>
      </w:r>
      <w:r w:rsidRPr="00465C40">
        <w:rPr>
          <w:lang w:val="fr-FR"/>
        </w:rPr>
        <w:t>qui étaient nécessaires pour l</w:t>
      </w:r>
      <w:r w:rsidR="00465C40" w:rsidRPr="00465C40">
        <w:rPr>
          <w:lang w:val="fr-FR"/>
        </w:rPr>
        <w:t>’</w:t>
      </w:r>
      <w:r w:rsidR="004951E0">
        <w:rPr>
          <w:lang w:val="fr-FR"/>
        </w:rPr>
        <w:t>examen du fonctionnement du </w:t>
      </w:r>
      <w:r w:rsidRPr="00465C40">
        <w:rPr>
          <w:lang w:val="fr-FR"/>
        </w:rPr>
        <w:t>mécanisme de fina</w:t>
      </w:r>
      <w:r w:rsidR="00AB46AD">
        <w:rPr>
          <w:lang w:val="fr-FR"/>
        </w:rPr>
        <w:t>ncement </w:t>
      </w:r>
      <w:r w:rsidR="001069EF">
        <w:rPr>
          <w:lang w:val="fr-FR"/>
        </w:rPr>
        <w:t>(UNEP/MC/COP.2/19, par. </w:t>
      </w:r>
      <w:r w:rsidRPr="00465C40">
        <w:rPr>
          <w:lang w:val="fr-FR"/>
        </w:rPr>
        <w:t>1</w:t>
      </w:r>
      <w:r w:rsidR="00AB46AD">
        <w:rPr>
          <w:lang w:val="fr-FR"/>
        </w:rPr>
        <w:t>20). Dans une lettre datée du 3 </w:t>
      </w:r>
      <w:r w:rsidRPr="00465C40">
        <w:rPr>
          <w:lang w:val="fr-FR"/>
        </w:rPr>
        <w:t>décembre 2018, la Secrétaire exécutive a invité les Parties et les autres parties prena</w:t>
      </w:r>
      <w:r w:rsidR="00AB46AD">
        <w:rPr>
          <w:lang w:val="fr-FR"/>
        </w:rPr>
        <w:t>ntes à communiquer, avant le 31 </w:t>
      </w:r>
      <w:r w:rsidRPr="00465C40">
        <w:rPr>
          <w:lang w:val="fr-FR"/>
        </w:rPr>
        <w:t>mai 2019, des informations sur le niveau de financement, les orientations fournies par la Conférence des Parties aux entités chargées d</w:t>
      </w:r>
      <w:r w:rsidR="00465C40" w:rsidRPr="00465C40">
        <w:rPr>
          <w:lang w:val="fr-FR"/>
        </w:rPr>
        <w:t>’</w:t>
      </w:r>
      <w:r w:rsidRPr="00465C40">
        <w:rPr>
          <w:lang w:val="fr-FR"/>
        </w:rPr>
        <w:t>assurer le fonctionnement du mécanisme de financement et l</w:t>
      </w:r>
      <w:r w:rsidR="00465C40" w:rsidRPr="00465C40">
        <w:rPr>
          <w:lang w:val="fr-FR"/>
        </w:rPr>
        <w:t>’</w:t>
      </w:r>
      <w:r w:rsidRPr="00465C40">
        <w:rPr>
          <w:lang w:val="fr-FR"/>
        </w:rPr>
        <w:t>efficacité de ces entités et leur capacité à répondre aux besoins en évolution des Parties qui sont des pays en développement et des pays à économie en transition. La Secrétaire exécu</w:t>
      </w:r>
      <w:r w:rsidR="00AB46AD">
        <w:rPr>
          <w:lang w:val="fr-FR"/>
        </w:rPr>
        <w:t>tive a également adressé, le 16 </w:t>
      </w:r>
      <w:r w:rsidRPr="00465C40">
        <w:rPr>
          <w:lang w:val="fr-FR"/>
        </w:rPr>
        <w:t>avril 2019, une lettre à l</w:t>
      </w:r>
      <w:r w:rsidR="00465C40" w:rsidRPr="00465C40">
        <w:rPr>
          <w:lang w:val="fr-FR"/>
        </w:rPr>
        <w:t>’</w:t>
      </w:r>
      <w:r w:rsidRPr="00465C40">
        <w:rPr>
          <w:lang w:val="fr-FR"/>
        </w:rPr>
        <w:t>Administrateur et Président du FEM demandant la communication des informations voulues, lesquelles ont</w:t>
      </w:r>
      <w:r w:rsidR="00AB46AD">
        <w:rPr>
          <w:lang w:val="fr-FR"/>
        </w:rPr>
        <w:t xml:space="preserve"> été reçues le 29 mai 2019. Le document </w:t>
      </w:r>
      <w:r w:rsidRPr="00465C40">
        <w:rPr>
          <w:lang w:val="fr-FR"/>
        </w:rPr>
        <w:t>UNEP/MC/COP.3/11 présente une synthèse des informations recueillies. Les rapports</w:t>
      </w:r>
      <w:r w:rsidR="00D2142E">
        <w:rPr>
          <w:lang w:val="fr-FR"/>
        </w:rPr>
        <w:t xml:space="preserve"> </w:t>
      </w:r>
      <w:r w:rsidRPr="00465C40">
        <w:rPr>
          <w:lang w:val="fr-FR"/>
        </w:rPr>
        <w:lastRenderedPageBreak/>
        <w:t>généraux sur le mécanisme de financement présentés par le FEM et le Programme International spécifique sont reproduits dans les docume</w:t>
      </w:r>
      <w:r w:rsidR="00AB46AD">
        <w:rPr>
          <w:lang w:val="fr-FR"/>
        </w:rPr>
        <w:t>nts </w:t>
      </w:r>
      <w:r w:rsidRPr="00465C40">
        <w:rPr>
          <w:lang w:val="fr-FR"/>
        </w:rPr>
        <w:t>UNEP/MC/COP.3/9</w:t>
      </w:r>
      <w:r w:rsidR="007377BC">
        <w:rPr>
          <w:lang w:val="fr-FR"/>
        </w:rPr>
        <w:t>,</w:t>
      </w:r>
      <w:r w:rsidRPr="00465C40">
        <w:rPr>
          <w:lang w:val="fr-FR"/>
        </w:rPr>
        <w:t xml:space="preserve"> UNEP/MC/COP.3/10</w:t>
      </w:r>
      <w:r w:rsidR="007377BC">
        <w:rPr>
          <w:lang w:val="fr-FR"/>
        </w:rPr>
        <w:t xml:space="preserve"> et </w:t>
      </w:r>
      <w:r w:rsidR="007377BC" w:rsidRPr="007377BC">
        <w:rPr>
          <w:lang w:val="fr-FR"/>
        </w:rPr>
        <w:t>UNEP/MC/COP.3/10</w:t>
      </w:r>
      <w:r w:rsidR="007377BC">
        <w:rPr>
          <w:lang w:val="fr-FR"/>
        </w:rPr>
        <w:t>/Add.1</w:t>
      </w:r>
      <w:r w:rsidRPr="00465C40">
        <w:rPr>
          <w:lang w:val="fr-FR"/>
        </w:rPr>
        <w:t>.</w:t>
      </w:r>
    </w:p>
    <w:p w14:paraId="0D829CBF" w14:textId="1584D111" w:rsidR="000047F0" w:rsidRPr="00465C40" w:rsidRDefault="002F63F2"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Dans la décision </w:t>
      </w:r>
      <w:r w:rsidR="00023CDA" w:rsidRPr="00465C40">
        <w:rPr>
          <w:lang w:val="fr-FR"/>
        </w:rPr>
        <w:t xml:space="preserve">MC-2/11, la Conférence des Parties a prié le secrétariat de recueillir </w:t>
      </w:r>
      <w:r w:rsidR="009E51A5">
        <w:rPr>
          <w:lang w:val="fr-FR"/>
        </w:rPr>
        <w:t>d</w:t>
      </w:r>
      <w:r w:rsidR="00023CDA" w:rsidRPr="00465C40">
        <w:rPr>
          <w:lang w:val="fr-FR"/>
        </w:rPr>
        <w:t>es informations relatives aux arrangements régionaux, sous-régionaux et nationaux existants en matière de renforcement des capacités et d</w:t>
      </w:r>
      <w:r w:rsidR="00465C40" w:rsidRPr="00465C40">
        <w:rPr>
          <w:lang w:val="fr-FR"/>
        </w:rPr>
        <w:t>’</w:t>
      </w:r>
      <w:r w:rsidR="00023CDA" w:rsidRPr="00465C40">
        <w:rPr>
          <w:lang w:val="fr-FR"/>
        </w:rPr>
        <w:t>assistance technique pour aider les Parties à s</w:t>
      </w:r>
      <w:r w:rsidR="00465C40" w:rsidRPr="00465C40">
        <w:rPr>
          <w:lang w:val="fr-FR"/>
        </w:rPr>
        <w:t>’</w:t>
      </w:r>
      <w:r w:rsidR="00023CDA" w:rsidRPr="00465C40">
        <w:rPr>
          <w:lang w:val="fr-FR"/>
        </w:rPr>
        <w:t xml:space="preserve">acquitter de leurs obligations au titre de la Convention de Minamata. Dans </w:t>
      </w:r>
      <w:r w:rsidR="009E51A5">
        <w:rPr>
          <w:lang w:val="fr-FR"/>
        </w:rPr>
        <w:t>sa</w:t>
      </w:r>
      <w:r>
        <w:rPr>
          <w:lang w:val="fr-FR"/>
        </w:rPr>
        <w:t xml:space="preserve"> lettre datée du 3 décembre 2018, la </w:t>
      </w:r>
      <w:r w:rsidR="00023CDA" w:rsidRPr="00465C40">
        <w:rPr>
          <w:lang w:val="fr-FR"/>
        </w:rPr>
        <w:t>Secrétaire exécutive a invité les Parties et les autres parties prenantes à communiquer les info</w:t>
      </w:r>
      <w:r>
        <w:rPr>
          <w:lang w:val="fr-FR"/>
        </w:rPr>
        <w:t>rmations voulues. Les documents </w:t>
      </w:r>
      <w:r w:rsidR="00023CDA" w:rsidRPr="00465C40">
        <w:rPr>
          <w:lang w:val="fr-FR"/>
        </w:rPr>
        <w:t>UNEP/MC/COP.3/12 et UNEP/MC/COP.3/INF/14 présentent une compilation des informations reçues.</w:t>
      </w:r>
    </w:p>
    <w:p w14:paraId="66C3F618" w14:textId="5309417F" w:rsidR="00B9668F" w:rsidRPr="00465C40" w:rsidRDefault="00626E7C"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Pr>
          <w:lang w:val="fr-FR"/>
        </w:rPr>
        <w:t>À sa deuxième </w:t>
      </w:r>
      <w:r w:rsidR="00023CDA" w:rsidRPr="00465C40">
        <w:rPr>
          <w:lang w:val="fr-FR"/>
        </w:rPr>
        <w:t>réunion, la Conférence des Parties a également pri</w:t>
      </w:r>
      <w:r w:rsidR="00202044">
        <w:rPr>
          <w:lang w:val="fr-FR"/>
        </w:rPr>
        <w:t>é le secrétariat de continuer à </w:t>
      </w:r>
      <w:r w:rsidR="007B0431">
        <w:rPr>
          <w:lang w:val="fr-FR"/>
        </w:rPr>
        <w:t>collecte</w:t>
      </w:r>
      <w:r w:rsidR="00023CDA" w:rsidRPr="00465C40">
        <w:rPr>
          <w:lang w:val="fr-FR"/>
        </w:rPr>
        <w:t xml:space="preserve">r </w:t>
      </w:r>
      <w:r w:rsidR="00D606B6">
        <w:rPr>
          <w:lang w:val="fr-FR"/>
        </w:rPr>
        <w:t>d</w:t>
      </w:r>
      <w:r w:rsidR="00023CDA" w:rsidRPr="00465C40">
        <w:rPr>
          <w:lang w:val="fr-FR"/>
        </w:rPr>
        <w:t xml:space="preserve">es informations </w:t>
      </w:r>
      <w:r w:rsidR="00D606B6">
        <w:rPr>
          <w:lang w:val="fr-FR"/>
        </w:rPr>
        <w:t>sur les</w:t>
      </w:r>
      <w:r w:rsidR="00023CDA" w:rsidRPr="00465C40">
        <w:rPr>
          <w:lang w:val="fr-FR"/>
        </w:rPr>
        <w:t xml:space="preserve"> émissions de mercure provenant du brûlage de déchets à l</w:t>
      </w:r>
      <w:r w:rsidR="00465C40" w:rsidRPr="00465C40">
        <w:rPr>
          <w:lang w:val="fr-FR"/>
        </w:rPr>
        <w:t>’</w:t>
      </w:r>
      <w:r w:rsidR="00023CDA" w:rsidRPr="00465C40">
        <w:rPr>
          <w:lang w:val="fr-FR"/>
        </w:rPr>
        <w:t>air libre</w:t>
      </w:r>
      <w:r w:rsidR="00D606B6" w:rsidRPr="00D606B6">
        <w:rPr>
          <w:lang w:val="fr-FR"/>
        </w:rPr>
        <w:t xml:space="preserve"> et à </w:t>
      </w:r>
      <w:r w:rsidR="00D606B6">
        <w:rPr>
          <w:lang w:val="fr-FR"/>
        </w:rPr>
        <w:t xml:space="preserve">les </w:t>
      </w:r>
      <w:r w:rsidR="00D606B6" w:rsidRPr="00D606B6">
        <w:rPr>
          <w:lang w:val="fr-FR"/>
        </w:rPr>
        <w:t>mettre à disposition</w:t>
      </w:r>
      <w:r w:rsidR="002F63F2">
        <w:rPr>
          <w:lang w:val="fr-FR"/>
        </w:rPr>
        <w:t>. Dans sa lettre datée du 3 </w:t>
      </w:r>
      <w:r w:rsidR="00023CDA" w:rsidRPr="00465C40">
        <w:rPr>
          <w:lang w:val="fr-FR"/>
        </w:rPr>
        <w:t>décembre 2018, la Secrétaire exécutive a invité les Parties et les autres parties prenantes à communiquer les informations voulues, que le secrétari</w:t>
      </w:r>
      <w:r w:rsidR="00202044">
        <w:rPr>
          <w:lang w:val="fr-FR"/>
        </w:rPr>
        <w:t>at a </w:t>
      </w:r>
      <w:r w:rsidR="002F63F2">
        <w:rPr>
          <w:lang w:val="fr-FR"/>
        </w:rPr>
        <w:t>compilées dans le document </w:t>
      </w:r>
      <w:r w:rsidR="00023CDA" w:rsidRPr="00465C40">
        <w:rPr>
          <w:lang w:val="fr-FR"/>
        </w:rPr>
        <w:t>UNEP/MC/COP.3/17.</w:t>
      </w:r>
    </w:p>
    <w:p w14:paraId="06C4E518" w14:textId="0AD6C67C" w:rsidR="008A5496" w:rsidRPr="00465C40" w:rsidRDefault="008A5496"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a également donné des conseils scientifiques et te</w:t>
      </w:r>
      <w:r w:rsidR="00202044">
        <w:rPr>
          <w:lang w:val="fr-FR"/>
        </w:rPr>
        <w:t>chniques aux Parties qui en ont </w:t>
      </w:r>
      <w:r w:rsidRPr="00465C40">
        <w:rPr>
          <w:lang w:val="fr-FR"/>
        </w:rPr>
        <w:t xml:space="preserve">fait la demande. </w:t>
      </w:r>
      <w:r w:rsidR="00265316">
        <w:rPr>
          <w:lang w:val="fr-FR"/>
        </w:rPr>
        <w:t>Il</w:t>
      </w:r>
      <w:r w:rsidRPr="00465C40">
        <w:rPr>
          <w:lang w:val="fr-FR"/>
        </w:rPr>
        <w:t xml:space="preserve"> a </w:t>
      </w:r>
      <w:r w:rsidR="00265316">
        <w:rPr>
          <w:lang w:val="fr-FR"/>
        </w:rPr>
        <w:t xml:space="preserve">en outre </w:t>
      </w:r>
      <w:r w:rsidRPr="00465C40">
        <w:rPr>
          <w:lang w:val="fr-FR"/>
        </w:rPr>
        <w:t xml:space="preserve">répondu à diverses questions </w:t>
      </w:r>
      <w:r w:rsidR="00265316">
        <w:rPr>
          <w:lang w:val="fr-FR"/>
        </w:rPr>
        <w:t xml:space="preserve">posées </w:t>
      </w:r>
      <w:r w:rsidR="00265316" w:rsidRPr="00265316">
        <w:rPr>
          <w:lang w:val="fr-FR"/>
        </w:rPr>
        <w:t xml:space="preserve">par téléphone et courrier électronique </w:t>
      </w:r>
      <w:r w:rsidRPr="00465C40">
        <w:rPr>
          <w:lang w:val="fr-FR"/>
        </w:rPr>
        <w:t xml:space="preserve">par les Parties et </w:t>
      </w:r>
      <w:r w:rsidR="00265316">
        <w:rPr>
          <w:lang w:val="fr-FR"/>
        </w:rPr>
        <w:t>d’</w:t>
      </w:r>
      <w:r w:rsidRPr="00465C40">
        <w:rPr>
          <w:lang w:val="fr-FR"/>
        </w:rPr>
        <w:t>autres parties prenantes et certains de ses représentant(e)s ont participé à un certain nombre de réunions techniques, telles qu</w:t>
      </w:r>
      <w:r w:rsidR="00465C40" w:rsidRPr="00465C40">
        <w:rPr>
          <w:lang w:val="fr-FR"/>
        </w:rPr>
        <w:t>’</w:t>
      </w:r>
      <w:r w:rsidRPr="00465C40">
        <w:rPr>
          <w:lang w:val="fr-FR"/>
        </w:rPr>
        <w:t>une réunion de consultation d</w:t>
      </w:r>
      <w:r w:rsidR="00465C40" w:rsidRPr="00465C40">
        <w:rPr>
          <w:lang w:val="fr-FR"/>
        </w:rPr>
        <w:t>’</w:t>
      </w:r>
      <w:r w:rsidRPr="00465C40">
        <w:rPr>
          <w:lang w:val="fr-FR"/>
        </w:rPr>
        <w:t>experts sur la surveillance du mercure financée par le FEM, qui s</w:t>
      </w:r>
      <w:r w:rsidR="00465C40" w:rsidRPr="00465C40">
        <w:rPr>
          <w:lang w:val="fr-FR"/>
        </w:rPr>
        <w:t>’</w:t>
      </w:r>
      <w:r w:rsidR="0024373E">
        <w:rPr>
          <w:lang w:val="fr-FR"/>
        </w:rPr>
        <w:t>est tenue les 13 et 14 </w:t>
      </w:r>
      <w:r w:rsidRPr="00465C40">
        <w:rPr>
          <w:lang w:val="fr-FR"/>
        </w:rPr>
        <w:t>mai 2019 à Monaco</w:t>
      </w:r>
      <w:r w:rsidR="00465C40" w:rsidRPr="00465C40">
        <w:rPr>
          <w:lang w:val="fr-FR"/>
        </w:rPr>
        <w:t> ;</w:t>
      </w:r>
      <w:r w:rsidR="00202044">
        <w:rPr>
          <w:lang w:val="fr-FR"/>
        </w:rPr>
        <w:t xml:space="preserve"> une </w:t>
      </w:r>
      <w:r w:rsidRPr="00465C40">
        <w:rPr>
          <w:lang w:val="fr-FR"/>
        </w:rPr>
        <w:t>réunion sur les meilleures techniques disponibles, qui s</w:t>
      </w:r>
      <w:r w:rsidR="00465C40" w:rsidRPr="00465C40">
        <w:rPr>
          <w:lang w:val="fr-FR"/>
        </w:rPr>
        <w:t>’</w:t>
      </w:r>
      <w:r w:rsidR="0024373E">
        <w:rPr>
          <w:lang w:val="fr-FR"/>
        </w:rPr>
        <w:t>est tenue du 14 au 16 </w:t>
      </w:r>
      <w:r w:rsidRPr="00465C40">
        <w:rPr>
          <w:lang w:val="fr-FR"/>
        </w:rPr>
        <w:t>mai 2019 à Berlin</w:t>
      </w:r>
      <w:r w:rsidR="00465C40" w:rsidRPr="00465C40">
        <w:rPr>
          <w:lang w:val="fr-FR"/>
        </w:rPr>
        <w:t> ;</w:t>
      </w:r>
      <w:r w:rsidRPr="00465C40">
        <w:rPr>
          <w:lang w:val="fr-FR"/>
        </w:rPr>
        <w:t xml:space="preserve"> un atelier sur les produits contenant du mercure ajouté financé par l</w:t>
      </w:r>
      <w:r w:rsidR="00465C40" w:rsidRPr="00465C40">
        <w:rPr>
          <w:lang w:val="fr-FR"/>
        </w:rPr>
        <w:t>’</w:t>
      </w:r>
      <w:r w:rsidRPr="00465C40">
        <w:rPr>
          <w:lang w:val="fr-FR"/>
        </w:rPr>
        <w:t>Association de coopération économique Asie-Pacifique, qui s</w:t>
      </w:r>
      <w:r w:rsidR="00465C40" w:rsidRPr="00465C40">
        <w:rPr>
          <w:lang w:val="fr-FR"/>
        </w:rPr>
        <w:t>’</w:t>
      </w:r>
      <w:r w:rsidR="0024373E">
        <w:rPr>
          <w:lang w:val="fr-FR"/>
        </w:rPr>
        <w:t>est tenu du 9 au 11 </w:t>
      </w:r>
      <w:r w:rsidRPr="00465C40">
        <w:rPr>
          <w:lang w:val="fr-FR"/>
        </w:rPr>
        <w:t>juillet 2019 à Viña del Mar (Chili)</w:t>
      </w:r>
      <w:r w:rsidR="00465C40" w:rsidRPr="00465C40">
        <w:rPr>
          <w:lang w:val="fr-FR"/>
        </w:rPr>
        <w:t> ;</w:t>
      </w:r>
      <w:r w:rsidRPr="00465C40">
        <w:rPr>
          <w:lang w:val="fr-FR"/>
        </w:rPr>
        <w:t xml:space="preserve"> et un atelier régional sur le thème « Définir la voie à suivre</w:t>
      </w:r>
      <w:r w:rsidR="00465C40" w:rsidRPr="00465C40">
        <w:rPr>
          <w:lang w:val="fr-FR"/>
        </w:rPr>
        <w:t> :</w:t>
      </w:r>
      <w:r w:rsidRPr="00465C40">
        <w:rPr>
          <w:lang w:val="fr-FR"/>
        </w:rPr>
        <w:t xml:space="preserve"> enseignements tirés durant l</w:t>
      </w:r>
      <w:r w:rsidR="00465C40" w:rsidRPr="00465C40">
        <w:rPr>
          <w:lang w:val="fr-FR"/>
        </w:rPr>
        <w:t>’</w:t>
      </w:r>
      <w:r w:rsidRPr="00465C40">
        <w:rPr>
          <w:lang w:val="fr-FR"/>
        </w:rPr>
        <w:t>élaboration des plans d</w:t>
      </w:r>
      <w:r w:rsidR="00465C40" w:rsidRPr="00465C40">
        <w:rPr>
          <w:lang w:val="fr-FR"/>
        </w:rPr>
        <w:t>’</w:t>
      </w:r>
      <w:r w:rsidRPr="00465C40">
        <w:rPr>
          <w:lang w:val="fr-FR"/>
        </w:rPr>
        <w:t>action nationaux pour la réduction de l</w:t>
      </w:r>
      <w:r w:rsidR="00465C40" w:rsidRPr="00465C40">
        <w:rPr>
          <w:lang w:val="fr-FR"/>
        </w:rPr>
        <w:t>’</w:t>
      </w:r>
      <w:r w:rsidRPr="00465C40">
        <w:rPr>
          <w:lang w:val="fr-FR"/>
        </w:rPr>
        <w:t>utilisation du mercure dans le secteur de l</w:t>
      </w:r>
      <w:r w:rsidR="00465C40" w:rsidRPr="00465C40">
        <w:rPr>
          <w:lang w:val="fr-FR"/>
        </w:rPr>
        <w:t>’</w:t>
      </w:r>
      <w:r w:rsidRPr="00465C40">
        <w:rPr>
          <w:lang w:val="fr-FR"/>
        </w:rPr>
        <w:t xml:space="preserve">extraction artisanale et à petite </w:t>
      </w:r>
      <w:r w:rsidR="000E2EFB">
        <w:rPr>
          <w:lang w:val="fr-FR"/>
        </w:rPr>
        <w:t>échelle d’or</w:t>
      </w:r>
      <w:r w:rsidRPr="00465C40">
        <w:rPr>
          <w:lang w:val="fr-FR"/>
        </w:rPr>
        <w:t> », qui s</w:t>
      </w:r>
      <w:r w:rsidR="00465C40" w:rsidRPr="00465C40">
        <w:rPr>
          <w:lang w:val="fr-FR"/>
        </w:rPr>
        <w:t>’</w:t>
      </w:r>
      <w:r w:rsidR="0024373E">
        <w:rPr>
          <w:lang w:val="fr-FR"/>
        </w:rPr>
        <w:t>est tenu les 22 et 23 </w:t>
      </w:r>
      <w:r w:rsidRPr="00465C40">
        <w:rPr>
          <w:lang w:val="fr-FR"/>
        </w:rPr>
        <w:t xml:space="preserve">mai 2019 à Manzini (Eswatini). </w:t>
      </w:r>
    </w:p>
    <w:p w14:paraId="4A956C2F" w14:textId="64ECD238" w:rsidR="00436481" w:rsidRPr="00465C40" w:rsidRDefault="00436481"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en collaboration avec le Centre international d</w:t>
      </w:r>
      <w:r w:rsidR="00465C40" w:rsidRPr="00465C40">
        <w:rPr>
          <w:lang w:val="fr-FR"/>
        </w:rPr>
        <w:t>’</w:t>
      </w:r>
      <w:r w:rsidRPr="00465C40">
        <w:rPr>
          <w:lang w:val="fr-FR"/>
        </w:rPr>
        <w:t>écotechnologie et le Ministère japonais de l</w:t>
      </w:r>
      <w:r w:rsidR="00465C40" w:rsidRPr="00465C40">
        <w:rPr>
          <w:lang w:val="fr-FR"/>
        </w:rPr>
        <w:t>’</w:t>
      </w:r>
      <w:r w:rsidRPr="00465C40">
        <w:rPr>
          <w:lang w:val="fr-FR"/>
        </w:rPr>
        <w:t>environnement, a organisé un atelier sur les synergies en matière de gestion des déchets du mercure</w:t>
      </w:r>
      <w:r w:rsidR="000C367F">
        <w:rPr>
          <w:lang w:val="fr-FR"/>
        </w:rPr>
        <w:t xml:space="preserve"> financé par le Japon</w:t>
      </w:r>
      <w:r w:rsidRPr="00465C40">
        <w:rPr>
          <w:lang w:val="fr-FR"/>
        </w:rPr>
        <w:t>, qui s</w:t>
      </w:r>
      <w:r w:rsidR="00465C40" w:rsidRPr="00465C40">
        <w:rPr>
          <w:lang w:val="fr-FR"/>
        </w:rPr>
        <w:t>’</w:t>
      </w:r>
      <w:r w:rsidR="0024373E">
        <w:rPr>
          <w:lang w:val="fr-FR"/>
        </w:rPr>
        <w:t>est tenu les 30 et 31 </w:t>
      </w:r>
      <w:r w:rsidRPr="00465C40">
        <w:rPr>
          <w:lang w:val="fr-FR"/>
        </w:rPr>
        <w:t xml:space="preserve">mai 2019 à Osaka, en marge de la réunion du groupe </w:t>
      </w:r>
      <w:r w:rsidR="00826988">
        <w:rPr>
          <w:lang w:val="fr-FR"/>
        </w:rPr>
        <w:t xml:space="preserve">d’experts techniques </w:t>
      </w:r>
      <w:r w:rsidRPr="00465C40">
        <w:rPr>
          <w:lang w:val="fr-FR"/>
        </w:rPr>
        <w:t>sur les seuils applicables aux déchets de mercure. Le rapport de l</w:t>
      </w:r>
      <w:r w:rsidR="00465C40" w:rsidRPr="00465C40">
        <w:rPr>
          <w:lang w:val="fr-FR"/>
        </w:rPr>
        <w:t>’</w:t>
      </w:r>
      <w:r w:rsidRPr="00465C40">
        <w:rPr>
          <w:lang w:val="fr-FR"/>
        </w:rPr>
        <w:t xml:space="preserve">atelier est </w:t>
      </w:r>
      <w:r w:rsidR="000C367F">
        <w:rPr>
          <w:lang w:val="fr-FR"/>
        </w:rPr>
        <w:t>consultable</w:t>
      </w:r>
      <w:r w:rsidRPr="00465C40">
        <w:rPr>
          <w:lang w:val="fr-FR"/>
        </w:rPr>
        <w:t xml:space="preserve"> sur le site Web de la Convention</w:t>
      </w:r>
      <w:r w:rsidR="00A65343" w:rsidRPr="00465C40">
        <w:rPr>
          <w:rStyle w:val="FootnoteReference"/>
          <w:lang w:val="fr-FR"/>
        </w:rPr>
        <w:footnoteReference w:id="3"/>
      </w:r>
      <w:r w:rsidRPr="00465C40">
        <w:rPr>
          <w:lang w:val="fr-FR"/>
        </w:rPr>
        <w:t>.</w:t>
      </w:r>
    </w:p>
    <w:p w14:paraId="61643631" w14:textId="3CBF5716" w:rsidR="00163DA4" w:rsidRPr="00465C40" w:rsidRDefault="00163DA4" w:rsidP="003359D6">
      <w:pPr>
        <w:pStyle w:val="CH1"/>
        <w:ind w:left="1871"/>
        <w:rPr>
          <w:lang w:val="fr-FR"/>
        </w:rPr>
      </w:pPr>
      <w:r w:rsidRPr="00465C40">
        <w:rPr>
          <w:lang w:val="fr-FR"/>
        </w:rPr>
        <w:t>IV.</w:t>
      </w:r>
      <w:r w:rsidRPr="00465C40">
        <w:rPr>
          <w:lang w:val="fr-FR"/>
        </w:rPr>
        <w:tab/>
      </w:r>
      <w:r w:rsidRPr="00465C40">
        <w:rPr>
          <w:bCs/>
          <w:lang w:val="fr-FR"/>
        </w:rPr>
        <w:t>Aide à la mise en œuvre de la Convention de Minamata</w:t>
      </w:r>
      <w:r w:rsidRPr="00465C40">
        <w:rPr>
          <w:lang w:val="fr-FR"/>
        </w:rPr>
        <w:t xml:space="preserve"> </w:t>
      </w:r>
    </w:p>
    <w:p w14:paraId="5C7FDDF3" w14:textId="2D42B4F6" w:rsidR="00163DA4"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Outre ses travaux menés à l</w:t>
      </w:r>
      <w:r w:rsidR="00465C40" w:rsidRPr="00465C40">
        <w:rPr>
          <w:lang w:val="fr-FR"/>
        </w:rPr>
        <w:t>’</w:t>
      </w:r>
      <w:r w:rsidRPr="00465C40">
        <w:rPr>
          <w:lang w:val="fr-FR"/>
        </w:rPr>
        <w:t>appui de la Conférence des Parties et en prévisi</w:t>
      </w:r>
      <w:r w:rsidR="00626E7C">
        <w:rPr>
          <w:lang w:val="fr-FR"/>
        </w:rPr>
        <w:t>on de la troisième </w:t>
      </w:r>
      <w:r w:rsidRPr="00465C40">
        <w:rPr>
          <w:lang w:val="fr-FR"/>
        </w:rPr>
        <w:t xml:space="preserve">réunion, le secrétariat a appuyé des activités aux niveaux national et régional </w:t>
      </w:r>
      <w:r w:rsidR="00BA7A9D">
        <w:rPr>
          <w:lang w:val="fr-FR"/>
        </w:rPr>
        <w:t>en vue</w:t>
      </w:r>
      <w:r w:rsidR="00202044">
        <w:rPr>
          <w:lang w:val="fr-FR"/>
        </w:rPr>
        <w:t xml:space="preserve"> de </w:t>
      </w:r>
      <w:r w:rsidRPr="00465C40">
        <w:rPr>
          <w:lang w:val="fr-FR"/>
        </w:rPr>
        <w:t xml:space="preserve">faciliter la mise en œuvre de la Convention de Minamata et a tenu des consultations avec les partenaires intéressés, </w:t>
      </w:r>
      <w:r w:rsidR="00BA7A9D">
        <w:rPr>
          <w:lang w:val="fr-FR"/>
        </w:rPr>
        <w:t>y compris</w:t>
      </w:r>
      <w:r w:rsidRPr="00465C40">
        <w:rPr>
          <w:lang w:val="fr-FR"/>
        </w:rPr>
        <w:t xml:space="preserve"> les organisations participant au Progr</w:t>
      </w:r>
      <w:r w:rsidR="00202044">
        <w:rPr>
          <w:lang w:val="fr-FR"/>
        </w:rPr>
        <w:t>amme interorganisations pour la </w:t>
      </w:r>
      <w:r w:rsidRPr="00465C40">
        <w:rPr>
          <w:lang w:val="fr-FR"/>
        </w:rPr>
        <w:t>gestion rationnelle des produits chimiques (IOMC), afin de définir d</w:t>
      </w:r>
      <w:r w:rsidR="00465C40" w:rsidRPr="00465C40">
        <w:rPr>
          <w:lang w:val="fr-FR"/>
        </w:rPr>
        <w:t>’</w:t>
      </w:r>
      <w:r w:rsidRPr="00465C40">
        <w:rPr>
          <w:lang w:val="fr-FR"/>
        </w:rPr>
        <w:t>éventuelles activités transversales.</w:t>
      </w:r>
    </w:p>
    <w:p w14:paraId="30729F8D" w14:textId="36D98F32" w:rsidR="00163DA4" w:rsidRPr="00465C40" w:rsidRDefault="00EF4366"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a travaillé à la fourniture de l</w:t>
      </w:r>
      <w:r w:rsidR="00465C40" w:rsidRPr="00465C40">
        <w:rPr>
          <w:lang w:val="fr-FR"/>
        </w:rPr>
        <w:t>’</w:t>
      </w:r>
      <w:r w:rsidRPr="00465C40">
        <w:rPr>
          <w:lang w:val="fr-FR"/>
        </w:rPr>
        <w:t>assistance technique et à l</w:t>
      </w:r>
      <w:r w:rsidR="00465C40" w:rsidRPr="00465C40">
        <w:rPr>
          <w:lang w:val="fr-FR"/>
        </w:rPr>
        <w:t>’</w:t>
      </w:r>
      <w:r w:rsidRPr="00465C40">
        <w:rPr>
          <w:lang w:val="fr-FR"/>
        </w:rPr>
        <w:t>organisation d</w:t>
      </w:r>
      <w:r w:rsidR="00465C40" w:rsidRPr="00465C40">
        <w:rPr>
          <w:lang w:val="fr-FR"/>
        </w:rPr>
        <w:t>’</w:t>
      </w:r>
      <w:r w:rsidRPr="00465C40">
        <w:rPr>
          <w:lang w:val="fr-FR"/>
        </w:rPr>
        <w:t>activités de renforcement des capacités définies dans le programme de travail de la Convention en poursuivant les travaux relatifs au projet sur le commerce d</w:t>
      </w:r>
      <w:r w:rsidR="003359D6">
        <w:rPr>
          <w:lang w:val="fr-FR"/>
        </w:rPr>
        <w:t>e</w:t>
      </w:r>
      <w:r w:rsidRPr="00465C40">
        <w:rPr>
          <w:lang w:val="fr-FR"/>
        </w:rPr>
        <w:t xml:space="preserve"> mercure et </w:t>
      </w:r>
      <w:r w:rsidR="003359D6">
        <w:rPr>
          <w:lang w:val="fr-FR"/>
        </w:rPr>
        <w:t xml:space="preserve">sur </w:t>
      </w:r>
      <w:r w:rsidRPr="00465C40">
        <w:rPr>
          <w:lang w:val="fr-FR"/>
        </w:rPr>
        <w:t>les é</w:t>
      </w:r>
      <w:r w:rsidR="004C57A1">
        <w:rPr>
          <w:lang w:val="fr-FR"/>
        </w:rPr>
        <w:t>missions de mercure financé par </w:t>
      </w:r>
      <w:r w:rsidRPr="00465C40">
        <w:rPr>
          <w:lang w:val="fr-FR"/>
        </w:rPr>
        <w:t>l</w:t>
      </w:r>
      <w:r w:rsidR="00465C40" w:rsidRPr="00465C40">
        <w:rPr>
          <w:lang w:val="fr-FR"/>
        </w:rPr>
        <w:t>’</w:t>
      </w:r>
      <w:r w:rsidRPr="00465C40">
        <w:rPr>
          <w:lang w:val="fr-FR"/>
        </w:rPr>
        <w:t xml:space="preserve">Union européenne. Ces deux questions avaient été définies comme prioritaires aux niveaux </w:t>
      </w:r>
      <w:r w:rsidR="004C57A1">
        <w:rPr>
          <w:lang w:val="fr-FR"/>
        </w:rPr>
        <w:br/>
      </w:r>
      <w:r w:rsidRPr="00465C40">
        <w:rPr>
          <w:lang w:val="fr-FR"/>
        </w:rPr>
        <w:t>sous-régional et régional. Dans le cadre de ce projet, au cours des années 2019 et 2020, le secrétariat mènera des ateliers de formation régionaux et</w:t>
      </w:r>
      <w:r w:rsidR="00F03D18">
        <w:rPr>
          <w:lang w:val="fr-FR"/>
        </w:rPr>
        <w:t>/ou</w:t>
      </w:r>
      <w:r w:rsidRPr="00465C40">
        <w:rPr>
          <w:lang w:val="fr-FR"/>
        </w:rPr>
        <w:t xml:space="preserve"> sous-régionaux, élaborera des supports de formation, mettra en œuvre des projets pilotes nationaux, diffusera des informations relatives aux enseignements tirés et établira un premier aperçu d</w:t>
      </w:r>
      <w:r w:rsidR="00465C40" w:rsidRPr="00465C40">
        <w:rPr>
          <w:lang w:val="fr-FR"/>
        </w:rPr>
        <w:t>’</w:t>
      </w:r>
      <w:r w:rsidRPr="00465C40">
        <w:rPr>
          <w:lang w:val="fr-FR"/>
        </w:rPr>
        <w:t>une évaluation des besoins. Le premi</w:t>
      </w:r>
      <w:r w:rsidR="00202044">
        <w:rPr>
          <w:lang w:val="fr-FR"/>
        </w:rPr>
        <w:t>er atelier sous-régional sur le </w:t>
      </w:r>
      <w:r w:rsidRPr="00465C40">
        <w:rPr>
          <w:lang w:val="fr-FR"/>
        </w:rPr>
        <w:t>commerce doit se tenir en septembre 2019 en Bolivie et sera suivi en octobre 2019 par l</w:t>
      </w:r>
      <w:r w:rsidR="00465C40" w:rsidRPr="00465C40">
        <w:rPr>
          <w:lang w:val="fr-FR"/>
        </w:rPr>
        <w:t>’</w:t>
      </w:r>
      <w:r w:rsidRPr="00465C40">
        <w:rPr>
          <w:lang w:val="fr-FR"/>
        </w:rPr>
        <w:t>atelier sous-régional sur les émissions, qui se tiendra au Viet Nam. Le secré</w:t>
      </w:r>
      <w:r w:rsidR="00202044">
        <w:rPr>
          <w:lang w:val="fr-FR"/>
        </w:rPr>
        <w:t>tariat travaille également à la </w:t>
      </w:r>
      <w:r w:rsidRPr="00465C40">
        <w:rPr>
          <w:lang w:val="fr-FR"/>
        </w:rPr>
        <w:t xml:space="preserve">mise en page lisible </w:t>
      </w:r>
      <w:r w:rsidR="005F5DC7">
        <w:rPr>
          <w:lang w:val="fr-FR"/>
        </w:rPr>
        <w:t xml:space="preserve">et à l’impression </w:t>
      </w:r>
      <w:r w:rsidR="004324B2" w:rsidRPr="00465C40">
        <w:rPr>
          <w:lang w:val="fr-FR"/>
        </w:rPr>
        <w:t xml:space="preserve">en anglais, </w:t>
      </w:r>
      <w:r w:rsidR="004324B2">
        <w:rPr>
          <w:lang w:val="fr-FR"/>
        </w:rPr>
        <w:t xml:space="preserve">en </w:t>
      </w:r>
      <w:r w:rsidR="004324B2" w:rsidRPr="00465C40">
        <w:rPr>
          <w:lang w:val="fr-FR"/>
        </w:rPr>
        <w:t xml:space="preserve">français et </w:t>
      </w:r>
      <w:r w:rsidR="004324B2">
        <w:rPr>
          <w:lang w:val="fr-FR"/>
        </w:rPr>
        <w:t xml:space="preserve">en </w:t>
      </w:r>
      <w:r w:rsidR="004324B2" w:rsidRPr="00465C40">
        <w:rPr>
          <w:lang w:val="fr-FR"/>
        </w:rPr>
        <w:t xml:space="preserve">espagnol </w:t>
      </w:r>
      <w:r w:rsidR="00202044">
        <w:rPr>
          <w:lang w:val="fr-FR"/>
        </w:rPr>
        <w:t>des orientations sur les </w:t>
      </w:r>
      <w:r w:rsidRPr="00465C40">
        <w:rPr>
          <w:lang w:val="fr-FR"/>
        </w:rPr>
        <w:t>meilleures pratiques environnementales relatives aux émissions de mercure provenant des sources ponctuelles appartenant aux catégories énumérées à l</w:t>
      </w:r>
      <w:r w:rsidR="00465C40" w:rsidRPr="00465C40">
        <w:rPr>
          <w:lang w:val="fr-FR"/>
        </w:rPr>
        <w:t>’</w:t>
      </w:r>
      <w:r w:rsidR="00347E2A">
        <w:rPr>
          <w:lang w:val="fr-FR"/>
        </w:rPr>
        <w:t>Annexe </w:t>
      </w:r>
      <w:r w:rsidRPr="00465C40">
        <w:rPr>
          <w:lang w:val="fr-FR"/>
        </w:rPr>
        <w:t xml:space="preserve">D de la Convention. </w:t>
      </w:r>
    </w:p>
    <w:p w14:paraId="385FA9C2" w14:textId="088DB97E" w:rsidR="00264E52" w:rsidRPr="00465C40" w:rsidRDefault="0042247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Par suite d</w:t>
      </w:r>
      <w:r w:rsidR="00465C40" w:rsidRPr="00465C40">
        <w:rPr>
          <w:lang w:val="fr-FR"/>
        </w:rPr>
        <w:t>’</w:t>
      </w:r>
      <w:r w:rsidRPr="00465C40">
        <w:rPr>
          <w:lang w:val="fr-FR"/>
        </w:rPr>
        <w:t>une demande spécifique de renforcement des cap</w:t>
      </w:r>
      <w:r w:rsidR="004D1108">
        <w:rPr>
          <w:lang w:val="fr-FR"/>
        </w:rPr>
        <w:t>acités émanant de la République </w:t>
      </w:r>
      <w:r w:rsidRPr="00465C40">
        <w:rPr>
          <w:lang w:val="fr-FR"/>
        </w:rPr>
        <w:t>islamique d</w:t>
      </w:r>
      <w:r w:rsidR="00465C40" w:rsidRPr="00465C40">
        <w:rPr>
          <w:lang w:val="fr-FR"/>
        </w:rPr>
        <w:t>’</w:t>
      </w:r>
      <w:r w:rsidRPr="00465C40">
        <w:rPr>
          <w:lang w:val="fr-FR"/>
        </w:rPr>
        <w:t>Iran, le secrétariat a organisé une séance de formation sur l</w:t>
      </w:r>
      <w:r w:rsidR="00465C40" w:rsidRPr="00465C40">
        <w:rPr>
          <w:lang w:val="fr-FR"/>
        </w:rPr>
        <w:t>’</w:t>
      </w:r>
      <w:r w:rsidR="004B2B09">
        <w:rPr>
          <w:lang w:val="fr-FR"/>
        </w:rPr>
        <w:t>o</w:t>
      </w:r>
      <w:r w:rsidR="004D1108">
        <w:rPr>
          <w:lang w:val="fr-FR"/>
        </w:rPr>
        <w:t>util pour </w:t>
      </w:r>
      <w:r w:rsidRPr="00465C40">
        <w:rPr>
          <w:lang w:val="fr-FR"/>
        </w:rPr>
        <w:t>l</w:t>
      </w:r>
      <w:r w:rsidR="00465C40" w:rsidRPr="00465C40">
        <w:rPr>
          <w:lang w:val="fr-FR"/>
        </w:rPr>
        <w:t>’</w:t>
      </w:r>
      <w:r w:rsidRPr="00465C40">
        <w:rPr>
          <w:lang w:val="fr-FR"/>
        </w:rPr>
        <w:t>établissement des inventaires du</w:t>
      </w:r>
      <w:r w:rsidR="00347E2A">
        <w:rPr>
          <w:lang w:val="fr-FR"/>
        </w:rPr>
        <w:t xml:space="preserve"> mercure, à laquelle près de 60 </w:t>
      </w:r>
      <w:r w:rsidRPr="00465C40">
        <w:rPr>
          <w:lang w:val="fr-FR"/>
        </w:rPr>
        <w:t>part</w:t>
      </w:r>
      <w:r w:rsidR="004D1108">
        <w:rPr>
          <w:lang w:val="fr-FR"/>
        </w:rPr>
        <w:t xml:space="preserve">icipants provenant de </w:t>
      </w:r>
      <w:r w:rsidR="004D1108">
        <w:rPr>
          <w:lang w:val="fr-FR"/>
        </w:rPr>
        <w:lastRenderedPageBreak/>
        <w:t>divers </w:t>
      </w:r>
      <w:r w:rsidRPr="00465C40">
        <w:rPr>
          <w:lang w:val="fr-FR"/>
        </w:rPr>
        <w:t>ministères et départements, y compris les bureaux provinciaux, ont</w:t>
      </w:r>
      <w:r w:rsidR="004D1108">
        <w:rPr>
          <w:lang w:val="fr-FR"/>
        </w:rPr>
        <w:t xml:space="preserve"> assisté. La contribution de la </w:t>
      </w:r>
      <w:r w:rsidRPr="00465C40">
        <w:rPr>
          <w:lang w:val="fr-FR"/>
        </w:rPr>
        <w:t>France a servi dans le cadre de cette activité.</w:t>
      </w:r>
    </w:p>
    <w:p w14:paraId="49004088" w14:textId="35602D0D" w:rsidR="00163DA4" w:rsidRPr="00465C40" w:rsidRDefault="00E31F58" w:rsidP="00347E2A">
      <w:pPr>
        <w:pStyle w:val="Normalnumber"/>
        <w:keepNext/>
        <w:keepLines/>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a analysé les évaluations initiales </w:t>
      </w:r>
      <w:r w:rsidR="00897644">
        <w:rPr>
          <w:lang w:val="fr-FR"/>
        </w:rPr>
        <w:t>prévues par</w:t>
      </w:r>
      <w:r w:rsidRPr="00465C40">
        <w:rPr>
          <w:lang w:val="fr-FR"/>
        </w:rPr>
        <w:t xml:space="preserve"> la Convention de Minamata en vue d</w:t>
      </w:r>
      <w:r w:rsidR="00465C40" w:rsidRPr="00465C40">
        <w:rPr>
          <w:lang w:val="fr-FR"/>
        </w:rPr>
        <w:t>’</w:t>
      </w:r>
      <w:r w:rsidRPr="00465C40">
        <w:rPr>
          <w:lang w:val="fr-FR"/>
        </w:rPr>
        <w:t>élaborer le programme pour 2020-2021 en matière de renforcement des capacités et d</w:t>
      </w:r>
      <w:r w:rsidR="00465C40" w:rsidRPr="00465C40">
        <w:rPr>
          <w:lang w:val="fr-FR"/>
        </w:rPr>
        <w:t>’</w:t>
      </w:r>
      <w:r w:rsidRPr="00465C40">
        <w:rPr>
          <w:lang w:val="fr-FR"/>
        </w:rPr>
        <w:t>assistance technique au titre de la Convention. Les rapports sur les évaluations initiales présentés au secrétariat par les gouvernements et les organismes d</w:t>
      </w:r>
      <w:r w:rsidR="00465C40" w:rsidRPr="00465C40">
        <w:rPr>
          <w:lang w:val="fr-FR"/>
        </w:rPr>
        <w:t>’</w:t>
      </w:r>
      <w:r w:rsidRPr="00465C40">
        <w:rPr>
          <w:lang w:val="fr-FR"/>
        </w:rPr>
        <w:t xml:space="preserve">exécution ont été </w:t>
      </w:r>
      <w:r w:rsidR="00E457A6">
        <w:rPr>
          <w:lang w:val="fr-FR"/>
        </w:rPr>
        <w:t>publiés</w:t>
      </w:r>
      <w:r w:rsidRPr="00465C40">
        <w:rPr>
          <w:lang w:val="fr-FR"/>
        </w:rPr>
        <w:t xml:space="preserve"> sur le site Web de la Convention</w:t>
      </w:r>
      <w:r w:rsidR="00A65343" w:rsidRPr="00465C40">
        <w:rPr>
          <w:rStyle w:val="FootnoteReference"/>
          <w:lang w:val="fr-FR"/>
        </w:rPr>
        <w:footnoteReference w:id="4"/>
      </w:r>
      <w:r w:rsidRPr="00465C40">
        <w:rPr>
          <w:lang w:val="fr-FR"/>
        </w:rPr>
        <w:t>.</w:t>
      </w:r>
      <w:r w:rsidR="00E457A6">
        <w:rPr>
          <w:lang w:val="fr-FR"/>
        </w:rPr>
        <w:t xml:space="preserve"> S</w:t>
      </w:r>
      <w:r w:rsidR="00465C40" w:rsidRPr="00465C40">
        <w:rPr>
          <w:lang w:val="fr-FR"/>
        </w:rPr>
        <w:t>’</w:t>
      </w:r>
      <w:r w:rsidRPr="00465C40">
        <w:rPr>
          <w:lang w:val="fr-FR"/>
        </w:rPr>
        <w:t xml:space="preserve">appuyant sur les mesures nationales prioritaires et les plans de mise en œuvre mentionnés dans les rapports reçus avant juillet 2019, </w:t>
      </w:r>
      <w:r w:rsidR="00E457A6">
        <w:rPr>
          <w:lang w:val="fr-FR"/>
        </w:rPr>
        <w:t>l</w:t>
      </w:r>
      <w:r w:rsidR="00E457A6" w:rsidRPr="00465C40">
        <w:rPr>
          <w:lang w:val="fr-FR"/>
        </w:rPr>
        <w:t>e secrétariat</w:t>
      </w:r>
      <w:r w:rsidR="00E457A6">
        <w:rPr>
          <w:lang w:val="fr-FR"/>
        </w:rPr>
        <w:t xml:space="preserve"> </w:t>
      </w:r>
      <w:r w:rsidRPr="00465C40">
        <w:rPr>
          <w:lang w:val="fr-FR"/>
        </w:rPr>
        <w:t>a élaboré des projets de plan d</w:t>
      </w:r>
      <w:r w:rsidR="00465C40" w:rsidRPr="00465C40">
        <w:rPr>
          <w:lang w:val="fr-FR"/>
        </w:rPr>
        <w:t>’</w:t>
      </w:r>
      <w:r w:rsidRPr="00465C40">
        <w:rPr>
          <w:lang w:val="fr-FR"/>
        </w:rPr>
        <w:t>activité afin d</w:t>
      </w:r>
      <w:r w:rsidR="00465C40" w:rsidRPr="00465C40">
        <w:rPr>
          <w:lang w:val="fr-FR"/>
        </w:rPr>
        <w:t>’</w:t>
      </w:r>
      <w:r w:rsidRPr="00465C40">
        <w:rPr>
          <w:lang w:val="fr-FR"/>
        </w:rPr>
        <w:t>aider les Parties à mettre en œuvre la Convention. Les plans ont également été élaborés en tenant compte des besoins exprimés par les pays en développement et en transition, notamment durant les première et deuxième réunions de la Conférence des Parties et les réunions préparatoires régionales et dans le cadre des activités habilitantes et de l</w:t>
      </w:r>
      <w:r w:rsidR="00465C40" w:rsidRPr="00465C40">
        <w:rPr>
          <w:lang w:val="fr-FR"/>
        </w:rPr>
        <w:t>’</w:t>
      </w:r>
      <w:r w:rsidRPr="00465C40">
        <w:rPr>
          <w:lang w:val="fr-FR"/>
        </w:rPr>
        <w:t>échange d</w:t>
      </w:r>
      <w:r w:rsidR="00465C40" w:rsidRPr="00465C40">
        <w:rPr>
          <w:lang w:val="fr-FR"/>
        </w:rPr>
        <w:t>’</w:t>
      </w:r>
      <w:r w:rsidRPr="00465C40">
        <w:rPr>
          <w:lang w:val="fr-FR"/>
        </w:rPr>
        <w:t xml:space="preserve">informations avec diverses parties prenantes. </w:t>
      </w:r>
      <w:r w:rsidR="00347E2A">
        <w:rPr>
          <w:lang w:val="fr-FR"/>
        </w:rPr>
        <w:t>Au </w:t>
      </w:r>
      <w:r w:rsidR="00897644">
        <w:rPr>
          <w:lang w:val="fr-FR"/>
        </w:rPr>
        <w:t>31 </w:t>
      </w:r>
      <w:r w:rsidRPr="00465C40">
        <w:rPr>
          <w:lang w:val="fr-FR"/>
        </w:rPr>
        <w:t>juillet 2019, outre les rapports sur les évaluations initiales d</w:t>
      </w:r>
      <w:r w:rsidR="004C57A1">
        <w:rPr>
          <w:lang w:val="fr-FR"/>
        </w:rPr>
        <w:t>e la Convention de Minamata, un </w:t>
      </w:r>
      <w:r w:rsidRPr="00465C40">
        <w:rPr>
          <w:lang w:val="fr-FR"/>
        </w:rPr>
        <w:t>plan d</w:t>
      </w:r>
      <w:r w:rsidR="00465C40" w:rsidRPr="00465C40">
        <w:rPr>
          <w:lang w:val="fr-FR"/>
        </w:rPr>
        <w:t>’</w:t>
      </w:r>
      <w:r w:rsidRPr="00465C40">
        <w:rPr>
          <w:lang w:val="fr-FR"/>
        </w:rPr>
        <w:t>action national sur l</w:t>
      </w:r>
      <w:r w:rsidR="00465C40" w:rsidRPr="00465C40">
        <w:rPr>
          <w:lang w:val="fr-FR"/>
        </w:rPr>
        <w:t>’</w:t>
      </w:r>
      <w:r w:rsidRPr="00465C40">
        <w:rPr>
          <w:lang w:val="fr-FR"/>
        </w:rPr>
        <w:t>extraction artisanale et à petite échelle d</w:t>
      </w:r>
      <w:r w:rsidR="00465C40" w:rsidRPr="00465C40">
        <w:rPr>
          <w:lang w:val="fr-FR"/>
        </w:rPr>
        <w:t>’</w:t>
      </w:r>
      <w:r w:rsidRPr="00465C40">
        <w:rPr>
          <w:lang w:val="fr-FR"/>
        </w:rPr>
        <w:t xml:space="preserve">or et deux plans nationaux de mise en œuvre </w:t>
      </w:r>
      <w:r w:rsidR="00D83693">
        <w:rPr>
          <w:lang w:val="fr-FR"/>
        </w:rPr>
        <w:t>avaie</w:t>
      </w:r>
      <w:r w:rsidRPr="00465C40">
        <w:rPr>
          <w:lang w:val="fr-FR"/>
        </w:rPr>
        <w:t>nt été présentés en application</w:t>
      </w:r>
      <w:r w:rsidR="00347E2A">
        <w:rPr>
          <w:lang w:val="fr-FR"/>
        </w:rPr>
        <w:t>, respectivement, du paragraphe </w:t>
      </w:r>
      <w:r w:rsidRPr="00465C40">
        <w:rPr>
          <w:lang w:val="fr-FR"/>
        </w:rPr>
        <w:t>3 de l</w:t>
      </w:r>
      <w:r w:rsidR="00465C40" w:rsidRPr="00465C40">
        <w:rPr>
          <w:lang w:val="fr-FR"/>
        </w:rPr>
        <w:t>’</w:t>
      </w:r>
      <w:r w:rsidR="00347E2A">
        <w:rPr>
          <w:lang w:val="fr-FR"/>
        </w:rPr>
        <w:t>article 7 et du paragraphe </w:t>
      </w:r>
      <w:r w:rsidRPr="00465C40">
        <w:rPr>
          <w:lang w:val="fr-FR"/>
        </w:rPr>
        <w:t>1 de l</w:t>
      </w:r>
      <w:r w:rsidR="00465C40" w:rsidRPr="00465C40">
        <w:rPr>
          <w:lang w:val="fr-FR"/>
        </w:rPr>
        <w:t>’</w:t>
      </w:r>
      <w:r w:rsidR="00347E2A">
        <w:rPr>
          <w:lang w:val="fr-FR"/>
        </w:rPr>
        <w:t>article </w:t>
      </w:r>
      <w:r w:rsidRPr="00465C40">
        <w:rPr>
          <w:lang w:val="fr-FR"/>
        </w:rPr>
        <w:t xml:space="preserve">20 et </w:t>
      </w:r>
      <w:r w:rsidR="00B112D9">
        <w:rPr>
          <w:lang w:val="fr-FR"/>
        </w:rPr>
        <w:t>publiés</w:t>
      </w:r>
      <w:r w:rsidRPr="00465C40">
        <w:rPr>
          <w:lang w:val="fr-FR"/>
        </w:rPr>
        <w:t xml:space="preserve"> sur le site Web de la Convention</w:t>
      </w:r>
      <w:r w:rsidR="00897644" w:rsidRPr="00897644">
        <w:rPr>
          <w:vertAlign w:val="superscript"/>
        </w:rPr>
        <w:footnoteReference w:id="5"/>
      </w:r>
      <w:r w:rsidRPr="00465C40">
        <w:rPr>
          <w:lang w:val="fr-FR"/>
        </w:rPr>
        <w:t>. L</w:t>
      </w:r>
      <w:r w:rsidR="00465C40" w:rsidRPr="00465C40">
        <w:rPr>
          <w:lang w:val="fr-FR"/>
        </w:rPr>
        <w:t>’</w:t>
      </w:r>
      <w:r w:rsidRPr="00465C40">
        <w:rPr>
          <w:lang w:val="fr-FR"/>
        </w:rPr>
        <w:t xml:space="preserve">analyse sera approfondie </w:t>
      </w:r>
      <w:r w:rsidR="00897644">
        <w:rPr>
          <w:lang w:val="fr-FR"/>
        </w:rPr>
        <w:t xml:space="preserve">à mesure que d’autres </w:t>
      </w:r>
      <w:r w:rsidRPr="00465C40">
        <w:rPr>
          <w:lang w:val="fr-FR"/>
        </w:rPr>
        <w:t xml:space="preserve">évaluations et plans </w:t>
      </w:r>
      <w:r w:rsidR="000E2EFB">
        <w:rPr>
          <w:lang w:val="fr-FR"/>
        </w:rPr>
        <w:t>deviend</w:t>
      </w:r>
      <w:r w:rsidR="00897644">
        <w:rPr>
          <w:lang w:val="fr-FR"/>
        </w:rPr>
        <w:t xml:space="preserve">ront </w:t>
      </w:r>
      <w:r w:rsidR="000E2EFB">
        <w:rPr>
          <w:lang w:val="fr-FR"/>
        </w:rPr>
        <w:t>disponibles</w:t>
      </w:r>
      <w:r w:rsidRPr="00465C40">
        <w:rPr>
          <w:lang w:val="fr-FR"/>
        </w:rPr>
        <w:t>.</w:t>
      </w:r>
    </w:p>
    <w:p w14:paraId="29B87F11" w14:textId="27BF6227" w:rsidR="00613A98" w:rsidRPr="00465C40"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Un représentant du secrétariat a participé à la réunion </w:t>
      </w:r>
      <w:r w:rsidR="00594AAE">
        <w:rPr>
          <w:lang w:val="fr-FR"/>
        </w:rPr>
        <w:t xml:space="preserve">de lancement </w:t>
      </w:r>
      <w:r w:rsidR="004C57A1">
        <w:rPr>
          <w:lang w:val="fr-FR"/>
        </w:rPr>
        <w:t>de la troisième phase du </w:t>
      </w:r>
      <w:r w:rsidRPr="00465C40">
        <w:rPr>
          <w:lang w:val="fr-FR"/>
        </w:rPr>
        <w:t>Programme sur les accords multilatéraux sur l</w:t>
      </w:r>
      <w:r w:rsidR="00465C40" w:rsidRPr="00465C40">
        <w:rPr>
          <w:lang w:val="fr-FR"/>
        </w:rPr>
        <w:t>’</w:t>
      </w:r>
      <w:r w:rsidRPr="00465C40">
        <w:rPr>
          <w:lang w:val="fr-FR"/>
        </w:rPr>
        <w:t>environnement pour l</w:t>
      </w:r>
      <w:r w:rsidR="00465C40" w:rsidRPr="00465C40">
        <w:rPr>
          <w:lang w:val="fr-FR"/>
        </w:rPr>
        <w:t>’</w:t>
      </w:r>
      <w:r w:rsidRPr="00465C40">
        <w:rPr>
          <w:lang w:val="fr-FR"/>
        </w:rPr>
        <w:t>Afrique, les Caraïbes et le Pacifique, qui est financé par la Commission européenne. Le Programme comprend des activités d</w:t>
      </w:r>
      <w:r w:rsidR="00465C40" w:rsidRPr="00465C40">
        <w:rPr>
          <w:lang w:val="fr-FR"/>
        </w:rPr>
        <w:t>’</w:t>
      </w:r>
      <w:r w:rsidRPr="00465C40">
        <w:rPr>
          <w:lang w:val="fr-FR"/>
        </w:rPr>
        <w:t>appui à la mise en œuvre de la Convention de Minamata dans les pays d</w:t>
      </w:r>
      <w:r w:rsidR="00465C40" w:rsidRPr="00465C40">
        <w:rPr>
          <w:lang w:val="fr-FR"/>
        </w:rPr>
        <w:t>’</w:t>
      </w:r>
      <w:r w:rsidR="004C57A1">
        <w:rPr>
          <w:lang w:val="fr-FR"/>
        </w:rPr>
        <w:t>Afrique, des Caraïbes et du </w:t>
      </w:r>
      <w:r w:rsidRPr="00465C40">
        <w:rPr>
          <w:lang w:val="fr-FR"/>
        </w:rPr>
        <w:t>Pacifique et vise à augmenter le nombre des Parties à la Convention, en menant des évaluations de référence et en répondant à des demandes spécifiques en matière de renforcement des capacités émanant des pays. Le secrétariat participera à la mise en œuvre de ces activités, selon qu</w:t>
      </w:r>
      <w:r w:rsidR="00465C40" w:rsidRPr="00465C40">
        <w:rPr>
          <w:lang w:val="fr-FR"/>
        </w:rPr>
        <w:t>’</w:t>
      </w:r>
      <w:r w:rsidRPr="00465C40">
        <w:rPr>
          <w:lang w:val="fr-FR"/>
        </w:rPr>
        <w:t>il convient.</w:t>
      </w:r>
    </w:p>
    <w:p w14:paraId="25EF8AF7" w14:textId="5A1FFCD0" w:rsidR="00613A98" w:rsidRPr="00465C40" w:rsidRDefault="00E15579"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PNUE </w:t>
      </w:r>
      <w:r w:rsidR="00594AAE">
        <w:rPr>
          <w:lang w:val="fr-FR"/>
        </w:rPr>
        <w:t>s’emploie</w:t>
      </w:r>
      <w:r w:rsidRPr="00465C40">
        <w:rPr>
          <w:lang w:val="fr-FR"/>
        </w:rPr>
        <w:t xml:space="preserve"> actuellement </w:t>
      </w:r>
      <w:r w:rsidR="00594AAE">
        <w:rPr>
          <w:lang w:val="fr-FR"/>
        </w:rPr>
        <w:t xml:space="preserve">à mettre </w:t>
      </w:r>
      <w:r w:rsidRPr="00465C40">
        <w:rPr>
          <w:lang w:val="fr-FR"/>
        </w:rPr>
        <w:t>en œuvre un projet</w:t>
      </w:r>
      <w:r w:rsidR="00594AAE" w:rsidRPr="00594AAE">
        <w:rPr>
          <w:lang w:val="fr-FR"/>
        </w:rPr>
        <w:t xml:space="preserve"> </w:t>
      </w:r>
      <w:r w:rsidR="00594AAE" w:rsidRPr="00465C40">
        <w:rPr>
          <w:lang w:val="fr-FR"/>
        </w:rPr>
        <w:t>financé par la Chine</w:t>
      </w:r>
      <w:r w:rsidRPr="00465C40">
        <w:rPr>
          <w:lang w:val="fr-FR"/>
        </w:rPr>
        <w:t xml:space="preserve"> visant à aider les pays d</w:t>
      </w:r>
      <w:r w:rsidR="00465C40" w:rsidRPr="00465C40">
        <w:rPr>
          <w:lang w:val="fr-FR"/>
        </w:rPr>
        <w:t>’</w:t>
      </w:r>
      <w:r w:rsidRPr="00465C40">
        <w:rPr>
          <w:lang w:val="fr-FR"/>
        </w:rPr>
        <w:t xml:space="preserve">Asie à </w:t>
      </w:r>
      <w:r w:rsidR="00594AAE">
        <w:rPr>
          <w:lang w:val="fr-FR"/>
        </w:rPr>
        <w:t>appliquer</w:t>
      </w:r>
      <w:r w:rsidRPr="00465C40">
        <w:rPr>
          <w:lang w:val="fr-FR"/>
        </w:rPr>
        <w:t xml:space="preserve"> les accords multilatéraux sur l</w:t>
      </w:r>
      <w:r w:rsidR="00465C40" w:rsidRPr="00465C40">
        <w:rPr>
          <w:lang w:val="fr-FR"/>
        </w:rPr>
        <w:t>’</w:t>
      </w:r>
      <w:r w:rsidRPr="00465C40">
        <w:rPr>
          <w:lang w:val="fr-FR"/>
        </w:rPr>
        <w:t>environnement et à gérer les produits chimiques de façon rationnelle. Le projet comprend un volet traitant de la question des émissions de mercure. Un représentant du secrétariat a participé à l</w:t>
      </w:r>
      <w:r w:rsidR="00465C40" w:rsidRPr="00465C40">
        <w:rPr>
          <w:lang w:val="fr-FR"/>
        </w:rPr>
        <w:t>’</w:t>
      </w:r>
      <w:r w:rsidRPr="00465C40">
        <w:rPr>
          <w:lang w:val="fr-FR"/>
        </w:rPr>
        <w:t>atelier de lancement du projet, qui s</w:t>
      </w:r>
      <w:r w:rsidR="00465C40" w:rsidRPr="00465C40">
        <w:rPr>
          <w:lang w:val="fr-FR"/>
        </w:rPr>
        <w:t>’</w:t>
      </w:r>
      <w:r w:rsidR="00347E2A">
        <w:rPr>
          <w:lang w:val="fr-FR"/>
        </w:rPr>
        <w:t>est tenu les 12 et 13 </w:t>
      </w:r>
      <w:r w:rsidRPr="00465C40">
        <w:rPr>
          <w:lang w:val="fr-FR"/>
        </w:rPr>
        <w:t>juin 2019 à Beijing, et a contribué à l</w:t>
      </w:r>
      <w:r w:rsidR="00465C40" w:rsidRPr="00465C40">
        <w:rPr>
          <w:lang w:val="fr-FR"/>
        </w:rPr>
        <w:t>’</w:t>
      </w:r>
      <w:r w:rsidRPr="00465C40">
        <w:rPr>
          <w:lang w:val="fr-FR"/>
        </w:rPr>
        <w:t>élaboration du projet.</w:t>
      </w:r>
    </w:p>
    <w:p w14:paraId="71B2ECC3" w14:textId="4C05AE11" w:rsidR="008731DD" w:rsidRPr="00465C40" w:rsidRDefault="008731DD"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Dans la région de l</w:t>
      </w:r>
      <w:r w:rsidR="00465C40" w:rsidRPr="00465C40">
        <w:rPr>
          <w:lang w:val="fr-FR"/>
        </w:rPr>
        <w:t>’</w:t>
      </w:r>
      <w:r w:rsidRPr="00465C40">
        <w:rPr>
          <w:lang w:val="fr-FR"/>
        </w:rPr>
        <w:t>Asie et du Pacifique, le secrétariat assure la coordination avec le Bureau régional du PNUE pour l</w:t>
      </w:r>
      <w:r w:rsidR="00465C40" w:rsidRPr="00465C40">
        <w:rPr>
          <w:lang w:val="fr-FR"/>
        </w:rPr>
        <w:t>’</w:t>
      </w:r>
      <w:r w:rsidRPr="00465C40">
        <w:rPr>
          <w:lang w:val="fr-FR"/>
        </w:rPr>
        <w:t>Asie et le Pacifique concernant un projet pluriannuel financé par le Japon et intitulé « Promouvoir la Convention de Minamata sur le mercure en tirant parti des connaissances et de l</w:t>
      </w:r>
      <w:r w:rsidR="00465C40" w:rsidRPr="00465C40">
        <w:rPr>
          <w:lang w:val="fr-FR"/>
        </w:rPr>
        <w:t>’</w:t>
      </w:r>
      <w:r w:rsidRPr="00465C40">
        <w:rPr>
          <w:lang w:val="fr-FR"/>
        </w:rPr>
        <w:t>expérience du Japon ». La Secrétaire exécutive de la Convention de Minamata participera à l</w:t>
      </w:r>
      <w:r w:rsidR="00465C40" w:rsidRPr="00465C40">
        <w:rPr>
          <w:lang w:val="fr-FR"/>
        </w:rPr>
        <w:t>’</w:t>
      </w:r>
      <w:r w:rsidRPr="00465C40">
        <w:rPr>
          <w:lang w:val="fr-FR"/>
        </w:rPr>
        <w:t>atelier de lancement du proj</w:t>
      </w:r>
      <w:r w:rsidR="00347E2A">
        <w:rPr>
          <w:lang w:val="fr-FR"/>
        </w:rPr>
        <w:t>et, qui doit se tenir du 2 au 4 </w:t>
      </w:r>
      <w:r w:rsidRPr="00465C40">
        <w:rPr>
          <w:lang w:val="fr-FR"/>
        </w:rPr>
        <w:t>septembre 2019 à Minamata.</w:t>
      </w:r>
    </w:p>
    <w:p w14:paraId="7831D62B" w14:textId="130405FA" w:rsidR="00613A98" w:rsidRPr="00465C40"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S</w:t>
      </w:r>
      <w:r w:rsidR="00465C40" w:rsidRPr="00465C40">
        <w:rPr>
          <w:lang w:val="fr-FR"/>
        </w:rPr>
        <w:t>’</w:t>
      </w:r>
      <w:r w:rsidRPr="00465C40">
        <w:rPr>
          <w:lang w:val="fr-FR"/>
        </w:rPr>
        <w:t>agissant des ressources financières et du mécanisme de financement, le secrétariat a dialogué étroitement avec le secrétariat du FEM sur les questions ayant trait au mécanisme de financement de la Convention. La Secrétaire exécutive a participé aux cinquante-cinquième (18-20 décembre 20</w:t>
      </w:r>
      <w:r w:rsidR="00347E2A">
        <w:rPr>
          <w:lang w:val="fr-FR"/>
        </w:rPr>
        <w:t>18) et cinquante-sixième (10-13 </w:t>
      </w:r>
      <w:r w:rsidRPr="00465C40">
        <w:rPr>
          <w:lang w:val="fr-FR"/>
        </w:rPr>
        <w:t xml:space="preserve">juin 2019) </w:t>
      </w:r>
      <w:r w:rsidR="00173777" w:rsidRPr="00465C40">
        <w:rPr>
          <w:lang w:val="fr-FR"/>
        </w:rPr>
        <w:t xml:space="preserve">réunions </w:t>
      </w:r>
      <w:r w:rsidRPr="00465C40">
        <w:rPr>
          <w:lang w:val="fr-FR"/>
        </w:rPr>
        <w:t>du Conseil du FEM, s</w:t>
      </w:r>
      <w:r w:rsidR="00465C40" w:rsidRPr="00465C40">
        <w:rPr>
          <w:lang w:val="fr-FR"/>
        </w:rPr>
        <w:t>’</w:t>
      </w:r>
      <w:r w:rsidRPr="00465C40">
        <w:rPr>
          <w:lang w:val="fr-FR"/>
        </w:rPr>
        <w:t>est entretenue avec des représentants, a pris la parole devant le Conseil et a participé à d</w:t>
      </w:r>
      <w:r w:rsidR="00347E2A">
        <w:rPr>
          <w:lang w:val="fr-FR"/>
        </w:rPr>
        <w:t>ivers groupes de discussion. Le Conseil à sa cinquante-sixième </w:t>
      </w:r>
      <w:r w:rsidRPr="00465C40">
        <w:rPr>
          <w:lang w:val="fr-FR"/>
        </w:rPr>
        <w:t>réunion a approuvé le mémorandum d</w:t>
      </w:r>
      <w:r w:rsidR="00465C40" w:rsidRPr="00465C40">
        <w:rPr>
          <w:lang w:val="fr-FR"/>
        </w:rPr>
        <w:t>’</w:t>
      </w:r>
      <w:r w:rsidR="00347E2A">
        <w:rPr>
          <w:lang w:val="fr-FR"/>
        </w:rPr>
        <w:t>accord entre le Conseil du </w:t>
      </w:r>
      <w:r w:rsidRPr="00465C40">
        <w:rPr>
          <w:lang w:val="fr-FR"/>
        </w:rPr>
        <w:t>FEM et la Conférence des Parties. La Secrétaire exécutive a égal</w:t>
      </w:r>
      <w:r w:rsidR="004C57A1">
        <w:rPr>
          <w:lang w:val="fr-FR"/>
        </w:rPr>
        <w:t>ement participé au lancement du </w:t>
      </w:r>
      <w:r w:rsidRPr="00465C40">
        <w:rPr>
          <w:lang w:val="fr-FR"/>
        </w:rPr>
        <w:t>programme du FEM sur les perspectives mondiales de développement à long terme du secteur de l</w:t>
      </w:r>
      <w:r w:rsidR="00465C40" w:rsidRPr="00465C40">
        <w:rPr>
          <w:lang w:val="fr-FR"/>
        </w:rPr>
        <w:t>’</w:t>
      </w:r>
      <w:r w:rsidRPr="00465C40">
        <w:rPr>
          <w:lang w:val="fr-FR"/>
        </w:rPr>
        <w:t>extraction minière artisanale et à petite échelle d</w:t>
      </w:r>
      <w:r w:rsidR="00465C40" w:rsidRPr="00465C40">
        <w:rPr>
          <w:lang w:val="fr-FR"/>
        </w:rPr>
        <w:t>’</w:t>
      </w:r>
      <w:r w:rsidRPr="00465C40">
        <w:rPr>
          <w:lang w:val="fr-FR"/>
        </w:rPr>
        <w:t>or, qui a eu lieu en février 2019 à Londres.</w:t>
      </w:r>
    </w:p>
    <w:p w14:paraId="49CE8E1B" w14:textId="346008D2" w:rsidR="00D2142E" w:rsidRDefault="00613A9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Dans le cadre de son appui au Programme international spéci</w:t>
      </w:r>
      <w:r w:rsidR="004C57A1">
        <w:rPr>
          <w:lang w:val="fr-FR"/>
        </w:rPr>
        <w:t>fique, le secrétariat a aidé le </w:t>
      </w:r>
      <w:r w:rsidRPr="00465C40">
        <w:rPr>
          <w:lang w:val="fr-FR"/>
        </w:rPr>
        <w:t>Conseil d</w:t>
      </w:r>
      <w:r w:rsidR="00465C40" w:rsidRPr="00465C40">
        <w:rPr>
          <w:lang w:val="fr-FR"/>
        </w:rPr>
        <w:t>’</w:t>
      </w:r>
      <w:r w:rsidRPr="00465C40">
        <w:rPr>
          <w:lang w:val="fr-FR"/>
        </w:rPr>
        <w:t>administration du Programme à lancer le deuxième</w:t>
      </w:r>
      <w:r w:rsidR="00347E2A">
        <w:rPr>
          <w:lang w:val="fr-FR"/>
        </w:rPr>
        <w:t xml:space="preserve"> cycle de dépôt de demandes. Le </w:t>
      </w:r>
      <w:r w:rsidRPr="00465C40">
        <w:rPr>
          <w:lang w:val="fr-FR"/>
        </w:rPr>
        <w:t>secrétariat a invité les parties prenantes à formuler des observations concernant le premier cycle de dépôt de demandes auprès du Programme international spécifique et, en s</w:t>
      </w:r>
      <w:r w:rsidR="00465C40" w:rsidRPr="00465C40">
        <w:rPr>
          <w:lang w:val="fr-FR"/>
        </w:rPr>
        <w:t>’</w:t>
      </w:r>
      <w:r w:rsidRPr="00465C40">
        <w:rPr>
          <w:lang w:val="fr-FR"/>
        </w:rPr>
        <w:t>appuyant sur les instructions du Conseil d</w:t>
      </w:r>
      <w:r w:rsidR="00465C40" w:rsidRPr="00465C40">
        <w:rPr>
          <w:lang w:val="fr-FR"/>
        </w:rPr>
        <w:t>’</w:t>
      </w:r>
      <w:r w:rsidRPr="00465C40">
        <w:rPr>
          <w:lang w:val="fr-FR"/>
        </w:rPr>
        <w:t xml:space="preserve">administration, a modifié les formulaires de dépôt de demande et les directives connexes. Le deuxième cycle de dépôt de demandes a </w:t>
      </w:r>
      <w:r w:rsidR="00522F70">
        <w:rPr>
          <w:lang w:val="fr-FR"/>
        </w:rPr>
        <w:t>débuté</w:t>
      </w:r>
      <w:r w:rsidR="00347E2A">
        <w:rPr>
          <w:lang w:val="fr-FR"/>
        </w:rPr>
        <w:t xml:space="preserve"> le 5 </w:t>
      </w:r>
      <w:r w:rsidRPr="00465C40">
        <w:rPr>
          <w:lang w:val="fr-FR"/>
        </w:rPr>
        <w:t>mars 2019. À l</w:t>
      </w:r>
      <w:r w:rsidR="00465C40" w:rsidRPr="00465C40">
        <w:rPr>
          <w:lang w:val="fr-FR"/>
        </w:rPr>
        <w:t>’</w:t>
      </w:r>
      <w:r w:rsidRPr="00465C40">
        <w:rPr>
          <w:lang w:val="fr-FR"/>
        </w:rPr>
        <w:t xml:space="preserve">issue de </w:t>
      </w:r>
      <w:r w:rsidR="004568C3">
        <w:rPr>
          <w:lang w:val="fr-FR"/>
        </w:rPr>
        <w:t>s</w:t>
      </w:r>
      <w:r w:rsidR="00347E2A">
        <w:rPr>
          <w:lang w:val="fr-FR"/>
        </w:rPr>
        <w:t>a clôture, le 14 </w:t>
      </w:r>
      <w:r w:rsidRPr="00465C40">
        <w:rPr>
          <w:lang w:val="fr-FR"/>
        </w:rPr>
        <w:t>juin 2019, le secrétariat a vérifié que les demandes déposées étaient dûment complétées, a effectué un premier examen du respect des critères adoptés par le Conseil d</w:t>
      </w:r>
      <w:r w:rsidR="00465C40" w:rsidRPr="00465C40">
        <w:rPr>
          <w:lang w:val="fr-FR"/>
        </w:rPr>
        <w:t>’</w:t>
      </w:r>
      <w:r w:rsidRPr="00465C40">
        <w:rPr>
          <w:lang w:val="fr-FR"/>
        </w:rPr>
        <w:t>administration et a élaboré les documents pertinen</w:t>
      </w:r>
      <w:r w:rsidR="00347E2A">
        <w:rPr>
          <w:lang w:val="fr-FR"/>
        </w:rPr>
        <w:t>ts en vue de la quatrième </w:t>
      </w:r>
      <w:r w:rsidRPr="00465C40">
        <w:rPr>
          <w:lang w:val="fr-FR"/>
        </w:rPr>
        <w:t>réunion du Conseil d</w:t>
      </w:r>
      <w:r w:rsidR="00465C40" w:rsidRPr="00465C40">
        <w:rPr>
          <w:lang w:val="fr-FR"/>
        </w:rPr>
        <w:t>’</w:t>
      </w:r>
      <w:r w:rsidRPr="00465C40">
        <w:rPr>
          <w:lang w:val="fr-FR"/>
        </w:rPr>
        <w:t xml:space="preserve">administration, laquelle </w:t>
      </w:r>
      <w:r w:rsidR="000E2EFB">
        <w:rPr>
          <w:lang w:val="fr-FR"/>
        </w:rPr>
        <w:t>sera</w:t>
      </w:r>
      <w:r w:rsidRPr="00465C40">
        <w:rPr>
          <w:lang w:val="fr-FR"/>
        </w:rPr>
        <w:t xml:space="preserve"> organisée par le secrétariat de la Convention et sera accueillie par le secrétariat du FEM</w:t>
      </w:r>
      <w:r w:rsidR="00347E2A">
        <w:rPr>
          <w:lang w:val="fr-FR"/>
        </w:rPr>
        <w:t xml:space="preserve"> entre le 16 et le 18 </w:t>
      </w:r>
      <w:r w:rsidR="000E2EFB" w:rsidRPr="000E2EFB">
        <w:rPr>
          <w:lang w:val="fr-FR"/>
        </w:rPr>
        <w:t>septembre 2019 à Washington</w:t>
      </w:r>
      <w:r w:rsidRPr="00465C40">
        <w:rPr>
          <w:lang w:val="fr-FR"/>
        </w:rPr>
        <w:t>. Le Conseil d</w:t>
      </w:r>
      <w:r w:rsidR="00465C40" w:rsidRPr="00465C40">
        <w:rPr>
          <w:lang w:val="fr-FR"/>
        </w:rPr>
        <w:t>’</w:t>
      </w:r>
      <w:r w:rsidRPr="00465C40">
        <w:rPr>
          <w:lang w:val="fr-FR"/>
        </w:rPr>
        <w:t xml:space="preserve">administration examinera les demandes de projet et </w:t>
      </w:r>
    </w:p>
    <w:p w14:paraId="5952950F" w14:textId="60C5DD44" w:rsidR="00347E2A" w:rsidRDefault="00347E2A">
      <w:pPr>
        <w:tabs>
          <w:tab w:val="clear" w:pos="1247"/>
          <w:tab w:val="clear" w:pos="1814"/>
          <w:tab w:val="clear" w:pos="2381"/>
          <w:tab w:val="clear" w:pos="2948"/>
          <w:tab w:val="clear" w:pos="3515"/>
        </w:tabs>
        <w:rPr>
          <w:lang w:val="fr-FR"/>
        </w:rPr>
      </w:pPr>
    </w:p>
    <w:p w14:paraId="2AF22E07" w14:textId="142E8FE2" w:rsidR="00613A98" w:rsidRPr="00465C40" w:rsidRDefault="00613A98" w:rsidP="00347E2A">
      <w:pPr>
        <w:pStyle w:val="Normalnumber"/>
        <w:numPr>
          <w:ilvl w:val="0"/>
          <w:numId w:val="0"/>
        </w:numPr>
        <w:tabs>
          <w:tab w:val="clear" w:pos="1247"/>
          <w:tab w:val="clear" w:pos="1814"/>
          <w:tab w:val="clear" w:pos="2381"/>
          <w:tab w:val="clear" w:pos="2948"/>
          <w:tab w:val="clear" w:pos="3515"/>
          <w:tab w:val="clear" w:pos="4082"/>
        </w:tabs>
        <w:ind w:left="1247"/>
        <w:rPr>
          <w:lang w:val="fr-FR"/>
        </w:rPr>
      </w:pPr>
      <w:r w:rsidRPr="00465C40">
        <w:rPr>
          <w:lang w:val="fr-FR"/>
        </w:rPr>
        <w:t>en approuvera un certain nombre en fonction des ressources disponibles. Il importe de noter que les contributions au Programme international spécifique ont doublé entre le premier et le deuxième cycle de dépôt de demandes, ce qui constitue un indicateur important de la confiance et de l</w:t>
      </w:r>
      <w:r w:rsidR="00465C40" w:rsidRPr="00465C40">
        <w:rPr>
          <w:lang w:val="fr-FR"/>
        </w:rPr>
        <w:t>’</w:t>
      </w:r>
      <w:r w:rsidRPr="00465C40">
        <w:rPr>
          <w:lang w:val="fr-FR"/>
        </w:rPr>
        <w:t>intérêt des donateurs.</w:t>
      </w:r>
    </w:p>
    <w:p w14:paraId="27DC8681" w14:textId="5D7B167F" w:rsidR="00065F1D" w:rsidRPr="00465C40" w:rsidRDefault="00065F1D"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Par suite de l</w:t>
      </w:r>
      <w:r w:rsidR="00465C40" w:rsidRPr="00465C40">
        <w:rPr>
          <w:lang w:val="fr-FR"/>
        </w:rPr>
        <w:t>’</w:t>
      </w:r>
      <w:r w:rsidRPr="00465C40">
        <w:rPr>
          <w:lang w:val="fr-FR"/>
        </w:rPr>
        <w:t>analyse des pratiques et outils auxquels recourent diverses conventions pour la communication des informations en ligne, le secrétariat a collaboré avec le portail d</w:t>
      </w:r>
      <w:r w:rsidR="00465C40" w:rsidRPr="00465C40">
        <w:rPr>
          <w:lang w:val="fr-FR"/>
        </w:rPr>
        <w:t>’</w:t>
      </w:r>
      <w:r w:rsidRPr="00465C40">
        <w:rPr>
          <w:lang w:val="fr-FR"/>
        </w:rPr>
        <w:t>information des Nations Unies sur les accords multilatéraux relatifs à l</w:t>
      </w:r>
      <w:r w:rsidR="00465C40" w:rsidRPr="00465C40">
        <w:rPr>
          <w:lang w:val="fr-FR"/>
        </w:rPr>
        <w:t>’</w:t>
      </w:r>
      <w:r w:rsidRPr="00465C40">
        <w:rPr>
          <w:lang w:val="fr-FR"/>
        </w:rPr>
        <w:t>environnement (l</w:t>
      </w:r>
      <w:r w:rsidR="00465C40" w:rsidRPr="00465C40">
        <w:rPr>
          <w:lang w:val="fr-FR"/>
        </w:rPr>
        <w:t>’</w:t>
      </w:r>
      <w:r w:rsidRPr="00465C40">
        <w:rPr>
          <w:lang w:val="fr-FR"/>
        </w:rPr>
        <w:t>« initiative InforMEA ») et le secrétariat de la Convention sur la diversité biologique en vue d</w:t>
      </w:r>
      <w:r w:rsidR="00465C40" w:rsidRPr="00465C40">
        <w:rPr>
          <w:lang w:val="fr-FR"/>
        </w:rPr>
        <w:t>’</w:t>
      </w:r>
      <w:r w:rsidRPr="00465C40">
        <w:rPr>
          <w:lang w:val="fr-FR"/>
        </w:rPr>
        <w:t xml:space="preserve">élaborer un outil en ligne de communication des informations pour la Convention de Minamata, qui devrait être prêt à temps pour </w:t>
      </w:r>
      <w:r w:rsidR="00424ACE">
        <w:rPr>
          <w:lang w:val="fr-FR"/>
        </w:rPr>
        <w:t>l</w:t>
      </w:r>
      <w:r w:rsidR="00EA08C5">
        <w:rPr>
          <w:lang w:val="fr-FR"/>
        </w:rPr>
        <w:t>’</w:t>
      </w:r>
      <w:r w:rsidRPr="00465C40">
        <w:rPr>
          <w:lang w:val="fr-FR"/>
        </w:rPr>
        <w:t>établisse</w:t>
      </w:r>
      <w:r w:rsidR="00EA08C5">
        <w:rPr>
          <w:lang w:val="fr-FR"/>
        </w:rPr>
        <w:t>me</w:t>
      </w:r>
      <w:r w:rsidRPr="00465C40">
        <w:rPr>
          <w:lang w:val="fr-FR"/>
        </w:rPr>
        <w:t xml:space="preserve">nt </w:t>
      </w:r>
      <w:r w:rsidR="00EA08C5">
        <w:rPr>
          <w:lang w:val="fr-FR"/>
        </w:rPr>
        <w:t>d</w:t>
      </w:r>
      <w:r w:rsidR="00424ACE">
        <w:rPr>
          <w:lang w:val="fr-FR"/>
        </w:rPr>
        <w:t>u</w:t>
      </w:r>
      <w:r w:rsidRPr="00465C40">
        <w:rPr>
          <w:lang w:val="fr-FR"/>
        </w:rPr>
        <w:t xml:space="preserve"> premier rapport biennal abrégé</w:t>
      </w:r>
      <w:r w:rsidR="00EA08C5">
        <w:rPr>
          <w:lang w:val="fr-FR"/>
        </w:rPr>
        <w:t xml:space="preserve"> qu</w:t>
      </w:r>
      <w:r w:rsidR="00424ACE">
        <w:rPr>
          <w:lang w:val="fr-FR"/>
        </w:rPr>
        <w:t>e les Parties sont censées</w:t>
      </w:r>
      <w:r w:rsidR="00EA08C5">
        <w:rPr>
          <w:lang w:val="fr-FR"/>
        </w:rPr>
        <w:t xml:space="preserve"> présenter</w:t>
      </w:r>
      <w:r w:rsidRPr="00465C40">
        <w:rPr>
          <w:lang w:val="fr-FR"/>
        </w:rPr>
        <w:t xml:space="preserve"> avant l</w:t>
      </w:r>
      <w:r w:rsidR="00EA08C5">
        <w:rPr>
          <w:lang w:val="fr-FR"/>
        </w:rPr>
        <w:t>e</w:t>
      </w:r>
      <w:r w:rsidRPr="00465C40">
        <w:rPr>
          <w:lang w:val="fr-FR"/>
        </w:rPr>
        <w:t xml:space="preserve"> 31</w:t>
      </w:r>
      <w:r w:rsidR="00424ACE">
        <w:rPr>
          <w:lang w:val="fr-FR"/>
        </w:rPr>
        <w:t> </w:t>
      </w:r>
      <w:r w:rsidRPr="00465C40">
        <w:rPr>
          <w:lang w:val="fr-FR"/>
        </w:rPr>
        <w:t>décembre 2019.</w:t>
      </w:r>
    </w:p>
    <w:p w14:paraId="5220D309" w14:textId="2551C196" w:rsidR="00065F1D" w:rsidRPr="00465C40" w:rsidRDefault="00065F1D"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w:t>
      </w:r>
      <w:r w:rsidR="00C001B3">
        <w:rPr>
          <w:lang w:val="fr-FR"/>
        </w:rPr>
        <w:t>s’emploie</w:t>
      </w:r>
      <w:r w:rsidRPr="00465C40">
        <w:rPr>
          <w:lang w:val="fr-FR"/>
        </w:rPr>
        <w:t xml:space="preserve"> également </w:t>
      </w:r>
      <w:r w:rsidR="00C001B3">
        <w:rPr>
          <w:lang w:val="fr-FR"/>
        </w:rPr>
        <w:t xml:space="preserve">à la mise </w:t>
      </w:r>
      <w:r w:rsidRPr="00465C40">
        <w:rPr>
          <w:lang w:val="fr-FR"/>
        </w:rPr>
        <w:t>à jour dans les six langues officielles de l</w:t>
      </w:r>
      <w:r w:rsidR="00465C40" w:rsidRPr="00465C40">
        <w:rPr>
          <w:lang w:val="fr-FR"/>
        </w:rPr>
        <w:t>’</w:t>
      </w:r>
      <w:r w:rsidRPr="00465C40">
        <w:rPr>
          <w:lang w:val="fr-FR"/>
        </w:rPr>
        <w:t xml:space="preserve">ONU </w:t>
      </w:r>
      <w:r w:rsidR="00C001B3">
        <w:rPr>
          <w:lang w:val="fr-FR"/>
        </w:rPr>
        <w:t>d</w:t>
      </w:r>
      <w:r w:rsidRPr="00465C40">
        <w:rPr>
          <w:lang w:val="fr-FR"/>
        </w:rPr>
        <w:t xml:space="preserve">es brochures de la Convention de Minamata et </w:t>
      </w:r>
      <w:r w:rsidR="00C001B3">
        <w:rPr>
          <w:lang w:val="fr-FR"/>
        </w:rPr>
        <w:t>à la réimpression d</w:t>
      </w:r>
      <w:r w:rsidRPr="00465C40">
        <w:rPr>
          <w:lang w:val="fr-FR"/>
        </w:rPr>
        <w:t>es orientations relatives à l</w:t>
      </w:r>
      <w:r w:rsidR="00465C40" w:rsidRPr="00465C40">
        <w:rPr>
          <w:lang w:val="fr-FR"/>
        </w:rPr>
        <w:t>’</w:t>
      </w:r>
      <w:r w:rsidRPr="00465C40">
        <w:rPr>
          <w:lang w:val="fr-FR"/>
        </w:rPr>
        <w:t>élaboration d</w:t>
      </w:r>
      <w:r w:rsidR="00465C40" w:rsidRPr="00465C40">
        <w:rPr>
          <w:lang w:val="fr-FR"/>
        </w:rPr>
        <w:t>’</w:t>
      </w:r>
      <w:r w:rsidRPr="00465C40">
        <w:rPr>
          <w:lang w:val="fr-FR"/>
        </w:rPr>
        <w:t>un plan d</w:t>
      </w:r>
      <w:r w:rsidR="00465C40" w:rsidRPr="00465C40">
        <w:rPr>
          <w:lang w:val="fr-FR"/>
        </w:rPr>
        <w:t>’</w:t>
      </w:r>
      <w:r w:rsidRPr="00465C40">
        <w:rPr>
          <w:lang w:val="fr-FR"/>
        </w:rPr>
        <w:t>action national visant à réduire et, là où il sera possible, à éliminer l</w:t>
      </w:r>
      <w:r w:rsidR="00465C40" w:rsidRPr="00465C40">
        <w:rPr>
          <w:lang w:val="fr-FR"/>
        </w:rPr>
        <w:t>’</w:t>
      </w:r>
      <w:r w:rsidRPr="00465C40">
        <w:rPr>
          <w:lang w:val="fr-FR"/>
        </w:rPr>
        <w:t>utilisation d</w:t>
      </w:r>
      <w:r w:rsidR="000E2EFB">
        <w:rPr>
          <w:lang w:val="fr-FR"/>
        </w:rPr>
        <w:t>e</w:t>
      </w:r>
      <w:r w:rsidRPr="00465C40">
        <w:rPr>
          <w:lang w:val="fr-FR"/>
        </w:rPr>
        <w:t xml:space="preserve"> mercure dans l</w:t>
      </w:r>
      <w:r w:rsidR="00465C40" w:rsidRPr="00465C40">
        <w:rPr>
          <w:lang w:val="fr-FR"/>
        </w:rPr>
        <w:t>’</w:t>
      </w:r>
      <w:r w:rsidRPr="00465C40">
        <w:rPr>
          <w:lang w:val="fr-FR"/>
        </w:rPr>
        <w:t xml:space="preserve">extraction artisanale et à petite </w:t>
      </w:r>
      <w:r w:rsidR="000E2EFB">
        <w:rPr>
          <w:lang w:val="fr-FR"/>
        </w:rPr>
        <w:t>échelle d’or</w:t>
      </w:r>
      <w:r w:rsidRPr="00465C40">
        <w:rPr>
          <w:lang w:val="fr-FR"/>
        </w:rPr>
        <w:t xml:space="preserve">. </w:t>
      </w:r>
    </w:p>
    <w:p w14:paraId="504CE7BF" w14:textId="137CCDF2" w:rsidR="00163DA4" w:rsidRPr="00465C40" w:rsidRDefault="00163DA4" w:rsidP="003359D6">
      <w:pPr>
        <w:pStyle w:val="CH1"/>
        <w:ind w:left="1871"/>
        <w:rPr>
          <w:lang w:val="fr-FR"/>
        </w:rPr>
      </w:pPr>
      <w:r w:rsidRPr="00465C40">
        <w:rPr>
          <w:lang w:val="fr-FR"/>
        </w:rPr>
        <w:t>V.</w:t>
      </w:r>
      <w:r w:rsidR="000E0741">
        <w:rPr>
          <w:lang w:val="fr-FR"/>
        </w:rPr>
        <w:tab/>
      </w:r>
      <w:r w:rsidRPr="00465C40">
        <w:rPr>
          <w:bCs/>
          <w:lang w:val="fr-FR"/>
        </w:rPr>
        <w:t>Autres activités entreprises par le secrétariat</w:t>
      </w:r>
    </w:p>
    <w:p w14:paraId="31635E4F" w14:textId="02F72F97" w:rsidR="00163DA4" w:rsidRPr="00465C40" w:rsidRDefault="00724AE3"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Ainsi qu</w:t>
      </w:r>
      <w:r w:rsidR="00465C40" w:rsidRPr="00465C40">
        <w:rPr>
          <w:lang w:val="fr-FR"/>
        </w:rPr>
        <w:t>’</w:t>
      </w:r>
      <w:r w:rsidR="00797AE3">
        <w:rPr>
          <w:lang w:val="fr-FR"/>
        </w:rPr>
        <w:t>il est mentionné au paragraphe </w:t>
      </w:r>
      <w:r w:rsidRPr="00465C40">
        <w:rPr>
          <w:lang w:val="fr-FR"/>
        </w:rPr>
        <w:t>29 ci-dessus, le secrétariat a dialogué étroitement avec le secrétariat du FEM et ses composantes, afin de se tenir au fait de l</w:t>
      </w:r>
      <w:r w:rsidR="00465C40" w:rsidRPr="00465C40">
        <w:rPr>
          <w:lang w:val="fr-FR"/>
        </w:rPr>
        <w:t>’</w:t>
      </w:r>
      <w:r w:rsidRPr="00465C40">
        <w:rPr>
          <w:lang w:val="fr-FR"/>
        </w:rPr>
        <w:t xml:space="preserve">orientation des politiques et, selon </w:t>
      </w:r>
      <w:r w:rsidR="008610A8">
        <w:rPr>
          <w:lang w:val="fr-FR"/>
        </w:rPr>
        <w:t>que de besoin</w:t>
      </w:r>
      <w:r w:rsidRPr="00465C40">
        <w:rPr>
          <w:lang w:val="fr-FR"/>
        </w:rPr>
        <w:t>, de contribuer aux discussions, en particulier s</w:t>
      </w:r>
      <w:r w:rsidR="00465C40" w:rsidRPr="00465C40">
        <w:rPr>
          <w:lang w:val="fr-FR"/>
        </w:rPr>
        <w:t>’</w:t>
      </w:r>
      <w:r w:rsidRPr="00465C40">
        <w:rPr>
          <w:lang w:val="fr-FR"/>
        </w:rPr>
        <w:t xml:space="preserve">agissant de la portée des programmes. </w:t>
      </w:r>
    </w:p>
    <w:p w14:paraId="4C25C0F5" w14:textId="7204C5F7" w:rsidR="007F14C7"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a participé </w:t>
      </w:r>
      <w:r w:rsidR="00424ACE">
        <w:rPr>
          <w:lang w:val="fr-FR"/>
        </w:rPr>
        <w:t>aux côtés du</w:t>
      </w:r>
      <w:r w:rsidRPr="00465C40">
        <w:rPr>
          <w:lang w:val="fr-FR"/>
        </w:rPr>
        <w:t xml:space="preserve"> Service des produits chimiques et de la santé du PNUE, </w:t>
      </w:r>
      <w:r w:rsidR="00424ACE">
        <w:rPr>
          <w:lang w:val="fr-FR"/>
        </w:rPr>
        <w:t xml:space="preserve">du </w:t>
      </w:r>
      <w:r w:rsidRPr="00465C40">
        <w:rPr>
          <w:lang w:val="fr-FR"/>
        </w:rPr>
        <w:t xml:space="preserve">Secrétariat des conventions de Bâle, de Rotterdam et de Stockholm et </w:t>
      </w:r>
      <w:r w:rsidR="00424ACE">
        <w:rPr>
          <w:lang w:val="fr-FR"/>
        </w:rPr>
        <w:t>du</w:t>
      </w:r>
      <w:r w:rsidRPr="00465C40">
        <w:rPr>
          <w:lang w:val="fr-FR"/>
        </w:rPr>
        <w:t xml:space="preserve"> secrétariat de l</w:t>
      </w:r>
      <w:r w:rsidR="00465C40" w:rsidRPr="00465C40">
        <w:rPr>
          <w:lang w:val="fr-FR"/>
        </w:rPr>
        <w:t>’</w:t>
      </w:r>
      <w:r w:rsidRPr="00465C40">
        <w:rPr>
          <w:lang w:val="fr-FR"/>
        </w:rPr>
        <w:t>Approche stratégique</w:t>
      </w:r>
      <w:r w:rsidR="00424ACE" w:rsidRPr="00424ACE">
        <w:rPr>
          <w:lang w:val="fr-FR"/>
        </w:rPr>
        <w:t xml:space="preserve"> à un certain nombre de processus</w:t>
      </w:r>
      <w:r w:rsidR="00424ACE">
        <w:rPr>
          <w:lang w:val="fr-FR"/>
        </w:rPr>
        <w:t>,</w:t>
      </w:r>
      <w:r w:rsidRPr="00465C40">
        <w:rPr>
          <w:lang w:val="fr-FR"/>
        </w:rPr>
        <w:t xml:space="preserve"> </w:t>
      </w:r>
      <w:r w:rsidR="00424ACE">
        <w:rPr>
          <w:lang w:val="fr-FR"/>
        </w:rPr>
        <w:t>dont celui</w:t>
      </w:r>
      <w:r w:rsidRPr="00465C40">
        <w:rPr>
          <w:lang w:val="fr-FR"/>
        </w:rPr>
        <w:t xml:space="preserve"> d</w:t>
      </w:r>
      <w:r w:rsidR="00465C40" w:rsidRPr="00465C40">
        <w:rPr>
          <w:lang w:val="fr-FR"/>
        </w:rPr>
        <w:t>’</w:t>
      </w:r>
      <w:r w:rsidRPr="00465C40">
        <w:rPr>
          <w:lang w:val="fr-FR"/>
        </w:rPr>
        <w:t>exam</w:t>
      </w:r>
      <w:r w:rsidR="00424ACE">
        <w:rPr>
          <w:lang w:val="fr-FR"/>
        </w:rPr>
        <w:t>en d</w:t>
      </w:r>
      <w:r w:rsidRPr="00465C40">
        <w:rPr>
          <w:lang w:val="fr-FR"/>
        </w:rPr>
        <w:t>es projets présentés au titre du Programme spécial d</w:t>
      </w:r>
      <w:r w:rsidR="00465C40" w:rsidRPr="00465C40">
        <w:rPr>
          <w:lang w:val="fr-FR"/>
        </w:rPr>
        <w:t>’</w:t>
      </w:r>
      <w:r w:rsidRPr="00465C40">
        <w:rPr>
          <w:lang w:val="fr-FR"/>
        </w:rPr>
        <w:t xml:space="preserve">appui au renforcement des institutions nationales aux fins de la mise en œuvre des conventions de Bâle, de Rotterdam et de Stockholm, de la Convention de Minamata et de </w:t>
      </w:r>
      <w:r w:rsidR="00424ACE">
        <w:rPr>
          <w:lang w:val="fr-FR"/>
        </w:rPr>
        <w:t>l’Approche stratégique de la gestion internationale des produits chimiques</w:t>
      </w:r>
      <w:r w:rsidRPr="00465C40">
        <w:rPr>
          <w:lang w:val="fr-FR"/>
        </w:rPr>
        <w:t>. Un représentant du secrétariat a également participé à la quatrième réunion du Conseil exécutif du Programme spécial, qui s</w:t>
      </w:r>
      <w:r w:rsidR="00465C40" w:rsidRPr="00465C40">
        <w:rPr>
          <w:lang w:val="fr-FR"/>
        </w:rPr>
        <w:t>’</w:t>
      </w:r>
      <w:r w:rsidR="00D2142E">
        <w:rPr>
          <w:lang w:val="fr-FR"/>
        </w:rPr>
        <w:t xml:space="preserve">est tenue du </w:t>
      </w:r>
      <w:r w:rsidR="00797AE3">
        <w:rPr>
          <w:lang w:val="fr-FR"/>
        </w:rPr>
        <w:t>29</w:t>
      </w:r>
      <w:r w:rsidR="00D2142E">
        <w:rPr>
          <w:lang w:val="fr-FR"/>
        </w:rPr>
        <w:t> </w:t>
      </w:r>
      <w:r w:rsidR="00797AE3">
        <w:rPr>
          <w:lang w:val="fr-FR"/>
        </w:rPr>
        <w:t>au 31 </w:t>
      </w:r>
      <w:r w:rsidR="00A55383" w:rsidRPr="00465C40">
        <w:rPr>
          <w:lang w:val="fr-FR"/>
        </w:rPr>
        <w:t>janvier</w:t>
      </w:r>
      <w:r w:rsidRPr="00465C40">
        <w:rPr>
          <w:lang w:val="fr-FR"/>
        </w:rPr>
        <w:t xml:space="preserve"> 2019 à Genève.</w:t>
      </w:r>
    </w:p>
    <w:p w14:paraId="5F68630D" w14:textId="67CFDAE7" w:rsidR="00163DA4" w:rsidRPr="00465C40" w:rsidRDefault="009E260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a </w:t>
      </w:r>
      <w:r w:rsidR="00424ACE">
        <w:rPr>
          <w:lang w:val="fr-FR"/>
        </w:rPr>
        <w:t>fourni</w:t>
      </w:r>
      <w:r w:rsidRPr="00465C40">
        <w:rPr>
          <w:lang w:val="fr-FR"/>
        </w:rPr>
        <w:t xml:space="preserve"> </w:t>
      </w:r>
      <w:r w:rsidR="00424ACE">
        <w:rPr>
          <w:lang w:val="fr-FR"/>
        </w:rPr>
        <w:t>aux</w:t>
      </w:r>
      <w:r w:rsidRPr="00465C40">
        <w:rPr>
          <w:lang w:val="fr-FR"/>
        </w:rPr>
        <w:t xml:space="preserve"> bureaux des conventions de Bâle, de Rotterdam et de Stockholm</w:t>
      </w:r>
      <w:r w:rsidR="00424ACE" w:rsidRPr="00424ACE">
        <w:rPr>
          <w:lang w:val="fr-FR"/>
        </w:rPr>
        <w:t>, à leur demande,</w:t>
      </w:r>
      <w:r w:rsidRPr="00465C40">
        <w:rPr>
          <w:lang w:val="fr-FR"/>
        </w:rPr>
        <w:t xml:space="preserve"> des </w:t>
      </w:r>
      <w:r w:rsidR="00424ACE">
        <w:rPr>
          <w:lang w:val="fr-FR"/>
        </w:rPr>
        <w:t xml:space="preserve">informations actualisées sur les </w:t>
      </w:r>
      <w:r w:rsidRPr="00465C40">
        <w:rPr>
          <w:lang w:val="fr-FR"/>
        </w:rPr>
        <w:t xml:space="preserve">progrès accomplis dans la mise en œuvre de la Convention de Minamata. </w:t>
      </w:r>
      <w:r w:rsidR="00424ACE">
        <w:rPr>
          <w:lang w:val="fr-FR"/>
        </w:rPr>
        <w:t>Il</w:t>
      </w:r>
      <w:r w:rsidRPr="00465C40">
        <w:rPr>
          <w:lang w:val="fr-FR"/>
        </w:rPr>
        <w:t xml:space="preserve"> a également </w:t>
      </w:r>
      <w:r w:rsidR="00424ACE">
        <w:rPr>
          <w:lang w:val="fr-FR"/>
        </w:rPr>
        <w:t>rendu compte</w:t>
      </w:r>
      <w:r w:rsidRPr="00465C40">
        <w:rPr>
          <w:lang w:val="fr-FR"/>
        </w:rPr>
        <w:t xml:space="preserve"> de la mise en œuvre de la Convention de Minamata </w:t>
      </w:r>
      <w:r w:rsidR="00540BDB">
        <w:rPr>
          <w:lang w:val="fr-FR"/>
        </w:rPr>
        <w:t>au cours d</w:t>
      </w:r>
      <w:r w:rsidRPr="00465C40">
        <w:rPr>
          <w:lang w:val="fr-FR"/>
        </w:rPr>
        <w:t xml:space="preserve">es réunions préparatoires régionales </w:t>
      </w:r>
      <w:r w:rsidR="00424ACE">
        <w:rPr>
          <w:lang w:val="fr-FR"/>
        </w:rPr>
        <w:t xml:space="preserve">en vue </w:t>
      </w:r>
      <w:r w:rsidRPr="00465C40">
        <w:rPr>
          <w:lang w:val="fr-FR"/>
        </w:rPr>
        <w:t xml:space="preserve">des réunions de 2019 des </w:t>
      </w:r>
      <w:r w:rsidR="00424ACE">
        <w:rPr>
          <w:lang w:val="fr-FR"/>
        </w:rPr>
        <w:t>c</w:t>
      </w:r>
      <w:r w:rsidRPr="00465C40">
        <w:rPr>
          <w:lang w:val="fr-FR"/>
        </w:rPr>
        <w:t xml:space="preserve">onférences des Parties aux conventions de Bâle, de Rotterdam et de Stockholm et a </w:t>
      </w:r>
      <w:r w:rsidR="00234467">
        <w:rPr>
          <w:lang w:val="fr-FR"/>
        </w:rPr>
        <w:t>organisé</w:t>
      </w:r>
      <w:r w:rsidRPr="00465C40">
        <w:rPr>
          <w:lang w:val="fr-FR"/>
        </w:rPr>
        <w:t xml:space="preserve">, </w:t>
      </w:r>
      <w:r w:rsidR="00540BDB">
        <w:rPr>
          <w:lang w:val="fr-FR"/>
        </w:rPr>
        <w:t>immédiatement avant chacune</w:t>
      </w:r>
      <w:r w:rsidRPr="00465C40">
        <w:rPr>
          <w:lang w:val="fr-FR"/>
        </w:rPr>
        <w:t xml:space="preserve"> de ces réunions, une séance </w:t>
      </w:r>
      <w:r w:rsidR="00234467" w:rsidRPr="00234467">
        <w:rPr>
          <w:lang w:val="fr-FR"/>
        </w:rPr>
        <w:t xml:space="preserve">d’une demi-journée </w:t>
      </w:r>
      <w:r w:rsidR="00234467">
        <w:rPr>
          <w:lang w:val="fr-FR"/>
        </w:rPr>
        <w:t xml:space="preserve">consacrée à la présentation </w:t>
      </w:r>
      <w:r w:rsidR="00540BDB">
        <w:rPr>
          <w:lang w:val="fr-FR"/>
        </w:rPr>
        <w:t>d</w:t>
      </w:r>
      <w:r w:rsidR="00DF0CA8">
        <w:rPr>
          <w:lang w:val="fr-FR"/>
        </w:rPr>
        <w:t>’information</w:t>
      </w:r>
      <w:r w:rsidR="00234467">
        <w:rPr>
          <w:lang w:val="fr-FR"/>
        </w:rPr>
        <w:t>s</w:t>
      </w:r>
      <w:r w:rsidR="00DF0CA8">
        <w:rPr>
          <w:lang w:val="fr-FR"/>
        </w:rPr>
        <w:t xml:space="preserve"> détaillée</w:t>
      </w:r>
      <w:r w:rsidR="00234467">
        <w:rPr>
          <w:lang w:val="fr-FR"/>
        </w:rPr>
        <w:t>s</w:t>
      </w:r>
      <w:r w:rsidRPr="00465C40">
        <w:rPr>
          <w:lang w:val="fr-FR"/>
        </w:rPr>
        <w:t xml:space="preserve"> sur la Convention de Minamata.</w:t>
      </w:r>
    </w:p>
    <w:p w14:paraId="435FB1FB" w14:textId="06BDB221" w:rsidR="00540BDB" w:rsidRDefault="00DA1BAF"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groupe de travail conjoint du Service des produits chimiques et des déchets du PNUE, </w:t>
      </w:r>
      <w:r w:rsidR="00540BDB">
        <w:rPr>
          <w:lang w:val="fr-FR"/>
        </w:rPr>
        <w:t>du</w:t>
      </w:r>
      <w:r w:rsidR="00797AE3">
        <w:rPr>
          <w:lang w:val="fr-FR"/>
        </w:rPr>
        <w:t> </w:t>
      </w:r>
      <w:r w:rsidRPr="00465C40">
        <w:rPr>
          <w:lang w:val="fr-FR"/>
        </w:rPr>
        <w:t xml:space="preserve">Secrétariat des conventions de Bâle, de Rotterdam et de Stockholm et </w:t>
      </w:r>
      <w:r w:rsidR="00540BDB">
        <w:rPr>
          <w:lang w:val="fr-FR"/>
        </w:rPr>
        <w:t>du</w:t>
      </w:r>
      <w:r w:rsidRPr="00465C40">
        <w:rPr>
          <w:lang w:val="fr-FR"/>
        </w:rPr>
        <w:t xml:space="preserve"> secrétariat de la Convention de Minamata a été restructuré au milieu de l</w:t>
      </w:r>
      <w:r w:rsidR="00465C40" w:rsidRPr="00465C40">
        <w:rPr>
          <w:lang w:val="fr-FR"/>
        </w:rPr>
        <w:t>’</w:t>
      </w:r>
      <w:r w:rsidRPr="00465C40">
        <w:rPr>
          <w:lang w:val="fr-FR"/>
        </w:rPr>
        <w:t>année 2018 et est désormais coprésidé par un haut représentant du personnel de chacune d</w:t>
      </w:r>
      <w:r w:rsidR="00540BDB">
        <w:rPr>
          <w:lang w:val="fr-FR"/>
        </w:rPr>
        <w:t>e c</w:t>
      </w:r>
      <w:r w:rsidRPr="00465C40">
        <w:rPr>
          <w:lang w:val="fr-FR"/>
        </w:rPr>
        <w:t xml:space="preserve">es trois entités. À sa création, </w:t>
      </w:r>
      <w:r w:rsidR="00BD0B93">
        <w:rPr>
          <w:lang w:val="fr-FR"/>
        </w:rPr>
        <w:t>c</w:t>
      </w:r>
      <w:r w:rsidRPr="00465C40">
        <w:rPr>
          <w:lang w:val="fr-FR"/>
        </w:rPr>
        <w:t>e groupe a été chargé de s</w:t>
      </w:r>
      <w:r w:rsidR="00465C40" w:rsidRPr="00465C40">
        <w:rPr>
          <w:lang w:val="fr-FR"/>
        </w:rPr>
        <w:t>’</w:t>
      </w:r>
      <w:r w:rsidRPr="00465C40">
        <w:rPr>
          <w:lang w:val="fr-FR"/>
        </w:rPr>
        <w:t>intéresser particulièrement à la collaboration entre les trois entités</w:t>
      </w:r>
      <w:r w:rsidR="00D31918">
        <w:rPr>
          <w:lang w:val="fr-FR"/>
        </w:rPr>
        <w:t>, notamment</w:t>
      </w:r>
      <w:r w:rsidRPr="00465C40">
        <w:rPr>
          <w:lang w:val="fr-FR"/>
        </w:rPr>
        <w:t xml:space="preserve"> en matière de programmes. À cet égard, la première initiative a consisté en un débat public entre tous les responsables et </w:t>
      </w:r>
      <w:r w:rsidR="00AE4BD2">
        <w:rPr>
          <w:lang w:val="fr-FR"/>
        </w:rPr>
        <w:t xml:space="preserve">les </w:t>
      </w:r>
      <w:r w:rsidRPr="00465C40">
        <w:rPr>
          <w:lang w:val="fr-FR"/>
        </w:rPr>
        <w:t>membres du personnel des trois entités, qui s</w:t>
      </w:r>
      <w:r w:rsidR="00465C40" w:rsidRPr="00465C40">
        <w:rPr>
          <w:lang w:val="fr-FR"/>
        </w:rPr>
        <w:t>’</w:t>
      </w:r>
      <w:r w:rsidRPr="00465C40">
        <w:rPr>
          <w:lang w:val="fr-FR"/>
        </w:rPr>
        <w:t xml:space="preserve">est tenu en août 2018. Le groupe a également commencé à </w:t>
      </w:r>
      <w:r w:rsidR="00AE4BD2">
        <w:rPr>
          <w:lang w:val="fr-FR"/>
        </w:rPr>
        <w:t>rapprocher l</w:t>
      </w:r>
      <w:r w:rsidRPr="00465C40">
        <w:rPr>
          <w:lang w:val="fr-FR"/>
        </w:rPr>
        <w:t>es travaux menés en matière d</w:t>
      </w:r>
      <w:r w:rsidR="00465C40" w:rsidRPr="00465C40">
        <w:rPr>
          <w:lang w:val="fr-FR"/>
        </w:rPr>
        <w:t>’</w:t>
      </w:r>
      <w:r w:rsidRPr="00465C40">
        <w:rPr>
          <w:lang w:val="fr-FR"/>
        </w:rPr>
        <w:t>interface science-politique, afin de contribuer à un certain nombre de processus. Durant le premier semestre de l</w:t>
      </w:r>
      <w:r w:rsidR="00465C40" w:rsidRPr="00465C40">
        <w:rPr>
          <w:lang w:val="fr-FR"/>
        </w:rPr>
        <w:t>’</w:t>
      </w:r>
      <w:r w:rsidRPr="00465C40">
        <w:rPr>
          <w:lang w:val="fr-FR"/>
        </w:rPr>
        <w:t>année 2019, le groupe de travail conjoint s</w:t>
      </w:r>
      <w:r w:rsidR="00465C40" w:rsidRPr="00465C40">
        <w:rPr>
          <w:lang w:val="fr-FR"/>
        </w:rPr>
        <w:t>’</w:t>
      </w:r>
      <w:r w:rsidRPr="00465C40">
        <w:rPr>
          <w:lang w:val="fr-FR"/>
        </w:rPr>
        <w:t xml:space="preserve">est réuni pour examiner en détail les liens existant </w:t>
      </w:r>
      <w:r w:rsidR="00567FE0">
        <w:rPr>
          <w:lang w:val="fr-FR"/>
        </w:rPr>
        <w:t>entre les entités traitant des</w:t>
      </w:r>
      <w:r w:rsidRPr="00465C40">
        <w:rPr>
          <w:lang w:val="fr-FR"/>
        </w:rPr>
        <w:t xml:space="preserve"> produits chimiques</w:t>
      </w:r>
      <w:r w:rsidR="00567FE0">
        <w:rPr>
          <w:lang w:val="fr-FR"/>
        </w:rPr>
        <w:t>,</w:t>
      </w:r>
      <w:r w:rsidRPr="00465C40">
        <w:rPr>
          <w:lang w:val="fr-FR"/>
        </w:rPr>
        <w:t xml:space="preserve"> en prévision de la prochaine réunion de l</w:t>
      </w:r>
      <w:r w:rsidR="00465C40" w:rsidRPr="00465C40">
        <w:rPr>
          <w:lang w:val="fr-FR"/>
        </w:rPr>
        <w:t>’</w:t>
      </w:r>
      <w:r w:rsidRPr="00465C40">
        <w:rPr>
          <w:lang w:val="fr-FR"/>
        </w:rPr>
        <w:t xml:space="preserve">Approche stratégique, ainsi que les liens avec </w:t>
      </w:r>
      <w:r w:rsidR="00567FE0">
        <w:rPr>
          <w:lang w:val="fr-FR"/>
        </w:rPr>
        <w:t>les entités traitant de</w:t>
      </w:r>
      <w:r w:rsidRPr="00465C40">
        <w:rPr>
          <w:lang w:val="fr-FR"/>
        </w:rPr>
        <w:t xml:space="preserve"> la biodiversité, au vu du mandat de la Convention sur la diversité biologique</w:t>
      </w:r>
      <w:r w:rsidR="00567FE0">
        <w:rPr>
          <w:lang w:val="fr-FR"/>
        </w:rPr>
        <w:t xml:space="preserve"> </w:t>
      </w:r>
      <w:r w:rsidR="00567DF5">
        <w:rPr>
          <w:lang w:val="fr-FR"/>
        </w:rPr>
        <w:t>de</w:t>
      </w:r>
      <w:r w:rsidRPr="00465C40">
        <w:rPr>
          <w:lang w:val="fr-FR"/>
        </w:rPr>
        <w:t xml:space="preserve"> progresser concernant la mise en place d</w:t>
      </w:r>
      <w:r w:rsidR="00465C40" w:rsidRPr="00465C40">
        <w:rPr>
          <w:lang w:val="fr-FR"/>
        </w:rPr>
        <w:t>’</w:t>
      </w:r>
      <w:r w:rsidRPr="00465C40">
        <w:rPr>
          <w:lang w:val="fr-FR"/>
        </w:rPr>
        <w:t>un cadre mondial pour l</w:t>
      </w:r>
      <w:r w:rsidR="00465C40" w:rsidRPr="00465C40">
        <w:rPr>
          <w:lang w:val="fr-FR"/>
        </w:rPr>
        <w:t>’</w:t>
      </w:r>
      <w:r w:rsidRPr="00465C40">
        <w:rPr>
          <w:lang w:val="fr-FR"/>
        </w:rPr>
        <w:t xml:space="preserve">après-2020 qui englobe les travaux </w:t>
      </w:r>
      <w:r w:rsidR="00567DF5">
        <w:rPr>
          <w:lang w:val="fr-FR"/>
        </w:rPr>
        <w:t>des entités traitant des</w:t>
      </w:r>
      <w:r w:rsidRPr="00465C40">
        <w:rPr>
          <w:lang w:val="fr-FR"/>
        </w:rPr>
        <w:t xml:space="preserve"> produits chimiques.</w:t>
      </w:r>
    </w:p>
    <w:p w14:paraId="42ACC0B7" w14:textId="35914449" w:rsidR="00C57924" w:rsidRPr="00465C40" w:rsidRDefault="00DA1BAF"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Les efforts du groupe ont également donné lieu à un certain nombre de projets concrets visant à renforcer la cohérence et la visibilité </w:t>
      </w:r>
      <w:r w:rsidR="00567DF5">
        <w:rPr>
          <w:lang w:val="fr-FR"/>
        </w:rPr>
        <w:t>des entités traitant des</w:t>
      </w:r>
      <w:r w:rsidRPr="00465C40">
        <w:rPr>
          <w:lang w:val="fr-FR"/>
        </w:rPr>
        <w:t xml:space="preserve"> produits chimiques</w:t>
      </w:r>
      <w:r w:rsidR="00882EF2">
        <w:rPr>
          <w:lang w:val="fr-FR"/>
        </w:rPr>
        <w:t>, dont</w:t>
      </w:r>
      <w:r w:rsidRPr="00465C40">
        <w:rPr>
          <w:lang w:val="fr-FR"/>
        </w:rPr>
        <w:t xml:space="preserve"> l</w:t>
      </w:r>
      <w:r w:rsidR="00465C40" w:rsidRPr="00465C40">
        <w:rPr>
          <w:lang w:val="fr-FR"/>
        </w:rPr>
        <w:t>’</w:t>
      </w:r>
      <w:r w:rsidRPr="00465C40">
        <w:rPr>
          <w:lang w:val="fr-FR"/>
        </w:rPr>
        <w:t>installation intitulé</w:t>
      </w:r>
      <w:r w:rsidR="009661FC">
        <w:rPr>
          <w:lang w:val="fr-FR"/>
        </w:rPr>
        <w:t>e</w:t>
      </w:r>
      <w:r w:rsidRPr="00465C40">
        <w:rPr>
          <w:lang w:val="fr-FR"/>
        </w:rPr>
        <w:t xml:space="preserve"> « Rendre l</w:t>
      </w:r>
      <w:r w:rsidR="00465C40" w:rsidRPr="00465C40">
        <w:rPr>
          <w:lang w:val="fr-FR"/>
        </w:rPr>
        <w:t>’</w:t>
      </w:r>
      <w:r w:rsidRPr="00465C40">
        <w:rPr>
          <w:lang w:val="fr-FR"/>
        </w:rPr>
        <w:t>invisible</w:t>
      </w:r>
      <w:r w:rsidR="00DF0CA8" w:rsidRPr="00DF0CA8">
        <w:rPr>
          <w:lang w:val="fr-FR"/>
        </w:rPr>
        <w:t xml:space="preserve"> visible</w:t>
      </w:r>
      <w:r w:rsidR="00465C40" w:rsidRPr="00465C40">
        <w:rPr>
          <w:lang w:val="fr-FR"/>
        </w:rPr>
        <w:t> :</w:t>
      </w:r>
      <w:r w:rsidRPr="00465C40">
        <w:rPr>
          <w:lang w:val="fr-FR"/>
        </w:rPr>
        <w:t xml:space="preserve"> dépolluer ma maison » exposée </w:t>
      </w:r>
      <w:r w:rsidR="00DF0CA8" w:rsidRPr="00DF0CA8">
        <w:rPr>
          <w:lang w:val="fr-FR"/>
        </w:rPr>
        <w:t>conjointe</w:t>
      </w:r>
      <w:r w:rsidR="00DF0CA8">
        <w:rPr>
          <w:lang w:val="fr-FR"/>
        </w:rPr>
        <w:t>ment</w:t>
      </w:r>
      <w:r w:rsidR="00DF0CA8" w:rsidRPr="00DF0CA8">
        <w:rPr>
          <w:lang w:val="fr-FR"/>
        </w:rPr>
        <w:t xml:space="preserve"> </w:t>
      </w:r>
      <w:r w:rsidR="00393C59">
        <w:rPr>
          <w:lang w:val="fr-FR"/>
        </w:rPr>
        <w:t xml:space="preserve">par </w:t>
      </w:r>
      <w:r w:rsidR="00DF0CA8">
        <w:rPr>
          <w:lang w:val="fr-FR"/>
        </w:rPr>
        <w:t>le</w:t>
      </w:r>
      <w:r w:rsidR="00393C59" w:rsidRPr="00393C59">
        <w:rPr>
          <w:lang w:val="fr-FR"/>
        </w:rPr>
        <w:t xml:space="preserve"> Service des produits chimiques et des déchets du PNUE, </w:t>
      </w:r>
      <w:r w:rsidR="00DF0CA8">
        <w:rPr>
          <w:lang w:val="fr-FR"/>
        </w:rPr>
        <w:t>le</w:t>
      </w:r>
      <w:r w:rsidR="00393C59" w:rsidRPr="00393C59">
        <w:rPr>
          <w:lang w:val="fr-FR"/>
        </w:rPr>
        <w:t xml:space="preserve"> Secrétariat des conventions de Bâle, de Rotterdam et de Stockholm, </w:t>
      </w:r>
      <w:r w:rsidR="00DF0CA8">
        <w:rPr>
          <w:lang w:val="fr-FR"/>
        </w:rPr>
        <w:t>le</w:t>
      </w:r>
      <w:r w:rsidR="00393C59" w:rsidRPr="00393C59">
        <w:rPr>
          <w:lang w:val="fr-FR"/>
        </w:rPr>
        <w:t xml:space="preserve"> secrétariat de la Convention de Minamata et </w:t>
      </w:r>
      <w:r w:rsidR="00DF0CA8">
        <w:rPr>
          <w:lang w:val="fr-FR"/>
        </w:rPr>
        <w:t>le</w:t>
      </w:r>
      <w:r w:rsidR="00393C59" w:rsidRPr="00393C59">
        <w:rPr>
          <w:lang w:val="fr-FR"/>
        </w:rPr>
        <w:t xml:space="preserve"> secrétariat de l’Approche stratégique</w:t>
      </w:r>
      <w:r w:rsidR="00DF0CA8">
        <w:rPr>
          <w:lang w:val="fr-FR"/>
        </w:rPr>
        <w:t xml:space="preserve"> lors de</w:t>
      </w:r>
      <w:r w:rsidRPr="00465C40">
        <w:rPr>
          <w:lang w:val="fr-FR"/>
        </w:rPr>
        <w:t xml:space="preserve"> la quatrième session de l</w:t>
      </w:r>
      <w:r w:rsidR="00465C40" w:rsidRPr="00465C40">
        <w:rPr>
          <w:lang w:val="fr-FR"/>
        </w:rPr>
        <w:t>’</w:t>
      </w:r>
      <w:r w:rsidRPr="00465C40">
        <w:rPr>
          <w:lang w:val="fr-FR"/>
        </w:rPr>
        <w:t>Assemblée des Nations Unies pour l</w:t>
      </w:r>
      <w:r w:rsidR="00465C40" w:rsidRPr="00465C40">
        <w:rPr>
          <w:lang w:val="fr-FR"/>
        </w:rPr>
        <w:t>’</w:t>
      </w:r>
      <w:r w:rsidRPr="00465C40">
        <w:rPr>
          <w:lang w:val="fr-FR"/>
        </w:rPr>
        <w:t xml:space="preserve">environnement tenue en mars 2019 à Nairobi, </w:t>
      </w:r>
      <w:r w:rsidR="00DF0CA8">
        <w:rPr>
          <w:lang w:val="fr-FR"/>
        </w:rPr>
        <w:t>de</w:t>
      </w:r>
      <w:r w:rsidRPr="00465C40">
        <w:rPr>
          <w:lang w:val="fr-FR"/>
        </w:rPr>
        <w:t xml:space="preserve"> la réunion de l</w:t>
      </w:r>
      <w:r w:rsidR="00465C40" w:rsidRPr="00465C40">
        <w:rPr>
          <w:lang w:val="fr-FR"/>
        </w:rPr>
        <w:t>’</w:t>
      </w:r>
      <w:r w:rsidRPr="00465C40">
        <w:rPr>
          <w:lang w:val="fr-FR"/>
        </w:rPr>
        <w:t>Approche stratégique</w:t>
      </w:r>
      <w:r w:rsidR="00DF0CA8">
        <w:rPr>
          <w:lang w:val="fr-FR"/>
        </w:rPr>
        <w:t xml:space="preserve"> </w:t>
      </w:r>
      <w:r w:rsidRPr="00465C40">
        <w:rPr>
          <w:lang w:val="fr-FR"/>
        </w:rPr>
        <w:t xml:space="preserve">tenue en mars 2019 à Montevideo et </w:t>
      </w:r>
      <w:r w:rsidR="00DF0CA8">
        <w:rPr>
          <w:lang w:val="fr-FR"/>
        </w:rPr>
        <w:t>des</w:t>
      </w:r>
      <w:r w:rsidRPr="00465C40">
        <w:rPr>
          <w:lang w:val="fr-FR"/>
        </w:rPr>
        <w:t xml:space="preserve"> réunions de 2019 des Conférences des Parties aux conventions de Bâle, de Rotterdam et de Stockholm </w:t>
      </w:r>
      <w:r w:rsidRPr="00465C40">
        <w:rPr>
          <w:lang w:val="fr-FR"/>
        </w:rPr>
        <w:lastRenderedPageBreak/>
        <w:t xml:space="preserve">tenues en avril et en mai 2019 à Genève, </w:t>
      </w:r>
      <w:r w:rsidR="00DF0CA8">
        <w:rPr>
          <w:lang w:val="fr-FR"/>
        </w:rPr>
        <w:t>qu’il est prévu d’</w:t>
      </w:r>
      <w:r w:rsidRPr="00465C40">
        <w:rPr>
          <w:lang w:val="fr-FR"/>
        </w:rPr>
        <w:t>expos</w:t>
      </w:r>
      <w:r w:rsidR="00DF0CA8">
        <w:rPr>
          <w:lang w:val="fr-FR"/>
        </w:rPr>
        <w:t>er de nouveau</w:t>
      </w:r>
      <w:r w:rsidRPr="00465C40">
        <w:rPr>
          <w:lang w:val="fr-FR"/>
        </w:rPr>
        <w:t xml:space="preserve"> à l</w:t>
      </w:r>
      <w:r w:rsidR="00465C40" w:rsidRPr="00465C40">
        <w:rPr>
          <w:lang w:val="fr-FR"/>
        </w:rPr>
        <w:t>’</w:t>
      </w:r>
      <w:r w:rsidRPr="00465C40">
        <w:rPr>
          <w:lang w:val="fr-FR"/>
        </w:rPr>
        <w:t xml:space="preserve">occasion de la </w:t>
      </w:r>
      <w:r w:rsidR="00797AE3">
        <w:rPr>
          <w:lang w:val="fr-FR"/>
        </w:rPr>
        <w:t>troisième </w:t>
      </w:r>
      <w:r w:rsidRPr="00465C40">
        <w:rPr>
          <w:lang w:val="fr-FR"/>
        </w:rPr>
        <w:t xml:space="preserve">réunion de la Conférence des Parties à la Convention de Minamata, qui se tiendra en novembre 2019 à Genève. Cette installation vise avant tout à faire prendre conscience du caractère indispensable </w:t>
      </w:r>
      <w:r w:rsidR="005443E2">
        <w:rPr>
          <w:lang w:val="fr-FR"/>
        </w:rPr>
        <w:t>de la</w:t>
      </w:r>
      <w:r w:rsidRPr="00465C40">
        <w:rPr>
          <w:lang w:val="fr-FR"/>
        </w:rPr>
        <w:t xml:space="preserve"> gestion rationnelle des produits chimiques et des déchets en exposant, de manière participative, interactive et innovante, les effets néfastes </w:t>
      </w:r>
      <w:r w:rsidR="008E27F3">
        <w:rPr>
          <w:lang w:val="fr-FR"/>
        </w:rPr>
        <w:t xml:space="preserve">potentiels </w:t>
      </w:r>
      <w:r w:rsidRPr="00465C40">
        <w:rPr>
          <w:lang w:val="fr-FR"/>
        </w:rPr>
        <w:t xml:space="preserve">des produits chimiques que contiennent les objets du quotidien et </w:t>
      </w:r>
      <w:r w:rsidR="008E27F3">
        <w:rPr>
          <w:lang w:val="fr-FR"/>
        </w:rPr>
        <w:t>des</w:t>
      </w:r>
      <w:r w:rsidRPr="00465C40">
        <w:rPr>
          <w:lang w:val="fr-FR"/>
        </w:rPr>
        <w:t xml:space="preserve"> solutions de remplacement saines. Le groupe de travail conjoint a également </w:t>
      </w:r>
      <w:r w:rsidR="008E27F3">
        <w:rPr>
          <w:lang w:val="fr-FR"/>
        </w:rPr>
        <w:t xml:space="preserve">ravivé ses efforts visant à </w:t>
      </w:r>
      <w:r w:rsidRPr="00465C40">
        <w:rPr>
          <w:lang w:val="fr-FR"/>
        </w:rPr>
        <w:t xml:space="preserve">renforcer la planification conjointe du calendrier entre les partenaires, afin de mieux tirer parti des travaux menés </w:t>
      </w:r>
      <w:r w:rsidR="008E27F3">
        <w:rPr>
          <w:lang w:val="fr-FR"/>
        </w:rPr>
        <w:t>par toutes les entités traitant de ces questions</w:t>
      </w:r>
      <w:r w:rsidRPr="00465C40">
        <w:rPr>
          <w:lang w:val="fr-FR"/>
        </w:rPr>
        <w:t>. Par le biais du Service des produits chimiques et des déchets du PNUE, le groupe assure également la liaison avec le sous-programme du PNUE relatif aux produits chimiques et aux déchets, afin de coordonner les efforts menés en faveur de l</w:t>
      </w:r>
      <w:r w:rsidR="00465C40" w:rsidRPr="00465C40">
        <w:rPr>
          <w:lang w:val="fr-FR"/>
        </w:rPr>
        <w:t>’</w:t>
      </w:r>
      <w:r w:rsidRPr="00465C40">
        <w:rPr>
          <w:lang w:val="fr-FR"/>
        </w:rPr>
        <w:t>application des décisions connexes de l</w:t>
      </w:r>
      <w:r w:rsidR="00465C40" w:rsidRPr="00465C40">
        <w:rPr>
          <w:lang w:val="fr-FR"/>
        </w:rPr>
        <w:t>’</w:t>
      </w:r>
      <w:r w:rsidRPr="00465C40">
        <w:rPr>
          <w:lang w:val="fr-FR"/>
        </w:rPr>
        <w:t>Assemblée des Nations Unies pour l</w:t>
      </w:r>
      <w:r w:rsidR="00465C40" w:rsidRPr="00465C40">
        <w:rPr>
          <w:lang w:val="fr-FR"/>
        </w:rPr>
        <w:t>’</w:t>
      </w:r>
      <w:r w:rsidRPr="00465C40">
        <w:rPr>
          <w:lang w:val="fr-FR"/>
        </w:rPr>
        <w:t xml:space="preserve">environnement. </w:t>
      </w:r>
    </w:p>
    <w:p w14:paraId="786A01E5" w14:textId="56D044E9" w:rsidR="00101046"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est également membre de l</w:t>
      </w:r>
      <w:r w:rsidR="00465C40" w:rsidRPr="00465C40">
        <w:rPr>
          <w:lang w:val="fr-FR"/>
        </w:rPr>
        <w:t>’</w:t>
      </w:r>
      <w:r w:rsidRPr="00465C40">
        <w:rPr>
          <w:lang w:val="fr-FR"/>
        </w:rPr>
        <w:t xml:space="preserve">équipe spéciale sur les substances chimiques du FEM, qui </w:t>
      </w:r>
      <w:r w:rsidR="00F207BF">
        <w:rPr>
          <w:lang w:val="fr-FR"/>
        </w:rPr>
        <w:t>offre</w:t>
      </w:r>
      <w:r w:rsidRPr="00465C40">
        <w:rPr>
          <w:lang w:val="fr-FR"/>
        </w:rPr>
        <w:t xml:space="preserve"> un cadre de coopération dans le domaine des substances</w:t>
      </w:r>
      <w:r w:rsidR="004C57A1">
        <w:rPr>
          <w:lang w:val="fr-FR"/>
        </w:rPr>
        <w:t xml:space="preserve"> chimiques et des déchets entre </w:t>
      </w:r>
      <w:r w:rsidRPr="00465C40">
        <w:rPr>
          <w:lang w:val="fr-FR"/>
        </w:rPr>
        <w:t>les organismes d</w:t>
      </w:r>
      <w:r w:rsidR="00465C40" w:rsidRPr="00465C40">
        <w:rPr>
          <w:lang w:val="fr-FR"/>
        </w:rPr>
        <w:t>’</w:t>
      </w:r>
      <w:r w:rsidRPr="00465C40">
        <w:rPr>
          <w:lang w:val="fr-FR"/>
        </w:rPr>
        <w:t>exécution du FEM. Des représentants du secrétariat ont assisté, en personne ou virtuellement, aux réunions du groupe de travail conjoint, y compris à l</w:t>
      </w:r>
      <w:r w:rsidR="00465C40" w:rsidRPr="00465C40">
        <w:rPr>
          <w:lang w:val="fr-FR"/>
        </w:rPr>
        <w:t>’</w:t>
      </w:r>
      <w:r w:rsidRPr="00465C40">
        <w:rPr>
          <w:lang w:val="fr-FR"/>
        </w:rPr>
        <w:t xml:space="preserve">occasion des réunions de 2019 des </w:t>
      </w:r>
      <w:r w:rsidR="00F207BF">
        <w:rPr>
          <w:lang w:val="fr-FR"/>
        </w:rPr>
        <w:t>c</w:t>
      </w:r>
      <w:r w:rsidRPr="00465C40">
        <w:rPr>
          <w:lang w:val="fr-FR"/>
        </w:rPr>
        <w:t xml:space="preserve">onférences des Parties aux conventions de Bâle, de Rotterdam et de Stockholm, en amont des réunions du Conseil du FEM et en prévision de la troisième réunion de la Conférence des Parties. </w:t>
      </w:r>
    </w:p>
    <w:p w14:paraId="15D7B118" w14:textId="3F3BAFE2" w:rsidR="00163DA4" w:rsidRPr="00465C40" w:rsidRDefault="009E260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participe en tant qu</w:t>
      </w:r>
      <w:r w:rsidR="00465C40" w:rsidRPr="00465C40">
        <w:rPr>
          <w:lang w:val="fr-FR"/>
        </w:rPr>
        <w:t>’</w:t>
      </w:r>
      <w:r w:rsidRPr="00465C40">
        <w:rPr>
          <w:lang w:val="fr-FR"/>
        </w:rPr>
        <w:t xml:space="preserve">observateur </w:t>
      </w:r>
      <w:r w:rsidR="008E27F3">
        <w:rPr>
          <w:lang w:val="fr-FR"/>
        </w:rPr>
        <w:t xml:space="preserve">à l’IOMC </w:t>
      </w:r>
      <w:r w:rsidRPr="00465C40">
        <w:rPr>
          <w:lang w:val="fr-FR"/>
        </w:rPr>
        <w:t>et participe à son groupe sur le mercure, qui s</w:t>
      </w:r>
      <w:r w:rsidR="00465C40" w:rsidRPr="00465C40">
        <w:rPr>
          <w:lang w:val="fr-FR"/>
        </w:rPr>
        <w:t>’</w:t>
      </w:r>
      <w:r w:rsidRPr="00465C40">
        <w:rPr>
          <w:lang w:val="fr-FR"/>
        </w:rPr>
        <w:t xml:space="preserve">intéresse à la coopération entre les membres </w:t>
      </w:r>
      <w:r w:rsidR="008E27F3">
        <w:rPr>
          <w:lang w:val="fr-FR"/>
        </w:rPr>
        <w:t>de l’IOMC</w:t>
      </w:r>
      <w:r w:rsidRPr="00465C40">
        <w:rPr>
          <w:lang w:val="fr-FR"/>
        </w:rPr>
        <w:t xml:space="preserve"> </w:t>
      </w:r>
      <w:r w:rsidR="004C57A1">
        <w:rPr>
          <w:lang w:val="fr-FR"/>
        </w:rPr>
        <w:t>pour les questions relatives au </w:t>
      </w:r>
      <w:r w:rsidRPr="00465C40">
        <w:rPr>
          <w:lang w:val="fr-FR"/>
        </w:rPr>
        <w:t>mercure et coopère étroitement avec les partenaires du Partenariat mondial sur le mercure.</w:t>
      </w:r>
    </w:p>
    <w:p w14:paraId="0EB1A5C9" w14:textId="5B45B87F" w:rsidR="009C027D" w:rsidRPr="00465C40" w:rsidRDefault="00FE516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est un membre actif de longue date de l</w:t>
      </w:r>
      <w:r w:rsidR="00465C40" w:rsidRPr="00465C40">
        <w:rPr>
          <w:lang w:val="fr-FR"/>
        </w:rPr>
        <w:t>’</w:t>
      </w:r>
      <w:r w:rsidRPr="00465C40">
        <w:rPr>
          <w:lang w:val="fr-FR"/>
        </w:rPr>
        <w:t>initiative InforMEA sur l</w:t>
      </w:r>
      <w:r w:rsidR="00465C40" w:rsidRPr="00465C40">
        <w:rPr>
          <w:lang w:val="fr-FR"/>
        </w:rPr>
        <w:t>’</w:t>
      </w:r>
      <w:r w:rsidR="004C57A1">
        <w:rPr>
          <w:lang w:val="fr-FR"/>
        </w:rPr>
        <w:t>accès aux </w:t>
      </w:r>
      <w:r w:rsidRPr="00465C40">
        <w:rPr>
          <w:lang w:val="fr-FR"/>
        </w:rPr>
        <w:t>informations relatives aux accords multilatéraux sur l</w:t>
      </w:r>
      <w:r w:rsidR="00465C40" w:rsidRPr="00465C40">
        <w:rPr>
          <w:lang w:val="fr-FR"/>
        </w:rPr>
        <w:t>’</w:t>
      </w:r>
      <w:r w:rsidRPr="00465C40">
        <w:rPr>
          <w:lang w:val="fr-FR"/>
        </w:rPr>
        <w:t>environnement. Un haut représentant du personnel du secrétariat a assisté à la dixième réunion du Comité directeur de l</w:t>
      </w:r>
      <w:r w:rsidR="00465C40" w:rsidRPr="00465C40">
        <w:rPr>
          <w:lang w:val="fr-FR"/>
        </w:rPr>
        <w:t>’</w:t>
      </w:r>
      <w:r w:rsidRPr="00465C40">
        <w:rPr>
          <w:lang w:val="fr-FR"/>
        </w:rPr>
        <w:t>initiative InforMEA, qui s</w:t>
      </w:r>
      <w:r w:rsidR="00465C40" w:rsidRPr="00465C40">
        <w:rPr>
          <w:lang w:val="fr-FR"/>
        </w:rPr>
        <w:t>’</w:t>
      </w:r>
      <w:r w:rsidRPr="00465C40">
        <w:rPr>
          <w:lang w:val="fr-FR"/>
        </w:rPr>
        <w:t>est tenue en juin 2019 à Montreux (Suisse). La réunion célébrait également le dixième anniversaire de cette importante collaboration entre divers accords multilatéraux sur l</w:t>
      </w:r>
      <w:r w:rsidR="00465C40" w:rsidRPr="00465C40">
        <w:rPr>
          <w:lang w:val="fr-FR"/>
        </w:rPr>
        <w:t>’</w:t>
      </w:r>
      <w:r w:rsidRPr="00465C40">
        <w:rPr>
          <w:lang w:val="fr-FR"/>
        </w:rPr>
        <w:t>environnement, qui vise à renforcer la cohérence et la transparence en matière de communication des informations, d</w:t>
      </w:r>
      <w:r w:rsidR="00465C40" w:rsidRPr="00465C40">
        <w:rPr>
          <w:lang w:val="fr-FR"/>
        </w:rPr>
        <w:t>’</w:t>
      </w:r>
      <w:r w:rsidRPr="00465C40">
        <w:rPr>
          <w:lang w:val="fr-FR"/>
        </w:rPr>
        <w:t>échange d</w:t>
      </w:r>
      <w:r w:rsidR="00465C40" w:rsidRPr="00465C40">
        <w:rPr>
          <w:lang w:val="fr-FR"/>
        </w:rPr>
        <w:t>’</w:t>
      </w:r>
      <w:r w:rsidRPr="00465C40">
        <w:rPr>
          <w:lang w:val="fr-FR"/>
        </w:rPr>
        <w:t>informations et de gestion des connaissances pour l</w:t>
      </w:r>
      <w:r w:rsidR="00465C40" w:rsidRPr="00465C40">
        <w:rPr>
          <w:lang w:val="fr-FR"/>
        </w:rPr>
        <w:t>’</w:t>
      </w:r>
      <w:r w:rsidRPr="00465C40">
        <w:rPr>
          <w:lang w:val="fr-FR"/>
        </w:rPr>
        <w:t>ensemble des accords et des conventions.</w:t>
      </w:r>
    </w:p>
    <w:p w14:paraId="5031CF1C" w14:textId="5F933EB5" w:rsidR="007621C5" w:rsidRPr="00465C40" w:rsidRDefault="007621C5"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Un haut représentant du personnel du secrétariat a assisté aux discussions </w:t>
      </w:r>
      <w:r w:rsidR="001C49B7">
        <w:rPr>
          <w:lang w:val="fr-FR"/>
        </w:rPr>
        <w:t>sur</w:t>
      </w:r>
      <w:r w:rsidRPr="00465C40">
        <w:rPr>
          <w:lang w:val="fr-FR"/>
        </w:rPr>
        <w:t xml:space="preserve"> l</w:t>
      </w:r>
      <w:r w:rsidR="00465C40" w:rsidRPr="00465C40">
        <w:rPr>
          <w:lang w:val="fr-FR"/>
        </w:rPr>
        <w:t>’</w:t>
      </w:r>
      <w:r w:rsidRPr="00465C40">
        <w:rPr>
          <w:lang w:val="fr-FR"/>
        </w:rPr>
        <w:t xml:space="preserve">après-2020 </w:t>
      </w:r>
      <w:r w:rsidR="004C57A1">
        <w:rPr>
          <w:lang w:val="fr-FR"/>
        </w:rPr>
        <w:t>des </w:t>
      </w:r>
      <w:r w:rsidR="001C49B7">
        <w:rPr>
          <w:lang w:val="fr-FR"/>
        </w:rPr>
        <w:t xml:space="preserve">entités </w:t>
      </w:r>
      <w:r w:rsidR="00F207BF">
        <w:rPr>
          <w:lang w:val="fr-FR"/>
        </w:rPr>
        <w:t>s’occup</w:t>
      </w:r>
      <w:r w:rsidR="001C49B7">
        <w:rPr>
          <w:lang w:val="fr-FR"/>
        </w:rPr>
        <w:t xml:space="preserve">ant de </w:t>
      </w:r>
      <w:r w:rsidRPr="00465C40">
        <w:rPr>
          <w:lang w:val="fr-FR"/>
        </w:rPr>
        <w:t xml:space="preserve">la biodiversité, qui ont eu lieu en juin 2019 à Berne, et a examiné les points de convergence entre les débats sur les produits chimiques et </w:t>
      </w:r>
      <w:r w:rsidR="00F207BF">
        <w:rPr>
          <w:lang w:val="fr-FR"/>
        </w:rPr>
        <w:t>la</w:t>
      </w:r>
      <w:r w:rsidR="004744ED">
        <w:rPr>
          <w:lang w:val="fr-FR"/>
        </w:rPr>
        <w:t xml:space="preserve"> biodiversité</w:t>
      </w:r>
      <w:r w:rsidRPr="00465C40">
        <w:rPr>
          <w:lang w:val="fr-FR"/>
        </w:rPr>
        <w:t>, en particulier en ce qui concerne la mise en place d</w:t>
      </w:r>
      <w:r w:rsidR="00465C40" w:rsidRPr="00465C40">
        <w:rPr>
          <w:lang w:val="fr-FR"/>
        </w:rPr>
        <w:t>’</w:t>
      </w:r>
      <w:r w:rsidRPr="00465C40">
        <w:rPr>
          <w:lang w:val="fr-FR"/>
        </w:rPr>
        <w:t>un cadre mondial de la biodiversité pour l</w:t>
      </w:r>
      <w:r w:rsidR="00465C40" w:rsidRPr="00465C40">
        <w:rPr>
          <w:lang w:val="fr-FR"/>
        </w:rPr>
        <w:t>’</w:t>
      </w:r>
      <w:r w:rsidRPr="00465C40">
        <w:rPr>
          <w:lang w:val="fr-FR"/>
        </w:rPr>
        <w:t xml:space="preserve">après-2020. </w:t>
      </w:r>
    </w:p>
    <w:p w14:paraId="21E33CC4" w14:textId="73276D6D" w:rsidR="002645CB" w:rsidRPr="00465C40" w:rsidRDefault="002645CB"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Le secrétariat continue de participer activement aux séances </w:t>
      </w:r>
      <w:r w:rsidR="00BD0B93" w:rsidRPr="00BD0B93">
        <w:rPr>
          <w:lang w:val="fr-FR"/>
        </w:rPr>
        <w:t>régulière</w:t>
      </w:r>
      <w:r w:rsidR="00BD0B93">
        <w:rPr>
          <w:lang w:val="fr-FR"/>
        </w:rPr>
        <w:t>s</w:t>
      </w:r>
      <w:r w:rsidR="00BD0B93" w:rsidRPr="00BD0B93">
        <w:rPr>
          <w:lang w:val="fr-FR"/>
        </w:rPr>
        <w:t xml:space="preserve"> </w:t>
      </w:r>
      <w:r w:rsidRPr="00465C40">
        <w:rPr>
          <w:lang w:val="fr-FR"/>
        </w:rPr>
        <w:t>d</w:t>
      </w:r>
      <w:r w:rsidR="00465C40" w:rsidRPr="00465C40">
        <w:rPr>
          <w:lang w:val="fr-FR"/>
        </w:rPr>
        <w:t>’</w:t>
      </w:r>
      <w:r w:rsidRPr="00465C40">
        <w:rPr>
          <w:lang w:val="fr-FR"/>
        </w:rPr>
        <w:t xml:space="preserve">information </w:t>
      </w:r>
      <w:r w:rsidR="00BD0B93">
        <w:rPr>
          <w:lang w:val="fr-FR"/>
        </w:rPr>
        <w:t>d</w:t>
      </w:r>
      <w:r w:rsidRPr="00465C40">
        <w:rPr>
          <w:lang w:val="fr-FR"/>
        </w:rPr>
        <w:t xml:space="preserve">es missions permanentes </w:t>
      </w:r>
      <w:r w:rsidR="00F207BF">
        <w:rPr>
          <w:lang w:val="fr-FR"/>
        </w:rPr>
        <w:t>à</w:t>
      </w:r>
      <w:r w:rsidRPr="00465C40">
        <w:rPr>
          <w:lang w:val="fr-FR"/>
        </w:rPr>
        <w:t xml:space="preserve"> Genève </w:t>
      </w:r>
      <w:r w:rsidR="00BD0B93" w:rsidRPr="00BD0B93">
        <w:rPr>
          <w:lang w:val="fr-FR"/>
        </w:rPr>
        <w:t>organisées</w:t>
      </w:r>
      <w:r w:rsidR="00BD0B93">
        <w:rPr>
          <w:lang w:val="fr-FR"/>
        </w:rPr>
        <w:t xml:space="preserve"> par le</w:t>
      </w:r>
      <w:r w:rsidRPr="00465C40">
        <w:rPr>
          <w:lang w:val="fr-FR"/>
        </w:rPr>
        <w:t xml:space="preserve"> Réseau environne</w:t>
      </w:r>
      <w:r w:rsidR="004C57A1">
        <w:rPr>
          <w:lang w:val="fr-FR"/>
        </w:rPr>
        <w:t>ment de Genève et participe aux </w:t>
      </w:r>
      <w:r w:rsidRPr="00465C40">
        <w:rPr>
          <w:lang w:val="fr-FR"/>
        </w:rPr>
        <w:t>réunions du groupe de travail sur l</w:t>
      </w:r>
      <w:r w:rsidR="00465C40" w:rsidRPr="00465C40">
        <w:rPr>
          <w:lang w:val="fr-FR"/>
        </w:rPr>
        <w:t>’</w:t>
      </w:r>
      <w:r w:rsidRPr="00465C40">
        <w:rPr>
          <w:lang w:val="fr-FR"/>
        </w:rPr>
        <w:t>Approche stratégique pour l</w:t>
      </w:r>
      <w:r w:rsidR="00465C40" w:rsidRPr="00465C40">
        <w:rPr>
          <w:lang w:val="fr-FR"/>
        </w:rPr>
        <w:t>’</w:t>
      </w:r>
      <w:r w:rsidRPr="00465C40">
        <w:rPr>
          <w:lang w:val="fr-FR"/>
        </w:rPr>
        <w:t>après-2020, qui est présidé par le Service des produits chimiques et des déchets du PNUE.</w:t>
      </w:r>
    </w:p>
    <w:p w14:paraId="259EEBA5" w14:textId="4B659BAC" w:rsidR="00124DEF" w:rsidRPr="00465C40" w:rsidRDefault="00124DEF"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a rejoint l</w:t>
      </w:r>
      <w:r w:rsidR="00465C40" w:rsidRPr="00465C40">
        <w:rPr>
          <w:lang w:val="fr-FR"/>
        </w:rPr>
        <w:t>’</w:t>
      </w:r>
      <w:r w:rsidRPr="00465C40">
        <w:rPr>
          <w:lang w:val="fr-FR"/>
        </w:rPr>
        <w:t xml:space="preserve">Initiative « Douanes vertes », </w:t>
      </w:r>
      <w:r w:rsidR="00184C1A">
        <w:rPr>
          <w:lang w:val="fr-FR"/>
        </w:rPr>
        <w:t xml:space="preserve">qui est </w:t>
      </w:r>
      <w:r w:rsidRPr="00465C40">
        <w:rPr>
          <w:lang w:val="fr-FR"/>
        </w:rPr>
        <w:t>un partenariat d</w:t>
      </w:r>
      <w:r w:rsidR="00465C40" w:rsidRPr="00465C40">
        <w:rPr>
          <w:lang w:val="fr-FR"/>
        </w:rPr>
        <w:t>’</w:t>
      </w:r>
      <w:r w:rsidRPr="00465C40">
        <w:rPr>
          <w:lang w:val="fr-FR"/>
        </w:rPr>
        <w:t>organisations internationales visant à empêcher le commerce illicite de produits de base ou de substances présentant un risque pour l</w:t>
      </w:r>
      <w:r w:rsidR="00465C40" w:rsidRPr="00465C40">
        <w:rPr>
          <w:lang w:val="fr-FR"/>
        </w:rPr>
        <w:t>’</w:t>
      </w:r>
      <w:r w:rsidRPr="00465C40">
        <w:rPr>
          <w:lang w:val="fr-FR"/>
        </w:rPr>
        <w:t>environnement et à faciliter le commerce légal. La prochaine réunion de l</w:t>
      </w:r>
      <w:r w:rsidR="00465C40" w:rsidRPr="00465C40">
        <w:rPr>
          <w:lang w:val="fr-FR"/>
        </w:rPr>
        <w:t>’</w:t>
      </w:r>
      <w:r w:rsidRPr="00465C40">
        <w:rPr>
          <w:lang w:val="fr-FR"/>
        </w:rPr>
        <w:t>Init</w:t>
      </w:r>
      <w:r w:rsidR="00797AE3">
        <w:rPr>
          <w:lang w:val="fr-FR"/>
        </w:rPr>
        <w:t>iative doit se tenir les 2 et 3 </w:t>
      </w:r>
      <w:r w:rsidRPr="00465C40">
        <w:rPr>
          <w:lang w:val="fr-FR"/>
        </w:rPr>
        <w:t>octobre 2019 à Genève.</w:t>
      </w:r>
    </w:p>
    <w:p w14:paraId="5CC2D482" w14:textId="46238121" w:rsidR="00737161" w:rsidRPr="00465C40" w:rsidRDefault="009C69E8"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La Secrétaire exécutive de la Convention de Minamata présentera un exposé en plénière à l</w:t>
      </w:r>
      <w:r w:rsidR="00465C40" w:rsidRPr="00465C40">
        <w:rPr>
          <w:lang w:val="fr-FR"/>
        </w:rPr>
        <w:t>’</w:t>
      </w:r>
      <w:r w:rsidR="00797AE3">
        <w:rPr>
          <w:lang w:val="fr-FR"/>
        </w:rPr>
        <w:t>occasion de la quatorzième </w:t>
      </w:r>
      <w:r w:rsidRPr="00465C40">
        <w:rPr>
          <w:lang w:val="fr-FR"/>
        </w:rPr>
        <w:t>Conférence internationale sur le mercure en tant que polluant mondial, q</w:t>
      </w:r>
      <w:r w:rsidR="00797AE3">
        <w:rPr>
          <w:lang w:val="fr-FR"/>
        </w:rPr>
        <w:t>ui doit se tenir du 8 au 13 </w:t>
      </w:r>
      <w:r w:rsidRPr="00465C40">
        <w:rPr>
          <w:lang w:val="fr-FR"/>
        </w:rPr>
        <w:t>septembre 2019 à Cracovie (Pologne), au sujet de l</w:t>
      </w:r>
      <w:r w:rsidR="00465C40" w:rsidRPr="00465C40">
        <w:rPr>
          <w:lang w:val="fr-FR"/>
        </w:rPr>
        <w:t>’</w:t>
      </w:r>
      <w:r w:rsidRPr="00465C40">
        <w:rPr>
          <w:lang w:val="fr-FR"/>
        </w:rPr>
        <w:t xml:space="preserve">importance de </w:t>
      </w:r>
      <w:r w:rsidR="00BD0B93">
        <w:rPr>
          <w:lang w:val="fr-FR"/>
        </w:rPr>
        <w:t>la</w:t>
      </w:r>
      <w:r w:rsidRPr="00465C40">
        <w:rPr>
          <w:lang w:val="fr-FR"/>
        </w:rPr>
        <w:t xml:space="preserve"> scien</w:t>
      </w:r>
      <w:r w:rsidR="00BD0B93">
        <w:rPr>
          <w:lang w:val="fr-FR"/>
        </w:rPr>
        <w:t>ce</w:t>
      </w:r>
      <w:r w:rsidRPr="00465C40">
        <w:rPr>
          <w:lang w:val="fr-FR"/>
        </w:rPr>
        <w:t xml:space="preserve"> </w:t>
      </w:r>
      <w:r w:rsidR="00184C1A">
        <w:rPr>
          <w:lang w:val="fr-FR"/>
        </w:rPr>
        <w:t>pour</w:t>
      </w:r>
      <w:r w:rsidRPr="00465C40">
        <w:rPr>
          <w:lang w:val="fr-FR"/>
        </w:rPr>
        <w:t xml:space="preserve"> la mise en œuvre de la Convention de Minamata. Le secrétariat </w:t>
      </w:r>
      <w:r w:rsidR="00BD0B93">
        <w:rPr>
          <w:lang w:val="fr-FR"/>
        </w:rPr>
        <w:t>f</w:t>
      </w:r>
      <w:r w:rsidRPr="00465C40">
        <w:rPr>
          <w:lang w:val="fr-FR"/>
        </w:rPr>
        <w:t>era un exposé oral sur l</w:t>
      </w:r>
      <w:r w:rsidR="00465C40" w:rsidRPr="00465C40">
        <w:rPr>
          <w:lang w:val="fr-FR"/>
        </w:rPr>
        <w:t>’</w:t>
      </w:r>
      <w:r w:rsidRPr="00465C40">
        <w:rPr>
          <w:lang w:val="fr-FR"/>
        </w:rPr>
        <w:t>analyse des priorités nationales tirée des évaluations initiales de la Convention de Minamata et une présentation par affiche</w:t>
      </w:r>
      <w:r w:rsidR="00207D59">
        <w:rPr>
          <w:lang w:val="fr-FR"/>
        </w:rPr>
        <w:t>s</w:t>
      </w:r>
      <w:r w:rsidRPr="00465C40">
        <w:rPr>
          <w:lang w:val="fr-FR"/>
        </w:rPr>
        <w:t xml:space="preserve"> sur l</w:t>
      </w:r>
      <w:r w:rsidR="00465C40" w:rsidRPr="00465C40">
        <w:rPr>
          <w:lang w:val="fr-FR"/>
        </w:rPr>
        <w:t>’</w:t>
      </w:r>
      <w:r w:rsidRPr="00465C40">
        <w:rPr>
          <w:lang w:val="fr-FR"/>
        </w:rPr>
        <w:t>élaboration de directives techniques pour la mise en œuvre de la Convention.</w:t>
      </w:r>
    </w:p>
    <w:p w14:paraId="395F6894" w14:textId="154603B9" w:rsidR="00124DEF" w:rsidRPr="00465C40" w:rsidRDefault="00124DEF"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Le secrétariat a participé à d</w:t>
      </w:r>
      <w:r w:rsidR="00465C40" w:rsidRPr="00465C40">
        <w:rPr>
          <w:lang w:val="fr-FR"/>
        </w:rPr>
        <w:t>’</w:t>
      </w:r>
      <w:r w:rsidRPr="00465C40">
        <w:rPr>
          <w:lang w:val="fr-FR"/>
        </w:rPr>
        <w:t xml:space="preserve">autres réunions internationales </w:t>
      </w:r>
      <w:r w:rsidR="00207D59">
        <w:rPr>
          <w:lang w:val="fr-FR"/>
        </w:rPr>
        <w:t>pertinent</w:t>
      </w:r>
      <w:r w:rsidRPr="00465C40">
        <w:rPr>
          <w:lang w:val="fr-FR"/>
        </w:rPr>
        <w:t>es, y compris celles de l</w:t>
      </w:r>
      <w:r w:rsidR="00465C40" w:rsidRPr="00465C40">
        <w:rPr>
          <w:lang w:val="fr-FR"/>
        </w:rPr>
        <w:t>’</w:t>
      </w:r>
      <w:r w:rsidRPr="00465C40">
        <w:rPr>
          <w:lang w:val="fr-FR"/>
        </w:rPr>
        <w:t>Assemblée des Nations Unies pour l</w:t>
      </w:r>
      <w:r w:rsidR="00465C40" w:rsidRPr="00465C40">
        <w:rPr>
          <w:lang w:val="fr-FR"/>
        </w:rPr>
        <w:t>’</w:t>
      </w:r>
      <w:r w:rsidR="00797AE3">
        <w:rPr>
          <w:lang w:val="fr-FR"/>
        </w:rPr>
        <w:t>environnement (11-15 </w:t>
      </w:r>
      <w:r w:rsidRPr="00465C40">
        <w:rPr>
          <w:lang w:val="fr-FR"/>
        </w:rPr>
        <w:t>mars 2019), de l</w:t>
      </w:r>
      <w:r w:rsidR="00465C40" w:rsidRPr="00465C40">
        <w:rPr>
          <w:lang w:val="fr-FR"/>
        </w:rPr>
        <w:t>’</w:t>
      </w:r>
      <w:r w:rsidRPr="00465C40">
        <w:rPr>
          <w:lang w:val="fr-FR"/>
        </w:rPr>
        <w:t>Assemb</w:t>
      </w:r>
      <w:r w:rsidR="00797AE3">
        <w:rPr>
          <w:lang w:val="fr-FR"/>
        </w:rPr>
        <w:t>lée mondiale de la Santé (20-28 </w:t>
      </w:r>
      <w:r w:rsidRPr="00465C40">
        <w:rPr>
          <w:lang w:val="fr-FR"/>
        </w:rPr>
        <w:t>mai 2019) et de l</w:t>
      </w:r>
      <w:r w:rsidR="00465C40" w:rsidRPr="00465C40">
        <w:rPr>
          <w:lang w:val="fr-FR"/>
        </w:rPr>
        <w:t>’</w:t>
      </w:r>
      <w:r w:rsidRPr="00465C40">
        <w:rPr>
          <w:lang w:val="fr-FR"/>
        </w:rPr>
        <w:t>Organe exécutif de la Convention sur la pollution atmosphérique tr</w:t>
      </w:r>
      <w:bookmarkStart w:id="4" w:name="_GoBack"/>
      <w:bookmarkEnd w:id="4"/>
      <w:r w:rsidRPr="00465C40">
        <w:rPr>
          <w:lang w:val="fr-FR"/>
        </w:rPr>
        <w:t>ansfro</w:t>
      </w:r>
      <w:r w:rsidR="00797AE3">
        <w:rPr>
          <w:lang w:val="fr-FR"/>
        </w:rPr>
        <w:t>ntière à longue distance (10-14 </w:t>
      </w:r>
      <w:r w:rsidRPr="00465C40">
        <w:rPr>
          <w:lang w:val="fr-FR"/>
        </w:rPr>
        <w:t>décembre 2018).</w:t>
      </w:r>
    </w:p>
    <w:p w14:paraId="1C3BB814" w14:textId="77777777" w:rsidR="00163DA4" w:rsidRPr="00465C40" w:rsidRDefault="00163DA4" w:rsidP="00F207BF">
      <w:pPr>
        <w:pStyle w:val="CH1"/>
        <w:ind w:left="1871"/>
        <w:rPr>
          <w:lang w:val="fr-FR"/>
        </w:rPr>
      </w:pPr>
      <w:r w:rsidRPr="00465C40">
        <w:rPr>
          <w:lang w:val="fr-FR"/>
        </w:rPr>
        <w:t>VI.</w:t>
      </w:r>
      <w:r w:rsidRPr="00465C40">
        <w:rPr>
          <w:lang w:val="fr-FR"/>
        </w:rPr>
        <w:tab/>
      </w:r>
      <w:r w:rsidRPr="00465C40">
        <w:rPr>
          <w:bCs/>
          <w:lang w:val="fr-FR"/>
        </w:rPr>
        <w:t>Mesure que pourrait prendre la Conférence des Parties</w:t>
      </w:r>
    </w:p>
    <w:p w14:paraId="3A11A797" w14:textId="77777777" w:rsidR="00163DA4" w:rsidRPr="00465C40" w:rsidRDefault="00163DA4" w:rsidP="00ED53BC">
      <w:pPr>
        <w:pStyle w:val="Normalnumber"/>
        <w:tabs>
          <w:tab w:val="clear" w:pos="1134"/>
          <w:tab w:val="clear" w:pos="1247"/>
          <w:tab w:val="clear" w:pos="1814"/>
          <w:tab w:val="clear" w:pos="2381"/>
          <w:tab w:val="clear" w:pos="2948"/>
          <w:tab w:val="clear" w:pos="3515"/>
          <w:tab w:val="clear" w:pos="4082"/>
          <w:tab w:val="num" w:pos="624"/>
        </w:tabs>
        <w:rPr>
          <w:lang w:val="fr-FR"/>
        </w:rPr>
      </w:pPr>
      <w:r w:rsidRPr="00465C40">
        <w:rPr>
          <w:lang w:val="fr-FR"/>
        </w:rPr>
        <w:t xml:space="preserve">La Conférence des Parties souhaitera peut-être prendre note des principales activités menées par le secrétariat durant la période intersessions écoulée depuis sa deuxième réunion. </w:t>
      </w:r>
    </w:p>
    <w:p w14:paraId="52571AE7" w14:textId="3188294E" w:rsidR="001D2D56" w:rsidRPr="00465C40" w:rsidRDefault="00797AE3" w:rsidP="00797AE3">
      <w:pPr>
        <w:pStyle w:val="Normal-pool"/>
        <w:jc w:val="center"/>
        <w:rPr>
          <w:lang w:val="fr-FR"/>
        </w:rPr>
      </w:pPr>
      <w:r>
        <w:rPr>
          <w:lang w:val="fr-FR"/>
        </w:rPr>
        <w:t xml:space="preserve"> ________________</w:t>
      </w:r>
    </w:p>
    <w:bookmarkEnd w:id="0"/>
    <w:sectPr w:rsidR="001D2D56" w:rsidRPr="00465C40"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B9C68" w14:textId="77777777" w:rsidR="009307B6" w:rsidRDefault="009307B6">
      <w:r>
        <w:separator/>
      </w:r>
    </w:p>
  </w:endnote>
  <w:endnote w:type="continuationSeparator" w:id="0">
    <w:p w14:paraId="1682850C" w14:textId="77777777" w:rsidR="009307B6" w:rsidRDefault="00930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9F0B8" w14:textId="5F023B71" w:rsidR="001C49B7" w:rsidRDefault="001C49B7" w:rsidP="005722E5">
    <w:pPr>
      <w:pStyle w:val="Footer"/>
      <w:tabs>
        <w:tab w:val="clear" w:pos="1247"/>
        <w:tab w:val="clear" w:pos="1814"/>
        <w:tab w:val="clear" w:pos="2381"/>
        <w:tab w:val="clear" w:pos="2948"/>
        <w:tab w:val="clear" w:pos="3515"/>
        <w:tab w:val="clear" w:pos="4320"/>
        <w:tab w:val="clear" w:pos="8640"/>
        <w:tab w:val="center" w:pos="4748"/>
      </w:tabs>
    </w:pPr>
    <w:r>
      <w:rPr>
        <w:rStyle w:val="PageNumber"/>
      </w:rPr>
      <w:fldChar w:fldCharType="begin"/>
    </w:r>
    <w:r>
      <w:rPr>
        <w:rStyle w:val="PageNumber"/>
      </w:rPr>
      <w:instrText xml:space="preserve"> PAGE </w:instrText>
    </w:r>
    <w:r>
      <w:rPr>
        <w:rStyle w:val="PageNumber"/>
      </w:rPr>
      <w:fldChar w:fldCharType="separate"/>
    </w:r>
    <w:r w:rsidR="00AF6E6F">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5AB0A" w14:textId="47F79F46" w:rsidR="001C49B7" w:rsidRDefault="001C49B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F6E6F">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8DAAA" w14:textId="2FD8120D" w:rsidR="001C49B7" w:rsidRPr="00116AF5" w:rsidRDefault="001C49B7" w:rsidP="00B848A1">
    <w:pPr>
      <w:pStyle w:val="Footer"/>
      <w:tabs>
        <w:tab w:val="clear" w:pos="1247"/>
        <w:tab w:val="clear" w:pos="1814"/>
        <w:tab w:val="clear" w:pos="2381"/>
        <w:tab w:val="clear" w:pos="2948"/>
        <w:tab w:val="clear" w:pos="3515"/>
        <w:tab w:val="clear" w:pos="4320"/>
        <w:tab w:val="clear" w:pos="8640"/>
        <w:tab w:val="left" w:pos="624"/>
      </w:tabs>
      <w:rPr>
        <w:sz w:val="20"/>
      </w:rPr>
    </w:pPr>
    <w:r>
      <w:rPr>
        <w:lang w:val="fr-FR"/>
      </w:rPr>
      <w:t>K1903669</w:t>
    </w:r>
    <w:r>
      <w:rPr>
        <w:lang w:val="fr-FR"/>
      </w:rPr>
      <w:tab/>
    </w:r>
    <w:r w:rsidR="007E71CE">
      <w:rPr>
        <w:lang w:val="fr-FR"/>
      </w:rPr>
      <w:t>25</w:t>
    </w:r>
    <w:r w:rsidR="001069EF">
      <w:rPr>
        <w:lang w:val="fr-FR"/>
      </w:rPr>
      <w:t>09</w:t>
    </w:r>
    <w:r>
      <w:rPr>
        <w:lang w:val="fr-FR"/>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E8ACC" w14:textId="77777777" w:rsidR="009307B6" w:rsidRDefault="009307B6" w:rsidP="00B86BDF">
      <w:pPr>
        <w:spacing w:before="60"/>
        <w:ind w:left="624"/>
      </w:pPr>
      <w:r>
        <w:separator/>
      </w:r>
    </w:p>
  </w:footnote>
  <w:footnote w:type="continuationSeparator" w:id="0">
    <w:p w14:paraId="22A51FD5" w14:textId="77777777" w:rsidR="009307B6" w:rsidRDefault="009307B6">
      <w:r>
        <w:continuationSeparator/>
      </w:r>
    </w:p>
  </w:footnote>
  <w:footnote w:id="1">
    <w:p w14:paraId="06EDEB7C" w14:textId="77777777" w:rsidR="001C49B7" w:rsidRPr="00626E7C" w:rsidRDefault="001C49B7" w:rsidP="001D2D56">
      <w:pPr>
        <w:tabs>
          <w:tab w:val="left" w:pos="624"/>
        </w:tabs>
        <w:spacing w:before="20" w:after="40"/>
        <w:ind w:left="1247"/>
        <w:rPr>
          <w:sz w:val="18"/>
          <w:szCs w:val="18"/>
          <w:lang w:val="fr-FR"/>
        </w:rPr>
      </w:pPr>
      <w:r w:rsidRPr="00626E7C">
        <w:rPr>
          <w:sz w:val="18"/>
          <w:szCs w:val="18"/>
          <w:lang w:val="fr-FR"/>
        </w:rPr>
        <w:t>* UNEP/MC/COP.3/1.</w:t>
      </w:r>
    </w:p>
  </w:footnote>
  <w:footnote w:id="2">
    <w:p w14:paraId="706F98E9" w14:textId="77777777" w:rsidR="001C49B7" w:rsidRPr="000760B6" w:rsidRDefault="001C49B7" w:rsidP="00ED53BC">
      <w:pPr>
        <w:pStyle w:val="FootnoteText"/>
        <w:tabs>
          <w:tab w:val="clear" w:pos="1247"/>
          <w:tab w:val="clear" w:pos="1814"/>
          <w:tab w:val="clear" w:pos="2381"/>
          <w:tab w:val="clear" w:pos="2948"/>
          <w:tab w:val="clear" w:pos="3515"/>
          <w:tab w:val="clear" w:pos="4082"/>
        </w:tabs>
        <w:rPr>
          <w:szCs w:val="18"/>
        </w:rPr>
      </w:pPr>
      <w:r w:rsidRPr="00E87859">
        <w:rPr>
          <w:rStyle w:val="FootnoteReference"/>
          <w:sz w:val="18"/>
        </w:rPr>
        <w:footnoteRef/>
      </w:r>
      <w:r>
        <w:t xml:space="preserve"> http://mercuryconvention.org/Meetings/COPBureau/tabid/6328/language/en-US/Default.aspx (en anglais uniquement).</w:t>
      </w:r>
    </w:p>
  </w:footnote>
  <w:footnote w:id="3">
    <w:p w14:paraId="044A0A93" w14:textId="77777777" w:rsidR="001C49B7" w:rsidRPr="009C71F9" w:rsidRDefault="001C49B7">
      <w:pPr>
        <w:pStyle w:val="FootnoteText"/>
        <w:rPr>
          <w:szCs w:val="18"/>
        </w:rPr>
      </w:pPr>
      <w:r w:rsidRPr="009C71F9">
        <w:rPr>
          <w:rStyle w:val="FootnoteReference"/>
          <w:sz w:val="18"/>
        </w:rPr>
        <w:footnoteRef/>
      </w:r>
      <w:r>
        <w:t xml:space="preserve"> http://www.mercuryconvention.org/Meetings/Othermeetings/tabid/8102/language/en-US/Default.aspx (en anglais uniquement).</w:t>
      </w:r>
    </w:p>
  </w:footnote>
  <w:footnote w:id="4">
    <w:p w14:paraId="27845A7B" w14:textId="77777777" w:rsidR="001C49B7" w:rsidRPr="009C71F9" w:rsidRDefault="001C49B7">
      <w:pPr>
        <w:pStyle w:val="FootnoteText"/>
        <w:rPr>
          <w:szCs w:val="18"/>
        </w:rPr>
      </w:pPr>
      <w:r w:rsidRPr="009C71F9">
        <w:rPr>
          <w:rStyle w:val="FootnoteReference"/>
          <w:sz w:val="18"/>
        </w:rPr>
        <w:footnoteRef/>
      </w:r>
      <w:r>
        <w:t xml:space="preserve"> http://www.mercuryconvention.org/Countries/Parties/MinamataInitialAssessments/tabid/6166/language/ en-US/Default.aspx (en anglais uniquement).</w:t>
      </w:r>
    </w:p>
  </w:footnote>
  <w:footnote w:id="5">
    <w:p w14:paraId="70F9DD6E" w14:textId="7B7CCA23" w:rsidR="00897644" w:rsidRPr="003E6660" w:rsidRDefault="00897644" w:rsidP="00897644">
      <w:pPr>
        <w:pStyle w:val="FootnoteText"/>
      </w:pPr>
      <w:r>
        <w:rPr>
          <w:rStyle w:val="FootnoteReference"/>
        </w:rPr>
        <w:footnoteRef/>
      </w:r>
      <w:r w:rsidRPr="003E6660">
        <w:t xml:space="preserve"> </w:t>
      </w:r>
      <w:hyperlink r:id="rId1" w:history="1">
        <w:r w:rsidRPr="003E6660">
          <w:rPr>
            <w:rStyle w:val="Hyperlink"/>
            <w:rFonts w:eastAsia="Times New Roman"/>
            <w:sz w:val="18"/>
            <w:szCs w:val="18"/>
          </w:rPr>
          <w:t>http://www.mercuryconvention.org/Countries/Parties/MinamataInitialAssessments/tabid/6166/language/en-US/Default.aspx</w:t>
        </w:r>
      </w:hyperlink>
      <w:r w:rsidRPr="003E6660">
        <w:rPr>
          <w:rFonts w:eastAsia="Times New Roma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5C1EB" w14:textId="03134E5C" w:rsidR="001C49B7" w:rsidRPr="00CA5CA9" w:rsidRDefault="001C49B7" w:rsidP="00163DA4">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9F3B" w14:textId="16B1CA95" w:rsidR="001C49B7" w:rsidRPr="00CA5CA9" w:rsidRDefault="001C49B7" w:rsidP="00163DA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64C59" w14:textId="0E739477" w:rsidR="001C49B7" w:rsidRDefault="001C49B7"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7D25E7"/>
    <w:multiLevelType w:val="multilevel"/>
    <w:tmpl w:val="ADA4DD50"/>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47F0"/>
    <w:rsid w:val="000057BB"/>
    <w:rsid w:val="00006326"/>
    <w:rsid w:val="000077AD"/>
    <w:rsid w:val="00007A10"/>
    <w:rsid w:val="000119F4"/>
    <w:rsid w:val="00011A16"/>
    <w:rsid w:val="000129ED"/>
    <w:rsid w:val="000149E6"/>
    <w:rsid w:val="00015793"/>
    <w:rsid w:val="00016905"/>
    <w:rsid w:val="00016D74"/>
    <w:rsid w:val="000229C8"/>
    <w:rsid w:val="00023CDA"/>
    <w:rsid w:val="00023DA9"/>
    <w:rsid w:val="000247B0"/>
    <w:rsid w:val="00025A6E"/>
    <w:rsid w:val="00025DEC"/>
    <w:rsid w:val="0002601B"/>
    <w:rsid w:val="00026997"/>
    <w:rsid w:val="00026A08"/>
    <w:rsid w:val="00032E4E"/>
    <w:rsid w:val="00033E0B"/>
    <w:rsid w:val="00035625"/>
    <w:rsid w:val="00035EDE"/>
    <w:rsid w:val="00040940"/>
    <w:rsid w:val="00043564"/>
    <w:rsid w:val="000476E5"/>
    <w:rsid w:val="00047F86"/>
    <w:rsid w:val="000509B4"/>
    <w:rsid w:val="00050F80"/>
    <w:rsid w:val="000520F4"/>
    <w:rsid w:val="00055E34"/>
    <w:rsid w:val="00056DD3"/>
    <w:rsid w:val="0006035B"/>
    <w:rsid w:val="0006096F"/>
    <w:rsid w:val="00060C96"/>
    <w:rsid w:val="000638B5"/>
    <w:rsid w:val="000649C5"/>
    <w:rsid w:val="00065554"/>
    <w:rsid w:val="00065F1D"/>
    <w:rsid w:val="00067D06"/>
    <w:rsid w:val="00071886"/>
    <w:rsid w:val="000742BC"/>
    <w:rsid w:val="00075E14"/>
    <w:rsid w:val="00076075"/>
    <w:rsid w:val="00076CC6"/>
    <w:rsid w:val="00082A0C"/>
    <w:rsid w:val="00083504"/>
    <w:rsid w:val="00086CCA"/>
    <w:rsid w:val="0009125A"/>
    <w:rsid w:val="0009640C"/>
    <w:rsid w:val="00096E1A"/>
    <w:rsid w:val="000A1084"/>
    <w:rsid w:val="000A2160"/>
    <w:rsid w:val="000A2585"/>
    <w:rsid w:val="000A34F8"/>
    <w:rsid w:val="000A776F"/>
    <w:rsid w:val="000B157E"/>
    <w:rsid w:val="000B21BF"/>
    <w:rsid w:val="000B22A2"/>
    <w:rsid w:val="000B2815"/>
    <w:rsid w:val="000B541B"/>
    <w:rsid w:val="000B73F9"/>
    <w:rsid w:val="000C1879"/>
    <w:rsid w:val="000C2A52"/>
    <w:rsid w:val="000C2A88"/>
    <w:rsid w:val="000C367F"/>
    <w:rsid w:val="000C681B"/>
    <w:rsid w:val="000D23BD"/>
    <w:rsid w:val="000D33C0"/>
    <w:rsid w:val="000D4CF6"/>
    <w:rsid w:val="000D6941"/>
    <w:rsid w:val="000E0741"/>
    <w:rsid w:val="000E15AC"/>
    <w:rsid w:val="000E2EFB"/>
    <w:rsid w:val="000F3DCD"/>
    <w:rsid w:val="000F4829"/>
    <w:rsid w:val="000F5749"/>
    <w:rsid w:val="000F5EE9"/>
    <w:rsid w:val="000F6B21"/>
    <w:rsid w:val="00101046"/>
    <w:rsid w:val="00102259"/>
    <w:rsid w:val="00102EFB"/>
    <w:rsid w:val="00103F61"/>
    <w:rsid w:val="001069EF"/>
    <w:rsid w:val="00116AF5"/>
    <w:rsid w:val="001202E3"/>
    <w:rsid w:val="00123699"/>
    <w:rsid w:val="001241FB"/>
    <w:rsid w:val="00124DEF"/>
    <w:rsid w:val="0012529D"/>
    <w:rsid w:val="0013059D"/>
    <w:rsid w:val="0013415C"/>
    <w:rsid w:val="00136187"/>
    <w:rsid w:val="00141A55"/>
    <w:rsid w:val="0014293F"/>
    <w:rsid w:val="0014397D"/>
    <w:rsid w:val="0014440E"/>
    <w:rsid w:val="001446A3"/>
    <w:rsid w:val="0015159C"/>
    <w:rsid w:val="00152B6B"/>
    <w:rsid w:val="00155395"/>
    <w:rsid w:val="00155A2F"/>
    <w:rsid w:val="001564AD"/>
    <w:rsid w:val="00156B6B"/>
    <w:rsid w:val="001571D5"/>
    <w:rsid w:val="00160153"/>
    <w:rsid w:val="00160703"/>
    <w:rsid w:val="00160D74"/>
    <w:rsid w:val="00161DCC"/>
    <w:rsid w:val="001636CA"/>
    <w:rsid w:val="00163DA4"/>
    <w:rsid w:val="001646EA"/>
    <w:rsid w:val="001647B4"/>
    <w:rsid w:val="00164B5A"/>
    <w:rsid w:val="00167D02"/>
    <w:rsid w:val="0017273E"/>
    <w:rsid w:val="00173777"/>
    <w:rsid w:val="001759D8"/>
    <w:rsid w:val="00176D34"/>
    <w:rsid w:val="00177D7F"/>
    <w:rsid w:val="00180C3F"/>
    <w:rsid w:val="00181EC8"/>
    <w:rsid w:val="00184349"/>
    <w:rsid w:val="001846ED"/>
    <w:rsid w:val="00184C1A"/>
    <w:rsid w:val="00185FEA"/>
    <w:rsid w:val="00195F33"/>
    <w:rsid w:val="00196301"/>
    <w:rsid w:val="001A0D41"/>
    <w:rsid w:val="001A47E5"/>
    <w:rsid w:val="001A60BF"/>
    <w:rsid w:val="001A7AEF"/>
    <w:rsid w:val="001B1617"/>
    <w:rsid w:val="001B4AD2"/>
    <w:rsid w:val="001B504B"/>
    <w:rsid w:val="001B6AD6"/>
    <w:rsid w:val="001B6F98"/>
    <w:rsid w:val="001B764C"/>
    <w:rsid w:val="001C0D85"/>
    <w:rsid w:val="001C191A"/>
    <w:rsid w:val="001C2145"/>
    <w:rsid w:val="001C3C6E"/>
    <w:rsid w:val="001C49B7"/>
    <w:rsid w:val="001C73D3"/>
    <w:rsid w:val="001D2D56"/>
    <w:rsid w:val="001D2E42"/>
    <w:rsid w:val="001D3874"/>
    <w:rsid w:val="001D3938"/>
    <w:rsid w:val="001D5446"/>
    <w:rsid w:val="001D5BAB"/>
    <w:rsid w:val="001D6C02"/>
    <w:rsid w:val="001D7810"/>
    <w:rsid w:val="001D7E75"/>
    <w:rsid w:val="001E0D73"/>
    <w:rsid w:val="001E45BD"/>
    <w:rsid w:val="001E56D2"/>
    <w:rsid w:val="001E6A71"/>
    <w:rsid w:val="001E7D56"/>
    <w:rsid w:val="001E7DCA"/>
    <w:rsid w:val="001F5186"/>
    <w:rsid w:val="001F6E92"/>
    <w:rsid w:val="001F75DE"/>
    <w:rsid w:val="00200D58"/>
    <w:rsid w:val="002011C1"/>
    <w:rsid w:val="002013BE"/>
    <w:rsid w:val="00201EDC"/>
    <w:rsid w:val="00202044"/>
    <w:rsid w:val="002021AC"/>
    <w:rsid w:val="00205D40"/>
    <w:rsid w:val="002063A4"/>
    <w:rsid w:val="00207D59"/>
    <w:rsid w:val="00210333"/>
    <w:rsid w:val="0021145B"/>
    <w:rsid w:val="00214004"/>
    <w:rsid w:val="0021564E"/>
    <w:rsid w:val="00215C42"/>
    <w:rsid w:val="00220C23"/>
    <w:rsid w:val="002247F6"/>
    <w:rsid w:val="00225520"/>
    <w:rsid w:val="00225E21"/>
    <w:rsid w:val="00225E44"/>
    <w:rsid w:val="00226649"/>
    <w:rsid w:val="002269BD"/>
    <w:rsid w:val="00234467"/>
    <w:rsid w:val="00234E78"/>
    <w:rsid w:val="0024221E"/>
    <w:rsid w:val="0024373E"/>
    <w:rsid w:val="00243D36"/>
    <w:rsid w:val="002444E5"/>
    <w:rsid w:val="00246151"/>
    <w:rsid w:val="0024701C"/>
    <w:rsid w:val="00247707"/>
    <w:rsid w:val="00247F3D"/>
    <w:rsid w:val="00252456"/>
    <w:rsid w:val="00256AAB"/>
    <w:rsid w:val="0026018E"/>
    <w:rsid w:val="00263DA2"/>
    <w:rsid w:val="00263DB4"/>
    <w:rsid w:val="002645CB"/>
    <w:rsid w:val="00264E52"/>
    <w:rsid w:val="00265316"/>
    <w:rsid w:val="0026658C"/>
    <w:rsid w:val="00267570"/>
    <w:rsid w:val="00274BDF"/>
    <w:rsid w:val="00280DC1"/>
    <w:rsid w:val="00282AA4"/>
    <w:rsid w:val="00286740"/>
    <w:rsid w:val="00291EAE"/>
    <w:rsid w:val="002929D8"/>
    <w:rsid w:val="00293E1B"/>
    <w:rsid w:val="00295021"/>
    <w:rsid w:val="002A1A9B"/>
    <w:rsid w:val="002A237D"/>
    <w:rsid w:val="002A3012"/>
    <w:rsid w:val="002A3A95"/>
    <w:rsid w:val="002A4936"/>
    <w:rsid w:val="002A4C53"/>
    <w:rsid w:val="002A5CFF"/>
    <w:rsid w:val="002B0672"/>
    <w:rsid w:val="002B1A53"/>
    <w:rsid w:val="002B247F"/>
    <w:rsid w:val="002B3321"/>
    <w:rsid w:val="002B50D4"/>
    <w:rsid w:val="002B58BF"/>
    <w:rsid w:val="002C145D"/>
    <w:rsid w:val="002C2C3E"/>
    <w:rsid w:val="002C533E"/>
    <w:rsid w:val="002C7EFA"/>
    <w:rsid w:val="002D027F"/>
    <w:rsid w:val="002D3E15"/>
    <w:rsid w:val="002D5418"/>
    <w:rsid w:val="002D7A85"/>
    <w:rsid w:val="002D7B60"/>
    <w:rsid w:val="002E5027"/>
    <w:rsid w:val="002F15A5"/>
    <w:rsid w:val="002F16C5"/>
    <w:rsid w:val="002F4761"/>
    <w:rsid w:val="002F5C79"/>
    <w:rsid w:val="002F63CB"/>
    <w:rsid w:val="002F63F2"/>
    <w:rsid w:val="002F68EE"/>
    <w:rsid w:val="002F72BF"/>
    <w:rsid w:val="002F7DFA"/>
    <w:rsid w:val="003019E2"/>
    <w:rsid w:val="00303F72"/>
    <w:rsid w:val="00306355"/>
    <w:rsid w:val="003068E0"/>
    <w:rsid w:val="00310BEB"/>
    <w:rsid w:val="003125A4"/>
    <w:rsid w:val="0031413F"/>
    <w:rsid w:val="00314854"/>
    <w:rsid w:val="003148BB"/>
    <w:rsid w:val="00317976"/>
    <w:rsid w:val="00317AED"/>
    <w:rsid w:val="00320F2F"/>
    <w:rsid w:val="0032111B"/>
    <w:rsid w:val="0032457E"/>
    <w:rsid w:val="00325D38"/>
    <w:rsid w:val="0033079C"/>
    <w:rsid w:val="00332A3E"/>
    <w:rsid w:val="003359D6"/>
    <w:rsid w:val="003436EE"/>
    <w:rsid w:val="00344A39"/>
    <w:rsid w:val="00347E2A"/>
    <w:rsid w:val="0035277E"/>
    <w:rsid w:val="003542DD"/>
    <w:rsid w:val="00355EA9"/>
    <w:rsid w:val="003578DE"/>
    <w:rsid w:val="00361688"/>
    <w:rsid w:val="00363C11"/>
    <w:rsid w:val="00364A8A"/>
    <w:rsid w:val="00367FD2"/>
    <w:rsid w:val="00370AEC"/>
    <w:rsid w:val="003802A9"/>
    <w:rsid w:val="00380921"/>
    <w:rsid w:val="003877D5"/>
    <w:rsid w:val="00391C83"/>
    <w:rsid w:val="003929B8"/>
    <w:rsid w:val="00393432"/>
    <w:rsid w:val="00393C59"/>
    <w:rsid w:val="00396257"/>
    <w:rsid w:val="003962DC"/>
    <w:rsid w:val="003965CD"/>
    <w:rsid w:val="00397EB8"/>
    <w:rsid w:val="003A4FD0"/>
    <w:rsid w:val="003A69D1"/>
    <w:rsid w:val="003A6D07"/>
    <w:rsid w:val="003A7378"/>
    <w:rsid w:val="003A7705"/>
    <w:rsid w:val="003A77F1"/>
    <w:rsid w:val="003B1545"/>
    <w:rsid w:val="003B2198"/>
    <w:rsid w:val="003B3F20"/>
    <w:rsid w:val="003B57EE"/>
    <w:rsid w:val="003C0BCD"/>
    <w:rsid w:val="003C3219"/>
    <w:rsid w:val="003C390C"/>
    <w:rsid w:val="003C409D"/>
    <w:rsid w:val="003C4544"/>
    <w:rsid w:val="003C4BEA"/>
    <w:rsid w:val="003C5583"/>
    <w:rsid w:val="003C5BA6"/>
    <w:rsid w:val="003C74CF"/>
    <w:rsid w:val="003C7BFD"/>
    <w:rsid w:val="003D2EBD"/>
    <w:rsid w:val="003D3752"/>
    <w:rsid w:val="003D5383"/>
    <w:rsid w:val="003E163E"/>
    <w:rsid w:val="003E19B5"/>
    <w:rsid w:val="003E35DA"/>
    <w:rsid w:val="003E396D"/>
    <w:rsid w:val="003E455D"/>
    <w:rsid w:val="003E6340"/>
    <w:rsid w:val="003E6660"/>
    <w:rsid w:val="003E787F"/>
    <w:rsid w:val="003F0E85"/>
    <w:rsid w:val="003F4ACC"/>
    <w:rsid w:val="003F5410"/>
    <w:rsid w:val="00400697"/>
    <w:rsid w:val="00401406"/>
    <w:rsid w:val="00404AAE"/>
    <w:rsid w:val="00405DE0"/>
    <w:rsid w:val="004074A7"/>
    <w:rsid w:val="0041070F"/>
    <w:rsid w:val="00410C55"/>
    <w:rsid w:val="004156B9"/>
    <w:rsid w:val="00416337"/>
    <w:rsid w:val="00416854"/>
    <w:rsid w:val="00417725"/>
    <w:rsid w:val="0041774D"/>
    <w:rsid w:val="00422478"/>
    <w:rsid w:val="0042266F"/>
    <w:rsid w:val="00422F9C"/>
    <w:rsid w:val="00424ACE"/>
    <w:rsid w:val="004324B2"/>
    <w:rsid w:val="00434321"/>
    <w:rsid w:val="00436481"/>
    <w:rsid w:val="00437F26"/>
    <w:rsid w:val="00444097"/>
    <w:rsid w:val="00445487"/>
    <w:rsid w:val="004455F3"/>
    <w:rsid w:val="00447E0D"/>
    <w:rsid w:val="004528D4"/>
    <w:rsid w:val="00453EA8"/>
    <w:rsid w:val="00454769"/>
    <w:rsid w:val="00454AC0"/>
    <w:rsid w:val="004568C3"/>
    <w:rsid w:val="00465C40"/>
    <w:rsid w:val="00466991"/>
    <w:rsid w:val="00466E9A"/>
    <w:rsid w:val="0046742E"/>
    <w:rsid w:val="0047064C"/>
    <w:rsid w:val="00471EFD"/>
    <w:rsid w:val="00473ADC"/>
    <w:rsid w:val="004744ED"/>
    <w:rsid w:val="00476998"/>
    <w:rsid w:val="00476F2F"/>
    <w:rsid w:val="00477DD2"/>
    <w:rsid w:val="00481A02"/>
    <w:rsid w:val="004822B7"/>
    <w:rsid w:val="004834A0"/>
    <w:rsid w:val="0048795D"/>
    <w:rsid w:val="00491546"/>
    <w:rsid w:val="00493C8B"/>
    <w:rsid w:val="0049469E"/>
    <w:rsid w:val="004951E0"/>
    <w:rsid w:val="004A0EA9"/>
    <w:rsid w:val="004A1764"/>
    <w:rsid w:val="004A2217"/>
    <w:rsid w:val="004A24F9"/>
    <w:rsid w:val="004A41A6"/>
    <w:rsid w:val="004A42E1"/>
    <w:rsid w:val="004A5A14"/>
    <w:rsid w:val="004B162C"/>
    <w:rsid w:val="004B2ABE"/>
    <w:rsid w:val="004B2B09"/>
    <w:rsid w:val="004B306E"/>
    <w:rsid w:val="004B41E8"/>
    <w:rsid w:val="004B6D73"/>
    <w:rsid w:val="004C395E"/>
    <w:rsid w:val="004C3DBE"/>
    <w:rsid w:val="004C57A1"/>
    <w:rsid w:val="004C5C96"/>
    <w:rsid w:val="004D06A4"/>
    <w:rsid w:val="004D1108"/>
    <w:rsid w:val="004D1E58"/>
    <w:rsid w:val="004D2474"/>
    <w:rsid w:val="004D3532"/>
    <w:rsid w:val="004D7C42"/>
    <w:rsid w:val="004E7605"/>
    <w:rsid w:val="004F110B"/>
    <w:rsid w:val="004F1A81"/>
    <w:rsid w:val="004F241C"/>
    <w:rsid w:val="004F5D88"/>
    <w:rsid w:val="00501354"/>
    <w:rsid w:val="005018A8"/>
    <w:rsid w:val="0050443A"/>
    <w:rsid w:val="005050D2"/>
    <w:rsid w:val="0050717C"/>
    <w:rsid w:val="00510E10"/>
    <w:rsid w:val="0051234D"/>
    <w:rsid w:val="005143C3"/>
    <w:rsid w:val="005218D9"/>
    <w:rsid w:val="00522D1E"/>
    <w:rsid w:val="00522F70"/>
    <w:rsid w:val="00523412"/>
    <w:rsid w:val="00533846"/>
    <w:rsid w:val="0053537B"/>
    <w:rsid w:val="005357D4"/>
    <w:rsid w:val="00536186"/>
    <w:rsid w:val="00536286"/>
    <w:rsid w:val="00540BDB"/>
    <w:rsid w:val="00542347"/>
    <w:rsid w:val="00543ED6"/>
    <w:rsid w:val="005443E2"/>
    <w:rsid w:val="00544992"/>
    <w:rsid w:val="00544CBB"/>
    <w:rsid w:val="00545DED"/>
    <w:rsid w:val="0054632F"/>
    <w:rsid w:val="0055010C"/>
    <w:rsid w:val="00550474"/>
    <w:rsid w:val="005506E0"/>
    <w:rsid w:val="00551B65"/>
    <w:rsid w:val="00552EBE"/>
    <w:rsid w:val="00554EF6"/>
    <w:rsid w:val="00555A3B"/>
    <w:rsid w:val="00556704"/>
    <w:rsid w:val="0056514B"/>
    <w:rsid w:val="005656D7"/>
    <w:rsid w:val="00567DF5"/>
    <w:rsid w:val="00567FE0"/>
    <w:rsid w:val="005722E5"/>
    <w:rsid w:val="0057315F"/>
    <w:rsid w:val="0057433C"/>
    <w:rsid w:val="00576104"/>
    <w:rsid w:val="0058346B"/>
    <w:rsid w:val="00586418"/>
    <w:rsid w:val="005867AF"/>
    <w:rsid w:val="00592B21"/>
    <w:rsid w:val="00594AAE"/>
    <w:rsid w:val="005A204C"/>
    <w:rsid w:val="005A57BF"/>
    <w:rsid w:val="005B0234"/>
    <w:rsid w:val="005B0A2B"/>
    <w:rsid w:val="005B11E4"/>
    <w:rsid w:val="005B2DF4"/>
    <w:rsid w:val="005B3E4A"/>
    <w:rsid w:val="005B44BF"/>
    <w:rsid w:val="005B5354"/>
    <w:rsid w:val="005B5A93"/>
    <w:rsid w:val="005B7BE9"/>
    <w:rsid w:val="005C67C8"/>
    <w:rsid w:val="005D0249"/>
    <w:rsid w:val="005D18FA"/>
    <w:rsid w:val="005D34F8"/>
    <w:rsid w:val="005D4FD4"/>
    <w:rsid w:val="005D5283"/>
    <w:rsid w:val="005D6E8C"/>
    <w:rsid w:val="005E028E"/>
    <w:rsid w:val="005E2D58"/>
    <w:rsid w:val="005E3004"/>
    <w:rsid w:val="005E375F"/>
    <w:rsid w:val="005E6E34"/>
    <w:rsid w:val="005E7EFC"/>
    <w:rsid w:val="005F0E76"/>
    <w:rsid w:val="005F100C"/>
    <w:rsid w:val="005F5DC7"/>
    <w:rsid w:val="005F68DA"/>
    <w:rsid w:val="005F6B9C"/>
    <w:rsid w:val="005F7419"/>
    <w:rsid w:val="00600028"/>
    <w:rsid w:val="006014A4"/>
    <w:rsid w:val="00601BC9"/>
    <w:rsid w:val="0060758A"/>
    <w:rsid w:val="0060773B"/>
    <w:rsid w:val="006111FE"/>
    <w:rsid w:val="00613212"/>
    <w:rsid w:val="00613A98"/>
    <w:rsid w:val="00613B98"/>
    <w:rsid w:val="00613FD6"/>
    <w:rsid w:val="00615538"/>
    <w:rsid w:val="006157B5"/>
    <w:rsid w:val="00617224"/>
    <w:rsid w:val="0062338D"/>
    <w:rsid w:val="00626E7C"/>
    <w:rsid w:val="00626FC6"/>
    <w:rsid w:val="00627756"/>
    <w:rsid w:val="00627F23"/>
    <w:rsid w:val="006303B4"/>
    <w:rsid w:val="00630ADC"/>
    <w:rsid w:val="00633224"/>
    <w:rsid w:val="00633D3D"/>
    <w:rsid w:val="00636171"/>
    <w:rsid w:val="0064050B"/>
    <w:rsid w:val="00641703"/>
    <w:rsid w:val="0064198B"/>
    <w:rsid w:val="006424A1"/>
    <w:rsid w:val="006431A6"/>
    <w:rsid w:val="00643E3A"/>
    <w:rsid w:val="006459F6"/>
    <w:rsid w:val="0064735D"/>
    <w:rsid w:val="00647A35"/>
    <w:rsid w:val="006501AD"/>
    <w:rsid w:val="00651BFA"/>
    <w:rsid w:val="00654475"/>
    <w:rsid w:val="00656DF0"/>
    <w:rsid w:val="00661A1B"/>
    <w:rsid w:val="00665A4B"/>
    <w:rsid w:val="00665E01"/>
    <w:rsid w:val="00670FAE"/>
    <w:rsid w:val="00671575"/>
    <w:rsid w:val="00677848"/>
    <w:rsid w:val="006817A0"/>
    <w:rsid w:val="00682216"/>
    <w:rsid w:val="00691A63"/>
    <w:rsid w:val="00691DD4"/>
    <w:rsid w:val="00692E2A"/>
    <w:rsid w:val="006946B1"/>
    <w:rsid w:val="0069496A"/>
    <w:rsid w:val="00696C1C"/>
    <w:rsid w:val="006973E7"/>
    <w:rsid w:val="006A76F2"/>
    <w:rsid w:val="006B2BE8"/>
    <w:rsid w:val="006B7D29"/>
    <w:rsid w:val="006C098C"/>
    <w:rsid w:val="006C121E"/>
    <w:rsid w:val="006C1A94"/>
    <w:rsid w:val="006C2CFD"/>
    <w:rsid w:val="006C4DC6"/>
    <w:rsid w:val="006D19D4"/>
    <w:rsid w:val="006D4CFF"/>
    <w:rsid w:val="006D53A7"/>
    <w:rsid w:val="006D5644"/>
    <w:rsid w:val="006D7EFB"/>
    <w:rsid w:val="006E2F80"/>
    <w:rsid w:val="006E5D36"/>
    <w:rsid w:val="006E6672"/>
    <w:rsid w:val="006E6722"/>
    <w:rsid w:val="006E7303"/>
    <w:rsid w:val="006E7F65"/>
    <w:rsid w:val="006F7AFF"/>
    <w:rsid w:val="007027B9"/>
    <w:rsid w:val="007066B5"/>
    <w:rsid w:val="00710B86"/>
    <w:rsid w:val="00714266"/>
    <w:rsid w:val="007145DA"/>
    <w:rsid w:val="00715E88"/>
    <w:rsid w:val="00716D8B"/>
    <w:rsid w:val="00717F7C"/>
    <w:rsid w:val="007240B8"/>
    <w:rsid w:val="00724AE3"/>
    <w:rsid w:val="00726AC2"/>
    <w:rsid w:val="00726B83"/>
    <w:rsid w:val="007274FC"/>
    <w:rsid w:val="00730F7E"/>
    <w:rsid w:val="00731084"/>
    <w:rsid w:val="00734CAA"/>
    <w:rsid w:val="00737161"/>
    <w:rsid w:val="007377BC"/>
    <w:rsid w:val="00740EE2"/>
    <w:rsid w:val="00742680"/>
    <w:rsid w:val="007446B3"/>
    <w:rsid w:val="0074592E"/>
    <w:rsid w:val="007520DD"/>
    <w:rsid w:val="007525F2"/>
    <w:rsid w:val="0075533C"/>
    <w:rsid w:val="007559F3"/>
    <w:rsid w:val="00755A18"/>
    <w:rsid w:val="00757581"/>
    <w:rsid w:val="007602F5"/>
    <w:rsid w:val="00760D36"/>
    <w:rsid w:val="007611A0"/>
    <w:rsid w:val="007621C5"/>
    <w:rsid w:val="00766421"/>
    <w:rsid w:val="00772574"/>
    <w:rsid w:val="00773755"/>
    <w:rsid w:val="00773E54"/>
    <w:rsid w:val="007778C0"/>
    <w:rsid w:val="0078076B"/>
    <w:rsid w:val="00782F4F"/>
    <w:rsid w:val="00787688"/>
    <w:rsid w:val="0079184F"/>
    <w:rsid w:val="007935E6"/>
    <w:rsid w:val="00796D3F"/>
    <w:rsid w:val="00797AE3"/>
    <w:rsid w:val="007A1683"/>
    <w:rsid w:val="007A296C"/>
    <w:rsid w:val="007A5C12"/>
    <w:rsid w:val="007A7CB0"/>
    <w:rsid w:val="007B0431"/>
    <w:rsid w:val="007B68A3"/>
    <w:rsid w:val="007C2541"/>
    <w:rsid w:val="007C2B61"/>
    <w:rsid w:val="007C6EC6"/>
    <w:rsid w:val="007D07F0"/>
    <w:rsid w:val="007D4489"/>
    <w:rsid w:val="007D4F15"/>
    <w:rsid w:val="007D66A8"/>
    <w:rsid w:val="007E003F"/>
    <w:rsid w:val="007E0C10"/>
    <w:rsid w:val="007E49E3"/>
    <w:rsid w:val="007E71CE"/>
    <w:rsid w:val="007F0CF8"/>
    <w:rsid w:val="007F14C7"/>
    <w:rsid w:val="007F161D"/>
    <w:rsid w:val="007F455C"/>
    <w:rsid w:val="007F5E1B"/>
    <w:rsid w:val="007F62CB"/>
    <w:rsid w:val="00811658"/>
    <w:rsid w:val="0081179B"/>
    <w:rsid w:val="008142EC"/>
    <w:rsid w:val="008164F2"/>
    <w:rsid w:val="00817A43"/>
    <w:rsid w:val="00820194"/>
    <w:rsid w:val="00821395"/>
    <w:rsid w:val="0082239E"/>
    <w:rsid w:val="00826988"/>
    <w:rsid w:val="0083015F"/>
    <w:rsid w:val="00830E26"/>
    <w:rsid w:val="00832FA2"/>
    <w:rsid w:val="00834368"/>
    <w:rsid w:val="0083441A"/>
    <w:rsid w:val="00836C70"/>
    <w:rsid w:val="008403F7"/>
    <w:rsid w:val="008409E0"/>
    <w:rsid w:val="00843576"/>
    <w:rsid w:val="008436E8"/>
    <w:rsid w:val="00843B64"/>
    <w:rsid w:val="00845261"/>
    <w:rsid w:val="008475E0"/>
    <w:rsid w:val="008478FC"/>
    <w:rsid w:val="008507C4"/>
    <w:rsid w:val="00851C51"/>
    <w:rsid w:val="008538F7"/>
    <w:rsid w:val="008568CC"/>
    <w:rsid w:val="0085696F"/>
    <w:rsid w:val="008610A8"/>
    <w:rsid w:val="0086585B"/>
    <w:rsid w:val="00866E60"/>
    <w:rsid w:val="00867BFF"/>
    <w:rsid w:val="00871542"/>
    <w:rsid w:val="00872BF6"/>
    <w:rsid w:val="008731DD"/>
    <w:rsid w:val="00874046"/>
    <w:rsid w:val="00874BEA"/>
    <w:rsid w:val="00875611"/>
    <w:rsid w:val="00882EF2"/>
    <w:rsid w:val="0088480A"/>
    <w:rsid w:val="008859BA"/>
    <w:rsid w:val="0088609C"/>
    <w:rsid w:val="0088757A"/>
    <w:rsid w:val="0089431B"/>
    <w:rsid w:val="00894CA8"/>
    <w:rsid w:val="00895668"/>
    <w:rsid w:val="008957DD"/>
    <w:rsid w:val="00897644"/>
    <w:rsid w:val="00897B15"/>
    <w:rsid w:val="00897D98"/>
    <w:rsid w:val="008A0693"/>
    <w:rsid w:val="008A11D9"/>
    <w:rsid w:val="008A5496"/>
    <w:rsid w:val="008A6DF2"/>
    <w:rsid w:val="008A7807"/>
    <w:rsid w:val="008A7943"/>
    <w:rsid w:val="008B324C"/>
    <w:rsid w:val="008B4CC9"/>
    <w:rsid w:val="008B594A"/>
    <w:rsid w:val="008B72D4"/>
    <w:rsid w:val="008C0B15"/>
    <w:rsid w:val="008C246A"/>
    <w:rsid w:val="008D3FFD"/>
    <w:rsid w:val="008D56A8"/>
    <w:rsid w:val="008D75E4"/>
    <w:rsid w:val="008D7C99"/>
    <w:rsid w:val="008E0FCB"/>
    <w:rsid w:val="008E27F3"/>
    <w:rsid w:val="008E46A9"/>
    <w:rsid w:val="008E673A"/>
    <w:rsid w:val="008F6DFE"/>
    <w:rsid w:val="008F71A0"/>
    <w:rsid w:val="00902A66"/>
    <w:rsid w:val="0090529F"/>
    <w:rsid w:val="00906BA5"/>
    <w:rsid w:val="0091009C"/>
    <w:rsid w:val="00914F6E"/>
    <w:rsid w:val="00917517"/>
    <w:rsid w:val="0092178C"/>
    <w:rsid w:val="00923A9E"/>
    <w:rsid w:val="009263C0"/>
    <w:rsid w:val="009307B6"/>
    <w:rsid w:val="00930B88"/>
    <w:rsid w:val="009332EA"/>
    <w:rsid w:val="009343C2"/>
    <w:rsid w:val="00935376"/>
    <w:rsid w:val="009358C0"/>
    <w:rsid w:val="009359FF"/>
    <w:rsid w:val="00940009"/>
    <w:rsid w:val="00940DCC"/>
    <w:rsid w:val="0094179A"/>
    <w:rsid w:val="0094459E"/>
    <w:rsid w:val="00944DBC"/>
    <w:rsid w:val="00947112"/>
    <w:rsid w:val="00947C60"/>
    <w:rsid w:val="00950977"/>
    <w:rsid w:val="00951151"/>
    <w:rsid w:val="00951A7B"/>
    <w:rsid w:val="00952F83"/>
    <w:rsid w:val="00955512"/>
    <w:rsid w:val="009564A6"/>
    <w:rsid w:val="00957C14"/>
    <w:rsid w:val="00957EF8"/>
    <w:rsid w:val="00965777"/>
    <w:rsid w:val="009661FC"/>
    <w:rsid w:val="00966A53"/>
    <w:rsid w:val="00967621"/>
    <w:rsid w:val="00967E6A"/>
    <w:rsid w:val="009710B4"/>
    <w:rsid w:val="00976789"/>
    <w:rsid w:val="00976984"/>
    <w:rsid w:val="00982A88"/>
    <w:rsid w:val="009907B9"/>
    <w:rsid w:val="00990918"/>
    <w:rsid w:val="009A3A83"/>
    <w:rsid w:val="009A46B4"/>
    <w:rsid w:val="009B41E5"/>
    <w:rsid w:val="009B4A0F"/>
    <w:rsid w:val="009C027D"/>
    <w:rsid w:val="009C11D2"/>
    <w:rsid w:val="009C27F8"/>
    <w:rsid w:val="009C37BA"/>
    <w:rsid w:val="009C6444"/>
    <w:rsid w:val="009C68A0"/>
    <w:rsid w:val="009C69E8"/>
    <w:rsid w:val="009C6C70"/>
    <w:rsid w:val="009C71F9"/>
    <w:rsid w:val="009C7B0A"/>
    <w:rsid w:val="009D0861"/>
    <w:rsid w:val="009D0B63"/>
    <w:rsid w:val="009D5267"/>
    <w:rsid w:val="009D5CB8"/>
    <w:rsid w:val="009D5FAF"/>
    <w:rsid w:val="009E0B3E"/>
    <w:rsid w:val="009E2608"/>
    <w:rsid w:val="009E307E"/>
    <w:rsid w:val="009E51A5"/>
    <w:rsid w:val="009F03E7"/>
    <w:rsid w:val="009F2D78"/>
    <w:rsid w:val="009F6FF9"/>
    <w:rsid w:val="00A01AE7"/>
    <w:rsid w:val="00A046A9"/>
    <w:rsid w:val="00A07870"/>
    <w:rsid w:val="00A07C54"/>
    <w:rsid w:val="00A07F19"/>
    <w:rsid w:val="00A10E5E"/>
    <w:rsid w:val="00A1348D"/>
    <w:rsid w:val="00A13C99"/>
    <w:rsid w:val="00A22DF4"/>
    <w:rsid w:val="00A22FCD"/>
    <w:rsid w:val="00A232EE"/>
    <w:rsid w:val="00A24E79"/>
    <w:rsid w:val="00A253CD"/>
    <w:rsid w:val="00A26A6B"/>
    <w:rsid w:val="00A31E58"/>
    <w:rsid w:val="00A31E7C"/>
    <w:rsid w:val="00A3227A"/>
    <w:rsid w:val="00A327F8"/>
    <w:rsid w:val="00A36CC5"/>
    <w:rsid w:val="00A4175F"/>
    <w:rsid w:val="00A44411"/>
    <w:rsid w:val="00A46721"/>
    <w:rsid w:val="00A469FA"/>
    <w:rsid w:val="00A47A6E"/>
    <w:rsid w:val="00A52888"/>
    <w:rsid w:val="00A53662"/>
    <w:rsid w:val="00A54564"/>
    <w:rsid w:val="00A54C1D"/>
    <w:rsid w:val="00A55383"/>
    <w:rsid w:val="00A55B01"/>
    <w:rsid w:val="00A56B5B"/>
    <w:rsid w:val="00A603FF"/>
    <w:rsid w:val="00A619B6"/>
    <w:rsid w:val="00A648CA"/>
    <w:rsid w:val="00A65343"/>
    <w:rsid w:val="00A657DD"/>
    <w:rsid w:val="00A65EA7"/>
    <w:rsid w:val="00A666A6"/>
    <w:rsid w:val="00A675FD"/>
    <w:rsid w:val="00A72437"/>
    <w:rsid w:val="00A72702"/>
    <w:rsid w:val="00A72D9F"/>
    <w:rsid w:val="00A8048B"/>
    <w:rsid w:val="00A80611"/>
    <w:rsid w:val="00A80DC2"/>
    <w:rsid w:val="00A83435"/>
    <w:rsid w:val="00A91E6D"/>
    <w:rsid w:val="00A92EA5"/>
    <w:rsid w:val="00AA5BF4"/>
    <w:rsid w:val="00AB0C25"/>
    <w:rsid w:val="00AB1B4E"/>
    <w:rsid w:val="00AB3FBB"/>
    <w:rsid w:val="00AB4558"/>
    <w:rsid w:val="00AB46AD"/>
    <w:rsid w:val="00AB5340"/>
    <w:rsid w:val="00AC0A89"/>
    <w:rsid w:val="00AC2279"/>
    <w:rsid w:val="00AC527E"/>
    <w:rsid w:val="00AC7C96"/>
    <w:rsid w:val="00AD0E6F"/>
    <w:rsid w:val="00AD1031"/>
    <w:rsid w:val="00AD144D"/>
    <w:rsid w:val="00AD3593"/>
    <w:rsid w:val="00AE0812"/>
    <w:rsid w:val="00AE237D"/>
    <w:rsid w:val="00AE41C9"/>
    <w:rsid w:val="00AE4BD2"/>
    <w:rsid w:val="00AE502A"/>
    <w:rsid w:val="00AF0010"/>
    <w:rsid w:val="00AF0D9A"/>
    <w:rsid w:val="00AF0FF5"/>
    <w:rsid w:val="00AF165D"/>
    <w:rsid w:val="00AF1788"/>
    <w:rsid w:val="00AF17E6"/>
    <w:rsid w:val="00AF1AA8"/>
    <w:rsid w:val="00AF2C1F"/>
    <w:rsid w:val="00AF2D1D"/>
    <w:rsid w:val="00AF676C"/>
    <w:rsid w:val="00AF6E6F"/>
    <w:rsid w:val="00AF7C07"/>
    <w:rsid w:val="00B01BD7"/>
    <w:rsid w:val="00B04A16"/>
    <w:rsid w:val="00B06C64"/>
    <w:rsid w:val="00B07B2B"/>
    <w:rsid w:val="00B07D8E"/>
    <w:rsid w:val="00B112D9"/>
    <w:rsid w:val="00B11CAC"/>
    <w:rsid w:val="00B14D6F"/>
    <w:rsid w:val="00B14DC0"/>
    <w:rsid w:val="00B158AF"/>
    <w:rsid w:val="00B15A29"/>
    <w:rsid w:val="00B22C93"/>
    <w:rsid w:val="00B27388"/>
    <w:rsid w:val="00B27589"/>
    <w:rsid w:val="00B30442"/>
    <w:rsid w:val="00B405B7"/>
    <w:rsid w:val="00B44072"/>
    <w:rsid w:val="00B446F7"/>
    <w:rsid w:val="00B468C0"/>
    <w:rsid w:val="00B506E5"/>
    <w:rsid w:val="00B50FE9"/>
    <w:rsid w:val="00B51F95"/>
    <w:rsid w:val="00B52222"/>
    <w:rsid w:val="00B531DA"/>
    <w:rsid w:val="00B54895"/>
    <w:rsid w:val="00B548AD"/>
    <w:rsid w:val="00B54FE7"/>
    <w:rsid w:val="00B55A04"/>
    <w:rsid w:val="00B647C6"/>
    <w:rsid w:val="00B655F9"/>
    <w:rsid w:val="00B66901"/>
    <w:rsid w:val="00B66F60"/>
    <w:rsid w:val="00B678E8"/>
    <w:rsid w:val="00B71656"/>
    <w:rsid w:val="00B71E6D"/>
    <w:rsid w:val="00B72070"/>
    <w:rsid w:val="00B779E1"/>
    <w:rsid w:val="00B81E3A"/>
    <w:rsid w:val="00B848A1"/>
    <w:rsid w:val="00B85CFB"/>
    <w:rsid w:val="00B86BDF"/>
    <w:rsid w:val="00B877B0"/>
    <w:rsid w:val="00B914B8"/>
    <w:rsid w:val="00B914E9"/>
    <w:rsid w:val="00B91EE1"/>
    <w:rsid w:val="00B943CB"/>
    <w:rsid w:val="00B94602"/>
    <w:rsid w:val="00B9668F"/>
    <w:rsid w:val="00BA0090"/>
    <w:rsid w:val="00BA1A67"/>
    <w:rsid w:val="00BA6A80"/>
    <w:rsid w:val="00BA7A9D"/>
    <w:rsid w:val="00BB0446"/>
    <w:rsid w:val="00BB3912"/>
    <w:rsid w:val="00BB4172"/>
    <w:rsid w:val="00BB4ABB"/>
    <w:rsid w:val="00BB516C"/>
    <w:rsid w:val="00BC0FD7"/>
    <w:rsid w:val="00BC2C5E"/>
    <w:rsid w:val="00BC2F09"/>
    <w:rsid w:val="00BC44AF"/>
    <w:rsid w:val="00BC5338"/>
    <w:rsid w:val="00BC62BA"/>
    <w:rsid w:val="00BC6897"/>
    <w:rsid w:val="00BD0B93"/>
    <w:rsid w:val="00BD4CF2"/>
    <w:rsid w:val="00BD716C"/>
    <w:rsid w:val="00BD740B"/>
    <w:rsid w:val="00BE0D71"/>
    <w:rsid w:val="00BE5B5F"/>
    <w:rsid w:val="00BE6CEA"/>
    <w:rsid w:val="00BE7993"/>
    <w:rsid w:val="00BF0E0C"/>
    <w:rsid w:val="00BF2D0C"/>
    <w:rsid w:val="00C001B3"/>
    <w:rsid w:val="00C11971"/>
    <w:rsid w:val="00C12314"/>
    <w:rsid w:val="00C12AEC"/>
    <w:rsid w:val="00C15B01"/>
    <w:rsid w:val="00C179DE"/>
    <w:rsid w:val="00C22D64"/>
    <w:rsid w:val="00C22F47"/>
    <w:rsid w:val="00C26F55"/>
    <w:rsid w:val="00C278AA"/>
    <w:rsid w:val="00C30C63"/>
    <w:rsid w:val="00C30FF3"/>
    <w:rsid w:val="00C31031"/>
    <w:rsid w:val="00C34D5C"/>
    <w:rsid w:val="00C352CF"/>
    <w:rsid w:val="00C3554B"/>
    <w:rsid w:val="00C35F7D"/>
    <w:rsid w:val="00C36B8B"/>
    <w:rsid w:val="00C415C1"/>
    <w:rsid w:val="00C42613"/>
    <w:rsid w:val="00C46BAD"/>
    <w:rsid w:val="00C47569"/>
    <w:rsid w:val="00C47AF4"/>
    <w:rsid w:val="00C47DBF"/>
    <w:rsid w:val="00C552FF"/>
    <w:rsid w:val="00C558DA"/>
    <w:rsid w:val="00C55AF3"/>
    <w:rsid w:val="00C571B2"/>
    <w:rsid w:val="00C57924"/>
    <w:rsid w:val="00C70137"/>
    <w:rsid w:val="00C771A9"/>
    <w:rsid w:val="00C81176"/>
    <w:rsid w:val="00C81C3A"/>
    <w:rsid w:val="00C82943"/>
    <w:rsid w:val="00C84759"/>
    <w:rsid w:val="00C85F26"/>
    <w:rsid w:val="00C86537"/>
    <w:rsid w:val="00C8713B"/>
    <w:rsid w:val="00C90DC8"/>
    <w:rsid w:val="00C923BB"/>
    <w:rsid w:val="00C93096"/>
    <w:rsid w:val="00C979F6"/>
    <w:rsid w:val="00CA5CA9"/>
    <w:rsid w:val="00CA66C7"/>
    <w:rsid w:val="00CA6C7F"/>
    <w:rsid w:val="00CA7BAC"/>
    <w:rsid w:val="00CB007D"/>
    <w:rsid w:val="00CB18B4"/>
    <w:rsid w:val="00CB514F"/>
    <w:rsid w:val="00CB56FF"/>
    <w:rsid w:val="00CB60CA"/>
    <w:rsid w:val="00CC0724"/>
    <w:rsid w:val="00CC0FC7"/>
    <w:rsid w:val="00CC10A6"/>
    <w:rsid w:val="00CC28D8"/>
    <w:rsid w:val="00CC6367"/>
    <w:rsid w:val="00CC6D88"/>
    <w:rsid w:val="00CD5EB8"/>
    <w:rsid w:val="00CD6448"/>
    <w:rsid w:val="00CD7044"/>
    <w:rsid w:val="00CD7673"/>
    <w:rsid w:val="00CE08B9"/>
    <w:rsid w:val="00CE1207"/>
    <w:rsid w:val="00CE3515"/>
    <w:rsid w:val="00CE433D"/>
    <w:rsid w:val="00CE524C"/>
    <w:rsid w:val="00CE6272"/>
    <w:rsid w:val="00CE744D"/>
    <w:rsid w:val="00CF141F"/>
    <w:rsid w:val="00CF2E31"/>
    <w:rsid w:val="00CF43AF"/>
    <w:rsid w:val="00CF4777"/>
    <w:rsid w:val="00CF65C8"/>
    <w:rsid w:val="00CF6DC5"/>
    <w:rsid w:val="00D013F5"/>
    <w:rsid w:val="00D05E3F"/>
    <w:rsid w:val="00D067BB"/>
    <w:rsid w:val="00D1352A"/>
    <w:rsid w:val="00D136FB"/>
    <w:rsid w:val="00D16081"/>
    <w:rsid w:val="00D1638E"/>
    <w:rsid w:val="00D169AF"/>
    <w:rsid w:val="00D200EF"/>
    <w:rsid w:val="00D20659"/>
    <w:rsid w:val="00D2142E"/>
    <w:rsid w:val="00D21727"/>
    <w:rsid w:val="00D21E54"/>
    <w:rsid w:val="00D22F7B"/>
    <w:rsid w:val="00D23D82"/>
    <w:rsid w:val="00D25175"/>
    <w:rsid w:val="00D25249"/>
    <w:rsid w:val="00D26854"/>
    <w:rsid w:val="00D31843"/>
    <w:rsid w:val="00D31918"/>
    <w:rsid w:val="00D35459"/>
    <w:rsid w:val="00D36852"/>
    <w:rsid w:val="00D40C05"/>
    <w:rsid w:val="00D41090"/>
    <w:rsid w:val="00D43FBF"/>
    <w:rsid w:val="00D44172"/>
    <w:rsid w:val="00D464BB"/>
    <w:rsid w:val="00D47BE3"/>
    <w:rsid w:val="00D51355"/>
    <w:rsid w:val="00D54C8A"/>
    <w:rsid w:val="00D606B6"/>
    <w:rsid w:val="00D62936"/>
    <w:rsid w:val="00D63B8C"/>
    <w:rsid w:val="00D64A34"/>
    <w:rsid w:val="00D65743"/>
    <w:rsid w:val="00D67D8B"/>
    <w:rsid w:val="00D709CB"/>
    <w:rsid w:val="00D70BD5"/>
    <w:rsid w:val="00D7342F"/>
    <w:rsid w:val="00D739CC"/>
    <w:rsid w:val="00D750A0"/>
    <w:rsid w:val="00D806F9"/>
    <w:rsid w:val="00D8093D"/>
    <w:rsid w:val="00D8108C"/>
    <w:rsid w:val="00D83208"/>
    <w:rsid w:val="00D83693"/>
    <w:rsid w:val="00D842AE"/>
    <w:rsid w:val="00D91211"/>
    <w:rsid w:val="00D91F6F"/>
    <w:rsid w:val="00D9211C"/>
    <w:rsid w:val="00D92DE0"/>
    <w:rsid w:val="00D92FEF"/>
    <w:rsid w:val="00D930C6"/>
    <w:rsid w:val="00D931F9"/>
    <w:rsid w:val="00D93A0F"/>
    <w:rsid w:val="00D96F7C"/>
    <w:rsid w:val="00DA1BAF"/>
    <w:rsid w:val="00DA1BCA"/>
    <w:rsid w:val="00DA3663"/>
    <w:rsid w:val="00DA5DCD"/>
    <w:rsid w:val="00DA67E1"/>
    <w:rsid w:val="00DA744A"/>
    <w:rsid w:val="00DB0F7B"/>
    <w:rsid w:val="00DB4806"/>
    <w:rsid w:val="00DB504F"/>
    <w:rsid w:val="00DB55EA"/>
    <w:rsid w:val="00DB6E00"/>
    <w:rsid w:val="00DC075E"/>
    <w:rsid w:val="00DC1792"/>
    <w:rsid w:val="00DC274A"/>
    <w:rsid w:val="00DC35E3"/>
    <w:rsid w:val="00DC46FF"/>
    <w:rsid w:val="00DC5254"/>
    <w:rsid w:val="00DC569D"/>
    <w:rsid w:val="00DC6424"/>
    <w:rsid w:val="00DC7A80"/>
    <w:rsid w:val="00DC7B7A"/>
    <w:rsid w:val="00DD1A4F"/>
    <w:rsid w:val="00DD3107"/>
    <w:rsid w:val="00DD3E1A"/>
    <w:rsid w:val="00DD41F4"/>
    <w:rsid w:val="00DD7C2C"/>
    <w:rsid w:val="00DE18A8"/>
    <w:rsid w:val="00DE5BDA"/>
    <w:rsid w:val="00DE688A"/>
    <w:rsid w:val="00DF0CA8"/>
    <w:rsid w:val="00DF1423"/>
    <w:rsid w:val="00DF433C"/>
    <w:rsid w:val="00DF519F"/>
    <w:rsid w:val="00E0035A"/>
    <w:rsid w:val="00E00B01"/>
    <w:rsid w:val="00E06797"/>
    <w:rsid w:val="00E07FBB"/>
    <w:rsid w:val="00E111E0"/>
    <w:rsid w:val="00E122EB"/>
    <w:rsid w:val="00E1265B"/>
    <w:rsid w:val="00E12CB0"/>
    <w:rsid w:val="00E12E09"/>
    <w:rsid w:val="00E13110"/>
    <w:rsid w:val="00E13671"/>
    <w:rsid w:val="00E13B48"/>
    <w:rsid w:val="00E1404F"/>
    <w:rsid w:val="00E15579"/>
    <w:rsid w:val="00E1673F"/>
    <w:rsid w:val="00E21C83"/>
    <w:rsid w:val="00E24645"/>
    <w:rsid w:val="00E24ADA"/>
    <w:rsid w:val="00E25DBA"/>
    <w:rsid w:val="00E31F58"/>
    <w:rsid w:val="00E32F59"/>
    <w:rsid w:val="00E34F4B"/>
    <w:rsid w:val="00E41908"/>
    <w:rsid w:val="00E45354"/>
    <w:rsid w:val="00E457A6"/>
    <w:rsid w:val="00E46D9A"/>
    <w:rsid w:val="00E47523"/>
    <w:rsid w:val="00E50E7E"/>
    <w:rsid w:val="00E52B07"/>
    <w:rsid w:val="00E54A19"/>
    <w:rsid w:val="00E556FF"/>
    <w:rsid w:val="00E562D8"/>
    <w:rsid w:val="00E565FF"/>
    <w:rsid w:val="00E57555"/>
    <w:rsid w:val="00E60EC6"/>
    <w:rsid w:val="00E6214C"/>
    <w:rsid w:val="00E62951"/>
    <w:rsid w:val="00E629F4"/>
    <w:rsid w:val="00E65388"/>
    <w:rsid w:val="00E6789A"/>
    <w:rsid w:val="00E7478B"/>
    <w:rsid w:val="00E75103"/>
    <w:rsid w:val="00E751E6"/>
    <w:rsid w:val="00E75266"/>
    <w:rsid w:val="00E7741D"/>
    <w:rsid w:val="00E808CD"/>
    <w:rsid w:val="00E80C5B"/>
    <w:rsid w:val="00E8348F"/>
    <w:rsid w:val="00E85B7D"/>
    <w:rsid w:val="00E86AC4"/>
    <w:rsid w:val="00E9121B"/>
    <w:rsid w:val="00E9202F"/>
    <w:rsid w:val="00E9302E"/>
    <w:rsid w:val="00E97015"/>
    <w:rsid w:val="00E976AB"/>
    <w:rsid w:val="00EA08C5"/>
    <w:rsid w:val="00EA0AE2"/>
    <w:rsid w:val="00EA39E5"/>
    <w:rsid w:val="00EA57A3"/>
    <w:rsid w:val="00EB09FC"/>
    <w:rsid w:val="00EB22C0"/>
    <w:rsid w:val="00EB5565"/>
    <w:rsid w:val="00EB7A8E"/>
    <w:rsid w:val="00EC0ACE"/>
    <w:rsid w:val="00EC1186"/>
    <w:rsid w:val="00EC17C1"/>
    <w:rsid w:val="00EC2813"/>
    <w:rsid w:val="00EC52CF"/>
    <w:rsid w:val="00EC5387"/>
    <w:rsid w:val="00EC5A46"/>
    <w:rsid w:val="00EC63E2"/>
    <w:rsid w:val="00EC7235"/>
    <w:rsid w:val="00ED0063"/>
    <w:rsid w:val="00ED0225"/>
    <w:rsid w:val="00ED2D47"/>
    <w:rsid w:val="00ED366A"/>
    <w:rsid w:val="00ED53BC"/>
    <w:rsid w:val="00ED5F86"/>
    <w:rsid w:val="00ED6BB7"/>
    <w:rsid w:val="00ED7605"/>
    <w:rsid w:val="00EE217F"/>
    <w:rsid w:val="00EE3338"/>
    <w:rsid w:val="00EF131B"/>
    <w:rsid w:val="00EF22B3"/>
    <w:rsid w:val="00EF26D0"/>
    <w:rsid w:val="00EF4366"/>
    <w:rsid w:val="00F00B95"/>
    <w:rsid w:val="00F03B69"/>
    <w:rsid w:val="00F03D18"/>
    <w:rsid w:val="00F07A50"/>
    <w:rsid w:val="00F113DA"/>
    <w:rsid w:val="00F14E36"/>
    <w:rsid w:val="00F15813"/>
    <w:rsid w:val="00F207BF"/>
    <w:rsid w:val="00F21D35"/>
    <w:rsid w:val="00F23065"/>
    <w:rsid w:val="00F266FC"/>
    <w:rsid w:val="00F3037A"/>
    <w:rsid w:val="00F317ED"/>
    <w:rsid w:val="00F3209F"/>
    <w:rsid w:val="00F321F5"/>
    <w:rsid w:val="00F338A2"/>
    <w:rsid w:val="00F3443F"/>
    <w:rsid w:val="00F3465A"/>
    <w:rsid w:val="00F37DC8"/>
    <w:rsid w:val="00F407D6"/>
    <w:rsid w:val="00F42F57"/>
    <w:rsid w:val="00F439B3"/>
    <w:rsid w:val="00F43B41"/>
    <w:rsid w:val="00F444EA"/>
    <w:rsid w:val="00F650C3"/>
    <w:rsid w:val="00F65D85"/>
    <w:rsid w:val="00F6673C"/>
    <w:rsid w:val="00F6700B"/>
    <w:rsid w:val="00F67BA8"/>
    <w:rsid w:val="00F7137B"/>
    <w:rsid w:val="00F71C05"/>
    <w:rsid w:val="00F71DBF"/>
    <w:rsid w:val="00F723C5"/>
    <w:rsid w:val="00F75C06"/>
    <w:rsid w:val="00F8091E"/>
    <w:rsid w:val="00F84E4F"/>
    <w:rsid w:val="00F8615C"/>
    <w:rsid w:val="00F87621"/>
    <w:rsid w:val="00F9200B"/>
    <w:rsid w:val="00F969E5"/>
    <w:rsid w:val="00FA2F8B"/>
    <w:rsid w:val="00FA4972"/>
    <w:rsid w:val="00FA66C8"/>
    <w:rsid w:val="00FA6BB0"/>
    <w:rsid w:val="00FB2DBD"/>
    <w:rsid w:val="00FB67FD"/>
    <w:rsid w:val="00FC0A94"/>
    <w:rsid w:val="00FC0BFC"/>
    <w:rsid w:val="00FC0C3F"/>
    <w:rsid w:val="00FC17A6"/>
    <w:rsid w:val="00FC4A08"/>
    <w:rsid w:val="00FC7B21"/>
    <w:rsid w:val="00FD0C0C"/>
    <w:rsid w:val="00FD48DF"/>
    <w:rsid w:val="00FD4EC9"/>
    <w:rsid w:val="00FD5860"/>
    <w:rsid w:val="00FD635B"/>
    <w:rsid w:val="00FE352D"/>
    <w:rsid w:val="00FE40EB"/>
    <w:rsid w:val="00FE4D02"/>
    <w:rsid w:val="00FE5164"/>
    <w:rsid w:val="00FE7D62"/>
    <w:rsid w:val="00FE7DE8"/>
    <w:rsid w:val="00FF0DA0"/>
    <w:rsid w:val="00FF2073"/>
    <w:rsid w:val="00FF3819"/>
    <w:rsid w:val="00FF3F68"/>
    <w:rsid w:val="00FF51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343BCD82"/>
  <w15:docId w15:val="{777C9C3B-BB02-4A83-8BA4-23CBA15FB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DefaultParagraphFont"/>
    <w:rsid w:val="008A7943"/>
  </w:style>
  <w:style w:type="paragraph" w:styleId="NormalWeb">
    <w:name w:val="Normal (Web)"/>
    <w:basedOn w:val="Normal"/>
    <w:uiPriority w:val="99"/>
    <w:semiHidden/>
    <w:unhideWhenUsed/>
    <w:rsid w:val="00C12AEC"/>
    <w:pPr>
      <w:tabs>
        <w:tab w:val="clear" w:pos="1247"/>
        <w:tab w:val="clear" w:pos="1814"/>
        <w:tab w:val="clear" w:pos="2381"/>
        <w:tab w:val="clear" w:pos="2948"/>
        <w:tab w:val="clear" w:pos="3515"/>
      </w:tabs>
      <w:spacing w:before="100" w:beforeAutospacing="1" w:after="100" w:afterAutospacing="1"/>
    </w:pPr>
    <w:rPr>
      <w:rFonts w:eastAsia="Times New Roman"/>
      <w:sz w:val="24"/>
      <w:szCs w:val="24"/>
      <w:lang w:val="en-US" w:eastAsia="zh-CN"/>
    </w:rPr>
  </w:style>
  <w:style w:type="character" w:styleId="Strong">
    <w:name w:val="Strong"/>
    <w:basedOn w:val="DefaultParagraphFont"/>
    <w:uiPriority w:val="22"/>
    <w:qFormat/>
    <w:rsid w:val="000047F0"/>
    <w:rPr>
      <w:b/>
      <w:bCs/>
    </w:rPr>
  </w:style>
  <w:style w:type="character" w:customStyle="1" w:styleId="HeaderChar">
    <w:name w:val="Header Char"/>
    <w:basedOn w:val="DefaultParagraphFont"/>
    <w:link w:val="Header"/>
    <w:uiPriority w:val="99"/>
    <w:rsid w:val="00613A98"/>
    <w:rPr>
      <w:b/>
      <w:sz w:val="18"/>
      <w:lang w:eastAsia="en-US"/>
    </w:rPr>
  </w:style>
  <w:style w:type="character" w:customStyle="1" w:styleId="UnresolvedMention1">
    <w:name w:val="Unresolved Mention1"/>
    <w:basedOn w:val="DefaultParagraphFont"/>
    <w:uiPriority w:val="99"/>
    <w:semiHidden/>
    <w:unhideWhenUsed/>
    <w:rsid w:val="00C22D64"/>
    <w:rPr>
      <w:color w:val="605E5C"/>
      <w:shd w:val="clear" w:color="auto" w:fill="E1DFDD"/>
    </w:rPr>
  </w:style>
  <w:style w:type="character" w:styleId="FollowedHyperlink">
    <w:name w:val="FollowedHyperlink"/>
    <w:basedOn w:val="DefaultParagraphFont"/>
    <w:semiHidden/>
    <w:unhideWhenUsed/>
    <w:rsid w:val="00C22D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18841684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4712834">
      <w:bodyDiv w:val="1"/>
      <w:marLeft w:val="0"/>
      <w:marRight w:val="0"/>
      <w:marTop w:val="0"/>
      <w:marBottom w:val="0"/>
      <w:divBdr>
        <w:top w:val="none" w:sz="0" w:space="0" w:color="auto"/>
        <w:left w:val="none" w:sz="0" w:space="0" w:color="auto"/>
        <w:bottom w:val="none" w:sz="0" w:space="0" w:color="auto"/>
        <w:right w:val="none" w:sz="0" w:space="0" w:color="auto"/>
      </w:divBdr>
    </w:div>
    <w:div w:id="505437493">
      <w:bodyDiv w:val="1"/>
      <w:marLeft w:val="0"/>
      <w:marRight w:val="0"/>
      <w:marTop w:val="0"/>
      <w:marBottom w:val="0"/>
      <w:divBdr>
        <w:top w:val="none" w:sz="0" w:space="0" w:color="auto"/>
        <w:left w:val="none" w:sz="0" w:space="0" w:color="auto"/>
        <w:bottom w:val="none" w:sz="0" w:space="0" w:color="auto"/>
        <w:right w:val="none" w:sz="0" w:space="0" w:color="auto"/>
      </w:divBdr>
    </w:div>
    <w:div w:id="515123395">
      <w:bodyDiv w:val="1"/>
      <w:marLeft w:val="0"/>
      <w:marRight w:val="0"/>
      <w:marTop w:val="0"/>
      <w:marBottom w:val="0"/>
      <w:divBdr>
        <w:top w:val="none" w:sz="0" w:space="0" w:color="auto"/>
        <w:left w:val="none" w:sz="0" w:space="0" w:color="auto"/>
        <w:bottom w:val="none" w:sz="0" w:space="0" w:color="auto"/>
        <w:right w:val="none" w:sz="0" w:space="0" w:color="auto"/>
      </w:divBdr>
    </w:div>
    <w:div w:id="585773616">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828790222">
      <w:bodyDiv w:val="1"/>
      <w:marLeft w:val="0"/>
      <w:marRight w:val="0"/>
      <w:marTop w:val="0"/>
      <w:marBottom w:val="0"/>
      <w:divBdr>
        <w:top w:val="none" w:sz="0" w:space="0" w:color="auto"/>
        <w:left w:val="none" w:sz="0" w:space="0" w:color="auto"/>
        <w:bottom w:val="none" w:sz="0" w:space="0" w:color="auto"/>
        <w:right w:val="none" w:sz="0" w:space="0" w:color="auto"/>
      </w:divBdr>
    </w:div>
    <w:div w:id="972365103">
      <w:bodyDiv w:val="1"/>
      <w:marLeft w:val="0"/>
      <w:marRight w:val="0"/>
      <w:marTop w:val="0"/>
      <w:marBottom w:val="0"/>
      <w:divBdr>
        <w:top w:val="none" w:sz="0" w:space="0" w:color="auto"/>
        <w:left w:val="none" w:sz="0" w:space="0" w:color="auto"/>
        <w:bottom w:val="none" w:sz="0" w:space="0" w:color="auto"/>
        <w:right w:val="none" w:sz="0" w:space="0" w:color="auto"/>
      </w:divBdr>
    </w:div>
    <w:div w:id="1018850564">
      <w:bodyDiv w:val="1"/>
      <w:marLeft w:val="0"/>
      <w:marRight w:val="0"/>
      <w:marTop w:val="0"/>
      <w:marBottom w:val="0"/>
      <w:divBdr>
        <w:top w:val="none" w:sz="0" w:space="0" w:color="auto"/>
        <w:left w:val="none" w:sz="0" w:space="0" w:color="auto"/>
        <w:bottom w:val="none" w:sz="0" w:space="0" w:color="auto"/>
        <w:right w:val="none" w:sz="0" w:space="0" w:color="auto"/>
      </w:divBdr>
    </w:div>
    <w:div w:id="11938054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50597847">
      <w:bodyDiv w:val="1"/>
      <w:marLeft w:val="0"/>
      <w:marRight w:val="0"/>
      <w:marTop w:val="0"/>
      <w:marBottom w:val="0"/>
      <w:divBdr>
        <w:top w:val="none" w:sz="0" w:space="0" w:color="auto"/>
        <w:left w:val="none" w:sz="0" w:space="0" w:color="auto"/>
        <w:bottom w:val="none" w:sz="0" w:space="0" w:color="auto"/>
        <w:right w:val="none" w:sz="0" w:space="0" w:color="auto"/>
      </w:divBdr>
    </w:div>
    <w:div w:id="1384258208">
      <w:bodyDiv w:val="1"/>
      <w:marLeft w:val="0"/>
      <w:marRight w:val="0"/>
      <w:marTop w:val="0"/>
      <w:marBottom w:val="0"/>
      <w:divBdr>
        <w:top w:val="none" w:sz="0" w:space="0" w:color="auto"/>
        <w:left w:val="none" w:sz="0" w:space="0" w:color="auto"/>
        <w:bottom w:val="none" w:sz="0" w:space="0" w:color="auto"/>
        <w:right w:val="none" w:sz="0" w:space="0" w:color="auto"/>
      </w:divBdr>
    </w:div>
    <w:div w:id="1393428659">
      <w:bodyDiv w:val="1"/>
      <w:marLeft w:val="0"/>
      <w:marRight w:val="0"/>
      <w:marTop w:val="0"/>
      <w:marBottom w:val="0"/>
      <w:divBdr>
        <w:top w:val="none" w:sz="0" w:space="0" w:color="auto"/>
        <w:left w:val="none" w:sz="0" w:space="0" w:color="auto"/>
        <w:bottom w:val="none" w:sz="0" w:space="0" w:color="auto"/>
        <w:right w:val="none" w:sz="0" w:space="0" w:color="auto"/>
      </w:divBdr>
    </w:div>
    <w:div w:id="1500659774">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 w:id="1689797370">
      <w:bodyDiv w:val="1"/>
      <w:marLeft w:val="0"/>
      <w:marRight w:val="0"/>
      <w:marTop w:val="0"/>
      <w:marBottom w:val="0"/>
      <w:divBdr>
        <w:top w:val="none" w:sz="0" w:space="0" w:color="auto"/>
        <w:left w:val="none" w:sz="0" w:space="0" w:color="auto"/>
        <w:bottom w:val="none" w:sz="0" w:space="0" w:color="auto"/>
        <w:right w:val="none" w:sz="0" w:space="0" w:color="auto"/>
      </w:divBdr>
    </w:div>
    <w:div w:id="1770420040">
      <w:bodyDiv w:val="1"/>
      <w:marLeft w:val="0"/>
      <w:marRight w:val="0"/>
      <w:marTop w:val="0"/>
      <w:marBottom w:val="0"/>
      <w:divBdr>
        <w:top w:val="none" w:sz="0" w:space="0" w:color="auto"/>
        <w:left w:val="none" w:sz="0" w:space="0" w:color="auto"/>
        <w:bottom w:val="none" w:sz="0" w:space="0" w:color="auto"/>
        <w:right w:val="none" w:sz="0" w:space="0" w:color="auto"/>
      </w:divBdr>
    </w:div>
    <w:div w:id="1870340399">
      <w:bodyDiv w:val="1"/>
      <w:marLeft w:val="0"/>
      <w:marRight w:val="0"/>
      <w:marTop w:val="0"/>
      <w:marBottom w:val="0"/>
      <w:divBdr>
        <w:top w:val="none" w:sz="0" w:space="0" w:color="auto"/>
        <w:left w:val="none" w:sz="0" w:space="0" w:color="auto"/>
        <w:bottom w:val="none" w:sz="0" w:space="0" w:color="auto"/>
        <w:right w:val="none" w:sz="0" w:space="0" w:color="auto"/>
      </w:divBdr>
    </w:div>
    <w:div w:id="1908492005">
      <w:bodyDiv w:val="1"/>
      <w:marLeft w:val="0"/>
      <w:marRight w:val="0"/>
      <w:marTop w:val="0"/>
      <w:marBottom w:val="0"/>
      <w:divBdr>
        <w:top w:val="none" w:sz="0" w:space="0" w:color="auto"/>
        <w:left w:val="none" w:sz="0" w:space="0" w:color="auto"/>
        <w:bottom w:val="none" w:sz="0" w:space="0" w:color="auto"/>
        <w:right w:val="none" w:sz="0" w:space="0" w:color="auto"/>
      </w:divBdr>
    </w:div>
    <w:div w:id="20349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Countries/Parties/MinamataInitialAssessments/tabid/6166/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ACFF2-4AF0-4374-8FB8-934D22D6F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5829</Words>
  <Characters>32064</Characters>
  <Application>Microsoft Office Word</Application>
  <DocSecurity>0</DocSecurity>
  <Lines>267</Lines>
  <Paragraphs>75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37818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Esther Nzigiye</cp:lastModifiedBy>
  <cp:revision>2</cp:revision>
  <cp:lastPrinted>2018-07-06T09:38:00Z</cp:lastPrinted>
  <dcterms:created xsi:type="dcterms:W3CDTF">2019-09-25T06:58:00Z</dcterms:created>
  <dcterms:modified xsi:type="dcterms:W3CDTF">2019-09-25T06:58:00Z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9/18/2019 2:10:54 PM</vt:lpwstr>
  </property>
  <property fmtid="{D5CDD505-2E9C-101B-9397-08002B2CF9AE}" pid="5" name="OriginalDocID">
    <vt:lpwstr>f1a92c14-73e7-49a8-b385-e5ea2316ad5e</vt:lpwstr>
  </property>
</Properties>
</file>