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32111B" w:rsidRPr="00076075" w:rsidTr="00ED53BC">
        <w:trPr>
          <w:cantSplit/>
          <w:trHeight w:val="57"/>
          <w:jc w:val="right"/>
        </w:trPr>
        <w:tc>
          <w:tcPr>
            <w:tcW w:w="1550" w:type="dxa"/>
          </w:tcPr>
          <w:p w:rsidR="0032111B" w:rsidRPr="00076075" w:rsidRDefault="0032111B" w:rsidP="00466E9A">
            <w:pPr>
              <w:tabs>
                <w:tab w:val="left" w:pos="624"/>
                <w:tab w:val="left" w:pos="1871"/>
                <w:tab w:val="left" w:pos="2495"/>
              </w:tabs>
              <w:rPr>
                <w:rFonts w:ascii="Univers" w:hAnsi="Univers"/>
                <w:b/>
                <w:sz w:val="27"/>
                <w:szCs w:val="27"/>
              </w:rPr>
            </w:pPr>
            <w:r w:rsidRPr="00076075">
              <w:rPr>
                <w:rFonts w:ascii="Arial" w:hAnsi="Arial" w:cs="Arial"/>
                <w:b/>
                <w:sz w:val="27"/>
                <w:szCs w:val="27"/>
              </w:rPr>
              <w:t xml:space="preserve">UNITED </w:t>
            </w:r>
            <w:r w:rsidRPr="00076075">
              <w:rPr>
                <w:rFonts w:ascii="Arial" w:hAnsi="Arial" w:cs="Arial"/>
                <w:b/>
                <w:sz w:val="27"/>
                <w:szCs w:val="27"/>
              </w:rPr>
              <w:br/>
              <w:t>NATIONS</w:t>
            </w:r>
          </w:p>
        </w:tc>
        <w:tc>
          <w:tcPr>
            <w:tcW w:w="4751" w:type="dxa"/>
          </w:tcPr>
          <w:p w:rsidR="0032111B" w:rsidRPr="00076075" w:rsidRDefault="0032111B" w:rsidP="00466E9A">
            <w:pPr>
              <w:tabs>
                <w:tab w:val="left" w:pos="624"/>
                <w:tab w:val="left" w:pos="1871"/>
                <w:tab w:val="left" w:pos="2495"/>
              </w:tabs>
              <w:rPr>
                <w:rFonts w:ascii="Univers" w:hAnsi="Univers"/>
                <w:b/>
                <w:sz w:val="27"/>
                <w:szCs w:val="27"/>
              </w:rPr>
            </w:pPr>
          </w:p>
        </w:tc>
        <w:tc>
          <w:tcPr>
            <w:tcW w:w="3411" w:type="dxa"/>
          </w:tcPr>
          <w:p w:rsidR="0032111B" w:rsidRPr="00076075" w:rsidRDefault="0032111B" w:rsidP="00466E9A">
            <w:pPr>
              <w:tabs>
                <w:tab w:val="left" w:pos="624"/>
                <w:tab w:val="left" w:pos="1871"/>
                <w:tab w:val="left" w:pos="2495"/>
              </w:tabs>
              <w:jc w:val="right"/>
              <w:rPr>
                <w:rFonts w:ascii="Arial" w:hAnsi="Arial" w:cs="Arial"/>
                <w:b/>
                <w:sz w:val="64"/>
                <w:szCs w:val="64"/>
              </w:rPr>
            </w:pPr>
            <w:r w:rsidRPr="00076075">
              <w:rPr>
                <w:rFonts w:ascii="Arial" w:hAnsi="Arial" w:cs="Arial"/>
                <w:b/>
                <w:sz w:val="64"/>
                <w:szCs w:val="64"/>
              </w:rPr>
              <w:t>MC</w:t>
            </w:r>
          </w:p>
        </w:tc>
      </w:tr>
      <w:tr w:rsidR="0032111B" w:rsidRPr="00076075" w:rsidTr="00ED53BC">
        <w:trPr>
          <w:cantSplit/>
          <w:trHeight w:val="57"/>
          <w:jc w:val="right"/>
        </w:trPr>
        <w:tc>
          <w:tcPr>
            <w:tcW w:w="1550" w:type="dxa"/>
            <w:tcBorders>
              <w:bottom w:val="single" w:sz="4" w:space="0" w:color="auto"/>
            </w:tcBorders>
          </w:tcPr>
          <w:p w:rsidR="0032111B" w:rsidRPr="00076075" w:rsidRDefault="0032111B" w:rsidP="00466E9A">
            <w:pPr>
              <w:tabs>
                <w:tab w:val="left" w:pos="624"/>
                <w:tab w:val="left" w:pos="1871"/>
                <w:tab w:val="left" w:pos="2495"/>
              </w:tabs>
              <w:rPr>
                <w:sz w:val="18"/>
                <w:szCs w:val="18"/>
              </w:rPr>
            </w:pPr>
          </w:p>
        </w:tc>
        <w:tc>
          <w:tcPr>
            <w:tcW w:w="4751" w:type="dxa"/>
            <w:tcBorders>
              <w:bottom w:val="single" w:sz="4" w:space="0" w:color="auto"/>
            </w:tcBorders>
          </w:tcPr>
          <w:p w:rsidR="0032111B" w:rsidRPr="00076075" w:rsidRDefault="0032111B" w:rsidP="00466E9A">
            <w:pPr>
              <w:tabs>
                <w:tab w:val="left" w:pos="624"/>
                <w:tab w:val="left" w:pos="1871"/>
                <w:tab w:val="left" w:pos="2495"/>
              </w:tabs>
              <w:rPr>
                <w:rFonts w:ascii="Univers" w:hAnsi="Univers"/>
                <w:b/>
                <w:sz w:val="18"/>
                <w:szCs w:val="18"/>
              </w:rPr>
            </w:pPr>
          </w:p>
        </w:tc>
        <w:tc>
          <w:tcPr>
            <w:tcW w:w="3411" w:type="dxa"/>
            <w:tcBorders>
              <w:bottom w:val="single" w:sz="4" w:space="0" w:color="auto"/>
            </w:tcBorders>
          </w:tcPr>
          <w:p w:rsidR="0032111B" w:rsidRPr="00076075" w:rsidRDefault="0032111B" w:rsidP="00466E9A">
            <w:pPr>
              <w:tabs>
                <w:tab w:val="left" w:pos="624"/>
                <w:tab w:val="left" w:pos="1871"/>
                <w:tab w:val="left" w:pos="2495"/>
              </w:tabs>
              <w:rPr>
                <w:sz w:val="18"/>
                <w:szCs w:val="18"/>
              </w:rPr>
            </w:pPr>
            <w:r w:rsidRPr="00076075">
              <w:rPr>
                <w:b/>
                <w:bCs/>
                <w:sz w:val="28"/>
              </w:rPr>
              <w:t>UNEP</w:t>
            </w:r>
            <w:bookmarkStart w:id="0" w:name="OLE_LINK1"/>
            <w:bookmarkStart w:id="1" w:name="OLE_LINK2"/>
            <w:r w:rsidRPr="00076075">
              <w:rPr>
                <w:b/>
                <w:bCs/>
                <w:sz w:val="28"/>
              </w:rPr>
              <w:t>/</w:t>
            </w:r>
            <w:r w:rsidRPr="00076075">
              <w:rPr>
                <w:rStyle w:val="Normal-poolChar"/>
              </w:rPr>
              <w:t>MC/</w:t>
            </w:r>
            <w:bookmarkEnd w:id="0"/>
            <w:bookmarkEnd w:id="1"/>
            <w:r w:rsidRPr="00076075">
              <w:rPr>
                <w:rStyle w:val="Normal-poolChar"/>
              </w:rPr>
              <w:t>COP.</w:t>
            </w:r>
            <w:r w:rsidR="002C7EFA" w:rsidRPr="00076075">
              <w:rPr>
                <w:rStyle w:val="Normal-poolChar"/>
              </w:rPr>
              <w:t>3</w:t>
            </w:r>
            <w:r w:rsidRPr="00076075">
              <w:rPr>
                <w:rStyle w:val="Normal-poolChar"/>
              </w:rPr>
              <w:t>/</w:t>
            </w:r>
            <w:r w:rsidR="000E15AC" w:rsidRPr="00076075">
              <w:rPr>
                <w:rStyle w:val="Normal-poolChar"/>
              </w:rPr>
              <w:t>19</w:t>
            </w:r>
          </w:p>
        </w:tc>
      </w:tr>
      <w:bookmarkStart w:id="2" w:name="_MON_1021710482"/>
      <w:bookmarkEnd w:id="2"/>
      <w:bookmarkStart w:id="3" w:name="_MON_1021710510"/>
      <w:bookmarkEnd w:id="3"/>
      <w:tr w:rsidR="0032111B" w:rsidRPr="00076075" w:rsidTr="00ED53BC">
        <w:trPr>
          <w:cantSplit/>
          <w:trHeight w:val="57"/>
          <w:jc w:val="right"/>
        </w:trPr>
        <w:tc>
          <w:tcPr>
            <w:tcW w:w="1550" w:type="dxa"/>
            <w:tcBorders>
              <w:top w:val="single" w:sz="4" w:space="0" w:color="auto"/>
              <w:bottom w:val="single" w:sz="24" w:space="0" w:color="auto"/>
            </w:tcBorders>
          </w:tcPr>
          <w:p w:rsidR="0032111B" w:rsidRPr="00076075" w:rsidRDefault="006633FB" w:rsidP="00466E9A">
            <w:pPr>
              <w:tabs>
                <w:tab w:val="left" w:pos="624"/>
                <w:tab w:val="left" w:pos="1871"/>
                <w:tab w:val="left" w:pos="2495"/>
              </w:tabs>
            </w:pPr>
            <w:r w:rsidRPr="00076075">
              <w:rPr>
                <w:noProof/>
              </w:rPr>
              <w:object w:dxaOrig="1831" w:dyaOrig="1726" w14:anchorId="4235F8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3.7pt;height:57.85pt;mso-width-percent:0;mso-height-percent:0;mso-width-percent:0;mso-height-percent:0" o:ole="" fillcolor="window">
                  <v:imagedata r:id="rId8" o:title=""/>
                </v:shape>
                <o:OLEObject Type="Embed" ProgID="Word.Picture.8" ShapeID="_x0000_i1025" DrawAspect="Content" ObjectID="_1630752121" r:id="rId9"/>
              </w:object>
            </w:r>
            <w:r w:rsidR="0032111B" w:rsidRPr="00076075">
              <w:rPr>
                <w:noProof/>
                <w:lang w:eastAsia="en-GB"/>
              </w:rPr>
              <w:drawing>
                <wp:inline distT="0" distB="0" distL="0" distR="0" wp14:anchorId="7C99808F" wp14:editId="27E5EEFA">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32111B" w:rsidRPr="009E0B3E" w:rsidRDefault="0032111B" w:rsidP="00466E9A">
            <w:pPr>
              <w:tabs>
                <w:tab w:val="left" w:pos="624"/>
                <w:tab w:val="left" w:pos="1871"/>
                <w:tab w:val="left" w:pos="2495"/>
              </w:tabs>
              <w:spacing w:before="1200"/>
              <w:rPr>
                <w:rFonts w:ascii="Arial" w:hAnsi="Arial" w:cs="Arial"/>
                <w:b/>
                <w:sz w:val="28"/>
              </w:rPr>
            </w:pPr>
            <w:r w:rsidRPr="009E0B3E">
              <w:rPr>
                <w:rFonts w:ascii="Arial" w:hAnsi="Arial" w:cs="Arial"/>
                <w:b/>
                <w:sz w:val="32"/>
                <w:szCs w:val="32"/>
              </w:rPr>
              <w:t xml:space="preserve">United Nations </w:t>
            </w:r>
            <w:r w:rsidRPr="009E0B3E">
              <w:rPr>
                <w:rFonts w:ascii="Arial" w:hAnsi="Arial" w:cs="Arial"/>
                <w:b/>
                <w:sz w:val="32"/>
                <w:szCs w:val="32"/>
              </w:rPr>
              <w:br w:type="textWrapping" w:clear="all"/>
              <w:t xml:space="preserve">Environment </w:t>
            </w:r>
            <w:r w:rsidRPr="009E0B3E">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rsidR="0032111B" w:rsidRPr="009E0B3E" w:rsidRDefault="0032111B" w:rsidP="00466E9A">
            <w:pPr>
              <w:tabs>
                <w:tab w:val="left" w:pos="624"/>
                <w:tab w:val="left" w:pos="1871"/>
                <w:tab w:val="left" w:pos="2495"/>
              </w:tabs>
              <w:spacing w:before="120"/>
            </w:pPr>
            <w:r w:rsidRPr="009E0B3E">
              <w:t xml:space="preserve">Distr.: General </w:t>
            </w:r>
            <w:r w:rsidRPr="009E0B3E">
              <w:br w:type="textWrapping" w:clear="all"/>
            </w:r>
            <w:r w:rsidR="00056DD3" w:rsidRPr="009E0B3E">
              <w:t>6 August</w:t>
            </w:r>
            <w:r w:rsidR="002C7EFA" w:rsidRPr="009E0B3E">
              <w:t xml:space="preserve"> 2019</w:t>
            </w:r>
          </w:p>
          <w:p w:rsidR="0032111B" w:rsidRPr="009E0B3E" w:rsidRDefault="0032111B" w:rsidP="00466E9A">
            <w:pPr>
              <w:tabs>
                <w:tab w:val="left" w:pos="624"/>
                <w:tab w:val="left" w:pos="1871"/>
                <w:tab w:val="left" w:pos="2495"/>
              </w:tabs>
              <w:spacing w:before="120"/>
            </w:pPr>
            <w:r w:rsidRPr="009E0B3E">
              <w:t>Original: English</w:t>
            </w:r>
          </w:p>
        </w:tc>
      </w:tr>
    </w:tbl>
    <w:p w:rsidR="00E976AB" w:rsidRPr="00076075" w:rsidRDefault="00CB007D" w:rsidP="004455F3">
      <w:pPr>
        <w:pStyle w:val="AATitle"/>
        <w:keepNext w:val="0"/>
        <w:keepLines w:val="0"/>
        <w:tabs>
          <w:tab w:val="left" w:pos="624"/>
          <w:tab w:val="left" w:pos="1871"/>
          <w:tab w:val="left" w:pos="2495"/>
        </w:tabs>
      </w:pPr>
      <w:r w:rsidRPr="00076075">
        <w:t>Conference of the Parties to the</w:t>
      </w:r>
      <w:r w:rsidR="005B2DF4" w:rsidRPr="00076075">
        <w:t xml:space="preserve"> </w:t>
      </w:r>
      <w:r w:rsidR="005B2DF4" w:rsidRPr="00076075">
        <w:br/>
      </w:r>
      <w:r w:rsidR="00787688" w:rsidRPr="00076075">
        <w:t>Minamata Convention on Mercury</w:t>
      </w:r>
    </w:p>
    <w:p w:rsidR="00E976AB" w:rsidRPr="00076075" w:rsidRDefault="00600028" w:rsidP="004455F3">
      <w:pPr>
        <w:pStyle w:val="AATitle"/>
        <w:keepNext w:val="0"/>
        <w:keepLines w:val="0"/>
        <w:tabs>
          <w:tab w:val="left" w:pos="624"/>
          <w:tab w:val="left" w:pos="1871"/>
          <w:tab w:val="left" w:pos="2495"/>
        </w:tabs>
      </w:pPr>
      <w:r w:rsidRPr="00076075">
        <w:t>Third</w:t>
      </w:r>
      <w:r w:rsidR="00787688" w:rsidRPr="00076075">
        <w:t xml:space="preserve"> meeting</w:t>
      </w:r>
    </w:p>
    <w:p w:rsidR="00600028" w:rsidRPr="00076075" w:rsidRDefault="00600028" w:rsidP="00600028">
      <w:pPr>
        <w:pStyle w:val="AATitle"/>
        <w:tabs>
          <w:tab w:val="left" w:pos="624"/>
          <w:tab w:val="left" w:pos="1871"/>
          <w:tab w:val="left" w:pos="2495"/>
        </w:tabs>
      </w:pPr>
      <w:bookmarkStart w:id="4" w:name="_Hlk517786179"/>
      <w:r w:rsidRPr="00076075">
        <w:rPr>
          <w:b w:val="0"/>
        </w:rPr>
        <w:t>Geneva, 25–29 November 2019</w:t>
      </w:r>
    </w:p>
    <w:p w:rsidR="001D2D56" w:rsidRPr="00076075" w:rsidRDefault="001D2D56" w:rsidP="00976789">
      <w:pPr>
        <w:pStyle w:val="AATitle"/>
        <w:rPr>
          <w:b w:val="0"/>
        </w:rPr>
      </w:pPr>
      <w:r w:rsidRPr="00076075">
        <w:rPr>
          <w:b w:val="0"/>
        </w:rPr>
        <w:t xml:space="preserve">Item </w:t>
      </w:r>
      <w:r w:rsidR="007F161D" w:rsidRPr="00076075">
        <w:rPr>
          <w:b w:val="0"/>
        </w:rPr>
        <w:t>5 (j)</w:t>
      </w:r>
      <w:r w:rsidRPr="00076075">
        <w:rPr>
          <w:b w:val="0"/>
        </w:rPr>
        <w:t xml:space="preserve"> of the provisional agenda</w:t>
      </w:r>
      <w:r w:rsidRPr="00076075">
        <w:rPr>
          <w:b w:val="0"/>
        </w:rPr>
        <w:footnoteReference w:customMarkFollows="1" w:id="1"/>
        <w:t>*</w:t>
      </w:r>
    </w:p>
    <w:p w:rsidR="001D2D56" w:rsidRPr="00076075" w:rsidRDefault="001D2D56" w:rsidP="00613212">
      <w:pPr>
        <w:pStyle w:val="AATitle2"/>
        <w:spacing w:before="60"/>
      </w:pPr>
      <w:r w:rsidRPr="00076075">
        <w:t xml:space="preserve">Matters for consideration or action by the </w:t>
      </w:r>
      <w:r w:rsidRPr="00076075">
        <w:br/>
        <w:t xml:space="preserve">Conference of the Parties: </w:t>
      </w:r>
      <w:r w:rsidR="000B157E" w:rsidRPr="00076075">
        <w:t>secretariat</w:t>
      </w:r>
    </w:p>
    <w:p w:rsidR="00163DA4" w:rsidRPr="00076075" w:rsidRDefault="007F455C" w:rsidP="00116AF5">
      <w:pPr>
        <w:pStyle w:val="BBTitle"/>
      </w:pPr>
      <w:r w:rsidRPr="00076075">
        <w:t>R</w:t>
      </w:r>
      <w:r w:rsidR="00163DA4" w:rsidRPr="00076075">
        <w:t xml:space="preserve">eport on </w:t>
      </w:r>
      <w:r w:rsidR="00391C83" w:rsidRPr="00076075">
        <w:t xml:space="preserve">the </w:t>
      </w:r>
      <w:r w:rsidR="00163DA4" w:rsidRPr="00076075">
        <w:t xml:space="preserve">main activities of the </w:t>
      </w:r>
      <w:r w:rsidR="000B157E" w:rsidRPr="00076075">
        <w:t>secretariat</w:t>
      </w:r>
      <w:r w:rsidR="00163DA4" w:rsidRPr="00076075">
        <w:t xml:space="preserve"> in the </w:t>
      </w:r>
      <w:r w:rsidR="00391C83" w:rsidRPr="00076075">
        <w:t xml:space="preserve">intersessional </w:t>
      </w:r>
      <w:r w:rsidR="00163DA4" w:rsidRPr="00076075">
        <w:t>period</w:t>
      </w:r>
    </w:p>
    <w:p w:rsidR="001D2D56" w:rsidRPr="00076075" w:rsidRDefault="001D2D56" w:rsidP="00976789">
      <w:pPr>
        <w:pStyle w:val="CH2"/>
      </w:pPr>
      <w:r w:rsidRPr="00076075">
        <w:tab/>
      </w:r>
      <w:r w:rsidRPr="00076075">
        <w:tab/>
        <w:t xml:space="preserve">Note by the </w:t>
      </w:r>
      <w:r w:rsidR="000B157E" w:rsidRPr="00076075">
        <w:t>s</w:t>
      </w:r>
      <w:r w:rsidRPr="00076075">
        <w:t>ecretariat</w:t>
      </w:r>
    </w:p>
    <w:p w:rsidR="00163DA4" w:rsidRPr="00076075" w:rsidRDefault="00163DA4" w:rsidP="00116AF5">
      <w:pPr>
        <w:pStyle w:val="CH1"/>
      </w:pPr>
      <w:r w:rsidRPr="00076075">
        <w:tab/>
        <w:t>I.</w:t>
      </w:r>
      <w:r w:rsidRPr="00076075">
        <w:tab/>
        <w:t>Introduction</w:t>
      </w:r>
    </w:p>
    <w:p w:rsidR="00163DA4" w:rsidRPr="00076075"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076075">
        <w:t>Th</w:t>
      </w:r>
      <w:r w:rsidR="00391C83" w:rsidRPr="00076075">
        <w:t>e present</w:t>
      </w:r>
      <w:r w:rsidRPr="00076075">
        <w:t xml:space="preserve"> report summarizes the major activities undertaken by the </w:t>
      </w:r>
      <w:r w:rsidR="000B157E" w:rsidRPr="00076075">
        <w:t>secretariat</w:t>
      </w:r>
      <w:r w:rsidR="00E556FF" w:rsidRPr="00076075">
        <w:t xml:space="preserve"> of the Minamata Convention on Mercury</w:t>
      </w:r>
      <w:r w:rsidRPr="00076075">
        <w:t xml:space="preserve"> </w:t>
      </w:r>
      <w:r w:rsidR="00DA744A">
        <w:t>during</w:t>
      </w:r>
      <w:r w:rsidR="00391C83" w:rsidRPr="00076075">
        <w:t xml:space="preserve"> the intersessional period </w:t>
      </w:r>
      <w:r w:rsidRPr="00076075">
        <w:t xml:space="preserve">since the </w:t>
      </w:r>
      <w:r w:rsidR="004C395E" w:rsidRPr="00076075">
        <w:t>second</w:t>
      </w:r>
      <w:r w:rsidRPr="00076075">
        <w:t xml:space="preserve"> meeting of the Conference of the Parties</w:t>
      </w:r>
      <w:r w:rsidR="00DA744A">
        <w:t>,</w:t>
      </w:r>
      <w:r w:rsidR="00391C83" w:rsidRPr="00076075">
        <w:t xml:space="preserve"> held in Geneva in </w:t>
      </w:r>
      <w:r w:rsidR="00F15813" w:rsidRPr="00076075">
        <w:t>November</w:t>
      </w:r>
      <w:r w:rsidR="00391C83" w:rsidRPr="00076075">
        <w:t xml:space="preserve"> 201</w:t>
      </w:r>
      <w:r w:rsidR="00F15813" w:rsidRPr="00076075">
        <w:t>8</w:t>
      </w:r>
      <w:r w:rsidRPr="00076075">
        <w:t xml:space="preserve">. </w:t>
      </w:r>
      <w:r w:rsidR="00391C83" w:rsidRPr="00076075">
        <w:t xml:space="preserve">The </w:t>
      </w:r>
      <w:r w:rsidR="005D34F8" w:rsidRPr="00076075">
        <w:t xml:space="preserve">report </w:t>
      </w:r>
      <w:r w:rsidR="005A57BF" w:rsidRPr="00076075">
        <w:t>provide</w:t>
      </w:r>
      <w:r w:rsidR="005D34F8" w:rsidRPr="00076075">
        <w:t>s</w:t>
      </w:r>
      <w:r w:rsidR="005A57BF" w:rsidRPr="00076075">
        <w:t xml:space="preserve"> an update </w:t>
      </w:r>
      <w:r w:rsidR="005D34F8" w:rsidRPr="00076075">
        <w:t xml:space="preserve">on work undertaken by the secretariat in relation </w:t>
      </w:r>
      <w:r w:rsidR="005D34F8" w:rsidRPr="007E7662">
        <w:t>to conferences and meetings</w:t>
      </w:r>
      <w:r w:rsidR="00DD41F4" w:rsidRPr="007E7662">
        <w:t xml:space="preserve"> and</w:t>
      </w:r>
      <w:r w:rsidR="005D34F8" w:rsidRPr="007E7662">
        <w:t xml:space="preserve"> </w:t>
      </w:r>
      <w:r w:rsidR="005A57BF" w:rsidRPr="007E7662">
        <w:t xml:space="preserve">on the successful efforts to implement the </w:t>
      </w:r>
      <w:r w:rsidR="00DA744A" w:rsidRPr="007E7662">
        <w:t xml:space="preserve">secretariat’s </w:t>
      </w:r>
      <w:r w:rsidR="005018A8" w:rsidRPr="007E7662">
        <w:t>programme of work</w:t>
      </w:r>
      <w:r w:rsidR="00DD41F4" w:rsidRPr="007E7662">
        <w:t xml:space="preserve">. It </w:t>
      </w:r>
      <w:r w:rsidR="00DA744A" w:rsidRPr="007E7662">
        <w:t>gives</w:t>
      </w:r>
      <w:r w:rsidR="00DD41F4" w:rsidRPr="00E85595">
        <w:t xml:space="preserve"> an overview of</w:t>
      </w:r>
      <w:r w:rsidR="00B04A16" w:rsidRPr="00E85595">
        <w:t xml:space="preserve"> </w:t>
      </w:r>
      <w:r w:rsidRPr="001951BA">
        <w:t>prepar</w:t>
      </w:r>
      <w:r w:rsidR="005A57BF" w:rsidRPr="001951BA">
        <w:t>ations</w:t>
      </w:r>
      <w:r w:rsidRPr="001951BA">
        <w:t xml:space="preserve"> for the </w:t>
      </w:r>
      <w:r w:rsidR="001D6C02" w:rsidRPr="001951BA">
        <w:t>third</w:t>
      </w:r>
      <w:r w:rsidRPr="007E7662">
        <w:t xml:space="preserve"> meeting of the Conference of the Parties, support</w:t>
      </w:r>
      <w:r w:rsidR="00391C83" w:rsidRPr="007E7662">
        <w:t xml:space="preserve"> provided to</w:t>
      </w:r>
      <w:r w:rsidRPr="007E7662">
        <w:t xml:space="preserve"> the Bureau</w:t>
      </w:r>
      <w:r w:rsidR="00E629F4" w:rsidRPr="007E7662">
        <w:t xml:space="preserve"> and </w:t>
      </w:r>
      <w:r w:rsidR="001636CA" w:rsidRPr="007E7662">
        <w:t>the</w:t>
      </w:r>
      <w:r w:rsidR="00DD41F4" w:rsidRPr="007E7662">
        <w:t xml:space="preserve"> Implementation and Compliance Committee (a subsidiary body of the Conference of</w:t>
      </w:r>
      <w:r w:rsidR="00DD41F4" w:rsidRPr="00DA744A">
        <w:t xml:space="preserve"> the Parties),</w:t>
      </w:r>
      <w:r w:rsidR="00E629F4" w:rsidRPr="00DA744A">
        <w:t xml:space="preserve"> </w:t>
      </w:r>
      <w:r w:rsidRPr="00DA744A">
        <w:t>intersessional</w:t>
      </w:r>
      <w:r w:rsidRPr="00076075">
        <w:t xml:space="preserve"> work </w:t>
      </w:r>
      <w:r w:rsidR="00E629F4" w:rsidRPr="00076075">
        <w:t>on technical matters decided upon</w:t>
      </w:r>
      <w:r w:rsidRPr="00076075">
        <w:t xml:space="preserve"> by the Conference</w:t>
      </w:r>
      <w:r w:rsidR="00391C83" w:rsidRPr="00076075">
        <w:t xml:space="preserve"> of the Parties</w:t>
      </w:r>
      <w:r w:rsidRPr="00076075">
        <w:t xml:space="preserve"> at its </w:t>
      </w:r>
      <w:r w:rsidR="001D6C02" w:rsidRPr="00076075">
        <w:t xml:space="preserve">second </w:t>
      </w:r>
      <w:r w:rsidRPr="00076075">
        <w:t>meeting</w:t>
      </w:r>
      <w:r w:rsidR="005D34F8" w:rsidRPr="00076075">
        <w:t>,</w:t>
      </w:r>
      <w:r w:rsidRPr="00076075">
        <w:t xml:space="preserve"> </w:t>
      </w:r>
      <w:r w:rsidR="003068E0" w:rsidRPr="00076075">
        <w:t>support for the implementation of the Convention</w:t>
      </w:r>
      <w:r w:rsidR="00DA744A">
        <w:t>,</w:t>
      </w:r>
      <w:r w:rsidR="005D34F8" w:rsidRPr="00076075">
        <w:t xml:space="preserve"> and various other activities.</w:t>
      </w:r>
      <w:r w:rsidRPr="00076075">
        <w:t xml:space="preserve"> </w:t>
      </w:r>
    </w:p>
    <w:p w:rsidR="00163DA4" w:rsidRPr="00076075" w:rsidRDefault="00163DA4" w:rsidP="00116AF5">
      <w:pPr>
        <w:pStyle w:val="CH1"/>
      </w:pPr>
      <w:r w:rsidRPr="00076075">
        <w:tab/>
        <w:t>II.</w:t>
      </w:r>
      <w:r w:rsidRPr="00076075">
        <w:tab/>
        <w:t>Conference</w:t>
      </w:r>
      <w:r w:rsidR="00691DD4" w:rsidRPr="00076075">
        <w:t>s</w:t>
      </w:r>
      <w:r w:rsidRPr="00076075">
        <w:t xml:space="preserve"> </w:t>
      </w:r>
      <w:r w:rsidR="00691DD4" w:rsidRPr="00076075">
        <w:t>and meetings</w:t>
      </w:r>
    </w:p>
    <w:p w:rsidR="00163DA4" w:rsidRPr="00076075" w:rsidRDefault="00163DA4" w:rsidP="00ED53BC">
      <w:pPr>
        <w:pStyle w:val="CH2"/>
        <w:spacing w:before="240"/>
      </w:pPr>
      <w:r w:rsidRPr="00076075">
        <w:tab/>
        <w:t>A.</w:t>
      </w:r>
      <w:r w:rsidRPr="00076075">
        <w:tab/>
      </w:r>
      <w:r w:rsidR="00FE7DE8" w:rsidRPr="00076075">
        <w:t>Third meeting of the Conference of the Parties</w:t>
      </w:r>
    </w:p>
    <w:p w:rsidR="00CC0724" w:rsidRPr="00076075" w:rsidRDefault="00CC0724"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The secretariat is in the process of organizing the third meeting of the Conference of the Parties to the Minamata Convention, to be held in Geneva from 25 to 29 November 2019. </w:t>
      </w:r>
      <w:r w:rsidR="002F63CB">
        <w:t>Preparations have</w:t>
      </w:r>
      <w:r w:rsidRPr="00076075">
        <w:t xml:space="preserve"> included multiple logistical and organizational tasks, including in relation to the conference venue, registration of participants and organization of travel of eligible funded participants, and side events and other meetings. The secretariat continues to prepare information for participants and observers and disseminate information and updates about the meeting through the Minamata Convention website in English, French and Spanish, as well as through briefings to various audiences. </w:t>
      </w:r>
    </w:p>
    <w:p w:rsidR="00820194" w:rsidRPr="00076075" w:rsidRDefault="00820194"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On the substantive side, the secretariat has </w:t>
      </w:r>
      <w:r w:rsidR="004528D4" w:rsidRPr="00076075">
        <w:t xml:space="preserve">drafted and </w:t>
      </w:r>
      <w:r w:rsidRPr="00076075">
        <w:t>coordinated the working documents and information documents for the meeting, including liais</w:t>
      </w:r>
      <w:r w:rsidR="00DA744A">
        <w:t>on activities</w:t>
      </w:r>
      <w:r w:rsidRPr="00076075">
        <w:t xml:space="preserve"> for </w:t>
      </w:r>
      <w:r w:rsidR="00DA744A">
        <w:t xml:space="preserve">the </w:t>
      </w:r>
      <w:r w:rsidRPr="00076075">
        <w:t xml:space="preserve">processing, editing and translation of those documents by the Division of Conference Services of the United Nations Office at Nairobi. The preparation of a significant body of technical material for the meeting, in particular the working and information documents, has involved consultation with the secretariat of the Basel, Rotterdam and Stockholm Conventions, </w:t>
      </w:r>
      <w:r w:rsidR="00E15579" w:rsidRPr="00076075">
        <w:t>various d</w:t>
      </w:r>
      <w:r w:rsidR="004528D4" w:rsidRPr="00076075">
        <w:t xml:space="preserve">ivisions of the United Nations Environment </w:t>
      </w:r>
      <w:r w:rsidR="004528D4" w:rsidRPr="00076075">
        <w:lastRenderedPageBreak/>
        <w:t xml:space="preserve">Programme (UNEP), </w:t>
      </w:r>
      <w:r w:rsidRPr="00076075">
        <w:t xml:space="preserve">the Chemicals and Health Branch of the Economy Division of UNEP and </w:t>
      </w:r>
      <w:r w:rsidR="004528D4" w:rsidRPr="00076075">
        <w:t xml:space="preserve">various </w:t>
      </w:r>
      <w:r w:rsidRPr="00076075">
        <w:t xml:space="preserve">other </w:t>
      </w:r>
      <w:r w:rsidR="004528D4" w:rsidRPr="00076075">
        <w:t xml:space="preserve">partners and </w:t>
      </w:r>
      <w:r w:rsidRPr="00076075">
        <w:t>stakeholders, as appropriate.</w:t>
      </w:r>
    </w:p>
    <w:p w:rsidR="00E13110" w:rsidRPr="00076075" w:rsidRDefault="00A65EA7" w:rsidP="00ED53BC">
      <w:pPr>
        <w:pStyle w:val="Normalnumber"/>
        <w:tabs>
          <w:tab w:val="clear" w:pos="1134"/>
          <w:tab w:val="clear" w:pos="1247"/>
          <w:tab w:val="clear" w:pos="1814"/>
          <w:tab w:val="clear" w:pos="2381"/>
          <w:tab w:val="clear" w:pos="2948"/>
          <w:tab w:val="clear" w:pos="3515"/>
          <w:tab w:val="clear" w:pos="4082"/>
          <w:tab w:val="num" w:pos="624"/>
        </w:tabs>
      </w:pPr>
      <w:r w:rsidRPr="00076075">
        <w:t>Further to decision MC</w:t>
      </w:r>
      <w:r w:rsidR="00DC6424" w:rsidRPr="00076075">
        <w:t>-2/7</w:t>
      </w:r>
      <w:r w:rsidR="00696F0B">
        <w:t>,</w:t>
      </w:r>
      <w:r w:rsidR="004528D4" w:rsidRPr="00076075">
        <w:t xml:space="preserve"> on cooperation between </w:t>
      </w:r>
      <w:r w:rsidR="007520DD" w:rsidRPr="00076075">
        <w:t>the</w:t>
      </w:r>
      <w:r w:rsidR="004528D4" w:rsidRPr="00076075">
        <w:t xml:space="preserve"> </w:t>
      </w:r>
      <w:r w:rsidR="00C15B01" w:rsidRPr="00076075">
        <w:t>secretariat of the Minamata Convention and the s</w:t>
      </w:r>
      <w:r w:rsidR="004528D4" w:rsidRPr="00076075">
        <w:t>ecretariat of the</w:t>
      </w:r>
      <w:r w:rsidR="007520DD" w:rsidRPr="00076075">
        <w:t xml:space="preserve"> Basel, Rotterdam and Stockholm </w:t>
      </w:r>
      <w:r w:rsidR="002F63CB">
        <w:t>C</w:t>
      </w:r>
      <w:r w:rsidR="007520DD" w:rsidRPr="00076075">
        <w:t>onventions</w:t>
      </w:r>
      <w:r w:rsidR="004528D4" w:rsidRPr="00076075">
        <w:t xml:space="preserve">, arrangements are in place for the sharing of </w:t>
      </w:r>
      <w:r w:rsidR="008B324C" w:rsidRPr="00076075">
        <w:t xml:space="preserve">services </w:t>
      </w:r>
      <w:r w:rsidR="004528D4" w:rsidRPr="00076075">
        <w:rPr>
          <w:rFonts w:asciiTheme="majorBidi" w:hAnsiTheme="majorBidi" w:cstheme="majorBidi"/>
        </w:rPr>
        <w:t>in support of the conference and meetings services for the third meeting of the Conference of the Parties</w:t>
      </w:r>
      <w:r w:rsidR="007C2B61" w:rsidRPr="00076075">
        <w:rPr>
          <w:rFonts w:asciiTheme="majorBidi" w:hAnsiTheme="majorBidi" w:cstheme="majorBidi"/>
        </w:rPr>
        <w:t xml:space="preserve">, including </w:t>
      </w:r>
      <w:r w:rsidR="004528D4" w:rsidRPr="00076075">
        <w:rPr>
          <w:rFonts w:asciiTheme="majorBidi" w:hAnsiTheme="majorBidi" w:cstheme="majorBidi"/>
        </w:rPr>
        <w:t xml:space="preserve">logistical support services before and during the meeting (logistics process coordination, arrangements at the venue, </w:t>
      </w:r>
      <w:r w:rsidR="00C94173">
        <w:rPr>
          <w:rFonts w:asciiTheme="majorBidi" w:hAnsiTheme="majorBidi" w:cstheme="majorBidi"/>
        </w:rPr>
        <w:t>information technology</w:t>
      </w:r>
      <w:r w:rsidR="00C94173" w:rsidRPr="00076075">
        <w:rPr>
          <w:rFonts w:asciiTheme="majorBidi" w:hAnsiTheme="majorBidi" w:cstheme="majorBidi"/>
        </w:rPr>
        <w:t xml:space="preserve"> </w:t>
      </w:r>
      <w:r w:rsidR="004528D4" w:rsidRPr="00076075">
        <w:rPr>
          <w:rFonts w:asciiTheme="majorBidi" w:hAnsiTheme="majorBidi" w:cstheme="majorBidi"/>
        </w:rPr>
        <w:t>and paperless</w:t>
      </w:r>
      <w:r w:rsidR="00633224">
        <w:rPr>
          <w:rFonts w:asciiTheme="majorBidi" w:hAnsiTheme="majorBidi" w:cstheme="majorBidi"/>
        </w:rPr>
        <w:t xml:space="preserve"> arrangements</w:t>
      </w:r>
      <w:r w:rsidR="004528D4" w:rsidRPr="00076075">
        <w:rPr>
          <w:rFonts w:asciiTheme="majorBidi" w:hAnsiTheme="majorBidi" w:cstheme="majorBidi"/>
        </w:rPr>
        <w:t>, etc.), participant management (registration and travel)</w:t>
      </w:r>
      <w:r w:rsidR="00332A3E" w:rsidRPr="00076075">
        <w:rPr>
          <w:rFonts w:asciiTheme="majorBidi" w:hAnsiTheme="majorBidi" w:cstheme="majorBidi"/>
        </w:rPr>
        <w:t xml:space="preserve"> and</w:t>
      </w:r>
      <w:r w:rsidR="004528D4" w:rsidRPr="00076075">
        <w:rPr>
          <w:rFonts w:asciiTheme="majorBidi" w:hAnsiTheme="majorBidi" w:cstheme="majorBidi"/>
        </w:rPr>
        <w:t xml:space="preserve"> document control (in-session document management and processing). Document</w:t>
      </w:r>
      <w:r w:rsidR="008568CC" w:rsidRPr="00076075">
        <w:rPr>
          <w:rFonts w:asciiTheme="majorBidi" w:hAnsiTheme="majorBidi" w:cstheme="majorBidi"/>
        </w:rPr>
        <w:t xml:space="preserve"> </w:t>
      </w:r>
      <w:r w:rsidR="008568CC" w:rsidRPr="00076075">
        <w:t>UNEP/MC/COP.3/</w:t>
      </w:r>
      <w:r w:rsidR="00D51355" w:rsidRPr="00076075">
        <w:t xml:space="preserve">16 </w:t>
      </w:r>
      <w:r w:rsidR="004528D4" w:rsidRPr="00076075">
        <w:t xml:space="preserve">presents </w:t>
      </w:r>
      <w:r w:rsidR="00D51355" w:rsidRPr="00076075">
        <w:t xml:space="preserve">the proposal by </w:t>
      </w:r>
      <w:r w:rsidR="00E15579" w:rsidRPr="00076075">
        <w:t>UNEP</w:t>
      </w:r>
      <w:r w:rsidR="00D51355" w:rsidRPr="00076075">
        <w:t xml:space="preserve"> on cooperation between the secretariat </w:t>
      </w:r>
      <w:r w:rsidR="00917517" w:rsidRPr="00076075">
        <w:t>of the Minamata Convention and the secre</w:t>
      </w:r>
      <w:r w:rsidR="001E7DCA" w:rsidRPr="00076075">
        <w:t xml:space="preserve">tariat of the Basel, Rotterdam and Stockholm </w:t>
      </w:r>
      <w:r w:rsidR="00332A3E" w:rsidRPr="00076075">
        <w:t>C</w:t>
      </w:r>
      <w:r w:rsidR="001E7DCA" w:rsidRPr="00076075">
        <w:t>onventions</w:t>
      </w:r>
      <w:r w:rsidR="004528D4" w:rsidRPr="00076075">
        <w:t xml:space="preserve"> further to decision MC-2/7</w:t>
      </w:r>
      <w:r w:rsidR="001E7DCA" w:rsidRPr="00076075">
        <w:t xml:space="preserve">. </w:t>
      </w:r>
      <w:r w:rsidR="00E13110" w:rsidRPr="00076075">
        <w:t xml:space="preserve">The secretariat of the Basel, Rotterdam and Stockholm Conventions </w:t>
      </w:r>
      <w:r w:rsidR="004528D4" w:rsidRPr="00076075">
        <w:t xml:space="preserve">and the </w:t>
      </w:r>
      <w:r w:rsidR="00332A3E" w:rsidRPr="00076075">
        <w:t xml:space="preserve">UNEP </w:t>
      </w:r>
      <w:r w:rsidR="004528D4" w:rsidRPr="00076075">
        <w:t xml:space="preserve">Chemicals and Health Branch </w:t>
      </w:r>
      <w:r w:rsidR="00E13110" w:rsidRPr="00076075">
        <w:t xml:space="preserve">will also, on the basis of reciprocity, provide </w:t>
      </w:r>
      <w:r w:rsidR="004528D4" w:rsidRPr="00076075">
        <w:t xml:space="preserve">staff to </w:t>
      </w:r>
      <w:r w:rsidR="00E13110" w:rsidRPr="00076075">
        <w:t xml:space="preserve">support the secretariat of the Minamata Convention </w:t>
      </w:r>
      <w:r w:rsidR="004528D4" w:rsidRPr="00076075">
        <w:t>in</w:t>
      </w:r>
      <w:r w:rsidR="00E13110" w:rsidRPr="00076075">
        <w:t xml:space="preserve"> the running of the meeting, in particular in relation to contact groups.</w:t>
      </w:r>
      <w:r w:rsidR="002A5CFF" w:rsidRPr="00076075">
        <w:t xml:space="preserve"> </w:t>
      </w:r>
      <w:r w:rsidR="00E13110" w:rsidRPr="00076075">
        <w:t xml:space="preserve">The Law Division of UNEP will provide </w:t>
      </w:r>
      <w:r w:rsidR="004528D4" w:rsidRPr="00076075">
        <w:t xml:space="preserve">support through making the legal adviser </w:t>
      </w:r>
      <w:r w:rsidR="00866E60" w:rsidRPr="00076075">
        <w:t xml:space="preserve">available at </w:t>
      </w:r>
      <w:r w:rsidR="004528D4" w:rsidRPr="00076075">
        <w:t>the meeting.</w:t>
      </w:r>
    </w:p>
    <w:p w:rsidR="00163DA4" w:rsidRPr="00076075" w:rsidRDefault="00163DA4" w:rsidP="00ED53BC">
      <w:pPr>
        <w:pStyle w:val="CH2"/>
        <w:spacing w:before="240"/>
      </w:pPr>
      <w:r w:rsidRPr="00076075">
        <w:tab/>
        <w:t>B.</w:t>
      </w:r>
      <w:r w:rsidRPr="00076075">
        <w:tab/>
        <w:t>Bureau of the Conference of the Parties</w:t>
      </w:r>
    </w:p>
    <w:p w:rsidR="00163DA4" w:rsidRPr="00633224"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The </w:t>
      </w:r>
      <w:r w:rsidR="000B157E" w:rsidRPr="00076075">
        <w:t>secretariat</w:t>
      </w:r>
      <w:r w:rsidR="00AC527E" w:rsidRPr="00076075">
        <w:t xml:space="preserve"> has </w:t>
      </w:r>
      <w:r w:rsidR="00AC527E" w:rsidRPr="001D7EE0">
        <w:t>provided</w:t>
      </w:r>
      <w:r w:rsidRPr="001D7EE0">
        <w:t xml:space="preserve"> support</w:t>
      </w:r>
      <w:r w:rsidR="00AC527E" w:rsidRPr="00076075">
        <w:t xml:space="preserve"> to</w:t>
      </w:r>
      <w:r w:rsidRPr="00076075">
        <w:t xml:space="preserve"> the Presidency</w:t>
      </w:r>
      <w:r w:rsidR="00AC527E" w:rsidRPr="00076075">
        <w:t xml:space="preserve"> of the Conference of the Parties</w:t>
      </w:r>
      <w:r w:rsidRPr="00076075">
        <w:t xml:space="preserve"> in all substantive matters related to the Convention </w:t>
      </w:r>
      <w:r w:rsidR="00627756" w:rsidRPr="00076075">
        <w:t>since</w:t>
      </w:r>
      <w:r w:rsidRPr="00076075">
        <w:t xml:space="preserve"> the </w:t>
      </w:r>
      <w:r w:rsidR="00075E14" w:rsidRPr="00076075">
        <w:t>second</w:t>
      </w:r>
      <w:r w:rsidRPr="00076075">
        <w:t xml:space="preserve"> meeting of the Conference of the Parties</w:t>
      </w:r>
      <w:r w:rsidR="00682216" w:rsidRPr="00076075">
        <w:t>.</w:t>
      </w:r>
      <w:r w:rsidRPr="00076075">
        <w:t xml:space="preserve"> </w:t>
      </w:r>
      <w:r w:rsidR="00682216" w:rsidRPr="00076075">
        <w:t xml:space="preserve">It </w:t>
      </w:r>
      <w:r w:rsidR="00AC527E" w:rsidRPr="00076075">
        <w:t xml:space="preserve">has </w:t>
      </w:r>
      <w:r w:rsidRPr="00076075">
        <w:t xml:space="preserve">facilitated </w:t>
      </w:r>
      <w:r w:rsidR="00BD716C" w:rsidRPr="00076075">
        <w:t xml:space="preserve">logistical and substantive </w:t>
      </w:r>
      <w:r w:rsidRPr="00076075">
        <w:t>organi</w:t>
      </w:r>
      <w:r w:rsidR="00AC527E" w:rsidRPr="00076075">
        <w:t>z</w:t>
      </w:r>
      <w:r w:rsidRPr="00076075">
        <w:t xml:space="preserve">ational arrangements </w:t>
      </w:r>
      <w:r w:rsidR="00AC527E" w:rsidRPr="00076075">
        <w:t>for</w:t>
      </w:r>
      <w:r w:rsidRPr="00076075">
        <w:t xml:space="preserve"> </w:t>
      </w:r>
      <w:r w:rsidR="00AF0D9A" w:rsidRPr="00076075">
        <w:t xml:space="preserve">two meetings of </w:t>
      </w:r>
      <w:r w:rsidRPr="00076075">
        <w:t xml:space="preserve">the Bureau of the Conference of </w:t>
      </w:r>
      <w:r w:rsidR="00A22FCD" w:rsidRPr="00076075">
        <w:t xml:space="preserve">the </w:t>
      </w:r>
      <w:r w:rsidRPr="00076075">
        <w:t>Parties</w:t>
      </w:r>
      <w:r w:rsidR="00C22D64" w:rsidRPr="00076075">
        <w:t>,</w:t>
      </w:r>
      <w:r w:rsidR="00AF0D9A" w:rsidRPr="00076075">
        <w:t xml:space="preserve"> the first</w:t>
      </w:r>
      <w:r w:rsidRPr="00076075">
        <w:t xml:space="preserve"> </w:t>
      </w:r>
      <w:r w:rsidR="00AC527E" w:rsidRPr="00076075">
        <w:t>held via</w:t>
      </w:r>
      <w:r w:rsidRPr="00076075">
        <w:t xml:space="preserve"> teleconference on </w:t>
      </w:r>
      <w:r w:rsidR="00E7478B" w:rsidRPr="00076075">
        <w:t xml:space="preserve">29 January </w:t>
      </w:r>
      <w:r w:rsidRPr="00076075">
        <w:t>201</w:t>
      </w:r>
      <w:r w:rsidR="00E7478B" w:rsidRPr="00076075">
        <w:t>9</w:t>
      </w:r>
      <w:r w:rsidR="0060758A" w:rsidRPr="00076075">
        <w:t xml:space="preserve"> </w:t>
      </w:r>
      <w:r w:rsidR="00AF0D9A" w:rsidRPr="00076075">
        <w:t xml:space="preserve">and the second </w:t>
      </w:r>
      <w:r w:rsidR="004528D4" w:rsidRPr="00076075">
        <w:t>as</w:t>
      </w:r>
      <w:r w:rsidR="00205D40" w:rsidRPr="00076075">
        <w:t xml:space="preserve"> a </w:t>
      </w:r>
      <w:r w:rsidRPr="00076075">
        <w:t>face-to-face meeting</w:t>
      </w:r>
      <w:r w:rsidR="00205D40" w:rsidRPr="00076075">
        <w:t xml:space="preserve"> </w:t>
      </w:r>
      <w:r w:rsidR="00AC527E" w:rsidRPr="00076075">
        <w:t>in Geneva</w:t>
      </w:r>
      <w:r w:rsidRPr="00076075">
        <w:t xml:space="preserve"> on </w:t>
      </w:r>
      <w:r w:rsidR="006E5D36" w:rsidRPr="00076075">
        <w:t xml:space="preserve">26 April </w:t>
      </w:r>
      <w:r w:rsidRPr="00076075">
        <w:t>201</w:t>
      </w:r>
      <w:r w:rsidR="006E5D36" w:rsidRPr="00076075">
        <w:t>9</w:t>
      </w:r>
      <w:r w:rsidRPr="00076075">
        <w:t>. The main objectives of th</w:t>
      </w:r>
      <w:r w:rsidR="00AC527E" w:rsidRPr="00076075">
        <w:t>o</w:t>
      </w:r>
      <w:r w:rsidRPr="00076075">
        <w:t xml:space="preserve">se meetings were to take stock of the outcome of the </w:t>
      </w:r>
      <w:r w:rsidR="006E5D36" w:rsidRPr="00076075">
        <w:t xml:space="preserve">second </w:t>
      </w:r>
      <w:r w:rsidRPr="00076075">
        <w:t>meeting</w:t>
      </w:r>
      <w:r w:rsidR="00AC527E" w:rsidRPr="00076075">
        <w:t xml:space="preserve"> of the Conference of the Parties with a view</w:t>
      </w:r>
      <w:r w:rsidRPr="00076075">
        <w:t xml:space="preserve"> to ensur</w:t>
      </w:r>
      <w:r w:rsidR="00AC527E" w:rsidRPr="00076075">
        <w:t>ing</w:t>
      </w:r>
      <w:r w:rsidRPr="00076075">
        <w:t xml:space="preserve"> adequate planning for </w:t>
      </w:r>
      <w:r w:rsidR="00AC527E" w:rsidRPr="00076075">
        <w:t xml:space="preserve">its </w:t>
      </w:r>
      <w:r w:rsidR="006E5D36" w:rsidRPr="00076075">
        <w:t xml:space="preserve">third </w:t>
      </w:r>
      <w:r w:rsidRPr="00076075">
        <w:t xml:space="preserve">meeting, to consider the issues </w:t>
      </w:r>
      <w:r w:rsidR="005B7BE9" w:rsidRPr="00076075">
        <w:t>on the agenda of</w:t>
      </w:r>
      <w:r w:rsidR="00AC527E" w:rsidRPr="00076075">
        <w:t xml:space="preserve"> the </w:t>
      </w:r>
      <w:r w:rsidR="006E5D36" w:rsidRPr="00076075">
        <w:t xml:space="preserve">third </w:t>
      </w:r>
      <w:r w:rsidR="00AC527E" w:rsidRPr="00076075">
        <w:t>meeting</w:t>
      </w:r>
      <w:r w:rsidR="005867AF" w:rsidRPr="00076075">
        <w:t xml:space="preserve"> of the Conference</w:t>
      </w:r>
      <w:r w:rsidR="004528D4" w:rsidRPr="00076075">
        <w:t xml:space="preserve"> </w:t>
      </w:r>
      <w:r w:rsidR="00C22D64" w:rsidRPr="00076075">
        <w:t xml:space="preserve">of the Parties </w:t>
      </w:r>
      <w:r w:rsidR="004528D4" w:rsidRPr="00076075">
        <w:t xml:space="preserve">and </w:t>
      </w:r>
      <w:r w:rsidR="004528D4" w:rsidRPr="00633224">
        <w:t>provide guidance on the docume</w:t>
      </w:r>
      <w:r w:rsidR="001636CA" w:rsidRPr="00633224">
        <w:t>n</w:t>
      </w:r>
      <w:r w:rsidR="004528D4" w:rsidRPr="00633224">
        <w:t>ts to be submitted to the meeting</w:t>
      </w:r>
      <w:r w:rsidR="00E15579" w:rsidRPr="00633224">
        <w:t>,</w:t>
      </w:r>
      <w:r w:rsidRPr="00633224">
        <w:t xml:space="preserve"> </w:t>
      </w:r>
      <w:r w:rsidR="00AC527E" w:rsidRPr="00633224">
        <w:t xml:space="preserve">and </w:t>
      </w:r>
      <w:r w:rsidRPr="00633224">
        <w:t>to discuss strategic and policy matters.</w:t>
      </w:r>
      <w:r w:rsidR="00160153" w:rsidRPr="00633224">
        <w:t xml:space="preserve"> </w:t>
      </w:r>
      <w:r w:rsidR="00AC527E" w:rsidRPr="00633224">
        <w:t>The r</w:t>
      </w:r>
      <w:r w:rsidRPr="00633224">
        <w:t xml:space="preserve">eports of the meetings </w:t>
      </w:r>
      <w:r w:rsidR="00AC527E" w:rsidRPr="00633224">
        <w:t xml:space="preserve">of the Bureau </w:t>
      </w:r>
      <w:r w:rsidRPr="00633224">
        <w:t>are available on the Convention website.</w:t>
      </w:r>
      <w:r w:rsidRPr="00633224">
        <w:rPr>
          <w:vertAlign w:val="superscript"/>
        </w:rPr>
        <w:footnoteReference w:id="2"/>
      </w:r>
      <w:r w:rsidRPr="00633224">
        <w:t xml:space="preserve"> The secretariat has implemented and followed up</w:t>
      </w:r>
      <w:r w:rsidR="00AC527E" w:rsidRPr="00633224">
        <w:t xml:space="preserve"> on</w:t>
      </w:r>
      <w:r w:rsidR="00E15579" w:rsidRPr="00633224">
        <w:t xml:space="preserve"> </w:t>
      </w:r>
      <w:r w:rsidRPr="00633224">
        <w:t>all the decisions of the Bureau</w:t>
      </w:r>
      <w:r w:rsidR="00E15579" w:rsidRPr="00633224">
        <w:t>, as appropriate</w:t>
      </w:r>
      <w:r w:rsidRPr="00633224">
        <w:t>.</w:t>
      </w:r>
    </w:p>
    <w:p w:rsidR="00F75C06" w:rsidRPr="00076075" w:rsidRDefault="00F75C06" w:rsidP="00ED53BC">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rPr>
      </w:pPr>
      <w:r w:rsidRPr="00076075">
        <w:rPr>
          <w:rFonts w:asciiTheme="majorBidi" w:hAnsiTheme="majorBidi" w:cstheme="majorBidi"/>
        </w:rPr>
        <w:t xml:space="preserve">The </w:t>
      </w:r>
      <w:r w:rsidR="001D3938" w:rsidRPr="00076075">
        <w:rPr>
          <w:rFonts w:asciiTheme="majorBidi" w:hAnsiTheme="majorBidi" w:cstheme="majorBidi"/>
        </w:rPr>
        <w:t xml:space="preserve">next face-to-face meeting of the Bureau </w:t>
      </w:r>
      <w:r w:rsidR="004528D4" w:rsidRPr="00076075">
        <w:rPr>
          <w:rFonts w:asciiTheme="majorBidi" w:hAnsiTheme="majorBidi" w:cstheme="majorBidi"/>
        </w:rPr>
        <w:t>is scheduled to</w:t>
      </w:r>
      <w:r w:rsidR="001D3938" w:rsidRPr="00076075">
        <w:rPr>
          <w:rFonts w:asciiTheme="majorBidi" w:hAnsiTheme="majorBidi" w:cstheme="majorBidi"/>
        </w:rPr>
        <w:t xml:space="preserve"> take place on 28 and 29</w:t>
      </w:r>
      <w:r w:rsidR="00ED53BC">
        <w:rPr>
          <w:rFonts w:asciiTheme="majorBidi" w:hAnsiTheme="majorBidi" w:cstheme="majorBidi"/>
        </w:rPr>
        <w:t> </w:t>
      </w:r>
      <w:r w:rsidR="001D3938" w:rsidRPr="00076075">
        <w:rPr>
          <w:rFonts w:asciiTheme="majorBidi" w:hAnsiTheme="majorBidi" w:cstheme="majorBidi"/>
        </w:rPr>
        <w:t xml:space="preserve">September 2019 in </w:t>
      </w:r>
      <w:r w:rsidR="001D3938" w:rsidRPr="00ED53BC">
        <w:t>Bangkok</w:t>
      </w:r>
      <w:r w:rsidR="001D3938" w:rsidRPr="00076075">
        <w:rPr>
          <w:rFonts w:asciiTheme="majorBidi" w:hAnsiTheme="majorBidi" w:cstheme="majorBidi"/>
        </w:rPr>
        <w:t>, back to back with the third meeting of the intersessional process</w:t>
      </w:r>
      <w:r w:rsidR="00E15579" w:rsidRPr="00076075">
        <w:rPr>
          <w:rFonts w:asciiTheme="majorBidi" w:hAnsiTheme="majorBidi" w:cstheme="majorBidi"/>
        </w:rPr>
        <w:t xml:space="preserve"> of the </w:t>
      </w:r>
      <w:r w:rsidR="00E15579" w:rsidRPr="00076075">
        <w:t>Strategic Approach to International Chemicals Management (SAICM)</w:t>
      </w:r>
      <w:r w:rsidR="001D3938" w:rsidRPr="00076075">
        <w:rPr>
          <w:rFonts w:asciiTheme="majorBidi" w:hAnsiTheme="majorBidi" w:cstheme="majorBidi"/>
        </w:rPr>
        <w:t>.</w:t>
      </w:r>
      <w:r w:rsidR="005F6B9C" w:rsidRPr="00076075">
        <w:rPr>
          <w:rFonts w:asciiTheme="majorBidi" w:hAnsiTheme="majorBidi" w:cstheme="majorBidi"/>
        </w:rPr>
        <w:t xml:space="preserve"> The Bureau will also meet on </w:t>
      </w:r>
      <w:r w:rsidR="00C22D64" w:rsidRPr="00076075">
        <w:rPr>
          <w:rFonts w:asciiTheme="majorBidi" w:hAnsiTheme="majorBidi" w:cstheme="majorBidi"/>
        </w:rPr>
        <w:t>24 </w:t>
      </w:r>
      <w:r w:rsidR="005F6B9C" w:rsidRPr="00076075">
        <w:rPr>
          <w:rFonts w:asciiTheme="majorBidi" w:hAnsiTheme="majorBidi" w:cstheme="majorBidi"/>
        </w:rPr>
        <w:t xml:space="preserve">November, the day before the start of the </w:t>
      </w:r>
      <w:r w:rsidR="004528D4" w:rsidRPr="00076075">
        <w:rPr>
          <w:rFonts w:asciiTheme="majorBidi" w:hAnsiTheme="majorBidi" w:cstheme="majorBidi"/>
        </w:rPr>
        <w:t xml:space="preserve">third meeting of the </w:t>
      </w:r>
      <w:r w:rsidR="005F6B9C" w:rsidRPr="00076075">
        <w:rPr>
          <w:rFonts w:asciiTheme="majorBidi" w:hAnsiTheme="majorBidi" w:cstheme="majorBidi"/>
        </w:rPr>
        <w:t>Conference</w:t>
      </w:r>
      <w:r w:rsidR="00C22D64" w:rsidRPr="00076075">
        <w:rPr>
          <w:rFonts w:asciiTheme="majorBidi" w:hAnsiTheme="majorBidi" w:cstheme="majorBidi"/>
        </w:rPr>
        <w:t xml:space="preserve"> of the Parties</w:t>
      </w:r>
      <w:r w:rsidR="005F6B9C" w:rsidRPr="00076075">
        <w:rPr>
          <w:rFonts w:asciiTheme="majorBidi" w:hAnsiTheme="majorBidi" w:cstheme="majorBidi"/>
        </w:rPr>
        <w:t>, and during th</w:t>
      </w:r>
      <w:r w:rsidR="00C22D64" w:rsidRPr="00076075">
        <w:rPr>
          <w:rFonts w:asciiTheme="majorBidi" w:hAnsiTheme="majorBidi" w:cstheme="majorBidi"/>
        </w:rPr>
        <w:t>at</w:t>
      </w:r>
      <w:r w:rsidR="005F6B9C" w:rsidRPr="00076075">
        <w:rPr>
          <w:rFonts w:asciiTheme="majorBidi" w:hAnsiTheme="majorBidi" w:cstheme="majorBidi"/>
        </w:rPr>
        <w:t xml:space="preserve"> </w:t>
      </w:r>
      <w:r w:rsidR="004528D4" w:rsidRPr="00076075">
        <w:rPr>
          <w:rFonts w:asciiTheme="majorBidi" w:hAnsiTheme="majorBidi" w:cstheme="majorBidi"/>
        </w:rPr>
        <w:t>meeting</w:t>
      </w:r>
      <w:r w:rsidR="005F6B9C" w:rsidRPr="00076075">
        <w:rPr>
          <w:rFonts w:asciiTheme="majorBidi" w:hAnsiTheme="majorBidi" w:cstheme="majorBidi"/>
        </w:rPr>
        <w:t>.</w:t>
      </w:r>
    </w:p>
    <w:p w:rsidR="00163DA4" w:rsidRPr="00076075" w:rsidRDefault="00163DA4" w:rsidP="00ED53BC">
      <w:pPr>
        <w:pStyle w:val="CH2"/>
        <w:spacing w:before="240"/>
      </w:pPr>
      <w:r w:rsidRPr="00076075">
        <w:tab/>
        <w:t>C.</w:t>
      </w:r>
      <w:r w:rsidRPr="00076075">
        <w:tab/>
        <w:t xml:space="preserve">Regional meetings </w:t>
      </w:r>
    </w:p>
    <w:p w:rsidR="00FF2073" w:rsidRPr="00076075" w:rsidRDefault="003B2198"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At its </w:t>
      </w:r>
      <w:r w:rsidR="00FF2073" w:rsidRPr="00076075">
        <w:t>first meeting</w:t>
      </w:r>
      <w:r w:rsidRPr="00076075">
        <w:t>,</w:t>
      </w:r>
      <w:r w:rsidR="00FF2073" w:rsidRPr="00076075">
        <w:t xml:space="preserve"> the </w:t>
      </w:r>
      <w:r w:rsidR="00FF2073" w:rsidRPr="00122F1D">
        <w:t>Conference of the Parties</w:t>
      </w:r>
      <w:r w:rsidR="00FF2073" w:rsidRPr="00076075">
        <w:t>, in decision MC-1/15</w:t>
      </w:r>
      <w:r w:rsidR="00773755">
        <w:t>,</w:t>
      </w:r>
      <w:r w:rsidR="00FF2073" w:rsidRPr="00076075">
        <w:t xml:space="preserve"> on the </w:t>
      </w:r>
      <w:r w:rsidR="00773755">
        <w:t>p</w:t>
      </w:r>
      <w:r w:rsidR="00FF2073" w:rsidRPr="00076075">
        <w:t xml:space="preserve">rogramme of </w:t>
      </w:r>
      <w:r w:rsidR="00773755">
        <w:t>w</w:t>
      </w:r>
      <w:r w:rsidR="00FF2073" w:rsidRPr="00076075">
        <w:t xml:space="preserve">ork </w:t>
      </w:r>
      <w:r w:rsidR="00773755">
        <w:t>of</w:t>
      </w:r>
      <w:r w:rsidR="00773755" w:rsidRPr="00076075">
        <w:t xml:space="preserve"> </w:t>
      </w:r>
      <w:r w:rsidR="00FF2073" w:rsidRPr="00076075">
        <w:t xml:space="preserve">the </w:t>
      </w:r>
      <w:r w:rsidR="00773755">
        <w:t>s</w:t>
      </w:r>
      <w:r w:rsidR="00FF2073" w:rsidRPr="00076075">
        <w:t xml:space="preserve">ecretariat and </w:t>
      </w:r>
      <w:r w:rsidR="00773755">
        <w:t xml:space="preserve">proposed </w:t>
      </w:r>
      <w:r w:rsidR="00FF2073" w:rsidRPr="00076075">
        <w:t>budget for the biennium 2018</w:t>
      </w:r>
      <w:r w:rsidR="00DE18A8" w:rsidRPr="00076075">
        <w:sym w:font="Symbol" w:char="F02D"/>
      </w:r>
      <w:r w:rsidR="00FF2073" w:rsidRPr="00076075">
        <w:t xml:space="preserve">2019, </w:t>
      </w:r>
      <w:r w:rsidRPr="00076075">
        <w:t>provided</w:t>
      </w:r>
      <w:r w:rsidR="00FF2073" w:rsidRPr="00076075">
        <w:t xml:space="preserve"> for preparatory meetings for the second and third meetings of the Conferences of the Parties</w:t>
      </w:r>
      <w:r w:rsidRPr="00076075">
        <w:t xml:space="preserve"> to be funded through voluntary contributions</w:t>
      </w:r>
      <w:r w:rsidR="00FF2073" w:rsidRPr="00076075">
        <w:t xml:space="preserve">. The objective of the regional preparatory meetings is to contribute to the </w:t>
      </w:r>
      <w:r w:rsidR="00122F1D" w:rsidRPr="00076075">
        <w:t>success</w:t>
      </w:r>
      <w:r w:rsidR="00122F1D">
        <w:t xml:space="preserve"> of the</w:t>
      </w:r>
      <w:r w:rsidR="00122F1D" w:rsidRPr="00076075">
        <w:t xml:space="preserve"> </w:t>
      </w:r>
      <w:r w:rsidR="00FF2073" w:rsidRPr="00076075">
        <w:t xml:space="preserve">meetings of the Conference of the Parties in 2018 and 2019 by giving regions the possibility to consult each other in advance of the Conference, consider meeting documents, discuss substantive matters, identify regional priorities and challenges and prepare regional positions. These meetings improve the legitimacy of the decisions adopted by the Conference of the Parties and </w:t>
      </w:r>
      <w:r w:rsidRPr="00076075">
        <w:t>support</w:t>
      </w:r>
      <w:r w:rsidR="00FF2073" w:rsidRPr="00076075">
        <w:t xml:space="preserve"> the implementation of the Convention at all levels.</w:t>
      </w:r>
    </w:p>
    <w:p w:rsidR="00AF676C" w:rsidRPr="00076075" w:rsidRDefault="00AF676C" w:rsidP="00ED53BC">
      <w:pPr>
        <w:pStyle w:val="Normalnumber"/>
        <w:tabs>
          <w:tab w:val="clear" w:pos="1134"/>
          <w:tab w:val="clear" w:pos="1247"/>
          <w:tab w:val="clear" w:pos="1814"/>
          <w:tab w:val="clear" w:pos="2381"/>
          <w:tab w:val="clear" w:pos="2948"/>
          <w:tab w:val="clear" w:pos="3515"/>
          <w:tab w:val="clear" w:pos="4082"/>
          <w:tab w:val="num" w:pos="624"/>
        </w:tabs>
      </w:pPr>
      <w:r w:rsidRPr="00076075">
        <w:t>The President of the Conference of the Parties and the Executive Secretary sent out two communications</w:t>
      </w:r>
      <w:r w:rsidR="004F110B" w:rsidRPr="00076075">
        <w:t>, dated 19 December 2018 and 3 May 2019,</w:t>
      </w:r>
      <w:r w:rsidRPr="00076075">
        <w:t xml:space="preserve"> </w:t>
      </w:r>
      <w:r w:rsidR="004F110B" w:rsidRPr="00076075">
        <w:t>aimed at raising funds</w:t>
      </w:r>
      <w:r w:rsidR="000229C8" w:rsidRPr="00076075">
        <w:t xml:space="preserve"> to organize </w:t>
      </w:r>
      <w:r w:rsidR="00F3443F" w:rsidRPr="00076075">
        <w:t>regional meetings</w:t>
      </w:r>
      <w:r w:rsidR="004F110B" w:rsidRPr="00076075">
        <w:t xml:space="preserve"> </w:t>
      </w:r>
      <w:r w:rsidR="003B2198" w:rsidRPr="00076075">
        <w:t>in preparation for</w:t>
      </w:r>
      <w:r w:rsidR="004F110B" w:rsidRPr="00076075">
        <w:t xml:space="preserve"> the third meeting of the Conference.</w:t>
      </w:r>
      <w:r w:rsidR="00F3443F" w:rsidRPr="00076075">
        <w:t xml:space="preserve"> </w:t>
      </w:r>
      <w:r w:rsidR="004F110B" w:rsidRPr="00076075">
        <w:t xml:space="preserve">They </w:t>
      </w:r>
      <w:r w:rsidRPr="00076075">
        <w:t xml:space="preserve">have also conducted numerous bilateral consultations </w:t>
      </w:r>
      <w:r w:rsidR="004F110B" w:rsidRPr="00076075">
        <w:t xml:space="preserve">with donors </w:t>
      </w:r>
      <w:r w:rsidRPr="00076075">
        <w:t>on th</w:t>
      </w:r>
      <w:r w:rsidR="003B2198" w:rsidRPr="00076075">
        <w:t>e</w:t>
      </w:r>
      <w:r w:rsidRPr="00076075">
        <w:t xml:space="preserve"> matter. To date, </w:t>
      </w:r>
      <w:r w:rsidR="0050717C" w:rsidRPr="00076075">
        <w:t>voluntary contributions</w:t>
      </w:r>
      <w:r w:rsidRPr="00076075">
        <w:t xml:space="preserve"> </w:t>
      </w:r>
      <w:r w:rsidR="00CA7BAC" w:rsidRPr="00076075">
        <w:t xml:space="preserve">have </w:t>
      </w:r>
      <w:r w:rsidRPr="00076075">
        <w:t>been received from Austria</w:t>
      </w:r>
      <w:r w:rsidR="004F110B" w:rsidRPr="00076075">
        <w:t>, Japan, Norway</w:t>
      </w:r>
      <w:r w:rsidRPr="00076075">
        <w:t xml:space="preserve"> and Sweden</w:t>
      </w:r>
      <w:r w:rsidR="00CA7BAC" w:rsidRPr="00076075">
        <w:t>.</w:t>
      </w:r>
      <w:r w:rsidR="00710B86" w:rsidRPr="00076075">
        <w:t xml:space="preserve"> Subject to </w:t>
      </w:r>
      <w:r w:rsidR="00F3443F" w:rsidRPr="00076075">
        <w:t xml:space="preserve">adequate </w:t>
      </w:r>
      <w:r w:rsidR="00710B86" w:rsidRPr="00076075">
        <w:t>funding</w:t>
      </w:r>
      <w:r w:rsidR="00F3443F" w:rsidRPr="00076075">
        <w:t xml:space="preserve">, regional meetings </w:t>
      </w:r>
      <w:r w:rsidR="004F110B" w:rsidRPr="00076075">
        <w:t xml:space="preserve">are expected to </w:t>
      </w:r>
      <w:r w:rsidR="00F3443F" w:rsidRPr="00076075">
        <w:t>take place as follows</w:t>
      </w:r>
      <w:r w:rsidR="004F110B" w:rsidRPr="00076075">
        <w:t>:</w:t>
      </w:r>
    </w:p>
    <w:p w:rsidR="00B07B2B" w:rsidRPr="00076075" w:rsidRDefault="00B07B2B" w:rsidP="008B2A8D">
      <w:pPr>
        <w:pStyle w:val="Normalnumber"/>
        <w:numPr>
          <w:ilvl w:val="1"/>
          <w:numId w:val="4"/>
        </w:numPr>
        <w:tabs>
          <w:tab w:val="left" w:pos="624"/>
        </w:tabs>
        <w:ind w:firstLine="624"/>
      </w:pPr>
      <w:r w:rsidRPr="00076075">
        <w:t xml:space="preserve">For Asia and the Pacific, </w:t>
      </w:r>
      <w:r w:rsidR="00A327F8" w:rsidRPr="00076075">
        <w:t>7</w:t>
      </w:r>
      <w:r w:rsidR="002F63CB">
        <w:t xml:space="preserve"> and </w:t>
      </w:r>
      <w:r w:rsidR="00A327F8" w:rsidRPr="00076075">
        <w:t>8 October 2019 (</w:t>
      </w:r>
      <w:r w:rsidR="002F63CB">
        <w:t>v</w:t>
      </w:r>
      <w:r w:rsidR="00A327F8" w:rsidRPr="00076075">
        <w:t xml:space="preserve">enue: </w:t>
      </w:r>
      <w:r w:rsidR="002F63CB">
        <w:t>to be confirmed</w:t>
      </w:r>
      <w:r w:rsidR="00A327F8" w:rsidRPr="00076075">
        <w:t>)</w:t>
      </w:r>
      <w:r w:rsidR="002F63CB">
        <w:t>;</w:t>
      </w:r>
    </w:p>
    <w:p w:rsidR="00EB7A8E" w:rsidRPr="00076075" w:rsidRDefault="00EB7A8E" w:rsidP="008B2A8D">
      <w:pPr>
        <w:pStyle w:val="Normalnumber"/>
        <w:numPr>
          <w:ilvl w:val="1"/>
          <w:numId w:val="4"/>
        </w:numPr>
        <w:tabs>
          <w:tab w:val="left" w:pos="624"/>
        </w:tabs>
        <w:ind w:firstLine="624"/>
      </w:pPr>
      <w:r w:rsidRPr="00076075">
        <w:t>For Africa, 15</w:t>
      </w:r>
      <w:r w:rsidR="002F63CB">
        <w:t xml:space="preserve"> and </w:t>
      </w:r>
      <w:r w:rsidRPr="00076075">
        <w:t>16 October 2019 (</w:t>
      </w:r>
      <w:r w:rsidR="002F63CB">
        <w:t>v</w:t>
      </w:r>
      <w:r w:rsidRPr="00076075">
        <w:t xml:space="preserve">enue: </w:t>
      </w:r>
      <w:r w:rsidR="004F110B" w:rsidRPr="00076075">
        <w:t>Accra</w:t>
      </w:r>
      <w:r w:rsidRPr="00076075">
        <w:t>)</w:t>
      </w:r>
      <w:r w:rsidR="002F63CB">
        <w:t>;</w:t>
      </w:r>
    </w:p>
    <w:p w:rsidR="003B2198" w:rsidRPr="00076075" w:rsidRDefault="003B2198" w:rsidP="008B2A8D">
      <w:pPr>
        <w:pStyle w:val="Normalnumber"/>
        <w:numPr>
          <w:ilvl w:val="1"/>
          <w:numId w:val="4"/>
        </w:numPr>
        <w:tabs>
          <w:tab w:val="clear" w:pos="1134"/>
          <w:tab w:val="clear" w:pos="1247"/>
          <w:tab w:val="clear" w:pos="1814"/>
          <w:tab w:val="left" w:pos="624"/>
        </w:tabs>
        <w:ind w:firstLine="624"/>
      </w:pPr>
      <w:r w:rsidRPr="00076075">
        <w:t>For Central and Eastern Europe and Central Asia, 22</w:t>
      </w:r>
      <w:r w:rsidR="002F63CB">
        <w:t xml:space="preserve"> and </w:t>
      </w:r>
      <w:r w:rsidRPr="00076075">
        <w:t xml:space="preserve">23 October 2019 </w:t>
      </w:r>
      <w:r w:rsidR="00ED53BC">
        <w:br/>
      </w:r>
      <w:r w:rsidRPr="00076075">
        <w:t>(</w:t>
      </w:r>
      <w:r w:rsidR="002F63CB">
        <w:t>v</w:t>
      </w:r>
      <w:r w:rsidRPr="00076075">
        <w:t>enue: Tallinn)</w:t>
      </w:r>
      <w:r w:rsidR="002F63CB">
        <w:t>;</w:t>
      </w:r>
    </w:p>
    <w:p w:rsidR="00163DA4" w:rsidRPr="00076075" w:rsidRDefault="00247F3D" w:rsidP="008B2A8D">
      <w:pPr>
        <w:pStyle w:val="Normalnumber"/>
        <w:numPr>
          <w:ilvl w:val="1"/>
          <w:numId w:val="4"/>
        </w:numPr>
        <w:tabs>
          <w:tab w:val="clear" w:pos="1247"/>
          <w:tab w:val="clear" w:pos="1814"/>
          <w:tab w:val="left" w:pos="624"/>
          <w:tab w:val="left" w:pos="1843"/>
        </w:tabs>
        <w:ind w:firstLine="624"/>
      </w:pPr>
      <w:r w:rsidRPr="00076075">
        <w:t>For Latin America and the Caribbean, 29</w:t>
      </w:r>
      <w:r w:rsidR="002F63CB">
        <w:t xml:space="preserve"> and </w:t>
      </w:r>
      <w:r w:rsidRPr="00076075">
        <w:t>30 October 2019 (</w:t>
      </w:r>
      <w:r w:rsidR="002F63CB">
        <w:t>v</w:t>
      </w:r>
      <w:r w:rsidRPr="00076075">
        <w:t>enue: to be confirmed)</w:t>
      </w:r>
      <w:r w:rsidR="002F63CB">
        <w:t>.</w:t>
      </w:r>
    </w:p>
    <w:p w:rsidR="00163DA4" w:rsidRPr="00076075"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076075">
        <w:lastRenderedPageBreak/>
        <w:t xml:space="preserve">The provisional agenda for each </w:t>
      </w:r>
      <w:r w:rsidR="005B7BE9" w:rsidRPr="00076075">
        <w:t xml:space="preserve">of the </w:t>
      </w:r>
      <w:r w:rsidRPr="00076075">
        <w:t>regional consultation</w:t>
      </w:r>
      <w:r w:rsidR="005B7BE9" w:rsidRPr="00076075">
        <w:t>s</w:t>
      </w:r>
      <w:r w:rsidRPr="00076075">
        <w:t xml:space="preserve"> </w:t>
      </w:r>
      <w:r w:rsidR="00BC0FD7" w:rsidRPr="00076075">
        <w:t>will be</w:t>
      </w:r>
      <w:r w:rsidRPr="00076075">
        <w:t xml:space="preserve"> developed in cooperation with the members representing the relevant region in the Bureau.</w:t>
      </w:r>
      <w:r w:rsidR="00C47AF4" w:rsidRPr="00076075">
        <w:t xml:space="preserve"> </w:t>
      </w:r>
      <w:r w:rsidRPr="00076075">
        <w:t xml:space="preserve">The </w:t>
      </w:r>
      <w:r w:rsidR="005B7BE9" w:rsidRPr="00076075">
        <w:t xml:space="preserve">secretariat </w:t>
      </w:r>
      <w:r w:rsidR="00BC0FD7" w:rsidRPr="00076075">
        <w:t xml:space="preserve">will </w:t>
      </w:r>
      <w:r w:rsidR="005B7BE9" w:rsidRPr="00076075">
        <w:t>organiz</w:t>
      </w:r>
      <w:r w:rsidR="00BC0FD7" w:rsidRPr="00076075">
        <w:t>e</w:t>
      </w:r>
      <w:r w:rsidR="005B7BE9" w:rsidRPr="00076075">
        <w:t xml:space="preserve"> the </w:t>
      </w:r>
      <w:r w:rsidRPr="00076075">
        <w:t xml:space="preserve">regional </w:t>
      </w:r>
      <w:r w:rsidRPr="003B3F20">
        <w:t>consultations</w:t>
      </w:r>
      <w:r w:rsidRPr="003B3F20" w:rsidDel="00910514">
        <w:t xml:space="preserve"> </w:t>
      </w:r>
      <w:r w:rsidRPr="00087651">
        <w:t>in cooperation</w:t>
      </w:r>
      <w:r w:rsidR="004F110B" w:rsidRPr="00087651">
        <w:t xml:space="preserve"> with</w:t>
      </w:r>
      <w:r w:rsidRPr="003B3F20">
        <w:t xml:space="preserve"> </w:t>
      </w:r>
      <w:r w:rsidR="005B7BE9" w:rsidRPr="003B3F20">
        <w:t>the</w:t>
      </w:r>
      <w:r w:rsidR="00FA66C8" w:rsidRPr="003B3F20">
        <w:t xml:space="preserve"> </w:t>
      </w:r>
      <w:r w:rsidRPr="003B3F20">
        <w:t xml:space="preserve">regional </w:t>
      </w:r>
      <w:r w:rsidR="005B7BE9" w:rsidRPr="003B3F20">
        <w:t xml:space="preserve">and coordinating </w:t>
      </w:r>
      <w:r w:rsidRPr="003B3F20">
        <w:t>centres</w:t>
      </w:r>
      <w:r w:rsidR="003B3F20" w:rsidRPr="003B3F20">
        <w:t xml:space="preserve"> of the Basel Convention on the Control of Transboundary Movements of Hazardous</w:t>
      </w:r>
      <w:r w:rsidR="003B3F20">
        <w:t xml:space="preserve"> Wastes and Their Disposal and the Stockholm Convention on Persistent Organic Pollutants</w:t>
      </w:r>
      <w:r w:rsidR="00247F3D" w:rsidRPr="00076075">
        <w:t xml:space="preserve"> for logistical arrangements and participants’ travel</w:t>
      </w:r>
      <w:r w:rsidR="00C47AF4" w:rsidRPr="00076075">
        <w:t xml:space="preserve">. </w:t>
      </w:r>
      <w:r w:rsidR="00040940" w:rsidRPr="00076075">
        <w:t xml:space="preserve">As has become customary, </w:t>
      </w:r>
      <w:r w:rsidRPr="00076075">
        <w:t xml:space="preserve">the </w:t>
      </w:r>
      <w:r w:rsidR="00247F3D" w:rsidRPr="00076075">
        <w:t xml:space="preserve">secretariat of the </w:t>
      </w:r>
      <w:r w:rsidRPr="00076075">
        <w:t xml:space="preserve">Basel, Rotterdam and Stockholm </w:t>
      </w:r>
      <w:r w:rsidR="00247F3D" w:rsidRPr="00076075">
        <w:t>C</w:t>
      </w:r>
      <w:r w:rsidRPr="00076075">
        <w:t>onvention</w:t>
      </w:r>
      <w:r w:rsidR="005F6B9C" w:rsidRPr="00076075">
        <w:t>s</w:t>
      </w:r>
      <w:r w:rsidR="00040940" w:rsidRPr="00076075">
        <w:t xml:space="preserve"> </w:t>
      </w:r>
      <w:r w:rsidRPr="00076075">
        <w:t xml:space="preserve">and the </w:t>
      </w:r>
      <w:r w:rsidR="00247F3D" w:rsidRPr="00076075">
        <w:t>s</w:t>
      </w:r>
      <w:r w:rsidR="00040940" w:rsidRPr="00076075">
        <w:t xml:space="preserve">ecretariat of the </w:t>
      </w:r>
      <w:r w:rsidRPr="00076075">
        <w:t>Strategic Approach to International Chemicals Management</w:t>
      </w:r>
      <w:r w:rsidR="00040940" w:rsidRPr="00076075">
        <w:t>,</w:t>
      </w:r>
      <w:r w:rsidRPr="00076075">
        <w:t xml:space="preserve"> in an effort to maximi</w:t>
      </w:r>
      <w:r w:rsidR="00047F86" w:rsidRPr="00076075">
        <w:t>z</w:t>
      </w:r>
      <w:r w:rsidRPr="00076075">
        <w:t>e information sharing and cooperation and collaboration within the chemicals and wastes cluster</w:t>
      </w:r>
      <w:r w:rsidR="00040940" w:rsidRPr="00076075">
        <w:t xml:space="preserve">, will be invited to hold information sessions on their respective matters back-to-back </w:t>
      </w:r>
      <w:r w:rsidR="00247F3D" w:rsidRPr="00076075">
        <w:t>with</w:t>
      </w:r>
      <w:r w:rsidR="00040940" w:rsidRPr="00076075">
        <w:t xml:space="preserve"> the regional consultations.</w:t>
      </w:r>
    </w:p>
    <w:p w:rsidR="00163DA4" w:rsidRPr="00076075" w:rsidRDefault="00163DA4" w:rsidP="00116AF5">
      <w:pPr>
        <w:pStyle w:val="CH1"/>
      </w:pPr>
      <w:r w:rsidRPr="00076075">
        <w:tab/>
        <w:t>III.</w:t>
      </w:r>
      <w:r w:rsidRPr="00076075">
        <w:tab/>
        <w:t xml:space="preserve">Intersessional </w:t>
      </w:r>
      <w:r w:rsidR="00047F86" w:rsidRPr="00076075">
        <w:t>w</w:t>
      </w:r>
      <w:r w:rsidRPr="00076075">
        <w:t xml:space="preserve">ork </w:t>
      </w:r>
      <w:r w:rsidR="00AC527E" w:rsidRPr="00076075">
        <w:t>r</w:t>
      </w:r>
      <w:r w:rsidRPr="00076075">
        <w:t xml:space="preserve">equested by the Conference of the Parties at its </w:t>
      </w:r>
      <w:r w:rsidR="003E163E" w:rsidRPr="00076075">
        <w:t xml:space="preserve">second </w:t>
      </w:r>
      <w:r w:rsidR="00AC527E" w:rsidRPr="00076075">
        <w:t>m</w:t>
      </w:r>
      <w:r w:rsidRPr="00076075">
        <w:t xml:space="preserve">eeting </w:t>
      </w:r>
    </w:p>
    <w:p w:rsidR="00D40C05" w:rsidRPr="00076075" w:rsidRDefault="009C68A0"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At its second meeting, </w:t>
      </w:r>
      <w:r w:rsidR="00163DA4" w:rsidRPr="00076075">
        <w:t xml:space="preserve">the </w:t>
      </w:r>
      <w:r w:rsidR="00163DA4" w:rsidRPr="00445892">
        <w:t>Conference of the</w:t>
      </w:r>
      <w:r w:rsidR="00163DA4" w:rsidRPr="00076075">
        <w:t xml:space="preserve"> Parties </w:t>
      </w:r>
      <w:r w:rsidRPr="00076075">
        <w:t xml:space="preserve">requested the secretariat </w:t>
      </w:r>
      <w:r w:rsidR="00163DA4" w:rsidRPr="00076075">
        <w:t xml:space="preserve">to seek input </w:t>
      </w:r>
      <w:r w:rsidR="0015159C" w:rsidRPr="00076075">
        <w:t xml:space="preserve">and undertake activities </w:t>
      </w:r>
      <w:r w:rsidR="00163DA4" w:rsidRPr="00076075">
        <w:t>on a number of issues</w:t>
      </w:r>
      <w:r w:rsidR="005867AF" w:rsidRPr="00076075">
        <w:t xml:space="preserve"> as set out in the decisions adopted at that meeting</w:t>
      </w:r>
      <w:r w:rsidR="00163DA4" w:rsidRPr="00076075">
        <w:t>.</w:t>
      </w:r>
      <w:r w:rsidR="00047F86" w:rsidRPr="00076075">
        <w:t xml:space="preserve"> </w:t>
      </w:r>
      <w:r w:rsidR="0081179B" w:rsidRPr="00076075">
        <w:t xml:space="preserve">For some items, submissions by parties and other stakeholders were invited, while for other items nominations were invited through the members of the Bureau of the Conference of the Parties representing the respective United Nations regions. </w:t>
      </w:r>
      <w:r w:rsidR="00163DA4" w:rsidRPr="00076075">
        <w:t xml:space="preserve">The </w:t>
      </w:r>
      <w:r w:rsidR="000B157E" w:rsidRPr="00076075">
        <w:t>secretariat</w:t>
      </w:r>
      <w:r w:rsidR="005867AF" w:rsidRPr="00076075">
        <w:t xml:space="preserve"> </w:t>
      </w:r>
      <w:r w:rsidR="00163DA4" w:rsidRPr="00076075">
        <w:t>coordinated the work of expert groups on</w:t>
      </w:r>
      <w:r w:rsidR="00E562D8" w:rsidRPr="00076075">
        <w:t xml:space="preserve"> releases, mercury waste</w:t>
      </w:r>
      <w:r w:rsidR="00536286" w:rsidRPr="00076075">
        <w:t xml:space="preserve"> </w:t>
      </w:r>
      <w:r w:rsidR="0015159C" w:rsidRPr="00076075">
        <w:t xml:space="preserve">thresholds </w:t>
      </w:r>
      <w:r w:rsidR="00536286" w:rsidRPr="00076075">
        <w:t>and effectiveness e</w:t>
      </w:r>
      <w:r w:rsidR="00A72702" w:rsidRPr="00076075">
        <w:t>valuation</w:t>
      </w:r>
      <w:r w:rsidR="00163DA4" w:rsidRPr="00076075">
        <w:t xml:space="preserve"> and prepared </w:t>
      </w:r>
      <w:r w:rsidRPr="00076075">
        <w:t xml:space="preserve">the </w:t>
      </w:r>
      <w:r w:rsidR="00163DA4" w:rsidRPr="00076075">
        <w:t xml:space="preserve">relevant meeting documents. </w:t>
      </w:r>
      <w:r w:rsidR="00FF51BD" w:rsidRPr="00076075">
        <w:t xml:space="preserve">It also coordinated </w:t>
      </w:r>
      <w:r w:rsidR="00163DA4" w:rsidRPr="00076075">
        <w:t xml:space="preserve">submissions </w:t>
      </w:r>
      <w:r w:rsidR="005B0A2B" w:rsidRPr="00076075">
        <w:t>for</w:t>
      </w:r>
      <w:r w:rsidR="007D4F15" w:rsidRPr="00076075">
        <w:t>:</w:t>
      </w:r>
      <w:r w:rsidR="005B0A2B" w:rsidRPr="00076075">
        <w:t xml:space="preserve"> </w:t>
      </w:r>
      <w:r w:rsidR="00B01BD7" w:rsidRPr="00076075">
        <w:t>the guidance on contaminated sites</w:t>
      </w:r>
      <w:r w:rsidR="007D4F15" w:rsidRPr="00076075">
        <w:t xml:space="preserve">; </w:t>
      </w:r>
      <w:r w:rsidRPr="00076075">
        <w:t>c</w:t>
      </w:r>
      <w:r w:rsidR="00647A35" w:rsidRPr="00076075">
        <w:t xml:space="preserve">apacity-building, technical assistance and technology transfer; </w:t>
      </w:r>
      <w:r w:rsidRPr="00076075">
        <w:t xml:space="preserve">the </w:t>
      </w:r>
      <w:r w:rsidR="00647A35" w:rsidRPr="00076075">
        <w:t>Specific International Programme</w:t>
      </w:r>
      <w:r w:rsidR="0046742E" w:rsidRPr="00076075">
        <w:t xml:space="preserve"> to Support </w:t>
      </w:r>
      <w:r w:rsidR="00ED53BC">
        <w:br/>
      </w:r>
      <w:r w:rsidR="0046742E" w:rsidRPr="00076075">
        <w:t>Capacity-Building and Technical Assistance</w:t>
      </w:r>
      <w:r w:rsidR="00647A35" w:rsidRPr="00076075">
        <w:t xml:space="preserve">; </w:t>
      </w:r>
      <w:r w:rsidRPr="00076075">
        <w:t xml:space="preserve">the </w:t>
      </w:r>
      <w:r w:rsidR="00647A35" w:rsidRPr="00076075">
        <w:t xml:space="preserve">review of the financial mechanism; </w:t>
      </w:r>
      <w:r w:rsidR="005F6B9C" w:rsidRPr="00076075">
        <w:t xml:space="preserve">and </w:t>
      </w:r>
      <w:r w:rsidR="001F6E92" w:rsidRPr="00076075">
        <w:t>emissions of mercury resulting from the open burning of waste</w:t>
      </w:r>
      <w:r w:rsidR="00DF1423" w:rsidRPr="00076075">
        <w:t>.</w:t>
      </w:r>
      <w:r w:rsidR="001F6E92" w:rsidRPr="00076075">
        <w:t xml:space="preserve"> </w:t>
      </w:r>
      <w:r w:rsidR="00DF1423" w:rsidRPr="00076075">
        <w:t xml:space="preserve">Submissions to the </w:t>
      </w:r>
      <w:r w:rsidR="000B157E" w:rsidRPr="00076075">
        <w:t>secretariat</w:t>
      </w:r>
      <w:r w:rsidR="00047F86" w:rsidRPr="00076075">
        <w:t xml:space="preserve"> are available</w:t>
      </w:r>
      <w:r w:rsidR="00163DA4" w:rsidRPr="00076075">
        <w:t xml:space="preserve"> on the Minamata Convention website. </w:t>
      </w:r>
    </w:p>
    <w:p w:rsidR="00163DA4" w:rsidRPr="00076075" w:rsidRDefault="00E85595" w:rsidP="00ED53BC">
      <w:pPr>
        <w:pStyle w:val="Normalnumber"/>
        <w:tabs>
          <w:tab w:val="clear" w:pos="1134"/>
          <w:tab w:val="clear" w:pos="1247"/>
          <w:tab w:val="clear" w:pos="1814"/>
          <w:tab w:val="clear" w:pos="2381"/>
          <w:tab w:val="clear" w:pos="2948"/>
          <w:tab w:val="clear" w:pos="3515"/>
          <w:tab w:val="clear" w:pos="4082"/>
          <w:tab w:val="num" w:pos="624"/>
        </w:tabs>
      </w:pPr>
      <w:r>
        <w:t>In accordance with</w:t>
      </w:r>
      <w:r w:rsidR="00F43B41" w:rsidRPr="00076075">
        <w:t xml:space="preserve"> </w:t>
      </w:r>
      <w:r w:rsidR="00F21D35" w:rsidRPr="00076075">
        <w:t xml:space="preserve">the </w:t>
      </w:r>
      <w:r w:rsidR="00F43B41" w:rsidRPr="00076075">
        <w:t>road</w:t>
      </w:r>
      <w:r w:rsidR="009C68A0" w:rsidRPr="00076075">
        <w:t xml:space="preserve"> </w:t>
      </w:r>
      <w:r w:rsidR="00F43B41" w:rsidRPr="00076075">
        <w:t xml:space="preserve">map </w:t>
      </w:r>
      <w:r w:rsidR="009C68A0" w:rsidRPr="00076075">
        <w:t xml:space="preserve">adopted </w:t>
      </w:r>
      <w:r w:rsidR="00434182">
        <w:t>in</w:t>
      </w:r>
      <w:r w:rsidR="00434182" w:rsidRPr="00076075">
        <w:t xml:space="preserve"> </w:t>
      </w:r>
      <w:r w:rsidR="009C68A0" w:rsidRPr="00076075">
        <w:t xml:space="preserve">decision </w:t>
      </w:r>
      <w:r w:rsidR="00F43B41" w:rsidRPr="00076075">
        <w:t>MC-2/10</w:t>
      </w:r>
      <w:r w:rsidR="00F21D35" w:rsidRPr="00076075">
        <w:t>,</w:t>
      </w:r>
      <w:r w:rsidR="00F43B41" w:rsidRPr="00076075">
        <w:t xml:space="preserve"> t</w:t>
      </w:r>
      <w:r w:rsidR="00163DA4" w:rsidRPr="00076075">
        <w:t xml:space="preserve">he </w:t>
      </w:r>
      <w:r w:rsidR="000B157E" w:rsidRPr="00076075">
        <w:t>secretariat</w:t>
      </w:r>
      <w:r w:rsidR="00163DA4" w:rsidRPr="00076075">
        <w:t xml:space="preserve"> </w:t>
      </w:r>
      <w:r w:rsidR="00F43B41" w:rsidRPr="00076075">
        <w:t xml:space="preserve">has supported the work of the ad-hoc technical expert group </w:t>
      </w:r>
      <w:r w:rsidR="009C68A0" w:rsidRPr="00076075">
        <w:t>for</w:t>
      </w:r>
      <w:r w:rsidR="00F43B41" w:rsidRPr="00076075">
        <w:t xml:space="preserve"> effectiveness evaluation. Following the full constitution of the expert group, the secretariat </w:t>
      </w:r>
      <w:r w:rsidR="00163DA4" w:rsidRPr="00076075">
        <w:t>organi</w:t>
      </w:r>
      <w:r w:rsidR="00047F86" w:rsidRPr="00076075">
        <w:t>z</w:t>
      </w:r>
      <w:r w:rsidR="00163DA4" w:rsidRPr="00076075">
        <w:t xml:space="preserve">ed </w:t>
      </w:r>
      <w:r w:rsidR="00047F86" w:rsidRPr="00076075">
        <w:t xml:space="preserve">a </w:t>
      </w:r>
      <w:r w:rsidR="00AF0FF5" w:rsidRPr="00076075">
        <w:t xml:space="preserve">face-to-face </w:t>
      </w:r>
      <w:r w:rsidR="00163DA4" w:rsidRPr="00076075">
        <w:t xml:space="preserve">meeting of the expert group in </w:t>
      </w:r>
      <w:r w:rsidR="00AF0FF5" w:rsidRPr="00076075">
        <w:t xml:space="preserve">Geneva </w:t>
      </w:r>
      <w:r w:rsidR="00163DA4" w:rsidRPr="00076075">
        <w:t xml:space="preserve">from </w:t>
      </w:r>
      <w:r w:rsidR="00C12314" w:rsidRPr="00076075">
        <w:t xml:space="preserve">8 </w:t>
      </w:r>
      <w:r w:rsidR="00163DA4" w:rsidRPr="00076075">
        <w:t xml:space="preserve">to </w:t>
      </w:r>
      <w:r w:rsidR="00C12314" w:rsidRPr="00076075">
        <w:t xml:space="preserve">12 April </w:t>
      </w:r>
      <w:r w:rsidR="00163DA4" w:rsidRPr="00076075">
        <w:t>201</w:t>
      </w:r>
      <w:r w:rsidR="00C12314" w:rsidRPr="00076075">
        <w:t>9</w:t>
      </w:r>
      <w:r w:rsidR="00163DA4" w:rsidRPr="00076075">
        <w:t xml:space="preserve">. </w:t>
      </w:r>
      <w:r w:rsidR="00F43B41" w:rsidRPr="00076075">
        <w:t>At th</w:t>
      </w:r>
      <w:r w:rsidR="009C68A0" w:rsidRPr="00076075">
        <w:t>e</w:t>
      </w:r>
      <w:r w:rsidR="00F43B41" w:rsidRPr="00076075">
        <w:t xml:space="preserve"> meeting</w:t>
      </w:r>
      <w:r w:rsidR="009C68A0" w:rsidRPr="00076075">
        <w:t>,</w:t>
      </w:r>
      <w:r w:rsidR="00F43B41" w:rsidRPr="00076075">
        <w:t xml:space="preserve"> t</w:t>
      </w:r>
      <w:r w:rsidR="00163DA4" w:rsidRPr="00076075">
        <w:t>he expert</w:t>
      </w:r>
      <w:r w:rsidR="00047F86" w:rsidRPr="00076075">
        <w:t xml:space="preserve"> group</w:t>
      </w:r>
      <w:r w:rsidR="00163DA4" w:rsidRPr="00076075">
        <w:t xml:space="preserve"> </w:t>
      </w:r>
      <w:r w:rsidR="00F43B41" w:rsidRPr="00076075">
        <w:t xml:space="preserve">deliberated on the items identified by the </w:t>
      </w:r>
      <w:r w:rsidR="00023CDA" w:rsidRPr="00076075">
        <w:t>Conference of the Parties</w:t>
      </w:r>
      <w:r w:rsidR="00F43B41" w:rsidRPr="00076075">
        <w:t xml:space="preserve"> to further develop its</w:t>
      </w:r>
      <w:r w:rsidR="00163DA4" w:rsidRPr="00076075">
        <w:t xml:space="preserve"> draft report</w:t>
      </w:r>
      <w:r w:rsidR="00F43B41" w:rsidRPr="00076075">
        <w:t xml:space="preserve">. </w:t>
      </w:r>
      <w:r w:rsidR="009C68A0" w:rsidRPr="00076075">
        <w:t>Following the meeting, t</w:t>
      </w:r>
      <w:r w:rsidR="00F43B41" w:rsidRPr="00076075">
        <w:t>he secretariat continued to support the expert group in its drafting</w:t>
      </w:r>
      <w:r w:rsidR="00163DA4" w:rsidRPr="00076075">
        <w:t xml:space="preserve"> by electronic means. </w:t>
      </w:r>
      <w:r w:rsidR="003D2EBD" w:rsidRPr="00076075">
        <w:t>Once</w:t>
      </w:r>
      <w:r w:rsidR="00F43B41" w:rsidRPr="00076075">
        <w:t xml:space="preserve"> the draft report </w:t>
      </w:r>
      <w:r w:rsidR="003D2EBD" w:rsidRPr="00076075">
        <w:t xml:space="preserve">was completed </w:t>
      </w:r>
      <w:r w:rsidR="00F43B41" w:rsidRPr="00076075">
        <w:t>it was posted for public comment. Thereafter, t</w:t>
      </w:r>
      <w:r w:rsidR="00163DA4" w:rsidRPr="00076075">
        <w:t xml:space="preserve">he </w:t>
      </w:r>
      <w:r w:rsidR="000B157E" w:rsidRPr="00076075">
        <w:t>secretariat</w:t>
      </w:r>
      <w:r w:rsidR="00163DA4" w:rsidRPr="00076075">
        <w:t xml:space="preserve"> collated </w:t>
      </w:r>
      <w:r w:rsidR="00F43B41" w:rsidRPr="00076075">
        <w:t>the</w:t>
      </w:r>
      <w:r w:rsidR="00163DA4" w:rsidRPr="00076075">
        <w:t xml:space="preserve"> comments on effectiveness evaluation</w:t>
      </w:r>
      <w:r w:rsidR="00F43B41" w:rsidRPr="00076075">
        <w:t xml:space="preserve"> </w:t>
      </w:r>
      <w:r w:rsidR="004A1764" w:rsidRPr="00076075">
        <w:t>and</w:t>
      </w:r>
      <w:r w:rsidR="00F43B41" w:rsidRPr="00076075">
        <w:t xml:space="preserve"> supported the </w:t>
      </w:r>
      <w:r w:rsidR="00023CDA" w:rsidRPr="00076075">
        <w:t>c</w:t>
      </w:r>
      <w:r w:rsidR="00F43B41" w:rsidRPr="00076075">
        <w:t>o-</w:t>
      </w:r>
      <w:r w:rsidR="00023CDA" w:rsidRPr="00076075">
        <w:t>c</w:t>
      </w:r>
      <w:r w:rsidR="00F43B41" w:rsidRPr="00076075">
        <w:t xml:space="preserve">hairs and the group </w:t>
      </w:r>
      <w:r w:rsidR="003D2EBD" w:rsidRPr="00076075">
        <w:t>in completing</w:t>
      </w:r>
      <w:r w:rsidR="00F43B41" w:rsidRPr="00076075">
        <w:t xml:space="preserve"> the report</w:t>
      </w:r>
      <w:r w:rsidR="00163DA4" w:rsidRPr="00076075">
        <w:t xml:space="preserve"> for inclusion in the documentation </w:t>
      </w:r>
      <w:r w:rsidR="00047F86" w:rsidRPr="00076075">
        <w:t xml:space="preserve">of </w:t>
      </w:r>
      <w:r w:rsidR="00163DA4" w:rsidRPr="00076075">
        <w:t xml:space="preserve">the </w:t>
      </w:r>
      <w:r w:rsidR="00ED2D47" w:rsidRPr="00076075">
        <w:t xml:space="preserve">third </w:t>
      </w:r>
      <w:r w:rsidR="00163DA4" w:rsidRPr="00076075">
        <w:t>meeting of the Conference of the Parties</w:t>
      </w:r>
      <w:r w:rsidR="003D2EBD" w:rsidRPr="00076075">
        <w:t>,</w:t>
      </w:r>
      <w:r w:rsidR="008403F7" w:rsidRPr="00076075">
        <w:t xml:space="preserve"> </w:t>
      </w:r>
      <w:r w:rsidR="0015159C" w:rsidRPr="00076075">
        <w:t xml:space="preserve">in accordance with the calendar established by the </w:t>
      </w:r>
      <w:r w:rsidR="00023CDA" w:rsidRPr="00076075">
        <w:t>Conference of the Parties</w:t>
      </w:r>
      <w:r w:rsidR="0015159C" w:rsidRPr="00076075">
        <w:t xml:space="preserve"> in the road map</w:t>
      </w:r>
      <w:r w:rsidR="00163DA4" w:rsidRPr="00076075">
        <w:t>.</w:t>
      </w:r>
      <w:r w:rsidR="0017273E" w:rsidRPr="00076075">
        <w:t xml:space="preserve"> </w:t>
      </w:r>
      <w:r w:rsidR="003D2EBD" w:rsidRPr="00076075">
        <w:t xml:space="preserve">Further information can be found in </w:t>
      </w:r>
      <w:r w:rsidR="0017273E" w:rsidRPr="00076075">
        <w:t>document</w:t>
      </w:r>
      <w:r w:rsidR="003C0BCD" w:rsidRPr="00076075">
        <w:t xml:space="preserve"> UNEP/MC/COP.3/1</w:t>
      </w:r>
      <w:r w:rsidR="00726B83" w:rsidRPr="00076075">
        <w:t>4.</w:t>
      </w:r>
      <w:r w:rsidR="0017273E" w:rsidRPr="00076075">
        <w:t xml:space="preserve"> </w:t>
      </w:r>
    </w:p>
    <w:p w:rsidR="008A7943" w:rsidRPr="00076075"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The </w:t>
      </w:r>
      <w:r w:rsidR="000B157E" w:rsidRPr="00076075">
        <w:t>secretariat</w:t>
      </w:r>
      <w:r w:rsidRPr="00076075">
        <w:t xml:space="preserve"> organi</w:t>
      </w:r>
      <w:r w:rsidR="00047F86" w:rsidRPr="00076075">
        <w:t>z</w:t>
      </w:r>
      <w:r w:rsidRPr="00076075">
        <w:t xml:space="preserve">ed the </w:t>
      </w:r>
      <w:r w:rsidR="00726B83" w:rsidRPr="00261785">
        <w:t>second</w:t>
      </w:r>
      <w:r w:rsidRPr="00261785">
        <w:t xml:space="preserve"> meeting of</w:t>
      </w:r>
      <w:r w:rsidRPr="00076075">
        <w:t xml:space="preserve"> the Implementation and Compliance Committee</w:t>
      </w:r>
      <w:r w:rsidR="00466E9A" w:rsidRPr="00076075">
        <w:t>,</w:t>
      </w:r>
      <w:r w:rsidRPr="00076075">
        <w:t xml:space="preserve"> </w:t>
      </w:r>
      <w:r w:rsidR="00047F86" w:rsidRPr="00076075">
        <w:t xml:space="preserve">held in </w:t>
      </w:r>
      <w:r w:rsidR="00B158AF" w:rsidRPr="00076075">
        <w:t>Geneva</w:t>
      </w:r>
      <w:r w:rsidR="00047F86" w:rsidRPr="00076075">
        <w:t xml:space="preserve"> </w:t>
      </w:r>
      <w:r w:rsidRPr="00076075">
        <w:t xml:space="preserve">on </w:t>
      </w:r>
      <w:r w:rsidR="00A31E7C" w:rsidRPr="00076075">
        <w:t>3</w:t>
      </w:r>
      <w:r w:rsidRPr="00076075">
        <w:t xml:space="preserve"> </w:t>
      </w:r>
      <w:r w:rsidR="00047F86" w:rsidRPr="00076075">
        <w:t>and</w:t>
      </w:r>
      <w:r w:rsidRPr="00076075">
        <w:t xml:space="preserve"> </w:t>
      </w:r>
      <w:r w:rsidR="00A31E7C" w:rsidRPr="00076075">
        <w:t xml:space="preserve">4 June </w:t>
      </w:r>
      <w:r w:rsidRPr="00076075">
        <w:t>201</w:t>
      </w:r>
      <w:r w:rsidR="00A31E7C" w:rsidRPr="00076075">
        <w:t>9</w:t>
      </w:r>
      <w:r w:rsidRPr="00076075">
        <w:t xml:space="preserve">, including </w:t>
      </w:r>
      <w:r w:rsidR="00047F86" w:rsidRPr="00076075">
        <w:t xml:space="preserve">making </w:t>
      </w:r>
      <w:r w:rsidRPr="00076075">
        <w:t xml:space="preserve">all the necessary logistical arrangements, </w:t>
      </w:r>
      <w:r w:rsidR="00047F86" w:rsidRPr="00076075">
        <w:t>preparing the</w:t>
      </w:r>
      <w:r w:rsidRPr="00076075">
        <w:t xml:space="preserve"> </w:t>
      </w:r>
      <w:r w:rsidR="00047F86" w:rsidRPr="00076075">
        <w:t xml:space="preserve">meeting </w:t>
      </w:r>
      <w:r w:rsidRPr="00076075">
        <w:t xml:space="preserve">documents and </w:t>
      </w:r>
      <w:r w:rsidR="00047F86" w:rsidRPr="00076075">
        <w:t xml:space="preserve">providing support to </w:t>
      </w:r>
      <w:r w:rsidRPr="00076075">
        <w:t xml:space="preserve">the </w:t>
      </w:r>
      <w:r w:rsidR="00C15B01" w:rsidRPr="00076075">
        <w:t>c</w:t>
      </w:r>
      <w:r w:rsidRPr="00076075">
        <w:t xml:space="preserve">hair and </w:t>
      </w:r>
      <w:r w:rsidR="00C15B01" w:rsidRPr="00076075">
        <w:t>v</w:t>
      </w:r>
      <w:r w:rsidRPr="00076075">
        <w:t>ice-</w:t>
      </w:r>
      <w:r w:rsidR="00C15B01" w:rsidRPr="00076075">
        <w:t>c</w:t>
      </w:r>
      <w:r w:rsidRPr="00076075">
        <w:t>hair during the Committee’s deliberations</w:t>
      </w:r>
      <w:r w:rsidR="00466E9A" w:rsidRPr="00076075">
        <w:t xml:space="preserve"> and the preparation of the meeting report</w:t>
      </w:r>
      <w:r w:rsidRPr="00076075">
        <w:t>. The report o</w:t>
      </w:r>
      <w:r w:rsidR="00F407D6" w:rsidRPr="00076075">
        <w:t>n</w:t>
      </w:r>
      <w:r w:rsidRPr="00076075">
        <w:t xml:space="preserve"> the Committee’s </w:t>
      </w:r>
      <w:r w:rsidR="00466E9A" w:rsidRPr="00076075">
        <w:t xml:space="preserve">second </w:t>
      </w:r>
      <w:r w:rsidRPr="00076075">
        <w:t xml:space="preserve">meeting is available </w:t>
      </w:r>
      <w:r w:rsidR="00B158AF" w:rsidRPr="00076075">
        <w:t xml:space="preserve">in document </w:t>
      </w:r>
      <w:r w:rsidRPr="00076075">
        <w:t>UNEP/MC/COP.</w:t>
      </w:r>
      <w:r w:rsidR="009C27F8" w:rsidRPr="00076075">
        <w:t>3</w:t>
      </w:r>
      <w:r w:rsidRPr="00076075">
        <w:t>/1</w:t>
      </w:r>
      <w:r w:rsidR="009C27F8" w:rsidRPr="00076075">
        <w:t>3</w:t>
      </w:r>
      <w:r w:rsidRPr="00076075">
        <w:t>.</w:t>
      </w:r>
    </w:p>
    <w:p w:rsidR="008403F7" w:rsidRPr="00076075" w:rsidRDefault="00023CDA" w:rsidP="00ED53BC">
      <w:pPr>
        <w:pStyle w:val="Normalnumber"/>
        <w:tabs>
          <w:tab w:val="clear" w:pos="1134"/>
          <w:tab w:val="clear" w:pos="1247"/>
          <w:tab w:val="clear" w:pos="1814"/>
          <w:tab w:val="clear" w:pos="2381"/>
          <w:tab w:val="clear" w:pos="2948"/>
          <w:tab w:val="clear" w:pos="3515"/>
          <w:tab w:val="clear" w:pos="4082"/>
          <w:tab w:val="num" w:pos="624"/>
        </w:tabs>
      </w:pPr>
      <w:r w:rsidRPr="00076075">
        <w:t>I</w:t>
      </w:r>
      <w:r w:rsidR="00F14E36" w:rsidRPr="00076075">
        <w:t xml:space="preserve">n decision MC-2/9, </w:t>
      </w:r>
      <w:r w:rsidR="00BA0DB0">
        <w:t xml:space="preserve">on Harmonized System codes, </w:t>
      </w:r>
      <w:r w:rsidRPr="00076075">
        <w:t xml:space="preserve">the Conference of the Parties </w:t>
      </w:r>
      <w:r w:rsidR="00F14E36" w:rsidRPr="00076075">
        <w:t xml:space="preserve">requested the </w:t>
      </w:r>
      <w:r w:rsidR="003D2EBD" w:rsidRPr="00076075">
        <w:t>s</w:t>
      </w:r>
      <w:r w:rsidR="00F14E36" w:rsidRPr="00076075">
        <w:t>ecretariat</w:t>
      </w:r>
      <w:r w:rsidRPr="00076075">
        <w:t>,</w:t>
      </w:r>
      <w:r w:rsidR="00F14E36" w:rsidRPr="00076075">
        <w:t xml:space="preserve"> in collaboration with the </w:t>
      </w:r>
      <w:r w:rsidR="00661A1B" w:rsidRPr="00076075">
        <w:t>Products</w:t>
      </w:r>
      <w:r w:rsidR="00F14E36" w:rsidRPr="00076075">
        <w:t xml:space="preserve"> Partnership and in consultation with relevant organi</w:t>
      </w:r>
      <w:r w:rsidR="003D2EBD" w:rsidRPr="00076075">
        <w:t>z</w:t>
      </w:r>
      <w:r w:rsidR="00F14E36" w:rsidRPr="00076075">
        <w:t xml:space="preserve">ations, to suggest approaches for customs codes to identify and distinguish non-mercury-added and mercury-added products listed in annex A to the Convention, including approaches for their possible harmonization. A draft report was coordinated by the </w:t>
      </w:r>
      <w:r w:rsidR="003D2EBD" w:rsidRPr="00076075">
        <w:t>s</w:t>
      </w:r>
      <w:r w:rsidR="00F14E36" w:rsidRPr="00076075">
        <w:t>ecretariat in consultation with the Products Partnership</w:t>
      </w:r>
      <w:r w:rsidR="003D2EBD" w:rsidRPr="00076075">
        <w:t xml:space="preserve"> </w:t>
      </w:r>
      <w:r w:rsidR="00F14E36" w:rsidRPr="00076075">
        <w:t xml:space="preserve">and sent to the partners of the Products Partnership on 31 May 2019 for final input and review. The </w:t>
      </w:r>
      <w:r w:rsidR="00EC17C1" w:rsidRPr="00076075">
        <w:t xml:space="preserve">revised </w:t>
      </w:r>
      <w:r w:rsidR="00F14E36" w:rsidRPr="00076075">
        <w:t xml:space="preserve">draft report </w:t>
      </w:r>
      <w:r w:rsidR="00F14E36" w:rsidRPr="00E85595">
        <w:t xml:space="preserve">was posted on </w:t>
      </w:r>
      <w:r w:rsidR="00EF26D0" w:rsidRPr="00E85595">
        <w:t xml:space="preserve">the Minamata Convention website for </w:t>
      </w:r>
      <w:r w:rsidR="003D2EBD" w:rsidRPr="00E85595">
        <w:t>p</w:t>
      </w:r>
      <w:r w:rsidR="00F14E36" w:rsidRPr="00E85595">
        <w:t>arties and other stakeholders to submit comments by 1 August 2019, including information on the current use of the customs code in relation to mercury-added products.</w:t>
      </w:r>
      <w:r w:rsidR="008403F7" w:rsidRPr="001951BA">
        <w:t xml:space="preserve"> </w:t>
      </w:r>
      <w:r w:rsidR="008403F7" w:rsidRPr="00E85595">
        <w:t xml:space="preserve">The </w:t>
      </w:r>
      <w:r w:rsidR="003D2EBD" w:rsidRPr="00E85595">
        <w:t>s</w:t>
      </w:r>
      <w:r w:rsidR="008403F7" w:rsidRPr="00E85595">
        <w:t xml:space="preserve">ecretariat </w:t>
      </w:r>
      <w:r w:rsidR="003D2EBD" w:rsidRPr="00E85595">
        <w:t>wa</w:t>
      </w:r>
      <w:r w:rsidR="008403F7" w:rsidRPr="00E85595">
        <w:t>s to incorporate the comments received and finali</w:t>
      </w:r>
      <w:r w:rsidR="003D2EBD" w:rsidRPr="00E85595">
        <w:t>z</w:t>
      </w:r>
      <w:r w:rsidR="008403F7" w:rsidRPr="00E85595">
        <w:t>e the document</w:t>
      </w:r>
      <w:r w:rsidR="00E85595" w:rsidRPr="008B2A8D">
        <w:t>, which is set out in document</w:t>
      </w:r>
      <w:r w:rsidR="003D2EBD" w:rsidRPr="00E85595">
        <w:t xml:space="preserve"> </w:t>
      </w:r>
      <w:r w:rsidR="008403F7" w:rsidRPr="00E85595">
        <w:t>UNEP/MC/COP.3/5.</w:t>
      </w:r>
      <w:r w:rsidR="008403F7" w:rsidRPr="001951BA">
        <w:t xml:space="preserve"> Background information on approaches for customs codes </w:t>
      </w:r>
      <w:r w:rsidR="003D2EBD" w:rsidRPr="00E85595">
        <w:t>is set out</w:t>
      </w:r>
      <w:r w:rsidR="008403F7" w:rsidRPr="00E85595">
        <w:t xml:space="preserve"> in document UNEP/MC/COP.3/INF/12.</w:t>
      </w:r>
    </w:p>
    <w:p w:rsidR="00D709CB" w:rsidRPr="00076075" w:rsidRDefault="008D56A8"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Pursuant to </w:t>
      </w:r>
      <w:r w:rsidR="00866E60" w:rsidRPr="00076075">
        <w:t>d</w:t>
      </w:r>
      <w:r w:rsidRPr="00076075">
        <w:t>ecision MC-2/3</w:t>
      </w:r>
      <w:r w:rsidR="003D2EBD" w:rsidRPr="00076075">
        <w:t>,</w:t>
      </w:r>
      <w:r w:rsidRPr="00076075">
        <w:t xml:space="preserve"> </w:t>
      </w:r>
      <w:r w:rsidR="00BA0DB0">
        <w:t xml:space="preserve">on releases, </w:t>
      </w:r>
      <w:r w:rsidRPr="00076075">
        <w:t>a group of technical experts on guidance in relation to mercury releases was established to prepare a report on the identification of significant anthropogenic point source</w:t>
      </w:r>
      <w:r w:rsidR="00466E9A" w:rsidRPr="00076075">
        <w:t>s</w:t>
      </w:r>
      <w:r w:rsidRPr="00076075">
        <w:t xml:space="preserve"> of release categories not addressed in the provisions of the Convention other than article 9, for consideration by </w:t>
      </w:r>
      <w:r w:rsidR="00866E60" w:rsidRPr="00076075">
        <w:t>the Conference of the Parties at its third meeting</w:t>
      </w:r>
      <w:r w:rsidRPr="00076075">
        <w:t>. The group work</w:t>
      </w:r>
      <w:r w:rsidR="000F5EE9" w:rsidRPr="00076075">
        <w:t>ed</w:t>
      </w:r>
      <w:r w:rsidRPr="00076075">
        <w:t xml:space="preserve"> electronically</w:t>
      </w:r>
      <w:r w:rsidR="00AB3FBB" w:rsidRPr="00076075">
        <w:t xml:space="preserve">, including </w:t>
      </w:r>
      <w:r w:rsidR="00E75103" w:rsidRPr="00076075">
        <w:t xml:space="preserve">through </w:t>
      </w:r>
      <w:r w:rsidR="00AB3FBB" w:rsidRPr="00076075">
        <w:t>teleconferences facilitated by the secretariat</w:t>
      </w:r>
      <w:r w:rsidRPr="00076075">
        <w:t>.</w:t>
      </w:r>
      <w:r w:rsidR="00D709CB" w:rsidRPr="00076075">
        <w:t xml:space="preserve"> Parties and other stakeholders were invited to submit information related to the identification of relevant point source categories of release</w:t>
      </w:r>
      <w:r w:rsidR="0082239E" w:rsidRPr="00076075">
        <w:t>s</w:t>
      </w:r>
      <w:r w:rsidR="00D709CB" w:rsidRPr="00076075">
        <w:t xml:space="preserve"> by 15 February 2019</w:t>
      </w:r>
      <w:r w:rsidR="00E75103" w:rsidRPr="00076075">
        <w:t>. T</w:t>
      </w:r>
      <w:r w:rsidR="0082239E" w:rsidRPr="00076075">
        <w:t>he d</w:t>
      </w:r>
      <w:r w:rsidR="00D709CB" w:rsidRPr="00076075">
        <w:t xml:space="preserve">raft report from the group of technical </w:t>
      </w:r>
      <w:r w:rsidR="00D709CB" w:rsidRPr="00076075">
        <w:lastRenderedPageBreak/>
        <w:t xml:space="preserve">experts, based on the discussion at its two teleconferences, was posted </w:t>
      </w:r>
      <w:r w:rsidR="00AB3FBB" w:rsidRPr="00076075">
        <w:t xml:space="preserve">on the Convention website </w:t>
      </w:r>
      <w:r w:rsidR="00D709CB" w:rsidRPr="00076075">
        <w:t>on 15 May 2019</w:t>
      </w:r>
      <w:r w:rsidR="00E75103" w:rsidRPr="00076075">
        <w:t>, and</w:t>
      </w:r>
      <w:r w:rsidR="00D709CB" w:rsidRPr="00076075">
        <w:t xml:space="preserve"> </w:t>
      </w:r>
      <w:r w:rsidR="00E75103" w:rsidRPr="00076075">
        <w:t>p</w:t>
      </w:r>
      <w:r w:rsidR="00D709CB" w:rsidRPr="00076075">
        <w:t>arties, signatories and other stakeholders were invited to submit comments by 15</w:t>
      </w:r>
      <w:r w:rsidR="00BA0DB0">
        <w:t> </w:t>
      </w:r>
      <w:r w:rsidR="00D709CB" w:rsidRPr="00076075">
        <w:t xml:space="preserve">June 2019. The group of technical experts </w:t>
      </w:r>
      <w:r w:rsidR="00866E60" w:rsidRPr="00076075">
        <w:t xml:space="preserve">then </w:t>
      </w:r>
      <w:r w:rsidR="00D709CB" w:rsidRPr="00076075">
        <w:t>finalize</w:t>
      </w:r>
      <w:r w:rsidR="00256AAB" w:rsidRPr="00076075">
        <w:t>d</w:t>
      </w:r>
      <w:r w:rsidR="00D709CB" w:rsidRPr="00076075">
        <w:t xml:space="preserve"> the report </w:t>
      </w:r>
      <w:r w:rsidR="00256AAB" w:rsidRPr="00076075">
        <w:t>(UNEP/MC/COP.3/</w:t>
      </w:r>
      <w:r w:rsidR="00691A63" w:rsidRPr="00076075">
        <w:t>6</w:t>
      </w:r>
      <w:r w:rsidR="00256AAB" w:rsidRPr="00076075">
        <w:t>)</w:t>
      </w:r>
      <w:r w:rsidR="00866E60" w:rsidRPr="00076075">
        <w:t>,</w:t>
      </w:r>
      <w:r w:rsidR="00256AAB" w:rsidRPr="00076075">
        <w:t xml:space="preserve"> </w:t>
      </w:r>
      <w:r w:rsidR="00D709CB" w:rsidRPr="00076075">
        <w:t>taking into account the comments received.</w:t>
      </w:r>
    </w:p>
    <w:p w:rsidR="00C12AEC" w:rsidRPr="00076075" w:rsidRDefault="00C12AEC"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A group of technical experts </w:t>
      </w:r>
      <w:r w:rsidRPr="00A933AD">
        <w:t xml:space="preserve">on </w:t>
      </w:r>
      <w:r w:rsidR="00AB3FBB" w:rsidRPr="00A933AD">
        <w:t xml:space="preserve">mercury </w:t>
      </w:r>
      <w:r w:rsidRPr="00A933AD">
        <w:t>waste thresholds</w:t>
      </w:r>
      <w:r w:rsidRPr="00076075">
        <w:t xml:space="preserve"> was established pursuant to </w:t>
      </w:r>
      <w:r w:rsidR="00466E9A" w:rsidRPr="00076075">
        <w:t>d</w:t>
      </w:r>
      <w:r w:rsidRPr="00076075">
        <w:t xml:space="preserve">ecision MC-2/2 to work on a number of technical issues on the establishment of mercury waste thresholds under article 11, for consideration by </w:t>
      </w:r>
      <w:r w:rsidR="00866E60" w:rsidRPr="00076075">
        <w:t>the Conference of the Parties at its third meeting</w:t>
      </w:r>
      <w:r w:rsidRPr="00076075">
        <w:t>. Parties and other stakeholders were invited to submit relevant information by 15 February 2019.</w:t>
      </w:r>
      <w:r w:rsidR="009710B4" w:rsidRPr="00076075">
        <w:t xml:space="preserve"> The group of technical experts met in Osaka, Japan</w:t>
      </w:r>
      <w:r w:rsidR="00E75103" w:rsidRPr="00076075">
        <w:t>,</w:t>
      </w:r>
      <w:r w:rsidR="009710B4" w:rsidRPr="00076075">
        <w:t xml:space="preserve"> from 27 to 29 May 2019. </w:t>
      </w:r>
      <w:r w:rsidR="00AB3FBB" w:rsidRPr="00076075">
        <w:t>The secretariat provided support to the co-chairs and the group in preparation for the meeting and in the follow-up after the meeting to finali</w:t>
      </w:r>
      <w:r w:rsidR="00E75103" w:rsidRPr="00076075">
        <w:t>z</w:t>
      </w:r>
      <w:r w:rsidR="00AB3FBB" w:rsidRPr="00076075">
        <w:t xml:space="preserve">e the report, in cooperation with the </w:t>
      </w:r>
      <w:r w:rsidR="00E15579" w:rsidRPr="00076075">
        <w:t xml:space="preserve">UNEP </w:t>
      </w:r>
      <w:r w:rsidR="00AB3FBB" w:rsidRPr="00076075">
        <w:t xml:space="preserve">International Environmental Technology Centre. </w:t>
      </w:r>
      <w:r w:rsidR="009710B4" w:rsidRPr="00076075">
        <w:t xml:space="preserve">The report </w:t>
      </w:r>
      <w:r w:rsidR="00AB3FBB" w:rsidRPr="00076075">
        <w:t>from the group</w:t>
      </w:r>
      <w:r w:rsidR="007559F3" w:rsidRPr="00076075">
        <w:t xml:space="preserve"> is available in</w:t>
      </w:r>
      <w:r w:rsidR="009710B4" w:rsidRPr="00076075">
        <w:t xml:space="preserve"> document</w:t>
      </w:r>
      <w:r w:rsidR="007559F3" w:rsidRPr="00076075">
        <w:t xml:space="preserve"> UNEP/MC/COP.3/</w:t>
      </w:r>
      <w:r w:rsidR="00C31031" w:rsidRPr="00076075">
        <w:t>7</w:t>
      </w:r>
      <w:r w:rsidR="009710B4" w:rsidRPr="00076075">
        <w:t>.</w:t>
      </w:r>
    </w:p>
    <w:p w:rsidR="00D91211" w:rsidRPr="00076075" w:rsidRDefault="00E85595" w:rsidP="00ED53BC">
      <w:pPr>
        <w:pStyle w:val="Normalnumber"/>
        <w:tabs>
          <w:tab w:val="clear" w:pos="1134"/>
          <w:tab w:val="clear" w:pos="1247"/>
          <w:tab w:val="clear" w:pos="1814"/>
          <w:tab w:val="clear" w:pos="2381"/>
          <w:tab w:val="clear" w:pos="2948"/>
          <w:tab w:val="clear" w:pos="3515"/>
          <w:tab w:val="clear" w:pos="4082"/>
          <w:tab w:val="num" w:pos="624"/>
        </w:tabs>
      </w:pPr>
      <w:r>
        <w:t>P</w:t>
      </w:r>
      <w:r w:rsidRPr="00076075">
        <w:t>ursuant to decision MC-2/8</w:t>
      </w:r>
      <w:r>
        <w:t>,</w:t>
      </w:r>
      <w:r w:rsidRPr="00C24A8D">
        <w:t xml:space="preserve"> </w:t>
      </w:r>
      <w:r w:rsidRPr="00076075">
        <w:t xml:space="preserve">on </w:t>
      </w:r>
      <w:r>
        <w:t xml:space="preserve">the management of </w:t>
      </w:r>
      <w:r w:rsidRPr="00076075">
        <w:t>sites</w:t>
      </w:r>
      <w:r>
        <w:t xml:space="preserve"> </w:t>
      </w:r>
      <w:r w:rsidRPr="00076075">
        <w:t>contaminated</w:t>
      </w:r>
      <w:r>
        <w:t xml:space="preserve"> by mercury and mercury compounds,</w:t>
      </w:r>
      <w:r w:rsidRPr="00076075">
        <w:t xml:space="preserve"> </w:t>
      </w:r>
      <w:r>
        <w:t>t</w:t>
      </w:r>
      <w:r w:rsidR="00836C70" w:rsidRPr="00076075">
        <w:t xml:space="preserve">he </w:t>
      </w:r>
      <w:r w:rsidR="00836C70" w:rsidRPr="00C24A8D">
        <w:t>secretariat invited</w:t>
      </w:r>
      <w:r w:rsidR="00836C70" w:rsidRPr="00076075">
        <w:t xml:space="preserve"> </w:t>
      </w:r>
      <w:r w:rsidR="00E75103" w:rsidRPr="00076075">
        <w:t>p</w:t>
      </w:r>
      <w:r w:rsidR="00782F4F" w:rsidRPr="00076075">
        <w:t xml:space="preserve">arties and other stakeholders to submit comments and information to complement and further improve the draft </w:t>
      </w:r>
      <w:r w:rsidR="00023CDA" w:rsidRPr="00076075">
        <w:t>g</w:t>
      </w:r>
      <w:r w:rsidR="00782F4F" w:rsidRPr="00076075">
        <w:t>uidance</w:t>
      </w:r>
      <w:r w:rsidR="00726AC2" w:rsidRPr="00076075">
        <w:t xml:space="preserve"> on contaminated sites</w:t>
      </w:r>
      <w:r w:rsidR="00782F4F" w:rsidRPr="00076075">
        <w:t xml:space="preserve"> submitted to </w:t>
      </w:r>
      <w:r w:rsidR="00023CDA" w:rsidRPr="00076075">
        <w:t>the Conference of the Parties at its second meeting</w:t>
      </w:r>
      <w:r w:rsidR="00015793" w:rsidRPr="00076075">
        <w:t>,</w:t>
      </w:r>
      <w:r w:rsidR="00782F4F" w:rsidRPr="00076075">
        <w:t xml:space="preserve"> by 15 February 2019</w:t>
      </w:r>
      <w:r w:rsidR="00A3227A" w:rsidRPr="00076075">
        <w:t>.</w:t>
      </w:r>
      <w:r w:rsidR="00782F4F" w:rsidRPr="00076075">
        <w:t xml:space="preserve"> </w:t>
      </w:r>
      <w:r w:rsidR="00D91211" w:rsidRPr="00076075">
        <w:t xml:space="preserve">Revised draft guidance, developed by the </w:t>
      </w:r>
      <w:r w:rsidR="00E75103" w:rsidRPr="00076075">
        <w:t>s</w:t>
      </w:r>
      <w:r w:rsidR="00D91211" w:rsidRPr="00076075">
        <w:t xml:space="preserve">ecretariat taking into account these submissions, was posted </w:t>
      </w:r>
      <w:r w:rsidR="002A3012" w:rsidRPr="00076075">
        <w:t>on the Convention website</w:t>
      </w:r>
      <w:r w:rsidR="00E75103" w:rsidRPr="00076075">
        <w:t>, and</w:t>
      </w:r>
      <w:r w:rsidR="00D91211" w:rsidRPr="00076075">
        <w:t xml:space="preserve"> </w:t>
      </w:r>
      <w:r w:rsidR="00E75103" w:rsidRPr="00076075">
        <w:t>e</w:t>
      </w:r>
      <w:r w:rsidR="00A3227A" w:rsidRPr="00076075">
        <w:t xml:space="preserve">xperts nominated </w:t>
      </w:r>
      <w:r w:rsidR="00466E9A" w:rsidRPr="00076075">
        <w:t xml:space="preserve">in accordance </w:t>
      </w:r>
      <w:bookmarkStart w:id="5" w:name="_GoBack"/>
      <w:bookmarkEnd w:id="5"/>
      <w:r w:rsidR="00466E9A" w:rsidRPr="00076075">
        <w:t>with decision MC-1/20</w:t>
      </w:r>
      <w:r w:rsidR="00A3227A" w:rsidRPr="00076075">
        <w:t>, p</w:t>
      </w:r>
      <w:r w:rsidR="00D91211" w:rsidRPr="00076075">
        <w:t xml:space="preserve">arties and other stakeholders were invited to submit comments by 21 June 2019. The </w:t>
      </w:r>
      <w:r w:rsidR="00E75103" w:rsidRPr="00076075">
        <w:t>s</w:t>
      </w:r>
      <w:r w:rsidR="00D91211" w:rsidRPr="00076075">
        <w:t xml:space="preserve">ecretariat </w:t>
      </w:r>
      <w:r w:rsidR="00E75103" w:rsidRPr="00076075">
        <w:t xml:space="preserve">then </w:t>
      </w:r>
      <w:r w:rsidR="00D91211" w:rsidRPr="00076075">
        <w:t>revise</w:t>
      </w:r>
      <w:r w:rsidR="002A3012" w:rsidRPr="00076075">
        <w:t>d</w:t>
      </w:r>
      <w:r w:rsidR="00D91211" w:rsidRPr="00076075">
        <w:t xml:space="preserve"> the draft</w:t>
      </w:r>
      <w:r w:rsidR="00E75103" w:rsidRPr="00076075">
        <w:t>,</w:t>
      </w:r>
      <w:r w:rsidR="00D91211" w:rsidRPr="00076075">
        <w:t xml:space="preserve"> taking into </w:t>
      </w:r>
      <w:r w:rsidR="009F2D78" w:rsidRPr="00076075">
        <w:t xml:space="preserve">consideration </w:t>
      </w:r>
      <w:r w:rsidR="00D91211" w:rsidRPr="00076075">
        <w:t xml:space="preserve">the submitted comments and in consultation with </w:t>
      </w:r>
      <w:r w:rsidR="00A3227A" w:rsidRPr="00076075">
        <w:t xml:space="preserve">the </w:t>
      </w:r>
      <w:r w:rsidR="00D91211" w:rsidRPr="00076075">
        <w:t>experts</w:t>
      </w:r>
      <w:r w:rsidR="00A3227A" w:rsidRPr="00076075">
        <w:t xml:space="preserve"> through a teleconference and electronic communication</w:t>
      </w:r>
      <w:r w:rsidR="00D91211" w:rsidRPr="00076075">
        <w:t>.</w:t>
      </w:r>
      <w:r w:rsidR="005506E0" w:rsidRPr="00076075">
        <w:t xml:space="preserve"> </w:t>
      </w:r>
      <w:r w:rsidR="00E75103" w:rsidRPr="00076075">
        <w:t>The draft guidance is set out in document</w:t>
      </w:r>
      <w:r w:rsidR="005506E0" w:rsidRPr="00076075">
        <w:t xml:space="preserve"> UNEP/MC/COP.3/</w:t>
      </w:r>
      <w:r w:rsidR="00533846" w:rsidRPr="00076075">
        <w:t>8.</w:t>
      </w:r>
    </w:p>
    <w:p w:rsidR="00665E01" w:rsidRPr="00076075" w:rsidRDefault="00023CDA"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At its second meeting, the </w:t>
      </w:r>
      <w:r w:rsidRPr="00EF2EA0">
        <w:t>Conference of the</w:t>
      </w:r>
      <w:r w:rsidRPr="00076075">
        <w:t xml:space="preserve"> Parties </w:t>
      </w:r>
      <w:r w:rsidR="00665E01" w:rsidRPr="00076075">
        <w:t xml:space="preserve">requested the secretariat to compile </w:t>
      </w:r>
      <w:r w:rsidR="00A52888" w:rsidRPr="00076075">
        <w:t xml:space="preserve">the </w:t>
      </w:r>
      <w:r w:rsidR="00665E01" w:rsidRPr="00076075">
        <w:t>information to be provided by the Global Environment Facility</w:t>
      </w:r>
      <w:r w:rsidRPr="00076075">
        <w:t xml:space="preserve"> (GEF)</w:t>
      </w:r>
      <w:r w:rsidR="00665E01" w:rsidRPr="00076075">
        <w:t>, the Specific International Programme, parties and other relevant sources</w:t>
      </w:r>
      <w:r w:rsidR="00A52888" w:rsidRPr="00076075">
        <w:t>, which w</w:t>
      </w:r>
      <w:r w:rsidR="00665E01" w:rsidRPr="00076075">
        <w:t xml:space="preserve">as identified </w:t>
      </w:r>
      <w:r w:rsidR="00F23065" w:rsidRPr="00076075">
        <w:t>in</w:t>
      </w:r>
      <w:r w:rsidR="00665E01" w:rsidRPr="00076075">
        <w:t xml:space="preserve"> paragraph 11 of article 13 </w:t>
      </w:r>
      <w:r w:rsidR="00C24A8D">
        <w:t xml:space="preserve">of the Convention </w:t>
      </w:r>
      <w:r w:rsidR="00665E01" w:rsidRPr="00076075">
        <w:t>as being necessary for the review of the financial mechanism (UNEP/MC/COP.2/19</w:t>
      </w:r>
      <w:r w:rsidRPr="00076075">
        <w:t>, para. 120</w:t>
      </w:r>
      <w:r w:rsidR="00665E01" w:rsidRPr="00076075">
        <w:t xml:space="preserve">). In </w:t>
      </w:r>
      <w:r w:rsidR="00A52888" w:rsidRPr="00076075">
        <w:t xml:space="preserve">a </w:t>
      </w:r>
      <w:r w:rsidR="00665E01" w:rsidRPr="00076075">
        <w:t xml:space="preserve">letter from the Executive Secretary </w:t>
      </w:r>
      <w:r w:rsidR="00A52888" w:rsidRPr="00076075">
        <w:t xml:space="preserve">dated </w:t>
      </w:r>
      <w:r w:rsidR="00665E01" w:rsidRPr="00076075">
        <w:t xml:space="preserve">3 December 2018, parties and other stakeholders were invited to submit information relevant to the level of funding, the guidance provided by the </w:t>
      </w:r>
      <w:r w:rsidRPr="00076075">
        <w:t>Conference of the Parties</w:t>
      </w:r>
      <w:r w:rsidR="00665E01" w:rsidRPr="00076075">
        <w:t xml:space="preserve"> to the entities entrusted to operationalize the financial mechanism</w:t>
      </w:r>
      <w:r w:rsidR="00A52888" w:rsidRPr="00076075">
        <w:t>,</w:t>
      </w:r>
      <w:r w:rsidR="00665E01" w:rsidRPr="00076075">
        <w:t xml:space="preserve"> and the effectiveness</w:t>
      </w:r>
      <w:r w:rsidR="00A52888" w:rsidRPr="00076075">
        <w:t xml:space="preserve"> of those entities</w:t>
      </w:r>
      <w:r w:rsidR="00665E01" w:rsidRPr="00076075">
        <w:t xml:space="preserve"> and their ability to address the changing needs of developing country parties and parties with economies in transition, by 31 May 2019. </w:t>
      </w:r>
      <w:r w:rsidR="000C1879" w:rsidRPr="00076075">
        <w:t>The Executive Secretary also sent a</w:t>
      </w:r>
      <w:r w:rsidR="00F23065" w:rsidRPr="00076075">
        <w:t xml:space="preserve"> letter to the </w:t>
      </w:r>
      <w:r w:rsidRPr="00076075">
        <w:t xml:space="preserve">Chief Executive Officer </w:t>
      </w:r>
      <w:r w:rsidR="00AD144D">
        <w:t xml:space="preserve">and Chairperson </w:t>
      </w:r>
      <w:r w:rsidRPr="00076075">
        <w:t xml:space="preserve">of GEF </w:t>
      </w:r>
      <w:r w:rsidR="00F23065" w:rsidRPr="00076075">
        <w:t>on 16 April 2019 requesting the relevant information</w:t>
      </w:r>
      <w:r w:rsidR="000C1879" w:rsidRPr="00076075">
        <w:t xml:space="preserve">, which </w:t>
      </w:r>
      <w:r w:rsidR="00F23065" w:rsidRPr="00076075">
        <w:t xml:space="preserve">was received </w:t>
      </w:r>
      <w:r w:rsidR="000C1879" w:rsidRPr="00076075">
        <w:t xml:space="preserve">from GEF </w:t>
      </w:r>
      <w:r w:rsidR="00F23065" w:rsidRPr="00076075">
        <w:t xml:space="preserve">on 29 May 2019. </w:t>
      </w:r>
      <w:r w:rsidR="000C1879" w:rsidRPr="00076075">
        <w:t xml:space="preserve">A </w:t>
      </w:r>
      <w:r w:rsidR="00F23065" w:rsidRPr="00076075">
        <w:t xml:space="preserve">synthesis of </w:t>
      </w:r>
      <w:r w:rsidR="000C1879" w:rsidRPr="00076075">
        <w:t xml:space="preserve">the </w:t>
      </w:r>
      <w:r w:rsidR="00F23065" w:rsidRPr="00076075">
        <w:t xml:space="preserve">information is presented </w:t>
      </w:r>
      <w:r w:rsidR="00665E01" w:rsidRPr="00076075">
        <w:t xml:space="preserve">in document </w:t>
      </w:r>
      <w:r w:rsidR="00C85F26" w:rsidRPr="00076075">
        <w:t>UNEP/MC/COP.3/11. The overall report</w:t>
      </w:r>
      <w:r w:rsidR="000F5749" w:rsidRPr="00076075">
        <w:t>s</w:t>
      </w:r>
      <w:r w:rsidR="00C85F26" w:rsidRPr="00076075">
        <w:t xml:space="preserve"> o</w:t>
      </w:r>
      <w:r w:rsidR="000C1879" w:rsidRPr="00076075">
        <w:t>n</w:t>
      </w:r>
      <w:r w:rsidR="00C85F26" w:rsidRPr="00076075">
        <w:t xml:space="preserve"> the </w:t>
      </w:r>
      <w:r w:rsidR="000F5749" w:rsidRPr="00076075">
        <w:t>financial mechanism, as submitted by GEF and the Specific International Programme</w:t>
      </w:r>
      <w:r w:rsidR="003068E0" w:rsidRPr="00076075">
        <w:t>,</w:t>
      </w:r>
      <w:r w:rsidR="000F5749" w:rsidRPr="00076075">
        <w:t xml:space="preserve"> can be found in document</w:t>
      </w:r>
      <w:r w:rsidR="000C1879" w:rsidRPr="00076075">
        <w:t>s</w:t>
      </w:r>
      <w:r w:rsidR="000F5749" w:rsidRPr="00076075">
        <w:t xml:space="preserve"> </w:t>
      </w:r>
      <w:r w:rsidR="00007A10" w:rsidRPr="00076075">
        <w:t>UNEP/MC/COP.3/9</w:t>
      </w:r>
      <w:r w:rsidR="00202081">
        <w:t>,</w:t>
      </w:r>
      <w:r w:rsidR="00007A10" w:rsidRPr="00076075">
        <w:t xml:space="preserve"> UNEP/MC/COP.3/10</w:t>
      </w:r>
      <w:r w:rsidR="00202081">
        <w:t xml:space="preserve"> and </w:t>
      </w:r>
      <w:r w:rsidR="00202081" w:rsidRPr="00076075">
        <w:t>UNEP/MC/COP.3/10</w:t>
      </w:r>
      <w:r w:rsidR="00202081">
        <w:t>/Add.1</w:t>
      </w:r>
      <w:r w:rsidR="00007A10" w:rsidRPr="00076075">
        <w:t>.</w:t>
      </w:r>
    </w:p>
    <w:p w:rsidR="000047F0" w:rsidRPr="00076075"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eastAsia="zh-CN"/>
        </w:rPr>
      </w:pPr>
      <w:r w:rsidRPr="00076075">
        <w:t>In decision MC-2/11, the Conference of the Parties</w:t>
      </w:r>
      <w:r w:rsidR="000047F0" w:rsidRPr="00076075">
        <w:t xml:space="preserve"> requested the secretariat to collect the information received from the existing regional, </w:t>
      </w:r>
      <w:proofErr w:type="spellStart"/>
      <w:r w:rsidR="000047F0" w:rsidRPr="00076075">
        <w:t>subregional</w:t>
      </w:r>
      <w:proofErr w:type="spellEnd"/>
      <w:r w:rsidR="000047F0" w:rsidRPr="00076075">
        <w:t xml:space="preserve"> and national arrangements on their capacity-building and technical assistance to support parties in implementing their obligations under the Minamata Convention. In the letter from the Executive Secretary </w:t>
      </w:r>
      <w:r w:rsidR="000C1879" w:rsidRPr="00076075">
        <w:t xml:space="preserve">dated </w:t>
      </w:r>
      <w:r w:rsidR="000047F0" w:rsidRPr="00076075">
        <w:t xml:space="preserve">3 December 2018, parties and other stakeholders were invited to submit </w:t>
      </w:r>
      <w:r w:rsidR="000C1879" w:rsidRPr="00076075">
        <w:t xml:space="preserve">the </w:t>
      </w:r>
      <w:r w:rsidR="000047F0" w:rsidRPr="00076075">
        <w:t>relevant information.</w:t>
      </w:r>
      <w:r w:rsidR="007C2B61" w:rsidRPr="00076075">
        <w:t xml:space="preserve"> </w:t>
      </w:r>
      <w:r w:rsidR="000047F0" w:rsidRPr="00076075">
        <w:t>Th</w:t>
      </w:r>
      <w:r w:rsidR="000C1879" w:rsidRPr="00076075">
        <w:t xml:space="preserve">e information received </w:t>
      </w:r>
      <w:r w:rsidR="000047F0" w:rsidRPr="00076075">
        <w:t xml:space="preserve">is compiled in </w:t>
      </w:r>
      <w:r w:rsidR="00404AAE" w:rsidRPr="00076075">
        <w:t xml:space="preserve">documents UNEP/MC/COP.3/12 and </w:t>
      </w:r>
      <w:r w:rsidR="00965777" w:rsidRPr="00076075">
        <w:t>UNEP/MC/COP.3/INF/14.</w:t>
      </w:r>
    </w:p>
    <w:p w:rsidR="00B9668F" w:rsidRPr="00076075"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eastAsia="zh-CN"/>
        </w:rPr>
      </w:pPr>
      <w:r w:rsidRPr="00076075">
        <w:t xml:space="preserve">At its second meeting, the </w:t>
      </w:r>
      <w:r w:rsidRPr="000A252A">
        <w:t>Conference of the</w:t>
      </w:r>
      <w:r w:rsidRPr="00076075">
        <w:t xml:space="preserve"> Parties</w:t>
      </w:r>
      <w:r w:rsidR="00B9668F" w:rsidRPr="00076075">
        <w:t xml:space="preserve"> </w:t>
      </w:r>
      <w:r w:rsidRPr="00076075">
        <w:t xml:space="preserve">also </w:t>
      </w:r>
      <w:r w:rsidR="00B9668F" w:rsidRPr="00076075">
        <w:t xml:space="preserve">requested the secretariat to continue to collect and make available information relevant to emissions of mercury resulting from the open burning of waste. In the letter from the Executive Secretary </w:t>
      </w:r>
      <w:r w:rsidR="000C1879" w:rsidRPr="00076075">
        <w:t>dated</w:t>
      </w:r>
      <w:r w:rsidR="00B9668F" w:rsidRPr="00076075">
        <w:t xml:space="preserve"> 3 December 2018, parties and other stakeholders were invited to submit </w:t>
      </w:r>
      <w:r w:rsidR="000C1879" w:rsidRPr="00076075">
        <w:t xml:space="preserve">the </w:t>
      </w:r>
      <w:r w:rsidR="00B9668F" w:rsidRPr="00076075">
        <w:t>relevant information</w:t>
      </w:r>
      <w:r w:rsidR="004B306E" w:rsidRPr="00076075">
        <w:t xml:space="preserve">, which </w:t>
      </w:r>
      <w:r w:rsidR="0091009C" w:rsidRPr="00076075">
        <w:t xml:space="preserve">the </w:t>
      </w:r>
      <w:r w:rsidR="00773755">
        <w:t>s</w:t>
      </w:r>
      <w:r w:rsidR="0091009C" w:rsidRPr="00076075">
        <w:t>ecretariat ha</w:t>
      </w:r>
      <w:r w:rsidR="004B306E" w:rsidRPr="00076075">
        <w:t>s captured in document UNEP/MC/COP.3/</w:t>
      </w:r>
      <w:r w:rsidR="00C90DC8" w:rsidRPr="00076075">
        <w:t>17.</w:t>
      </w:r>
    </w:p>
    <w:p w:rsidR="008A5496" w:rsidRPr="00076075" w:rsidRDefault="008A5496"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The secretariat </w:t>
      </w:r>
      <w:r w:rsidRPr="00AB3D73">
        <w:t xml:space="preserve">has also provided scientific and technical advice to </w:t>
      </w:r>
      <w:r w:rsidR="000C1879" w:rsidRPr="00AB3D73">
        <w:t>p</w:t>
      </w:r>
      <w:r w:rsidRPr="00AB3D73">
        <w:t xml:space="preserve">arties </w:t>
      </w:r>
      <w:r w:rsidR="000C1879" w:rsidRPr="00AB3D73">
        <w:t>on</w:t>
      </w:r>
      <w:r w:rsidRPr="00AB3D73">
        <w:t xml:space="preserve"> request.</w:t>
      </w:r>
      <w:r w:rsidR="00A3227A" w:rsidRPr="00AB3D73">
        <w:t xml:space="preserve"> </w:t>
      </w:r>
      <w:r w:rsidR="00F42F57" w:rsidRPr="00AB3D73">
        <w:t>In addition to responding to multiple questions</w:t>
      </w:r>
      <w:r w:rsidR="00F42F57" w:rsidRPr="00076075">
        <w:t xml:space="preserve"> from parties and other stakeholders by email and phone, t</w:t>
      </w:r>
      <w:r w:rsidR="00A3227A" w:rsidRPr="00076075">
        <w:t xml:space="preserve">his </w:t>
      </w:r>
      <w:r w:rsidR="00185FEA" w:rsidRPr="00076075">
        <w:t>involved the</w:t>
      </w:r>
      <w:r w:rsidR="00A3227A" w:rsidRPr="00076075">
        <w:t xml:space="preserve"> participation of </w:t>
      </w:r>
      <w:r w:rsidR="000C1879" w:rsidRPr="00076075">
        <w:t xml:space="preserve">representatives </w:t>
      </w:r>
      <w:r w:rsidR="00A3227A" w:rsidRPr="00076075">
        <w:t>of the secretariat in a number of technical meetings</w:t>
      </w:r>
      <w:r w:rsidR="000C1879" w:rsidRPr="00076075">
        <w:t>,</w:t>
      </w:r>
      <w:r w:rsidR="00A3227A" w:rsidRPr="00076075">
        <w:t xml:space="preserve"> such as a </w:t>
      </w:r>
      <w:r w:rsidR="000C1879" w:rsidRPr="00076075">
        <w:t xml:space="preserve">GEF-funded </w:t>
      </w:r>
      <w:r w:rsidR="00A3227A" w:rsidRPr="00076075">
        <w:t xml:space="preserve">mercury monitoring </w:t>
      </w:r>
      <w:r w:rsidR="000C1879" w:rsidRPr="00076075">
        <w:t xml:space="preserve">expert consultation meeting </w:t>
      </w:r>
      <w:r w:rsidR="00A3227A" w:rsidRPr="00076075">
        <w:t>held in Monaco on 13 and 14</w:t>
      </w:r>
      <w:r w:rsidR="00ED53BC">
        <w:t> </w:t>
      </w:r>
      <w:r w:rsidR="00A3227A" w:rsidRPr="00076075">
        <w:t>May 2019</w:t>
      </w:r>
      <w:r w:rsidR="0091009C" w:rsidRPr="00076075">
        <w:t>;</w:t>
      </w:r>
      <w:r w:rsidR="00A3227A" w:rsidRPr="00076075">
        <w:t xml:space="preserve"> a meeting on best available techniques held in Berlin from 14 to 16 May 2019</w:t>
      </w:r>
      <w:r w:rsidR="0091009C" w:rsidRPr="00076075">
        <w:t>;</w:t>
      </w:r>
      <w:r w:rsidR="00A3227A" w:rsidRPr="00076075">
        <w:t xml:space="preserve"> a workshop on mercury-added products funded by Asia</w:t>
      </w:r>
      <w:r w:rsidR="000A252A">
        <w:t>-</w:t>
      </w:r>
      <w:r w:rsidR="00A3227A" w:rsidRPr="00076075">
        <w:t>Pacific Economic Cooperation</w:t>
      </w:r>
      <w:r w:rsidR="000C1879" w:rsidRPr="00076075">
        <w:t>,</w:t>
      </w:r>
      <w:r w:rsidR="00A3227A" w:rsidRPr="00076075">
        <w:t xml:space="preserve"> </w:t>
      </w:r>
      <w:r w:rsidR="000C1879" w:rsidRPr="00076075">
        <w:t xml:space="preserve">held </w:t>
      </w:r>
      <w:r w:rsidR="00A3227A" w:rsidRPr="00076075">
        <w:t xml:space="preserve">in </w:t>
      </w:r>
      <w:proofErr w:type="spellStart"/>
      <w:r w:rsidR="00A3227A" w:rsidRPr="00076075">
        <w:t>Vi</w:t>
      </w:r>
      <w:r w:rsidR="0091009C" w:rsidRPr="00076075">
        <w:t>ñ</w:t>
      </w:r>
      <w:r w:rsidR="00A3227A" w:rsidRPr="00076075">
        <w:t>a</w:t>
      </w:r>
      <w:proofErr w:type="spellEnd"/>
      <w:r w:rsidR="00A3227A" w:rsidRPr="00076075">
        <w:t xml:space="preserve"> del Mar, Chile, from 9 to 11 July 2019</w:t>
      </w:r>
      <w:r w:rsidR="0091009C" w:rsidRPr="00076075">
        <w:t>;</w:t>
      </w:r>
      <w:r w:rsidR="00050F80" w:rsidRPr="00076075">
        <w:t xml:space="preserve"> and a regional workshop on “Defining the road ahead: </w:t>
      </w:r>
      <w:r w:rsidR="00E85595">
        <w:t>l</w:t>
      </w:r>
      <w:r w:rsidR="00050F80" w:rsidRPr="00076075">
        <w:t xml:space="preserve">essons learned in developing </w:t>
      </w:r>
      <w:r w:rsidR="00E85595" w:rsidRPr="00076075">
        <w:t xml:space="preserve">national action plans </w:t>
      </w:r>
      <w:r w:rsidR="00050F80" w:rsidRPr="00076075">
        <w:t>for reducing mercury use in artisanal and small-scale gold mining</w:t>
      </w:r>
      <w:r w:rsidR="00F42F57" w:rsidRPr="00076075">
        <w:t>”, held</w:t>
      </w:r>
      <w:r w:rsidR="00050F80" w:rsidRPr="00076075">
        <w:t xml:space="preserve"> </w:t>
      </w:r>
      <w:r w:rsidR="00615538" w:rsidRPr="00076075">
        <w:t xml:space="preserve">in Manzini, Eswatini </w:t>
      </w:r>
      <w:r w:rsidR="00F42F57" w:rsidRPr="00076075">
        <w:t xml:space="preserve">on </w:t>
      </w:r>
      <w:r w:rsidR="00897B15" w:rsidRPr="00076075">
        <w:t>22 and 23</w:t>
      </w:r>
      <w:r w:rsidR="00473ADC" w:rsidRPr="00076075">
        <w:t xml:space="preserve"> May 2019</w:t>
      </w:r>
      <w:r w:rsidR="00A3227A" w:rsidRPr="00076075">
        <w:t xml:space="preserve">. </w:t>
      </w:r>
    </w:p>
    <w:p w:rsidR="00436481" w:rsidRPr="00076075" w:rsidRDefault="00436481" w:rsidP="00ED53BC">
      <w:pPr>
        <w:pStyle w:val="Normalnumber"/>
        <w:tabs>
          <w:tab w:val="clear" w:pos="1134"/>
          <w:tab w:val="clear" w:pos="1247"/>
          <w:tab w:val="clear" w:pos="1814"/>
          <w:tab w:val="clear" w:pos="2381"/>
          <w:tab w:val="clear" w:pos="2948"/>
          <w:tab w:val="clear" w:pos="3515"/>
          <w:tab w:val="clear" w:pos="4082"/>
          <w:tab w:val="num" w:pos="624"/>
        </w:tabs>
      </w:pPr>
      <w:r w:rsidRPr="00076075">
        <w:t>The secretariat, together with the International Environmental Technology Centre and the Ministry of the Environment of Japan, organized</w:t>
      </w:r>
      <w:r w:rsidR="0091009C" w:rsidRPr="00076075">
        <w:t>, with Japanese funding,</w:t>
      </w:r>
      <w:r w:rsidRPr="00076075">
        <w:t xml:space="preserve"> a workshop on synergies in mercury waste management in Osaka, Japan, on 30 and 31 May 2019, back to back with the meeting </w:t>
      </w:r>
      <w:r w:rsidRPr="00076075">
        <w:lastRenderedPageBreak/>
        <w:t>of the group of technical experts on mercury waste thresholds. The report of the workshop is available</w:t>
      </w:r>
      <w:r w:rsidR="0091009C" w:rsidRPr="00076075">
        <w:t xml:space="preserve"> on</w:t>
      </w:r>
      <w:r w:rsidRPr="00076075">
        <w:t xml:space="preserve"> </w:t>
      </w:r>
      <w:r w:rsidR="00952F83" w:rsidRPr="00076075">
        <w:t>the Convention website</w:t>
      </w:r>
      <w:r w:rsidRPr="00076075">
        <w:t>.</w:t>
      </w:r>
      <w:r w:rsidR="00A65343">
        <w:rPr>
          <w:rStyle w:val="FootnoteReference"/>
        </w:rPr>
        <w:footnoteReference w:id="3"/>
      </w:r>
    </w:p>
    <w:p w:rsidR="00163DA4" w:rsidRPr="00076075" w:rsidRDefault="00163DA4" w:rsidP="00116AF5">
      <w:pPr>
        <w:pStyle w:val="CH1"/>
      </w:pPr>
      <w:r w:rsidRPr="00076075">
        <w:tab/>
        <w:t>IV.</w:t>
      </w:r>
      <w:r w:rsidRPr="00076075">
        <w:tab/>
        <w:t xml:space="preserve">Support </w:t>
      </w:r>
      <w:r w:rsidR="003068E0" w:rsidRPr="00076075">
        <w:t>for</w:t>
      </w:r>
      <w:r w:rsidR="00C352CF" w:rsidRPr="00076075">
        <w:t xml:space="preserve"> the </w:t>
      </w:r>
      <w:r w:rsidRPr="00076075">
        <w:t xml:space="preserve">implementation of the Minamata Convention </w:t>
      </w:r>
    </w:p>
    <w:p w:rsidR="00163DA4" w:rsidRPr="00076075"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In addition to its work </w:t>
      </w:r>
      <w:r w:rsidRPr="00192E01">
        <w:t>in support</w:t>
      </w:r>
      <w:r w:rsidRPr="00076075">
        <w:t xml:space="preserve"> of the Conference of the Parties and </w:t>
      </w:r>
      <w:r w:rsidR="00A01AE7" w:rsidRPr="00076075">
        <w:t>in preparation</w:t>
      </w:r>
      <w:r w:rsidRPr="00076075">
        <w:t xml:space="preserve"> for </w:t>
      </w:r>
      <w:r w:rsidR="0026658C" w:rsidRPr="00076075">
        <w:t>its</w:t>
      </w:r>
      <w:r w:rsidRPr="00076075">
        <w:t xml:space="preserve"> </w:t>
      </w:r>
      <w:r w:rsidR="00C352CF" w:rsidRPr="00076075">
        <w:t>third</w:t>
      </w:r>
      <w:r w:rsidRPr="00076075">
        <w:t xml:space="preserve"> meeting, the </w:t>
      </w:r>
      <w:r w:rsidR="000B157E" w:rsidRPr="00076075">
        <w:t>secretariat</w:t>
      </w:r>
      <w:r w:rsidRPr="00076075">
        <w:t xml:space="preserve"> has supported activities at the national and regional level</w:t>
      </w:r>
      <w:r w:rsidR="006E2F80" w:rsidRPr="00076075">
        <w:t>s</w:t>
      </w:r>
      <w:r w:rsidRPr="00076075">
        <w:t xml:space="preserve"> to facilitate the implementation of the Minamata Convention</w:t>
      </w:r>
      <w:r w:rsidR="006E2F80" w:rsidRPr="00076075">
        <w:t xml:space="preserve"> and </w:t>
      </w:r>
      <w:r w:rsidR="0026658C" w:rsidRPr="00076075">
        <w:t>held</w:t>
      </w:r>
      <w:r w:rsidRPr="00076075">
        <w:t xml:space="preserve"> consultations with relevant partners, including the participating organi</w:t>
      </w:r>
      <w:r w:rsidR="006E2F80" w:rsidRPr="00076075">
        <w:t>z</w:t>
      </w:r>
      <w:r w:rsidRPr="00076075">
        <w:t>ations of the Inter-Organization Programme for the Sound Management of Chemicals</w:t>
      </w:r>
      <w:r w:rsidR="000B157E" w:rsidRPr="00076075">
        <w:t xml:space="preserve"> (IOMC)</w:t>
      </w:r>
      <w:r w:rsidRPr="00076075">
        <w:t>, to identify possible cross-cutting activities.</w:t>
      </w:r>
    </w:p>
    <w:p w:rsidR="00163DA4" w:rsidRPr="00076075" w:rsidRDefault="00EF4366" w:rsidP="00ED53BC">
      <w:pPr>
        <w:pStyle w:val="Normalnumber"/>
        <w:tabs>
          <w:tab w:val="clear" w:pos="1134"/>
          <w:tab w:val="clear" w:pos="1247"/>
          <w:tab w:val="clear" w:pos="1814"/>
          <w:tab w:val="clear" w:pos="2381"/>
          <w:tab w:val="clear" w:pos="2948"/>
          <w:tab w:val="clear" w:pos="3515"/>
          <w:tab w:val="clear" w:pos="4082"/>
          <w:tab w:val="num" w:pos="624"/>
        </w:tabs>
      </w:pPr>
      <w:r w:rsidRPr="00076075">
        <w:t>T</w:t>
      </w:r>
      <w:r w:rsidR="00163DA4" w:rsidRPr="00076075">
        <w:t xml:space="preserve">he </w:t>
      </w:r>
      <w:r w:rsidR="000B157E" w:rsidRPr="00076075">
        <w:t>secretariat</w:t>
      </w:r>
      <w:r w:rsidR="00163DA4" w:rsidRPr="00076075">
        <w:t xml:space="preserve"> worked on the delivery of </w:t>
      </w:r>
      <w:r w:rsidR="006E2F80" w:rsidRPr="00076075">
        <w:t xml:space="preserve">the </w:t>
      </w:r>
      <w:r w:rsidR="00163DA4" w:rsidRPr="00076075">
        <w:t>technical assistance and capacity</w:t>
      </w:r>
      <w:r w:rsidR="002F63CB">
        <w:t>-</w:t>
      </w:r>
      <w:r w:rsidR="00163DA4" w:rsidRPr="00076075">
        <w:t>development activities of the programme of work of the Convention</w:t>
      </w:r>
      <w:r w:rsidR="006E2F80" w:rsidRPr="00076075">
        <w:t xml:space="preserve">, </w:t>
      </w:r>
      <w:r w:rsidR="001E6A71" w:rsidRPr="00076075">
        <w:t xml:space="preserve">by advancing work on the </w:t>
      </w:r>
      <w:r w:rsidR="004B6D73" w:rsidRPr="00076075">
        <w:t xml:space="preserve">European Union </w:t>
      </w:r>
      <w:r w:rsidR="001E6A71" w:rsidRPr="00076075">
        <w:t xml:space="preserve">funded </w:t>
      </w:r>
      <w:r w:rsidR="00163DA4" w:rsidRPr="00076075">
        <w:t xml:space="preserve">project on trade </w:t>
      </w:r>
      <w:r w:rsidR="00E31F58" w:rsidRPr="00076075">
        <w:t xml:space="preserve">in </w:t>
      </w:r>
      <w:r w:rsidR="00163DA4" w:rsidRPr="00076075">
        <w:t>mercury and mercury emissions. Th</w:t>
      </w:r>
      <w:r w:rsidR="0050443A" w:rsidRPr="00076075">
        <w:t>es</w:t>
      </w:r>
      <w:r w:rsidR="00163DA4" w:rsidRPr="00076075">
        <w:t xml:space="preserve">e two issues </w:t>
      </w:r>
      <w:r w:rsidR="0078076B" w:rsidRPr="00076075">
        <w:t>had</w:t>
      </w:r>
      <w:r w:rsidR="00163DA4" w:rsidRPr="00076075">
        <w:t xml:space="preserve"> been identified as priorities at the </w:t>
      </w:r>
      <w:proofErr w:type="spellStart"/>
      <w:r w:rsidR="00163DA4" w:rsidRPr="00076075">
        <w:t>subregional</w:t>
      </w:r>
      <w:proofErr w:type="spellEnd"/>
      <w:r w:rsidR="00163DA4" w:rsidRPr="00076075">
        <w:t xml:space="preserve"> and regional levels. </w:t>
      </w:r>
      <w:r w:rsidR="0050443A" w:rsidRPr="00076075">
        <w:t>T</w:t>
      </w:r>
      <w:r w:rsidR="00163DA4" w:rsidRPr="00076075">
        <w:t>h</w:t>
      </w:r>
      <w:r w:rsidR="0050443A" w:rsidRPr="00076075">
        <w:t xml:space="preserve">rough this project, during the course of 2019 and 2020, </w:t>
      </w:r>
      <w:r w:rsidR="00163DA4" w:rsidRPr="00076075">
        <w:t xml:space="preserve">the </w:t>
      </w:r>
      <w:r w:rsidR="000B157E" w:rsidRPr="00076075">
        <w:t>secretariat</w:t>
      </w:r>
      <w:r w:rsidR="00163DA4" w:rsidRPr="00076075">
        <w:t xml:space="preserve"> </w:t>
      </w:r>
      <w:r w:rsidR="0050443A" w:rsidRPr="00076075">
        <w:t xml:space="preserve">will </w:t>
      </w:r>
      <w:r w:rsidR="00163DA4" w:rsidRPr="00076075">
        <w:t xml:space="preserve">deliver regional and/or </w:t>
      </w:r>
      <w:proofErr w:type="spellStart"/>
      <w:r w:rsidR="00163DA4" w:rsidRPr="00076075">
        <w:t>subregional</w:t>
      </w:r>
      <w:proofErr w:type="spellEnd"/>
      <w:r w:rsidR="00163DA4" w:rsidRPr="00076075">
        <w:t xml:space="preserve"> training workshops, develop training materials, implement national pilot projects, disseminate information on lessons learned and conduct a preliminary overview of a needs assessment. </w:t>
      </w:r>
      <w:r w:rsidR="004B6D73" w:rsidRPr="00076075">
        <w:t xml:space="preserve">The first </w:t>
      </w:r>
      <w:proofErr w:type="spellStart"/>
      <w:r w:rsidR="004B6D73" w:rsidRPr="00076075">
        <w:t>subregional</w:t>
      </w:r>
      <w:proofErr w:type="spellEnd"/>
      <w:r w:rsidR="004B6D73" w:rsidRPr="00076075">
        <w:t xml:space="preserve"> workshop on trade is scheduled to take place in </w:t>
      </w:r>
      <w:r w:rsidR="004834A0" w:rsidRPr="00076075">
        <w:t xml:space="preserve">the </w:t>
      </w:r>
      <w:proofErr w:type="spellStart"/>
      <w:r w:rsidR="004834A0" w:rsidRPr="00076075">
        <w:t>Plurinational</w:t>
      </w:r>
      <w:proofErr w:type="spellEnd"/>
      <w:r w:rsidR="004834A0" w:rsidRPr="00076075">
        <w:t xml:space="preserve"> State of </w:t>
      </w:r>
      <w:r w:rsidR="004B6D73" w:rsidRPr="00076075">
        <w:t>Bo</w:t>
      </w:r>
      <w:r w:rsidR="00EF131B" w:rsidRPr="00076075">
        <w:t xml:space="preserve">livia in September 2019, followed by the </w:t>
      </w:r>
      <w:proofErr w:type="spellStart"/>
      <w:r w:rsidR="00EF131B" w:rsidRPr="00076075">
        <w:t>subregional</w:t>
      </w:r>
      <w:proofErr w:type="spellEnd"/>
      <w:r w:rsidR="00EF131B" w:rsidRPr="00076075">
        <w:t xml:space="preserve"> workshop on emissions in Viet Nam in October 2019</w:t>
      </w:r>
      <w:r w:rsidR="0083015F" w:rsidRPr="00076075">
        <w:t xml:space="preserve">. The secretariat is also working on the development of a reader-friendly design, layout </w:t>
      </w:r>
      <w:r w:rsidR="0050443A" w:rsidRPr="00076075">
        <w:t xml:space="preserve">and printing of </w:t>
      </w:r>
      <w:r w:rsidR="002444E5" w:rsidRPr="00076075">
        <w:t xml:space="preserve">the guidance on best environmental practices in relation to emissions of mercury from point sources falling within the source categories listed in </w:t>
      </w:r>
      <w:r w:rsidR="004834A0" w:rsidRPr="00076075">
        <w:t>a</w:t>
      </w:r>
      <w:r w:rsidR="002444E5" w:rsidRPr="00076075">
        <w:t>nnex D to the Convention</w:t>
      </w:r>
      <w:r w:rsidR="0026658C" w:rsidRPr="00076075">
        <w:t>,</w:t>
      </w:r>
      <w:r w:rsidR="002444E5" w:rsidRPr="00076075">
        <w:t xml:space="preserve"> </w:t>
      </w:r>
      <w:r w:rsidR="0050443A" w:rsidRPr="00076075">
        <w:t xml:space="preserve">in English, French and Spanish. </w:t>
      </w:r>
    </w:p>
    <w:p w:rsidR="00264E52" w:rsidRPr="00076075" w:rsidRDefault="00422478"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Responding to a </w:t>
      </w:r>
      <w:r w:rsidR="00D65743" w:rsidRPr="00076075">
        <w:t xml:space="preserve">specific </w:t>
      </w:r>
      <w:r w:rsidRPr="00076075">
        <w:t>capacity-building</w:t>
      </w:r>
      <w:r w:rsidR="00D65743" w:rsidRPr="00076075">
        <w:t xml:space="preserve"> request from the Islamic Republic of Iran, </w:t>
      </w:r>
      <w:r w:rsidR="00264E52" w:rsidRPr="00076075">
        <w:t xml:space="preserve">the secretariat delivered a training </w:t>
      </w:r>
      <w:r w:rsidR="004834A0" w:rsidRPr="00076075">
        <w:t xml:space="preserve">session </w:t>
      </w:r>
      <w:r w:rsidR="00264E52" w:rsidRPr="00076075">
        <w:t>on the mercury inventory toolkit</w:t>
      </w:r>
      <w:r w:rsidR="003C4BEA" w:rsidRPr="00076075">
        <w:t xml:space="preserve">, which was attended by </w:t>
      </w:r>
      <w:r w:rsidR="00CC28D8" w:rsidRPr="00076075">
        <w:t>almost 60 participants from different ministries and departments</w:t>
      </w:r>
      <w:r w:rsidR="004834A0" w:rsidRPr="00076075">
        <w:t>,</w:t>
      </w:r>
      <w:r w:rsidR="00CC28D8" w:rsidRPr="00076075">
        <w:t xml:space="preserve"> including the provincial offices</w:t>
      </w:r>
      <w:r w:rsidR="00264E52" w:rsidRPr="00076075">
        <w:t>.</w:t>
      </w:r>
      <w:r w:rsidR="00436481" w:rsidRPr="00076075">
        <w:t xml:space="preserve"> The contribution from France was used for this activity.</w:t>
      </w:r>
    </w:p>
    <w:p w:rsidR="00163DA4" w:rsidRPr="00076075" w:rsidRDefault="00E31F58" w:rsidP="00ED53BC">
      <w:pPr>
        <w:pStyle w:val="Normalnumber"/>
        <w:tabs>
          <w:tab w:val="clear" w:pos="1134"/>
          <w:tab w:val="clear" w:pos="1247"/>
          <w:tab w:val="clear" w:pos="1814"/>
          <w:tab w:val="clear" w:pos="2381"/>
          <w:tab w:val="clear" w:pos="2948"/>
          <w:tab w:val="clear" w:pos="3515"/>
          <w:tab w:val="clear" w:pos="4082"/>
          <w:tab w:val="num" w:pos="624"/>
        </w:tabs>
      </w:pPr>
      <w:r w:rsidRPr="00076075">
        <w:t>T</w:t>
      </w:r>
      <w:r w:rsidR="00163DA4" w:rsidRPr="00076075">
        <w:t xml:space="preserve">he </w:t>
      </w:r>
      <w:r w:rsidR="000B157E" w:rsidRPr="00076075">
        <w:t>secretariat</w:t>
      </w:r>
      <w:r w:rsidR="00163DA4" w:rsidRPr="00076075">
        <w:t xml:space="preserve"> </w:t>
      </w:r>
      <w:r w:rsidR="007D07F0" w:rsidRPr="00ED27AF">
        <w:t>conducted an</w:t>
      </w:r>
      <w:r w:rsidR="007D07F0" w:rsidRPr="00076075">
        <w:t xml:space="preserve"> </w:t>
      </w:r>
      <w:r w:rsidR="006C121E" w:rsidRPr="00076075">
        <w:t>analysis</w:t>
      </w:r>
      <w:r w:rsidR="007D07F0" w:rsidRPr="00076075">
        <w:t xml:space="preserve"> of the Minamata Initial Assessments</w:t>
      </w:r>
      <w:r w:rsidR="00422478" w:rsidRPr="00076075">
        <w:t xml:space="preserve"> </w:t>
      </w:r>
      <w:r w:rsidR="004834A0" w:rsidRPr="00076075">
        <w:t xml:space="preserve">in </w:t>
      </w:r>
      <w:r w:rsidR="004834A0" w:rsidRPr="008B2A8D">
        <w:t>preparation for</w:t>
      </w:r>
      <w:r w:rsidR="00F451F4">
        <w:t xml:space="preserve"> </w:t>
      </w:r>
      <w:r w:rsidR="004834A0" w:rsidRPr="00076075">
        <w:t xml:space="preserve">the </w:t>
      </w:r>
      <w:r w:rsidR="00CC6367" w:rsidRPr="00076075">
        <w:t>develop</w:t>
      </w:r>
      <w:r w:rsidR="004834A0" w:rsidRPr="00076075">
        <w:t>ment of</w:t>
      </w:r>
      <w:r w:rsidR="00CC6367" w:rsidRPr="00076075">
        <w:t xml:space="preserve"> </w:t>
      </w:r>
      <w:r w:rsidR="00C42613" w:rsidRPr="00076075">
        <w:t xml:space="preserve">the </w:t>
      </w:r>
      <w:r w:rsidR="00CC6367" w:rsidRPr="000A2585">
        <w:t>capacity</w:t>
      </w:r>
      <w:r w:rsidR="004834A0" w:rsidRPr="000A2585">
        <w:t>-</w:t>
      </w:r>
      <w:r w:rsidR="00CC6367" w:rsidRPr="000A2585">
        <w:t xml:space="preserve">building and technical assistance programme </w:t>
      </w:r>
      <w:r w:rsidR="007A296C" w:rsidRPr="000A2585">
        <w:t>for 2020</w:t>
      </w:r>
      <w:r w:rsidR="00C15B01" w:rsidRPr="000A2585">
        <w:sym w:font="Symbol" w:char="F02D"/>
      </w:r>
      <w:r w:rsidR="00C15B01" w:rsidRPr="000A2585">
        <w:t>20</w:t>
      </w:r>
      <w:r w:rsidR="007A296C" w:rsidRPr="000A2585">
        <w:t xml:space="preserve">21 </w:t>
      </w:r>
      <w:r w:rsidR="006C121E" w:rsidRPr="000A2585">
        <w:t>under</w:t>
      </w:r>
      <w:r w:rsidR="00CC6367" w:rsidRPr="000A2585">
        <w:t xml:space="preserve"> the Minamata Convention. </w:t>
      </w:r>
      <w:r w:rsidR="002F16C5" w:rsidRPr="000A2585">
        <w:t xml:space="preserve">Minamata Initial Assessment reports </w:t>
      </w:r>
      <w:r w:rsidR="005E028E" w:rsidRPr="000A2585">
        <w:t xml:space="preserve">submitted to the secretariat by </w:t>
      </w:r>
      <w:r w:rsidR="004834A0" w:rsidRPr="000A2585">
        <w:t>G</w:t>
      </w:r>
      <w:r w:rsidR="005E028E" w:rsidRPr="000A2585">
        <w:t xml:space="preserve">overnments </w:t>
      </w:r>
      <w:r w:rsidR="004834A0" w:rsidRPr="000A2585">
        <w:t>and</w:t>
      </w:r>
      <w:r w:rsidR="005E028E" w:rsidRPr="000A2585">
        <w:t xml:space="preserve"> implementing agencies have been made available on the Convention website.</w:t>
      </w:r>
      <w:r w:rsidR="00A65343" w:rsidRPr="000A2585">
        <w:rPr>
          <w:rStyle w:val="FootnoteReference"/>
        </w:rPr>
        <w:footnoteReference w:id="4"/>
      </w:r>
      <w:r w:rsidR="00A72D9F" w:rsidRPr="000A2585">
        <w:t xml:space="preserve"> </w:t>
      </w:r>
      <w:r w:rsidR="007A296C" w:rsidRPr="000A2585">
        <w:t>Using</w:t>
      </w:r>
      <w:r w:rsidR="006C121E" w:rsidRPr="000A2585">
        <w:t xml:space="preserve"> the national priority</w:t>
      </w:r>
      <w:r w:rsidR="006C121E" w:rsidRPr="00076075">
        <w:t xml:space="preserve"> actions and implementation plans identified in reports received by July 2019, the secretariat developed draft activity plans to assist parties on their implementation of the Convention. The p</w:t>
      </w:r>
      <w:r w:rsidR="00552EBE" w:rsidRPr="00076075">
        <w:t>lans</w:t>
      </w:r>
      <w:r w:rsidR="006C121E" w:rsidRPr="00076075">
        <w:t xml:space="preserve"> w</w:t>
      </w:r>
      <w:r w:rsidR="00552EBE" w:rsidRPr="00076075">
        <w:t>ere</w:t>
      </w:r>
      <w:r w:rsidR="006C121E" w:rsidRPr="00076075">
        <w:t xml:space="preserve"> also developed on the basis of the needs expressed by developing countries and countries with economies in transition, in particular at the first and second meetings of the </w:t>
      </w:r>
      <w:r w:rsidR="00023CDA" w:rsidRPr="00076075">
        <w:t>Conference of the Parties</w:t>
      </w:r>
      <w:r w:rsidR="006C121E" w:rsidRPr="00076075">
        <w:t xml:space="preserve">, regional </w:t>
      </w:r>
      <w:r w:rsidR="00671575" w:rsidRPr="00076075">
        <w:t xml:space="preserve">preparatory </w:t>
      </w:r>
      <w:r w:rsidR="006C121E" w:rsidRPr="00076075">
        <w:t xml:space="preserve">meetings, through the enabling activities and </w:t>
      </w:r>
      <w:r w:rsidR="004834A0" w:rsidRPr="00076075">
        <w:t xml:space="preserve">through the </w:t>
      </w:r>
      <w:r w:rsidR="006C121E" w:rsidRPr="00076075">
        <w:t xml:space="preserve">exchange of information with </w:t>
      </w:r>
      <w:r w:rsidR="004834A0" w:rsidRPr="00076075">
        <w:t xml:space="preserve">various </w:t>
      </w:r>
      <w:r w:rsidR="006C121E" w:rsidRPr="00076075">
        <w:t>stakeholders.</w:t>
      </w:r>
      <w:r w:rsidR="00671575" w:rsidRPr="00076075">
        <w:t xml:space="preserve"> </w:t>
      </w:r>
      <w:r w:rsidR="005E028E" w:rsidRPr="00076075">
        <w:t xml:space="preserve">In addition to Minamata Initial Assessment reports, </w:t>
      </w:r>
      <w:r w:rsidR="005E028E" w:rsidRPr="00202081">
        <w:t xml:space="preserve">as </w:t>
      </w:r>
      <w:r w:rsidR="00202081">
        <w:t>at 31</w:t>
      </w:r>
      <w:r w:rsidR="00202081" w:rsidRPr="00202081">
        <w:t xml:space="preserve"> </w:t>
      </w:r>
      <w:r w:rsidR="005E028E" w:rsidRPr="00202081">
        <w:t>July 2019</w:t>
      </w:r>
      <w:r w:rsidR="00E13671" w:rsidRPr="00076075">
        <w:t>,</w:t>
      </w:r>
      <w:r w:rsidR="005E028E" w:rsidRPr="00076075">
        <w:t xml:space="preserve"> one </w:t>
      </w:r>
      <w:r w:rsidR="00C15B01" w:rsidRPr="00076075">
        <w:t>n</w:t>
      </w:r>
      <w:r w:rsidR="005E028E" w:rsidRPr="00076075">
        <w:t xml:space="preserve">ational </w:t>
      </w:r>
      <w:r w:rsidR="00C15B01" w:rsidRPr="00076075">
        <w:t>a</w:t>
      </w:r>
      <w:r w:rsidR="005E028E" w:rsidRPr="00076075">
        <w:t xml:space="preserve">ction </w:t>
      </w:r>
      <w:r w:rsidR="00C15B01" w:rsidRPr="00076075">
        <w:t>p</w:t>
      </w:r>
      <w:r w:rsidR="005E028E" w:rsidRPr="00076075">
        <w:t xml:space="preserve">lan on artisanal and small-scale gold mining and two </w:t>
      </w:r>
      <w:r w:rsidR="00C15B01" w:rsidRPr="00076075">
        <w:t>n</w:t>
      </w:r>
      <w:r w:rsidR="005E028E" w:rsidRPr="00076075">
        <w:t xml:space="preserve">ational </w:t>
      </w:r>
      <w:r w:rsidR="00C15B01" w:rsidRPr="00076075">
        <w:t>i</w:t>
      </w:r>
      <w:r w:rsidR="005E028E" w:rsidRPr="00076075">
        <w:t xml:space="preserve">mplementation </w:t>
      </w:r>
      <w:r w:rsidR="00C15B01" w:rsidRPr="00076075">
        <w:t>p</w:t>
      </w:r>
      <w:r w:rsidR="005E028E" w:rsidRPr="00076075">
        <w:t>lans ha</w:t>
      </w:r>
      <w:r w:rsidR="004834A0" w:rsidRPr="00076075">
        <w:t>d</w:t>
      </w:r>
      <w:r w:rsidR="005E028E" w:rsidRPr="00076075">
        <w:t xml:space="preserve"> been submitted pursuant to paragraph 3 of article 7 and paragraph 1 of article 20</w:t>
      </w:r>
      <w:r w:rsidR="00C15B01" w:rsidRPr="00076075">
        <w:t>,</w:t>
      </w:r>
      <w:r w:rsidR="005E028E" w:rsidRPr="00076075">
        <w:t xml:space="preserve"> </w:t>
      </w:r>
      <w:r w:rsidR="005E028E" w:rsidRPr="000A2585">
        <w:t xml:space="preserve">respectively, </w:t>
      </w:r>
      <w:r w:rsidR="005E028E" w:rsidRPr="00202081">
        <w:t>which have also been made available on the Convention website</w:t>
      </w:r>
      <w:r w:rsidR="00202081">
        <w:t>.</w:t>
      </w:r>
      <w:r w:rsidR="00202081">
        <w:rPr>
          <w:rStyle w:val="FootnoteReference"/>
        </w:rPr>
        <w:footnoteReference w:id="5"/>
      </w:r>
      <w:r w:rsidR="005E028E" w:rsidRPr="000A2585">
        <w:t xml:space="preserve"> </w:t>
      </w:r>
      <w:r w:rsidR="00671575" w:rsidRPr="000A2585">
        <w:t>The</w:t>
      </w:r>
      <w:r w:rsidR="00671575" w:rsidRPr="00076075">
        <w:t xml:space="preserve"> </w:t>
      </w:r>
      <w:r w:rsidR="005E028E" w:rsidRPr="00076075">
        <w:t xml:space="preserve">analysis </w:t>
      </w:r>
      <w:r w:rsidR="00671575" w:rsidRPr="00076075">
        <w:t xml:space="preserve">will be further refined </w:t>
      </w:r>
      <w:r w:rsidR="006973E7" w:rsidRPr="00076075">
        <w:t xml:space="preserve">as more </w:t>
      </w:r>
      <w:r w:rsidR="005E028E" w:rsidRPr="00076075">
        <w:t>assessments and plans</w:t>
      </w:r>
      <w:r w:rsidR="006973E7" w:rsidRPr="00076075">
        <w:t xml:space="preserve"> become available.</w:t>
      </w:r>
    </w:p>
    <w:p w:rsidR="00613A98" w:rsidRPr="00076075" w:rsidRDefault="00613A98" w:rsidP="00ED53BC">
      <w:pPr>
        <w:pStyle w:val="Normalnumber"/>
        <w:tabs>
          <w:tab w:val="clear" w:pos="1134"/>
          <w:tab w:val="clear" w:pos="1247"/>
          <w:tab w:val="clear" w:pos="1814"/>
          <w:tab w:val="clear" w:pos="2381"/>
          <w:tab w:val="clear" w:pos="2948"/>
          <w:tab w:val="clear" w:pos="3515"/>
          <w:tab w:val="clear" w:pos="4082"/>
          <w:tab w:val="num" w:pos="624"/>
        </w:tabs>
      </w:pPr>
      <w:r w:rsidRPr="00076075">
        <w:rPr>
          <w:lang w:eastAsia="zh-CN"/>
        </w:rPr>
        <w:t xml:space="preserve">A representative from the secretariat attended </w:t>
      </w:r>
      <w:r w:rsidRPr="00076075">
        <w:t xml:space="preserve">the inception meeting </w:t>
      </w:r>
      <w:r w:rsidR="004834A0" w:rsidRPr="00076075">
        <w:t>for the third phase of</w:t>
      </w:r>
      <w:r w:rsidRPr="00076075">
        <w:t xml:space="preserve"> the Africa, Caribbean and Pacific </w:t>
      </w:r>
      <w:r w:rsidR="0046742E" w:rsidRPr="00076075">
        <w:t xml:space="preserve">Multilateral Environment Agreements </w:t>
      </w:r>
      <w:r w:rsidRPr="00076075">
        <w:t>Programme</w:t>
      </w:r>
      <w:r w:rsidR="00552EBE" w:rsidRPr="00076075">
        <w:t xml:space="preserve">, funded by the European </w:t>
      </w:r>
      <w:r w:rsidR="001636CA" w:rsidRPr="00076075">
        <w:t>Commission</w:t>
      </w:r>
      <w:r w:rsidRPr="00076075">
        <w:t xml:space="preserve">. The programme includes activities to support the implementation of the Minamata Convention in the </w:t>
      </w:r>
      <w:r w:rsidR="0046742E" w:rsidRPr="00076075">
        <w:t>Africa, Caribbean and Pacific</w:t>
      </w:r>
      <w:r w:rsidRPr="00076075">
        <w:t xml:space="preserve"> countries, focused on increasing the number of </w:t>
      </w:r>
      <w:r w:rsidR="0046742E" w:rsidRPr="00076075">
        <w:t>p</w:t>
      </w:r>
      <w:r w:rsidRPr="00076075">
        <w:t>arties to the Convention, conducting baseline assessments</w:t>
      </w:r>
      <w:r w:rsidR="0046742E" w:rsidRPr="00076075">
        <w:t xml:space="preserve"> and</w:t>
      </w:r>
      <w:r w:rsidRPr="00076075">
        <w:t xml:space="preserve"> responding to specific capacity-building requests from countries. The secretariat will be involved in the implementation of these activities, as appropriate.</w:t>
      </w:r>
    </w:p>
    <w:p w:rsidR="00613A98" w:rsidRPr="00076075" w:rsidRDefault="00E15579" w:rsidP="00ED53BC">
      <w:pPr>
        <w:pStyle w:val="Normalnumber"/>
        <w:tabs>
          <w:tab w:val="clear" w:pos="1134"/>
          <w:tab w:val="clear" w:pos="1247"/>
          <w:tab w:val="clear" w:pos="1814"/>
          <w:tab w:val="clear" w:pos="2381"/>
          <w:tab w:val="clear" w:pos="2948"/>
          <w:tab w:val="clear" w:pos="3515"/>
          <w:tab w:val="clear" w:pos="4082"/>
          <w:tab w:val="num" w:pos="624"/>
        </w:tabs>
        <w:rPr>
          <w:lang w:eastAsia="zh-CN"/>
        </w:rPr>
      </w:pPr>
      <w:r w:rsidRPr="00076075">
        <w:rPr>
          <w:lang w:eastAsia="zh-CN"/>
        </w:rPr>
        <w:t>UNEP</w:t>
      </w:r>
      <w:r w:rsidR="00436481" w:rsidRPr="00076075">
        <w:rPr>
          <w:lang w:eastAsia="zh-CN"/>
        </w:rPr>
        <w:t xml:space="preserve"> </w:t>
      </w:r>
      <w:r w:rsidR="00F3209F" w:rsidRPr="00076075">
        <w:rPr>
          <w:lang w:eastAsia="zh-CN"/>
        </w:rPr>
        <w:t xml:space="preserve">is currently </w:t>
      </w:r>
      <w:r w:rsidR="00436481" w:rsidRPr="00076075">
        <w:rPr>
          <w:lang w:eastAsia="zh-CN"/>
        </w:rPr>
        <w:t>implement</w:t>
      </w:r>
      <w:r w:rsidR="00F3209F" w:rsidRPr="00076075">
        <w:rPr>
          <w:lang w:eastAsia="zh-CN"/>
        </w:rPr>
        <w:t>ing</w:t>
      </w:r>
      <w:r w:rsidR="00436481" w:rsidRPr="00076075">
        <w:rPr>
          <w:lang w:eastAsia="zh-CN"/>
        </w:rPr>
        <w:t xml:space="preserve"> a project to support countries in Asia in the implementation of multilateral environmental agreements and the sound management of chemicals, funded by China. This includes a component to address emissions of mercury. A representative from the secretariat </w:t>
      </w:r>
      <w:r w:rsidR="00436481" w:rsidRPr="00076075">
        <w:t>participated</w:t>
      </w:r>
      <w:r w:rsidR="00436481" w:rsidRPr="00076075">
        <w:rPr>
          <w:lang w:eastAsia="zh-CN"/>
        </w:rPr>
        <w:t xml:space="preserve"> in the inception workshop for this project</w:t>
      </w:r>
      <w:r w:rsidR="0046742E" w:rsidRPr="00076075">
        <w:rPr>
          <w:lang w:eastAsia="zh-CN"/>
        </w:rPr>
        <w:t>,</w:t>
      </w:r>
      <w:r w:rsidR="00436481" w:rsidRPr="00076075">
        <w:rPr>
          <w:lang w:eastAsia="zh-CN"/>
        </w:rPr>
        <w:t xml:space="preserve"> held in Beijing </w:t>
      </w:r>
      <w:r w:rsidR="00124DEF" w:rsidRPr="00076075">
        <w:rPr>
          <w:lang w:eastAsia="zh-CN"/>
        </w:rPr>
        <w:t xml:space="preserve">on 12 and </w:t>
      </w:r>
      <w:r w:rsidR="00F338A2" w:rsidRPr="00076075">
        <w:rPr>
          <w:lang w:eastAsia="zh-CN"/>
        </w:rPr>
        <w:t>13 June 2019</w:t>
      </w:r>
      <w:r w:rsidR="00552EBE" w:rsidRPr="00076075">
        <w:rPr>
          <w:lang w:eastAsia="zh-CN"/>
        </w:rPr>
        <w:t>,</w:t>
      </w:r>
      <w:r w:rsidR="00F338A2" w:rsidRPr="00076075">
        <w:rPr>
          <w:lang w:eastAsia="zh-CN"/>
        </w:rPr>
        <w:t xml:space="preserve"> and</w:t>
      </w:r>
      <w:r w:rsidR="00124DEF" w:rsidRPr="00076075">
        <w:rPr>
          <w:lang w:eastAsia="zh-CN"/>
        </w:rPr>
        <w:t xml:space="preserve"> contributed to the development of the project.</w:t>
      </w:r>
    </w:p>
    <w:p w:rsidR="008731DD" w:rsidRPr="001951BA" w:rsidRDefault="008731DD" w:rsidP="00ED53BC">
      <w:pPr>
        <w:pStyle w:val="Normalnumber"/>
        <w:tabs>
          <w:tab w:val="clear" w:pos="1134"/>
          <w:tab w:val="clear" w:pos="1247"/>
          <w:tab w:val="clear" w:pos="1814"/>
          <w:tab w:val="clear" w:pos="2381"/>
          <w:tab w:val="clear" w:pos="2948"/>
          <w:tab w:val="clear" w:pos="3515"/>
          <w:tab w:val="clear" w:pos="4082"/>
          <w:tab w:val="num" w:pos="624"/>
        </w:tabs>
      </w:pPr>
      <w:r w:rsidRPr="00076075">
        <w:lastRenderedPageBreak/>
        <w:t xml:space="preserve">In the Asia-Pacific </w:t>
      </w:r>
      <w:r w:rsidRPr="001951BA">
        <w:t>region, the secretariat coordinate</w:t>
      </w:r>
      <w:r w:rsidR="00552EBE" w:rsidRPr="001951BA">
        <w:t>s</w:t>
      </w:r>
      <w:r w:rsidRPr="001951BA">
        <w:t xml:space="preserve"> with the UNEP Office for Asia and the Pacific regarding a multi-year project funded by Japan </w:t>
      </w:r>
      <w:r w:rsidR="001951BA" w:rsidRPr="001951BA">
        <w:t>en</w:t>
      </w:r>
      <w:r w:rsidRPr="001951BA">
        <w:t>titled “</w:t>
      </w:r>
      <w:r w:rsidR="0046742E" w:rsidRPr="001951BA">
        <w:t>P</w:t>
      </w:r>
      <w:r w:rsidRPr="001951BA">
        <w:t xml:space="preserve">romoting the </w:t>
      </w:r>
      <w:proofErr w:type="spellStart"/>
      <w:r w:rsidRPr="001951BA">
        <w:t>Minamata</w:t>
      </w:r>
      <w:proofErr w:type="spellEnd"/>
      <w:r w:rsidRPr="001951BA">
        <w:t xml:space="preserve"> Convention on Mercury by making the most of Japan’s knowledge and experience</w:t>
      </w:r>
      <w:r w:rsidR="0046742E" w:rsidRPr="001951BA">
        <w:t>”</w:t>
      </w:r>
      <w:r w:rsidRPr="001951BA">
        <w:t>. The Executive Secretary of the secretariat of the Minamata Convention will attend the inception workshop of the project</w:t>
      </w:r>
      <w:r w:rsidR="0046742E" w:rsidRPr="001951BA">
        <w:t>,</w:t>
      </w:r>
      <w:r w:rsidRPr="001951BA">
        <w:t xml:space="preserve"> scheduled to take place in Minamata City </w:t>
      </w:r>
      <w:r w:rsidR="00C15B01" w:rsidRPr="001951BA">
        <w:t>from</w:t>
      </w:r>
      <w:r w:rsidRPr="001951BA">
        <w:t xml:space="preserve"> 2</w:t>
      </w:r>
      <w:r w:rsidR="00C15B01" w:rsidRPr="001951BA">
        <w:t xml:space="preserve"> to </w:t>
      </w:r>
      <w:r w:rsidRPr="001951BA">
        <w:t>4 September 2019.</w:t>
      </w:r>
    </w:p>
    <w:p w:rsidR="00613A98" w:rsidRPr="001951BA" w:rsidRDefault="00613A98"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In relation to financial resources and the financial mechanism, the secretariat has been engaging closely with the GEF secretariat on matters related </w:t>
      </w:r>
      <w:r w:rsidR="0046742E" w:rsidRPr="001951BA">
        <w:t xml:space="preserve">to </w:t>
      </w:r>
      <w:r w:rsidRPr="001951BA">
        <w:t xml:space="preserve">the financial mechanism of the Convention. The Executive Secretary attended the </w:t>
      </w:r>
      <w:r w:rsidR="003068E0" w:rsidRPr="001951BA">
        <w:t xml:space="preserve">fifty-fifth </w:t>
      </w:r>
      <w:r w:rsidR="00947112" w:rsidRPr="001951BA">
        <w:t>meeting (18</w:t>
      </w:r>
      <w:r w:rsidR="003068E0" w:rsidRPr="001951BA">
        <w:sym w:font="Symbol" w:char="F02D"/>
      </w:r>
      <w:r w:rsidR="00947112" w:rsidRPr="001951BA">
        <w:t xml:space="preserve">20 December 2018) </w:t>
      </w:r>
      <w:r w:rsidRPr="001951BA">
        <w:t xml:space="preserve">and </w:t>
      </w:r>
      <w:r w:rsidR="003068E0" w:rsidRPr="001951BA">
        <w:t>fifty-sixth</w:t>
      </w:r>
      <w:r w:rsidR="00DA1BAF" w:rsidRPr="001951BA">
        <w:t xml:space="preserve"> meeting (10</w:t>
      </w:r>
      <w:r w:rsidR="003068E0" w:rsidRPr="001951BA">
        <w:sym w:font="Symbol" w:char="F02D"/>
      </w:r>
      <w:r w:rsidR="00DA1BAF" w:rsidRPr="001951BA">
        <w:t xml:space="preserve">13 June </w:t>
      </w:r>
      <w:r w:rsidRPr="001951BA">
        <w:t>2019</w:t>
      </w:r>
      <w:r w:rsidR="00DA1BAF" w:rsidRPr="001951BA">
        <w:t>)</w:t>
      </w:r>
      <w:r w:rsidR="003068E0" w:rsidRPr="001951BA">
        <w:t xml:space="preserve"> of the GEF Council</w:t>
      </w:r>
      <w:r w:rsidRPr="001951BA">
        <w:t xml:space="preserve"> </w:t>
      </w:r>
      <w:r w:rsidR="00493C8B" w:rsidRPr="001951BA">
        <w:t xml:space="preserve">and </w:t>
      </w:r>
      <w:r w:rsidRPr="001951BA">
        <w:t>engag</w:t>
      </w:r>
      <w:r w:rsidR="00493C8B" w:rsidRPr="001951BA">
        <w:t>ed</w:t>
      </w:r>
      <w:r w:rsidRPr="001951BA">
        <w:t xml:space="preserve"> with delegates, address</w:t>
      </w:r>
      <w:r w:rsidR="00493C8B" w:rsidRPr="001951BA">
        <w:t>ed</w:t>
      </w:r>
      <w:r w:rsidRPr="001951BA">
        <w:t xml:space="preserve"> the Council</w:t>
      </w:r>
      <w:r w:rsidR="00493C8B" w:rsidRPr="001951BA">
        <w:t xml:space="preserve"> and participated in various panels</w:t>
      </w:r>
      <w:r w:rsidRPr="001951BA">
        <w:t xml:space="preserve">. </w:t>
      </w:r>
      <w:r w:rsidR="00DA1BAF" w:rsidRPr="001951BA">
        <w:t xml:space="preserve">The </w:t>
      </w:r>
      <w:r w:rsidR="003068E0" w:rsidRPr="001951BA">
        <w:t>Council approved the m</w:t>
      </w:r>
      <w:r w:rsidR="00DA1BAF" w:rsidRPr="001951BA">
        <w:t xml:space="preserve">emorandum of </w:t>
      </w:r>
      <w:r w:rsidR="003068E0" w:rsidRPr="001951BA">
        <w:t>u</w:t>
      </w:r>
      <w:r w:rsidR="00DA1BAF" w:rsidRPr="001951BA">
        <w:t xml:space="preserve">nderstanding </w:t>
      </w:r>
      <w:r w:rsidR="00493C8B" w:rsidRPr="001951BA">
        <w:t>between the GEF</w:t>
      </w:r>
      <w:r w:rsidR="00552EBE" w:rsidRPr="001951BA">
        <w:t xml:space="preserve"> Council</w:t>
      </w:r>
      <w:r w:rsidR="00493C8B" w:rsidRPr="001951BA">
        <w:t xml:space="preserve"> and the Conference of the Parties </w:t>
      </w:r>
      <w:r w:rsidR="00DA1BAF" w:rsidRPr="001951BA">
        <w:t xml:space="preserve">at its </w:t>
      </w:r>
      <w:r w:rsidR="003068E0" w:rsidRPr="001951BA">
        <w:t>fifth-sixth</w:t>
      </w:r>
      <w:r w:rsidR="00493C8B" w:rsidRPr="001951BA">
        <w:t xml:space="preserve"> </w:t>
      </w:r>
      <w:r w:rsidR="00DA1BAF" w:rsidRPr="001951BA">
        <w:t xml:space="preserve">meeting. </w:t>
      </w:r>
      <w:r w:rsidRPr="001951BA">
        <w:t>The Executive Secretary also took part in the launch of the GEF Global Opportunities for Long-term Development of the Artisanal and Small-Scale Gold Mining Sector (GOLD) programme</w:t>
      </w:r>
      <w:r w:rsidR="00DA1BAF" w:rsidRPr="001951BA">
        <w:t xml:space="preserve"> in London in February 2019</w:t>
      </w:r>
      <w:r w:rsidRPr="001951BA">
        <w:t>.</w:t>
      </w:r>
    </w:p>
    <w:p w:rsidR="00613A98" w:rsidRPr="001951BA" w:rsidRDefault="00613A98"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As part of its support to the Specific International Programme, the secretariat supported the Governing Board </w:t>
      </w:r>
      <w:r w:rsidR="0046742E" w:rsidRPr="001951BA">
        <w:t xml:space="preserve">of the Specific International Programme </w:t>
      </w:r>
      <w:r w:rsidRPr="001951BA">
        <w:t>in launching the second round of applications. The secretariat called for feedback on the first round of applications to the Specific International Programme and</w:t>
      </w:r>
      <w:r w:rsidR="00863034" w:rsidRPr="001951BA">
        <w:t>,</w:t>
      </w:r>
      <w:r w:rsidRPr="001951BA">
        <w:t xml:space="preserve"> based on the instructions of the Governing Board, revised the application guidelines and forms. The second round was launched on 5 March 2019. After the closure of the application period on 14 June 2019, the secretariat reviewed the applications received</w:t>
      </w:r>
      <w:r w:rsidR="00BD4CF2" w:rsidRPr="001951BA">
        <w:t xml:space="preserve"> for completeness</w:t>
      </w:r>
      <w:r w:rsidRPr="001951BA">
        <w:t xml:space="preserve">, undertook a first appraisal against the criteria adopted by the Governing Board and prepared the relevant documentation for the </w:t>
      </w:r>
      <w:r w:rsidR="00724AE3" w:rsidRPr="001951BA">
        <w:t>fourth</w:t>
      </w:r>
      <w:r w:rsidRPr="001951BA">
        <w:t xml:space="preserve"> meeting of the Governing Board, to be held in Washington between 16 and 18 September 2019</w:t>
      </w:r>
      <w:r w:rsidR="00BD4CF2" w:rsidRPr="001951BA">
        <w:t>, organized by the Convention secretariat and</w:t>
      </w:r>
      <w:r w:rsidRPr="001951BA">
        <w:t xml:space="preserve"> </w:t>
      </w:r>
      <w:r w:rsidR="00DA1BAF" w:rsidRPr="001951BA">
        <w:t xml:space="preserve">hosted by the </w:t>
      </w:r>
      <w:r w:rsidR="00016905" w:rsidRPr="001951BA">
        <w:t xml:space="preserve">GEF </w:t>
      </w:r>
      <w:r w:rsidR="00DA1BAF" w:rsidRPr="001951BA">
        <w:t>secretariat</w:t>
      </w:r>
      <w:r w:rsidRPr="001951BA">
        <w:t xml:space="preserve">. </w:t>
      </w:r>
      <w:r w:rsidR="00724AE3" w:rsidRPr="001951BA">
        <w:t xml:space="preserve">The Governing Board will review the project applications and approve a number of projects </w:t>
      </w:r>
      <w:r w:rsidR="00BD4CF2" w:rsidRPr="001951BA">
        <w:t>in accordance with the available</w:t>
      </w:r>
      <w:r w:rsidR="00724AE3" w:rsidRPr="001951BA">
        <w:t xml:space="preserve"> funding. </w:t>
      </w:r>
      <w:r w:rsidRPr="001951BA">
        <w:t xml:space="preserve">It is important to mention that </w:t>
      </w:r>
      <w:r w:rsidR="00724AE3" w:rsidRPr="001951BA">
        <w:t>contributions</w:t>
      </w:r>
      <w:r w:rsidRPr="001951BA">
        <w:t xml:space="preserve"> to the </w:t>
      </w:r>
      <w:r w:rsidR="00BD4CF2" w:rsidRPr="001951BA">
        <w:t xml:space="preserve">Specific International </w:t>
      </w:r>
      <w:r w:rsidRPr="001951BA">
        <w:t>Programme doubled between the first and second round, an important indicator of donor trust and interest.</w:t>
      </w:r>
    </w:p>
    <w:p w:rsidR="00065F1D" w:rsidRPr="001951BA" w:rsidRDefault="00065F1D"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Following an analysis of the practices and tools </w:t>
      </w:r>
      <w:r w:rsidR="00BD4CF2" w:rsidRPr="001951BA">
        <w:t xml:space="preserve">used </w:t>
      </w:r>
      <w:r w:rsidRPr="001951BA">
        <w:t xml:space="preserve">by various conventions for online reporting, the secretariat is working with </w:t>
      </w:r>
      <w:r w:rsidR="00BD4CF2" w:rsidRPr="001951BA">
        <w:t>the United Nations Information Portal on Multilateral Environmental Agreements (</w:t>
      </w:r>
      <w:proofErr w:type="spellStart"/>
      <w:r w:rsidRPr="001951BA">
        <w:t>InforMEA</w:t>
      </w:r>
      <w:proofErr w:type="spellEnd"/>
      <w:r w:rsidR="00BD4CF2" w:rsidRPr="001951BA">
        <w:t>)</w:t>
      </w:r>
      <w:r w:rsidRPr="001951BA">
        <w:t xml:space="preserve"> and the secretariat of the Convention on Biological Diversity </w:t>
      </w:r>
      <w:r w:rsidR="00BD4CF2" w:rsidRPr="001951BA">
        <w:t xml:space="preserve">on </w:t>
      </w:r>
      <w:r w:rsidRPr="001951BA">
        <w:t xml:space="preserve">the development of an online reporting tool for the Minamata Convention, which </w:t>
      </w:r>
      <w:r w:rsidR="00BD4CF2" w:rsidRPr="001951BA">
        <w:t>should</w:t>
      </w:r>
      <w:r w:rsidRPr="001951BA">
        <w:t xml:space="preserve"> be ready for use by the </w:t>
      </w:r>
      <w:r w:rsidR="00BD4CF2" w:rsidRPr="001951BA">
        <w:t>p</w:t>
      </w:r>
      <w:r w:rsidRPr="001951BA">
        <w:t>arties for the first biennial short report, due by 31 December 2019.</w:t>
      </w:r>
    </w:p>
    <w:p w:rsidR="00065F1D" w:rsidRPr="001951BA" w:rsidRDefault="00065F1D"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secretariat is also updating the Minamata Convention text booklets in the six official languages of the United Nations and reprinting the guidance on developing a national action plan to reduce and, where feasible, eliminate mercury use in artisanal and small-scale gold mining. </w:t>
      </w:r>
    </w:p>
    <w:p w:rsidR="00163DA4" w:rsidRPr="001951BA" w:rsidRDefault="00163DA4" w:rsidP="00116AF5">
      <w:pPr>
        <w:pStyle w:val="CH1"/>
      </w:pPr>
      <w:r w:rsidRPr="001951BA">
        <w:tab/>
        <w:t>V.</w:t>
      </w:r>
      <w:r w:rsidRPr="001951BA">
        <w:tab/>
        <w:t>Other activities undertaken by the secretariat</w:t>
      </w:r>
    </w:p>
    <w:p w:rsidR="00163DA4" w:rsidRPr="001951BA" w:rsidRDefault="00724AE3" w:rsidP="00ED53BC">
      <w:pPr>
        <w:pStyle w:val="Normalnumber"/>
        <w:tabs>
          <w:tab w:val="clear" w:pos="1134"/>
          <w:tab w:val="clear" w:pos="1247"/>
          <w:tab w:val="clear" w:pos="1814"/>
          <w:tab w:val="clear" w:pos="2381"/>
          <w:tab w:val="clear" w:pos="2948"/>
          <w:tab w:val="clear" w:pos="3515"/>
          <w:tab w:val="clear" w:pos="4082"/>
          <w:tab w:val="num" w:pos="624"/>
        </w:tabs>
      </w:pPr>
      <w:r w:rsidRPr="001951BA">
        <w:t>As referred to in paragraph 29 above, t</w:t>
      </w:r>
      <w:r w:rsidR="00163DA4" w:rsidRPr="001951BA">
        <w:t xml:space="preserve">he </w:t>
      </w:r>
      <w:r w:rsidR="000B157E" w:rsidRPr="001951BA">
        <w:t>secretariat</w:t>
      </w:r>
      <w:r w:rsidR="00163DA4" w:rsidRPr="001951BA">
        <w:t xml:space="preserve"> has been engaging closely with the </w:t>
      </w:r>
      <w:r w:rsidR="00016905" w:rsidRPr="001951BA">
        <w:t xml:space="preserve">GEF </w:t>
      </w:r>
      <w:r w:rsidR="00163DA4" w:rsidRPr="001951BA">
        <w:t>secretariat and its constituencies</w:t>
      </w:r>
      <w:r w:rsidR="00025A6E" w:rsidRPr="001951BA">
        <w:t xml:space="preserve"> </w:t>
      </w:r>
      <w:r w:rsidR="00163DA4" w:rsidRPr="001951BA">
        <w:t xml:space="preserve">to </w:t>
      </w:r>
      <w:r w:rsidR="009E2608" w:rsidRPr="001951BA">
        <w:t xml:space="preserve">remain </w:t>
      </w:r>
      <w:r w:rsidR="00163DA4" w:rsidRPr="001951BA">
        <w:t>abreast of policy directions and</w:t>
      </w:r>
      <w:r w:rsidR="009E2608" w:rsidRPr="001951BA">
        <w:t>,</w:t>
      </w:r>
      <w:r w:rsidR="00163DA4" w:rsidRPr="001951BA">
        <w:t xml:space="preserve"> where necessary</w:t>
      </w:r>
      <w:r w:rsidR="009E2608" w:rsidRPr="001951BA">
        <w:t>,</w:t>
      </w:r>
      <w:r w:rsidR="00163DA4" w:rsidRPr="001951BA">
        <w:t xml:space="preserve"> contribute to discussions, especially with regard to impact programming. </w:t>
      </w:r>
    </w:p>
    <w:p w:rsidR="007F14C7" w:rsidRPr="001951BA"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w:t>
      </w:r>
      <w:r w:rsidR="000B157E" w:rsidRPr="001951BA">
        <w:t>secretariat</w:t>
      </w:r>
      <w:r w:rsidRPr="001951BA">
        <w:t xml:space="preserve"> has taken part in </w:t>
      </w:r>
      <w:proofErr w:type="gramStart"/>
      <w:r w:rsidRPr="001951BA">
        <w:t>a number of</w:t>
      </w:r>
      <w:proofErr w:type="gramEnd"/>
      <w:r w:rsidRPr="001951BA">
        <w:t xml:space="preserve"> processes</w:t>
      </w:r>
      <w:r w:rsidR="00BD4CF2" w:rsidRPr="001951BA">
        <w:t>,</w:t>
      </w:r>
      <w:r w:rsidRPr="001951BA">
        <w:t xml:space="preserve"> </w:t>
      </w:r>
      <w:r w:rsidR="009E2608" w:rsidRPr="001951BA">
        <w:t xml:space="preserve">together </w:t>
      </w:r>
      <w:r w:rsidRPr="001951BA">
        <w:t xml:space="preserve">with the </w:t>
      </w:r>
      <w:r w:rsidR="00E15579" w:rsidRPr="001951BA">
        <w:t xml:space="preserve">UNEP </w:t>
      </w:r>
      <w:r w:rsidRPr="001951BA">
        <w:t xml:space="preserve">Chemicals and Health Branch, the </w:t>
      </w:r>
      <w:r w:rsidR="005F6F0C" w:rsidRPr="001951BA">
        <w:t>S</w:t>
      </w:r>
      <w:r w:rsidR="009E2608" w:rsidRPr="001951BA">
        <w:t xml:space="preserve">ecretariat of the </w:t>
      </w:r>
      <w:r w:rsidRPr="001951BA">
        <w:t xml:space="preserve">Basel, Rotterdam and Stockholm </w:t>
      </w:r>
      <w:r w:rsidR="009E2608" w:rsidRPr="001951BA">
        <w:t>C</w:t>
      </w:r>
      <w:r w:rsidRPr="001951BA">
        <w:t xml:space="preserve">onventions and the </w:t>
      </w:r>
      <w:r w:rsidR="00E15579" w:rsidRPr="001951BA">
        <w:t xml:space="preserve">SAICM </w:t>
      </w:r>
      <w:r w:rsidRPr="001951BA">
        <w:t>secretariat</w:t>
      </w:r>
      <w:r w:rsidR="007F14C7" w:rsidRPr="001951BA">
        <w:t xml:space="preserve">. </w:t>
      </w:r>
      <w:r w:rsidR="00CC6D88" w:rsidRPr="001951BA">
        <w:t>This</w:t>
      </w:r>
      <w:r w:rsidRPr="001951BA">
        <w:t xml:space="preserve"> includ</w:t>
      </w:r>
      <w:r w:rsidR="00CC6D88" w:rsidRPr="001951BA">
        <w:t>es</w:t>
      </w:r>
      <w:r w:rsidRPr="001951BA">
        <w:t xml:space="preserve"> the review of projects submitted under the Special Programme to support institutional strengthening at the national level for implementation of the Basel, Rotterdam and Stockholm </w:t>
      </w:r>
      <w:r w:rsidR="00E15579" w:rsidRPr="001951BA">
        <w:t>C</w:t>
      </w:r>
      <w:r w:rsidRPr="001951BA">
        <w:t xml:space="preserve">onventions, the </w:t>
      </w:r>
      <w:proofErr w:type="spellStart"/>
      <w:r w:rsidRPr="001951BA">
        <w:t>Minamata</w:t>
      </w:r>
      <w:proofErr w:type="spellEnd"/>
      <w:r w:rsidRPr="001951BA">
        <w:t xml:space="preserve"> Convention and </w:t>
      </w:r>
      <w:r w:rsidR="005F6F0C" w:rsidRPr="001951BA">
        <w:t>the Strategic Approach to International Chemicals Management</w:t>
      </w:r>
      <w:r w:rsidRPr="001951BA">
        <w:t xml:space="preserve">. </w:t>
      </w:r>
      <w:r w:rsidR="007F14C7" w:rsidRPr="001951BA">
        <w:t>A representative of the secretariat also attended the fourth meeting of the Executive Board of the Special Programme</w:t>
      </w:r>
      <w:r w:rsidR="00016905" w:rsidRPr="001951BA">
        <w:t>, held</w:t>
      </w:r>
      <w:r w:rsidR="007F14C7" w:rsidRPr="001951BA">
        <w:t xml:space="preserve"> in Geneva </w:t>
      </w:r>
      <w:r w:rsidR="00E15579" w:rsidRPr="001951BA">
        <w:t xml:space="preserve">from </w:t>
      </w:r>
      <w:r w:rsidR="007F14C7" w:rsidRPr="001951BA">
        <w:t xml:space="preserve">29 </w:t>
      </w:r>
      <w:r w:rsidR="00E15579" w:rsidRPr="001951BA">
        <w:t xml:space="preserve">to </w:t>
      </w:r>
      <w:r w:rsidR="007F14C7" w:rsidRPr="001951BA">
        <w:t>31 January 2019.</w:t>
      </w:r>
    </w:p>
    <w:p w:rsidR="00163DA4" w:rsidRPr="001951BA" w:rsidRDefault="009E2608"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w:t>
      </w:r>
      <w:r w:rsidR="000B157E" w:rsidRPr="001951BA">
        <w:t>secretariat</w:t>
      </w:r>
      <w:r w:rsidRPr="001951BA">
        <w:t xml:space="preserve"> </w:t>
      </w:r>
      <w:r w:rsidR="00BD4CF2" w:rsidRPr="001951BA">
        <w:t>provided</w:t>
      </w:r>
      <w:r w:rsidRPr="001951BA">
        <w:t xml:space="preserve"> </w:t>
      </w:r>
      <w:r w:rsidR="00163DA4" w:rsidRPr="001951BA">
        <w:t xml:space="preserve">the </w:t>
      </w:r>
      <w:r w:rsidRPr="001951BA">
        <w:t>b</w:t>
      </w:r>
      <w:r w:rsidR="00163DA4" w:rsidRPr="001951BA">
        <w:t xml:space="preserve">ureaux of the Basel, Rotterdam and Stockholm </w:t>
      </w:r>
      <w:r w:rsidR="005F6F0C" w:rsidRPr="001951BA">
        <w:t>c</w:t>
      </w:r>
      <w:r w:rsidR="00163DA4" w:rsidRPr="001951BA">
        <w:t xml:space="preserve">onventions </w:t>
      </w:r>
      <w:r w:rsidR="00BD4CF2" w:rsidRPr="001951BA">
        <w:t xml:space="preserve">with an update </w:t>
      </w:r>
      <w:r w:rsidR="00163DA4" w:rsidRPr="001951BA">
        <w:t xml:space="preserve">on progress in </w:t>
      </w:r>
      <w:r w:rsidRPr="001951BA">
        <w:t xml:space="preserve">the </w:t>
      </w:r>
      <w:r w:rsidR="00163DA4" w:rsidRPr="001951BA">
        <w:t>implement</w:t>
      </w:r>
      <w:r w:rsidRPr="001951BA">
        <w:t>ation of</w:t>
      </w:r>
      <w:r w:rsidR="00163DA4" w:rsidRPr="001951BA">
        <w:t xml:space="preserve"> the Minamata Convention, at the invitation of </w:t>
      </w:r>
      <w:r w:rsidRPr="001951BA">
        <w:t>the b</w:t>
      </w:r>
      <w:r w:rsidR="00163DA4" w:rsidRPr="001951BA">
        <w:t xml:space="preserve">ureaux. </w:t>
      </w:r>
      <w:r w:rsidR="001A0D41" w:rsidRPr="001951BA">
        <w:t xml:space="preserve">The secretariat also </w:t>
      </w:r>
      <w:r w:rsidR="00BD4CF2" w:rsidRPr="001951BA">
        <w:t>reported</w:t>
      </w:r>
      <w:r w:rsidR="00DA67E1" w:rsidRPr="001951BA">
        <w:t xml:space="preserve"> on the </w:t>
      </w:r>
      <w:r w:rsidR="00BD4CF2" w:rsidRPr="001951BA">
        <w:t xml:space="preserve">implementation of the </w:t>
      </w:r>
      <w:r w:rsidR="00DA67E1" w:rsidRPr="001951BA">
        <w:t>Minamata Convention at</w:t>
      </w:r>
      <w:r w:rsidR="001A0D41" w:rsidRPr="001951BA">
        <w:t xml:space="preserve"> </w:t>
      </w:r>
      <w:r w:rsidR="00DA67E1" w:rsidRPr="001951BA">
        <w:t xml:space="preserve">all </w:t>
      </w:r>
      <w:r w:rsidR="001A0D41" w:rsidRPr="001951BA">
        <w:t xml:space="preserve">the </w:t>
      </w:r>
      <w:r w:rsidR="00317AED" w:rsidRPr="001951BA">
        <w:t xml:space="preserve">regional preparatory meetings for the 2019 meetings </w:t>
      </w:r>
      <w:r w:rsidR="00101046" w:rsidRPr="001951BA">
        <w:t xml:space="preserve">of the </w:t>
      </w:r>
      <w:r w:rsidR="001951BA" w:rsidRPr="001951BA">
        <w:t>c</w:t>
      </w:r>
      <w:r w:rsidR="00101046" w:rsidRPr="001951BA">
        <w:t xml:space="preserve">onferences of the Parties </w:t>
      </w:r>
      <w:r w:rsidR="001951BA" w:rsidRPr="001951BA">
        <w:t xml:space="preserve">to </w:t>
      </w:r>
      <w:r w:rsidR="00317AED" w:rsidRPr="001951BA">
        <w:t xml:space="preserve">the Basel, Rotterdam and Stockholm </w:t>
      </w:r>
      <w:r w:rsidR="005F6F0C" w:rsidRPr="001951BA">
        <w:t>c</w:t>
      </w:r>
      <w:r w:rsidR="00317AED" w:rsidRPr="001951BA">
        <w:t>onventions</w:t>
      </w:r>
      <w:r w:rsidR="00EC5387" w:rsidRPr="001951BA">
        <w:t xml:space="preserve"> and delivered a </w:t>
      </w:r>
      <w:r w:rsidR="00E15579" w:rsidRPr="001951BA">
        <w:t xml:space="preserve">half-day </w:t>
      </w:r>
      <w:r w:rsidR="00EC5387" w:rsidRPr="001951BA">
        <w:t>back-to-back in-depth session</w:t>
      </w:r>
      <w:r w:rsidR="004D3532" w:rsidRPr="001951BA">
        <w:t xml:space="preserve"> on the Minamata Convention</w:t>
      </w:r>
      <w:r w:rsidR="00317AED" w:rsidRPr="001951BA">
        <w:t>.</w:t>
      </w:r>
    </w:p>
    <w:p w:rsidR="001951BA" w:rsidRPr="001951BA" w:rsidRDefault="00DA1BAF"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w:t>
      </w:r>
      <w:r w:rsidR="00BD4CF2" w:rsidRPr="001951BA">
        <w:t>j</w:t>
      </w:r>
      <w:r w:rsidRPr="001951BA">
        <w:t xml:space="preserve">oint </w:t>
      </w:r>
      <w:r w:rsidR="00BD4CF2" w:rsidRPr="001951BA">
        <w:t>t</w:t>
      </w:r>
      <w:r w:rsidRPr="001951BA">
        <w:t xml:space="preserve">ask </w:t>
      </w:r>
      <w:r w:rsidR="001D7810" w:rsidRPr="001951BA">
        <w:t>force</w:t>
      </w:r>
      <w:r w:rsidRPr="001951BA">
        <w:t xml:space="preserve"> of the </w:t>
      </w:r>
      <w:r w:rsidR="00BD4CF2" w:rsidRPr="001951BA">
        <w:t xml:space="preserve">UNEP </w:t>
      </w:r>
      <w:r w:rsidRPr="001951BA">
        <w:t xml:space="preserve">Chemicals and Health Branch, the </w:t>
      </w:r>
      <w:r w:rsidR="00D9442C" w:rsidRPr="001951BA">
        <w:t xml:space="preserve">Secretariat </w:t>
      </w:r>
      <w:r w:rsidRPr="001951BA">
        <w:t xml:space="preserve">of the Basel, Rotterdam and Stockholm </w:t>
      </w:r>
      <w:r w:rsidR="0088609C" w:rsidRPr="001951BA">
        <w:t>C</w:t>
      </w:r>
      <w:r w:rsidRPr="001951BA">
        <w:t>onventions and the Minamata Convention</w:t>
      </w:r>
      <w:r w:rsidR="00006326" w:rsidRPr="001951BA">
        <w:t xml:space="preserve"> </w:t>
      </w:r>
      <w:r w:rsidR="00101046" w:rsidRPr="001951BA">
        <w:t xml:space="preserve">secretariat </w:t>
      </w:r>
      <w:r w:rsidR="00006326" w:rsidRPr="001951BA">
        <w:t xml:space="preserve">was </w:t>
      </w:r>
      <w:r w:rsidR="00101046" w:rsidRPr="001951BA">
        <w:t>revamped</w:t>
      </w:r>
      <w:r w:rsidR="00006326" w:rsidRPr="001951BA">
        <w:t xml:space="preserve"> </w:t>
      </w:r>
      <w:r w:rsidRPr="001951BA">
        <w:t xml:space="preserve">in </w:t>
      </w:r>
      <w:r w:rsidR="00627F23" w:rsidRPr="001951BA">
        <w:t>mid-2018</w:t>
      </w:r>
      <w:r w:rsidR="00FE5164" w:rsidRPr="001951BA">
        <w:t xml:space="preserve"> and is </w:t>
      </w:r>
      <w:r w:rsidR="0088609C" w:rsidRPr="001951BA">
        <w:t xml:space="preserve">now </w:t>
      </w:r>
      <w:r w:rsidR="00522D1E" w:rsidRPr="001951BA">
        <w:t>c</w:t>
      </w:r>
      <w:r w:rsidR="00FE5164" w:rsidRPr="001951BA">
        <w:t>o-</w:t>
      </w:r>
      <w:r w:rsidR="00522D1E" w:rsidRPr="001951BA">
        <w:t>c</w:t>
      </w:r>
      <w:r w:rsidR="00FE5164" w:rsidRPr="001951BA">
        <w:t xml:space="preserve">haired </w:t>
      </w:r>
      <w:r w:rsidR="00522D1E" w:rsidRPr="001951BA">
        <w:t xml:space="preserve">by </w:t>
      </w:r>
      <w:r w:rsidR="00FE5164" w:rsidRPr="001951BA">
        <w:t xml:space="preserve">a </w:t>
      </w:r>
      <w:r w:rsidR="00522D1E" w:rsidRPr="001951BA">
        <w:t>s</w:t>
      </w:r>
      <w:r w:rsidR="00FE5164" w:rsidRPr="001951BA">
        <w:t xml:space="preserve">enior staff representative </w:t>
      </w:r>
      <w:r w:rsidR="00522D1E" w:rsidRPr="001951BA">
        <w:t xml:space="preserve">from </w:t>
      </w:r>
      <w:r w:rsidR="00FE5164" w:rsidRPr="001951BA">
        <w:t>each of the three entities</w:t>
      </w:r>
      <w:r w:rsidRPr="001951BA">
        <w:t xml:space="preserve">. </w:t>
      </w:r>
      <w:r w:rsidR="00FE5164" w:rsidRPr="001951BA">
        <w:t xml:space="preserve">The </w:t>
      </w:r>
      <w:r w:rsidR="001D7810" w:rsidRPr="001951BA">
        <w:t>joint task force</w:t>
      </w:r>
      <w:r w:rsidR="00FE5164" w:rsidRPr="001951BA">
        <w:t xml:space="preserve"> was set up to focus on programmatic and other collaboration across the three entities. As </w:t>
      </w:r>
      <w:r w:rsidR="00522D1E" w:rsidRPr="001951BA">
        <w:t xml:space="preserve">a </w:t>
      </w:r>
      <w:r w:rsidR="00FE5164" w:rsidRPr="001951BA">
        <w:t xml:space="preserve">first initiative, </w:t>
      </w:r>
      <w:r w:rsidRPr="001951BA">
        <w:t xml:space="preserve">a </w:t>
      </w:r>
      <w:r w:rsidR="0088609C" w:rsidRPr="001951BA">
        <w:t>t</w:t>
      </w:r>
      <w:r w:rsidRPr="001951BA">
        <w:t>ownhall meeting of all</w:t>
      </w:r>
      <w:r w:rsidR="00006326" w:rsidRPr="001951BA">
        <w:t xml:space="preserve"> heads and</w:t>
      </w:r>
      <w:r w:rsidRPr="001951BA">
        <w:t xml:space="preserve"> </w:t>
      </w:r>
      <w:r w:rsidR="00FE5164" w:rsidRPr="001951BA">
        <w:t xml:space="preserve">all </w:t>
      </w:r>
      <w:r w:rsidRPr="001951BA">
        <w:t xml:space="preserve">staff of the three entities </w:t>
      </w:r>
      <w:r w:rsidR="00FE5164" w:rsidRPr="001951BA">
        <w:t xml:space="preserve">took place </w:t>
      </w:r>
      <w:r w:rsidRPr="001951BA">
        <w:t xml:space="preserve">in </w:t>
      </w:r>
      <w:r w:rsidR="00627F23" w:rsidRPr="001951BA">
        <w:t>August 2018</w:t>
      </w:r>
      <w:r w:rsidR="00006326" w:rsidRPr="001951BA">
        <w:t xml:space="preserve">. The </w:t>
      </w:r>
      <w:r w:rsidR="001D7810" w:rsidRPr="001951BA">
        <w:t>joint task force</w:t>
      </w:r>
      <w:r w:rsidR="00006326" w:rsidRPr="001951BA">
        <w:t xml:space="preserve"> also began work on bringing together work on the science-policy </w:t>
      </w:r>
      <w:r w:rsidR="00006326" w:rsidRPr="001951BA">
        <w:lastRenderedPageBreak/>
        <w:t>front</w:t>
      </w:r>
      <w:r w:rsidR="00FE5164" w:rsidRPr="001951BA">
        <w:t xml:space="preserve"> for input into a number of ongoing processes</w:t>
      </w:r>
      <w:r w:rsidR="00006326" w:rsidRPr="001951BA">
        <w:t xml:space="preserve">. In </w:t>
      </w:r>
      <w:r w:rsidR="00627F23" w:rsidRPr="001951BA">
        <w:t xml:space="preserve">the first half of </w:t>
      </w:r>
      <w:r w:rsidR="00006326" w:rsidRPr="001951BA">
        <w:t xml:space="preserve">2019, the </w:t>
      </w:r>
      <w:r w:rsidR="001D7810" w:rsidRPr="001951BA">
        <w:t xml:space="preserve">joint task force </w:t>
      </w:r>
      <w:r w:rsidR="00627F23" w:rsidRPr="001951BA">
        <w:t xml:space="preserve">met </w:t>
      </w:r>
      <w:r w:rsidR="00006326" w:rsidRPr="001951BA">
        <w:t>to consider in</w:t>
      </w:r>
      <w:r w:rsidR="001D7810" w:rsidRPr="001951BA">
        <w:t xml:space="preserve"> </w:t>
      </w:r>
      <w:r w:rsidR="00006326" w:rsidRPr="001951BA">
        <w:t xml:space="preserve">depth the interlinkages within the chemicals cluster in preparation for the next SAICM meeting, and the interlinkages with the biodiversity cluster given the mandate received by the Convention on Biological Diversity to </w:t>
      </w:r>
      <w:r w:rsidR="001D7810" w:rsidRPr="001951BA">
        <w:t xml:space="preserve">advance </w:t>
      </w:r>
      <w:r w:rsidR="00006326" w:rsidRPr="001951BA">
        <w:t xml:space="preserve">work on a </w:t>
      </w:r>
      <w:r w:rsidR="001D7810" w:rsidRPr="001951BA">
        <w:t xml:space="preserve">post-2020 </w:t>
      </w:r>
      <w:r w:rsidR="00006326" w:rsidRPr="001951BA">
        <w:t xml:space="preserve">global framework that encompasses work from the chemicals cluster. </w:t>
      </w:r>
    </w:p>
    <w:p w:rsidR="00C57924" w:rsidRPr="001951BA" w:rsidRDefault="00006326"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w:t>
      </w:r>
      <w:r w:rsidR="001D7810" w:rsidRPr="001951BA">
        <w:t>joint task force’s</w:t>
      </w:r>
      <w:r w:rsidR="001D7810" w:rsidRPr="001951BA" w:rsidDel="001D7810">
        <w:t xml:space="preserve"> </w:t>
      </w:r>
      <w:r w:rsidRPr="001951BA">
        <w:t xml:space="preserve">efforts also resulted in a number of </w:t>
      </w:r>
      <w:r w:rsidR="00EB5565" w:rsidRPr="001951BA">
        <w:t>tangible</w:t>
      </w:r>
      <w:r w:rsidRPr="001951BA">
        <w:t xml:space="preserve"> projects to bring greater cohesion and visibility to the chemicals cluster. </w:t>
      </w:r>
      <w:r w:rsidR="00510E10" w:rsidRPr="001951BA">
        <w:t xml:space="preserve">This includes the </w:t>
      </w:r>
      <w:r w:rsidR="001D7810" w:rsidRPr="001951BA">
        <w:t xml:space="preserve">joint installation by the </w:t>
      </w:r>
      <w:r w:rsidR="00161DCC" w:rsidRPr="001951BA">
        <w:t xml:space="preserve">Chemicals and Health Branch, the </w:t>
      </w:r>
      <w:r w:rsidR="00D9442C" w:rsidRPr="001951BA">
        <w:t xml:space="preserve">Secretariat </w:t>
      </w:r>
      <w:r w:rsidR="00161DCC" w:rsidRPr="001951BA">
        <w:t>of the Basel, Rotterdam and Stockholm Conventions</w:t>
      </w:r>
      <w:r w:rsidR="00510E10" w:rsidRPr="001951BA">
        <w:t>,</w:t>
      </w:r>
      <w:r w:rsidR="00161DCC" w:rsidRPr="001951BA">
        <w:t xml:space="preserve"> </w:t>
      </w:r>
      <w:r w:rsidR="00101046" w:rsidRPr="001951BA">
        <w:t xml:space="preserve">the Minamata Convention secretariat and </w:t>
      </w:r>
      <w:r w:rsidR="00161DCC" w:rsidRPr="001951BA">
        <w:t xml:space="preserve">the secretariat of </w:t>
      </w:r>
      <w:r w:rsidR="00510E10" w:rsidRPr="001951BA">
        <w:t>SAICM</w:t>
      </w:r>
      <w:r w:rsidR="001D7810" w:rsidRPr="001951BA">
        <w:t>,</w:t>
      </w:r>
      <w:r w:rsidR="00161DCC" w:rsidRPr="001951BA">
        <w:t xml:space="preserve"> </w:t>
      </w:r>
      <w:r w:rsidR="005B11E4" w:rsidRPr="001951BA">
        <w:t>“Making the Invisible, Visible: Detox my Home”</w:t>
      </w:r>
      <w:r w:rsidR="001D7810" w:rsidRPr="001951BA">
        <w:t>,</w:t>
      </w:r>
      <w:r w:rsidR="005B11E4" w:rsidRPr="001951BA">
        <w:t xml:space="preserve"> </w:t>
      </w:r>
      <w:r w:rsidR="001D7810" w:rsidRPr="001951BA">
        <w:t>which was on display at</w:t>
      </w:r>
      <w:r w:rsidR="005B11E4" w:rsidRPr="001951BA">
        <w:t xml:space="preserve"> </w:t>
      </w:r>
      <w:r w:rsidR="00A83435" w:rsidRPr="001951BA">
        <w:t xml:space="preserve">the </w:t>
      </w:r>
      <w:r w:rsidR="002A1A9B" w:rsidRPr="001951BA">
        <w:t xml:space="preserve">fourth </w:t>
      </w:r>
      <w:r w:rsidR="002F63CB" w:rsidRPr="001951BA">
        <w:t xml:space="preserve">session </w:t>
      </w:r>
      <w:r w:rsidR="00A83435" w:rsidRPr="001951BA">
        <w:t xml:space="preserve">of the </w:t>
      </w:r>
      <w:r w:rsidR="002A1A9B" w:rsidRPr="001951BA">
        <w:t>United</w:t>
      </w:r>
      <w:r w:rsidR="00ED53BC" w:rsidRPr="001951BA">
        <w:t> </w:t>
      </w:r>
      <w:r w:rsidR="002A1A9B" w:rsidRPr="001951BA">
        <w:t xml:space="preserve">Nations Environment Assembly </w:t>
      </w:r>
      <w:r w:rsidR="00DA1BAF" w:rsidRPr="001951BA">
        <w:t>in</w:t>
      </w:r>
      <w:r w:rsidR="002F63CB" w:rsidRPr="001951BA">
        <w:t xml:space="preserve"> Nairobi in</w:t>
      </w:r>
      <w:r w:rsidR="00DA1BAF" w:rsidRPr="001951BA">
        <w:t xml:space="preserve"> March </w:t>
      </w:r>
      <w:r w:rsidR="002A1A9B" w:rsidRPr="001951BA">
        <w:t>2019</w:t>
      </w:r>
      <w:r w:rsidR="005B11E4" w:rsidRPr="001951BA">
        <w:t>,</w:t>
      </w:r>
      <w:r w:rsidR="00DA1BAF" w:rsidRPr="001951BA">
        <w:t xml:space="preserve"> the SAICM meeting in </w:t>
      </w:r>
      <w:r w:rsidR="002F63CB" w:rsidRPr="001951BA">
        <w:t xml:space="preserve">Montevideo in </w:t>
      </w:r>
      <w:r w:rsidR="00DA1BAF" w:rsidRPr="001951BA">
        <w:t xml:space="preserve">March </w:t>
      </w:r>
      <w:r w:rsidR="000638B5" w:rsidRPr="001951BA">
        <w:t xml:space="preserve">2019 </w:t>
      </w:r>
      <w:r w:rsidR="001D7810" w:rsidRPr="001951BA">
        <w:t>and</w:t>
      </w:r>
      <w:r w:rsidR="00DA1BAF" w:rsidRPr="001951BA">
        <w:t xml:space="preserve"> </w:t>
      </w:r>
      <w:r w:rsidR="001A60BF" w:rsidRPr="001951BA">
        <w:t xml:space="preserve">the 2019 </w:t>
      </w:r>
      <w:r w:rsidR="002F63CB" w:rsidRPr="001951BA">
        <w:t xml:space="preserve">meetings of the </w:t>
      </w:r>
      <w:r w:rsidR="002933F1" w:rsidRPr="001951BA">
        <w:t>c</w:t>
      </w:r>
      <w:r w:rsidR="00023CDA" w:rsidRPr="001951BA">
        <w:t>onferences of the Partie</w:t>
      </w:r>
      <w:r w:rsidR="001A60BF" w:rsidRPr="001951BA">
        <w:t xml:space="preserve">s </w:t>
      </w:r>
      <w:r w:rsidR="00023CDA" w:rsidRPr="001951BA">
        <w:t xml:space="preserve">to </w:t>
      </w:r>
      <w:r w:rsidR="001A60BF" w:rsidRPr="001951BA">
        <w:t xml:space="preserve">the Basel, Rotterdam and Stockholm </w:t>
      </w:r>
      <w:r w:rsidR="002F63CB" w:rsidRPr="001951BA">
        <w:t>c</w:t>
      </w:r>
      <w:r w:rsidR="001A60BF" w:rsidRPr="001951BA">
        <w:t xml:space="preserve">onventions </w:t>
      </w:r>
      <w:r w:rsidR="00023CDA" w:rsidRPr="001951BA">
        <w:t xml:space="preserve">held </w:t>
      </w:r>
      <w:r w:rsidR="00DA1BAF" w:rsidRPr="001951BA">
        <w:t>in</w:t>
      </w:r>
      <w:r w:rsidR="002F63CB" w:rsidRPr="001951BA">
        <w:t xml:space="preserve"> Geneva in</w:t>
      </w:r>
      <w:r w:rsidR="00DA1BAF" w:rsidRPr="001951BA">
        <w:t xml:space="preserve"> April</w:t>
      </w:r>
      <w:r w:rsidR="00023CDA" w:rsidRPr="001951BA">
        <w:t xml:space="preserve"> and </w:t>
      </w:r>
      <w:r w:rsidR="00DA1BAF" w:rsidRPr="001951BA">
        <w:t>May</w:t>
      </w:r>
      <w:r w:rsidR="00101046" w:rsidRPr="001951BA">
        <w:t xml:space="preserve"> 2019</w:t>
      </w:r>
      <w:r w:rsidR="002933F1" w:rsidRPr="001951BA">
        <w:t>,</w:t>
      </w:r>
      <w:r w:rsidR="00DA1BAF" w:rsidRPr="001951BA">
        <w:t xml:space="preserve"> </w:t>
      </w:r>
      <w:r w:rsidR="001A60BF" w:rsidRPr="001951BA">
        <w:t xml:space="preserve">and will be set up for the </w:t>
      </w:r>
      <w:r w:rsidR="00023CDA" w:rsidRPr="001951BA">
        <w:t>third meeting of the Conference of the Parties</w:t>
      </w:r>
      <w:r w:rsidR="002F63CB" w:rsidRPr="001951BA">
        <w:t xml:space="preserve"> to the Minamata Convention</w:t>
      </w:r>
      <w:r w:rsidR="00023CDA" w:rsidRPr="001951BA">
        <w:t>, to be held</w:t>
      </w:r>
      <w:r w:rsidR="00023CDA" w:rsidRPr="001951BA" w:rsidDel="00023CDA">
        <w:t xml:space="preserve"> </w:t>
      </w:r>
      <w:r w:rsidR="00DA1BAF" w:rsidRPr="001951BA">
        <w:t>in</w:t>
      </w:r>
      <w:r w:rsidR="002F63CB" w:rsidRPr="001951BA">
        <w:t xml:space="preserve"> Geneva in</w:t>
      </w:r>
      <w:r w:rsidR="00DA1BAF" w:rsidRPr="001951BA">
        <w:t xml:space="preserve"> November </w:t>
      </w:r>
      <w:r w:rsidR="00101046" w:rsidRPr="001951BA">
        <w:t>2019</w:t>
      </w:r>
      <w:r w:rsidR="001A60BF" w:rsidRPr="001951BA">
        <w:t xml:space="preserve">. </w:t>
      </w:r>
      <w:r w:rsidR="00C57924" w:rsidRPr="001951BA">
        <w:t xml:space="preserve">The overarching objective of the installation is to raise awareness on the need for sound management of chemicals and waste, by demonstrating in an engaging, interactive and innovative way </w:t>
      </w:r>
      <w:r w:rsidR="001D7810" w:rsidRPr="001951BA">
        <w:t xml:space="preserve">both </w:t>
      </w:r>
      <w:r w:rsidR="00C57924" w:rsidRPr="001951BA">
        <w:t>the potentially negative impacts of chemicals found in everyday objects and toxic-free alternatives.</w:t>
      </w:r>
      <w:r w:rsidR="00FE5164" w:rsidRPr="001951BA">
        <w:t xml:space="preserve"> The </w:t>
      </w:r>
      <w:r w:rsidR="001D7810" w:rsidRPr="001951BA">
        <w:t>joint task force</w:t>
      </w:r>
      <w:r w:rsidR="00FE5164" w:rsidRPr="001951BA">
        <w:t xml:space="preserve"> also reinvigorated </w:t>
      </w:r>
      <w:r w:rsidR="001D7810" w:rsidRPr="001951BA">
        <w:t xml:space="preserve">its </w:t>
      </w:r>
      <w:r w:rsidR="00FE5164" w:rsidRPr="001951BA">
        <w:t>efforts to strengthen join</w:t>
      </w:r>
      <w:r w:rsidR="00263DA2" w:rsidRPr="001951BA">
        <w:t>t</w:t>
      </w:r>
      <w:r w:rsidR="00FE5164" w:rsidRPr="001951BA">
        <w:t xml:space="preserve"> calendar planning among the partners to maximi</w:t>
      </w:r>
      <w:r w:rsidR="001D7810" w:rsidRPr="001951BA">
        <w:t>z</w:t>
      </w:r>
      <w:r w:rsidR="00FE5164" w:rsidRPr="001951BA">
        <w:t xml:space="preserve">e work across the cluster. </w:t>
      </w:r>
      <w:r w:rsidR="001D7810" w:rsidRPr="001951BA">
        <w:t>Through the Chemicals and Health Branch, t</w:t>
      </w:r>
      <w:r w:rsidR="00FE5164" w:rsidRPr="001951BA">
        <w:t xml:space="preserve">he </w:t>
      </w:r>
      <w:r w:rsidR="001D7810" w:rsidRPr="001951BA">
        <w:t>joint task force</w:t>
      </w:r>
      <w:r w:rsidR="00FE5164" w:rsidRPr="001951BA">
        <w:t xml:space="preserve"> also links to the UNEP Chemicals and Waste </w:t>
      </w:r>
      <w:r w:rsidR="0088609C" w:rsidRPr="001951BA">
        <w:t xml:space="preserve">Subprogramme </w:t>
      </w:r>
      <w:r w:rsidR="00FE5164" w:rsidRPr="001951BA">
        <w:t xml:space="preserve">to align efforts to support the implementation of relevant </w:t>
      </w:r>
      <w:r w:rsidR="0088609C" w:rsidRPr="001951BA">
        <w:t xml:space="preserve">Environment Assembly </w:t>
      </w:r>
      <w:r w:rsidR="00FE5164" w:rsidRPr="001951BA">
        <w:t xml:space="preserve">decisions. </w:t>
      </w:r>
    </w:p>
    <w:p w:rsidR="00101046" w:rsidRPr="001951BA"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w:t>
      </w:r>
      <w:r w:rsidR="000B157E" w:rsidRPr="001951BA">
        <w:t>secretariat</w:t>
      </w:r>
      <w:r w:rsidRPr="001951BA">
        <w:t xml:space="preserve"> is also part of the GEF </w:t>
      </w:r>
      <w:r w:rsidR="00EC7235" w:rsidRPr="001951BA">
        <w:t>C</w:t>
      </w:r>
      <w:r w:rsidRPr="001951BA">
        <w:t xml:space="preserve">hemicals </w:t>
      </w:r>
      <w:r w:rsidR="00EC7235" w:rsidRPr="001951BA">
        <w:t>T</w:t>
      </w:r>
      <w:r w:rsidRPr="001951BA">
        <w:t>ask</w:t>
      </w:r>
      <w:r w:rsidR="009E2608" w:rsidRPr="001951BA">
        <w:t xml:space="preserve"> </w:t>
      </w:r>
      <w:r w:rsidR="00EC7235" w:rsidRPr="001951BA">
        <w:t>F</w:t>
      </w:r>
      <w:r w:rsidRPr="001951BA">
        <w:t xml:space="preserve">orce, which </w:t>
      </w:r>
      <w:r w:rsidR="009E2608" w:rsidRPr="001951BA">
        <w:t>provides a framework for cooperation across the chemicals and waste</w:t>
      </w:r>
      <w:r w:rsidR="003F5410" w:rsidRPr="001951BA">
        <w:t>s</w:t>
      </w:r>
      <w:r w:rsidR="009E2608" w:rsidRPr="001951BA">
        <w:t xml:space="preserve"> cluster among </w:t>
      </w:r>
      <w:r w:rsidRPr="001951BA">
        <w:t xml:space="preserve">GEF implementing </w:t>
      </w:r>
      <w:r w:rsidR="009E2608" w:rsidRPr="001951BA">
        <w:t>a</w:t>
      </w:r>
      <w:r w:rsidRPr="001951BA">
        <w:t>gencies</w:t>
      </w:r>
      <w:r w:rsidR="003F4ACC" w:rsidRPr="001951BA">
        <w:t>.</w:t>
      </w:r>
      <w:r w:rsidR="009D0861" w:rsidRPr="001951BA">
        <w:t xml:space="preserve"> </w:t>
      </w:r>
      <w:r w:rsidR="003F4ACC" w:rsidRPr="001951BA">
        <w:t xml:space="preserve">Representatives of the secretariat </w:t>
      </w:r>
      <w:r w:rsidR="009D0861" w:rsidRPr="001951BA">
        <w:t xml:space="preserve">attended </w:t>
      </w:r>
      <w:r w:rsidR="003F4ACC" w:rsidRPr="001951BA">
        <w:t xml:space="preserve">the task force </w:t>
      </w:r>
      <w:r w:rsidR="009D0861" w:rsidRPr="001951BA">
        <w:t>meeting</w:t>
      </w:r>
      <w:r w:rsidR="008F71A0" w:rsidRPr="001951BA">
        <w:t>s</w:t>
      </w:r>
      <w:r w:rsidR="009D0861" w:rsidRPr="001951BA">
        <w:t xml:space="preserve"> </w:t>
      </w:r>
      <w:r w:rsidR="003F4ACC" w:rsidRPr="001951BA">
        <w:t xml:space="preserve">both </w:t>
      </w:r>
      <w:r w:rsidR="009D0861" w:rsidRPr="001951BA">
        <w:t>virtually and in</w:t>
      </w:r>
      <w:r w:rsidR="00C15B01" w:rsidRPr="001951BA">
        <w:t xml:space="preserve"> </w:t>
      </w:r>
      <w:r w:rsidR="009D0861" w:rsidRPr="001951BA">
        <w:t xml:space="preserve">person, including at the 2019 meetings of </w:t>
      </w:r>
      <w:r w:rsidR="00101046" w:rsidRPr="001951BA">
        <w:t xml:space="preserve">the </w:t>
      </w:r>
      <w:r w:rsidR="009C6B8D" w:rsidRPr="001951BA">
        <w:t xml:space="preserve">conferences </w:t>
      </w:r>
      <w:r w:rsidR="00101046" w:rsidRPr="001951BA">
        <w:t xml:space="preserve">of the Parties </w:t>
      </w:r>
      <w:r w:rsidR="001951BA" w:rsidRPr="001951BA">
        <w:t xml:space="preserve">to </w:t>
      </w:r>
      <w:r w:rsidR="009D0861" w:rsidRPr="001951BA">
        <w:t xml:space="preserve">the Basel, Rotterdam and Stockholm </w:t>
      </w:r>
      <w:r w:rsidR="00D52D24" w:rsidRPr="001951BA">
        <w:t>conventions</w:t>
      </w:r>
      <w:r w:rsidR="00FE5164" w:rsidRPr="001951BA">
        <w:t xml:space="preserve">, prior to the meetings of the GEF Council, and in advance of the </w:t>
      </w:r>
      <w:r w:rsidR="0088609C" w:rsidRPr="001951BA">
        <w:t>t</w:t>
      </w:r>
      <w:r w:rsidR="00FE5164" w:rsidRPr="001951BA">
        <w:t xml:space="preserve">hird </w:t>
      </w:r>
      <w:r w:rsidR="0088609C" w:rsidRPr="001951BA">
        <w:t>m</w:t>
      </w:r>
      <w:r w:rsidR="00FE5164" w:rsidRPr="001951BA">
        <w:t xml:space="preserve">eeting of the </w:t>
      </w:r>
      <w:r w:rsidR="00101046" w:rsidRPr="001951BA">
        <w:t>Conference of the Parties</w:t>
      </w:r>
      <w:r w:rsidR="009E2608" w:rsidRPr="001951BA">
        <w:t>.</w:t>
      </w:r>
      <w:r w:rsidRPr="001951BA">
        <w:t xml:space="preserve"> </w:t>
      </w:r>
    </w:p>
    <w:p w:rsidR="00163DA4" w:rsidRPr="001951BA" w:rsidRDefault="009E2608"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w:t>
      </w:r>
      <w:r w:rsidR="000B157E" w:rsidRPr="001951BA">
        <w:t>secretariat</w:t>
      </w:r>
      <w:r w:rsidRPr="001951BA">
        <w:t xml:space="preserve"> </w:t>
      </w:r>
      <w:r w:rsidR="00163DA4" w:rsidRPr="001951BA">
        <w:t>take</w:t>
      </w:r>
      <w:r w:rsidR="000B21BF" w:rsidRPr="001951BA">
        <w:t>s</w:t>
      </w:r>
      <w:r w:rsidR="00163DA4" w:rsidRPr="001951BA">
        <w:t xml:space="preserve"> part </w:t>
      </w:r>
      <w:r w:rsidR="00BC44AF" w:rsidRPr="001951BA">
        <w:t xml:space="preserve">in IOMC </w:t>
      </w:r>
      <w:r w:rsidR="00163DA4" w:rsidRPr="001951BA">
        <w:t xml:space="preserve">as an observer and participates in </w:t>
      </w:r>
      <w:r w:rsidR="00BC44AF" w:rsidRPr="001951BA">
        <w:t>its m</w:t>
      </w:r>
      <w:r w:rsidR="00163DA4" w:rsidRPr="001951BA">
        <w:t xml:space="preserve">ercury </w:t>
      </w:r>
      <w:r w:rsidR="00BC44AF" w:rsidRPr="001951BA">
        <w:t>g</w:t>
      </w:r>
      <w:r w:rsidR="00163DA4" w:rsidRPr="001951BA">
        <w:t>roup</w:t>
      </w:r>
      <w:r w:rsidR="00BC44AF" w:rsidRPr="001951BA">
        <w:t>, which</w:t>
      </w:r>
      <w:r w:rsidR="00163DA4" w:rsidRPr="001951BA">
        <w:t xml:space="preserve"> </w:t>
      </w:r>
      <w:r w:rsidR="00BC44AF" w:rsidRPr="001951BA">
        <w:t>focuses on</w:t>
      </w:r>
      <w:r w:rsidR="00163DA4" w:rsidRPr="001951BA">
        <w:t xml:space="preserve"> cooperation specific to mercury among IOMC members and works closely with the partners of the Global Mercury Partnership.</w:t>
      </w:r>
    </w:p>
    <w:p w:rsidR="009C027D" w:rsidRPr="001951BA" w:rsidRDefault="00FE5164" w:rsidP="00ED53BC">
      <w:pPr>
        <w:pStyle w:val="Normalnumber"/>
        <w:tabs>
          <w:tab w:val="clear" w:pos="1134"/>
          <w:tab w:val="clear" w:pos="1247"/>
          <w:tab w:val="clear" w:pos="1814"/>
          <w:tab w:val="clear" w:pos="2381"/>
          <w:tab w:val="clear" w:pos="2948"/>
          <w:tab w:val="clear" w:pos="3515"/>
          <w:tab w:val="clear" w:pos="4082"/>
          <w:tab w:val="num" w:pos="624"/>
        </w:tabs>
      </w:pPr>
      <w:r w:rsidRPr="001951BA">
        <w:rPr>
          <w:rFonts w:asciiTheme="majorBidi" w:hAnsiTheme="majorBidi" w:cstheme="majorBidi"/>
        </w:rPr>
        <w:t>The secretariat is an active</w:t>
      </w:r>
      <w:r w:rsidR="007446B3" w:rsidRPr="001951BA">
        <w:rPr>
          <w:rFonts w:asciiTheme="majorBidi" w:hAnsiTheme="majorBidi" w:cstheme="majorBidi"/>
        </w:rPr>
        <w:t>,</w:t>
      </w:r>
      <w:r w:rsidRPr="001951BA">
        <w:rPr>
          <w:rFonts w:asciiTheme="majorBidi" w:hAnsiTheme="majorBidi" w:cstheme="majorBidi"/>
        </w:rPr>
        <w:t xml:space="preserve"> long-standing member of </w:t>
      </w:r>
      <w:r w:rsidR="00FC0A94" w:rsidRPr="001951BA">
        <w:rPr>
          <w:rFonts w:asciiTheme="majorBidi" w:hAnsiTheme="majorBidi" w:cstheme="majorBidi"/>
        </w:rPr>
        <w:t xml:space="preserve">the InforMEA initiative on access to information on </w:t>
      </w:r>
      <w:r w:rsidR="00FC0A94" w:rsidRPr="001951BA">
        <w:t>multilateral</w:t>
      </w:r>
      <w:r w:rsidR="00FC0A94" w:rsidRPr="001951BA">
        <w:rPr>
          <w:rFonts w:asciiTheme="majorBidi" w:hAnsiTheme="majorBidi" w:cstheme="majorBidi"/>
        </w:rPr>
        <w:t xml:space="preserve"> environmental agreements. </w:t>
      </w:r>
      <w:r w:rsidR="00B678E8" w:rsidRPr="001951BA">
        <w:rPr>
          <w:rFonts w:asciiTheme="majorBidi" w:hAnsiTheme="majorBidi" w:cstheme="majorBidi"/>
        </w:rPr>
        <w:t xml:space="preserve">A </w:t>
      </w:r>
      <w:r w:rsidRPr="001951BA">
        <w:rPr>
          <w:rFonts w:asciiTheme="majorBidi" w:hAnsiTheme="majorBidi" w:cstheme="majorBidi"/>
        </w:rPr>
        <w:t xml:space="preserve">senior staff </w:t>
      </w:r>
      <w:r w:rsidR="00B678E8" w:rsidRPr="001951BA">
        <w:rPr>
          <w:rFonts w:asciiTheme="majorBidi" w:hAnsiTheme="majorBidi" w:cstheme="majorBidi"/>
        </w:rPr>
        <w:t xml:space="preserve">representative from the secretariat attended the </w:t>
      </w:r>
      <w:r w:rsidR="0088609C" w:rsidRPr="001951BA">
        <w:rPr>
          <w:rFonts w:asciiTheme="majorBidi" w:hAnsiTheme="majorBidi" w:cstheme="majorBidi"/>
        </w:rPr>
        <w:t xml:space="preserve">tenth meeting of the </w:t>
      </w:r>
      <w:r w:rsidR="003D5383" w:rsidRPr="001951BA">
        <w:rPr>
          <w:rFonts w:asciiTheme="majorBidi" w:hAnsiTheme="majorBidi" w:cstheme="majorBidi"/>
        </w:rPr>
        <w:t>InforMEA Steering Committee</w:t>
      </w:r>
      <w:r w:rsidR="0088609C" w:rsidRPr="001951BA">
        <w:rPr>
          <w:rFonts w:asciiTheme="majorBidi" w:hAnsiTheme="majorBidi" w:cstheme="majorBidi"/>
        </w:rPr>
        <w:t>, held</w:t>
      </w:r>
      <w:r w:rsidR="003D5383" w:rsidRPr="001951BA">
        <w:rPr>
          <w:rFonts w:asciiTheme="majorBidi" w:hAnsiTheme="majorBidi" w:cstheme="majorBidi"/>
        </w:rPr>
        <w:t xml:space="preserve"> </w:t>
      </w:r>
      <w:r w:rsidRPr="001951BA">
        <w:rPr>
          <w:rFonts w:asciiTheme="majorBidi" w:hAnsiTheme="majorBidi" w:cstheme="majorBidi"/>
        </w:rPr>
        <w:t>in Montreux</w:t>
      </w:r>
      <w:r w:rsidR="00BB4172" w:rsidRPr="001951BA">
        <w:rPr>
          <w:rFonts w:asciiTheme="majorBidi" w:hAnsiTheme="majorBidi" w:cstheme="majorBidi"/>
        </w:rPr>
        <w:t>, Switzerland</w:t>
      </w:r>
      <w:r w:rsidR="002F63CB" w:rsidRPr="001951BA">
        <w:rPr>
          <w:rFonts w:asciiTheme="majorBidi" w:hAnsiTheme="majorBidi" w:cstheme="majorBidi"/>
        </w:rPr>
        <w:t>, in June 2019</w:t>
      </w:r>
      <w:r w:rsidR="0024221E" w:rsidRPr="001951BA">
        <w:rPr>
          <w:rFonts w:asciiTheme="majorBidi" w:hAnsiTheme="majorBidi" w:cstheme="majorBidi"/>
        </w:rPr>
        <w:t>. The meeting also celebrated the</w:t>
      </w:r>
      <w:r w:rsidRPr="001951BA">
        <w:rPr>
          <w:rFonts w:asciiTheme="majorBidi" w:hAnsiTheme="majorBidi" w:cstheme="majorBidi"/>
        </w:rPr>
        <w:t xml:space="preserve"> </w:t>
      </w:r>
      <w:r w:rsidR="0088609C" w:rsidRPr="001951BA">
        <w:rPr>
          <w:rFonts w:asciiTheme="majorBidi" w:hAnsiTheme="majorBidi" w:cstheme="majorBidi"/>
        </w:rPr>
        <w:t xml:space="preserve">tenth </w:t>
      </w:r>
      <w:r w:rsidRPr="001951BA">
        <w:rPr>
          <w:rFonts w:asciiTheme="majorBidi" w:hAnsiTheme="majorBidi" w:cstheme="majorBidi"/>
        </w:rPr>
        <w:t xml:space="preserve">anniversary </w:t>
      </w:r>
      <w:r w:rsidR="0024221E" w:rsidRPr="001951BA">
        <w:rPr>
          <w:rFonts w:asciiTheme="majorBidi" w:hAnsiTheme="majorBidi" w:cstheme="majorBidi"/>
        </w:rPr>
        <w:t xml:space="preserve">of this important collaboration </w:t>
      </w:r>
      <w:r w:rsidR="0024221E" w:rsidRPr="001951BA">
        <w:t>among</w:t>
      </w:r>
      <w:r w:rsidR="0024221E" w:rsidRPr="001951BA">
        <w:rPr>
          <w:rFonts w:asciiTheme="majorBidi" w:hAnsiTheme="majorBidi" w:cstheme="majorBidi"/>
        </w:rPr>
        <w:t xml:space="preserve"> various multilateral environmental agreements to bring greater cohesion and transparency to reporting, information exchange and knowledge management across the work of the agreements and conventions</w:t>
      </w:r>
      <w:r w:rsidR="003D5383" w:rsidRPr="001951BA">
        <w:rPr>
          <w:rFonts w:asciiTheme="majorBidi" w:hAnsiTheme="majorBidi" w:cstheme="majorBidi"/>
        </w:rPr>
        <w:t>.</w:t>
      </w:r>
    </w:p>
    <w:p w:rsidR="007621C5" w:rsidRPr="001951BA" w:rsidRDefault="007621C5" w:rsidP="00ED53BC">
      <w:pPr>
        <w:pStyle w:val="Normalnumber"/>
        <w:tabs>
          <w:tab w:val="clear" w:pos="1134"/>
          <w:tab w:val="clear" w:pos="1247"/>
          <w:tab w:val="clear" w:pos="1814"/>
          <w:tab w:val="clear" w:pos="2381"/>
          <w:tab w:val="clear" w:pos="2948"/>
          <w:tab w:val="clear" w:pos="3515"/>
          <w:tab w:val="clear" w:pos="4082"/>
          <w:tab w:val="num" w:pos="624"/>
        </w:tabs>
        <w:rPr>
          <w:lang w:eastAsia="zh-CN"/>
        </w:rPr>
      </w:pPr>
      <w:r w:rsidRPr="001951BA">
        <w:t>A senior staff representative from the secretariat attended the post-2020 discussions of the biodiversity cluster in Bern in June 2019 and explored the intersections of the chemicals and biodiversity discussions</w:t>
      </w:r>
      <w:r w:rsidR="007446B3" w:rsidRPr="001951BA">
        <w:t>,</w:t>
      </w:r>
      <w:r w:rsidRPr="001951BA">
        <w:t xml:space="preserve"> especially with respect to building the </w:t>
      </w:r>
      <w:r w:rsidR="007446B3" w:rsidRPr="001951BA">
        <w:t>post-2020 g</w:t>
      </w:r>
      <w:r w:rsidRPr="001951BA">
        <w:t xml:space="preserve">lobal </w:t>
      </w:r>
      <w:r w:rsidR="007446B3" w:rsidRPr="001951BA">
        <w:t>b</w:t>
      </w:r>
      <w:r w:rsidRPr="001951BA">
        <w:t xml:space="preserve">iodiversity </w:t>
      </w:r>
      <w:r w:rsidR="007446B3" w:rsidRPr="001951BA">
        <w:t>f</w:t>
      </w:r>
      <w:r w:rsidRPr="001951BA">
        <w:t xml:space="preserve">ramework. </w:t>
      </w:r>
    </w:p>
    <w:p w:rsidR="002645CB" w:rsidRPr="001951BA" w:rsidRDefault="002645CB"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secretariat continues to actively participate in the regular briefing sessions </w:t>
      </w:r>
      <w:r w:rsidR="007446B3" w:rsidRPr="001951BA">
        <w:t>for</w:t>
      </w:r>
      <w:r w:rsidRPr="001951BA">
        <w:t xml:space="preserve"> the Geneva permanent missions</w:t>
      </w:r>
      <w:r w:rsidR="0088609C" w:rsidRPr="001951BA">
        <w:t>,</w:t>
      </w:r>
      <w:r w:rsidRPr="001951BA">
        <w:t xml:space="preserve"> facilitated by the Geneva Environmental Network</w:t>
      </w:r>
      <w:r w:rsidR="0088609C" w:rsidRPr="001951BA">
        <w:t>,</w:t>
      </w:r>
      <w:r w:rsidRPr="001951BA">
        <w:t xml:space="preserve"> and participates in the </w:t>
      </w:r>
      <w:r w:rsidR="006946B1" w:rsidRPr="001951BA">
        <w:t xml:space="preserve">meetings of the task force on </w:t>
      </w:r>
      <w:r w:rsidR="007446B3" w:rsidRPr="001951BA">
        <w:t xml:space="preserve">the </w:t>
      </w:r>
      <w:r w:rsidRPr="001951BA">
        <w:t xml:space="preserve">post-2020 </w:t>
      </w:r>
      <w:r w:rsidR="006946B1" w:rsidRPr="001951BA">
        <w:t>s</w:t>
      </w:r>
      <w:r w:rsidRPr="001951BA">
        <w:t xml:space="preserve">trategic </w:t>
      </w:r>
      <w:r w:rsidR="006946B1" w:rsidRPr="001951BA">
        <w:t>a</w:t>
      </w:r>
      <w:r w:rsidRPr="001951BA">
        <w:t xml:space="preserve">pproach </w:t>
      </w:r>
      <w:r w:rsidR="006946B1" w:rsidRPr="001951BA">
        <w:t>to chemicals management,</w:t>
      </w:r>
      <w:r w:rsidRPr="001951BA">
        <w:t xml:space="preserve"> chaired by the </w:t>
      </w:r>
      <w:r w:rsidR="006946B1" w:rsidRPr="001951BA">
        <w:t xml:space="preserve">UNEP </w:t>
      </w:r>
      <w:r w:rsidRPr="001951BA">
        <w:t xml:space="preserve">Chemicals and </w:t>
      </w:r>
      <w:r w:rsidR="00940009" w:rsidRPr="001951BA">
        <w:t xml:space="preserve">Health </w:t>
      </w:r>
      <w:r w:rsidRPr="001951BA">
        <w:t>Branch.</w:t>
      </w:r>
    </w:p>
    <w:p w:rsidR="00124DEF" w:rsidRPr="001951BA" w:rsidRDefault="00124DEF" w:rsidP="00ED53BC">
      <w:pPr>
        <w:pStyle w:val="Normalnumber"/>
        <w:tabs>
          <w:tab w:val="clear" w:pos="1134"/>
          <w:tab w:val="clear" w:pos="1247"/>
          <w:tab w:val="clear" w:pos="1814"/>
          <w:tab w:val="clear" w:pos="2381"/>
          <w:tab w:val="clear" w:pos="2948"/>
          <w:tab w:val="clear" w:pos="3515"/>
          <w:tab w:val="clear" w:pos="4082"/>
          <w:tab w:val="num" w:pos="624"/>
        </w:tabs>
      </w:pPr>
      <w:r w:rsidRPr="001951BA">
        <w:t>The secretariat joined the Green Customs Initiative</w:t>
      </w:r>
      <w:r w:rsidR="00D64A34" w:rsidRPr="001951BA">
        <w:t>, a partnership of international organi</w:t>
      </w:r>
      <w:r w:rsidR="007446B3" w:rsidRPr="001951BA">
        <w:t>z</w:t>
      </w:r>
      <w:r w:rsidR="00D64A34" w:rsidRPr="001951BA">
        <w:t>ations cooperating to prevent the illegal trade in environmentally</w:t>
      </w:r>
      <w:r w:rsidR="007446B3" w:rsidRPr="001951BA">
        <w:t xml:space="preserve"> </w:t>
      </w:r>
      <w:r w:rsidR="00D64A34" w:rsidRPr="001951BA">
        <w:t xml:space="preserve">sensitive commodities and substances and to facilitate the legal trade. The next meeting of the </w:t>
      </w:r>
      <w:r w:rsidR="00A253CD" w:rsidRPr="001951BA">
        <w:t>i</w:t>
      </w:r>
      <w:r w:rsidR="00D64A34" w:rsidRPr="001951BA">
        <w:t xml:space="preserve">nitiative is </w:t>
      </w:r>
      <w:r w:rsidR="007446B3" w:rsidRPr="001951BA">
        <w:t xml:space="preserve">to be held </w:t>
      </w:r>
      <w:r w:rsidR="00D64A34" w:rsidRPr="001951BA">
        <w:t>in Geneva on 2 and 3 October 2019.</w:t>
      </w:r>
    </w:p>
    <w:p w:rsidR="00737161" w:rsidRPr="00076075" w:rsidRDefault="009C69E8" w:rsidP="00ED53BC">
      <w:pPr>
        <w:pStyle w:val="Normalnumber"/>
        <w:tabs>
          <w:tab w:val="clear" w:pos="1134"/>
          <w:tab w:val="clear" w:pos="1247"/>
          <w:tab w:val="clear" w:pos="1814"/>
          <w:tab w:val="clear" w:pos="2381"/>
          <w:tab w:val="clear" w:pos="2948"/>
          <w:tab w:val="clear" w:pos="3515"/>
          <w:tab w:val="clear" w:pos="4082"/>
          <w:tab w:val="num" w:pos="624"/>
        </w:tabs>
      </w:pPr>
      <w:r w:rsidRPr="001951BA">
        <w:t xml:space="preserve">The Executive Secretary of the secretariat of the Minamata Convention will present a plenary lecture at the </w:t>
      </w:r>
      <w:r w:rsidR="00940009" w:rsidRPr="001951BA">
        <w:t xml:space="preserve">fourteenth </w:t>
      </w:r>
      <w:r w:rsidR="00737161" w:rsidRPr="001951BA">
        <w:t>International</w:t>
      </w:r>
      <w:r w:rsidR="00737161" w:rsidRPr="00076075">
        <w:t xml:space="preserve"> Conference on Mercury as a Global Pollutant</w:t>
      </w:r>
      <w:r w:rsidR="00A253CD" w:rsidRPr="00076075">
        <w:t>, to be</w:t>
      </w:r>
      <w:r w:rsidR="00906BA5" w:rsidRPr="00076075">
        <w:t xml:space="preserve"> held in </w:t>
      </w:r>
      <w:r w:rsidR="00A253CD" w:rsidRPr="00076075">
        <w:t xml:space="preserve">Krakow, </w:t>
      </w:r>
      <w:r w:rsidR="00906BA5" w:rsidRPr="00076075">
        <w:t>Poland</w:t>
      </w:r>
      <w:r w:rsidR="00940009" w:rsidRPr="00076075">
        <w:t>,</w:t>
      </w:r>
      <w:r w:rsidR="00906BA5" w:rsidRPr="00076075">
        <w:t xml:space="preserve"> </w:t>
      </w:r>
      <w:r w:rsidR="00940009" w:rsidRPr="00076075">
        <w:t xml:space="preserve">from </w:t>
      </w:r>
      <w:r w:rsidR="0051234D" w:rsidRPr="00076075">
        <w:t xml:space="preserve">8 </w:t>
      </w:r>
      <w:r w:rsidR="00940009" w:rsidRPr="00076075">
        <w:t xml:space="preserve">to </w:t>
      </w:r>
      <w:r w:rsidR="0051234D" w:rsidRPr="00076075">
        <w:t>13 September 2019</w:t>
      </w:r>
      <w:r w:rsidR="00737161" w:rsidRPr="00076075">
        <w:t>, on the need for scientific contribution to the implementation of the Minamata Convention</w:t>
      </w:r>
      <w:r w:rsidRPr="00076075">
        <w:t xml:space="preserve">. </w:t>
      </w:r>
      <w:r w:rsidR="002F16C5" w:rsidRPr="00076075">
        <w:t>The</w:t>
      </w:r>
      <w:r w:rsidR="00E80C5B" w:rsidRPr="00076075">
        <w:t xml:space="preserve"> secretariat </w:t>
      </w:r>
      <w:r w:rsidR="002F16C5" w:rsidRPr="00076075">
        <w:t xml:space="preserve">will make </w:t>
      </w:r>
      <w:r w:rsidR="0051234D" w:rsidRPr="00076075">
        <w:t>an oral presentation on the analysis of national priorities from Minamata Initial Assessments</w:t>
      </w:r>
      <w:r w:rsidR="00E80C5B" w:rsidRPr="00076075">
        <w:t xml:space="preserve"> </w:t>
      </w:r>
      <w:r w:rsidR="0051234D" w:rsidRPr="00076075">
        <w:t>and a poster presentation</w:t>
      </w:r>
      <w:r w:rsidR="00C47569" w:rsidRPr="00076075">
        <w:t xml:space="preserve"> on developing technical guidance for the implementation of the Convention.</w:t>
      </w:r>
    </w:p>
    <w:p w:rsidR="00124DEF" w:rsidRPr="00076075" w:rsidRDefault="00124DEF" w:rsidP="008B2A8D">
      <w:pPr>
        <w:pStyle w:val="Normalnumber"/>
        <w:keepNext/>
        <w:keepLines/>
        <w:tabs>
          <w:tab w:val="clear" w:pos="1134"/>
          <w:tab w:val="clear" w:pos="1247"/>
          <w:tab w:val="clear" w:pos="1814"/>
          <w:tab w:val="clear" w:pos="2381"/>
          <w:tab w:val="clear" w:pos="2948"/>
          <w:tab w:val="clear" w:pos="3515"/>
          <w:tab w:val="clear" w:pos="4082"/>
          <w:tab w:val="num" w:pos="624"/>
        </w:tabs>
      </w:pPr>
      <w:r w:rsidRPr="00076075">
        <w:t>The secretariat participated in other relevant international meetings,</w:t>
      </w:r>
      <w:r w:rsidR="00D64A34" w:rsidRPr="00076075">
        <w:t xml:space="preserve"> including </w:t>
      </w:r>
      <w:r w:rsidR="007446B3" w:rsidRPr="00076075">
        <w:t xml:space="preserve">those of </w:t>
      </w:r>
      <w:r w:rsidR="00D64A34" w:rsidRPr="00076075">
        <w:t>the United Nations Environment Assembly (11</w:t>
      </w:r>
      <w:r w:rsidR="00940009" w:rsidRPr="00076075">
        <w:sym w:font="Symbol" w:char="F02D"/>
      </w:r>
      <w:r w:rsidR="00D64A34" w:rsidRPr="00076075">
        <w:t xml:space="preserve">15 March 2019), </w:t>
      </w:r>
      <w:r w:rsidR="007446B3" w:rsidRPr="00076075">
        <w:t xml:space="preserve">the </w:t>
      </w:r>
      <w:r w:rsidR="00D64A34" w:rsidRPr="00076075">
        <w:t xml:space="preserve">World Health Assembly </w:t>
      </w:r>
      <w:r w:rsidR="00ED53BC">
        <w:br/>
      </w:r>
      <w:r w:rsidR="00D64A34" w:rsidRPr="00076075">
        <w:lastRenderedPageBreak/>
        <w:t>(20</w:t>
      </w:r>
      <w:r w:rsidR="00940009" w:rsidRPr="00076075">
        <w:sym w:font="Symbol" w:char="F02D"/>
      </w:r>
      <w:r w:rsidR="00D64A34" w:rsidRPr="00076075">
        <w:t>28 May 2019)</w:t>
      </w:r>
      <w:r w:rsidR="007446B3" w:rsidRPr="00076075">
        <w:t xml:space="preserve"> and the</w:t>
      </w:r>
      <w:r w:rsidR="00D64A34" w:rsidRPr="00076075">
        <w:t xml:space="preserve"> Executive Body of the Convention on Long-range Transboundary Air Pollution (10</w:t>
      </w:r>
      <w:r w:rsidR="00940009" w:rsidRPr="00076075">
        <w:sym w:font="Symbol" w:char="F02D"/>
      </w:r>
      <w:r w:rsidR="00D64A34" w:rsidRPr="00076075">
        <w:t>14 December 2018).</w:t>
      </w:r>
    </w:p>
    <w:p w:rsidR="00163DA4" w:rsidRPr="00076075" w:rsidRDefault="00163DA4" w:rsidP="00116AF5">
      <w:pPr>
        <w:pStyle w:val="CH1"/>
      </w:pPr>
      <w:r w:rsidRPr="00076075">
        <w:tab/>
        <w:t>VI.</w:t>
      </w:r>
      <w:r w:rsidRPr="00076075">
        <w:tab/>
        <w:t>Suggested action by the Conference of the Parties</w:t>
      </w:r>
    </w:p>
    <w:p w:rsidR="00163DA4" w:rsidRPr="00076075" w:rsidRDefault="00163DA4" w:rsidP="00ED53BC">
      <w:pPr>
        <w:pStyle w:val="Normalnumber"/>
        <w:tabs>
          <w:tab w:val="clear" w:pos="1134"/>
          <w:tab w:val="clear" w:pos="1247"/>
          <w:tab w:val="clear" w:pos="1814"/>
          <w:tab w:val="clear" w:pos="2381"/>
          <w:tab w:val="clear" w:pos="2948"/>
          <w:tab w:val="clear" w:pos="3515"/>
          <w:tab w:val="clear" w:pos="4082"/>
          <w:tab w:val="num" w:pos="624"/>
        </w:tabs>
      </w:pPr>
      <w:r w:rsidRPr="00076075">
        <w:t xml:space="preserve">The Conference of the Parties may wish to take note of the main activities of the secretariat in the </w:t>
      </w:r>
      <w:r w:rsidR="00EB09FC" w:rsidRPr="00076075">
        <w:t xml:space="preserve">intersessional </w:t>
      </w:r>
      <w:r w:rsidRPr="00076075">
        <w:t xml:space="preserve">period since the </w:t>
      </w:r>
      <w:r w:rsidR="004528D4" w:rsidRPr="00076075">
        <w:t>second</w:t>
      </w:r>
      <w:r w:rsidRPr="00076075">
        <w:t xml:space="preserve"> meeting of the Conference of the Parties. </w:t>
      </w:r>
    </w:p>
    <w:p w:rsidR="001D2D56" w:rsidRPr="00076075" w:rsidRDefault="001D2D56" w:rsidP="00E34F4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076075" w:rsidTr="00990918">
        <w:tc>
          <w:tcPr>
            <w:tcW w:w="1942" w:type="dxa"/>
            <w:shd w:val="clear" w:color="auto" w:fill="auto"/>
          </w:tcPr>
          <w:p w:rsidR="00E976AB" w:rsidRPr="00076075" w:rsidRDefault="00E976AB" w:rsidP="004455F3">
            <w:pPr>
              <w:pStyle w:val="Normal-pool"/>
              <w:tabs>
                <w:tab w:val="left" w:pos="624"/>
                <w:tab w:val="left" w:pos="1871"/>
                <w:tab w:val="left" w:pos="2495"/>
              </w:tabs>
              <w:spacing w:before="520"/>
            </w:pPr>
          </w:p>
        </w:tc>
        <w:tc>
          <w:tcPr>
            <w:tcW w:w="1942" w:type="dxa"/>
            <w:shd w:val="clear" w:color="auto" w:fill="auto"/>
          </w:tcPr>
          <w:p w:rsidR="00E976AB" w:rsidRPr="000760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rsidR="00E976AB" w:rsidRPr="00076075" w:rsidRDefault="00E976AB" w:rsidP="004455F3">
            <w:pPr>
              <w:pStyle w:val="Normal-pool"/>
              <w:tabs>
                <w:tab w:val="left" w:pos="624"/>
                <w:tab w:val="left" w:pos="1871"/>
                <w:tab w:val="left" w:pos="2495"/>
              </w:tabs>
              <w:spacing w:before="520"/>
            </w:pPr>
          </w:p>
        </w:tc>
        <w:tc>
          <w:tcPr>
            <w:tcW w:w="1943" w:type="dxa"/>
            <w:shd w:val="clear" w:color="auto" w:fill="auto"/>
          </w:tcPr>
          <w:p w:rsidR="00E976AB" w:rsidRPr="00076075" w:rsidRDefault="00E976AB" w:rsidP="004455F3">
            <w:pPr>
              <w:pStyle w:val="Normal-pool"/>
              <w:tabs>
                <w:tab w:val="left" w:pos="624"/>
                <w:tab w:val="left" w:pos="1871"/>
                <w:tab w:val="left" w:pos="2495"/>
              </w:tabs>
              <w:spacing w:before="520"/>
            </w:pPr>
          </w:p>
        </w:tc>
        <w:tc>
          <w:tcPr>
            <w:tcW w:w="1943" w:type="dxa"/>
            <w:shd w:val="clear" w:color="auto" w:fill="auto"/>
          </w:tcPr>
          <w:p w:rsidR="00E976AB" w:rsidRPr="00076075" w:rsidRDefault="00E976AB" w:rsidP="004455F3">
            <w:pPr>
              <w:pStyle w:val="Normal-pool"/>
              <w:tabs>
                <w:tab w:val="left" w:pos="624"/>
                <w:tab w:val="left" w:pos="1871"/>
                <w:tab w:val="left" w:pos="2495"/>
              </w:tabs>
              <w:spacing w:before="520"/>
            </w:pPr>
          </w:p>
        </w:tc>
      </w:tr>
      <w:bookmarkEnd w:id="4"/>
    </w:tbl>
    <w:p w:rsidR="00032E4E" w:rsidRPr="00076075" w:rsidRDefault="00032E4E" w:rsidP="004455F3">
      <w:pPr>
        <w:pStyle w:val="Normal-pool"/>
        <w:tabs>
          <w:tab w:val="left" w:pos="624"/>
          <w:tab w:val="left" w:pos="1871"/>
          <w:tab w:val="left" w:pos="2495"/>
        </w:tabs>
      </w:pPr>
    </w:p>
    <w:sectPr w:rsidR="00032E4E" w:rsidRPr="000760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3FB" w:rsidRDefault="006633FB">
      <w:r>
        <w:separator/>
      </w:r>
    </w:p>
  </w:endnote>
  <w:endnote w:type="continuationSeparator" w:id="0">
    <w:p w:rsidR="006633FB" w:rsidRDefault="0066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879" w:rsidRDefault="000C1879" w:rsidP="005722E5">
    <w:pPr>
      <w:pStyle w:val="Footer"/>
      <w:tabs>
        <w:tab w:val="clear" w:pos="1247"/>
        <w:tab w:val="clear" w:pos="1814"/>
        <w:tab w:val="clear" w:pos="2381"/>
        <w:tab w:val="clear" w:pos="2948"/>
        <w:tab w:val="clear" w:pos="3515"/>
        <w:tab w:val="clear" w:pos="4320"/>
        <w:tab w:val="clear" w:pos="8640"/>
        <w:tab w:val="center" w:pos="4748"/>
      </w:tabs>
    </w:pPr>
    <w:r>
      <w:rPr>
        <w:rStyle w:val="PageNumber"/>
      </w:rPr>
      <w:fldChar w:fldCharType="begin"/>
    </w:r>
    <w:r>
      <w:rPr>
        <w:rStyle w:val="PageNumber"/>
      </w:rPr>
      <w:instrText xml:space="preserve"> PAGE </w:instrText>
    </w:r>
    <w:r>
      <w:rPr>
        <w:rStyle w:val="PageNumber"/>
      </w:rPr>
      <w:fldChar w:fldCharType="separate"/>
    </w:r>
    <w:r w:rsidR="008B2A8D">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879" w:rsidRDefault="000C187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B2A8D">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879" w:rsidRPr="00116AF5" w:rsidRDefault="00ED53BC" w:rsidP="00B848A1">
    <w:pPr>
      <w:pStyle w:val="Footer"/>
      <w:tabs>
        <w:tab w:val="clear" w:pos="1247"/>
        <w:tab w:val="clear" w:pos="1814"/>
        <w:tab w:val="clear" w:pos="2381"/>
        <w:tab w:val="clear" w:pos="2948"/>
        <w:tab w:val="clear" w:pos="3515"/>
        <w:tab w:val="clear" w:pos="4320"/>
        <w:tab w:val="clear" w:pos="8640"/>
        <w:tab w:val="left" w:pos="624"/>
      </w:tabs>
      <w:rPr>
        <w:sz w:val="20"/>
      </w:rPr>
    </w:pPr>
    <w:r>
      <w:rPr>
        <w:sz w:val="20"/>
      </w:rPr>
      <w:t>K1903668</w:t>
    </w:r>
    <w:r>
      <w:rPr>
        <w:sz w:val="20"/>
      </w:rPr>
      <w:tab/>
    </w:r>
    <w:r w:rsidR="008B2A8D">
      <w:rPr>
        <w:sz w:val="20"/>
      </w:rPr>
      <w:t>2309</w:t>
    </w:r>
    <w:r>
      <w:rPr>
        <w:sz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3FB" w:rsidRDefault="006633FB" w:rsidP="00B86BDF">
      <w:pPr>
        <w:spacing w:before="60"/>
        <w:ind w:left="624"/>
      </w:pPr>
      <w:r>
        <w:separator/>
      </w:r>
    </w:p>
  </w:footnote>
  <w:footnote w:type="continuationSeparator" w:id="0">
    <w:p w:rsidR="006633FB" w:rsidRDefault="006633FB">
      <w:r>
        <w:continuationSeparator/>
      </w:r>
    </w:p>
  </w:footnote>
  <w:footnote w:id="1">
    <w:p w:rsidR="000C1879" w:rsidRPr="00B30442" w:rsidRDefault="000C1879" w:rsidP="001D2D56">
      <w:pPr>
        <w:tabs>
          <w:tab w:val="left" w:pos="624"/>
        </w:tabs>
        <w:spacing w:before="20" w:after="40"/>
        <w:ind w:left="1247"/>
        <w:rPr>
          <w:sz w:val="18"/>
          <w:szCs w:val="18"/>
        </w:rPr>
      </w:pPr>
      <w:r w:rsidRPr="00B30442">
        <w:rPr>
          <w:sz w:val="18"/>
          <w:szCs w:val="18"/>
        </w:rPr>
        <w:t>* UNEP/MC/COP.</w:t>
      </w:r>
      <w:r>
        <w:rPr>
          <w:sz w:val="18"/>
          <w:szCs w:val="18"/>
        </w:rPr>
        <w:t>3</w:t>
      </w:r>
      <w:r w:rsidRPr="00B30442">
        <w:rPr>
          <w:sz w:val="18"/>
          <w:szCs w:val="18"/>
        </w:rPr>
        <w:t>/1.</w:t>
      </w:r>
    </w:p>
  </w:footnote>
  <w:footnote w:id="2">
    <w:p w:rsidR="000C1879" w:rsidRPr="000760B6" w:rsidRDefault="000C1879" w:rsidP="00ED53BC">
      <w:pPr>
        <w:pStyle w:val="FootnoteText"/>
        <w:tabs>
          <w:tab w:val="clear" w:pos="1247"/>
          <w:tab w:val="clear" w:pos="1814"/>
          <w:tab w:val="clear" w:pos="2381"/>
          <w:tab w:val="clear" w:pos="2948"/>
          <w:tab w:val="clear" w:pos="3515"/>
          <w:tab w:val="clear" w:pos="4082"/>
        </w:tabs>
        <w:rPr>
          <w:szCs w:val="18"/>
          <w:lang w:val="en-GB"/>
        </w:rPr>
      </w:pPr>
      <w:r w:rsidRPr="00E87859">
        <w:rPr>
          <w:rStyle w:val="FootnoteReference"/>
          <w:sz w:val="18"/>
        </w:rPr>
        <w:footnoteRef/>
      </w:r>
      <w:hyperlink w:history="1"/>
      <w:r>
        <w:rPr>
          <w:szCs w:val="18"/>
          <w:lang w:val="en-GB"/>
        </w:rPr>
        <w:t xml:space="preserve"> </w:t>
      </w:r>
      <w:hyperlink r:id="rId1" w:history="1">
        <w:r w:rsidRPr="00C22D64">
          <w:rPr>
            <w:rStyle w:val="Hyperlink"/>
            <w:sz w:val="18"/>
            <w:szCs w:val="18"/>
            <w:lang w:val="en-GB"/>
          </w:rPr>
          <w:t>http://mercuryconvention.org/Meetings/COPBureau/tabid/6328/language/en-US/Default.aspx</w:t>
        </w:r>
      </w:hyperlink>
      <w:r>
        <w:rPr>
          <w:szCs w:val="18"/>
          <w:lang w:val="en-GB"/>
        </w:rPr>
        <w:t>.</w:t>
      </w:r>
    </w:p>
  </w:footnote>
  <w:footnote w:id="3">
    <w:p w:rsidR="00A65343" w:rsidRPr="008B2A8D" w:rsidRDefault="00A65343">
      <w:pPr>
        <w:pStyle w:val="FootnoteText"/>
        <w:rPr>
          <w:szCs w:val="18"/>
          <w:lang w:val="en-US"/>
        </w:rPr>
      </w:pPr>
      <w:r w:rsidRPr="008B2A8D">
        <w:rPr>
          <w:rStyle w:val="FootnoteReference"/>
          <w:sz w:val="18"/>
        </w:rPr>
        <w:footnoteRef/>
      </w:r>
      <w:r w:rsidRPr="008B2A8D">
        <w:rPr>
          <w:szCs w:val="18"/>
          <w:lang w:val="en-US"/>
        </w:rPr>
        <w:t xml:space="preserve"> See http://www.mercuryconvention.org/Meetings/Othermeetings/tabid/8102/language/en-US/Default.aspx</w:t>
      </w:r>
      <w:r w:rsidR="00A72D9F" w:rsidRPr="008B2A8D">
        <w:rPr>
          <w:szCs w:val="18"/>
          <w:lang w:val="en-US"/>
        </w:rPr>
        <w:t>.</w:t>
      </w:r>
    </w:p>
  </w:footnote>
  <w:footnote w:id="4">
    <w:p w:rsidR="00A65343" w:rsidRPr="008B2A8D" w:rsidRDefault="00A65343">
      <w:pPr>
        <w:pStyle w:val="FootnoteText"/>
        <w:rPr>
          <w:szCs w:val="18"/>
          <w:lang w:val="en-US"/>
        </w:rPr>
      </w:pPr>
      <w:r w:rsidRPr="008B2A8D">
        <w:rPr>
          <w:rStyle w:val="FootnoteReference"/>
          <w:sz w:val="18"/>
        </w:rPr>
        <w:footnoteRef/>
      </w:r>
      <w:r w:rsidRPr="008B2A8D">
        <w:rPr>
          <w:szCs w:val="18"/>
          <w:lang w:val="en-US"/>
        </w:rPr>
        <w:t xml:space="preserve"> See http://www.mercuryconvention.org/Countries/Parties/MinamataInitialAssessments/tabid/6166/language/</w:t>
      </w:r>
      <w:r w:rsidR="009C71F9" w:rsidRPr="008B2A8D">
        <w:rPr>
          <w:szCs w:val="18"/>
          <w:lang w:val="en-US"/>
        </w:rPr>
        <w:br/>
      </w:r>
      <w:r w:rsidRPr="008B2A8D">
        <w:rPr>
          <w:szCs w:val="18"/>
          <w:lang w:val="en-US"/>
        </w:rPr>
        <w:t>en-US/Default.aspx</w:t>
      </w:r>
      <w:r w:rsidR="00A72D9F" w:rsidRPr="008B2A8D">
        <w:rPr>
          <w:szCs w:val="18"/>
          <w:lang w:val="en-US"/>
        </w:rPr>
        <w:t>.</w:t>
      </w:r>
    </w:p>
  </w:footnote>
  <w:footnote w:id="5">
    <w:p w:rsidR="00202081" w:rsidRPr="008B2A8D" w:rsidRDefault="00202081">
      <w:pPr>
        <w:pStyle w:val="FootnoteText"/>
        <w:rPr>
          <w:szCs w:val="18"/>
          <w:lang w:val="en-US"/>
        </w:rPr>
      </w:pPr>
      <w:r w:rsidRPr="008B2A8D">
        <w:rPr>
          <w:rStyle w:val="FootnoteReference"/>
          <w:sz w:val="18"/>
        </w:rPr>
        <w:footnoteRef/>
      </w:r>
      <w:r w:rsidRPr="008B2A8D">
        <w:rPr>
          <w:szCs w:val="18"/>
        </w:rPr>
        <w:t xml:space="preserve"> </w:t>
      </w:r>
      <w:proofErr w:type="spellStart"/>
      <w:r w:rsidRPr="008B2A8D">
        <w:rPr>
          <w:szCs w:val="18"/>
        </w:rPr>
        <w:t>See</w:t>
      </w:r>
      <w:proofErr w:type="spellEnd"/>
      <w:r w:rsidRPr="008B2A8D">
        <w:rPr>
          <w:szCs w:val="18"/>
        </w:rPr>
        <w:t xml:space="preserve"> </w:t>
      </w:r>
      <w:hyperlink r:id="rId2" w:history="1">
        <w:r w:rsidR="008B2A8D" w:rsidRPr="00AC233F">
          <w:rPr>
            <w:rStyle w:val="Hyperlink"/>
            <w:rFonts w:eastAsia="Times New Roman"/>
            <w:sz w:val="18"/>
            <w:szCs w:val="18"/>
            <w:lang w:val="en-GB"/>
          </w:rPr>
          <w:t>http://www.mercuryconvention.org/Countries/Parties/MinamataInitialAssessments/tabid/6166/language/</w:t>
        </w:r>
        <w:r w:rsidR="008B2A8D" w:rsidRPr="00AC233F">
          <w:rPr>
            <w:rStyle w:val="Hyperlink"/>
            <w:rFonts w:eastAsia="Times New Roman"/>
            <w:sz w:val="18"/>
            <w:szCs w:val="18"/>
            <w:lang w:val="en-GB"/>
          </w:rPr>
          <w:br/>
          <w:t>en-US/Default.aspx</w:t>
        </w:r>
      </w:hyperlink>
      <w:r w:rsidRPr="008B2A8D">
        <w:rPr>
          <w:rFonts w:eastAsia="Times New Roman"/>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879" w:rsidRPr="00CA5CA9" w:rsidRDefault="000C1879" w:rsidP="00163DA4">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879" w:rsidRPr="00CA5CA9" w:rsidRDefault="000C1879" w:rsidP="00163DA4">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879" w:rsidRDefault="000C1879"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47F0"/>
    <w:rsid w:val="000057BB"/>
    <w:rsid w:val="00006326"/>
    <w:rsid w:val="000077AD"/>
    <w:rsid w:val="00007A10"/>
    <w:rsid w:val="00011A16"/>
    <w:rsid w:val="000129ED"/>
    <w:rsid w:val="00014299"/>
    <w:rsid w:val="000149E6"/>
    <w:rsid w:val="00015793"/>
    <w:rsid w:val="00016905"/>
    <w:rsid w:val="00016CF8"/>
    <w:rsid w:val="00016D74"/>
    <w:rsid w:val="000229C8"/>
    <w:rsid w:val="00023CDA"/>
    <w:rsid w:val="00023DA9"/>
    <w:rsid w:val="000247B0"/>
    <w:rsid w:val="00025A6E"/>
    <w:rsid w:val="00025DEC"/>
    <w:rsid w:val="0002601B"/>
    <w:rsid w:val="00026997"/>
    <w:rsid w:val="00026A08"/>
    <w:rsid w:val="00032E4E"/>
    <w:rsid w:val="00033E0B"/>
    <w:rsid w:val="00035625"/>
    <w:rsid w:val="00035EDE"/>
    <w:rsid w:val="00040940"/>
    <w:rsid w:val="00043564"/>
    <w:rsid w:val="000476E5"/>
    <w:rsid w:val="00047F86"/>
    <w:rsid w:val="000509B4"/>
    <w:rsid w:val="00050F80"/>
    <w:rsid w:val="000520F4"/>
    <w:rsid w:val="00055E34"/>
    <w:rsid w:val="00056DD3"/>
    <w:rsid w:val="0006035B"/>
    <w:rsid w:val="0006096F"/>
    <w:rsid w:val="00060C96"/>
    <w:rsid w:val="000638B5"/>
    <w:rsid w:val="000649C5"/>
    <w:rsid w:val="00065554"/>
    <w:rsid w:val="00065F1D"/>
    <w:rsid w:val="00067D06"/>
    <w:rsid w:val="00071886"/>
    <w:rsid w:val="000742BC"/>
    <w:rsid w:val="00075E14"/>
    <w:rsid w:val="00076075"/>
    <w:rsid w:val="00076CC6"/>
    <w:rsid w:val="00082A0C"/>
    <w:rsid w:val="00083504"/>
    <w:rsid w:val="00086CCA"/>
    <w:rsid w:val="00087651"/>
    <w:rsid w:val="0009125A"/>
    <w:rsid w:val="0009640C"/>
    <w:rsid w:val="00096E1A"/>
    <w:rsid w:val="000A2160"/>
    <w:rsid w:val="000A252A"/>
    <w:rsid w:val="000A2585"/>
    <w:rsid w:val="000A34F8"/>
    <w:rsid w:val="000A776F"/>
    <w:rsid w:val="000B157E"/>
    <w:rsid w:val="000B21BF"/>
    <w:rsid w:val="000B22A2"/>
    <w:rsid w:val="000B2815"/>
    <w:rsid w:val="000B541B"/>
    <w:rsid w:val="000B73F9"/>
    <w:rsid w:val="000C1879"/>
    <w:rsid w:val="000C2A52"/>
    <w:rsid w:val="000C2A88"/>
    <w:rsid w:val="000C681B"/>
    <w:rsid w:val="000D23BD"/>
    <w:rsid w:val="000D33C0"/>
    <w:rsid w:val="000D4CF6"/>
    <w:rsid w:val="000D6941"/>
    <w:rsid w:val="000E15AC"/>
    <w:rsid w:val="000F3DCD"/>
    <w:rsid w:val="000F4829"/>
    <w:rsid w:val="000F5749"/>
    <w:rsid w:val="000F5EE9"/>
    <w:rsid w:val="000F6B21"/>
    <w:rsid w:val="00101046"/>
    <w:rsid w:val="00102259"/>
    <w:rsid w:val="00102EFB"/>
    <w:rsid w:val="00103F61"/>
    <w:rsid w:val="00116AF5"/>
    <w:rsid w:val="001202E3"/>
    <w:rsid w:val="00122F1D"/>
    <w:rsid w:val="00123699"/>
    <w:rsid w:val="001241FB"/>
    <w:rsid w:val="00124DEF"/>
    <w:rsid w:val="0013059D"/>
    <w:rsid w:val="0013415C"/>
    <w:rsid w:val="00136187"/>
    <w:rsid w:val="00136B56"/>
    <w:rsid w:val="00141A55"/>
    <w:rsid w:val="0014293F"/>
    <w:rsid w:val="0014397D"/>
    <w:rsid w:val="00144228"/>
    <w:rsid w:val="001446A3"/>
    <w:rsid w:val="0015159C"/>
    <w:rsid w:val="00152B6B"/>
    <w:rsid w:val="00155395"/>
    <w:rsid w:val="00155A2F"/>
    <w:rsid w:val="00156B6B"/>
    <w:rsid w:val="001571D5"/>
    <w:rsid w:val="00160153"/>
    <w:rsid w:val="00160703"/>
    <w:rsid w:val="00160D74"/>
    <w:rsid w:val="00161DCC"/>
    <w:rsid w:val="001636CA"/>
    <w:rsid w:val="00163DA4"/>
    <w:rsid w:val="001646EA"/>
    <w:rsid w:val="001647B4"/>
    <w:rsid w:val="00164B5A"/>
    <w:rsid w:val="00167D02"/>
    <w:rsid w:val="0017273E"/>
    <w:rsid w:val="001759D8"/>
    <w:rsid w:val="00176D34"/>
    <w:rsid w:val="00177D7F"/>
    <w:rsid w:val="00180C3F"/>
    <w:rsid w:val="00181EC8"/>
    <w:rsid w:val="00184349"/>
    <w:rsid w:val="001846ED"/>
    <w:rsid w:val="00185FEA"/>
    <w:rsid w:val="00192E01"/>
    <w:rsid w:val="001951BA"/>
    <w:rsid w:val="00195F33"/>
    <w:rsid w:val="00196301"/>
    <w:rsid w:val="001A0D41"/>
    <w:rsid w:val="001A47E5"/>
    <w:rsid w:val="001A60BF"/>
    <w:rsid w:val="001B1617"/>
    <w:rsid w:val="001B4AD2"/>
    <w:rsid w:val="001B504B"/>
    <w:rsid w:val="001B6AD6"/>
    <w:rsid w:val="001B6F98"/>
    <w:rsid w:val="001B764C"/>
    <w:rsid w:val="001C0D85"/>
    <w:rsid w:val="001C14BA"/>
    <w:rsid w:val="001C191A"/>
    <w:rsid w:val="001C2145"/>
    <w:rsid w:val="001C3C6E"/>
    <w:rsid w:val="001C73D3"/>
    <w:rsid w:val="001D2D56"/>
    <w:rsid w:val="001D2E42"/>
    <w:rsid w:val="001D3874"/>
    <w:rsid w:val="001D3938"/>
    <w:rsid w:val="001D5446"/>
    <w:rsid w:val="001D5BAB"/>
    <w:rsid w:val="001D6C02"/>
    <w:rsid w:val="001D7810"/>
    <w:rsid w:val="001D7E75"/>
    <w:rsid w:val="001D7EE0"/>
    <w:rsid w:val="001E0D73"/>
    <w:rsid w:val="001E45BD"/>
    <w:rsid w:val="001E56D2"/>
    <w:rsid w:val="001E6A71"/>
    <w:rsid w:val="001E7D56"/>
    <w:rsid w:val="001E7DCA"/>
    <w:rsid w:val="001F189C"/>
    <w:rsid w:val="001F5186"/>
    <w:rsid w:val="001F6E92"/>
    <w:rsid w:val="001F75DE"/>
    <w:rsid w:val="00200D58"/>
    <w:rsid w:val="002011C1"/>
    <w:rsid w:val="002013BE"/>
    <w:rsid w:val="00201EDC"/>
    <w:rsid w:val="00202081"/>
    <w:rsid w:val="00205D40"/>
    <w:rsid w:val="002063A4"/>
    <w:rsid w:val="00210333"/>
    <w:rsid w:val="0021145B"/>
    <w:rsid w:val="00214004"/>
    <w:rsid w:val="0021564E"/>
    <w:rsid w:val="00215C42"/>
    <w:rsid w:val="00220C23"/>
    <w:rsid w:val="002247F6"/>
    <w:rsid w:val="00225520"/>
    <w:rsid w:val="00225E21"/>
    <w:rsid w:val="00225E44"/>
    <w:rsid w:val="00226649"/>
    <w:rsid w:val="002269BD"/>
    <w:rsid w:val="00234E78"/>
    <w:rsid w:val="0024221E"/>
    <w:rsid w:val="00243D36"/>
    <w:rsid w:val="002444E5"/>
    <w:rsid w:val="00246151"/>
    <w:rsid w:val="0024701C"/>
    <w:rsid w:val="00247707"/>
    <w:rsid w:val="00247F3D"/>
    <w:rsid w:val="00252456"/>
    <w:rsid w:val="00256AAB"/>
    <w:rsid w:val="0026018E"/>
    <w:rsid w:val="00261785"/>
    <w:rsid w:val="00263DA2"/>
    <w:rsid w:val="00263DB4"/>
    <w:rsid w:val="002645CB"/>
    <w:rsid w:val="00264E52"/>
    <w:rsid w:val="0026658C"/>
    <w:rsid w:val="00267570"/>
    <w:rsid w:val="00274BDF"/>
    <w:rsid w:val="00282AA4"/>
    <w:rsid w:val="00286740"/>
    <w:rsid w:val="00291EAE"/>
    <w:rsid w:val="002929D8"/>
    <w:rsid w:val="002933F1"/>
    <w:rsid w:val="00293E1B"/>
    <w:rsid w:val="00295021"/>
    <w:rsid w:val="002A1A9B"/>
    <w:rsid w:val="002A237D"/>
    <w:rsid w:val="002A3012"/>
    <w:rsid w:val="002A3A95"/>
    <w:rsid w:val="002A4936"/>
    <w:rsid w:val="002A4C53"/>
    <w:rsid w:val="002A5CFF"/>
    <w:rsid w:val="002B0672"/>
    <w:rsid w:val="002B1A53"/>
    <w:rsid w:val="002B247F"/>
    <w:rsid w:val="002B3321"/>
    <w:rsid w:val="002B50D4"/>
    <w:rsid w:val="002B58BF"/>
    <w:rsid w:val="002C145D"/>
    <w:rsid w:val="002C18FD"/>
    <w:rsid w:val="002C2C3E"/>
    <w:rsid w:val="002C533E"/>
    <w:rsid w:val="002C7EFA"/>
    <w:rsid w:val="002D027F"/>
    <w:rsid w:val="002D3E15"/>
    <w:rsid w:val="002D5418"/>
    <w:rsid w:val="002D7A85"/>
    <w:rsid w:val="002D7B60"/>
    <w:rsid w:val="002E5027"/>
    <w:rsid w:val="002F15A5"/>
    <w:rsid w:val="002F16C5"/>
    <w:rsid w:val="002F4761"/>
    <w:rsid w:val="002F5C79"/>
    <w:rsid w:val="002F63CB"/>
    <w:rsid w:val="002F68EE"/>
    <w:rsid w:val="002F72BF"/>
    <w:rsid w:val="002F7DFA"/>
    <w:rsid w:val="003019E2"/>
    <w:rsid w:val="00303F72"/>
    <w:rsid w:val="00306355"/>
    <w:rsid w:val="003068E0"/>
    <w:rsid w:val="00310BEB"/>
    <w:rsid w:val="003125A4"/>
    <w:rsid w:val="0031413F"/>
    <w:rsid w:val="00314854"/>
    <w:rsid w:val="003148BB"/>
    <w:rsid w:val="00317976"/>
    <w:rsid w:val="00317AED"/>
    <w:rsid w:val="00320F2F"/>
    <w:rsid w:val="0032111B"/>
    <w:rsid w:val="0032457E"/>
    <w:rsid w:val="00325D38"/>
    <w:rsid w:val="0033079C"/>
    <w:rsid w:val="00332A3E"/>
    <w:rsid w:val="003436EE"/>
    <w:rsid w:val="00344A39"/>
    <w:rsid w:val="0035277E"/>
    <w:rsid w:val="003542DD"/>
    <w:rsid w:val="00355EA9"/>
    <w:rsid w:val="003578DE"/>
    <w:rsid w:val="00361688"/>
    <w:rsid w:val="00363C11"/>
    <w:rsid w:val="00364A8A"/>
    <w:rsid w:val="00367FD2"/>
    <w:rsid w:val="00370AEC"/>
    <w:rsid w:val="003802A9"/>
    <w:rsid w:val="00380921"/>
    <w:rsid w:val="003877D5"/>
    <w:rsid w:val="00391C83"/>
    <w:rsid w:val="003929B8"/>
    <w:rsid w:val="00393432"/>
    <w:rsid w:val="00396257"/>
    <w:rsid w:val="003962DC"/>
    <w:rsid w:val="003965CD"/>
    <w:rsid w:val="00397EB8"/>
    <w:rsid w:val="003A4FD0"/>
    <w:rsid w:val="003A69D1"/>
    <w:rsid w:val="003A6D07"/>
    <w:rsid w:val="003A7378"/>
    <w:rsid w:val="003A7705"/>
    <w:rsid w:val="003A77F1"/>
    <w:rsid w:val="003B1545"/>
    <w:rsid w:val="003B2198"/>
    <w:rsid w:val="003B3F20"/>
    <w:rsid w:val="003B57EE"/>
    <w:rsid w:val="003C0BCD"/>
    <w:rsid w:val="003C3219"/>
    <w:rsid w:val="003C390C"/>
    <w:rsid w:val="003C409D"/>
    <w:rsid w:val="003C4544"/>
    <w:rsid w:val="003C4BEA"/>
    <w:rsid w:val="003C5583"/>
    <w:rsid w:val="003C5BA6"/>
    <w:rsid w:val="003C613E"/>
    <w:rsid w:val="003C74CF"/>
    <w:rsid w:val="003C7BFD"/>
    <w:rsid w:val="003D2EBD"/>
    <w:rsid w:val="003D3752"/>
    <w:rsid w:val="003D5383"/>
    <w:rsid w:val="003E163E"/>
    <w:rsid w:val="003E19B5"/>
    <w:rsid w:val="003E35DA"/>
    <w:rsid w:val="003E396D"/>
    <w:rsid w:val="003E455D"/>
    <w:rsid w:val="003E787F"/>
    <w:rsid w:val="003F0E85"/>
    <w:rsid w:val="003F4ACC"/>
    <w:rsid w:val="003F5410"/>
    <w:rsid w:val="00400697"/>
    <w:rsid w:val="00401406"/>
    <w:rsid w:val="00404AAE"/>
    <w:rsid w:val="00405DE0"/>
    <w:rsid w:val="0041070F"/>
    <w:rsid w:val="00410C55"/>
    <w:rsid w:val="004156B9"/>
    <w:rsid w:val="00416337"/>
    <w:rsid w:val="00416854"/>
    <w:rsid w:val="00417725"/>
    <w:rsid w:val="0041774D"/>
    <w:rsid w:val="00422478"/>
    <w:rsid w:val="0042266F"/>
    <w:rsid w:val="00434182"/>
    <w:rsid w:val="00434321"/>
    <w:rsid w:val="00436481"/>
    <w:rsid w:val="00437F26"/>
    <w:rsid w:val="00444097"/>
    <w:rsid w:val="00445487"/>
    <w:rsid w:val="004455F3"/>
    <w:rsid w:val="00445892"/>
    <w:rsid w:val="00447E0D"/>
    <w:rsid w:val="004528D4"/>
    <w:rsid w:val="00453EA8"/>
    <w:rsid w:val="00454769"/>
    <w:rsid w:val="00454AC0"/>
    <w:rsid w:val="00460BA0"/>
    <w:rsid w:val="00466991"/>
    <w:rsid w:val="00466E9A"/>
    <w:rsid w:val="0046742E"/>
    <w:rsid w:val="0047064C"/>
    <w:rsid w:val="00471EFD"/>
    <w:rsid w:val="00473ADC"/>
    <w:rsid w:val="00476998"/>
    <w:rsid w:val="00477DD2"/>
    <w:rsid w:val="00481A02"/>
    <w:rsid w:val="004822B7"/>
    <w:rsid w:val="004834A0"/>
    <w:rsid w:val="0048795D"/>
    <w:rsid w:val="00491546"/>
    <w:rsid w:val="00493C8B"/>
    <w:rsid w:val="0049469E"/>
    <w:rsid w:val="004A0EA9"/>
    <w:rsid w:val="004A1764"/>
    <w:rsid w:val="004A2217"/>
    <w:rsid w:val="004A24F9"/>
    <w:rsid w:val="004A41A6"/>
    <w:rsid w:val="004A42E1"/>
    <w:rsid w:val="004A5A14"/>
    <w:rsid w:val="004B162C"/>
    <w:rsid w:val="004B2ABE"/>
    <w:rsid w:val="004B306E"/>
    <w:rsid w:val="004B3640"/>
    <w:rsid w:val="004B41E8"/>
    <w:rsid w:val="004B6D73"/>
    <w:rsid w:val="004C395E"/>
    <w:rsid w:val="004C3DBE"/>
    <w:rsid w:val="004C5C96"/>
    <w:rsid w:val="004D06A4"/>
    <w:rsid w:val="004D1E58"/>
    <w:rsid w:val="004D3532"/>
    <w:rsid w:val="004D7C42"/>
    <w:rsid w:val="004E7605"/>
    <w:rsid w:val="004F110B"/>
    <w:rsid w:val="004F1A81"/>
    <w:rsid w:val="004F241C"/>
    <w:rsid w:val="004F5D88"/>
    <w:rsid w:val="00501354"/>
    <w:rsid w:val="005018A8"/>
    <w:rsid w:val="0050443A"/>
    <w:rsid w:val="005050D2"/>
    <w:rsid w:val="0050717C"/>
    <w:rsid w:val="00510E10"/>
    <w:rsid w:val="0051234D"/>
    <w:rsid w:val="005143C3"/>
    <w:rsid w:val="005218D9"/>
    <w:rsid w:val="00522D1E"/>
    <w:rsid w:val="00523412"/>
    <w:rsid w:val="005277D9"/>
    <w:rsid w:val="00533846"/>
    <w:rsid w:val="0053537B"/>
    <w:rsid w:val="005357D4"/>
    <w:rsid w:val="00536186"/>
    <w:rsid w:val="00536286"/>
    <w:rsid w:val="00542347"/>
    <w:rsid w:val="00543ED6"/>
    <w:rsid w:val="00544CBB"/>
    <w:rsid w:val="00545DED"/>
    <w:rsid w:val="0054632F"/>
    <w:rsid w:val="0055010C"/>
    <w:rsid w:val="00550474"/>
    <w:rsid w:val="005506E0"/>
    <w:rsid w:val="00551B65"/>
    <w:rsid w:val="00552EBE"/>
    <w:rsid w:val="00554EF6"/>
    <w:rsid w:val="00555A3B"/>
    <w:rsid w:val="00556704"/>
    <w:rsid w:val="0056514B"/>
    <w:rsid w:val="005656D7"/>
    <w:rsid w:val="005722E5"/>
    <w:rsid w:val="0057315F"/>
    <w:rsid w:val="0057433C"/>
    <w:rsid w:val="00576104"/>
    <w:rsid w:val="00586418"/>
    <w:rsid w:val="005867AF"/>
    <w:rsid w:val="00592B21"/>
    <w:rsid w:val="005A204C"/>
    <w:rsid w:val="005A57BF"/>
    <w:rsid w:val="005B0234"/>
    <w:rsid w:val="005B0A2B"/>
    <w:rsid w:val="005B11E4"/>
    <w:rsid w:val="005B2DF4"/>
    <w:rsid w:val="005B3E4A"/>
    <w:rsid w:val="005B44BF"/>
    <w:rsid w:val="005B5A93"/>
    <w:rsid w:val="005B7BE9"/>
    <w:rsid w:val="005C67C8"/>
    <w:rsid w:val="005C75A5"/>
    <w:rsid w:val="005D0249"/>
    <w:rsid w:val="005D18FA"/>
    <w:rsid w:val="005D34F8"/>
    <w:rsid w:val="005D4FD4"/>
    <w:rsid w:val="005D5283"/>
    <w:rsid w:val="005D6E8C"/>
    <w:rsid w:val="005E028E"/>
    <w:rsid w:val="005E2D58"/>
    <w:rsid w:val="005E3004"/>
    <w:rsid w:val="005E375F"/>
    <w:rsid w:val="005E6E34"/>
    <w:rsid w:val="005E7EFC"/>
    <w:rsid w:val="005F0E76"/>
    <w:rsid w:val="005F100C"/>
    <w:rsid w:val="005F68DA"/>
    <w:rsid w:val="005F6B9C"/>
    <w:rsid w:val="005F6F0C"/>
    <w:rsid w:val="005F7419"/>
    <w:rsid w:val="00600028"/>
    <w:rsid w:val="006014A4"/>
    <w:rsid w:val="00601BC9"/>
    <w:rsid w:val="00606066"/>
    <w:rsid w:val="0060758A"/>
    <w:rsid w:val="0060773B"/>
    <w:rsid w:val="006111FE"/>
    <w:rsid w:val="00613212"/>
    <w:rsid w:val="00613A98"/>
    <w:rsid w:val="00613B98"/>
    <w:rsid w:val="00613FD6"/>
    <w:rsid w:val="00615538"/>
    <w:rsid w:val="006157B5"/>
    <w:rsid w:val="00617224"/>
    <w:rsid w:val="0062338D"/>
    <w:rsid w:val="00626FC6"/>
    <w:rsid w:val="00627756"/>
    <w:rsid w:val="00627F23"/>
    <w:rsid w:val="006303B4"/>
    <w:rsid w:val="00630ADC"/>
    <w:rsid w:val="00633224"/>
    <w:rsid w:val="00633D3D"/>
    <w:rsid w:val="006342C0"/>
    <w:rsid w:val="00636171"/>
    <w:rsid w:val="0064050B"/>
    <w:rsid w:val="00641703"/>
    <w:rsid w:val="0064198B"/>
    <w:rsid w:val="006424A1"/>
    <w:rsid w:val="006431A6"/>
    <w:rsid w:val="00643E3A"/>
    <w:rsid w:val="006459F6"/>
    <w:rsid w:val="0064735D"/>
    <w:rsid w:val="00647A35"/>
    <w:rsid w:val="006501AD"/>
    <w:rsid w:val="00651BFA"/>
    <w:rsid w:val="00654475"/>
    <w:rsid w:val="00656DF0"/>
    <w:rsid w:val="00661A1B"/>
    <w:rsid w:val="006633FB"/>
    <w:rsid w:val="00665A4B"/>
    <w:rsid w:val="00665E01"/>
    <w:rsid w:val="00670FAE"/>
    <w:rsid w:val="00671575"/>
    <w:rsid w:val="00672A66"/>
    <w:rsid w:val="00677848"/>
    <w:rsid w:val="006817A0"/>
    <w:rsid w:val="00682216"/>
    <w:rsid w:val="006834AA"/>
    <w:rsid w:val="00691A63"/>
    <w:rsid w:val="00691DD4"/>
    <w:rsid w:val="00692E2A"/>
    <w:rsid w:val="006946B1"/>
    <w:rsid w:val="0069496A"/>
    <w:rsid w:val="00696C1C"/>
    <w:rsid w:val="00696F0B"/>
    <w:rsid w:val="006973E7"/>
    <w:rsid w:val="006A76F2"/>
    <w:rsid w:val="006B1869"/>
    <w:rsid w:val="006B2BE8"/>
    <w:rsid w:val="006B7D29"/>
    <w:rsid w:val="006C121E"/>
    <w:rsid w:val="006C2CFD"/>
    <w:rsid w:val="006C4DC6"/>
    <w:rsid w:val="006D19D4"/>
    <w:rsid w:val="006D4CFF"/>
    <w:rsid w:val="006D53A7"/>
    <w:rsid w:val="006D5644"/>
    <w:rsid w:val="006D7EFB"/>
    <w:rsid w:val="006E2F80"/>
    <w:rsid w:val="006E5D36"/>
    <w:rsid w:val="006E6672"/>
    <w:rsid w:val="006E6722"/>
    <w:rsid w:val="006E7303"/>
    <w:rsid w:val="006E7F65"/>
    <w:rsid w:val="006F7AFF"/>
    <w:rsid w:val="007027B9"/>
    <w:rsid w:val="007066B5"/>
    <w:rsid w:val="00710B86"/>
    <w:rsid w:val="00714266"/>
    <w:rsid w:val="007145DA"/>
    <w:rsid w:val="00715E88"/>
    <w:rsid w:val="00716D8B"/>
    <w:rsid w:val="00717F7C"/>
    <w:rsid w:val="007240B8"/>
    <w:rsid w:val="00724AE3"/>
    <w:rsid w:val="00726AC2"/>
    <w:rsid w:val="00726B83"/>
    <w:rsid w:val="007274FC"/>
    <w:rsid w:val="00730F7E"/>
    <w:rsid w:val="00731084"/>
    <w:rsid w:val="00734CAA"/>
    <w:rsid w:val="00737161"/>
    <w:rsid w:val="00740EE2"/>
    <w:rsid w:val="00742680"/>
    <w:rsid w:val="007446B3"/>
    <w:rsid w:val="0074592E"/>
    <w:rsid w:val="007520DD"/>
    <w:rsid w:val="007525F2"/>
    <w:rsid w:val="0075533C"/>
    <w:rsid w:val="007559F3"/>
    <w:rsid w:val="00755A18"/>
    <w:rsid w:val="00757581"/>
    <w:rsid w:val="007602F5"/>
    <w:rsid w:val="00760D36"/>
    <w:rsid w:val="007611A0"/>
    <w:rsid w:val="007621C5"/>
    <w:rsid w:val="00766421"/>
    <w:rsid w:val="00772574"/>
    <w:rsid w:val="00773755"/>
    <w:rsid w:val="00773E54"/>
    <w:rsid w:val="007778C0"/>
    <w:rsid w:val="0078076B"/>
    <w:rsid w:val="00782F4F"/>
    <w:rsid w:val="00787688"/>
    <w:rsid w:val="0079184F"/>
    <w:rsid w:val="007935E6"/>
    <w:rsid w:val="00796D3F"/>
    <w:rsid w:val="00797E0E"/>
    <w:rsid w:val="007A1683"/>
    <w:rsid w:val="007A296C"/>
    <w:rsid w:val="007A5C12"/>
    <w:rsid w:val="007A7CB0"/>
    <w:rsid w:val="007B68A3"/>
    <w:rsid w:val="007C2541"/>
    <w:rsid w:val="007C2B61"/>
    <w:rsid w:val="007C6EC6"/>
    <w:rsid w:val="007D07F0"/>
    <w:rsid w:val="007D4489"/>
    <w:rsid w:val="007D4F15"/>
    <w:rsid w:val="007D66A8"/>
    <w:rsid w:val="007E003F"/>
    <w:rsid w:val="007E0C10"/>
    <w:rsid w:val="007E49E3"/>
    <w:rsid w:val="007E7662"/>
    <w:rsid w:val="007F0CF8"/>
    <w:rsid w:val="007F14C7"/>
    <w:rsid w:val="007F161D"/>
    <w:rsid w:val="007F455C"/>
    <w:rsid w:val="007F5E1B"/>
    <w:rsid w:val="007F62CB"/>
    <w:rsid w:val="00811658"/>
    <w:rsid w:val="0081179B"/>
    <w:rsid w:val="008142EC"/>
    <w:rsid w:val="008164F2"/>
    <w:rsid w:val="00817A43"/>
    <w:rsid w:val="00820194"/>
    <w:rsid w:val="00821395"/>
    <w:rsid w:val="0082239E"/>
    <w:rsid w:val="0083015F"/>
    <w:rsid w:val="00830E26"/>
    <w:rsid w:val="00832FA2"/>
    <w:rsid w:val="00834368"/>
    <w:rsid w:val="0083441A"/>
    <w:rsid w:val="00836C70"/>
    <w:rsid w:val="008403F7"/>
    <w:rsid w:val="008409E0"/>
    <w:rsid w:val="00843576"/>
    <w:rsid w:val="00843B64"/>
    <w:rsid w:val="00845261"/>
    <w:rsid w:val="008475E0"/>
    <w:rsid w:val="008478FC"/>
    <w:rsid w:val="008507C4"/>
    <w:rsid w:val="00851C51"/>
    <w:rsid w:val="008538F7"/>
    <w:rsid w:val="008568CC"/>
    <w:rsid w:val="0085696F"/>
    <w:rsid w:val="00863034"/>
    <w:rsid w:val="0086585B"/>
    <w:rsid w:val="00866E60"/>
    <w:rsid w:val="00867BFF"/>
    <w:rsid w:val="00871542"/>
    <w:rsid w:val="00872A3D"/>
    <w:rsid w:val="00872BF6"/>
    <w:rsid w:val="008731DD"/>
    <w:rsid w:val="00874046"/>
    <w:rsid w:val="00874BEA"/>
    <w:rsid w:val="0088480A"/>
    <w:rsid w:val="008859BA"/>
    <w:rsid w:val="0088609C"/>
    <w:rsid w:val="0088757A"/>
    <w:rsid w:val="0089431B"/>
    <w:rsid w:val="00894CA8"/>
    <w:rsid w:val="00895668"/>
    <w:rsid w:val="008957DD"/>
    <w:rsid w:val="00897B15"/>
    <w:rsid w:val="00897D98"/>
    <w:rsid w:val="008A0693"/>
    <w:rsid w:val="008A11D9"/>
    <w:rsid w:val="008A5496"/>
    <w:rsid w:val="008A6DF2"/>
    <w:rsid w:val="008A7807"/>
    <w:rsid w:val="008A7943"/>
    <w:rsid w:val="008B2A8D"/>
    <w:rsid w:val="008B324C"/>
    <w:rsid w:val="008B4CC9"/>
    <w:rsid w:val="008B594A"/>
    <w:rsid w:val="008B72D4"/>
    <w:rsid w:val="008C0B15"/>
    <w:rsid w:val="008D56A8"/>
    <w:rsid w:val="008D75E4"/>
    <w:rsid w:val="008D7C99"/>
    <w:rsid w:val="008E0FCB"/>
    <w:rsid w:val="008E39A3"/>
    <w:rsid w:val="008E46A9"/>
    <w:rsid w:val="008E673A"/>
    <w:rsid w:val="008F6DFE"/>
    <w:rsid w:val="008F71A0"/>
    <w:rsid w:val="00902A66"/>
    <w:rsid w:val="0090529F"/>
    <w:rsid w:val="00906BA5"/>
    <w:rsid w:val="0091009C"/>
    <w:rsid w:val="00914F6E"/>
    <w:rsid w:val="00917517"/>
    <w:rsid w:val="0092178C"/>
    <w:rsid w:val="00923A9E"/>
    <w:rsid w:val="009263C0"/>
    <w:rsid w:val="00930B88"/>
    <w:rsid w:val="009332EA"/>
    <w:rsid w:val="009343C2"/>
    <w:rsid w:val="00935376"/>
    <w:rsid w:val="009358C0"/>
    <w:rsid w:val="00940009"/>
    <w:rsid w:val="00940DCC"/>
    <w:rsid w:val="0094179A"/>
    <w:rsid w:val="0094459E"/>
    <w:rsid w:val="00944DBC"/>
    <w:rsid w:val="00947112"/>
    <w:rsid w:val="00947C60"/>
    <w:rsid w:val="00950977"/>
    <w:rsid w:val="00951151"/>
    <w:rsid w:val="00951A7B"/>
    <w:rsid w:val="00952F83"/>
    <w:rsid w:val="00955512"/>
    <w:rsid w:val="009564A6"/>
    <w:rsid w:val="00957C14"/>
    <w:rsid w:val="00957EF8"/>
    <w:rsid w:val="00965777"/>
    <w:rsid w:val="00966A53"/>
    <w:rsid w:val="00967621"/>
    <w:rsid w:val="00967E6A"/>
    <w:rsid w:val="009710B4"/>
    <w:rsid w:val="00976789"/>
    <w:rsid w:val="00976984"/>
    <w:rsid w:val="00982A88"/>
    <w:rsid w:val="009907B9"/>
    <w:rsid w:val="00990918"/>
    <w:rsid w:val="009A3A83"/>
    <w:rsid w:val="009A46B4"/>
    <w:rsid w:val="009B41E5"/>
    <w:rsid w:val="009B4A0F"/>
    <w:rsid w:val="009C027D"/>
    <w:rsid w:val="009C11D2"/>
    <w:rsid w:val="009C27F8"/>
    <w:rsid w:val="009C37BA"/>
    <w:rsid w:val="009C6444"/>
    <w:rsid w:val="009C68A0"/>
    <w:rsid w:val="009C69E8"/>
    <w:rsid w:val="009C6B8D"/>
    <w:rsid w:val="009C6C70"/>
    <w:rsid w:val="009C71F9"/>
    <w:rsid w:val="009C7B0A"/>
    <w:rsid w:val="009D0861"/>
    <w:rsid w:val="009D0B63"/>
    <w:rsid w:val="009D5267"/>
    <w:rsid w:val="009D5CB8"/>
    <w:rsid w:val="009D5FAF"/>
    <w:rsid w:val="009E0B3E"/>
    <w:rsid w:val="009E2608"/>
    <w:rsid w:val="009E307E"/>
    <w:rsid w:val="009F03E7"/>
    <w:rsid w:val="009F2D78"/>
    <w:rsid w:val="009F6FF9"/>
    <w:rsid w:val="00A01AE7"/>
    <w:rsid w:val="00A046A9"/>
    <w:rsid w:val="00A07870"/>
    <w:rsid w:val="00A07C54"/>
    <w:rsid w:val="00A07F19"/>
    <w:rsid w:val="00A10E5E"/>
    <w:rsid w:val="00A1348D"/>
    <w:rsid w:val="00A13C99"/>
    <w:rsid w:val="00A22DF4"/>
    <w:rsid w:val="00A22FCD"/>
    <w:rsid w:val="00A232EE"/>
    <w:rsid w:val="00A24E79"/>
    <w:rsid w:val="00A253CD"/>
    <w:rsid w:val="00A26A6B"/>
    <w:rsid w:val="00A31E58"/>
    <w:rsid w:val="00A31E7C"/>
    <w:rsid w:val="00A3227A"/>
    <w:rsid w:val="00A327F8"/>
    <w:rsid w:val="00A36CC5"/>
    <w:rsid w:val="00A4175F"/>
    <w:rsid w:val="00A44411"/>
    <w:rsid w:val="00A46721"/>
    <w:rsid w:val="00A469FA"/>
    <w:rsid w:val="00A47A6E"/>
    <w:rsid w:val="00A52888"/>
    <w:rsid w:val="00A53662"/>
    <w:rsid w:val="00A54564"/>
    <w:rsid w:val="00A54C1D"/>
    <w:rsid w:val="00A55B01"/>
    <w:rsid w:val="00A56B5B"/>
    <w:rsid w:val="00A603FF"/>
    <w:rsid w:val="00A619B6"/>
    <w:rsid w:val="00A648CA"/>
    <w:rsid w:val="00A65343"/>
    <w:rsid w:val="00A657DD"/>
    <w:rsid w:val="00A65EA7"/>
    <w:rsid w:val="00A666A6"/>
    <w:rsid w:val="00A675FD"/>
    <w:rsid w:val="00A72437"/>
    <w:rsid w:val="00A72702"/>
    <w:rsid w:val="00A72D9F"/>
    <w:rsid w:val="00A8048B"/>
    <w:rsid w:val="00A80611"/>
    <w:rsid w:val="00A83435"/>
    <w:rsid w:val="00A91E6D"/>
    <w:rsid w:val="00A92EA5"/>
    <w:rsid w:val="00A933AD"/>
    <w:rsid w:val="00AA5BF4"/>
    <w:rsid w:val="00AB0C25"/>
    <w:rsid w:val="00AB1B4E"/>
    <w:rsid w:val="00AB3D73"/>
    <w:rsid w:val="00AB3FBB"/>
    <w:rsid w:val="00AB4558"/>
    <w:rsid w:val="00AB5340"/>
    <w:rsid w:val="00AC0A89"/>
    <w:rsid w:val="00AC2279"/>
    <w:rsid w:val="00AC527E"/>
    <w:rsid w:val="00AC7C96"/>
    <w:rsid w:val="00AD0E6F"/>
    <w:rsid w:val="00AD1031"/>
    <w:rsid w:val="00AD144D"/>
    <w:rsid w:val="00AD3593"/>
    <w:rsid w:val="00AD658F"/>
    <w:rsid w:val="00AE0812"/>
    <w:rsid w:val="00AE237D"/>
    <w:rsid w:val="00AE41C9"/>
    <w:rsid w:val="00AE502A"/>
    <w:rsid w:val="00AF0010"/>
    <w:rsid w:val="00AF0D9A"/>
    <w:rsid w:val="00AF0FF5"/>
    <w:rsid w:val="00AF165D"/>
    <w:rsid w:val="00AF1788"/>
    <w:rsid w:val="00AF1AA8"/>
    <w:rsid w:val="00AF2C1F"/>
    <w:rsid w:val="00AF2D1D"/>
    <w:rsid w:val="00AF676C"/>
    <w:rsid w:val="00AF7C07"/>
    <w:rsid w:val="00B01BD7"/>
    <w:rsid w:val="00B04A16"/>
    <w:rsid w:val="00B06C64"/>
    <w:rsid w:val="00B07B2B"/>
    <w:rsid w:val="00B07D8E"/>
    <w:rsid w:val="00B11CAC"/>
    <w:rsid w:val="00B14DC0"/>
    <w:rsid w:val="00B158AF"/>
    <w:rsid w:val="00B15A29"/>
    <w:rsid w:val="00B22C93"/>
    <w:rsid w:val="00B27388"/>
    <w:rsid w:val="00B27589"/>
    <w:rsid w:val="00B30442"/>
    <w:rsid w:val="00B36D05"/>
    <w:rsid w:val="00B405B7"/>
    <w:rsid w:val="00B44072"/>
    <w:rsid w:val="00B446F7"/>
    <w:rsid w:val="00B468C0"/>
    <w:rsid w:val="00B506E5"/>
    <w:rsid w:val="00B50FE9"/>
    <w:rsid w:val="00B51F95"/>
    <w:rsid w:val="00B52222"/>
    <w:rsid w:val="00B531DA"/>
    <w:rsid w:val="00B54895"/>
    <w:rsid w:val="00B54FE7"/>
    <w:rsid w:val="00B55A04"/>
    <w:rsid w:val="00B647C6"/>
    <w:rsid w:val="00B655F9"/>
    <w:rsid w:val="00B66901"/>
    <w:rsid w:val="00B66DDC"/>
    <w:rsid w:val="00B66F60"/>
    <w:rsid w:val="00B678E8"/>
    <w:rsid w:val="00B71656"/>
    <w:rsid w:val="00B71E6D"/>
    <w:rsid w:val="00B72070"/>
    <w:rsid w:val="00B779E1"/>
    <w:rsid w:val="00B81C7E"/>
    <w:rsid w:val="00B81E3A"/>
    <w:rsid w:val="00B848A1"/>
    <w:rsid w:val="00B85CFB"/>
    <w:rsid w:val="00B86BDF"/>
    <w:rsid w:val="00B877B0"/>
    <w:rsid w:val="00B914B8"/>
    <w:rsid w:val="00B914E9"/>
    <w:rsid w:val="00B91EE1"/>
    <w:rsid w:val="00B943CB"/>
    <w:rsid w:val="00B94602"/>
    <w:rsid w:val="00B9668F"/>
    <w:rsid w:val="00BA0090"/>
    <w:rsid w:val="00BA0DB0"/>
    <w:rsid w:val="00BA1A67"/>
    <w:rsid w:val="00BA6A80"/>
    <w:rsid w:val="00BB0446"/>
    <w:rsid w:val="00BB3912"/>
    <w:rsid w:val="00BB4172"/>
    <w:rsid w:val="00BB4ABB"/>
    <w:rsid w:val="00BB516C"/>
    <w:rsid w:val="00BC0FD7"/>
    <w:rsid w:val="00BC2C5E"/>
    <w:rsid w:val="00BC2F09"/>
    <w:rsid w:val="00BC44AF"/>
    <w:rsid w:val="00BC5338"/>
    <w:rsid w:val="00BC62BA"/>
    <w:rsid w:val="00BC6897"/>
    <w:rsid w:val="00BD4CF2"/>
    <w:rsid w:val="00BD716C"/>
    <w:rsid w:val="00BD740B"/>
    <w:rsid w:val="00BE0D71"/>
    <w:rsid w:val="00BE5B5F"/>
    <w:rsid w:val="00BE6CEA"/>
    <w:rsid w:val="00BE7993"/>
    <w:rsid w:val="00BF0E0C"/>
    <w:rsid w:val="00C1015A"/>
    <w:rsid w:val="00C11971"/>
    <w:rsid w:val="00C12314"/>
    <w:rsid w:val="00C12AEC"/>
    <w:rsid w:val="00C138DA"/>
    <w:rsid w:val="00C15B01"/>
    <w:rsid w:val="00C179DE"/>
    <w:rsid w:val="00C22D64"/>
    <w:rsid w:val="00C22F47"/>
    <w:rsid w:val="00C24A8D"/>
    <w:rsid w:val="00C26F55"/>
    <w:rsid w:val="00C278AA"/>
    <w:rsid w:val="00C30C63"/>
    <w:rsid w:val="00C30FF3"/>
    <w:rsid w:val="00C31031"/>
    <w:rsid w:val="00C34D5C"/>
    <w:rsid w:val="00C352CF"/>
    <w:rsid w:val="00C3554B"/>
    <w:rsid w:val="00C36B8B"/>
    <w:rsid w:val="00C415C1"/>
    <w:rsid w:val="00C42613"/>
    <w:rsid w:val="00C46BAD"/>
    <w:rsid w:val="00C47569"/>
    <w:rsid w:val="00C47AF4"/>
    <w:rsid w:val="00C47DBF"/>
    <w:rsid w:val="00C552FF"/>
    <w:rsid w:val="00C558DA"/>
    <w:rsid w:val="00C55AF3"/>
    <w:rsid w:val="00C571B2"/>
    <w:rsid w:val="00C57924"/>
    <w:rsid w:val="00C70137"/>
    <w:rsid w:val="00C771A9"/>
    <w:rsid w:val="00C81176"/>
    <w:rsid w:val="00C81C3A"/>
    <w:rsid w:val="00C82943"/>
    <w:rsid w:val="00C84759"/>
    <w:rsid w:val="00C85F26"/>
    <w:rsid w:val="00C86537"/>
    <w:rsid w:val="00C8713B"/>
    <w:rsid w:val="00C90DC8"/>
    <w:rsid w:val="00C923BB"/>
    <w:rsid w:val="00C93096"/>
    <w:rsid w:val="00C94173"/>
    <w:rsid w:val="00C979F6"/>
    <w:rsid w:val="00CA5CA9"/>
    <w:rsid w:val="00CA66C7"/>
    <w:rsid w:val="00CA6C7F"/>
    <w:rsid w:val="00CA7BAC"/>
    <w:rsid w:val="00CB007D"/>
    <w:rsid w:val="00CB18B4"/>
    <w:rsid w:val="00CB56FF"/>
    <w:rsid w:val="00CB60CA"/>
    <w:rsid w:val="00CC0724"/>
    <w:rsid w:val="00CC0FC7"/>
    <w:rsid w:val="00CC10A6"/>
    <w:rsid w:val="00CC28D8"/>
    <w:rsid w:val="00CC6367"/>
    <w:rsid w:val="00CC6D88"/>
    <w:rsid w:val="00CD5EB8"/>
    <w:rsid w:val="00CD6448"/>
    <w:rsid w:val="00CD7044"/>
    <w:rsid w:val="00CD7673"/>
    <w:rsid w:val="00CE08B9"/>
    <w:rsid w:val="00CE1207"/>
    <w:rsid w:val="00CE3515"/>
    <w:rsid w:val="00CE433D"/>
    <w:rsid w:val="00CE524C"/>
    <w:rsid w:val="00CE6272"/>
    <w:rsid w:val="00CE744D"/>
    <w:rsid w:val="00CF141F"/>
    <w:rsid w:val="00CF2E31"/>
    <w:rsid w:val="00CF43AF"/>
    <w:rsid w:val="00CF4777"/>
    <w:rsid w:val="00CF65C8"/>
    <w:rsid w:val="00CF6DC5"/>
    <w:rsid w:val="00D013F5"/>
    <w:rsid w:val="00D05E3F"/>
    <w:rsid w:val="00D067BB"/>
    <w:rsid w:val="00D1352A"/>
    <w:rsid w:val="00D16081"/>
    <w:rsid w:val="00D1638E"/>
    <w:rsid w:val="00D169AF"/>
    <w:rsid w:val="00D200EF"/>
    <w:rsid w:val="00D20659"/>
    <w:rsid w:val="00D21727"/>
    <w:rsid w:val="00D21E54"/>
    <w:rsid w:val="00D22F7B"/>
    <w:rsid w:val="00D25175"/>
    <w:rsid w:val="00D25249"/>
    <w:rsid w:val="00D26854"/>
    <w:rsid w:val="00D31843"/>
    <w:rsid w:val="00D35459"/>
    <w:rsid w:val="00D36852"/>
    <w:rsid w:val="00D40C05"/>
    <w:rsid w:val="00D41090"/>
    <w:rsid w:val="00D43FBF"/>
    <w:rsid w:val="00D44172"/>
    <w:rsid w:val="00D47BE3"/>
    <w:rsid w:val="00D51355"/>
    <w:rsid w:val="00D52D24"/>
    <w:rsid w:val="00D54C8A"/>
    <w:rsid w:val="00D62936"/>
    <w:rsid w:val="00D63B8C"/>
    <w:rsid w:val="00D64A34"/>
    <w:rsid w:val="00D65743"/>
    <w:rsid w:val="00D67D8B"/>
    <w:rsid w:val="00D709CB"/>
    <w:rsid w:val="00D70BD5"/>
    <w:rsid w:val="00D7342F"/>
    <w:rsid w:val="00D739CC"/>
    <w:rsid w:val="00D750A0"/>
    <w:rsid w:val="00D806F9"/>
    <w:rsid w:val="00D8093D"/>
    <w:rsid w:val="00D8108C"/>
    <w:rsid w:val="00D83208"/>
    <w:rsid w:val="00D842AE"/>
    <w:rsid w:val="00D91211"/>
    <w:rsid w:val="00D91F6F"/>
    <w:rsid w:val="00D9211C"/>
    <w:rsid w:val="00D92DE0"/>
    <w:rsid w:val="00D92FEF"/>
    <w:rsid w:val="00D930C6"/>
    <w:rsid w:val="00D931F9"/>
    <w:rsid w:val="00D93A0F"/>
    <w:rsid w:val="00D9442C"/>
    <w:rsid w:val="00D96F7C"/>
    <w:rsid w:val="00DA1BAF"/>
    <w:rsid w:val="00DA1BCA"/>
    <w:rsid w:val="00DA3663"/>
    <w:rsid w:val="00DA5DCD"/>
    <w:rsid w:val="00DA67E1"/>
    <w:rsid w:val="00DA744A"/>
    <w:rsid w:val="00DB0F7B"/>
    <w:rsid w:val="00DB4806"/>
    <w:rsid w:val="00DB504F"/>
    <w:rsid w:val="00DB55EA"/>
    <w:rsid w:val="00DB6E00"/>
    <w:rsid w:val="00DC075E"/>
    <w:rsid w:val="00DC1792"/>
    <w:rsid w:val="00DC274A"/>
    <w:rsid w:val="00DC35E3"/>
    <w:rsid w:val="00DC46FF"/>
    <w:rsid w:val="00DC5254"/>
    <w:rsid w:val="00DC569D"/>
    <w:rsid w:val="00DC6424"/>
    <w:rsid w:val="00DC7A80"/>
    <w:rsid w:val="00DD1A4F"/>
    <w:rsid w:val="00DD3107"/>
    <w:rsid w:val="00DD3E1A"/>
    <w:rsid w:val="00DD41F4"/>
    <w:rsid w:val="00DD7C2C"/>
    <w:rsid w:val="00DE18A8"/>
    <w:rsid w:val="00DE5BDA"/>
    <w:rsid w:val="00DE688A"/>
    <w:rsid w:val="00DF1423"/>
    <w:rsid w:val="00DF433C"/>
    <w:rsid w:val="00DF519F"/>
    <w:rsid w:val="00DF68B3"/>
    <w:rsid w:val="00E0035A"/>
    <w:rsid w:val="00E06797"/>
    <w:rsid w:val="00E07FBB"/>
    <w:rsid w:val="00E111E0"/>
    <w:rsid w:val="00E122EB"/>
    <w:rsid w:val="00E1265B"/>
    <w:rsid w:val="00E12CB0"/>
    <w:rsid w:val="00E12E09"/>
    <w:rsid w:val="00E13110"/>
    <w:rsid w:val="00E13671"/>
    <w:rsid w:val="00E13B48"/>
    <w:rsid w:val="00E1404F"/>
    <w:rsid w:val="00E15579"/>
    <w:rsid w:val="00E1673F"/>
    <w:rsid w:val="00E21C83"/>
    <w:rsid w:val="00E24645"/>
    <w:rsid w:val="00E24ADA"/>
    <w:rsid w:val="00E25DBA"/>
    <w:rsid w:val="00E31F58"/>
    <w:rsid w:val="00E32F59"/>
    <w:rsid w:val="00E34F4B"/>
    <w:rsid w:val="00E41908"/>
    <w:rsid w:val="00E419F1"/>
    <w:rsid w:val="00E45354"/>
    <w:rsid w:val="00E46D9A"/>
    <w:rsid w:val="00E47523"/>
    <w:rsid w:val="00E50E7E"/>
    <w:rsid w:val="00E54A19"/>
    <w:rsid w:val="00E556FF"/>
    <w:rsid w:val="00E562D8"/>
    <w:rsid w:val="00E565FF"/>
    <w:rsid w:val="00E57555"/>
    <w:rsid w:val="00E6214C"/>
    <w:rsid w:val="00E62951"/>
    <w:rsid w:val="00E629F4"/>
    <w:rsid w:val="00E65388"/>
    <w:rsid w:val="00E6789A"/>
    <w:rsid w:val="00E7478B"/>
    <w:rsid w:val="00E75103"/>
    <w:rsid w:val="00E751E6"/>
    <w:rsid w:val="00E75266"/>
    <w:rsid w:val="00E7741D"/>
    <w:rsid w:val="00E808CD"/>
    <w:rsid w:val="00E80C5B"/>
    <w:rsid w:val="00E8348F"/>
    <w:rsid w:val="00E85595"/>
    <w:rsid w:val="00E85B7D"/>
    <w:rsid w:val="00E86AC4"/>
    <w:rsid w:val="00E9121B"/>
    <w:rsid w:val="00E9202F"/>
    <w:rsid w:val="00E9302E"/>
    <w:rsid w:val="00E97015"/>
    <w:rsid w:val="00E976AB"/>
    <w:rsid w:val="00EA0AE2"/>
    <w:rsid w:val="00EA39E5"/>
    <w:rsid w:val="00EA57A3"/>
    <w:rsid w:val="00EB09FC"/>
    <w:rsid w:val="00EB22C0"/>
    <w:rsid w:val="00EB5565"/>
    <w:rsid w:val="00EB7A8E"/>
    <w:rsid w:val="00EC0ACE"/>
    <w:rsid w:val="00EC17C1"/>
    <w:rsid w:val="00EC2813"/>
    <w:rsid w:val="00EC52CF"/>
    <w:rsid w:val="00EC5387"/>
    <w:rsid w:val="00EC5A46"/>
    <w:rsid w:val="00EC63E2"/>
    <w:rsid w:val="00EC7235"/>
    <w:rsid w:val="00ED0225"/>
    <w:rsid w:val="00ED27AF"/>
    <w:rsid w:val="00ED2D47"/>
    <w:rsid w:val="00ED366A"/>
    <w:rsid w:val="00ED53BC"/>
    <w:rsid w:val="00ED5F86"/>
    <w:rsid w:val="00ED6BB7"/>
    <w:rsid w:val="00ED7605"/>
    <w:rsid w:val="00EE217F"/>
    <w:rsid w:val="00EE3338"/>
    <w:rsid w:val="00EE5E2E"/>
    <w:rsid w:val="00EF131B"/>
    <w:rsid w:val="00EF22B3"/>
    <w:rsid w:val="00EF26D0"/>
    <w:rsid w:val="00EF2EA0"/>
    <w:rsid w:val="00EF4366"/>
    <w:rsid w:val="00F03B69"/>
    <w:rsid w:val="00F07A50"/>
    <w:rsid w:val="00F113DA"/>
    <w:rsid w:val="00F14E36"/>
    <w:rsid w:val="00F15813"/>
    <w:rsid w:val="00F21D35"/>
    <w:rsid w:val="00F23065"/>
    <w:rsid w:val="00F266FC"/>
    <w:rsid w:val="00F3037A"/>
    <w:rsid w:val="00F317ED"/>
    <w:rsid w:val="00F3209F"/>
    <w:rsid w:val="00F321F5"/>
    <w:rsid w:val="00F338A2"/>
    <w:rsid w:val="00F3443F"/>
    <w:rsid w:val="00F3465A"/>
    <w:rsid w:val="00F37DC8"/>
    <w:rsid w:val="00F407D6"/>
    <w:rsid w:val="00F42F57"/>
    <w:rsid w:val="00F439B3"/>
    <w:rsid w:val="00F43B41"/>
    <w:rsid w:val="00F444EA"/>
    <w:rsid w:val="00F451F4"/>
    <w:rsid w:val="00F650C3"/>
    <w:rsid w:val="00F65D85"/>
    <w:rsid w:val="00F6673C"/>
    <w:rsid w:val="00F6700B"/>
    <w:rsid w:val="00F67BA8"/>
    <w:rsid w:val="00F7137B"/>
    <w:rsid w:val="00F71C05"/>
    <w:rsid w:val="00F71DBF"/>
    <w:rsid w:val="00F723C5"/>
    <w:rsid w:val="00F75C06"/>
    <w:rsid w:val="00F8091E"/>
    <w:rsid w:val="00F84E4F"/>
    <w:rsid w:val="00F8615C"/>
    <w:rsid w:val="00F87621"/>
    <w:rsid w:val="00F9200B"/>
    <w:rsid w:val="00F969E5"/>
    <w:rsid w:val="00FA2F8B"/>
    <w:rsid w:val="00FA4972"/>
    <w:rsid w:val="00FA66C8"/>
    <w:rsid w:val="00FA6BB0"/>
    <w:rsid w:val="00FB2DBD"/>
    <w:rsid w:val="00FB67FD"/>
    <w:rsid w:val="00FC0A94"/>
    <w:rsid w:val="00FC0BFC"/>
    <w:rsid w:val="00FC0C3F"/>
    <w:rsid w:val="00FC17A6"/>
    <w:rsid w:val="00FC4A08"/>
    <w:rsid w:val="00FC7B21"/>
    <w:rsid w:val="00FD48DF"/>
    <w:rsid w:val="00FD4EC9"/>
    <w:rsid w:val="00FD5860"/>
    <w:rsid w:val="00FD635B"/>
    <w:rsid w:val="00FE352D"/>
    <w:rsid w:val="00FE3AFA"/>
    <w:rsid w:val="00FE40EB"/>
    <w:rsid w:val="00FE4D02"/>
    <w:rsid w:val="00FE5164"/>
    <w:rsid w:val="00FE7D62"/>
    <w:rsid w:val="00FE7DE8"/>
    <w:rsid w:val="00FF0DA0"/>
    <w:rsid w:val="00FF2073"/>
    <w:rsid w:val="00FF3819"/>
    <w:rsid w:val="00FF3F68"/>
    <w:rsid w:val="00FF51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3CACB47F"/>
  <w15:docId w15:val="{777C9C3B-BB02-4A83-8BA4-23CBA15FB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customStyle="1" w:styleId="Default">
    <w:name w:val="Default"/>
    <w:rsid w:val="00391C83"/>
    <w:pPr>
      <w:autoSpaceDE w:val="0"/>
      <w:autoSpaceDN w:val="0"/>
      <w:adjustRightInd w:val="0"/>
    </w:pPr>
    <w:rPr>
      <w:color w:val="000000"/>
      <w:sz w:val="24"/>
      <w:szCs w:val="24"/>
    </w:rPr>
  </w:style>
  <w:style w:type="character" w:customStyle="1" w:styleId="preferred">
    <w:name w:val="preferred"/>
    <w:basedOn w:val="DefaultParagraphFont"/>
    <w:rsid w:val="008A7943"/>
  </w:style>
  <w:style w:type="paragraph" w:styleId="NormalWeb">
    <w:name w:val="Normal (Web)"/>
    <w:basedOn w:val="Normal"/>
    <w:uiPriority w:val="99"/>
    <w:semiHidden/>
    <w:unhideWhenUsed/>
    <w:rsid w:val="00C12AEC"/>
    <w:pPr>
      <w:tabs>
        <w:tab w:val="clear" w:pos="1247"/>
        <w:tab w:val="clear" w:pos="1814"/>
        <w:tab w:val="clear" w:pos="2381"/>
        <w:tab w:val="clear" w:pos="2948"/>
        <w:tab w:val="clear" w:pos="3515"/>
      </w:tabs>
      <w:spacing w:before="100" w:beforeAutospacing="1" w:after="100" w:afterAutospacing="1"/>
    </w:pPr>
    <w:rPr>
      <w:rFonts w:eastAsia="Times New Roman"/>
      <w:sz w:val="24"/>
      <w:szCs w:val="24"/>
      <w:lang w:val="en-US" w:eastAsia="zh-CN"/>
    </w:rPr>
  </w:style>
  <w:style w:type="character" w:styleId="Strong">
    <w:name w:val="Strong"/>
    <w:basedOn w:val="DefaultParagraphFont"/>
    <w:uiPriority w:val="22"/>
    <w:qFormat/>
    <w:rsid w:val="000047F0"/>
    <w:rPr>
      <w:b/>
      <w:bCs/>
    </w:rPr>
  </w:style>
  <w:style w:type="character" w:customStyle="1" w:styleId="HeaderChar">
    <w:name w:val="Header Char"/>
    <w:basedOn w:val="DefaultParagraphFont"/>
    <w:link w:val="Header"/>
    <w:uiPriority w:val="99"/>
    <w:rsid w:val="00613A98"/>
    <w:rPr>
      <w:b/>
      <w:sz w:val="18"/>
      <w:lang w:eastAsia="en-US"/>
    </w:rPr>
  </w:style>
  <w:style w:type="character" w:customStyle="1" w:styleId="UnresolvedMention1">
    <w:name w:val="Unresolved Mention1"/>
    <w:basedOn w:val="DefaultParagraphFont"/>
    <w:uiPriority w:val="99"/>
    <w:semiHidden/>
    <w:unhideWhenUsed/>
    <w:rsid w:val="00C22D64"/>
    <w:rPr>
      <w:color w:val="605E5C"/>
      <w:shd w:val="clear" w:color="auto" w:fill="E1DFDD"/>
    </w:rPr>
  </w:style>
  <w:style w:type="character" w:styleId="FollowedHyperlink">
    <w:name w:val="FollowedHyperlink"/>
    <w:basedOn w:val="DefaultParagraphFont"/>
    <w:semiHidden/>
    <w:unhideWhenUsed/>
    <w:rsid w:val="00C22D64"/>
    <w:rPr>
      <w:color w:val="800080" w:themeColor="followedHyperlink"/>
      <w:u w:val="single"/>
    </w:rPr>
  </w:style>
  <w:style w:type="character" w:customStyle="1" w:styleId="UnresolvedMention">
    <w:name w:val="Unresolved Mention"/>
    <w:basedOn w:val="DefaultParagraphFont"/>
    <w:uiPriority w:val="99"/>
    <w:semiHidden/>
    <w:unhideWhenUsed/>
    <w:rsid w:val="002020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3334">
      <w:bodyDiv w:val="1"/>
      <w:marLeft w:val="0"/>
      <w:marRight w:val="0"/>
      <w:marTop w:val="0"/>
      <w:marBottom w:val="0"/>
      <w:divBdr>
        <w:top w:val="none" w:sz="0" w:space="0" w:color="auto"/>
        <w:left w:val="none" w:sz="0" w:space="0" w:color="auto"/>
        <w:bottom w:val="none" w:sz="0" w:space="0" w:color="auto"/>
        <w:right w:val="none" w:sz="0" w:space="0" w:color="auto"/>
      </w:divBdr>
    </w:div>
    <w:div w:id="18841684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4712834">
      <w:bodyDiv w:val="1"/>
      <w:marLeft w:val="0"/>
      <w:marRight w:val="0"/>
      <w:marTop w:val="0"/>
      <w:marBottom w:val="0"/>
      <w:divBdr>
        <w:top w:val="none" w:sz="0" w:space="0" w:color="auto"/>
        <w:left w:val="none" w:sz="0" w:space="0" w:color="auto"/>
        <w:bottom w:val="none" w:sz="0" w:space="0" w:color="auto"/>
        <w:right w:val="none" w:sz="0" w:space="0" w:color="auto"/>
      </w:divBdr>
    </w:div>
    <w:div w:id="505437493">
      <w:bodyDiv w:val="1"/>
      <w:marLeft w:val="0"/>
      <w:marRight w:val="0"/>
      <w:marTop w:val="0"/>
      <w:marBottom w:val="0"/>
      <w:divBdr>
        <w:top w:val="none" w:sz="0" w:space="0" w:color="auto"/>
        <w:left w:val="none" w:sz="0" w:space="0" w:color="auto"/>
        <w:bottom w:val="none" w:sz="0" w:space="0" w:color="auto"/>
        <w:right w:val="none" w:sz="0" w:space="0" w:color="auto"/>
      </w:divBdr>
    </w:div>
    <w:div w:id="515123395">
      <w:bodyDiv w:val="1"/>
      <w:marLeft w:val="0"/>
      <w:marRight w:val="0"/>
      <w:marTop w:val="0"/>
      <w:marBottom w:val="0"/>
      <w:divBdr>
        <w:top w:val="none" w:sz="0" w:space="0" w:color="auto"/>
        <w:left w:val="none" w:sz="0" w:space="0" w:color="auto"/>
        <w:bottom w:val="none" w:sz="0" w:space="0" w:color="auto"/>
        <w:right w:val="none" w:sz="0" w:space="0" w:color="auto"/>
      </w:divBdr>
    </w:div>
    <w:div w:id="585773616">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828790222">
      <w:bodyDiv w:val="1"/>
      <w:marLeft w:val="0"/>
      <w:marRight w:val="0"/>
      <w:marTop w:val="0"/>
      <w:marBottom w:val="0"/>
      <w:divBdr>
        <w:top w:val="none" w:sz="0" w:space="0" w:color="auto"/>
        <w:left w:val="none" w:sz="0" w:space="0" w:color="auto"/>
        <w:bottom w:val="none" w:sz="0" w:space="0" w:color="auto"/>
        <w:right w:val="none" w:sz="0" w:space="0" w:color="auto"/>
      </w:divBdr>
    </w:div>
    <w:div w:id="972365103">
      <w:bodyDiv w:val="1"/>
      <w:marLeft w:val="0"/>
      <w:marRight w:val="0"/>
      <w:marTop w:val="0"/>
      <w:marBottom w:val="0"/>
      <w:divBdr>
        <w:top w:val="none" w:sz="0" w:space="0" w:color="auto"/>
        <w:left w:val="none" w:sz="0" w:space="0" w:color="auto"/>
        <w:bottom w:val="none" w:sz="0" w:space="0" w:color="auto"/>
        <w:right w:val="none" w:sz="0" w:space="0" w:color="auto"/>
      </w:divBdr>
    </w:div>
    <w:div w:id="1018850564">
      <w:bodyDiv w:val="1"/>
      <w:marLeft w:val="0"/>
      <w:marRight w:val="0"/>
      <w:marTop w:val="0"/>
      <w:marBottom w:val="0"/>
      <w:divBdr>
        <w:top w:val="none" w:sz="0" w:space="0" w:color="auto"/>
        <w:left w:val="none" w:sz="0" w:space="0" w:color="auto"/>
        <w:bottom w:val="none" w:sz="0" w:space="0" w:color="auto"/>
        <w:right w:val="none" w:sz="0" w:space="0" w:color="auto"/>
      </w:divBdr>
    </w:div>
    <w:div w:id="119380545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50597847">
      <w:bodyDiv w:val="1"/>
      <w:marLeft w:val="0"/>
      <w:marRight w:val="0"/>
      <w:marTop w:val="0"/>
      <w:marBottom w:val="0"/>
      <w:divBdr>
        <w:top w:val="none" w:sz="0" w:space="0" w:color="auto"/>
        <w:left w:val="none" w:sz="0" w:space="0" w:color="auto"/>
        <w:bottom w:val="none" w:sz="0" w:space="0" w:color="auto"/>
        <w:right w:val="none" w:sz="0" w:space="0" w:color="auto"/>
      </w:divBdr>
    </w:div>
    <w:div w:id="1384258208">
      <w:bodyDiv w:val="1"/>
      <w:marLeft w:val="0"/>
      <w:marRight w:val="0"/>
      <w:marTop w:val="0"/>
      <w:marBottom w:val="0"/>
      <w:divBdr>
        <w:top w:val="none" w:sz="0" w:space="0" w:color="auto"/>
        <w:left w:val="none" w:sz="0" w:space="0" w:color="auto"/>
        <w:bottom w:val="none" w:sz="0" w:space="0" w:color="auto"/>
        <w:right w:val="none" w:sz="0" w:space="0" w:color="auto"/>
      </w:divBdr>
    </w:div>
    <w:div w:id="1393428659">
      <w:bodyDiv w:val="1"/>
      <w:marLeft w:val="0"/>
      <w:marRight w:val="0"/>
      <w:marTop w:val="0"/>
      <w:marBottom w:val="0"/>
      <w:divBdr>
        <w:top w:val="none" w:sz="0" w:space="0" w:color="auto"/>
        <w:left w:val="none" w:sz="0" w:space="0" w:color="auto"/>
        <w:bottom w:val="none" w:sz="0" w:space="0" w:color="auto"/>
        <w:right w:val="none" w:sz="0" w:space="0" w:color="auto"/>
      </w:divBdr>
    </w:div>
    <w:div w:id="1500659774">
      <w:bodyDiv w:val="1"/>
      <w:marLeft w:val="0"/>
      <w:marRight w:val="0"/>
      <w:marTop w:val="0"/>
      <w:marBottom w:val="0"/>
      <w:divBdr>
        <w:top w:val="none" w:sz="0" w:space="0" w:color="auto"/>
        <w:left w:val="none" w:sz="0" w:space="0" w:color="auto"/>
        <w:bottom w:val="none" w:sz="0" w:space="0" w:color="auto"/>
        <w:right w:val="none" w:sz="0" w:space="0" w:color="auto"/>
      </w:divBdr>
    </w:div>
    <w:div w:id="1538926520">
      <w:bodyDiv w:val="1"/>
      <w:marLeft w:val="0"/>
      <w:marRight w:val="0"/>
      <w:marTop w:val="0"/>
      <w:marBottom w:val="0"/>
      <w:divBdr>
        <w:top w:val="none" w:sz="0" w:space="0" w:color="auto"/>
        <w:left w:val="none" w:sz="0" w:space="0" w:color="auto"/>
        <w:bottom w:val="none" w:sz="0" w:space="0" w:color="auto"/>
        <w:right w:val="none" w:sz="0" w:space="0" w:color="auto"/>
      </w:divBdr>
    </w:div>
    <w:div w:id="1689797370">
      <w:bodyDiv w:val="1"/>
      <w:marLeft w:val="0"/>
      <w:marRight w:val="0"/>
      <w:marTop w:val="0"/>
      <w:marBottom w:val="0"/>
      <w:divBdr>
        <w:top w:val="none" w:sz="0" w:space="0" w:color="auto"/>
        <w:left w:val="none" w:sz="0" w:space="0" w:color="auto"/>
        <w:bottom w:val="none" w:sz="0" w:space="0" w:color="auto"/>
        <w:right w:val="none" w:sz="0" w:space="0" w:color="auto"/>
      </w:divBdr>
    </w:div>
    <w:div w:id="1870340399">
      <w:bodyDiv w:val="1"/>
      <w:marLeft w:val="0"/>
      <w:marRight w:val="0"/>
      <w:marTop w:val="0"/>
      <w:marBottom w:val="0"/>
      <w:divBdr>
        <w:top w:val="none" w:sz="0" w:space="0" w:color="auto"/>
        <w:left w:val="none" w:sz="0" w:space="0" w:color="auto"/>
        <w:bottom w:val="none" w:sz="0" w:space="0" w:color="auto"/>
        <w:right w:val="none" w:sz="0" w:space="0" w:color="auto"/>
      </w:divBdr>
    </w:div>
    <w:div w:id="1908492005">
      <w:bodyDiv w:val="1"/>
      <w:marLeft w:val="0"/>
      <w:marRight w:val="0"/>
      <w:marTop w:val="0"/>
      <w:marBottom w:val="0"/>
      <w:divBdr>
        <w:top w:val="none" w:sz="0" w:space="0" w:color="auto"/>
        <w:left w:val="none" w:sz="0" w:space="0" w:color="auto"/>
        <w:bottom w:val="none" w:sz="0" w:space="0" w:color="auto"/>
        <w:right w:val="none" w:sz="0" w:space="0" w:color="auto"/>
      </w:divBdr>
    </w:div>
    <w:div w:id="20349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mercuryconvention.org/Countries/Parties/MinamataInitialAssessments/tabid/6166/language/en-US/Default.aspx" TargetMode="External"/><Relationship Id="rId1" Type="http://schemas.openxmlformats.org/officeDocument/2006/relationships/hyperlink" Target="http://mercuryconvention.org/Meetings/COPBureau/tabid/6328/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A2FCD-6BFB-41E6-A741-180EFE2F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4922</Words>
  <Characters>28060</Characters>
  <Application>Microsoft Office Word</Application>
  <DocSecurity>0</DocSecurity>
  <Lines>233</Lines>
  <Paragraphs>65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32917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Jane Mbau</cp:lastModifiedBy>
  <cp:revision>3</cp:revision>
  <cp:lastPrinted>2018-07-06T09:38:00Z</cp:lastPrinted>
  <dcterms:created xsi:type="dcterms:W3CDTF">2019-09-23T10:51:00Z</dcterms:created>
  <dcterms:modified xsi:type="dcterms:W3CDTF">2019-09-23T10:56:00Z</dcterms:modified>
</cp:coreProperties>
</file>