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0"/>
        <w:gridCol w:w="4641"/>
        <w:gridCol w:w="3335"/>
      </w:tblGrid>
      <w:tr w:rsidR="00AF0C31" w:rsidRPr="00876DF4" w14:paraId="0C6668B9" w14:textId="77777777" w:rsidTr="00AF0C31">
        <w:trPr>
          <w:cantSplit/>
          <w:trHeight w:val="850"/>
          <w:jc w:val="right"/>
        </w:trPr>
        <w:tc>
          <w:tcPr>
            <w:tcW w:w="1520" w:type="dxa"/>
          </w:tcPr>
          <w:p w14:paraId="168AAF2B" w14:textId="77777777" w:rsidR="00AF0C31" w:rsidRPr="00876DF4" w:rsidRDefault="00AF0C31" w:rsidP="00AF0C31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876DF4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 w:rsidRPr="00876DF4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641" w:type="dxa"/>
          </w:tcPr>
          <w:p w14:paraId="616EB4BA" w14:textId="77777777" w:rsidR="00AF0C31" w:rsidRPr="00876DF4" w:rsidRDefault="00AF0C31" w:rsidP="00AF0C3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35" w:type="dxa"/>
          </w:tcPr>
          <w:p w14:paraId="6F182593" w14:textId="77777777" w:rsidR="00AF0C31" w:rsidRPr="00876DF4" w:rsidRDefault="00AF0C31" w:rsidP="00AF0C3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76DF4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AF0C31" w:rsidRPr="00876DF4" w14:paraId="697D1837" w14:textId="77777777" w:rsidTr="00AF0C31">
        <w:trPr>
          <w:cantSplit/>
          <w:trHeight w:val="281"/>
          <w:jc w:val="right"/>
        </w:trPr>
        <w:tc>
          <w:tcPr>
            <w:tcW w:w="1520" w:type="dxa"/>
            <w:tcBorders>
              <w:bottom w:val="single" w:sz="4" w:space="0" w:color="auto"/>
            </w:tcBorders>
          </w:tcPr>
          <w:p w14:paraId="4FCC3F79" w14:textId="77777777" w:rsidR="00AF0C31" w:rsidRPr="00876DF4" w:rsidRDefault="00AF0C31" w:rsidP="00AF0C31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641" w:type="dxa"/>
            <w:tcBorders>
              <w:bottom w:val="single" w:sz="4" w:space="0" w:color="auto"/>
            </w:tcBorders>
          </w:tcPr>
          <w:p w14:paraId="69ABDC9F" w14:textId="77777777" w:rsidR="00AF0C31" w:rsidRPr="00876DF4" w:rsidRDefault="00AF0C31" w:rsidP="00AF0C3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013BAD89" w14:textId="0923B3B2" w:rsidR="00AF0C31" w:rsidRPr="00876DF4" w:rsidRDefault="00AF0C31" w:rsidP="00AF0C31">
            <w:pPr>
              <w:rPr>
                <w:noProof/>
                <w:sz w:val="18"/>
                <w:szCs w:val="18"/>
              </w:rPr>
            </w:pPr>
            <w:r w:rsidRPr="00876DF4">
              <w:rPr>
                <w:b/>
                <w:bCs/>
                <w:sz w:val="28"/>
              </w:rPr>
              <w:t>UNEP</w:t>
            </w:r>
            <w:r w:rsidRPr="00693FBF">
              <w:rPr>
                <w:bCs/>
              </w:rPr>
              <w:t>/</w:t>
            </w:r>
            <w:r w:rsidRPr="00876DF4">
              <w:t>MC/COP.3/</w:t>
            </w:r>
            <w:r>
              <w:t>18</w:t>
            </w:r>
          </w:p>
        </w:tc>
      </w:tr>
      <w:tr w:rsidR="00AF0C31" w:rsidRPr="00876DF4" w14:paraId="06E62A70" w14:textId="77777777" w:rsidTr="00AF0C31">
        <w:trPr>
          <w:cantSplit/>
          <w:trHeight w:val="2549"/>
          <w:jc w:val="right"/>
        </w:trPr>
        <w:tc>
          <w:tcPr>
            <w:tcW w:w="1520" w:type="dxa"/>
            <w:tcBorders>
              <w:top w:val="single" w:sz="4" w:space="0" w:color="auto"/>
              <w:bottom w:val="single" w:sz="24" w:space="0" w:color="auto"/>
            </w:tcBorders>
          </w:tcPr>
          <w:p w14:paraId="7F16DFB4" w14:textId="77777777" w:rsidR="00AF0C31" w:rsidRPr="00876DF4" w:rsidRDefault="00AF0C31" w:rsidP="00AF0C31">
            <w:pPr>
              <w:rPr>
                <w:noProof/>
              </w:rPr>
            </w:pPr>
            <w:r w:rsidRPr="00876DF4">
              <w:rPr>
                <w:noProof/>
              </w:rPr>
              <w:object w:dxaOrig="1831" w:dyaOrig="1726" w14:anchorId="02050B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1pt;height:61.65pt" o:ole="" fillcolor="window">
                  <v:imagedata r:id="rId11" o:title=""/>
                </v:shape>
                <o:OLEObject Type="Embed" ProgID="Word.Picture.8" ShapeID="_x0000_i1025" DrawAspect="Content" ObjectID="_1630216376" r:id="rId12"/>
              </w:object>
            </w:r>
            <w:r w:rsidRPr="00876DF4">
              <w:rPr>
                <w:noProof/>
                <w:lang w:eastAsia="en-GB"/>
              </w:rPr>
              <w:drawing>
                <wp:inline distT="0" distB="0" distL="0" distR="0" wp14:anchorId="1A5C2E1E" wp14:editId="5D62024C">
                  <wp:extent cx="723900" cy="76962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1" w:type="dxa"/>
            <w:tcBorders>
              <w:top w:val="single" w:sz="4" w:space="0" w:color="auto"/>
              <w:bottom w:val="single" w:sz="24" w:space="0" w:color="auto"/>
            </w:tcBorders>
          </w:tcPr>
          <w:p w14:paraId="2B90ED02" w14:textId="0F8E4E70" w:rsidR="00AF0C31" w:rsidRPr="00876DF4" w:rsidRDefault="00AF0C31" w:rsidP="00AF0C31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76DF4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Pr="00876DF4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Pr="00876DF4">
              <w:rPr>
                <w:rFonts w:ascii="Arial" w:hAnsi="Arial" w:cs="Arial"/>
                <w:b/>
                <w:sz w:val="32"/>
                <w:szCs w:val="32"/>
              </w:rPr>
              <w:br/>
              <w:t>pour l</w:t>
            </w:r>
            <w:r>
              <w:rPr>
                <w:rFonts w:ascii="Arial" w:hAnsi="Arial" w:cs="Arial"/>
                <w:b/>
                <w:sz w:val="32"/>
                <w:szCs w:val="32"/>
              </w:rPr>
              <w:t>’</w:t>
            </w:r>
            <w:r w:rsidRPr="00876DF4">
              <w:rPr>
                <w:rFonts w:ascii="Arial" w:hAnsi="Arial" w:cs="Arial"/>
                <w:b/>
                <w:sz w:val="32"/>
                <w:szCs w:val="32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71E13FDD" w14:textId="4C3E4F28" w:rsidR="00AF0C31" w:rsidRPr="00876DF4" w:rsidRDefault="00AF0C31" w:rsidP="00AF0C31">
            <w:pPr>
              <w:spacing w:before="120"/>
            </w:pPr>
            <w:proofErr w:type="spellStart"/>
            <w:r w:rsidRPr="00876DF4">
              <w:t>Distr</w:t>
            </w:r>
            <w:proofErr w:type="spellEnd"/>
            <w:r w:rsidRPr="00876DF4">
              <w:t>. </w:t>
            </w:r>
            <w:proofErr w:type="gramStart"/>
            <w:r w:rsidRPr="00876DF4">
              <w:t>générale</w:t>
            </w:r>
            <w:proofErr w:type="gramEnd"/>
            <w:r w:rsidRPr="00876DF4">
              <w:t xml:space="preserve"> </w:t>
            </w:r>
            <w:r w:rsidRPr="00876DF4">
              <w:br/>
            </w:r>
            <w:r>
              <w:t>6</w:t>
            </w:r>
            <w:r w:rsidRPr="00876DF4">
              <w:t> </w:t>
            </w:r>
            <w:r>
              <w:t>août </w:t>
            </w:r>
            <w:r w:rsidRPr="00876DF4">
              <w:t>2019</w:t>
            </w:r>
          </w:p>
          <w:p w14:paraId="695BEED4" w14:textId="77777777" w:rsidR="00AF0C31" w:rsidRPr="00876DF4" w:rsidRDefault="00AF0C31" w:rsidP="00AF0C31">
            <w:pPr>
              <w:spacing w:before="240"/>
            </w:pPr>
            <w:r w:rsidRPr="00876DF4">
              <w:t>Français</w:t>
            </w:r>
            <w:r>
              <w:t xml:space="preserve"> </w:t>
            </w:r>
            <w:r w:rsidRPr="00876DF4">
              <w:br/>
              <w:t>Original : anglais</w:t>
            </w:r>
          </w:p>
        </w:tc>
      </w:tr>
    </w:tbl>
    <w:p w14:paraId="46F6C1FC" w14:textId="0D6F8A2D" w:rsidR="00AF0C31" w:rsidRPr="00876DF4" w:rsidRDefault="00AF0C31" w:rsidP="00AF0C31">
      <w:pPr>
        <w:pStyle w:val="AATitle"/>
        <w:keepNext w:val="0"/>
        <w:keepLines w:val="0"/>
        <w:rPr>
          <w:lang w:val="fr-FR"/>
        </w:rPr>
      </w:pPr>
      <w:r w:rsidRPr="00876DF4">
        <w:rPr>
          <w:bCs/>
          <w:lang w:val="fr-FR"/>
        </w:rPr>
        <w:t xml:space="preserve">Conférence des Parties à la Convention </w:t>
      </w:r>
      <w:r>
        <w:rPr>
          <w:bCs/>
          <w:lang w:val="fr-FR"/>
        </w:rPr>
        <w:br/>
      </w:r>
      <w:r w:rsidRPr="00876DF4">
        <w:rPr>
          <w:bCs/>
          <w:lang w:val="fr-FR"/>
        </w:rPr>
        <w:t>de Minamata sur le mercure</w:t>
      </w:r>
    </w:p>
    <w:p w14:paraId="037CBC57" w14:textId="77777777" w:rsidR="00AF0C31" w:rsidRPr="00876DF4" w:rsidRDefault="00AF0C31" w:rsidP="00AF0C31">
      <w:pPr>
        <w:pStyle w:val="AATitle"/>
        <w:keepNext w:val="0"/>
        <w:keepLines w:val="0"/>
        <w:rPr>
          <w:lang w:val="fr-FR"/>
        </w:rPr>
      </w:pPr>
      <w:r w:rsidRPr="00876DF4">
        <w:rPr>
          <w:bCs/>
          <w:lang w:val="fr-FR"/>
        </w:rPr>
        <w:t>Troisième réunion</w:t>
      </w:r>
    </w:p>
    <w:p w14:paraId="6351F646" w14:textId="77777777" w:rsidR="00AF0C31" w:rsidRPr="00876DF4" w:rsidRDefault="00AF0C31" w:rsidP="00AF0C31">
      <w:pPr>
        <w:pStyle w:val="AATitle"/>
        <w:rPr>
          <w:b w:val="0"/>
          <w:lang w:val="fr-FR"/>
        </w:rPr>
      </w:pPr>
      <w:r w:rsidRPr="00876DF4">
        <w:rPr>
          <w:b w:val="0"/>
          <w:lang w:val="fr-FR"/>
        </w:rPr>
        <w:t>Genève, 25–29 novembre 2019</w:t>
      </w:r>
    </w:p>
    <w:p w14:paraId="5A61BCC3" w14:textId="4C829270" w:rsidR="00AF0C31" w:rsidRPr="0058291A" w:rsidRDefault="00AF0C31" w:rsidP="00AF0C31">
      <w:pPr>
        <w:pStyle w:val="AATitle"/>
        <w:rPr>
          <w:b w:val="0"/>
        </w:rPr>
      </w:pPr>
      <w:r w:rsidRPr="0058291A">
        <w:rPr>
          <w:b w:val="0"/>
          <w:lang w:val="fr-FR"/>
        </w:rPr>
        <w:t xml:space="preserve">Point </w:t>
      </w:r>
      <w:r>
        <w:rPr>
          <w:b w:val="0"/>
          <w:lang w:val="fr-FR"/>
        </w:rPr>
        <w:t>6 a)</w:t>
      </w:r>
      <w:r w:rsidRPr="0058291A">
        <w:rPr>
          <w:b w:val="0"/>
          <w:lang w:val="fr-FR"/>
        </w:rPr>
        <w:t xml:space="preserve"> de l</w:t>
      </w:r>
      <w:r>
        <w:rPr>
          <w:b w:val="0"/>
          <w:lang w:val="fr-FR"/>
        </w:rPr>
        <w:t>’</w:t>
      </w:r>
      <w:r w:rsidRPr="0058291A">
        <w:rPr>
          <w:b w:val="0"/>
          <w:lang w:val="fr-FR"/>
        </w:rPr>
        <w:t>ordre du jour provisoire</w:t>
      </w:r>
      <w:r w:rsidRPr="003558CC">
        <w:rPr>
          <w:rStyle w:val="FootnoteReference"/>
          <w:b w:val="0"/>
          <w:vertAlign w:val="baseline"/>
          <w:lang w:val="fr-FR"/>
        </w:rPr>
        <w:footnoteReference w:customMarkFollows="1" w:id="2"/>
        <w:t>*</w:t>
      </w:r>
    </w:p>
    <w:p w14:paraId="72935CCE" w14:textId="741AE6CF" w:rsidR="00AF0C31" w:rsidRDefault="00AF0C31" w:rsidP="00AF0C31">
      <w:pPr>
        <w:pStyle w:val="AATitle2"/>
        <w:ind w:right="3967"/>
        <w:rPr>
          <w:lang w:val="fr-FR"/>
        </w:rPr>
      </w:pPr>
      <w:r>
        <w:t>Coopération et coordination au niveau international : Organisation mondiale de la Santé ; Organisation internationale du Travail</w:t>
      </w:r>
    </w:p>
    <w:p w14:paraId="1229106B" w14:textId="2C1B1B37" w:rsidR="000F681D" w:rsidRPr="003D56F3" w:rsidRDefault="000D028A" w:rsidP="00AF0C31">
      <w:pPr>
        <w:pStyle w:val="BBTitle"/>
      </w:pPr>
      <w:r w:rsidRPr="00A43374">
        <w:t>Rapport</w:t>
      </w:r>
      <w:r>
        <w:t xml:space="preserve"> sur les activités de coopération avec l</w:t>
      </w:r>
      <w:r w:rsidR="00AF0C31">
        <w:t>’</w:t>
      </w:r>
      <w:r>
        <w:t>Organisation mondiale de la Santé et l</w:t>
      </w:r>
      <w:r w:rsidR="00AF0C31">
        <w:t>’</w:t>
      </w:r>
      <w:r>
        <w:t>Organisation internationale du Travail</w:t>
      </w:r>
    </w:p>
    <w:p w14:paraId="27B7AE6C" w14:textId="10097460" w:rsidR="00D34A59" w:rsidRPr="003D56F3" w:rsidRDefault="002C54E3" w:rsidP="00AF0C31">
      <w:pPr>
        <w:pStyle w:val="CH2"/>
      </w:pPr>
      <w:r>
        <w:tab/>
      </w:r>
      <w:r>
        <w:tab/>
      </w:r>
      <w:r w:rsidRPr="00A43374">
        <w:t>Note</w:t>
      </w:r>
      <w:r>
        <w:t xml:space="preserve"> du </w:t>
      </w:r>
      <w:r w:rsidRPr="00AF0C31">
        <w:t>Secrétariat</w:t>
      </w:r>
    </w:p>
    <w:p w14:paraId="30849C12" w14:textId="7B650142" w:rsidR="006C08E4" w:rsidRPr="003D56F3" w:rsidRDefault="00773959" w:rsidP="00AF0C31">
      <w:pPr>
        <w:pStyle w:val="Normalnumber"/>
        <w:numPr>
          <w:ilvl w:val="0"/>
          <w:numId w:val="2"/>
        </w:numPr>
      </w:pPr>
      <w:r>
        <w:t>Au paragraphe 2 de l</w:t>
      </w:r>
      <w:r w:rsidR="00AF0C31">
        <w:t>’</w:t>
      </w:r>
      <w:r>
        <w:t>article 16, relatif aux aspects sanitaires, la Convention de Minamata sur le</w:t>
      </w:r>
      <w:r w:rsidR="00991B05">
        <w:t> </w:t>
      </w:r>
      <w:r>
        <w:t>mercure prévoit que la Conférence des Parties à la Convention, dans le cadre de l</w:t>
      </w:r>
      <w:r w:rsidR="00AF0C31">
        <w:t>’</w:t>
      </w:r>
      <w:r>
        <w:t xml:space="preserve">examen de questions ou </w:t>
      </w:r>
      <w:r w:rsidRPr="00A43374">
        <w:t>activités</w:t>
      </w:r>
      <w:r>
        <w:t xml:space="preserve"> liées à la santé, devrait consulter l</w:t>
      </w:r>
      <w:r w:rsidR="00AF0C31">
        <w:t>’</w:t>
      </w:r>
      <w:r>
        <w:t>Organisation mondiale de la Santé (OMS), l</w:t>
      </w:r>
      <w:r w:rsidR="00AF0C31">
        <w:t>’</w:t>
      </w:r>
      <w:r>
        <w:t>Organisation internationale du Travail (OIT) et d</w:t>
      </w:r>
      <w:r w:rsidR="00AF0C31">
        <w:t>’</w:t>
      </w:r>
      <w:r>
        <w:t>autres organisations intergouvernementales compétentes et collaborer avec celles-ci, et promouvoir la coopération et l</w:t>
      </w:r>
      <w:r w:rsidR="00AF0C31">
        <w:t>’</w:t>
      </w:r>
      <w:r>
        <w:t>échange d</w:t>
      </w:r>
      <w:r w:rsidR="00AF0C31">
        <w:t>’</w:t>
      </w:r>
      <w:r>
        <w:t>informations avec ces organisations, selon qu</w:t>
      </w:r>
      <w:r w:rsidR="00AF0C31">
        <w:t>’</w:t>
      </w:r>
      <w:r>
        <w:t>il convient.</w:t>
      </w:r>
    </w:p>
    <w:p w14:paraId="1A799625" w14:textId="6A990729" w:rsidR="000D283C" w:rsidRPr="003D56F3" w:rsidRDefault="00D34A59" w:rsidP="00AF0C31">
      <w:pPr>
        <w:pStyle w:val="Normalnumber"/>
        <w:numPr>
          <w:ilvl w:val="0"/>
          <w:numId w:val="2"/>
        </w:numPr>
      </w:pPr>
      <w:r>
        <w:t>À sa première réunion, tenue à Genève du 24 au 29 septembre 2017, la Conférence des Parties a prié le secrétariat de continuer de coopérer et de collaborer activement avec l</w:t>
      </w:r>
      <w:r w:rsidR="00AF0C31">
        <w:t>’</w:t>
      </w:r>
      <w:r>
        <w:t>OMS, l</w:t>
      </w:r>
      <w:r w:rsidR="00AF0C31">
        <w:t>’</w:t>
      </w:r>
      <w:r>
        <w:t>OIT et d</w:t>
      </w:r>
      <w:r w:rsidR="00AF0C31">
        <w:t>’</w:t>
      </w:r>
      <w:r>
        <w:t xml:space="preserve">autres </w:t>
      </w:r>
      <w:r w:rsidRPr="00AF0C31">
        <w:t>organisations</w:t>
      </w:r>
      <w:r>
        <w:t xml:space="preserve"> compétentes dans la mise en œuvre de la Convention de Minamata. Ce message a été réitéré lors de la deuxième</w:t>
      </w:r>
      <w:r w:rsidR="007B2F0A">
        <w:t> </w:t>
      </w:r>
      <w:r>
        <w:t>réunion de la Conférence des Parties, tenue à Genève du 19 au 23 novembre 2018.</w:t>
      </w:r>
    </w:p>
    <w:p w14:paraId="3141BAE9" w14:textId="23C8A2E0" w:rsidR="000D283C" w:rsidRPr="00673CE5" w:rsidRDefault="00F105C7" w:rsidP="00991B05">
      <w:pPr>
        <w:pStyle w:val="Normalnumber"/>
        <w:numPr>
          <w:ilvl w:val="0"/>
          <w:numId w:val="2"/>
        </w:numPr>
      </w:pPr>
      <w:r>
        <w:t>Les domaines clefs de coopération et de collaboration avec l</w:t>
      </w:r>
      <w:r w:rsidR="00AF0C31">
        <w:t>’</w:t>
      </w:r>
      <w:r>
        <w:t>OMS comprennent les thermomètres et les sphygmomanomètres au mercure utilisés par les services de santé, les antiseptiques, les produits d</w:t>
      </w:r>
      <w:r w:rsidR="00AF0C31">
        <w:t>’</w:t>
      </w:r>
      <w:r>
        <w:t>éclaircissement de la peau et les amalgames dentaires (art.</w:t>
      </w:r>
      <w:r w:rsidR="00991B05">
        <w:t> </w:t>
      </w:r>
      <w:r>
        <w:t>4 et annexe A) ; les stratégies de santé publique concernant l</w:t>
      </w:r>
      <w:r w:rsidR="00AF0C31">
        <w:t>’</w:t>
      </w:r>
      <w:r>
        <w:t>extraction minière artisanale et à petite échelle d</w:t>
      </w:r>
      <w:r w:rsidR="00AF0C31">
        <w:t>’</w:t>
      </w:r>
      <w:r>
        <w:t>or (art.</w:t>
      </w:r>
      <w:r w:rsidR="00991B05">
        <w:t> </w:t>
      </w:r>
      <w:r>
        <w:t>7 et annexe C) ; l</w:t>
      </w:r>
      <w:r w:rsidR="00AF0C31">
        <w:t>’</w:t>
      </w:r>
      <w:r>
        <w:t>évaluation des risques pour la santé humaine posés par les sites contaminés (art.</w:t>
      </w:r>
      <w:r w:rsidR="00991B05">
        <w:t> </w:t>
      </w:r>
      <w:r>
        <w:t>12) ; l</w:t>
      </w:r>
      <w:r w:rsidR="00AF0C31">
        <w:t>’</w:t>
      </w:r>
      <w:r>
        <w:t>article concernant les aspects sanitaires (art.</w:t>
      </w:r>
      <w:r w:rsidR="00991B05">
        <w:t> </w:t>
      </w:r>
      <w:r>
        <w:t>16) ; l</w:t>
      </w:r>
      <w:r w:rsidR="00AF0C31">
        <w:t>’</w:t>
      </w:r>
      <w:r>
        <w:t>échange d</w:t>
      </w:r>
      <w:r w:rsidR="00AF0C31">
        <w:t>’</w:t>
      </w:r>
      <w:r>
        <w:t>informations sanitaires (art.</w:t>
      </w:r>
      <w:r w:rsidR="00991B05">
        <w:t> </w:t>
      </w:r>
      <w:r>
        <w:t>17) ; l</w:t>
      </w:r>
      <w:r w:rsidR="00AF0C31">
        <w:t>’</w:t>
      </w:r>
      <w:r>
        <w:t>information, la sensibilisation et l</w:t>
      </w:r>
      <w:r w:rsidR="00AF0C31">
        <w:t>’</w:t>
      </w:r>
      <w:r>
        <w:t>éducation du public concernant les effets sur</w:t>
      </w:r>
      <w:r w:rsidR="00991B05">
        <w:t> </w:t>
      </w:r>
      <w:r>
        <w:t>la</w:t>
      </w:r>
      <w:r w:rsidR="00991B05">
        <w:t> </w:t>
      </w:r>
      <w:r>
        <w:t>santé humaine (art.</w:t>
      </w:r>
      <w:r w:rsidR="00991B05">
        <w:t> </w:t>
      </w:r>
      <w:r>
        <w:t>18) ; et la recherche-développement et la surveillance s</w:t>
      </w:r>
      <w:r w:rsidR="00AF0C31">
        <w:t>’</w:t>
      </w:r>
      <w:r>
        <w:t>agissant de la santé (art.</w:t>
      </w:r>
      <w:r w:rsidR="00991B05">
        <w:t> </w:t>
      </w:r>
      <w:r>
        <w:t>19), où les ministères de la santé devraient jouer un rôle de premier plan. En outre, les secrétariats de l</w:t>
      </w:r>
      <w:r w:rsidR="00AF0C31">
        <w:t>’</w:t>
      </w:r>
      <w:r>
        <w:t>OMS et de la Convention de Minamata collaborent pour appuyer le renforcement des capacités et l</w:t>
      </w:r>
      <w:r w:rsidR="00AF0C31">
        <w:t>’</w:t>
      </w:r>
      <w:r>
        <w:t>assistance technique (art.</w:t>
      </w:r>
      <w:r w:rsidR="00991B05">
        <w:t> </w:t>
      </w:r>
      <w:r>
        <w:t>14) ainsi que l</w:t>
      </w:r>
      <w:r w:rsidR="00AF0C31">
        <w:t>’</w:t>
      </w:r>
      <w:r>
        <w:t>évaluation de l</w:t>
      </w:r>
      <w:r w:rsidR="00AF0C31">
        <w:t>’</w:t>
      </w:r>
      <w:r>
        <w:t>efficacité (art.</w:t>
      </w:r>
      <w:r w:rsidR="00991B05">
        <w:t> </w:t>
      </w:r>
      <w:r>
        <w:t xml:space="preserve">22). </w:t>
      </w:r>
    </w:p>
    <w:p w14:paraId="66B692AC" w14:textId="11BEF9C9" w:rsidR="00611C95" w:rsidRPr="003D56F3" w:rsidRDefault="00D34A59" w:rsidP="00991B05">
      <w:pPr>
        <w:pStyle w:val="Normalnumber"/>
        <w:numPr>
          <w:ilvl w:val="0"/>
          <w:numId w:val="2"/>
        </w:numPr>
      </w:pPr>
      <w:r>
        <w:t>Le secrétariat a entrepris des activités de coopération avec l</w:t>
      </w:r>
      <w:r w:rsidR="00AF0C31">
        <w:t>’</w:t>
      </w:r>
      <w:r>
        <w:t>OMS au cours de la période écoulée depuis la deuxième</w:t>
      </w:r>
      <w:r w:rsidR="000F248E">
        <w:t> </w:t>
      </w:r>
      <w:r>
        <w:t>réunion de la Conférence des Parties, notamment la participation à des</w:t>
      </w:r>
      <w:r w:rsidR="00991B05">
        <w:t> </w:t>
      </w:r>
      <w:r>
        <w:t>ateliers régionaux de promotion de la Convention auprès des ministères de la santé, ainsi que la</w:t>
      </w:r>
      <w:r w:rsidR="00991B05">
        <w:t> </w:t>
      </w:r>
      <w:r>
        <w:t>coopération technique concernant les documents d</w:t>
      </w:r>
      <w:r w:rsidR="00AF0C31">
        <w:t>’</w:t>
      </w:r>
      <w:r>
        <w:t>orientation et les demandes de renseignements sur des questions relatives à la santé.</w:t>
      </w:r>
      <w:r>
        <w:rPr>
          <w:rFonts w:asciiTheme="majorBidi" w:hAnsiTheme="majorBidi"/>
        </w:rPr>
        <w:t xml:space="preserve">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OMS continue de participer aux travaux intersessions sur </w:t>
      </w:r>
      <w:r>
        <w:rPr>
          <w:rFonts w:asciiTheme="majorBidi" w:hAnsiTheme="majorBidi"/>
        </w:rPr>
        <w:lastRenderedPageBreak/>
        <w:t>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évaluation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efficacité, en apportant des contributions majeures au projet de rapport établi par le</w:t>
      </w:r>
      <w:r w:rsidR="000F248E">
        <w:rPr>
          <w:rFonts w:asciiTheme="majorBidi" w:hAnsiTheme="majorBidi"/>
        </w:rPr>
        <w:t> </w:t>
      </w:r>
      <w:r>
        <w:rPr>
          <w:rFonts w:asciiTheme="majorBidi" w:hAnsiTheme="majorBidi"/>
        </w:rPr>
        <w:t>groupe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experts techniques. </w:t>
      </w:r>
      <w:r>
        <w:t>Des informations actualisées sur les activités de l</w:t>
      </w:r>
      <w:r w:rsidR="00AF0C31">
        <w:t>’</w:t>
      </w:r>
      <w:r>
        <w:t>OMS intéressant la</w:t>
      </w:r>
      <w:r w:rsidR="000F248E">
        <w:t> </w:t>
      </w:r>
      <w:r>
        <w:t>Convention de Minamata figurent dans l</w:t>
      </w:r>
      <w:r w:rsidR="00AF0C31">
        <w:t>’</w:t>
      </w:r>
      <w:r>
        <w:t xml:space="preserve">annexe I à la présente note. </w:t>
      </w:r>
    </w:p>
    <w:p w14:paraId="304407DC" w14:textId="1AA1EBA5" w:rsidR="00273588" w:rsidRPr="003D56F3" w:rsidRDefault="00785C70" w:rsidP="00991B05">
      <w:pPr>
        <w:pStyle w:val="Normalnumber"/>
        <w:numPr>
          <w:ilvl w:val="0"/>
          <w:numId w:val="2"/>
        </w:numPr>
      </w:pPr>
      <w:r>
        <w:t>Jusqu</w:t>
      </w:r>
      <w:r w:rsidR="00AF0C31">
        <w:t>’</w:t>
      </w:r>
      <w:r>
        <w:t>à présent, les travaux de l</w:t>
      </w:r>
      <w:r w:rsidR="00AF0C31">
        <w:t>’</w:t>
      </w:r>
      <w:r>
        <w:t>OIT se sont concentrés sur l</w:t>
      </w:r>
      <w:r w:rsidR="00AF0C31">
        <w:t>’</w:t>
      </w:r>
      <w:r>
        <w:t>utilisation d</w:t>
      </w:r>
      <w:r w:rsidR="008B3102">
        <w:t>e</w:t>
      </w:r>
      <w:r>
        <w:t xml:space="preserve"> mercure dans l</w:t>
      </w:r>
      <w:r w:rsidR="00AF0C31">
        <w:t>’</w:t>
      </w:r>
      <w:r>
        <w:t>extraction minière artisanale et à petite échelle d</w:t>
      </w:r>
      <w:r w:rsidR="00AF0C31">
        <w:t>’</w:t>
      </w:r>
      <w:r>
        <w:t>or (art.</w:t>
      </w:r>
      <w:r w:rsidR="000F248E">
        <w:t> </w:t>
      </w:r>
      <w:r>
        <w:t>7), mais l</w:t>
      </w:r>
      <w:r w:rsidR="00AF0C31">
        <w:t>’</w:t>
      </w:r>
      <w:r>
        <w:t>organisation élargit actuellement la</w:t>
      </w:r>
      <w:r w:rsidR="00991B05">
        <w:t> </w:t>
      </w:r>
      <w:r>
        <w:t>portée de ses initiatives afin d</w:t>
      </w:r>
      <w:r w:rsidR="00AF0C31">
        <w:t>’</w:t>
      </w:r>
      <w:r>
        <w:t>y inclure les expositions au mercure dans le secteur des déchets d</w:t>
      </w:r>
      <w:r w:rsidR="00AF0C31">
        <w:t>’</w:t>
      </w:r>
      <w:r>
        <w:t>équipements électriques et électroniques (art.</w:t>
      </w:r>
      <w:r w:rsidR="000F248E">
        <w:t> </w:t>
      </w:r>
      <w:r>
        <w:t>16). D</w:t>
      </w:r>
      <w:r w:rsidR="00AF0C31">
        <w:t>’</w:t>
      </w:r>
      <w:r>
        <w:t xml:space="preserve">une manière générale, </w:t>
      </w:r>
      <w:r w:rsidR="00647C5C">
        <w:t>elle s</w:t>
      </w:r>
      <w:r w:rsidR="00AF0C31">
        <w:t>’</w:t>
      </w:r>
      <w:r w:rsidR="00647C5C">
        <w:t xml:space="preserve">occupe de </w:t>
      </w:r>
      <w:r>
        <w:t>prom</w:t>
      </w:r>
      <w:r w:rsidR="00647C5C">
        <w:t>ouvoir</w:t>
      </w:r>
      <w:r>
        <w:t xml:space="preserve"> ses</w:t>
      </w:r>
      <w:r w:rsidR="00991B05">
        <w:t> </w:t>
      </w:r>
      <w:r>
        <w:t>instruments internationaux en vue de prévenir les maladies professionnelles et les</w:t>
      </w:r>
      <w:r w:rsidR="000F248E">
        <w:t> </w:t>
      </w:r>
      <w:r>
        <w:t>accidents du travail dus à l</w:t>
      </w:r>
      <w:r w:rsidR="00AF0C31">
        <w:t>’</w:t>
      </w:r>
      <w:r>
        <w:t>exposition au mercure et met en œuvre des projets dans les secteurs de</w:t>
      </w:r>
      <w:r w:rsidR="000F248E">
        <w:t> </w:t>
      </w:r>
      <w:r>
        <w:t>l</w:t>
      </w:r>
      <w:r w:rsidR="00AF0C31">
        <w:t>’</w:t>
      </w:r>
      <w:r>
        <w:t>extraction minière artisanale et à petite échelle d</w:t>
      </w:r>
      <w:r w:rsidR="00AF0C31">
        <w:t>’</w:t>
      </w:r>
      <w:r>
        <w:t>or et du démantèlement d</w:t>
      </w:r>
      <w:r w:rsidR="00AF0C31">
        <w:t>’</w:t>
      </w:r>
      <w:r>
        <w:t>automobiles. Elle</w:t>
      </w:r>
      <w:r w:rsidR="000F248E">
        <w:t> </w:t>
      </w:r>
      <w:r>
        <w:t>continue de produire des codes mondiaux de bonne pratique, des études et des documents de travail afin de faciliter l</w:t>
      </w:r>
      <w:r w:rsidR="00AF0C31">
        <w:t>’</w:t>
      </w:r>
      <w:r>
        <w:t xml:space="preserve">application de la Convention de Minamata. </w:t>
      </w:r>
      <w:r w:rsidR="008B3102">
        <w:t>Au nombre d</w:t>
      </w:r>
      <w:r>
        <w:t>es acti</w:t>
      </w:r>
      <w:r w:rsidR="00647C5C">
        <w:t>on</w:t>
      </w:r>
      <w:r>
        <w:t>s qui seront menées à l</w:t>
      </w:r>
      <w:r w:rsidR="00AF0C31">
        <w:t>’</w:t>
      </w:r>
      <w:r>
        <w:t xml:space="preserve">avenir </w:t>
      </w:r>
      <w:r w:rsidR="008B3102">
        <w:t>figurent la poursuite des</w:t>
      </w:r>
      <w:r>
        <w:t xml:space="preserve"> travaux dans le secteur de l</w:t>
      </w:r>
      <w:r w:rsidR="00AF0C31">
        <w:t>’</w:t>
      </w:r>
      <w:r>
        <w:t>extraction minière artisanale et à petite échelle d</w:t>
      </w:r>
      <w:r w:rsidR="00AF0C31">
        <w:t>’</w:t>
      </w:r>
      <w:r>
        <w:t>or et un éventuel projet conjoint avec l</w:t>
      </w:r>
      <w:r w:rsidR="00AF0C31">
        <w:t>’</w:t>
      </w:r>
      <w:r>
        <w:t>OMS et le Programme des Nations</w:t>
      </w:r>
      <w:r w:rsidR="000F248E">
        <w:t> </w:t>
      </w:r>
      <w:r>
        <w:t>Unies pour l</w:t>
      </w:r>
      <w:r w:rsidR="00AF0C31">
        <w:t>’</w:t>
      </w:r>
      <w:r>
        <w:t xml:space="preserve">environnement visant à protéger le personnel médical du secteur dentaire </w:t>
      </w:r>
      <w:r w:rsidR="008B3102">
        <w:t>contr</w:t>
      </w:r>
      <w:r>
        <w:t xml:space="preserve">e </w:t>
      </w:r>
      <w:r w:rsidR="008B3102">
        <w:t xml:space="preserve">une </w:t>
      </w:r>
      <w:r>
        <w:t>exposition dangereuse au mercure. Le 4 juillet 2019, l</w:t>
      </w:r>
      <w:r w:rsidR="00AF0C31">
        <w:t>’</w:t>
      </w:r>
      <w:r>
        <w:t>OIT a présenté les activités qu</w:t>
      </w:r>
      <w:r w:rsidR="00AF0C31">
        <w:t>’</w:t>
      </w:r>
      <w:r>
        <w:t>elle mène au titre de la</w:t>
      </w:r>
      <w:r w:rsidR="000F248E">
        <w:t> </w:t>
      </w:r>
      <w:r>
        <w:t>Convention de Minamata lors d</w:t>
      </w:r>
      <w:r w:rsidR="00AF0C31">
        <w:t>’</w:t>
      </w:r>
      <w:r>
        <w:t>une réunion d</w:t>
      </w:r>
      <w:r w:rsidR="00AF0C31">
        <w:t>’</w:t>
      </w:r>
      <w:r>
        <w:t>information à l</w:t>
      </w:r>
      <w:r w:rsidR="00AF0C31">
        <w:t>’</w:t>
      </w:r>
      <w:r>
        <w:t>intention de la communauté internationale de Genève, organisée par le Réseau Environnement de Genève.</w:t>
      </w:r>
      <w:r>
        <w:rPr>
          <w:rFonts w:asciiTheme="majorBidi" w:hAnsiTheme="majorBidi"/>
        </w:rPr>
        <w:t xml:space="preserve"> </w:t>
      </w:r>
      <w:r>
        <w:t>Des informations actualisées sur les activités de l</w:t>
      </w:r>
      <w:r w:rsidR="00AF0C31">
        <w:t>’</w:t>
      </w:r>
      <w:r>
        <w:t>OIT intéressant la Convention de Minamata figurent dans l</w:t>
      </w:r>
      <w:r w:rsidR="00AF0C31">
        <w:t>’</w:t>
      </w:r>
      <w:r>
        <w:t>annexe II à</w:t>
      </w:r>
      <w:r w:rsidR="000F248E">
        <w:t> </w:t>
      </w:r>
      <w:r>
        <w:t>la présente note.</w:t>
      </w:r>
    </w:p>
    <w:p w14:paraId="5322E946" w14:textId="4E389561" w:rsidR="00752ADE" w:rsidRPr="003D56F3" w:rsidRDefault="00752ADE" w:rsidP="00991B05">
      <w:pPr>
        <w:pStyle w:val="Normalnumber"/>
        <w:numPr>
          <w:ilvl w:val="0"/>
          <w:numId w:val="2"/>
        </w:numPr>
      </w:pPr>
      <w:r>
        <w:t>Le secrétariat continue de collaborer avec l</w:t>
      </w:r>
      <w:r w:rsidR="00AF0C31">
        <w:t>’</w:t>
      </w:r>
      <w:r>
        <w:t>OIT et l</w:t>
      </w:r>
      <w:r w:rsidR="00AF0C31">
        <w:t>’</w:t>
      </w:r>
      <w:r>
        <w:t xml:space="preserve">OMS dans le cadre du Programme </w:t>
      </w:r>
      <w:proofErr w:type="spellStart"/>
      <w:r>
        <w:t>interorganisations</w:t>
      </w:r>
      <w:proofErr w:type="spellEnd"/>
      <w:r>
        <w:t xml:space="preserve"> pour la gestion rationnelle des produits chimiques, qui constitue le mécanisme de</w:t>
      </w:r>
      <w:r w:rsidR="00991B05">
        <w:t> </w:t>
      </w:r>
      <w:r>
        <w:t xml:space="preserve">coordination international pour la gestion des substances chimiques. </w:t>
      </w:r>
    </w:p>
    <w:p w14:paraId="795D78F8" w14:textId="126647E0" w:rsidR="000D283C" w:rsidRPr="000F248E" w:rsidRDefault="00902971" w:rsidP="00AF0C31">
      <w:pPr>
        <w:pStyle w:val="CH2"/>
        <w:rPr>
          <w:sz w:val="20"/>
          <w:szCs w:val="20"/>
        </w:rPr>
      </w:pPr>
      <w:r w:rsidRPr="000F248E">
        <w:rPr>
          <w:sz w:val="20"/>
          <w:szCs w:val="20"/>
        </w:rPr>
        <w:tab/>
      </w:r>
      <w:r w:rsidRPr="000F248E">
        <w:rPr>
          <w:sz w:val="20"/>
          <w:szCs w:val="20"/>
        </w:rPr>
        <w:tab/>
        <w:t>Mesures que pourrait prendre la Conférence des Parties</w:t>
      </w:r>
    </w:p>
    <w:p w14:paraId="2E5FBB97" w14:textId="2CA13B9B" w:rsidR="00A43374" w:rsidRPr="00A43374" w:rsidRDefault="000D283C" w:rsidP="00991B05">
      <w:pPr>
        <w:pStyle w:val="Normalnumber"/>
        <w:numPr>
          <w:ilvl w:val="0"/>
          <w:numId w:val="2"/>
        </w:numPr>
        <w:rPr>
          <w:rFonts w:asciiTheme="majorBidi" w:hAnsiTheme="majorBidi" w:cstheme="majorBidi"/>
        </w:rPr>
      </w:pPr>
      <w:r>
        <w:t xml:space="preserve">La Conférence des Parties souhaitera peut-être prier le secrétariat de poursuivre activement </w:t>
      </w:r>
      <w:proofErr w:type="gramStart"/>
      <w:r>
        <w:t>la</w:t>
      </w:r>
      <w:proofErr w:type="gramEnd"/>
      <w:r w:rsidR="00991B05">
        <w:t> </w:t>
      </w:r>
      <w:r>
        <w:t>coopération et la collaboration sur les questions relatives à la santé avec les organisations intergouvernementales compétentes, en particulier l</w:t>
      </w:r>
      <w:r w:rsidR="00AF0C31">
        <w:t>’</w:t>
      </w:r>
      <w:r>
        <w:t>OMS et l</w:t>
      </w:r>
      <w:r w:rsidR="00AF0C31">
        <w:t>’</w:t>
      </w:r>
      <w:r>
        <w:t>OIT. La Conférence des Parties souhaitera peut-être également examiner les moyens de promouvoir la consultation, la collaboration et l</w:t>
      </w:r>
      <w:r w:rsidR="00AF0C31">
        <w:t>’</w:t>
      </w:r>
      <w:r>
        <w:t>échange d</w:t>
      </w:r>
      <w:r w:rsidR="00AF0C31">
        <w:t>’</w:t>
      </w:r>
      <w:r>
        <w:t>informations avec ces organisations, comme le prévoit le paragraphe 2 de l</w:t>
      </w:r>
      <w:r w:rsidR="00AF0C31">
        <w:t>’</w:t>
      </w:r>
      <w:r>
        <w:t>article 16.</w:t>
      </w:r>
      <w:r w:rsidRPr="00A43374">
        <w:rPr>
          <w:rFonts w:asciiTheme="majorBidi" w:hAnsiTheme="majorBidi"/>
        </w:rPr>
        <w:t xml:space="preserve"> </w:t>
      </w:r>
    </w:p>
    <w:p w14:paraId="68C4B9A6" w14:textId="77777777" w:rsidR="00D572E2" w:rsidRDefault="00D572E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ectPr w:rsidR="00D572E2" w:rsidSect="00A4337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0B416F60" w14:textId="3DDAEF67" w:rsidR="00480343" w:rsidRPr="003D56F3" w:rsidRDefault="00480343" w:rsidP="00AF0C31">
      <w:pPr>
        <w:pStyle w:val="ZZAnxheader"/>
      </w:pPr>
      <w:r w:rsidRPr="00AF0C31">
        <w:lastRenderedPageBreak/>
        <w:t>Annexe</w:t>
      </w:r>
      <w:r>
        <w:t> I</w:t>
      </w:r>
    </w:p>
    <w:p w14:paraId="0B100D4C" w14:textId="65BD0EFB" w:rsidR="002C54E3" w:rsidRPr="003D56F3" w:rsidRDefault="00B43CA2" w:rsidP="00AF0C31">
      <w:pPr>
        <w:pStyle w:val="ZZAnxtitle"/>
      </w:pPr>
      <w:r w:rsidRPr="00AF0C31">
        <w:t>Travaux</w:t>
      </w:r>
      <w:r>
        <w:t xml:space="preserve"> de l</w:t>
      </w:r>
      <w:r w:rsidR="00AF0C31">
        <w:t>’</w:t>
      </w:r>
      <w:r>
        <w:t>Organisation mondiale de la Santé intéressant la Convention de Minamata sur le mercure</w:t>
      </w:r>
    </w:p>
    <w:p w14:paraId="15E1F84A" w14:textId="2659A4B9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t>La collaboration entre l</w:t>
      </w:r>
      <w:r w:rsidR="00AF0C31">
        <w:t>’</w:t>
      </w:r>
      <w:r>
        <w:t>Organisation mondiale de la Santé (OMS), la Conférence des Parties à</w:t>
      </w:r>
      <w:r w:rsidR="000F248E">
        <w:t> </w:t>
      </w:r>
      <w:r>
        <w:t xml:space="preserve">la </w:t>
      </w:r>
      <w:r w:rsidRPr="00AF0C31">
        <w:t>Convention</w:t>
      </w:r>
      <w:r>
        <w:t xml:space="preserve"> de Minamata sur le mercure et le secrétariat de la Convention découle du texte de la</w:t>
      </w:r>
      <w:r w:rsidR="00991B05">
        <w:t> </w:t>
      </w:r>
      <w:r>
        <w:t xml:space="preserve">Convention, en particulier du paragraphe 2 de </w:t>
      </w:r>
      <w:r w:rsidR="00647C5C">
        <w:t xml:space="preserve">son </w:t>
      </w:r>
      <w:r>
        <w:t xml:space="preserve">article 16 ; de la résolution de la Conférence de </w:t>
      </w:r>
      <w:r w:rsidRPr="00A43374">
        <w:t>plénipotentiaires</w:t>
      </w:r>
      <w:r>
        <w:t xml:space="preserve"> </w:t>
      </w:r>
      <w:r w:rsidRPr="00AF0C31">
        <w:t>relative</w:t>
      </w:r>
      <w:r>
        <w:t xml:space="preserve"> à la Convention de Minamata portant sur les questions afférentes à d</w:t>
      </w:r>
      <w:r w:rsidR="00AF0C31">
        <w:t>’</w:t>
      </w:r>
      <w:r>
        <w:t>autres organes internationaux ; et de la résolution WHA67.11 de l</w:t>
      </w:r>
      <w:r w:rsidR="00AF0C31">
        <w:t>’</w:t>
      </w:r>
      <w:r>
        <w:t>Assemblée mondiale de la Santé intitulée « Conséquences pour la santé publique de l</w:t>
      </w:r>
      <w:r w:rsidR="00AF0C31">
        <w:t>’</w:t>
      </w:r>
      <w:r>
        <w:t>exposition au mercure et aux composés du mercure : le</w:t>
      </w:r>
      <w:r w:rsidR="00991B05">
        <w:t> </w:t>
      </w:r>
      <w:r>
        <w:t>rôle de l</w:t>
      </w:r>
      <w:r w:rsidR="00AF0C31">
        <w:t>’</w:t>
      </w:r>
      <w:r>
        <w:t>OMS et des ministères de la santé publique dans la mise en œuvre de la Convention de</w:t>
      </w:r>
      <w:r w:rsidR="00991B05">
        <w:t> </w:t>
      </w:r>
      <w:r>
        <w:t>Minamata ».</w:t>
      </w:r>
    </w:p>
    <w:p w14:paraId="18FEF698" w14:textId="53D9F44E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Au cours de la période allant de juillet 2018 à juin 2019, les activités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OMS intéressant la Convention de Minamata ont porté sur les questions ci-après. </w:t>
      </w:r>
    </w:p>
    <w:p w14:paraId="0846D22E" w14:textId="63F797EC" w:rsidR="00CE0D3B" w:rsidRPr="003D56F3" w:rsidRDefault="00CE0D3B" w:rsidP="00AF0C31">
      <w:pPr>
        <w:pStyle w:val="CH3"/>
      </w:pPr>
      <w:r>
        <w:tab/>
      </w:r>
      <w:r>
        <w:tab/>
        <w:t>Orientations de l</w:t>
      </w:r>
      <w:r w:rsidR="00AF0C31">
        <w:t>’</w:t>
      </w:r>
      <w:r>
        <w:t>OMS sur la hiérarchisation et la planification de la mise en œuvre des </w:t>
      </w:r>
      <w:r w:rsidRPr="00AF0C31">
        <w:t>articles</w:t>
      </w:r>
      <w:r>
        <w:t xml:space="preserve"> </w:t>
      </w:r>
      <w:r w:rsidRPr="00A43374">
        <w:t>relatifs</w:t>
      </w:r>
      <w:r>
        <w:t xml:space="preserve"> à la santé de la Convention de Minamata</w:t>
      </w:r>
    </w:p>
    <w:p w14:paraId="1FF9E197" w14:textId="206DBE93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En raison des multiples rôles que doivent assumer les ministères de la santé dans la mise en œuvre de la Convention de Minamata,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OMS a élaboré des orientations sur la planification stratégique de la mise en œuvre des articles </w:t>
      </w:r>
      <w:r w:rsidR="008858A4" w:rsidRPr="008858A4">
        <w:rPr>
          <w:rFonts w:asciiTheme="majorBidi" w:hAnsiTheme="majorBidi"/>
          <w:color w:val="000000" w:themeColor="text1"/>
          <w:lang w:val="fr-FR"/>
        </w:rPr>
        <w:t xml:space="preserve">de la Convention </w:t>
      </w:r>
      <w:r w:rsidR="008858A4">
        <w:rPr>
          <w:rFonts w:asciiTheme="majorBidi" w:hAnsiTheme="majorBidi"/>
          <w:color w:val="000000" w:themeColor="text1"/>
        </w:rPr>
        <w:t xml:space="preserve">se rapportant </w:t>
      </w:r>
      <w:r>
        <w:rPr>
          <w:rFonts w:asciiTheme="majorBidi" w:hAnsiTheme="majorBidi"/>
          <w:color w:val="000000" w:themeColor="text1"/>
        </w:rPr>
        <w:t xml:space="preserve">à la santé. Ces orientations reconnaissent </w:t>
      </w:r>
      <w:r w:rsidRPr="00AF0C31">
        <w:t>que</w:t>
      </w:r>
      <w:r>
        <w:rPr>
          <w:rFonts w:asciiTheme="majorBidi" w:hAnsiTheme="majorBidi"/>
          <w:color w:val="000000" w:themeColor="text1"/>
        </w:rPr>
        <w:t xml:space="preserve">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approche adoptée dans un pays donné devra être adaptée aux besoins spécifiques et à la situation particulière du pays en question. Par conséquent, le document </w:t>
      </w:r>
      <w:r w:rsidR="00B13BB3">
        <w:rPr>
          <w:rFonts w:asciiTheme="majorBidi" w:hAnsiTheme="majorBidi"/>
          <w:color w:val="000000" w:themeColor="text1"/>
        </w:rPr>
        <w:t>fournit une liste d</w:t>
      </w:r>
      <w:r w:rsidR="00AF0C31">
        <w:rPr>
          <w:rFonts w:asciiTheme="majorBidi" w:hAnsiTheme="majorBidi"/>
          <w:color w:val="000000" w:themeColor="text1"/>
        </w:rPr>
        <w:t>’</w:t>
      </w:r>
      <w:r w:rsidR="00B13BB3">
        <w:rPr>
          <w:rFonts w:asciiTheme="majorBidi" w:hAnsiTheme="majorBidi"/>
          <w:color w:val="000000" w:themeColor="text1"/>
        </w:rPr>
        <w:t>éléments essentiels à prendre en considération</w:t>
      </w:r>
      <w:r>
        <w:rPr>
          <w:rFonts w:asciiTheme="majorBidi" w:hAnsiTheme="majorBidi"/>
          <w:color w:val="000000" w:themeColor="text1"/>
        </w:rPr>
        <w:t xml:space="preserve"> lors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élaboration des plans, ainsi que des orientations sur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intégration des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mesures concernant le mercure dans les différents programmes de santé qui vont dans le sens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article 16 relatif aux aspects sanitaires. Les orientations seront publiées et diffusées dans les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six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langues officielles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Organisation des Nations Unies dans le courant du second</w:t>
      </w:r>
      <w:r w:rsidR="000F248E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semestre de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2019.</w:t>
      </w:r>
    </w:p>
    <w:p w14:paraId="50501E25" w14:textId="02E6D87A" w:rsidR="00CE0D3B" w:rsidRPr="003D56F3" w:rsidRDefault="008372C8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Au second</w:t>
      </w:r>
      <w:r w:rsidR="000F248E">
        <w:rPr>
          <w:rFonts w:asciiTheme="majorBidi" w:hAnsiTheme="majorBidi"/>
          <w:color w:val="000000" w:themeColor="text1"/>
        </w:rPr>
        <w:t> </w:t>
      </w:r>
      <w:r w:rsidRPr="00A43374">
        <w:t>semestre</w:t>
      </w:r>
      <w:r>
        <w:rPr>
          <w:rFonts w:asciiTheme="majorBidi" w:hAnsiTheme="majorBidi"/>
          <w:color w:val="000000" w:themeColor="text1"/>
        </w:rPr>
        <w:t xml:space="preserve"> </w:t>
      </w:r>
      <w:r w:rsidR="000F248E">
        <w:rPr>
          <w:rFonts w:asciiTheme="majorBidi" w:hAnsiTheme="majorBidi"/>
          <w:color w:val="000000" w:themeColor="text1"/>
        </w:rPr>
        <w:t xml:space="preserve">de </w:t>
      </w:r>
      <w:r>
        <w:rPr>
          <w:rFonts w:asciiTheme="majorBidi" w:hAnsiTheme="majorBidi"/>
          <w:color w:val="000000" w:themeColor="text1"/>
        </w:rPr>
        <w:t>2019,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OMS aidera également un certain nombre de pays à appliquer les</w:t>
      </w:r>
      <w:r w:rsidR="00991B05">
        <w:rPr>
          <w:rFonts w:asciiTheme="majorBidi" w:hAnsiTheme="majorBidi"/>
          <w:color w:val="000000" w:themeColor="text1"/>
        </w:rPr>
        <w:t> </w:t>
      </w:r>
      <w:r w:rsidRPr="00AF0C31">
        <w:t>orientations</w:t>
      </w:r>
      <w:r>
        <w:rPr>
          <w:rFonts w:asciiTheme="majorBidi" w:hAnsiTheme="majorBidi"/>
          <w:color w:val="000000" w:themeColor="text1"/>
        </w:rPr>
        <w:t xml:space="preserve"> et à élaborer leurs plans stratégiques. </w:t>
      </w:r>
    </w:p>
    <w:p w14:paraId="2CA14570" w14:textId="25642309" w:rsidR="00CE0D3B" w:rsidRPr="003D56F3" w:rsidRDefault="00CE0D3B" w:rsidP="00AF0C31">
      <w:pPr>
        <w:pStyle w:val="CH3"/>
      </w:pPr>
      <w:r>
        <w:tab/>
      </w:r>
      <w:r>
        <w:tab/>
      </w:r>
      <w:r w:rsidRPr="00AF0C31">
        <w:t>Ateliers</w:t>
      </w:r>
      <w:r>
        <w:t xml:space="preserve"> </w:t>
      </w:r>
      <w:r w:rsidRPr="00A43374">
        <w:t>régionaux</w:t>
      </w:r>
      <w:r>
        <w:t xml:space="preserve"> organisés par l</w:t>
      </w:r>
      <w:r w:rsidR="00AF0C31">
        <w:t>’</w:t>
      </w:r>
      <w:r>
        <w:t>OMS</w:t>
      </w:r>
    </w:p>
    <w:p w14:paraId="41F1A4EA" w14:textId="3A80C8EE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 w:rsidRPr="00A43374">
        <w:t>L</w:t>
      </w:r>
      <w:r w:rsidR="00AF0C31">
        <w:t>’</w:t>
      </w:r>
      <w:r w:rsidRPr="00A43374">
        <w:t>OMS a achevé une série d</w:t>
      </w:r>
      <w:r w:rsidR="00AF0C31">
        <w:t>’</w:t>
      </w:r>
      <w:r w:rsidRPr="00A43374">
        <w:t>ateliers régionaux de sensibilisation et de promotion de la mise en</w:t>
      </w:r>
      <w:r w:rsidR="000F248E">
        <w:t> </w:t>
      </w:r>
      <w:r w:rsidRPr="00A43374">
        <w:t>réseaux des ministères de la santé pour appuyer la mise en œuvre de la Convention de Minamata et de la résolution WHA67.11.</w:t>
      </w:r>
      <w:r>
        <w:rPr>
          <w:rFonts w:asciiTheme="majorBidi" w:hAnsiTheme="majorBidi"/>
          <w:color w:val="000000" w:themeColor="text1"/>
        </w:rPr>
        <w:t xml:space="preserve"> Une brochure résumant les résultats de ces ateliers a été publiée lors de</w:t>
      </w:r>
      <w:r w:rsidR="000F248E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la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deuxième réunion de la Conférence des Parties, en novembre 2018, et est désormais disponible dans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les six</w:t>
      </w:r>
      <w:r w:rsidR="000F248E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langues officielles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Organisation des Nations Unies</w:t>
      </w:r>
      <w:r w:rsidRPr="003D56F3">
        <w:rPr>
          <w:rStyle w:val="FootnoteReference"/>
          <w:rFonts w:cstheme="majorBidi"/>
          <w:lang w:eastAsia="fr-CH"/>
        </w:rPr>
        <w:footnoteReference w:id="3"/>
      </w:r>
      <w:r>
        <w:rPr>
          <w:rFonts w:asciiTheme="majorBidi" w:hAnsiTheme="majorBidi"/>
          <w:color w:val="000000" w:themeColor="text1"/>
        </w:rPr>
        <w:t xml:space="preserve">. </w:t>
      </w:r>
    </w:p>
    <w:p w14:paraId="6E508CEE" w14:textId="7306750C" w:rsidR="00CE0D3B" w:rsidRPr="003D56F3" w:rsidRDefault="00CE0D3B" w:rsidP="00AF0C31">
      <w:pPr>
        <w:pStyle w:val="CH3"/>
      </w:pPr>
      <w:r>
        <w:tab/>
      </w:r>
      <w:r>
        <w:tab/>
      </w:r>
      <w:r w:rsidRPr="00AF0C31">
        <w:t>Extraction</w:t>
      </w:r>
      <w:r>
        <w:t xml:space="preserve"> minière artisanale et à petite échelle d</w:t>
      </w:r>
      <w:r w:rsidR="00AF0C31">
        <w:t>’</w:t>
      </w:r>
      <w:r>
        <w:t>or</w:t>
      </w:r>
    </w:p>
    <w:p w14:paraId="233B8431" w14:textId="5F931F13" w:rsidR="00CE0D3B" w:rsidRPr="00B5657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En décembre 2019,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OMS publiera le document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orientation sur la prise en compte des</w:t>
      </w:r>
      <w:r w:rsidR="000F248E">
        <w:rPr>
          <w:rFonts w:asciiTheme="majorBidi" w:hAnsiTheme="majorBidi"/>
          <w:color w:val="000000" w:themeColor="text1"/>
        </w:rPr>
        <w:t> </w:t>
      </w:r>
      <w:r w:rsidR="00163B69">
        <w:rPr>
          <w:rFonts w:asciiTheme="majorBidi" w:hAnsiTheme="majorBidi"/>
          <w:color w:val="000000" w:themeColor="text1"/>
        </w:rPr>
        <w:t xml:space="preserve">aspects </w:t>
      </w:r>
      <w:r w:rsidR="00163B69" w:rsidRPr="00AF0C31">
        <w:t>relatifs</w:t>
      </w:r>
      <w:r w:rsidR="00163B69">
        <w:rPr>
          <w:rFonts w:asciiTheme="majorBidi" w:hAnsiTheme="majorBidi"/>
          <w:color w:val="000000" w:themeColor="text1"/>
        </w:rPr>
        <w:t xml:space="preserve"> à la santé</w:t>
      </w:r>
      <w:r>
        <w:rPr>
          <w:rFonts w:asciiTheme="majorBidi" w:hAnsiTheme="majorBidi"/>
          <w:color w:val="000000" w:themeColor="text1"/>
        </w:rPr>
        <w:t xml:space="preserve"> lors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élaboration des plans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action nationaux au titre de la</w:t>
      </w:r>
      <w:r w:rsidR="000F248E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Convention de Minamata sur le mercure</w:t>
      </w:r>
      <w:r w:rsidR="00AC56C4">
        <w:rPr>
          <w:rFonts w:asciiTheme="majorBidi" w:hAnsiTheme="majorBidi"/>
          <w:color w:val="000000" w:themeColor="text1"/>
        </w:rPr>
        <w:t>, intitulé</w:t>
      </w:r>
      <w:r>
        <w:rPr>
          <w:rFonts w:asciiTheme="majorBidi" w:hAnsiTheme="majorBidi"/>
          <w:color w:val="000000" w:themeColor="text1"/>
        </w:rPr>
        <w:t xml:space="preserve"> « </w:t>
      </w:r>
      <w:proofErr w:type="spellStart"/>
      <w:r>
        <w:rPr>
          <w:rFonts w:asciiTheme="majorBidi" w:hAnsiTheme="majorBidi"/>
          <w:i/>
          <w:color w:val="000000" w:themeColor="text1"/>
        </w:rPr>
        <w:t>Addressing</w:t>
      </w:r>
      <w:proofErr w:type="spellEnd"/>
      <w:r>
        <w:rPr>
          <w:rFonts w:asciiTheme="majorBidi" w:hAnsiTheme="majorBidi"/>
          <w:i/>
          <w:color w:val="000000" w:themeColor="text1"/>
        </w:rPr>
        <w:t xml:space="preserve"> </w:t>
      </w:r>
      <w:proofErr w:type="spellStart"/>
      <w:r>
        <w:rPr>
          <w:rFonts w:asciiTheme="majorBidi" w:hAnsiTheme="majorBidi"/>
          <w:i/>
          <w:color w:val="000000" w:themeColor="text1"/>
        </w:rPr>
        <w:t>health</w:t>
      </w:r>
      <w:proofErr w:type="spellEnd"/>
      <w:r>
        <w:rPr>
          <w:rFonts w:asciiTheme="majorBidi" w:hAnsiTheme="majorBidi"/>
          <w:i/>
          <w:color w:val="000000" w:themeColor="text1"/>
        </w:rPr>
        <w:t xml:space="preserve"> aspects in the </w:t>
      </w:r>
      <w:proofErr w:type="spellStart"/>
      <w:r>
        <w:rPr>
          <w:rFonts w:asciiTheme="majorBidi" w:hAnsiTheme="majorBidi"/>
          <w:i/>
          <w:color w:val="000000" w:themeColor="text1"/>
        </w:rPr>
        <w:t>context</w:t>
      </w:r>
      <w:proofErr w:type="spellEnd"/>
      <w:r>
        <w:rPr>
          <w:rFonts w:asciiTheme="majorBidi" w:hAnsiTheme="majorBidi"/>
          <w:i/>
          <w:color w:val="000000" w:themeColor="text1"/>
        </w:rPr>
        <w:t xml:space="preserve"> of </w:t>
      </w:r>
      <w:proofErr w:type="spellStart"/>
      <w:r>
        <w:rPr>
          <w:rFonts w:asciiTheme="majorBidi" w:hAnsiTheme="majorBidi"/>
          <w:i/>
          <w:color w:val="000000" w:themeColor="text1"/>
        </w:rPr>
        <w:t>developing</w:t>
      </w:r>
      <w:proofErr w:type="spellEnd"/>
      <w:r>
        <w:rPr>
          <w:rFonts w:asciiTheme="majorBidi" w:hAnsiTheme="majorBidi"/>
          <w:i/>
          <w:color w:val="000000" w:themeColor="text1"/>
        </w:rPr>
        <w:t xml:space="preserve"> national action plans </w:t>
      </w:r>
      <w:proofErr w:type="spellStart"/>
      <w:r>
        <w:rPr>
          <w:rFonts w:asciiTheme="majorBidi" w:hAnsiTheme="majorBidi"/>
          <w:i/>
          <w:color w:val="000000" w:themeColor="text1"/>
        </w:rPr>
        <w:t>under</w:t>
      </w:r>
      <w:proofErr w:type="spellEnd"/>
      <w:r>
        <w:rPr>
          <w:rFonts w:asciiTheme="majorBidi" w:hAnsiTheme="majorBidi"/>
          <w:i/>
          <w:color w:val="000000" w:themeColor="text1"/>
        </w:rPr>
        <w:t xml:space="preserve"> the Minamata Convention on Mercury</w:t>
      </w:r>
      <w:r>
        <w:rPr>
          <w:rFonts w:asciiTheme="majorBidi" w:hAnsiTheme="majorBidi"/>
          <w:color w:val="000000" w:themeColor="text1"/>
        </w:rPr>
        <w:t xml:space="preserve"> », </w:t>
      </w:r>
      <w:r w:rsidR="00AC56C4">
        <w:rPr>
          <w:rFonts w:asciiTheme="majorBidi" w:hAnsiTheme="majorBidi"/>
          <w:color w:val="000000" w:themeColor="text1"/>
        </w:rPr>
        <w:t>qu</w:t>
      </w:r>
      <w:r w:rsidR="00AF0C31">
        <w:rPr>
          <w:rFonts w:asciiTheme="majorBidi" w:hAnsiTheme="majorBidi"/>
          <w:color w:val="000000" w:themeColor="text1"/>
        </w:rPr>
        <w:t>’</w:t>
      </w:r>
      <w:r w:rsidR="00AC56C4">
        <w:rPr>
          <w:rFonts w:asciiTheme="majorBidi" w:hAnsiTheme="majorBidi"/>
          <w:color w:val="000000" w:themeColor="text1"/>
        </w:rPr>
        <w:t xml:space="preserve">il est prévu de </w:t>
      </w:r>
      <w:r>
        <w:rPr>
          <w:rFonts w:asciiTheme="majorBidi" w:hAnsiTheme="majorBidi"/>
          <w:color w:val="000000" w:themeColor="text1"/>
        </w:rPr>
        <w:t>largement diffus</w:t>
      </w:r>
      <w:r w:rsidR="00AC56C4">
        <w:rPr>
          <w:rFonts w:asciiTheme="majorBidi" w:hAnsiTheme="majorBidi"/>
          <w:color w:val="000000" w:themeColor="text1"/>
        </w:rPr>
        <w:t>er</w:t>
      </w:r>
      <w:r>
        <w:rPr>
          <w:rFonts w:asciiTheme="majorBidi" w:hAnsiTheme="majorBidi"/>
          <w:color w:val="000000" w:themeColor="text1"/>
        </w:rPr>
        <w:t xml:space="preserve"> auprès des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ministères de la santé. Ce</w:t>
      </w:r>
      <w:r w:rsidR="00AC56C4">
        <w:rPr>
          <w:rFonts w:asciiTheme="majorBidi" w:hAnsiTheme="majorBidi"/>
          <w:color w:val="000000" w:themeColor="text1"/>
        </w:rPr>
        <w:t xml:space="preserve"> document se penche</w:t>
      </w:r>
      <w:r>
        <w:rPr>
          <w:rFonts w:asciiTheme="majorBidi" w:hAnsiTheme="majorBidi"/>
          <w:color w:val="000000" w:themeColor="text1"/>
        </w:rPr>
        <w:t xml:space="preserve"> sur les répercussions san</w:t>
      </w:r>
      <w:r w:rsidR="00AC56C4">
        <w:rPr>
          <w:rFonts w:asciiTheme="majorBidi" w:hAnsiTheme="majorBidi"/>
          <w:color w:val="000000" w:themeColor="text1"/>
        </w:rPr>
        <w:t>itaires</w:t>
      </w:r>
      <w:r>
        <w:rPr>
          <w:rFonts w:asciiTheme="majorBidi" w:hAnsiTheme="majorBidi"/>
          <w:color w:val="000000" w:themeColor="text1"/>
        </w:rPr>
        <w:t xml:space="preserve">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extraction minière artisanale et à petite échelle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or. </w:t>
      </w:r>
      <w:r w:rsidR="00AC56C4">
        <w:rPr>
          <w:rFonts w:asciiTheme="majorBidi" w:hAnsiTheme="majorBidi"/>
          <w:color w:val="000000" w:themeColor="text1"/>
        </w:rPr>
        <w:t>S</w:t>
      </w:r>
      <w:r>
        <w:rPr>
          <w:rFonts w:asciiTheme="majorBidi" w:hAnsiTheme="majorBidi"/>
          <w:color w:val="000000" w:themeColor="text1"/>
        </w:rPr>
        <w:t>a version de travail, présentée à la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Conférence des Parties à sa deuxième réunion, a été établie comme suite à la résolution WHA67.11</w:t>
      </w:r>
      <w:r w:rsidR="00163B69">
        <w:rPr>
          <w:rFonts w:asciiTheme="majorBidi" w:hAnsiTheme="majorBidi"/>
          <w:color w:val="000000" w:themeColor="text1"/>
        </w:rPr>
        <w:t>,</w:t>
      </w:r>
      <w:r>
        <w:rPr>
          <w:rFonts w:asciiTheme="majorBidi" w:hAnsiTheme="majorBidi"/>
          <w:color w:val="000000" w:themeColor="text1"/>
        </w:rPr>
        <w:t xml:space="preserve"> </w:t>
      </w:r>
      <w:r w:rsidR="00163B69">
        <w:rPr>
          <w:rFonts w:asciiTheme="majorBidi" w:hAnsiTheme="majorBidi"/>
          <w:color w:val="000000" w:themeColor="text1"/>
        </w:rPr>
        <w:t>en s</w:t>
      </w:r>
      <w:r w:rsidR="00AF0C31">
        <w:rPr>
          <w:rFonts w:asciiTheme="majorBidi" w:hAnsiTheme="majorBidi"/>
          <w:color w:val="000000" w:themeColor="text1"/>
        </w:rPr>
        <w:t>’</w:t>
      </w:r>
      <w:r w:rsidR="00163B69">
        <w:rPr>
          <w:rFonts w:asciiTheme="majorBidi" w:hAnsiTheme="majorBidi"/>
          <w:color w:val="000000" w:themeColor="text1"/>
        </w:rPr>
        <w:t>appuyant</w:t>
      </w:r>
      <w:r>
        <w:rPr>
          <w:rFonts w:asciiTheme="majorBidi" w:hAnsiTheme="majorBidi"/>
          <w:color w:val="000000" w:themeColor="text1"/>
        </w:rPr>
        <w:t xml:space="preserve"> sur </w:t>
      </w:r>
      <w:r w:rsidR="00163B69">
        <w:rPr>
          <w:rFonts w:asciiTheme="majorBidi" w:hAnsiTheme="majorBidi"/>
          <w:color w:val="000000" w:themeColor="text1"/>
        </w:rPr>
        <w:t>des</w:t>
      </w:r>
      <w:r>
        <w:rPr>
          <w:rFonts w:asciiTheme="majorBidi" w:hAnsiTheme="majorBidi"/>
          <w:color w:val="000000" w:themeColor="text1"/>
        </w:rPr>
        <w:t xml:space="preserve"> consultati</w:t>
      </w:r>
      <w:r w:rsidR="00163B69">
        <w:rPr>
          <w:rFonts w:asciiTheme="majorBidi" w:hAnsiTheme="majorBidi"/>
          <w:color w:val="000000" w:themeColor="text1"/>
        </w:rPr>
        <w:t>ons avec les</w:t>
      </w:r>
      <w:r>
        <w:rPr>
          <w:rFonts w:asciiTheme="majorBidi" w:hAnsiTheme="majorBidi"/>
          <w:color w:val="000000" w:themeColor="text1"/>
        </w:rPr>
        <w:t xml:space="preserve"> États membres. </w:t>
      </w:r>
    </w:p>
    <w:p w14:paraId="3D4B1DD9" w14:textId="19BA1935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OMS teste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utilisation des orientations dans trois pays africains qui sont en train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élaborer des plans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action nationaux élargis sur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extraction minière artisanale et à petite échelle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or, conformément à la Convention. Le projet pilote a été mené au Ghana, au Mozambique et au Nigéria, et comprend une évaluation rapide de la situation sanitaire et une évaluation des capacités et des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 xml:space="preserve">systèmes </w:t>
      </w:r>
      <w:r w:rsidRPr="00A43374">
        <w:t>institutionnels</w:t>
      </w:r>
      <w:r>
        <w:rPr>
          <w:rFonts w:asciiTheme="majorBidi" w:hAnsiTheme="majorBidi"/>
          <w:color w:val="000000" w:themeColor="text1"/>
        </w:rPr>
        <w:t>. Ce projet pilote, qui sera achevé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ici à décembre 2019, a servi à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élaboration du document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orientation.</w:t>
      </w:r>
    </w:p>
    <w:p w14:paraId="05C4E3B4" w14:textId="1B4CA5ED" w:rsidR="00CE0D3B" w:rsidRPr="003D56F3" w:rsidRDefault="00CE0D3B" w:rsidP="000F248E">
      <w:pPr>
        <w:pStyle w:val="Normalnumber"/>
        <w:keepLines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lastRenderedPageBreak/>
        <w:t>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autres documents sur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extraction minière artisanale et à petite échelle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or et la santé</w:t>
      </w:r>
      <w:r w:rsidR="00163B69">
        <w:rPr>
          <w:rFonts w:asciiTheme="majorBidi" w:hAnsiTheme="majorBidi"/>
          <w:color w:val="000000" w:themeColor="text1"/>
        </w:rPr>
        <w:t xml:space="preserve"> sont en</w:t>
      </w:r>
      <w:r w:rsidR="00AF0C31">
        <w:rPr>
          <w:rFonts w:asciiTheme="majorBidi" w:hAnsiTheme="majorBidi"/>
          <w:color w:val="000000" w:themeColor="text1"/>
        </w:rPr>
        <w:t> </w:t>
      </w:r>
      <w:r w:rsidR="00163B69">
        <w:rPr>
          <w:rFonts w:asciiTheme="majorBidi" w:hAnsiTheme="majorBidi"/>
          <w:color w:val="000000" w:themeColor="text1"/>
        </w:rPr>
        <w:t xml:space="preserve">cours de </w:t>
      </w:r>
      <w:r w:rsidR="00163B69" w:rsidRPr="00AF0C31">
        <w:t>préparation</w:t>
      </w:r>
      <w:r w:rsidR="00163B69">
        <w:rPr>
          <w:rFonts w:asciiTheme="majorBidi" w:hAnsiTheme="majorBidi"/>
          <w:color w:val="000000" w:themeColor="text1"/>
        </w:rPr>
        <w:t>, dont</w:t>
      </w:r>
      <w:r>
        <w:rPr>
          <w:rFonts w:asciiTheme="majorBidi" w:hAnsiTheme="majorBidi"/>
          <w:color w:val="000000" w:themeColor="text1"/>
        </w:rPr>
        <w:t xml:space="preserve"> des orientations sur la manière de procéder à une évaluation rapide de la</w:t>
      </w:r>
      <w:r w:rsidR="00AF0C31">
        <w:rPr>
          <w:rFonts w:asciiTheme="majorBidi" w:hAnsiTheme="majorBidi"/>
          <w:color w:val="000000" w:themeColor="text1"/>
        </w:rPr>
        <w:t> </w:t>
      </w:r>
      <w:r w:rsidRPr="00A43374">
        <w:t>situation</w:t>
      </w:r>
      <w:r>
        <w:rPr>
          <w:rFonts w:asciiTheme="majorBidi" w:hAnsiTheme="majorBidi"/>
          <w:color w:val="000000" w:themeColor="text1"/>
        </w:rPr>
        <w:t xml:space="preserve"> sanitaire des mineurs concernés et des membres de leur famille, élaborées sur la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base du projet pilote entrepris dans les trois pays africains.</w:t>
      </w:r>
    </w:p>
    <w:p w14:paraId="6D602A02" w14:textId="77777777" w:rsidR="00CE0D3B" w:rsidRPr="003D56F3" w:rsidRDefault="00CE0D3B" w:rsidP="00AF0C31">
      <w:pPr>
        <w:pStyle w:val="CH3"/>
      </w:pPr>
      <w:r>
        <w:tab/>
      </w:r>
      <w:r>
        <w:tab/>
      </w:r>
      <w:r w:rsidRPr="00AF0C31">
        <w:t>Amalgames</w:t>
      </w:r>
      <w:r>
        <w:t xml:space="preserve"> dentaires</w:t>
      </w:r>
    </w:p>
    <w:p w14:paraId="1D3882B8" w14:textId="4684C404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élimination progressive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utilisation des amalgames dentaires dans le cadre de la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 xml:space="preserve">Convention de Minamata pourrait favoriser un changement profond des soins dentaires. </w:t>
      </w:r>
      <w:r>
        <w:rPr>
          <w:color w:val="000000" w:themeColor="text1"/>
        </w:rPr>
        <w:t>Publié en</w:t>
      </w:r>
      <w:r w:rsidR="00991B05">
        <w:rPr>
          <w:color w:val="000000" w:themeColor="text1"/>
        </w:rPr>
        <w:t> </w:t>
      </w:r>
      <w:r>
        <w:rPr>
          <w:color w:val="000000" w:themeColor="text1"/>
        </w:rPr>
        <w:t>2018, l</w:t>
      </w:r>
      <w:r w:rsidR="00AF0C31">
        <w:rPr>
          <w:color w:val="000000" w:themeColor="text1"/>
        </w:rPr>
        <w:t>’</w:t>
      </w:r>
      <w:r>
        <w:rPr>
          <w:color w:val="000000" w:themeColor="text1"/>
        </w:rPr>
        <w:t>article « </w:t>
      </w:r>
      <w:r w:rsidRPr="000F248E">
        <w:rPr>
          <w:rFonts w:asciiTheme="majorBidi" w:hAnsiTheme="majorBidi"/>
          <w:i/>
          <w:color w:val="000000" w:themeColor="text1"/>
        </w:rPr>
        <w:t xml:space="preserve">The Minamata Convention and the phase down of dental </w:t>
      </w:r>
      <w:proofErr w:type="spellStart"/>
      <w:r w:rsidRPr="000F248E">
        <w:rPr>
          <w:rFonts w:asciiTheme="majorBidi" w:hAnsiTheme="majorBidi"/>
          <w:i/>
          <w:color w:val="000000" w:themeColor="text1"/>
        </w:rPr>
        <w:t>amalgam</w:t>
      </w:r>
      <w:proofErr w:type="spellEnd"/>
      <w:r w:rsidR="000F248E" w:rsidRPr="000F248E">
        <w:rPr>
          <w:rFonts w:asciiTheme="majorBidi" w:hAnsiTheme="majorBidi"/>
          <w:color w:val="000000" w:themeColor="text1"/>
        </w:rPr>
        <w:t> »</w:t>
      </w:r>
      <w:r w:rsidRPr="003D56F3">
        <w:rPr>
          <w:rStyle w:val="FootnoteReference"/>
          <w:rFonts w:cstheme="majorBidi"/>
          <w:color w:val="000000" w:themeColor="text1"/>
          <w:lang w:eastAsia="fr-CH"/>
        </w:rPr>
        <w:footnoteReference w:id="4"/>
      </w:r>
      <w:r>
        <w:rPr>
          <w:color w:val="000000" w:themeColor="text1"/>
        </w:rPr>
        <w:t xml:space="preserve"> expose le</w:t>
      </w:r>
      <w:r w:rsidR="00991B05">
        <w:rPr>
          <w:color w:val="000000" w:themeColor="text1"/>
        </w:rPr>
        <w:t> </w:t>
      </w:r>
      <w:r>
        <w:rPr>
          <w:color w:val="000000" w:themeColor="text1"/>
        </w:rPr>
        <w:t xml:space="preserve">point </w:t>
      </w:r>
      <w:r w:rsidRPr="00AF0C31">
        <w:t>de</w:t>
      </w:r>
      <w:r>
        <w:rPr>
          <w:color w:val="000000" w:themeColor="text1"/>
        </w:rPr>
        <w:t xml:space="preserve"> vue de l</w:t>
      </w:r>
      <w:r w:rsidR="00AF0C31">
        <w:rPr>
          <w:color w:val="000000" w:themeColor="text1"/>
        </w:rPr>
        <w:t>’</w:t>
      </w:r>
      <w:r>
        <w:rPr>
          <w:color w:val="000000" w:themeColor="text1"/>
        </w:rPr>
        <w:t>OMS et du Programme des Nations Unies pour l</w:t>
      </w:r>
      <w:r w:rsidR="00AF0C31">
        <w:rPr>
          <w:color w:val="000000" w:themeColor="text1"/>
        </w:rPr>
        <w:t>’</w:t>
      </w:r>
      <w:r>
        <w:rPr>
          <w:color w:val="000000" w:themeColor="text1"/>
        </w:rPr>
        <w:t>environnement (PNUE) sur la</w:t>
      </w:r>
      <w:r w:rsidR="00991B05">
        <w:rPr>
          <w:color w:val="000000" w:themeColor="text1"/>
        </w:rPr>
        <w:t> </w:t>
      </w:r>
      <w:r>
        <w:rPr>
          <w:color w:val="000000" w:themeColor="text1"/>
        </w:rPr>
        <w:t>mise en œuvre de l</w:t>
      </w:r>
      <w:r w:rsidR="00AF0C31">
        <w:rPr>
          <w:color w:val="000000" w:themeColor="text1"/>
        </w:rPr>
        <w:t>’</w:t>
      </w:r>
      <w:r>
        <w:rPr>
          <w:color w:val="000000" w:themeColor="text1"/>
        </w:rPr>
        <w:t>élimination progressive de l</w:t>
      </w:r>
      <w:r w:rsidR="00AF0C31">
        <w:rPr>
          <w:color w:val="000000" w:themeColor="text1"/>
        </w:rPr>
        <w:t>’</w:t>
      </w:r>
      <w:r>
        <w:rPr>
          <w:color w:val="000000" w:themeColor="text1"/>
        </w:rPr>
        <w:t>utilisation des amalgames dentaires.</w:t>
      </w:r>
      <w:r>
        <w:rPr>
          <w:rFonts w:asciiTheme="majorBidi" w:hAnsiTheme="majorBidi"/>
          <w:color w:val="000000" w:themeColor="text1"/>
        </w:rPr>
        <w:t xml:space="preserve"> Il propose une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série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interventions </w:t>
      </w:r>
      <w:r w:rsidRPr="00A43374">
        <w:t>stratégiques</w:t>
      </w:r>
      <w:r>
        <w:rPr>
          <w:rFonts w:asciiTheme="majorBidi" w:hAnsiTheme="majorBidi"/>
          <w:color w:val="000000" w:themeColor="text1"/>
        </w:rPr>
        <w:t xml:space="preserve"> alignées sur les neuf mesures énoncées dans la partie II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annexe A à la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Convention. Ces interventions sont centrées sur une démarche multiforme qui allie la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gestion des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déchets, la gestion des connaissances et le renforcement des systèmes de santé dans le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cadre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une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 xml:space="preserve">couverture sanitaire universelle. </w:t>
      </w:r>
    </w:p>
    <w:p w14:paraId="1BFB8737" w14:textId="77777777" w:rsidR="00CE0D3B" w:rsidRPr="003D56F3" w:rsidRDefault="00CE0D3B" w:rsidP="00AF0C31">
      <w:pPr>
        <w:pStyle w:val="CH3"/>
      </w:pPr>
      <w:r>
        <w:tab/>
      </w:r>
      <w:r>
        <w:tab/>
      </w:r>
      <w:r w:rsidRPr="00AF0C31">
        <w:t>Thermomètres</w:t>
      </w:r>
      <w:r>
        <w:t xml:space="preserve"> et sphygmomanomètres contenant du mercure </w:t>
      </w:r>
    </w:p>
    <w:p w14:paraId="1B7F0F91" w14:textId="0A41597A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t>L</w:t>
      </w:r>
      <w:r w:rsidR="00AF0C31">
        <w:t>’</w:t>
      </w:r>
      <w:r>
        <w:t>OMS est partenaire du projet du Fonds pour l</w:t>
      </w:r>
      <w:r w:rsidR="00AF0C31">
        <w:t>’</w:t>
      </w:r>
      <w:r>
        <w:t>environnement mondial (FEM) intitulé « Réduction des UPOP</w:t>
      </w:r>
      <w:r w:rsidR="004C17CF" w:rsidRPr="003D56F3">
        <w:rPr>
          <w:rStyle w:val="FootnoteReference"/>
          <w:rFonts w:cstheme="majorBidi"/>
          <w:lang w:eastAsia="fr-CH"/>
        </w:rPr>
        <w:footnoteReference w:id="5"/>
      </w:r>
      <w:r>
        <w:t xml:space="preserve"> et des rejets de mercure dans le secteur de la santé en Afrique », mis en œuvre par le Programme des Nations Unies pour le développement (2016–2019).</w:t>
      </w:r>
      <w:r>
        <w:rPr>
          <w:rFonts w:asciiTheme="majorBidi" w:hAnsiTheme="majorBidi"/>
          <w:color w:val="000000" w:themeColor="text1"/>
        </w:rPr>
        <w:t xml:space="preserve"> Le projet prévoit la remise de </w:t>
      </w:r>
      <w:r w:rsidRPr="00AF0C31">
        <w:t>thermomètres</w:t>
      </w:r>
      <w:r>
        <w:rPr>
          <w:rFonts w:asciiTheme="majorBidi" w:hAnsiTheme="majorBidi"/>
          <w:color w:val="000000" w:themeColor="text1"/>
        </w:rPr>
        <w:t xml:space="preserve"> et sphygmomanomètres sans mercure à des établissements de santé pilotes dans quatre</w:t>
      </w:r>
      <w:r w:rsidR="000F248E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pays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Afrique subsaharienne (Ghana, Madagascar, République-Unie de Tanzanie et Zambie). </w:t>
      </w:r>
    </w:p>
    <w:p w14:paraId="7484E532" w14:textId="42DD6655" w:rsidR="00CE0D3B" w:rsidRPr="003D56F3" w:rsidRDefault="00BD36AD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t>Les 26 et 27 juin 2019, l</w:t>
      </w:r>
      <w:r w:rsidR="00AF0C31">
        <w:t>’</w:t>
      </w:r>
      <w:r>
        <w:t>OMS a organisé une consultation d</w:t>
      </w:r>
      <w:r w:rsidR="00AF0C31">
        <w:t>’</w:t>
      </w:r>
      <w:r>
        <w:t xml:space="preserve">experts sur les spécifications techniques des appareils de mesure non invasive de la pression sanguine. La consultation a porté sur </w:t>
      </w:r>
      <w:r w:rsidR="00ED7CA2">
        <w:t>d</w:t>
      </w:r>
      <w:r>
        <w:t xml:space="preserve">es recommandations clefs et sur un projet de publication technique qui constituera une référence essentielle pour les pays qui </w:t>
      </w:r>
      <w:r w:rsidR="00ED7CA2">
        <w:t>envisagent de se débarrasser</w:t>
      </w:r>
      <w:r>
        <w:t xml:space="preserve"> </w:t>
      </w:r>
      <w:r w:rsidR="00ED7CA2">
        <w:t>d</w:t>
      </w:r>
      <w:r>
        <w:t xml:space="preserve">es </w:t>
      </w:r>
      <w:r w:rsidR="003C748A">
        <w:t>dispositif</w:t>
      </w:r>
      <w:r>
        <w:t xml:space="preserve">s </w:t>
      </w:r>
      <w:r w:rsidR="003C748A">
        <w:t>faisant appel a</w:t>
      </w:r>
      <w:r>
        <w:t xml:space="preserve">u mercure et de </w:t>
      </w:r>
      <w:r w:rsidR="00ED7CA2">
        <w:t xml:space="preserve">les </w:t>
      </w:r>
      <w:r>
        <w:t>remplace</w:t>
      </w:r>
      <w:r w:rsidR="00ED7CA2">
        <w:t>r par</w:t>
      </w:r>
      <w:r>
        <w:t xml:space="preserve"> des </w:t>
      </w:r>
      <w:r w:rsidR="00ED7CA2">
        <w:t>instrument</w:t>
      </w:r>
      <w:r>
        <w:t>s validés de mesure automatique de la pression sanguine. Les</w:t>
      </w:r>
      <w:r w:rsidR="000F248E">
        <w:t> </w:t>
      </w:r>
      <w:r>
        <w:t>questions de mise en œuvre, y compris le renforcement des capacités et la</w:t>
      </w:r>
      <w:r w:rsidR="00991B05">
        <w:t> </w:t>
      </w:r>
      <w:r>
        <w:t>formation, ont également été examinées. L</w:t>
      </w:r>
      <w:r w:rsidR="00AF0C31">
        <w:t>’</w:t>
      </w:r>
      <w:r>
        <w:t xml:space="preserve">OMS </w:t>
      </w:r>
      <w:r w:rsidR="00ED7CA2">
        <w:t>est par ailleurs en train d</w:t>
      </w:r>
      <w:r w:rsidR="00AF0C31">
        <w:t>’</w:t>
      </w:r>
      <w:r w:rsidR="00ED7CA2">
        <w:t>établir</w:t>
      </w:r>
      <w:r>
        <w:t xml:space="preserve"> un rapport sur la mise hors service de</w:t>
      </w:r>
      <w:r w:rsidR="00ED7CA2">
        <w:t>s</w:t>
      </w:r>
      <w:r>
        <w:t xml:space="preserve"> </w:t>
      </w:r>
      <w:r w:rsidR="00ED7CA2">
        <w:t>appareil</w:t>
      </w:r>
      <w:r>
        <w:t xml:space="preserve">s médicaux </w:t>
      </w:r>
      <w:r w:rsidR="003C748A">
        <w:t xml:space="preserve">dans lequel figurent </w:t>
      </w:r>
      <w:r>
        <w:t xml:space="preserve">des informations sur </w:t>
      </w:r>
      <w:r w:rsidR="003C748A">
        <w:t>ceux</w:t>
      </w:r>
      <w:r>
        <w:t xml:space="preserve"> contenant du mercure. Ces</w:t>
      </w:r>
      <w:r w:rsidR="00991B05">
        <w:t> </w:t>
      </w:r>
      <w:r>
        <w:t>deux</w:t>
      </w:r>
      <w:r w:rsidR="00991B05">
        <w:t> </w:t>
      </w:r>
      <w:r>
        <w:t>rapports devraient être publiés en tant qu</w:t>
      </w:r>
      <w:r w:rsidR="00AF0C31">
        <w:t>’</w:t>
      </w:r>
      <w:r>
        <w:t>orientations de l</w:t>
      </w:r>
      <w:r w:rsidR="00AF0C31">
        <w:t>’</w:t>
      </w:r>
      <w:r>
        <w:t>OMS d</w:t>
      </w:r>
      <w:r w:rsidR="00AF0C31">
        <w:t>’</w:t>
      </w:r>
      <w:r>
        <w:t>ici fin 2019.</w:t>
      </w:r>
    </w:p>
    <w:p w14:paraId="29599FDC" w14:textId="77777777" w:rsidR="00CE0D3B" w:rsidRPr="003D56F3" w:rsidRDefault="00CE0D3B" w:rsidP="00AF0C31">
      <w:pPr>
        <w:pStyle w:val="CH3"/>
        <w:rPr>
          <w:rFonts w:asciiTheme="majorBidi" w:hAnsiTheme="majorBidi" w:cstheme="majorBidi"/>
          <w:i/>
          <w:iCs/>
          <w:color w:val="000000" w:themeColor="text1"/>
        </w:rPr>
      </w:pPr>
      <w:r>
        <w:tab/>
      </w:r>
      <w:r>
        <w:tab/>
      </w:r>
      <w:r w:rsidRPr="00AF0C31">
        <w:t>Mercure</w:t>
      </w:r>
      <w:r>
        <w:t xml:space="preserve"> et </w:t>
      </w:r>
      <w:proofErr w:type="spellStart"/>
      <w:r>
        <w:t>méthylmercure</w:t>
      </w:r>
      <w:proofErr w:type="spellEnd"/>
      <w:r>
        <w:t xml:space="preserve"> présents dans les poissons</w:t>
      </w:r>
    </w:p>
    <w:p w14:paraId="6E567597" w14:textId="6DEA30D5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Le Comité du Codex sur les contaminants dans les aliments</w:t>
      </w:r>
      <w:r w:rsidR="00221C65" w:rsidRPr="003D56F3">
        <w:rPr>
          <w:rStyle w:val="FootnoteReference"/>
          <w:rFonts w:cstheme="majorBidi"/>
          <w:lang w:eastAsia="fr-CH"/>
        </w:rPr>
        <w:footnoteReference w:id="6"/>
      </w:r>
      <w:r>
        <w:rPr>
          <w:rFonts w:asciiTheme="majorBidi" w:hAnsiTheme="majorBidi"/>
          <w:color w:val="000000" w:themeColor="text1"/>
        </w:rPr>
        <w:t xml:space="preserve"> poursuit ses travaux sur </w:t>
      </w:r>
      <w:r w:rsidRPr="00AF0C31">
        <w:t>l</w:t>
      </w:r>
      <w:r w:rsidR="00AF0C31" w:rsidRPr="00AF0C31">
        <w:t>’</w:t>
      </w:r>
      <w:r w:rsidRPr="00AF0C31">
        <w:t>établissement</w:t>
      </w:r>
      <w:r>
        <w:rPr>
          <w:rFonts w:asciiTheme="majorBidi" w:hAnsiTheme="majorBidi"/>
          <w:color w:val="000000" w:themeColor="text1"/>
        </w:rPr>
        <w:t xml:space="preserve"> de teneurs </w:t>
      </w:r>
      <w:r w:rsidRPr="00A43374">
        <w:t>maximales</w:t>
      </w:r>
      <w:r>
        <w:rPr>
          <w:rFonts w:asciiTheme="majorBidi" w:hAnsiTheme="majorBidi"/>
          <w:color w:val="000000" w:themeColor="text1"/>
        </w:rPr>
        <w:t xml:space="preserve"> de mercure dans le poisson</w:t>
      </w:r>
      <w:r>
        <w:t>.</w:t>
      </w:r>
      <w:r>
        <w:rPr>
          <w:rStyle w:val="FootnoteReference"/>
        </w:rPr>
        <w:t xml:space="preserve"> </w:t>
      </w:r>
    </w:p>
    <w:p w14:paraId="05EA0451" w14:textId="77777777" w:rsidR="00CE0D3B" w:rsidRPr="003D56F3" w:rsidRDefault="00CE0D3B" w:rsidP="00AF0C31">
      <w:pPr>
        <w:pStyle w:val="CH3"/>
      </w:pPr>
      <w:r>
        <w:tab/>
      </w:r>
      <w:r>
        <w:tab/>
      </w:r>
      <w:r w:rsidRPr="00AF0C31">
        <w:t>Surveillance</w:t>
      </w:r>
      <w:r>
        <w:t xml:space="preserve"> biologique</w:t>
      </w:r>
    </w:p>
    <w:p w14:paraId="7DB43E9C" w14:textId="3ABE0225" w:rsidR="00CE0D3B" w:rsidRPr="00A43374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iCs/>
          <w:color w:val="000000" w:themeColor="text1"/>
        </w:rPr>
      </w:pPr>
      <w:r>
        <w:rPr>
          <w:rFonts w:asciiTheme="majorBidi" w:hAnsiTheme="majorBidi"/>
          <w:color w:val="000000" w:themeColor="text1"/>
        </w:rPr>
        <w:t>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OMS, par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intermédiaire de son Bureau régional pour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Europe, a collaboré avec le PNUE à</w:t>
      </w:r>
      <w:r w:rsidR="000F248E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la mise en œuvre du projet du FEM intitulé « Élaboration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un plan pour la surveillance mondiale de</w:t>
      </w:r>
      <w:r w:rsidR="000F248E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exposition humaine au </w:t>
      </w:r>
      <w:r w:rsidRPr="00A43374">
        <w:t>mercure</w:t>
      </w:r>
      <w:r>
        <w:rPr>
          <w:rFonts w:asciiTheme="majorBidi" w:hAnsiTheme="majorBidi"/>
          <w:color w:val="000000" w:themeColor="text1"/>
        </w:rPr>
        <w:t xml:space="preserve"> et des concentrations de mercure dans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environnement ». </w:t>
      </w:r>
      <w:r>
        <w:t>Une</w:t>
      </w:r>
      <w:r w:rsidR="00991B05">
        <w:t> </w:t>
      </w:r>
      <w:r>
        <w:t>approche harmonisée d</w:t>
      </w:r>
      <w:r w:rsidR="00AF0C31">
        <w:t>’</w:t>
      </w:r>
      <w:r>
        <w:t>évaluation de l</w:t>
      </w:r>
      <w:r w:rsidR="00AF0C31">
        <w:t>’</w:t>
      </w:r>
      <w:r>
        <w:t>exposition prénatale au mercure a été mise au point, comprenant un protocole d</w:t>
      </w:r>
      <w:r w:rsidR="00AF0C31">
        <w:t>’</w:t>
      </w:r>
      <w:r>
        <w:t>enquête de biosurveillance humaine mis en place par l</w:t>
      </w:r>
      <w:r w:rsidR="00AF0C31">
        <w:t>’</w:t>
      </w:r>
      <w:r>
        <w:t>OMS et un</w:t>
      </w:r>
      <w:r w:rsidR="00991B05">
        <w:t> </w:t>
      </w:r>
      <w:r>
        <w:t>ensemble de modes opératoires normalisés pour l</w:t>
      </w:r>
      <w:r w:rsidR="00AF0C31">
        <w:t>’</w:t>
      </w:r>
      <w:r>
        <w:t>échantillonnage et l</w:t>
      </w:r>
      <w:r w:rsidR="00AF0C31">
        <w:t>’</w:t>
      </w:r>
      <w:r>
        <w:t>analyse, consultables en ligne</w:t>
      </w:r>
      <w:r w:rsidRPr="003D56F3">
        <w:rPr>
          <w:rStyle w:val="FootnoteReference"/>
          <w:rFonts w:cstheme="majorBidi"/>
          <w:color w:val="000000" w:themeColor="text1"/>
        </w:rPr>
        <w:footnoteReference w:id="7"/>
      </w:r>
      <w:r w:rsidR="0061702B">
        <w:t>.</w:t>
      </w:r>
      <w:r>
        <w:rPr>
          <w:rFonts w:asciiTheme="majorBidi" w:hAnsiTheme="majorBidi"/>
          <w:color w:val="000000" w:themeColor="text1"/>
        </w:rPr>
        <w:t xml:space="preserve"> Des données sur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exposition au mercure ont été recueillies dans le cadre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enquêtes pilotes menées dans six</w:t>
      </w:r>
      <w:r w:rsidR="000F248E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 xml:space="preserve">pays et sont en cours de préparation en vue de leur publication. </w:t>
      </w:r>
    </w:p>
    <w:p w14:paraId="06D2E6CE" w14:textId="77777777" w:rsidR="00CE0D3B" w:rsidRPr="003D56F3" w:rsidRDefault="00CE0D3B" w:rsidP="00AF0C31">
      <w:pPr>
        <w:pStyle w:val="CH3"/>
      </w:pPr>
      <w:r>
        <w:tab/>
      </w:r>
      <w:r>
        <w:tab/>
      </w:r>
      <w:r w:rsidRPr="00AF0C31">
        <w:t>Travaux</w:t>
      </w:r>
      <w:r>
        <w:t xml:space="preserve"> </w:t>
      </w:r>
      <w:r w:rsidRPr="00A43374">
        <w:t>intersessions</w:t>
      </w:r>
      <w:r>
        <w:t xml:space="preserve"> de la Conférence des Parties</w:t>
      </w:r>
    </w:p>
    <w:p w14:paraId="63ED1153" w14:textId="111C0967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 w:rsidRPr="00AF0C31">
        <w:t>L</w:t>
      </w:r>
      <w:r w:rsidR="00AF0C31" w:rsidRPr="00AF0C31">
        <w:t>’</w:t>
      </w:r>
      <w:r w:rsidRPr="00AF0C31">
        <w:t>OMS</w:t>
      </w:r>
      <w:r>
        <w:rPr>
          <w:rFonts w:asciiTheme="majorBidi" w:hAnsiTheme="majorBidi"/>
          <w:color w:val="000000" w:themeColor="text1"/>
        </w:rPr>
        <w:t xml:space="preserve"> a contribué aux travaux du groupe spécial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experts techniques sur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évaluation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efficacité de la Convention de Minamata. Des représentants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OMS ont participé à la réunion du groupe qui s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est tenue à Genève du 8 au 12 avril 2019. </w:t>
      </w:r>
    </w:p>
    <w:p w14:paraId="18BE889A" w14:textId="78977F52" w:rsidR="00CE0D3B" w:rsidRPr="003D56F3" w:rsidRDefault="00A43374" w:rsidP="00AF0C31">
      <w:pPr>
        <w:pStyle w:val="CH3"/>
      </w:pPr>
      <w:r>
        <w:lastRenderedPageBreak/>
        <w:tab/>
      </w:r>
      <w:r>
        <w:tab/>
      </w:r>
      <w:r w:rsidR="00CE0D3B" w:rsidRPr="00AF0C31">
        <w:t>Évaluation</w:t>
      </w:r>
      <w:r w:rsidR="00CE0D3B">
        <w:t xml:space="preserve"> mondiale du mercure et synthèse de l</w:t>
      </w:r>
      <w:r w:rsidR="00AF0C31">
        <w:t>’</w:t>
      </w:r>
      <w:r w:rsidR="00CE0D3B">
        <w:t>état des connaissances scientifiques sur le</w:t>
      </w:r>
      <w:r w:rsidR="00991B05">
        <w:t>s </w:t>
      </w:r>
      <w:r w:rsidR="00CE0D3B">
        <w:t>biomarqueurs du mercure chez les êtres humains</w:t>
      </w:r>
    </w:p>
    <w:p w14:paraId="608B418D" w14:textId="17A98D55" w:rsidR="00CE0D3B" w:rsidRPr="003D56F3" w:rsidRDefault="00CE0D3B" w:rsidP="00436339">
      <w:pPr>
        <w:pStyle w:val="Normalnumber"/>
        <w:keepLines/>
        <w:numPr>
          <w:ilvl w:val="0"/>
          <w:numId w:val="7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OMS a dirigé la rédaction du chapitre sur la biosurveillance humaine du mercure pour le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rapport 2018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i/>
          <w:color w:val="000000" w:themeColor="text1"/>
        </w:rPr>
        <w:t>Évaluation mondiale du mercure</w:t>
      </w:r>
      <w:r>
        <w:rPr>
          <w:rFonts w:asciiTheme="majorBidi" w:hAnsiTheme="majorBidi"/>
          <w:color w:val="000000" w:themeColor="text1"/>
        </w:rPr>
        <w:t>. Ce chapitre se fonde sur une synthèse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état des </w:t>
      </w:r>
      <w:r w:rsidRPr="00AF0C31">
        <w:t>connaissances</w:t>
      </w:r>
      <w:r>
        <w:rPr>
          <w:rFonts w:asciiTheme="majorBidi" w:hAnsiTheme="majorBidi"/>
          <w:color w:val="000000" w:themeColor="text1"/>
        </w:rPr>
        <w:t xml:space="preserve"> </w:t>
      </w:r>
      <w:r w:rsidRPr="00A43374">
        <w:t>scientifiques</w:t>
      </w:r>
      <w:r>
        <w:rPr>
          <w:rFonts w:asciiTheme="majorBidi" w:hAnsiTheme="majorBidi"/>
          <w:color w:val="000000" w:themeColor="text1"/>
        </w:rPr>
        <w:t xml:space="preserve"> sur les biomarqueurs du mercure dans les populations humaines du monde entier entre 2000 et 2018, </w:t>
      </w:r>
      <w:r w:rsidRPr="00A43374">
        <w:t>établie</w:t>
      </w:r>
      <w:r>
        <w:rPr>
          <w:rFonts w:asciiTheme="majorBidi" w:hAnsiTheme="majorBidi"/>
          <w:color w:val="000000" w:themeColor="text1"/>
        </w:rPr>
        <w:t xml:space="preserve"> à la demande de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OMS</w:t>
      </w:r>
      <w:r w:rsidRPr="003D56F3">
        <w:rPr>
          <w:rStyle w:val="FootnoteReference"/>
          <w:rFonts w:cstheme="majorBidi"/>
        </w:rPr>
        <w:footnoteReference w:id="8"/>
      </w:r>
      <w:r w:rsidR="008D74FA">
        <w:rPr>
          <w:rFonts w:asciiTheme="majorBidi" w:hAnsiTheme="majorBidi"/>
          <w:color w:val="000000" w:themeColor="text1"/>
        </w:rPr>
        <w:t>.</w:t>
      </w:r>
      <w:r>
        <w:rPr>
          <w:rFonts w:asciiTheme="majorBidi" w:hAnsiTheme="majorBidi"/>
          <w:color w:val="000000" w:themeColor="text1"/>
        </w:rPr>
        <w:t xml:space="preserve"> Cette synthèse, publiée dans la</w:t>
      </w:r>
      <w:r w:rsidR="00991B05">
        <w:rPr>
          <w:rFonts w:asciiTheme="majorBidi" w:hAnsiTheme="majorBidi"/>
          <w:color w:val="000000" w:themeColor="text1"/>
        </w:rPr>
        <w:t> </w:t>
      </w:r>
      <w:r>
        <w:rPr>
          <w:rFonts w:asciiTheme="majorBidi" w:hAnsiTheme="majorBidi"/>
          <w:color w:val="000000" w:themeColor="text1"/>
        </w:rPr>
        <w:t>littérature scientifique en octobre 2018, a permis d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>élaborer un cadre de référence mondial pour l</w:t>
      </w:r>
      <w:r w:rsidR="00AF0C31">
        <w:rPr>
          <w:rFonts w:asciiTheme="majorBidi" w:hAnsiTheme="majorBidi"/>
          <w:color w:val="000000" w:themeColor="text1"/>
        </w:rPr>
        <w:t>’</w:t>
      </w:r>
      <w:r>
        <w:rPr>
          <w:rFonts w:asciiTheme="majorBidi" w:hAnsiTheme="majorBidi"/>
          <w:color w:val="000000" w:themeColor="text1"/>
        </w:rPr>
        <w:t xml:space="preserve">exposition humaine au mercure et de recenser les populations vulnérables et les régions géographiques pour lesquelles les données font défaut. </w:t>
      </w:r>
    </w:p>
    <w:p w14:paraId="595EB49C" w14:textId="77777777" w:rsidR="00CE0D3B" w:rsidRPr="003D56F3" w:rsidRDefault="00CE0D3B" w:rsidP="00AF0C31">
      <w:pPr>
        <w:pStyle w:val="CH3"/>
      </w:pPr>
      <w:r>
        <w:tab/>
      </w:r>
      <w:r>
        <w:tab/>
        <w:t>Assemblée mondiale de la Santé</w:t>
      </w:r>
    </w:p>
    <w:p w14:paraId="21439E37" w14:textId="004C82AD" w:rsidR="00CE0D3B" w:rsidRPr="003D56F3" w:rsidRDefault="00CE0D3B" w:rsidP="00BA1E83">
      <w:pPr>
        <w:pStyle w:val="Normalnumber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En mai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2019, la soixante-douzième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Assemblée mondiale de la santé a pris note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 rapport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étape </w:t>
      </w:r>
      <w:r w:rsidRPr="00AF0C31">
        <w:t>établi</w:t>
      </w:r>
      <w:r>
        <w:rPr>
          <w:rFonts w:asciiTheme="majorBidi" w:hAnsiTheme="majorBidi"/>
        </w:rPr>
        <w:t xml:space="preserve"> par le Secrétariat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OMS sur la mise en œuvre de la résolution WHA67.11. Le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prochain rapport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étape sera présenté à la soixante-quatorzième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Assemblée mondiale de la santé, en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2021.</w:t>
      </w:r>
    </w:p>
    <w:p w14:paraId="60B4D2B5" w14:textId="77777777" w:rsidR="00600CA5" w:rsidRDefault="00600CA5" w:rsidP="00A43374">
      <w:pPr>
        <w:pStyle w:val="ZZAnxheader"/>
        <w:sectPr w:rsidR="00600CA5" w:rsidSect="00A43374">
          <w:headerReference w:type="first" r:id="rId20"/>
          <w:footerReference w:type="first" r:id="rId21"/>
          <w:footnotePr>
            <w:numRestart w:val="eachSect"/>
          </w:footnotePr>
          <w:pgSz w:w="11906" w:h="16838" w:code="9"/>
          <w:pgMar w:top="907" w:right="992" w:bottom="1418" w:left="1418" w:header="539" w:footer="975" w:gutter="0"/>
          <w:cols w:space="539"/>
          <w:docGrid w:linePitch="360"/>
        </w:sectPr>
      </w:pPr>
    </w:p>
    <w:p w14:paraId="2A8EEF83" w14:textId="663A2BF2" w:rsidR="00CE0D3B" w:rsidRPr="003D56F3" w:rsidRDefault="00810553" w:rsidP="00AF0C31">
      <w:pPr>
        <w:pStyle w:val="ZZAnxheader"/>
      </w:pPr>
      <w:r w:rsidRPr="00AF0C31">
        <w:lastRenderedPageBreak/>
        <w:t>Annexe</w:t>
      </w:r>
      <w:r>
        <w:t> II</w:t>
      </w:r>
    </w:p>
    <w:p w14:paraId="6F5A7624" w14:textId="11BE4B25" w:rsidR="00A853C8" w:rsidRPr="003D56F3" w:rsidRDefault="00A853C8" w:rsidP="00AF0C31">
      <w:pPr>
        <w:pStyle w:val="ZZAnxtitle"/>
      </w:pPr>
      <w:r w:rsidRPr="00A43374">
        <w:t>Travaux</w:t>
      </w:r>
      <w:r>
        <w:t xml:space="preserve"> de l</w:t>
      </w:r>
      <w:r w:rsidR="00AF0C31">
        <w:t>’</w:t>
      </w:r>
      <w:r>
        <w:t>Organisation internationale du Travail intéressant la </w:t>
      </w:r>
      <w:r w:rsidRPr="00AF0C31">
        <w:t>Convention</w:t>
      </w:r>
      <w:r>
        <w:t xml:space="preserve"> de Minamata sur le mercure</w:t>
      </w:r>
    </w:p>
    <w:p w14:paraId="1F3403EB" w14:textId="3FB19612" w:rsidR="00483C99" w:rsidRPr="00A43374" w:rsidRDefault="00483C99" w:rsidP="00BA1E83">
      <w:pPr>
        <w:pStyle w:val="Normalnumber"/>
        <w:numPr>
          <w:ilvl w:val="0"/>
          <w:numId w:val="8"/>
        </w:numPr>
        <w:rPr>
          <w:rFonts w:cstheme="majorBidi"/>
        </w:rPr>
      </w:pPr>
      <w:r>
        <w:t>La collaboration entre l</w:t>
      </w:r>
      <w:r w:rsidR="00AF0C31">
        <w:t>’</w:t>
      </w:r>
      <w:r>
        <w:t xml:space="preserve">Organisation internationale du Travail (OIT), la Conférence des Parties à la Convention de Minamata sur le mercure et le secrétariat de la Convention est fondée sur le texte de la Convention, en particulier le paragraphe 2 de </w:t>
      </w:r>
      <w:r w:rsidR="0031186D">
        <w:t xml:space="preserve">son </w:t>
      </w:r>
      <w:r>
        <w:t>article 16</w:t>
      </w:r>
      <w:r w:rsidR="0031186D">
        <w:t>.</w:t>
      </w:r>
      <w:r>
        <w:t xml:space="preserve"> L</w:t>
      </w:r>
      <w:r w:rsidR="00AF0C31">
        <w:t>’</w:t>
      </w:r>
      <w:r>
        <w:t>assistance technique de l</w:t>
      </w:r>
      <w:r w:rsidR="00AF0C31">
        <w:t>’</w:t>
      </w:r>
      <w:r>
        <w:t xml:space="preserve">OIT et de ses </w:t>
      </w:r>
      <w:r w:rsidR="0014459C">
        <w:t>mandant</w:t>
      </w:r>
      <w:r>
        <w:t>s, conformément à l</w:t>
      </w:r>
      <w:r w:rsidR="00AF0C31">
        <w:t>’</w:t>
      </w:r>
      <w:r>
        <w:t>article 7 et à l</w:t>
      </w:r>
      <w:r w:rsidR="00AF0C31">
        <w:t>’</w:t>
      </w:r>
      <w:r>
        <w:t>Annexe C de la Convention, a principalement ciblé l</w:t>
      </w:r>
      <w:r w:rsidR="00AF0C31">
        <w:t>’</w:t>
      </w:r>
      <w:r>
        <w:t>extraction minière artisanale et à petite échelle d</w:t>
      </w:r>
      <w:r w:rsidR="00AF0C31">
        <w:t>’</w:t>
      </w:r>
      <w:r>
        <w:t>or (AGSM), et l</w:t>
      </w:r>
      <w:r w:rsidR="00AF0C31">
        <w:t>’</w:t>
      </w:r>
      <w:r>
        <w:t>organisation commence à élargir la</w:t>
      </w:r>
      <w:r w:rsidR="00991B05">
        <w:t> </w:t>
      </w:r>
      <w:r>
        <w:t>portée de ses initiatives afin d</w:t>
      </w:r>
      <w:r w:rsidR="00AF0C31">
        <w:t>’</w:t>
      </w:r>
      <w:r>
        <w:t>y inclure l</w:t>
      </w:r>
      <w:r w:rsidR="00AF0C31">
        <w:t>’</w:t>
      </w:r>
      <w:r>
        <w:t>exposition au mercure dans le secteur des déchets d</w:t>
      </w:r>
      <w:r w:rsidR="00AF0C31">
        <w:t>’</w:t>
      </w:r>
      <w:r>
        <w:t xml:space="preserve">équipements électriques et électroniques. </w:t>
      </w:r>
    </w:p>
    <w:p w14:paraId="3DABF8FE" w14:textId="48B098BD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Depuis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adoption de la Convention de Minamata, les activités pertinentes que mène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appui de la mise </w:t>
      </w:r>
      <w:r w:rsidRPr="00A43374">
        <w:t>en</w:t>
      </w:r>
      <w:r>
        <w:rPr>
          <w:rFonts w:asciiTheme="majorBidi" w:hAnsiTheme="majorBidi"/>
        </w:rPr>
        <w:t xml:space="preserve"> œuvre de la Convention consistent notamment à promouvoir ses instruments internationaux, à mener des projets au niveau national et à produire des codes mondiaux de bonne pratique et des documents de travail, comme décrit ci-après. </w:t>
      </w:r>
    </w:p>
    <w:p w14:paraId="097C00D8" w14:textId="0CF648E3" w:rsidR="00483C99" w:rsidRPr="003D56F3" w:rsidRDefault="00A43374" w:rsidP="00A43374">
      <w:pPr>
        <w:pStyle w:val="CH3"/>
        <w:rPr>
          <w:rFonts w:asciiTheme="majorBidi" w:hAnsiTheme="majorBidi" w:cstheme="majorBidi"/>
          <w:b w:val="0"/>
        </w:rPr>
      </w:pPr>
      <w:r>
        <w:rPr>
          <w:rFonts w:asciiTheme="majorBidi" w:hAnsiTheme="majorBidi"/>
        </w:rPr>
        <w:tab/>
      </w:r>
      <w:r>
        <w:rPr>
          <w:rFonts w:asciiTheme="majorBidi" w:hAnsiTheme="majorBidi"/>
        </w:rPr>
        <w:tab/>
      </w:r>
      <w:r w:rsidR="00483C99">
        <w:rPr>
          <w:rFonts w:asciiTheme="majorBidi" w:hAnsiTheme="majorBidi"/>
        </w:rPr>
        <w:t>Promotion des instruments internationaux de l</w:t>
      </w:r>
      <w:r w:rsidR="00AF0C31">
        <w:rPr>
          <w:rFonts w:asciiTheme="majorBidi" w:hAnsiTheme="majorBidi"/>
        </w:rPr>
        <w:t>’</w:t>
      </w:r>
      <w:r w:rsidR="00483C99">
        <w:rPr>
          <w:rFonts w:asciiTheme="majorBidi" w:hAnsiTheme="majorBidi"/>
        </w:rPr>
        <w:t>OIT en vue de prévenir les maladies professionnelles dues à l</w:t>
      </w:r>
      <w:r w:rsidR="00AF0C31">
        <w:rPr>
          <w:rFonts w:asciiTheme="majorBidi" w:hAnsiTheme="majorBidi"/>
        </w:rPr>
        <w:t>’</w:t>
      </w:r>
      <w:r w:rsidR="00483C99">
        <w:rPr>
          <w:rFonts w:asciiTheme="majorBidi" w:hAnsiTheme="majorBidi"/>
        </w:rPr>
        <w:t>exposition au mercure</w:t>
      </w:r>
    </w:p>
    <w:p w14:paraId="75390667" w14:textId="59CDA6D4" w:rsidR="00483C99" w:rsidRPr="003D56F3" w:rsidRDefault="00E049D0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 w:rsidRPr="00AF0C31">
        <w:t>Dans</w:t>
      </w:r>
      <w:r>
        <w:rPr>
          <w:rFonts w:asciiTheme="majorBidi" w:hAnsiTheme="majorBidi"/>
        </w:rPr>
        <w:t xml:space="preserve"> la Déclaration du centenaire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pour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avenir du travail, adoptée en juin 2019 à la</w:t>
      </w:r>
      <w:r w:rsidR="00991B05">
        <w:rPr>
          <w:rFonts w:asciiTheme="majorBidi" w:hAnsiTheme="majorBidi"/>
        </w:rPr>
        <w:t> </w:t>
      </w:r>
      <w:proofErr w:type="gramStart"/>
      <w:r>
        <w:rPr>
          <w:rFonts w:asciiTheme="majorBidi" w:hAnsiTheme="majorBidi"/>
        </w:rPr>
        <w:t>cent</w:t>
      </w:r>
      <w:r w:rsidR="00991B05">
        <w:rPr>
          <w:rFonts w:asciiTheme="majorBidi" w:hAnsiTheme="majorBidi"/>
        </w:rPr>
        <w:t> </w:t>
      </w:r>
      <w:r w:rsidRPr="00A43374">
        <w:t>huitième</w:t>
      </w:r>
      <w:r w:rsidR="00991B05">
        <w:t> </w:t>
      </w:r>
      <w:r>
        <w:rPr>
          <w:rFonts w:asciiTheme="majorBidi" w:hAnsiTheme="majorBidi"/>
        </w:rPr>
        <w:t>session</w:t>
      </w:r>
      <w:proofErr w:type="gramEnd"/>
      <w:r>
        <w:rPr>
          <w:rFonts w:asciiTheme="majorBidi" w:hAnsiTheme="majorBidi"/>
        </w:rPr>
        <w:t xml:space="preserve"> de la Conférence internationale du Travail, la Conférence a déclaré que « des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conditions de travail sûres et salubres sont fondamentales au travail décent</w:t>
      </w:r>
      <w:r w:rsidR="00436339">
        <w:rPr>
          <w:rFonts w:asciiTheme="majorBidi" w:hAnsiTheme="majorBidi"/>
        </w:rPr>
        <w:t> »</w:t>
      </w:r>
      <w:r w:rsidR="00483C99" w:rsidRPr="003D56F3">
        <w:rPr>
          <w:rFonts w:asciiTheme="majorBidi" w:hAnsiTheme="majorBidi" w:cstheme="majorBidi"/>
          <w:vertAlign w:val="superscript"/>
        </w:rPr>
        <w:footnoteReference w:id="9"/>
      </w:r>
      <w:r>
        <w:rPr>
          <w:rFonts w:asciiTheme="majorBidi" w:hAnsiTheme="majorBidi"/>
        </w:rPr>
        <w:t>.</w:t>
      </w:r>
    </w:p>
    <w:p w14:paraId="49159AB8" w14:textId="3695CF0B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OIT, par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entremise de ses bureaux situés dans le monde entier, a appelé à la ratification et à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la mise en œuvre de ses instruments internationaux relatifs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exposition au mercure dans divers États membres. </w:t>
      </w:r>
      <w:r w:rsidRPr="00AF0C31">
        <w:t>Elle</w:t>
      </w:r>
      <w:r>
        <w:rPr>
          <w:rFonts w:asciiTheme="majorBidi" w:hAnsiTheme="majorBidi"/>
        </w:rPr>
        <w:t xml:space="preserve"> 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est notamment attachée à promouvoir la Convention (n°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170) sur les produits chimiques, 1990 ; la Convention (n°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174) sur la prévention des accidents industriels majeurs, 1993 ; la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Convention (n°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176) sur la sécurité et la santé dans les mines, 1995 et la Convention (n°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184) sur la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sécurité et la santé dans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agriculture, 2001. La Convention (n°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187) sur le cadre promotionnel pour la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sécurité et la santé au travail, 2006, vise à renforcer les systèmes nationaux de sécurité et de santé au travail (SST) et les infrastructures dans ce domaine afin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ancrer la mise en œuvre des autres conventions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en matière de SST. En outre, en vertu de la Convention (n°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121) sur les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prestations en cas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accidents du travail et de maladies professionnelles, 1964 [tableau I modifié en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1980], les travailleurs ont accès à des voies de recours en cas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exposition au mercure (tableau I, liste des maladies professionnelles par. 12). Cela vient 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ajouter </w:t>
      </w:r>
      <w:r w:rsidR="00991B05">
        <w:rPr>
          <w:rFonts w:asciiTheme="majorBidi" w:hAnsiTheme="majorBidi"/>
        </w:rPr>
        <w:t>à</w:t>
      </w:r>
      <w:r>
        <w:rPr>
          <w:rFonts w:asciiTheme="majorBidi" w:hAnsiTheme="majorBidi"/>
        </w:rPr>
        <w:t xml:space="preserve"> la liste des maladies professionnelles (révisée en 2010) figurant dans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annexe de la recommandation n° 194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concernant la liste des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maladies professionnelles et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enregistrement et la déclaration des accidents du travail et des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maladies professionnelles [Recommandation sur la liste des maladies professionnelles, 2002], qui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comprend les maladies causées par le mercure ou ses composés (par.</w:t>
      </w:r>
      <w:r w:rsidR="00991B05">
        <w:rPr>
          <w:rFonts w:asciiTheme="majorBidi" w:hAnsiTheme="majorBidi"/>
        </w:rPr>
        <w:t> 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1.1.7).</w:t>
      </w:r>
    </w:p>
    <w:p w14:paraId="34A2C472" w14:textId="7B8FC674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élabore actuellement un aide-mémoire sur les critères diagnostiques afin d</w:t>
      </w:r>
      <w:r w:rsidR="0031186D">
        <w:rPr>
          <w:rFonts w:asciiTheme="majorBidi" w:hAnsiTheme="majorBidi"/>
        </w:rPr>
        <w:t>e permettre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établi</w:t>
      </w:r>
      <w:r w:rsidR="0031186D">
        <w:rPr>
          <w:rFonts w:asciiTheme="majorBidi" w:hAnsiTheme="majorBidi"/>
        </w:rPr>
        <w:t>ssement</w:t>
      </w:r>
      <w:r>
        <w:rPr>
          <w:rFonts w:asciiTheme="majorBidi" w:hAnsiTheme="majorBidi"/>
        </w:rPr>
        <w:t xml:space="preserve"> de</w:t>
      </w:r>
      <w:r w:rsidR="00991B05">
        <w:rPr>
          <w:rFonts w:asciiTheme="majorBidi" w:hAnsiTheme="majorBidi"/>
        </w:rPr>
        <w:t> </w:t>
      </w:r>
      <w:r w:rsidRPr="00AF0C31">
        <w:t>diagnostics</w:t>
      </w:r>
      <w:r>
        <w:rPr>
          <w:rFonts w:asciiTheme="majorBidi" w:hAnsiTheme="majorBidi"/>
        </w:rPr>
        <w:t xml:space="preserve"> cohérents des maladies professionnelles mentionnées dans sa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 xml:space="preserve">recommandation n° 194, y compris </w:t>
      </w:r>
      <w:r w:rsidR="0031186D">
        <w:rPr>
          <w:rFonts w:asciiTheme="majorBidi" w:hAnsiTheme="majorBidi"/>
        </w:rPr>
        <w:t>cel</w:t>
      </w:r>
      <w:r>
        <w:rPr>
          <w:rFonts w:asciiTheme="majorBidi" w:hAnsiTheme="majorBidi"/>
        </w:rPr>
        <w:t xml:space="preserve">les </w:t>
      </w:r>
      <w:r w:rsidRPr="00A43374">
        <w:t>causées</w:t>
      </w:r>
      <w:r>
        <w:rPr>
          <w:rFonts w:asciiTheme="majorBidi" w:hAnsiTheme="majorBidi"/>
        </w:rPr>
        <w:t xml:space="preserve"> par le mercure ou ses composés toxiques, qui sera également utile pour établir des rapports sur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indicateur 8.8.1 des objectifs du développement durable.</w:t>
      </w:r>
    </w:p>
    <w:p w14:paraId="5DB85C92" w14:textId="3B0CBC0A" w:rsidR="00912E98" w:rsidRPr="003D56F3" w:rsidRDefault="00531003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Lors du neuvième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Forum international chinois sur la sécurité au travail, qui 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est tenu en octobre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2018,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OIT a </w:t>
      </w:r>
      <w:r w:rsidRPr="00AF0C31">
        <w:t>organisé</w:t>
      </w:r>
      <w:r>
        <w:rPr>
          <w:rFonts w:asciiTheme="majorBidi" w:hAnsiTheme="majorBidi"/>
        </w:rPr>
        <w:t xml:space="preserve"> une session parallèle en vue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examiner les risques en matière de sécurité et de santé au </w:t>
      </w:r>
      <w:r w:rsidRPr="00A43374">
        <w:t>travail</w:t>
      </w:r>
      <w:r>
        <w:rPr>
          <w:rFonts w:asciiTheme="majorBidi" w:hAnsiTheme="majorBidi"/>
        </w:rPr>
        <w:t xml:space="preserve"> dans le secteur minier en Chine, au cours de laquelle les questions relatives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exposition au mercure dans ce secteur aux niveaux national et mondial ont été débattues.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a également fait la promotion de la Convention de Minamata lors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 atelier organisé en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juillet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2019 en collaboration avec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Agence coréenne chargée de la sécurité et de la santé sur le lieu de travail et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intention des responsables gouvernementaux en matière de SST de 10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États membres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Association des nations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Asie du Sud-Est (ASEAN), sur le thème « 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adapter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avenir du travail : relever les défis actuels et futurs en matière de santé au travail au sein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ASEAN ».</w:t>
      </w:r>
    </w:p>
    <w:p w14:paraId="2DE0D226" w14:textId="774AA524" w:rsidR="00483C99" w:rsidRPr="003D56F3" w:rsidRDefault="0065534D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a aidé sans relâche les Philippines à mettre en œuvre la Convention de 1995 sur la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 xml:space="preserve">sécurité et la santé dans </w:t>
      </w:r>
      <w:r w:rsidRPr="00A43374">
        <w:t>les</w:t>
      </w:r>
      <w:r>
        <w:rPr>
          <w:rFonts w:asciiTheme="majorBidi" w:hAnsiTheme="majorBidi"/>
        </w:rPr>
        <w:t xml:space="preserve"> mines (n° 176) qui a été ratifiée. </w:t>
      </w:r>
      <w:r>
        <w:t>Les Philippines révisent actuellement leur liste des maladies professionnelles conformément à la recommandation n° 194 de l</w:t>
      </w:r>
      <w:r w:rsidR="00AF0C31">
        <w:t>’</w:t>
      </w:r>
      <w:r>
        <w:t>OIT, tout comme l</w:t>
      </w:r>
      <w:r w:rsidR="00AF0C31">
        <w:t>’</w:t>
      </w:r>
      <w:r>
        <w:t>Indonésie, le Myanmar, la Namibie et la République démocratique populaire lao.</w:t>
      </w:r>
    </w:p>
    <w:p w14:paraId="60328B30" w14:textId="7C660B33" w:rsidR="00483C99" w:rsidRPr="003D56F3" w:rsidRDefault="00A43374" w:rsidP="00A43374">
      <w:pPr>
        <w:pStyle w:val="CH3"/>
        <w:rPr>
          <w:rFonts w:asciiTheme="majorBidi" w:hAnsiTheme="majorBidi" w:cstheme="majorBidi"/>
          <w:b w:val="0"/>
        </w:rPr>
      </w:pPr>
      <w:r>
        <w:rPr>
          <w:rFonts w:asciiTheme="majorBidi" w:hAnsiTheme="majorBidi"/>
        </w:rPr>
        <w:lastRenderedPageBreak/>
        <w:tab/>
      </w:r>
      <w:r>
        <w:rPr>
          <w:rFonts w:asciiTheme="majorBidi" w:hAnsiTheme="majorBidi"/>
        </w:rPr>
        <w:tab/>
      </w:r>
      <w:r w:rsidR="00483C99">
        <w:rPr>
          <w:rFonts w:asciiTheme="majorBidi" w:hAnsiTheme="majorBidi"/>
        </w:rPr>
        <w:t xml:space="preserve">Projets dans le secteur de </w:t>
      </w:r>
      <w:r w:rsidR="00483C99" w:rsidRPr="00AF0C31">
        <w:t>l</w:t>
      </w:r>
      <w:r w:rsidR="00AF0C31" w:rsidRPr="00AF0C31">
        <w:t>’</w:t>
      </w:r>
      <w:r w:rsidR="00483C99" w:rsidRPr="00AF0C31">
        <w:t>extraction</w:t>
      </w:r>
      <w:r w:rsidR="00483C99">
        <w:rPr>
          <w:rFonts w:asciiTheme="majorBidi" w:hAnsiTheme="majorBidi"/>
        </w:rPr>
        <w:t xml:space="preserve"> minière artisanale et à petite échelle d</w:t>
      </w:r>
      <w:r w:rsidR="00AF0C31">
        <w:rPr>
          <w:rFonts w:asciiTheme="majorBidi" w:hAnsiTheme="majorBidi"/>
        </w:rPr>
        <w:t>’</w:t>
      </w:r>
      <w:r w:rsidR="00483C99">
        <w:rPr>
          <w:rFonts w:asciiTheme="majorBidi" w:hAnsiTheme="majorBidi"/>
        </w:rPr>
        <w:t>or</w:t>
      </w:r>
    </w:p>
    <w:p w14:paraId="7CF2C20D" w14:textId="0011B1BB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  <w:u w:val="single"/>
        </w:rPr>
      </w:pPr>
      <w:r>
        <w:rPr>
          <w:rFonts w:asciiTheme="majorBidi" w:hAnsiTheme="majorBidi"/>
          <w:bCs/>
        </w:rPr>
        <w:t>Aux Philippines,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 xml:space="preserve">OIT met actuellement en œuvre le projet « Inviter les acteurs à élaborer et à mettre en </w:t>
      </w:r>
      <w:r w:rsidRPr="00AF0C31">
        <w:t>œuvre</w:t>
      </w:r>
      <w:r>
        <w:rPr>
          <w:rFonts w:asciiTheme="majorBidi" w:hAnsiTheme="majorBidi"/>
          <w:bCs/>
        </w:rPr>
        <w:t xml:space="preserve"> des stratégies visant à réduire le travail des enfants et à améliorer les conditions de travail dans les mines d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 xml:space="preserve">or artisanales et à petite échelle (projet </w:t>
      </w:r>
      <w:proofErr w:type="spellStart"/>
      <w:r>
        <w:rPr>
          <w:rFonts w:asciiTheme="majorBidi" w:hAnsiTheme="majorBidi"/>
          <w:bCs/>
        </w:rPr>
        <w:t>Caring</w:t>
      </w:r>
      <w:proofErr w:type="spellEnd"/>
      <w:r>
        <w:rPr>
          <w:rFonts w:asciiTheme="majorBidi" w:hAnsiTheme="majorBidi"/>
          <w:bCs/>
        </w:rPr>
        <w:t xml:space="preserve"> Gold Mining) ». </w:t>
      </w:r>
      <w:r>
        <w:t>Ce projet quadriennal est financé par le Ministère du travail des États-Unis et cherche à lutter contre le travail des enfants ainsi qu</w:t>
      </w:r>
      <w:r w:rsidR="00AF0C31">
        <w:t>’</w:t>
      </w:r>
      <w:r>
        <w:t>à remédier à la pénurie d</w:t>
      </w:r>
      <w:r w:rsidR="00AF0C31">
        <w:t>’</w:t>
      </w:r>
      <w:r>
        <w:t>emplois décents et aux conditions de travail dans le</w:t>
      </w:r>
      <w:r w:rsidR="00991B05">
        <w:t> </w:t>
      </w:r>
      <w:r>
        <w:t>secteur de l</w:t>
      </w:r>
      <w:r w:rsidR="00AF0C31">
        <w:t>’</w:t>
      </w:r>
      <w:r>
        <w:t>extraction minière artisanale et à petite échelle d</w:t>
      </w:r>
      <w:r w:rsidR="00AF0C31">
        <w:t>’</w:t>
      </w:r>
      <w:r>
        <w:t>or.</w:t>
      </w:r>
      <w:r>
        <w:rPr>
          <w:rFonts w:asciiTheme="majorBidi" w:hAnsiTheme="majorBidi"/>
          <w:bCs/>
        </w:rPr>
        <w:t xml:space="preserve"> Il vise à réglementer ce secteur et comprend de nombreuses activités de promotion et de sensibilisation.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 xml:space="preserve">équipe chargée de ce projet travaille en collaboration avec BAN </w:t>
      </w:r>
      <w:proofErr w:type="spellStart"/>
      <w:r>
        <w:rPr>
          <w:rFonts w:asciiTheme="majorBidi" w:hAnsiTheme="majorBidi"/>
          <w:bCs/>
        </w:rPr>
        <w:t>Toxics</w:t>
      </w:r>
      <w:proofErr w:type="spellEnd"/>
      <w:r>
        <w:rPr>
          <w:rFonts w:asciiTheme="majorBidi" w:hAnsiTheme="majorBidi"/>
          <w:bCs/>
        </w:rPr>
        <w:t xml:space="preserve">, une organisation non gouvernementale qui œuvre depuis longtemps en partenariat avec les communautés </w:t>
      </w:r>
      <w:r w:rsidR="00967796">
        <w:rPr>
          <w:rFonts w:asciiTheme="majorBidi" w:hAnsiTheme="majorBidi"/>
          <w:bCs/>
        </w:rPr>
        <w:t>pratiquant</w:t>
      </w:r>
      <w:r>
        <w:rPr>
          <w:rFonts w:asciiTheme="majorBidi" w:hAnsiTheme="majorBidi"/>
          <w:bCs/>
        </w:rPr>
        <w:t xml:space="preserve">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extraction artisanale et à petite échelle d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or</w:t>
      </w:r>
      <w:r w:rsidR="00967796" w:rsidRPr="00967796">
        <w:rPr>
          <w:rFonts w:asciiTheme="majorBidi" w:hAnsiTheme="majorBidi"/>
          <w:bCs/>
          <w:lang w:val="fr-FR"/>
        </w:rPr>
        <w:t xml:space="preserve"> </w:t>
      </w:r>
      <w:r w:rsidR="00967796">
        <w:rPr>
          <w:rFonts w:asciiTheme="majorBidi" w:hAnsiTheme="majorBidi"/>
          <w:bCs/>
          <w:lang w:val="fr-FR"/>
        </w:rPr>
        <w:t xml:space="preserve">à </w:t>
      </w:r>
      <w:r w:rsidR="00967796" w:rsidRPr="00967796">
        <w:rPr>
          <w:rFonts w:asciiTheme="majorBidi" w:hAnsiTheme="majorBidi"/>
          <w:bCs/>
          <w:lang w:val="fr-FR"/>
        </w:rPr>
        <w:t>l</w:t>
      </w:r>
      <w:r w:rsidR="00AF0C31">
        <w:rPr>
          <w:rFonts w:asciiTheme="majorBidi" w:hAnsiTheme="majorBidi"/>
          <w:bCs/>
          <w:lang w:val="fr-FR"/>
        </w:rPr>
        <w:t>’</w:t>
      </w:r>
      <w:r w:rsidR="00967796">
        <w:rPr>
          <w:rFonts w:asciiTheme="majorBidi" w:hAnsiTheme="majorBidi"/>
          <w:bCs/>
          <w:lang w:val="fr-FR"/>
        </w:rPr>
        <w:t>aband</w:t>
      </w:r>
      <w:r w:rsidR="00967796" w:rsidRPr="00967796">
        <w:rPr>
          <w:rFonts w:asciiTheme="majorBidi" w:hAnsiTheme="majorBidi"/>
          <w:bCs/>
          <w:lang w:val="fr-FR"/>
        </w:rPr>
        <w:t>on de l</w:t>
      </w:r>
      <w:r w:rsidR="00AF0C31">
        <w:rPr>
          <w:rFonts w:asciiTheme="majorBidi" w:hAnsiTheme="majorBidi"/>
          <w:bCs/>
          <w:lang w:val="fr-FR"/>
        </w:rPr>
        <w:t>’</w:t>
      </w:r>
      <w:r w:rsidR="00967796" w:rsidRPr="00967796">
        <w:rPr>
          <w:rFonts w:asciiTheme="majorBidi" w:hAnsiTheme="majorBidi"/>
          <w:bCs/>
          <w:lang w:val="fr-FR"/>
        </w:rPr>
        <w:t>utilisation d</w:t>
      </w:r>
      <w:r w:rsidR="00967796">
        <w:rPr>
          <w:rFonts w:asciiTheme="majorBidi" w:hAnsiTheme="majorBidi"/>
          <w:bCs/>
          <w:lang w:val="fr-FR"/>
        </w:rPr>
        <w:t>e</w:t>
      </w:r>
      <w:r w:rsidR="00967796" w:rsidRPr="00967796">
        <w:rPr>
          <w:rFonts w:asciiTheme="majorBidi" w:hAnsiTheme="majorBidi"/>
          <w:bCs/>
          <w:lang w:val="fr-FR"/>
        </w:rPr>
        <w:t xml:space="preserve"> mercure</w:t>
      </w:r>
      <w:r>
        <w:rPr>
          <w:rFonts w:asciiTheme="majorBidi" w:hAnsiTheme="majorBidi"/>
          <w:bCs/>
        </w:rPr>
        <w:t>. Dans le cadre des activités du projet, le</w:t>
      </w:r>
      <w:r w:rsidR="00991B05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>cinquième Sommet national sur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extraction artisanale et à petite échelle d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 xml:space="preserve">or </w:t>
      </w:r>
      <w:r w:rsidR="00967796">
        <w:rPr>
          <w:rFonts w:asciiTheme="majorBidi" w:hAnsiTheme="majorBidi"/>
          <w:bCs/>
        </w:rPr>
        <w:t xml:space="preserve">qui </w:t>
      </w:r>
      <w:r>
        <w:rPr>
          <w:rFonts w:asciiTheme="majorBidi" w:hAnsiTheme="majorBidi"/>
          <w:bCs/>
        </w:rPr>
        <w:t>s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est tenu aux</w:t>
      </w:r>
      <w:r w:rsidR="00991B05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>Philippines les</w:t>
      </w:r>
      <w:r w:rsidR="00436339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>27</w:t>
      </w:r>
      <w:r w:rsidR="00436339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>et 28 septembre 2018 a souligné la nécessité d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améliorer la sécurité et la</w:t>
      </w:r>
      <w:r w:rsidR="00991B05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>santé au travail et d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éliminer le travail des</w:t>
      </w:r>
      <w:r w:rsidR="00991B05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>enfants et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utilisation d</w:t>
      </w:r>
      <w:r w:rsidR="00967796">
        <w:rPr>
          <w:rFonts w:asciiTheme="majorBidi" w:hAnsiTheme="majorBidi"/>
          <w:bCs/>
        </w:rPr>
        <w:t>e</w:t>
      </w:r>
      <w:r>
        <w:rPr>
          <w:rFonts w:asciiTheme="majorBidi" w:hAnsiTheme="majorBidi"/>
          <w:bCs/>
        </w:rPr>
        <w:t xml:space="preserve"> mercure</w:t>
      </w:r>
      <w:r w:rsidR="00967796">
        <w:rPr>
          <w:rFonts w:asciiTheme="majorBidi" w:hAnsiTheme="majorBidi"/>
          <w:bCs/>
        </w:rPr>
        <w:t xml:space="preserve"> dans ce secteur</w:t>
      </w:r>
      <w:r w:rsidR="00C11A24" w:rsidRPr="003D56F3">
        <w:rPr>
          <w:rStyle w:val="FootnoteReference"/>
          <w:rFonts w:cstheme="majorBidi"/>
          <w:bCs/>
        </w:rPr>
        <w:footnoteReference w:id="10"/>
      </w:r>
      <w:r>
        <w:rPr>
          <w:rFonts w:asciiTheme="majorBidi" w:hAnsiTheme="majorBidi"/>
          <w:bCs/>
        </w:rPr>
        <w:t xml:space="preserve">. </w:t>
      </w:r>
    </w:p>
    <w:p w14:paraId="3733CAE1" w14:textId="09309069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En </w:t>
      </w:r>
      <w:r w:rsidRPr="00AF0C31">
        <w:t>outre</w:t>
      </w:r>
      <w:r>
        <w:rPr>
          <w:rFonts w:asciiTheme="majorBidi" w:hAnsiTheme="majorBidi"/>
        </w:rPr>
        <w:t>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incite à utiliser la méthode de concentration gravimétrique, en tant que technologie sans mercure pour le traitement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or, dans les sites pilotes du projet aux Philippines.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appuie également les activités menées par le groupe de travail technique des Philippines sur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extraction minière </w:t>
      </w:r>
      <w:r w:rsidRPr="00A43374">
        <w:t>artisanale</w:t>
      </w:r>
      <w:r>
        <w:rPr>
          <w:rFonts w:asciiTheme="majorBidi" w:hAnsiTheme="majorBidi"/>
        </w:rPr>
        <w:t xml:space="preserve"> et à petite échelle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et en élargit la portée de manière à inclure le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travail des enfants et la promotion du travail décent.</w:t>
      </w:r>
    </w:p>
    <w:p w14:paraId="2EDAE0E1" w14:textId="2B06BBDC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En 2019,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équipe chargée du projet </w:t>
      </w:r>
      <w:proofErr w:type="spellStart"/>
      <w:r>
        <w:rPr>
          <w:rFonts w:asciiTheme="majorBidi" w:hAnsiTheme="majorBidi"/>
        </w:rPr>
        <w:t>Caring</w:t>
      </w:r>
      <w:proofErr w:type="spellEnd"/>
      <w:r>
        <w:rPr>
          <w:rFonts w:asciiTheme="majorBidi" w:hAnsiTheme="majorBidi"/>
        </w:rPr>
        <w:t xml:space="preserve"> Gold Mining a participé à la collecte de données de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référence sur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utilisation du mercure dans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minière artisanale et à petite échelle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or, ainsi qu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à la rédaction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évaluation initiale au titre de la Convention de Minamata (MIA). Cette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 xml:space="preserve">équipe a plaidé en faveur de </w:t>
      </w:r>
      <w:r w:rsidRPr="00A43374">
        <w:t>l</w:t>
      </w:r>
      <w:r w:rsidR="00AF0C31">
        <w:t>’</w:t>
      </w:r>
      <w:r w:rsidRPr="00A43374">
        <w:t>élargissement</w:t>
      </w:r>
      <w:r>
        <w:rPr>
          <w:rFonts w:asciiTheme="majorBidi" w:hAnsiTheme="majorBidi"/>
        </w:rPr>
        <w:t xml:space="preserve"> des membres du groupe de travail technique de la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MIA au Ministère philippin du travail et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emploi et au Ministère philippin de la protection sociale et du développement, ce qui constitue une étape importante pour renforcer le caractère multipartite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engagement et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application de la Convention de Minamata au niveau national. En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novembre 2018, le Ministère philippin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environnement et des ressources naturelles a adopté une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résolution portant création du groupe de travail technique de la MIA, composé de représentants du Ministère du travail et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emploi et du Ministère de la protection sociale et du développement. En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outre,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équipe chargée du projet a poursuivi l</w:t>
      </w:r>
      <w:r w:rsidR="00C03795">
        <w:rPr>
          <w:rFonts w:asciiTheme="majorBidi" w:hAnsiTheme="majorBidi"/>
        </w:rPr>
        <w:t>a tenue</w:t>
      </w:r>
      <w:r>
        <w:rPr>
          <w:rFonts w:asciiTheme="majorBidi" w:hAnsiTheme="majorBidi"/>
        </w:rPr>
        <w:t xml:space="preserve"> de séances de formation et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encadrement sur les technologies sans mercure dans les communautés minières, particulièrement dans la province de Camarines Norte. Enfin, un plan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action national sur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minière artisanale et à petite échelle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or, qui comprend des initiatives visant à lutter contre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utilisation du mercure dans ce secteur, est actuellement élaboré.</w:t>
      </w:r>
    </w:p>
    <w:p w14:paraId="545561FF" w14:textId="29C88A88" w:rsidR="00483C99" w:rsidRPr="003D56F3" w:rsidRDefault="00FE1E2C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t>Le Centre international de formation de l</w:t>
      </w:r>
      <w:r w:rsidR="00AF0C31">
        <w:t>’</w:t>
      </w:r>
      <w:r>
        <w:t>OIT et l</w:t>
      </w:r>
      <w:r w:rsidR="00AF0C31">
        <w:t>’</w:t>
      </w:r>
      <w:r>
        <w:t xml:space="preserve">équipe chargée du projet </w:t>
      </w:r>
      <w:proofErr w:type="spellStart"/>
      <w:r>
        <w:t>Caring</w:t>
      </w:r>
      <w:proofErr w:type="spellEnd"/>
      <w:r>
        <w:t xml:space="preserve"> Gold Mining ont organisé le premier Forum interrégional de partage des connaissances consacré au travail et aux conditions de travail des enfants dans le secteur de l</w:t>
      </w:r>
      <w:r w:rsidR="00AF0C31">
        <w:t>’</w:t>
      </w:r>
      <w:r>
        <w:t>extraction minière artisanale et à petite échelle d</w:t>
      </w:r>
      <w:r w:rsidR="00AF0C31">
        <w:t>’</w:t>
      </w:r>
      <w:r>
        <w:t>or</w:t>
      </w:r>
      <w:r w:rsidR="00316D55" w:rsidRPr="003D56F3">
        <w:rPr>
          <w:rStyle w:val="FootnoteReference"/>
          <w:rFonts w:cstheme="majorBidi"/>
        </w:rPr>
        <w:footnoteReference w:id="11"/>
      </w:r>
      <w:r>
        <w:t>, qui s</w:t>
      </w:r>
      <w:r w:rsidR="00AF0C31">
        <w:t>’</w:t>
      </w:r>
      <w:r>
        <w:t>est tenu à Manille en mai</w:t>
      </w:r>
      <w:r w:rsidR="00436339">
        <w:t> </w:t>
      </w:r>
      <w:r>
        <w:t>2019 et a réuni plus de 50</w:t>
      </w:r>
      <w:r w:rsidR="00436339">
        <w:t> </w:t>
      </w:r>
      <w:r>
        <w:t>experts sur ce sujet.</w:t>
      </w:r>
      <w:r>
        <w:rPr>
          <w:rFonts w:asciiTheme="majorBidi" w:hAnsiTheme="majorBidi"/>
        </w:rPr>
        <w:t xml:space="preserve"> Des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 xml:space="preserve">séances </w:t>
      </w:r>
      <w:r w:rsidRPr="00AF0C31">
        <w:t>ont</w:t>
      </w:r>
      <w:r>
        <w:rPr>
          <w:rFonts w:asciiTheme="majorBidi" w:hAnsiTheme="majorBidi"/>
        </w:rPr>
        <w:t xml:space="preserve"> été organisées pour promouvoir la Convention de Minamata et les technologies sans mercure, dont une sur la Convention de Minamata pour ce qui touche au secteur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minière artisanale et à petite échelle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et une autre avec des panélistes sur les bonnes pratiques, au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cours de laquelle des représentants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Université des mines et technologies du Ghana ont échangé des informations sur une technologie actuellement mise au point avec le soutien du projet </w:t>
      </w:r>
      <w:proofErr w:type="spellStart"/>
      <w:r>
        <w:rPr>
          <w:rFonts w:asciiTheme="majorBidi" w:hAnsiTheme="majorBidi"/>
        </w:rPr>
        <w:t>Caring</w:t>
      </w:r>
      <w:proofErr w:type="spellEnd"/>
      <w:r>
        <w:rPr>
          <w:rFonts w:asciiTheme="majorBidi" w:hAnsiTheme="majorBidi"/>
        </w:rPr>
        <w:t xml:space="preserve"> Gold Mining, qui consiste à effectuer une fusion directe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en utilisant un flux en lieu et place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amalgamation au mercure. Ce forum a été suivi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une activité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échange Sud-Sud au cours de laquelle des délégués ghanéens ont visité une mine modèle qui utilise une méthode sans mercure de concentration gravimétrique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et une usine où des expériences sont actuellement menées sur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utilisation d</w:t>
      </w:r>
      <w:r w:rsidR="00C03795">
        <w:rPr>
          <w:rFonts w:asciiTheme="majorBidi" w:hAnsiTheme="majorBidi"/>
        </w:rPr>
        <w:t>e</w:t>
      </w:r>
      <w:r>
        <w:rPr>
          <w:rFonts w:asciiTheme="majorBidi" w:hAnsiTheme="majorBidi"/>
        </w:rPr>
        <w:t xml:space="preserve"> sel pour extraire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du minerai.</w:t>
      </w:r>
    </w:p>
    <w:p w14:paraId="44DACC96" w14:textId="47B6C099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/>
        </w:rPr>
        <w:t>Au Ghana,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a contribué en 2019 à la réalisation de progrès considérables.</w:t>
      </w:r>
      <w:r>
        <w:rPr>
          <w:rFonts w:asciiTheme="majorBidi" w:hAnsiTheme="majorBidi"/>
          <w:bCs/>
        </w:rPr>
        <w:t xml:space="preserve">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organisation a participé à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élaboration, à la validation et au lancement de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évaluation initiale au titre de la</w:t>
      </w:r>
      <w:r w:rsidR="00991B05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>Convention de Minamata, qui a été menée à bien et déposée auprès du secrétariat de la Convention.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OIT est également membre du groupe de travail technique chargé d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élaborer un plan d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action national pour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 xml:space="preserve">élimination du mercure. </w:t>
      </w:r>
      <w:r>
        <w:rPr>
          <w:rFonts w:asciiTheme="majorBidi" w:hAnsiTheme="majorBidi"/>
        </w:rPr>
        <w:t xml:space="preserve">En outre, dans le cadre du projet </w:t>
      </w:r>
      <w:proofErr w:type="spellStart"/>
      <w:r>
        <w:rPr>
          <w:rFonts w:asciiTheme="majorBidi" w:hAnsiTheme="majorBidi"/>
        </w:rPr>
        <w:t>Caring</w:t>
      </w:r>
      <w:proofErr w:type="spellEnd"/>
      <w:r>
        <w:rPr>
          <w:rFonts w:asciiTheme="majorBidi" w:hAnsiTheme="majorBidi"/>
        </w:rPr>
        <w:t xml:space="preserve"> Gold Mining,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travaille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élaboration de la méthode de traitement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sans mercure par fusion directe actuellement mise au point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Université des mines et technologies.</w:t>
      </w:r>
      <w:r>
        <w:rPr>
          <w:rFonts w:asciiTheme="majorBidi" w:hAnsiTheme="majorBidi"/>
          <w:bCs/>
        </w:rPr>
        <w:t xml:space="preserve"> En collaboration avec Friends of the Nation (« les Amis de la nation »), une organisation non gouvernementale locale qui participe aux</w:t>
      </w:r>
      <w:r w:rsidR="00991B05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>travaux du groupe de travail technique sur le mercure,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 xml:space="preserve">OIT élabore également une campagne de </w:t>
      </w:r>
      <w:r>
        <w:rPr>
          <w:rFonts w:asciiTheme="majorBidi" w:hAnsiTheme="majorBidi"/>
          <w:bCs/>
        </w:rPr>
        <w:lastRenderedPageBreak/>
        <w:t>communication sur la Convention de Minamata axée sur le lien entre l</w:t>
      </w:r>
      <w:r w:rsidR="00AF0C31">
        <w:rPr>
          <w:rFonts w:asciiTheme="majorBidi" w:hAnsiTheme="majorBidi"/>
          <w:bCs/>
        </w:rPr>
        <w:t>’</w:t>
      </w:r>
      <w:r>
        <w:rPr>
          <w:rFonts w:asciiTheme="majorBidi" w:hAnsiTheme="majorBidi"/>
          <w:bCs/>
        </w:rPr>
        <w:t>utilisation du mercure et le</w:t>
      </w:r>
      <w:r w:rsidR="00991B05">
        <w:rPr>
          <w:rFonts w:asciiTheme="majorBidi" w:hAnsiTheme="majorBidi"/>
          <w:bCs/>
        </w:rPr>
        <w:t> </w:t>
      </w:r>
      <w:r>
        <w:rPr>
          <w:rFonts w:asciiTheme="majorBidi" w:hAnsiTheme="majorBidi"/>
          <w:bCs/>
        </w:rPr>
        <w:t xml:space="preserve">travail des enfants. </w:t>
      </w:r>
      <w:r>
        <w:rPr>
          <w:rFonts w:asciiTheme="majorBidi" w:hAnsiTheme="majorBidi"/>
        </w:rPr>
        <w:t xml:space="preserve">Enfin, le projet </w:t>
      </w:r>
      <w:proofErr w:type="spellStart"/>
      <w:r>
        <w:rPr>
          <w:rFonts w:asciiTheme="majorBidi" w:hAnsiTheme="majorBidi"/>
        </w:rPr>
        <w:t>Caring</w:t>
      </w:r>
      <w:proofErr w:type="spellEnd"/>
      <w:r>
        <w:rPr>
          <w:rFonts w:asciiTheme="majorBidi" w:hAnsiTheme="majorBidi"/>
        </w:rPr>
        <w:t xml:space="preserve"> Gold Mining est également membre du Comité directeur national chargé de superviser la mise en œuvre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ensemble du régime de traitement des plaintes de la Convention de Minamata.</w:t>
      </w:r>
    </w:p>
    <w:p w14:paraId="39B0CD31" w14:textId="7499AA10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  <w:u w:val="single"/>
        </w:rPr>
      </w:pPr>
      <w:r>
        <w:rPr>
          <w:rFonts w:asciiTheme="majorBidi" w:hAnsiTheme="majorBidi"/>
        </w:rPr>
        <w:t>Au Guyana,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a aidé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École des mines du pays à mettre la dernière main au manuel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inspection concernant la sécurité et la santé au travail dans les petites mines artisanales à ciel ouvert. </w:t>
      </w:r>
      <w:r>
        <w:t xml:space="preserve">Ce manuel, </w:t>
      </w:r>
      <w:r w:rsidRPr="00AF0C31">
        <w:rPr>
          <w:rFonts w:asciiTheme="majorBidi" w:hAnsiTheme="majorBidi"/>
        </w:rPr>
        <w:t>qui</w:t>
      </w:r>
      <w:r>
        <w:t xml:space="preserve"> fait référence à la Convention de Minamata et à ses principes, a été motivé par un</w:t>
      </w:r>
      <w:r w:rsidR="00991B05">
        <w:t> </w:t>
      </w:r>
      <w:r>
        <w:t>incident récent survenu au Conseil guyanien de l</w:t>
      </w:r>
      <w:r w:rsidR="00AF0C31">
        <w:t>’</w:t>
      </w:r>
      <w:r>
        <w:t>or concernant la contamination par le mercure résultant du procédé d</w:t>
      </w:r>
      <w:r w:rsidR="00AF0C31">
        <w:t>’</w:t>
      </w:r>
      <w:r>
        <w:t>amalgamation</w:t>
      </w:r>
      <w:r w:rsidR="00376C00" w:rsidRPr="00436339">
        <w:rPr>
          <w:vertAlign w:val="superscript"/>
        </w:rPr>
        <w:footnoteReference w:id="12"/>
      </w:r>
      <w:r>
        <w:t>.</w:t>
      </w:r>
      <w:r>
        <w:rPr>
          <w:rFonts w:asciiTheme="majorBidi" w:hAnsiTheme="majorBidi"/>
        </w:rPr>
        <w:t xml:space="preserve"> </w:t>
      </w:r>
    </w:p>
    <w:p w14:paraId="3378AEF4" w14:textId="074BDA0C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Au Suriname,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OIT, en collaboration avec le Ministère du travail, parachève actuellement un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projet de manuel similaire au manuel guyanien. Dans le cadre de ce processus,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fera en sorte que les dispositions de la Convention de Minamata soient prises en compte et recherchera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éventuelles synergies avec le projet portant sur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minière artisanale et à petite échelle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parrainé par le FEM et exécuté par le Programme des Nations Unies pour le développement</w:t>
      </w:r>
      <w:r w:rsidR="00376C00" w:rsidRPr="00436339">
        <w:rPr>
          <w:rStyle w:val="FootnoteReference"/>
          <w:rFonts w:cstheme="majorBidi"/>
        </w:rPr>
        <w:footnoteReference w:id="13"/>
      </w:r>
      <w:r w:rsidR="00744983">
        <w:rPr>
          <w:rFonts w:asciiTheme="majorBidi" w:hAnsiTheme="majorBidi"/>
        </w:rPr>
        <w:t>.</w:t>
      </w:r>
      <w:r>
        <w:rPr>
          <w:rFonts w:asciiTheme="majorBidi" w:hAnsiTheme="majorBidi"/>
        </w:rPr>
        <w:t xml:space="preserve"> En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outre, un accord portant sur le programme par pays de promotion du travail décent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sera signé en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2019, ce qui permettra de renforcer la dynamique des activités liées à ce processus.</w:t>
      </w:r>
    </w:p>
    <w:p w14:paraId="25D4828E" w14:textId="72D6F835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En Mauritanie,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met en place des initiatives pour répondre aux préoccupations grandissantes en matière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environnement et de santé soulevées par la croissance exponentielle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activité minière, en particulier dans le nord du pays.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Union nationale du patronat de Mauritanie (UNPM),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organisation nationale des employeurs, a fait savoir qu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elle souhaitait entreprendre une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action commune avec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OIT afin </w:t>
      </w:r>
      <w:r w:rsidRPr="00A43374">
        <w:t>d</w:t>
      </w:r>
      <w:r w:rsidR="00AF0C31">
        <w:t>’</w:t>
      </w:r>
      <w:r w:rsidRPr="00A43374">
        <w:t>informer</w:t>
      </w:r>
      <w:r>
        <w:rPr>
          <w:rFonts w:asciiTheme="majorBidi" w:hAnsiTheme="majorBidi"/>
        </w:rPr>
        <w:t xml:space="preserve"> les prospecteurs artisanaux et industriels des risques à court et à long terme </w:t>
      </w:r>
      <w:r w:rsidR="00C71E0D">
        <w:rPr>
          <w:rFonts w:asciiTheme="majorBidi" w:hAnsiTheme="majorBidi"/>
        </w:rPr>
        <w:t>existant dans ce secteur</w:t>
      </w:r>
      <w:r>
        <w:rPr>
          <w:rFonts w:asciiTheme="majorBidi" w:hAnsiTheme="majorBidi"/>
        </w:rPr>
        <w:t>. Au début de 2019,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est entretenue avec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UNPM afin de procéder à une évaluation des risques en matière de sécurité et de santé au travail et de mettre en œuvre un programme de renforcement des capacités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intention des responsables de la sécurité dans les mines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(nord de la Mauritanie). Cela comprend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évaluation des risques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exposition au mercure et les activités de prévention des risques liés à la sécurité et à la santé.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compte obtenir le financement de cette activité en vue de sa mise en œuvre au cours du prochain exercice biennal.</w:t>
      </w:r>
    </w:p>
    <w:p w14:paraId="2D8430CD" w14:textId="741EADBB" w:rsidR="00CA4AEF" w:rsidRPr="003D56F3" w:rsidRDefault="00A43374" w:rsidP="00A43374">
      <w:pPr>
        <w:pStyle w:val="CH3"/>
        <w:rPr>
          <w:rFonts w:asciiTheme="majorBidi" w:hAnsiTheme="majorBidi" w:cstheme="majorBidi"/>
          <w:b w:val="0"/>
        </w:rPr>
      </w:pPr>
      <w:r>
        <w:rPr>
          <w:rFonts w:asciiTheme="majorBidi" w:hAnsiTheme="majorBidi"/>
        </w:rPr>
        <w:tab/>
      </w:r>
      <w:r>
        <w:rPr>
          <w:rFonts w:asciiTheme="majorBidi" w:hAnsiTheme="majorBidi"/>
        </w:rPr>
        <w:tab/>
      </w:r>
      <w:r w:rsidR="00CA4AEF">
        <w:rPr>
          <w:rFonts w:asciiTheme="majorBidi" w:hAnsiTheme="majorBidi"/>
        </w:rPr>
        <w:t>Projet dans le secteur du démantèlement d</w:t>
      </w:r>
      <w:r w:rsidR="00AF0C31">
        <w:rPr>
          <w:rFonts w:asciiTheme="majorBidi" w:hAnsiTheme="majorBidi"/>
        </w:rPr>
        <w:t>’</w:t>
      </w:r>
      <w:r w:rsidR="00CA4AEF">
        <w:rPr>
          <w:rFonts w:asciiTheme="majorBidi" w:hAnsiTheme="majorBidi"/>
        </w:rPr>
        <w:t>automobiles</w:t>
      </w:r>
    </w:p>
    <w:p w14:paraId="4DADFD2B" w14:textId="0BE2C12C" w:rsidR="00CA4AEF" w:rsidRPr="003D56F3" w:rsidRDefault="0045119F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Aux Fidji, un projet intitulé « Promouvoir un travail décent et une transition juste dans le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secteur du démantèlement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automobiles aux Fidji », financé par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Agence japonaise de coopération internationale (JICA) et mis en œuvre par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entre octobre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2017 et septembre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2018, avait pour objectif immédiat de promouvoir de meilleurs emplois dans le secteur du démantèlement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automobiles aux Fidji en améliorant la sécurité et la santé au travail, en favorisant la croissance verte et en créant des emplois. Il visait également à contribuer à la prévention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exposition professionnelle au mercure et à </w:t>
      </w:r>
      <w:r w:rsidR="00C71E0D">
        <w:rPr>
          <w:rFonts w:asciiTheme="majorBidi" w:hAnsiTheme="majorBidi"/>
        </w:rPr>
        <w:t>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élimination </w:t>
      </w:r>
      <w:r w:rsidR="00C71E0D">
        <w:rPr>
          <w:rFonts w:asciiTheme="majorBidi" w:hAnsiTheme="majorBidi"/>
        </w:rPr>
        <w:t xml:space="preserve">de celui-ci </w:t>
      </w:r>
      <w:r>
        <w:rPr>
          <w:rFonts w:asciiTheme="majorBidi" w:hAnsiTheme="majorBidi"/>
        </w:rPr>
        <w:t>dans des conditions sûres. Le premier rapport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enquête réalisée sur le terrain aux Fidji a mis en évidence qu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aucun des garages de démantèlement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automobiles interrogés n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appliquait les méthodes recommandées pour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élimination du mercure. Dans le prolongement de ce projet, il est prévu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élaborer et de promouvoir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application de directives en matière de sécurité et de santé au travail et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élimination écologique des déchets ainsi qu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une formation généralisée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intention des décideurs, des parties prenantes du secteur et de la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société en général.</w:t>
      </w:r>
    </w:p>
    <w:p w14:paraId="643682D7" w14:textId="79C7F78D" w:rsidR="00483C99" w:rsidRPr="003D56F3" w:rsidRDefault="00A43374" w:rsidP="00A43374">
      <w:pPr>
        <w:pStyle w:val="CH3"/>
        <w:rPr>
          <w:rFonts w:asciiTheme="majorBidi" w:hAnsiTheme="majorBidi" w:cstheme="majorBidi"/>
          <w:b w:val="0"/>
        </w:rPr>
      </w:pPr>
      <w:r>
        <w:rPr>
          <w:rFonts w:asciiTheme="majorBidi" w:hAnsiTheme="majorBidi"/>
        </w:rPr>
        <w:tab/>
      </w:r>
      <w:r>
        <w:rPr>
          <w:rFonts w:asciiTheme="majorBidi" w:hAnsiTheme="majorBidi"/>
        </w:rPr>
        <w:tab/>
      </w:r>
      <w:r w:rsidR="00483C99">
        <w:rPr>
          <w:rFonts w:asciiTheme="majorBidi" w:hAnsiTheme="majorBidi"/>
        </w:rPr>
        <w:t>Codes mondiaux de bonne pratique, études et documents de travail</w:t>
      </w:r>
    </w:p>
    <w:p w14:paraId="1A466978" w14:textId="0A9E2A7C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En mars</w:t>
      </w:r>
      <w:r w:rsidR="00436339">
        <w:rPr>
          <w:rFonts w:asciiTheme="majorBidi" w:hAnsiTheme="majorBidi"/>
        </w:rPr>
        <w:t> </w:t>
      </w:r>
      <w:r>
        <w:rPr>
          <w:rFonts w:asciiTheme="majorBidi" w:hAnsiTheme="majorBidi"/>
        </w:rPr>
        <w:t>2019,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OIT a participé à un séminaire international sur la sécurité chimique organisé par le Conseil de la sécurité </w:t>
      </w:r>
      <w:r w:rsidRPr="00A43374">
        <w:t>et</w:t>
      </w:r>
      <w:r>
        <w:rPr>
          <w:rFonts w:asciiTheme="majorBidi" w:hAnsiTheme="majorBidi"/>
        </w:rPr>
        <w:t xml:space="preserve"> de la santé au travail de Hong Kong en vue de partager ses normes et outils sur la gestion sûre des produits chimiques dangereux, et 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est employée avec succès à promouvoir les dispositions de la Convention de Minamata en ce qui concerne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exposition au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mercure.</w:t>
      </w:r>
    </w:p>
    <w:p w14:paraId="7904D0CD" w14:textId="7BE24865" w:rsidR="00483C99" w:rsidRPr="003D56F3" w:rsidRDefault="008A6147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  <w:u w:val="single"/>
        </w:rPr>
      </w:pPr>
      <w:r>
        <w:t>En 2019, l</w:t>
      </w:r>
      <w:r w:rsidR="00AF0C31">
        <w:t>’</w:t>
      </w:r>
      <w:r>
        <w:t>OIT a publié un document de réflexion intitulé « </w:t>
      </w:r>
      <w:r w:rsidR="002C34DC">
        <w:t>L</w:t>
      </w:r>
      <w:r>
        <w:t>e travail décent dans la gestion des</w:t>
      </w:r>
      <w:r w:rsidR="00991B05">
        <w:t> </w:t>
      </w:r>
      <w:r>
        <w:t>déchets d</w:t>
      </w:r>
      <w:r w:rsidR="00AF0C31">
        <w:t>’</w:t>
      </w:r>
      <w:r>
        <w:t>équipements électriques et électroniques</w:t>
      </w:r>
      <w:r w:rsidR="00194AD9">
        <w:t> »</w:t>
      </w:r>
      <w:r w:rsidRPr="003D56F3">
        <w:rPr>
          <w:rStyle w:val="FootnoteReference"/>
          <w:rFonts w:cstheme="majorBidi"/>
        </w:rPr>
        <w:footnoteReference w:id="14"/>
      </w:r>
      <w:r>
        <w:t>.</w:t>
      </w:r>
      <w:r>
        <w:rPr>
          <w:rFonts w:asciiTheme="majorBidi" w:hAnsiTheme="majorBidi"/>
        </w:rPr>
        <w:t xml:space="preserve"> </w:t>
      </w:r>
      <w:r>
        <w:t>Ce document souligne le rôle que joue la</w:t>
      </w:r>
      <w:r w:rsidR="00991B05">
        <w:t> </w:t>
      </w:r>
      <w:r>
        <w:t xml:space="preserve">Convention de Minamata </w:t>
      </w:r>
      <w:r w:rsidRPr="00AF0C31">
        <w:rPr>
          <w:rFonts w:asciiTheme="majorBidi" w:hAnsiTheme="majorBidi"/>
        </w:rPr>
        <w:t>dans</w:t>
      </w:r>
      <w:r>
        <w:t xml:space="preserve"> la protection de la santé humaine et de l</w:t>
      </w:r>
      <w:r w:rsidR="00AF0C31">
        <w:t>’</w:t>
      </w:r>
      <w:r>
        <w:t>environnement contre les</w:t>
      </w:r>
      <w:r w:rsidR="00991B05">
        <w:t> </w:t>
      </w:r>
      <w:r>
        <w:t>émissions et les rejets de mercure, et donc dans la gestion des déchets d</w:t>
      </w:r>
      <w:r w:rsidR="00AF0C31">
        <w:t>’</w:t>
      </w:r>
      <w:r>
        <w:t>équipements électriques et électroniques, qui contiennent pour la plupart du mercure.</w:t>
      </w:r>
      <w:r>
        <w:rPr>
          <w:rFonts w:asciiTheme="majorBidi" w:hAnsiTheme="majorBidi"/>
        </w:rPr>
        <w:t xml:space="preserve"> </w:t>
      </w:r>
    </w:p>
    <w:p w14:paraId="371224CE" w14:textId="381485C7" w:rsidR="00483C99" w:rsidRPr="003D56F3" w:rsidRDefault="00115D42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lastRenderedPageBreak/>
        <w:t>En outre,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OIT a organisé le Forum de dialogue mondial sur le travail décent dans la gestion des </w:t>
      </w:r>
      <w:r w:rsidRPr="00A43374">
        <w:t>déchets</w:t>
      </w:r>
      <w:r>
        <w:rPr>
          <w:rFonts w:asciiTheme="majorBidi" w:hAnsiTheme="majorBidi"/>
        </w:rPr>
        <w:t xml:space="preserve">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équipements électriques et électroniques, qui 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est tenu à Genève en avril</w:t>
      </w:r>
      <w:r w:rsidR="00194AD9">
        <w:rPr>
          <w:rFonts w:asciiTheme="majorBidi" w:hAnsiTheme="majorBidi"/>
        </w:rPr>
        <w:t> </w:t>
      </w:r>
      <w:r>
        <w:rPr>
          <w:rFonts w:asciiTheme="majorBidi" w:hAnsiTheme="majorBidi"/>
        </w:rPr>
        <w:t>2019. Ce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forum a adopté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unanimité des points de consensus en vue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une action future sur la gestion des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déchets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équipements électriques et électroniques</w:t>
      </w:r>
      <w:r w:rsidR="00117711" w:rsidRPr="003D56F3">
        <w:rPr>
          <w:rStyle w:val="FootnoteReference"/>
          <w:rFonts w:cstheme="majorBidi"/>
        </w:rPr>
        <w:footnoteReference w:id="15"/>
      </w:r>
      <w:r w:rsidR="00744983">
        <w:rPr>
          <w:rFonts w:asciiTheme="majorBidi" w:hAnsiTheme="majorBidi"/>
        </w:rPr>
        <w:t>.</w:t>
      </w:r>
      <w:r>
        <w:rPr>
          <w:rFonts w:asciiTheme="majorBidi" w:hAnsiTheme="majorBidi"/>
        </w:rPr>
        <w:t xml:space="preserve">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est également membre de la coalition des Nations Unies contre les déchets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équipements électriques et électroniques, créée pour renforcer la collaboration, établir des partenariats, et apporter un soutien plus efficace en vue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aider les États à</w:t>
      </w:r>
      <w:r w:rsidR="00194AD9">
        <w:rPr>
          <w:rFonts w:asciiTheme="majorBidi" w:hAnsiTheme="majorBidi"/>
        </w:rPr>
        <w:t> </w:t>
      </w:r>
      <w:r>
        <w:rPr>
          <w:rFonts w:asciiTheme="majorBidi" w:hAnsiTheme="majorBidi"/>
        </w:rPr>
        <w:t>relever le défi posé par ces déchets.</w:t>
      </w:r>
    </w:p>
    <w:p w14:paraId="7ADCDA5D" w14:textId="2CB9BD14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  <w:u w:val="single"/>
        </w:rPr>
      </w:pPr>
      <w:r>
        <w:t>L</w:t>
      </w:r>
      <w:r w:rsidR="00AF0C31">
        <w:t>’</w:t>
      </w:r>
      <w:r>
        <w:t>OIT a publié une étude intitulée « </w:t>
      </w:r>
      <w:proofErr w:type="spellStart"/>
      <w:r w:rsidR="00C71E0D" w:rsidRPr="00194AD9">
        <w:rPr>
          <w:i/>
        </w:rPr>
        <w:t>Sectoral</w:t>
      </w:r>
      <w:proofErr w:type="spellEnd"/>
      <w:r w:rsidR="00C71E0D" w:rsidRPr="00194AD9">
        <w:rPr>
          <w:i/>
        </w:rPr>
        <w:t xml:space="preserve"> </w:t>
      </w:r>
      <w:proofErr w:type="spellStart"/>
      <w:r w:rsidR="00C71E0D" w:rsidRPr="00194AD9">
        <w:rPr>
          <w:i/>
        </w:rPr>
        <w:t>Studies</w:t>
      </w:r>
      <w:proofErr w:type="spellEnd"/>
      <w:r w:rsidR="00C71E0D" w:rsidRPr="00194AD9">
        <w:rPr>
          <w:i/>
        </w:rPr>
        <w:t xml:space="preserve"> on </w:t>
      </w:r>
      <w:proofErr w:type="spellStart"/>
      <w:r w:rsidR="00C71E0D" w:rsidRPr="00194AD9">
        <w:rPr>
          <w:i/>
        </w:rPr>
        <w:t>Decent</w:t>
      </w:r>
      <w:proofErr w:type="spellEnd"/>
      <w:r w:rsidR="00C71E0D" w:rsidRPr="00194AD9">
        <w:rPr>
          <w:i/>
        </w:rPr>
        <w:t xml:space="preserve"> Work in Global </w:t>
      </w:r>
      <w:proofErr w:type="spellStart"/>
      <w:r w:rsidR="00C71E0D" w:rsidRPr="00194AD9">
        <w:rPr>
          <w:i/>
        </w:rPr>
        <w:t>Supply</w:t>
      </w:r>
      <w:proofErr w:type="spellEnd"/>
      <w:r w:rsidR="00C71E0D" w:rsidRPr="00194AD9">
        <w:rPr>
          <w:i/>
        </w:rPr>
        <w:t xml:space="preserve"> </w:t>
      </w:r>
      <w:proofErr w:type="spellStart"/>
      <w:r w:rsidR="00C71E0D" w:rsidRPr="00194AD9">
        <w:rPr>
          <w:i/>
        </w:rPr>
        <w:t>Chains</w:t>
      </w:r>
      <w:proofErr w:type="spellEnd"/>
      <w:r w:rsidR="00C71E0D" w:rsidRPr="00194AD9">
        <w:rPr>
          <w:i/>
        </w:rPr>
        <w:t xml:space="preserve">: Comparative </w:t>
      </w:r>
      <w:proofErr w:type="spellStart"/>
      <w:r w:rsidR="00C71E0D" w:rsidRPr="00194AD9">
        <w:rPr>
          <w:i/>
        </w:rPr>
        <w:t>Analysis</w:t>
      </w:r>
      <w:proofErr w:type="spellEnd"/>
      <w:r w:rsidR="00C71E0D" w:rsidRPr="00194AD9">
        <w:rPr>
          <w:i/>
        </w:rPr>
        <w:t xml:space="preserve"> of </w:t>
      </w:r>
      <w:proofErr w:type="spellStart"/>
      <w:r w:rsidR="00C71E0D" w:rsidRPr="00194AD9">
        <w:rPr>
          <w:i/>
        </w:rPr>
        <w:t>Opportunities</w:t>
      </w:r>
      <w:proofErr w:type="spellEnd"/>
      <w:r w:rsidR="00C71E0D" w:rsidRPr="00194AD9">
        <w:rPr>
          <w:i/>
        </w:rPr>
        <w:t xml:space="preserve"> and Challenges for Social and </w:t>
      </w:r>
      <w:proofErr w:type="spellStart"/>
      <w:r w:rsidR="00C71E0D" w:rsidRPr="00194AD9">
        <w:rPr>
          <w:i/>
        </w:rPr>
        <w:t>Economic</w:t>
      </w:r>
      <w:proofErr w:type="spellEnd"/>
      <w:r w:rsidR="00C71E0D" w:rsidRPr="00194AD9">
        <w:rPr>
          <w:i/>
        </w:rPr>
        <w:t xml:space="preserve"> </w:t>
      </w:r>
      <w:proofErr w:type="spellStart"/>
      <w:r w:rsidR="00C71E0D" w:rsidRPr="00194AD9">
        <w:rPr>
          <w:i/>
        </w:rPr>
        <w:t>Upgrading</w:t>
      </w:r>
      <w:proofErr w:type="spellEnd"/>
      <w:r w:rsidR="00C71E0D">
        <w:t> »</w:t>
      </w:r>
      <w:r w:rsidR="00C71E0D" w:rsidRPr="00C71E0D">
        <w:t xml:space="preserve"> </w:t>
      </w:r>
      <w:r w:rsidR="00C71E0D">
        <w:t>(</w:t>
      </w:r>
      <w:r>
        <w:t>Études sectorielles sur le travail décent dans les chaînes d</w:t>
      </w:r>
      <w:r w:rsidR="00AF0C31">
        <w:t>’</w:t>
      </w:r>
      <w:r>
        <w:t>approvisionnement mondiales : analyse comparative des possibilités et des défis liés à la</w:t>
      </w:r>
      <w:r w:rsidR="00991B05">
        <w:t> </w:t>
      </w:r>
      <w:r>
        <w:t>modernisation sociale et économique</w:t>
      </w:r>
      <w:r w:rsidR="00C71E0D">
        <w:t>)</w:t>
      </w:r>
      <w:r>
        <w:t>, qu</w:t>
      </w:r>
      <w:r w:rsidR="00AF0C31">
        <w:t>’</w:t>
      </w:r>
      <w:r>
        <w:t>elle s</w:t>
      </w:r>
      <w:r w:rsidR="00AF0C31">
        <w:t>’</w:t>
      </w:r>
      <w:r>
        <w:t xml:space="preserve">attache </w:t>
      </w:r>
      <w:r w:rsidRPr="00AF0C31">
        <w:rPr>
          <w:rFonts w:asciiTheme="majorBidi" w:hAnsiTheme="majorBidi"/>
        </w:rPr>
        <w:t>actuellement</w:t>
      </w:r>
      <w:r>
        <w:t xml:space="preserve"> à promouvoir auprès de</w:t>
      </w:r>
      <w:r w:rsidR="0014459C">
        <w:t xml:space="preserve"> se</w:t>
      </w:r>
      <w:r>
        <w:t>s</w:t>
      </w:r>
      <w:r w:rsidR="00991B05">
        <w:t> </w:t>
      </w:r>
      <w:r w:rsidR="0014459C">
        <w:t>mandant</w:t>
      </w:r>
      <w:r>
        <w:t>s</w:t>
      </w:r>
      <w:r w:rsidR="006831A9" w:rsidRPr="003D56F3">
        <w:rPr>
          <w:rStyle w:val="FootnoteReference"/>
          <w:rFonts w:cstheme="majorBidi"/>
        </w:rPr>
        <w:footnoteReference w:id="16"/>
      </w:r>
      <w:r>
        <w:t>.</w:t>
      </w:r>
      <w:r>
        <w:rPr>
          <w:rFonts w:asciiTheme="majorBidi" w:hAnsiTheme="majorBidi"/>
        </w:rPr>
        <w:t xml:space="preserve">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étude comprend une étude de cas portant sur la promotion du travail décent dans les chaînes </w:t>
      </w:r>
      <w:r w:rsidRPr="00A43374">
        <w:t>d</w:t>
      </w:r>
      <w:r w:rsidR="00AF0C31">
        <w:t>’</w:t>
      </w:r>
      <w:r w:rsidRPr="00A43374">
        <w:t>approvisionnement</w:t>
      </w:r>
      <w:r>
        <w:rPr>
          <w:rFonts w:asciiTheme="majorBidi" w:hAnsiTheme="majorBidi"/>
        </w:rPr>
        <w:t xml:space="preserve"> mondiales</w:t>
      </w:r>
      <w:r w:rsidR="002C34DC">
        <w:rPr>
          <w:rFonts w:asciiTheme="majorBidi" w:hAnsiTheme="majorBidi"/>
        </w:rPr>
        <w:t xml:space="preserve"> du secteur</w:t>
      </w:r>
      <w:r>
        <w:rPr>
          <w:rFonts w:asciiTheme="majorBidi" w:hAnsiTheme="majorBidi"/>
        </w:rPr>
        <w:t xml:space="preserve">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(pages 49</w:t>
      </w:r>
      <w:r>
        <w:rPr>
          <w:rFonts w:asciiTheme="majorBidi" w:hAnsiTheme="majorBidi"/>
        </w:rPr>
        <w:sym w:font="Symbol" w:char="F02D"/>
      </w:r>
      <w:r>
        <w:rPr>
          <w:rFonts w:asciiTheme="majorBidi" w:hAnsiTheme="majorBidi"/>
        </w:rPr>
        <w:t>88) qui fait état des préoccupations en matière de sécurité et de santé au travail liées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utilisation du mercure dans le secteur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or. </w:t>
      </w:r>
    </w:p>
    <w:p w14:paraId="3E7283B2" w14:textId="439D13F5" w:rsidR="00483C99" w:rsidRPr="003D56F3" w:rsidRDefault="006831A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  <w:u w:val="single"/>
        </w:rPr>
      </w:pPr>
      <w:r>
        <w:t>En 2018, l</w:t>
      </w:r>
      <w:r w:rsidR="00AF0C31">
        <w:t>’</w:t>
      </w:r>
      <w:r>
        <w:t xml:space="preserve">OIT et ses </w:t>
      </w:r>
      <w:r w:rsidR="0014459C">
        <w:t>mand</w:t>
      </w:r>
      <w:r>
        <w:t>ants tripartites ont adopté un recueil de directives pratiques sur la</w:t>
      </w:r>
      <w:r w:rsidR="00991B05">
        <w:t> </w:t>
      </w:r>
      <w:r>
        <w:t>sécurité et la santé dans les mines à ciel ouvert</w:t>
      </w:r>
      <w:r w:rsidR="008A6147" w:rsidRPr="003D56F3">
        <w:rPr>
          <w:rStyle w:val="FootnoteReference"/>
          <w:rFonts w:cstheme="majorBidi"/>
        </w:rPr>
        <w:footnoteReference w:id="17"/>
      </w:r>
      <w:r>
        <w:t>, élaboré sur la base du recueil de directives pratiques adopté lors de la réunion d</w:t>
      </w:r>
      <w:r w:rsidR="00AF0C31">
        <w:t>’</w:t>
      </w:r>
      <w:r>
        <w:t>experts sur la sécurité et la santé dans les mines à ciel ouvert, tenue à Genève du 16 au 20</w:t>
      </w:r>
      <w:r w:rsidR="00194AD9">
        <w:t> </w:t>
      </w:r>
      <w:r>
        <w:t>octobre</w:t>
      </w:r>
      <w:r w:rsidR="00194AD9">
        <w:t> </w:t>
      </w:r>
      <w:r>
        <w:t>2017.</w:t>
      </w:r>
      <w:r>
        <w:rPr>
          <w:rFonts w:asciiTheme="majorBidi" w:hAnsiTheme="majorBidi"/>
        </w:rPr>
        <w:t xml:space="preserve"> Ce recueil de directives pratiques exige que les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 xml:space="preserve">gouvernements et les employeurs prennent des mesures préventives concernant les produits chimiques dangereux, y compris le mercure. </w:t>
      </w:r>
    </w:p>
    <w:p w14:paraId="23AF8A2E" w14:textId="62221839" w:rsidR="00483C99" w:rsidRPr="003D56F3" w:rsidRDefault="00483C99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met actuellement la dernière main à un document de travail sur les risques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exposition au mercure pour les travailleurs du secteur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minière artisanale et à petite échelle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or. Ce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document examine les moyens de réduire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exposition des travailleurs au mercure dans ce secteur, de soutenir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assistance technique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OIT, de promouvoir une culture durable pour la prévention des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accidents et des maladies et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améliorer la sécurité et la santé au travail. Il 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inscrit dans le cadre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action menée pour promouvoir les technologies permettant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améliorer ou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éliminer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utilisation d</w:t>
      </w:r>
      <w:r w:rsidR="002C34DC">
        <w:rPr>
          <w:rFonts w:asciiTheme="majorBidi" w:hAnsiTheme="majorBidi"/>
        </w:rPr>
        <w:t>e</w:t>
      </w:r>
      <w:r>
        <w:rPr>
          <w:rFonts w:asciiTheme="majorBidi" w:hAnsiTheme="majorBidi"/>
        </w:rPr>
        <w:t xml:space="preserve"> mercure, conformément à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 xml:space="preserve">article 7 de la Convention de Minamata, et pour encourager les bonnes pratiques en matière de sécurité et de santé sur les sites </w:t>
      </w:r>
      <w:r w:rsidR="002C34DC">
        <w:rPr>
          <w:rFonts w:asciiTheme="majorBidi" w:hAnsiTheme="majorBidi"/>
        </w:rPr>
        <w:t>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artisanale et à petite échelle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or.</w:t>
      </w:r>
    </w:p>
    <w:p w14:paraId="27688B97" w14:textId="42669410" w:rsidR="00483C99" w:rsidRPr="003D56F3" w:rsidRDefault="00A43374" w:rsidP="00AF0C31">
      <w:pPr>
        <w:pStyle w:val="CH3"/>
        <w:rPr>
          <w:rFonts w:cstheme="majorBidi"/>
        </w:rPr>
      </w:pPr>
      <w:r>
        <w:tab/>
      </w:r>
      <w:r>
        <w:tab/>
      </w:r>
      <w:r w:rsidR="00483C99" w:rsidRPr="00AF0C31">
        <w:t>Soutien</w:t>
      </w:r>
      <w:r w:rsidR="00483C99">
        <w:t xml:space="preserve"> continu et initiatives futures de l</w:t>
      </w:r>
      <w:r w:rsidR="00AF0C31">
        <w:t>’</w:t>
      </w:r>
      <w:r w:rsidR="00483C99">
        <w:t xml:space="preserve">OIT </w:t>
      </w:r>
    </w:p>
    <w:p w14:paraId="0FF1F24E" w14:textId="5FE445E4" w:rsidR="00483C99" w:rsidRPr="003D56F3" w:rsidRDefault="008400A7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Dans le secteur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artisanale et à petite échelle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or,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intégration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exploitation artisanale dans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économie structurée est une étape cruciale pour résoudre le problème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utilisation du mercure et s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assurer que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 est produit de manière responsable et conforme aux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normes sociales et environnementales non contraignantes. Les interventions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consisteront à mener des études ciblées et à proposer aux gouvernements des approches et des projets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exploitation minière durable dans le cadre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 arrangement tripartite associant les autorités responsables des ressources minières, les organisations de mineurs et les organisations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employeurs, dans le but de trouver des solutions de remplacement aux méthodes de traitement du minerai faisant appel au mercure et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améliorer les pratiques en matière de sécurité et de santé au travail. Les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>gouvernements seront encouragés à mettre en œuvre des plans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action contraignants pour réduire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utilisation du mercure dans le secteur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extraction artisanale et à petite échelle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or.</w:t>
      </w:r>
    </w:p>
    <w:p w14:paraId="451E6D71" w14:textId="7F42D823" w:rsidR="00483C99" w:rsidRPr="003D56F3" w:rsidRDefault="008400A7" w:rsidP="00BA1E83">
      <w:pPr>
        <w:pStyle w:val="Normalnumber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/>
        </w:rPr>
        <w:t>Dans le secteur des soins de santé, des discussions sont en cours pour étendre les activités de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OIT en coopérant avec le PNUE et l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OMS dans le cadre d</w:t>
      </w:r>
      <w:r w:rsidR="00AF0C31">
        <w:rPr>
          <w:rFonts w:asciiTheme="majorBidi" w:hAnsiTheme="majorBidi"/>
        </w:rPr>
        <w:t>’</w:t>
      </w:r>
      <w:r>
        <w:rPr>
          <w:rFonts w:asciiTheme="majorBidi" w:hAnsiTheme="majorBidi"/>
        </w:rPr>
        <w:t>un projet multinational visant à protéger le</w:t>
      </w:r>
      <w:r w:rsidR="00991B05">
        <w:rPr>
          <w:rFonts w:asciiTheme="majorBidi" w:hAnsiTheme="majorBidi"/>
        </w:rPr>
        <w:t> </w:t>
      </w:r>
      <w:r>
        <w:rPr>
          <w:rFonts w:asciiTheme="majorBidi" w:hAnsiTheme="majorBidi"/>
        </w:rPr>
        <w:t xml:space="preserve">personnel médical du secteur dentaire des expositions dangereuses au mercure.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902971" w:rsidRPr="003D56F3" w14:paraId="429581A3" w14:textId="77777777" w:rsidTr="00902971">
        <w:tc>
          <w:tcPr>
            <w:tcW w:w="1897" w:type="dxa"/>
          </w:tcPr>
          <w:p w14:paraId="18AEBF48" w14:textId="77777777" w:rsidR="00902971" w:rsidRPr="003D56F3" w:rsidRDefault="00902971" w:rsidP="00600CA5">
            <w:pPr>
              <w:pStyle w:val="Normal-pool"/>
              <w:spacing w:before="200"/>
            </w:pPr>
          </w:p>
        </w:tc>
        <w:tc>
          <w:tcPr>
            <w:tcW w:w="1897" w:type="dxa"/>
          </w:tcPr>
          <w:p w14:paraId="02ECDBD7" w14:textId="77777777" w:rsidR="00902971" w:rsidRPr="003D56F3" w:rsidRDefault="00902971" w:rsidP="00600CA5">
            <w:pPr>
              <w:pStyle w:val="Normal-pool"/>
              <w:spacing w:before="20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53BA80CD" w14:textId="77777777" w:rsidR="00902971" w:rsidRPr="003D56F3" w:rsidRDefault="00902971" w:rsidP="00AF0C31">
            <w:pPr>
              <w:pStyle w:val="Normal-pool"/>
              <w:spacing w:before="480"/>
            </w:pPr>
          </w:p>
        </w:tc>
        <w:tc>
          <w:tcPr>
            <w:tcW w:w="1897" w:type="dxa"/>
          </w:tcPr>
          <w:p w14:paraId="34EC0D12" w14:textId="77777777" w:rsidR="00902971" w:rsidRPr="003D56F3" w:rsidRDefault="00902971" w:rsidP="00600CA5">
            <w:pPr>
              <w:pStyle w:val="Normal-pool"/>
              <w:spacing w:before="200"/>
            </w:pPr>
          </w:p>
        </w:tc>
        <w:tc>
          <w:tcPr>
            <w:tcW w:w="1898" w:type="dxa"/>
          </w:tcPr>
          <w:p w14:paraId="5EBE38CA" w14:textId="77777777" w:rsidR="00902971" w:rsidRPr="003D56F3" w:rsidRDefault="00902971" w:rsidP="00600CA5">
            <w:pPr>
              <w:pStyle w:val="Normal-pool"/>
              <w:spacing w:before="200"/>
            </w:pPr>
          </w:p>
        </w:tc>
      </w:tr>
    </w:tbl>
    <w:p w14:paraId="046BC7B7" w14:textId="77777777" w:rsidR="00B43CA2" w:rsidRPr="00600CA5" w:rsidRDefault="00B43CA2" w:rsidP="00902971">
      <w:pPr>
        <w:pStyle w:val="Normal-pool"/>
        <w:rPr>
          <w:sz w:val="4"/>
          <w:szCs w:val="4"/>
        </w:rPr>
      </w:pPr>
    </w:p>
    <w:sectPr w:rsidR="00B43CA2" w:rsidRPr="00600CA5" w:rsidSect="00600CA5">
      <w:footnotePr>
        <w:numRestart w:val="eachSect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0ADBC" w14:textId="77777777" w:rsidR="00AF0C31" w:rsidRDefault="00AF0C31">
      <w:r>
        <w:separator/>
      </w:r>
    </w:p>
  </w:endnote>
  <w:endnote w:type="continuationSeparator" w:id="0">
    <w:p w14:paraId="7F653DDC" w14:textId="77777777" w:rsidR="00AF0C31" w:rsidRDefault="00AF0C31">
      <w:r>
        <w:continuationSeparator/>
      </w:r>
    </w:p>
  </w:endnote>
  <w:endnote w:type="continuationNotice" w:id="1">
    <w:p w14:paraId="13518EDD" w14:textId="77777777" w:rsidR="00AF0C31" w:rsidRDefault="00AF0C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6A08034F" w:rsidR="00AF0C31" w:rsidRPr="00A43374" w:rsidRDefault="00AF0C31" w:rsidP="00A43374">
    <w:pPr>
      <w:pStyle w:val="Footer-pool"/>
      <w:rPr>
        <w:b w:val="0"/>
      </w:rPr>
    </w:pPr>
    <w:r w:rsidRPr="00A43374">
      <w:rPr>
        <w:rStyle w:val="PageNumber"/>
        <w:b/>
      </w:rPr>
      <w:fldChar w:fldCharType="begin"/>
    </w:r>
    <w:r w:rsidRPr="00A43374">
      <w:rPr>
        <w:rStyle w:val="PageNumber"/>
        <w:b/>
      </w:rPr>
      <w:instrText xml:space="preserve"> PAGE </w:instrText>
    </w:r>
    <w:r w:rsidRPr="00A43374">
      <w:rPr>
        <w:rStyle w:val="PageNumber"/>
        <w:b/>
      </w:rPr>
      <w:fldChar w:fldCharType="separate"/>
    </w:r>
    <w:r w:rsidRPr="00A43374">
      <w:rPr>
        <w:rStyle w:val="PageNumber"/>
        <w:b/>
      </w:rPr>
      <w:t>8</w:t>
    </w:r>
    <w:r w:rsidRPr="00A43374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1AF077A1" w:rsidR="00AF0C31" w:rsidRPr="00A43374" w:rsidRDefault="00AF0C31" w:rsidP="00A43374">
    <w:pPr>
      <w:pStyle w:val="Footer-pool"/>
      <w:jc w:val="right"/>
    </w:pPr>
    <w:r w:rsidRPr="00A43374">
      <w:rPr>
        <w:rStyle w:val="PageNumber"/>
        <w:b/>
      </w:rPr>
      <w:fldChar w:fldCharType="begin"/>
    </w:r>
    <w:r w:rsidRPr="00A43374">
      <w:rPr>
        <w:rStyle w:val="PageNumber"/>
        <w:b/>
      </w:rPr>
      <w:instrText xml:space="preserve"> PAGE </w:instrText>
    </w:r>
    <w:r w:rsidRPr="00A43374">
      <w:rPr>
        <w:rStyle w:val="PageNumber"/>
        <w:b/>
      </w:rPr>
      <w:fldChar w:fldCharType="separate"/>
    </w:r>
    <w:r w:rsidRPr="00A43374">
      <w:rPr>
        <w:rStyle w:val="PageNumber"/>
        <w:b/>
      </w:rPr>
      <w:t>7</w:t>
    </w:r>
    <w:r w:rsidRPr="00A43374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EF32" w14:textId="347534B5" w:rsidR="00AF0C31" w:rsidRDefault="00AF0C31" w:rsidP="00991B05">
    <w:pPr>
      <w:pStyle w:val="Normal-pool"/>
    </w:pPr>
    <w:r>
      <w:t>K1903663</w:t>
    </w:r>
    <w:r>
      <w:tab/>
      <w:t>1</w:t>
    </w:r>
    <w:r w:rsidR="000F248E">
      <w:t>7</w:t>
    </w:r>
    <w:r w:rsidRPr="00991B05">
      <w:t>0919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03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EF9A3D" w14:textId="0198FBB3" w:rsidR="00AF0C31" w:rsidRDefault="00AF0C31" w:rsidP="007C7892">
        <w:pPr>
          <w:pStyle w:val="Footer-po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6E648" w14:textId="77777777" w:rsidR="00AF0C31" w:rsidRPr="003D56F3" w:rsidRDefault="00AF0C31" w:rsidP="00A04E76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3D56F3">
        <w:rPr>
          <w:sz w:val="18"/>
          <w:szCs w:val="18"/>
        </w:rPr>
        <w:separator/>
      </w:r>
    </w:p>
  </w:footnote>
  <w:footnote w:type="continuationSeparator" w:id="0">
    <w:p w14:paraId="410FB637" w14:textId="77777777" w:rsidR="00AF0C31" w:rsidRDefault="00AF0C31">
      <w:r>
        <w:continuationSeparator/>
      </w:r>
    </w:p>
  </w:footnote>
  <w:footnote w:type="continuationNotice" w:id="1">
    <w:p w14:paraId="0A753C2A" w14:textId="77777777" w:rsidR="00AF0C31" w:rsidRDefault="00AF0C31"/>
  </w:footnote>
  <w:footnote w:id="2">
    <w:p w14:paraId="13FF0FCE" w14:textId="77777777" w:rsidR="00AF0C31" w:rsidRPr="003558CC" w:rsidRDefault="00AF0C31" w:rsidP="00AF0C31">
      <w:pPr>
        <w:pStyle w:val="FootnoteText"/>
        <w:rPr>
          <w:lang w:val="fr-FR"/>
        </w:rPr>
      </w:pPr>
      <w:r w:rsidRPr="003558CC">
        <w:rPr>
          <w:rStyle w:val="FootnoteReference"/>
          <w:vertAlign w:val="baseline"/>
        </w:rPr>
        <w:t>*</w:t>
      </w:r>
      <w:r>
        <w:t xml:space="preserve"> </w:t>
      </w:r>
      <w:r>
        <w:rPr>
          <w:lang w:val="fr-FR"/>
        </w:rPr>
        <w:t>UNEP/MC/COP.3/1.</w:t>
      </w:r>
    </w:p>
  </w:footnote>
  <w:footnote w:id="3">
    <w:p w14:paraId="3A1959C8" w14:textId="1AB6D27F" w:rsidR="00AF0C31" w:rsidRPr="00AF0C31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AF0C31">
        <w:rPr>
          <w:rStyle w:val="FootnoteReference"/>
          <w:sz w:val="18"/>
        </w:rPr>
        <w:footnoteRef/>
      </w:r>
      <w:r w:rsidRPr="00AF0C31">
        <w:rPr>
          <w:sz w:val="18"/>
          <w:szCs w:val="18"/>
        </w:rPr>
        <w:t xml:space="preserve"> </w:t>
      </w:r>
      <w:hyperlink r:id="rId1" w:history="1">
        <w:r w:rsidRPr="00AF0C31">
          <w:rPr>
            <w:rStyle w:val="Hyperlink"/>
            <w:sz w:val="18"/>
            <w:szCs w:val="18"/>
          </w:rPr>
          <w:t>https://www.who.int/ipcs/assessment/public_health/publication/en/</w:t>
        </w:r>
      </w:hyperlink>
      <w:r w:rsidRPr="00AF0C31">
        <w:rPr>
          <w:rStyle w:val="Hyperlink"/>
          <w:sz w:val="18"/>
          <w:szCs w:val="18"/>
        </w:rPr>
        <w:t>.</w:t>
      </w:r>
    </w:p>
  </w:footnote>
  <w:footnote w:id="4">
    <w:p w14:paraId="7996112A" w14:textId="72B61DE3" w:rsidR="00AF0C31" w:rsidRPr="00600CA5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600CA5">
        <w:rPr>
          <w:rStyle w:val="FootnoteReference"/>
          <w:sz w:val="18"/>
        </w:rPr>
        <w:footnoteRef/>
      </w:r>
      <w:r w:rsidRPr="00600CA5">
        <w:rPr>
          <w:sz w:val="18"/>
          <w:szCs w:val="18"/>
        </w:rPr>
        <w:t xml:space="preserve"> </w:t>
      </w:r>
      <w:hyperlink r:id="rId2" w:history="1">
        <w:r w:rsidRPr="00600CA5">
          <w:rPr>
            <w:rStyle w:val="Hyperlink"/>
            <w:sz w:val="18"/>
            <w:szCs w:val="18"/>
          </w:rPr>
          <w:t>http://www.who.int/bulletin/volumes/96/6/17-203141.pdf</w:t>
        </w:r>
      </w:hyperlink>
      <w:r w:rsidRPr="00600CA5">
        <w:rPr>
          <w:sz w:val="18"/>
          <w:szCs w:val="18"/>
        </w:rPr>
        <w:t>.</w:t>
      </w:r>
    </w:p>
  </w:footnote>
  <w:footnote w:id="5">
    <w:p w14:paraId="558C28AD" w14:textId="349E96CD" w:rsidR="00AF0C31" w:rsidRPr="00600CA5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600CA5">
        <w:rPr>
          <w:rStyle w:val="FootnoteReference"/>
          <w:sz w:val="18"/>
        </w:rPr>
        <w:footnoteRef/>
      </w:r>
      <w:r w:rsidRPr="00600CA5">
        <w:rPr>
          <w:sz w:val="18"/>
          <w:szCs w:val="18"/>
        </w:rPr>
        <w:t xml:space="preserve"> Par UPOP, on entend polluants organiques persistants produits non intentionnellement.</w:t>
      </w:r>
    </w:p>
  </w:footnote>
  <w:footnote w:id="6">
    <w:p w14:paraId="71B92CFE" w14:textId="60439255" w:rsidR="00AF0C31" w:rsidRPr="00600CA5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600CA5">
        <w:rPr>
          <w:rStyle w:val="FootnoteReference"/>
          <w:sz w:val="18"/>
        </w:rPr>
        <w:footnoteRef/>
      </w:r>
      <w:r w:rsidRPr="00600CA5">
        <w:rPr>
          <w:sz w:val="18"/>
          <w:szCs w:val="18"/>
        </w:rPr>
        <w:t xml:space="preserve"> http://www.fao.org/fao-who-codexalimentarius/committees/committee/en/?committee=CCCF.</w:t>
      </w:r>
    </w:p>
  </w:footnote>
  <w:footnote w:id="7">
    <w:p w14:paraId="3CAC0F2C" w14:textId="4FA57FCE" w:rsidR="00AF0C31" w:rsidRPr="00600CA5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600CA5">
        <w:rPr>
          <w:rStyle w:val="FootnoteReference"/>
          <w:sz w:val="18"/>
        </w:rPr>
        <w:footnoteRef/>
      </w:r>
      <w:r w:rsidRPr="00600CA5">
        <w:rPr>
          <w:sz w:val="18"/>
          <w:szCs w:val="18"/>
        </w:rPr>
        <w:t xml:space="preserve"> </w:t>
      </w:r>
      <w:hyperlink r:id="rId3" w:history="1">
        <w:r w:rsidRPr="00600CA5">
          <w:rPr>
            <w:rStyle w:val="Hyperlink"/>
            <w:sz w:val="18"/>
            <w:szCs w:val="18"/>
          </w:rPr>
          <w:t>http://www.euro.who.int/en/health-topics/environment-and-health/chemical-safety/publications</w:t>
        </w:r>
      </w:hyperlink>
      <w:r w:rsidRPr="00600CA5">
        <w:rPr>
          <w:rStyle w:val="Hyperlink"/>
          <w:sz w:val="18"/>
          <w:szCs w:val="18"/>
        </w:rPr>
        <w:t>.</w:t>
      </w:r>
    </w:p>
  </w:footnote>
  <w:footnote w:id="8">
    <w:p w14:paraId="2DF3F26C" w14:textId="1B24E2DF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4" w:history="1">
        <w:r>
          <w:rPr>
            <w:rStyle w:val="Hyperlink"/>
            <w:sz w:val="18"/>
            <w:szCs w:val="18"/>
          </w:rPr>
          <w:t>https://ehp.niehs.nih.gov/doi/full/10.1289/EHP3904</w:t>
        </w:r>
      </w:hyperlink>
      <w:r>
        <w:rPr>
          <w:rStyle w:val="Hyperlink"/>
          <w:sz w:val="18"/>
          <w:szCs w:val="18"/>
        </w:rPr>
        <w:t>.</w:t>
      </w:r>
      <w:r>
        <w:rPr>
          <w:sz w:val="18"/>
          <w:szCs w:val="18"/>
        </w:rPr>
        <w:t xml:space="preserve"> </w:t>
      </w:r>
    </w:p>
  </w:footnote>
  <w:footnote w:id="9">
    <w:p w14:paraId="6D3B8E73" w14:textId="7120411A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5" w:history="1">
        <w:r>
          <w:rPr>
            <w:rStyle w:val="Hyperlink"/>
            <w:sz w:val="18"/>
            <w:szCs w:val="18"/>
          </w:rPr>
          <w:t>https://www.ilo.org/ilc/ILCSessions/108/reports/provisional-records/WCMS_711288/lang--en/index.htm</w:t>
        </w:r>
      </w:hyperlink>
      <w:r>
        <w:rPr>
          <w:sz w:val="18"/>
          <w:szCs w:val="18"/>
        </w:rPr>
        <w:t>.</w:t>
      </w:r>
    </w:p>
  </w:footnote>
  <w:footnote w:id="10">
    <w:p w14:paraId="22C0724C" w14:textId="7D6E7635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6" w:tgtFrame="_blank" w:history="1">
        <w:r>
          <w:rPr>
            <w:rStyle w:val="Hyperlink"/>
            <w:rFonts w:asciiTheme="majorBidi" w:hAnsiTheme="majorBidi"/>
            <w:sz w:val="18"/>
            <w:szCs w:val="18"/>
          </w:rPr>
          <w:t>https://www.ilo.org/manila/eventsandmeetings/WCMS_645607/lang--en/index.htm</w:t>
        </w:r>
      </w:hyperlink>
      <w:r>
        <w:rPr>
          <w:rStyle w:val="Hyperlink"/>
          <w:rFonts w:asciiTheme="majorBidi" w:hAnsiTheme="majorBidi"/>
          <w:sz w:val="18"/>
          <w:szCs w:val="18"/>
        </w:rPr>
        <w:t>.</w:t>
      </w:r>
    </w:p>
  </w:footnote>
  <w:footnote w:id="11">
    <w:p w14:paraId="22C4D735" w14:textId="11B9C186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7" w:history="1">
        <w:r>
          <w:rPr>
            <w:rStyle w:val="Hyperlink"/>
            <w:rFonts w:asciiTheme="majorBidi" w:hAnsiTheme="majorBidi"/>
            <w:sz w:val="18"/>
            <w:szCs w:val="18"/>
          </w:rPr>
          <w:t>https://www.ilo.org/manila/eventsandmeetings/WCMS_701934/lang--en/index.htm</w:t>
        </w:r>
      </w:hyperlink>
      <w:r>
        <w:rPr>
          <w:rStyle w:val="Hyperlink"/>
          <w:rFonts w:asciiTheme="majorBidi" w:hAnsiTheme="majorBidi"/>
          <w:sz w:val="18"/>
          <w:szCs w:val="18"/>
        </w:rPr>
        <w:t>.</w:t>
      </w:r>
    </w:p>
  </w:footnote>
  <w:footnote w:id="12">
    <w:p w14:paraId="1F3E6355" w14:textId="1E41E54F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8" w:tgtFrame="_blank" w:history="1">
        <w:r>
          <w:rPr>
            <w:rStyle w:val="Hyperlink"/>
            <w:rFonts w:asciiTheme="majorBidi" w:hAnsiTheme="majorBidi"/>
            <w:sz w:val="18"/>
            <w:szCs w:val="18"/>
          </w:rPr>
          <w:t>https://dpi.gov.gy/cdc-niosh-visiting-team-submits-findings-to-paho-who/</w:t>
        </w:r>
      </w:hyperlink>
      <w:r>
        <w:rPr>
          <w:rStyle w:val="Hyperlink"/>
          <w:rFonts w:asciiTheme="majorBidi" w:hAnsiTheme="majorBidi"/>
          <w:sz w:val="18"/>
          <w:szCs w:val="18"/>
        </w:rPr>
        <w:t>.</w:t>
      </w:r>
    </w:p>
  </w:footnote>
  <w:footnote w:id="13">
    <w:p w14:paraId="70482BBD" w14:textId="6106C0F1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9" w:tgtFrame="_blank" w:tooltip="Ctrl+Click or tap to follow the link" w:history="1">
        <w:r>
          <w:rPr>
            <w:rStyle w:val="Hyperlink"/>
            <w:rFonts w:asciiTheme="majorBidi" w:hAnsiTheme="majorBidi"/>
            <w:sz w:val="18"/>
            <w:szCs w:val="18"/>
          </w:rPr>
          <w:t>https://www.thegef.org/project/artisanal-and-small-scale-gold-mining-asgm-national-action-plan-nap-suriname</w:t>
        </w:r>
      </w:hyperlink>
      <w:r>
        <w:rPr>
          <w:rStyle w:val="Hyperlink"/>
          <w:rFonts w:asciiTheme="majorBidi" w:hAnsiTheme="majorBidi"/>
          <w:sz w:val="18"/>
          <w:szCs w:val="18"/>
        </w:rPr>
        <w:t>.</w:t>
      </w:r>
    </w:p>
  </w:footnote>
  <w:footnote w:id="14">
    <w:p w14:paraId="06472836" w14:textId="40AD8530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r w:rsidRPr="0014459C">
        <w:rPr>
          <w:sz w:val="18"/>
          <w:szCs w:val="18"/>
        </w:rPr>
        <w:t>https://www.ilo.org/wcmsp5/groups/public/---</w:t>
      </w:r>
      <w:proofErr w:type="spellStart"/>
      <w:r w:rsidRPr="0014459C">
        <w:rPr>
          <w:sz w:val="18"/>
          <w:szCs w:val="18"/>
        </w:rPr>
        <w:t>ed_dialogue</w:t>
      </w:r>
      <w:proofErr w:type="spellEnd"/>
      <w:r w:rsidRPr="0014459C">
        <w:rPr>
          <w:sz w:val="18"/>
          <w:szCs w:val="18"/>
        </w:rPr>
        <w:t>/---</w:t>
      </w:r>
      <w:proofErr w:type="spellStart"/>
      <w:r w:rsidRPr="0014459C">
        <w:rPr>
          <w:sz w:val="18"/>
          <w:szCs w:val="18"/>
        </w:rPr>
        <w:t>sector</w:t>
      </w:r>
      <w:proofErr w:type="spellEnd"/>
      <w:r w:rsidRPr="0014459C">
        <w:rPr>
          <w:sz w:val="18"/>
          <w:szCs w:val="18"/>
        </w:rPr>
        <w:t>/documents/publication/wcms_673664.pdf</w:t>
      </w:r>
      <w:r>
        <w:rPr>
          <w:sz w:val="18"/>
          <w:szCs w:val="18"/>
        </w:rPr>
        <w:t>.</w:t>
      </w:r>
    </w:p>
  </w:footnote>
  <w:footnote w:id="15">
    <w:p w14:paraId="5791C59B" w14:textId="2F0E95CA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10" w:history="1">
        <w:r>
          <w:rPr>
            <w:rStyle w:val="Hyperlink"/>
            <w:rFonts w:asciiTheme="majorBidi" w:hAnsiTheme="majorBidi"/>
            <w:sz w:val="18"/>
            <w:szCs w:val="18"/>
          </w:rPr>
          <w:t>https://www.ilo.org/sector/Resources/recommendations-conclusions-of-sectoral-meetings/WCMS_685681/lang--en/index.htm</w:t>
        </w:r>
      </w:hyperlink>
      <w:r>
        <w:rPr>
          <w:rFonts w:asciiTheme="majorBidi" w:hAnsiTheme="majorBidi"/>
          <w:sz w:val="18"/>
          <w:szCs w:val="18"/>
        </w:rPr>
        <w:t>.</w:t>
      </w:r>
    </w:p>
  </w:footnote>
  <w:footnote w:id="16">
    <w:p w14:paraId="6BF4973B" w14:textId="5D952B17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11" w:history="1">
        <w:r>
          <w:rPr>
            <w:rStyle w:val="Hyperlink"/>
            <w:sz w:val="18"/>
            <w:szCs w:val="18"/>
          </w:rPr>
          <w:t>https://ww</w:t>
        </w:r>
        <w:bookmarkStart w:id="0" w:name="_GoBack"/>
        <w:bookmarkEnd w:id="0"/>
        <w:r>
          <w:rPr>
            <w:rStyle w:val="Hyperlink"/>
            <w:sz w:val="18"/>
            <w:szCs w:val="18"/>
          </w:rPr>
          <w:t>w.ilo.org/sector/Resources/publications/WCMS_485367/lang--en/index.htm</w:t>
        </w:r>
      </w:hyperlink>
      <w:r>
        <w:rPr>
          <w:sz w:val="18"/>
          <w:szCs w:val="18"/>
        </w:rPr>
        <w:t xml:space="preserve">. </w:t>
      </w:r>
    </w:p>
  </w:footnote>
  <w:footnote w:id="17">
    <w:p w14:paraId="206FFFC2" w14:textId="152CB007" w:rsidR="00AF0C31" w:rsidRPr="00A04E76" w:rsidRDefault="00AF0C31" w:rsidP="003D56F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>
        <w:rPr>
          <w:rStyle w:val="FootnoteReference"/>
          <w:sz w:val="18"/>
        </w:rPr>
        <w:footnoteRef/>
      </w:r>
      <w:r>
        <w:rPr>
          <w:sz w:val="18"/>
          <w:szCs w:val="18"/>
        </w:rPr>
        <w:t xml:space="preserve"> </w:t>
      </w:r>
      <w:hyperlink r:id="rId12" w:history="1">
        <w:r>
          <w:rPr>
            <w:rStyle w:val="Hyperlink"/>
            <w:rFonts w:asciiTheme="majorBidi" w:hAnsiTheme="majorBidi"/>
            <w:sz w:val="18"/>
            <w:szCs w:val="18"/>
          </w:rPr>
          <w:t>https://www.ilo.org/wcmsp5/groups/public/---</w:t>
        </w:r>
        <w:proofErr w:type="spellStart"/>
        <w:r>
          <w:rPr>
            <w:rStyle w:val="Hyperlink"/>
            <w:rFonts w:asciiTheme="majorBidi" w:hAnsiTheme="majorBidi"/>
            <w:sz w:val="18"/>
            <w:szCs w:val="18"/>
          </w:rPr>
          <w:t>ed_dialogue</w:t>
        </w:r>
        <w:proofErr w:type="spellEnd"/>
        <w:r>
          <w:rPr>
            <w:rStyle w:val="Hyperlink"/>
            <w:rFonts w:asciiTheme="majorBidi" w:hAnsiTheme="majorBidi"/>
            <w:sz w:val="18"/>
            <w:szCs w:val="18"/>
          </w:rPr>
          <w:t>/---</w:t>
        </w:r>
        <w:proofErr w:type="spellStart"/>
        <w:r>
          <w:rPr>
            <w:rStyle w:val="Hyperlink"/>
            <w:rFonts w:asciiTheme="majorBidi" w:hAnsiTheme="majorBidi"/>
            <w:sz w:val="18"/>
            <w:szCs w:val="18"/>
          </w:rPr>
          <w:t>sector</w:t>
        </w:r>
        <w:proofErr w:type="spellEnd"/>
        <w:r>
          <w:rPr>
            <w:rStyle w:val="Hyperlink"/>
            <w:rFonts w:asciiTheme="majorBidi" w:hAnsiTheme="majorBidi"/>
            <w:sz w:val="18"/>
            <w:szCs w:val="18"/>
          </w:rPr>
          <w:t>/documents/</w:t>
        </w:r>
        <w:proofErr w:type="spellStart"/>
        <w:r>
          <w:rPr>
            <w:rStyle w:val="Hyperlink"/>
            <w:rFonts w:asciiTheme="majorBidi" w:hAnsiTheme="majorBidi"/>
            <w:sz w:val="18"/>
            <w:szCs w:val="18"/>
          </w:rPr>
          <w:t>normativeinstrument</w:t>
        </w:r>
        <w:proofErr w:type="spellEnd"/>
        <w:r>
          <w:rPr>
            <w:rStyle w:val="Hyperlink"/>
            <w:rFonts w:asciiTheme="majorBidi" w:hAnsiTheme="majorBidi"/>
            <w:sz w:val="18"/>
            <w:szCs w:val="18"/>
          </w:rPr>
          <w:t>/</w:t>
        </w:r>
        <w:r w:rsidR="00194AD9">
          <w:rPr>
            <w:rStyle w:val="Hyperlink"/>
            <w:rFonts w:asciiTheme="majorBidi" w:hAnsiTheme="majorBidi"/>
            <w:sz w:val="18"/>
            <w:szCs w:val="18"/>
          </w:rPr>
          <w:t xml:space="preserve"> </w:t>
        </w:r>
        <w:r>
          <w:rPr>
            <w:rStyle w:val="Hyperlink"/>
            <w:rFonts w:asciiTheme="majorBidi" w:hAnsiTheme="majorBidi"/>
            <w:sz w:val="18"/>
            <w:szCs w:val="18"/>
          </w:rPr>
          <w:t>wcms_617123.pdf</w:t>
        </w:r>
      </w:hyperlink>
      <w:r>
        <w:rPr>
          <w:rStyle w:val="Hyperlink"/>
          <w:rFonts w:asciiTheme="majorBidi" w:hAnsiTheme="majorBidi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3625D29B" w:rsidR="00AF0C31" w:rsidRPr="00CA5CA9" w:rsidRDefault="00AF0C31" w:rsidP="00A43374">
    <w:pPr>
      <w:pStyle w:val="Header-pool"/>
      <w:rPr>
        <w:szCs w:val="18"/>
      </w:rPr>
    </w:pPr>
    <w:r>
      <w:t>UNEP/MC/COP.3/18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640D657D" w:rsidR="00AF0C31" w:rsidRPr="00CA5CA9" w:rsidRDefault="00AF0C31" w:rsidP="00A43374">
    <w:pPr>
      <w:pStyle w:val="Header-pool"/>
      <w:jc w:val="right"/>
      <w:rPr>
        <w:szCs w:val="18"/>
      </w:rPr>
    </w:pPr>
    <w:r>
      <w:t>UNEP/MC/COP.3/18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6079A" w14:textId="79AB27E1" w:rsidR="00AF0C31" w:rsidRDefault="00AF0C31" w:rsidP="00A03C49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1E215" w14:textId="4D2BFCC9" w:rsidR="00AF0C31" w:rsidRPr="007C7892" w:rsidRDefault="00AF0C31" w:rsidP="007C7892">
    <w:pPr>
      <w:pStyle w:val="Header"/>
      <w:jc w:val="right"/>
      <w:rPr>
        <w:szCs w:val="18"/>
      </w:rPr>
    </w:pPr>
    <w:r>
      <w:t>UNEP/MC/COP.3/18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075A83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5F446B0"/>
    <w:multiLevelType w:val="multilevel"/>
    <w:tmpl w:val="7C9848CA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3" w15:restartNumberingAfterBreak="0">
    <w:nsid w:val="31B5350E"/>
    <w:multiLevelType w:val="multilevel"/>
    <w:tmpl w:val="7C9848CA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4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numStyleLink w:val="Normallist"/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4096" w:nlCheck="1" w:checkStyle="0"/>
  <w:activeWritingStyle w:appName="MSWord" w:lang="fr-CA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312C"/>
    <w:rsid w:val="000144FC"/>
    <w:rsid w:val="000149E6"/>
    <w:rsid w:val="00023DA9"/>
    <w:rsid w:val="000247B0"/>
    <w:rsid w:val="00026997"/>
    <w:rsid w:val="00026A08"/>
    <w:rsid w:val="00030700"/>
    <w:rsid w:val="00032E4E"/>
    <w:rsid w:val="00033E0B"/>
    <w:rsid w:val="00035ED3"/>
    <w:rsid w:val="00035EDE"/>
    <w:rsid w:val="000418A7"/>
    <w:rsid w:val="00042F8F"/>
    <w:rsid w:val="000509B4"/>
    <w:rsid w:val="0006035B"/>
    <w:rsid w:val="0006096F"/>
    <w:rsid w:val="00064883"/>
    <w:rsid w:val="000649C5"/>
    <w:rsid w:val="000661AB"/>
    <w:rsid w:val="000670DF"/>
    <w:rsid w:val="00070E16"/>
    <w:rsid w:val="00071886"/>
    <w:rsid w:val="000742BC"/>
    <w:rsid w:val="00076CC6"/>
    <w:rsid w:val="00082A0C"/>
    <w:rsid w:val="00083504"/>
    <w:rsid w:val="00085655"/>
    <w:rsid w:val="00086D4F"/>
    <w:rsid w:val="00087174"/>
    <w:rsid w:val="0009640C"/>
    <w:rsid w:val="000A1277"/>
    <w:rsid w:val="000A41B0"/>
    <w:rsid w:val="000B22A2"/>
    <w:rsid w:val="000B541B"/>
    <w:rsid w:val="000B6A26"/>
    <w:rsid w:val="000B73F9"/>
    <w:rsid w:val="000C1B17"/>
    <w:rsid w:val="000C2A52"/>
    <w:rsid w:val="000C2A88"/>
    <w:rsid w:val="000C341A"/>
    <w:rsid w:val="000C5E52"/>
    <w:rsid w:val="000D028A"/>
    <w:rsid w:val="000D283C"/>
    <w:rsid w:val="000D33C0"/>
    <w:rsid w:val="000D4CF6"/>
    <w:rsid w:val="000D5560"/>
    <w:rsid w:val="000D6941"/>
    <w:rsid w:val="000F248E"/>
    <w:rsid w:val="000F38EF"/>
    <w:rsid w:val="000F3DCD"/>
    <w:rsid w:val="000F4829"/>
    <w:rsid w:val="000F51C1"/>
    <w:rsid w:val="000F681D"/>
    <w:rsid w:val="000F6B21"/>
    <w:rsid w:val="00102EFB"/>
    <w:rsid w:val="00111257"/>
    <w:rsid w:val="00112076"/>
    <w:rsid w:val="00115D42"/>
    <w:rsid w:val="00117711"/>
    <w:rsid w:val="001202E3"/>
    <w:rsid w:val="001227FF"/>
    <w:rsid w:val="00123699"/>
    <w:rsid w:val="001241FB"/>
    <w:rsid w:val="00125BEE"/>
    <w:rsid w:val="0013059D"/>
    <w:rsid w:val="001314BD"/>
    <w:rsid w:val="001343EE"/>
    <w:rsid w:val="00136187"/>
    <w:rsid w:val="00141A55"/>
    <w:rsid w:val="0014293F"/>
    <w:rsid w:val="001432D5"/>
    <w:rsid w:val="0014397D"/>
    <w:rsid w:val="0014459C"/>
    <w:rsid w:val="001446A3"/>
    <w:rsid w:val="00152B6B"/>
    <w:rsid w:val="00153999"/>
    <w:rsid w:val="0015530B"/>
    <w:rsid w:val="00155395"/>
    <w:rsid w:val="00155A2F"/>
    <w:rsid w:val="00156B6B"/>
    <w:rsid w:val="00160D74"/>
    <w:rsid w:val="00163B69"/>
    <w:rsid w:val="001646EA"/>
    <w:rsid w:val="00167967"/>
    <w:rsid w:val="00167D02"/>
    <w:rsid w:val="001759D8"/>
    <w:rsid w:val="00177D7F"/>
    <w:rsid w:val="00180C3F"/>
    <w:rsid w:val="00181EC8"/>
    <w:rsid w:val="00184349"/>
    <w:rsid w:val="00194AD9"/>
    <w:rsid w:val="00195F33"/>
    <w:rsid w:val="001A47E5"/>
    <w:rsid w:val="001A6C66"/>
    <w:rsid w:val="001B1617"/>
    <w:rsid w:val="001B504B"/>
    <w:rsid w:val="001B6F98"/>
    <w:rsid w:val="001C191A"/>
    <w:rsid w:val="001C2300"/>
    <w:rsid w:val="001C2793"/>
    <w:rsid w:val="001D19E1"/>
    <w:rsid w:val="001D3874"/>
    <w:rsid w:val="001D7E75"/>
    <w:rsid w:val="001E0D73"/>
    <w:rsid w:val="001E45BD"/>
    <w:rsid w:val="001E48F2"/>
    <w:rsid w:val="001E5528"/>
    <w:rsid w:val="001E56D2"/>
    <w:rsid w:val="001E7D56"/>
    <w:rsid w:val="001F1A56"/>
    <w:rsid w:val="001F5186"/>
    <w:rsid w:val="001F566E"/>
    <w:rsid w:val="001F683A"/>
    <w:rsid w:val="001F75DE"/>
    <w:rsid w:val="00200D58"/>
    <w:rsid w:val="002011C1"/>
    <w:rsid w:val="002013BE"/>
    <w:rsid w:val="00201EDC"/>
    <w:rsid w:val="00204C2E"/>
    <w:rsid w:val="0020513E"/>
    <w:rsid w:val="002063A4"/>
    <w:rsid w:val="00206B8B"/>
    <w:rsid w:val="002110C2"/>
    <w:rsid w:val="0021145B"/>
    <w:rsid w:val="00212DD8"/>
    <w:rsid w:val="00216C1A"/>
    <w:rsid w:val="00220C23"/>
    <w:rsid w:val="00221C65"/>
    <w:rsid w:val="002247F6"/>
    <w:rsid w:val="00224D76"/>
    <w:rsid w:val="00225E21"/>
    <w:rsid w:val="00225E44"/>
    <w:rsid w:val="00225FD2"/>
    <w:rsid w:val="00226D32"/>
    <w:rsid w:val="00234E78"/>
    <w:rsid w:val="002408FB"/>
    <w:rsid w:val="00243D36"/>
    <w:rsid w:val="002460D7"/>
    <w:rsid w:val="00246151"/>
    <w:rsid w:val="00246B29"/>
    <w:rsid w:val="002474F0"/>
    <w:rsid w:val="00247707"/>
    <w:rsid w:val="00252456"/>
    <w:rsid w:val="00257C6E"/>
    <w:rsid w:val="0026018E"/>
    <w:rsid w:val="0026176C"/>
    <w:rsid w:val="00270424"/>
    <w:rsid w:val="00273588"/>
    <w:rsid w:val="00274F11"/>
    <w:rsid w:val="00281B75"/>
    <w:rsid w:val="00286740"/>
    <w:rsid w:val="00291719"/>
    <w:rsid w:val="00291EAE"/>
    <w:rsid w:val="002929D8"/>
    <w:rsid w:val="00293562"/>
    <w:rsid w:val="002A237D"/>
    <w:rsid w:val="002A4C53"/>
    <w:rsid w:val="002B0672"/>
    <w:rsid w:val="002B0677"/>
    <w:rsid w:val="002B1758"/>
    <w:rsid w:val="002B247F"/>
    <w:rsid w:val="002B50D4"/>
    <w:rsid w:val="002B58BF"/>
    <w:rsid w:val="002B5C5E"/>
    <w:rsid w:val="002B71AE"/>
    <w:rsid w:val="002C145D"/>
    <w:rsid w:val="002C2C3E"/>
    <w:rsid w:val="002C34DC"/>
    <w:rsid w:val="002C452B"/>
    <w:rsid w:val="002C533E"/>
    <w:rsid w:val="002C54E3"/>
    <w:rsid w:val="002D027F"/>
    <w:rsid w:val="002D2F08"/>
    <w:rsid w:val="002D3E15"/>
    <w:rsid w:val="002D7A85"/>
    <w:rsid w:val="002D7B60"/>
    <w:rsid w:val="002F4761"/>
    <w:rsid w:val="002F5171"/>
    <w:rsid w:val="002F5C79"/>
    <w:rsid w:val="002F68EE"/>
    <w:rsid w:val="003019E2"/>
    <w:rsid w:val="00301B74"/>
    <w:rsid w:val="00310BEB"/>
    <w:rsid w:val="0031186D"/>
    <w:rsid w:val="0031413F"/>
    <w:rsid w:val="00314854"/>
    <w:rsid w:val="003148BB"/>
    <w:rsid w:val="00316D55"/>
    <w:rsid w:val="00317976"/>
    <w:rsid w:val="00320F2F"/>
    <w:rsid w:val="0032457E"/>
    <w:rsid w:val="00325D38"/>
    <w:rsid w:val="00331CD6"/>
    <w:rsid w:val="00336A10"/>
    <w:rsid w:val="00342F0A"/>
    <w:rsid w:val="00347CBE"/>
    <w:rsid w:val="00350EF3"/>
    <w:rsid w:val="0035277E"/>
    <w:rsid w:val="00355EA9"/>
    <w:rsid w:val="003578DE"/>
    <w:rsid w:val="00361688"/>
    <w:rsid w:val="0036598C"/>
    <w:rsid w:val="00367FD2"/>
    <w:rsid w:val="00372A88"/>
    <w:rsid w:val="00376C00"/>
    <w:rsid w:val="00380921"/>
    <w:rsid w:val="003833A7"/>
    <w:rsid w:val="0038402D"/>
    <w:rsid w:val="00386B16"/>
    <w:rsid w:val="003877D5"/>
    <w:rsid w:val="003929B8"/>
    <w:rsid w:val="00393432"/>
    <w:rsid w:val="00396257"/>
    <w:rsid w:val="00397EB8"/>
    <w:rsid w:val="003A0ACF"/>
    <w:rsid w:val="003A4FD0"/>
    <w:rsid w:val="003A69D1"/>
    <w:rsid w:val="003A6E86"/>
    <w:rsid w:val="003A7705"/>
    <w:rsid w:val="003A77F1"/>
    <w:rsid w:val="003B1545"/>
    <w:rsid w:val="003B17CE"/>
    <w:rsid w:val="003C3219"/>
    <w:rsid w:val="003C409D"/>
    <w:rsid w:val="003C4544"/>
    <w:rsid w:val="003C5583"/>
    <w:rsid w:val="003C5BA6"/>
    <w:rsid w:val="003C629B"/>
    <w:rsid w:val="003C748A"/>
    <w:rsid w:val="003C74CF"/>
    <w:rsid w:val="003D3752"/>
    <w:rsid w:val="003D56F3"/>
    <w:rsid w:val="003E1DD8"/>
    <w:rsid w:val="003E20F5"/>
    <w:rsid w:val="003E35DA"/>
    <w:rsid w:val="003E455D"/>
    <w:rsid w:val="003F0E85"/>
    <w:rsid w:val="003F60E5"/>
    <w:rsid w:val="00400D8A"/>
    <w:rsid w:val="00410C55"/>
    <w:rsid w:val="0041504F"/>
    <w:rsid w:val="004156A7"/>
    <w:rsid w:val="00416854"/>
    <w:rsid w:val="00417725"/>
    <w:rsid w:val="0042266F"/>
    <w:rsid w:val="0042357E"/>
    <w:rsid w:val="00424C56"/>
    <w:rsid w:val="00434321"/>
    <w:rsid w:val="00436339"/>
    <w:rsid w:val="00437F26"/>
    <w:rsid w:val="004423CD"/>
    <w:rsid w:val="00444097"/>
    <w:rsid w:val="00445487"/>
    <w:rsid w:val="00447E0D"/>
    <w:rsid w:val="0045119F"/>
    <w:rsid w:val="00451942"/>
    <w:rsid w:val="00452D6F"/>
    <w:rsid w:val="00453EA8"/>
    <w:rsid w:val="00454238"/>
    <w:rsid w:val="00454769"/>
    <w:rsid w:val="00461289"/>
    <w:rsid w:val="00464DF6"/>
    <w:rsid w:val="00466991"/>
    <w:rsid w:val="0047064C"/>
    <w:rsid w:val="00473375"/>
    <w:rsid w:val="00474B53"/>
    <w:rsid w:val="00480343"/>
    <w:rsid w:val="004822B7"/>
    <w:rsid w:val="004829B9"/>
    <w:rsid w:val="00483C99"/>
    <w:rsid w:val="0048449A"/>
    <w:rsid w:val="004846B6"/>
    <w:rsid w:val="0049469E"/>
    <w:rsid w:val="004A2217"/>
    <w:rsid w:val="004A22BF"/>
    <w:rsid w:val="004A24F9"/>
    <w:rsid w:val="004A324D"/>
    <w:rsid w:val="004A42E1"/>
    <w:rsid w:val="004A5ADB"/>
    <w:rsid w:val="004B162C"/>
    <w:rsid w:val="004B2ABE"/>
    <w:rsid w:val="004C17CF"/>
    <w:rsid w:val="004C3DBE"/>
    <w:rsid w:val="004C5C96"/>
    <w:rsid w:val="004D06A4"/>
    <w:rsid w:val="004D38EC"/>
    <w:rsid w:val="004D6371"/>
    <w:rsid w:val="004E1396"/>
    <w:rsid w:val="004E3110"/>
    <w:rsid w:val="004E6FB6"/>
    <w:rsid w:val="004F1A81"/>
    <w:rsid w:val="004F5D88"/>
    <w:rsid w:val="00501354"/>
    <w:rsid w:val="00501D14"/>
    <w:rsid w:val="005050D2"/>
    <w:rsid w:val="0051281A"/>
    <w:rsid w:val="005218D9"/>
    <w:rsid w:val="00523E7E"/>
    <w:rsid w:val="00531003"/>
    <w:rsid w:val="00536186"/>
    <w:rsid w:val="005362E8"/>
    <w:rsid w:val="005424BE"/>
    <w:rsid w:val="00544CBB"/>
    <w:rsid w:val="005511FC"/>
    <w:rsid w:val="00551B65"/>
    <w:rsid w:val="00556704"/>
    <w:rsid w:val="00557403"/>
    <w:rsid w:val="005656D7"/>
    <w:rsid w:val="00566052"/>
    <w:rsid w:val="00571F06"/>
    <w:rsid w:val="0057315F"/>
    <w:rsid w:val="0057380A"/>
    <w:rsid w:val="00576104"/>
    <w:rsid w:val="00586418"/>
    <w:rsid w:val="00591A7A"/>
    <w:rsid w:val="00592B21"/>
    <w:rsid w:val="005A240A"/>
    <w:rsid w:val="005B2DF4"/>
    <w:rsid w:val="005B3848"/>
    <w:rsid w:val="005B44BF"/>
    <w:rsid w:val="005B4A21"/>
    <w:rsid w:val="005B4DC6"/>
    <w:rsid w:val="005C67C8"/>
    <w:rsid w:val="005D0249"/>
    <w:rsid w:val="005D18FA"/>
    <w:rsid w:val="005D3010"/>
    <w:rsid w:val="005D4FD4"/>
    <w:rsid w:val="005D6E8C"/>
    <w:rsid w:val="005E3004"/>
    <w:rsid w:val="005F100C"/>
    <w:rsid w:val="005F21BF"/>
    <w:rsid w:val="005F2AF3"/>
    <w:rsid w:val="005F68DA"/>
    <w:rsid w:val="005F7320"/>
    <w:rsid w:val="005F7419"/>
    <w:rsid w:val="006006C2"/>
    <w:rsid w:val="00600CA5"/>
    <w:rsid w:val="00601BC9"/>
    <w:rsid w:val="0060773B"/>
    <w:rsid w:val="006111FE"/>
    <w:rsid w:val="00611C95"/>
    <w:rsid w:val="00613BD4"/>
    <w:rsid w:val="00613FD6"/>
    <w:rsid w:val="006157B5"/>
    <w:rsid w:val="006166FA"/>
    <w:rsid w:val="0061702B"/>
    <w:rsid w:val="00617224"/>
    <w:rsid w:val="00621E0B"/>
    <w:rsid w:val="00626FC6"/>
    <w:rsid w:val="006303B4"/>
    <w:rsid w:val="00630ADC"/>
    <w:rsid w:val="00633D3D"/>
    <w:rsid w:val="00635C98"/>
    <w:rsid w:val="00641703"/>
    <w:rsid w:val="006431A6"/>
    <w:rsid w:val="00643E3A"/>
    <w:rsid w:val="006459F6"/>
    <w:rsid w:val="00647C5C"/>
    <w:rsid w:val="006501AD"/>
    <w:rsid w:val="006503B7"/>
    <w:rsid w:val="00651BFA"/>
    <w:rsid w:val="00654475"/>
    <w:rsid w:val="0065534D"/>
    <w:rsid w:val="00656DF0"/>
    <w:rsid w:val="006619DF"/>
    <w:rsid w:val="0066214E"/>
    <w:rsid w:val="00665A4B"/>
    <w:rsid w:val="00670FAE"/>
    <w:rsid w:val="00673CE5"/>
    <w:rsid w:val="00674522"/>
    <w:rsid w:val="00677B01"/>
    <w:rsid w:val="006831A9"/>
    <w:rsid w:val="006855FC"/>
    <w:rsid w:val="00686887"/>
    <w:rsid w:val="00690C5E"/>
    <w:rsid w:val="00692E2A"/>
    <w:rsid w:val="0069301C"/>
    <w:rsid w:val="0069496A"/>
    <w:rsid w:val="00696C1C"/>
    <w:rsid w:val="006A1A8B"/>
    <w:rsid w:val="006A30A5"/>
    <w:rsid w:val="006A69F1"/>
    <w:rsid w:val="006A76F2"/>
    <w:rsid w:val="006B7D29"/>
    <w:rsid w:val="006C08E4"/>
    <w:rsid w:val="006C35BA"/>
    <w:rsid w:val="006D19D4"/>
    <w:rsid w:val="006D5644"/>
    <w:rsid w:val="006D7EFB"/>
    <w:rsid w:val="006E6672"/>
    <w:rsid w:val="006E6722"/>
    <w:rsid w:val="006F7AFF"/>
    <w:rsid w:val="007027B9"/>
    <w:rsid w:val="007066B5"/>
    <w:rsid w:val="00711E75"/>
    <w:rsid w:val="007145DA"/>
    <w:rsid w:val="00715E88"/>
    <w:rsid w:val="00716698"/>
    <w:rsid w:val="00716D8B"/>
    <w:rsid w:val="00725192"/>
    <w:rsid w:val="00725623"/>
    <w:rsid w:val="00725A1D"/>
    <w:rsid w:val="00734CAA"/>
    <w:rsid w:val="00735A95"/>
    <w:rsid w:val="00735E98"/>
    <w:rsid w:val="00736410"/>
    <w:rsid w:val="00740EE2"/>
    <w:rsid w:val="007419C5"/>
    <w:rsid w:val="00742680"/>
    <w:rsid w:val="00744983"/>
    <w:rsid w:val="00752ADE"/>
    <w:rsid w:val="0075533C"/>
    <w:rsid w:val="00755A18"/>
    <w:rsid w:val="00757581"/>
    <w:rsid w:val="007602F5"/>
    <w:rsid w:val="00760D36"/>
    <w:rsid w:val="007611A0"/>
    <w:rsid w:val="00765856"/>
    <w:rsid w:val="00772574"/>
    <w:rsid w:val="00773959"/>
    <w:rsid w:val="00773E54"/>
    <w:rsid w:val="00784941"/>
    <w:rsid w:val="00785924"/>
    <w:rsid w:val="00785C70"/>
    <w:rsid w:val="00787688"/>
    <w:rsid w:val="00792E99"/>
    <w:rsid w:val="007935E6"/>
    <w:rsid w:val="00796D3F"/>
    <w:rsid w:val="00796FAE"/>
    <w:rsid w:val="007A1683"/>
    <w:rsid w:val="007A1997"/>
    <w:rsid w:val="007A1AB5"/>
    <w:rsid w:val="007A5C12"/>
    <w:rsid w:val="007A7CB0"/>
    <w:rsid w:val="007B2F0A"/>
    <w:rsid w:val="007B3354"/>
    <w:rsid w:val="007B68A3"/>
    <w:rsid w:val="007B7E49"/>
    <w:rsid w:val="007C2541"/>
    <w:rsid w:val="007C4DBF"/>
    <w:rsid w:val="007C7892"/>
    <w:rsid w:val="007C7D86"/>
    <w:rsid w:val="007D0F4B"/>
    <w:rsid w:val="007D66A8"/>
    <w:rsid w:val="007E003F"/>
    <w:rsid w:val="007E0ED1"/>
    <w:rsid w:val="007E5CA1"/>
    <w:rsid w:val="007F0CF8"/>
    <w:rsid w:val="007F1798"/>
    <w:rsid w:val="007F3C02"/>
    <w:rsid w:val="007F5E1B"/>
    <w:rsid w:val="007F62CB"/>
    <w:rsid w:val="007F7722"/>
    <w:rsid w:val="0080081E"/>
    <w:rsid w:val="00810553"/>
    <w:rsid w:val="00813B7E"/>
    <w:rsid w:val="008142EC"/>
    <w:rsid w:val="00814972"/>
    <w:rsid w:val="008164F2"/>
    <w:rsid w:val="00821395"/>
    <w:rsid w:val="00826976"/>
    <w:rsid w:val="008302A2"/>
    <w:rsid w:val="00830E26"/>
    <w:rsid w:val="00834368"/>
    <w:rsid w:val="0083441A"/>
    <w:rsid w:val="008372C8"/>
    <w:rsid w:val="008400A7"/>
    <w:rsid w:val="00843576"/>
    <w:rsid w:val="00843B64"/>
    <w:rsid w:val="00844FDB"/>
    <w:rsid w:val="00845261"/>
    <w:rsid w:val="008472A7"/>
    <w:rsid w:val="00847832"/>
    <w:rsid w:val="008478FC"/>
    <w:rsid w:val="00851C51"/>
    <w:rsid w:val="008538F7"/>
    <w:rsid w:val="00860812"/>
    <w:rsid w:val="008629E7"/>
    <w:rsid w:val="0086307B"/>
    <w:rsid w:val="008664DD"/>
    <w:rsid w:val="00867BFF"/>
    <w:rsid w:val="00871542"/>
    <w:rsid w:val="00871637"/>
    <w:rsid w:val="00872BF6"/>
    <w:rsid w:val="00875CC0"/>
    <w:rsid w:val="00881940"/>
    <w:rsid w:val="00883086"/>
    <w:rsid w:val="0088480A"/>
    <w:rsid w:val="008858A4"/>
    <w:rsid w:val="0088757A"/>
    <w:rsid w:val="008916B3"/>
    <w:rsid w:val="0089431B"/>
    <w:rsid w:val="00895668"/>
    <w:rsid w:val="008957DD"/>
    <w:rsid w:val="00897D98"/>
    <w:rsid w:val="00897E15"/>
    <w:rsid w:val="008A07E6"/>
    <w:rsid w:val="008A1BD7"/>
    <w:rsid w:val="008A40F4"/>
    <w:rsid w:val="008A6147"/>
    <w:rsid w:val="008A6DF2"/>
    <w:rsid w:val="008A7807"/>
    <w:rsid w:val="008B0A34"/>
    <w:rsid w:val="008B3102"/>
    <w:rsid w:val="008B4CC9"/>
    <w:rsid w:val="008C0B15"/>
    <w:rsid w:val="008D14D1"/>
    <w:rsid w:val="008D74FA"/>
    <w:rsid w:val="008D75DC"/>
    <w:rsid w:val="008D75E4"/>
    <w:rsid w:val="008D7C99"/>
    <w:rsid w:val="008E0FCB"/>
    <w:rsid w:val="008E2454"/>
    <w:rsid w:val="008E3F9C"/>
    <w:rsid w:val="008F6DFE"/>
    <w:rsid w:val="00902971"/>
    <w:rsid w:val="00902B1D"/>
    <w:rsid w:val="0090529F"/>
    <w:rsid w:val="00910F72"/>
    <w:rsid w:val="00912E98"/>
    <w:rsid w:val="0091769F"/>
    <w:rsid w:val="0092178C"/>
    <w:rsid w:val="009226D3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093"/>
    <w:rsid w:val="009564A6"/>
    <w:rsid w:val="00957EF8"/>
    <w:rsid w:val="0096264C"/>
    <w:rsid w:val="00966A53"/>
    <w:rsid w:val="00967621"/>
    <w:rsid w:val="00967796"/>
    <w:rsid w:val="00967E6A"/>
    <w:rsid w:val="009907B9"/>
    <w:rsid w:val="00990918"/>
    <w:rsid w:val="00991B05"/>
    <w:rsid w:val="009938CF"/>
    <w:rsid w:val="00994A2A"/>
    <w:rsid w:val="009955D3"/>
    <w:rsid w:val="00995BE0"/>
    <w:rsid w:val="009978A1"/>
    <w:rsid w:val="009A3A83"/>
    <w:rsid w:val="009B10AF"/>
    <w:rsid w:val="009B43DD"/>
    <w:rsid w:val="009B4A0F"/>
    <w:rsid w:val="009C11D2"/>
    <w:rsid w:val="009C2953"/>
    <w:rsid w:val="009C6C70"/>
    <w:rsid w:val="009C7B0A"/>
    <w:rsid w:val="009D0B63"/>
    <w:rsid w:val="009D593C"/>
    <w:rsid w:val="009D5CB8"/>
    <w:rsid w:val="009E307E"/>
    <w:rsid w:val="009E3DA0"/>
    <w:rsid w:val="009F428F"/>
    <w:rsid w:val="00A03C49"/>
    <w:rsid w:val="00A04E76"/>
    <w:rsid w:val="00A06E39"/>
    <w:rsid w:val="00A07870"/>
    <w:rsid w:val="00A07C54"/>
    <w:rsid w:val="00A07F19"/>
    <w:rsid w:val="00A11E78"/>
    <w:rsid w:val="00A124BB"/>
    <w:rsid w:val="00A1348D"/>
    <w:rsid w:val="00A13C99"/>
    <w:rsid w:val="00A17FBF"/>
    <w:rsid w:val="00A232EE"/>
    <w:rsid w:val="00A25C0E"/>
    <w:rsid w:val="00A32809"/>
    <w:rsid w:val="00A4175F"/>
    <w:rsid w:val="00A43374"/>
    <w:rsid w:val="00A44312"/>
    <w:rsid w:val="00A44411"/>
    <w:rsid w:val="00A469FA"/>
    <w:rsid w:val="00A47A6E"/>
    <w:rsid w:val="00A5331C"/>
    <w:rsid w:val="00A53662"/>
    <w:rsid w:val="00A55B01"/>
    <w:rsid w:val="00A56B5B"/>
    <w:rsid w:val="00A603FF"/>
    <w:rsid w:val="00A619B6"/>
    <w:rsid w:val="00A646A5"/>
    <w:rsid w:val="00A648CA"/>
    <w:rsid w:val="00A657DD"/>
    <w:rsid w:val="00A65E70"/>
    <w:rsid w:val="00A66313"/>
    <w:rsid w:val="00A666A6"/>
    <w:rsid w:val="00A66A65"/>
    <w:rsid w:val="00A675FD"/>
    <w:rsid w:val="00A72437"/>
    <w:rsid w:val="00A8048B"/>
    <w:rsid w:val="00A80611"/>
    <w:rsid w:val="00A853C8"/>
    <w:rsid w:val="00A9457C"/>
    <w:rsid w:val="00AA5BF4"/>
    <w:rsid w:val="00AB0B53"/>
    <w:rsid w:val="00AB5340"/>
    <w:rsid w:val="00AB7E2F"/>
    <w:rsid w:val="00AC0A89"/>
    <w:rsid w:val="00AC56C4"/>
    <w:rsid w:val="00AC7C96"/>
    <w:rsid w:val="00AD3593"/>
    <w:rsid w:val="00AE0812"/>
    <w:rsid w:val="00AE10B0"/>
    <w:rsid w:val="00AE237D"/>
    <w:rsid w:val="00AE502A"/>
    <w:rsid w:val="00AE54CB"/>
    <w:rsid w:val="00AF0010"/>
    <w:rsid w:val="00AF0C31"/>
    <w:rsid w:val="00AF1AA8"/>
    <w:rsid w:val="00AF2C1F"/>
    <w:rsid w:val="00AF7C07"/>
    <w:rsid w:val="00B06C64"/>
    <w:rsid w:val="00B07D8E"/>
    <w:rsid w:val="00B11CAC"/>
    <w:rsid w:val="00B12837"/>
    <w:rsid w:val="00B13BB3"/>
    <w:rsid w:val="00B14A4A"/>
    <w:rsid w:val="00B15A29"/>
    <w:rsid w:val="00B17527"/>
    <w:rsid w:val="00B22C93"/>
    <w:rsid w:val="00B27589"/>
    <w:rsid w:val="00B32D85"/>
    <w:rsid w:val="00B373A3"/>
    <w:rsid w:val="00B405B7"/>
    <w:rsid w:val="00B43CA2"/>
    <w:rsid w:val="00B44405"/>
    <w:rsid w:val="00B468C0"/>
    <w:rsid w:val="00B47A15"/>
    <w:rsid w:val="00B50FE9"/>
    <w:rsid w:val="00B51C43"/>
    <w:rsid w:val="00B52222"/>
    <w:rsid w:val="00B531DA"/>
    <w:rsid w:val="00B54895"/>
    <w:rsid w:val="00B54FE7"/>
    <w:rsid w:val="00B56573"/>
    <w:rsid w:val="00B647C6"/>
    <w:rsid w:val="00B655F9"/>
    <w:rsid w:val="00B66901"/>
    <w:rsid w:val="00B66F60"/>
    <w:rsid w:val="00B71E6D"/>
    <w:rsid w:val="00B72070"/>
    <w:rsid w:val="00B779E1"/>
    <w:rsid w:val="00B81E3A"/>
    <w:rsid w:val="00B8343C"/>
    <w:rsid w:val="00B84E3E"/>
    <w:rsid w:val="00B85CFB"/>
    <w:rsid w:val="00B87461"/>
    <w:rsid w:val="00B914E9"/>
    <w:rsid w:val="00B91EE1"/>
    <w:rsid w:val="00B94602"/>
    <w:rsid w:val="00B94A78"/>
    <w:rsid w:val="00BA0090"/>
    <w:rsid w:val="00BA0A4B"/>
    <w:rsid w:val="00BA1A67"/>
    <w:rsid w:val="00BA1E83"/>
    <w:rsid w:val="00BA4934"/>
    <w:rsid w:val="00BA6A80"/>
    <w:rsid w:val="00BB4ABB"/>
    <w:rsid w:val="00BC62BA"/>
    <w:rsid w:val="00BD11EF"/>
    <w:rsid w:val="00BD27DC"/>
    <w:rsid w:val="00BD36AD"/>
    <w:rsid w:val="00BD4630"/>
    <w:rsid w:val="00BD66E3"/>
    <w:rsid w:val="00BE12BB"/>
    <w:rsid w:val="00BE5B5F"/>
    <w:rsid w:val="00BE7993"/>
    <w:rsid w:val="00BF726B"/>
    <w:rsid w:val="00C002D1"/>
    <w:rsid w:val="00C02437"/>
    <w:rsid w:val="00C0279E"/>
    <w:rsid w:val="00C03795"/>
    <w:rsid w:val="00C11971"/>
    <w:rsid w:val="00C11A24"/>
    <w:rsid w:val="00C179DE"/>
    <w:rsid w:val="00C26F55"/>
    <w:rsid w:val="00C30C63"/>
    <w:rsid w:val="00C30FF3"/>
    <w:rsid w:val="00C34D5C"/>
    <w:rsid w:val="00C36B8B"/>
    <w:rsid w:val="00C415C1"/>
    <w:rsid w:val="00C41884"/>
    <w:rsid w:val="00C47DBF"/>
    <w:rsid w:val="00C5136A"/>
    <w:rsid w:val="00C552FF"/>
    <w:rsid w:val="00C558DA"/>
    <w:rsid w:val="00C55AF3"/>
    <w:rsid w:val="00C71E0D"/>
    <w:rsid w:val="00C72E49"/>
    <w:rsid w:val="00C74FE3"/>
    <w:rsid w:val="00C771A9"/>
    <w:rsid w:val="00C82943"/>
    <w:rsid w:val="00C84728"/>
    <w:rsid w:val="00C84759"/>
    <w:rsid w:val="00C90B2B"/>
    <w:rsid w:val="00C93096"/>
    <w:rsid w:val="00CA2F0C"/>
    <w:rsid w:val="00CA4AEF"/>
    <w:rsid w:val="00CA5978"/>
    <w:rsid w:val="00CA5B7E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0D3B"/>
    <w:rsid w:val="00CE3515"/>
    <w:rsid w:val="00CE3A17"/>
    <w:rsid w:val="00CE4844"/>
    <w:rsid w:val="00CE524C"/>
    <w:rsid w:val="00CF141F"/>
    <w:rsid w:val="00CF2B67"/>
    <w:rsid w:val="00CF4777"/>
    <w:rsid w:val="00CF51F6"/>
    <w:rsid w:val="00CF65C8"/>
    <w:rsid w:val="00CF6742"/>
    <w:rsid w:val="00D013F5"/>
    <w:rsid w:val="00D04EAF"/>
    <w:rsid w:val="00D05E3F"/>
    <w:rsid w:val="00D067BB"/>
    <w:rsid w:val="00D131C5"/>
    <w:rsid w:val="00D1352A"/>
    <w:rsid w:val="00D1638E"/>
    <w:rsid w:val="00D169AF"/>
    <w:rsid w:val="00D200EF"/>
    <w:rsid w:val="00D25175"/>
    <w:rsid w:val="00D25249"/>
    <w:rsid w:val="00D26854"/>
    <w:rsid w:val="00D27DAD"/>
    <w:rsid w:val="00D30A08"/>
    <w:rsid w:val="00D347AC"/>
    <w:rsid w:val="00D34A59"/>
    <w:rsid w:val="00D36C41"/>
    <w:rsid w:val="00D44172"/>
    <w:rsid w:val="00D47BE3"/>
    <w:rsid w:val="00D572E2"/>
    <w:rsid w:val="00D62EFC"/>
    <w:rsid w:val="00D63042"/>
    <w:rsid w:val="00D63B8C"/>
    <w:rsid w:val="00D64480"/>
    <w:rsid w:val="00D739CC"/>
    <w:rsid w:val="00D806F9"/>
    <w:rsid w:val="00D8093D"/>
    <w:rsid w:val="00D8108C"/>
    <w:rsid w:val="00D842AE"/>
    <w:rsid w:val="00D91EAE"/>
    <w:rsid w:val="00D9211C"/>
    <w:rsid w:val="00D92DE0"/>
    <w:rsid w:val="00D92FEF"/>
    <w:rsid w:val="00D931F9"/>
    <w:rsid w:val="00D93A0F"/>
    <w:rsid w:val="00DA0EE7"/>
    <w:rsid w:val="00DA1BCA"/>
    <w:rsid w:val="00DA3663"/>
    <w:rsid w:val="00DB10A3"/>
    <w:rsid w:val="00DC1792"/>
    <w:rsid w:val="00DC274A"/>
    <w:rsid w:val="00DC46FF"/>
    <w:rsid w:val="00DC5254"/>
    <w:rsid w:val="00DC569D"/>
    <w:rsid w:val="00DD1A4F"/>
    <w:rsid w:val="00DD3107"/>
    <w:rsid w:val="00DD3844"/>
    <w:rsid w:val="00DD7C2C"/>
    <w:rsid w:val="00DE014A"/>
    <w:rsid w:val="00DE188F"/>
    <w:rsid w:val="00DE41DD"/>
    <w:rsid w:val="00DE5BDA"/>
    <w:rsid w:val="00DE6C91"/>
    <w:rsid w:val="00DF433C"/>
    <w:rsid w:val="00DF519F"/>
    <w:rsid w:val="00DF5D02"/>
    <w:rsid w:val="00E0035A"/>
    <w:rsid w:val="00E0382F"/>
    <w:rsid w:val="00E049D0"/>
    <w:rsid w:val="00E06797"/>
    <w:rsid w:val="00E11AF3"/>
    <w:rsid w:val="00E1265B"/>
    <w:rsid w:val="00E12E09"/>
    <w:rsid w:val="00E13B48"/>
    <w:rsid w:val="00E13EC3"/>
    <w:rsid w:val="00E1404F"/>
    <w:rsid w:val="00E14A3D"/>
    <w:rsid w:val="00E15CBE"/>
    <w:rsid w:val="00E17E15"/>
    <w:rsid w:val="00E21C83"/>
    <w:rsid w:val="00E24ADA"/>
    <w:rsid w:val="00E27C08"/>
    <w:rsid w:val="00E32F59"/>
    <w:rsid w:val="00E36FDF"/>
    <w:rsid w:val="00E41908"/>
    <w:rsid w:val="00E45746"/>
    <w:rsid w:val="00E45DDF"/>
    <w:rsid w:val="00E46D9A"/>
    <w:rsid w:val="00E54866"/>
    <w:rsid w:val="00E55F66"/>
    <w:rsid w:val="00E565FF"/>
    <w:rsid w:val="00E62A83"/>
    <w:rsid w:val="00E65388"/>
    <w:rsid w:val="00E6783A"/>
    <w:rsid w:val="00E72460"/>
    <w:rsid w:val="00E743AA"/>
    <w:rsid w:val="00E76C9C"/>
    <w:rsid w:val="00E7741D"/>
    <w:rsid w:val="00E808CD"/>
    <w:rsid w:val="00E8348F"/>
    <w:rsid w:val="00E85B7D"/>
    <w:rsid w:val="00E872E5"/>
    <w:rsid w:val="00E9121B"/>
    <w:rsid w:val="00E9302E"/>
    <w:rsid w:val="00E96087"/>
    <w:rsid w:val="00E961F1"/>
    <w:rsid w:val="00E963A6"/>
    <w:rsid w:val="00E96971"/>
    <w:rsid w:val="00E976AB"/>
    <w:rsid w:val="00EA0AE2"/>
    <w:rsid w:val="00EA39E5"/>
    <w:rsid w:val="00EA45C6"/>
    <w:rsid w:val="00EA57A3"/>
    <w:rsid w:val="00EC27D1"/>
    <w:rsid w:val="00EC2813"/>
    <w:rsid w:val="00EC366F"/>
    <w:rsid w:val="00EC5A46"/>
    <w:rsid w:val="00EC63E2"/>
    <w:rsid w:val="00ED0225"/>
    <w:rsid w:val="00ED1CFA"/>
    <w:rsid w:val="00ED366A"/>
    <w:rsid w:val="00ED6BB7"/>
    <w:rsid w:val="00ED7CA2"/>
    <w:rsid w:val="00EF1062"/>
    <w:rsid w:val="00EF22B3"/>
    <w:rsid w:val="00EF3124"/>
    <w:rsid w:val="00EF611A"/>
    <w:rsid w:val="00EF6DB3"/>
    <w:rsid w:val="00F03B69"/>
    <w:rsid w:val="00F07A50"/>
    <w:rsid w:val="00F105C7"/>
    <w:rsid w:val="00F113DA"/>
    <w:rsid w:val="00F15578"/>
    <w:rsid w:val="00F23D18"/>
    <w:rsid w:val="00F266FC"/>
    <w:rsid w:val="00F3037A"/>
    <w:rsid w:val="00F3465A"/>
    <w:rsid w:val="00F37DC8"/>
    <w:rsid w:val="00F40A30"/>
    <w:rsid w:val="00F439B3"/>
    <w:rsid w:val="00F650C3"/>
    <w:rsid w:val="00F65D85"/>
    <w:rsid w:val="00F6700B"/>
    <w:rsid w:val="00F7137B"/>
    <w:rsid w:val="00F7523B"/>
    <w:rsid w:val="00F75514"/>
    <w:rsid w:val="00F8091E"/>
    <w:rsid w:val="00F84F30"/>
    <w:rsid w:val="00F8615C"/>
    <w:rsid w:val="00F95156"/>
    <w:rsid w:val="00F969E5"/>
    <w:rsid w:val="00F979F2"/>
    <w:rsid w:val="00FA1350"/>
    <w:rsid w:val="00FA4972"/>
    <w:rsid w:val="00FA60F4"/>
    <w:rsid w:val="00FA6BB0"/>
    <w:rsid w:val="00FB2DBD"/>
    <w:rsid w:val="00FD48DF"/>
    <w:rsid w:val="00FD5860"/>
    <w:rsid w:val="00FE03BE"/>
    <w:rsid w:val="00FE1E2C"/>
    <w:rsid w:val="00FE352D"/>
    <w:rsid w:val="00FE40EB"/>
    <w:rsid w:val="00FE4D02"/>
    <w:rsid w:val="00FE7D62"/>
    <w:rsid w:val="00FF0DA0"/>
    <w:rsid w:val="00FF3819"/>
    <w:rsid w:val="00FF57F0"/>
    <w:rsid w:val="00F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4406B4B"/>
  <w15:docId w15:val="{9DC3155B-53E3-4869-9D8B-392BDBA1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F0C3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F0C3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AF0C3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F0C3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AF0C3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AF0C3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AF0C3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AF0C3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AF0C31"/>
    <w:pPr>
      <w:keepNext/>
      <w:widowControl w:val="0"/>
      <w:numPr>
        <w:numId w:val="3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AF0C31"/>
    <w:pPr>
      <w:keepNext/>
      <w:widowControl w:val="0"/>
      <w:numPr>
        <w:numId w:val="4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AF0C3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AF0C31"/>
    <w:pPr>
      <w:spacing w:before="40" w:after="40"/>
    </w:pPr>
    <w:rPr>
      <w:sz w:val="18"/>
      <w:szCs w:val="18"/>
      <w:lang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AF0C3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AF0C3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AF0C3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AF0C3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AF0C3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AF0C3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AF0C3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AF0C31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rsid w:val="00AF0C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AF0C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AF0C31"/>
    <w:rPr>
      <w:rFonts w:ascii="Arial" w:hAnsi="Arial"/>
      <w:sz w:val="16"/>
      <w:lang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AF0C31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AF0C3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AF0C3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AF0C3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AF0C3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AF0C3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AF0C3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semiHidden/>
    <w:rsid w:val="00AF0C3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AF0C3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AF0C31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AF0C31"/>
    <w:rPr>
      <w:lang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AF0C31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AF0C31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AF0C31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AF0C31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AF0C3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AF0C3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AF0C31"/>
    <w:pPr>
      <w:numPr>
        <w:numId w:val="5"/>
      </w:numPr>
    </w:pPr>
  </w:style>
  <w:style w:type="paragraph" w:customStyle="1" w:styleId="NormalNonumber">
    <w:name w:val="Normal_No_number"/>
    <w:basedOn w:val="Normalpool"/>
    <w:link w:val="NormalNonumberChar"/>
    <w:rsid w:val="00AF0C31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AF0C31"/>
    <w:pPr>
      <w:numPr>
        <w:numId w:val="6"/>
      </w:numPr>
      <w:spacing w:after="120"/>
    </w:pPr>
  </w:style>
  <w:style w:type="paragraph" w:customStyle="1" w:styleId="Titletable">
    <w:name w:val="Title_table"/>
    <w:basedOn w:val="Normalpool"/>
    <w:rsid w:val="00AF0C31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AF0C3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AF0C3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AF0C3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AF0C3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AF0C3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AF0C31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AF0C31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15578"/>
    <w:rPr>
      <w:b/>
      <w:sz w:val="28"/>
      <w:szCs w:val="28"/>
      <w:lang w:val="fr-CA" w:eastAsia="en-US"/>
    </w:rPr>
  </w:style>
  <w:style w:type="character" w:customStyle="1" w:styleId="ZZAnxtitleChar">
    <w:name w:val="ZZ_Anx_title Char"/>
    <w:link w:val="ZZAnxtitle"/>
    <w:rsid w:val="00F15578"/>
    <w:rPr>
      <w:b/>
      <w:bCs/>
      <w:sz w:val="28"/>
      <w:szCs w:val="26"/>
      <w:lang w:val="fr-CA" w:eastAsia="en-US"/>
    </w:rPr>
  </w:style>
  <w:style w:type="character" w:customStyle="1" w:styleId="CH2Char">
    <w:name w:val="CH2 Char"/>
    <w:link w:val="CH2"/>
    <w:locked/>
    <w:rsid w:val="00480343"/>
    <w:rPr>
      <w:b/>
      <w:sz w:val="24"/>
      <w:szCs w:val="24"/>
      <w:lang w:val="fr-CA" w:eastAsia="en-US"/>
    </w:rPr>
  </w:style>
  <w:style w:type="character" w:customStyle="1" w:styleId="NormalNonumberChar">
    <w:name w:val="Normal_No_number Char"/>
    <w:link w:val="NormalNonumber"/>
    <w:locked/>
    <w:rsid w:val="00480343"/>
    <w:rPr>
      <w:lang w:val="fr-CA" w:eastAsia="en-US"/>
    </w:rPr>
  </w:style>
  <w:style w:type="character" w:customStyle="1" w:styleId="ZZAnxheaderChar">
    <w:name w:val="ZZ_Anx_header Char"/>
    <w:link w:val="ZZAnxheader"/>
    <w:rsid w:val="00480343"/>
    <w:rPr>
      <w:b/>
      <w:bCs/>
      <w:sz w:val="28"/>
      <w:szCs w:val="22"/>
      <w:lang w:val="fr-CA" w:eastAsia="en-US"/>
    </w:rPr>
  </w:style>
  <w:style w:type="character" w:customStyle="1" w:styleId="Normal-poolChar">
    <w:name w:val="Normal-pool Char"/>
    <w:link w:val="Normal-pool"/>
    <w:rsid w:val="00480343"/>
    <w:rPr>
      <w:lang w:val="fr-CA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6093"/>
    <w:rPr>
      <w:color w:val="808080"/>
      <w:shd w:val="clear" w:color="auto" w:fill="E6E6E6"/>
    </w:rPr>
  </w:style>
  <w:style w:type="character" w:customStyle="1" w:styleId="NormalnumberChar">
    <w:name w:val="Normal_number Char"/>
    <w:link w:val="Normalnumber"/>
    <w:locked/>
    <w:rsid w:val="003D56F3"/>
    <w:rPr>
      <w:lang w:val="fr-CA" w:eastAsia="en-US"/>
    </w:rPr>
  </w:style>
  <w:style w:type="numbering" w:customStyle="1" w:styleId="WWNum25">
    <w:name w:val="WWNum25"/>
    <w:basedOn w:val="NoList"/>
    <w:rsid w:val="00D34A59"/>
    <w:pPr>
      <w:numPr>
        <w:numId w:val="1"/>
      </w:numPr>
    </w:pPr>
  </w:style>
  <w:style w:type="paragraph" w:styleId="NormalWeb">
    <w:name w:val="Normal (Web)"/>
    <w:basedOn w:val="Normal"/>
    <w:uiPriority w:val="99"/>
    <w:unhideWhenUsed/>
    <w:rsid w:val="005362E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83C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62EFC"/>
    <w:rPr>
      <w:color w:val="800080" w:themeColor="followedHyperlink"/>
      <w:u w:val="single"/>
    </w:rPr>
  </w:style>
  <w:style w:type="character" w:customStyle="1" w:styleId="HeaderChar">
    <w:name w:val="Header Char"/>
    <w:link w:val="Header"/>
    <w:semiHidden/>
    <w:rsid w:val="00AF0C31"/>
    <w:rPr>
      <w:b/>
      <w:sz w:val="18"/>
      <w:lang w:eastAsia="en-US"/>
    </w:rPr>
  </w:style>
  <w:style w:type="character" w:customStyle="1" w:styleId="FooterChar">
    <w:name w:val="Footer Char"/>
    <w:link w:val="Footer"/>
    <w:rsid w:val="00AF0C31"/>
    <w:rPr>
      <w:sz w:val="18"/>
      <w:lang w:eastAsia="en-US"/>
    </w:rPr>
  </w:style>
  <w:style w:type="character" w:customStyle="1" w:styleId="Heading1Char">
    <w:name w:val="Heading 1 Char"/>
    <w:link w:val="Heading1"/>
    <w:rsid w:val="00AF0C31"/>
    <w:rPr>
      <w:b/>
      <w:sz w:val="28"/>
      <w:lang w:eastAsia="en-US"/>
    </w:rPr>
  </w:style>
  <w:style w:type="character" w:customStyle="1" w:styleId="Heading2Char">
    <w:name w:val="Heading 2 Char"/>
    <w:link w:val="Heading2"/>
    <w:rsid w:val="00AF0C31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rsid w:val="00AF0C31"/>
    <w:rPr>
      <w:b/>
      <w:lang w:eastAsia="en-US"/>
    </w:rPr>
  </w:style>
  <w:style w:type="character" w:customStyle="1" w:styleId="Heading4Char">
    <w:name w:val="Heading 4 Char"/>
    <w:link w:val="Heading4"/>
    <w:rsid w:val="00AF0C31"/>
    <w:rPr>
      <w:b/>
      <w:lang w:eastAsia="en-US"/>
    </w:rPr>
  </w:style>
  <w:style w:type="character" w:customStyle="1" w:styleId="Heading5Char">
    <w:name w:val="Heading 5 Char"/>
    <w:link w:val="Heading5"/>
    <w:rsid w:val="00AF0C31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link w:val="Heading6"/>
    <w:rsid w:val="00AF0C31"/>
    <w:rPr>
      <w:b/>
      <w:bCs/>
      <w:sz w:val="24"/>
      <w:lang w:eastAsia="en-US"/>
    </w:rPr>
  </w:style>
  <w:style w:type="character" w:customStyle="1" w:styleId="Heading7Char">
    <w:name w:val="Heading 7 Char"/>
    <w:link w:val="Heading7"/>
    <w:rsid w:val="00AF0C31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AF0C31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AF0C31"/>
    <w:rPr>
      <w:snapToGrid w:val="0"/>
      <w:u w:val="single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445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dpi.gov.gy/cdc-niosh-visiting-team-submits-findings-to-paho-who/" TargetMode="External"/><Relationship Id="rId3" Type="http://schemas.openxmlformats.org/officeDocument/2006/relationships/hyperlink" Target="http://www.euro.who.int/en/health-topics/environment-and-health/chemical-safety/publications" TargetMode="External"/><Relationship Id="rId7" Type="http://schemas.openxmlformats.org/officeDocument/2006/relationships/hyperlink" Target="https://www.ilo.org/manila/eventsandmeetings/WCMS_701934/lang--en/index.htm" TargetMode="External"/><Relationship Id="rId12" Type="http://schemas.openxmlformats.org/officeDocument/2006/relationships/hyperlink" Target="https://www.ilo.org/wcmsp5/groups/public/---ed_dialogue/---sector/documents/normativeinstrument/wcms_617123.pdf" TargetMode="External"/><Relationship Id="rId2" Type="http://schemas.openxmlformats.org/officeDocument/2006/relationships/hyperlink" Target="http://www.who.int/bulletin/volumes/96/6/17-203141.pdf" TargetMode="External"/><Relationship Id="rId1" Type="http://schemas.openxmlformats.org/officeDocument/2006/relationships/hyperlink" Target="https://www.who.int/ipcs/assessment/public_health/publication/en/" TargetMode="External"/><Relationship Id="rId6" Type="http://schemas.openxmlformats.org/officeDocument/2006/relationships/hyperlink" Target="https://www.ilo.org/manila/eventsandmeetings/WCMS_645607/lang--en/index.htm" TargetMode="External"/><Relationship Id="rId11" Type="http://schemas.openxmlformats.org/officeDocument/2006/relationships/hyperlink" Target="https://www.ilo.org/sector/Resources/publications/WCMS_485367/lang--en/index.htm" TargetMode="External"/><Relationship Id="rId5" Type="http://schemas.openxmlformats.org/officeDocument/2006/relationships/hyperlink" Target="https://www.ilo.org/ilc/ILCSessions/108/reports/provisional-records/WCMS_711288/lang--en/index.htm" TargetMode="External"/><Relationship Id="rId10" Type="http://schemas.openxmlformats.org/officeDocument/2006/relationships/hyperlink" Target="https://www.ilo.org/sector/Resources/recommendations-conclusions-of-sectoral-meetings/WCMS_685681/lang--en/index.htm" TargetMode="External"/><Relationship Id="rId4" Type="http://schemas.openxmlformats.org/officeDocument/2006/relationships/hyperlink" Target="https://ehp.niehs.nih.gov/doi/full/10.1289/EHP3904" TargetMode="External"/><Relationship Id="rId9" Type="http://schemas.openxmlformats.org/officeDocument/2006/relationships/hyperlink" Target="https://www.thegef.org/project/artisanal-and-small-scale-gold-mining-asgm-national-action-plan-nap-surina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EB46CA96DA014EA77D2E9932905B77" ma:contentTypeVersion="8" ma:contentTypeDescription="Create a new document." ma:contentTypeScope="" ma:versionID="d2185e28e1b37a92f3a898356507e258">
  <xsd:schema xmlns:xsd="http://www.w3.org/2001/XMLSchema" xmlns:xs="http://www.w3.org/2001/XMLSchema" xmlns:p="http://schemas.microsoft.com/office/2006/metadata/properties" xmlns:ns3="f29ead99-d6e6-4688-ace3-74980502f8c9" targetNamespace="http://schemas.microsoft.com/office/2006/metadata/properties" ma:root="true" ma:fieldsID="7c3d25533abdc1755e9c2bd482dc9d43" ns3:_="">
    <xsd:import namespace="f29ead99-d6e6-4688-ace3-74980502f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9ead99-d6e6-4688-ace3-74980502f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FFEC5-AB8E-438C-AE0D-7948D8BB3994}">
  <ds:schemaRefs>
    <ds:schemaRef ds:uri="http://purl.org/dc/terms/"/>
    <ds:schemaRef ds:uri="http://schemas.openxmlformats.org/package/2006/metadata/core-properties"/>
    <ds:schemaRef ds:uri="f29ead99-d6e6-4688-ace3-74980502f8c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D1BFF16-D9D8-47BB-A4A2-99E4B95A41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52AB9-B80D-4B50-A1B9-4BF7ADE7A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9ead99-d6e6-4688-ace3-74980502f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7EBDB-0A0F-49E4-BFF6-6878A713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5025</Words>
  <Characters>28648</Characters>
  <Application>Microsoft Office Word</Application>
  <DocSecurity>0</DocSecurity>
  <Lines>238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UNON-DCS-FLU</cp:lastModifiedBy>
  <cp:revision>2</cp:revision>
  <cp:lastPrinted>2019-09-12T06:26:00Z</cp:lastPrinted>
  <dcterms:created xsi:type="dcterms:W3CDTF">2019-09-17T06:06:00Z</dcterms:created>
  <dcterms:modified xsi:type="dcterms:W3CDTF">2019-09-17T06:06:00Z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0x01010065EB46CA96DA014EA77D2E9932905B77</vt:lpwstr>
  </property>
</Properties>
</file>