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3D56F3" w14:paraId="4B9F0F9B" w14:textId="77777777" w:rsidTr="00A04E76">
        <w:trPr>
          <w:cantSplit/>
          <w:trHeight w:val="57"/>
          <w:jc w:val="right"/>
        </w:trPr>
        <w:tc>
          <w:tcPr>
            <w:tcW w:w="1550" w:type="dxa"/>
          </w:tcPr>
          <w:p w14:paraId="2A9B9F9D" w14:textId="1B5454B9" w:rsidR="00032E4E" w:rsidRPr="00D572E2" w:rsidRDefault="00032E4E" w:rsidP="00D572E2">
            <w:pPr>
              <w:pStyle w:val="Normal-pool"/>
              <w:rPr>
                <w:rFonts w:ascii="Arial" w:hAnsi="Arial" w:cs="Arial"/>
                <w:b/>
                <w:sz w:val="27"/>
                <w:szCs w:val="27"/>
              </w:rPr>
            </w:pPr>
            <w:r w:rsidRPr="00D572E2">
              <w:rPr>
                <w:rFonts w:ascii="Arial" w:hAnsi="Arial" w:cs="Arial"/>
                <w:b/>
                <w:sz w:val="27"/>
                <w:szCs w:val="27"/>
              </w:rPr>
              <w:t>UNITED</w:t>
            </w:r>
            <w:r w:rsidR="002C54E3" w:rsidRPr="00D572E2">
              <w:rPr>
                <w:rFonts w:ascii="Arial" w:hAnsi="Arial" w:cs="Arial"/>
                <w:b/>
                <w:sz w:val="27"/>
                <w:szCs w:val="27"/>
              </w:rPr>
              <w:t xml:space="preserve"> </w:t>
            </w:r>
            <w:r w:rsidRPr="00D572E2">
              <w:rPr>
                <w:rFonts w:ascii="Arial" w:hAnsi="Arial" w:cs="Arial"/>
                <w:b/>
                <w:sz w:val="27"/>
                <w:szCs w:val="27"/>
              </w:rPr>
              <w:br/>
              <w:t>NATIONS</w:t>
            </w:r>
          </w:p>
        </w:tc>
        <w:tc>
          <w:tcPr>
            <w:tcW w:w="4751" w:type="dxa"/>
          </w:tcPr>
          <w:p w14:paraId="2F47229A" w14:textId="77777777" w:rsidR="00032E4E" w:rsidRPr="003D56F3" w:rsidRDefault="00032E4E" w:rsidP="00D572E2">
            <w:pPr>
              <w:pStyle w:val="Normal-pool"/>
              <w:rPr>
                <w:rFonts w:ascii="Univers" w:hAnsi="Univers"/>
              </w:rPr>
            </w:pPr>
          </w:p>
        </w:tc>
        <w:tc>
          <w:tcPr>
            <w:tcW w:w="3411" w:type="dxa"/>
          </w:tcPr>
          <w:p w14:paraId="57073C3F" w14:textId="77777777" w:rsidR="00032E4E" w:rsidRPr="00D572E2" w:rsidRDefault="00787688" w:rsidP="00D572E2">
            <w:pPr>
              <w:pStyle w:val="Normal-pool"/>
              <w:jc w:val="right"/>
              <w:rPr>
                <w:rFonts w:ascii="Arial" w:hAnsi="Arial" w:cs="Arial"/>
                <w:b/>
                <w:sz w:val="64"/>
                <w:szCs w:val="64"/>
              </w:rPr>
            </w:pPr>
            <w:r w:rsidRPr="00D572E2">
              <w:rPr>
                <w:rFonts w:ascii="Arial" w:hAnsi="Arial" w:cs="Arial"/>
                <w:b/>
                <w:sz w:val="64"/>
                <w:szCs w:val="64"/>
              </w:rPr>
              <w:t>MC</w:t>
            </w:r>
          </w:p>
        </w:tc>
      </w:tr>
      <w:tr w:rsidR="00032E4E" w:rsidRPr="003D56F3" w14:paraId="0DEAC680" w14:textId="77777777" w:rsidTr="00A04E76">
        <w:trPr>
          <w:cantSplit/>
          <w:trHeight w:val="57"/>
          <w:jc w:val="right"/>
        </w:trPr>
        <w:tc>
          <w:tcPr>
            <w:tcW w:w="1550" w:type="dxa"/>
            <w:tcBorders>
              <w:bottom w:val="single" w:sz="4" w:space="0" w:color="auto"/>
            </w:tcBorders>
          </w:tcPr>
          <w:p w14:paraId="30269B88" w14:textId="77777777" w:rsidR="00032E4E" w:rsidRPr="003D56F3" w:rsidRDefault="00032E4E" w:rsidP="00D572E2">
            <w:pPr>
              <w:pStyle w:val="Normal-pool"/>
              <w:rPr>
                <w:sz w:val="18"/>
                <w:szCs w:val="18"/>
              </w:rPr>
            </w:pPr>
          </w:p>
        </w:tc>
        <w:tc>
          <w:tcPr>
            <w:tcW w:w="4751" w:type="dxa"/>
            <w:tcBorders>
              <w:bottom w:val="single" w:sz="4" w:space="0" w:color="auto"/>
            </w:tcBorders>
          </w:tcPr>
          <w:p w14:paraId="54296B4D" w14:textId="77777777" w:rsidR="00032E4E" w:rsidRPr="003D56F3" w:rsidRDefault="00032E4E" w:rsidP="00D572E2">
            <w:pPr>
              <w:pStyle w:val="Normal-pool"/>
              <w:rPr>
                <w:rFonts w:ascii="Univers" w:hAnsi="Univers"/>
                <w:sz w:val="18"/>
                <w:szCs w:val="18"/>
              </w:rPr>
            </w:pPr>
          </w:p>
        </w:tc>
        <w:tc>
          <w:tcPr>
            <w:tcW w:w="3411" w:type="dxa"/>
            <w:tcBorders>
              <w:bottom w:val="single" w:sz="4" w:space="0" w:color="auto"/>
            </w:tcBorders>
          </w:tcPr>
          <w:p w14:paraId="540639F8" w14:textId="51CCF1E8" w:rsidR="00032E4E" w:rsidRPr="003D56F3" w:rsidRDefault="00032E4E" w:rsidP="00D572E2">
            <w:pPr>
              <w:pStyle w:val="Normal-pool"/>
              <w:rPr>
                <w:sz w:val="18"/>
                <w:szCs w:val="18"/>
              </w:rPr>
            </w:pPr>
            <w:r w:rsidRPr="00D572E2">
              <w:rPr>
                <w:b/>
                <w:bCs/>
                <w:sz w:val="28"/>
              </w:rPr>
              <w:t>UNEP</w:t>
            </w:r>
            <w:bookmarkStart w:id="0" w:name="OLE_LINK1"/>
            <w:bookmarkStart w:id="1" w:name="OLE_LINK2"/>
            <w:r w:rsidR="00787688" w:rsidRPr="00D572E2">
              <w:rPr>
                <w:bCs/>
              </w:rPr>
              <w:t>/</w:t>
            </w:r>
            <w:r w:rsidR="00787688" w:rsidRPr="003D56F3">
              <w:t>MC</w:t>
            </w:r>
            <w:r w:rsidRPr="003D56F3">
              <w:t>/</w:t>
            </w:r>
            <w:bookmarkEnd w:id="0"/>
            <w:bookmarkEnd w:id="1"/>
            <w:r w:rsidR="00787688" w:rsidRPr="003D56F3">
              <w:t>COP.</w:t>
            </w:r>
            <w:r w:rsidR="000A1277" w:rsidRPr="003D56F3">
              <w:t>3</w:t>
            </w:r>
            <w:r w:rsidRPr="003D56F3">
              <w:t>/</w:t>
            </w:r>
            <w:r w:rsidR="00D91EAE" w:rsidRPr="003D56F3">
              <w:t>1</w:t>
            </w:r>
            <w:r w:rsidR="000A1277" w:rsidRPr="003D56F3">
              <w:t>8</w:t>
            </w:r>
          </w:p>
        </w:tc>
      </w:tr>
      <w:bookmarkStart w:id="2" w:name="_MON_1021710482"/>
      <w:bookmarkEnd w:id="2"/>
      <w:bookmarkStart w:id="3" w:name="_MON_1021710510"/>
      <w:bookmarkEnd w:id="3"/>
      <w:tr w:rsidR="00032E4E" w:rsidRPr="003D56F3" w14:paraId="34AA74B4" w14:textId="77777777" w:rsidTr="00A04E76">
        <w:trPr>
          <w:cantSplit/>
          <w:trHeight w:val="57"/>
          <w:jc w:val="right"/>
        </w:trPr>
        <w:tc>
          <w:tcPr>
            <w:tcW w:w="1550" w:type="dxa"/>
            <w:tcBorders>
              <w:top w:val="single" w:sz="4" w:space="0" w:color="auto"/>
              <w:bottom w:val="single" w:sz="24" w:space="0" w:color="auto"/>
            </w:tcBorders>
          </w:tcPr>
          <w:p w14:paraId="02CDC318" w14:textId="77777777" w:rsidR="00032E4E" w:rsidRPr="003D56F3" w:rsidRDefault="001F566E" w:rsidP="00D572E2">
            <w:pPr>
              <w:pStyle w:val="Normal-pool"/>
            </w:pPr>
            <w:r w:rsidRPr="003D56F3">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4.5pt;mso-width-percent:0;mso-height-percent:0;mso-width-percent:0;mso-height-percent:0" o:ole="" fillcolor="window">
                  <v:imagedata r:id="rId11" o:title=""/>
                </v:shape>
                <o:OLEObject Type="Embed" ProgID="Word.Picture.8" ShapeID="_x0000_i1025" DrawAspect="Content" ObjectID="_1629540112" r:id="rId12"/>
              </w:object>
            </w:r>
            <w:r w:rsidR="00011A16" w:rsidRPr="003D56F3">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572E2" w:rsidRDefault="00032E4E" w:rsidP="00D572E2">
            <w:pPr>
              <w:pStyle w:val="Normal-pool"/>
              <w:spacing w:before="1200"/>
              <w:rPr>
                <w:rFonts w:ascii="Arial" w:hAnsi="Arial" w:cs="Arial"/>
                <w:b/>
                <w:sz w:val="28"/>
              </w:rPr>
            </w:pPr>
            <w:r w:rsidRPr="00D572E2">
              <w:rPr>
                <w:rFonts w:ascii="Arial" w:hAnsi="Arial" w:cs="Arial"/>
                <w:b/>
                <w:sz w:val="32"/>
                <w:szCs w:val="32"/>
              </w:rPr>
              <w:t>United Nations</w:t>
            </w:r>
            <w:r w:rsidR="005B2DF4" w:rsidRPr="00D572E2">
              <w:rPr>
                <w:rFonts w:ascii="Arial" w:hAnsi="Arial" w:cs="Arial"/>
                <w:b/>
                <w:sz w:val="32"/>
                <w:szCs w:val="32"/>
              </w:rPr>
              <w:t xml:space="preserve"> </w:t>
            </w:r>
            <w:r w:rsidRPr="00D572E2">
              <w:rPr>
                <w:rFonts w:ascii="Arial" w:hAnsi="Arial" w:cs="Arial"/>
                <w:b/>
                <w:sz w:val="32"/>
                <w:szCs w:val="32"/>
              </w:rPr>
              <w:br w:type="textWrapping" w:clear="all"/>
              <w:t>Environment</w:t>
            </w:r>
            <w:r w:rsidR="005B2DF4" w:rsidRPr="00D572E2">
              <w:rPr>
                <w:rFonts w:ascii="Arial" w:hAnsi="Arial" w:cs="Arial"/>
                <w:b/>
                <w:sz w:val="32"/>
                <w:szCs w:val="32"/>
              </w:rPr>
              <w:t xml:space="preserve"> </w:t>
            </w:r>
            <w:r w:rsidRPr="00D572E2">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69107700" w:rsidR="00032E4E" w:rsidRPr="003D56F3" w:rsidRDefault="00032E4E" w:rsidP="00D572E2">
            <w:pPr>
              <w:pStyle w:val="Normal-pool"/>
              <w:spacing w:before="120"/>
            </w:pPr>
            <w:r w:rsidRPr="003D56F3">
              <w:t>Distr.: General</w:t>
            </w:r>
            <w:r w:rsidR="005B2DF4" w:rsidRPr="003D56F3">
              <w:t xml:space="preserve"> </w:t>
            </w:r>
            <w:r w:rsidRPr="003D56F3">
              <w:br w:type="textWrapping" w:clear="all"/>
            </w:r>
            <w:r w:rsidR="00810553" w:rsidRPr="003D56F3">
              <w:t>6 August</w:t>
            </w:r>
            <w:r w:rsidR="00434321" w:rsidRPr="003D56F3">
              <w:t xml:space="preserve"> </w:t>
            </w:r>
            <w:r w:rsidR="0042266F" w:rsidRPr="003D56F3">
              <w:t>201</w:t>
            </w:r>
            <w:r w:rsidR="000A1277" w:rsidRPr="003D56F3">
              <w:t>9</w:t>
            </w:r>
          </w:p>
          <w:p w14:paraId="1A75CF9D" w14:textId="77777777" w:rsidR="00032E4E" w:rsidRPr="003D56F3" w:rsidRDefault="00032E4E" w:rsidP="00D572E2">
            <w:pPr>
              <w:pStyle w:val="Normal-pool"/>
              <w:spacing w:before="120"/>
            </w:pPr>
            <w:r w:rsidRPr="003D56F3">
              <w:t>Original: English</w:t>
            </w:r>
          </w:p>
        </w:tc>
      </w:tr>
    </w:tbl>
    <w:p w14:paraId="0A4BFFDA" w14:textId="30575E0E" w:rsidR="00E976AB" w:rsidRPr="003D56F3" w:rsidRDefault="00CB007D" w:rsidP="00E976AB">
      <w:pPr>
        <w:pStyle w:val="AATitle"/>
        <w:keepNext w:val="0"/>
        <w:keepLines w:val="0"/>
      </w:pPr>
      <w:r w:rsidRPr="003D56F3">
        <w:t>Conference of the Parties to the</w:t>
      </w:r>
      <w:r w:rsidR="005B2DF4" w:rsidRPr="003D56F3">
        <w:t xml:space="preserve"> </w:t>
      </w:r>
      <w:r w:rsidR="005B2DF4" w:rsidRPr="003D56F3">
        <w:br/>
      </w:r>
      <w:r w:rsidR="00787688" w:rsidRPr="003D56F3">
        <w:t>Minamata Convention on Mercury</w:t>
      </w:r>
    </w:p>
    <w:p w14:paraId="5F0DC1EC" w14:textId="77777777" w:rsidR="00EF611A" w:rsidRPr="003D56F3" w:rsidRDefault="00EF611A" w:rsidP="00EF611A">
      <w:pPr>
        <w:pStyle w:val="AATitle"/>
        <w:keepNext w:val="0"/>
        <w:keepLines w:val="0"/>
        <w:tabs>
          <w:tab w:val="left" w:pos="624"/>
          <w:tab w:val="left" w:pos="1871"/>
          <w:tab w:val="left" w:pos="2495"/>
        </w:tabs>
      </w:pPr>
      <w:r w:rsidRPr="003D56F3">
        <w:t>Third meeting</w:t>
      </w:r>
    </w:p>
    <w:p w14:paraId="2DD55C84" w14:textId="77777777" w:rsidR="00EF611A" w:rsidRPr="003D56F3" w:rsidRDefault="00EF611A" w:rsidP="00EF611A">
      <w:pPr>
        <w:pStyle w:val="AATitle"/>
        <w:tabs>
          <w:tab w:val="left" w:pos="624"/>
          <w:tab w:val="left" w:pos="1871"/>
          <w:tab w:val="left" w:pos="2495"/>
        </w:tabs>
      </w:pPr>
      <w:r w:rsidRPr="003D56F3">
        <w:rPr>
          <w:b w:val="0"/>
        </w:rPr>
        <w:t>Geneva, 25–29 November 2019</w:t>
      </w:r>
    </w:p>
    <w:p w14:paraId="6D4B0F5D" w14:textId="5F5D28A4" w:rsidR="00EF611A" w:rsidRPr="003D56F3" w:rsidRDefault="00EF611A" w:rsidP="00EF611A">
      <w:pPr>
        <w:pStyle w:val="AATitle"/>
        <w:rPr>
          <w:b w:val="0"/>
        </w:rPr>
      </w:pPr>
      <w:r w:rsidRPr="003D56F3">
        <w:rPr>
          <w:b w:val="0"/>
        </w:rPr>
        <w:t xml:space="preserve">Item </w:t>
      </w:r>
      <w:r w:rsidR="00FE03BE" w:rsidRPr="003D56F3">
        <w:rPr>
          <w:b w:val="0"/>
        </w:rPr>
        <w:t>6</w:t>
      </w:r>
      <w:r w:rsidR="00AB0B53" w:rsidRPr="003D56F3">
        <w:rPr>
          <w:b w:val="0"/>
        </w:rPr>
        <w:t xml:space="preserve"> </w:t>
      </w:r>
      <w:r w:rsidR="00FE03BE" w:rsidRPr="003D56F3">
        <w:rPr>
          <w:b w:val="0"/>
        </w:rPr>
        <w:t>(a)</w:t>
      </w:r>
      <w:r w:rsidRPr="003D56F3">
        <w:rPr>
          <w:b w:val="0"/>
        </w:rPr>
        <w:t xml:space="preserve"> of the provisional agenda</w:t>
      </w:r>
      <w:r w:rsidRPr="003D56F3">
        <w:rPr>
          <w:b w:val="0"/>
        </w:rPr>
        <w:footnoteReference w:customMarkFollows="1" w:id="2"/>
        <w:t>*</w:t>
      </w:r>
    </w:p>
    <w:p w14:paraId="2D8757BE" w14:textId="65B2A848" w:rsidR="00F15578" w:rsidRPr="003D56F3" w:rsidRDefault="009D593C" w:rsidP="000A41B0">
      <w:pPr>
        <w:pStyle w:val="AATitle2"/>
      </w:pPr>
      <w:r w:rsidRPr="003D56F3">
        <w:t>International</w:t>
      </w:r>
      <w:r w:rsidR="00035ED3" w:rsidRPr="003D56F3">
        <w:t xml:space="preserve"> </w:t>
      </w:r>
      <w:r w:rsidR="00BF726B" w:rsidRPr="003D56F3">
        <w:t>cooperation</w:t>
      </w:r>
      <w:r w:rsidRPr="003D56F3">
        <w:t xml:space="preserve"> and coordination</w:t>
      </w:r>
      <w:r w:rsidR="00DA0EE7" w:rsidRPr="003D56F3">
        <w:t>:</w:t>
      </w:r>
      <w:r w:rsidRPr="003D56F3">
        <w:t xml:space="preserve"> </w:t>
      </w:r>
      <w:r w:rsidR="004156A7" w:rsidRPr="003D56F3">
        <w:t>World Health Organization</w:t>
      </w:r>
      <w:r w:rsidR="00DA0EE7" w:rsidRPr="003D56F3">
        <w:t>;</w:t>
      </w:r>
      <w:r w:rsidR="004156A7" w:rsidRPr="003D56F3">
        <w:t xml:space="preserve"> International Labour Organiz</w:t>
      </w:r>
      <w:bookmarkStart w:id="4" w:name="_GoBack"/>
      <w:bookmarkEnd w:id="4"/>
      <w:r w:rsidR="004156A7" w:rsidRPr="003D56F3">
        <w:t>ation</w:t>
      </w:r>
    </w:p>
    <w:p w14:paraId="1229106B" w14:textId="607D33B6" w:rsidR="000F681D" w:rsidRPr="003D56F3" w:rsidRDefault="000D028A" w:rsidP="003E1DD8">
      <w:pPr>
        <w:pStyle w:val="BBTitle"/>
      </w:pPr>
      <w:r w:rsidRPr="003D56F3">
        <w:t xml:space="preserve">Report on cooperative activities with the </w:t>
      </w:r>
      <w:r w:rsidR="00621E0B" w:rsidRPr="003D56F3">
        <w:t>World Health Organization and the International Labour Organization</w:t>
      </w:r>
    </w:p>
    <w:p w14:paraId="27B7AE6C" w14:textId="10097460" w:rsidR="00D34A59" w:rsidRPr="003D56F3" w:rsidRDefault="002C54E3" w:rsidP="002C54E3">
      <w:pPr>
        <w:pStyle w:val="CH2"/>
      </w:pPr>
      <w:r w:rsidRPr="003D56F3">
        <w:tab/>
      </w:r>
      <w:r w:rsidRPr="003D56F3">
        <w:tab/>
      </w:r>
      <w:r w:rsidR="00D34A59" w:rsidRPr="003D56F3">
        <w:t>Note by the secretariat</w:t>
      </w:r>
    </w:p>
    <w:p w14:paraId="30849C12" w14:textId="5DD001DF" w:rsidR="006C08E4" w:rsidRPr="003D56F3" w:rsidRDefault="00773959" w:rsidP="003D56F3">
      <w:pPr>
        <w:pStyle w:val="Normalnumber"/>
        <w:numPr>
          <w:ilvl w:val="0"/>
          <w:numId w:val="6"/>
        </w:numPr>
      </w:pPr>
      <w:r w:rsidRPr="003D56F3">
        <w:t xml:space="preserve">In paragraph 2 of article 16, </w:t>
      </w:r>
      <w:r w:rsidR="00400D8A" w:rsidRPr="003D56F3">
        <w:t xml:space="preserve">on health aspects, </w:t>
      </w:r>
      <w:r w:rsidRPr="003D56F3">
        <w:t>t</w:t>
      </w:r>
      <w:r w:rsidR="006C08E4" w:rsidRPr="003D56F3">
        <w:t>he Minamata Convention on Mercury specifies that the Conference of the</w:t>
      </w:r>
      <w:r w:rsidR="00621E0B" w:rsidRPr="003D56F3">
        <w:t xml:space="preserve"> Parties</w:t>
      </w:r>
      <w:r w:rsidR="005B4DC6" w:rsidRPr="003D56F3">
        <w:t xml:space="preserve"> to the Minamata Convention</w:t>
      </w:r>
      <w:r w:rsidR="00621E0B" w:rsidRPr="003D56F3">
        <w:t>, in considering health-related issues or activities</w:t>
      </w:r>
      <w:r w:rsidR="00EF3124" w:rsidRPr="003D56F3">
        <w:t>,</w:t>
      </w:r>
      <w:r w:rsidR="00621E0B" w:rsidRPr="003D56F3">
        <w:t xml:space="preserve"> should consult and collaborate with the World Health Organization (WHO), the International Labour Organization (ILO) and other relevant intergovernmental organizations, as appropriate</w:t>
      </w:r>
      <w:r w:rsidR="00BF726B" w:rsidRPr="003D56F3">
        <w:t>,</w:t>
      </w:r>
      <w:r w:rsidR="00621E0B" w:rsidRPr="003D56F3">
        <w:t xml:space="preserve"> a</w:t>
      </w:r>
      <w:r w:rsidR="00EF3124" w:rsidRPr="003D56F3">
        <w:t>nd should promote</w:t>
      </w:r>
      <w:r w:rsidR="00621E0B" w:rsidRPr="003D56F3">
        <w:t xml:space="preserve"> cooperation and exchange of information with </w:t>
      </w:r>
      <w:r w:rsidR="00BF726B" w:rsidRPr="003D56F3">
        <w:t xml:space="preserve">those </w:t>
      </w:r>
      <w:r w:rsidR="00621E0B" w:rsidRPr="003D56F3">
        <w:t>organizations</w:t>
      </w:r>
      <w:r w:rsidR="00EF3124" w:rsidRPr="003D56F3">
        <w:t>, as appropriate</w:t>
      </w:r>
      <w:r w:rsidR="00621E0B" w:rsidRPr="003D56F3">
        <w:t>.</w:t>
      </w:r>
    </w:p>
    <w:p w14:paraId="1A799625" w14:textId="3F8751B2" w:rsidR="000D283C" w:rsidRPr="003D56F3" w:rsidRDefault="00D34A59" w:rsidP="00902971">
      <w:pPr>
        <w:pStyle w:val="Normalnumber"/>
        <w:numPr>
          <w:ilvl w:val="0"/>
          <w:numId w:val="6"/>
        </w:numPr>
      </w:pPr>
      <w:r w:rsidRPr="003D56F3">
        <w:t>At its first meeting</w:t>
      </w:r>
      <w:r w:rsidR="00BF726B" w:rsidRPr="00B44405">
        <w:t>,</w:t>
      </w:r>
      <w:r w:rsidR="008A40F4" w:rsidRPr="00B44405">
        <w:t xml:space="preserve"> held in Geneva</w:t>
      </w:r>
      <w:r w:rsidR="008A40F4" w:rsidRPr="003D56F3">
        <w:t xml:space="preserve"> from 24 to 29 September 2017, the Conference of the Parties </w:t>
      </w:r>
      <w:r w:rsidRPr="003D56F3">
        <w:t xml:space="preserve">requested the secretariat to continue to actively engage in cooperation and collaboration with WHO, ILO and other relevant organizations in the implementation of the Minamata Convention. </w:t>
      </w:r>
      <w:r w:rsidR="00613BD4" w:rsidRPr="003D56F3">
        <w:t>Th</w:t>
      </w:r>
      <w:r w:rsidR="00A06E39" w:rsidRPr="003D56F3">
        <w:t>at</w:t>
      </w:r>
      <w:r w:rsidR="00613BD4" w:rsidRPr="003D56F3">
        <w:t xml:space="preserve"> </w:t>
      </w:r>
      <w:r w:rsidR="00CE0D3B" w:rsidRPr="003D56F3">
        <w:t xml:space="preserve">message </w:t>
      </w:r>
      <w:r w:rsidR="00613BD4" w:rsidRPr="003D56F3">
        <w:t xml:space="preserve">was </w:t>
      </w:r>
      <w:r w:rsidR="000C341A" w:rsidRPr="003D56F3">
        <w:t xml:space="preserve">reinforced at the second meeting </w:t>
      </w:r>
      <w:r w:rsidR="008E3F9C" w:rsidRPr="003D56F3">
        <w:t>of the Conference of the Par</w:t>
      </w:r>
      <w:r w:rsidR="00E72460" w:rsidRPr="003D56F3">
        <w:t xml:space="preserve">ties, held in Geneva from </w:t>
      </w:r>
      <w:r w:rsidR="00CE0D3B" w:rsidRPr="003D56F3">
        <w:t>1</w:t>
      </w:r>
      <w:r w:rsidR="005F21BF" w:rsidRPr="003D56F3">
        <w:t>9 to 23 November 2018.</w:t>
      </w:r>
    </w:p>
    <w:p w14:paraId="3141BAE9" w14:textId="67FD0B3E" w:rsidR="000D283C" w:rsidRPr="00673CE5" w:rsidRDefault="00F105C7" w:rsidP="00902971">
      <w:pPr>
        <w:pStyle w:val="Normalnumber"/>
        <w:numPr>
          <w:ilvl w:val="0"/>
          <w:numId w:val="6"/>
        </w:numPr>
      </w:pPr>
      <w:r w:rsidRPr="003D56F3">
        <w:t>The key areas for such cooperation and collaboration with WHO include</w:t>
      </w:r>
      <w:r w:rsidR="00E96087" w:rsidRPr="003D56F3">
        <w:t xml:space="preserve"> </w:t>
      </w:r>
      <w:r w:rsidRPr="003D56F3">
        <w:t>mercury thermometers and sphygmomanometers in health care, antiseptics</w:t>
      </w:r>
      <w:r w:rsidR="00A646A5" w:rsidRPr="003D56F3">
        <w:t xml:space="preserve">, </w:t>
      </w:r>
      <w:r w:rsidRPr="003D56F3">
        <w:t>skin-lightening products and dental amalgam (</w:t>
      </w:r>
      <w:r w:rsidR="009B10AF" w:rsidRPr="003D56F3">
        <w:t>art</w:t>
      </w:r>
      <w:r w:rsidR="00844FDB" w:rsidRPr="003D56F3">
        <w:t>.</w:t>
      </w:r>
      <w:r w:rsidR="009B10AF" w:rsidRPr="003D56F3">
        <w:t xml:space="preserve"> </w:t>
      </w:r>
      <w:r w:rsidRPr="003D56F3">
        <w:t xml:space="preserve">4 and </w:t>
      </w:r>
      <w:r w:rsidR="009B10AF" w:rsidRPr="003D56F3">
        <w:t xml:space="preserve">annex </w:t>
      </w:r>
      <w:r w:rsidRPr="003D56F3">
        <w:t xml:space="preserve">A); </w:t>
      </w:r>
      <w:r w:rsidRPr="00B44405">
        <w:t xml:space="preserve">public </w:t>
      </w:r>
      <w:r w:rsidRPr="00673CE5">
        <w:t xml:space="preserve">health strategies for </w:t>
      </w:r>
      <w:r w:rsidR="009B10AF" w:rsidRPr="00673CE5">
        <w:t xml:space="preserve">artisanal and small-scale gold mining </w:t>
      </w:r>
      <w:r w:rsidRPr="00673CE5">
        <w:t>(</w:t>
      </w:r>
      <w:r w:rsidR="009B10AF" w:rsidRPr="00673CE5">
        <w:t>art</w:t>
      </w:r>
      <w:r w:rsidR="002460D7" w:rsidRPr="00673CE5">
        <w:t>.</w:t>
      </w:r>
      <w:r w:rsidR="009B10AF" w:rsidRPr="00673CE5">
        <w:t xml:space="preserve"> </w:t>
      </w:r>
      <w:r w:rsidRPr="00673CE5">
        <w:t xml:space="preserve">7 and </w:t>
      </w:r>
      <w:r w:rsidR="009B10AF" w:rsidRPr="00673CE5">
        <w:t xml:space="preserve">annex </w:t>
      </w:r>
      <w:r w:rsidRPr="00673CE5">
        <w:t xml:space="preserve">C); </w:t>
      </w:r>
      <w:r w:rsidR="008472A7" w:rsidRPr="00673CE5">
        <w:t>human health risk assessment for contaminated sites (a</w:t>
      </w:r>
      <w:r w:rsidR="00844FDB" w:rsidRPr="00673CE5">
        <w:t>rt.</w:t>
      </w:r>
      <w:r w:rsidR="008472A7" w:rsidRPr="00673CE5">
        <w:t xml:space="preserve"> 12); </w:t>
      </w:r>
      <w:r w:rsidRPr="00673CE5">
        <w:t>the “health aspects” article (</w:t>
      </w:r>
      <w:r w:rsidR="009B10AF" w:rsidRPr="00673CE5">
        <w:t>art</w:t>
      </w:r>
      <w:r w:rsidR="00844FDB" w:rsidRPr="00673CE5">
        <w:t>.</w:t>
      </w:r>
      <w:r w:rsidR="009B10AF" w:rsidRPr="00673CE5">
        <w:t xml:space="preserve"> </w:t>
      </w:r>
      <w:r w:rsidRPr="00673CE5">
        <w:t>16); health information exchange (</w:t>
      </w:r>
      <w:r w:rsidR="009B10AF" w:rsidRPr="00673CE5">
        <w:t>art</w:t>
      </w:r>
      <w:r w:rsidR="00844FDB" w:rsidRPr="00673CE5">
        <w:t>.</w:t>
      </w:r>
      <w:r w:rsidR="009B10AF" w:rsidRPr="00673CE5">
        <w:t xml:space="preserve"> </w:t>
      </w:r>
      <w:r w:rsidRPr="00673CE5">
        <w:t xml:space="preserve">17); public information, awareness and education on </w:t>
      </w:r>
      <w:r w:rsidR="00673CE5" w:rsidRPr="00673CE5">
        <w:t xml:space="preserve">effects on </w:t>
      </w:r>
      <w:r w:rsidRPr="00673CE5">
        <w:t>human health (</w:t>
      </w:r>
      <w:r w:rsidR="009B10AF" w:rsidRPr="00673CE5">
        <w:t>art</w:t>
      </w:r>
      <w:r w:rsidR="005B4A21" w:rsidRPr="00673CE5">
        <w:t>.</w:t>
      </w:r>
      <w:r w:rsidR="009B10AF" w:rsidRPr="00673CE5">
        <w:t xml:space="preserve"> </w:t>
      </w:r>
      <w:r w:rsidRPr="00673CE5">
        <w:t xml:space="preserve">18); </w:t>
      </w:r>
      <w:r w:rsidR="009B10AF" w:rsidRPr="00673CE5">
        <w:t xml:space="preserve">and </w:t>
      </w:r>
      <w:r w:rsidRPr="00673CE5">
        <w:t>health-related research, development and monitoring (</w:t>
      </w:r>
      <w:r w:rsidR="009B10AF" w:rsidRPr="00673CE5">
        <w:t>art</w:t>
      </w:r>
      <w:r w:rsidR="00844FDB" w:rsidRPr="00673CE5">
        <w:t>.</w:t>
      </w:r>
      <w:r w:rsidR="009B10AF" w:rsidRPr="00673CE5">
        <w:t xml:space="preserve"> </w:t>
      </w:r>
      <w:r w:rsidRPr="00673CE5">
        <w:t>19), where ministries of health are envisaged to play a leading role</w:t>
      </w:r>
      <w:r w:rsidR="009B10AF" w:rsidRPr="00673CE5">
        <w:t>.</w:t>
      </w:r>
      <w:r w:rsidRPr="00673CE5">
        <w:t xml:space="preserve"> In addition</w:t>
      </w:r>
      <w:r w:rsidR="009B10AF" w:rsidRPr="00673CE5">
        <w:t>,</w:t>
      </w:r>
      <w:r w:rsidRPr="00673CE5">
        <w:t xml:space="preserve"> the </w:t>
      </w:r>
      <w:r w:rsidR="009B10AF" w:rsidRPr="00673CE5">
        <w:t xml:space="preserve">secretariats of </w:t>
      </w:r>
      <w:r w:rsidRPr="00673CE5">
        <w:t xml:space="preserve">WHO and </w:t>
      </w:r>
      <w:r w:rsidR="009B10AF" w:rsidRPr="00673CE5">
        <w:t xml:space="preserve">the </w:t>
      </w:r>
      <w:r w:rsidRPr="00673CE5">
        <w:t>Minamata Convention collaborate to support capacity-building and technical assistance (</w:t>
      </w:r>
      <w:r w:rsidR="009B10AF" w:rsidRPr="00673CE5">
        <w:t>art</w:t>
      </w:r>
      <w:r w:rsidR="005B4A21" w:rsidRPr="00673CE5">
        <w:t>.</w:t>
      </w:r>
      <w:r w:rsidR="009B10AF" w:rsidRPr="00673CE5">
        <w:t xml:space="preserve"> </w:t>
      </w:r>
      <w:r w:rsidRPr="00673CE5">
        <w:t>14) and effectiveness evaluation (</w:t>
      </w:r>
      <w:r w:rsidR="009B10AF" w:rsidRPr="00673CE5">
        <w:t>art</w:t>
      </w:r>
      <w:r w:rsidR="00844FDB" w:rsidRPr="00673CE5">
        <w:t>.</w:t>
      </w:r>
      <w:r w:rsidR="009B10AF" w:rsidRPr="00673CE5">
        <w:t xml:space="preserve"> </w:t>
      </w:r>
      <w:r w:rsidRPr="00673CE5">
        <w:t>22).</w:t>
      </w:r>
      <w:r w:rsidR="00A17FBF" w:rsidRPr="00673CE5">
        <w:t xml:space="preserve"> </w:t>
      </w:r>
    </w:p>
    <w:p w14:paraId="66B692AC" w14:textId="5514B8F9" w:rsidR="00611C95" w:rsidRPr="003D56F3" w:rsidRDefault="00D34A59" w:rsidP="009B43DD">
      <w:pPr>
        <w:pStyle w:val="Normalnumber"/>
        <w:numPr>
          <w:ilvl w:val="0"/>
          <w:numId w:val="6"/>
        </w:numPr>
      </w:pPr>
      <w:r w:rsidRPr="003D56F3">
        <w:rPr>
          <w:rFonts w:asciiTheme="majorBidi" w:hAnsiTheme="majorBidi" w:cstheme="majorBidi"/>
        </w:rPr>
        <w:t xml:space="preserve">The </w:t>
      </w:r>
      <w:r w:rsidRPr="003D56F3">
        <w:t>secretariat</w:t>
      </w:r>
      <w:r w:rsidRPr="003D56F3">
        <w:rPr>
          <w:rFonts w:asciiTheme="majorBidi" w:hAnsiTheme="majorBidi" w:cstheme="majorBidi"/>
        </w:rPr>
        <w:t xml:space="preserve"> has undertaken cooperative activities with WHO in the period since the </w:t>
      </w:r>
      <w:r w:rsidR="00A853C8" w:rsidRPr="003D56F3">
        <w:rPr>
          <w:rFonts w:asciiTheme="majorBidi" w:hAnsiTheme="majorBidi" w:cstheme="majorBidi"/>
        </w:rPr>
        <w:t>second</w:t>
      </w:r>
      <w:r w:rsidRPr="003D56F3">
        <w:rPr>
          <w:rFonts w:asciiTheme="majorBidi" w:hAnsiTheme="majorBidi" w:cstheme="majorBidi"/>
        </w:rPr>
        <w:t xml:space="preserve"> meeting of the Conference of the Parties, including participating in regional workshops promoting the Convention to health ministries, as well as technical cooperation on guidance documents and enquiries on </w:t>
      </w:r>
      <w:r w:rsidR="006A69F1" w:rsidRPr="003D56F3">
        <w:rPr>
          <w:rFonts w:asciiTheme="majorBidi" w:hAnsiTheme="majorBidi" w:cstheme="majorBidi"/>
        </w:rPr>
        <w:t xml:space="preserve">matters </w:t>
      </w:r>
      <w:r w:rsidRPr="003D56F3">
        <w:rPr>
          <w:rFonts w:asciiTheme="majorBidi" w:hAnsiTheme="majorBidi" w:cstheme="majorBidi"/>
        </w:rPr>
        <w:t>related to health issues.</w:t>
      </w:r>
      <w:r w:rsidR="00E96087" w:rsidRPr="003D56F3">
        <w:rPr>
          <w:rFonts w:asciiTheme="majorBidi" w:hAnsiTheme="majorBidi" w:cstheme="majorBidi"/>
        </w:rPr>
        <w:t xml:space="preserve"> </w:t>
      </w:r>
      <w:r w:rsidRPr="003D56F3">
        <w:rPr>
          <w:rFonts w:asciiTheme="majorBidi" w:hAnsiTheme="majorBidi" w:cstheme="majorBidi"/>
        </w:rPr>
        <w:t xml:space="preserve">WHO </w:t>
      </w:r>
      <w:r w:rsidR="00A853C8" w:rsidRPr="003D56F3">
        <w:rPr>
          <w:rFonts w:asciiTheme="majorBidi" w:hAnsiTheme="majorBidi" w:cstheme="majorBidi"/>
        </w:rPr>
        <w:t xml:space="preserve">continues to </w:t>
      </w:r>
      <w:r w:rsidRPr="003D56F3">
        <w:rPr>
          <w:rFonts w:asciiTheme="majorBidi" w:hAnsiTheme="majorBidi" w:cstheme="majorBidi"/>
        </w:rPr>
        <w:t>participate</w:t>
      </w:r>
      <w:r w:rsidR="00A853C8" w:rsidRPr="003D56F3">
        <w:rPr>
          <w:rFonts w:asciiTheme="majorBidi" w:hAnsiTheme="majorBidi" w:cstheme="majorBidi"/>
        </w:rPr>
        <w:t xml:space="preserve"> </w:t>
      </w:r>
      <w:r w:rsidRPr="003D56F3">
        <w:rPr>
          <w:rFonts w:asciiTheme="majorBidi" w:hAnsiTheme="majorBidi" w:cstheme="majorBidi"/>
        </w:rPr>
        <w:t xml:space="preserve">in the intersessional work on effectiveness evaluation, making major contributions to the </w:t>
      </w:r>
      <w:r w:rsidR="006A69F1" w:rsidRPr="003D56F3">
        <w:rPr>
          <w:rFonts w:asciiTheme="majorBidi" w:hAnsiTheme="majorBidi" w:cstheme="majorBidi"/>
        </w:rPr>
        <w:t xml:space="preserve">draft </w:t>
      </w:r>
      <w:r w:rsidRPr="003D56F3">
        <w:rPr>
          <w:rFonts w:asciiTheme="majorBidi" w:hAnsiTheme="majorBidi" w:cstheme="majorBidi"/>
        </w:rPr>
        <w:t>report pre</w:t>
      </w:r>
      <w:r w:rsidR="00B43CA2" w:rsidRPr="003D56F3">
        <w:rPr>
          <w:rFonts w:asciiTheme="majorBidi" w:hAnsiTheme="majorBidi" w:cstheme="majorBidi"/>
        </w:rPr>
        <w:t xml:space="preserve">pared by the </w:t>
      </w:r>
      <w:r w:rsidR="009D593C" w:rsidRPr="003D56F3">
        <w:rPr>
          <w:rFonts w:asciiTheme="majorBidi" w:hAnsiTheme="majorBidi" w:cstheme="majorBidi"/>
        </w:rPr>
        <w:t xml:space="preserve">technical </w:t>
      </w:r>
      <w:r w:rsidR="00B43CA2" w:rsidRPr="003D56F3">
        <w:rPr>
          <w:rFonts w:asciiTheme="majorBidi" w:hAnsiTheme="majorBidi" w:cstheme="majorBidi"/>
        </w:rPr>
        <w:t>expert</w:t>
      </w:r>
      <w:r w:rsidR="009D593C" w:rsidRPr="003D56F3">
        <w:rPr>
          <w:rFonts w:asciiTheme="majorBidi" w:hAnsiTheme="majorBidi" w:cstheme="majorBidi"/>
        </w:rPr>
        <w:t xml:space="preserve"> group</w:t>
      </w:r>
      <w:r w:rsidR="00B43CA2" w:rsidRPr="003D56F3">
        <w:rPr>
          <w:rFonts w:asciiTheme="majorBidi" w:hAnsiTheme="majorBidi" w:cstheme="majorBidi"/>
        </w:rPr>
        <w:t xml:space="preserve">. An update on the </w:t>
      </w:r>
      <w:r w:rsidR="00B43CA2" w:rsidRPr="003D56F3">
        <w:t>activities</w:t>
      </w:r>
      <w:r w:rsidR="00B43CA2" w:rsidRPr="003D56F3">
        <w:rPr>
          <w:rFonts w:asciiTheme="majorBidi" w:hAnsiTheme="majorBidi" w:cstheme="majorBidi"/>
        </w:rPr>
        <w:t xml:space="preserve"> of WHO relevant to the Minamata Convention is set out in annex</w:t>
      </w:r>
      <w:r w:rsidR="00810553" w:rsidRPr="003D56F3">
        <w:rPr>
          <w:rFonts w:asciiTheme="majorBidi" w:hAnsiTheme="majorBidi" w:cstheme="majorBidi"/>
        </w:rPr>
        <w:t xml:space="preserve"> I</w:t>
      </w:r>
      <w:r w:rsidR="00B43CA2" w:rsidRPr="003D56F3">
        <w:rPr>
          <w:rFonts w:asciiTheme="majorBidi" w:hAnsiTheme="majorBidi" w:cstheme="majorBidi"/>
        </w:rPr>
        <w:t xml:space="preserve"> to th</w:t>
      </w:r>
      <w:r w:rsidR="00086D4F" w:rsidRPr="003D56F3">
        <w:rPr>
          <w:rFonts w:asciiTheme="majorBidi" w:hAnsiTheme="majorBidi" w:cstheme="majorBidi"/>
        </w:rPr>
        <w:t>e present</w:t>
      </w:r>
      <w:r w:rsidR="00B43CA2" w:rsidRPr="003D56F3">
        <w:rPr>
          <w:rFonts w:asciiTheme="majorBidi" w:hAnsiTheme="majorBidi" w:cstheme="majorBidi"/>
        </w:rPr>
        <w:t xml:space="preserve"> note</w:t>
      </w:r>
      <w:r w:rsidR="00B43CA2" w:rsidRPr="003D56F3">
        <w:t>.</w:t>
      </w:r>
      <w:r w:rsidR="00086D4F" w:rsidRPr="003D56F3">
        <w:t xml:space="preserve"> </w:t>
      </w:r>
    </w:p>
    <w:p w14:paraId="304407DC" w14:textId="1A01FE77" w:rsidR="00273588" w:rsidRPr="003D56F3" w:rsidRDefault="00785C70" w:rsidP="009F428F">
      <w:pPr>
        <w:pStyle w:val="ListParagraph"/>
        <w:numPr>
          <w:ilvl w:val="0"/>
          <w:numId w:val="6"/>
        </w:numPr>
        <w:spacing w:after="120"/>
      </w:pPr>
      <w:r w:rsidRPr="003D56F3">
        <w:lastRenderedPageBreak/>
        <w:t xml:space="preserve">Work by </w:t>
      </w:r>
      <w:r w:rsidR="00224D76" w:rsidRPr="003D56F3">
        <w:t xml:space="preserve">ILO to date has focused </w:t>
      </w:r>
      <w:r w:rsidR="00224D76" w:rsidRPr="008D75DC">
        <w:t>on mercury</w:t>
      </w:r>
      <w:r w:rsidR="00224D76" w:rsidRPr="003D56F3">
        <w:t xml:space="preserve"> use in </w:t>
      </w:r>
      <w:r w:rsidR="006855FC" w:rsidRPr="003D56F3">
        <w:t>a</w:t>
      </w:r>
      <w:r w:rsidR="00224D76" w:rsidRPr="003D56F3">
        <w:t xml:space="preserve">rtisanal and </w:t>
      </w:r>
      <w:r w:rsidR="006855FC" w:rsidRPr="003D56F3">
        <w:t>s</w:t>
      </w:r>
      <w:r w:rsidR="00224D76" w:rsidRPr="003D56F3">
        <w:t xml:space="preserve">mall-scale </w:t>
      </w:r>
      <w:r w:rsidR="006855FC" w:rsidRPr="003D56F3">
        <w:t>g</w:t>
      </w:r>
      <w:r w:rsidR="00224D76" w:rsidRPr="003D56F3">
        <w:t xml:space="preserve">old </w:t>
      </w:r>
      <w:r w:rsidR="006855FC" w:rsidRPr="003D56F3">
        <w:t>m</w:t>
      </w:r>
      <w:r w:rsidR="00224D76" w:rsidRPr="003D56F3">
        <w:t>ining (</w:t>
      </w:r>
      <w:r w:rsidR="00C002D1" w:rsidRPr="003D56F3">
        <w:t>art</w:t>
      </w:r>
      <w:r w:rsidR="006855FC" w:rsidRPr="003D56F3">
        <w:t>. </w:t>
      </w:r>
      <w:r w:rsidR="00224D76" w:rsidRPr="003D56F3">
        <w:t>7)</w:t>
      </w:r>
      <w:r w:rsidRPr="003D56F3">
        <w:t>, but the organization</w:t>
      </w:r>
      <w:r w:rsidR="009F428F" w:rsidRPr="003D56F3">
        <w:t xml:space="preserve"> </w:t>
      </w:r>
      <w:r w:rsidR="00224D76" w:rsidRPr="003D56F3">
        <w:t>is currently expanding the scope of its initiatives to include mercury exposures in the e</w:t>
      </w:r>
      <w:r w:rsidR="006855FC" w:rsidRPr="003D56F3">
        <w:noBreakHyphen/>
      </w:r>
      <w:r w:rsidR="00224D76" w:rsidRPr="003D56F3">
        <w:t>waste sector</w:t>
      </w:r>
      <w:r w:rsidR="00221C65" w:rsidRPr="003D56F3">
        <w:t xml:space="preserve"> </w:t>
      </w:r>
      <w:r w:rsidR="00224D76" w:rsidRPr="003D56F3">
        <w:t>(</w:t>
      </w:r>
      <w:r w:rsidR="00C002D1" w:rsidRPr="003D56F3">
        <w:t>art. 16)</w:t>
      </w:r>
      <w:r w:rsidR="00224D76" w:rsidRPr="003D56F3">
        <w:t>.</w:t>
      </w:r>
      <w:r w:rsidR="00BD27DC" w:rsidRPr="003D56F3">
        <w:t xml:space="preserve"> </w:t>
      </w:r>
      <w:r w:rsidR="00273588" w:rsidRPr="003D56F3">
        <w:t xml:space="preserve">ILO </w:t>
      </w:r>
      <w:r w:rsidRPr="003D56F3">
        <w:t xml:space="preserve">generally </w:t>
      </w:r>
      <w:r w:rsidR="00273588" w:rsidRPr="003D56F3">
        <w:t xml:space="preserve">promotes its international instruments towards the prevention of occupational diseases and injuries caused by </w:t>
      </w:r>
      <w:r w:rsidR="00DE41DD" w:rsidRPr="003D56F3">
        <w:t>mercury and</w:t>
      </w:r>
      <w:r w:rsidR="00273588" w:rsidRPr="003D56F3">
        <w:t xml:space="preserve"> implements projects in </w:t>
      </w:r>
      <w:r w:rsidR="00F95156" w:rsidRPr="003D56F3">
        <w:t>the a</w:t>
      </w:r>
      <w:r w:rsidR="00273588" w:rsidRPr="003D56F3">
        <w:t xml:space="preserve">rtisanal and </w:t>
      </w:r>
      <w:r w:rsidR="00F95156" w:rsidRPr="003D56F3">
        <w:t>s</w:t>
      </w:r>
      <w:r w:rsidR="00273588" w:rsidRPr="003D56F3">
        <w:t xml:space="preserve">mall-scale </w:t>
      </w:r>
      <w:r w:rsidR="00F95156" w:rsidRPr="003D56F3">
        <w:t>g</w:t>
      </w:r>
      <w:r w:rsidR="00273588" w:rsidRPr="003D56F3">
        <w:t xml:space="preserve">old </w:t>
      </w:r>
      <w:r w:rsidR="00F95156" w:rsidRPr="003D56F3">
        <w:t>m</w:t>
      </w:r>
      <w:r w:rsidR="00273588" w:rsidRPr="003D56F3">
        <w:t xml:space="preserve">ining and automobile dismantling sectors. </w:t>
      </w:r>
      <w:r w:rsidRPr="003D56F3">
        <w:t>It</w:t>
      </w:r>
      <w:r w:rsidR="00273588" w:rsidRPr="003D56F3">
        <w:t xml:space="preserve"> continues to produce </w:t>
      </w:r>
      <w:r w:rsidR="006619DF" w:rsidRPr="003D56F3">
        <w:t>g</w:t>
      </w:r>
      <w:r w:rsidR="00273588" w:rsidRPr="003D56F3">
        <w:t xml:space="preserve">lobal </w:t>
      </w:r>
      <w:r w:rsidR="006619DF" w:rsidRPr="003D56F3">
        <w:t>c</w:t>
      </w:r>
      <w:r w:rsidR="00273588" w:rsidRPr="003D56F3">
        <w:t xml:space="preserve">odes of practice, research papers and working documents to aid the implementation of the Minamata Convention. Future efforts include </w:t>
      </w:r>
      <w:r w:rsidR="00875CC0" w:rsidRPr="003D56F3">
        <w:t xml:space="preserve">continued work </w:t>
      </w:r>
      <w:r w:rsidR="00F95156" w:rsidRPr="003D56F3">
        <w:t>i</w:t>
      </w:r>
      <w:r w:rsidR="00273588" w:rsidRPr="003D56F3">
        <w:t xml:space="preserve">n </w:t>
      </w:r>
      <w:r w:rsidR="00F95156" w:rsidRPr="003D56F3">
        <w:t>the a</w:t>
      </w:r>
      <w:r w:rsidR="00875CC0" w:rsidRPr="003D56F3">
        <w:t xml:space="preserve">rtisanal and </w:t>
      </w:r>
      <w:r w:rsidR="00F95156" w:rsidRPr="003D56F3">
        <w:t>s</w:t>
      </w:r>
      <w:r w:rsidR="00875CC0" w:rsidRPr="003D56F3">
        <w:t xml:space="preserve">mall-scale </w:t>
      </w:r>
      <w:r w:rsidR="00F95156" w:rsidRPr="003D56F3">
        <w:t>g</w:t>
      </w:r>
      <w:r w:rsidR="00875CC0" w:rsidRPr="003D56F3">
        <w:t xml:space="preserve">old </w:t>
      </w:r>
      <w:r w:rsidR="00F95156" w:rsidRPr="003D56F3">
        <w:t>m</w:t>
      </w:r>
      <w:r w:rsidR="00875CC0" w:rsidRPr="003D56F3">
        <w:t xml:space="preserve">ining sector </w:t>
      </w:r>
      <w:r w:rsidR="00273588" w:rsidRPr="003D56F3">
        <w:t xml:space="preserve">and a possible joint project with WHO and </w:t>
      </w:r>
      <w:r w:rsidRPr="003D56F3">
        <w:t xml:space="preserve">the </w:t>
      </w:r>
      <w:r w:rsidR="00F95156" w:rsidRPr="003D56F3">
        <w:t>United Nations Environment Programme</w:t>
      </w:r>
      <w:r w:rsidR="00273588" w:rsidRPr="003D56F3">
        <w:t xml:space="preserve"> </w:t>
      </w:r>
      <w:r w:rsidR="00273588" w:rsidRPr="003D56F3">
        <w:rPr>
          <w:rFonts w:asciiTheme="majorBidi" w:hAnsiTheme="majorBidi" w:cstheme="majorBidi"/>
        </w:rPr>
        <w:t>to protect medical workers</w:t>
      </w:r>
      <w:r w:rsidR="00E15CBE" w:rsidRPr="003D56F3">
        <w:rPr>
          <w:rFonts w:asciiTheme="majorBidi" w:hAnsiTheme="majorBidi" w:cstheme="majorBidi"/>
        </w:rPr>
        <w:t xml:space="preserve"> in the dental sector</w:t>
      </w:r>
      <w:r w:rsidR="00273588" w:rsidRPr="003D56F3">
        <w:rPr>
          <w:rFonts w:asciiTheme="majorBidi" w:hAnsiTheme="majorBidi" w:cstheme="majorBidi"/>
        </w:rPr>
        <w:t xml:space="preserve"> from hazardous exposure to mercury.</w:t>
      </w:r>
      <w:r w:rsidRPr="003D56F3">
        <w:t xml:space="preserve"> On 4 July 2019, ILO presented its activities related to the Minamata Convention at a briefing addressed to the Geneva international community, organized by the Geneva Environment Network.</w:t>
      </w:r>
      <w:r w:rsidR="00810553" w:rsidRPr="003D56F3">
        <w:rPr>
          <w:rFonts w:asciiTheme="majorBidi" w:hAnsiTheme="majorBidi" w:cstheme="majorBidi"/>
        </w:rPr>
        <w:t xml:space="preserve"> An update on the </w:t>
      </w:r>
      <w:r w:rsidR="00810553" w:rsidRPr="003D56F3">
        <w:t>activities</w:t>
      </w:r>
      <w:r w:rsidR="00810553" w:rsidRPr="003D56F3">
        <w:rPr>
          <w:rFonts w:asciiTheme="majorBidi" w:hAnsiTheme="majorBidi" w:cstheme="majorBidi"/>
        </w:rPr>
        <w:t xml:space="preserve"> of ILO relevant to the Minamata Convention is set out in annex II to the present note</w:t>
      </w:r>
      <w:r w:rsidR="00810553" w:rsidRPr="003D56F3">
        <w:t>.</w:t>
      </w:r>
    </w:p>
    <w:p w14:paraId="5322E946" w14:textId="55E22568" w:rsidR="00752ADE" w:rsidRPr="003D56F3" w:rsidRDefault="00752ADE" w:rsidP="00752ADE">
      <w:pPr>
        <w:pStyle w:val="Normalnumber"/>
        <w:numPr>
          <w:ilvl w:val="0"/>
          <w:numId w:val="6"/>
        </w:numPr>
      </w:pPr>
      <w:r w:rsidRPr="003D56F3">
        <w:t xml:space="preserve">The secretariat continues to engage with </w:t>
      </w:r>
      <w:r w:rsidR="00875CC0" w:rsidRPr="003D56F3">
        <w:t xml:space="preserve">ILO </w:t>
      </w:r>
      <w:r w:rsidR="009D593C" w:rsidRPr="003D56F3">
        <w:t xml:space="preserve">and WHO </w:t>
      </w:r>
      <w:r w:rsidRPr="003D56F3">
        <w:t xml:space="preserve">through the Inter-Organization Programme for the Sound Management of Chemicals, </w:t>
      </w:r>
      <w:r w:rsidR="00F95156" w:rsidRPr="003D56F3">
        <w:t xml:space="preserve">which is </w:t>
      </w:r>
      <w:r w:rsidRPr="003D56F3">
        <w:t xml:space="preserve">the international coordinating mechanism on chemicals management. </w:t>
      </w:r>
    </w:p>
    <w:p w14:paraId="795D78F8" w14:textId="126647E0" w:rsidR="000D283C" w:rsidRPr="003D56F3" w:rsidRDefault="00902971" w:rsidP="00902971">
      <w:pPr>
        <w:pStyle w:val="CH3"/>
        <w:spacing w:before="160" w:after="160"/>
      </w:pPr>
      <w:r w:rsidRPr="003D56F3">
        <w:tab/>
      </w:r>
      <w:r w:rsidRPr="003D56F3">
        <w:tab/>
      </w:r>
      <w:r w:rsidR="000D283C" w:rsidRPr="003D56F3">
        <w:t>Suggested action by the Conference of the Parties</w:t>
      </w:r>
    </w:p>
    <w:p w14:paraId="6BD43B23" w14:textId="3D2CA20C" w:rsidR="00C72E49" w:rsidRPr="003D56F3" w:rsidRDefault="000D283C" w:rsidP="00902971">
      <w:pPr>
        <w:pStyle w:val="Normalnumber"/>
        <w:numPr>
          <w:ilvl w:val="0"/>
          <w:numId w:val="6"/>
        </w:numPr>
        <w:rPr>
          <w:rFonts w:asciiTheme="majorBidi" w:hAnsiTheme="majorBidi" w:cstheme="majorBidi"/>
        </w:rPr>
      </w:pPr>
      <w:r w:rsidRPr="003D56F3">
        <w:rPr>
          <w:rFonts w:asciiTheme="majorBidi" w:hAnsiTheme="majorBidi" w:cstheme="majorBidi"/>
        </w:rPr>
        <w:t xml:space="preserve">The Conference of the Parties may wish to request the secretariat to continue active </w:t>
      </w:r>
      <w:r w:rsidRPr="003D56F3">
        <w:t xml:space="preserve">cooperation and collaboration on </w:t>
      </w:r>
      <w:r w:rsidR="00C84728" w:rsidRPr="003D56F3">
        <w:t>health-</w:t>
      </w:r>
      <w:r w:rsidRPr="003D56F3">
        <w:t xml:space="preserve">related issues </w:t>
      </w:r>
      <w:r w:rsidRPr="00736410">
        <w:t>with the relevant intergovernmental organizations, in particular WHO and ILO. The Conference of the Parties may</w:t>
      </w:r>
      <w:r w:rsidRPr="003D56F3">
        <w:t xml:space="preserve"> </w:t>
      </w:r>
      <w:r w:rsidR="006A30A5" w:rsidRPr="003D56F3">
        <w:t xml:space="preserve">also </w:t>
      </w:r>
      <w:r w:rsidRPr="003D56F3">
        <w:t xml:space="preserve">wish to consider ways </w:t>
      </w:r>
      <w:r w:rsidR="00A646A5" w:rsidRPr="003D56F3">
        <w:t xml:space="preserve">in which </w:t>
      </w:r>
      <w:r w:rsidRPr="003D56F3">
        <w:t xml:space="preserve">to </w:t>
      </w:r>
      <w:r w:rsidR="00B8343C" w:rsidRPr="003D56F3">
        <w:t xml:space="preserve">promote consultation, collaboration and information exchange </w:t>
      </w:r>
      <w:r w:rsidR="006A30A5" w:rsidRPr="003D56F3">
        <w:t>with th</w:t>
      </w:r>
      <w:r w:rsidR="00E55F66" w:rsidRPr="003D56F3">
        <w:t>o</w:t>
      </w:r>
      <w:r w:rsidR="006A30A5" w:rsidRPr="003D56F3">
        <w:t>se organizations</w:t>
      </w:r>
      <w:r w:rsidR="00E55F66" w:rsidRPr="003D56F3">
        <w:t>,</w:t>
      </w:r>
      <w:r w:rsidR="006A30A5" w:rsidRPr="003D56F3">
        <w:t xml:space="preserve"> </w:t>
      </w:r>
      <w:r w:rsidR="00B8343C" w:rsidRPr="003D56F3">
        <w:t>as provided for in</w:t>
      </w:r>
      <w:r w:rsidRPr="003D56F3">
        <w:t xml:space="preserve"> </w:t>
      </w:r>
      <w:r w:rsidR="00C84728" w:rsidRPr="003D56F3">
        <w:t xml:space="preserve">paragraph 2 of article </w:t>
      </w:r>
      <w:r w:rsidRPr="003D56F3">
        <w:t>16.</w:t>
      </w:r>
      <w:r w:rsidRPr="003D56F3">
        <w:rPr>
          <w:rFonts w:asciiTheme="majorBidi" w:hAnsiTheme="majorBidi" w:cstheme="majorBidi"/>
        </w:rPr>
        <w:t xml:space="preserve"> </w:t>
      </w:r>
    </w:p>
    <w:p w14:paraId="68C4B9A6" w14:textId="77777777" w:rsidR="00D572E2" w:rsidRDefault="00D572E2">
      <w:pPr>
        <w:tabs>
          <w:tab w:val="clear" w:pos="1247"/>
          <w:tab w:val="clear" w:pos="1814"/>
          <w:tab w:val="clear" w:pos="2381"/>
          <w:tab w:val="clear" w:pos="2948"/>
          <w:tab w:val="clear" w:pos="3515"/>
        </w:tabs>
        <w:sectPr w:rsidR="00D572E2"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pPr>
    </w:p>
    <w:p w14:paraId="0B416F60" w14:textId="3DDAEF67" w:rsidR="00480343" w:rsidRPr="003D56F3" w:rsidRDefault="00480343" w:rsidP="002C54E3">
      <w:pPr>
        <w:pStyle w:val="ZZAnxheader"/>
      </w:pPr>
      <w:r w:rsidRPr="003D56F3">
        <w:lastRenderedPageBreak/>
        <w:t>Annex</w:t>
      </w:r>
      <w:r w:rsidR="00810553" w:rsidRPr="003D56F3">
        <w:t xml:space="preserve"> I</w:t>
      </w:r>
    </w:p>
    <w:p w14:paraId="0B100D4C" w14:textId="77777777" w:rsidR="002C54E3" w:rsidRPr="003D56F3" w:rsidRDefault="00B43CA2" w:rsidP="002C54E3">
      <w:pPr>
        <w:pStyle w:val="ZZAnxtitle"/>
      </w:pPr>
      <w:r w:rsidRPr="003D56F3">
        <w:t>Work of the World Health Organization relevant to the Minamata Convention</w:t>
      </w:r>
      <w:r w:rsidR="000D283C" w:rsidRPr="003D56F3">
        <w:t xml:space="preserve"> on Mercury</w:t>
      </w:r>
    </w:p>
    <w:p w14:paraId="15E1F84A" w14:textId="3CC6685D" w:rsidR="00CE0D3B" w:rsidRPr="003D56F3" w:rsidRDefault="00CE0D3B" w:rsidP="00CE0D3B">
      <w:pPr>
        <w:pStyle w:val="Normalnumber"/>
        <w:numPr>
          <w:ilvl w:val="0"/>
          <w:numId w:val="8"/>
        </w:numPr>
        <w:ind w:left="1247" w:firstLine="0"/>
        <w:rPr>
          <w:rFonts w:asciiTheme="majorBidi" w:hAnsiTheme="majorBidi" w:cstheme="majorBidi"/>
          <w:color w:val="000000" w:themeColor="text1"/>
        </w:rPr>
      </w:pPr>
      <w:r w:rsidRPr="003D56F3">
        <w:t xml:space="preserve">Collaboration </w:t>
      </w:r>
      <w:r w:rsidRPr="005A240A">
        <w:t>between the</w:t>
      </w:r>
      <w:r w:rsidRPr="003D56F3">
        <w:t xml:space="preserve"> World Health Organization (WHO) and the Conference of the Parties to the Minamata Convention on Mercury and secretariat of the Minamata Convention stems from the Convention text, in particular paragraph 2 of article 16; the </w:t>
      </w:r>
      <w:r w:rsidR="001F1A56">
        <w:t xml:space="preserve">Minamata Convention </w:t>
      </w:r>
      <w:r w:rsidR="008372C8" w:rsidRPr="003D56F3">
        <w:t xml:space="preserve">Conference of Plenipotentiaries </w:t>
      </w:r>
      <w:r w:rsidRPr="003D56F3">
        <w:t>resolution on matters pertaining to other international bodies; and World Health Assembly resolution WHA67.11 on p</w:t>
      </w:r>
      <w:r w:rsidRPr="003D56F3">
        <w:rPr>
          <w:iCs/>
        </w:rPr>
        <w:t>ublic health impacts of exposure to mercury and mercury compounds: the role of WHO and ministries of public health in the implementation of the Minamata Convention</w:t>
      </w:r>
      <w:r w:rsidRPr="003D56F3">
        <w:t>.</w:t>
      </w:r>
    </w:p>
    <w:p w14:paraId="18FEF698" w14:textId="414546E0" w:rsidR="00CE0D3B" w:rsidRPr="003D56F3" w:rsidRDefault="00CE0D3B" w:rsidP="00CE0D3B">
      <w:pPr>
        <w:pStyle w:val="Normalnumber"/>
        <w:numPr>
          <w:ilvl w:val="0"/>
          <w:numId w:val="8"/>
        </w:numPr>
        <w:ind w:left="1247" w:firstLine="0"/>
        <w:rPr>
          <w:rFonts w:asciiTheme="majorBidi" w:hAnsiTheme="majorBidi" w:cstheme="majorBidi"/>
          <w:color w:val="000000" w:themeColor="text1"/>
        </w:rPr>
      </w:pPr>
      <w:r w:rsidRPr="003D56F3">
        <w:rPr>
          <w:rFonts w:asciiTheme="majorBidi" w:hAnsiTheme="majorBidi" w:cstheme="majorBidi"/>
          <w:color w:val="000000" w:themeColor="text1"/>
        </w:rPr>
        <w:t>In the period from July 2018 to June 2019, WHO activities relevant to the Minamata Convention focused on the</w:t>
      </w:r>
      <w:r w:rsidR="004423CD" w:rsidRPr="003D56F3">
        <w:rPr>
          <w:rFonts w:asciiTheme="majorBidi" w:hAnsiTheme="majorBidi" w:cstheme="majorBidi"/>
          <w:color w:val="000000" w:themeColor="text1"/>
        </w:rPr>
        <w:t xml:space="preserve"> matters set out below</w:t>
      </w:r>
      <w:r w:rsidRPr="003D56F3">
        <w:rPr>
          <w:rFonts w:asciiTheme="majorBidi" w:hAnsiTheme="majorBidi" w:cstheme="majorBidi"/>
          <w:color w:val="000000" w:themeColor="text1"/>
        </w:rPr>
        <w:t xml:space="preserve">. </w:t>
      </w:r>
    </w:p>
    <w:p w14:paraId="0846D22E" w14:textId="77777777" w:rsidR="00CE0D3B" w:rsidRPr="003D56F3" w:rsidRDefault="00CE0D3B" w:rsidP="00CE0D3B">
      <w:pPr>
        <w:pStyle w:val="CH3"/>
      </w:pPr>
      <w:r w:rsidRPr="003D56F3">
        <w:tab/>
      </w:r>
      <w:r w:rsidRPr="003D56F3">
        <w:tab/>
        <w:t>WHO guidance on prioritization and planning for implementation of the health-related articles of the Minamata Convention</w:t>
      </w:r>
    </w:p>
    <w:p w14:paraId="1FF9E197" w14:textId="7F03B3F7" w:rsidR="00CE0D3B" w:rsidRPr="003D56F3" w:rsidRDefault="00CE0D3B" w:rsidP="00CE0D3B">
      <w:pPr>
        <w:pStyle w:val="Normalnumber"/>
        <w:numPr>
          <w:ilvl w:val="0"/>
          <w:numId w:val="8"/>
        </w:numPr>
        <w:ind w:left="1247" w:firstLine="0"/>
        <w:rPr>
          <w:rFonts w:asciiTheme="majorBidi" w:hAnsiTheme="majorBidi" w:cstheme="majorBidi"/>
          <w:color w:val="000000" w:themeColor="text1"/>
        </w:rPr>
      </w:pPr>
      <w:r w:rsidRPr="003D56F3">
        <w:rPr>
          <w:rFonts w:asciiTheme="majorBidi" w:hAnsiTheme="majorBidi" w:cstheme="majorBidi"/>
          <w:color w:val="000000" w:themeColor="text1"/>
        </w:rPr>
        <w:t xml:space="preserve">Owing to </w:t>
      </w:r>
      <w:r w:rsidRPr="00677B01">
        <w:rPr>
          <w:rFonts w:asciiTheme="majorBidi" w:hAnsiTheme="majorBidi" w:cstheme="majorBidi"/>
          <w:color w:val="000000" w:themeColor="text1"/>
        </w:rPr>
        <w:t>the multiple roles required</w:t>
      </w:r>
      <w:r w:rsidRPr="003D56F3">
        <w:rPr>
          <w:rFonts w:asciiTheme="majorBidi" w:hAnsiTheme="majorBidi" w:cstheme="majorBidi"/>
          <w:color w:val="000000" w:themeColor="text1"/>
        </w:rPr>
        <w:t xml:space="preserve"> of ministries of health in implementing the Minamata Convention, WHO has developed guidance on strategic planning for implementation of the </w:t>
      </w:r>
      <w:r w:rsidR="005F7320">
        <w:rPr>
          <w:rFonts w:asciiTheme="majorBidi" w:hAnsiTheme="majorBidi" w:cstheme="majorBidi"/>
          <w:color w:val="000000" w:themeColor="text1"/>
        </w:rPr>
        <w:t>health</w:t>
      </w:r>
      <w:r w:rsidR="005F7320">
        <w:rPr>
          <w:rFonts w:asciiTheme="majorBidi" w:hAnsiTheme="majorBidi" w:cstheme="majorBidi"/>
          <w:color w:val="000000" w:themeColor="text1"/>
        </w:rPr>
        <w:noBreakHyphen/>
        <w:t>related</w:t>
      </w:r>
      <w:r w:rsidRPr="003D56F3">
        <w:rPr>
          <w:rFonts w:asciiTheme="majorBidi" w:hAnsiTheme="majorBidi" w:cstheme="majorBidi"/>
          <w:color w:val="000000" w:themeColor="text1"/>
        </w:rPr>
        <w:t xml:space="preserve"> articles of the Convention. The guidance recognizes that the approach taken in any country will need to be adapted to that country’s particular needs and circumstances. Therefore, the document sets out key considerations to be taken into account while developing plans, as well as guidance on the mainstreaming of mercury actions into various health programmes in support of article 16 on health aspects. The guidance will be published and released in </w:t>
      </w:r>
      <w:r w:rsidR="00AB0B53" w:rsidRPr="003D56F3">
        <w:rPr>
          <w:rFonts w:asciiTheme="majorBidi" w:hAnsiTheme="majorBidi" w:cstheme="majorBidi"/>
          <w:color w:val="000000" w:themeColor="text1"/>
        </w:rPr>
        <w:t xml:space="preserve">the six official languages of the </w:t>
      </w:r>
      <w:r w:rsidRPr="003D56F3">
        <w:rPr>
          <w:rFonts w:asciiTheme="majorBidi" w:hAnsiTheme="majorBidi" w:cstheme="majorBidi"/>
          <w:color w:val="000000" w:themeColor="text1"/>
        </w:rPr>
        <w:t>U</w:t>
      </w:r>
      <w:r w:rsidR="004423CD" w:rsidRPr="003D56F3">
        <w:rPr>
          <w:rFonts w:asciiTheme="majorBidi" w:hAnsiTheme="majorBidi" w:cstheme="majorBidi"/>
          <w:color w:val="000000" w:themeColor="text1"/>
        </w:rPr>
        <w:t xml:space="preserve">nited </w:t>
      </w:r>
      <w:r w:rsidRPr="003D56F3">
        <w:rPr>
          <w:rFonts w:asciiTheme="majorBidi" w:hAnsiTheme="majorBidi" w:cstheme="majorBidi"/>
          <w:color w:val="000000" w:themeColor="text1"/>
        </w:rPr>
        <w:t>N</w:t>
      </w:r>
      <w:r w:rsidR="004423CD" w:rsidRPr="003D56F3">
        <w:rPr>
          <w:rFonts w:asciiTheme="majorBidi" w:hAnsiTheme="majorBidi" w:cstheme="majorBidi"/>
          <w:color w:val="000000" w:themeColor="text1"/>
        </w:rPr>
        <w:t>ations</w:t>
      </w:r>
      <w:r w:rsidRPr="003D56F3">
        <w:rPr>
          <w:rFonts w:asciiTheme="majorBidi" w:hAnsiTheme="majorBidi" w:cstheme="majorBidi"/>
          <w:color w:val="000000" w:themeColor="text1"/>
        </w:rPr>
        <w:t xml:space="preserve"> in the second half of 2019.</w:t>
      </w:r>
    </w:p>
    <w:p w14:paraId="50501E25" w14:textId="1E305F15" w:rsidR="00CE0D3B" w:rsidRPr="003D56F3" w:rsidRDefault="008372C8" w:rsidP="00CE0D3B">
      <w:pPr>
        <w:pStyle w:val="Normalnumber"/>
        <w:numPr>
          <w:ilvl w:val="0"/>
          <w:numId w:val="8"/>
        </w:numPr>
        <w:ind w:left="1247" w:firstLine="0"/>
        <w:rPr>
          <w:rFonts w:asciiTheme="majorBidi" w:hAnsiTheme="majorBidi" w:cstheme="majorBidi"/>
          <w:color w:val="000000" w:themeColor="text1"/>
        </w:rPr>
      </w:pPr>
      <w:r w:rsidRPr="003D56F3">
        <w:rPr>
          <w:rFonts w:asciiTheme="majorBidi" w:hAnsiTheme="majorBidi" w:cstheme="majorBidi"/>
          <w:color w:val="000000" w:themeColor="text1"/>
        </w:rPr>
        <w:t>I</w:t>
      </w:r>
      <w:r w:rsidR="00CE0D3B" w:rsidRPr="003D56F3">
        <w:rPr>
          <w:rFonts w:asciiTheme="majorBidi" w:hAnsiTheme="majorBidi" w:cstheme="majorBidi"/>
          <w:color w:val="000000" w:themeColor="text1"/>
        </w:rPr>
        <w:t xml:space="preserve">n the second half of 2019, </w:t>
      </w:r>
      <w:r w:rsidR="004423CD" w:rsidRPr="003D56F3">
        <w:rPr>
          <w:rFonts w:asciiTheme="majorBidi" w:hAnsiTheme="majorBidi" w:cstheme="majorBidi"/>
          <w:color w:val="000000" w:themeColor="text1"/>
        </w:rPr>
        <w:t xml:space="preserve">WHO will </w:t>
      </w:r>
      <w:r w:rsidRPr="003D56F3">
        <w:rPr>
          <w:rFonts w:asciiTheme="majorBidi" w:hAnsiTheme="majorBidi" w:cstheme="majorBidi"/>
          <w:color w:val="000000" w:themeColor="text1"/>
        </w:rPr>
        <w:t xml:space="preserve">also </w:t>
      </w:r>
      <w:r w:rsidR="004423CD" w:rsidRPr="003D56F3">
        <w:rPr>
          <w:rFonts w:asciiTheme="majorBidi" w:hAnsiTheme="majorBidi" w:cstheme="majorBidi"/>
          <w:color w:val="000000" w:themeColor="text1"/>
        </w:rPr>
        <w:t xml:space="preserve">support </w:t>
      </w:r>
      <w:r w:rsidR="00CE0D3B" w:rsidRPr="003D56F3">
        <w:rPr>
          <w:rFonts w:asciiTheme="majorBidi" w:hAnsiTheme="majorBidi" w:cstheme="majorBidi"/>
          <w:color w:val="000000" w:themeColor="text1"/>
        </w:rPr>
        <w:t xml:space="preserve">a number of countries </w:t>
      </w:r>
      <w:r w:rsidR="00501D14" w:rsidRPr="003D56F3">
        <w:rPr>
          <w:rFonts w:asciiTheme="majorBidi" w:hAnsiTheme="majorBidi" w:cstheme="majorBidi"/>
          <w:color w:val="000000" w:themeColor="text1"/>
        </w:rPr>
        <w:t>in</w:t>
      </w:r>
      <w:r w:rsidR="00CE0D3B" w:rsidRPr="003D56F3">
        <w:rPr>
          <w:rFonts w:asciiTheme="majorBidi" w:hAnsiTheme="majorBidi" w:cstheme="majorBidi"/>
          <w:color w:val="000000" w:themeColor="text1"/>
        </w:rPr>
        <w:t xml:space="preserve"> apply</w:t>
      </w:r>
      <w:r w:rsidR="00501D14" w:rsidRPr="003D56F3">
        <w:rPr>
          <w:rFonts w:asciiTheme="majorBidi" w:hAnsiTheme="majorBidi" w:cstheme="majorBidi"/>
          <w:color w:val="000000" w:themeColor="text1"/>
        </w:rPr>
        <w:t>ing</w:t>
      </w:r>
      <w:r w:rsidR="00CE0D3B" w:rsidRPr="003D56F3">
        <w:rPr>
          <w:rFonts w:asciiTheme="majorBidi" w:hAnsiTheme="majorBidi" w:cstheme="majorBidi"/>
          <w:color w:val="000000" w:themeColor="text1"/>
        </w:rPr>
        <w:t xml:space="preserve"> the guidance and develop</w:t>
      </w:r>
      <w:r w:rsidR="00501D14" w:rsidRPr="003D56F3">
        <w:rPr>
          <w:rFonts w:asciiTheme="majorBidi" w:hAnsiTheme="majorBidi" w:cstheme="majorBidi"/>
          <w:color w:val="000000" w:themeColor="text1"/>
        </w:rPr>
        <w:t>ing</w:t>
      </w:r>
      <w:r w:rsidR="00CE0D3B" w:rsidRPr="003D56F3">
        <w:rPr>
          <w:rFonts w:asciiTheme="majorBidi" w:hAnsiTheme="majorBidi" w:cstheme="majorBidi"/>
          <w:color w:val="000000" w:themeColor="text1"/>
        </w:rPr>
        <w:t xml:space="preserve"> their strategic plans. </w:t>
      </w:r>
    </w:p>
    <w:p w14:paraId="2CA14570" w14:textId="77777777" w:rsidR="00CE0D3B" w:rsidRPr="003D56F3" w:rsidRDefault="00CE0D3B" w:rsidP="00CE0D3B">
      <w:pPr>
        <w:pStyle w:val="CH3"/>
      </w:pPr>
      <w:r w:rsidRPr="003D56F3">
        <w:tab/>
      </w:r>
      <w:r w:rsidRPr="003D56F3">
        <w:tab/>
        <w:t>Regional workshops convened by WHO</w:t>
      </w:r>
    </w:p>
    <w:p w14:paraId="41F1A4EA" w14:textId="3CB84821" w:rsidR="00CE0D3B" w:rsidRPr="003D56F3" w:rsidRDefault="00CE0D3B" w:rsidP="00CE0D3B">
      <w:pPr>
        <w:pStyle w:val="Normalnumber"/>
        <w:numPr>
          <w:ilvl w:val="0"/>
          <w:numId w:val="8"/>
        </w:numPr>
        <w:ind w:left="1247" w:firstLine="0"/>
        <w:rPr>
          <w:rFonts w:asciiTheme="majorBidi" w:hAnsiTheme="majorBidi" w:cstheme="majorBidi"/>
          <w:color w:val="000000" w:themeColor="text1"/>
          <w:lang w:eastAsia="fr-CH"/>
        </w:rPr>
      </w:pPr>
      <w:r w:rsidRPr="003D56F3">
        <w:rPr>
          <w:rFonts w:asciiTheme="majorBidi" w:hAnsiTheme="majorBidi" w:cstheme="majorBidi"/>
          <w:color w:val="000000" w:themeColor="text1"/>
          <w:lang w:eastAsia="fr-CH"/>
        </w:rPr>
        <w:t xml:space="preserve">WHO has </w:t>
      </w:r>
      <w:r w:rsidRPr="00257C6E">
        <w:rPr>
          <w:rFonts w:asciiTheme="majorBidi" w:hAnsiTheme="majorBidi" w:cstheme="majorBidi"/>
          <w:color w:val="000000" w:themeColor="text1"/>
          <w:lang w:eastAsia="fr-CH"/>
        </w:rPr>
        <w:t>completed a series of regional</w:t>
      </w:r>
      <w:r w:rsidRPr="003D56F3">
        <w:rPr>
          <w:rFonts w:asciiTheme="majorBidi" w:hAnsiTheme="majorBidi" w:cstheme="majorBidi"/>
          <w:color w:val="000000" w:themeColor="text1"/>
          <w:lang w:eastAsia="fr-CH"/>
        </w:rPr>
        <w:t xml:space="preserve"> workshops to raise awareness and promote networking among ministries of health to sup</w:t>
      </w:r>
      <w:r w:rsidRPr="003D56F3">
        <w:rPr>
          <w:rFonts w:asciiTheme="majorBidi" w:hAnsiTheme="majorBidi" w:cstheme="majorBidi"/>
          <w:color w:val="000000" w:themeColor="text1"/>
        </w:rPr>
        <w:t xml:space="preserve">port the implementation of the Minamata Convention and resolution WHA67.11. </w:t>
      </w:r>
      <w:r w:rsidRPr="003D56F3">
        <w:rPr>
          <w:rFonts w:asciiTheme="majorBidi" w:hAnsiTheme="majorBidi" w:cstheme="majorBidi"/>
          <w:color w:val="000000" w:themeColor="text1"/>
          <w:lang w:eastAsia="fr-CH"/>
        </w:rPr>
        <w:t xml:space="preserve">A booklet summarizing the outcomes of the workshops was released during the </w:t>
      </w:r>
      <w:r w:rsidR="00501D14" w:rsidRPr="003D56F3">
        <w:rPr>
          <w:rFonts w:asciiTheme="majorBidi" w:hAnsiTheme="majorBidi" w:cstheme="majorBidi"/>
          <w:color w:val="000000" w:themeColor="text1"/>
          <w:lang w:eastAsia="fr-CH"/>
        </w:rPr>
        <w:t xml:space="preserve">second meeting of the </w:t>
      </w:r>
      <w:r w:rsidRPr="003D56F3">
        <w:rPr>
          <w:rFonts w:asciiTheme="majorBidi" w:hAnsiTheme="majorBidi" w:cstheme="majorBidi"/>
          <w:color w:val="000000" w:themeColor="text1"/>
          <w:lang w:eastAsia="fr-CH"/>
        </w:rPr>
        <w:t>Conference of the Parties</w:t>
      </w:r>
      <w:r w:rsidR="00501D14" w:rsidRPr="003D56F3">
        <w:rPr>
          <w:rFonts w:asciiTheme="majorBidi" w:hAnsiTheme="majorBidi" w:cstheme="majorBidi"/>
          <w:color w:val="000000" w:themeColor="text1"/>
          <w:lang w:eastAsia="fr-CH"/>
        </w:rPr>
        <w:t>,</w:t>
      </w:r>
      <w:r w:rsidRPr="003D56F3">
        <w:rPr>
          <w:rFonts w:asciiTheme="majorBidi" w:hAnsiTheme="majorBidi" w:cstheme="majorBidi"/>
          <w:color w:val="000000" w:themeColor="text1"/>
          <w:lang w:eastAsia="fr-CH"/>
        </w:rPr>
        <w:t xml:space="preserve"> in November 2018</w:t>
      </w:r>
      <w:r w:rsidR="00501D14" w:rsidRPr="003D56F3">
        <w:rPr>
          <w:rFonts w:asciiTheme="majorBidi" w:hAnsiTheme="majorBidi" w:cstheme="majorBidi"/>
          <w:color w:val="000000" w:themeColor="text1"/>
          <w:lang w:eastAsia="fr-CH"/>
        </w:rPr>
        <w:t>,</w:t>
      </w:r>
      <w:r w:rsidRPr="003D56F3">
        <w:rPr>
          <w:rFonts w:asciiTheme="majorBidi" w:hAnsiTheme="majorBidi" w:cstheme="majorBidi"/>
          <w:color w:val="000000" w:themeColor="text1"/>
          <w:lang w:eastAsia="fr-CH"/>
        </w:rPr>
        <w:t xml:space="preserve"> and is now available in </w:t>
      </w:r>
      <w:r w:rsidR="00AB0B53" w:rsidRPr="003D56F3">
        <w:rPr>
          <w:rFonts w:asciiTheme="majorBidi" w:hAnsiTheme="majorBidi" w:cstheme="majorBidi"/>
          <w:color w:val="000000" w:themeColor="text1"/>
          <w:lang w:eastAsia="fr-CH"/>
        </w:rPr>
        <w:t>the</w:t>
      </w:r>
      <w:r w:rsidRPr="003D56F3">
        <w:rPr>
          <w:rFonts w:asciiTheme="majorBidi" w:hAnsiTheme="majorBidi" w:cstheme="majorBidi"/>
          <w:color w:val="000000" w:themeColor="text1"/>
          <w:lang w:eastAsia="fr-CH"/>
        </w:rPr>
        <w:t xml:space="preserve"> six</w:t>
      </w:r>
      <w:r w:rsidR="00AB0B53" w:rsidRPr="003D56F3">
        <w:rPr>
          <w:rFonts w:asciiTheme="majorBidi" w:hAnsiTheme="majorBidi" w:cstheme="majorBidi"/>
          <w:color w:val="000000" w:themeColor="text1"/>
          <w:lang w:eastAsia="fr-CH"/>
        </w:rPr>
        <w:t xml:space="preserve"> official languages of the</w:t>
      </w:r>
      <w:r w:rsidRPr="003D56F3">
        <w:rPr>
          <w:rFonts w:asciiTheme="majorBidi" w:hAnsiTheme="majorBidi" w:cstheme="majorBidi"/>
          <w:color w:val="000000" w:themeColor="text1"/>
          <w:lang w:eastAsia="fr-CH"/>
        </w:rPr>
        <w:t xml:space="preserve"> U</w:t>
      </w:r>
      <w:r w:rsidR="00501D14" w:rsidRPr="003D56F3">
        <w:rPr>
          <w:rFonts w:asciiTheme="majorBidi" w:hAnsiTheme="majorBidi" w:cstheme="majorBidi"/>
          <w:color w:val="000000" w:themeColor="text1"/>
          <w:lang w:eastAsia="fr-CH"/>
        </w:rPr>
        <w:t xml:space="preserve">nited </w:t>
      </w:r>
      <w:r w:rsidRPr="003D56F3">
        <w:rPr>
          <w:rFonts w:asciiTheme="majorBidi" w:hAnsiTheme="majorBidi" w:cstheme="majorBidi"/>
          <w:color w:val="000000" w:themeColor="text1"/>
          <w:lang w:eastAsia="fr-CH"/>
        </w:rPr>
        <w:t>N</w:t>
      </w:r>
      <w:r w:rsidR="00501D14" w:rsidRPr="003D56F3">
        <w:rPr>
          <w:rFonts w:asciiTheme="majorBidi" w:hAnsiTheme="majorBidi" w:cstheme="majorBidi"/>
          <w:color w:val="000000" w:themeColor="text1"/>
          <w:lang w:eastAsia="fr-CH"/>
        </w:rPr>
        <w:t>ations</w:t>
      </w:r>
      <w:r w:rsidRPr="003D56F3">
        <w:rPr>
          <w:rFonts w:asciiTheme="majorBidi" w:hAnsiTheme="majorBidi" w:cstheme="majorBidi"/>
          <w:color w:val="000000" w:themeColor="text1"/>
          <w:lang w:eastAsia="fr-CH"/>
        </w:rPr>
        <w:t>.</w:t>
      </w:r>
      <w:r w:rsidRPr="003D56F3">
        <w:rPr>
          <w:rStyle w:val="FootnoteReference"/>
          <w:rFonts w:cstheme="majorBidi"/>
          <w:lang w:eastAsia="fr-CH"/>
        </w:rPr>
        <w:footnoteReference w:id="3"/>
      </w:r>
      <w:r w:rsidRPr="003D56F3">
        <w:rPr>
          <w:rFonts w:asciiTheme="majorBidi" w:hAnsiTheme="majorBidi" w:cstheme="majorBidi"/>
          <w:color w:val="000000" w:themeColor="text1"/>
          <w:lang w:eastAsia="fr-CH"/>
        </w:rPr>
        <w:t xml:space="preserve"> </w:t>
      </w:r>
    </w:p>
    <w:p w14:paraId="6E508CEE" w14:textId="77777777" w:rsidR="00CE0D3B" w:rsidRPr="003D56F3" w:rsidRDefault="00CE0D3B" w:rsidP="00CE0D3B">
      <w:pPr>
        <w:pStyle w:val="CH3"/>
        <w:rPr>
          <w:color w:val="000000" w:themeColor="text1"/>
          <w:lang w:eastAsia="fr-CH"/>
        </w:rPr>
      </w:pPr>
      <w:r w:rsidRPr="003D56F3">
        <w:rPr>
          <w:color w:val="000000" w:themeColor="text1"/>
          <w:lang w:eastAsia="fr-CH"/>
        </w:rPr>
        <w:tab/>
      </w:r>
      <w:r w:rsidRPr="003D56F3">
        <w:rPr>
          <w:color w:val="000000" w:themeColor="text1"/>
          <w:lang w:eastAsia="fr-CH"/>
        </w:rPr>
        <w:tab/>
        <w:t>Artisanal and small-scale gold mining</w:t>
      </w:r>
    </w:p>
    <w:p w14:paraId="233B8431" w14:textId="6A973F92" w:rsidR="00CE0D3B" w:rsidRPr="00B56573" w:rsidRDefault="00CE0D3B" w:rsidP="00CE0D3B">
      <w:pPr>
        <w:pStyle w:val="Normalnumber"/>
        <w:numPr>
          <w:ilvl w:val="0"/>
          <w:numId w:val="8"/>
        </w:numPr>
        <w:ind w:left="1247" w:firstLine="0"/>
        <w:rPr>
          <w:rFonts w:asciiTheme="majorBidi" w:hAnsiTheme="majorBidi" w:cstheme="majorBidi"/>
          <w:color w:val="000000" w:themeColor="text1"/>
        </w:rPr>
      </w:pPr>
      <w:r w:rsidRPr="003D56F3">
        <w:rPr>
          <w:rFonts w:asciiTheme="majorBidi" w:hAnsiTheme="majorBidi" w:cstheme="majorBidi"/>
          <w:color w:val="000000" w:themeColor="text1"/>
        </w:rPr>
        <w:t>In December 2019</w:t>
      </w:r>
      <w:r w:rsidR="00501D14" w:rsidRPr="003D56F3">
        <w:rPr>
          <w:rFonts w:asciiTheme="majorBidi" w:hAnsiTheme="majorBidi" w:cstheme="majorBidi"/>
          <w:color w:val="000000" w:themeColor="text1"/>
        </w:rPr>
        <w:t>,</w:t>
      </w:r>
      <w:r w:rsidRPr="003D56F3">
        <w:rPr>
          <w:rFonts w:asciiTheme="majorBidi" w:hAnsiTheme="majorBidi" w:cstheme="majorBidi"/>
          <w:color w:val="000000" w:themeColor="text1"/>
        </w:rPr>
        <w:t xml:space="preserve"> WHO will publish the guidance document </w:t>
      </w:r>
      <w:r w:rsidRPr="003D56F3">
        <w:rPr>
          <w:rFonts w:asciiTheme="majorBidi" w:hAnsiTheme="majorBidi" w:cstheme="majorBidi"/>
          <w:i/>
          <w:color w:val="000000" w:themeColor="text1"/>
        </w:rPr>
        <w:t>Addressing health aspects in the context of developing national action plans under the Minamata Convention on Mercury</w:t>
      </w:r>
      <w:r w:rsidRPr="003D56F3">
        <w:rPr>
          <w:rFonts w:asciiTheme="majorBidi" w:hAnsiTheme="majorBidi" w:cstheme="majorBidi"/>
          <w:color w:val="000000" w:themeColor="text1"/>
        </w:rPr>
        <w:t xml:space="preserve">, for wide dissemination to health ministries. It addresses the health impacts of artisanal and small-scale gold mining (ASGM). The working version of the document, provided to </w:t>
      </w:r>
      <w:r w:rsidR="00501D14" w:rsidRPr="003D56F3">
        <w:rPr>
          <w:rFonts w:asciiTheme="majorBidi" w:hAnsiTheme="majorBidi" w:cstheme="majorBidi"/>
          <w:color w:val="000000" w:themeColor="text1"/>
        </w:rPr>
        <w:t xml:space="preserve">the </w:t>
      </w:r>
      <w:r w:rsidR="00501D14" w:rsidRPr="00B56573">
        <w:rPr>
          <w:rFonts w:asciiTheme="majorBidi" w:hAnsiTheme="majorBidi" w:cstheme="majorBidi"/>
          <w:color w:val="000000" w:themeColor="text1"/>
        </w:rPr>
        <w:t>Conference of the Parties at its second meeting</w:t>
      </w:r>
      <w:r w:rsidRPr="00B56573">
        <w:rPr>
          <w:rFonts w:asciiTheme="majorBidi" w:hAnsiTheme="majorBidi" w:cstheme="majorBidi"/>
          <w:color w:val="000000" w:themeColor="text1"/>
        </w:rPr>
        <w:t xml:space="preserve">, was </w:t>
      </w:r>
      <w:r w:rsidR="00501D14" w:rsidRPr="00B56573">
        <w:rPr>
          <w:rFonts w:asciiTheme="majorBidi" w:hAnsiTheme="majorBidi" w:cstheme="majorBidi"/>
          <w:color w:val="000000" w:themeColor="text1"/>
        </w:rPr>
        <w:t xml:space="preserve">prepared </w:t>
      </w:r>
      <w:r w:rsidRPr="00B56573">
        <w:rPr>
          <w:rFonts w:asciiTheme="majorBidi" w:hAnsiTheme="majorBidi" w:cstheme="majorBidi"/>
          <w:color w:val="000000" w:themeColor="text1"/>
        </w:rPr>
        <w:t xml:space="preserve">in response to resolution WHA67.11, and drew on a </w:t>
      </w:r>
      <w:r w:rsidR="00B56573" w:rsidRPr="00B56573">
        <w:rPr>
          <w:rFonts w:asciiTheme="majorBidi" w:hAnsiTheme="majorBidi" w:cstheme="majorBidi"/>
          <w:color w:val="000000" w:themeColor="text1"/>
        </w:rPr>
        <w:t>m</w:t>
      </w:r>
      <w:r w:rsidRPr="00B56573">
        <w:rPr>
          <w:rFonts w:asciiTheme="majorBidi" w:hAnsiTheme="majorBidi" w:cstheme="majorBidi"/>
          <w:color w:val="000000" w:themeColor="text1"/>
        </w:rPr>
        <w:t xml:space="preserve">ember State consultative process. </w:t>
      </w:r>
    </w:p>
    <w:p w14:paraId="3D4B1DD9" w14:textId="1C3D6762" w:rsidR="00CE0D3B" w:rsidRPr="003D56F3" w:rsidRDefault="00CE0D3B" w:rsidP="00CE0D3B">
      <w:pPr>
        <w:pStyle w:val="Normalnumber"/>
        <w:numPr>
          <w:ilvl w:val="0"/>
          <w:numId w:val="8"/>
        </w:numPr>
        <w:ind w:left="1247" w:firstLine="0"/>
        <w:rPr>
          <w:rFonts w:asciiTheme="majorBidi" w:hAnsiTheme="majorBidi" w:cstheme="majorBidi"/>
          <w:color w:val="000000" w:themeColor="text1"/>
        </w:rPr>
      </w:pPr>
      <w:r w:rsidRPr="003D56F3">
        <w:rPr>
          <w:rFonts w:asciiTheme="majorBidi" w:hAnsiTheme="majorBidi" w:cstheme="majorBidi"/>
          <w:color w:val="000000" w:themeColor="text1"/>
        </w:rPr>
        <w:t xml:space="preserve">WHO is piloting the use of the guidance in three African countries that are in the process of developing wider national action plans on ASGM as required under the Convention. The pilot work has been carried out in Ghana, Mozambique and Nigeria and comprises a rapid health situation assessment and </w:t>
      </w:r>
      <w:r w:rsidR="0026176C" w:rsidRPr="003D56F3">
        <w:rPr>
          <w:rFonts w:asciiTheme="majorBidi" w:hAnsiTheme="majorBidi" w:cstheme="majorBidi"/>
          <w:color w:val="000000" w:themeColor="text1"/>
        </w:rPr>
        <w:t xml:space="preserve">an </w:t>
      </w:r>
      <w:r w:rsidRPr="003D56F3">
        <w:rPr>
          <w:rFonts w:asciiTheme="majorBidi" w:hAnsiTheme="majorBidi" w:cstheme="majorBidi"/>
          <w:color w:val="000000" w:themeColor="text1"/>
        </w:rPr>
        <w:t xml:space="preserve">institutional capacities and systems assessment. The </w:t>
      </w:r>
      <w:r w:rsidR="0026176C" w:rsidRPr="003D56F3">
        <w:rPr>
          <w:rFonts w:asciiTheme="majorBidi" w:hAnsiTheme="majorBidi" w:cstheme="majorBidi"/>
          <w:color w:val="000000" w:themeColor="text1"/>
        </w:rPr>
        <w:t>pilot work</w:t>
      </w:r>
      <w:r w:rsidRPr="003D56F3">
        <w:rPr>
          <w:rFonts w:asciiTheme="majorBidi" w:hAnsiTheme="majorBidi" w:cstheme="majorBidi"/>
          <w:color w:val="000000" w:themeColor="text1"/>
        </w:rPr>
        <w:t>, which will be completed by December 2019, informed the development of the guidance document.</w:t>
      </w:r>
    </w:p>
    <w:p w14:paraId="05C4E3B4" w14:textId="62E6998B" w:rsidR="00CE0D3B" w:rsidRPr="003D56F3" w:rsidRDefault="00CE0D3B" w:rsidP="00CE0D3B">
      <w:pPr>
        <w:pStyle w:val="Normalnumber"/>
        <w:numPr>
          <w:ilvl w:val="0"/>
          <w:numId w:val="8"/>
        </w:numPr>
        <w:ind w:left="1247" w:firstLine="0"/>
        <w:rPr>
          <w:rFonts w:asciiTheme="majorBidi" w:hAnsiTheme="majorBidi" w:cstheme="majorBidi"/>
          <w:color w:val="000000" w:themeColor="text1"/>
        </w:rPr>
      </w:pPr>
      <w:r w:rsidRPr="003D56F3">
        <w:rPr>
          <w:rFonts w:asciiTheme="majorBidi" w:hAnsiTheme="majorBidi" w:cstheme="majorBidi"/>
          <w:color w:val="000000" w:themeColor="text1"/>
        </w:rPr>
        <w:t xml:space="preserve">Other materials on ASGM and health </w:t>
      </w:r>
      <w:r w:rsidR="0026176C" w:rsidRPr="003D56F3">
        <w:rPr>
          <w:rFonts w:asciiTheme="majorBidi" w:hAnsiTheme="majorBidi" w:cstheme="majorBidi"/>
          <w:color w:val="000000" w:themeColor="text1"/>
        </w:rPr>
        <w:t>currently</w:t>
      </w:r>
      <w:r w:rsidRPr="003D56F3">
        <w:rPr>
          <w:rFonts w:asciiTheme="majorBidi" w:hAnsiTheme="majorBidi" w:cstheme="majorBidi"/>
          <w:color w:val="000000" w:themeColor="text1"/>
        </w:rPr>
        <w:t xml:space="preserve"> in </w:t>
      </w:r>
      <w:r w:rsidR="0026176C" w:rsidRPr="003D56F3">
        <w:rPr>
          <w:rFonts w:asciiTheme="majorBidi" w:hAnsiTheme="majorBidi" w:cstheme="majorBidi"/>
          <w:color w:val="000000" w:themeColor="text1"/>
        </w:rPr>
        <w:t xml:space="preserve">preparation </w:t>
      </w:r>
      <w:r w:rsidRPr="003D56F3">
        <w:rPr>
          <w:rFonts w:asciiTheme="majorBidi" w:hAnsiTheme="majorBidi" w:cstheme="majorBidi"/>
          <w:color w:val="000000" w:themeColor="text1"/>
        </w:rPr>
        <w:t xml:space="preserve">include guidance on how to conduct a rapid assessment of the health situation of ASGM miners and their family members, </w:t>
      </w:r>
      <w:r w:rsidR="008372C8" w:rsidRPr="003D56F3">
        <w:rPr>
          <w:rFonts w:asciiTheme="majorBidi" w:hAnsiTheme="majorBidi" w:cstheme="majorBidi"/>
          <w:color w:val="000000" w:themeColor="text1"/>
        </w:rPr>
        <w:t xml:space="preserve">developed </w:t>
      </w:r>
      <w:r w:rsidRPr="003D56F3">
        <w:rPr>
          <w:rFonts w:asciiTheme="majorBidi" w:hAnsiTheme="majorBidi" w:cstheme="majorBidi"/>
          <w:color w:val="000000" w:themeColor="text1"/>
        </w:rPr>
        <w:t xml:space="preserve">based on the pilot </w:t>
      </w:r>
      <w:r w:rsidR="0026176C" w:rsidRPr="003D56F3">
        <w:rPr>
          <w:rFonts w:asciiTheme="majorBidi" w:hAnsiTheme="majorBidi" w:cstheme="majorBidi"/>
          <w:color w:val="000000" w:themeColor="text1"/>
        </w:rPr>
        <w:t xml:space="preserve">work </w:t>
      </w:r>
      <w:r w:rsidRPr="003D56F3">
        <w:rPr>
          <w:rFonts w:asciiTheme="majorBidi" w:hAnsiTheme="majorBidi" w:cstheme="majorBidi"/>
          <w:color w:val="000000" w:themeColor="text1"/>
        </w:rPr>
        <w:t>carried out in the three African countries.</w:t>
      </w:r>
    </w:p>
    <w:p w14:paraId="6D602A02" w14:textId="77777777" w:rsidR="00CE0D3B" w:rsidRPr="003D56F3" w:rsidRDefault="00CE0D3B" w:rsidP="00CE0D3B">
      <w:pPr>
        <w:pStyle w:val="CH3"/>
        <w:rPr>
          <w:color w:val="000000" w:themeColor="text1"/>
          <w:lang w:eastAsia="fr-CH"/>
        </w:rPr>
      </w:pPr>
      <w:r w:rsidRPr="003D56F3">
        <w:rPr>
          <w:lang w:eastAsia="fr-CH"/>
        </w:rPr>
        <w:tab/>
      </w:r>
      <w:r w:rsidRPr="003D56F3">
        <w:rPr>
          <w:lang w:eastAsia="fr-CH"/>
        </w:rPr>
        <w:tab/>
      </w:r>
      <w:r w:rsidRPr="003D56F3">
        <w:rPr>
          <w:color w:val="000000" w:themeColor="text1"/>
          <w:lang w:eastAsia="fr-CH"/>
        </w:rPr>
        <w:t>Dental amalgam</w:t>
      </w:r>
    </w:p>
    <w:p w14:paraId="1D3882B8" w14:textId="4F9934E9" w:rsidR="00CE0D3B" w:rsidRPr="003D56F3" w:rsidRDefault="00CE0D3B" w:rsidP="00CE0D3B">
      <w:pPr>
        <w:pStyle w:val="Normalnumber"/>
        <w:numPr>
          <w:ilvl w:val="0"/>
          <w:numId w:val="8"/>
        </w:numPr>
        <w:ind w:left="1253" w:firstLine="0"/>
        <w:rPr>
          <w:rFonts w:asciiTheme="majorBidi" w:hAnsiTheme="majorBidi" w:cstheme="majorBidi"/>
          <w:color w:val="000000" w:themeColor="text1"/>
          <w:lang w:eastAsia="fr-CH"/>
        </w:rPr>
      </w:pPr>
      <w:r w:rsidRPr="003D56F3">
        <w:rPr>
          <w:rFonts w:asciiTheme="majorBidi" w:hAnsiTheme="majorBidi" w:cstheme="majorBidi"/>
          <w:color w:val="000000" w:themeColor="text1"/>
          <w:lang w:eastAsia="fr-CH"/>
        </w:rPr>
        <w:t xml:space="preserve">The phase-down of the use of dental amalgam through the Minamata Convention </w:t>
      </w:r>
      <w:r w:rsidR="0026176C" w:rsidRPr="003D56F3">
        <w:rPr>
          <w:rFonts w:asciiTheme="majorBidi" w:hAnsiTheme="majorBidi" w:cstheme="majorBidi"/>
          <w:color w:val="000000" w:themeColor="text1"/>
          <w:lang w:eastAsia="fr-CH"/>
        </w:rPr>
        <w:t xml:space="preserve">could </w:t>
      </w:r>
      <w:r w:rsidRPr="003D56F3">
        <w:rPr>
          <w:rFonts w:asciiTheme="majorBidi" w:hAnsiTheme="majorBidi" w:cstheme="majorBidi"/>
          <w:color w:val="000000" w:themeColor="text1"/>
          <w:lang w:eastAsia="fr-CH"/>
        </w:rPr>
        <w:t xml:space="preserve">catalyse a profound change in dentistry. Published in 2018, </w:t>
      </w:r>
      <w:r w:rsidR="002474F0">
        <w:rPr>
          <w:rFonts w:asciiTheme="majorBidi" w:hAnsiTheme="majorBidi" w:cstheme="majorBidi"/>
          <w:color w:val="000000" w:themeColor="text1"/>
          <w:lang w:eastAsia="fr-CH"/>
        </w:rPr>
        <w:t>“</w:t>
      </w:r>
      <w:r w:rsidRPr="002474F0">
        <w:rPr>
          <w:rFonts w:asciiTheme="majorBidi" w:hAnsiTheme="majorBidi" w:cstheme="majorBidi"/>
          <w:color w:val="000000" w:themeColor="text1"/>
        </w:rPr>
        <w:t>The Minamata Convention and the phase down of dental amalgam</w:t>
      </w:r>
      <w:r w:rsidR="002474F0">
        <w:rPr>
          <w:rFonts w:asciiTheme="majorBidi" w:hAnsiTheme="majorBidi" w:cstheme="majorBidi"/>
          <w:color w:val="000000" w:themeColor="text1"/>
        </w:rPr>
        <w:t>”</w:t>
      </w:r>
      <w:r w:rsidRPr="003D56F3">
        <w:rPr>
          <w:rStyle w:val="FootnoteReference"/>
          <w:rFonts w:cstheme="majorBidi"/>
          <w:color w:val="000000" w:themeColor="text1"/>
          <w:lang w:eastAsia="fr-CH"/>
        </w:rPr>
        <w:footnoteReference w:id="4"/>
      </w:r>
      <w:r w:rsidRPr="003D56F3">
        <w:rPr>
          <w:rFonts w:asciiTheme="majorBidi" w:hAnsiTheme="majorBidi" w:cstheme="majorBidi"/>
          <w:color w:val="000000" w:themeColor="text1"/>
          <w:lang w:eastAsia="fr-CH"/>
        </w:rPr>
        <w:t xml:space="preserve"> provides the </w:t>
      </w:r>
      <w:r w:rsidR="0026176C" w:rsidRPr="003D56F3">
        <w:rPr>
          <w:rFonts w:asciiTheme="majorBidi" w:hAnsiTheme="majorBidi" w:cstheme="majorBidi"/>
          <w:color w:val="000000" w:themeColor="text1"/>
          <w:lang w:eastAsia="fr-CH"/>
        </w:rPr>
        <w:t xml:space="preserve">perspective of </w:t>
      </w:r>
      <w:r w:rsidRPr="003D56F3">
        <w:rPr>
          <w:rFonts w:asciiTheme="majorBidi" w:hAnsiTheme="majorBidi" w:cstheme="majorBidi"/>
          <w:color w:val="000000" w:themeColor="text1"/>
          <w:lang w:eastAsia="fr-CH"/>
        </w:rPr>
        <w:t xml:space="preserve">WHO and </w:t>
      </w:r>
      <w:r w:rsidR="0026176C" w:rsidRPr="003D56F3">
        <w:rPr>
          <w:rFonts w:asciiTheme="majorBidi" w:hAnsiTheme="majorBidi" w:cstheme="majorBidi"/>
          <w:color w:val="000000" w:themeColor="text1"/>
          <w:lang w:eastAsia="fr-CH"/>
        </w:rPr>
        <w:t>the United Nations Environment Programme (</w:t>
      </w:r>
      <w:r w:rsidRPr="003D56F3">
        <w:rPr>
          <w:rFonts w:asciiTheme="majorBidi" w:hAnsiTheme="majorBidi" w:cstheme="majorBidi"/>
          <w:color w:val="000000" w:themeColor="text1"/>
          <w:lang w:eastAsia="fr-CH"/>
        </w:rPr>
        <w:t>UNEP</w:t>
      </w:r>
      <w:r w:rsidR="0026176C" w:rsidRPr="003D56F3">
        <w:rPr>
          <w:rFonts w:asciiTheme="majorBidi" w:hAnsiTheme="majorBidi" w:cstheme="majorBidi"/>
          <w:color w:val="000000" w:themeColor="text1"/>
          <w:lang w:eastAsia="fr-CH"/>
        </w:rPr>
        <w:t>)</w:t>
      </w:r>
      <w:r w:rsidRPr="003D56F3">
        <w:rPr>
          <w:rFonts w:asciiTheme="majorBidi" w:hAnsiTheme="majorBidi" w:cstheme="majorBidi"/>
          <w:color w:val="000000" w:themeColor="text1"/>
          <w:lang w:eastAsia="fr-CH"/>
        </w:rPr>
        <w:t xml:space="preserve"> </w:t>
      </w:r>
      <w:r w:rsidR="0026176C" w:rsidRPr="003D56F3">
        <w:rPr>
          <w:rFonts w:asciiTheme="majorBidi" w:hAnsiTheme="majorBidi" w:cstheme="majorBidi"/>
          <w:color w:val="000000" w:themeColor="text1"/>
          <w:lang w:eastAsia="fr-CH"/>
        </w:rPr>
        <w:t>on the</w:t>
      </w:r>
      <w:r w:rsidRPr="003D56F3">
        <w:rPr>
          <w:rFonts w:asciiTheme="majorBidi" w:hAnsiTheme="majorBidi" w:cstheme="majorBidi"/>
          <w:color w:val="000000" w:themeColor="text1"/>
          <w:lang w:eastAsia="fr-CH"/>
        </w:rPr>
        <w:t xml:space="preserve"> implementation of the phase</w:t>
      </w:r>
      <w:r w:rsidR="0026176C" w:rsidRPr="003D56F3">
        <w:rPr>
          <w:rFonts w:asciiTheme="majorBidi" w:hAnsiTheme="majorBidi" w:cstheme="majorBidi"/>
          <w:color w:val="000000" w:themeColor="text1"/>
          <w:lang w:eastAsia="fr-CH"/>
        </w:rPr>
        <w:t>-</w:t>
      </w:r>
      <w:r w:rsidRPr="003D56F3">
        <w:rPr>
          <w:rFonts w:asciiTheme="majorBidi" w:hAnsiTheme="majorBidi" w:cstheme="majorBidi"/>
          <w:color w:val="000000" w:themeColor="text1"/>
          <w:lang w:eastAsia="fr-CH"/>
        </w:rPr>
        <w:t xml:space="preserve">down of the use of dental amalgam. It lays </w:t>
      </w:r>
      <w:r w:rsidRPr="003D56F3">
        <w:rPr>
          <w:rFonts w:asciiTheme="majorBidi" w:hAnsiTheme="majorBidi" w:cstheme="majorBidi"/>
          <w:color w:val="000000" w:themeColor="text1"/>
          <w:lang w:eastAsia="fr-CH"/>
        </w:rPr>
        <w:lastRenderedPageBreak/>
        <w:t xml:space="preserve">out a set of strategic interventions aligned with the nine measures set out in </w:t>
      </w:r>
      <w:r w:rsidR="00BD36AD" w:rsidRPr="003D56F3">
        <w:rPr>
          <w:rFonts w:asciiTheme="majorBidi" w:hAnsiTheme="majorBidi" w:cstheme="majorBidi"/>
          <w:color w:val="000000" w:themeColor="text1"/>
          <w:lang w:eastAsia="fr-CH"/>
        </w:rPr>
        <w:t xml:space="preserve">part II of </w:t>
      </w:r>
      <w:r w:rsidRPr="003D56F3">
        <w:rPr>
          <w:rFonts w:asciiTheme="majorBidi" w:hAnsiTheme="majorBidi" w:cstheme="majorBidi"/>
          <w:color w:val="000000" w:themeColor="text1"/>
          <w:lang w:eastAsia="fr-CH"/>
        </w:rPr>
        <w:t>annex A of the Convention. The interventions are directed at a multipronged approach that combines waste management, knowledge management and the strengthening of health systems in the context of</w:t>
      </w:r>
      <w:r w:rsidRPr="003D56F3">
        <w:rPr>
          <w:rFonts w:asciiTheme="majorBidi" w:hAnsiTheme="majorBidi" w:cstheme="majorBidi"/>
          <w:color w:val="000000" w:themeColor="text1"/>
        </w:rPr>
        <w:t xml:space="preserve"> </w:t>
      </w:r>
      <w:r w:rsidRPr="003D56F3">
        <w:rPr>
          <w:rFonts w:asciiTheme="majorBidi" w:hAnsiTheme="majorBidi" w:cstheme="majorBidi"/>
          <w:color w:val="000000" w:themeColor="text1"/>
          <w:lang w:eastAsia="fr-CH"/>
        </w:rPr>
        <w:t xml:space="preserve">universal health coverage. </w:t>
      </w:r>
    </w:p>
    <w:p w14:paraId="1BFB8737" w14:textId="77777777" w:rsidR="00CE0D3B" w:rsidRPr="003D56F3" w:rsidRDefault="00CE0D3B" w:rsidP="00CE0D3B">
      <w:pPr>
        <w:pStyle w:val="CH3"/>
        <w:rPr>
          <w:color w:val="000000" w:themeColor="text1"/>
          <w:lang w:eastAsia="fr-CH"/>
        </w:rPr>
      </w:pPr>
      <w:r w:rsidRPr="003D56F3">
        <w:rPr>
          <w:color w:val="000000" w:themeColor="text1"/>
          <w:lang w:eastAsia="fr-CH"/>
        </w:rPr>
        <w:tab/>
      </w:r>
      <w:r w:rsidRPr="003D56F3">
        <w:rPr>
          <w:color w:val="000000" w:themeColor="text1"/>
          <w:lang w:eastAsia="fr-CH"/>
        </w:rPr>
        <w:tab/>
        <w:t xml:space="preserve">Mercury-containing thermometers and sphygmomanometers </w:t>
      </w:r>
    </w:p>
    <w:p w14:paraId="1B7F0F91" w14:textId="582C9C09" w:rsidR="00CE0D3B" w:rsidRPr="003D56F3" w:rsidRDefault="00CE0D3B" w:rsidP="00CE0D3B">
      <w:pPr>
        <w:pStyle w:val="Normalnumber"/>
        <w:numPr>
          <w:ilvl w:val="0"/>
          <w:numId w:val="8"/>
        </w:numPr>
        <w:ind w:left="1247" w:firstLine="0"/>
        <w:rPr>
          <w:rFonts w:asciiTheme="majorBidi" w:hAnsiTheme="majorBidi" w:cstheme="majorBidi"/>
          <w:color w:val="000000" w:themeColor="text1"/>
          <w:lang w:eastAsia="fr-CH"/>
        </w:rPr>
      </w:pPr>
      <w:r w:rsidRPr="003D56F3">
        <w:rPr>
          <w:rFonts w:asciiTheme="majorBidi" w:hAnsiTheme="majorBidi" w:cstheme="majorBidi"/>
          <w:color w:val="000000" w:themeColor="text1"/>
          <w:lang w:eastAsia="fr-CH"/>
        </w:rPr>
        <w:t xml:space="preserve">WHO is partnering in the </w:t>
      </w:r>
      <w:r w:rsidR="00571F06" w:rsidRPr="003D56F3">
        <w:rPr>
          <w:rFonts w:asciiTheme="majorBidi" w:hAnsiTheme="majorBidi" w:cstheme="majorBidi"/>
          <w:color w:val="000000" w:themeColor="text1"/>
          <w:lang w:eastAsia="fr-CH"/>
        </w:rPr>
        <w:t>Global Environment Facility (</w:t>
      </w:r>
      <w:r w:rsidRPr="003D56F3">
        <w:rPr>
          <w:rFonts w:asciiTheme="majorBidi" w:hAnsiTheme="majorBidi" w:cstheme="majorBidi"/>
          <w:color w:val="000000" w:themeColor="text1"/>
          <w:lang w:eastAsia="fr-CH"/>
        </w:rPr>
        <w:t>GEF</w:t>
      </w:r>
      <w:r w:rsidR="00571F06" w:rsidRPr="003D56F3">
        <w:rPr>
          <w:rFonts w:asciiTheme="majorBidi" w:hAnsiTheme="majorBidi" w:cstheme="majorBidi"/>
          <w:color w:val="000000" w:themeColor="text1"/>
          <w:lang w:eastAsia="fr-CH"/>
        </w:rPr>
        <w:t>)</w:t>
      </w:r>
      <w:r w:rsidRPr="003D56F3">
        <w:rPr>
          <w:rFonts w:asciiTheme="majorBidi" w:hAnsiTheme="majorBidi" w:cstheme="majorBidi"/>
          <w:color w:val="000000" w:themeColor="text1"/>
          <w:lang w:eastAsia="fr-CH"/>
        </w:rPr>
        <w:t xml:space="preserve"> project entitled “Reducing UPOPs</w:t>
      </w:r>
      <w:r w:rsidR="004C17CF" w:rsidRPr="003D56F3">
        <w:rPr>
          <w:rStyle w:val="FootnoteReference"/>
          <w:rFonts w:cstheme="majorBidi"/>
          <w:lang w:eastAsia="fr-CH"/>
        </w:rPr>
        <w:footnoteReference w:id="5"/>
      </w:r>
      <w:r w:rsidRPr="003D56F3">
        <w:rPr>
          <w:rFonts w:asciiTheme="majorBidi" w:hAnsiTheme="majorBidi" w:cstheme="majorBidi"/>
          <w:color w:val="000000" w:themeColor="text1"/>
          <w:lang w:eastAsia="fr-CH"/>
        </w:rPr>
        <w:t xml:space="preserve"> and </w:t>
      </w:r>
      <w:r w:rsidR="00686887" w:rsidRPr="003D56F3">
        <w:rPr>
          <w:rFonts w:asciiTheme="majorBidi" w:hAnsiTheme="majorBidi" w:cstheme="majorBidi"/>
          <w:color w:val="000000" w:themeColor="text1"/>
          <w:lang w:eastAsia="fr-CH"/>
        </w:rPr>
        <w:t xml:space="preserve">mercury releases from the health sector </w:t>
      </w:r>
      <w:r w:rsidRPr="003D56F3">
        <w:rPr>
          <w:rFonts w:asciiTheme="majorBidi" w:hAnsiTheme="majorBidi" w:cstheme="majorBidi"/>
          <w:color w:val="000000" w:themeColor="text1"/>
          <w:lang w:eastAsia="fr-CH"/>
        </w:rPr>
        <w:t>in Africa</w:t>
      </w:r>
      <w:r w:rsidR="004C17CF" w:rsidRPr="003D56F3">
        <w:rPr>
          <w:rFonts w:asciiTheme="majorBidi" w:hAnsiTheme="majorBidi" w:cstheme="majorBidi"/>
          <w:color w:val="000000" w:themeColor="text1"/>
          <w:lang w:eastAsia="fr-CH"/>
        </w:rPr>
        <w:t>”</w:t>
      </w:r>
      <w:r w:rsidRPr="003D56F3">
        <w:rPr>
          <w:rFonts w:asciiTheme="majorBidi" w:hAnsiTheme="majorBidi" w:cstheme="majorBidi"/>
          <w:color w:val="000000" w:themeColor="text1"/>
          <w:lang w:eastAsia="fr-CH"/>
        </w:rPr>
        <w:t xml:space="preserve">, which is being implemented by the United Nations Development Programme (2016–2019). The project introduces mercury-free thermometers and sphygmomanometers in pilot health facilities in four sub-Saharan African countries (Ghana, Madagascar, </w:t>
      </w:r>
      <w:r w:rsidR="00BD36AD" w:rsidRPr="003D56F3">
        <w:rPr>
          <w:rFonts w:asciiTheme="majorBidi" w:hAnsiTheme="majorBidi" w:cstheme="majorBidi"/>
          <w:color w:val="000000" w:themeColor="text1"/>
          <w:lang w:eastAsia="fr-CH"/>
        </w:rPr>
        <w:t xml:space="preserve">the </w:t>
      </w:r>
      <w:r w:rsidRPr="003D56F3">
        <w:rPr>
          <w:rFonts w:asciiTheme="majorBidi" w:hAnsiTheme="majorBidi" w:cstheme="majorBidi"/>
          <w:color w:val="000000" w:themeColor="text1"/>
          <w:lang w:eastAsia="fr-CH"/>
        </w:rPr>
        <w:t xml:space="preserve">United Republic of Tanzania and Zambia). </w:t>
      </w:r>
    </w:p>
    <w:p w14:paraId="7484E532" w14:textId="0E060794" w:rsidR="00CE0D3B" w:rsidRPr="003D56F3" w:rsidRDefault="00BD36AD" w:rsidP="00CE0D3B">
      <w:pPr>
        <w:pStyle w:val="Normalnumber"/>
        <w:numPr>
          <w:ilvl w:val="0"/>
          <w:numId w:val="8"/>
        </w:numPr>
        <w:ind w:left="1247" w:firstLine="0"/>
        <w:rPr>
          <w:rFonts w:asciiTheme="majorBidi" w:hAnsiTheme="majorBidi" w:cstheme="majorBidi"/>
          <w:color w:val="000000" w:themeColor="text1"/>
          <w:lang w:eastAsia="fr-CH"/>
        </w:rPr>
      </w:pPr>
      <w:r w:rsidRPr="003D56F3">
        <w:rPr>
          <w:lang w:eastAsia="fr-CH"/>
        </w:rPr>
        <w:t xml:space="preserve">On </w:t>
      </w:r>
      <w:r w:rsidR="00CE0D3B" w:rsidRPr="003D56F3">
        <w:rPr>
          <w:lang w:eastAsia="fr-CH"/>
        </w:rPr>
        <w:t xml:space="preserve">26 </w:t>
      </w:r>
      <w:r w:rsidRPr="003D56F3">
        <w:rPr>
          <w:lang w:eastAsia="fr-CH"/>
        </w:rPr>
        <w:t>and</w:t>
      </w:r>
      <w:r w:rsidR="00CE0D3B" w:rsidRPr="003D56F3">
        <w:rPr>
          <w:lang w:eastAsia="fr-CH"/>
        </w:rPr>
        <w:t xml:space="preserve"> 27 June 2019, WHO </w:t>
      </w:r>
      <w:r w:rsidR="00CE0D3B" w:rsidRPr="00EC27D1">
        <w:rPr>
          <w:lang w:eastAsia="fr-CH"/>
        </w:rPr>
        <w:t>convened an expert consultation on technical</w:t>
      </w:r>
      <w:r w:rsidR="00CE0D3B" w:rsidRPr="003D56F3">
        <w:rPr>
          <w:lang w:eastAsia="fr-CH"/>
        </w:rPr>
        <w:t xml:space="preserve"> specifications for non-invasive blood pressure measuring devices. The consultation discussed key recommendations and a draft technical publication </w:t>
      </w:r>
      <w:r w:rsidRPr="003D56F3">
        <w:rPr>
          <w:lang w:eastAsia="fr-CH"/>
        </w:rPr>
        <w:t xml:space="preserve">that </w:t>
      </w:r>
      <w:r w:rsidR="00CE0D3B" w:rsidRPr="003D56F3">
        <w:rPr>
          <w:lang w:eastAsia="fr-CH"/>
        </w:rPr>
        <w:t xml:space="preserve">will </w:t>
      </w:r>
      <w:r w:rsidR="004C17CF" w:rsidRPr="003D56F3">
        <w:rPr>
          <w:lang w:eastAsia="fr-CH"/>
        </w:rPr>
        <w:t xml:space="preserve">serve as </w:t>
      </w:r>
      <w:r w:rsidR="00CE0D3B" w:rsidRPr="003D56F3">
        <w:rPr>
          <w:lang w:eastAsia="fr-CH"/>
        </w:rPr>
        <w:t xml:space="preserve">a key reference for countries phasing out </w:t>
      </w:r>
      <w:r w:rsidR="005F7320">
        <w:rPr>
          <w:lang w:eastAsia="fr-CH"/>
        </w:rPr>
        <w:t>mercury</w:t>
      </w:r>
      <w:r w:rsidR="005F7320">
        <w:rPr>
          <w:lang w:eastAsia="fr-CH"/>
        </w:rPr>
        <w:noBreakHyphen/>
        <w:t>containing</w:t>
      </w:r>
      <w:r w:rsidR="00CE0D3B" w:rsidRPr="003D56F3">
        <w:rPr>
          <w:lang w:eastAsia="fr-CH"/>
        </w:rPr>
        <w:t xml:space="preserve"> devices and seeking to use validated automatic blood pressure measuring devices as an alternative technology. Implementation issues, including capacity</w:t>
      </w:r>
      <w:r w:rsidRPr="003D56F3">
        <w:rPr>
          <w:lang w:eastAsia="fr-CH"/>
        </w:rPr>
        <w:t>-</w:t>
      </w:r>
      <w:r w:rsidR="00CE0D3B" w:rsidRPr="003D56F3">
        <w:rPr>
          <w:lang w:eastAsia="fr-CH"/>
        </w:rPr>
        <w:t>building and training, were also discussed. WHO is also producing a report on the decommissioning of medical devices that includes information on mercury-containing devices. Both reports should be published as WHO guidance by the end of 2019.</w:t>
      </w:r>
    </w:p>
    <w:p w14:paraId="29599FDC" w14:textId="77777777" w:rsidR="00CE0D3B" w:rsidRPr="003D56F3" w:rsidRDefault="00CE0D3B" w:rsidP="00CE0D3B">
      <w:pPr>
        <w:pStyle w:val="CH3"/>
        <w:rPr>
          <w:rFonts w:asciiTheme="majorBidi" w:hAnsiTheme="majorBidi" w:cstheme="majorBidi"/>
          <w:i/>
          <w:iCs/>
          <w:color w:val="000000" w:themeColor="text1"/>
          <w:lang w:eastAsia="fr-CH"/>
        </w:rPr>
      </w:pPr>
      <w:r w:rsidRPr="003D56F3">
        <w:rPr>
          <w:lang w:eastAsia="fr-CH"/>
        </w:rPr>
        <w:tab/>
      </w:r>
      <w:r w:rsidRPr="003D56F3">
        <w:rPr>
          <w:lang w:eastAsia="fr-CH"/>
        </w:rPr>
        <w:tab/>
        <w:t>Mercury and methylmercury in fish</w:t>
      </w:r>
    </w:p>
    <w:p w14:paraId="6E567597" w14:textId="24AB0791" w:rsidR="00CE0D3B" w:rsidRPr="003D56F3" w:rsidRDefault="00CE0D3B" w:rsidP="00CE0D3B">
      <w:pPr>
        <w:pStyle w:val="Normalnumber"/>
        <w:numPr>
          <w:ilvl w:val="0"/>
          <w:numId w:val="8"/>
        </w:numPr>
        <w:ind w:left="1247" w:firstLine="0"/>
        <w:rPr>
          <w:rFonts w:asciiTheme="majorBidi" w:hAnsiTheme="majorBidi" w:cstheme="majorBidi"/>
          <w:color w:val="000000" w:themeColor="text1"/>
          <w:lang w:eastAsia="fr-CH"/>
        </w:rPr>
      </w:pPr>
      <w:r w:rsidRPr="003D56F3">
        <w:rPr>
          <w:rFonts w:asciiTheme="majorBidi" w:hAnsiTheme="majorBidi" w:cstheme="majorBidi"/>
          <w:color w:val="000000" w:themeColor="text1"/>
          <w:lang w:eastAsia="fr-CH"/>
        </w:rPr>
        <w:t>The Codex Committee on Contaminants in Foods</w:t>
      </w:r>
      <w:r w:rsidR="00221C65" w:rsidRPr="003D56F3">
        <w:rPr>
          <w:rStyle w:val="FootnoteReference"/>
          <w:rFonts w:cstheme="majorBidi"/>
          <w:lang w:eastAsia="fr-CH"/>
        </w:rPr>
        <w:footnoteReference w:id="6"/>
      </w:r>
      <w:r w:rsidRPr="003D56F3">
        <w:rPr>
          <w:rFonts w:asciiTheme="majorBidi" w:hAnsiTheme="majorBidi" w:cstheme="majorBidi"/>
          <w:color w:val="000000" w:themeColor="text1"/>
          <w:lang w:eastAsia="fr-CH"/>
        </w:rPr>
        <w:t xml:space="preserve"> is continuing its work on establishing maximum limits for mercury in fish.</w:t>
      </w:r>
      <w:r w:rsidR="003D56F3" w:rsidRPr="003D56F3">
        <w:rPr>
          <w:rStyle w:val="FootnoteReference"/>
          <w:rFonts w:cstheme="majorBidi"/>
          <w:lang w:eastAsia="fr-CH"/>
        </w:rPr>
        <w:t xml:space="preserve"> </w:t>
      </w:r>
    </w:p>
    <w:p w14:paraId="05EA0451" w14:textId="77777777" w:rsidR="00CE0D3B" w:rsidRPr="003D56F3" w:rsidRDefault="00CE0D3B" w:rsidP="00CE0D3B">
      <w:pPr>
        <w:pStyle w:val="CH3"/>
        <w:rPr>
          <w:color w:val="000000" w:themeColor="text1"/>
          <w:lang w:eastAsia="fr-CH"/>
        </w:rPr>
      </w:pPr>
      <w:r w:rsidRPr="003D56F3">
        <w:rPr>
          <w:lang w:eastAsia="fr-CH"/>
        </w:rPr>
        <w:tab/>
      </w:r>
      <w:r w:rsidRPr="003D56F3">
        <w:rPr>
          <w:lang w:eastAsia="fr-CH"/>
        </w:rPr>
        <w:tab/>
      </w:r>
      <w:r w:rsidRPr="003D56F3">
        <w:rPr>
          <w:color w:val="000000" w:themeColor="text1"/>
          <w:lang w:eastAsia="fr-CH"/>
        </w:rPr>
        <w:t>Biomonitoring</w:t>
      </w:r>
    </w:p>
    <w:p w14:paraId="7DB43E9C" w14:textId="346C6F09" w:rsidR="00CE0D3B" w:rsidRPr="003D56F3" w:rsidRDefault="00CE0D3B" w:rsidP="00CE0D3B">
      <w:pPr>
        <w:pStyle w:val="Normalnumber"/>
        <w:numPr>
          <w:ilvl w:val="0"/>
          <w:numId w:val="8"/>
        </w:numPr>
        <w:ind w:left="1247" w:firstLine="0"/>
        <w:rPr>
          <w:rFonts w:asciiTheme="majorBidi" w:hAnsiTheme="majorBidi" w:cstheme="majorBidi"/>
          <w:i/>
          <w:iCs/>
          <w:color w:val="000000" w:themeColor="text1"/>
        </w:rPr>
      </w:pPr>
      <w:r w:rsidRPr="003D56F3">
        <w:rPr>
          <w:rFonts w:asciiTheme="majorBidi" w:hAnsiTheme="majorBidi" w:cstheme="majorBidi"/>
          <w:color w:val="000000" w:themeColor="text1"/>
        </w:rPr>
        <w:t xml:space="preserve">WHO, through its Regional Office for Europe, has collaborated with </w:t>
      </w:r>
      <w:r w:rsidR="00571F06" w:rsidRPr="003D56F3">
        <w:rPr>
          <w:rFonts w:asciiTheme="majorBidi" w:hAnsiTheme="majorBidi" w:cstheme="majorBidi"/>
          <w:color w:val="000000" w:themeColor="text1"/>
        </w:rPr>
        <w:t>UNEP</w:t>
      </w:r>
      <w:r w:rsidRPr="003D56F3">
        <w:rPr>
          <w:rFonts w:asciiTheme="majorBidi" w:hAnsiTheme="majorBidi" w:cstheme="majorBidi"/>
          <w:color w:val="000000" w:themeColor="text1"/>
        </w:rPr>
        <w:t xml:space="preserve"> on the implementation of a GEF project entitled “</w:t>
      </w:r>
      <w:r w:rsidRPr="003D56F3">
        <w:rPr>
          <w:rFonts w:asciiTheme="majorBidi" w:hAnsiTheme="majorBidi" w:cstheme="majorBidi"/>
          <w:iCs/>
          <w:color w:val="000000" w:themeColor="text1"/>
        </w:rPr>
        <w:t>Development of a plan for global monitoring of human exposure to and environmental concentrations of mercury</w:t>
      </w:r>
      <w:r w:rsidR="004C17CF" w:rsidRPr="003D56F3">
        <w:rPr>
          <w:rFonts w:asciiTheme="majorBidi" w:hAnsiTheme="majorBidi" w:cstheme="majorBidi"/>
          <w:iCs/>
          <w:color w:val="000000" w:themeColor="text1"/>
        </w:rPr>
        <w:t>”</w:t>
      </w:r>
      <w:r w:rsidRPr="003D56F3">
        <w:rPr>
          <w:rFonts w:asciiTheme="majorBidi" w:hAnsiTheme="majorBidi" w:cstheme="majorBidi"/>
          <w:iCs/>
          <w:color w:val="000000" w:themeColor="text1"/>
        </w:rPr>
        <w:t>.</w:t>
      </w:r>
      <w:r w:rsidRPr="003D56F3">
        <w:rPr>
          <w:rFonts w:asciiTheme="majorBidi" w:hAnsiTheme="majorBidi" w:cstheme="majorBidi"/>
          <w:color w:val="000000" w:themeColor="text1"/>
        </w:rPr>
        <w:t xml:space="preserve"> A harmonized approach to the assessment of prenatal exposure to mercury has been developed, including a WHO </w:t>
      </w:r>
      <w:r w:rsidR="00571F06" w:rsidRPr="003D56F3">
        <w:t>human biomonitoring</w:t>
      </w:r>
      <w:r w:rsidR="00571F06" w:rsidRPr="003D56F3">
        <w:rPr>
          <w:rFonts w:asciiTheme="majorBidi" w:hAnsiTheme="majorBidi" w:cstheme="majorBidi"/>
          <w:color w:val="000000" w:themeColor="text1"/>
        </w:rPr>
        <w:t xml:space="preserve"> </w:t>
      </w:r>
      <w:r w:rsidRPr="003D56F3">
        <w:rPr>
          <w:rFonts w:asciiTheme="majorBidi" w:hAnsiTheme="majorBidi" w:cstheme="majorBidi"/>
          <w:color w:val="000000" w:themeColor="text1"/>
        </w:rPr>
        <w:t xml:space="preserve">survey protocol and a </w:t>
      </w:r>
      <w:r w:rsidR="00571F06" w:rsidRPr="003D56F3">
        <w:rPr>
          <w:rFonts w:asciiTheme="majorBidi" w:hAnsiTheme="majorBidi" w:cstheme="majorBidi"/>
          <w:color w:val="000000" w:themeColor="text1"/>
        </w:rPr>
        <w:t xml:space="preserve">set </w:t>
      </w:r>
      <w:r w:rsidRPr="003D56F3">
        <w:rPr>
          <w:rFonts w:asciiTheme="majorBidi" w:hAnsiTheme="majorBidi" w:cstheme="majorBidi"/>
          <w:color w:val="000000" w:themeColor="text1"/>
        </w:rPr>
        <w:t>of standard operating procedures for sampling and analysis, both of which are available online.</w:t>
      </w:r>
      <w:r w:rsidRPr="003D56F3">
        <w:rPr>
          <w:rStyle w:val="FootnoteReference"/>
          <w:rFonts w:cstheme="majorBidi"/>
          <w:color w:val="000000" w:themeColor="text1"/>
        </w:rPr>
        <w:footnoteReference w:id="7"/>
      </w:r>
      <w:r w:rsidRPr="003D56F3">
        <w:rPr>
          <w:rFonts w:asciiTheme="majorBidi" w:hAnsiTheme="majorBidi" w:cstheme="majorBidi"/>
          <w:color w:val="000000" w:themeColor="text1"/>
        </w:rPr>
        <w:t xml:space="preserve"> Data on exposure to mercury has been collected in pilot surveys in six countries and is being prepared for publication. </w:t>
      </w:r>
    </w:p>
    <w:p w14:paraId="06D2E6CE" w14:textId="77777777" w:rsidR="00CE0D3B" w:rsidRPr="003D56F3" w:rsidRDefault="00CE0D3B" w:rsidP="00CE0D3B">
      <w:pPr>
        <w:pStyle w:val="CH3"/>
        <w:rPr>
          <w:lang w:eastAsia="fr-CH"/>
        </w:rPr>
      </w:pPr>
      <w:r w:rsidRPr="003D56F3">
        <w:rPr>
          <w:lang w:eastAsia="fr-CH"/>
        </w:rPr>
        <w:tab/>
      </w:r>
      <w:r w:rsidRPr="003D56F3">
        <w:rPr>
          <w:lang w:eastAsia="fr-CH"/>
        </w:rPr>
        <w:tab/>
        <w:t>Intersessional work of the Conference of the Parties</w:t>
      </w:r>
    </w:p>
    <w:p w14:paraId="63ED1153" w14:textId="0E122C39" w:rsidR="00CE0D3B" w:rsidRPr="003D56F3" w:rsidRDefault="00CE0D3B" w:rsidP="00CE0D3B">
      <w:pPr>
        <w:pStyle w:val="Normalnumber"/>
        <w:numPr>
          <w:ilvl w:val="0"/>
          <w:numId w:val="8"/>
        </w:numPr>
        <w:ind w:left="1247" w:firstLine="0"/>
        <w:rPr>
          <w:rFonts w:asciiTheme="majorBidi" w:hAnsiTheme="majorBidi" w:cstheme="majorBidi"/>
          <w:color w:val="000000" w:themeColor="text1"/>
          <w:lang w:eastAsia="fr-CH"/>
        </w:rPr>
      </w:pPr>
      <w:r w:rsidRPr="003D56F3">
        <w:rPr>
          <w:rFonts w:asciiTheme="majorBidi" w:hAnsiTheme="majorBidi" w:cstheme="majorBidi"/>
          <w:color w:val="000000" w:themeColor="text1"/>
          <w:lang w:eastAsia="fr-CH"/>
        </w:rPr>
        <w:t xml:space="preserve">WHO contributed to the work of the ad hoc </w:t>
      </w:r>
      <w:r w:rsidR="00765856" w:rsidRPr="003D56F3">
        <w:rPr>
          <w:rFonts w:asciiTheme="majorBidi" w:hAnsiTheme="majorBidi" w:cstheme="majorBidi"/>
          <w:color w:val="000000" w:themeColor="text1"/>
          <w:lang w:eastAsia="fr-CH"/>
        </w:rPr>
        <w:t xml:space="preserve">technical expert </w:t>
      </w:r>
      <w:r w:rsidRPr="003D56F3">
        <w:rPr>
          <w:rFonts w:asciiTheme="majorBidi" w:hAnsiTheme="majorBidi" w:cstheme="majorBidi"/>
          <w:color w:val="000000" w:themeColor="text1"/>
          <w:lang w:eastAsia="fr-CH"/>
        </w:rPr>
        <w:t xml:space="preserve">group </w:t>
      </w:r>
      <w:r w:rsidR="00221C65" w:rsidRPr="003D56F3">
        <w:rPr>
          <w:rFonts w:asciiTheme="majorBidi" w:hAnsiTheme="majorBidi" w:cstheme="majorBidi"/>
          <w:color w:val="000000" w:themeColor="text1"/>
          <w:lang w:eastAsia="fr-CH"/>
        </w:rPr>
        <w:t xml:space="preserve">on </w:t>
      </w:r>
      <w:r w:rsidRPr="003D56F3">
        <w:rPr>
          <w:rFonts w:asciiTheme="majorBidi" w:hAnsiTheme="majorBidi" w:cstheme="majorBidi"/>
          <w:color w:val="000000" w:themeColor="text1"/>
          <w:lang w:eastAsia="fr-CH"/>
        </w:rPr>
        <w:t xml:space="preserve">effectiveness evaluation of the </w:t>
      </w:r>
      <w:r w:rsidR="00BD4630" w:rsidRPr="003D56F3">
        <w:rPr>
          <w:rFonts w:asciiTheme="majorBidi" w:hAnsiTheme="majorBidi" w:cstheme="majorBidi"/>
          <w:color w:val="000000" w:themeColor="text1"/>
          <w:lang w:eastAsia="fr-CH"/>
        </w:rPr>
        <w:t xml:space="preserve">Minamata </w:t>
      </w:r>
      <w:r w:rsidRPr="003D56F3">
        <w:rPr>
          <w:rFonts w:asciiTheme="majorBidi" w:hAnsiTheme="majorBidi" w:cstheme="majorBidi"/>
          <w:color w:val="000000" w:themeColor="text1"/>
          <w:lang w:eastAsia="fr-CH"/>
        </w:rPr>
        <w:t xml:space="preserve">Convention. </w:t>
      </w:r>
      <w:r w:rsidRPr="003D56F3">
        <w:rPr>
          <w:rFonts w:asciiTheme="majorBidi" w:hAnsiTheme="majorBidi" w:cstheme="majorBidi"/>
          <w:color w:val="000000" w:themeColor="text1"/>
        </w:rPr>
        <w:t>WHO</w:t>
      </w:r>
      <w:r w:rsidRPr="003D56F3">
        <w:rPr>
          <w:rFonts w:asciiTheme="majorBidi" w:hAnsiTheme="majorBidi" w:cstheme="majorBidi"/>
          <w:color w:val="000000" w:themeColor="text1"/>
          <w:lang w:eastAsia="fr-CH"/>
        </w:rPr>
        <w:t xml:space="preserve"> </w:t>
      </w:r>
      <w:r w:rsidR="00D62EFC" w:rsidRPr="003D56F3">
        <w:rPr>
          <w:rFonts w:asciiTheme="majorBidi" w:hAnsiTheme="majorBidi" w:cstheme="majorBidi"/>
          <w:color w:val="000000" w:themeColor="text1"/>
          <w:lang w:eastAsia="fr-CH"/>
        </w:rPr>
        <w:t xml:space="preserve">representatives </w:t>
      </w:r>
      <w:r w:rsidRPr="003D56F3">
        <w:rPr>
          <w:rFonts w:asciiTheme="majorBidi" w:hAnsiTheme="majorBidi" w:cstheme="majorBidi"/>
          <w:color w:val="000000" w:themeColor="text1"/>
          <w:lang w:eastAsia="fr-CH"/>
        </w:rPr>
        <w:t xml:space="preserve">participated in the </w:t>
      </w:r>
      <w:r w:rsidR="00D62EFC" w:rsidRPr="003D56F3">
        <w:rPr>
          <w:rFonts w:asciiTheme="majorBidi" w:hAnsiTheme="majorBidi" w:cstheme="majorBidi"/>
          <w:color w:val="000000" w:themeColor="text1"/>
          <w:lang w:eastAsia="fr-CH"/>
        </w:rPr>
        <w:t xml:space="preserve">group’s </w:t>
      </w:r>
      <w:r w:rsidRPr="003D56F3">
        <w:rPr>
          <w:rFonts w:asciiTheme="majorBidi" w:hAnsiTheme="majorBidi" w:cstheme="majorBidi"/>
          <w:color w:val="000000" w:themeColor="text1"/>
          <w:lang w:eastAsia="fr-CH"/>
        </w:rPr>
        <w:t>meeting held in Geneva</w:t>
      </w:r>
      <w:r w:rsidR="00D62EFC" w:rsidRPr="003D56F3">
        <w:rPr>
          <w:rFonts w:asciiTheme="majorBidi" w:hAnsiTheme="majorBidi" w:cstheme="majorBidi"/>
          <w:color w:val="000000" w:themeColor="text1"/>
          <w:lang w:eastAsia="fr-CH"/>
        </w:rPr>
        <w:t xml:space="preserve"> from</w:t>
      </w:r>
      <w:r w:rsidRPr="003D56F3">
        <w:rPr>
          <w:rFonts w:asciiTheme="majorBidi" w:hAnsiTheme="majorBidi" w:cstheme="majorBidi"/>
          <w:color w:val="000000" w:themeColor="text1"/>
          <w:lang w:eastAsia="fr-CH"/>
        </w:rPr>
        <w:t xml:space="preserve"> 8 to 12 April 2019. </w:t>
      </w:r>
    </w:p>
    <w:p w14:paraId="18BE889A" w14:textId="77777777" w:rsidR="00CE0D3B" w:rsidRPr="003D56F3" w:rsidRDefault="00CE0D3B" w:rsidP="00CE0D3B">
      <w:pPr>
        <w:pStyle w:val="CH3"/>
        <w:ind w:firstLine="0"/>
      </w:pPr>
      <w:r w:rsidRPr="003D56F3">
        <w:t>Global mercury assessment and state-of-the-science review of mercury biomarkers in humans</w:t>
      </w:r>
    </w:p>
    <w:p w14:paraId="608B418D" w14:textId="5C1C8AAA" w:rsidR="00CE0D3B" w:rsidRPr="003D56F3" w:rsidRDefault="00CE0D3B" w:rsidP="00CE0D3B">
      <w:pPr>
        <w:pStyle w:val="Normalnumber"/>
        <w:numPr>
          <w:ilvl w:val="0"/>
          <w:numId w:val="8"/>
        </w:numPr>
        <w:ind w:left="1247" w:firstLine="0"/>
        <w:rPr>
          <w:rFonts w:asciiTheme="majorBidi" w:hAnsiTheme="majorBidi" w:cstheme="majorBidi"/>
          <w:color w:val="000000" w:themeColor="text1"/>
        </w:rPr>
      </w:pPr>
      <w:r w:rsidRPr="003D56F3">
        <w:rPr>
          <w:rFonts w:asciiTheme="majorBidi" w:hAnsiTheme="majorBidi" w:cstheme="majorBidi"/>
          <w:color w:val="000000" w:themeColor="text1"/>
        </w:rPr>
        <w:t>WHO led the development of the chapter on human biomonitoring of mercury for the</w:t>
      </w:r>
      <w:r w:rsidR="003D56F3" w:rsidRPr="003D56F3">
        <w:rPr>
          <w:rFonts w:asciiTheme="majorBidi" w:hAnsiTheme="majorBidi" w:cstheme="majorBidi"/>
          <w:color w:val="000000" w:themeColor="text1"/>
        </w:rPr>
        <w:t xml:space="preserve"> </w:t>
      </w:r>
      <w:r w:rsidRPr="00994A2A">
        <w:rPr>
          <w:rFonts w:asciiTheme="majorBidi" w:hAnsiTheme="majorBidi" w:cstheme="majorBidi"/>
          <w:i/>
          <w:color w:val="000000" w:themeColor="text1"/>
        </w:rPr>
        <w:t>Global Mercury Assessment</w:t>
      </w:r>
      <w:r w:rsidR="008E2454" w:rsidRPr="00994A2A">
        <w:rPr>
          <w:rFonts w:asciiTheme="majorBidi" w:hAnsiTheme="majorBidi" w:cstheme="majorBidi"/>
          <w:i/>
          <w:color w:val="000000" w:themeColor="text1"/>
        </w:rPr>
        <w:t xml:space="preserve"> 2018</w:t>
      </w:r>
      <w:r w:rsidRPr="003D56F3">
        <w:rPr>
          <w:rFonts w:asciiTheme="majorBidi" w:hAnsiTheme="majorBidi" w:cstheme="majorBidi"/>
          <w:color w:val="000000" w:themeColor="text1"/>
        </w:rPr>
        <w:t>. The basis for th</w:t>
      </w:r>
      <w:r w:rsidR="00D62EFC" w:rsidRPr="003D56F3">
        <w:rPr>
          <w:rFonts w:asciiTheme="majorBidi" w:hAnsiTheme="majorBidi" w:cstheme="majorBidi"/>
          <w:color w:val="000000" w:themeColor="text1"/>
        </w:rPr>
        <w:t>e</w:t>
      </w:r>
      <w:r w:rsidRPr="003D56F3">
        <w:rPr>
          <w:rFonts w:asciiTheme="majorBidi" w:hAnsiTheme="majorBidi" w:cstheme="majorBidi"/>
          <w:color w:val="000000" w:themeColor="text1"/>
        </w:rPr>
        <w:t xml:space="preserve"> chapter was a WHO</w:t>
      </w:r>
      <w:r w:rsidR="00D62EFC" w:rsidRPr="003D56F3">
        <w:rPr>
          <w:rFonts w:asciiTheme="majorBidi" w:hAnsiTheme="majorBidi" w:cstheme="majorBidi"/>
          <w:color w:val="000000" w:themeColor="text1"/>
        </w:rPr>
        <w:t>-</w:t>
      </w:r>
      <w:r w:rsidRPr="003D56F3">
        <w:rPr>
          <w:rFonts w:asciiTheme="majorBidi" w:hAnsiTheme="majorBidi" w:cstheme="majorBidi"/>
          <w:color w:val="000000" w:themeColor="text1"/>
        </w:rPr>
        <w:t>commissioned state-of-the-science review of mercury biomarkers in humans worldwide between 2000 and 2018.</w:t>
      </w:r>
      <w:r w:rsidRPr="003D56F3">
        <w:rPr>
          <w:rStyle w:val="FootnoteReference"/>
          <w:rFonts w:cstheme="majorBidi"/>
        </w:rPr>
        <w:footnoteReference w:id="8"/>
      </w:r>
      <w:r w:rsidRPr="003D56F3">
        <w:rPr>
          <w:rFonts w:asciiTheme="majorBidi" w:hAnsiTheme="majorBidi" w:cstheme="majorBidi"/>
          <w:color w:val="000000" w:themeColor="text1"/>
        </w:rPr>
        <w:t xml:space="preserve"> Th</w:t>
      </w:r>
      <w:r w:rsidR="00D62EFC" w:rsidRPr="003D56F3">
        <w:rPr>
          <w:rFonts w:asciiTheme="majorBidi" w:hAnsiTheme="majorBidi" w:cstheme="majorBidi"/>
          <w:color w:val="000000" w:themeColor="text1"/>
        </w:rPr>
        <w:t>e</w:t>
      </w:r>
      <w:r w:rsidRPr="003D56F3">
        <w:rPr>
          <w:rFonts w:asciiTheme="majorBidi" w:hAnsiTheme="majorBidi" w:cstheme="majorBidi"/>
          <w:color w:val="000000" w:themeColor="text1"/>
        </w:rPr>
        <w:t xml:space="preserve"> review</w:t>
      </w:r>
      <w:r w:rsidR="00D62EFC" w:rsidRPr="003D56F3">
        <w:rPr>
          <w:rFonts w:asciiTheme="majorBidi" w:hAnsiTheme="majorBidi" w:cstheme="majorBidi"/>
          <w:color w:val="000000" w:themeColor="text1"/>
        </w:rPr>
        <w:t>,</w:t>
      </w:r>
      <w:r w:rsidRPr="003D56F3">
        <w:rPr>
          <w:rFonts w:asciiTheme="majorBidi" w:hAnsiTheme="majorBidi" w:cstheme="majorBidi"/>
          <w:color w:val="000000" w:themeColor="text1"/>
        </w:rPr>
        <w:t xml:space="preserve"> published in the scientific literature in October 2018</w:t>
      </w:r>
      <w:r w:rsidR="00D62EFC" w:rsidRPr="003D56F3">
        <w:rPr>
          <w:rFonts w:asciiTheme="majorBidi" w:hAnsiTheme="majorBidi" w:cstheme="majorBidi"/>
          <w:color w:val="000000" w:themeColor="text1"/>
        </w:rPr>
        <w:t>,</w:t>
      </w:r>
      <w:r w:rsidRPr="003D56F3">
        <w:rPr>
          <w:rFonts w:asciiTheme="majorBidi" w:hAnsiTheme="majorBidi" w:cstheme="majorBidi"/>
          <w:color w:val="000000" w:themeColor="text1"/>
        </w:rPr>
        <w:t xml:space="preserve"> established a global benchmark for human exposure to mercury and identified vulnerable populations and geographical regions </w:t>
      </w:r>
      <w:r w:rsidR="00D62EFC" w:rsidRPr="003D56F3">
        <w:rPr>
          <w:rFonts w:asciiTheme="majorBidi" w:hAnsiTheme="majorBidi" w:cstheme="majorBidi"/>
          <w:color w:val="000000" w:themeColor="text1"/>
        </w:rPr>
        <w:t xml:space="preserve">for which data was </w:t>
      </w:r>
      <w:r w:rsidRPr="003D56F3">
        <w:rPr>
          <w:rFonts w:asciiTheme="majorBidi" w:hAnsiTheme="majorBidi" w:cstheme="majorBidi"/>
          <w:color w:val="000000" w:themeColor="text1"/>
        </w:rPr>
        <w:t xml:space="preserve">lacking. </w:t>
      </w:r>
    </w:p>
    <w:p w14:paraId="595EB49C" w14:textId="77777777" w:rsidR="00CE0D3B" w:rsidRPr="003D56F3" w:rsidRDefault="00CE0D3B" w:rsidP="00CE0D3B">
      <w:pPr>
        <w:pStyle w:val="CH3"/>
        <w:rPr>
          <w:lang w:eastAsia="fr-CH"/>
        </w:rPr>
      </w:pPr>
      <w:r w:rsidRPr="003D56F3">
        <w:rPr>
          <w:lang w:eastAsia="fr-CH"/>
        </w:rPr>
        <w:tab/>
      </w:r>
      <w:r w:rsidRPr="003D56F3">
        <w:rPr>
          <w:lang w:eastAsia="fr-CH"/>
        </w:rPr>
        <w:tab/>
        <w:t>World Health Assembly</w:t>
      </w:r>
    </w:p>
    <w:p w14:paraId="21439E37" w14:textId="778ABC72" w:rsidR="00CE0D3B" w:rsidRPr="003D56F3" w:rsidRDefault="00CE0D3B" w:rsidP="00CE0D3B">
      <w:pPr>
        <w:pStyle w:val="Normalnumber"/>
        <w:numPr>
          <w:ilvl w:val="0"/>
          <w:numId w:val="8"/>
        </w:numPr>
        <w:ind w:left="1247" w:firstLine="0"/>
        <w:rPr>
          <w:rFonts w:asciiTheme="majorBidi" w:hAnsiTheme="majorBidi" w:cstheme="majorBidi"/>
        </w:rPr>
      </w:pPr>
      <w:r w:rsidRPr="003D56F3">
        <w:rPr>
          <w:rFonts w:asciiTheme="majorBidi" w:hAnsiTheme="majorBidi" w:cstheme="majorBidi"/>
          <w:lang w:eastAsia="fr-CH"/>
        </w:rPr>
        <w:t xml:space="preserve">In May 2019, the </w:t>
      </w:r>
      <w:r w:rsidR="00D62EFC" w:rsidRPr="003D56F3">
        <w:rPr>
          <w:rFonts w:asciiTheme="majorBidi" w:hAnsiTheme="majorBidi" w:cstheme="majorBidi"/>
          <w:lang w:eastAsia="fr-CH"/>
        </w:rPr>
        <w:t xml:space="preserve">seventy-second </w:t>
      </w:r>
      <w:r w:rsidRPr="003D56F3">
        <w:rPr>
          <w:rFonts w:asciiTheme="majorBidi" w:hAnsiTheme="majorBidi" w:cstheme="majorBidi"/>
          <w:lang w:eastAsia="fr-CH"/>
        </w:rPr>
        <w:t xml:space="preserve">World Health Assembly </w:t>
      </w:r>
      <w:r w:rsidR="00AB0B53" w:rsidRPr="003D56F3">
        <w:rPr>
          <w:rFonts w:asciiTheme="majorBidi" w:hAnsiTheme="majorBidi" w:cstheme="majorBidi"/>
          <w:lang w:eastAsia="fr-CH"/>
        </w:rPr>
        <w:t xml:space="preserve">took note of </w:t>
      </w:r>
      <w:r w:rsidRPr="003D56F3">
        <w:rPr>
          <w:rFonts w:asciiTheme="majorBidi" w:hAnsiTheme="majorBidi" w:cstheme="majorBidi"/>
          <w:lang w:eastAsia="fr-CH"/>
        </w:rPr>
        <w:t xml:space="preserve">a progress report by the WHO </w:t>
      </w:r>
      <w:r w:rsidR="00995BE0" w:rsidRPr="003D56F3">
        <w:rPr>
          <w:rFonts w:asciiTheme="majorBidi" w:hAnsiTheme="majorBidi" w:cstheme="majorBidi"/>
          <w:lang w:eastAsia="fr-CH"/>
        </w:rPr>
        <w:t>s</w:t>
      </w:r>
      <w:r w:rsidRPr="003D56F3">
        <w:rPr>
          <w:rFonts w:asciiTheme="majorBidi" w:hAnsiTheme="majorBidi" w:cstheme="majorBidi"/>
          <w:lang w:eastAsia="fr-CH"/>
        </w:rPr>
        <w:t xml:space="preserve">ecretariat on the implementation of resolution WHA67.11. The next progress report is scheduled for the </w:t>
      </w:r>
      <w:r w:rsidR="0042357E" w:rsidRPr="003D56F3">
        <w:rPr>
          <w:rFonts w:asciiTheme="majorBidi" w:hAnsiTheme="majorBidi" w:cstheme="majorBidi"/>
          <w:lang w:eastAsia="fr-CH"/>
        </w:rPr>
        <w:t xml:space="preserve">seventy-fourth </w:t>
      </w:r>
      <w:r w:rsidRPr="003D56F3">
        <w:rPr>
          <w:rFonts w:asciiTheme="majorBidi" w:hAnsiTheme="majorBidi" w:cstheme="majorBidi"/>
          <w:lang w:eastAsia="fr-CH"/>
        </w:rPr>
        <w:t>World Health Assembly</w:t>
      </w:r>
      <w:r w:rsidR="0042357E" w:rsidRPr="003D56F3">
        <w:rPr>
          <w:rFonts w:asciiTheme="majorBidi" w:hAnsiTheme="majorBidi" w:cstheme="majorBidi"/>
          <w:lang w:eastAsia="fr-CH"/>
        </w:rPr>
        <w:t>,</w:t>
      </w:r>
      <w:r w:rsidRPr="003D56F3">
        <w:rPr>
          <w:rFonts w:asciiTheme="majorBidi" w:hAnsiTheme="majorBidi" w:cstheme="majorBidi"/>
          <w:lang w:eastAsia="fr-CH"/>
        </w:rPr>
        <w:t xml:space="preserve"> in 2021.</w:t>
      </w:r>
    </w:p>
    <w:p w14:paraId="47AC8612" w14:textId="77777777" w:rsidR="007C7892" w:rsidRDefault="00686887" w:rsidP="00D572E2">
      <w:pPr>
        <w:pStyle w:val="Normal-pool"/>
        <w:sectPr w:rsidR="007C7892" w:rsidSect="00D572E2">
          <w:headerReference w:type="first" r:id="rId20"/>
          <w:footerReference w:type="first" r:id="rId21"/>
          <w:pgSz w:w="11906" w:h="16838" w:code="9"/>
          <w:pgMar w:top="907" w:right="992" w:bottom="1418" w:left="1418" w:header="539" w:footer="975" w:gutter="0"/>
          <w:cols w:space="539"/>
          <w:titlePg/>
          <w:docGrid w:linePitch="360"/>
        </w:sectPr>
      </w:pPr>
      <w:r w:rsidRPr="003D56F3">
        <w:br w:type="page"/>
      </w:r>
    </w:p>
    <w:p w14:paraId="2A8EEF83" w14:textId="04CE2EC4" w:rsidR="00CE0D3B" w:rsidRPr="003D56F3" w:rsidRDefault="00810553" w:rsidP="00810553">
      <w:pPr>
        <w:pStyle w:val="ZZAnxheader"/>
      </w:pPr>
      <w:r w:rsidRPr="003D56F3">
        <w:lastRenderedPageBreak/>
        <w:t>Annex II</w:t>
      </w:r>
    </w:p>
    <w:p w14:paraId="6F5A7624" w14:textId="1870DDE2" w:rsidR="00A853C8" w:rsidRPr="003D56F3" w:rsidRDefault="00A853C8" w:rsidP="00A853C8">
      <w:pPr>
        <w:pStyle w:val="ZZAnxtitle"/>
      </w:pPr>
      <w:r w:rsidRPr="003D56F3">
        <w:t xml:space="preserve">Work of the </w:t>
      </w:r>
      <w:r w:rsidR="00274F11" w:rsidRPr="003D56F3">
        <w:t xml:space="preserve">International Labour </w:t>
      </w:r>
      <w:r w:rsidRPr="003D56F3">
        <w:t>Organization relevant to the Minamata Convention on Mercury</w:t>
      </w:r>
    </w:p>
    <w:p w14:paraId="1F3403EB" w14:textId="7C7FF1D1"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Collaboration between the </w:t>
      </w:r>
      <w:r w:rsidRPr="00C74FE3">
        <w:rPr>
          <w:rFonts w:asciiTheme="majorBidi" w:hAnsiTheme="majorBidi" w:cstheme="majorBidi"/>
        </w:rPr>
        <w:t>International Labour Organi</w:t>
      </w:r>
      <w:r w:rsidR="0042357E" w:rsidRPr="00C74FE3">
        <w:rPr>
          <w:rFonts w:asciiTheme="majorBidi" w:hAnsiTheme="majorBidi" w:cstheme="majorBidi"/>
        </w:rPr>
        <w:t>z</w:t>
      </w:r>
      <w:r w:rsidRPr="00C74FE3">
        <w:rPr>
          <w:rFonts w:asciiTheme="majorBidi" w:hAnsiTheme="majorBidi" w:cstheme="majorBidi"/>
        </w:rPr>
        <w:t>ation</w:t>
      </w:r>
      <w:r w:rsidRPr="003D56F3">
        <w:rPr>
          <w:rFonts w:asciiTheme="majorBidi" w:hAnsiTheme="majorBidi" w:cstheme="majorBidi"/>
        </w:rPr>
        <w:t xml:space="preserve"> (ILO), the Conference of the Parties </w:t>
      </w:r>
      <w:r w:rsidR="0042357E" w:rsidRPr="003D56F3">
        <w:rPr>
          <w:rFonts w:asciiTheme="majorBidi" w:hAnsiTheme="majorBidi" w:cstheme="majorBidi"/>
        </w:rPr>
        <w:t xml:space="preserve">to the Minamata Convention on Mercury </w:t>
      </w:r>
      <w:r w:rsidRPr="003D56F3">
        <w:rPr>
          <w:rFonts w:asciiTheme="majorBidi" w:hAnsiTheme="majorBidi" w:cstheme="majorBidi"/>
        </w:rPr>
        <w:t xml:space="preserve">and the secretariat of the Minamata Convention is based on the text of the Convention, in particular paragraph 2 of article 16. ILO and its constituents have focused their technical support in line with </w:t>
      </w:r>
      <w:r w:rsidR="0042357E" w:rsidRPr="003D56F3">
        <w:rPr>
          <w:rFonts w:asciiTheme="majorBidi" w:hAnsiTheme="majorBidi" w:cstheme="majorBidi"/>
        </w:rPr>
        <w:t>a</w:t>
      </w:r>
      <w:r w:rsidRPr="003D56F3">
        <w:rPr>
          <w:rFonts w:asciiTheme="majorBidi" w:hAnsiTheme="majorBidi" w:cstheme="majorBidi"/>
        </w:rPr>
        <w:t xml:space="preserve">rticle 7 </w:t>
      </w:r>
      <w:r w:rsidR="007D0F4B">
        <w:rPr>
          <w:rFonts w:asciiTheme="majorBidi" w:hAnsiTheme="majorBidi" w:cstheme="majorBidi"/>
        </w:rPr>
        <w:t xml:space="preserve">of </w:t>
      </w:r>
      <w:r w:rsidRPr="003D56F3">
        <w:rPr>
          <w:rFonts w:asciiTheme="majorBidi" w:hAnsiTheme="majorBidi" w:cstheme="majorBidi"/>
        </w:rPr>
        <w:t xml:space="preserve">and </w:t>
      </w:r>
      <w:r w:rsidR="0042357E" w:rsidRPr="003D56F3">
        <w:rPr>
          <w:rFonts w:asciiTheme="majorBidi" w:hAnsiTheme="majorBidi" w:cstheme="majorBidi"/>
        </w:rPr>
        <w:t>a</w:t>
      </w:r>
      <w:r w:rsidRPr="003D56F3">
        <w:rPr>
          <w:rFonts w:asciiTheme="majorBidi" w:hAnsiTheme="majorBidi" w:cstheme="majorBidi"/>
        </w:rPr>
        <w:t xml:space="preserve">nnex C </w:t>
      </w:r>
      <w:r w:rsidR="00814972">
        <w:rPr>
          <w:rFonts w:asciiTheme="majorBidi" w:hAnsiTheme="majorBidi" w:cstheme="majorBidi"/>
        </w:rPr>
        <w:t>to</w:t>
      </w:r>
      <w:r w:rsidR="00814972" w:rsidRPr="003D56F3">
        <w:rPr>
          <w:rFonts w:asciiTheme="majorBidi" w:hAnsiTheme="majorBidi" w:cstheme="majorBidi"/>
        </w:rPr>
        <w:t xml:space="preserve"> </w:t>
      </w:r>
      <w:r w:rsidRPr="003D56F3">
        <w:rPr>
          <w:rFonts w:asciiTheme="majorBidi" w:hAnsiTheme="majorBidi" w:cstheme="majorBidi"/>
        </w:rPr>
        <w:t>the Convention</w:t>
      </w:r>
      <w:r w:rsidR="00995BE0" w:rsidRPr="003D56F3">
        <w:rPr>
          <w:rFonts w:asciiTheme="majorBidi" w:hAnsiTheme="majorBidi" w:cstheme="majorBidi"/>
        </w:rPr>
        <w:t xml:space="preserve">, covering </w:t>
      </w:r>
      <w:r w:rsidR="00814972" w:rsidRPr="003D56F3">
        <w:rPr>
          <w:rFonts w:asciiTheme="majorBidi" w:hAnsiTheme="majorBidi" w:cstheme="majorBidi"/>
          <w:color w:val="000000" w:themeColor="text1"/>
        </w:rPr>
        <w:t>artisanal and small-scale gold mining</w:t>
      </w:r>
      <w:r w:rsidR="00814972" w:rsidRPr="003D56F3">
        <w:rPr>
          <w:rFonts w:asciiTheme="majorBidi" w:hAnsiTheme="majorBidi" w:cstheme="majorBidi"/>
        </w:rPr>
        <w:t xml:space="preserve"> </w:t>
      </w:r>
      <w:r w:rsidR="00814972">
        <w:rPr>
          <w:rFonts w:asciiTheme="majorBidi" w:hAnsiTheme="majorBidi" w:cstheme="majorBidi"/>
        </w:rPr>
        <w:t>(</w:t>
      </w:r>
      <w:r w:rsidR="00995BE0" w:rsidRPr="003D56F3">
        <w:rPr>
          <w:rFonts w:asciiTheme="majorBidi" w:hAnsiTheme="majorBidi" w:cstheme="majorBidi"/>
        </w:rPr>
        <w:t>ASGM</w:t>
      </w:r>
      <w:r w:rsidR="00814972">
        <w:rPr>
          <w:rFonts w:asciiTheme="majorBidi" w:hAnsiTheme="majorBidi" w:cstheme="majorBidi"/>
        </w:rPr>
        <w:t>)</w:t>
      </w:r>
      <w:r w:rsidR="00995BE0" w:rsidRPr="003D56F3">
        <w:rPr>
          <w:rFonts w:asciiTheme="majorBidi" w:hAnsiTheme="majorBidi" w:cstheme="majorBidi"/>
        </w:rPr>
        <w:t>,</w:t>
      </w:r>
      <w:r w:rsidRPr="003D56F3">
        <w:rPr>
          <w:rFonts w:asciiTheme="majorBidi" w:hAnsiTheme="majorBidi" w:cstheme="majorBidi"/>
        </w:rPr>
        <w:t xml:space="preserve"> and are starting to</w:t>
      </w:r>
      <w:r w:rsidR="0069301C" w:rsidRPr="003D56F3">
        <w:rPr>
          <w:rFonts w:asciiTheme="majorBidi" w:hAnsiTheme="majorBidi" w:cstheme="majorBidi"/>
        </w:rPr>
        <w:t xml:space="preserve"> </w:t>
      </w:r>
      <w:r w:rsidR="0069301C" w:rsidRPr="003D56F3">
        <w:t>expand the scope of its initiatives to include mercury exposure in the e</w:t>
      </w:r>
      <w:r w:rsidR="0069301C" w:rsidRPr="003D56F3">
        <w:noBreakHyphen/>
        <w:t>waste sector</w:t>
      </w:r>
      <w:r w:rsidR="0069301C" w:rsidRPr="003D56F3">
        <w:rPr>
          <w:rFonts w:asciiTheme="majorBidi" w:hAnsiTheme="majorBidi" w:cstheme="majorBidi"/>
        </w:rPr>
        <w:t xml:space="preserve">. </w:t>
      </w:r>
    </w:p>
    <w:p w14:paraId="3DABF8FE" w14:textId="5780AFC1"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Since the adoption of the Minamata Convention, relevant ILO activities </w:t>
      </w:r>
      <w:r w:rsidR="00167967" w:rsidRPr="003D56F3">
        <w:rPr>
          <w:rFonts w:asciiTheme="majorBidi" w:hAnsiTheme="majorBidi" w:cstheme="majorBidi"/>
        </w:rPr>
        <w:t xml:space="preserve">in </w:t>
      </w:r>
      <w:r w:rsidRPr="003D56F3">
        <w:rPr>
          <w:rFonts w:asciiTheme="majorBidi" w:hAnsiTheme="majorBidi" w:cstheme="majorBidi"/>
        </w:rPr>
        <w:t xml:space="preserve">support </w:t>
      </w:r>
      <w:r w:rsidR="00167967" w:rsidRPr="003D56F3">
        <w:rPr>
          <w:rFonts w:asciiTheme="majorBidi" w:hAnsiTheme="majorBidi" w:cstheme="majorBidi"/>
        </w:rPr>
        <w:t xml:space="preserve">of the </w:t>
      </w:r>
      <w:r w:rsidRPr="003D56F3">
        <w:rPr>
          <w:rFonts w:asciiTheme="majorBidi" w:hAnsiTheme="majorBidi" w:cstheme="majorBidi"/>
        </w:rPr>
        <w:t>implementation of the Convention have included promotion of ILO international instruments, project</w:t>
      </w:r>
      <w:r w:rsidR="001C2300" w:rsidRPr="003D56F3">
        <w:rPr>
          <w:rFonts w:asciiTheme="majorBidi" w:hAnsiTheme="majorBidi" w:cstheme="majorBidi"/>
        </w:rPr>
        <w:t xml:space="preserve"> work</w:t>
      </w:r>
      <w:r w:rsidRPr="003D56F3">
        <w:rPr>
          <w:rFonts w:asciiTheme="majorBidi" w:hAnsiTheme="majorBidi" w:cstheme="majorBidi"/>
        </w:rPr>
        <w:t xml:space="preserve"> at the country level, and </w:t>
      </w:r>
      <w:r w:rsidR="001C2300" w:rsidRPr="003D56F3">
        <w:rPr>
          <w:rFonts w:asciiTheme="majorBidi" w:hAnsiTheme="majorBidi" w:cstheme="majorBidi"/>
        </w:rPr>
        <w:t xml:space="preserve">production of </w:t>
      </w:r>
      <w:r w:rsidRPr="003D56F3">
        <w:rPr>
          <w:rFonts w:asciiTheme="majorBidi" w:hAnsiTheme="majorBidi" w:cstheme="majorBidi"/>
        </w:rPr>
        <w:t>global codes of practice and working documents</w:t>
      </w:r>
      <w:r w:rsidR="001C2300" w:rsidRPr="003D56F3">
        <w:rPr>
          <w:rFonts w:asciiTheme="majorBidi" w:hAnsiTheme="majorBidi" w:cstheme="majorBidi"/>
        </w:rPr>
        <w:t>, as described below</w:t>
      </w:r>
      <w:r w:rsidRPr="003D56F3">
        <w:rPr>
          <w:rFonts w:asciiTheme="majorBidi" w:hAnsiTheme="majorBidi" w:cstheme="majorBidi"/>
        </w:rPr>
        <w:t xml:space="preserve">. </w:t>
      </w:r>
    </w:p>
    <w:p w14:paraId="097C00D8" w14:textId="5EA52053" w:rsidR="00483C99" w:rsidRPr="003D56F3" w:rsidRDefault="00483C99" w:rsidP="004D6371">
      <w:pPr>
        <w:pStyle w:val="Normalnumber"/>
        <w:numPr>
          <w:ilvl w:val="0"/>
          <w:numId w:val="0"/>
        </w:numPr>
        <w:ind w:left="1247"/>
        <w:rPr>
          <w:rFonts w:asciiTheme="majorBidi" w:hAnsiTheme="majorBidi" w:cstheme="majorBidi"/>
          <w:b/>
        </w:rPr>
      </w:pPr>
      <w:r w:rsidRPr="003D56F3">
        <w:rPr>
          <w:rFonts w:asciiTheme="majorBidi" w:hAnsiTheme="majorBidi" w:cstheme="majorBidi"/>
          <w:b/>
        </w:rPr>
        <w:t xml:space="preserve">Promotion of ILO </w:t>
      </w:r>
      <w:r w:rsidR="00A11E78" w:rsidRPr="003D56F3">
        <w:rPr>
          <w:rFonts w:asciiTheme="majorBidi" w:hAnsiTheme="majorBidi" w:cstheme="majorBidi"/>
          <w:b/>
        </w:rPr>
        <w:t>i</w:t>
      </w:r>
      <w:r w:rsidRPr="003D56F3">
        <w:rPr>
          <w:rFonts w:asciiTheme="majorBidi" w:hAnsiTheme="majorBidi" w:cstheme="majorBidi"/>
          <w:b/>
        </w:rPr>
        <w:t xml:space="preserve">nternational </w:t>
      </w:r>
      <w:r w:rsidR="00A11E78" w:rsidRPr="003D56F3">
        <w:rPr>
          <w:rFonts w:asciiTheme="majorBidi" w:hAnsiTheme="majorBidi" w:cstheme="majorBidi"/>
          <w:b/>
        </w:rPr>
        <w:t>i</w:t>
      </w:r>
      <w:r w:rsidRPr="003D56F3">
        <w:rPr>
          <w:rFonts w:asciiTheme="majorBidi" w:hAnsiTheme="majorBidi" w:cstheme="majorBidi"/>
          <w:b/>
        </w:rPr>
        <w:t xml:space="preserve">nstruments </w:t>
      </w:r>
      <w:r w:rsidR="00A11E78" w:rsidRPr="003D56F3">
        <w:rPr>
          <w:rFonts w:asciiTheme="majorBidi" w:hAnsiTheme="majorBidi" w:cstheme="majorBidi"/>
          <w:b/>
        </w:rPr>
        <w:t xml:space="preserve">for </w:t>
      </w:r>
      <w:r w:rsidRPr="003D56F3">
        <w:rPr>
          <w:rFonts w:asciiTheme="majorBidi" w:hAnsiTheme="majorBidi" w:cstheme="majorBidi"/>
          <w:b/>
        </w:rPr>
        <w:t>the prevention of occupational diseases caused by mercury</w:t>
      </w:r>
    </w:p>
    <w:p w14:paraId="75390667" w14:textId="1A84642A" w:rsidR="00483C99" w:rsidRPr="003D56F3" w:rsidRDefault="00E049D0"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In t</w:t>
      </w:r>
      <w:r w:rsidR="00483C99" w:rsidRPr="003D56F3">
        <w:rPr>
          <w:rFonts w:asciiTheme="majorBidi" w:hAnsiTheme="majorBidi" w:cstheme="majorBidi"/>
        </w:rPr>
        <w:t xml:space="preserve">he ILO Centenary Declaration for the Future of Work, adopted </w:t>
      </w:r>
      <w:r w:rsidR="008916B3" w:rsidRPr="003D56F3">
        <w:rPr>
          <w:rFonts w:asciiTheme="majorBidi" w:hAnsiTheme="majorBidi" w:cstheme="majorBidi"/>
        </w:rPr>
        <w:t xml:space="preserve">in June 2019 </w:t>
      </w:r>
      <w:r w:rsidR="00483C99" w:rsidRPr="003D56F3">
        <w:rPr>
          <w:rFonts w:asciiTheme="majorBidi" w:hAnsiTheme="majorBidi" w:cstheme="majorBidi"/>
        </w:rPr>
        <w:t>at the 108</w:t>
      </w:r>
      <w:r w:rsidR="00483C99" w:rsidRPr="00814972">
        <w:rPr>
          <w:rFonts w:asciiTheme="majorBidi" w:hAnsiTheme="majorBidi" w:cstheme="majorBidi"/>
        </w:rPr>
        <w:t>th</w:t>
      </w:r>
      <w:r w:rsidR="00D572E2">
        <w:rPr>
          <w:rFonts w:asciiTheme="majorBidi" w:hAnsiTheme="majorBidi" w:cstheme="majorBidi"/>
        </w:rPr>
        <w:t> </w:t>
      </w:r>
      <w:r w:rsidR="00A11E78" w:rsidRPr="00814972">
        <w:rPr>
          <w:rFonts w:asciiTheme="majorBidi" w:hAnsiTheme="majorBidi" w:cstheme="majorBidi"/>
        </w:rPr>
        <w:t>s</w:t>
      </w:r>
      <w:r w:rsidR="00483C99" w:rsidRPr="00814972">
        <w:rPr>
          <w:rFonts w:asciiTheme="majorBidi" w:hAnsiTheme="majorBidi" w:cstheme="majorBidi"/>
        </w:rPr>
        <w:t>ession</w:t>
      </w:r>
      <w:r w:rsidR="00A11E78" w:rsidRPr="003D56F3">
        <w:rPr>
          <w:rFonts w:asciiTheme="majorBidi" w:hAnsiTheme="majorBidi" w:cstheme="majorBidi"/>
        </w:rPr>
        <w:t xml:space="preserve"> of the </w:t>
      </w:r>
      <w:r w:rsidR="00483C99" w:rsidRPr="003D56F3">
        <w:rPr>
          <w:rFonts w:asciiTheme="majorBidi" w:hAnsiTheme="majorBidi" w:cstheme="majorBidi"/>
        </w:rPr>
        <w:t xml:space="preserve">International Labour Conference, </w:t>
      </w:r>
      <w:r w:rsidRPr="003D56F3">
        <w:rPr>
          <w:rFonts w:asciiTheme="majorBidi" w:hAnsiTheme="majorBidi" w:cstheme="majorBidi"/>
        </w:rPr>
        <w:t xml:space="preserve">the Conference </w:t>
      </w:r>
      <w:r w:rsidR="00483C99" w:rsidRPr="003D56F3">
        <w:rPr>
          <w:rFonts w:asciiTheme="majorBidi" w:hAnsiTheme="majorBidi" w:cstheme="majorBidi"/>
        </w:rPr>
        <w:t>declared that “safe and healthy working conditions are fundamental to decent work”</w:t>
      </w:r>
      <w:r w:rsidR="00A11E78" w:rsidRPr="003D56F3">
        <w:rPr>
          <w:rFonts w:asciiTheme="majorBidi" w:hAnsiTheme="majorBidi" w:cstheme="majorBidi"/>
        </w:rPr>
        <w:t>.</w:t>
      </w:r>
      <w:r w:rsidR="00483C99" w:rsidRPr="003D56F3">
        <w:rPr>
          <w:rFonts w:asciiTheme="majorBidi" w:hAnsiTheme="majorBidi" w:cstheme="majorBidi"/>
          <w:vertAlign w:val="superscript"/>
        </w:rPr>
        <w:footnoteReference w:id="9"/>
      </w:r>
    </w:p>
    <w:p w14:paraId="49159AB8" w14:textId="592504B7"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ILO, through its offices worldwide, has been promoting the ratification and the implementation of the ILO international instruments relevant to mercury exposure in various member States. This includes promotion of </w:t>
      </w:r>
      <w:r w:rsidRPr="003D56F3">
        <w:rPr>
          <w:rFonts w:asciiTheme="majorBidi" w:hAnsiTheme="majorBidi" w:cstheme="majorBidi"/>
          <w:lang w:eastAsia="fr-CH"/>
        </w:rPr>
        <w:t>the</w:t>
      </w:r>
      <w:r w:rsidRPr="003D56F3">
        <w:rPr>
          <w:rFonts w:asciiTheme="majorBidi" w:hAnsiTheme="majorBidi" w:cstheme="majorBidi"/>
        </w:rPr>
        <w:t xml:space="preserve"> Chemicals Convention, 1990 (No.</w:t>
      </w:r>
      <w:r w:rsidR="00125BEE" w:rsidRPr="003D56F3">
        <w:rPr>
          <w:rFonts w:asciiTheme="majorBidi" w:hAnsiTheme="majorBidi" w:cstheme="majorBidi"/>
        </w:rPr>
        <w:t> </w:t>
      </w:r>
      <w:r w:rsidRPr="003D56F3">
        <w:rPr>
          <w:rFonts w:asciiTheme="majorBidi" w:hAnsiTheme="majorBidi" w:cstheme="majorBidi"/>
        </w:rPr>
        <w:t>170)</w:t>
      </w:r>
      <w:r w:rsidR="008916B3" w:rsidRPr="003D56F3">
        <w:rPr>
          <w:rFonts w:asciiTheme="majorBidi" w:hAnsiTheme="majorBidi" w:cstheme="majorBidi"/>
        </w:rPr>
        <w:t>;</w:t>
      </w:r>
      <w:r w:rsidRPr="003D56F3">
        <w:rPr>
          <w:rFonts w:asciiTheme="majorBidi" w:hAnsiTheme="majorBidi" w:cstheme="majorBidi"/>
        </w:rPr>
        <w:t xml:space="preserve"> the Prevention of Major Industrial Accidents Convention, 1993 (No. 174)</w:t>
      </w:r>
      <w:r w:rsidR="008916B3" w:rsidRPr="003D56F3">
        <w:rPr>
          <w:rFonts w:asciiTheme="majorBidi" w:hAnsiTheme="majorBidi" w:cstheme="majorBidi"/>
        </w:rPr>
        <w:t>;</w:t>
      </w:r>
      <w:r w:rsidRPr="003D56F3">
        <w:rPr>
          <w:rFonts w:asciiTheme="majorBidi" w:hAnsiTheme="majorBidi" w:cstheme="majorBidi"/>
        </w:rPr>
        <w:t xml:space="preserve"> the Safety and Health in Mines</w:t>
      </w:r>
      <w:r w:rsidR="00E45DDF" w:rsidRPr="003D56F3">
        <w:rPr>
          <w:rFonts w:asciiTheme="majorBidi" w:hAnsiTheme="majorBidi" w:cstheme="majorBidi"/>
        </w:rPr>
        <w:t xml:space="preserve"> Convention, 1995 (No.176)</w:t>
      </w:r>
      <w:r w:rsidR="003D56F3" w:rsidRPr="003D56F3">
        <w:rPr>
          <w:rFonts w:asciiTheme="majorBidi" w:hAnsiTheme="majorBidi" w:cstheme="majorBidi"/>
        </w:rPr>
        <w:t xml:space="preserve"> </w:t>
      </w:r>
      <w:r w:rsidRPr="003D56F3">
        <w:rPr>
          <w:rFonts w:asciiTheme="majorBidi" w:hAnsiTheme="majorBidi" w:cstheme="majorBidi"/>
        </w:rPr>
        <w:t>and the Safety and Health in Agriculture Convention, 2001 (No. 184). The Promotional Framework for Occupational Safety and Health Convention, 2006 (No. 187)</w:t>
      </w:r>
      <w:r w:rsidR="008916B3" w:rsidRPr="003D56F3">
        <w:rPr>
          <w:rFonts w:asciiTheme="majorBidi" w:hAnsiTheme="majorBidi" w:cstheme="majorBidi"/>
        </w:rPr>
        <w:t>,</w:t>
      </w:r>
      <w:r w:rsidRPr="003D56F3">
        <w:rPr>
          <w:rFonts w:asciiTheme="majorBidi" w:hAnsiTheme="majorBidi" w:cstheme="majorBidi"/>
        </w:rPr>
        <w:t xml:space="preserve"> aims to strengthen national occupational safety and health (OSH) systems and infrastructure within which to anchor the implementation of the other</w:t>
      </w:r>
      <w:r w:rsidR="008916B3" w:rsidRPr="003D56F3">
        <w:rPr>
          <w:rFonts w:asciiTheme="majorBidi" w:hAnsiTheme="majorBidi" w:cstheme="majorBidi"/>
        </w:rPr>
        <w:t xml:space="preserve"> ILO</w:t>
      </w:r>
      <w:r w:rsidRPr="003D56F3">
        <w:rPr>
          <w:rFonts w:asciiTheme="majorBidi" w:hAnsiTheme="majorBidi" w:cstheme="majorBidi"/>
        </w:rPr>
        <w:t xml:space="preserve"> OSH conventions. Moreover, under the Employment Injury Benefits Convention, 1964</w:t>
      </w:r>
      <w:r w:rsidR="00557403">
        <w:rPr>
          <w:rFonts w:asciiTheme="majorBidi" w:hAnsiTheme="majorBidi" w:cstheme="majorBidi"/>
        </w:rPr>
        <w:t xml:space="preserve"> [Schedule I amended in 1980]</w:t>
      </w:r>
      <w:r w:rsidRPr="003D56F3">
        <w:rPr>
          <w:rFonts w:asciiTheme="majorBidi" w:hAnsiTheme="majorBidi" w:cstheme="majorBidi"/>
        </w:rPr>
        <w:t xml:space="preserve"> (No</w:t>
      </w:r>
      <w:r w:rsidR="008916B3" w:rsidRPr="003D56F3">
        <w:rPr>
          <w:rFonts w:asciiTheme="majorBidi" w:hAnsiTheme="majorBidi" w:cstheme="majorBidi"/>
        </w:rPr>
        <w:t>. </w:t>
      </w:r>
      <w:r w:rsidRPr="003D56F3">
        <w:rPr>
          <w:rFonts w:asciiTheme="majorBidi" w:hAnsiTheme="majorBidi" w:cstheme="majorBidi"/>
        </w:rPr>
        <w:t>121), workers have access to a remedy to the exposure to mercury (</w:t>
      </w:r>
      <w:r w:rsidR="00125BEE" w:rsidRPr="003D56F3">
        <w:rPr>
          <w:rFonts w:asciiTheme="majorBidi" w:hAnsiTheme="majorBidi" w:cstheme="majorBidi"/>
        </w:rPr>
        <w:t>s</w:t>
      </w:r>
      <w:r w:rsidRPr="003D56F3">
        <w:rPr>
          <w:rFonts w:asciiTheme="majorBidi" w:hAnsiTheme="majorBidi" w:cstheme="majorBidi"/>
        </w:rPr>
        <w:t>chedule I</w:t>
      </w:r>
      <w:r w:rsidR="00221C65" w:rsidRPr="003D56F3">
        <w:rPr>
          <w:rFonts w:asciiTheme="majorBidi" w:hAnsiTheme="majorBidi" w:cstheme="majorBidi"/>
        </w:rPr>
        <w:t xml:space="preserve">, List of Occupational </w:t>
      </w:r>
      <w:r w:rsidR="00221C65" w:rsidRPr="00736410">
        <w:rPr>
          <w:rFonts w:asciiTheme="majorBidi" w:hAnsiTheme="majorBidi" w:cstheme="majorBidi"/>
        </w:rPr>
        <w:t xml:space="preserve">Diseases </w:t>
      </w:r>
      <w:r w:rsidR="00557403" w:rsidRPr="00736410">
        <w:rPr>
          <w:rFonts w:asciiTheme="majorBidi" w:hAnsiTheme="majorBidi" w:cstheme="majorBidi"/>
        </w:rPr>
        <w:t xml:space="preserve">para. </w:t>
      </w:r>
      <w:r w:rsidR="00221C65" w:rsidRPr="00736410">
        <w:rPr>
          <w:rFonts w:asciiTheme="majorBidi" w:hAnsiTheme="majorBidi" w:cstheme="majorBidi"/>
        </w:rPr>
        <w:t>12</w:t>
      </w:r>
      <w:r w:rsidR="00274F11" w:rsidRPr="00736410">
        <w:rPr>
          <w:rFonts w:asciiTheme="majorBidi" w:hAnsiTheme="majorBidi" w:cstheme="majorBidi"/>
        </w:rPr>
        <w:t>). This</w:t>
      </w:r>
      <w:r w:rsidRPr="00736410">
        <w:rPr>
          <w:rFonts w:asciiTheme="majorBidi" w:hAnsiTheme="majorBidi" w:cstheme="majorBidi"/>
        </w:rPr>
        <w:t xml:space="preserve"> is in addition to the List of Occupational Diseases (revised 2010) in the annex of </w:t>
      </w:r>
      <w:r w:rsidR="00454238" w:rsidRPr="00736410">
        <w:rPr>
          <w:rFonts w:asciiTheme="majorBidi" w:hAnsiTheme="majorBidi" w:cstheme="majorBidi"/>
        </w:rPr>
        <w:t>ILO Recommendation</w:t>
      </w:r>
      <w:r w:rsidR="00454238" w:rsidRPr="003D56F3">
        <w:rPr>
          <w:rFonts w:asciiTheme="majorBidi" w:hAnsiTheme="majorBidi" w:cstheme="majorBidi"/>
        </w:rPr>
        <w:t xml:space="preserve"> No. 194 concerning the List of Occupational Diseases and the Recording and Notification of Occupational Accidents and Diseases [List of Occupational Diseases Recommendation, 2002], </w:t>
      </w:r>
      <w:r w:rsidRPr="003D56F3">
        <w:rPr>
          <w:rFonts w:asciiTheme="majorBidi" w:hAnsiTheme="majorBidi" w:cstheme="majorBidi"/>
        </w:rPr>
        <w:t>which includes diseases caused by mercury or its compounds (</w:t>
      </w:r>
      <w:r w:rsidR="00454238" w:rsidRPr="003D56F3">
        <w:rPr>
          <w:rFonts w:asciiTheme="majorBidi" w:hAnsiTheme="majorBidi" w:cstheme="majorBidi"/>
        </w:rPr>
        <w:t>p</w:t>
      </w:r>
      <w:r w:rsidRPr="003D56F3">
        <w:rPr>
          <w:rFonts w:asciiTheme="majorBidi" w:hAnsiTheme="majorBidi" w:cstheme="majorBidi"/>
        </w:rPr>
        <w:t>ara</w:t>
      </w:r>
      <w:r w:rsidR="00785C70" w:rsidRPr="003D56F3">
        <w:rPr>
          <w:rFonts w:asciiTheme="majorBidi" w:hAnsiTheme="majorBidi" w:cstheme="majorBidi"/>
        </w:rPr>
        <w:t>.</w:t>
      </w:r>
      <w:r w:rsidRPr="003D56F3">
        <w:rPr>
          <w:rFonts w:asciiTheme="majorBidi" w:hAnsiTheme="majorBidi" w:cstheme="majorBidi"/>
        </w:rPr>
        <w:t xml:space="preserve"> 1.1.7).</w:t>
      </w:r>
    </w:p>
    <w:p w14:paraId="34A2C472" w14:textId="3A701AA6"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ILO is </w:t>
      </w:r>
      <w:r w:rsidRPr="003D56F3">
        <w:rPr>
          <w:rFonts w:asciiTheme="majorBidi" w:hAnsiTheme="majorBidi" w:cstheme="majorBidi"/>
          <w:lang w:eastAsia="fr-CH"/>
        </w:rPr>
        <w:t>currently</w:t>
      </w:r>
      <w:r w:rsidRPr="003D56F3">
        <w:rPr>
          <w:rFonts w:asciiTheme="majorBidi" w:hAnsiTheme="majorBidi" w:cstheme="majorBidi"/>
        </w:rPr>
        <w:t xml:space="preserve"> developing diagnostic criteria notes to provide for coherent diagnosis of </w:t>
      </w:r>
      <w:r w:rsidR="00454238" w:rsidRPr="003D56F3">
        <w:rPr>
          <w:rFonts w:asciiTheme="majorBidi" w:hAnsiTheme="majorBidi" w:cstheme="majorBidi"/>
        </w:rPr>
        <w:t xml:space="preserve">the </w:t>
      </w:r>
      <w:r w:rsidRPr="003D56F3">
        <w:rPr>
          <w:rFonts w:asciiTheme="majorBidi" w:hAnsiTheme="majorBidi" w:cstheme="majorBidi"/>
        </w:rPr>
        <w:t xml:space="preserve">occupational diseases listed </w:t>
      </w:r>
      <w:r w:rsidR="00454238" w:rsidRPr="003D56F3">
        <w:rPr>
          <w:rFonts w:asciiTheme="majorBidi" w:hAnsiTheme="majorBidi" w:cstheme="majorBidi"/>
        </w:rPr>
        <w:t xml:space="preserve">in </w:t>
      </w:r>
      <w:r w:rsidR="00531003" w:rsidRPr="003D56F3">
        <w:rPr>
          <w:rFonts w:asciiTheme="majorBidi" w:hAnsiTheme="majorBidi" w:cstheme="majorBidi"/>
        </w:rPr>
        <w:t xml:space="preserve">ILO </w:t>
      </w:r>
      <w:r w:rsidRPr="003D56F3">
        <w:rPr>
          <w:rFonts w:asciiTheme="majorBidi" w:hAnsiTheme="majorBidi" w:cstheme="majorBidi"/>
        </w:rPr>
        <w:t>R</w:t>
      </w:r>
      <w:r w:rsidR="00531003" w:rsidRPr="003D56F3">
        <w:rPr>
          <w:rFonts w:asciiTheme="majorBidi" w:hAnsiTheme="majorBidi" w:cstheme="majorBidi"/>
        </w:rPr>
        <w:t xml:space="preserve">ecommendation No. </w:t>
      </w:r>
      <w:r w:rsidRPr="003D56F3">
        <w:rPr>
          <w:rFonts w:asciiTheme="majorBidi" w:hAnsiTheme="majorBidi" w:cstheme="majorBidi"/>
        </w:rPr>
        <w:t>194</w:t>
      </w:r>
      <w:r w:rsidR="00531003" w:rsidRPr="003D56F3">
        <w:rPr>
          <w:rFonts w:asciiTheme="majorBidi" w:hAnsiTheme="majorBidi" w:cstheme="majorBidi"/>
        </w:rPr>
        <w:t>, including</w:t>
      </w:r>
      <w:r w:rsidRPr="003D56F3">
        <w:rPr>
          <w:rFonts w:asciiTheme="majorBidi" w:hAnsiTheme="majorBidi" w:cstheme="majorBidi"/>
        </w:rPr>
        <w:t xml:space="preserve"> diseases caused by mercury or its toxic compounds</w:t>
      </w:r>
      <w:r w:rsidR="00531003" w:rsidRPr="003D56F3">
        <w:rPr>
          <w:rFonts w:asciiTheme="majorBidi" w:hAnsiTheme="majorBidi" w:cstheme="majorBidi"/>
        </w:rPr>
        <w:t>,</w:t>
      </w:r>
      <w:r w:rsidRPr="003D56F3">
        <w:rPr>
          <w:rFonts w:asciiTheme="majorBidi" w:hAnsiTheme="majorBidi" w:cstheme="majorBidi"/>
        </w:rPr>
        <w:t xml:space="preserve"> </w:t>
      </w:r>
      <w:r w:rsidR="00531003" w:rsidRPr="003D56F3">
        <w:rPr>
          <w:rFonts w:asciiTheme="majorBidi" w:hAnsiTheme="majorBidi" w:cstheme="majorBidi"/>
        </w:rPr>
        <w:t xml:space="preserve">which </w:t>
      </w:r>
      <w:r w:rsidRPr="003D56F3">
        <w:rPr>
          <w:rFonts w:asciiTheme="majorBidi" w:hAnsiTheme="majorBidi" w:cstheme="majorBidi"/>
        </w:rPr>
        <w:t xml:space="preserve">will also be instrumental </w:t>
      </w:r>
      <w:r w:rsidR="00531003" w:rsidRPr="003D56F3">
        <w:rPr>
          <w:rFonts w:asciiTheme="majorBidi" w:hAnsiTheme="majorBidi" w:cstheme="majorBidi"/>
        </w:rPr>
        <w:t xml:space="preserve">in </w:t>
      </w:r>
      <w:r w:rsidRPr="003D56F3">
        <w:rPr>
          <w:rFonts w:asciiTheme="majorBidi" w:hAnsiTheme="majorBidi" w:cstheme="majorBidi"/>
        </w:rPr>
        <w:t>reporting on S</w:t>
      </w:r>
      <w:r w:rsidR="00531003" w:rsidRPr="003D56F3">
        <w:rPr>
          <w:rFonts w:asciiTheme="majorBidi" w:hAnsiTheme="majorBidi" w:cstheme="majorBidi"/>
        </w:rPr>
        <w:t>ustainable Development Goal</w:t>
      </w:r>
      <w:r w:rsidRPr="003D56F3">
        <w:rPr>
          <w:rFonts w:asciiTheme="majorBidi" w:hAnsiTheme="majorBidi" w:cstheme="majorBidi"/>
        </w:rPr>
        <w:t xml:space="preserve"> Indicator 8.8.1.</w:t>
      </w:r>
    </w:p>
    <w:p w14:paraId="5DB85C92" w14:textId="2CBC3CDE" w:rsidR="00912E98" w:rsidRPr="003D56F3" w:rsidRDefault="00531003"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At the </w:t>
      </w:r>
      <w:r w:rsidR="00221C65" w:rsidRPr="003D56F3">
        <w:rPr>
          <w:rFonts w:asciiTheme="majorBidi" w:hAnsiTheme="majorBidi" w:cstheme="majorBidi"/>
        </w:rPr>
        <w:t xml:space="preserve">ninth </w:t>
      </w:r>
      <w:r w:rsidRPr="003D56F3">
        <w:rPr>
          <w:rFonts w:asciiTheme="majorBidi" w:hAnsiTheme="majorBidi" w:cstheme="majorBidi"/>
        </w:rPr>
        <w:t>China</w:t>
      </w:r>
      <w:r w:rsidR="00221C65" w:rsidRPr="003D56F3">
        <w:rPr>
          <w:rFonts w:asciiTheme="majorBidi" w:hAnsiTheme="majorBidi" w:cstheme="majorBidi"/>
        </w:rPr>
        <w:t xml:space="preserve"> International Forum on Work Safety,</w:t>
      </w:r>
      <w:r w:rsidRPr="003D56F3">
        <w:rPr>
          <w:rFonts w:asciiTheme="majorBidi" w:hAnsiTheme="majorBidi" w:cstheme="majorBidi"/>
        </w:rPr>
        <w:t xml:space="preserve"> held in </w:t>
      </w:r>
      <w:r w:rsidR="00221C65" w:rsidRPr="003D56F3">
        <w:rPr>
          <w:rFonts w:asciiTheme="majorBidi" w:hAnsiTheme="majorBidi" w:cstheme="majorBidi"/>
        </w:rPr>
        <w:t>Octobe</w:t>
      </w:r>
      <w:r w:rsidRPr="003D56F3">
        <w:rPr>
          <w:rFonts w:asciiTheme="majorBidi" w:hAnsiTheme="majorBidi" w:cstheme="majorBidi"/>
        </w:rPr>
        <w:t>r 2018, ILO o</w:t>
      </w:r>
      <w:r w:rsidR="00483C99" w:rsidRPr="003D56F3">
        <w:rPr>
          <w:rFonts w:asciiTheme="majorBidi" w:hAnsiTheme="majorBidi" w:cstheme="majorBidi"/>
        </w:rPr>
        <w:t>rgani</w:t>
      </w:r>
      <w:r w:rsidR="00461289" w:rsidRPr="003D56F3">
        <w:rPr>
          <w:rFonts w:asciiTheme="majorBidi" w:hAnsiTheme="majorBidi" w:cstheme="majorBidi"/>
        </w:rPr>
        <w:t>z</w:t>
      </w:r>
      <w:r w:rsidRPr="003D56F3">
        <w:rPr>
          <w:rFonts w:asciiTheme="majorBidi" w:hAnsiTheme="majorBidi" w:cstheme="majorBidi"/>
        </w:rPr>
        <w:t>ed</w:t>
      </w:r>
      <w:r w:rsidR="00483C99" w:rsidRPr="003D56F3">
        <w:rPr>
          <w:rFonts w:asciiTheme="majorBidi" w:hAnsiTheme="majorBidi" w:cstheme="majorBidi"/>
        </w:rPr>
        <w:t xml:space="preserve"> a parallel </w:t>
      </w:r>
      <w:r w:rsidR="00483C99" w:rsidRPr="00386B16">
        <w:rPr>
          <w:rFonts w:asciiTheme="majorBidi" w:hAnsiTheme="majorBidi" w:cstheme="majorBidi"/>
        </w:rPr>
        <w:t>session</w:t>
      </w:r>
      <w:r w:rsidR="00483C99" w:rsidRPr="003D56F3">
        <w:rPr>
          <w:rFonts w:asciiTheme="majorBidi" w:hAnsiTheme="majorBidi" w:cstheme="majorBidi"/>
        </w:rPr>
        <w:t xml:space="preserve"> to discuss OSH risks in the mining sector in China, during which issues of exposure to </w:t>
      </w:r>
      <w:r w:rsidR="00483C99" w:rsidRPr="00736410">
        <w:rPr>
          <w:rFonts w:asciiTheme="majorBidi" w:hAnsiTheme="majorBidi" w:cstheme="majorBidi"/>
        </w:rPr>
        <w:t xml:space="preserve">mercury in the mining sector at </w:t>
      </w:r>
      <w:r w:rsidR="008916B3" w:rsidRPr="00736410">
        <w:rPr>
          <w:rFonts w:asciiTheme="majorBidi" w:hAnsiTheme="majorBidi" w:cstheme="majorBidi"/>
        </w:rPr>
        <w:t xml:space="preserve">the </w:t>
      </w:r>
      <w:r w:rsidR="00483C99" w:rsidRPr="00736410">
        <w:rPr>
          <w:rFonts w:asciiTheme="majorBidi" w:hAnsiTheme="majorBidi" w:cstheme="majorBidi"/>
        </w:rPr>
        <w:t>national and global levels</w:t>
      </w:r>
      <w:r w:rsidRPr="00736410">
        <w:rPr>
          <w:rFonts w:asciiTheme="majorBidi" w:hAnsiTheme="majorBidi" w:cstheme="majorBidi"/>
        </w:rPr>
        <w:t xml:space="preserve"> were discussed</w:t>
      </w:r>
      <w:r w:rsidR="00483C99" w:rsidRPr="00736410">
        <w:rPr>
          <w:rFonts w:asciiTheme="majorBidi" w:hAnsiTheme="majorBidi" w:cstheme="majorBidi"/>
        </w:rPr>
        <w:t>.</w:t>
      </w:r>
      <w:r w:rsidR="00912E98" w:rsidRPr="00736410">
        <w:rPr>
          <w:rFonts w:asciiTheme="majorBidi" w:hAnsiTheme="majorBidi" w:cstheme="majorBidi"/>
        </w:rPr>
        <w:t xml:space="preserve"> ILO also promoted the Minamata Convention at a workshop </w:t>
      </w:r>
      <w:r w:rsidR="00D63042" w:rsidRPr="00736410">
        <w:rPr>
          <w:rFonts w:asciiTheme="majorBidi" w:hAnsiTheme="majorBidi" w:cstheme="majorBidi"/>
        </w:rPr>
        <w:t xml:space="preserve">organized </w:t>
      </w:r>
      <w:r w:rsidR="00912E98" w:rsidRPr="00736410">
        <w:rPr>
          <w:rFonts w:asciiTheme="majorBidi" w:hAnsiTheme="majorBidi" w:cstheme="majorBidi"/>
        </w:rPr>
        <w:t>with the Korea Occupational Safety and Health Agency</w:t>
      </w:r>
      <w:r w:rsidR="00736410" w:rsidRPr="00736410">
        <w:rPr>
          <w:rFonts w:asciiTheme="majorBidi" w:hAnsiTheme="majorBidi" w:cstheme="majorBidi"/>
        </w:rPr>
        <w:t>, held in July 2019 for OSH government officials from 10 member States</w:t>
      </w:r>
      <w:r w:rsidR="00A04E76">
        <w:rPr>
          <w:rFonts w:asciiTheme="majorBidi" w:hAnsiTheme="majorBidi" w:cstheme="majorBidi"/>
        </w:rPr>
        <w:t xml:space="preserve"> of the Association of </w:t>
      </w:r>
      <w:r w:rsidR="00736410" w:rsidRPr="00736410">
        <w:rPr>
          <w:rFonts w:asciiTheme="majorBidi" w:hAnsiTheme="majorBidi" w:cstheme="majorBidi"/>
        </w:rPr>
        <w:t>Southeast Asian Nations</w:t>
      </w:r>
      <w:r w:rsidR="00736410">
        <w:rPr>
          <w:rFonts w:asciiTheme="majorBidi" w:hAnsiTheme="majorBidi" w:cstheme="majorBidi"/>
        </w:rPr>
        <w:t xml:space="preserve"> (ASEAN)</w:t>
      </w:r>
      <w:r w:rsidR="00736410" w:rsidRPr="00736410">
        <w:rPr>
          <w:rFonts w:asciiTheme="majorBidi" w:hAnsiTheme="majorBidi" w:cstheme="majorBidi"/>
        </w:rPr>
        <w:t>,</w:t>
      </w:r>
      <w:r w:rsidR="00912E98" w:rsidRPr="00736410">
        <w:rPr>
          <w:rFonts w:asciiTheme="majorBidi" w:hAnsiTheme="majorBidi" w:cstheme="majorBidi"/>
        </w:rPr>
        <w:t xml:space="preserve"> on “Adapting to the future of work: tackling current and future challenges on occupational health in ASEAN”.</w:t>
      </w:r>
    </w:p>
    <w:p w14:paraId="2DE0D226" w14:textId="6DB6E108" w:rsidR="00483C99" w:rsidRPr="003D56F3" w:rsidRDefault="0065534D"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ILO </w:t>
      </w:r>
      <w:r w:rsidR="008916B3" w:rsidRPr="003D56F3">
        <w:rPr>
          <w:rFonts w:asciiTheme="majorBidi" w:hAnsiTheme="majorBidi" w:cstheme="majorBidi"/>
        </w:rPr>
        <w:t xml:space="preserve">has </w:t>
      </w:r>
      <w:r w:rsidRPr="003D56F3">
        <w:rPr>
          <w:rFonts w:asciiTheme="majorBidi" w:hAnsiTheme="majorBidi" w:cstheme="majorBidi"/>
        </w:rPr>
        <w:t>provided c</w:t>
      </w:r>
      <w:r w:rsidR="00483C99" w:rsidRPr="003D56F3">
        <w:rPr>
          <w:rFonts w:asciiTheme="majorBidi" w:hAnsiTheme="majorBidi" w:cstheme="majorBidi"/>
        </w:rPr>
        <w:t xml:space="preserve">ontinued </w:t>
      </w:r>
      <w:r w:rsidR="00483C99" w:rsidRPr="003D56F3">
        <w:rPr>
          <w:rFonts w:asciiTheme="majorBidi" w:hAnsiTheme="majorBidi" w:cstheme="majorBidi"/>
          <w:lang w:eastAsia="fr-CH"/>
        </w:rPr>
        <w:t>support</w:t>
      </w:r>
      <w:r w:rsidR="00483C99" w:rsidRPr="003D56F3">
        <w:rPr>
          <w:rFonts w:asciiTheme="majorBidi" w:hAnsiTheme="majorBidi" w:cstheme="majorBidi"/>
        </w:rPr>
        <w:t xml:space="preserve"> to the Philippines in the implementation of the ratified ILO Safety and Health in Mines Convention, 1995 (No. 176). </w:t>
      </w:r>
      <w:r w:rsidR="00386B16">
        <w:rPr>
          <w:rFonts w:asciiTheme="majorBidi" w:hAnsiTheme="majorBidi" w:cstheme="majorBidi"/>
        </w:rPr>
        <w:t xml:space="preserve">The </w:t>
      </w:r>
      <w:r w:rsidR="00483C99" w:rsidRPr="003D56F3">
        <w:rPr>
          <w:rFonts w:asciiTheme="majorBidi" w:hAnsiTheme="majorBidi" w:cstheme="majorBidi"/>
        </w:rPr>
        <w:t xml:space="preserve">Philippines is </w:t>
      </w:r>
      <w:r w:rsidR="00912E98" w:rsidRPr="003D56F3">
        <w:rPr>
          <w:rFonts w:asciiTheme="majorBidi" w:hAnsiTheme="majorBidi" w:cstheme="majorBidi"/>
        </w:rPr>
        <w:t xml:space="preserve">currently </w:t>
      </w:r>
      <w:r w:rsidR="00483C99" w:rsidRPr="003D56F3">
        <w:rPr>
          <w:rFonts w:asciiTheme="majorBidi" w:hAnsiTheme="majorBidi" w:cstheme="majorBidi"/>
        </w:rPr>
        <w:t xml:space="preserve">revising its list of occupational diseases in line with </w:t>
      </w:r>
      <w:r w:rsidR="00DE188F" w:rsidRPr="003D56F3">
        <w:rPr>
          <w:rFonts w:asciiTheme="majorBidi" w:hAnsiTheme="majorBidi" w:cstheme="majorBidi"/>
        </w:rPr>
        <w:t>ILO Recommendation No. 194</w:t>
      </w:r>
      <w:r w:rsidR="00912E98" w:rsidRPr="003D56F3">
        <w:rPr>
          <w:rFonts w:asciiTheme="majorBidi" w:hAnsiTheme="majorBidi" w:cstheme="majorBidi"/>
        </w:rPr>
        <w:t xml:space="preserve">, as are </w:t>
      </w:r>
      <w:r w:rsidR="00566052" w:rsidRPr="003D56F3">
        <w:rPr>
          <w:rFonts w:asciiTheme="majorBidi" w:hAnsiTheme="majorBidi" w:cstheme="majorBidi"/>
        </w:rPr>
        <w:t xml:space="preserve">Indonesia, the </w:t>
      </w:r>
      <w:r w:rsidR="00483C99" w:rsidRPr="003D56F3">
        <w:rPr>
          <w:rFonts w:asciiTheme="majorBidi" w:hAnsiTheme="majorBidi" w:cstheme="majorBidi"/>
        </w:rPr>
        <w:t>Lao</w:t>
      </w:r>
      <w:r w:rsidR="00DE188F" w:rsidRPr="003D56F3">
        <w:t xml:space="preserve"> People’s Democratic Republic</w:t>
      </w:r>
      <w:r w:rsidR="00483C99" w:rsidRPr="003D56F3">
        <w:rPr>
          <w:rFonts w:asciiTheme="majorBidi" w:hAnsiTheme="majorBidi" w:cstheme="majorBidi"/>
        </w:rPr>
        <w:t>, Myanmar and Namibia.</w:t>
      </w:r>
    </w:p>
    <w:p w14:paraId="60328B30" w14:textId="3DCFD94B" w:rsidR="00483C99" w:rsidRPr="003D56F3" w:rsidRDefault="00483C99" w:rsidP="004D6371">
      <w:pPr>
        <w:pStyle w:val="Normalnumber"/>
        <w:numPr>
          <w:ilvl w:val="0"/>
          <w:numId w:val="0"/>
        </w:numPr>
        <w:ind w:left="1247"/>
        <w:rPr>
          <w:rFonts w:asciiTheme="majorBidi" w:hAnsiTheme="majorBidi" w:cstheme="majorBidi"/>
          <w:b/>
        </w:rPr>
      </w:pPr>
      <w:r w:rsidRPr="003D56F3">
        <w:rPr>
          <w:rFonts w:asciiTheme="majorBidi" w:hAnsiTheme="majorBidi" w:cstheme="majorBidi"/>
          <w:b/>
        </w:rPr>
        <w:t xml:space="preserve">Projects in </w:t>
      </w:r>
      <w:r w:rsidR="00DE188F" w:rsidRPr="003D56F3">
        <w:rPr>
          <w:rFonts w:asciiTheme="majorBidi" w:hAnsiTheme="majorBidi" w:cstheme="majorBidi"/>
          <w:b/>
        </w:rPr>
        <w:t>the a</w:t>
      </w:r>
      <w:r w:rsidRPr="003D56F3">
        <w:rPr>
          <w:rFonts w:asciiTheme="majorBidi" w:hAnsiTheme="majorBidi" w:cstheme="majorBidi"/>
          <w:b/>
        </w:rPr>
        <w:t xml:space="preserve">rtisanal and </w:t>
      </w:r>
      <w:r w:rsidR="00DE188F" w:rsidRPr="003D56F3">
        <w:rPr>
          <w:rFonts w:asciiTheme="majorBidi" w:hAnsiTheme="majorBidi" w:cstheme="majorBidi"/>
          <w:b/>
        </w:rPr>
        <w:t>s</w:t>
      </w:r>
      <w:r w:rsidRPr="003D56F3">
        <w:rPr>
          <w:rFonts w:asciiTheme="majorBidi" w:hAnsiTheme="majorBidi" w:cstheme="majorBidi"/>
          <w:b/>
        </w:rPr>
        <w:t xml:space="preserve">mall-scale </w:t>
      </w:r>
      <w:r w:rsidR="00DE188F" w:rsidRPr="003D56F3">
        <w:rPr>
          <w:rFonts w:asciiTheme="majorBidi" w:hAnsiTheme="majorBidi" w:cstheme="majorBidi"/>
          <w:b/>
        </w:rPr>
        <w:t>g</w:t>
      </w:r>
      <w:r w:rsidRPr="003D56F3">
        <w:rPr>
          <w:rFonts w:asciiTheme="majorBidi" w:hAnsiTheme="majorBidi" w:cstheme="majorBidi"/>
          <w:b/>
        </w:rPr>
        <w:t xml:space="preserve">old </w:t>
      </w:r>
      <w:r w:rsidR="00DE188F" w:rsidRPr="003D56F3">
        <w:rPr>
          <w:rFonts w:asciiTheme="majorBidi" w:hAnsiTheme="majorBidi" w:cstheme="majorBidi"/>
          <w:b/>
        </w:rPr>
        <w:t>m</w:t>
      </w:r>
      <w:r w:rsidRPr="003D56F3">
        <w:rPr>
          <w:rFonts w:asciiTheme="majorBidi" w:hAnsiTheme="majorBidi" w:cstheme="majorBidi"/>
          <w:b/>
        </w:rPr>
        <w:t xml:space="preserve">ining </w:t>
      </w:r>
      <w:r w:rsidR="00DE188F" w:rsidRPr="003D56F3">
        <w:rPr>
          <w:rFonts w:asciiTheme="majorBidi" w:hAnsiTheme="majorBidi" w:cstheme="majorBidi"/>
          <w:b/>
        </w:rPr>
        <w:t>s</w:t>
      </w:r>
      <w:r w:rsidRPr="003D56F3">
        <w:rPr>
          <w:rFonts w:asciiTheme="majorBidi" w:hAnsiTheme="majorBidi" w:cstheme="majorBidi"/>
          <w:b/>
        </w:rPr>
        <w:t>ector</w:t>
      </w:r>
    </w:p>
    <w:p w14:paraId="7CF2C20D" w14:textId="21A924F6" w:rsidR="00483C99" w:rsidRPr="003D56F3" w:rsidRDefault="00483C99" w:rsidP="00FF57F0">
      <w:pPr>
        <w:pStyle w:val="Normalnumber"/>
        <w:numPr>
          <w:ilvl w:val="0"/>
          <w:numId w:val="44"/>
        </w:numPr>
        <w:ind w:left="1247" w:firstLine="0"/>
        <w:rPr>
          <w:rFonts w:asciiTheme="majorBidi" w:hAnsiTheme="majorBidi" w:cstheme="majorBidi"/>
          <w:u w:val="single"/>
        </w:rPr>
      </w:pPr>
      <w:r w:rsidRPr="003D56F3">
        <w:rPr>
          <w:rFonts w:asciiTheme="majorBidi" w:hAnsiTheme="majorBidi" w:cstheme="majorBidi"/>
          <w:bCs/>
        </w:rPr>
        <w:t xml:space="preserve">In the Philippines, </w:t>
      </w:r>
      <w:r w:rsidR="008916B3" w:rsidRPr="003D56F3">
        <w:rPr>
          <w:rFonts w:asciiTheme="majorBidi" w:hAnsiTheme="majorBidi" w:cstheme="majorBidi"/>
          <w:bCs/>
        </w:rPr>
        <w:t xml:space="preserve">ILO is conducting </w:t>
      </w:r>
      <w:r w:rsidRPr="003D56F3">
        <w:rPr>
          <w:rFonts w:asciiTheme="majorBidi" w:hAnsiTheme="majorBidi" w:cstheme="majorBidi"/>
          <w:bCs/>
        </w:rPr>
        <w:t xml:space="preserve">the project “Convening </w:t>
      </w:r>
      <w:r w:rsidR="00686887" w:rsidRPr="003D56F3">
        <w:rPr>
          <w:rFonts w:asciiTheme="majorBidi" w:hAnsiTheme="majorBidi" w:cstheme="majorBidi"/>
          <w:bCs/>
        </w:rPr>
        <w:t>actors to develop and implement strategies to reduce child labour and improve working conditions in artisanal and small-scale gold mining</w:t>
      </w:r>
      <w:r w:rsidRPr="003D56F3">
        <w:rPr>
          <w:rFonts w:asciiTheme="majorBidi" w:hAnsiTheme="majorBidi" w:cstheme="majorBidi"/>
          <w:bCs/>
        </w:rPr>
        <w:t xml:space="preserve"> (Caring Gold </w:t>
      </w:r>
      <w:r w:rsidRPr="00673CE5">
        <w:rPr>
          <w:rFonts w:asciiTheme="majorBidi" w:hAnsiTheme="majorBidi" w:cstheme="majorBidi"/>
          <w:bCs/>
        </w:rPr>
        <w:t xml:space="preserve">Mining Project)”. This </w:t>
      </w:r>
      <w:r w:rsidR="00DE188F" w:rsidRPr="00673CE5">
        <w:rPr>
          <w:rFonts w:asciiTheme="majorBidi" w:hAnsiTheme="majorBidi" w:cstheme="majorBidi"/>
          <w:bCs/>
        </w:rPr>
        <w:t xml:space="preserve">four-year </w:t>
      </w:r>
      <w:r w:rsidRPr="00673CE5">
        <w:rPr>
          <w:rFonts w:asciiTheme="majorBidi" w:hAnsiTheme="majorBidi" w:cstheme="majorBidi"/>
          <w:bCs/>
        </w:rPr>
        <w:t>project is funded by the U</w:t>
      </w:r>
      <w:r w:rsidR="00DE188F" w:rsidRPr="00673CE5">
        <w:rPr>
          <w:rFonts w:asciiTheme="majorBidi" w:hAnsiTheme="majorBidi" w:cstheme="majorBidi"/>
          <w:bCs/>
        </w:rPr>
        <w:t xml:space="preserve">nited </w:t>
      </w:r>
      <w:r w:rsidRPr="00673CE5">
        <w:rPr>
          <w:rFonts w:asciiTheme="majorBidi" w:hAnsiTheme="majorBidi" w:cstheme="majorBidi"/>
          <w:bCs/>
        </w:rPr>
        <w:t>S</w:t>
      </w:r>
      <w:r w:rsidR="00DE188F" w:rsidRPr="00673CE5">
        <w:rPr>
          <w:rFonts w:asciiTheme="majorBidi" w:hAnsiTheme="majorBidi" w:cstheme="majorBidi"/>
          <w:bCs/>
        </w:rPr>
        <w:t>tates</w:t>
      </w:r>
      <w:r w:rsidRPr="00673CE5">
        <w:rPr>
          <w:rFonts w:asciiTheme="majorBidi" w:hAnsiTheme="majorBidi" w:cstheme="majorBidi"/>
          <w:bCs/>
        </w:rPr>
        <w:t xml:space="preserve"> Department of Labo</w:t>
      </w:r>
      <w:r w:rsidR="00FF57F0" w:rsidRPr="00673CE5">
        <w:rPr>
          <w:rFonts w:asciiTheme="majorBidi" w:hAnsiTheme="majorBidi" w:cstheme="majorBidi"/>
          <w:bCs/>
        </w:rPr>
        <w:t>u</w:t>
      </w:r>
      <w:r w:rsidRPr="00673CE5">
        <w:rPr>
          <w:rFonts w:asciiTheme="majorBidi" w:hAnsiTheme="majorBidi" w:cstheme="majorBidi"/>
          <w:bCs/>
        </w:rPr>
        <w:t xml:space="preserve">r and addresses child </w:t>
      </w:r>
      <w:r w:rsidRPr="00673CE5">
        <w:rPr>
          <w:rFonts w:asciiTheme="majorBidi" w:hAnsiTheme="majorBidi" w:cstheme="majorBidi"/>
          <w:lang w:eastAsia="fr-CH"/>
        </w:rPr>
        <w:t>labour</w:t>
      </w:r>
      <w:r w:rsidRPr="00673CE5">
        <w:rPr>
          <w:rFonts w:asciiTheme="majorBidi" w:hAnsiTheme="majorBidi" w:cstheme="majorBidi"/>
          <w:bCs/>
        </w:rPr>
        <w:t xml:space="preserve">, decent work deficits and working conditions in </w:t>
      </w:r>
      <w:r w:rsidRPr="00673CE5">
        <w:rPr>
          <w:rFonts w:asciiTheme="majorBidi" w:hAnsiTheme="majorBidi" w:cstheme="majorBidi"/>
          <w:bCs/>
        </w:rPr>
        <w:lastRenderedPageBreak/>
        <w:t xml:space="preserve">ASGM. It </w:t>
      </w:r>
      <w:r w:rsidR="00C11A24" w:rsidRPr="00673CE5">
        <w:rPr>
          <w:rFonts w:asciiTheme="majorBidi" w:hAnsiTheme="majorBidi" w:cstheme="majorBidi"/>
          <w:bCs/>
        </w:rPr>
        <w:t xml:space="preserve">is </w:t>
      </w:r>
      <w:r w:rsidRPr="00673CE5">
        <w:rPr>
          <w:rFonts w:asciiTheme="majorBidi" w:hAnsiTheme="majorBidi" w:cstheme="majorBidi"/>
          <w:bCs/>
        </w:rPr>
        <w:t>aim</w:t>
      </w:r>
      <w:r w:rsidR="00C11A24" w:rsidRPr="00673CE5">
        <w:rPr>
          <w:rFonts w:asciiTheme="majorBidi" w:hAnsiTheme="majorBidi" w:cstheme="majorBidi"/>
          <w:bCs/>
        </w:rPr>
        <w:t>ed at</w:t>
      </w:r>
      <w:r w:rsidRPr="00673CE5">
        <w:rPr>
          <w:rFonts w:asciiTheme="majorBidi" w:hAnsiTheme="majorBidi" w:cstheme="majorBidi"/>
          <w:bCs/>
        </w:rPr>
        <w:t xml:space="preserve"> regulat</w:t>
      </w:r>
      <w:r w:rsidR="00C11A24" w:rsidRPr="00673CE5">
        <w:rPr>
          <w:rFonts w:asciiTheme="majorBidi" w:hAnsiTheme="majorBidi" w:cstheme="majorBidi"/>
          <w:bCs/>
        </w:rPr>
        <w:t>ing</w:t>
      </w:r>
      <w:r w:rsidRPr="00673CE5">
        <w:rPr>
          <w:rFonts w:asciiTheme="majorBidi" w:hAnsiTheme="majorBidi" w:cstheme="majorBidi"/>
          <w:bCs/>
        </w:rPr>
        <w:t xml:space="preserve"> ASGM and has </w:t>
      </w:r>
      <w:r w:rsidR="00DE188F" w:rsidRPr="00673CE5">
        <w:rPr>
          <w:rFonts w:asciiTheme="majorBidi" w:hAnsiTheme="majorBidi" w:cstheme="majorBidi"/>
          <w:bCs/>
        </w:rPr>
        <w:t>included</w:t>
      </w:r>
      <w:r w:rsidRPr="00673CE5">
        <w:rPr>
          <w:rFonts w:asciiTheme="majorBidi" w:hAnsiTheme="majorBidi" w:cstheme="majorBidi"/>
          <w:bCs/>
        </w:rPr>
        <w:t xml:space="preserve"> many promotional and awareness-raising activities. The project </w:t>
      </w:r>
      <w:r w:rsidR="00C11A24" w:rsidRPr="00673CE5">
        <w:rPr>
          <w:rFonts w:asciiTheme="majorBidi" w:hAnsiTheme="majorBidi" w:cstheme="majorBidi"/>
          <w:bCs/>
        </w:rPr>
        <w:t xml:space="preserve">team </w:t>
      </w:r>
      <w:r w:rsidRPr="00673CE5">
        <w:rPr>
          <w:rFonts w:asciiTheme="majorBidi" w:hAnsiTheme="majorBidi" w:cstheme="majorBidi"/>
          <w:bCs/>
        </w:rPr>
        <w:t>works in collaboration with BAN</w:t>
      </w:r>
      <w:r w:rsidR="00C11A24" w:rsidRPr="003D56F3">
        <w:rPr>
          <w:rFonts w:asciiTheme="majorBidi" w:hAnsiTheme="majorBidi" w:cstheme="majorBidi"/>
          <w:bCs/>
        </w:rPr>
        <w:t xml:space="preserve"> </w:t>
      </w:r>
      <w:r w:rsidRPr="003D56F3">
        <w:rPr>
          <w:rFonts w:asciiTheme="majorBidi" w:hAnsiTheme="majorBidi" w:cstheme="majorBidi"/>
          <w:bCs/>
        </w:rPr>
        <w:t>T</w:t>
      </w:r>
      <w:r w:rsidR="00C11A24" w:rsidRPr="003D56F3">
        <w:rPr>
          <w:rFonts w:asciiTheme="majorBidi" w:hAnsiTheme="majorBidi" w:cstheme="majorBidi"/>
          <w:bCs/>
        </w:rPr>
        <w:t>oxics</w:t>
      </w:r>
      <w:r w:rsidRPr="003D56F3">
        <w:rPr>
          <w:rFonts w:asciiTheme="majorBidi" w:hAnsiTheme="majorBidi" w:cstheme="majorBidi"/>
          <w:bCs/>
        </w:rPr>
        <w:t xml:space="preserve">, </w:t>
      </w:r>
      <w:r w:rsidR="00DE188F" w:rsidRPr="003D56F3">
        <w:rPr>
          <w:rFonts w:asciiTheme="majorBidi" w:hAnsiTheme="majorBidi" w:cstheme="majorBidi"/>
          <w:bCs/>
        </w:rPr>
        <w:t>a non-governmental organization that</w:t>
      </w:r>
      <w:r w:rsidRPr="003D56F3">
        <w:rPr>
          <w:rFonts w:asciiTheme="majorBidi" w:hAnsiTheme="majorBidi" w:cstheme="majorBidi"/>
          <w:bCs/>
        </w:rPr>
        <w:t xml:space="preserve"> has long partner</w:t>
      </w:r>
      <w:r w:rsidR="00C11A24" w:rsidRPr="003D56F3">
        <w:rPr>
          <w:rFonts w:asciiTheme="majorBidi" w:hAnsiTheme="majorBidi" w:cstheme="majorBidi"/>
          <w:bCs/>
        </w:rPr>
        <w:t xml:space="preserve">ed </w:t>
      </w:r>
      <w:r w:rsidRPr="003D56F3">
        <w:rPr>
          <w:rFonts w:asciiTheme="majorBidi" w:hAnsiTheme="majorBidi" w:cstheme="majorBidi"/>
          <w:bCs/>
        </w:rPr>
        <w:t xml:space="preserve">with ASGM communities in the area of eliminating </w:t>
      </w:r>
      <w:r w:rsidR="00C11A24" w:rsidRPr="003D56F3">
        <w:rPr>
          <w:rFonts w:asciiTheme="majorBidi" w:hAnsiTheme="majorBidi" w:cstheme="majorBidi"/>
          <w:bCs/>
        </w:rPr>
        <w:t xml:space="preserve">mercury </w:t>
      </w:r>
      <w:r w:rsidRPr="003D56F3">
        <w:rPr>
          <w:rFonts w:asciiTheme="majorBidi" w:hAnsiTheme="majorBidi" w:cstheme="majorBidi"/>
          <w:bCs/>
        </w:rPr>
        <w:t xml:space="preserve">use. As part of the project activities, the </w:t>
      </w:r>
      <w:r w:rsidR="00C11A24" w:rsidRPr="003D56F3">
        <w:rPr>
          <w:rFonts w:asciiTheme="majorBidi" w:hAnsiTheme="majorBidi" w:cstheme="majorBidi"/>
          <w:bCs/>
        </w:rPr>
        <w:t xml:space="preserve">fifth </w:t>
      </w:r>
      <w:r w:rsidRPr="003D56F3">
        <w:rPr>
          <w:rFonts w:asciiTheme="majorBidi" w:hAnsiTheme="majorBidi" w:cstheme="majorBidi"/>
          <w:bCs/>
        </w:rPr>
        <w:t>National ASGM Summit</w:t>
      </w:r>
      <w:r w:rsidR="008916B3" w:rsidRPr="003D56F3">
        <w:rPr>
          <w:rFonts w:asciiTheme="majorBidi" w:hAnsiTheme="majorBidi" w:cstheme="majorBidi"/>
          <w:bCs/>
        </w:rPr>
        <w:t xml:space="preserve"> was held</w:t>
      </w:r>
      <w:r w:rsidRPr="003D56F3">
        <w:rPr>
          <w:rFonts w:asciiTheme="majorBidi" w:hAnsiTheme="majorBidi" w:cstheme="majorBidi"/>
          <w:bCs/>
        </w:rPr>
        <w:t xml:space="preserve"> in the Philippines </w:t>
      </w:r>
      <w:r w:rsidR="00C11A24" w:rsidRPr="003D56F3">
        <w:rPr>
          <w:rFonts w:asciiTheme="majorBidi" w:hAnsiTheme="majorBidi" w:cstheme="majorBidi"/>
          <w:bCs/>
        </w:rPr>
        <w:t>on 27</w:t>
      </w:r>
      <w:r w:rsidR="00D572E2">
        <w:rPr>
          <w:rFonts w:asciiTheme="majorBidi" w:hAnsiTheme="majorBidi" w:cstheme="majorBidi"/>
          <w:bCs/>
        </w:rPr>
        <w:t> </w:t>
      </w:r>
      <w:r w:rsidR="00F7523B" w:rsidRPr="003D56F3">
        <w:rPr>
          <w:rFonts w:asciiTheme="majorBidi" w:hAnsiTheme="majorBidi" w:cstheme="majorBidi"/>
          <w:bCs/>
        </w:rPr>
        <w:t xml:space="preserve">and </w:t>
      </w:r>
      <w:r w:rsidR="00C11A24" w:rsidRPr="003D56F3">
        <w:rPr>
          <w:rFonts w:asciiTheme="majorBidi" w:hAnsiTheme="majorBidi" w:cstheme="majorBidi"/>
          <w:bCs/>
        </w:rPr>
        <w:t xml:space="preserve">28 </w:t>
      </w:r>
      <w:r w:rsidRPr="003D56F3">
        <w:rPr>
          <w:rFonts w:asciiTheme="majorBidi" w:hAnsiTheme="majorBidi" w:cstheme="majorBidi"/>
          <w:bCs/>
        </w:rPr>
        <w:t>September 2018</w:t>
      </w:r>
      <w:r w:rsidR="00C11A24" w:rsidRPr="003D56F3">
        <w:rPr>
          <w:rFonts w:asciiTheme="majorBidi" w:hAnsiTheme="majorBidi" w:cstheme="majorBidi"/>
          <w:bCs/>
        </w:rPr>
        <w:t>,</w:t>
      </w:r>
      <w:r w:rsidRPr="003D56F3">
        <w:rPr>
          <w:rFonts w:asciiTheme="majorBidi" w:hAnsiTheme="majorBidi" w:cstheme="majorBidi"/>
          <w:bCs/>
        </w:rPr>
        <w:t xml:space="preserve"> emphasiz</w:t>
      </w:r>
      <w:r w:rsidR="008916B3" w:rsidRPr="003D56F3">
        <w:rPr>
          <w:rFonts w:asciiTheme="majorBidi" w:hAnsiTheme="majorBidi" w:cstheme="majorBidi"/>
          <w:bCs/>
        </w:rPr>
        <w:t>ing</w:t>
      </w:r>
      <w:r w:rsidRPr="003D56F3">
        <w:rPr>
          <w:rFonts w:asciiTheme="majorBidi" w:hAnsiTheme="majorBidi" w:cstheme="majorBidi"/>
          <w:bCs/>
        </w:rPr>
        <w:t xml:space="preserve"> the need for improved OSH in the small-scale mining sector</w:t>
      </w:r>
      <w:r w:rsidR="00C11A24" w:rsidRPr="003D56F3">
        <w:rPr>
          <w:rFonts w:asciiTheme="majorBidi" w:hAnsiTheme="majorBidi" w:cstheme="majorBidi"/>
          <w:bCs/>
        </w:rPr>
        <w:t xml:space="preserve"> and</w:t>
      </w:r>
      <w:r w:rsidRPr="003D56F3">
        <w:rPr>
          <w:rFonts w:asciiTheme="majorBidi" w:hAnsiTheme="majorBidi" w:cstheme="majorBidi"/>
          <w:bCs/>
        </w:rPr>
        <w:t xml:space="preserve"> the elimination of child labour and mercury use.</w:t>
      </w:r>
      <w:r w:rsidR="00C11A24" w:rsidRPr="003D56F3">
        <w:rPr>
          <w:rStyle w:val="FootnoteReference"/>
          <w:rFonts w:cstheme="majorBidi"/>
          <w:bCs/>
        </w:rPr>
        <w:footnoteReference w:id="10"/>
      </w:r>
      <w:r w:rsidR="00274F11" w:rsidRPr="003D56F3">
        <w:rPr>
          <w:rFonts w:asciiTheme="majorBidi" w:hAnsiTheme="majorBidi" w:cstheme="majorBidi"/>
          <w:bCs/>
        </w:rPr>
        <w:t xml:space="preserve"> </w:t>
      </w:r>
    </w:p>
    <w:p w14:paraId="3733CAE1" w14:textId="2170E946"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Further, ILO is </w:t>
      </w:r>
      <w:r w:rsidR="00C11A24" w:rsidRPr="003D56F3">
        <w:rPr>
          <w:rFonts w:asciiTheme="majorBidi" w:hAnsiTheme="majorBidi" w:cstheme="majorBidi"/>
        </w:rPr>
        <w:t>promoting</w:t>
      </w:r>
      <w:r w:rsidRPr="003D56F3">
        <w:rPr>
          <w:rFonts w:asciiTheme="majorBidi" w:hAnsiTheme="majorBidi" w:cstheme="majorBidi"/>
        </w:rPr>
        <w:t xml:space="preserve"> the use of the gravity concentration </w:t>
      </w:r>
      <w:r w:rsidRPr="003D56F3">
        <w:rPr>
          <w:rFonts w:asciiTheme="majorBidi" w:hAnsiTheme="majorBidi" w:cstheme="majorBidi"/>
          <w:lang w:eastAsia="fr-CH"/>
        </w:rPr>
        <w:t>method</w:t>
      </w:r>
      <w:r w:rsidRPr="003D56F3">
        <w:rPr>
          <w:rFonts w:asciiTheme="majorBidi" w:hAnsiTheme="majorBidi" w:cstheme="majorBidi"/>
        </w:rPr>
        <w:t xml:space="preserve"> as a mercury-free gold processing technology in the project</w:t>
      </w:r>
      <w:r w:rsidR="00C11A24" w:rsidRPr="003D56F3">
        <w:rPr>
          <w:rFonts w:asciiTheme="majorBidi" w:hAnsiTheme="majorBidi" w:cstheme="majorBidi"/>
        </w:rPr>
        <w:t>’</w:t>
      </w:r>
      <w:r w:rsidRPr="003D56F3">
        <w:rPr>
          <w:rFonts w:asciiTheme="majorBidi" w:hAnsiTheme="majorBidi" w:cstheme="majorBidi"/>
        </w:rPr>
        <w:t>s pilot sites</w:t>
      </w:r>
      <w:r w:rsidR="00C11A24" w:rsidRPr="003D56F3">
        <w:rPr>
          <w:rFonts w:asciiTheme="majorBidi" w:hAnsiTheme="majorBidi" w:cstheme="majorBidi"/>
        </w:rPr>
        <w:t xml:space="preserve"> in the Philippines</w:t>
      </w:r>
      <w:r w:rsidRPr="003D56F3">
        <w:rPr>
          <w:rFonts w:asciiTheme="majorBidi" w:hAnsiTheme="majorBidi" w:cstheme="majorBidi"/>
        </w:rPr>
        <w:t xml:space="preserve">. ILO is also supporting </w:t>
      </w:r>
      <w:r w:rsidR="00C11A24" w:rsidRPr="003D56F3">
        <w:rPr>
          <w:rFonts w:asciiTheme="majorBidi" w:hAnsiTheme="majorBidi" w:cstheme="majorBidi"/>
        </w:rPr>
        <w:t xml:space="preserve">the </w:t>
      </w:r>
      <w:r w:rsidRPr="003D56F3">
        <w:rPr>
          <w:rFonts w:asciiTheme="majorBidi" w:hAnsiTheme="majorBidi" w:cstheme="majorBidi"/>
        </w:rPr>
        <w:t xml:space="preserve">work of the </w:t>
      </w:r>
      <w:r w:rsidR="00FA1350" w:rsidRPr="003D56F3">
        <w:rPr>
          <w:rFonts w:asciiTheme="majorBidi" w:hAnsiTheme="majorBidi" w:cstheme="majorBidi"/>
        </w:rPr>
        <w:t xml:space="preserve">ASGM </w:t>
      </w:r>
      <w:r w:rsidRPr="003D56F3">
        <w:rPr>
          <w:rFonts w:asciiTheme="majorBidi" w:hAnsiTheme="majorBidi" w:cstheme="majorBidi"/>
        </w:rPr>
        <w:t xml:space="preserve">Technical Working Group </w:t>
      </w:r>
      <w:r w:rsidR="00FA1350" w:rsidRPr="003D56F3">
        <w:rPr>
          <w:rFonts w:asciiTheme="majorBidi" w:hAnsiTheme="majorBidi" w:cstheme="majorBidi"/>
        </w:rPr>
        <w:t>of the Philippines</w:t>
      </w:r>
      <w:r w:rsidRPr="003D56F3">
        <w:rPr>
          <w:rFonts w:asciiTheme="majorBidi" w:hAnsiTheme="majorBidi" w:cstheme="majorBidi"/>
        </w:rPr>
        <w:t xml:space="preserve"> and expanding its scope to include child labour and </w:t>
      </w:r>
      <w:r w:rsidR="00FE1E2C" w:rsidRPr="003D56F3">
        <w:rPr>
          <w:rFonts w:asciiTheme="majorBidi" w:hAnsiTheme="majorBidi" w:cstheme="majorBidi"/>
        </w:rPr>
        <w:t xml:space="preserve">the </w:t>
      </w:r>
      <w:r w:rsidRPr="003D56F3">
        <w:rPr>
          <w:rFonts w:asciiTheme="majorBidi" w:hAnsiTheme="majorBidi" w:cstheme="majorBidi"/>
        </w:rPr>
        <w:t>promotion of decent work.</w:t>
      </w:r>
    </w:p>
    <w:p w14:paraId="2EDAE0E1" w14:textId="0385BA59"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In 2019, the Caring Gold Mining Project </w:t>
      </w:r>
      <w:r w:rsidR="00FE1E2C" w:rsidRPr="003D56F3">
        <w:rPr>
          <w:rFonts w:asciiTheme="majorBidi" w:hAnsiTheme="majorBidi" w:cstheme="majorBidi"/>
        </w:rPr>
        <w:t xml:space="preserve">team </w:t>
      </w:r>
      <w:r w:rsidRPr="003D56F3">
        <w:rPr>
          <w:rFonts w:asciiTheme="majorBidi" w:hAnsiTheme="majorBidi" w:cstheme="majorBidi"/>
        </w:rPr>
        <w:t xml:space="preserve">participated in baseline data collection on mercury use in ASGM and the drafting </w:t>
      </w:r>
      <w:r w:rsidRPr="003D56F3">
        <w:rPr>
          <w:rFonts w:asciiTheme="majorBidi" w:hAnsiTheme="majorBidi" w:cstheme="majorBidi"/>
          <w:lang w:eastAsia="fr-CH"/>
        </w:rPr>
        <w:t>of</w:t>
      </w:r>
      <w:r w:rsidRPr="003D56F3">
        <w:rPr>
          <w:rFonts w:asciiTheme="majorBidi" w:hAnsiTheme="majorBidi" w:cstheme="majorBidi"/>
        </w:rPr>
        <w:t xml:space="preserve"> the Minamata Initial Assessment (MIA). The project </w:t>
      </w:r>
      <w:r w:rsidR="00FE1E2C" w:rsidRPr="003D56F3">
        <w:rPr>
          <w:rFonts w:asciiTheme="majorBidi" w:hAnsiTheme="majorBidi" w:cstheme="majorBidi"/>
        </w:rPr>
        <w:t xml:space="preserve">team </w:t>
      </w:r>
      <w:r w:rsidRPr="003D56F3">
        <w:rPr>
          <w:rFonts w:asciiTheme="majorBidi" w:hAnsiTheme="majorBidi" w:cstheme="majorBidi"/>
        </w:rPr>
        <w:t xml:space="preserve">lobbied for the expansion of membership of the MIA </w:t>
      </w:r>
      <w:r w:rsidR="00EF6DB3" w:rsidRPr="003D56F3">
        <w:rPr>
          <w:rFonts w:asciiTheme="majorBidi" w:hAnsiTheme="majorBidi" w:cstheme="majorBidi"/>
        </w:rPr>
        <w:t>technical working group</w:t>
      </w:r>
      <w:r w:rsidRPr="003D56F3">
        <w:rPr>
          <w:rFonts w:asciiTheme="majorBidi" w:hAnsiTheme="majorBidi" w:cstheme="majorBidi"/>
        </w:rPr>
        <w:t xml:space="preserve"> to include the </w:t>
      </w:r>
      <w:r w:rsidR="00EF6DB3" w:rsidRPr="003D56F3">
        <w:rPr>
          <w:rFonts w:asciiTheme="majorBidi" w:hAnsiTheme="majorBidi" w:cstheme="majorBidi"/>
        </w:rPr>
        <w:t xml:space="preserve">Philippines </w:t>
      </w:r>
      <w:r w:rsidRPr="003D56F3">
        <w:rPr>
          <w:rFonts w:asciiTheme="majorBidi" w:hAnsiTheme="majorBidi" w:cstheme="majorBidi"/>
        </w:rPr>
        <w:t>Department of Labo</w:t>
      </w:r>
      <w:r w:rsidR="00FF57F0" w:rsidRPr="003D56F3">
        <w:rPr>
          <w:rFonts w:asciiTheme="majorBidi" w:hAnsiTheme="majorBidi" w:cstheme="majorBidi"/>
        </w:rPr>
        <w:t>u</w:t>
      </w:r>
      <w:r w:rsidRPr="003D56F3">
        <w:rPr>
          <w:rFonts w:asciiTheme="majorBidi" w:hAnsiTheme="majorBidi" w:cstheme="majorBidi"/>
        </w:rPr>
        <w:t xml:space="preserve">r and Employment and </w:t>
      </w:r>
      <w:r w:rsidR="00112076">
        <w:rPr>
          <w:rFonts w:asciiTheme="majorBidi" w:hAnsiTheme="majorBidi" w:cstheme="majorBidi"/>
        </w:rPr>
        <w:t xml:space="preserve">the Philippines </w:t>
      </w:r>
      <w:r w:rsidRPr="003D56F3">
        <w:rPr>
          <w:rFonts w:asciiTheme="majorBidi" w:hAnsiTheme="majorBidi" w:cstheme="majorBidi"/>
        </w:rPr>
        <w:t>Department of Social Welfare and Development</w:t>
      </w:r>
      <w:r w:rsidR="00EF6DB3" w:rsidRPr="003D56F3">
        <w:rPr>
          <w:rFonts w:asciiTheme="majorBidi" w:hAnsiTheme="majorBidi" w:cstheme="majorBidi"/>
        </w:rPr>
        <w:t xml:space="preserve"> as</w:t>
      </w:r>
      <w:r w:rsidRPr="003D56F3">
        <w:rPr>
          <w:rFonts w:asciiTheme="majorBidi" w:hAnsiTheme="majorBidi" w:cstheme="majorBidi"/>
        </w:rPr>
        <w:t xml:space="preserve"> an important step in increasing the multi-stakeholder nature of Minamata </w:t>
      </w:r>
      <w:r w:rsidR="00112076">
        <w:rPr>
          <w:rFonts w:asciiTheme="majorBidi" w:hAnsiTheme="majorBidi" w:cstheme="majorBidi"/>
        </w:rPr>
        <w:t xml:space="preserve">Convention </w:t>
      </w:r>
      <w:r w:rsidRPr="003D56F3">
        <w:rPr>
          <w:rFonts w:asciiTheme="majorBidi" w:hAnsiTheme="majorBidi" w:cstheme="majorBidi"/>
        </w:rPr>
        <w:t xml:space="preserve">engagement and implementation at the national level. </w:t>
      </w:r>
      <w:r w:rsidR="00EF6DB3" w:rsidRPr="003D56F3">
        <w:rPr>
          <w:rFonts w:asciiTheme="majorBidi" w:hAnsiTheme="majorBidi" w:cstheme="majorBidi"/>
        </w:rPr>
        <w:t>In November 2018, t</w:t>
      </w:r>
      <w:r w:rsidRPr="003D56F3">
        <w:rPr>
          <w:rFonts w:asciiTheme="majorBidi" w:hAnsiTheme="majorBidi" w:cstheme="majorBidi"/>
        </w:rPr>
        <w:t xml:space="preserve">he </w:t>
      </w:r>
      <w:r w:rsidR="00FE1E2C" w:rsidRPr="003D56F3">
        <w:rPr>
          <w:rFonts w:asciiTheme="majorBidi" w:hAnsiTheme="majorBidi" w:cstheme="majorBidi"/>
        </w:rPr>
        <w:t xml:space="preserve">Philippines </w:t>
      </w:r>
      <w:r w:rsidRPr="003D56F3">
        <w:rPr>
          <w:rFonts w:asciiTheme="majorBidi" w:hAnsiTheme="majorBidi" w:cstheme="majorBidi"/>
        </w:rPr>
        <w:t xml:space="preserve">Department of Environment and Natural Resources issued a resolution instituting the creation of the MIA </w:t>
      </w:r>
      <w:r w:rsidR="00EF6DB3" w:rsidRPr="003D56F3">
        <w:rPr>
          <w:rFonts w:asciiTheme="majorBidi" w:hAnsiTheme="majorBidi" w:cstheme="majorBidi"/>
        </w:rPr>
        <w:t>technical working group, including representatives from the Department of Labo</w:t>
      </w:r>
      <w:r w:rsidR="00566052" w:rsidRPr="003D56F3">
        <w:rPr>
          <w:rFonts w:asciiTheme="majorBidi" w:hAnsiTheme="majorBidi" w:cstheme="majorBidi"/>
        </w:rPr>
        <w:t>u</w:t>
      </w:r>
      <w:r w:rsidR="00EF6DB3" w:rsidRPr="003D56F3">
        <w:rPr>
          <w:rFonts w:asciiTheme="majorBidi" w:hAnsiTheme="majorBidi" w:cstheme="majorBidi"/>
        </w:rPr>
        <w:t>r and Employment and Department of Social Welfare and Development</w:t>
      </w:r>
      <w:r w:rsidRPr="003D56F3">
        <w:rPr>
          <w:rFonts w:asciiTheme="majorBidi" w:hAnsiTheme="majorBidi" w:cstheme="majorBidi"/>
        </w:rPr>
        <w:t xml:space="preserve">. In addition, the project </w:t>
      </w:r>
      <w:r w:rsidR="00EF6DB3" w:rsidRPr="003D56F3">
        <w:rPr>
          <w:rFonts w:asciiTheme="majorBidi" w:hAnsiTheme="majorBidi" w:cstheme="majorBidi"/>
        </w:rPr>
        <w:t xml:space="preserve">team </w:t>
      </w:r>
      <w:r w:rsidRPr="003D56F3">
        <w:rPr>
          <w:rFonts w:asciiTheme="majorBidi" w:hAnsiTheme="majorBidi" w:cstheme="majorBidi"/>
        </w:rPr>
        <w:t>continued to implement mercury</w:t>
      </w:r>
      <w:r w:rsidR="00EF6DB3" w:rsidRPr="003D56F3">
        <w:rPr>
          <w:rFonts w:asciiTheme="majorBidi" w:hAnsiTheme="majorBidi" w:cstheme="majorBidi"/>
        </w:rPr>
        <w:t>-</w:t>
      </w:r>
      <w:r w:rsidRPr="003D56F3">
        <w:rPr>
          <w:rFonts w:asciiTheme="majorBidi" w:hAnsiTheme="majorBidi" w:cstheme="majorBidi"/>
        </w:rPr>
        <w:t>free technology training/coaching sessions in mining communities</w:t>
      </w:r>
      <w:r w:rsidR="00CF6742" w:rsidRPr="003D56F3">
        <w:rPr>
          <w:rFonts w:asciiTheme="majorBidi" w:hAnsiTheme="majorBidi" w:cstheme="majorBidi"/>
        </w:rPr>
        <w:t>,</w:t>
      </w:r>
      <w:r w:rsidRPr="003D56F3">
        <w:rPr>
          <w:rFonts w:asciiTheme="majorBidi" w:hAnsiTheme="majorBidi" w:cstheme="majorBidi"/>
        </w:rPr>
        <w:t xml:space="preserve"> particularly in Camarines Norte. Finally, development of a </w:t>
      </w:r>
      <w:r w:rsidR="00CF6742" w:rsidRPr="003D56F3">
        <w:rPr>
          <w:rFonts w:asciiTheme="majorBidi" w:hAnsiTheme="majorBidi" w:cstheme="majorBidi"/>
        </w:rPr>
        <w:t>national action plan</w:t>
      </w:r>
      <w:r w:rsidRPr="003D56F3">
        <w:rPr>
          <w:rFonts w:asciiTheme="majorBidi" w:hAnsiTheme="majorBidi" w:cstheme="majorBidi"/>
        </w:rPr>
        <w:t xml:space="preserve"> on ASGM</w:t>
      </w:r>
      <w:r w:rsidR="00FE1E2C" w:rsidRPr="003D56F3">
        <w:rPr>
          <w:rFonts w:asciiTheme="majorBidi" w:hAnsiTheme="majorBidi" w:cstheme="majorBidi"/>
        </w:rPr>
        <w:t>, which</w:t>
      </w:r>
      <w:r w:rsidR="00CF6742" w:rsidRPr="003D56F3">
        <w:rPr>
          <w:rFonts w:asciiTheme="majorBidi" w:hAnsiTheme="majorBidi" w:cstheme="majorBidi"/>
        </w:rPr>
        <w:t xml:space="preserve"> includes</w:t>
      </w:r>
      <w:r w:rsidRPr="003D56F3">
        <w:rPr>
          <w:rFonts w:asciiTheme="majorBidi" w:hAnsiTheme="majorBidi" w:cstheme="majorBidi"/>
        </w:rPr>
        <w:t xml:space="preserve"> initiatives to address mercury use in ASGM</w:t>
      </w:r>
      <w:r w:rsidR="00FE1E2C" w:rsidRPr="003D56F3">
        <w:rPr>
          <w:rFonts w:asciiTheme="majorBidi" w:hAnsiTheme="majorBidi" w:cstheme="majorBidi"/>
        </w:rPr>
        <w:t>, is ongoing</w:t>
      </w:r>
      <w:r w:rsidRPr="003D56F3">
        <w:rPr>
          <w:rFonts w:asciiTheme="majorBidi" w:hAnsiTheme="majorBidi" w:cstheme="majorBidi"/>
        </w:rPr>
        <w:t>.</w:t>
      </w:r>
    </w:p>
    <w:p w14:paraId="545561FF" w14:textId="309F80C9" w:rsidR="00483C99" w:rsidRPr="003D56F3" w:rsidRDefault="00FE1E2C"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The International Training Centre of the ILO and the Caring Gold Mining Project</w:t>
      </w:r>
      <w:r w:rsidRPr="003D56F3" w:rsidDel="00FE1E2C">
        <w:rPr>
          <w:rFonts w:asciiTheme="majorBidi" w:hAnsiTheme="majorBidi" w:cstheme="majorBidi"/>
        </w:rPr>
        <w:t xml:space="preserve"> </w:t>
      </w:r>
      <w:r w:rsidRPr="003D56F3">
        <w:rPr>
          <w:rFonts w:asciiTheme="majorBidi" w:hAnsiTheme="majorBidi" w:cstheme="majorBidi"/>
        </w:rPr>
        <w:t xml:space="preserve">team organized </w:t>
      </w:r>
      <w:r w:rsidR="00070E16" w:rsidRPr="003D56F3">
        <w:rPr>
          <w:rFonts w:asciiTheme="majorBidi" w:hAnsiTheme="majorBidi" w:cstheme="majorBidi"/>
        </w:rPr>
        <w:t>the first</w:t>
      </w:r>
      <w:r w:rsidR="00483C99" w:rsidRPr="003D56F3">
        <w:rPr>
          <w:rFonts w:asciiTheme="majorBidi" w:hAnsiTheme="majorBidi" w:cstheme="majorBidi"/>
        </w:rPr>
        <w:t xml:space="preserve"> Inter-</w:t>
      </w:r>
      <w:r w:rsidR="00070E16" w:rsidRPr="003D56F3">
        <w:rPr>
          <w:rFonts w:asciiTheme="majorBidi" w:hAnsiTheme="majorBidi" w:cstheme="majorBidi"/>
        </w:rPr>
        <w:t>R</w:t>
      </w:r>
      <w:r w:rsidR="00483C99" w:rsidRPr="003D56F3">
        <w:rPr>
          <w:rFonts w:asciiTheme="majorBidi" w:hAnsiTheme="majorBidi" w:cstheme="majorBidi"/>
        </w:rPr>
        <w:t>egional Knowledge-</w:t>
      </w:r>
      <w:r w:rsidR="00070E16" w:rsidRPr="003D56F3">
        <w:rPr>
          <w:rFonts w:asciiTheme="majorBidi" w:hAnsiTheme="majorBidi" w:cstheme="majorBidi"/>
        </w:rPr>
        <w:t>S</w:t>
      </w:r>
      <w:r w:rsidR="00483C99" w:rsidRPr="003D56F3">
        <w:rPr>
          <w:rFonts w:asciiTheme="majorBidi" w:hAnsiTheme="majorBidi" w:cstheme="majorBidi"/>
        </w:rPr>
        <w:t xml:space="preserve">haring </w:t>
      </w:r>
      <w:r w:rsidR="00070E16" w:rsidRPr="003D56F3">
        <w:rPr>
          <w:rFonts w:asciiTheme="majorBidi" w:hAnsiTheme="majorBidi" w:cstheme="majorBidi"/>
        </w:rPr>
        <w:t xml:space="preserve">Forum </w:t>
      </w:r>
      <w:r w:rsidR="00483C99" w:rsidRPr="003D56F3">
        <w:rPr>
          <w:rFonts w:asciiTheme="majorBidi" w:hAnsiTheme="majorBidi" w:cstheme="majorBidi"/>
        </w:rPr>
        <w:t>on Child Labour and Working Conditions in ASGM</w:t>
      </w:r>
      <w:r w:rsidR="000144FC" w:rsidRPr="003D56F3">
        <w:rPr>
          <w:rFonts w:asciiTheme="majorBidi" w:hAnsiTheme="majorBidi" w:cstheme="majorBidi"/>
        </w:rPr>
        <w:t>,</w:t>
      </w:r>
      <w:r w:rsidR="00316D55" w:rsidRPr="003D56F3">
        <w:rPr>
          <w:rStyle w:val="FootnoteReference"/>
          <w:rFonts w:cstheme="majorBidi"/>
        </w:rPr>
        <w:footnoteReference w:id="11"/>
      </w:r>
      <w:r w:rsidRPr="003D56F3">
        <w:rPr>
          <w:rFonts w:asciiTheme="majorBidi" w:hAnsiTheme="majorBidi" w:cstheme="majorBidi"/>
        </w:rPr>
        <w:t xml:space="preserve"> which</w:t>
      </w:r>
      <w:r w:rsidR="00483C99" w:rsidRPr="003D56F3">
        <w:rPr>
          <w:rFonts w:asciiTheme="majorBidi" w:hAnsiTheme="majorBidi" w:cstheme="majorBidi"/>
        </w:rPr>
        <w:t xml:space="preserve"> was held in Manila</w:t>
      </w:r>
      <w:r w:rsidRPr="003D56F3">
        <w:rPr>
          <w:rFonts w:asciiTheme="majorBidi" w:hAnsiTheme="majorBidi" w:cstheme="majorBidi"/>
        </w:rPr>
        <w:t xml:space="preserve"> in May 2019</w:t>
      </w:r>
      <w:r w:rsidR="00483C99" w:rsidRPr="003D56F3">
        <w:rPr>
          <w:rFonts w:asciiTheme="majorBidi" w:hAnsiTheme="majorBidi" w:cstheme="majorBidi"/>
        </w:rPr>
        <w:t xml:space="preserve">, bringing together more than 50 experts on the topic. </w:t>
      </w:r>
      <w:r w:rsidRPr="004A22BF">
        <w:rPr>
          <w:rFonts w:asciiTheme="majorBidi" w:hAnsiTheme="majorBidi" w:cstheme="majorBidi"/>
        </w:rPr>
        <w:t>S</w:t>
      </w:r>
      <w:r w:rsidR="00483C99" w:rsidRPr="004A22BF">
        <w:rPr>
          <w:rFonts w:asciiTheme="majorBidi" w:hAnsiTheme="majorBidi" w:cstheme="majorBidi"/>
        </w:rPr>
        <w:t>essions were organized for</w:t>
      </w:r>
      <w:r w:rsidR="00483C99" w:rsidRPr="003D56F3">
        <w:rPr>
          <w:rFonts w:asciiTheme="majorBidi" w:hAnsiTheme="majorBidi" w:cstheme="majorBidi"/>
        </w:rPr>
        <w:t xml:space="preserve"> the promotion of the Minamata Convention and </w:t>
      </w:r>
      <w:r w:rsidR="00D572E2">
        <w:rPr>
          <w:rFonts w:asciiTheme="majorBidi" w:hAnsiTheme="majorBidi" w:cstheme="majorBidi"/>
        </w:rPr>
        <w:t>mercury</w:t>
      </w:r>
      <w:r w:rsidR="00D572E2">
        <w:rPr>
          <w:rFonts w:asciiTheme="majorBidi" w:hAnsiTheme="majorBidi" w:cstheme="majorBidi"/>
        </w:rPr>
        <w:noBreakHyphen/>
        <w:t>free</w:t>
      </w:r>
      <w:r w:rsidR="00483C99" w:rsidRPr="003D56F3">
        <w:rPr>
          <w:rFonts w:asciiTheme="majorBidi" w:hAnsiTheme="majorBidi" w:cstheme="majorBidi"/>
        </w:rPr>
        <w:t xml:space="preserve"> technologies</w:t>
      </w:r>
      <w:r w:rsidRPr="003D56F3">
        <w:rPr>
          <w:rFonts w:asciiTheme="majorBidi" w:hAnsiTheme="majorBidi" w:cstheme="majorBidi"/>
        </w:rPr>
        <w:t>, including o</w:t>
      </w:r>
      <w:r w:rsidR="00483C99" w:rsidRPr="003D56F3">
        <w:rPr>
          <w:rFonts w:asciiTheme="majorBidi" w:hAnsiTheme="majorBidi" w:cstheme="majorBidi"/>
        </w:rPr>
        <w:t>ne on the Minamata Convention as it relates to the ASGM sector</w:t>
      </w:r>
      <w:r w:rsidRPr="003D56F3">
        <w:rPr>
          <w:rFonts w:asciiTheme="majorBidi" w:hAnsiTheme="majorBidi" w:cstheme="majorBidi"/>
        </w:rPr>
        <w:t xml:space="preserve"> and a</w:t>
      </w:r>
      <w:r w:rsidR="00316D55" w:rsidRPr="003D56F3">
        <w:rPr>
          <w:rFonts w:asciiTheme="majorBidi" w:hAnsiTheme="majorBidi" w:cstheme="majorBidi"/>
        </w:rPr>
        <w:t>nother</w:t>
      </w:r>
      <w:r w:rsidR="00483C99" w:rsidRPr="003D56F3">
        <w:rPr>
          <w:rFonts w:asciiTheme="majorBidi" w:hAnsiTheme="majorBidi" w:cstheme="majorBidi"/>
        </w:rPr>
        <w:t xml:space="preserve"> </w:t>
      </w:r>
      <w:r w:rsidRPr="003D56F3">
        <w:rPr>
          <w:rFonts w:asciiTheme="majorBidi" w:hAnsiTheme="majorBidi" w:cstheme="majorBidi"/>
        </w:rPr>
        <w:t xml:space="preserve">with </w:t>
      </w:r>
      <w:r w:rsidR="00483C99" w:rsidRPr="003D56F3">
        <w:rPr>
          <w:rFonts w:asciiTheme="majorBidi" w:hAnsiTheme="majorBidi" w:cstheme="majorBidi"/>
        </w:rPr>
        <w:t>a panel on good practices</w:t>
      </w:r>
      <w:r w:rsidR="00316D55" w:rsidRPr="003D56F3">
        <w:rPr>
          <w:rFonts w:asciiTheme="majorBidi" w:hAnsiTheme="majorBidi" w:cstheme="majorBidi"/>
        </w:rPr>
        <w:t>,</w:t>
      </w:r>
      <w:r w:rsidR="00483C99" w:rsidRPr="003D56F3">
        <w:rPr>
          <w:rFonts w:asciiTheme="majorBidi" w:hAnsiTheme="majorBidi" w:cstheme="majorBidi"/>
        </w:rPr>
        <w:t xml:space="preserve"> where </w:t>
      </w:r>
      <w:r w:rsidR="00316D55" w:rsidRPr="003D56F3">
        <w:rPr>
          <w:rFonts w:asciiTheme="majorBidi" w:hAnsiTheme="majorBidi" w:cstheme="majorBidi"/>
        </w:rPr>
        <w:t xml:space="preserve">representatives from </w:t>
      </w:r>
      <w:r w:rsidR="00483C99" w:rsidRPr="003D56F3">
        <w:rPr>
          <w:rFonts w:asciiTheme="majorBidi" w:hAnsiTheme="majorBidi" w:cstheme="majorBidi"/>
        </w:rPr>
        <w:t xml:space="preserve">the University of Mines and Technology </w:t>
      </w:r>
      <w:r w:rsidR="00316D55" w:rsidRPr="003D56F3">
        <w:rPr>
          <w:rFonts w:asciiTheme="majorBidi" w:hAnsiTheme="majorBidi" w:cstheme="majorBidi"/>
        </w:rPr>
        <w:t xml:space="preserve">in </w:t>
      </w:r>
      <w:r w:rsidR="00483C99" w:rsidRPr="003D56F3">
        <w:rPr>
          <w:rFonts w:asciiTheme="majorBidi" w:hAnsiTheme="majorBidi" w:cstheme="majorBidi"/>
        </w:rPr>
        <w:t xml:space="preserve">Ghana shared </w:t>
      </w:r>
      <w:r w:rsidR="00316D55" w:rsidRPr="003D56F3">
        <w:rPr>
          <w:rFonts w:asciiTheme="majorBidi" w:hAnsiTheme="majorBidi" w:cstheme="majorBidi"/>
        </w:rPr>
        <w:t xml:space="preserve">information on </w:t>
      </w:r>
      <w:r w:rsidR="00483C99" w:rsidRPr="003D56F3">
        <w:rPr>
          <w:rFonts w:asciiTheme="majorBidi" w:hAnsiTheme="majorBidi" w:cstheme="majorBidi"/>
        </w:rPr>
        <w:t xml:space="preserve">a technology </w:t>
      </w:r>
      <w:r w:rsidRPr="003D56F3">
        <w:rPr>
          <w:rFonts w:asciiTheme="majorBidi" w:hAnsiTheme="majorBidi" w:cstheme="majorBidi"/>
        </w:rPr>
        <w:t>being</w:t>
      </w:r>
      <w:r w:rsidR="00483C99" w:rsidRPr="003D56F3">
        <w:rPr>
          <w:rFonts w:asciiTheme="majorBidi" w:hAnsiTheme="majorBidi" w:cstheme="majorBidi"/>
        </w:rPr>
        <w:t xml:space="preserve"> </w:t>
      </w:r>
      <w:r w:rsidR="00316D55" w:rsidRPr="003D56F3">
        <w:rPr>
          <w:rFonts w:asciiTheme="majorBidi" w:hAnsiTheme="majorBidi" w:cstheme="majorBidi"/>
        </w:rPr>
        <w:t xml:space="preserve">developing </w:t>
      </w:r>
      <w:r w:rsidR="00483C99" w:rsidRPr="003D56F3">
        <w:rPr>
          <w:rFonts w:asciiTheme="majorBidi" w:hAnsiTheme="majorBidi" w:cstheme="majorBidi"/>
        </w:rPr>
        <w:t xml:space="preserve">with </w:t>
      </w:r>
      <w:r w:rsidR="00316D55" w:rsidRPr="003D56F3">
        <w:rPr>
          <w:rFonts w:asciiTheme="majorBidi" w:hAnsiTheme="majorBidi" w:cstheme="majorBidi"/>
        </w:rPr>
        <w:t xml:space="preserve">Caring Gold Mining </w:t>
      </w:r>
      <w:r w:rsidR="00483C99" w:rsidRPr="003D56F3">
        <w:rPr>
          <w:rFonts w:asciiTheme="majorBidi" w:hAnsiTheme="majorBidi" w:cstheme="majorBidi"/>
        </w:rPr>
        <w:t>Project support</w:t>
      </w:r>
      <w:r w:rsidR="00316D55" w:rsidRPr="003D56F3">
        <w:rPr>
          <w:rFonts w:asciiTheme="majorBidi" w:hAnsiTheme="majorBidi" w:cstheme="majorBidi"/>
        </w:rPr>
        <w:t>,</w:t>
      </w:r>
      <w:r w:rsidR="00483C99" w:rsidRPr="003D56F3">
        <w:rPr>
          <w:rFonts w:asciiTheme="majorBidi" w:hAnsiTheme="majorBidi" w:cstheme="majorBidi"/>
        </w:rPr>
        <w:t xml:space="preserve"> involv</w:t>
      </w:r>
      <w:r w:rsidR="00316D55" w:rsidRPr="003D56F3">
        <w:rPr>
          <w:rFonts w:asciiTheme="majorBidi" w:hAnsiTheme="majorBidi" w:cstheme="majorBidi"/>
        </w:rPr>
        <w:t>ing</w:t>
      </w:r>
      <w:r w:rsidR="00483C99" w:rsidRPr="003D56F3">
        <w:rPr>
          <w:rFonts w:asciiTheme="majorBidi" w:hAnsiTheme="majorBidi" w:cstheme="majorBidi"/>
        </w:rPr>
        <w:t xml:space="preserve"> </w:t>
      </w:r>
      <w:r w:rsidR="00316D55" w:rsidRPr="003D56F3">
        <w:rPr>
          <w:rFonts w:asciiTheme="majorBidi" w:hAnsiTheme="majorBidi" w:cstheme="majorBidi"/>
        </w:rPr>
        <w:t>direct</w:t>
      </w:r>
      <w:r w:rsidR="00483C99" w:rsidRPr="003D56F3">
        <w:rPr>
          <w:rFonts w:asciiTheme="majorBidi" w:hAnsiTheme="majorBidi" w:cstheme="majorBidi"/>
        </w:rPr>
        <w:t xml:space="preserve"> smelting </w:t>
      </w:r>
      <w:r w:rsidR="00316D55" w:rsidRPr="003D56F3">
        <w:rPr>
          <w:rFonts w:asciiTheme="majorBidi" w:hAnsiTheme="majorBidi" w:cstheme="majorBidi"/>
        </w:rPr>
        <w:t xml:space="preserve">of </w:t>
      </w:r>
      <w:r w:rsidR="00483C99" w:rsidRPr="003D56F3">
        <w:rPr>
          <w:rFonts w:asciiTheme="majorBidi" w:hAnsiTheme="majorBidi" w:cstheme="majorBidi"/>
        </w:rPr>
        <w:t>gold using a flux</w:t>
      </w:r>
      <w:r w:rsidR="00316D55" w:rsidRPr="003D56F3">
        <w:rPr>
          <w:rFonts w:asciiTheme="majorBidi" w:hAnsiTheme="majorBidi" w:cstheme="majorBidi"/>
        </w:rPr>
        <w:t xml:space="preserve"> as an alternative to mercury amalgamation</w:t>
      </w:r>
      <w:r w:rsidR="00483C99" w:rsidRPr="003D56F3">
        <w:rPr>
          <w:rFonts w:asciiTheme="majorBidi" w:hAnsiTheme="majorBidi" w:cstheme="majorBidi"/>
        </w:rPr>
        <w:t xml:space="preserve">. Following the </w:t>
      </w:r>
      <w:r w:rsidR="00EF1062" w:rsidRPr="003D56F3">
        <w:rPr>
          <w:rFonts w:asciiTheme="majorBidi" w:hAnsiTheme="majorBidi" w:cstheme="majorBidi"/>
          <w:lang w:eastAsia="fr-CH"/>
        </w:rPr>
        <w:t>forum</w:t>
      </w:r>
      <w:r w:rsidR="00483C99" w:rsidRPr="003D56F3">
        <w:rPr>
          <w:rFonts w:asciiTheme="majorBidi" w:hAnsiTheme="majorBidi" w:cstheme="majorBidi"/>
        </w:rPr>
        <w:t xml:space="preserve">, there was a </w:t>
      </w:r>
      <w:r w:rsidR="00C11A24" w:rsidRPr="003D56F3">
        <w:rPr>
          <w:rFonts w:asciiTheme="majorBidi" w:hAnsiTheme="majorBidi" w:cstheme="majorBidi"/>
        </w:rPr>
        <w:t>S</w:t>
      </w:r>
      <w:r w:rsidR="00483C99" w:rsidRPr="003D56F3">
        <w:rPr>
          <w:rFonts w:asciiTheme="majorBidi" w:hAnsiTheme="majorBidi" w:cstheme="majorBidi"/>
        </w:rPr>
        <w:t>outh-</w:t>
      </w:r>
      <w:r w:rsidR="00C11A24" w:rsidRPr="003D56F3">
        <w:rPr>
          <w:rFonts w:asciiTheme="majorBidi" w:hAnsiTheme="majorBidi" w:cstheme="majorBidi"/>
        </w:rPr>
        <w:t>S</w:t>
      </w:r>
      <w:r w:rsidR="00483C99" w:rsidRPr="003D56F3">
        <w:rPr>
          <w:rFonts w:asciiTheme="majorBidi" w:hAnsiTheme="majorBidi" w:cstheme="majorBidi"/>
        </w:rPr>
        <w:t xml:space="preserve">outh exchange activity </w:t>
      </w:r>
      <w:r w:rsidR="00070E16" w:rsidRPr="003D56F3">
        <w:rPr>
          <w:rFonts w:asciiTheme="majorBidi" w:hAnsiTheme="majorBidi" w:cstheme="majorBidi"/>
        </w:rPr>
        <w:t xml:space="preserve">in which </w:t>
      </w:r>
      <w:r w:rsidR="00483C99" w:rsidRPr="003D56F3">
        <w:rPr>
          <w:rFonts w:asciiTheme="majorBidi" w:hAnsiTheme="majorBidi" w:cstheme="majorBidi"/>
        </w:rPr>
        <w:t>Ghanaian delegates visited a model mine</w:t>
      </w:r>
      <w:r w:rsidRPr="003D56F3">
        <w:rPr>
          <w:rFonts w:asciiTheme="majorBidi" w:hAnsiTheme="majorBidi" w:cstheme="majorBidi"/>
        </w:rPr>
        <w:t xml:space="preserve"> that uses a </w:t>
      </w:r>
      <w:r w:rsidR="00483C99" w:rsidRPr="003D56F3">
        <w:rPr>
          <w:rFonts w:asciiTheme="majorBidi" w:hAnsiTheme="majorBidi" w:cstheme="majorBidi"/>
        </w:rPr>
        <w:t xml:space="preserve">mercury-free </w:t>
      </w:r>
      <w:r w:rsidRPr="003D56F3">
        <w:rPr>
          <w:rFonts w:asciiTheme="majorBidi" w:hAnsiTheme="majorBidi" w:cstheme="majorBidi"/>
        </w:rPr>
        <w:t xml:space="preserve">gravity </w:t>
      </w:r>
      <w:r w:rsidR="00483C99" w:rsidRPr="003D56F3">
        <w:rPr>
          <w:rFonts w:asciiTheme="majorBidi" w:hAnsiTheme="majorBidi" w:cstheme="majorBidi"/>
        </w:rPr>
        <w:t>gold concentration</w:t>
      </w:r>
      <w:r w:rsidRPr="003D56F3">
        <w:rPr>
          <w:rFonts w:asciiTheme="majorBidi" w:hAnsiTheme="majorBidi" w:cstheme="majorBidi"/>
        </w:rPr>
        <w:t xml:space="preserve"> method and a</w:t>
      </w:r>
      <w:r w:rsidR="00483C99" w:rsidRPr="003D56F3">
        <w:rPr>
          <w:rFonts w:asciiTheme="majorBidi" w:hAnsiTheme="majorBidi" w:cstheme="majorBidi"/>
        </w:rPr>
        <w:t xml:space="preserve"> plant where experiments are being conducted </w:t>
      </w:r>
      <w:r w:rsidR="00EF1062" w:rsidRPr="003D56F3">
        <w:rPr>
          <w:rFonts w:asciiTheme="majorBidi" w:hAnsiTheme="majorBidi" w:cstheme="majorBidi"/>
        </w:rPr>
        <w:t xml:space="preserve">on </w:t>
      </w:r>
      <w:r w:rsidR="00483C99" w:rsidRPr="003D56F3">
        <w:rPr>
          <w:rFonts w:asciiTheme="majorBidi" w:hAnsiTheme="majorBidi" w:cstheme="majorBidi"/>
        </w:rPr>
        <w:t>us</w:t>
      </w:r>
      <w:r w:rsidR="00EF1062" w:rsidRPr="003D56F3">
        <w:rPr>
          <w:rFonts w:asciiTheme="majorBidi" w:hAnsiTheme="majorBidi" w:cstheme="majorBidi"/>
        </w:rPr>
        <w:t>ing</w:t>
      </w:r>
      <w:r w:rsidR="00483C99" w:rsidRPr="003D56F3">
        <w:rPr>
          <w:rFonts w:asciiTheme="majorBidi" w:hAnsiTheme="majorBidi" w:cstheme="majorBidi"/>
        </w:rPr>
        <w:t xml:space="preserve"> salt to extract gold from ore.</w:t>
      </w:r>
    </w:p>
    <w:p w14:paraId="44DACC96" w14:textId="3C4A9FDB" w:rsidR="00483C99" w:rsidRPr="003D56F3" w:rsidRDefault="00483C99" w:rsidP="00FF57F0">
      <w:pPr>
        <w:pStyle w:val="Normalnumber"/>
        <w:numPr>
          <w:ilvl w:val="0"/>
          <w:numId w:val="44"/>
        </w:numPr>
        <w:ind w:left="1247" w:firstLine="0"/>
        <w:rPr>
          <w:rFonts w:asciiTheme="majorBidi" w:hAnsiTheme="majorBidi" w:cstheme="majorBidi"/>
          <w:bCs/>
        </w:rPr>
      </w:pPr>
      <w:r w:rsidRPr="003D56F3">
        <w:rPr>
          <w:rFonts w:asciiTheme="majorBidi" w:hAnsiTheme="majorBidi" w:cstheme="majorBidi"/>
        </w:rPr>
        <w:t>In Ghana, </w:t>
      </w:r>
      <w:r w:rsidR="00CA4AEF" w:rsidRPr="003D56F3">
        <w:rPr>
          <w:rFonts w:asciiTheme="majorBidi" w:hAnsiTheme="majorBidi" w:cstheme="majorBidi"/>
        </w:rPr>
        <w:t xml:space="preserve">ILO contributed to </w:t>
      </w:r>
      <w:r w:rsidR="00792E99" w:rsidRPr="003D56F3">
        <w:rPr>
          <w:rFonts w:asciiTheme="majorBidi" w:hAnsiTheme="majorBidi" w:cstheme="majorBidi"/>
        </w:rPr>
        <w:t>significant progress made in 2019</w:t>
      </w:r>
      <w:r w:rsidR="00792E99" w:rsidRPr="003D56F3">
        <w:rPr>
          <w:rFonts w:asciiTheme="majorBidi" w:hAnsiTheme="majorBidi" w:cstheme="majorBidi"/>
          <w:bCs/>
        </w:rPr>
        <w:t xml:space="preserve">. </w:t>
      </w:r>
      <w:r w:rsidR="000144FC" w:rsidRPr="003D56F3">
        <w:rPr>
          <w:rFonts w:asciiTheme="majorBidi" w:hAnsiTheme="majorBidi" w:cstheme="majorBidi"/>
          <w:bCs/>
        </w:rPr>
        <w:t>The organization</w:t>
      </w:r>
      <w:r w:rsidRPr="003D56F3">
        <w:rPr>
          <w:rFonts w:asciiTheme="majorBidi" w:hAnsiTheme="majorBidi" w:cstheme="majorBidi"/>
          <w:bCs/>
        </w:rPr>
        <w:t xml:space="preserve"> participated in the draft</w:t>
      </w:r>
      <w:r w:rsidR="00376C00" w:rsidRPr="003D56F3">
        <w:rPr>
          <w:rFonts w:asciiTheme="majorBidi" w:hAnsiTheme="majorBidi" w:cstheme="majorBidi"/>
          <w:bCs/>
        </w:rPr>
        <w:t>ing</w:t>
      </w:r>
      <w:r w:rsidRPr="003D56F3">
        <w:rPr>
          <w:rFonts w:asciiTheme="majorBidi" w:hAnsiTheme="majorBidi" w:cstheme="majorBidi"/>
          <w:bCs/>
        </w:rPr>
        <w:t>, validation and launch of the MIA</w:t>
      </w:r>
      <w:r w:rsidR="00792E99" w:rsidRPr="003D56F3">
        <w:rPr>
          <w:rFonts w:asciiTheme="majorBidi" w:hAnsiTheme="majorBidi" w:cstheme="majorBidi"/>
          <w:bCs/>
        </w:rPr>
        <w:t xml:space="preserve">, which was completed and deposited it with Minamata Convention secretariat. </w:t>
      </w:r>
      <w:r w:rsidR="00281B75" w:rsidRPr="003D56F3">
        <w:rPr>
          <w:rFonts w:asciiTheme="majorBidi" w:hAnsiTheme="majorBidi" w:cstheme="majorBidi"/>
          <w:bCs/>
        </w:rPr>
        <w:t>ILO</w:t>
      </w:r>
      <w:r w:rsidR="00792E99" w:rsidRPr="003D56F3">
        <w:rPr>
          <w:rFonts w:asciiTheme="majorBidi" w:hAnsiTheme="majorBidi" w:cstheme="majorBidi"/>
          <w:bCs/>
        </w:rPr>
        <w:t xml:space="preserve"> is</w:t>
      </w:r>
      <w:r w:rsidRPr="003D56F3">
        <w:rPr>
          <w:rFonts w:asciiTheme="majorBidi" w:hAnsiTheme="majorBidi" w:cstheme="majorBidi"/>
          <w:bCs/>
        </w:rPr>
        <w:t> </w:t>
      </w:r>
      <w:r w:rsidR="00281B75" w:rsidRPr="003D56F3">
        <w:rPr>
          <w:rFonts w:asciiTheme="majorBidi" w:hAnsiTheme="majorBidi" w:cstheme="majorBidi"/>
          <w:bCs/>
        </w:rPr>
        <w:t xml:space="preserve">also </w:t>
      </w:r>
      <w:r w:rsidRPr="003D56F3">
        <w:rPr>
          <w:rFonts w:asciiTheme="majorBidi" w:hAnsiTheme="majorBidi" w:cstheme="majorBidi"/>
          <w:bCs/>
        </w:rPr>
        <w:t>a member of the </w:t>
      </w:r>
      <w:r w:rsidR="00792E99" w:rsidRPr="003D56F3">
        <w:rPr>
          <w:rFonts w:asciiTheme="majorBidi" w:hAnsiTheme="majorBidi" w:cstheme="majorBidi"/>
          <w:bCs/>
        </w:rPr>
        <w:t xml:space="preserve">technical working group </w:t>
      </w:r>
      <w:r w:rsidRPr="003D56F3">
        <w:rPr>
          <w:rFonts w:asciiTheme="majorBidi" w:hAnsiTheme="majorBidi" w:cstheme="majorBidi"/>
          <w:bCs/>
        </w:rPr>
        <w:t>developing a </w:t>
      </w:r>
      <w:r w:rsidR="00792E99" w:rsidRPr="003D56F3">
        <w:rPr>
          <w:rFonts w:asciiTheme="majorBidi" w:hAnsiTheme="majorBidi" w:cstheme="majorBidi"/>
          <w:bCs/>
        </w:rPr>
        <w:t>n</w:t>
      </w:r>
      <w:r w:rsidRPr="003D56F3">
        <w:rPr>
          <w:rFonts w:asciiTheme="majorBidi" w:hAnsiTheme="majorBidi" w:cstheme="majorBidi"/>
          <w:bCs/>
        </w:rPr>
        <w:t xml:space="preserve">ational </w:t>
      </w:r>
      <w:r w:rsidR="00792E99" w:rsidRPr="003D56F3">
        <w:rPr>
          <w:rFonts w:asciiTheme="majorBidi" w:hAnsiTheme="majorBidi" w:cstheme="majorBidi"/>
          <w:bCs/>
        </w:rPr>
        <w:t>a</w:t>
      </w:r>
      <w:r w:rsidRPr="003D56F3">
        <w:rPr>
          <w:rFonts w:asciiTheme="majorBidi" w:hAnsiTheme="majorBidi" w:cstheme="majorBidi"/>
          <w:bCs/>
        </w:rPr>
        <w:t xml:space="preserve">ction </w:t>
      </w:r>
      <w:r w:rsidR="00792E99" w:rsidRPr="003D56F3">
        <w:rPr>
          <w:rFonts w:asciiTheme="majorBidi" w:hAnsiTheme="majorBidi" w:cstheme="majorBidi"/>
          <w:bCs/>
        </w:rPr>
        <w:t>p</w:t>
      </w:r>
      <w:r w:rsidRPr="003D56F3">
        <w:rPr>
          <w:rFonts w:asciiTheme="majorBidi" w:hAnsiTheme="majorBidi" w:cstheme="majorBidi"/>
          <w:bCs/>
        </w:rPr>
        <w:t xml:space="preserve">lan on the elimination of mercury. </w:t>
      </w:r>
      <w:r w:rsidR="00281B75" w:rsidRPr="003D56F3">
        <w:rPr>
          <w:rFonts w:asciiTheme="majorBidi" w:hAnsiTheme="majorBidi" w:cstheme="majorBidi"/>
          <w:bCs/>
        </w:rPr>
        <w:t>In addition, w</w:t>
      </w:r>
      <w:r w:rsidR="00792E99" w:rsidRPr="003D56F3">
        <w:rPr>
          <w:rFonts w:asciiTheme="majorBidi" w:hAnsiTheme="majorBidi" w:cstheme="majorBidi"/>
          <w:bCs/>
        </w:rPr>
        <w:t>ithi</w:t>
      </w:r>
      <w:r w:rsidRPr="003D56F3">
        <w:rPr>
          <w:rFonts w:asciiTheme="majorBidi" w:hAnsiTheme="majorBidi" w:cstheme="majorBidi"/>
          <w:bCs/>
        </w:rPr>
        <w:t>n the framework of the Caring Gold Mining </w:t>
      </w:r>
      <w:r w:rsidR="00792E99" w:rsidRPr="003D56F3">
        <w:rPr>
          <w:rFonts w:asciiTheme="majorBidi" w:hAnsiTheme="majorBidi" w:cstheme="majorBidi"/>
          <w:bCs/>
        </w:rPr>
        <w:t>P</w:t>
      </w:r>
      <w:r w:rsidRPr="003D56F3">
        <w:rPr>
          <w:rFonts w:asciiTheme="majorBidi" w:hAnsiTheme="majorBidi" w:cstheme="majorBidi"/>
          <w:bCs/>
        </w:rPr>
        <w:t xml:space="preserve">roject, ILO is working on the development of </w:t>
      </w:r>
      <w:r w:rsidR="00792E99" w:rsidRPr="003D56F3">
        <w:rPr>
          <w:rFonts w:asciiTheme="majorBidi" w:hAnsiTheme="majorBidi" w:cstheme="majorBidi"/>
          <w:bCs/>
        </w:rPr>
        <w:t>the</w:t>
      </w:r>
      <w:r w:rsidRPr="003D56F3">
        <w:rPr>
          <w:rFonts w:asciiTheme="majorBidi" w:hAnsiTheme="majorBidi" w:cstheme="majorBidi"/>
          <w:bCs/>
        </w:rPr>
        <w:t xml:space="preserve"> mercury-free </w:t>
      </w:r>
      <w:r w:rsidR="00792E99" w:rsidRPr="003D56F3">
        <w:rPr>
          <w:rFonts w:asciiTheme="majorBidi" w:hAnsiTheme="majorBidi" w:cstheme="majorBidi"/>
          <w:bCs/>
        </w:rPr>
        <w:t xml:space="preserve">direct smelting </w:t>
      </w:r>
      <w:r w:rsidRPr="003D56F3">
        <w:rPr>
          <w:rFonts w:asciiTheme="majorBidi" w:hAnsiTheme="majorBidi" w:cstheme="majorBidi"/>
          <w:bCs/>
        </w:rPr>
        <w:t>gold processing method</w:t>
      </w:r>
      <w:r w:rsidR="00792E99" w:rsidRPr="003D56F3">
        <w:rPr>
          <w:rFonts w:asciiTheme="majorBidi" w:hAnsiTheme="majorBidi" w:cstheme="majorBidi"/>
          <w:bCs/>
        </w:rPr>
        <w:t xml:space="preserve"> </w:t>
      </w:r>
      <w:r w:rsidR="00CA4AEF" w:rsidRPr="003D56F3">
        <w:rPr>
          <w:rFonts w:asciiTheme="majorBidi" w:hAnsiTheme="majorBidi" w:cstheme="majorBidi"/>
          <w:bCs/>
        </w:rPr>
        <w:t xml:space="preserve">being developed at the </w:t>
      </w:r>
      <w:r w:rsidR="00CA4AEF" w:rsidRPr="003D56F3">
        <w:rPr>
          <w:rFonts w:asciiTheme="majorBidi" w:hAnsiTheme="majorBidi" w:cstheme="majorBidi"/>
        </w:rPr>
        <w:t>University of Mines and Technology</w:t>
      </w:r>
      <w:r w:rsidRPr="003D56F3">
        <w:rPr>
          <w:rFonts w:asciiTheme="majorBidi" w:hAnsiTheme="majorBidi" w:cstheme="majorBidi"/>
          <w:bCs/>
        </w:rPr>
        <w:t xml:space="preserve">. </w:t>
      </w:r>
      <w:r w:rsidR="00792E99" w:rsidRPr="003D56F3">
        <w:rPr>
          <w:rFonts w:asciiTheme="majorBidi" w:hAnsiTheme="majorBidi" w:cstheme="majorBidi"/>
          <w:bCs/>
        </w:rPr>
        <w:t>W</w:t>
      </w:r>
      <w:r w:rsidRPr="003D56F3">
        <w:rPr>
          <w:rFonts w:asciiTheme="majorBidi" w:hAnsiTheme="majorBidi" w:cstheme="majorBidi"/>
          <w:bCs/>
        </w:rPr>
        <w:t xml:space="preserve">ith Friends of the Nation, a local non-governmental </w:t>
      </w:r>
      <w:r w:rsidR="00274F11" w:rsidRPr="003D56F3">
        <w:rPr>
          <w:rFonts w:asciiTheme="majorBidi" w:hAnsiTheme="majorBidi" w:cstheme="majorBidi"/>
          <w:bCs/>
        </w:rPr>
        <w:t>organization</w:t>
      </w:r>
      <w:r w:rsidRPr="003D56F3">
        <w:rPr>
          <w:rFonts w:asciiTheme="majorBidi" w:hAnsiTheme="majorBidi" w:cstheme="majorBidi"/>
          <w:bCs/>
        </w:rPr>
        <w:t xml:space="preserve"> involved in the work of </w:t>
      </w:r>
      <w:r w:rsidR="004A22BF">
        <w:rPr>
          <w:rFonts w:asciiTheme="majorBidi" w:hAnsiTheme="majorBidi" w:cstheme="majorBidi"/>
          <w:bCs/>
        </w:rPr>
        <w:t xml:space="preserve">the </w:t>
      </w:r>
      <w:r w:rsidR="00792E99" w:rsidRPr="003D56F3">
        <w:rPr>
          <w:rFonts w:asciiTheme="majorBidi" w:hAnsiTheme="majorBidi" w:cstheme="majorBidi"/>
          <w:bCs/>
        </w:rPr>
        <w:t xml:space="preserve">technical working group </w:t>
      </w:r>
      <w:r w:rsidRPr="003D56F3">
        <w:rPr>
          <w:rFonts w:asciiTheme="majorBidi" w:hAnsiTheme="majorBidi" w:cstheme="majorBidi"/>
          <w:bCs/>
        </w:rPr>
        <w:t xml:space="preserve">on </w:t>
      </w:r>
      <w:r w:rsidR="004A22BF">
        <w:rPr>
          <w:rFonts w:asciiTheme="majorBidi" w:hAnsiTheme="majorBidi" w:cstheme="majorBidi"/>
          <w:bCs/>
        </w:rPr>
        <w:t>mercury</w:t>
      </w:r>
      <w:r w:rsidRPr="003D56F3">
        <w:rPr>
          <w:rFonts w:asciiTheme="majorBidi" w:hAnsiTheme="majorBidi" w:cstheme="majorBidi"/>
          <w:bCs/>
        </w:rPr>
        <w:t xml:space="preserve">, </w:t>
      </w:r>
      <w:r w:rsidR="00792E99" w:rsidRPr="003D56F3">
        <w:rPr>
          <w:rFonts w:asciiTheme="majorBidi" w:hAnsiTheme="majorBidi" w:cstheme="majorBidi"/>
          <w:bCs/>
        </w:rPr>
        <w:t xml:space="preserve">ILO is also developing </w:t>
      </w:r>
      <w:r w:rsidRPr="003D56F3">
        <w:rPr>
          <w:rFonts w:asciiTheme="majorBidi" w:hAnsiTheme="majorBidi" w:cstheme="majorBidi"/>
          <w:bCs/>
        </w:rPr>
        <w:t xml:space="preserve">a </w:t>
      </w:r>
      <w:r w:rsidR="00792E99" w:rsidRPr="003D56F3">
        <w:rPr>
          <w:rFonts w:asciiTheme="majorBidi" w:hAnsiTheme="majorBidi" w:cstheme="majorBidi"/>
          <w:bCs/>
        </w:rPr>
        <w:t xml:space="preserve">Minamata Convention </w:t>
      </w:r>
      <w:r w:rsidRPr="003D56F3">
        <w:rPr>
          <w:rFonts w:asciiTheme="majorBidi" w:hAnsiTheme="majorBidi" w:cstheme="majorBidi"/>
          <w:bCs/>
        </w:rPr>
        <w:t>communications campaign anchored on the link between mercury</w:t>
      </w:r>
      <w:r w:rsidR="00792E99" w:rsidRPr="003D56F3">
        <w:rPr>
          <w:rFonts w:asciiTheme="majorBidi" w:hAnsiTheme="majorBidi" w:cstheme="majorBidi"/>
          <w:bCs/>
        </w:rPr>
        <w:t xml:space="preserve"> </w:t>
      </w:r>
      <w:r w:rsidRPr="003D56F3">
        <w:rPr>
          <w:rFonts w:asciiTheme="majorBidi" w:hAnsiTheme="majorBidi" w:cstheme="majorBidi"/>
          <w:bCs/>
        </w:rPr>
        <w:t>use and child labour</w:t>
      </w:r>
      <w:r w:rsidRPr="003D56F3">
        <w:rPr>
          <w:rFonts w:asciiTheme="majorBidi" w:hAnsiTheme="majorBidi" w:cstheme="majorBidi"/>
          <w:bCs/>
          <w:i/>
          <w:iCs/>
        </w:rPr>
        <w:t>.</w:t>
      </w:r>
      <w:r w:rsidR="00281B75" w:rsidRPr="003D56F3">
        <w:rPr>
          <w:rFonts w:asciiTheme="majorBidi" w:hAnsiTheme="majorBidi" w:cstheme="majorBidi"/>
          <w:bCs/>
        </w:rPr>
        <w:t xml:space="preserve"> </w:t>
      </w:r>
      <w:r w:rsidRPr="003D56F3">
        <w:rPr>
          <w:rFonts w:asciiTheme="majorBidi" w:hAnsiTheme="majorBidi" w:cstheme="majorBidi"/>
          <w:bCs/>
        </w:rPr>
        <w:t xml:space="preserve">Finally, the </w:t>
      </w:r>
      <w:r w:rsidR="00281B75" w:rsidRPr="003D56F3">
        <w:rPr>
          <w:rFonts w:asciiTheme="majorBidi" w:hAnsiTheme="majorBidi" w:cstheme="majorBidi"/>
          <w:bCs/>
        </w:rPr>
        <w:t xml:space="preserve">Caring Gold Mining Project </w:t>
      </w:r>
      <w:r w:rsidRPr="003D56F3">
        <w:rPr>
          <w:rFonts w:asciiTheme="majorBidi" w:hAnsiTheme="majorBidi" w:cstheme="majorBidi"/>
          <w:bCs/>
        </w:rPr>
        <w:t xml:space="preserve">is </w:t>
      </w:r>
      <w:r w:rsidR="00281B75" w:rsidRPr="003D56F3">
        <w:rPr>
          <w:rFonts w:asciiTheme="majorBidi" w:hAnsiTheme="majorBidi" w:cstheme="majorBidi"/>
          <w:bCs/>
        </w:rPr>
        <w:t xml:space="preserve">also </w:t>
      </w:r>
      <w:r w:rsidRPr="003D56F3">
        <w:rPr>
          <w:rFonts w:asciiTheme="majorBidi" w:hAnsiTheme="majorBidi" w:cstheme="majorBidi"/>
          <w:bCs/>
        </w:rPr>
        <w:t xml:space="preserve">a </w:t>
      </w:r>
      <w:r w:rsidRPr="003D56F3">
        <w:rPr>
          <w:rFonts w:asciiTheme="majorBidi" w:hAnsiTheme="majorBidi" w:cstheme="majorBidi"/>
        </w:rPr>
        <w:t xml:space="preserve">member of the National Steering Committee overseeing the implementation of the entire complaint regime </w:t>
      </w:r>
      <w:r w:rsidR="00281B75" w:rsidRPr="003D56F3">
        <w:rPr>
          <w:rFonts w:asciiTheme="majorBidi" w:hAnsiTheme="majorBidi" w:cstheme="majorBidi"/>
        </w:rPr>
        <w:t xml:space="preserve">for </w:t>
      </w:r>
      <w:r w:rsidRPr="003D56F3">
        <w:rPr>
          <w:rFonts w:asciiTheme="majorBidi" w:hAnsiTheme="majorBidi" w:cstheme="majorBidi"/>
        </w:rPr>
        <w:t>the Minamata Convention.</w:t>
      </w:r>
    </w:p>
    <w:p w14:paraId="39B0CD31" w14:textId="1344BD54" w:rsidR="00483C99" w:rsidRPr="003D56F3" w:rsidRDefault="00483C99" w:rsidP="00FF57F0">
      <w:pPr>
        <w:pStyle w:val="Normalnumber"/>
        <w:numPr>
          <w:ilvl w:val="0"/>
          <w:numId w:val="44"/>
        </w:numPr>
        <w:ind w:left="1247" w:firstLine="0"/>
        <w:rPr>
          <w:rFonts w:asciiTheme="majorBidi" w:hAnsiTheme="majorBidi" w:cstheme="majorBidi"/>
          <w:u w:val="single"/>
        </w:rPr>
      </w:pPr>
      <w:r w:rsidRPr="003D56F3">
        <w:rPr>
          <w:rFonts w:asciiTheme="majorBidi" w:hAnsiTheme="majorBidi" w:cstheme="majorBidi"/>
          <w:bCs/>
        </w:rPr>
        <w:t>In Guyana,</w:t>
      </w:r>
      <w:r w:rsidRPr="003D56F3">
        <w:rPr>
          <w:rFonts w:asciiTheme="majorBidi" w:hAnsiTheme="majorBidi" w:cstheme="majorBidi"/>
        </w:rPr>
        <w:t xml:space="preserve"> ILO supported the Guyana School of Mining in the finalization of the OSH </w:t>
      </w:r>
      <w:r w:rsidR="00E62A83" w:rsidRPr="003D56F3">
        <w:rPr>
          <w:rFonts w:asciiTheme="majorBidi" w:hAnsiTheme="majorBidi" w:cstheme="majorBidi"/>
        </w:rPr>
        <w:t>i</w:t>
      </w:r>
      <w:r w:rsidRPr="003D56F3">
        <w:rPr>
          <w:rFonts w:asciiTheme="majorBidi" w:hAnsiTheme="majorBidi" w:cstheme="majorBidi"/>
        </w:rPr>
        <w:t xml:space="preserve">nspection </w:t>
      </w:r>
      <w:r w:rsidR="00E62A83" w:rsidRPr="003D56F3">
        <w:rPr>
          <w:rFonts w:asciiTheme="majorBidi" w:hAnsiTheme="majorBidi" w:cstheme="majorBidi"/>
        </w:rPr>
        <w:t>m</w:t>
      </w:r>
      <w:r w:rsidRPr="003D56F3">
        <w:rPr>
          <w:rFonts w:asciiTheme="majorBidi" w:hAnsiTheme="majorBidi" w:cstheme="majorBidi"/>
        </w:rPr>
        <w:t xml:space="preserve">anual for </w:t>
      </w:r>
      <w:r w:rsidR="00E62A83" w:rsidRPr="003D56F3">
        <w:rPr>
          <w:rFonts w:asciiTheme="majorBidi" w:hAnsiTheme="majorBidi" w:cstheme="majorBidi"/>
          <w:lang w:eastAsia="fr-CH"/>
        </w:rPr>
        <w:t>s</w:t>
      </w:r>
      <w:r w:rsidRPr="003D56F3">
        <w:rPr>
          <w:rFonts w:asciiTheme="majorBidi" w:hAnsiTheme="majorBidi" w:cstheme="majorBidi"/>
          <w:lang w:eastAsia="fr-CH"/>
        </w:rPr>
        <w:t>mall</w:t>
      </w:r>
      <w:r w:rsidRPr="003D56F3">
        <w:rPr>
          <w:rFonts w:asciiTheme="majorBidi" w:hAnsiTheme="majorBidi" w:cstheme="majorBidi"/>
        </w:rPr>
        <w:t xml:space="preserve"> and </w:t>
      </w:r>
      <w:r w:rsidR="00E62A83" w:rsidRPr="003D56F3">
        <w:rPr>
          <w:rFonts w:asciiTheme="majorBidi" w:hAnsiTheme="majorBidi" w:cstheme="majorBidi"/>
        </w:rPr>
        <w:t>a</w:t>
      </w:r>
      <w:r w:rsidRPr="003D56F3">
        <w:rPr>
          <w:rFonts w:asciiTheme="majorBidi" w:hAnsiTheme="majorBidi" w:cstheme="majorBidi"/>
        </w:rPr>
        <w:t xml:space="preserve">rtisanal </w:t>
      </w:r>
      <w:r w:rsidR="00E62A83" w:rsidRPr="003D56F3">
        <w:rPr>
          <w:rFonts w:asciiTheme="majorBidi" w:hAnsiTheme="majorBidi" w:cstheme="majorBidi"/>
        </w:rPr>
        <w:t>o</w:t>
      </w:r>
      <w:r w:rsidRPr="003D56F3">
        <w:rPr>
          <w:rFonts w:asciiTheme="majorBidi" w:hAnsiTheme="majorBidi" w:cstheme="majorBidi"/>
        </w:rPr>
        <w:t xml:space="preserve">pen-cast </w:t>
      </w:r>
      <w:r w:rsidR="00E62A83" w:rsidRPr="003D56F3">
        <w:rPr>
          <w:rFonts w:asciiTheme="majorBidi" w:hAnsiTheme="majorBidi" w:cstheme="majorBidi"/>
        </w:rPr>
        <w:t>m</w:t>
      </w:r>
      <w:r w:rsidRPr="003D56F3">
        <w:rPr>
          <w:rFonts w:asciiTheme="majorBidi" w:hAnsiTheme="majorBidi" w:cstheme="majorBidi"/>
        </w:rPr>
        <w:t>ines. Th</w:t>
      </w:r>
      <w:r w:rsidR="007E0ED1" w:rsidRPr="003D56F3">
        <w:rPr>
          <w:rFonts w:asciiTheme="majorBidi" w:hAnsiTheme="majorBidi" w:cstheme="majorBidi"/>
        </w:rPr>
        <w:t>e</w:t>
      </w:r>
      <w:r w:rsidRPr="003D56F3">
        <w:rPr>
          <w:rFonts w:asciiTheme="majorBidi" w:hAnsiTheme="majorBidi" w:cstheme="majorBidi"/>
        </w:rPr>
        <w:t xml:space="preserve"> manual</w:t>
      </w:r>
      <w:r w:rsidR="00376C00" w:rsidRPr="003D56F3">
        <w:rPr>
          <w:rFonts w:asciiTheme="majorBidi" w:hAnsiTheme="majorBidi" w:cstheme="majorBidi"/>
        </w:rPr>
        <w:t>, which</w:t>
      </w:r>
      <w:r w:rsidRPr="003D56F3">
        <w:rPr>
          <w:rFonts w:asciiTheme="majorBidi" w:hAnsiTheme="majorBidi" w:cstheme="majorBidi"/>
        </w:rPr>
        <w:t xml:space="preserve"> makes reference to the Minamata Convention and its principles, was motivated by a </w:t>
      </w:r>
      <w:r w:rsidRPr="00E961F1">
        <w:rPr>
          <w:rFonts w:asciiTheme="majorBidi" w:hAnsiTheme="majorBidi" w:cstheme="majorBidi"/>
        </w:rPr>
        <w:t xml:space="preserve">recent incident in the Guyana Gold Board related to </w:t>
      </w:r>
      <w:r w:rsidR="00376C00" w:rsidRPr="00E961F1">
        <w:rPr>
          <w:rFonts w:asciiTheme="majorBidi" w:hAnsiTheme="majorBidi" w:cstheme="majorBidi"/>
        </w:rPr>
        <w:t xml:space="preserve">mercury </w:t>
      </w:r>
      <w:r w:rsidRPr="00E961F1">
        <w:rPr>
          <w:rFonts w:asciiTheme="majorBidi" w:hAnsiTheme="majorBidi" w:cstheme="majorBidi"/>
        </w:rPr>
        <w:t xml:space="preserve">contamination </w:t>
      </w:r>
      <w:r w:rsidR="00376C00" w:rsidRPr="00E961F1">
        <w:rPr>
          <w:rFonts w:asciiTheme="majorBidi" w:hAnsiTheme="majorBidi" w:cstheme="majorBidi"/>
        </w:rPr>
        <w:t>from</w:t>
      </w:r>
      <w:r w:rsidRPr="00E961F1">
        <w:rPr>
          <w:rFonts w:asciiTheme="majorBidi" w:hAnsiTheme="majorBidi" w:cstheme="majorBidi"/>
        </w:rPr>
        <w:t xml:space="preserve"> the amalgamation process.</w:t>
      </w:r>
      <w:r w:rsidR="00376C00" w:rsidRPr="00E961F1">
        <w:rPr>
          <w:rStyle w:val="FootnoteReference"/>
          <w:rFonts w:cstheme="majorBidi"/>
        </w:rPr>
        <w:footnoteReference w:id="12"/>
      </w:r>
      <w:r w:rsidRPr="003D56F3">
        <w:rPr>
          <w:rFonts w:asciiTheme="majorBidi" w:hAnsiTheme="majorBidi" w:cstheme="majorBidi"/>
        </w:rPr>
        <w:t xml:space="preserve"> </w:t>
      </w:r>
    </w:p>
    <w:p w14:paraId="3378AEF4" w14:textId="38C9A151"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bCs/>
        </w:rPr>
        <w:t xml:space="preserve">In Suriname, </w:t>
      </w:r>
      <w:r w:rsidRPr="003D56F3">
        <w:rPr>
          <w:rFonts w:asciiTheme="majorBidi" w:hAnsiTheme="majorBidi" w:cstheme="majorBidi"/>
        </w:rPr>
        <w:t xml:space="preserve">ILO, in </w:t>
      </w:r>
      <w:r w:rsidRPr="004E1396">
        <w:rPr>
          <w:rFonts w:asciiTheme="majorBidi" w:hAnsiTheme="majorBidi" w:cstheme="majorBidi"/>
        </w:rPr>
        <w:t>collaboration w</w:t>
      </w:r>
      <w:r w:rsidRPr="003D56F3">
        <w:rPr>
          <w:rFonts w:asciiTheme="majorBidi" w:hAnsiTheme="majorBidi" w:cstheme="majorBidi"/>
        </w:rPr>
        <w:t>ith the Ministry of Labour, is in the process of finalizing a draft manual similar to the Guyan</w:t>
      </w:r>
      <w:r w:rsidR="00376C00" w:rsidRPr="003D56F3">
        <w:rPr>
          <w:rFonts w:asciiTheme="majorBidi" w:hAnsiTheme="majorBidi" w:cstheme="majorBidi"/>
        </w:rPr>
        <w:t>ese manual</w:t>
      </w:r>
      <w:r w:rsidRPr="003D56F3">
        <w:rPr>
          <w:rFonts w:asciiTheme="majorBidi" w:hAnsiTheme="majorBidi" w:cstheme="majorBidi"/>
        </w:rPr>
        <w:t xml:space="preserve">. </w:t>
      </w:r>
      <w:r w:rsidR="00376C00" w:rsidRPr="003D56F3">
        <w:rPr>
          <w:rFonts w:asciiTheme="majorBidi" w:hAnsiTheme="majorBidi" w:cstheme="majorBidi"/>
        </w:rPr>
        <w:t xml:space="preserve">Within the process, </w:t>
      </w:r>
      <w:r w:rsidRPr="003D56F3">
        <w:rPr>
          <w:rFonts w:asciiTheme="majorBidi" w:hAnsiTheme="majorBidi" w:cstheme="majorBidi"/>
        </w:rPr>
        <w:t xml:space="preserve">ILO will </w:t>
      </w:r>
      <w:r w:rsidR="00376C00" w:rsidRPr="003D56F3">
        <w:rPr>
          <w:rFonts w:asciiTheme="majorBidi" w:hAnsiTheme="majorBidi" w:cstheme="majorBidi"/>
        </w:rPr>
        <w:t>reflect</w:t>
      </w:r>
      <w:r w:rsidRPr="003D56F3">
        <w:rPr>
          <w:rFonts w:asciiTheme="majorBidi" w:hAnsiTheme="majorBidi" w:cstheme="majorBidi"/>
        </w:rPr>
        <w:t xml:space="preserve"> the provisions of the Minamata Convention </w:t>
      </w:r>
      <w:r w:rsidR="00376C00" w:rsidRPr="003D56F3">
        <w:rPr>
          <w:rFonts w:asciiTheme="majorBidi" w:hAnsiTheme="majorBidi" w:cstheme="majorBidi"/>
        </w:rPr>
        <w:t>and</w:t>
      </w:r>
      <w:r w:rsidRPr="003D56F3">
        <w:rPr>
          <w:rFonts w:asciiTheme="majorBidi" w:hAnsiTheme="majorBidi" w:cstheme="majorBidi"/>
        </w:rPr>
        <w:t xml:space="preserve"> explor</w:t>
      </w:r>
      <w:r w:rsidR="00376C00" w:rsidRPr="003D56F3">
        <w:rPr>
          <w:rFonts w:asciiTheme="majorBidi" w:hAnsiTheme="majorBidi" w:cstheme="majorBidi"/>
        </w:rPr>
        <w:t>e</w:t>
      </w:r>
      <w:r w:rsidRPr="003D56F3">
        <w:rPr>
          <w:rFonts w:asciiTheme="majorBidi" w:hAnsiTheme="majorBidi" w:cstheme="majorBidi"/>
        </w:rPr>
        <w:t xml:space="preserve"> synergies with the </w:t>
      </w:r>
      <w:r w:rsidR="00376C00" w:rsidRPr="003D56F3">
        <w:rPr>
          <w:rFonts w:asciiTheme="majorBidi" w:hAnsiTheme="majorBidi" w:cstheme="majorBidi"/>
        </w:rPr>
        <w:t>GEF</w:t>
      </w:r>
      <w:r w:rsidR="00995BE0" w:rsidRPr="003D56F3">
        <w:rPr>
          <w:rFonts w:asciiTheme="majorBidi" w:hAnsiTheme="majorBidi" w:cstheme="majorBidi"/>
        </w:rPr>
        <w:t>-sponsored</w:t>
      </w:r>
      <w:r w:rsidR="00376C00" w:rsidRPr="003D56F3">
        <w:rPr>
          <w:rFonts w:asciiTheme="majorBidi" w:hAnsiTheme="majorBidi" w:cstheme="majorBidi"/>
        </w:rPr>
        <w:t xml:space="preserve"> </w:t>
      </w:r>
      <w:r w:rsidR="00995BE0" w:rsidRPr="003D56F3">
        <w:rPr>
          <w:rFonts w:asciiTheme="majorBidi" w:hAnsiTheme="majorBidi" w:cstheme="majorBidi"/>
        </w:rPr>
        <w:t xml:space="preserve">ASGM </w:t>
      </w:r>
      <w:r w:rsidRPr="003D56F3">
        <w:rPr>
          <w:rFonts w:asciiTheme="majorBidi" w:hAnsiTheme="majorBidi" w:cstheme="majorBidi"/>
        </w:rPr>
        <w:t>project </w:t>
      </w:r>
      <w:r w:rsidR="00376C00" w:rsidRPr="003D56F3">
        <w:rPr>
          <w:rFonts w:asciiTheme="majorBidi" w:hAnsiTheme="majorBidi" w:cstheme="majorBidi"/>
        </w:rPr>
        <w:t>being carried out by the United Nations Development Programme</w:t>
      </w:r>
      <w:r w:rsidRPr="003D56F3">
        <w:rPr>
          <w:rFonts w:asciiTheme="majorBidi" w:hAnsiTheme="majorBidi" w:cstheme="majorBidi"/>
        </w:rPr>
        <w:t>.</w:t>
      </w:r>
      <w:r w:rsidR="00376C00" w:rsidRPr="003D56F3">
        <w:rPr>
          <w:rStyle w:val="FootnoteReference"/>
          <w:rFonts w:cstheme="majorBidi"/>
        </w:rPr>
        <w:footnoteReference w:id="13"/>
      </w:r>
      <w:r w:rsidRPr="003D56F3">
        <w:rPr>
          <w:rFonts w:asciiTheme="majorBidi" w:hAnsiTheme="majorBidi" w:cstheme="majorBidi"/>
        </w:rPr>
        <w:t xml:space="preserve"> In addition, an ILO </w:t>
      </w:r>
      <w:r w:rsidR="00376C00" w:rsidRPr="003D56F3">
        <w:rPr>
          <w:rFonts w:asciiTheme="majorBidi" w:hAnsiTheme="majorBidi" w:cstheme="majorBidi"/>
        </w:rPr>
        <w:t>d</w:t>
      </w:r>
      <w:r w:rsidRPr="003D56F3">
        <w:rPr>
          <w:rFonts w:asciiTheme="majorBidi" w:hAnsiTheme="majorBidi" w:cstheme="majorBidi"/>
        </w:rPr>
        <w:t xml:space="preserve">ecent </w:t>
      </w:r>
      <w:r w:rsidR="00376C00" w:rsidRPr="003D56F3">
        <w:rPr>
          <w:rFonts w:asciiTheme="majorBidi" w:hAnsiTheme="majorBidi" w:cstheme="majorBidi"/>
        </w:rPr>
        <w:t>w</w:t>
      </w:r>
      <w:r w:rsidRPr="003D56F3">
        <w:rPr>
          <w:rFonts w:asciiTheme="majorBidi" w:hAnsiTheme="majorBidi" w:cstheme="majorBidi"/>
        </w:rPr>
        <w:t xml:space="preserve">ork </w:t>
      </w:r>
      <w:r w:rsidR="00376C00" w:rsidRPr="003D56F3">
        <w:rPr>
          <w:rFonts w:asciiTheme="majorBidi" w:hAnsiTheme="majorBidi" w:cstheme="majorBidi"/>
        </w:rPr>
        <w:t>c</w:t>
      </w:r>
      <w:r w:rsidRPr="003D56F3">
        <w:rPr>
          <w:rFonts w:asciiTheme="majorBidi" w:hAnsiTheme="majorBidi" w:cstheme="majorBidi"/>
        </w:rPr>
        <w:t xml:space="preserve">ountry </w:t>
      </w:r>
      <w:r w:rsidR="00376C00" w:rsidRPr="003D56F3">
        <w:rPr>
          <w:rFonts w:asciiTheme="majorBidi" w:hAnsiTheme="majorBidi" w:cstheme="majorBidi"/>
        </w:rPr>
        <w:t>p</w:t>
      </w:r>
      <w:r w:rsidRPr="003D56F3">
        <w:rPr>
          <w:rFonts w:asciiTheme="majorBidi" w:hAnsiTheme="majorBidi" w:cstheme="majorBidi"/>
        </w:rPr>
        <w:t>rogram</w:t>
      </w:r>
      <w:r w:rsidR="00376C00" w:rsidRPr="003D56F3">
        <w:rPr>
          <w:rFonts w:asciiTheme="majorBidi" w:hAnsiTheme="majorBidi" w:cstheme="majorBidi"/>
        </w:rPr>
        <w:t>me</w:t>
      </w:r>
      <w:r w:rsidRPr="003D56F3">
        <w:rPr>
          <w:rFonts w:asciiTheme="majorBidi" w:hAnsiTheme="majorBidi" w:cstheme="majorBidi"/>
        </w:rPr>
        <w:t xml:space="preserve"> </w:t>
      </w:r>
      <w:r w:rsidR="00CA4AEF" w:rsidRPr="003D56F3">
        <w:rPr>
          <w:rFonts w:asciiTheme="majorBidi" w:hAnsiTheme="majorBidi" w:cstheme="majorBidi"/>
        </w:rPr>
        <w:lastRenderedPageBreak/>
        <w:t xml:space="preserve">agreement </w:t>
      </w:r>
      <w:r w:rsidRPr="003D56F3">
        <w:rPr>
          <w:rFonts w:asciiTheme="majorBidi" w:hAnsiTheme="majorBidi" w:cstheme="majorBidi"/>
        </w:rPr>
        <w:t>will be signed in 2019</w:t>
      </w:r>
      <w:r w:rsidR="00376C00" w:rsidRPr="003D56F3">
        <w:rPr>
          <w:rFonts w:asciiTheme="majorBidi" w:hAnsiTheme="majorBidi" w:cstheme="majorBidi"/>
        </w:rPr>
        <w:t>,</w:t>
      </w:r>
      <w:r w:rsidRPr="003D56F3">
        <w:rPr>
          <w:rFonts w:asciiTheme="majorBidi" w:hAnsiTheme="majorBidi" w:cstheme="majorBidi"/>
        </w:rPr>
        <w:t xml:space="preserve"> which will enhance the momentum of activities related to this process.</w:t>
      </w:r>
    </w:p>
    <w:p w14:paraId="25D4828E" w14:textId="1F11E998"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bCs/>
        </w:rPr>
        <w:t>In Mauritania,</w:t>
      </w:r>
      <w:r w:rsidRPr="003D56F3">
        <w:rPr>
          <w:rFonts w:asciiTheme="majorBidi" w:hAnsiTheme="majorBidi" w:cstheme="majorBidi"/>
        </w:rPr>
        <w:t xml:space="preserve"> ILO is developing initiatives to address the growing environmental and health concerns </w:t>
      </w:r>
      <w:r w:rsidR="00331CD6" w:rsidRPr="003D56F3">
        <w:rPr>
          <w:rFonts w:asciiTheme="majorBidi" w:hAnsiTheme="majorBidi" w:cstheme="majorBidi"/>
        </w:rPr>
        <w:t xml:space="preserve">raised </w:t>
      </w:r>
      <w:r w:rsidRPr="003D56F3">
        <w:rPr>
          <w:rFonts w:asciiTheme="majorBidi" w:hAnsiTheme="majorBidi" w:cstheme="majorBidi"/>
        </w:rPr>
        <w:t xml:space="preserve">by the exponentially growing mining activity, particularly in the north of the country. L’Union Nationale du Patronat de Mauritanie (UNPM), the national employers’ organization, has </w:t>
      </w:r>
      <w:r w:rsidRPr="003D56F3">
        <w:rPr>
          <w:rFonts w:asciiTheme="majorBidi" w:hAnsiTheme="majorBidi" w:cstheme="majorBidi"/>
          <w:lang w:eastAsia="fr-CH"/>
        </w:rPr>
        <w:t>expressed</w:t>
      </w:r>
      <w:r w:rsidRPr="003D56F3">
        <w:rPr>
          <w:rFonts w:asciiTheme="majorBidi" w:hAnsiTheme="majorBidi" w:cstheme="majorBidi"/>
        </w:rPr>
        <w:t xml:space="preserve"> an interest </w:t>
      </w:r>
      <w:r w:rsidR="00331CD6" w:rsidRPr="003D56F3">
        <w:rPr>
          <w:rFonts w:asciiTheme="majorBidi" w:hAnsiTheme="majorBidi" w:cstheme="majorBidi"/>
        </w:rPr>
        <w:t xml:space="preserve">in taking </w:t>
      </w:r>
      <w:r w:rsidRPr="003D56F3">
        <w:rPr>
          <w:rFonts w:asciiTheme="majorBidi" w:hAnsiTheme="majorBidi" w:cstheme="majorBidi"/>
        </w:rPr>
        <w:t xml:space="preserve">common action with ILO to inform artisanal and industrial </w:t>
      </w:r>
      <w:r w:rsidR="004E1396">
        <w:rPr>
          <w:rFonts w:asciiTheme="majorBidi" w:hAnsiTheme="majorBidi" w:cstheme="majorBidi"/>
        </w:rPr>
        <w:t>prospectors</w:t>
      </w:r>
      <w:r w:rsidR="004E1396" w:rsidRPr="003D56F3">
        <w:rPr>
          <w:rFonts w:asciiTheme="majorBidi" w:hAnsiTheme="majorBidi" w:cstheme="majorBidi"/>
        </w:rPr>
        <w:t xml:space="preserve"> o</w:t>
      </w:r>
      <w:r w:rsidR="004E1396">
        <w:rPr>
          <w:rFonts w:asciiTheme="majorBidi" w:hAnsiTheme="majorBidi" w:cstheme="majorBidi"/>
        </w:rPr>
        <w:t>f</w:t>
      </w:r>
      <w:r w:rsidR="004E1396" w:rsidRPr="003D56F3">
        <w:rPr>
          <w:rFonts w:asciiTheme="majorBidi" w:hAnsiTheme="majorBidi" w:cstheme="majorBidi"/>
        </w:rPr>
        <w:t xml:space="preserve"> </w:t>
      </w:r>
      <w:r w:rsidRPr="003D56F3">
        <w:rPr>
          <w:rFonts w:asciiTheme="majorBidi" w:hAnsiTheme="majorBidi" w:cstheme="majorBidi"/>
        </w:rPr>
        <w:t>the short</w:t>
      </w:r>
      <w:r w:rsidR="007E0ED1" w:rsidRPr="003D56F3">
        <w:rPr>
          <w:rFonts w:asciiTheme="majorBidi" w:hAnsiTheme="majorBidi" w:cstheme="majorBidi"/>
        </w:rPr>
        <w:t>-</w:t>
      </w:r>
      <w:r w:rsidR="00566052" w:rsidRPr="003D56F3">
        <w:rPr>
          <w:rFonts w:asciiTheme="majorBidi" w:hAnsiTheme="majorBidi" w:cstheme="majorBidi"/>
        </w:rPr>
        <w:t>term</w:t>
      </w:r>
      <w:r w:rsidRPr="003D56F3">
        <w:rPr>
          <w:rFonts w:asciiTheme="majorBidi" w:hAnsiTheme="majorBidi" w:cstheme="majorBidi"/>
        </w:rPr>
        <w:t xml:space="preserve"> and long</w:t>
      </w:r>
      <w:r w:rsidR="007E0ED1" w:rsidRPr="003D56F3">
        <w:rPr>
          <w:rFonts w:asciiTheme="majorBidi" w:hAnsiTheme="majorBidi" w:cstheme="majorBidi"/>
        </w:rPr>
        <w:t>-</w:t>
      </w:r>
      <w:r w:rsidRPr="003D56F3">
        <w:rPr>
          <w:rFonts w:asciiTheme="majorBidi" w:hAnsiTheme="majorBidi" w:cstheme="majorBidi"/>
        </w:rPr>
        <w:t xml:space="preserve">term risks associated with the </w:t>
      </w:r>
      <w:r w:rsidR="00331CD6" w:rsidRPr="003D56F3">
        <w:rPr>
          <w:rFonts w:asciiTheme="majorBidi" w:hAnsiTheme="majorBidi" w:cstheme="majorBidi"/>
        </w:rPr>
        <w:t>industry</w:t>
      </w:r>
      <w:r w:rsidRPr="003D56F3">
        <w:rPr>
          <w:rFonts w:asciiTheme="majorBidi" w:hAnsiTheme="majorBidi" w:cstheme="majorBidi"/>
        </w:rPr>
        <w:t xml:space="preserve">. In early 2019, ILO held discussions with UNPM to </w:t>
      </w:r>
      <w:r w:rsidR="00331CD6" w:rsidRPr="003D56F3">
        <w:rPr>
          <w:rFonts w:asciiTheme="majorBidi" w:hAnsiTheme="majorBidi" w:cstheme="majorBidi"/>
        </w:rPr>
        <w:t xml:space="preserve">conduct </w:t>
      </w:r>
      <w:r w:rsidRPr="003D56F3">
        <w:rPr>
          <w:rFonts w:asciiTheme="majorBidi" w:hAnsiTheme="majorBidi" w:cstheme="majorBidi"/>
        </w:rPr>
        <w:t>a</w:t>
      </w:r>
      <w:r w:rsidR="00331CD6" w:rsidRPr="003D56F3">
        <w:rPr>
          <w:rFonts w:asciiTheme="majorBidi" w:hAnsiTheme="majorBidi" w:cstheme="majorBidi"/>
        </w:rPr>
        <w:t>n</w:t>
      </w:r>
      <w:r w:rsidRPr="003D56F3">
        <w:rPr>
          <w:rFonts w:asciiTheme="majorBidi" w:hAnsiTheme="majorBidi" w:cstheme="majorBidi"/>
        </w:rPr>
        <w:t xml:space="preserve"> assessment of OSH risks and a capacity</w:t>
      </w:r>
      <w:r w:rsidR="00F7523B" w:rsidRPr="003D56F3">
        <w:rPr>
          <w:rFonts w:asciiTheme="majorBidi" w:hAnsiTheme="majorBidi" w:cstheme="majorBidi"/>
        </w:rPr>
        <w:t>-</w:t>
      </w:r>
      <w:r w:rsidRPr="003D56F3">
        <w:rPr>
          <w:rFonts w:asciiTheme="majorBidi" w:hAnsiTheme="majorBidi" w:cstheme="majorBidi"/>
        </w:rPr>
        <w:t>development program</w:t>
      </w:r>
      <w:r w:rsidR="00331CD6" w:rsidRPr="003D56F3">
        <w:rPr>
          <w:rFonts w:asciiTheme="majorBidi" w:hAnsiTheme="majorBidi" w:cstheme="majorBidi"/>
        </w:rPr>
        <w:t>me</w:t>
      </w:r>
      <w:r w:rsidRPr="003D56F3">
        <w:rPr>
          <w:rFonts w:asciiTheme="majorBidi" w:hAnsiTheme="majorBidi" w:cstheme="majorBidi"/>
        </w:rPr>
        <w:t xml:space="preserve"> for safety officers in gold mines (north</w:t>
      </w:r>
      <w:r w:rsidR="00CA4AEF" w:rsidRPr="003D56F3">
        <w:rPr>
          <w:rFonts w:asciiTheme="majorBidi" w:hAnsiTheme="majorBidi" w:cstheme="majorBidi"/>
        </w:rPr>
        <w:t>ern</w:t>
      </w:r>
      <w:r w:rsidRPr="003D56F3">
        <w:rPr>
          <w:rFonts w:asciiTheme="majorBidi" w:hAnsiTheme="majorBidi" w:cstheme="majorBidi"/>
        </w:rPr>
        <w:t xml:space="preserve"> Mauritania). This includes mercury exposure risk assessment and safety and health </w:t>
      </w:r>
      <w:r w:rsidR="00331CD6" w:rsidRPr="003D56F3">
        <w:rPr>
          <w:rFonts w:asciiTheme="majorBidi" w:hAnsiTheme="majorBidi" w:cstheme="majorBidi"/>
        </w:rPr>
        <w:t xml:space="preserve">risk </w:t>
      </w:r>
      <w:r w:rsidRPr="003D56F3">
        <w:rPr>
          <w:rFonts w:asciiTheme="majorBidi" w:hAnsiTheme="majorBidi" w:cstheme="majorBidi"/>
        </w:rPr>
        <w:t xml:space="preserve">prevention efforts. ILO looks forward to securing funding for this activity </w:t>
      </w:r>
      <w:r w:rsidR="00331CD6" w:rsidRPr="003D56F3">
        <w:rPr>
          <w:rFonts w:asciiTheme="majorBidi" w:hAnsiTheme="majorBidi" w:cstheme="majorBidi"/>
        </w:rPr>
        <w:t xml:space="preserve">with a view to </w:t>
      </w:r>
      <w:r w:rsidRPr="003D56F3">
        <w:rPr>
          <w:rFonts w:asciiTheme="majorBidi" w:hAnsiTheme="majorBidi" w:cstheme="majorBidi"/>
        </w:rPr>
        <w:t>implementation in the next biennium.</w:t>
      </w:r>
    </w:p>
    <w:p w14:paraId="2D8430CD" w14:textId="38A285D3" w:rsidR="00CA4AEF" w:rsidRPr="003D56F3" w:rsidRDefault="00CA4AEF" w:rsidP="007B7E49">
      <w:pPr>
        <w:pStyle w:val="Normalnumber"/>
        <w:numPr>
          <w:ilvl w:val="0"/>
          <w:numId w:val="0"/>
        </w:numPr>
        <w:ind w:left="1247"/>
        <w:rPr>
          <w:rFonts w:asciiTheme="majorBidi" w:hAnsiTheme="majorBidi" w:cstheme="majorBidi"/>
          <w:b/>
        </w:rPr>
      </w:pPr>
      <w:r w:rsidRPr="003D56F3">
        <w:rPr>
          <w:rFonts w:asciiTheme="majorBidi" w:hAnsiTheme="majorBidi" w:cstheme="majorBidi"/>
          <w:b/>
        </w:rPr>
        <w:t>Project in the automobile dismantling sector</w:t>
      </w:r>
    </w:p>
    <w:p w14:paraId="4DADFD2B" w14:textId="0D3B39A0" w:rsidR="00CA4AEF" w:rsidRPr="003D56F3" w:rsidRDefault="0045119F"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bCs/>
        </w:rPr>
        <w:t>In Fiji,</w:t>
      </w:r>
      <w:r w:rsidRPr="003D56F3">
        <w:rPr>
          <w:rFonts w:asciiTheme="majorBidi" w:hAnsiTheme="majorBidi" w:cstheme="majorBidi"/>
        </w:rPr>
        <w:t xml:space="preserve"> a project entitled “Promoting decent work and a just transition in automobile dismantling sector in Fiji”, which was funded by the Japan International Cooperation Agency (JICA) </w:t>
      </w:r>
      <w:r w:rsidRPr="008664DD">
        <w:rPr>
          <w:rFonts w:asciiTheme="majorBidi" w:hAnsiTheme="majorBidi" w:cstheme="majorBidi"/>
        </w:rPr>
        <w:t>and implemented by ILO during</w:t>
      </w:r>
      <w:r w:rsidRPr="003D56F3">
        <w:rPr>
          <w:rFonts w:asciiTheme="majorBidi" w:hAnsiTheme="majorBidi" w:cstheme="majorBidi"/>
        </w:rPr>
        <w:t xml:space="preserve"> the period </w:t>
      </w:r>
      <w:r w:rsidRPr="003D56F3">
        <w:rPr>
          <w:rFonts w:asciiTheme="majorBidi" w:hAnsiTheme="majorBidi" w:cstheme="majorBidi"/>
          <w:lang w:eastAsia="fr-CH"/>
        </w:rPr>
        <w:t>October</w:t>
      </w:r>
      <w:r w:rsidRPr="003D56F3">
        <w:rPr>
          <w:rFonts w:asciiTheme="majorBidi" w:hAnsiTheme="majorBidi" w:cstheme="majorBidi"/>
        </w:rPr>
        <w:t xml:space="preserve"> 2017–September 2018, had the immediate objective of promoting better jobs through the improvement of occupational safety and health and green growth and an increase in the number of those jobs in the automobile dismantling sector in Fiji. It also aimed at contributing to the prevention of occupational exposure to mercury and its safe disposal. The first report of a field survey showed that none of the car dismantling garages surveyed in Fiji applied the recommended mercury disposal methods. As a follow-up to the project, there are plans to develop and promote the application of occupational safety and health and environmentally friendly waste disposal guidelines and widespread training targeting policymakers, sector stakeholders and society in general</w:t>
      </w:r>
      <w:r w:rsidR="00CA4AEF" w:rsidRPr="003D56F3">
        <w:rPr>
          <w:rFonts w:asciiTheme="majorBidi" w:hAnsiTheme="majorBidi" w:cstheme="majorBidi"/>
        </w:rPr>
        <w:t>.</w:t>
      </w:r>
    </w:p>
    <w:p w14:paraId="643682D7" w14:textId="6E192C00" w:rsidR="00483C99" w:rsidRPr="003D56F3" w:rsidRDefault="00483C99" w:rsidP="007B7E49">
      <w:pPr>
        <w:pStyle w:val="Normalnumber"/>
        <w:numPr>
          <w:ilvl w:val="0"/>
          <w:numId w:val="0"/>
        </w:numPr>
        <w:ind w:left="1247"/>
        <w:rPr>
          <w:rFonts w:asciiTheme="majorBidi" w:hAnsiTheme="majorBidi" w:cstheme="majorBidi"/>
          <w:b/>
        </w:rPr>
      </w:pPr>
      <w:r w:rsidRPr="003D56F3">
        <w:rPr>
          <w:rFonts w:asciiTheme="majorBidi" w:hAnsiTheme="majorBidi" w:cstheme="majorBidi"/>
          <w:b/>
        </w:rPr>
        <w:t xml:space="preserve">Global </w:t>
      </w:r>
      <w:r w:rsidR="00CA4AEF" w:rsidRPr="003D56F3">
        <w:rPr>
          <w:rFonts w:asciiTheme="majorBidi" w:hAnsiTheme="majorBidi" w:cstheme="majorBidi"/>
          <w:b/>
        </w:rPr>
        <w:t>c</w:t>
      </w:r>
      <w:r w:rsidRPr="003D56F3">
        <w:rPr>
          <w:rFonts w:asciiTheme="majorBidi" w:hAnsiTheme="majorBidi" w:cstheme="majorBidi"/>
          <w:b/>
        </w:rPr>
        <w:t>odes of practice, research papers and working documents</w:t>
      </w:r>
    </w:p>
    <w:p w14:paraId="1A466978" w14:textId="341E5497" w:rsidR="00483C99" w:rsidRPr="003D56F3" w:rsidRDefault="00483C99"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In March 2019, ILO participated in</w:t>
      </w:r>
      <w:r w:rsidR="0045119F" w:rsidRPr="003D56F3">
        <w:rPr>
          <w:rFonts w:asciiTheme="majorBidi" w:hAnsiTheme="majorBidi" w:cstheme="majorBidi"/>
        </w:rPr>
        <w:t xml:space="preserve"> an </w:t>
      </w:r>
      <w:r w:rsidR="008664DD">
        <w:rPr>
          <w:rFonts w:asciiTheme="majorBidi" w:hAnsiTheme="majorBidi" w:cstheme="majorBidi"/>
        </w:rPr>
        <w:t>i</w:t>
      </w:r>
      <w:r w:rsidR="0045119F" w:rsidRPr="003D56F3">
        <w:rPr>
          <w:rFonts w:asciiTheme="majorBidi" w:hAnsiTheme="majorBidi" w:cstheme="majorBidi"/>
        </w:rPr>
        <w:t xml:space="preserve">nternational </w:t>
      </w:r>
      <w:r w:rsidR="0045119F" w:rsidRPr="003D56F3">
        <w:rPr>
          <w:rFonts w:asciiTheme="majorBidi" w:hAnsiTheme="majorBidi" w:cstheme="majorBidi"/>
          <w:lang w:eastAsia="fr-CH"/>
        </w:rPr>
        <w:t>Chemical</w:t>
      </w:r>
      <w:r w:rsidR="0045119F" w:rsidRPr="003D56F3">
        <w:rPr>
          <w:rFonts w:asciiTheme="majorBidi" w:hAnsiTheme="majorBidi" w:cstheme="majorBidi"/>
        </w:rPr>
        <w:t xml:space="preserve"> Safety Seminar convened by </w:t>
      </w:r>
      <w:r w:rsidRPr="003D56F3">
        <w:rPr>
          <w:rFonts w:asciiTheme="majorBidi" w:hAnsiTheme="majorBidi" w:cstheme="majorBidi"/>
        </w:rPr>
        <w:t>the Hong Kong O</w:t>
      </w:r>
      <w:r w:rsidR="00115D42" w:rsidRPr="003D56F3">
        <w:rPr>
          <w:rFonts w:asciiTheme="majorBidi" w:hAnsiTheme="majorBidi" w:cstheme="majorBidi"/>
        </w:rPr>
        <w:t>ccupational Safety and Health</w:t>
      </w:r>
      <w:r w:rsidRPr="003D56F3">
        <w:rPr>
          <w:rFonts w:asciiTheme="majorBidi" w:hAnsiTheme="majorBidi" w:cstheme="majorBidi"/>
        </w:rPr>
        <w:t xml:space="preserve"> Council to share ILO standards and tools on the safe management of hazardous chemicals, </w:t>
      </w:r>
      <w:r w:rsidR="0045119F" w:rsidRPr="003D56F3">
        <w:rPr>
          <w:rFonts w:asciiTheme="majorBidi" w:hAnsiTheme="majorBidi" w:cstheme="majorBidi"/>
        </w:rPr>
        <w:t>and</w:t>
      </w:r>
      <w:r w:rsidRPr="003D56F3">
        <w:rPr>
          <w:rFonts w:asciiTheme="majorBidi" w:hAnsiTheme="majorBidi" w:cstheme="majorBidi"/>
        </w:rPr>
        <w:t xml:space="preserve"> successfully promoted the provisions of the Minamata Convention with respect to mercury exposure.</w:t>
      </w:r>
    </w:p>
    <w:p w14:paraId="7904D0CD" w14:textId="065A9109" w:rsidR="00483C99" w:rsidRPr="003D56F3" w:rsidRDefault="008A6147" w:rsidP="00FF57F0">
      <w:pPr>
        <w:pStyle w:val="Normalnumber"/>
        <w:numPr>
          <w:ilvl w:val="0"/>
          <w:numId w:val="44"/>
        </w:numPr>
        <w:ind w:left="1247" w:firstLine="0"/>
        <w:rPr>
          <w:rFonts w:asciiTheme="majorBidi" w:hAnsiTheme="majorBidi" w:cstheme="majorBidi"/>
          <w:u w:val="single"/>
        </w:rPr>
      </w:pPr>
      <w:r w:rsidRPr="003D56F3">
        <w:rPr>
          <w:rFonts w:asciiTheme="majorBidi" w:hAnsiTheme="majorBidi" w:cstheme="majorBidi"/>
        </w:rPr>
        <w:t xml:space="preserve">In 2019, </w:t>
      </w:r>
      <w:r w:rsidR="00483C99" w:rsidRPr="003D56F3">
        <w:rPr>
          <w:rFonts w:asciiTheme="majorBidi" w:hAnsiTheme="majorBidi" w:cstheme="majorBidi"/>
        </w:rPr>
        <w:t>ILO published an issues paper</w:t>
      </w:r>
      <w:r w:rsidRPr="003D56F3">
        <w:rPr>
          <w:rFonts w:asciiTheme="majorBidi" w:hAnsiTheme="majorBidi" w:cstheme="majorBidi"/>
        </w:rPr>
        <w:t xml:space="preserve"> entitled</w:t>
      </w:r>
      <w:r w:rsidR="00483C99" w:rsidRPr="003D56F3">
        <w:rPr>
          <w:rFonts w:asciiTheme="majorBidi" w:hAnsiTheme="majorBidi" w:cstheme="majorBidi"/>
        </w:rPr>
        <w:t xml:space="preserve"> “Decent work in the management of electrical and electronic waste (e-waste)”.</w:t>
      </w:r>
      <w:r w:rsidRPr="003D56F3">
        <w:rPr>
          <w:rStyle w:val="FootnoteReference"/>
          <w:rFonts w:cstheme="majorBidi"/>
        </w:rPr>
        <w:footnoteReference w:id="14"/>
      </w:r>
      <w:r w:rsidR="00483C99" w:rsidRPr="003D56F3">
        <w:rPr>
          <w:rFonts w:asciiTheme="majorBidi" w:hAnsiTheme="majorBidi" w:cstheme="majorBidi"/>
        </w:rPr>
        <w:t xml:space="preserve"> The paper </w:t>
      </w:r>
      <w:r w:rsidR="00270424" w:rsidRPr="003D56F3">
        <w:rPr>
          <w:rFonts w:asciiTheme="majorBidi" w:hAnsiTheme="majorBidi" w:cstheme="majorBidi"/>
        </w:rPr>
        <w:t xml:space="preserve">notes the role played by the Minamata Convention in </w:t>
      </w:r>
      <w:r w:rsidR="00270424" w:rsidRPr="003D56F3">
        <w:t>protecting human health and the environment from mercury emissions and releases, and thus in the management of e-waste, much of which contains mercury</w:t>
      </w:r>
      <w:r w:rsidR="00483C99" w:rsidRPr="003D56F3">
        <w:rPr>
          <w:rFonts w:asciiTheme="majorBidi" w:hAnsiTheme="majorBidi" w:cstheme="majorBidi"/>
        </w:rPr>
        <w:t xml:space="preserve">. </w:t>
      </w:r>
    </w:p>
    <w:p w14:paraId="371224CE" w14:textId="35F2503C" w:rsidR="00483C99" w:rsidRPr="003D56F3" w:rsidRDefault="00115D42"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 xml:space="preserve">In addition, </w:t>
      </w:r>
      <w:r w:rsidR="00483C99" w:rsidRPr="003D56F3">
        <w:rPr>
          <w:rFonts w:asciiTheme="majorBidi" w:hAnsiTheme="majorBidi" w:cstheme="majorBidi"/>
        </w:rPr>
        <w:t xml:space="preserve">ILO organized </w:t>
      </w:r>
      <w:r w:rsidR="00117711" w:rsidRPr="003D56F3">
        <w:rPr>
          <w:rFonts w:asciiTheme="majorBidi" w:hAnsiTheme="majorBidi" w:cstheme="majorBidi"/>
        </w:rPr>
        <w:t>the</w:t>
      </w:r>
      <w:r w:rsidR="00483C99" w:rsidRPr="003D56F3">
        <w:rPr>
          <w:rFonts w:asciiTheme="majorBidi" w:hAnsiTheme="majorBidi" w:cstheme="majorBidi"/>
        </w:rPr>
        <w:t xml:space="preserve"> Global Dialogue Forum on Decent Work in the </w:t>
      </w:r>
      <w:r w:rsidR="00117711" w:rsidRPr="003D56F3">
        <w:rPr>
          <w:rFonts w:asciiTheme="majorBidi" w:hAnsiTheme="majorBidi" w:cstheme="majorBidi"/>
        </w:rPr>
        <w:t>M</w:t>
      </w:r>
      <w:r w:rsidR="00483C99" w:rsidRPr="003D56F3">
        <w:rPr>
          <w:rFonts w:asciiTheme="majorBidi" w:hAnsiTheme="majorBidi" w:cstheme="majorBidi"/>
        </w:rPr>
        <w:t xml:space="preserve">anagement of </w:t>
      </w:r>
      <w:r w:rsidR="00117711" w:rsidRPr="003D56F3">
        <w:rPr>
          <w:rFonts w:asciiTheme="majorBidi" w:hAnsiTheme="majorBidi" w:cstheme="majorBidi"/>
        </w:rPr>
        <w:t>E</w:t>
      </w:r>
      <w:r w:rsidR="00483C99" w:rsidRPr="003D56F3">
        <w:rPr>
          <w:rFonts w:asciiTheme="majorBidi" w:hAnsiTheme="majorBidi" w:cstheme="majorBidi"/>
        </w:rPr>
        <w:t xml:space="preserve">lectrical and </w:t>
      </w:r>
      <w:r w:rsidR="00117711" w:rsidRPr="003D56F3">
        <w:rPr>
          <w:rFonts w:asciiTheme="majorBidi" w:hAnsiTheme="majorBidi" w:cstheme="majorBidi"/>
        </w:rPr>
        <w:t>E</w:t>
      </w:r>
      <w:r w:rsidR="00483C99" w:rsidRPr="003D56F3">
        <w:rPr>
          <w:rFonts w:asciiTheme="majorBidi" w:hAnsiTheme="majorBidi" w:cstheme="majorBidi"/>
        </w:rPr>
        <w:t xml:space="preserve">lectronic </w:t>
      </w:r>
      <w:r w:rsidR="008664DD">
        <w:rPr>
          <w:rFonts w:asciiTheme="majorBidi" w:hAnsiTheme="majorBidi" w:cstheme="majorBidi"/>
        </w:rPr>
        <w:t>W</w:t>
      </w:r>
      <w:r w:rsidR="008664DD" w:rsidRPr="003D56F3">
        <w:rPr>
          <w:rFonts w:asciiTheme="majorBidi" w:hAnsiTheme="majorBidi" w:cstheme="majorBidi"/>
        </w:rPr>
        <w:t>aste</w:t>
      </w:r>
      <w:r w:rsidR="00A44312" w:rsidRPr="003D56F3">
        <w:rPr>
          <w:rFonts w:asciiTheme="majorBidi" w:hAnsiTheme="majorBidi" w:cstheme="majorBidi"/>
        </w:rPr>
        <w:t>, held</w:t>
      </w:r>
      <w:r w:rsidR="00483C99" w:rsidRPr="003D56F3">
        <w:rPr>
          <w:rFonts w:asciiTheme="majorBidi" w:hAnsiTheme="majorBidi" w:cstheme="majorBidi"/>
        </w:rPr>
        <w:t xml:space="preserve"> in Geneva in April 2019. The </w:t>
      </w:r>
      <w:r w:rsidR="00117711" w:rsidRPr="003D56F3">
        <w:rPr>
          <w:rFonts w:asciiTheme="majorBidi" w:hAnsiTheme="majorBidi" w:cstheme="majorBidi"/>
        </w:rPr>
        <w:t xml:space="preserve">forum </w:t>
      </w:r>
      <w:r w:rsidR="00483C99" w:rsidRPr="003D56F3">
        <w:rPr>
          <w:rFonts w:asciiTheme="majorBidi" w:hAnsiTheme="majorBidi" w:cstheme="majorBidi"/>
        </w:rPr>
        <w:t>unanimously adopted points of consensus for future action</w:t>
      </w:r>
      <w:r w:rsidR="00270424" w:rsidRPr="003D56F3">
        <w:rPr>
          <w:rFonts w:asciiTheme="majorBidi" w:hAnsiTheme="majorBidi" w:cstheme="majorBidi"/>
        </w:rPr>
        <w:t xml:space="preserve"> on the management of e-waste</w:t>
      </w:r>
      <w:r w:rsidR="00483C99" w:rsidRPr="003D56F3">
        <w:rPr>
          <w:rFonts w:asciiTheme="majorBidi" w:hAnsiTheme="majorBidi" w:cstheme="majorBidi"/>
        </w:rPr>
        <w:t>.</w:t>
      </w:r>
      <w:r w:rsidR="00117711" w:rsidRPr="003D56F3">
        <w:rPr>
          <w:rStyle w:val="FootnoteReference"/>
          <w:rFonts w:cstheme="majorBidi"/>
        </w:rPr>
        <w:footnoteReference w:id="15"/>
      </w:r>
      <w:r w:rsidR="00483C99" w:rsidRPr="003D56F3">
        <w:rPr>
          <w:rFonts w:asciiTheme="majorBidi" w:hAnsiTheme="majorBidi" w:cstheme="majorBidi"/>
        </w:rPr>
        <w:t xml:space="preserve"> ILO is also a member of the U</w:t>
      </w:r>
      <w:r w:rsidR="00A44312" w:rsidRPr="003D56F3">
        <w:rPr>
          <w:rFonts w:asciiTheme="majorBidi" w:hAnsiTheme="majorBidi" w:cstheme="majorBidi"/>
        </w:rPr>
        <w:t>nited</w:t>
      </w:r>
      <w:r w:rsidR="00D572E2">
        <w:rPr>
          <w:rFonts w:asciiTheme="majorBidi" w:hAnsiTheme="majorBidi" w:cstheme="majorBidi"/>
        </w:rPr>
        <w:t> </w:t>
      </w:r>
      <w:r w:rsidR="00483C99" w:rsidRPr="003D56F3">
        <w:rPr>
          <w:rFonts w:asciiTheme="majorBidi" w:hAnsiTheme="majorBidi" w:cstheme="majorBidi"/>
        </w:rPr>
        <w:t>N</w:t>
      </w:r>
      <w:r w:rsidR="00A44312" w:rsidRPr="003D56F3">
        <w:rPr>
          <w:rFonts w:asciiTheme="majorBidi" w:hAnsiTheme="majorBidi" w:cstheme="majorBidi"/>
        </w:rPr>
        <w:t>ations</w:t>
      </w:r>
      <w:r w:rsidR="00483C99" w:rsidRPr="003D56F3">
        <w:rPr>
          <w:rFonts w:asciiTheme="majorBidi" w:hAnsiTheme="majorBidi" w:cstheme="majorBidi"/>
        </w:rPr>
        <w:t xml:space="preserve"> </w:t>
      </w:r>
      <w:r w:rsidR="00A44312" w:rsidRPr="003D56F3">
        <w:rPr>
          <w:rFonts w:asciiTheme="majorBidi" w:hAnsiTheme="majorBidi" w:cstheme="majorBidi"/>
        </w:rPr>
        <w:t>e</w:t>
      </w:r>
      <w:r w:rsidR="00483C99" w:rsidRPr="003D56F3">
        <w:rPr>
          <w:rFonts w:asciiTheme="majorBidi" w:hAnsiTheme="majorBidi" w:cstheme="majorBidi"/>
        </w:rPr>
        <w:t>-</w:t>
      </w:r>
      <w:r w:rsidR="00A44312" w:rsidRPr="003D56F3">
        <w:rPr>
          <w:rFonts w:asciiTheme="majorBidi" w:hAnsiTheme="majorBidi" w:cstheme="majorBidi"/>
        </w:rPr>
        <w:t>w</w:t>
      </w:r>
      <w:r w:rsidR="00483C99" w:rsidRPr="003D56F3">
        <w:rPr>
          <w:rFonts w:asciiTheme="majorBidi" w:hAnsiTheme="majorBidi" w:cstheme="majorBidi"/>
        </w:rPr>
        <w:t xml:space="preserve">aste </w:t>
      </w:r>
      <w:r w:rsidR="00A44312" w:rsidRPr="003D56F3">
        <w:rPr>
          <w:rFonts w:asciiTheme="majorBidi" w:hAnsiTheme="majorBidi" w:cstheme="majorBidi"/>
        </w:rPr>
        <w:t>c</w:t>
      </w:r>
      <w:r w:rsidR="00483C99" w:rsidRPr="003D56F3">
        <w:rPr>
          <w:rFonts w:asciiTheme="majorBidi" w:hAnsiTheme="majorBidi" w:cstheme="majorBidi"/>
        </w:rPr>
        <w:t xml:space="preserve">oalition, formed to increase collaboration, build partnerships and provide support </w:t>
      </w:r>
      <w:r w:rsidR="00E62A83" w:rsidRPr="003D56F3">
        <w:rPr>
          <w:rFonts w:asciiTheme="majorBidi" w:hAnsiTheme="majorBidi" w:cstheme="majorBidi"/>
        </w:rPr>
        <w:t xml:space="preserve">more efficiently </w:t>
      </w:r>
      <w:r w:rsidR="00483C99" w:rsidRPr="003D56F3">
        <w:rPr>
          <w:rFonts w:asciiTheme="majorBidi" w:hAnsiTheme="majorBidi" w:cstheme="majorBidi"/>
        </w:rPr>
        <w:t xml:space="preserve">to help </w:t>
      </w:r>
      <w:r w:rsidR="008664DD">
        <w:rPr>
          <w:rFonts w:asciiTheme="majorBidi" w:hAnsiTheme="majorBidi" w:cstheme="majorBidi"/>
        </w:rPr>
        <w:t>S</w:t>
      </w:r>
      <w:r w:rsidR="008664DD" w:rsidRPr="003D56F3">
        <w:rPr>
          <w:rFonts w:asciiTheme="majorBidi" w:hAnsiTheme="majorBidi" w:cstheme="majorBidi"/>
        </w:rPr>
        <w:t xml:space="preserve">tates </w:t>
      </w:r>
      <w:r w:rsidR="008664DD">
        <w:rPr>
          <w:rFonts w:asciiTheme="majorBidi" w:hAnsiTheme="majorBidi" w:cstheme="majorBidi"/>
        </w:rPr>
        <w:t xml:space="preserve">to </w:t>
      </w:r>
      <w:r w:rsidR="00483C99" w:rsidRPr="003D56F3">
        <w:rPr>
          <w:rFonts w:asciiTheme="majorBidi" w:hAnsiTheme="majorBidi" w:cstheme="majorBidi"/>
        </w:rPr>
        <w:t>address the e-waste challenge.</w:t>
      </w:r>
    </w:p>
    <w:p w14:paraId="7ADCDA5D" w14:textId="2075D72A" w:rsidR="00483C99" w:rsidRPr="003D56F3" w:rsidRDefault="00483C99" w:rsidP="00FF57F0">
      <w:pPr>
        <w:pStyle w:val="Normalnumber"/>
        <w:numPr>
          <w:ilvl w:val="0"/>
          <w:numId w:val="44"/>
        </w:numPr>
        <w:ind w:left="1247" w:firstLine="0"/>
        <w:rPr>
          <w:rFonts w:asciiTheme="majorBidi" w:hAnsiTheme="majorBidi" w:cstheme="majorBidi"/>
          <w:u w:val="single"/>
        </w:rPr>
      </w:pPr>
      <w:r w:rsidRPr="003D56F3">
        <w:rPr>
          <w:rFonts w:asciiTheme="majorBidi" w:hAnsiTheme="majorBidi" w:cstheme="majorBidi"/>
        </w:rPr>
        <w:t>ILO has published a study</w:t>
      </w:r>
      <w:r w:rsidR="006831A9" w:rsidRPr="003D56F3">
        <w:rPr>
          <w:rFonts w:asciiTheme="majorBidi" w:hAnsiTheme="majorBidi" w:cstheme="majorBidi"/>
        </w:rPr>
        <w:t xml:space="preserve"> entitled</w:t>
      </w:r>
      <w:r w:rsidRPr="003D56F3">
        <w:rPr>
          <w:rFonts w:asciiTheme="majorBidi" w:hAnsiTheme="majorBidi" w:cstheme="majorBidi"/>
        </w:rPr>
        <w:t xml:space="preserve"> </w:t>
      </w:r>
      <w:r w:rsidRPr="00C02437">
        <w:rPr>
          <w:rFonts w:asciiTheme="majorBidi" w:hAnsiTheme="majorBidi" w:cstheme="majorBidi"/>
          <w:i/>
        </w:rPr>
        <w:t xml:space="preserve">Sectoral </w:t>
      </w:r>
      <w:r w:rsidR="008664DD" w:rsidRPr="00C02437">
        <w:rPr>
          <w:rFonts w:asciiTheme="majorBidi" w:hAnsiTheme="majorBidi" w:cstheme="majorBidi"/>
          <w:i/>
        </w:rPr>
        <w:t>S</w:t>
      </w:r>
      <w:r w:rsidR="00686887" w:rsidRPr="00C02437">
        <w:rPr>
          <w:rFonts w:asciiTheme="majorBidi" w:hAnsiTheme="majorBidi" w:cstheme="majorBidi"/>
          <w:i/>
        </w:rPr>
        <w:t xml:space="preserve">tudies on </w:t>
      </w:r>
      <w:r w:rsidR="008664DD" w:rsidRPr="00C02437">
        <w:rPr>
          <w:rFonts w:asciiTheme="majorBidi" w:hAnsiTheme="majorBidi" w:cstheme="majorBidi"/>
          <w:i/>
        </w:rPr>
        <w:t>D</w:t>
      </w:r>
      <w:r w:rsidR="00686887" w:rsidRPr="00C02437">
        <w:rPr>
          <w:rFonts w:asciiTheme="majorBidi" w:hAnsiTheme="majorBidi" w:cstheme="majorBidi"/>
          <w:i/>
        </w:rPr>
        <w:t xml:space="preserve">ecent </w:t>
      </w:r>
      <w:r w:rsidR="008664DD" w:rsidRPr="00C02437">
        <w:rPr>
          <w:rFonts w:asciiTheme="majorBidi" w:hAnsiTheme="majorBidi" w:cstheme="majorBidi"/>
          <w:i/>
        </w:rPr>
        <w:t>W</w:t>
      </w:r>
      <w:r w:rsidR="00686887" w:rsidRPr="00C02437">
        <w:rPr>
          <w:rFonts w:asciiTheme="majorBidi" w:hAnsiTheme="majorBidi" w:cstheme="majorBidi"/>
          <w:i/>
        </w:rPr>
        <w:t xml:space="preserve">ork in </w:t>
      </w:r>
      <w:r w:rsidR="008664DD" w:rsidRPr="00C02437">
        <w:rPr>
          <w:rFonts w:asciiTheme="majorBidi" w:hAnsiTheme="majorBidi" w:cstheme="majorBidi"/>
          <w:i/>
        </w:rPr>
        <w:t>G</w:t>
      </w:r>
      <w:r w:rsidR="00C02437" w:rsidRPr="00C02437">
        <w:rPr>
          <w:rFonts w:asciiTheme="majorBidi" w:hAnsiTheme="majorBidi" w:cstheme="majorBidi"/>
          <w:i/>
        </w:rPr>
        <w:t>l</w:t>
      </w:r>
      <w:r w:rsidR="008664DD" w:rsidRPr="00C02437">
        <w:rPr>
          <w:rFonts w:asciiTheme="majorBidi" w:hAnsiTheme="majorBidi" w:cstheme="majorBidi"/>
          <w:i/>
        </w:rPr>
        <w:t xml:space="preserve">obal </w:t>
      </w:r>
      <w:r w:rsidR="00C02437" w:rsidRPr="00C02437">
        <w:rPr>
          <w:rFonts w:asciiTheme="majorBidi" w:hAnsiTheme="majorBidi" w:cstheme="majorBidi"/>
          <w:i/>
        </w:rPr>
        <w:t>S</w:t>
      </w:r>
      <w:r w:rsidR="00686887" w:rsidRPr="00C02437">
        <w:rPr>
          <w:rFonts w:asciiTheme="majorBidi" w:hAnsiTheme="majorBidi" w:cstheme="majorBidi"/>
          <w:i/>
        </w:rPr>
        <w:t xml:space="preserve">upply </w:t>
      </w:r>
      <w:r w:rsidR="00C02437" w:rsidRPr="00C02437">
        <w:rPr>
          <w:rFonts w:asciiTheme="majorBidi" w:hAnsiTheme="majorBidi" w:cstheme="majorBidi"/>
          <w:i/>
        </w:rPr>
        <w:t>C</w:t>
      </w:r>
      <w:r w:rsidR="00686887" w:rsidRPr="00C02437">
        <w:rPr>
          <w:rFonts w:asciiTheme="majorBidi" w:hAnsiTheme="majorBidi" w:cstheme="majorBidi"/>
          <w:i/>
        </w:rPr>
        <w:t>hains</w:t>
      </w:r>
      <w:r w:rsidR="00C02437" w:rsidRPr="00C02437">
        <w:rPr>
          <w:rFonts w:asciiTheme="majorBidi" w:hAnsiTheme="majorBidi" w:cstheme="majorBidi"/>
          <w:i/>
        </w:rPr>
        <w:t xml:space="preserve">: </w:t>
      </w:r>
      <w:r w:rsidR="00736410">
        <w:rPr>
          <w:rFonts w:asciiTheme="majorBidi" w:hAnsiTheme="majorBidi" w:cstheme="majorBidi"/>
          <w:i/>
        </w:rPr>
        <w:t>C</w:t>
      </w:r>
      <w:r w:rsidR="00736410" w:rsidRPr="00C02437">
        <w:rPr>
          <w:rFonts w:asciiTheme="majorBidi" w:hAnsiTheme="majorBidi" w:cstheme="majorBidi"/>
          <w:i/>
        </w:rPr>
        <w:t xml:space="preserve">omparative Analysis </w:t>
      </w:r>
      <w:r w:rsidR="00736410">
        <w:rPr>
          <w:rFonts w:asciiTheme="majorBidi" w:hAnsiTheme="majorBidi" w:cstheme="majorBidi"/>
          <w:i/>
        </w:rPr>
        <w:t>o</w:t>
      </w:r>
      <w:r w:rsidR="00736410" w:rsidRPr="00C02437">
        <w:rPr>
          <w:rFonts w:asciiTheme="majorBidi" w:hAnsiTheme="majorBidi" w:cstheme="majorBidi"/>
          <w:i/>
        </w:rPr>
        <w:t xml:space="preserve">f Opportunities </w:t>
      </w:r>
      <w:r w:rsidR="00736410">
        <w:rPr>
          <w:rFonts w:asciiTheme="majorBidi" w:hAnsiTheme="majorBidi" w:cstheme="majorBidi"/>
          <w:i/>
        </w:rPr>
        <w:t>a</w:t>
      </w:r>
      <w:r w:rsidR="00736410" w:rsidRPr="00C02437">
        <w:rPr>
          <w:rFonts w:asciiTheme="majorBidi" w:hAnsiTheme="majorBidi" w:cstheme="majorBidi"/>
          <w:i/>
        </w:rPr>
        <w:t xml:space="preserve">nd Challenges </w:t>
      </w:r>
      <w:r w:rsidR="00736410">
        <w:rPr>
          <w:rFonts w:asciiTheme="majorBidi" w:hAnsiTheme="majorBidi" w:cstheme="majorBidi"/>
          <w:i/>
        </w:rPr>
        <w:t>f</w:t>
      </w:r>
      <w:r w:rsidR="00736410" w:rsidRPr="00C02437">
        <w:rPr>
          <w:rFonts w:asciiTheme="majorBidi" w:hAnsiTheme="majorBidi" w:cstheme="majorBidi"/>
          <w:i/>
        </w:rPr>
        <w:t xml:space="preserve">or Social </w:t>
      </w:r>
      <w:r w:rsidR="00736410">
        <w:rPr>
          <w:rFonts w:asciiTheme="majorBidi" w:hAnsiTheme="majorBidi" w:cstheme="majorBidi"/>
          <w:i/>
        </w:rPr>
        <w:t>a</w:t>
      </w:r>
      <w:r w:rsidR="00736410" w:rsidRPr="00C02437">
        <w:rPr>
          <w:rFonts w:asciiTheme="majorBidi" w:hAnsiTheme="majorBidi" w:cstheme="majorBidi"/>
          <w:i/>
        </w:rPr>
        <w:t>nd Economic Upgrading</w:t>
      </w:r>
      <w:r w:rsidR="006831A9" w:rsidRPr="003D56F3">
        <w:rPr>
          <w:rFonts w:asciiTheme="majorBidi" w:hAnsiTheme="majorBidi" w:cstheme="majorBidi"/>
        </w:rPr>
        <w:t>, which it is currently promoting among constituents.</w:t>
      </w:r>
      <w:r w:rsidR="006831A9" w:rsidRPr="003D56F3">
        <w:rPr>
          <w:rStyle w:val="FootnoteReference"/>
          <w:rFonts w:cstheme="majorBidi"/>
        </w:rPr>
        <w:footnoteReference w:id="16"/>
      </w:r>
      <w:r w:rsidRPr="003D56F3">
        <w:rPr>
          <w:rFonts w:asciiTheme="majorBidi" w:hAnsiTheme="majorBidi" w:cstheme="majorBidi"/>
        </w:rPr>
        <w:t xml:space="preserve"> Th</w:t>
      </w:r>
      <w:r w:rsidR="006831A9" w:rsidRPr="003D56F3">
        <w:rPr>
          <w:rFonts w:asciiTheme="majorBidi" w:hAnsiTheme="majorBidi" w:cstheme="majorBidi"/>
        </w:rPr>
        <w:t>e</w:t>
      </w:r>
      <w:r w:rsidRPr="003D56F3">
        <w:rPr>
          <w:rFonts w:asciiTheme="majorBidi" w:hAnsiTheme="majorBidi" w:cstheme="majorBidi"/>
        </w:rPr>
        <w:t xml:space="preserve"> study includes a </w:t>
      </w:r>
      <w:r w:rsidRPr="003D56F3">
        <w:rPr>
          <w:rFonts w:asciiTheme="majorBidi" w:hAnsiTheme="majorBidi" w:cstheme="majorBidi"/>
          <w:lang w:eastAsia="fr-CH"/>
        </w:rPr>
        <w:t>case</w:t>
      </w:r>
      <w:r w:rsidRPr="003D56F3">
        <w:rPr>
          <w:rFonts w:asciiTheme="majorBidi" w:hAnsiTheme="majorBidi" w:cstheme="majorBidi"/>
        </w:rPr>
        <w:t xml:space="preserve"> study</w:t>
      </w:r>
      <w:r w:rsidR="006831A9" w:rsidRPr="003D56F3">
        <w:rPr>
          <w:rFonts w:asciiTheme="majorBidi" w:hAnsiTheme="majorBidi" w:cstheme="majorBidi"/>
        </w:rPr>
        <w:t xml:space="preserve"> on</w:t>
      </w:r>
      <w:r w:rsidRPr="003D56F3">
        <w:rPr>
          <w:rFonts w:asciiTheme="majorBidi" w:hAnsiTheme="majorBidi" w:cstheme="majorBidi"/>
        </w:rPr>
        <w:t xml:space="preserve"> </w:t>
      </w:r>
      <w:r w:rsidR="00C02437">
        <w:rPr>
          <w:rFonts w:asciiTheme="majorBidi" w:hAnsiTheme="majorBidi" w:cstheme="majorBidi"/>
        </w:rPr>
        <w:t>“</w:t>
      </w:r>
      <w:r w:rsidRPr="00C02437">
        <w:rPr>
          <w:rFonts w:asciiTheme="majorBidi" w:hAnsiTheme="majorBidi" w:cstheme="majorBidi"/>
        </w:rPr>
        <w:t>Promoting Decent Work in Global Supply Chains: The Gold Industry</w:t>
      </w:r>
      <w:r w:rsidR="00C02437">
        <w:rPr>
          <w:rFonts w:asciiTheme="majorBidi" w:hAnsiTheme="majorBidi" w:cstheme="majorBidi"/>
        </w:rPr>
        <w:t>”</w:t>
      </w:r>
      <w:r w:rsidRPr="003D56F3">
        <w:rPr>
          <w:rFonts w:asciiTheme="majorBidi" w:hAnsiTheme="majorBidi" w:cstheme="majorBidi"/>
        </w:rPr>
        <w:t xml:space="preserve"> (pages 49</w:t>
      </w:r>
      <w:r w:rsidR="00D131C5" w:rsidRPr="003D56F3">
        <w:rPr>
          <w:rFonts w:asciiTheme="majorBidi" w:hAnsiTheme="majorBidi" w:cstheme="majorBidi"/>
        </w:rPr>
        <w:sym w:font="Symbol" w:char="F02D"/>
      </w:r>
      <w:r w:rsidRPr="003D56F3">
        <w:rPr>
          <w:rFonts w:asciiTheme="majorBidi" w:hAnsiTheme="majorBidi" w:cstheme="majorBidi"/>
        </w:rPr>
        <w:t>88)</w:t>
      </w:r>
      <w:r w:rsidR="006831A9" w:rsidRPr="003D56F3">
        <w:rPr>
          <w:rFonts w:asciiTheme="majorBidi" w:hAnsiTheme="majorBidi" w:cstheme="majorBidi"/>
        </w:rPr>
        <w:t xml:space="preserve"> that </w:t>
      </w:r>
      <w:r w:rsidRPr="003D56F3">
        <w:rPr>
          <w:rFonts w:asciiTheme="majorBidi" w:hAnsiTheme="majorBidi" w:cstheme="majorBidi"/>
        </w:rPr>
        <w:t xml:space="preserve">refers to OSH concerns related to mercury </w:t>
      </w:r>
      <w:r w:rsidR="006831A9" w:rsidRPr="003D56F3">
        <w:rPr>
          <w:rFonts w:asciiTheme="majorBidi" w:hAnsiTheme="majorBidi" w:cstheme="majorBidi"/>
        </w:rPr>
        <w:t xml:space="preserve">use </w:t>
      </w:r>
      <w:r w:rsidRPr="003D56F3">
        <w:rPr>
          <w:rFonts w:asciiTheme="majorBidi" w:hAnsiTheme="majorBidi" w:cstheme="majorBidi"/>
        </w:rPr>
        <w:t>in the gold mining sector.</w:t>
      </w:r>
      <w:r w:rsidR="00111257" w:rsidRPr="003D56F3">
        <w:rPr>
          <w:rFonts w:asciiTheme="majorBidi" w:hAnsiTheme="majorBidi" w:cstheme="majorBidi"/>
        </w:rPr>
        <w:t xml:space="preserve"> </w:t>
      </w:r>
    </w:p>
    <w:p w14:paraId="3E7283B2" w14:textId="1B8809F2" w:rsidR="00483C99" w:rsidRPr="003D56F3" w:rsidRDefault="006831A9" w:rsidP="00FF57F0">
      <w:pPr>
        <w:pStyle w:val="Normalnumber"/>
        <w:numPr>
          <w:ilvl w:val="0"/>
          <w:numId w:val="44"/>
        </w:numPr>
        <w:ind w:left="1247" w:firstLine="0"/>
        <w:rPr>
          <w:rFonts w:asciiTheme="majorBidi" w:hAnsiTheme="majorBidi" w:cstheme="majorBidi"/>
          <w:u w:val="single"/>
        </w:rPr>
      </w:pPr>
      <w:r w:rsidRPr="003D56F3">
        <w:rPr>
          <w:rFonts w:asciiTheme="majorBidi" w:hAnsiTheme="majorBidi" w:cstheme="majorBidi"/>
        </w:rPr>
        <w:t xml:space="preserve">In 2018, </w:t>
      </w:r>
      <w:r w:rsidR="00483C99" w:rsidRPr="003D56F3">
        <w:rPr>
          <w:rFonts w:asciiTheme="majorBidi" w:hAnsiTheme="majorBidi" w:cstheme="majorBidi"/>
        </w:rPr>
        <w:t xml:space="preserve">ILO and its tripartite constituents adopted a </w:t>
      </w:r>
      <w:r w:rsidRPr="003D56F3">
        <w:rPr>
          <w:rFonts w:asciiTheme="majorBidi" w:hAnsiTheme="majorBidi" w:cstheme="majorBidi"/>
        </w:rPr>
        <w:t>c</w:t>
      </w:r>
      <w:r w:rsidR="00483C99" w:rsidRPr="003D56F3">
        <w:rPr>
          <w:rFonts w:asciiTheme="majorBidi" w:hAnsiTheme="majorBidi" w:cstheme="majorBidi"/>
        </w:rPr>
        <w:t>ode of practice on safety and health in opencast mines</w:t>
      </w:r>
      <w:r w:rsidRPr="003D56F3">
        <w:rPr>
          <w:rFonts w:asciiTheme="majorBidi" w:hAnsiTheme="majorBidi" w:cstheme="majorBidi"/>
        </w:rPr>
        <w:t>,</w:t>
      </w:r>
      <w:r w:rsidR="008A6147" w:rsidRPr="003D56F3">
        <w:rPr>
          <w:rStyle w:val="FootnoteReference"/>
          <w:rFonts w:cstheme="majorBidi"/>
        </w:rPr>
        <w:footnoteReference w:id="17"/>
      </w:r>
      <w:r w:rsidR="00483C99" w:rsidRPr="003D56F3">
        <w:rPr>
          <w:rFonts w:asciiTheme="majorBidi" w:hAnsiTheme="majorBidi" w:cstheme="majorBidi"/>
        </w:rPr>
        <w:t xml:space="preserve"> developed based on the </w:t>
      </w:r>
      <w:r w:rsidRPr="003D56F3">
        <w:rPr>
          <w:rFonts w:asciiTheme="majorBidi" w:hAnsiTheme="majorBidi" w:cstheme="majorBidi"/>
        </w:rPr>
        <w:t xml:space="preserve">code of practice adopted at the </w:t>
      </w:r>
      <w:r w:rsidR="00483C99" w:rsidRPr="003D56F3">
        <w:rPr>
          <w:rFonts w:asciiTheme="majorBidi" w:hAnsiTheme="majorBidi" w:cstheme="majorBidi"/>
        </w:rPr>
        <w:t xml:space="preserve">Meeting of Experts on Safety and Health in Opencast Mines, held in Geneva, </w:t>
      </w:r>
      <w:r w:rsidR="00B56573">
        <w:rPr>
          <w:rFonts w:asciiTheme="majorBidi" w:hAnsiTheme="majorBidi" w:cstheme="majorBidi"/>
        </w:rPr>
        <w:t>from</w:t>
      </w:r>
      <w:r w:rsidR="00483C99" w:rsidRPr="003D56F3">
        <w:rPr>
          <w:rFonts w:asciiTheme="majorBidi" w:hAnsiTheme="majorBidi" w:cstheme="majorBidi"/>
        </w:rPr>
        <w:t xml:space="preserve"> 16</w:t>
      </w:r>
      <w:r w:rsidR="00B56573">
        <w:rPr>
          <w:rFonts w:asciiTheme="majorBidi" w:hAnsiTheme="majorBidi" w:cstheme="majorBidi"/>
        </w:rPr>
        <w:t xml:space="preserve"> to </w:t>
      </w:r>
      <w:r w:rsidR="00483C99" w:rsidRPr="003D56F3">
        <w:rPr>
          <w:rFonts w:asciiTheme="majorBidi" w:hAnsiTheme="majorBidi" w:cstheme="majorBidi"/>
        </w:rPr>
        <w:t xml:space="preserve">20 October 2017. The code of practice </w:t>
      </w:r>
      <w:r w:rsidR="00483C99" w:rsidRPr="003D56F3">
        <w:rPr>
          <w:rFonts w:asciiTheme="majorBidi" w:hAnsiTheme="majorBidi" w:cstheme="majorBidi"/>
          <w:lang w:eastAsia="fr-CH"/>
        </w:rPr>
        <w:t>requests</w:t>
      </w:r>
      <w:r w:rsidR="00483C99" w:rsidRPr="003D56F3">
        <w:rPr>
          <w:rFonts w:asciiTheme="majorBidi" w:hAnsiTheme="majorBidi" w:cstheme="majorBidi"/>
        </w:rPr>
        <w:t xml:space="preserve"> </w:t>
      </w:r>
      <w:r w:rsidRPr="003D56F3">
        <w:rPr>
          <w:rFonts w:asciiTheme="majorBidi" w:hAnsiTheme="majorBidi" w:cstheme="majorBidi"/>
        </w:rPr>
        <w:t>G</w:t>
      </w:r>
      <w:r w:rsidR="00483C99" w:rsidRPr="003D56F3">
        <w:rPr>
          <w:rFonts w:asciiTheme="majorBidi" w:hAnsiTheme="majorBidi" w:cstheme="majorBidi"/>
        </w:rPr>
        <w:t xml:space="preserve">overnments and employers to take preventive action </w:t>
      </w:r>
      <w:r w:rsidRPr="003D56F3">
        <w:rPr>
          <w:rFonts w:asciiTheme="majorBidi" w:hAnsiTheme="majorBidi" w:cstheme="majorBidi"/>
        </w:rPr>
        <w:t xml:space="preserve">on </w:t>
      </w:r>
      <w:r w:rsidR="00483C99" w:rsidRPr="003D56F3">
        <w:rPr>
          <w:rFonts w:asciiTheme="majorBidi" w:hAnsiTheme="majorBidi" w:cstheme="majorBidi"/>
        </w:rPr>
        <w:t xml:space="preserve">hazardous chemicals, </w:t>
      </w:r>
      <w:r w:rsidRPr="003D56F3">
        <w:rPr>
          <w:rFonts w:asciiTheme="majorBidi" w:hAnsiTheme="majorBidi" w:cstheme="majorBidi"/>
        </w:rPr>
        <w:t>including</w:t>
      </w:r>
      <w:r w:rsidR="00483C99" w:rsidRPr="003D56F3">
        <w:rPr>
          <w:rFonts w:asciiTheme="majorBidi" w:hAnsiTheme="majorBidi" w:cstheme="majorBidi"/>
        </w:rPr>
        <w:t xml:space="preserve"> mercury.</w:t>
      </w:r>
      <w:r w:rsidR="00216C1A" w:rsidRPr="003D56F3">
        <w:rPr>
          <w:rFonts w:asciiTheme="majorBidi" w:hAnsiTheme="majorBidi" w:cstheme="majorBidi"/>
        </w:rPr>
        <w:t xml:space="preserve"> </w:t>
      </w:r>
    </w:p>
    <w:p w14:paraId="23AF8A2E" w14:textId="03FF70FF" w:rsidR="00483C99" w:rsidRPr="003D56F3" w:rsidRDefault="00483C99" w:rsidP="00A04E76">
      <w:pPr>
        <w:pStyle w:val="Normalnumber"/>
        <w:keepNext/>
        <w:keepLines/>
        <w:numPr>
          <w:ilvl w:val="0"/>
          <w:numId w:val="44"/>
        </w:numPr>
        <w:ind w:left="1247" w:firstLine="0"/>
        <w:rPr>
          <w:rFonts w:asciiTheme="majorBidi" w:hAnsiTheme="majorBidi" w:cstheme="majorBidi"/>
        </w:rPr>
      </w:pPr>
      <w:r w:rsidRPr="003D56F3">
        <w:rPr>
          <w:rFonts w:asciiTheme="majorBidi" w:hAnsiTheme="majorBidi" w:cstheme="majorBidi"/>
        </w:rPr>
        <w:lastRenderedPageBreak/>
        <w:t>ILO is currently finali</w:t>
      </w:r>
      <w:r w:rsidR="00281B75" w:rsidRPr="003D56F3">
        <w:rPr>
          <w:rFonts w:asciiTheme="majorBidi" w:hAnsiTheme="majorBidi" w:cstheme="majorBidi"/>
        </w:rPr>
        <w:t>z</w:t>
      </w:r>
      <w:r w:rsidRPr="003D56F3">
        <w:rPr>
          <w:rFonts w:asciiTheme="majorBidi" w:hAnsiTheme="majorBidi" w:cstheme="majorBidi"/>
        </w:rPr>
        <w:t>ing a working paper on the risks of exposure to mercury for workers in ASGM. Th</w:t>
      </w:r>
      <w:r w:rsidR="00281B75" w:rsidRPr="003D56F3">
        <w:rPr>
          <w:rFonts w:asciiTheme="majorBidi" w:hAnsiTheme="majorBidi" w:cstheme="majorBidi"/>
        </w:rPr>
        <w:t>e</w:t>
      </w:r>
      <w:r w:rsidRPr="003D56F3">
        <w:rPr>
          <w:rFonts w:asciiTheme="majorBidi" w:hAnsiTheme="majorBidi" w:cstheme="majorBidi"/>
        </w:rPr>
        <w:t xml:space="preserve"> paper explores ways to reduce ASGM workers</w:t>
      </w:r>
      <w:r w:rsidR="00281B75" w:rsidRPr="003D56F3">
        <w:rPr>
          <w:rFonts w:asciiTheme="majorBidi" w:hAnsiTheme="majorBidi" w:cstheme="majorBidi"/>
        </w:rPr>
        <w:t>’ exposure</w:t>
      </w:r>
      <w:r w:rsidRPr="003D56F3">
        <w:rPr>
          <w:rFonts w:asciiTheme="majorBidi" w:hAnsiTheme="majorBidi" w:cstheme="majorBidi"/>
        </w:rPr>
        <w:t xml:space="preserve"> to mercury, support ILO </w:t>
      </w:r>
      <w:r w:rsidRPr="003D56F3">
        <w:rPr>
          <w:rFonts w:asciiTheme="majorBidi" w:hAnsiTheme="majorBidi" w:cstheme="majorBidi"/>
          <w:lang w:eastAsia="fr-CH"/>
        </w:rPr>
        <w:t>technical</w:t>
      </w:r>
      <w:r w:rsidRPr="003D56F3">
        <w:rPr>
          <w:rFonts w:asciiTheme="majorBidi" w:hAnsiTheme="majorBidi" w:cstheme="majorBidi"/>
        </w:rPr>
        <w:t xml:space="preserve"> assistance, </w:t>
      </w:r>
      <w:r w:rsidR="00281B75" w:rsidRPr="003D56F3">
        <w:rPr>
          <w:rFonts w:asciiTheme="majorBidi" w:hAnsiTheme="majorBidi" w:cstheme="majorBidi"/>
        </w:rPr>
        <w:t xml:space="preserve">promote </w:t>
      </w:r>
      <w:r w:rsidRPr="003D56F3">
        <w:rPr>
          <w:rFonts w:asciiTheme="majorBidi" w:hAnsiTheme="majorBidi" w:cstheme="majorBidi"/>
        </w:rPr>
        <w:t xml:space="preserve">a sustainable culture for </w:t>
      </w:r>
      <w:r w:rsidR="00281B75" w:rsidRPr="003D56F3">
        <w:rPr>
          <w:rFonts w:asciiTheme="majorBidi" w:hAnsiTheme="majorBidi" w:cstheme="majorBidi"/>
        </w:rPr>
        <w:t xml:space="preserve">accident and disease </w:t>
      </w:r>
      <w:r w:rsidRPr="003D56F3">
        <w:rPr>
          <w:rFonts w:asciiTheme="majorBidi" w:hAnsiTheme="majorBidi" w:cstheme="majorBidi"/>
        </w:rPr>
        <w:t>prevention and improv</w:t>
      </w:r>
      <w:r w:rsidR="006831A9" w:rsidRPr="003D56F3">
        <w:rPr>
          <w:rFonts w:asciiTheme="majorBidi" w:hAnsiTheme="majorBidi" w:cstheme="majorBidi"/>
        </w:rPr>
        <w:t>e</w:t>
      </w:r>
      <w:r w:rsidRPr="003D56F3">
        <w:rPr>
          <w:rFonts w:asciiTheme="majorBidi" w:hAnsiTheme="majorBidi" w:cstheme="majorBidi"/>
        </w:rPr>
        <w:t xml:space="preserve"> OSH. The document is part of the endeavour to promote technologies for improving or eliminating mercury use by artisanal miners </w:t>
      </w:r>
      <w:r w:rsidR="006831A9" w:rsidRPr="003D56F3">
        <w:rPr>
          <w:rFonts w:asciiTheme="majorBidi" w:hAnsiTheme="majorBidi" w:cstheme="majorBidi"/>
        </w:rPr>
        <w:t>in line with</w:t>
      </w:r>
      <w:r w:rsidRPr="003D56F3">
        <w:rPr>
          <w:rFonts w:asciiTheme="majorBidi" w:hAnsiTheme="majorBidi" w:cstheme="majorBidi"/>
        </w:rPr>
        <w:t xml:space="preserve"> </w:t>
      </w:r>
      <w:r w:rsidR="006831A9" w:rsidRPr="003D56F3">
        <w:rPr>
          <w:rFonts w:asciiTheme="majorBidi" w:hAnsiTheme="majorBidi" w:cstheme="majorBidi"/>
        </w:rPr>
        <w:t>a</w:t>
      </w:r>
      <w:r w:rsidRPr="003D56F3">
        <w:rPr>
          <w:rFonts w:asciiTheme="majorBidi" w:hAnsiTheme="majorBidi" w:cstheme="majorBidi"/>
        </w:rPr>
        <w:t>rticle</w:t>
      </w:r>
      <w:r w:rsidR="003D56F3" w:rsidRPr="003D56F3">
        <w:rPr>
          <w:rFonts w:asciiTheme="majorBidi" w:hAnsiTheme="majorBidi" w:cstheme="majorBidi"/>
        </w:rPr>
        <w:t xml:space="preserve"> </w:t>
      </w:r>
      <w:r w:rsidRPr="003D56F3">
        <w:rPr>
          <w:rFonts w:asciiTheme="majorBidi" w:hAnsiTheme="majorBidi" w:cstheme="majorBidi"/>
        </w:rPr>
        <w:t>7 of the Minamata Convention, and to promote good safety and health practices at ASGM sites.</w:t>
      </w:r>
    </w:p>
    <w:p w14:paraId="27688B97" w14:textId="77777777" w:rsidR="00483C99" w:rsidRPr="003D56F3" w:rsidRDefault="00483C99" w:rsidP="00F23D18">
      <w:pPr>
        <w:pStyle w:val="Normalnumber"/>
        <w:numPr>
          <w:ilvl w:val="0"/>
          <w:numId w:val="0"/>
        </w:numPr>
        <w:ind w:left="1247"/>
        <w:rPr>
          <w:rFonts w:asciiTheme="majorBidi" w:hAnsiTheme="majorBidi" w:cstheme="majorBidi"/>
          <w:b/>
        </w:rPr>
      </w:pPr>
      <w:r w:rsidRPr="003D56F3">
        <w:rPr>
          <w:rFonts w:asciiTheme="majorBidi" w:hAnsiTheme="majorBidi" w:cstheme="majorBidi"/>
          <w:b/>
        </w:rPr>
        <w:t>ILO continued support and future initiatives</w:t>
      </w:r>
    </w:p>
    <w:p w14:paraId="0FF1F24E" w14:textId="2427C750" w:rsidR="00483C99" w:rsidRPr="003D56F3" w:rsidRDefault="008400A7"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In the ASGM sector, f</w:t>
      </w:r>
      <w:r w:rsidR="00483C99" w:rsidRPr="003D56F3">
        <w:rPr>
          <w:rFonts w:asciiTheme="majorBidi" w:hAnsiTheme="majorBidi" w:cstheme="majorBidi"/>
        </w:rPr>
        <w:t xml:space="preserve">ormalizing artisanal mining </w:t>
      </w:r>
      <w:r w:rsidR="00331CD6" w:rsidRPr="003D56F3">
        <w:rPr>
          <w:rFonts w:asciiTheme="majorBidi" w:hAnsiTheme="majorBidi" w:cstheme="majorBidi"/>
        </w:rPr>
        <w:t>is</w:t>
      </w:r>
      <w:r w:rsidR="00483C99" w:rsidRPr="003D56F3">
        <w:rPr>
          <w:rFonts w:asciiTheme="majorBidi" w:hAnsiTheme="majorBidi" w:cstheme="majorBidi"/>
        </w:rPr>
        <w:t xml:space="preserve"> a crucial step towards resolving the problem of mercury use and </w:t>
      </w:r>
      <w:r w:rsidRPr="003D56F3">
        <w:rPr>
          <w:rFonts w:asciiTheme="majorBidi" w:hAnsiTheme="majorBidi" w:cstheme="majorBidi"/>
        </w:rPr>
        <w:t xml:space="preserve">ensuring that </w:t>
      </w:r>
      <w:r w:rsidR="00483C99" w:rsidRPr="003D56F3">
        <w:rPr>
          <w:rFonts w:asciiTheme="majorBidi" w:hAnsiTheme="majorBidi" w:cstheme="majorBidi"/>
        </w:rPr>
        <w:t xml:space="preserve">gold is produced responsibly and in keeping with voluntary social and environmental standards. ILO interventions </w:t>
      </w:r>
      <w:r w:rsidR="0001312C" w:rsidRPr="003D56F3">
        <w:rPr>
          <w:rFonts w:asciiTheme="majorBidi" w:hAnsiTheme="majorBidi" w:cstheme="majorBidi"/>
        </w:rPr>
        <w:t xml:space="preserve">will </w:t>
      </w:r>
      <w:r w:rsidR="00483C99" w:rsidRPr="003D56F3">
        <w:rPr>
          <w:rFonts w:asciiTheme="majorBidi" w:hAnsiTheme="majorBidi" w:cstheme="majorBidi"/>
        </w:rPr>
        <w:t xml:space="preserve">consist of conducting targeted studies and </w:t>
      </w:r>
      <w:r w:rsidR="00483C99" w:rsidRPr="003D56F3">
        <w:rPr>
          <w:rFonts w:asciiTheme="majorBidi" w:hAnsiTheme="majorBidi" w:cstheme="majorBidi"/>
          <w:lang w:eastAsia="fr-CH"/>
        </w:rPr>
        <w:t>proposing</w:t>
      </w:r>
      <w:r w:rsidR="00483C99" w:rsidRPr="003D56F3">
        <w:rPr>
          <w:rFonts w:asciiTheme="majorBidi" w:hAnsiTheme="majorBidi" w:cstheme="majorBidi"/>
        </w:rPr>
        <w:t xml:space="preserve"> sustainable mining approaches and projects to </w:t>
      </w:r>
      <w:r w:rsidR="00331CD6" w:rsidRPr="003D56F3">
        <w:rPr>
          <w:rFonts w:asciiTheme="majorBidi" w:hAnsiTheme="majorBidi" w:cstheme="majorBidi"/>
        </w:rPr>
        <w:t>G</w:t>
      </w:r>
      <w:r w:rsidR="00483C99" w:rsidRPr="003D56F3">
        <w:rPr>
          <w:rFonts w:asciiTheme="majorBidi" w:hAnsiTheme="majorBidi" w:cstheme="majorBidi"/>
        </w:rPr>
        <w:t>overnments through a tripartite arrangement involving the authorities responsible for mining resources, miners</w:t>
      </w:r>
      <w:r w:rsidR="00E62A83" w:rsidRPr="003D56F3">
        <w:rPr>
          <w:rFonts w:asciiTheme="majorBidi" w:hAnsiTheme="majorBidi" w:cstheme="majorBidi"/>
        </w:rPr>
        <w:t>’</w:t>
      </w:r>
      <w:r w:rsidR="00483C99" w:rsidRPr="003D56F3">
        <w:rPr>
          <w:rFonts w:asciiTheme="majorBidi" w:hAnsiTheme="majorBidi" w:cstheme="majorBidi"/>
        </w:rPr>
        <w:t xml:space="preserve"> organizations </w:t>
      </w:r>
      <w:r w:rsidR="00331CD6" w:rsidRPr="003D56F3">
        <w:rPr>
          <w:rFonts w:asciiTheme="majorBidi" w:hAnsiTheme="majorBidi" w:cstheme="majorBidi"/>
        </w:rPr>
        <w:t>and</w:t>
      </w:r>
      <w:r w:rsidR="00483C99" w:rsidRPr="003D56F3">
        <w:rPr>
          <w:rFonts w:asciiTheme="majorBidi" w:hAnsiTheme="majorBidi" w:cstheme="majorBidi"/>
        </w:rPr>
        <w:t xml:space="preserve"> employers</w:t>
      </w:r>
      <w:r w:rsidR="00E62A83" w:rsidRPr="003D56F3">
        <w:rPr>
          <w:rFonts w:asciiTheme="majorBidi" w:hAnsiTheme="majorBidi" w:cstheme="majorBidi"/>
        </w:rPr>
        <w:t>’</w:t>
      </w:r>
      <w:r w:rsidR="00483C99" w:rsidRPr="003D56F3">
        <w:rPr>
          <w:rFonts w:asciiTheme="majorBidi" w:hAnsiTheme="majorBidi" w:cstheme="majorBidi"/>
        </w:rPr>
        <w:t xml:space="preserve"> organizations</w:t>
      </w:r>
      <w:r w:rsidR="00E62A83" w:rsidRPr="003D56F3">
        <w:rPr>
          <w:rFonts w:asciiTheme="majorBidi" w:hAnsiTheme="majorBidi" w:cstheme="majorBidi"/>
        </w:rPr>
        <w:t>,</w:t>
      </w:r>
      <w:r w:rsidR="00483C99" w:rsidRPr="003D56F3">
        <w:rPr>
          <w:rFonts w:asciiTheme="majorBidi" w:hAnsiTheme="majorBidi" w:cstheme="majorBidi"/>
        </w:rPr>
        <w:t xml:space="preserve"> </w:t>
      </w:r>
      <w:r w:rsidR="00331CD6" w:rsidRPr="003D56F3">
        <w:rPr>
          <w:rFonts w:asciiTheme="majorBidi" w:hAnsiTheme="majorBidi" w:cstheme="majorBidi"/>
        </w:rPr>
        <w:t>with the goal of</w:t>
      </w:r>
      <w:r w:rsidR="00483C99" w:rsidRPr="003D56F3">
        <w:rPr>
          <w:rFonts w:asciiTheme="majorBidi" w:hAnsiTheme="majorBidi" w:cstheme="majorBidi"/>
        </w:rPr>
        <w:t xml:space="preserve"> finding alternatives to mercury-based </w:t>
      </w:r>
      <w:r w:rsidR="00331CD6" w:rsidRPr="003D56F3">
        <w:rPr>
          <w:rFonts w:asciiTheme="majorBidi" w:hAnsiTheme="majorBidi" w:cstheme="majorBidi"/>
        </w:rPr>
        <w:t xml:space="preserve">ore </w:t>
      </w:r>
      <w:r w:rsidR="00483C99" w:rsidRPr="003D56F3">
        <w:rPr>
          <w:rFonts w:asciiTheme="majorBidi" w:hAnsiTheme="majorBidi" w:cstheme="majorBidi"/>
        </w:rPr>
        <w:t xml:space="preserve">processing </w:t>
      </w:r>
      <w:r w:rsidR="00331CD6" w:rsidRPr="003D56F3">
        <w:rPr>
          <w:rFonts w:asciiTheme="majorBidi" w:hAnsiTheme="majorBidi" w:cstheme="majorBidi"/>
        </w:rPr>
        <w:t>methods</w:t>
      </w:r>
      <w:r w:rsidR="00483C99" w:rsidRPr="003D56F3">
        <w:rPr>
          <w:rFonts w:asciiTheme="majorBidi" w:hAnsiTheme="majorBidi" w:cstheme="majorBidi"/>
        </w:rPr>
        <w:t xml:space="preserve"> and </w:t>
      </w:r>
      <w:r w:rsidRPr="003D56F3">
        <w:rPr>
          <w:rFonts w:asciiTheme="majorBidi" w:hAnsiTheme="majorBidi" w:cstheme="majorBidi"/>
        </w:rPr>
        <w:t>enhancing</w:t>
      </w:r>
      <w:r w:rsidR="00483C99" w:rsidRPr="003D56F3">
        <w:rPr>
          <w:rFonts w:asciiTheme="majorBidi" w:hAnsiTheme="majorBidi" w:cstheme="majorBidi"/>
        </w:rPr>
        <w:t xml:space="preserve"> OSH practices. Governments will be encouraged to implement binding action plans for </w:t>
      </w:r>
      <w:r w:rsidR="0001312C" w:rsidRPr="003D56F3">
        <w:rPr>
          <w:rFonts w:asciiTheme="majorBidi" w:hAnsiTheme="majorBidi" w:cstheme="majorBidi"/>
        </w:rPr>
        <w:t xml:space="preserve">reducing </w:t>
      </w:r>
      <w:r w:rsidR="00483C99" w:rsidRPr="003D56F3">
        <w:rPr>
          <w:rFonts w:asciiTheme="majorBidi" w:hAnsiTheme="majorBidi" w:cstheme="majorBidi"/>
        </w:rPr>
        <w:t xml:space="preserve">mercury </w:t>
      </w:r>
      <w:r w:rsidR="0001312C" w:rsidRPr="003D56F3">
        <w:rPr>
          <w:rFonts w:asciiTheme="majorBidi" w:hAnsiTheme="majorBidi" w:cstheme="majorBidi"/>
        </w:rPr>
        <w:t xml:space="preserve">use </w:t>
      </w:r>
      <w:r w:rsidR="00483C99" w:rsidRPr="003D56F3">
        <w:rPr>
          <w:rFonts w:asciiTheme="majorBidi" w:hAnsiTheme="majorBidi" w:cstheme="majorBidi"/>
        </w:rPr>
        <w:t xml:space="preserve">in </w:t>
      </w:r>
      <w:r w:rsidRPr="003D56F3">
        <w:rPr>
          <w:rFonts w:asciiTheme="majorBidi" w:hAnsiTheme="majorBidi" w:cstheme="majorBidi"/>
        </w:rPr>
        <w:t>ASGM</w:t>
      </w:r>
      <w:r w:rsidR="00483C99" w:rsidRPr="003D56F3">
        <w:rPr>
          <w:rFonts w:asciiTheme="majorBidi" w:hAnsiTheme="majorBidi" w:cstheme="majorBidi"/>
        </w:rPr>
        <w:t>.</w:t>
      </w:r>
    </w:p>
    <w:p w14:paraId="451E6D71" w14:textId="750E4B33" w:rsidR="00483C99" w:rsidRPr="003D56F3" w:rsidRDefault="008400A7" w:rsidP="00FF57F0">
      <w:pPr>
        <w:pStyle w:val="Normalnumber"/>
        <w:numPr>
          <w:ilvl w:val="0"/>
          <w:numId w:val="44"/>
        </w:numPr>
        <w:ind w:left="1247" w:firstLine="0"/>
        <w:rPr>
          <w:rFonts w:asciiTheme="majorBidi" w:hAnsiTheme="majorBidi" w:cstheme="majorBidi"/>
        </w:rPr>
      </w:pPr>
      <w:r w:rsidRPr="003D56F3">
        <w:rPr>
          <w:rFonts w:asciiTheme="majorBidi" w:hAnsiTheme="majorBidi" w:cstheme="majorBidi"/>
        </w:rPr>
        <w:t>In the health</w:t>
      </w:r>
      <w:r w:rsidR="00F7523B" w:rsidRPr="003D56F3">
        <w:rPr>
          <w:rFonts w:asciiTheme="majorBidi" w:hAnsiTheme="majorBidi" w:cstheme="majorBidi"/>
        </w:rPr>
        <w:t>-</w:t>
      </w:r>
      <w:r w:rsidRPr="003D56F3">
        <w:rPr>
          <w:rFonts w:asciiTheme="majorBidi" w:hAnsiTheme="majorBidi" w:cstheme="majorBidi"/>
        </w:rPr>
        <w:t>care sector, d</w:t>
      </w:r>
      <w:r w:rsidR="0001312C" w:rsidRPr="003D56F3">
        <w:rPr>
          <w:rFonts w:asciiTheme="majorBidi" w:hAnsiTheme="majorBidi" w:cstheme="majorBidi"/>
        </w:rPr>
        <w:t>iscussions are under</w:t>
      </w:r>
      <w:r w:rsidR="00566052" w:rsidRPr="003D56F3">
        <w:rPr>
          <w:rFonts w:asciiTheme="majorBidi" w:hAnsiTheme="majorBidi" w:cstheme="majorBidi"/>
        </w:rPr>
        <w:t xml:space="preserve"> </w:t>
      </w:r>
      <w:r w:rsidR="0001312C" w:rsidRPr="003D56F3">
        <w:rPr>
          <w:rFonts w:asciiTheme="majorBidi" w:hAnsiTheme="majorBidi" w:cstheme="majorBidi"/>
        </w:rPr>
        <w:t>way</w:t>
      </w:r>
      <w:r w:rsidR="00483C99" w:rsidRPr="003D56F3">
        <w:rPr>
          <w:rFonts w:asciiTheme="majorBidi" w:hAnsiTheme="majorBidi" w:cstheme="majorBidi"/>
        </w:rPr>
        <w:t xml:space="preserve"> to expand </w:t>
      </w:r>
      <w:r w:rsidR="0001312C" w:rsidRPr="003D56F3">
        <w:rPr>
          <w:rFonts w:asciiTheme="majorBidi" w:hAnsiTheme="majorBidi" w:cstheme="majorBidi"/>
        </w:rPr>
        <w:t xml:space="preserve">the work of </w:t>
      </w:r>
      <w:r w:rsidR="00483C99" w:rsidRPr="003D56F3">
        <w:rPr>
          <w:rFonts w:asciiTheme="majorBidi" w:hAnsiTheme="majorBidi" w:cstheme="majorBidi"/>
        </w:rPr>
        <w:t xml:space="preserve">ILO </w:t>
      </w:r>
      <w:r w:rsidR="0001312C" w:rsidRPr="003D56F3">
        <w:rPr>
          <w:rFonts w:asciiTheme="majorBidi" w:hAnsiTheme="majorBidi" w:cstheme="majorBidi"/>
        </w:rPr>
        <w:t xml:space="preserve">by collaborating </w:t>
      </w:r>
      <w:r w:rsidR="00483C99" w:rsidRPr="003D56F3">
        <w:rPr>
          <w:rFonts w:asciiTheme="majorBidi" w:hAnsiTheme="majorBidi" w:cstheme="majorBidi"/>
        </w:rPr>
        <w:t>with UNEP and WHO on a multi-country project to protect medical workers</w:t>
      </w:r>
      <w:r w:rsidR="00686887" w:rsidRPr="003D56F3">
        <w:rPr>
          <w:rFonts w:asciiTheme="majorBidi" w:hAnsiTheme="majorBidi" w:cstheme="majorBidi"/>
        </w:rPr>
        <w:t xml:space="preserve"> </w:t>
      </w:r>
      <w:r w:rsidR="00483C99" w:rsidRPr="003D56F3">
        <w:rPr>
          <w:rFonts w:asciiTheme="majorBidi" w:hAnsiTheme="majorBidi" w:cstheme="majorBidi"/>
        </w:rPr>
        <w:t xml:space="preserve">in the dental sector from hazardous exposures to </w:t>
      </w:r>
      <w:r w:rsidR="00483C99" w:rsidRPr="003D56F3">
        <w:rPr>
          <w:rFonts w:asciiTheme="majorBidi" w:hAnsiTheme="majorBidi" w:cstheme="majorBidi"/>
          <w:lang w:eastAsia="fr-CH"/>
        </w:rPr>
        <w:t>mercury</w:t>
      </w:r>
      <w:r w:rsidR="00483C99" w:rsidRPr="003D56F3">
        <w:rPr>
          <w:rFonts w:asciiTheme="majorBidi" w:hAnsiTheme="majorBidi" w:cstheme="majorBidi"/>
        </w:rPr>
        <w:t xml:space="preserve">. </w:t>
      </w:r>
    </w:p>
    <w:p w14:paraId="4067D8A4" w14:textId="77777777" w:rsidR="003D56F3" w:rsidRPr="003D56F3" w:rsidRDefault="003D56F3" w:rsidP="003D56F3">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902971" w:rsidRPr="003D56F3" w14:paraId="429581A3" w14:textId="77777777" w:rsidTr="00902971">
        <w:tc>
          <w:tcPr>
            <w:tcW w:w="1897" w:type="dxa"/>
          </w:tcPr>
          <w:p w14:paraId="18AEBF48" w14:textId="77777777" w:rsidR="00902971" w:rsidRPr="003D56F3" w:rsidRDefault="00902971" w:rsidP="00902971">
            <w:pPr>
              <w:pStyle w:val="Normal-pool"/>
              <w:spacing w:before="520"/>
            </w:pPr>
          </w:p>
        </w:tc>
        <w:tc>
          <w:tcPr>
            <w:tcW w:w="1897" w:type="dxa"/>
          </w:tcPr>
          <w:p w14:paraId="02ECDBD7" w14:textId="77777777" w:rsidR="00902971" w:rsidRPr="003D56F3" w:rsidRDefault="00902971" w:rsidP="00902971">
            <w:pPr>
              <w:pStyle w:val="Normal-pool"/>
              <w:spacing w:before="520"/>
            </w:pPr>
          </w:p>
        </w:tc>
        <w:tc>
          <w:tcPr>
            <w:tcW w:w="1897" w:type="dxa"/>
            <w:tcBorders>
              <w:bottom w:val="single" w:sz="4" w:space="0" w:color="auto"/>
            </w:tcBorders>
          </w:tcPr>
          <w:p w14:paraId="53BA80CD" w14:textId="77777777" w:rsidR="00902971" w:rsidRPr="003D56F3" w:rsidRDefault="00902971" w:rsidP="00902971">
            <w:pPr>
              <w:pStyle w:val="Normal-pool"/>
              <w:spacing w:before="520"/>
            </w:pPr>
          </w:p>
        </w:tc>
        <w:tc>
          <w:tcPr>
            <w:tcW w:w="1897" w:type="dxa"/>
          </w:tcPr>
          <w:p w14:paraId="34EC0D12" w14:textId="77777777" w:rsidR="00902971" w:rsidRPr="003D56F3" w:rsidRDefault="00902971" w:rsidP="00902971">
            <w:pPr>
              <w:pStyle w:val="Normal-pool"/>
              <w:spacing w:before="520"/>
            </w:pPr>
          </w:p>
        </w:tc>
        <w:tc>
          <w:tcPr>
            <w:tcW w:w="1898" w:type="dxa"/>
          </w:tcPr>
          <w:p w14:paraId="5EBE38CA" w14:textId="77777777" w:rsidR="00902971" w:rsidRPr="003D56F3" w:rsidRDefault="00902971" w:rsidP="00902971">
            <w:pPr>
              <w:pStyle w:val="Normal-pool"/>
              <w:spacing w:before="520"/>
            </w:pPr>
          </w:p>
        </w:tc>
      </w:tr>
    </w:tbl>
    <w:p w14:paraId="046BC7B7" w14:textId="77777777" w:rsidR="00B43CA2" w:rsidRPr="003D56F3" w:rsidRDefault="00B43CA2" w:rsidP="00902971">
      <w:pPr>
        <w:pStyle w:val="Normal-pool"/>
      </w:pPr>
    </w:p>
    <w:sectPr w:rsidR="00B43CA2" w:rsidRPr="003D56F3" w:rsidSect="00D572E2">
      <w:headerReference w:type="first" r:id="rId22"/>
      <w:footerReference w:type="first" r:id="rId23"/>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C394C" w14:textId="77777777" w:rsidR="005F7320" w:rsidRDefault="005F7320">
      <w:r>
        <w:separator/>
      </w:r>
    </w:p>
  </w:endnote>
  <w:endnote w:type="continuationSeparator" w:id="0">
    <w:p w14:paraId="0D7BC5AE" w14:textId="77777777" w:rsidR="005F7320" w:rsidRDefault="005F7320">
      <w:r>
        <w:continuationSeparator/>
      </w:r>
    </w:p>
  </w:endnote>
  <w:endnote w:type="continuationNotice" w:id="1">
    <w:p w14:paraId="2A20598B" w14:textId="77777777" w:rsidR="005F7320" w:rsidRDefault="005F7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A08034F" w:rsidR="005F7320" w:rsidRDefault="005F7320">
    <w:pPr>
      <w:pStyle w:val="Footer"/>
    </w:pPr>
    <w:r>
      <w:rPr>
        <w:rStyle w:val="PageNumber"/>
      </w:rPr>
      <w:fldChar w:fldCharType="begin"/>
    </w:r>
    <w:r>
      <w:rPr>
        <w:rStyle w:val="PageNumber"/>
      </w:rPr>
      <w:instrText xml:space="preserve"> PAGE </w:instrText>
    </w:r>
    <w:r>
      <w:rPr>
        <w:rStyle w:val="PageNumber"/>
      </w:rPr>
      <w:fldChar w:fldCharType="separate"/>
    </w:r>
    <w:r w:rsidR="00A04E76">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AF077A1" w:rsidR="005F7320" w:rsidRDefault="005F732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04E76">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EF32" w14:textId="00428C38" w:rsidR="005F7320" w:rsidRDefault="00A04E76" w:rsidP="007C7892">
    <w:pPr>
      <w:pStyle w:val="Normal-pool"/>
    </w:pPr>
    <w:r>
      <w:t>K1903662</w:t>
    </w:r>
    <w:r>
      <w:tab/>
      <w:t>0909</w:t>
    </w:r>
    <w:r w:rsidR="007C7892">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284491"/>
      <w:docPartObj>
        <w:docPartGallery w:val="Page Numbers (Bottom of Page)"/>
        <w:docPartUnique/>
      </w:docPartObj>
    </w:sdtPr>
    <w:sdtEndPr>
      <w:rPr>
        <w:noProof/>
      </w:rPr>
    </w:sdtEndPr>
    <w:sdtContent>
      <w:p w14:paraId="7EDACD2C" w14:textId="6D6775D7" w:rsidR="007C7892" w:rsidRDefault="007C7892" w:rsidP="007C7892">
        <w:pPr>
          <w:pStyle w:val="Footer-pool"/>
          <w:jc w:val="right"/>
        </w:pPr>
        <w:r>
          <w:fldChar w:fldCharType="begin"/>
        </w:r>
        <w:r>
          <w:instrText xml:space="preserve"> PAGE   \* MERGEFORMAT </w:instrText>
        </w:r>
        <w:r>
          <w:fldChar w:fldCharType="separate"/>
        </w:r>
        <w:r w:rsidR="00A04E76">
          <w:rPr>
            <w:noProof/>
          </w:rPr>
          <w:t>3</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03969"/>
      <w:docPartObj>
        <w:docPartGallery w:val="Page Numbers (Bottom of Page)"/>
        <w:docPartUnique/>
      </w:docPartObj>
    </w:sdtPr>
    <w:sdtEndPr>
      <w:rPr>
        <w:noProof/>
      </w:rPr>
    </w:sdtEndPr>
    <w:sdtContent>
      <w:p w14:paraId="47EF9A3D" w14:textId="0198FBB3" w:rsidR="007C7892" w:rsidRDefault="007C7892" w:rsidP="007C7892">
        <w:pPr>
          <w:pStyle w:val="Footer-pool"/>
          <w:jc w:val="right"/>
        </w:pPr>
        <w:r>
          <w:fldChar w:fldCharType="begin"/>
        </w:r>
        <w:r>
          <w:instrText xml:space="preserve"> PAGE   \* MERGEFORMAT </w:instrText>
        </w:r>
        <w:r>
          <w:fldChar w:fldCharType="separate"/>
        </w:r>
        <w:r w:rsidR="00A04E76">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C1C22" w14:textId="77777777" w:rsidR="005F7320" w:rsidRPr="003D56F3" w:rsidRDefault="005F7320" w:rsidP="00A04E76">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3D56F3">
        <w:rPr>
          <w:sz w:val="18"/>
          <w:szCs w:val="18"/>
        </w:rPr>
        <w:separator/>
      </w:r>
    </w:p>
  </w:footnote>
  <w:footnote w:type="continuationSeparator" w:id="0">
    <w:p w14:paraId="47EECB05" w14:textId="77777777" w:rsidR="005F7320" w:rsidRDefault="005F7320">
      <w:r>
        <w:continuationSeparator/>
      </w:r>
    </w:p>
  </w:footnote>
  <w:footnote w:type="continuationNotice" w:id="1">
    <w:p w14:paraId="2E685F5F" w14:textId="77777777" w:rsidR="005F7320" w:rsidRDefault="005F7320"/>
  </w:footnote>
  <w:footnote w:id="2">
    <w:p w14:paraId="739953B3" w14:textId="77777777"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A04E76">
        <w:rPr>
          <w:sz w:val="18"/>
          <w:szCs w:val="18"/>
        </w:rPr>
        <w:t>* UNEP/MC/COP.3/1.</w:t>
      </w:r>
    </w:p>
  </w:footnote>
  <w:footnote w:id="3">
    <w:p w14:paraId="3A1959C8" w14:textId="7D9EB835"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rPr>
        <w:t xml:space="preserve"> </w:t>
      </w:r>
      <w:hyperlink r:id="rId1" w:history="1">
        <w:r w:rsidRPr="00A04E76">
          <w:rPr>
            <w:rStyle w:val="Hyperlink"/>
            <w:sz w:val="18"/>
            <w:szCs w:val="18"/>
            <w:lang w:val="en-GB"/>
          </w:rPr>
          <w:t>https://www.who.int/ipcs/assessment/public_health/publication/en/</w:t>
        </w:r>
      </w:hyperlink>
      <w:r w:rsidRPr="00A04E76">
        <w:rPr>
          <w:rStyle w:val="Hyperlink"/>
          <w:sz w:val="18"/>
          <w:szCs w:val="18"/>
          <w:lang w:val="en-GB"/>
        </w:rPr>
        <w:t>.</w:t>
      </w:r>
    </w:p>
  </w:footnote>
  <w:footnote w:id="4">
    <w:p w14:paraId="7996112A" w14:textId="4E086CB2"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A04E76">
        <w:rPr>
          <w:rStyle w:val="FootnoteReference"/>
          <w:sz w:val="18"/>
        </w:rPr>
        <w:footnoteRef/>
      </w:r>
      <w:r w:rsidRPr="00A04E76">
        <w:rPr>
          <w:sz w:val="18"/>
          <w:szCs w:val="18"/>
        </w:rPr>
        <w:t xml:space="preserve"> </w:t>
      </w:r>
      <w:hyperlink r:id="rId2" w:history="1">
        <w:r w:rsidRPr="00A04E76">
          <w:rPr>
            <w:rStyle w:val="Hyperlink"/>
            <w:sz w:val="18"/>
            <w:szCs w:val="18"/>
            <w:lang w:val="en-GB"/>
          </w:rPr>
          <w:t>http://www.who.int/bulletin/volumes/96/6/17-203141.pdf</w:t>
        </w:r>
      </w:hyperlink>
      <w:r w:rsidRPr="00A04E76">
        <w:rPr>
          <w:sz w:val="18"/>
          <w:szCs w:val="18"/>
        </w:rPr>
        <w:t>.</w:t>
      </w:r>
    </w:p>
  </w:footnote>
  <w:footnote w:id="5">
    <w:p w14:paraId="558C28AD" w14:textId="349E96CD"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A04E76">
        <w:rPr>
          <w:rStyle w:val="FootnoteReference"/>
          <w:sz w:val="18"/>
        </w:rPr>
        <w:footnoteRef/>
      </w:r>
      <w:r w:rsidRPr="00A04E76">
        <w:rPr>
          <w:sz w:val="18"/>
          <w:szCs w:val="18"/>
        </w:rPr>
        <w:t xml:space="preserve"> UPOPs stands for unintentional persistent organic pollutants.</w:t>
      </w:r>
    </w:p>
  </w:footnote>
  <w:footnote w:id="6">
    <w:p w14:paraId="71B92CFE" w14:textId="60439255"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A04E76">
        <w:rPr>
          <w:rStyle w:val="FootnoteReference"/>
          <w:sz w:val="18"/>
        </w:rPr>
        <w:footnoteRef/>
      </w:r>
      <w:r w:rsidRPr="00A04E76">
        <w:rPr>
          <w:sz w:val="18"/>
          <w:szCs w:val="18"/>
        </w:rPr>
        <w:t xml:space="preserve"> http://www.fao.org/fao-who-codexalimentarius/committees/committee/en/?committee=CCCF.</w:t>
      </w:r>
    </w:p>
  </w:footnote>
  <w:footnote w:id="7">
    <w:p w14:paraId="3CAC0F2C" w14:textId="5DB7F94A"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A04E76">
        <w:rPr>
          <w:rStyle w:val="FootnoteReference"/>
          <w:sz w:val="18"/>
        </w:rPr>
        <w:footnoteRef/>
      </w:r>
      <w:r w:rsidRPr="00A04E76">
        <w:rPr>
          <w:sz w:val="18"/>
          <w:szCs w:val="18"/>
        </w:rPr>
        <w:t xml:space="preserve"> </w:t>
      </w:r>
      <w:hyperlink r:id="rId3" w:history="1">
        <w:r w:rsidRPr="00A04E76">
          <w:rPr>
            <w:rStyle w:val="Hyperlink"/>
            <w:sz w:val="18"/>
            <w:szCs w:val="18"/>
            <w:lang w:val="en-GB"/>
          </w:rPr>
          <w:t>http://www.euro.who.int/en/health-topics/environment-and-health/chemical-safety/publications</w:t>
        </w:r>
      </w:hyperlink>
      <w:r w:rsidRPr="00A04E76">
        <w:rPr>
          <w:rStyle w:val="Hyperlink"/>
          <w:sz w:val="18"/>
          <w:szCs w:val="18"/>
          <w:lang w:val="en-GB"/>
        </w:rPr>
        <w:t>.</w:t>
      </w:r>
    </w:p>
  </w:footnote>
  <w:footnote w:id="8">
    <w:p w14:paraId="2DF3F26C" w14:textId="75E36D83"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rPr>
        <w:t xml:space="preserve"> </w:t>
      </w:r>
      <w:hyperlink r:id="rId4" w:history="1">
        <w:r w:rsidRPr="00A04E76">
          <w:rPr>
            <w:rStyle w:val="Hyperlink"/>
            <w:sz w:val="18"/>
            <w:szCs w:val="18"/>
            <w:lang w:val="en-GB"/>
          </w:rPr>
          <w:t>https://ehp.niehs.nih.gov/doi/full/10.1289/EHP3904</w:t>
        </w:r>
      </w:hyperlink>
      <w:r w:rsidRPr="00A04E76">
        <w:rPr>
          <w:rStyle w:val="Hyperlink"/>
          <w:sz w:val="18"/>
          <w:szCs w:val="18"/>
          <w:lang w:val="en-GB"/>
        </w:rPr>
        <w:t>.</w:t>
      </w:r>
      <w:r w:rsidRPr="00A04E76">
        <w:rPr>
          <w:sz w:val="18"/>
          <w:szCs w:val="18"/>
        </w:rPr>
        <w:t xml:space="preserve"> </w:t>
      </w:r>
    </w:p>
  </w:footnote>
  <w:footnote w:id="9">
    <w:p w14:paraId="6D3B8E73" w14:textId="211AB2C6"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lang w:val="en-US"/>
        </w:rPr>
        <w:t xml:space="preserve"> </w:t>
      </w:r>
      <w:hyperlink r:id="rId5" w:history="1">
        <w:r w:rsidRPr="00A04E76">
          <w:rPr>
            <w:rStyle w:val="Hyperlink"/>
            <w:sz w:val="18"/>
            <w:szCs w:val="18"/>
            <w:lang w:val="en-US"/>
          </w:rPr>
          <w:t>https://www.ilo.org/ilc/ILCSessions/108/reports/provisional-records/WCMS_711288/lang--en/index.htm</w:t>
        </w:r>
      </w:hyperlink>
      <w:r w:rsidRPr="00A04E76">
        <w:rPr>
          <w:sz w:val="18"/>
          <w:szCs w:val="18"/>
          <w:lang w:val="en-US"/>
        </w:rPr>
        <w:t>.</w:t>
      </w:r>
    </w:p>
  </w:footnote>
  <w:footnote w:id="10">
    <w:p w14:paraId="22C0724C" w14:textId="5CA8BD1F"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lang w:val="en-US"/>
        </w:rPr>
        <w:t xml:space="preserve"> </w:t>
      </w:r>
      <w:hyperlink r:id="rId6" w:tgtFrame="_blank" w:history="1">
        <w:r w:rsidRPr="00A04E76">
          <w:rPr>
            <w:rStyle w:val="Hyperlink"/>
            <w:rFonts w:asciiTheme="majorBidi" w:hAnsiTheme="majorBidi" w:cstheme="majorBidi"/>
            <w:sz w:val="18"/>
            <w:szCs w:val="18"/>
            <w:lang w:val="en-GB"/>
          </w:rPr>
          <w:t>https://www.ilo.org/manila/eventsandmeetings/WCMS_645607/lang--</w:t>
        </w:r>
        <w:proofErr w:type="spellStart"/>
        <w:r w:rsidRPr="00A04E76">
          <w:rPr>
            <w:rStyle w:val="Hyperlink"/>
            <w:rFonts w:asciiTheme="majorBidi" w:hAnsiTheme="majorBidi" w:cstheme="majorBidi"/>
            <w:sz w:val="18"/>
            <w:szCs w:val="18"/>
            <w:lang w:val="en-GB"/>
          </w:rPr>
          <w:t>en</w:t>
        </w:r>
        <w:proofErr w:type="spellEnd"/>
        <w:r w:rsidRPr="00A04E76">
          <w:rPr>
            <w:rStyle w:val="Hyperlink"/>
            <w:rFonts w:asciiTheme="majorBidi" w:hAnsiTheme="majorBidi" w:cstheme="majorBidi"/>
            <w:sz w:val="18"/>
            <w:szCs w:val="18"/>
            <w:lang w:val="en-GB"/>
          </w:rPr>
          <w:t>/index.htm</w:t>
        </w:r>
      </w:hyperlink>
      <w:r w:rsidRPr="00A04E76">
        <w:rPr>
          <w:rStyle w:val="Hyperlink"/>
          <w:rFonts w:asciiTheme="majorBidi" w:hAnsiTheme="majorBidi" w:cstheme="majorBidi"/>
          <w:sz w:val="18"/>
          <w:szCs w:val="18"/>
          <w:lang w:val="en-GB"/>
        </w:rPr>
        <w:t>.</w:t>
      </w:r>
    </w:p>
  </w:footnote>
  <w:footnote w:id="11">
    <w:p w14:paraId="22C4D735" w14:textId="6DB10B93"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lang w:val="en-US"/>
        </w:rPr>
        <w:t xml:space="preserve"> </w:t>
      </w:r>
      <w:hyperlink r:id="rId7" w:history="1">
        <w:r w:rsidRPr="00A04E76">
          <w:rPr>
            <w:rStyle w:val="Hyperlink"/>
            <w:rFonts w:asciiTheme="majorBidi" w:hAnsiTheme="majorBidi" w:cstheme="majorBidi"/>
            <w:sz w:val="18"/>
            <w:szCs w:val="18"/>
            <w:lang w:val="en-GB"/>
          </w:rPr>
          <w:t>https://www.ilo.org/manila/eventsandmeetings/WCMS_701934/lang--</w:t>
        </w:r>
        <w:proofErr w:type="spellStart"/>
        <w:r w:rsidRPr="00A04E76">
          <w:rPr>
            <w:rStyle w:val="Hyperlink"/>
            <w:rFonts w:asciiTheme="majorBidi" w:hAnsiTheme="majorBidi" w:cstheme="majorBidi"/>
            <w:sz w:val="18"/>
            <w:szCs w:val="18"/>
            <w:lang w:val="en-GB"/>
          </w:rPr>
          <w:t>en</w:t>
        </w:r>
        <w:proofErr w:type="spellEnd"/>
        <w:r w:rsidRPr="00A04E76">
          <w:rPr>
            <w:rStyle w:val="Hyperlink"/>
            <w:rFonts w:asciiTheme="majorBidi" w:hAnsiTheme="majorBidi" w:cstheme="majorBidi"/>
            <w:sz w:val="18"/>
            <w:szCs w:val="18"/>
            <w:lang w:val="en-GB"/>
          </w:rPr>
          <w:t>/index.htm</w:t>
        </w:r>
      </w:hyperlink>
      <w:r w:rsidRPr="00A04E76">
        <w:rPr>
          <w:rStyle w:val="Hyperlink"/>
          <w:rFonts w:asciiTheme="majorBidi" w:hAnsiTheme="majorBidi" w:cstheme="majorBidi"/>
          <w:sz w:val="18"/>
          <w:szCs w:val="18"/>
          <w:lang w:val="en-GB"/>
        </w:rPr>
        <w:t>.</w:t>
      </w:r>
    </w:p>
  </w:footnote>
  <w:footnote w:id="12">
    <w:p w14:paraId="1F3E6355" w14:textId="506C2900"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lang w:val="en-US"/>
        </w:rPr>
        <w:t xml:space="preserve"> </w:t>
      </w:r>
      <w:hyperlink r:id="rId8" w:tgtFrame="_blank" w:history="1">
        <w:r w:rsidRPr="00A04E76">
          <w:rPr>
            <w:rStyle w:val="Hyperlink"/>
            <w:rFonts w:asciiTheme="majorBidi" w:hAnsiTheme="majorBidi" w:cstheme="majorBidi"/>
            <w:sz w:val="18"/>
            <w:szCs w:val="18"/>
            <w:lang w:val="en-GB"/>
          </w:rPr>
          <w:t>https://dpi.gov.gy/cdc-niosh-visiting-team-submits-findings-to-paho-who/</w:t>
        </w:r>
      </w:hyperlink>
      <w:r w:rsidRPr="00A04E76">
        <w:rPr>
          <w:rStyle w:val="Hyperlink"/>
          <w:rFonts w:asciiTheme="majorBidi" w:hAnsiTheme="majorBidi" w:cstheme="majorBidi"/>
          <w:sz w:val="18"/>
          <w:szCs w:val="18"/>
          <w:lang w:val="en-GB"/>
        </w:rPr>
        <w:t>.</w:t>
      </w:r>
    </w:p>
  </w:footnote>
  <w:footnote w:id="13">
    <w:p w14:paraId="70482BBD" w14:textId="04FF5C4E"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lang w:val="en-US"/>
        </w:rPr>
        <w:t xml:space="preserve"> </w:t>
      </w:r>
      <w:hyperlink r:id="rId9" w:tgtFrame="_blank" w:tooltip="Ctrl+Click or tap to follow the link" w:history="1">
        <w:r w:rsidRPr="00A04E76">
          <w:rPr>
            <w:rStyle w:val="Hyperlink"/>
            <w:rFonts w:asciiTheme="majorBidi" w:hAnsiTheme="majorBidi" w:cstheme="majorBidi"/>
            <w:sz w:val="18"/>
            <w:szCs w:val="18"/>
            <w:lang w:val="en-GB"/>
          </w:rPr>
          <w:t>https://www.thegef.org/project/artisanal-and-small-scale-gold-mining-asgm-national-action-plan-nap-suriname</w:t>
        </w:r>
      </w:hyperlink>
      <w:r w:rsidRPr="00A04E76">
        <w:rPr>
          <w:rStyle w:val="Hyperlink"/>
          <w:rFonts w:asciiTheme="majorBidi" w:hAnsiTheme="majorBidi" w:cstheme="majorBidi"/>
          <w:sz w:val="18"/>
          <w:szCs w:val="18"/>
          <w:lang w:val="en-GB"/>
        </w:rPr>
        <w:t>.</w:t>
      </w:r>
    </w:p>
  </w:footnote>
  <w:footnote w:id="14">
    <w:p w14:paraId="06472836" w14:textId="7D227B7D"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CA"/>
        </w:rPr>
      </w:pPr>
      <w:r w:rsidRPr="00A04E76">
        <w:rPr>
          <w:rStyle w:val="FootnoteReference"/>
          <w:sz w:val="18"/>
        </w:rPr>
        <w:footnoteRef/>
      </w:r>
      <w:r w:rsidRPr="00A04E76">
        <w:rPr>
          <w:sz w:val="18"/>
          <w:szCs w:val="18"/>
          <w:lang w:val="en-US"/>
        </w:rPr>
        <w:t xml:space="preserve"> </w:t>
      </w:r>
      <w:hyperlink r:id="rId10" w:history="1">
        <w:r w:rsidRPr="00A04E76">
          <w:rPr>
            <w:rStyle w:val="Hyperlink"/>
            <w:rFonts w:asciiTheme="majorBidi" w:hAnsiTheme="majorBidi" w:cstheme="majorBidi"/>
            <w:sz w:val="18"/>
            <w:szCs w:val="18"/>
            <w:lang w:val="en-GB"/>
          </w:rPr>
          <w:t>https://www.ilo.org/wcmsp5/groups/public/---</w:t>
        </w:r>
        <w:proofErr w:type="spellStart"/>
        <w:r w:rsidRPr="00A04E76">
          <w:rPr>
            <w:rStyle w:val="Hyperlink"/>
            <w:rFonts w:asciiTheme="majorBidi" w:hAnsiTheme="majorBidi" w:cstheme="majorBidi"/>
            <w:sz w:val="18"/>
            <w:szCs w:val="18"/>
            <w:lang w:val="en-GB"/>
          </w:rPr>
          <w:t>ed_dialogue</w:t>
        </w:r>
        <w:proofErr w:type="spellEnd"/>
        <w:r w:rsidRPr="00A04E76">
          <w:rPr>
            <w:rStyle w:val="Hyperlink"/>
            <w:rFonts w:asciiTheme="majorBidi" w:hAnsiTheme="majorBidi" w:cstheme="majorBidi"/>
            <w:sz w:val="18"/>
            <w:szCs w:val="18"/>
            <w:lang w:val="en-GB"/>
          </w:rPr>
          <w:t>/---sector/documents/publication/wcms_673662.pdf</w:t>
        </w:r>
      </w:hyperlink>
      <w:r w:rsidRPr="00A04E76">
        <w:rPr>
          <w:rStyle w:val="Hyperlink"/>
          <w:rFonts w:asciiTheme="majorBidi" w:hAnsiTheme="majorBidi" w:cstheme="majorBidi"/>
          <w:sz w:val="18"/>
          <w:szCs w:val="18"/>
          <w:lang w:val="en-GB"/>
        </w:rPr>
        <w:t>.</w:t>
      </w:r>
    </w:p>
  </w:footnote>
  <w:footnote w:id="15">
    <w:p w14:paraId="5791C59B" w14:textId="6090569E"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CA"/>
        </w:rPr>
      </w:pPr>
      <w:r w:rsidRPr="00A04E76">
        <w:rPr>
          <w:rStyle w:val="FootnoteReference"/>
          <w:sz w:val="18"/>
        </w:rPr>
        <w:footnoteRef/>
      </w:r>
      <w:r w:rsidRPr="00A04E76">
        <w:rPr>
          <w:sz w:val="18"/>
          <w:szCs w:val="18"/>
          <w:lang w:val="en-CA"/>
        </w:rPr>
        <w:t xml:space="preserve"> </w:t>
      </w:r>
      <w:hyperlink r:id="rId11" w:history="1">
        <w:r w:rsidRPr="00A04E76">
          <w:rPr>
            <w:rStyle w:val="Hyperlink"/>
            <w:rFonts w:asciiTheme="majorBidi" w:hAnsiTheme="majorBidi" w:cstheme="majorBidi"/>
            <w:sz w:val="18"/>
            <w:szCs w:val="18"/>
            <w:lang w:val="en-GB"/>
          </w:rPr>
          <w:t>https://www.ilo.org/sector/Resources/recommendations-conclusions-of-sectoral-meetings/WCMS_685681/lang--en/index.htm</w:t>
        </w:r>
      </w:hyperlink>
      <w:r w:rsidRPr="00A04E76">
        <w:rPr>
          <w:rFonts w:asciiTheme="majorBidi" w:hAnsiTheme="majorBidi" w:cstheme="majorBidi"/>
          <w:sz w:val="18"/>
          <w:szCs w:val="18"/>
        </w:rPr>
        <w:t>.</w:t>
      </w:r>
    </w:p>
  </w:footnote>
  <w:footnote w:id="16">
    <w:p w14:paraId="6BF4973B" w14:textId="04A21388"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lang w:val="en-US"/>
        </w:rPr>
        <w:t xml:space="preserve"> </w:t>
      </w:r>
      <w:hyperlink r:id="rId12" w:history="1">
        <w:r w:rsidRPr="00A04E76">
          <w:rPr>
            <w:rStyle w:val="Hyperlink"/>
            <w:sz w:val="18"/>
            <w:szCs w:val="18"/>
            <w:lang w:val="en-US"/>
          </w:rPr>
          <w:t>https://www.ilo.org/sector/Resources/publications/WCMS_485367/lang--en/index.htm</w:t>
        </w:r>
      </w:hyperlink>
      <w:r w:rsidRPr="00A04E76">
        <w:rPr>
          <w:sz w:val="18"/>
          <w:szCs w:val="18"/>
          <w:lang w:val="en-US"/>
        </w:rPr>
        <w:t xml:space="preserve">. </w:t>
      </w:r>
    </w:p>
  </w:footnote>
  <w:footnote w:id="17">
    <w:p w14:paraId="206FFFC2" w14:textId="606DBD90" w:rsidR="005F7320" w:rsidRPr="00A04E76" w:rsidRDefault="005F7320" w:rsidP="003D56F3">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A04E76">
        <w:rPr>
          <w:rStyle w:val="FootnoteReference"/>
          <w:sz w:val="18"/>
        </w:rPr>
        <w:footnoteRef/>
      </w:r>
      <w:r w:rsidRPr="00A04E76">
        <w:rPr>
          <w:sz w:val="18"/>
          <w:szCs w:val="18"/>
          <w:lang w:val="en-US"/>
        </w:rPr>
        <w:t xml:space="preserve"> </w:t>
      </w:r>
      <w:hyperlink r:id="rId13" w:history="1">
        <w:r w:rsidRPr="00A04E76">
          <w:rPr>
            <w:rStyle w:val="Hyperlink"/>
            <w:rFonts w:asciiTheme="majorBidi" w:hAnsiTheme="majorBidi" w:cstheme="majorBidi"/>
            <w:sz w:val="18"/>
            <w:szCs w:val="18"/>
            <w:lang w:val="en-GB"/>
          </w:rPr>
          <w:t>https://www.ilo.org/wcmsp5/groups/public/---</w:t>
        </w:r>
        <w:proofErr w:type="spellStart"/>
        <w:r w:rsidRPr="00A04E76">
          <w:rPr>
            <w:rStyle w:val="Hyperlink"/>
            <w:rFonts w:asciiTheme="majorBidi" w:hAnsiTheme="majorBidi" w:cstheme="majorBidi"/>
            <w:sz w:val="18"/>
            <w:szCs w:val="18"/>
            <w:lang w:val="en-GB"/>
          </w:rPr>
          <w:t>ed_dialogue</w:t>
        </w:r>
        <w:proofErr w:type="spellEnd"/>
        <w:r w:rsidRPr="00A04E76">
          <w:rPr>
            <w:rStyle w:val="Hyperlink"/>
            <w:rFonts w:asciiTheme="majorBidi" w:hAnsiTheme="majorBidi" w:cstheme="majorBidi"/>
            <w:sz w:val="18"/>
            <w:szCs w:val="18"/>
            <w:lang w:val="en-GB"/>
          </w:rPr>
          <w:t>/---sector/documents/</w:t>
        </w:r>
        <w:proofErr w:type="spellStart"/>
        <w:r w:rsidRPr="00A04E76">
          <w:rPr>
            <w:rStyle w:val="Hyperlink"/>
            <w:rFonts w:asciiTheme="majorBidi" w:hAnsiTheme="majorBidi" w:cstheme="majorBidi"/>
            <w:sz w:val="18"/>
            <w:szCs w:val="18"/>
            <w:lang w:val="en-GB"/>
          </w:rPr>
          <w:t>normativeinstrument</w:t>
        </w:r>
        <w:proofErr w:type="spellEnd"/>
        <w:r w:rsidRPr="00A04E76">
          <w:rPr>
            <w:rStyle w:val="Hyperlink"/>
            <w:rFonts w:asciiTheme="majorBidi" w:hAnsiTheme="majorBidi" w:cstheme="majorBidi"/>
            <w:sz w:val="18"/>
            <w:szCs w:val="18"/>
            <w:lang w:val="en-GB"/>
          </w:rPr>
          <w:t>/wcms_617123.pdf</w:t>
        </w:r>
      </w:hyperlink>
      <w:r w:rsidRPr="00A04E76">
        <w:rPr>
          <w:rStyle w:val="Hyperlink"/>
          <w:rFonts w:asciiTheme="majorBidi" w:hAnsiTheme="majorBidi" w:cstheme="majorBidi"/>
          <w:sz w:val="18"/>
          <w:szCs w:val="18"/>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625D29B" w:rsidR="005F7320" w:rsidRPr="00CA5CA9" w:rsidRDefault="005F7320"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640D657D" w:rsidR="005F7320" w:rsidRPr="00CA5CA9" w:rsidRDefault="005F7320"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6079A" w14:textId="79AB27E1" w:rsidR="005F7320" w:rsidRDefault="005F7320" w:rsidP="00A03C49">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CD68C" w14:textId="445D759D" w:rsidR="007C7892" w:rsidRPr="007C7892" w:rsidRDefault="007C7892" w:rsidP="007C7892">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1E215" w14:textId="4D2BFCC9" w:rsidR="007C7892" w:rsidRPr="007C7892" w:rsidRDefault="007C7892" w:rsidP="007C7892">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7BC"/>
    <w:multiLevelType w:val="hybridMultilevel"/>
    <w:tmpl w:val="1246743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B3F61"/>
    <w:multiLevelType w:val="multilevel"/>
    <w:tmpl w:val="0A0A5C7A"/>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3C63FC"/>
    <w:multiLevelType w:val="hybridMultilevel"/>
    <w:tmpl w:val="F44244A8"/>
    <w:lvl w:ilvl="0" w:tplc="4ACE19E0">
      <w:start w:val="1"/>
      <w:numFmt w:val="decimal"/>
      <w:lvlText w:val="%1."/>
      <w:lvlJc w:val="left"/>
      <w:pPr>
        <w:ind w:left="720" w:hanging="360"/>
      </w:pPr>
      <w:rPr>
        <w:rFonts w:ascii="Times New Roman" w:hAnsi="Times New Roman" w:cs="Times New Roman" w:hint="default"/>
        <w:color w:val="2121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2833232"/>
    <w:multiLevelType w:val="hybridMultilevel"/>
    <w:tmpl w:val="86001FA4"/>
    <w:lvl w:ilvl="0" w:tplc="1F2A0862">
      <w:start w:val="1"/>
      <w:numFmt w:val="decimal"/>
      <w:lvlText w:val="%1."/>
      <w:lvlJc w:val="left"/>
      <w:pPr>
        <w:ind w:left="720" w:hanging="360"/>
      </w:pPr>
      <w:rPr>
        <w:rFonts w:ascii="Times New Roman" w:hAnsi="Times New Roman" w:cs="Times New Roman" w:hint="default"/>
        <w:color w:val="2121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337803"/>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3E3B3164"/>
    <w:multiLevelType w:val="hybridMultilevel"/>
    <w:tmpl w:val="2188B864"/>
    <w:lvl w:ilvl="0" w:tplc="5400E714">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A66A9D"/>
    <w:multiLevelType w:val="multilevel"/>
    <w:tmpl w:val="BD7CC7A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42E0512"/>
    <w:multiLevelType w:val="hybridMultilevel"/>
    <w:tmpl w:val="103078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C4210B"/>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3"/>
  </w:num>
  <w:num w:numId="3">
    <w:abstractNumId w:val="7"/>
  </w:num>
  <w:num w:numId="4">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5">
    <w:abstractNumId w:val="6"/>
  </w:num>
  <w:num w:numId="6">
    <w:abstractNumId w:val="6"/>
    <w:lvlOverride w:ilvl="0">
      <w:startOverride w:val="1"/>
    </w:lvlOverride>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2"/>
  </w:num>
  <w:num w:numId="12">
    <w:abstractNumId w:val="8"/>
  </w:num>
  <w:num w:numId="13">
    <w:abstractNumId w:val="0"/>
  </w:num>
  <w:num w:numId="14">
    <w:abstractNumId w:val="11"/>
  </w:num>
  <w:num w:numId="1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6">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7">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8">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19">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0">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1">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2">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3">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7">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8">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39">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0">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1">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2">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3">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4">
    <w:abstractNumId w:val="5"/>
  </w:num>
  <w:num w:numId="45">
    <w:abstractNumId w:val="9"/>
    <w:lvlOverride w:ilvl="0">
      <w:lvl w:ilvl="0">
        <w:start w:val="1"/>
        <w:numFmt w:val="decimal"/>
        <w:pStyle w:val="Normalnumber"/>
        <w:lvlText w:val="%1."/>
        <w:lvlJc w:val="left"/>
        <w:pPr>
          <w:tabs>
            <w:tab w:val="num" w:pos="1134"/>
          </w:tabs>
          <w:ind w:left="1247" w:firstLine="0"/>
        </w:pPr>
        <w:rPr>
          <w:rFonts w:hint="default"/>
          <w:b w:val="0"/>
        </w:rPr>
      </w:lvl>
    </w:lvlOverride>
  </w:num>
  <w:num w:numId="4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615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312C"/>
    <w:rsid w:val="000144FC"/>
    <w:rsid w:val="000149E6"/>
    <w:rsid w:val="00023DA9"/>
    <w:rsid w:val="000247B0"/>
    <w:rsid w:val="00026997"/>
    <w:rsid w:val="00026A08"/>
    <w:rsid w:val="00030700"/>
    <w:rsid w:val="00032E4E"/>
    <w:rsid w:val="00033E0B"/>
    <w:rsid w:val="00035ED3"/>
    <w:rsid w:val="00035EDE"/>
    <w:rsid w:val="000418A7"/>
    <w:rsid w:val="00042F8F"/>
    <w:rsid w:val="000509B4"/>
    <w:rsid w:val="0006035B"/>
    <w:rsid w:val="0006096F"/>
    <w:rsid w:val="00064883"/>
    <w:rsid w:val="000649C5"/>
    <w:rsid w:val="000661AB"/>
    <w:rsid w:val="000670DF"/>
    <w:rsid w:val="00070E16"/>
    <w:rsid w:val="00071886"/>
    <w:rsid w:val="000742BC"/>
    <w:rsid w:val="00076CC6"/>
    <w:rsid w:val="00082A0C"/>
    <w:rsid w:val="00083504"/>
    <w:rsid w:val="00085655"/>
    <w:rsid w:val="00086D4F"/>
    <w:rsid w:val="00087174"/>
    <w:rsid w:val="0009640C"/>
    <w:rsid w:val="000A1277"/>
    <w:rsid w:val="000A41B0"/>
    <w:rsid w:val="000B22A2"/>
    <w:rsid w:val="000B541B"/>
    <w:rsid w:val="000B6A26"/>
    <w:rsid w:val="000B73F9"/>
    <w:rsid w:val="000C1B17"/>
    <w:rsid w:val="000C2A52"/>
    <w:rsid w:val="000C2A88"/>
    <w:rsid w:val="000C341A"/>
    <w:rsid w:val="000C5E52"/>
    <w:rsid w:val="000D028A"/>
    <w:rsid w:val="000D283C"/>
    <w:rsid w:val="000D33C0"/>
    <w:rsid w:val="000D4CF6"/>
    <w:rsid w:val="000D5560"/>
    <w:rsid w:val="000D6941"/>
    <w:rsid w:val="000F38EF"/>
    <w:rsid w:val="000F3DCD"/>
    <w:rsid w:val="000F4829"/>
    <w:rsid w:val="000F51C1"/>
    <w:rsid w:val="000F681D"/>
    <w:rsid w:val="000F6B21"/>
    <w:rsid w:val="00102EFB"/>
    <w:rsid w:val="00111257"/>
    <w:rsid w:val="00112076"/>
    <w:rsid w:val="00115D42"/>
    <w:rsid w:val="00117711"/>
    <w:rsid w:val="001202E3"/>
    <w:rsid w:val="001227FF"/>
    <w:rsid w:val="00123699"/>
    <w:rsid w:val="001241FB"/>
    <w:rsid w:val="00125BEE"/>
    <w:rsid w:val="0013059D"/>
    <w:rsid w:val="001314BD"/>
    <w:rsid w:val="001343EE"/>
    <w:rsid w:val="00136187"/>
    <w:rsid w:val="00141A55"/>
    <w:rsid w:val="0014293F"/>
    <w:rsid w:val="001432D5"/>
    <w:rsid w:val="0014397D"/>
    <w:rsid w:val="001446A3"/>
    <w:rsid w:val="00152B6B"/>
    <w:rsid w:val="00153999"/>
    <w:rsid w:val="0015530B"/>
    <w:rsid w:val="00155395"/>
    <w:rsid w:val="00155A2F"/>
    <w:rsid w:val="00156B6B"/>
    <w:rsid w:val="00160D74"/>
    <w:rsid w:val="001646EA"/>
    <w:rsid w:val="00167967"/>
    <w:rsid w:val="00167D02"/>
    <w:rsid w:val="001759D8"/>
    <w:rsid w:val="00177D7F"/>
    <w:rsid w:val="00180C3F"/>
    <w:rsid w:val="00181EC8"/>
    <w:rsid w:val="00184349"/>
    <w:rsid w:val="00195F33"/>
    <w:rsid w:val="001A47E5"/>
    <w:rsid w:val="001A6C66"/>
    <w:rsid w:val="001B1617"/>
    <w:rsid w:val="001B504B"/>
    <w:rsid w:val="001B6F98"/>
    <w:rsid w:val="001C191A"/>
    <w:rsid w:val="001C2300"/>
    <w:rsid w:val="001C2793"/>
    <w:rsid w:val="001D19E1"/>
    <w:rsid w:val="001D3874"/>
    <w:rsid w:val="001D7E75"/>
    <w:rsid w:val="001E0D73"/>
    <w:rsid w:val="001E45BD"/>
    <w:rsid w:val="001E48F2"/>
    <w:rsid w:val="001E5528"/>
    <w:rsid w:val="001E56D2"/>
    <w:rsid w:val="001E7D56"/>
    <w:rsid w:val="001F1A56"/>
    <w:rsid w:val="001F5186"/>
    <w:rsid w:val="001F566E"/>
    <w:rsid w:val="001F683A"/>
    <w:rsid w:val="001F75DE"/>
    <w:rsid w:val="00200D58"/>
    <w:rsid w:val="002011C1"/>
    <w:rsid w:val="002013BE"/>
    <w:rsid w:val="00201EDC"/>
    <w:rsid w:val="00204C2E"/>
    <w:rsid w:val="0020513E"/>
    <w:rsid w:val="002063A4"/>
    <w:rsid w:val="00206B8B"/>
    <w:rsid w:val="002110C2"/>
    <w:rsid w:val="0021145B"/>
    <w:rsid w:val="00216C1A"/>
    <w:rsid w:val="00220C23"/>
    <w:rsid w:val="00221C65"/>
    <w:rsid w:val="002247F6"/>
    <w:rsid w:val="00224D76"/>
    <w:rsid w:val="00225E21"/>
    <w:rsid w:val="00225E44"/>
    <w:rsid w:val="00225FD2"/>
    <w:rsid w:val="00226D32"/>
    <w:rsid w:val="00234E78"/>
    <w:rsid w:val="002408FB"/>
    <w:rsid w:val="00243D36"/>
    <w:rsid w:val="002460D7"/>
    <w:rsid w:val="00246151"/>
    <w:rsid w:val="00246B29"/>
    <w:rsid w:val="002474F0"/>
    <w:rsid w:val="00247707"/>
    <w:rsid w:val="00252456"/>
    <w:rsid w:val="00257C6E"/>
    <w:rsid w:val="0026018E"/>
    <w:rsid w:val="0026176C"/>
    <w:rsid w:val="00270424"/>
    <w:rsid w:val="00273588"/>
    <w:rsid w:val="00274F11"/>
    <w:rsid w:val="00281B75"/>
    <w:rsid w:val="00286740"/>
    <w:rsid w:val="00291719"/>
    <w:rsid w:val="00291EAE"/>
    <w:rsid w:val="002929D8"/>
    <w:rsid w:val="00293562"/>
    <w:rsid w:val="002A237D"/>
    <w:rsid w:val="002A4C53"/>
    <w:rsid w:val="002B0672"/>
    <w:rsid w:val="002B0677"/>
    <w:rsid w:val="002B1758"/>
    <w:rsid w:val="002B247F"/>
    <w:rsid w:val="002B50D4"/>
    <w:rsid w:val="002B58BF"/>
    <w:rsid w:val="002B5C5E"/>
    <w:rsid w:val="002B71AE"/>
    <w:rsid w:val="002C145D"/>
    <w:rsid w:val="002C2C3E"/>
    <w:rsid w:val="002C452B"/>
    <w:rsid w:val="002C533E"/>
    <w:rsid w:val="002C54E3"/>
    <w:rsid w:val="002D027F"/>
    <w:rsid w:val="002D2F08"/>
    <w:rsid w:val="002D3E15"/>
    <w:rsid w:val="002D7A85"/>
    <w:rsid w:val="002D7B60"/>
    <w:rsid w:val="002F4761"/>
    <w:rsid w:val="002F5171"/>
    <w:rsid w:val="002F5C79"/>
    <w:rsid w:val="002F68EE"/>
    <w:rsid w:val="003019E2"/>
    <w:rsid w:val="00301B74"/>
    <w:rsid w:val="00310BEB"/>
    <w:rsid w:val="0031413F"/>
    <w:rsid w:val="00314854"/>
    <w:rsid w:val="003148BB"/>
    <w:rsid w:val="00316D55"/>
    <w:rsid w:val="00317976"/>
    <w:rsid w:val="00320F2F"/>
    <w:rsid w:val="0032457E"/>
    <w:rsid w:val="00325D38"/>
    <w:rsid w:val="00331CD6"/>
    <w:rsid w:val="00336A10"/>
    <w:rsid w:val="00342F0A"/>
    <w:rsid w:val="00347CBE"/>
    <w:rsid w:val="00350EF3"/>
    <w:rsid w:val="0035277E"/>
    <w:rsid w:val="00355EA9"/>
    <w:rsid w:val="003578DE"/>
    <w:rsid w:val="00361688"/>
    <w:rsid w:val="0036598C"/>
    <w:rsid w:val="00367FD2"/>
    <w:rsid w:val="00372A88"/>
    <w:rsid w:val="00376C00"/>
    <w:rsid w:val="00380921"/>
    <w:rsid w:val="003833A7"/>
    <w:rsid w:val="0038402D"/>
    <w:rsid w:val="00386B16"/>
    <w:rsid w:val="003877D5"/>
    <w:rsid w:val="003929B8"/>
    <w:rsid w:val="00393432"/>
    <w:rsid w:val="00396257"/>
    <w:rsid w:val="00397EB8"/>
    <w:rsid w:val="003A0ACF"/>
    <w:rsid w:val="003A4FD0"/>
    <w:rsid w:val="003A69D1"/>
    <w:rsid w:val="003A6E86"/>
    <w:rsid w:val="003A7705"/>
    <w:rsid w:val="003A77F1"/>
    <w:rsid w:val="003B1545"/>
    <w:rsid w:val="003B17CE"/>
    <w:rsid w:val="003C3219"/>
    <w:rsid w:val="003C409D"/>
    <w:rsid w:val="003C4544"/>
    <w:rsid w:val="003C5583"/>
    <w:rsid w:val="003C5BA6"/>
    <w:rsid w:val="003C629B"/>
    <w:rsid w:val="003C74CF"/>
    <w:rsid w:val="003D3752"/>
    <w:rsid w:val="003D56F3"/>
    <w:rsid w:val="003E1DD8"/>
    <w:rsid w:val="003E20F5"/>
    <w:rsid w:val="003E35DA"/>
    <w:rsid w:val="003E455D"/>
    <w:rsid w:val="003F0E85"/>
    <w:rsid w:val="003F60E5"/>
    <w:rsid w:val="00400D8A"/>
    <w:rsid w:val="00410C55"/>
    <w:rsid w:val="0041504F"/>
    <w:rsid w:val="004156A7"/>
    <w:rsid w:val="00416854"/>
    <w:rsid w:val="00417725"/>
    <w:rsid w:val="0042266F"/>
    <w:rsid w:val="0042357E"/>
    <w:rsid w:val="00424C56"/>
    <w:rsid w:val="00434321"/>
    <w:rsid w:val="00437F26"/>
    <w:rsid w:val="004423CD"/>
    <w:rsid w:val="00444097"/>
    <w:rsid w:val="00445487"/>
    <w:rsid w:val="00447E0D"/>
    <w:rsid w:val="0045119F"/>
    <w:rsid w:val="00452D6F"/>
    <w:rsid w:val="00453EA8"/>
    <w:rsid w:val="00454238"/>
    <w:rsid w:val="00454769"/>
    <w:rsid w:val="00461289"/>
    <w:rsid w:val="00464DF6"/>
    <w:rsid w:val="00466991"/>
    <w:rsid w:val="0047064C"/>
    <w:rsid w:val="00473375"/>
    <w:rsid w:val="00474B53"/>
    <w:rsid w:val="00480343"/>
    <w:rsid w:val="004822B7"/>
    <w:rsid w:val="004829B9"/>
    <w:rsid w:val="00483C99"/>
    <w:rsid w:val="0048449A"/>
    <w:rsid w:val="004846B6"/>
    <w:rsid w:val="0049469E"/>
    <w:rsid w:val="004A2217"/>
    <w:rsid w:val="004A22BF"/>
    <w:rsid w:val="004A24F9"/>
    <w:rsid w:val="004A324D"/>
    <w:rsid w:val="004A42E1"/>
    <w:rsid w:val="004A5ADB"/>
    <w:rsid w:val="004B162C"/>
    <w:rsid w:val="004B2ABE"/>
    <w:rsid w:val="004C17CF"/>
    <w:rsid w:val="004C3DBE"/>
    <w:rsid w:val="004C5C96"/>
    <w:rsid w:val="004D06A4"/>
    <w:rsid w:val="004D38EC"/>
    <w:rsid w:val="004D6371"/>
    <w:rsid w:val="004E1396"/>
    <w:rsid w:val="004E3110"/>
    <w:rsid w:val="004E6FB6"/>
    <w:rsid w:val="004F1A81"/>
    <w:rsid w:val="004F5D88"/>
    <w:rsid w:val="00501354"/>
    <w:rsid w:val="00501D14"/>
    <w:rsid w:val="005050D2"/>
    <w:rsid w:val="0051281A"/>
    <w:rsid w:val="005218D9"/>
    <w:rsid w:val="00531003"/>
    <w:rsid w:val="00536186"/>
    <w:rsid w:val="005362E8"/>
    <w:rsid w:val="005424BE"/>
    <w:rsid w:val="00544CBB"/>
    <w:rsid w:val="00551B65"/>
    <w:rsid w:val="00556704"/>
    <w:rsid w:val="00557403"/>
    <w:rsid w:val="005656D7"/>
    <w:rsid w:val="00566052"/>
    <w:rsid w:val="00571F06"/>
    <w:rsid w:val="0057315F"/>
    <w:rsid w:val="0057380A"/>
    <w:rsid w:val="00576104"/>
    <w:rsid w:val="00586418"/>
    <w:rsid w:val="00591A7A"/>
    <w:rsid w:val="00592B21"/>
    <w:rsid w:val="005A240A"/>
    <w:rsid w:val="005B2DF4"/>
    <w:rsid w:val="005B44BF"/>
    <w:rsid w:val="005B4A21"/>
    <w:rsid w:val="005B4DC6"/>
    <w:rsid w:val="005C67C8"/>
    <w:rsid w:val="005D0249"/>
    <w:rsid w:val="005D18FA"/>
    <w:rsid w:val="005D3010"/>
    <w:rsid w:val="005D4FD4"/>
    <w:rsid w:val="005D6E8C"/>
    <w:rsid w:val="005E3004"/>
    <w:rsid w:val="005F100C"/>
    <w:rsid w:val="005F21BF"/>
    <w:rsid w:val="005F2AF3"/>
    <w:rsid w:val="005F68DA"/>
    <w:rsid w:val="005F7320"/>
    <w:rsid w:val="005F7419"/>
    <w:rsid w:val="006006C2"/>
    <w:rsid w:val="00601BC9"/>
    <w:rsid w:val="0060773B"/>
    <w:rsid w:val="006111FE"/>
    <w:rsid w:val="00611C95"/>
    <w:rsid w:val="00613BD4"/>
    <w:rsid w:val="00613FD6"/>
    <w:rsid w:val="006157B5"/>
    <w:rsid w:val="006166FA"/>
    <w:rsid w:val="00617224"/>
    <w:rsid w:val="00621E0B"/>
    <w:rsid w:val="00626FC6"/>
    <w:rsid w:val="006303B4"/>
    <w:rsid w:val="00630ADC"/>
    <w:rsid w:val="00633D3D"/>
    <w:rsid w:val="00635C98"/>
    <w:rsid w:val="00641703"/>
    <w:rsid w:val="006431A6"/>
    <w:rsid w:val="00643E3A"/>
    <w:rsid w:val="006459F6"/>
    <w:rsid w:val="006501AD"/>
    <w:rsid w:val="006503B7"/>
    <w:rsid w:val="00651BFA"/>
    <w:rsid w:val="00654475"/>
    <w:rsid w:val="0065534D"/>
    <w:rsid w:val="00656DF0"/>
    <w:rsid w:val="006619DF"/>
    <w:rsid w:val="0066214E"/>
    <w:rsid w:val="00665A4B"/>
    <w:rsid w:val="00670FAE"/>
    <w:rsid w:val="00673CE5"/>
    <w:rsid w:val="00677B01"/>
    <w:rsid w:val="006831A9"/>
    <w:rsid w:val="006855FC"/>
    <w:rsid w:val="00686887"/>
    <w:rsid w:val="00690C5E"/>
    <w:rsid w:val="00692E2A"/>
    <w:rsid w:val="0069301C"/>
    <w:rsid w:val="0069496A"/>
    <w:rsid w:val="00696C1C"/>
    <w:rsid w:val="006A1A8B"/>
    <w:rsid w:val="006A30A5"/>
    <w:rsid w:val="006A69F1"/>
    <w:rsid w:val="006A76F2"/>
    <w:rsid w:val="006B7D29"/>
    <w:rsid w:val="006C08E4"/>
    <w:rsid w:val="006D19D4"/>
    <w:rsid w:val="006D5644"/>
    <w:rsid w:val="006D7EFB"/>
    <w:rsid w:val="006E6672"/>
    <w:rsid w:val="006E6722"/>
    <w:rsid w:val="006F7AFF"/>
    <w:rsid w:val="007027B9"/>
    <w:rsid w:val="007066B5"/>
    <w:rsid w:val="00711E75"/>
    <w:rsid w:val="007145DA"/>
    <w:rsid w:val="00715E88"/>
    <w:rsid w:val="00716698"/>
    <w:rsid w:val="00716D8B"/>
    <w:rsid w:val="00725623"/>
    <w:rsid w:val="00725A1D"/>
    <w:rsid w:val="00734CAA"/>
    <w:rsid w:val="00735E98"/>
    <w:rsid w:val="00736410"/>
    <w:rsid w:val="00740EE2"/>
    <w:rsid w:val="007419C5"/>
    <w:rsid w:val="00742680"/>
    <w:rsid w:val="00752ADE"/>
    <w:rsid w:val="0075533C"/>
    <w:rsid w:val="00755A18"/>
    <w:rsid w:val="00757581"/>
    <w:rsid w:val="007602F5"/>
    <w:rsid w:val="00760D36"/>
    <w:rsid w:val="007611A0"/>
    <w:rsid w:val="00765856"/>
    <w:rsid w:val="00772574"/>
    <w:rsid w:val="00773959"/>
    <w:rsid w:val="00773E54"/>
    <w:rsid w:val="00784941"/>
    <w:rsid w:val="00785924"/>
    <w:rsid w:val="00785C70"/>
    <w:rsid w:val="00787688"/>
    <w:rsid w:val="00792E99"/>
    <w:rsid w:val="007935E6"/>
    <w:rsid w:val="00796D3F"/>
    <w:rsid w:val="00796FAE"/>
    <w:rsid w:val="007A1683"/>
    <w:rsid w:val="007A1997"/>
    <w:rsid w:val="007A1AB5"/>
    <w:rsid w:val="007A5C12"/>
    <w:rsid w:val="007A7CB0"/>
    <w:rsid w:val="007B3354"/>
    <w:rsid w:val="007B68A3"/>
    <w:rsid w:val="007B7E49"/>
    <w:rsid w:val="007C2541"/>
    <w:rsid w:val="007C4DBF"/>
    <w:rsid w:val="007C7892"/>
    <w:rsid w:val="007C7D86"/>
    <w:rsid w:val="007D0F4B"/>
    <w:rsid w:val="007D66A8"/>
    <w:rsid w:val="007E003F"/>
    <w:rsid w:val="007E0ED1"/>
    <w:rsid w:val="007E5CA1"/>
    <w:rsid w:val="007F0CF8"/>
    <w:rsid w:val="007F1798"/>
    <w:rsid w:val="007F3C02"/>
    <w:rsid w:val="007F5E1B"/>
    <w:rsid w:val="007F62CB"/>
    <w:rsid w:val="007F7722"/>
    <w:rsid w:val="0080081E"/>
    <w:rsid w:val="00810553"/>
    <w:rsid w:val="00813B7E"/>
    <w:rsid w:val="008142EC"/>
    <w:rsid w:val="00814972"/>
    <w:rsid w:val="008164F2"/>
    <w:rsid w:val="00821395"/>
    <w:rsid w:val="00826976"/>
    <w:rsid w:val="008302A2"/>
    <w:rsid w:val="00830E26"/>
    <w:rsid w:val="00834368"/>
    <w:rsid w:val="0083441A"/>
    <w:rsid w:val="008372C8"/>
    <w:rsid w:val="008400A7"/>
    <w:rsid w:val="00843576"/>
    <w:rsid w:val="00843B64"/>
    <w:rsid w:val="00844FDB"/>
    <w:rsid w:val="00845261"/>
    <w:rsid w:val="008472A7"/>
    <w:rsid w:val="00847832"/>
    <w:rsid w:val="008478FC"/>
    <w:rsid w:val="00851C51"/>
    <w:rsid w:val="008538F7"/>
    <w:rsid w:val="00860812"/>
    <w:rsid w:val="008629E7"/>
    <w:rsid w:val="0086307B"/>
    <w:rsid w:val="008664DD"/>
    <w:rsid w:val="00867BFF"/>
    <w:rsid w:val="00871542"/>
    <w:rsid w:val="00871637"/>
    <w:rsid w:val="00872BF6"/>
    <w:rsid w:val="00875CC0"/>
    <w:rsid w:val="00881940"/>
    <w:rsid w:val="00883086"/>
    <w:rsid w:val="0088480A"/>
    <w:rsid w:val="0088757A"/>
    <w:rsid w:val="008916B3"/>
    <w:rsid w:val="0089431B"/>
    <w:rsid w:val="00895668"/>
    <w:rsid w:val="008957DD"/>
    <w:rsid w:val="00897D98"/>
    <w:rsid w:val="00897E15"/>
    <w:rsid w:val="008A07E6"/>
    <w:rsid w:val="008A1BD7"/>
    <w:rsid w:val="008A40F4"/>
    <w:rsid w:val="008A6147"/>
    <w:rsid w:val="008A6DF2"/>
    <w:rsid w:val="008A7807"/>
    <w:rsid w:val="008B0A34"/>
    <w:rsid w:val="008B4CC9"/>
    <w:rsid w:val="008C0B15"/>
    <w:rsid w:val="008D14D1"/>
    <w:rsid w:val="008D75DC"/>
    <w:rsid w:val="008D75E4"/>
    <w:rsid w:val="008D7C99"/>
    <w:rsid w:val="008E0FCB"/>
    <w:rsid w:val="008E2454"/>
    <w:rsid w:val="008E3F9C"/>
    <w:rsid w:val="008F6DFE"/>
    <w:rsid w:val="00902971"/>
    <w:rsid w:val="00902B1D"/>
    <w:rsid w:val="0090529F"/>
    <w:rsid w:val="00910F72"/>
    <w:rsid w:val="00912E98"/>
    <w:rsid w:val="0091769F"/>
    <w:rsid w:val="0092178C"/>
    <w:rsid w:val="009226D3"/>
    <w:rsid w:val="00930B88"/>
    <w:rsid w:val="00935376"/>
    <w:rsid w:val="00940DCC"/>
    <w:rsid w:val="0094179A"/>
    <w:rsid w:val="0094459E"/>
    <w:rsid w:val="00944DBC"/>
    <w:rsid w:val="00950977"/>
    <w:rsid w:val="00951A7B"/>
    <w:rsid w:val="00955512"/>
    <w:rsid w:val="00956093"/>
    <w:rsid w:val="009564A6"/>
    <w:rsid w:val="00957EF8"/>
    <w:rsid w:val="0096264C"/>
    <w:rsid w:val="00966A53"/>
    <w:rsid w:val="00967621"/>
    <w:rsid w:val="00967E6A"/>
    <w:rsid w:val="009907B9"/>
    <w:rsid w:val="00990918"/>
    <w:rsid w:val="009938CF"/>
    <w:rsid w:val="00994A2A"/>
    <w:rsid w:val="009955D3"/>
    <w:rsid w:val="00995BE0"/>
    <w:rsid w:val="009978A1"/>
    <w:rsid w:val="009A3A83"/>
    <w:rsid w:val="009B10AF"/>
    <w:rsid w:val="009B43DD"/>
    <w:rsid w:val="009B4A0F"/>
    <w:rsid w:val="009C11D2"/>
    <w:rsid w:val="009C2953"/>
    <w:rsid w:val="009C6C70"/>
    <w:rsid w:val="009C7B0A"/>
    <w:rsid w:val="009D0B63"/>
    <w:rsid w:val="009D593C"/>
    <w:rsid w:val="009D5CB8"/>
    <w:rsid w:val="009E307E"/>
    <w:rsid w:val="009E3DA0"/>
    <w:rsid w:val="009F428F"/>
    <w:rsid w:val="00A03C49"/>
    <w:rsid w:val="00A04E76"/>
    <w:rsid w:val="00A06E39"/>
    <w:rsid w:val="00A07870"/>
    <w:rsid w:val="00A07C54"/>
    <w:rsid w:val="00A07F19"/>
    <w:rsid w:val="00A11E78"/>
    <w:rsid w:val="00A124BB"/>
    <w:rsid w:val="00A1348D"/>
    <w:rsid w:val="00A13C99"/>
    <w:rsid w:val="00A17FBF"/>
    <w:rsid w:val="00A232EE"/>
    <w:rsid w:val="00A25C0E"/>
    <w:rsid w:val="00A32809"/>
    <w:rsid w:val="00A4175F"/>
    <w:rsid w:val="00A44312"/>
    <w:rsid w:val="00A44411"/>
    <w:rsid w:val="00A469FA"/>
    <w:rsid w:val="00A47A6E"/>
    <w:rsid w:val="00A5331C"/>
    <w:rsid w:val="00A53662"/>
    <w:rsid w:val="00A55B01"/>
    <w:rsid w:val="00A56B5B"/>
    <w:rsid w:val="00A603FF"/>
    <w:rsid w:val="00A619B6"/>
    <w:rsid w:val="00A646A5"/>
    <w:rsid w:val="00A648CA"/>
    <w:rsid w:val="00A657DD"/>
    <w:rsid w:val="00A65E70"/>
    <w:rsid w:val="00A66313"/>
    <w:rsid w:val="00A666A6"/>
    <w:rsid w:val="00A675FD"/>
    <w:rsid w:val="00A72437"/>
    <w:rsid w:val="00A8048B"/>
    <w:rsid w:val="00A80611"/>
    <w:rsid w:val="00A853C8"/>
    <w:rsid w:val="00A9457C"/>
    <w:rsid w:val="00AA5BF4"/>
    <w:rsid w:val="00AB0B53"/>
    <w:rsid w:val="00AB5340"/>
    <w:rsid w:val="00AB7E2F"/>
    <w:rsid w:val="00AC0A89"/>
    <w:rsid w:val="00AC7C96"/>
    <w:rsid w:val="00AD3593"/>
    <w:rsid w:val="00AE0812"/>
    <w:rsid w:val="00AE10B0"/>
    <w:rsid w:val="00AE237D"/>
    <w:rsid w:val="00AE502A"/>
    <w:rsid w:val="00AE54CB"/>
    <w:rsid w:val="00AF0010"/>
    <w:rsid w:val="00AF1AA8"/>
    <w:rsid w:val="00AF2C1F"/>
    <w:rsid w:val="00AF7C07"/>
    <w:rsid w:val="00B06C64"/>
    <w:rsid w:val="00B07D8E"/>
    <w:rsid w:val="00B11CAC"/>
    <w:rsid w:val="00B12837"/>
    <w:rsid w:val="00B14A4A"/>
    <w:rsid w:val="00B15A29"/>
    <w:rsid w:val="00B17527"/>
    <w:rsid w:val="00B22C93"/>
    <w:rsid w:val="00B27589"/>
    <w:rsid w:val="00B32D85"/>
    <w:rsid w:val="00B373A3"/>
    <w:rsid w:val="00B405B7"/>
    <w:rsid w:val="00B43CA2"/>
    <w:rsid w:val="00B44405"/>
    <w:rsid w:val="00B468C0"/>
    <w:rsid w:val="00B47A15"/>
    <w:rsid w:val="00B50FE9"/>
    <w:rsid w:val="00B51C43"/>
    <w:rsid w:val="00B52222"/>
    <w:rsid w:val="00B531DA"/>
    <w:rsid w:val="00B54895"/>
    <w:rsid w:val="00B54FE7"/>
    <w:rsid w:val="00B56573"/>
    <w:rsid w:val="00B647C6"/>
    <w:rsid w:val="00B655F9"/>
    <w:rsid w:val="00B66901"/>
    <w:rsid w:val="00B66F60"/>
    <w:rsid w:val="00B71E6D"/>
    <w:rsid w:val="00B72070"/>
    <w:rsid w:val="00B779E1"/>
    <w:rsid w:val="00B81E3A"/>
    <w:rsid w:val="00B8343C"/>
    <w:rsid w:val="00B84E3E"/>
    <w:rsid w:val="00B85CFB"/>
    <w:rsid w:val="00B87461"/>
    <w:rsid w:val="00B914E9"/>
    <w:rsid w:val="00B91EE1"/>
    <w:rsid w:val="00B94602"/>
    <w:rsid w:val="00B94A78"/>
    <w:rsid w:val="00BA0090"/>
    <w:rsid w:val="00BA0A4B"/>
    <w:rsid w:val="00BA1A67"/>
    <w:rsid w:val="00BA4934"/>
    <w:rsid w:val="00BA6A80"/>
    <w:rsid w:val="00BB4ABB"/>
    <w:rsid w:val="00BC62BA"/>
    <w:rsid w:val="00BD11EF"/>
    <w:rsid w:val="00BD27DC"/>
    <w:rsid w:val="00BD36AD"/>
    <w:rsid w:val="00BD4630"/>
    <w:rsid w:val="00BD66E3"/>
    <w:rsid w:val="00BE12BB"/>
    <w:rsid w:val="00BE5B5F"/>
    <w:rsid w:val="00BE7993"/>
    <w:rsid w:val="00BF726B"/>
    <w:rsid w:val="00C002D1"/>
    <w:rsid w:val="00C02437"/>
    <w:rsid w:val="00C0279E"/>
    <w:rsid w:val="00C11971"/>
    <w:rsid w:val="00C11A24"/>
    <w:rsid w:val="00C179DE"/>
    <w:rsid w:val="00C26F55"/>
    <w:rsid w:val="00C30C63"/>
    <w:rsid w:val="00C30FF3"/>
    <w:rsid w:val="00C34D5C"/>
    <w:rsid w:val="00C36B8B"/>
    <w:rsid w:val="00C415C1"/>
    <w:rsid w:val="00C41884"/>
    <w:rsid w:val="00C47DBF"/>
    <w:rsid w:val="00C5136A"/>
    <w:rsid w:val="00C552FF"/>
    <w:rsid w:val="00C558DA"/>
    <w:rsid w:val="00C55AF3"/>
    <w:rsid w:val="00C72E49"/>
    <w:rsid w:val="00C74FE3"/>
    <w:rsid w:val="00C771A9"/>
    <w:rsid w:val="00C82943"/>
    <w:rsid w:val="00C84728"/>
    <w:rsid w:val="00C84759"/>
    <w:rsid w:val="00C90B2B"/>
    <w:rsid w:val="00C93096"/>
    <w:rsid w:val="00CA2F0C"/>
    <w:rsid w:val="00CA4AEF"/>
    <w:rsid w:val="00CA5978"/>
    <w:rsid w:val="00CA5B7E"/>
    <w:rsid w:val="00CA5CA9"/>
    <w:rsid w:val="00CA6C7F"/>
    <w:rsid w:val="00CB007D"/>
    <w:rsid w:val="00CB60CA"/>
    <w:rsid w:val="00CC0FC7"/>
    <w:rsid w:val="00CC10A6"/>
    <w:rsid w:val="00CD5EB8"/>
    <w:rsid w:val="00CD7044"/>
    <w:rsid w:val="00CE08B9"/>
    <w:rsid w:val="00CE0D3B"/>
    <w:rsid w:val="00CE3515"/>
    <w:rsid w:val="00CE3A17"/>
    <w:rsid w:val="00CE4844"/>
    <w:rsid w:val="00CE524C"/>
    <w:rsid w:val="00CF141F"/>
    <w:rsid w:val="00CF4777"/>
    <w:rsid w:val="00CF51F6"/>
    <w:rsid w:val="00CF65C8"/>
    <w:rsid w:val="00CF6742"/>
    <w:rsid w:val="00D013F5"/>
    <w:rsid w:val="00D04EAF"/>
    <w:rsid w:val="00D05E3F"/>
    <w:rsid w:val="00D067BB"/>
    <w:rsid w:val="00D131C5"/>
    <w:rsid w:val="00D1352A"/>
    <w:rsid w:val="00D1638E"/>
    <w:rsid w:val="00D169AF"/>
    <w:rsid w:val="00D200EF"/>
    <w:rsid w:val="00D25175"/>
    <w:rsid w:val="00D25249"/>
    <w:rsid w:val="00D26854"/>
    <w:rsid w:val="00D27DAD"/>
    <w:rsid w:val="00D30A08"/>
    <w:rsid w:val="00D347AC"/>
    <w:rsid w:val="00D34A59"/>
    <w:rsid w:val="00D36C41"/>
    <w:rsid w:val="00D44172"/>
    <w:rsid w:val="00D47BE3"/>
    <w:rsid w:val="00D572E2"/>
    <w:rsid w:val="00D62EFC"/>
    <w:rsid w:val="00D63042"/>
    <w:rsid w:val="00D63B8C"/>
    <w:rsid w:val="00D64480"/>
    <w:rsid w:val="00D739CC"/>
    <w:rsid w:val="00D806F9"/>
    <w:rsid w:val="00D8093D"/>
    <w:rsid w:val="00D8108C"/>
    <w:rsid w:val="00D842AE"/>
    <w:rsid w:val="00D91EAE"/>
    <w:rsid w:val="00D9211C"/>
    <w:rsid w:val="00D92DE0"/>
    <w:rsid w:val="00D92FEF"/>
    <w:rsid w:val="00D931F9"/>
    <w:rsid w:val="00D93A0F"/>
    <w:rsid w:val="00DA0EE7"/>
    <w:rsid w:val="00DA1BCA"/>
    <w:rsid w:val="00DA3663"/>
    <w:rsid w:val="00DB10A3"/>
    <w:rsid w:val="00DC1792"/>
    <w:rsid w:val="00DC274A"/>
    <w:rsid w:val="00DC46FF"/>
    <w:rsid w:val="00DC5254"/>
    <w:rsid w:val="00DC569D"/>
    <w:rsid w:val="00DD1A4F"/>
    <w:rsid w:val="00DD3107"/>
    <w:rsid w:val="00DD3844"/>
    <w:rsid w:val="00DD7C2C"/>
    <w:rsid w:val="00DE014A"/>
    <w:rsid w:val="00DE188F"/>
    <w:rsid w:val="00DE41DD"/>
    <w:rsid w:val="00DE5BDA"/>
    <w:rsid w:val="00DE6C91"/>
    <w:rsid w:val="00DF433C"/>
    <w:rsid w:val="00DF519F"/>
    <w:rsid w:val="00DF5D02"/>
    <w:rsid w:val="00E0035A"/>
    <w:rsid w:val="00E0382F"/>
    <w:rsid w:val="00E049D0"/>
    <w:rsid w:val="00E06797"/>
    <w:rsid w:val="00E11AF3"/>
    <w:rsid w:val="00E1265B"/>
    <w:rsid w:val="00E12E09"/>
    <w:rsid w:val="00E13B48"/>
    <w:rsid w:val="00E13EC3"/>
    <w:rsid w:val="00E1404F"/>
    <w:rsid w:val="00E14A3D"/>
    <w:rsid w:val="00E15CBE"/>
    <w:rsid w:val="00E17E15"/>
    <w:rsid w:val="00E21C83"/>
    <w:rsid w:val="00E24ADA"/>
    <w:rsid w:val="00E27C08"/>
    <w:rsid w:val="00E32F59"/>
    <w:rsid w:val="00E41908"/>
    <w:rsid w:val="00E45746"/>
    <w:rsid w:val="00E45DDF"/>
    <w:rsid w:val="00E46D9A"/>
    <w:rsid w:val="00E54866"/>
    <w:rsid w:val="00E55F66"/>
    <w:rsid w:val="00E565FF"/>
    <w:rsid w:val="00E62A83"/>
    <w:rsid w:val="00E65388"/>
    <w:rsid w:val="00E6783A"/>
    <w:rsid w:val="00E72460"/>
    <w:rsid w:val="00E743AA"/>
    <w:rsid w:val="00E76C9C"/>
    <w:rsid w:val="00E7741D"/>
    <w:rsid w:val="00E808CD"/>
    <w:rsid w:val="00E8348F"/>
    <w:rsid w:val="00E85B7D"/>
    <w:rsid w:val="00E872E5"/>
    <w:rsid w:val="00E9121B"/>
    <w:rsid w:val="00E9302E"/>
    <w:rsid w:val="00E96087"/>
    <w:rsid w:val="00E961F1"/>
    <w:rsid w:val="00E963A6"/>
    <w:rsid w:val="00E96971"/>
    <w:rsid w:val="00E976AB"/>
    <w:rsid w:val="00EA0AE2"/>
    <w:rsid w:val="00EA39E5"/>
    <w:rsid w:val="00EA45C6"/>
    <w:rsid w:val="00EA57A3"/>
    <w:rsid w:val="00EC27D1"/>
    <w:rsid w:val="00EC2813"/>
    <w:rsid w:val="00EC366F"/>
    <w:rsid w:val="00EC5A46"/>
    <w:rsid w:val="00EC63E2"/>
    <w:rsid w:val="00ED0225"/>
    <w:rsid w:val="00ED1CFA"/>
    <w:rsid w:val="00ED366A"/>
    <w:rsid w:val="00ED6BB7"/>
    <w:rsid w:val="00EF1062"/>
    <w:rsid w:val="00EF22B3"/>
    <w:rsid w:val="00EF3124"/>
    <w:rsid w:val="00EF611A"/>
    <w:rsid w:val="00EF6DB3"/>
    <w:rsid w:val="00F03B69"/>
    <w:rsid w:val="00F07A50"/>
    <w:rsid w:val="00F105C7"/>
    <w:rsid w:val="00F113DA"/>
    <w:rsid w:val="00F15578"/>
    <w:rsid w:val="00F23D18"/>
    <w:rsid w:val="00F266FC"/>
    <w:rsid w:val="00F3037A"/>
    <w:rsid w:val="00F3465A"/>
    <w:rsid w:val="00F37DC8"/>
    <w:rsid w:val="00F40A30"/>
    <w:rsid w:val="00F439B3"/>
    <w:rsid w:val="00F650C3"/>
    <w:rsid w:val="00F65D85"/>
    <w:rsid w:val="00F6700B"/>
    <w:rsid w:val="00F7137B"/>
    <w:rsid w:val="00F7523B"/>
    <w:rsid w:val="00F75514"/>
    <w:rsid w:val="00F8091E"/>
    <w:rsid w:val="00F84F30"/>
    <w:rsid w:val="00F8615C"/>
    <w:rsid w:val="00F95156"/>
    <w:rsid w:val="00F969E5"/>
    <w:rsid w:val="00F979F2"/>
    <w:rsid w:val="00FA1350"/>
    <w:rsid w:val="00FA4972"/>
    <w:rsid w:val="00FA60F4"/>
    <w:rsid w:val="00FA6BB0"/>
    <w:rsid w:val="00FB2DBD"/>
    <w:rsid w:val="00FD48DF"/>
    <w:rsid w:val="00FD5860"/>
    <w:rsid w:val="00FE03BE"/>
    <w:rsid w:val="00FE1E2C"/>
    <w:rsid w:val="00FE352D"/>
    <w:rsid w:val="00FE40EB"/>
    <w:rsid w:val="00FE4D02"/>
    <w:rsid w:val="00FE7D62"/>
    <w:rsid w:val="00FF0DA0"/>
    <w:rsid w:val="00FF3819"/>
    <w:rsid w:val="00FF57F0"/>
    <w:rsid w:val="00FF618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55"/>
    <o:shapelayout v:ext="edit">
      <o:idmap v:ext="edit" data="1"/>
    </o:shapelayout>
  </w:shapeDefaults>
  <w:decimalSymbol w:val="."/>
  <w:listSeparator w:val=","/>
  <w14:docId w14:val="64406B4B"/>
  <w15:docId w15:val="{9DC3155B-53E3-4869-9D8B-392BDBA1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D56F3"/>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3D56F3"/>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3D56F3"/>
    <w:rPr>
      <w:lang w:eastAsia="en-US"/>
    </w:rPr>
  </w:style>
  <w:style w:type="numbering" w:customStyle="1" w:styleId="WWNum25">
    <w:name w:val="WWNum25"/>
    <w:basedOn w:val="NoList"/>
    <w:rsid w:val="00D34A59"/>
    <w:pPr>
      <w:numPr>
        <w:numId w:val="5"/>
      </w:numPr>
    </w:pPr>
  </w:style>
  <w:style w:type="paragraph" w:styleId="NormalWeb">
    <w:name w:val="Normal (Web)"/>
    <w:basedOn w:val="Normal"/>
    <w:uiPriority w:val="99"/>
    <w:unhideWhenUsed/>
    <w:rsid w:val="005362E8"/>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character" w:customStyle="1" w:styleId="UnresolvedMention2">
    <w:name w:val="Unresolved Mention2"/>
    <w:basedOn w:val="DefaultParagraphFont"/>
    <w:uiPriority w:val="99"/>
    <w:semiHidden/>
    <w:unhideWhenUsed/>
    <w:rsid w:val="00483C99"/>
    <w:rPr>
      <w:color w:val="605E5C"/>
      <w:shd w:val="clear" w:color="auto" w:fill="E1DFDD"/>
    </w:rPr>
  </w:style>
  <w:style w:type="character" w:styleId="FollowedHyperlink">
    <w:name w:val="FollowedHyperlink"/>
    <w:basedOn w:val="DefaultParagraphFont"/>
    <w:semiHidden/>
    <w:unhideWhenUsed/>
    <w:rsid w:val="00D62EFC"/>
    <w:rPr>
      <w:color w:val="800080" w:themeColor="followedHyperlink"/>
      <w:u w:val="single"/>
    </w:rPr>
  </w:style>
  <w:style w:type="character" w:customStyle="1" w:styleId="HeaderChar">
    <w:name w:val="Header Char"/>
    <w:basedOn w:val="DefaultParagraphFont"/>
    <w:link w:val="Header"/>
    <w:semiHidden/>
    <w:rsid w:val="007C7892"/>
    <w:rPr>
      <w:b/>
      <w:sz w:val="18"/>
      <w:lang w:eastAsia="en-US"/>
    </w:rPr>
  </w:style>
  <w:style w:type="character" w:customStyle="1" w:styleId="FooterChar">
    <w:name w:val="Footer Char"/>
    <w:basedOn w:val="DefaultParagraphFont"/>
    <w:link w:val="Footer"/>
    <w:uiPriority w:val="99"/>
    <w:rsid w:val="007C7892"/>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79589">
      <w:bodyDiv w:val="1"/>
      <w:marLeft w:val="0"/>
      <w:marRight w:val="0"/>
      <w:marTop w:val="0"/>
      <w:marBottom w:val="0"/>
      <w:divBdr>
        <w:top w:val="none" w:sz="0" w:space="0" w:color="auto"/>
        <w:left w:val="none" w:sz="0" w:space="0" w:color="auto"/>
        <w:bottom w:val="none" w:sz="0" w:space="0" w:color="auto"/>
        <w:right w:val="none" w:sz="0" w:space="0" w:color="auto"/>
      </w:divBdr>
    </w:div>
    <w:div w:id="28701129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8686811">
      <w:bodyDiv w:val="1"/>
      <w:marLeft w:val="0"/>
      <w:marRight w:val="0"/>
      <w:marTop w:val="0"/>
      <w:marBottom w:val="0"/>
      <w:divBdr>
        <w:top w:val="none" w:sz="0" w:space="0" w:color="auto"/>
        <w:left w:val="none" w:sz="0" w:space="0" w:color="auto"/>
        <w:bottom w:val="none" w:sz="0" w:space="0" w:color="auto"/>
        <w:right w:val="none" w:sz="0" w:space="0" w:color="auto"/>
      </w:divBdr>
    </w:div>
    <w:div w:id="55898111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800627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32022341">
      <w:bodyDiv w:val="1"/>
      <w:marLeft w:val="0"/>
      <w:marRight w:val="0"/>
      <w:marTop w:val="0"/>
      <w:marBottom w:val="0"/>
      <w:divBdr>
        <w:top w:val="none" w:sz="0" w:space="0" w:color="auto"/>
        <w:left w:val="none" w:sz="0" w:space="0" w:color="auto"/>
        <w:bottom w:val="none" w:sz="0" w:space="0" w:color="auto"/>
        <w:right w:val="none" w:sz="0" w:space="0" w:color="auto"/>
      </w:divBdr>
    </w:div>
    <w:div w:id="1356884075">
      <w:bodyDiv w:val="1"/>
      <w:marLeft w:val="0"/>
      <w:marRight w:val="0"/>
      <w:marTop w:val="0"/>
      <w:marBottom w:val="0"/>
      <w:divBdr>
        <w:top w:val="none" w:sz="0" w:space="0" w:color="auto"/>
        <w:left w:val="none" w:sz="0" w:space="0" w:color="auto"/>
        <w:bottom w:val="none" w:sz="0" w:space="0" w:color="auto"/>
        <w:right w:val="none" w:sz="0" w:space="0" w:color="auto"/>
      </w:divBdr>
    </w:div>
    <w:div w:id="204879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dpi.gov.gy/cdc-niosh-visiting-team-submits-findings-to-paho-who/" TargetMode="External"/><Relationship Id="rId13" Type="http://schemas.openxmlformats.org/officeDocument/2006/relationships/hyperlink" Target="https://www.ilo.org/wcmsp5/groups/public/---ed_dialogue/---sector/documents/normativeinstrument/wcms_617123.pdf" TargetMode="External"/><Relationship Id="rId3" Type="http://schemas.openxmlformats.org/officeDocument/2006/relationships/hyperlink" Target="http://www.euro.who.int/en/health-topics/environment-and-health/chemical-safety/publications" TargetMode="External"/><Relationship Id="rId7" Type="http://schemas.openxmlformats.org/officeDocument/2006/relationships/hyperlink" Target="https://www.ilo.org/manila/eventsandmeetings/WCMS_701934/lang--en/index.htm" TargetMode="External"/><Relationship Id="rId12" Type="http://schemas.openxmlformats.org/officeDocument/2006/relationships/hyperlink" Target="https://www.ilo.org/sector/Resources/publications/WCMS_485367/lang--en/index.htm" TargetMode="External"/><Relationship Id="rId2" Type="http://schemas.openxmlformats.org/officeDocument/2006/relationships/hyperlink" Target="http://www.who.int/bulletin/volumes/96/6/17-203141.pdf" TargetMode="External"/><Relationship Id="rId1" Type="http://schemas.openxmlformats.org/officeDocument/2006/relationships/hyperlink" Target="https://www.who.int/ipcs/assessment/public_health/publication/en/" TargetMode="External"/><Relationship Id="rId6" Type="http://schemas.openxmlformats.org/officeDocument/2006/relationships/hyperlink" Target="https://www.ilo.org/manila/eventsandmeetings/WCMS_645607/lang--en/index.htm" TargetMode="External"/><Relationship Id="rId11" Type="http://schemas.openxmlformats.org/officeDocument/2006/relationships/hyperlink" Target="https://www.ilo.org/sector/Resources/recommendations-conclusions-of-sectoral-meetings/WCMS_685681/lang--en/index.htm" TargetMode="External"/><Relationship Id="rId5" Type="http://schemas.openxmlformats.org/officeDocument/2006/relationships/hyperlink" Target="https://www.ilo.org/ilc/ILCSessions/108/reports/provisional-records/WCMS_711288/lang--en/index.htm" TargetMode="External"/><Relationship Id="rId10" Type="http://schemas.openxmlformats.org/officeDocument/2006/relationships/hyperlink" Target="https://www.ilo.org/wcmsp5/groups/public/---ed_dialogue/---sector/documents/publication/wcms_673662.pdf" TargetMode="External"/><Relationship Id="rId4" Type="http://schemas.openxmlformats.org/officeDocument/2006/relationships/hyperlink" Target="https://ehp.niehs.nih.gov/doi/full/10.1289/EHP3904" TargetMode="External"/><Relationship Id="rId9" Type="http://schemas.openxmlformats.org/officeDocument/2006/relationships/hyperlink" Target="https://www.thegef.org/project/artisanal-and-small-scale-gold-mining-asgm-national-action-plan-nap-surina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EB46CA96DA014EA77D2E9932905B77" ma:contentTypeVersion="8" ma:contentTypeDescription="Create a new document." ma:contentTypeScope="" ma:versionID="d2185e28e1b37a92f3a898356507e258">
  <xsd:schema xmlns:xsd="http://www.w3.org/2001/XMLSchema" xmlns:xs="http://www.w3.org/2001/XMLSchema" xmlns:p="http://schemas.microsoft.com/office/2006/metadata/properties" xmlns:ns3="f29ead99-d6e6-4688-ace3-74980502f8c9" targetNamespace="http://schemas.microsoft.com/office/2006/metadata/properties" ma:root="true" ma:fieldsID="7c3d25533abdc1755e9c2bd482dc9d43" ns3:_="">
    <xsd:import namespace="f29ead99-d6e6-4688-ace3-74980502f8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ead99-d6e6-4688-ace3-74980502f8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FF16-D9D8-47BB-A4A2-99E4B95A41C7}">
  <ds:schemaRefs>
    <ds:schemaRef ds:uri="http://schemas.microsoft.com/sharepoint/v3/contenttype/forms"/>
  </ds:schemaRefs>
</ds:datastoreItem>
</file>

<file path=customXml/itemProps2.xml><?xml version="1.0" encoding="utf-8"?>
<ds:datastoreItem xmlns:ds="http://schemas.openxmlformats.org/officeDocument/2006/customXml" ds:itemID="{174FFEC5-AB8E-438C-AE0D-7948D8BB3994}">
  <ds:schemaRefs>
    <ds:schemaRef ds:uri="http://schemas.microsoft.com/office/infopath/2007/PartnerControls"/>
    <ds:schemaRef ds:uri="http://schemas.microsoft.com/office/2006/metadata/properties"/>
    <ds:schemaRef ds:uri="http://purl.org/dc/elements/1.1/"/>
    <ds:schemaRef ds:uri="http://purl.org/dc/terms/"/>
    <ds:schemaRef ds:uri="http://schemas.openxmlformats.org/package/2006/metadata/core-properties"/>
    <ds:schemaRef ds:uri="f29ead99-d6e6-4688-ace3-74980502f8c9"/>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D152AB9-B80D-4B50-A1B9-4BF7ADE7A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ead99-d6e6-4688-ace3-74980502f8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778493-C3D1-4A71-AE2D-76A91DF28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3967</Words>
  <Characters>22617</Characters>
  <Application>Microsoft Office Word</Application>
  <DocSecurity>0</DocSecurity>
  <Lines>188</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5</cp:revision>
  <cp:lastPrinted>2019-08-20T10:06:00Z</cp:lastPrinted>
  <dcterms:created xsi:type="dcterms:W3CDTF">2019-09-09T08:47:00Z</dcterms:created>
  <dcterms:modified xsi:type="dcterms:W3CDTF">2019-09-09T10:14:00Z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0x01010065EB46CA96DA014EA77D2E9932905B77</vt:lpwstr>
  </property>
</Properties>
</file>