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500F3E"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B450223" w:rsidR="004B0A17" w:rsidRPr="00500F3E" w:rsidRDefault="00115715" w:rsidP="00F318C4">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F318C4">
              <w:rPr>
                <w:rFonts w:cs="Times New Roman"/>
                <w:szCs w:val="20"/>
              </w:rPr>
              <w:t>3</w:t>
            </w:r>
            <w:r w:rsidR="00934FB6">
              <w:rPr>
                <w:rFonts w:cs="Times New Roman"/>
                <w:szCs w:val="20"/>
              </w:rPr>
              <w:t>/</w:t>
            </w:r>
            <w:r w:rsidR="00232302">
              <w:rPr>
                <w:rFonts w:cs="Times New Roman"/>
                <w:szCs w:val="20"/>
              </w:rPr>
              <w:t>1</w:t>
            </w:r>
            <w:r w:rsidR="00F318C4">
              <w:rPr>
                <w:rFonts w:cs="Times New Roman"/>
                <w:szCs w:val="20"/>
              </w:rPr>
              <w:t>8</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rsidRPr="00355C76" w14:paraId="0D8768E6" w14:textId="77777777" w:rsidTr="007B0E55">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77D97C03" w:rsidR="00934FB6" w:rsidRPr="002772B3" w:rsidRDefault="00F318C4" w:rsidP="00F318C4">
            <w:pPr>
              <w:jc w:val="both"/>
              <w:rPr>
                <w:rFonts w:cs="Times New Roman"/>
                <w:szCs w:val="20"/>
              </w:rPr>
            </w:pPr>
            <w:r>
              <w:rPr>
                <w:rFonts w:cs="Times New Roman"/>
                <w:szCs w:val="20"/>
              </w:rPr>
              <w:t>6</w:t>
            </w:r>
            <w:r w:rsidR="00934FB6">
              <w:rPr>
                <w:rFonts w:cs="Times New Roman"/>
                <w:szCs w:val="20"/>
              </w:rPr>
              <w:t xml:space="preserve"> </w:t>
            </w:r>
            <w:r>
              <w:rPr>
                <w:rFonts w:cs="Times New Roman"/>
                <w:szCs w:val="20"/>
              </w:rPr>
              <w:t>August</w:t>
            </w:r>
            <w:r w:rsidR="00934FB6" w:rsidRPr="00A969A0">
              <w:rPr>
                <w:rFonts w:cs="Times New Roman"/>
                <w:szCs w:val="20"/>
              </w:rPr>
              <w:t xml:space="preserve"> 20</w:t>
            </w:r>
            <w:r w:rsidR="00934FB6">
              <w:rPr>
                <w:rFonts w:cs="Times New Roman"/>
                <w:szCs w:val="20"/>
              </w:rPr>
              <w:t>1</w:t>
            </w:r>
            <w:r>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7B0E55">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1986D296" w:rsidR="00BE3C21" w:rsidRPr="00A579D1" w:rsidRDefault="00BE3C21" w:rsidP="00F318C4">
            <w:pPr>
              <w:bidi/>
              <w:spacing w:line="360" w:lineRule="exact"/>
              <w:ind w:left="34" w:right="748"/>
              <w:jc w:val="both"/>
              <w:rPr>
                <w:b/>
                <w:bCs/>
                <w:sz w:val="30"/>
                <w:rtl/>
              </w:rPr>
            </w:pPr>
            <w:r>
              <w:rPr>
                <w:rFonts w:hint="cs"/>
                <w:b/>
                <w:bCs/>
                <w:sz w:val="30"/>
                <w:rtl/>
              </w:rPr>
              <w:t xml:space="preserve">الاجتماع </w:t>
            </w:r>
            <w:r w:rsidR="00F318C4">
              <w:rPr>
                <w:rFonts w:hint="cs"/>
                <w:b/>
                <w:bCs/>
                <w:sz w:val="30"/>
                <w:rtl/>
              </w:rPr>
              <w:t>الثالث</w:t>
            </w:r>
          </w:p>
          <w:p w14:paraId="267D48A1" w14:textId="2BD8F7E4" w:rsidR="00BE3C21" w:rsidRDefault="00BE3C21" w:rsidP="00F318C4">
            <w:pPr>
              <w:bidi/>
              <w:spacing w:before="40"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sidR="00F318C4">
              <w:rPr>
                <w:rFonts w:ascii="Traditional Arabic" w:hAnsi="Traditional Arabic" w:hint="cs"/>
                <w:sz w:val="30"/>
                <w:rtl/>
              </w:rPr>
              <w:t>25</w:t>
            </w:r>
            <w:r w:rsidRPr="00980B8A">
              <w:rPr>
                <w:rFonts w:ascii="Traditional Arabic" w:hAnsi="Traditional Arabic"/>
                <w:sz w:val="30"/>
                <w:rtl/>
              </w:rPr>
              <w:t>-</w:t>
            </w:r>
            <w:r w:rsidR="00F318C4">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w:t>
            </w:r>
            <w:r w:rsidR="00F318C4">
              <w:rPr>
                <w:rFonts w:ascii="Traditional Arabic" w:hAnsi="Traditional Arabic" w:hint="cs"/>
                <w:sz w:val="30"/>
                <w:rtl/>
              </w:rPr>
              <w:t>2019</w:t>
            </w:r>
          </w:p>
          <w:p w14:paraId="5D3BE128" w14:textId="0723C914" w:rsidR="00BE3C21" w:rsidRDefault="00BE3C21" w:rsidP="00F318C4">
            <w:pPr>
              <w:bidi/>
              <w:spacing w:after="60" w:line="360" w:lineRule="exact"/>
              <w:ind w:left="34"/>
              <w:rPr>
                <w:rFonts w:cs="Times New Roman"/>
                <w:szCs w:val="20"/>
                <w:rtl/>
              </w:rPr>
            </w:pPr>
            <w:r w:rsidRPr="00FF3359">
              <w:rPr>
                <w:rFonts w:ascii="Traditional Arabic" w:hAnsi="Traditional Arabic" w:hint="cs"/>
                <w:sz w:val="28"/>
                <w:rtl/>
              </w:rPr>
              <w:t xml:space="preserve">البند </w:t>
            </w:r>
            <w:r w:rsidR="00F318C4" w:rsidRPr="00F318C4">
              <w:rPr>
                <w:rFonts w:ascii="Traditional Arabic" w:hAnsi="Traditional Arabic" w:hint="cs"/>
                <w:sz w:val="30"/>
                <w:rtl/>
              </w:rPr>
              <w:t>6</w:t>
            </w:r>
            <w:r w:rsidR="00F318C4">
              <w:rPr>
                <w:rFonts w:asciiTheme="minorHAnsi" w:hAnsiTheme="minorHAnsi" w:hint="cs"/>
                <w:sz w:val="28"/>
                <w:rtl/>
              </w:rPr>
              <w:t xml:space="preserve"> </w:t>
            </w:r>
            <w:r w:rsidR="00232302">
              <w:rPr>
                <w:rFonts w:asciiTheme="minorHAnsi" w:hAnsiTheme="minorHAnsi" w:hint="cs"/>
                <w:sz w:val="28"/>
                <w:rtl/>
              </w:rPr>
              <w:t>(</w:t>
            </w:r>
            <w:r w:rsidR="00F318C4">
              <w:rPr>
                <w:rFonts w:asciiTheme="minorHAnsi" w:hAnsiTheme="minorHAnsi" w:hint="cs"/>
                <w:sz w:val="28"/>
                <w:rtl/>
              </w:rPr>
              <w:t>أ</w:t>
            </w:r>
            <w:r w:rsidR="00232302">
              <w:rPr>
                <w:rFonts w:asciiTheme="minorHAnsi" w:hAnsiTheme="minorHAnsi" w:hint="cs"/>
                <w:sz w:val="28"/>
                <w:rtl/>
              </w:rPr>
              <w:t>)</w:t>
            </w:r>
            <w:r w:rsidRPr="00FF3359">
              <w:rPr>
                <w:rFonts w:ascii="Traditional Arabic" w:hAnsi="Traditional Arabic" w:hint="cs"/>
                <w:sz w:val="28"/>
                <w:rtl/>
              </w:rPr>
              <w:t xml:space="preserve"> من جدول الأعمال المؤقت</w:t>
            </w:r>
            <w:r w:rsidRPr="00025854">
              <w:rPr>
                <w:sz w:val="24"/>
                <w:szCs w:val="24"/>
                <w:vertAlign w:val="superscript"/>
              </w:rPr>
              <w:footnoteReference w:customMarkFollows="1" w:id="1"/>
              <w:t>*</w:t>
            </w:r>
          </w:p>
          <w:p w14:paraId="270B00D7" w14:textId="26B7F14E" w:rsidR="00452B9C" w:rsidRPr="00025854" w:rsidRDefault="00F318C4" w:rsidP="00F318C4">
            <w:pPr>
              <w:bidi/>
              <w:spacing w:line="360" w:lineRule="exact"/>
              <w:ind w:left="34" w:right="1907"/>
              <w:rPr>
                <w:rFonts w:ascii="Traditional Arabic" w:hAnsi="Traditional Arabic"/>
                <w:b/>
                <w:bCs/>
                <w:sz w:val="28"/>
                <w:szCs w:val="28"/>
                <w:rtl/>
              </w:rPr>
            </w:pPr>
            <w:r w:rsidRPr="00025854">
              <w:rPr>
                <w:rFonts w:ascii="Traditional Arabic" w:hAnsi="Traditional Arabic" w:hint="cs"/>
                <w:b/>
                <w:bCs/>
                <w:sz w:val="28"/>
                <w:szCs w:val="28"/>
                <w:rtl/>
              </w:rPr>
              <w:t xml:space="preserve">التعاون والتنسيق على </w:t>
            </w:r>
            <w:r w:rsidR="00D670EE" w:rsidRPr="00025854">
              <w:rPr>
                <w:rFonts w:ascii="Traditional Arabic" w:hAnsi="Traditional Arabic" w:hint="cs"/>
                <w:b/>
                <w:bCs/>
                <w:sz w:val="28"/>
                <w:szCs w:val="28"/>
                <w:rtl/>
              </w:rPr>
              <w:t xml:space="preserve">الصعيد </w:t>
            </w:r>
            <w:r w:rsidRPr="00025854">
              <w:rPr>
                <w:rFonts w:ascii="Traditional Arabic" w:hAnsi="Traditional Arabic" w:hint="cs"/>
                <w:b/>
                <w:bCs/>
                <w:sz w:val="28"/>
                <w:szCs w:val="28"/>
                <w:rtl/>
              </w:rPr>
              <w:t>الدولي: منظمة</w:t>
            </w:r>
            <w:r w:rsidR="00025854">
              <w:rPr>
                <w:rFonts w:ascii="Traditional Arabic" w:hAnsi="Traditional Arabic" w:hint="cs"/>
                <w:b/>
                <w:bCs/>
                <w:sz w:val="28"/>
                <w:szCs w:val="28"/>
                <w:rtl/>
              </w:rPr>
              <w:t xml:space="preserve"> </w:t>
            </w:r>
            <w:r w:rsidRPr="00025854">
              <w:rPr>
                <w:rFonts w:ascii="Traditional Arabic" w:hAnsi="Traditional Arabic" w:hint="cs"/>
                <w:b/>
                <w:bCs/>
                <w:sz w:val="28"/>
                <w:szCs w:val="28"/>
                <w:rtl/>
              </w:rPr>
              <w:t>الصحة العالمية؛ ومنظمة العمل الدولية</w:t>
            </w:r>
          </w:p>
        </w:tc>
      </w:tr>
    </w:tbl>
    <w:p w14:paraId="63D6BC77" w14:textId="292D6E47" w:rsidR="00232302" w:rsidRPr="00025854" w:rsidRDefault="00F318C4" w:rsidP="00F318C4">
      <w:pPr>
        <w:pStyle w:val="Normalnumber"/>
        <w:numPr>
          <w:ilvl w:val="0"/>
          <w:numId w:val="0"/>
        </w:numPr>
        <w:tabs>
          <w:tab w:val="left" w:pos="1841"/>
          <w:tab w:val="left" w:pos="2408"/>
          <w:tab w:val="left" w:pos="2975"/>
        </w:tabs>
        <w:bidi/>
        <w:spacing w:before="360" w:after="240" w:line="400" w:lineRule="exact"/>
        <w:ind w:left="1134"/>
        <w:jc w:val="both"/>
        <w:textDirection w:val="tbRlV"/>
        <w:rPr>
          <w:rFonts w:ascii="Traditional Arabic" w:hAnsi="Traditional Arabic" w:cs="Traditional Arabic"/>
          <w:b/>
          <w:bCs/>
          <w:sz w:val="34"/>
          <w:szCs w:val="34"/>
          <w:rtl/>
          <w:lang w:eastAsia="zh-TW"/>
        </w:rPr>
      </w:pPr>
      <w:r w:rsidRPr="00025854">
        <w:rPr>
          <w:rFonts w:ascii="Traditional Arabic" w:hAnsi="Traditional Arabic" w:cs="Traditional Arabic" w:hint="cs"/>
          <w:b/>
          <w:bCs/>
          <w:sz w:val="34"/>
          <w:szCs w:val="34"/>
          <w:rtl/>
          <w:lang w:eastAsia="zh-TW"/>
        </w:rPr>
        <w:t xml:space="preserve">تقرير عن الأنشطة التعاونية </w:t>
      </w:r>
      <w:r w:rsidR="00232302" w:rsidRPr="00025854">
        <w:rPr>
          <w:rFonts w:ascii="Traditional Arabic" w:hAnsi="Traditional Arabic" w:cs="Traditional Arabic"/>
          <w:b/>
          <w:bCs/>
          <w:sz w:val="34"/>
          <w:szCs w:val="34"/>
          <w:rtl/>
          <w:lang w:eastAsia="zh-TW"/>
        </w:rPr>
        <w:t>مع منظمة الصحة العالمية ومنظمة العمل الدولية</w:t>
      </w:r>
    </w:p>
    <w:p w14:paraId="76221157" w14:textId="6F3B3A8C" w:rsidR="00232302" w:rsidRPr="00232302" w:rsidRDefault="00232302" w:rsidP="00232302">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232302">
        <w:rPr>
          <w:rFonts w:ascii="Traditional Arabic" w:hAnsi="Traditional Arabic" w:cs="Traditional Arabic"/>
          <w:b/>
          <w:bCs/>
          <w:sz w:val="32"/>
          <w:szCs w:val="32"/>
          <w:rtl/>
          <w:lang w:eastAsia="zh-TW"/>
        </w:rPr>
        <w:t>مذكرة من الأمانة</w:t>
      </w:r>
    </w:p>
    <w:p w14:paraId="53A64434" w14:textId="13ABF1E5" w:rsidR="00232302" w:rsidRPr="00232302" w:rsidRDefault="0052269E" w:rsidP="005761F0">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Pr>
          <w:rFonts w:cs="Traditional Arabic" w:hint="cs"/>
          <w:sz w:val="30"/>
          <w:szCs w:val="30"/>
          <w:rtl/>
          <w:lang w:eastAsia="zh-TW"/>
        </w:rPr>
        <w:t>في</w:t>
      </w:r>
      <w:r w:rsidR="00232302" w:rsidRPr="00232302">
        <w:rPr>
          <w:rFonts w:cs="Traditional Arabic"/>
          <w:sz w:val="30"/>
          <w:szCs w:val="30"/>
          <w:rtl/>
          <w:lang w:eastAsia="zh-TW"/>
        </w:rPr>
        <w:t xml:space="preserve"> الفقرة </w:t>
      </w:r>
      <w:r w:rsidR="000D489C">
        <w:rPr>
          <w:rFonts w:cs="Traditional Arabic" w:hint="cs"/>
          <w:sz w:val="30"/>
          <w:szCs w:val="30"/>
          <w:rtl/>
          <w:lang w:eastAsia="zh-TW"/>
        </w:rPr>
        <w:t>2</w:t>
      </w:r>
      <w:r w:rsidR="00232302" w:rsidRPr="00232302">
        <w:rPr>
          <w:rFonts w:cs="Traditional Arabic"/>
          <w:sz w:val="30"/>
          <w:szCs w:val="30"/>
          <w:rtl/>
          <w:lang w:eastAsia="zh-TW"/>
        </w:rPr>
        <w:t xml:space="preserve"> من المادة </w:t>
      </w:r>
      <w:r w:rsidR="000D489C">
        <w:rPr>
          <w:rFonts w:cs="Traditional Arabic" w:hint="cs"/>
          <w:sz w:val="30"/>
          <w:szCs w:val="30"/>
          <w:rtl/>
          <w:lang w:eastAsia="zh-TW"/>
        </w:rPr>
        <w:t>16</w:t>
      </w:r>
      <w:r w:rsidR="00232302" w:rsidRPr="00232302">
        <w:rPr>
          <w:rFonts w:cs="Traditional Arabic"/>
          <w:sz w:val="30"/>
          <w:szCs w:val="30"/>
          <w:rtl/>
          <w:lang w:eastAsia="zh-TW"/>
        </w:rPr>
        <w:t xml:space="preserve"> من اتفاقية </w:t>
      </w:r>
      <w:proofErr w:type="spellStart"/>
      <w:r w:rsidR="00232302" w:rsidRPr="00232302">
        <w:rPr>
          <w:rFonts w:cs="Traditional Arabic"/>
          <w:sz w:val="30"/>
          <w:szCs w:val="30"/>
          <w:rtl/>
          <w:lang w:eastAsia="zh-TW"/>
        </w:rPr>
        <w:t>ميناماتا</w:t>
      </w:r>
      <w:proofErr w:type="spellEnd"/>
      <w:r w:rsidR="00232302" w:rsidRPr="00232302">
        <w:rPr>
          <w:rFonts w:cs="Traditional Arabic"/>
          <w:sz w:val="30"/>
          <w:szCs w:val="30"/>
          <w:rtl/>
          <w:lang w:eastAsia="zh-TW"/>
        </w:rPr>
        <w:t xml:space="preserve"> بشأن الزئبق</w:t>
      </w:r>
      <w:r>
        <w:rPr>
          <w:rFonts w:cs="Traditional Arabic" w:hint="cs"/>
          <w:sz w:val="30"/>
          <w:szCs w:val="30"/>
          <w:rtl/>
          <w:lang w:eastAsia="zh-TW"/>
        </w:rPr>
        <w:t xml:space="preserve"> والمتعلقة بالجوانب الصحية</w:t>
      </w:r>
      <w:r w:rsidR="00232302" w:rsidRPr="00232302">
        <w:rPr>
          <w:rFonts w:cs="Traditional Arabic"/>
          <w:sz w:val="30"/>
          <w:szCs w:val="30"/>
          <w:rtl/>
          <w:lang w:eastAsia="zh-TW"/>
        </w:rPr>
        <w:t xml:space="preserve">، </w:t>
      </w:r>
      <w:r>
        <w:rPr>
          <w:rFonts w:cs="Traditional Arabic" w:hint="cs"/>
          <w:sz w:val="30"/>
          <w:szCs w:val="30"/>
          <w:rtl/>
          <w:lang w:eastAsia="zh-TW"/>
        </w:rPr>
        <w:t xml:space="preserve">تنص الاتفاقية </w:t>
      </w:r>
      <w:r w:rsidR="00232302" w:rsidRPr="00232302">
        <w:rPr>
          <w:rFonts w:cs="Traditional Arabic"/>
          <w:sz w:val="30"/>
          <w:szCs w:val="30"/>
          <w:rtl/>
          <w:lang w:eastAsia="zh-TW"/>
        </w:rPr>
        <w:t>على أنه ينبغي لمؤتمر الأطراف</w:t>
      </w:r>
      <w:r w:rsidR="00F318C4">
        <w:rPr>
          <w:rFonts w:cs="Traditional Arabic" w:hint="cs"/>
          <w:sz w:val="30"/>
          <w:szCs w:val="30"/>
          <w:rtl/>
          <w:lang w:eastAsia="zh-TW"/>
        </w:rPr>
        <w:t xml:space="preserve"> في اتفاقية </w:t>
      </w:r>
      <w:proofErr w:type="spellStart"/>
      <w:r w:rsidR="00F318C4">
        <w:rPr>
          <w:rFonts w:cs="Traditional Arabic" w:hint="cs"/>
          <w:sz w:val="30"/>
          <w:szCs w:val="30"/>
          <w:rtl/>
          <w:lang w:eastAsia="zh-TW"/>
        </w:rPr>
        <w:t>ميناماتا</w:t>
      </w:r>
      <w:proofErr w:type="spellEnd"/>
      <w:r w:rsidR="00232302" w:rsidRPr="00232302">
        <w:rPr>
          <w:rFonts w:cs="Traditional Arabic"/>
          <w:sz w:val="30"/>
          <w:szCs w:val="30"/>
          <w:rtl/>
          <w:lang w:eastAsia="zh-TW"/>
        </w:rPr>
        <w:t>، في معرض بحثه للقضايا أو الأنشطة المتعلقة بالصحة، أن يتشاور ويتعاون مع منظمة الصحة العالمية ومنظمة العمل الدولية وسائر المنظمات الدولية ذات الصلة، وفقاً للمقتضى، وأن يعزز التعاون وتبادل المعلومات مع تلك المنظمات وفقاً للمقتضى.</w:t>
      </w:r>
    </w:p>
    <w:p w14:paraId="2C935C7A" w14:textId="386F4314" w:rsidR="00232302" w:rsidRPr="00232302" w:rsidRDefault="00232302" w:rsidP="005761F0">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وف</w:t>
      </w:r>
      <w:r w:rsidR="00F318C4">
        <w:rPr>
          <w:rFonts w:cs="Traditional Arabic"/>
          <w:sz w:val="30"/>
          <w:szCs w:val="30"/>
          <w:rtl/>
          <w:lang w:eastAsia="zh-TW"/>
        </w:rPr>
        <w:t>ي الاجتماع الأول لمؤتمر الأطراف</w:t>
      </w:r>
      <w:r w:rsidRPr="00232302">
        <w:rPr>
          <w:rFonts w:cs="Traditional Arabic"/>
          <w:sz w:val="30"/>
          <w:szCs w:val="30"/>
          <w:rtl/>
          <w:lang w:eastAsia="zh-TW"/>
        </w:rPr>
        <w:t xml:space="preserve">، الذي عقد في جنيف في الفترة من 24 إلى 29 أيلول/سبتمبر 2017، طلب مؤتمر الأطراف إلى الأمانة أن تواصل التعاون النشط والتآزر مع منظمة الصحة العالمية ومنظمة العمل الدولية وغيرهما من المنظمات ذات الصلة في تنفيذ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w:t>
      </w:r>
      <w:r w:rsidR="00F318C4">
        <w:rPr>
          <w:rFonts w:cs="Traditional Arabic" w:hint="cs"/>
          <w:sz w:val="30"/>
          <w:szCs w:val="30"/>
          <w:rtl/>
          <w:lang w:eastAsia="zh-TW"/>
        </w:rPr>
        <w:t xml:space="preserve"> وتم تعزيز هذه الرسالة في الاجتماع الثاني لمؤتمر الأطراف، الذي عُقد في جنيف في الفترة من 19 إلى 23 تشرين الثاني/نوفمبر 2018.</w:t>
      </w:r>
    </w:p>
    <w:p w14:paraId="2C4F8924" w14:textId="78C76E4D" w:rsidR="00232302" w:rsidRPr="00232302" w:rsidRDefault="00232302" w:rsidP="005761F0">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وتشمل المجالات الرئيسية لهذا التعاون والتآزر مع منظمة الصحة العالمية الزئبق في مقاييس الحرارة وضغط الدم الشرياني المستخدمة في الرعاية الصحية، وكذلك في المطهرات ومنتجات تبييض البشرة وملاغم الأسنان (المادة</w:t>
      </w:r>
      <w:r w:rsidR="000D489C">
        <w:rPr>
          <w:rFonts w:cs="Traditional Arabic" w:hint="cs"/>
          <w:sz w:val="30"/>
          <w:szCs w:val="30"/>
          <w:rtl/>
          <w:lang w:eastAsia="zh-TW"/>
        </w:rPr>
        <w:t> 4</w:t>
      </w:r>
      <w:r w:rsidRPr="00232302">
        <w:rPr>
          <w:rFonts w:cs="Traditional Arabic"/>
          <w:sz w:val="30"/>
          <w:szCs w:val="30"/>
          <w:rtl/>
          <w:lang w:eastAsia="zh-TW"/>
        </w:rPr>
        <w:t xml:space="preserve"> والمرفق ألف)؛ واستراتيجيات الصحة العامة لتعدين الذهب الحرفي والضيق النطاق (المادة </w:t>
      </w:r>
      <w:r w:rsidR="000D489C">
        <w:rPr>
          <w:rFonts w:cs="Traditional Arabic" w:hint="cs"/>
          <w:sz w:val="30"/>
          <w:szCs w:val="30"/>
          <w:rtl/>
          <w:lang w:eastAsia="zh-TW"/>
        </w:rPr>
        <w:t>7</w:t>
      </w:r>
      <w:r w:rsidRPr="00232302">
        <w:rPr>
          <w:rFonts w:cs="Traditional Arabic"/>
          <w:sz w:val="30"/>
          <w:szCs w:val="30"/>
          <w:rtl/>
          <w:lang w:eastAsia="zh-TW"/>
        </w:rPr>
        <w:t xml:space="preserve"> والمرفق جيم)؛ </w:t>
      </w:r>
      <w:r w:rsidR="00A12840" w:rsidRPr="00232302">
        <w:rPr>
          <w:rFonts w:cs="Traditional Arabic"/>
          <w:sz w:val="30"/>
          <w:szCs w:val="30"/>
          <w:rtl/>
          <w:lang w:eastAsia="zh-TW"/>
        </w:rPr>
        <w:t xml:space="preserve">وتقييم مخاطر المواقع الملوثة بالزئبق على الصحة البشرية (المادة </w:t>
      </w:r>
      <w:r w:rsidR="000D489C">
        <w:rPr>
          <w:rFonts w:cs="Traditional Arabic" w:hint="cs"/>
          <w:sz w:val="30"/>
          <w:szCs w:val="30"/>
          <w:rtl/>
          <w:lang w:eastAsia="zh-TW"/>
        </w:rPr>
        <w:t>12</w:t>
      </w:r>
      <w:r w:rsidR="00A12840" w:rsidRPr="00232302">
        <w:rPr>
          <w:rFonts w:cs="Traditional Arabic"/>
          <w:sz w:val="30"/>
          <w:szCs w:val="30"/>
          <w:rtl/>
          <w:lang w:eastAsia="zh-TW"/>
        </w:rPr>
        <w:t xml:space="preserve">)؛ </w:t>
      </w:r>
      <w:r w:rsidR="00A12840">
        <w:rPr>
          <w:rFonts w:cs="Traditional Arabic" w:hint="cs"/>
          <w:sz w:val="30"/>
          <w:szCs w:val="30"/>
          <w:rtl/>
          <w:lang w:eastAsia="zh-TW"/>
        </w:rPr>
        <w:t>و</w:t>
      </w:r>
      <w:r w:rsidR="00025854">
        <w:rPr>
          <w:rFonts w:cs="Traditional Arabic" w:hint="cs"/>
          <w:sz w:val="30"/>
          <w:szCs w:val="30"/>
          <w:rtl/>
          <w:lang w:eastAsia="zh-TW"/>
        </w:rPr>
        <w:t xml:space="preserve"> </w:t>
      </w:r>
      <w:r w:rsidRPr="00232302">
        <w:rPr>
          <w:rFonts w:cs="Traditional Arabic"/>
          <w:sz w:val="30"/>
          <w:szCs w:val="30"/>
          <w:rtl/>
          <w:lang w:eastAsia="zh-TW"/>
        </w:rPr>
        <w:t xml:space="preserve">”الجوانب الصحية“ (المادة </w:t>
      </w:r>
      <w:r w:rsidR="000D489C">
        <w:rPr>
          <w:rFonts w:cs="Traditional Arabic" w:hint="cs"/>
          <w:sz w:val="30"/>
          <w:szCs w:val="30"/>
          <w:rtl/>
          <w:lang w:eastAsia="zh-TW"/>
        </w:rPr>
        <w:t>16</w:t>
      </w:r>
      <w:r w:rsidRPr="00232302">
        <w:rPr>
          <w:rFonts w:cs="Traditional Arabic"/>
          <w:sz w:val="30"/>
          <w:szCs w:val="30"/>
          <w:rtl/>
          <w:lang w:eastAsia="zh-TW"/>
        </w:rPr>
        <w:t>)؛ وتبادل المعلومات الصحية (المادة 17)؛ وإعلام الجمهور وتوعيته وتثقيفه</w:t>
      </w:r>
      <w:r w:rsidR="00DA61CC">
        <w:rPr>
          <w:rFonts w:cs="Traditional Arabic" w:hint="cs"/>
          <w:sz w:val="30"/>
          <w:szCs w:val="30"/>
          <w:rtl/>
          <w:lang w:eastAsia="zh-TW"/>
        </w:rPr>
        <w:t xml:space="preserve"> بشأن</w:t>
      </w:r>
      <w:r w:rsidR="00D670EE">
        <w:rPr>
          <w:rFonts w:cs="Traditional Arabic" w:hint="cs"/>
          <w:sz w:val="30"/>
          <w:szCs w:val="30"/>
          <w:rtl/>
          <w:lang w:eastAsia="zh-TW"/>
        </w:rPr>
        <w:t xml:space="preserve"> الآثار على</w:t>
      </w:r>
      <w:r w:rsidR="00DA61CC">
        <w:rPr>
          <w:rFonts w:cs="Traditional Arabic" w:hint="cs"/>
          <w:sz w:val="30"/>
          <w:szCs w:val="30"/>
          <w:rtl/>
          <w:lang w:eastAsia="zh-TW"/>
        </w:rPr>
        <w:t xml:space="preserve"> الصحة البشرية</w:t>
      </w:r>
      <w:r w:rsidRPr="00232302">
        <w:rPr>
          <w:rFonts w:cs="Traditional Arabic"/>
          <w:sz w:val="30"/>
          <w:szCs w:val="30"/>
          <w:rtl/>
          <w:lang w:eastAsia="zh-TW"/>
        </w:rPr>
        <w:t xml:space="preserve"> (المادة 18)؛ والبحوث والتطوير والرصد فيما يتعلق بالجوانب الصحية (المادة </w:t>
      </w:r>
      <w:r w:rsidR="000D489C">
        <w:rPr>
          <w:rFonts w:cs="Traditional Arabic" w:hint="cs"/>
          <w:sz w:val="30"/>
          <w:szCs w:val="30"/>
          <w:rtl/>
          <w:lang w:eastAsia="zh-TW"/>
        </w:rPr>
        <w:t>19</w:t>
      </w:r>
      <w:r w:rsidRPr="00232302">
        <w:rPr>
          <w:rFonts w:cs="Traditional Arabic"/>
          <w:sz w:val="30"/>
          <w:szCs w:val="30"/>
          <w:rtl/>
          <w:lang w:eastAsia="zh-TW"/>
        </w:rPr>
        <w:t xml:space="preserve">)، حيث يتوخى قيام وزارات الصحة بدور </w:t>
      </w:r>
      <w:r w:rsidRPr="00232302">
        <w:rPr>
          <w:rFonts w:cs="Traditional Arabic"/>
          <w:sz w:val="30"/>
          <w:szCs w:val="30"/>
          <w:rtl/>
          <w:lang w:eastAsia="zh-TW"/>
        </w:rPr>
        <w:lastRenderedPageBreak/>
        <w:t xml:space="preserve">قيادي. وبالإضافة إلى ذلك، تتعاون أمانتا منظمة الصحة العالمية واتفاقية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من أجل دعم بناء القدرات والمساعدة التقنية (المادة </w:t>
      </w:r>
      <w:r w:rsidR="00E362E3">
        <w:rPr>
          <w:rFonts w:cs="Traditional Arabic" w:hint="cs"/>
          <w:sz w:val="30"/>
          <w:szCs w:val="30"/>
          <w:rtl/>
          <w:lang w:eastAsia="zh-TW"/>
        </w:rPr>
        <w:t>14</w:t>
      </w:r>
      <w:r w:rsidRPr="00232302">
        <w:rPr>
          <w:rFonts w:cs="Traditional Arabic"/>
          <w:sz w:val="30"/>
          <w:szCs w:val="30"/>
          <w:rtl/>
          <w:lang w:eastAsia="zh-TW"/>
        </w:rPr>
        <w:t xml:space="preserve">) وفي تقييمات الفعالية (المادة </w:t>
      </w:r>
      <w:r w:rsidR="00E362E3">
        <w:rPr>
          <w:rFonts w:cs="Traditional Arabic" w:hint="cs"/>
          <w:sz w:val="30"/>
          <w:szCs w:val="30"/>
          <w:rtl/>
          <w:lang w:eastAsia="zh-TW"/>
        </w:rPr>
        <w:t>22</w:t>
      </w:r>
      <w:r w:rsidRPr="00232302">
        <w:rPr>
          <w:rFonts w:cs="Traditional Arabic"/>
          <w:sz w:val="30"/>
          <w:szCs w:val="30"/>
          <w:rtl/>
          <w:lang w:eastAsia="zh-TW"/>
        </w:rPr>
        <w:t>).</w:t>
      </w:r>
    </w:p>
    <w:p w14:paraId="024CF53C" w14:textId="52B2B043" w:rsidR="00232302" w:rsidRPr="00232302" w:rsidRDefault="00232302" w:rsidP="005761F0">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sidRPr="00232302">
        <w:rPr>
          <w:rFonts w:cs="Traditional Arabic"/>
          <w:sz w:val="30"/>
          <w:szCs w:val="30"/>
          <w:rtl/>
          <w:lang w:eastAsia="zh-TW"/>
        </w:rPr>
        <w:t xml:space="preserve">واضطلعت الأمانة </w:t>
      </w:r>
      <w:r w:rsidR="000D489C">
        <w:rPr>
          <w:rFonts w:cs="Traditional Arabic" w:hint="cs"/>
          <w:sz w:val="30"/>
          <w:szCs w:val="30"/>
          <w:rtl/>
          <w:lang w:eastAsia="zh-TW"/>
        </w:rPr>
        <w:t>بأنشطة تعاونية</w:t>
      </w:r>
      <w:r w:rsidRPr="00232302">
        <w:rPr>
          <w:rFonts w:cs="Traditional Arabic"/>
          <w:sz w:val="30"/>
          <w:szCs w:val="30"/>
          <w:rtl/>
          <w:lang w:eastAsia="zh-TW"/>
        </w:rPr>
        <w:t xml:space="preserve"> مع منظمة الصحة العالمية في الفترة التي انقضت منذ الاجتماع </w:t>
      </w:r>
      <w:r w:rsidR="000D489C">
        <w:rPr>
          <w:rFonts w:cs="Traditional Arabic" w:hint="cs"/>
          <w:sz w:val="30"/>
          <w:szCs w:val="30"/>
          <w:rtl/>
          <w:lang w:eastAsia="zh-TW"/>
        </w:rPr>
        <w:t>الثاني</w:t>
      </w:r>
      <w:r w:rsidRPr="00232302">
        <w:rPr>
          <w:rFonts w:cs="Traditional Arabic"/>
          <w:sz w:val="30"/>
          <w:szCs w:val="30"/>
          <w:rtl/>
          <w:lang w:eastAsia="zh-TW"/>
        </w:rPr>
        <w:t xml:space="preserve"> لمؤتمر الأطراف، بما في ذلك المشاركة في حلقات العمل الإقليمية الرامية إلى ترويج الاتفاقية لدى وزارات الصحة، فضلا</w:t>
      </w:r>
      <w:r w:rsidR="006242C0">
        <w:rPr>
          <w:rFonts w:cs="Traditional Arabic" w:hint="cs"/>
          <w:sz w:val="30"/>
          <w:szCs w:val="30"/>
          <w:rtl/>
          <w:lang w:eastAsia="zh-TW"/>
        </w:rPr>
        <w:t>ً</w:t>
      </w:r>
      <w:r w:rsidRPr="00232302">
        <w:rPr>
          <w:rFonts w:cs="Traditional Arabic"/>
          <w:sz w:val="30"/>
          <w:szCs w:val="30"/>
          <w:rtl/>
          <w:lang w:eastAsia="zh-TW"/>
        </w:rPr>
        <w:t xml:space="preserve"> عن التعاون التقني بشأن الوثائق التوجيهية والاستفسارات بشأن المسائل المتعلقة بالقضايا الصحية. </w:t>
      </w:r>
      <w:r w:rsidR="000545E0">
        <w:rPr>
          <w:rFonts w:cs="Traditional Arabic" w:hint="cs"/>
          <w:sz w:val="30"/>
          <w:szCs w:val="30"/>
          <w:rtl/>
          <w:lang w:eastAsia="zh-TW"/>
        </w:rPr>
        <w:t>وتواصل</w:t>
      </w:r>
      <w:r w:rsidR="000545E0" w:rsidRPr="00232302">
        <w:rPr>
          <w:rFonts w:cs="Traditional Arabic"/>
          <w:sz w:val="30"/>
          <w:szCs w:val="30"/>
          <w:rtl/>
          <w:lang w:eastAsia="zh-TW"/>
        </w:rPr>
        <w:t xml:space="preserve"> </w:t>
      </w:r>
      <w:r w:rsidRPr="00232302">
        <w:rPr>
          <w:rFonts w:cs="Traditional Arabic"/>
          <w:sz w:val="30"/>
          <w:szCs w:val="30"/>
          <w:rtl/>
          <w:lang w:eastAsia="zh-TW"/>
        </w:rPr>
        <w:t xml:space="preserve">منظمة الصحة العالمية </w:t>
      </w:r>
      <w:r w:rsidR="000D489C">
        <w:rPr>
          <w:rFonts w:cs="Traditional Arabic" w:hint="cs"/>
          <w:sz w:val="30"/>
          <w:szCs w:val="30"/>
          <w:rtl/>
          <w:lang w:eastAsia="zh-TW"/>
        </w:rPr>
        <w:t xml:space="preserve">مشاركتها </w:t>
      </w:r>
      <w:r w:rsidRPr="00232302">
        <w:rPr>
          <w:rFonts w:cs="Traditional Arabic"/>
          <w:sz w:val="30"/>
          <w:szCs w:val="30"/>
          <w:rtl/>
          <w:lang w:eastAsia="zh-TW"/>
        </w:rPr>
        <w:t xml:space="preserve">في العمل بين الدورات بشأن تقييم الفعالية، </w:t>
      </w:r>
      <w:r w:rsidR="000545E0">
        <w:rPr>
          <w:rFonts w:cs="Traditional Arabic" w:hint="cs"/>
          <w:sz w:val="30"/>
          <w:szCs w:val="30"/>
          <w:rtl/>
          <w:lang w:eastAsia="zh-TW"/>
        </w:rPr>
        <w:t>وتقدم</w:t>
      </w:r>
      <w:r w:rsidR="000545E0" w:rsidRPr="00232302">
        <w:rPr>
          <w:rFonts w:cs="Traditional Arabic"/>
          <w:sz w:val="30"/>
          <w:szCs w:val="30"/>
          <w:rtl/>
          <w:lang w:eastAsia="zh-TW"/>
        </w:rPr>
        <w:t xml:space="preserve"> </w:t>
      </w:r>
      <w:r w:rsidRPr="00232302">
        <w:rPr>
          <w:rFonts w:cs="Traditional Arabic"/>
          <w:sz w:val="30"/>
          <w:szCs w:val="30"/>
          <w:rtl/>
          <w:lang w:eastAsia="zh-TW"/>
        </w:rPr>
        <w:t>إسهامات كبيرة في مشروع التقرير الذي أعده فريق الخبراء</w:t>
      </w:r>
      <w:r w:rsidR="000D489C">
        <w:rPr>
          <w:rFonts w:cs="Traditional Arabic" w:hint="cs"/>
          <w:sz w:val="30"/>
          <w:szCs w:val="30"/>
          <w:rtl/>
          <w:lang w:eastAsia="zh-TW"/>
        </w:rPr>
        <w:t xml:space="preserve"> التقنيين</w:t>
      </w:r>
      <w:r w:rsidRPr="00232302">
        <w:rPr>
          <w:rFonts w:cs="Traditional Arabic"/>
          <w:sz w:val="30"/>
          <w:szCs w:val="30"/>
          <w:rtl/>
          <w:lang w:eastAsia="zh-TW"/>
        </w:rPr>
        <w:t xml:space="preserve">. وترد في </w:t>
      </w:r>
      <w:r w:rsidR="000D489C">
        <w:rPr>
          <w:rFonts w:cs="Traditional Arabic" w:hint="cs"/>
          <w:sz w:val="30"/>
          <w:szCs w:val="30"/>
          <w:rtl/>
          <w:lang w:eastAsia="zh-TW"/>
        </w:rPr>
        <w:t>المرفق الأول</w:t>
      </w:r>
      <w:r w:rsidRPr="00232302">
        <w:rPr>
          <w:rFonts w:cs="Traditional Arabic"/>
          <w:sz w:val="30"/>
          <w:szCs w:val="30"/>
          <w:rtl/>
          <w:lang w:eastAsia="zh-TW"/>
        </w:rPr>
        <w:t xml:space="preserve"> </w:t>
      </w:r>
      <w:r w:rsidR="000D489C">
        <w:rPr>
          <w:rFonts w:cs="Traditional Arabic" w:hint="cs"/>
          <w:sz w:val="30"/>
          <w:szCs w:val="30"/>
          <w:rtl/>
          <w:lang w:eastAsia="zh-TW"/>
        </w:rPr>
        <w:t>ل</w:t>
      </w:r>
      <w:r w:rsidRPr="00232302">
        <w:rPr>
          <w:rFonts w:cs="Traditional Arabic"/>
          <w:sz w:val="30"/>
          <w:szCs w:val="30"/>
          <w:rtl/>
          <w:lang w:eastAsia="zh-TW"/>
        </w:rPr>
        <w:t xml:space="preserve">هذه المذكرة معلومات مستكملة عن أنشطة منظمة الصحة العالمية ذات الصلة باتفاقية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w:t>
      </w:r>
    </w:p>
    <w:p w14:paraId="5D68B964" w14:textId="23171DB0" w:rsidR="00232302" w:rsidRPr="00232302" w:rsidRDefault="000D489C" w:rsidP="005761F0">
      <w:pPr>
        <w:pStyle w:val="Normalnumber"/>
        <w:numPr>
          <w:ilvl w:val="0"/>
          <w:numId w:val="20"/>
        </w:numPr>
        <w:tabs>
          <w:tab w:val="left" w:pos="1841"/>
        </w:tabs>
        <w:bidi/>
        <w:spacing w:line="400" w:lineRule="exact"/>
        <w:ind w:left="1132" w:firstLine="0"/>
        <w:jc w:val="both"/>
        <w:textDirection w:val="tbRlV"/>
        <w:rPr>
          <w:rFonts w:cs="Traditional Arabic"/>
          <w:sz w:val="30"/>
          <w:szCs w:val="30"/>
          <w:rtl/>
          <w:lang w:eastAsia="zh-TW"/>
        </w:rPr>
      </w:pPr>
      <w:r>
        <w:rPr>
          <w:rFonts w:cs="Traditional Arabic" w:hint="cs"/>
          <w:sz w:val="30"/>
          <w:szCs w:val="30"/>
          <w:rtl/>
          <w:lang w:eastAsia="zh-TW"/>
        </w:rPr>
        <w:t>وركز العمل الذي اضطلعت به منظمة العمل الدولية حتى الآن على استخدام</w:t>
      </w:r>
      <w:r w:rsidR="00E362E3">
        <w:rPr>
          <w:rFonts w:cs="Traditional Arabic" w:hint="cs"/>
          <w:sz w:val="30"/>
          <w:szCs w:val="30"/>
          <w:rtl/>
          <w:lang w:eastAsia="zh-TW"/>
        </w:rPr>
        <w:t xml:space="preserve"> الزئبق في تعدين الذهب الحرفي والضيق النطاق (المادة 7)، إلا أن المنظمة تعمل حالياً على توسيع نطاق مبادراتها لتشمل حالات التعرض للزئبق في قطاع النفايات الإلكترونية (المادة 16). وتعمل منظمة العمل الدولية عموماً على تعزيز صكوكها الدولية التي تهدف إلى الوقاية من الأمراض والإصابات المهنية الناجمة عن التعرض للزئبق </w:t>
      </w:r>
      <w:r w:rsidR="000545E0">
        <w:rPr>
          <w:rFonts w:cs="Traditional Arabic" w:hint="cs"/>
          <w:sz w:val="30"/>
          <w:szCs w:val="30"/>
          <w:rtl/>
          <w:lang w:eastAsia="zh-TW"/>
        </w:rPr>
        <w:t>وتنفذ ال</w:t>
      </w:r>
      <w:r w:rsidR="00E362E3">
        <w:rPr>
          <w:rFonts w:cs="Traditional Arabic" w:hint="cs"/>
          <w:sz w:val="30"/>
          <w:szCs w:val="30"/>
          <w:rtl/>
          <w:lang w:eastAsia="zh-TW"/>
        </w:rPr>
        <w:t xml:space="preserve">مشاريع في قطاعي تعدين الذهب الحرفي والضيق النطاق وتفكيك السيارات. وتواصل المنظمة </w:t>
      </w:r>
      <w:r w:rsidR="000545E0">
        <w:rPr>
          <w:rFonts w:cs="Traditional Arabic" w:hint="cs"/>
          <w:sz w:val="30"/>
          <w:szCs w:val="30"/>
          <w:rtl/>
          <w:lang w:eastAsia="zh-TW"/>
        </w:rPr>
        <w:t xml:space="preserve">إصدار </w:t>
      </w:r>
      <w:r w:rsidR="00E362E3">
        <w:rPr>
          <w:rFonts w:cs="Traditional Arabic" w:hint="cs"/>
          <w:sz w:val="30"/>
          <w:szCs w:val="30"/>
          <w:rtl/>
          <w:lang w:eastAsia="zh-TW"/>
        </w:rPr>
        <w:t>مدونات عالمية</w:t>
      </w:r>
      <w:r w:rsidR="00DA61CC">
        <w:rPr>
          <w:rFonts w:cs="Traditional Arabic" w:hint="cs"/>
          <w:sz w:val="30"/>
          <w:szCs w:val="30"/>
          <w:rtl/>
          <w:lang w:eastAsia="zh-TW"/>
        </w:rPr>
        <w:t xml:space="preserve"> لقواعد الممارسات</w:t>
      </w:r>
      <w:r w:rsidR="00E362E3">
        <w:rPr>
          <w:rFonts w:cs="Traditional Arabic" w:hint="cs"/>
          <w:sz w:val="30"/>
          <w:szCs w:val="30"/>
          <w:rtl/>
          <w:lang w:eastAsia="zh-TW"/>
        </w:rPr>
        <w:t xml:space="preserve">، وورقات بحث ووثائق عمل للمساعدة على تنفيذ اتفاقية </w:t>
      </w:r>
      <w:proofErr w:type="spellStart"/>
      <w:r w:rsidR="00E362E3">
        <w:rPr>
          <w:rFonts w:cs="Traditional Arabic" w:hint="cs"/>
          <w:sz w:val="30"/>
          <w:szCs w:val="30"/>
          <w:rtl/>
          <w:lang w:eastAsia="zh-TW"/>
        </w:rPr>
        <w:t>ميناماتا</w:t>
      </w:r>
      <w:proofErr w:type="spellEnd"/>
      <w:r w:rsidR="00E362E3">
        <w:rPr>
          <w:rFonts w:cs="Traditional Arabic" w:hint="cs"/>
          <w:sz w:val="30"/>
          <w:szCs w:val="30"/>
          <w:rtl/>
          <w:lang w:eastAsia="zh-TW"/>
        </w:rPr>
        <w:t>. وتتضمن الجهود المستقبلية العمل المتواصل في قطاع تعدين الذهب الحرفي والضيق النطاق ومشروع</w:t>
      </w:r>
      <w:r w:rsidR="00217F36">
        <w:rPr>
          <w:rFonts w:cs="Traditional Arabic" w:hint="cs"/>
          <w:sz w:val="30"/>
          <w:szCs w:val="30"/>
          <w:rtl/>
          <w:lang w:eastAsia="zh-TW"/>
        </w:rPr>
        <w:t>اً</w:t>
      </w:r>
      <w:r w:rsidR="00E362E3">
        <w:rPr>
          <w:rFonts w:cs="Traditional Arabic" w:hint="cs"/>
          <w:sz w:val="30"/>
          <w:szCs w:val="30"/>
          <w:rtl/>
          <w:lang w:eastAsia="zh-TW"/>
        </w:rPr>
        <w:t xml:space="preserve"> مشترك</w:t>
      </w:r>
      <w:r w:rsidR="00217F36">
        <w:rPr>
          <w:rFonts w:cs="Traditional Arabic" w:hint="cs"/>
          <w:sz w:val="30"/>
          <w:szCs w:val="30"/>
          <w:rtl/>
          <w:lang w:eastAsia="zh-TW"/>
        </w:rPr>
        <w:t>اً</w:t>
      </w:r>
      <w:r w:rsidR="00E362E3">
        <w:rPr>
          <w:rFonts w:cs="Traditional Arabic" w:hint="cs"/>
          <w:sz w:val="30"/>
          <w:szCs w:val="30"/>
          <w:rtl/>
          <w:lang w:eastAsia="zh-TW"/>
        </w:rPr>
        <w:t xml:space="preserve"> محتمل</w:t>
      </w:r>
      <w:r w:rsidR="00217F36">
        <w:rPr>
          <w:rFonts w:cs="Traditional Arabic" w:hint="cs"/>
          <w:sz w:val="30"/>
          <w:szCs w:val="30"/>
          <w:rtl/>
          <w:lang w:eastAsia="zh-TW"/>
        </w:rPr>
        <w:t>اً</w:t>
      </w:r>
      <w:r w:rsidR="00E362E3">
        <w:rPr>
          <w:rFonts w:cs="Traditional Arabic" w:hint="cs"/>
          <w:sz w:val="30"/>
          <w:szCs w:val="30"/>
          <w:rtl/>
          <w:lang w:eastAsia="zh-TW"/>
        </w:rPr>
        <w:t xml:space="preserve"> مع منظمة الصحة العالمية وبرنامج الأمم المتحدة للبيئة لحماية العاملين </w:t>
      </w:r>
      <w:r w:rsidR="00DA61CC">
        <w:rPr>
          <w:rFonts w:cs="Traditional Arabic" w:hint="cs"/>
          <w:sz w:val="30"/>
          <w:szCs w:val="30"/>
          <w:rtl/>
          <w:lang w:eastAsia="zh-TW"/>
        </w:rPr>
        <w:t>في المجال الطبي</w:t>
      </w:r>
      <w:r w:rsidR="00E362E3">
        <w:rPr>
          <w:rFonts w:cs="Traditional Arabic" w:hint="cs"/>
          <w:sz w:val="30"/>
          <w:szCs w:val="30"/>
          <w:rtl/>
          <w:lang w:eastAsia="zh-TW"/>
        </w:rPr>
        <w:t xml:space="preserve"> في قطاع طب الأسنان من التعرض الخطير للزئبق. وفي 4 تموز/يوليو 2019، قدمت منظمة العمل الدولية أنشطتها المتعلقة باتفاقية </w:t>
      </w:r>
      <w:proofErr w:type="spellStart"/>
      <w:r w:rsidR="00E362E3">
        <w:rPr>
          <w:rFonts w:cs="Traditional Arabic" w:hint="cs"/>
          <w:sz w:val="30"/>
          <w:szCs w:val="30"/>
          <w:rtl/>
          <w:lang w:eastAsia="zh-TW"/>
        </w:rPr>
        <w:t>ميناماتا</w:t>
      </w:r>
      <w:proofErr w:type="spellEnd"/>
      <w:r w:rsidR="00E362E3">
        <w:rPr>
          <w:rFonts w:cs="Traditional Arabic" w:hint="cs"/>
          <w:sz w:val="30"/>
          <w:szCs w:val="30"/>
          <w:rtl/>
          <w:lang w:eastAsia="zh-TW"/>
        </w:rPr>
        <w:t xml:space="preserve"> في إحاطة موجهة إلى المجتمع الدولي في جنيف، نظمته</w:t>
      </w:r>
      <w:r w:rsidR="00217F36">
        <w:rPr>
          <w:rFonts w:cs="Traditional Arabic" w:hint="cs"/>
          <w:sz w:val="30"/>
          <w:szCs w:val="30"/>
          <w:rtl/>
          <w:lang w:eastAsia="zh-TW"/>
        </w:rPr>
        <w:t>ا</w:t>
      </w:r>
      <w:r w:rsidR="00E362E3">
        <w:rPr>
          <w:rFonts w:cs="Traditional Arabic" w:hint="cs"/>
          <w:sz w:val="30"/>
          <w:szCs w:val="30"/>
          <w:rtl/>
          <w:lang w:eastAsia="zh-TW"/>
        </w:rPr>
        <w:t xml:space="preserve"> شبكة جنيف للبيئة. ويرد في المرفق الثاني لهذه المذكرة تحديث لأنشطة منظمة العمل الدولية ذات الصلة باتفاقية </w:t>
      </w:r>
      <w:proofErr w:type="spellStart"/>
      <w:r w:rsidR="00E362E3">
        <w:rPr>
          <w:rFonts w:cs="Traditional Arabic" w:hint="cs"/>
          <w:sz w:val="30"/>
          <w:szCs w:val="30"/>
          <w:rtl/>
          <w:lang w:eastAsia="zh-TW"/>
        </w:rPr>
        <w:t>ميناماتا</w:t>
      </w:r>
      <w:proofErr w:type="spellEnd"/>
      <w:r w:rsidR="00E362E3">
        <w:rPr>
          <w:rFonts w:cs="Traditional Arabic" w:hint="cs"/>
          <w:sz w:val="30"/>
          <w:szCs w:val="30"/>
          <w:rtl/>
          <w:lang w:eastAsia="zh-TW"/>
        </w:rPr>
        <w:t>.</w:t>
      </w:r>
    </w:p>
    <w:p w14:paraId="1FC59B7B" w14:textId="2D7B1999" w:rsidR="00C60C8B" w:rsidRDefault="0055540A" w:rsidP="005761F0">
      <w:pPr>
        <w:pStyle w:val="Normalnumber"/>
        <w:numPr>
          <w:ilvl w:val="0"/>
          <w:numId w:val="20"/>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و</w:t>
      </w:r>
      <w:r w:rsidR="00232302" w:rsidRPr="00232302">
        <w:rPr>
          <w:rFonts w:cs="Traditional Arabic"/>
          <w:sz w:val="30"/>
          <w:szCs w:val="30"/>
          <w:rtl/>
          <w:lang w:eastAsia="zh-TW"/>
        </w:rPr>
        <w:t xml:space="preserve">لا تزال الأمانة تتواصل مع </w:t>
      </w:r>
      <w:r>
        <w:rPr>
          <w:rFonts w:cs="Traditional Arabic" w:hint="cs"/>
          <w:sz w:val="30"/>
          <w:szCs w:val="30"/>
          <w:rtl/>
          <w:lang w:eastAsia="zh-TW"/>
        </w:rPr>
        <w:t>منظمة العمل الدولية ومنظمة الصحة العالمية</w:t>
      </w:r>
      <w:r w:rsidR="00232302" w:rsidRPr="00232302">
        <w:rPr>
          <w:rFonts w:cs="Traditional Arabic"/>
          <w:sz w:val="30"/>
          <w:szCs w:val="30"/>
          <w:rtl/>
          <w:lang w:eastAsia="zh-TW"/>
        </w:rPr>
        <w:t xml:space="preserve"> من خلال البرنامج المشترك بين المنظمات للإدارة السليمة للمواد الكيميائية، الذي يمثل آلية التنسيق الدولية المعنية بإدارة المواد الكيميائية.</w:t>
      </w:r>
    </w:p>
    <w:p w14:paraId="08DADB1D" w14:textId="77777777" w:rsidR="00232302" w:rsidRPr="00D52814" w:rsidRDefault="00232302" w:rsidP="005761F0">
      <w:pPr>
        <w:pStyle w:val="Normalnumber"/>
        <w:numPr>
          <w:ilvl w:val="0"/>
          <w:numId w:val="0"/>
        </w:numPr>
        <w:tabs>
          <w:tab w:val="left" w:pos="1841"/>
        </w:tabs>
        <w:bidi/>
        <w:spacing w:line="400" w:lineRule="exact"/>
        <w:ind w:left="1132"/>
        <w:jc w:val="both"/>
        <w:textDirection w:val="tbRlV"/>
        <w:rPr>
          <w:rFonts w:cs="Traditional Arabic"/>
          <w:b/>
          <w:bCs/>
          <w:sz w:val="30"/>
          <w:szCs w:val="30"/>
          <w:rtl/>
          <w:lang w:eastAsia="zh-TW"/>
        </w:rPr>
      </w:pPr>
      <w:r w:rsidRPr="00D52814">
        <w:rPr>
          <w:rFonts w:cs="Traditional Arabic"/>
          <w:b/>
          <w:bCs/>
          <w:sz w:val="30"/>
          <w:szCs w:val="30"/>
          <w:rtl/>
          <w:lang w:eastAsia="zh-TW"/>
        </w:rPr>
        <w:t>الإجراء الذي يُقترح أن يتخذه مؤتمر الأطراف</w:t>
      </w:r>
    </w:p>
    <w:p w14:paraId="4EF1559E" w14:textId="48DAA5B4" w:rsidR="007D523D" w:rsidRPr="007D523D" w:rsidRDefault="00232302" w:rsidP="005761F0">
      <w:pPr>
        <w:pStyle w:val="Normalnumber"/>
        <w:numPr>
          <w:ilvl w:val="0"/>
          <w:numId w:val="20"/>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4"/>
          <w:szCs w:val="34"/>
          <w:lang w:eastAsia="zh-TW"/>
        </w:rPr>
      </w:pPr>
      <w:r w:rsidRPr="008F5CBD">
        <w:rPr>
          <w:rFonts w:cs="Traditional Arabic"/>
          <w:sz w:val="30"/>
          <w:szCs w:val="30"/>
          <w:rtl/>
          <w:lang w:eastAsia="zh-TW"/>
        </w:rPr>
        <w:t>قد يود مؤتمر الأطراف أن يطلب إلى الأمانة أن تواصل عمليات التعاون والتآزر النشطة بشأن المسائل المتصلة بالصحة مع المنظمات الحكومية الدولية المعنية، ولا سيما منظمة الصحة العالمية، ومنظمة العمل الدولية. وقد يود مؤتمر الأطراف</w:t>
      </w:r>
      <w:r w:rsidR="0055540A" w:rsidRPr="008F5CBD">
        <w:rPr>
          <w:rFonts w:cs="Traditional Arabic" w:hint="cs"/>
          <w:sz w:val="30"/>
          <w:szCs w:val="30"/>
          <w:rtl/>
          <w:lang w:eastAsia="zh-TW"/>
        </w:rPr>
        <w:t xml:space="preserve"> أيضاً</w:t>
      </w:r>
      <w:r w:rsidRPr="008F5CBD">
        <w:rPr>
          <w:rFonts w:cs="Traditional Arabic"/>
          <w:sz w:val="30"/>
          <w:szCs w:val="30"/>
          <w:rtl/>
          <w:lang w:eastAsia="zh-TW"/>
        </w:rPr>
        <w:t xml:space="preserve"> أن ينظر في السبل التي يمكن بها </w:t>
      </w:r>
      <w:r w:rsidR="0055540A" w:rsidRPr="008F5CBD">
        <w:rPr>
          <w:rFonts w:cs="Traditional Arabic" w:hint="cs"/>
          <w:sz w:val="30"/>
          <w:szCs w:val="30"/>
          <w:rtl/>
          <w:lang w:eastAsia="zh-TW"/>
        </w:rPr>
        <w:t xml:space="preserve">تعزيز التشاور، والتعاون وتبادل المعلومات مع </w:t>
      </w:r>
      <w:r w:rsidR="00217F36">
        <w:rPr>
          <w:rFonts w:cs="Traditional Arabic" w:hint="cs"/>
          <w:sz w:val="30"/>
          <w:szCs w:val="30"/>
          <w:rtl/>
          <w:lang w:eastAsia="zh-TW"/>
        </w:rPr>
        <w:t>تلك</w:t>
      </w:r>
      <w:r w:rsidR="00217F36" w:rsidRPr="008F5CBD">
        <w:rPr>
          <w:rFonts w:cs="Traditional Arabic" w:hint="cs"/>
          <w:sz w:val="30"/>
          <w:szCs w:val="30"/>
          <w:rtl/>
          <w:lang w:eastAsia="zh-TW"/>
        </w:rPr>
        <w:t xml:space="preserve"> </w:t>
      </w:r>
      <w:r w:rsidR="0055540A" w:rsidRPr="008F5CBD">
        <w:rPr>
          <w:rFonts w:cs="Traditional Arabic" w:hint="cs"/>
          <w:sz w:val="30"/>
          <w:szCs w:val="30"/>
          <w:rtl/>
          <w:lang w:eastAsia="zh-TW"/>
        </w:rPr>
        <w:t>المنظمات، على النحو الوارد في</w:t>
      </w:r>
      <w:r w:rsidRPr="008F5CBD">
        <w:rPr>
          <w:rFonts w:cs="Traditional Arabic"/>
          <w:sz w:val="30"/>
          <w:szCs w:val="30"/>
          <w:rtl/>
          <w:lang w:eastAsia="zh-TW"/>
        </w:rPr>
        <w:t xml:space="preserve"> الفقرة </w:t>
      </w:r>
      <w:r w:rsidR="0055540A" w:rsidRPr="008F5CBD">
        <w:rPr>
          <w:rFonts w:cs="Traditional Arabic" w:hint="cs"/>
          <w:sz w:val="30"/>
          <w:szCs w:val="30"/>
          <w:rtl/>
          <w:lang w:eastAsia="zh-TW"/>
        </w:rPr>
        <w:t>2</w:t>
      </w:r>
      <w:r w:rsidRPr="008F5CBD">
        <w:rPr>
          <w:rFonts w:cs="Traditional Arabic"/>
          <w:sz w:val="30"/>
          <w:szCs w:val="30"/>
          <w:rtl/>
          <w:lang w:eastAsia="zh-TW"/>
        </w:rPr>
        <w:t xml:space="preserve"> من المادة </w:t>
      </w:r>
      <w:r w:rsidR="0055540A" w:rsidRPr="008F5CBD">
        <w:rPr>
          <w:rFonts w:cs="Traditional Arabic" w:hint="cs"/>
          <w:sz w:val="30"/>
          <w:szCs w:val="30"/>
          <w:rtl/>
          <w:lang w:eastAsia="zh-TW"/>
        </w:rPr>
        <w:t>16</w:t>
      </w:r>
      <w:r w:rsidR="008F5CBD">
        <w:rPr>
          <w:rFonts w:cs="Traditional Arabic" w:hint="cs"/>
          <w:sz w:val="30"/>
          <w:szCs w:val="30"/>
          <w:rtl/>
          <w:lang w:eastAsia="zh-TW"/>
        </w:rPr>
        <w:t>.</w:t>
      </w:r>
    </w:p>
    <w:p w14:paraId="46287A11" w14:textId="74E34C41" w:rsidR="00232302" w:rsidRPr="008F5CBD" w:rsidRDefault="00452B9C" w:rsidP="005761F0">
      <w:pPr>
        <w:pStyle w:val="Normalnumber"/>
        <w:numPr>
          <w:ilvl w:val="0"/>
          <w:numId w:val="0"/>
        </w:numPr>
        <w:tabs>
          <w:tab w:val="left" w:pos="1841"/>
        </w:tabs>
        <w:autoSpaceDE/>
        <w:autoSpaceDN/>
        <w:bidi/>
        <w:adjustRightInd/>
        <w:spacing w:line="400" w:lineRule="exact"/>
        <w:jc w:val="both"/>
        <w:textDirection w:val="tbRlV"/>
        <w:rPr>
          <w:rFonts w:ascii="Traditional Arabic" w:hAnsi="Traditional Arabic" w:cs="Traditional Arabic"/>
          <w:sz w:val="34"/>
          <w:szCs w:val="34"/>
          <w:rtl/>
          <w:lang w:eastAsia="zh-TW"/>
        </w:rPr>
      </w:pPr>
      <w:r w:rsidRPr="008F5CBD">
        <w:rPr>
          <w:sz w:val="30"/>
          <w:rtl/>
          <w:lang w:eastAsia="zh-TW"/>
        </w:rPr>
        <w:br w:type="page"/>
      </w:r>
      <w:r w:rsidR="00232302" w:rsidRPr="00F73A83">
        <w:rPr>
          <w:rFonts w:ascii="Traditional Arabic" w:hAnsi="Traditional Arabic" w:cs="Traditional Arabic"/>
          <w:b/>
          <w:bCs/>
          <w:sz w:val="34"/>
          <w:szCs w:val="34"/>
          <w:rtl/>
          <w:lang w:eastAsia="zh-TW"/>
        </w:rPr>
        <w:lastRenderedPageBreak/>
        <w:t>المرفق</w:t>
      </w:r>
      <w:r w:rsidR="008F5CBD" w:rsidRPr="00F73A83">
        <w:rPr>
          <w:rFonts w:ascii="Traditional Arabic" w:hAnsi="Traditional Arabic" w:cs="Traditional Arabic" w:hint="cs"/>
          <w:b/>
          <w:bCs/>
          <w:sz w:val="34"/>
          <w:szCs w:val="34"/>
          <w:rtl/>
          <w:lang w:eastAsia="zh-TW" w:bidi="ar-EG"/>
        </w:rPr>
        <w:t xml:space="preserve"> الأول</w:t>
      </w:r>
    </w:p>
    <w:p w14:paraId="19DFC3C8" w14:textId="77777777" w:rsidR="00232302" w:rsidRPr="00232302" w:rsidRDefault="00232302" w:rsidP="005761F0">
      <w:pPr>
        <w:tabs>
          <w:tab w:val="left" w:pos="1841"/>
          <w:tab w:val="left" w:pos="4082"/>
        </w:tabs>
        <w:bidi/>
        <w:spacing w:after="120" w:line="400" w:lineRule="exact"/>
        <w:ind w:left="1134"/>
        <w:jc w:val="both"/>
        <w:textDirection w:val="tbRlV"/>
        <w:rPr>
          <w:rFonts w:ascii="Traditional Arabic" w:hAnsi="Traditional Arabic"/>
          <w:b/>
          <w:bCs/>
          <w:sz w:val="32"/>
          <w:szCs w:val="32"/>
          <w:rtl/>
          <w:lang w:val="en-GB" w:eastAsia="zh-TW"/>
        </w:rPr>
      </w:pPr>
      <w:r w:rsidRPr="00232302">
        <w:rPr>
          <w:rFonts w:ascii="Traditional Arabic" w:hAnsi="Traditional Arabic"/>
          <w:b/>
          <w:bCs/>
          <w:sz w:val="32"/>
          <w:szCs w:val="32"/>
          <w:rtl/>
          <w:lang w:val="en-GB" w:eastAsia="zh-TW"/>
        </w:rPr>
        <w:t xml:space="preserve">عمل منظمة الصحة العالمية فيما يتعلق باتفاقية </w:t>
      </w:r>
      <w:proofErr w:type="spellStart"/>
      <w:r w:rsidRPr="00232302">
        <w:rPr>
          <w:rFonts w:ascii="Traditional Arabic" w:hAnsi="Traditional Arabic"/>
          <w:b/>
          <w:bCs/>
          <w:sz w:val="32"/>
          <w:szCs w:val="32"/>
          <w:rtl/>
          <w:lang w:val="en-GB" w:eastAsia="zh-TW"/>
        </w:rPr>
        <w:t>ميناماتا</w:t>
      </w:r>
      <w:proofErr w:type="spellEnd"/>
      <w:r w:rsidRPr="00232302">
        <w:rPr>
          <w:rFonts w:ascii="Traditional Arabic" w:hAnsi="Traditional Arabic"/>
          <w:b/>
          <w:bCs/>
          <w:sz w:val="32"/>
          <w:szCs w:val="32"/>
          <w:rtl/>
          <w:lang w:val="en-GB" w:eastAsia="zh-TW"/>
        </w:rPr>
        <w:t xml:space="preserve"> بشأن الزئبق</w:t>
      </w:r>
    </w:p>
    <w:p w14:paraId="38668ED2" w14:textId="1E24E88C"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ينبع التعاون بين منظمة الصحة العالمية ومؤتمر الأطراف</w:t>
      </w:r>
      <w:r w:rsidR="008F5CBD">
        <w:rPr>
          <w:rFonts w:cs="Traditional Arabic" w:hint="cs"/>
          <w:sz w:val="30"/>
          <w:szCs w:val="30"/>
          <w:rtl/>
          <w:lang w:eastAsia="zh-TW"/>
        </w:rPr>
        <w:t xml:space="preserve"> في اتفاقية </w:t>
      </w:r>
      <w:proofErr w:type="spellStart"/>
      <w:r w:rsidR="008F5CBD">
        <w:rPr>
          <w:rFonts w:cs="Traditional Arabic" w:hint="cs"/>
          <w:sz w:val="30"/>
          <w:szCs w:val="30"/>
          <w:rtl/>
          <w:lang w:eastAsia="zh-TW"/>
        </w:rPr>
        <w:t>ميناماتا</w:t>
      </w:r>
      <w:proofErr w:type="spellEnd"/>
      <w:r w:rsidRPr="00232302">
        <w:rPr>
          <w:rFonts w:cs="Traditional Arabic"/>
          <w:sz w:val="30"/>
          <w:szCs w:val="30"/>
          <w:rtl/>
          <w:lang w:eastAsia="zh-TW"/>
        </w:rPr>
        <w:t xml:space="preserve"> </w:t>
      </w:r>
      <w:r w:rsidR="00217F36">
        <w:rPr>
          <w:rFonts w:cs="Traditional Arabic" w:hint="cs"/>
          <w:sz w:val="30"/>
          <w:szCs w:val="30"/>
          <w:rtl/>
          <w:lang w:eastAsia="zh-TW"/>
        </w:rPr>
        <w:t xml:space="preserve">بشأن الزئبق </w:t>
      </w:r>
      <w:r w:rsidRPr="00232302">
        <w:rPr>
          <w:rFonts w:cs="Traditional Arabic"/>
          <w:sz w:val="30"/>
          <w:szCs w:val="30"/>
          <w:rtl/>
          <w:lang w:eastAsia="zh-TW"/>
        </w:rPr>
        <w:t xml:space="preserve">وأمانة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من نص الاتفاقية، ولا سيما الفقرة </w:t>
      </w:r>
      <w:r w:rsidR="008F5CBD">
        <w:rPr>
          <w:rFonts w:cs="Traditional Arabic" w:hint="cs"/>
          <w:sz w:val="30"/>
          <w:szCs w:val="30"/>
          <w:rtl/>
          <w:lang w:eastAsia="zh-TW"/>
        </w:rPr>
        <w:t>2</w:t>
      </w:r>
      <w:r w:rsidRPr="00232302">
        <w:rPr>
          <w:rFonts w:cs="Traditional Arabic"/>
          <w:sz w:val="30"/>
          <w:szCs w:val="30"/>
          <w:rtl/>
          <w:lang w:eastAsia="zh-TW"/>
        </w:rPr>
        <w:t xml:space="preserve"> من المادة </w:t>
      </w:r>
      <w:r w:rsidR="008F5CBD">
        <w:rPr>
          <w:rFonts w:cs="Traditional Arabic" w:hint="cs"/>
          <w:sz w:val="30"/>
          <w:szCs w:val="30"/>
          <w:rtl/>
          <w:lang w:eastAsia="zh-TW"/>
        </w:rPr>
        <w:t>16</w:t>
      </w:r>
      <w:r w:rsidRPr="00232302">
        <w:rPr>
          <w:rFonts w:cs="Traditional Arabic"/>
          <w:sz w:val="30"/>
          <w:szCs w:val="30"/>
          <w:rtl/>
          <w:lang w:eastAsia="zh-TW"/>
        </w:rPr>
        <w:t xml:space="preserve">؛ ومن </w:t>
      </w:r>
      <w:r w:rsidR="008F5CBD">
        <w:rPr>
          <w:rFonts w:cs="Traditional Arabic" w:hint="cs"/>
          <w:sz w:val="30"/>
          <w:szCs w:val="30"/>
          <w:rtl/>
          <w:lang w:eastAsia="zh-TW"/>
        </w:rPr>
        <w:t xml:space="preserve">قرار مؤتمر </w:t>
      </w:r>
      <w:r w:rsidR="008F5CBD" w:rsidRPr="00232302">
        <w:rPr>
          <w:rFonts w:cs="Traditional Arabic"/>
          <w:sz w:val="30"/>
          <w:szCs w:val="30"/>
          <w:rtl/>
          <w:lang w:eastAsia="zh-TW"/>
        </w:rPr>
        <w:t>المفوضين</w:t>
      </w:r>
      <w:r w:rsidR="00A12840">
        <w:rPr>
          <w:rFonts w:cs="Traditional Arabic" w:hint="cs"/>
          <w:sz w:val="30"/>
          <w:szCs w:val="30"/>
          <w:rtl/>
          <w:lang w:eastAsia="zh-TW"/>
        </w:rPr>
        <w:t xml:space="preserve"> </w:t>
      </w:r>
      <w:r w:rsidR="00A12840" w:rsidRPr="00A12840">
        <w:rPr>
          <w:rFonts w:cs="Traditional Arabic"/>
          <w:sz w:val="30"/>
          <w:szCs w:val="30"/>
          <w:rtl/>
          <w:lang w:eastAsia="zh-TW"/>
        </w:rPr>
        <w:t>بشأن المسائل المتعلقة بهيئات دولية أخرى</w:t>
      </w:r>
      <w:r w:rsidRPr="00232302">
        <w:rPr>
          <w:rFonts w:cs="Traditional Arabic"/>
          <w:sz w:val="30"/>
          <w:szCs w:val="30"/>
          <w:rtl/>
          <w:lang w:eastAsia="zh-TW"/>
        </w:rPr>
        <w:t>؛ ومن قرار جمعية الصحة العالمية 67-11</w:t>
      </w:r>
      <w:r w:rsidR="00DA61CC">
        <w:rPr>
          <w:rFonts w:cs="Traditional Arabic" w:hint="cs"/>
          <w:sz w:val="30"/>
          <w:szCs w:val="30"/>
          <w:rtl/>
          <w:lang w:eastAsia="zh-TW" w:bidi="ar-EG"/>
        </w:rPr>
        <w:t xml:space="preserve"> </w:t>
      </w:r>
      <w:r w:rsidR="00DA61CC" w:rsidRPr="008B35FC">
        <w:rPr>
          <w:rFonts w:asciiTheme="majorBidi" w:hAnsiTheme="majorBidi" w:cstheme="majorBidi"/>
          <w:szCs w:val="20"/>
          <w:rtl/>
          <w:lang w:eastAsia="zh-TW" w:bidi="ar-EG"/>
        </w:rPr>
        <w:t>(</w:t>
      </w:r>
      <w:r w:rsidR="00217F36" w:rsidRPr="008B35FC">
        <w:rPr>
          <w:rFonts w:asciiTheme="majorBidi" w:hAnsiTheme="majorBidi" w:cstheme="majorBidi"/>
          <w:szCs w:val="20"/>
          <w:lang w:eastAsia="zh-TW" w:bidi="ar-EG"/>
        </w:rPr>
        <w:t>WHA67.11</w:t>
      </w:r>
      <w:r w:rsidR="00711AC1" w:rsidRPr="008B35FC">
        <w:rPr>
          <w:rFonts w:asciiTheme="majorBidi" w:hAnsiTheme="majorBidi" w:cstheme="majorBidi"/>
          <w:szCs w:val="20"/>
          <w:rtl/>
          <w:lang w:eastAsia="zh-TW" w:bidi="ar-EG"/>
        </w:rPr>
        <w:t>)</w:t>
      </w:r>
      <w:r w:rsidR="00711AC1">
        <w:rPr>
          <w:rFonts w:cs="Traditional Arabic" w:hint="cs"/>
          <w:sz w:val="30"/>
          <w:szCs w:val="30"/>
          <w:rtl/>
          <w:lang w:eastAsia="zh-TW" w:bidi="ar-EG"/>
        </w:rPr>
        <w:t xml:space="preserve"> </w:t>
      </w:r>
      <w:r w:rsidRPr="00232302">
        <w:rPr>
          <w:rFonts w:cs="Traditional Arabic"/>
          <w:sz w:val="30"/>
          <w:szCs w:val="30"/>
          <w:rtl/>
          <w:lang w:eastAsia="zh-TW"/>
        </w:rPr>
        <w:t xml:space="preserve">بشأن الآثار الصحية العمومية المترتبة على التعرُّض للزئبق ومركّباته: دور منظمة الصحة العالمية ووزارات الصحة العمومية في تنفيذ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w:t>
      </w:r>
    </w:p>
    <w:p w14:paraId="5181ECD9" w14:textId="0821AB25"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وفي الفترة من تموز/يوليه </w:t>
      </w:r>
      <w:r w:rsidR="008F5CBD">
        <w:rPr>
          <w:rFonts w:cs="Traditional Arabic" w:hint="cs"/>
          <w:sz w:val="30"/>
          <w:szCs w:val="30"/>
          <w:rtl/>
          <w:lang w:eastAsia="zh-TW"/>
        </w:rPr>
        <w:t>2018 إلى حزيران/يوني</w:t>
      </w:r>
      <w:r w:rsidR="00D52814">
        <w:rPr>
          <w:rFonts w:cs="Traditional Arabic" w:hint="cs"/>
          <w:sz w:val="30"/>
          <w:szCs w:val="30"/>
          <w:rtl/>
          <w:lang w:eastAsia="zh-TW"/>
        </w:rPr>
        <w:t>ه</w:t>
      </w:r>
      <w:r w:rsidR="008F5CBD">
        <w:rPr>
          <w:rFonts w:cs="Traditional Arabic" w:hint="cs"/>
          <w:sz w:val="30"/>
          <w:szCs w:val="30"/>
          <w:rtl/>
          <w:lang w:eastAsia="zh-TW"/>
        </w:rPr>
        <w:t xml:space="preserve"> 2019</w:t>
      </w:r>
      <w:r w:rsidRPr="00232302">
        <w:rPr>
          <w:rFonts w:cs="Traditional Arabic"/>
          <w:sz w:val="30"/>
          <w:szCs w:val="30"/>
          <w:rtl/>
          <w:lang w:eastAsia="zh-TW"/>
        </w:rPr>
        <w:t xml:space="preserve">، ركزت أنشطة منظمة الصحة العالمية ذات الصلة باتفاقية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على </w:t>
      </w:r>
      <w:r w:rsidR="008F5CBD">
        <w:rPr>
          <w:rFonts w:cs="Traditional Arabic" w:hint="cs"/>
          <w:sz w:val="30"/>
          <w:szCs w:val="30"/>
          <w:rtl/>
          <w:lang w:eastAsia="zh-TW"/>
        </w:rPr>
        <w:t>المسائل الواردة أدناه</w:t>
      </w:r>
      <w:r w:rsidRPr="00232302">
        <w:rPr>
          <w:rFonts w:cs="Traditional Arabic"/>
          <w:sz w:val="30"/>
          <w:szCs w:val="30"/>
          <w:rtl/>
          <w:lang w:eastAsia="zh-TW"/>
        </w:rPr>
        <w:t>.</w:t>
      </w:r>
    </w:p>
    <w:p w14:paraId="00682384" w14:textId="7BCE9EDF"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 xml:space="preserve">توجيهات منظمة الصحة العالمية بشأن تحديد الأولويات والتخطيط لتنفيذ المواد المتصلة بالصحة في اتفاقية </w:t>
      </w:r>
      <w:proofErr w:type="spellStart"/>
      <w:r w:rsidRPr="00232302">
        <w:rPr>
          <w:rFonts w:ascii="Traditional Arabic" w:hAnsi="Traditional Arabic"/>
          <w:b/>
          <w:bCs/>
          <w:sz w:val="30"/>
          <w:rtl/>
          <w:lang w:val="en-GB" w:eastAsia="zh-TW"/>
        </w:rPr>
        <w:t>ميناماتا</w:t>
      </w:r>
      <w:proofErr w:type="spellEnd"/>
    </w:p>
    <w:p w14:paraId="36273AE6" w14:textId="13E6B5CE" w:rsid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lang w:eastAsia="zh-TW"/>
        </w:rPr>
      </w:pPr>
      <w:r w:rsidRPr="00232302">
        <w:rPr>
          <w:rFonts w:cs="Traditional Arabic"/>
          <w:sz w:val="30"/>
          <w:szCs w:val="30"/>
          <w:rtl/>
          <w:lang w:eastAsia="zh-TW"/>
        </w:rPr>
        <w:t xml:space="preserve">بسبب تعدد الأدوار المطلوبة من وزارات الصحة في تنفيذ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w:t>
      </w:r>
      <w:r w:rsidR="00217F36">
        <w:rPr>
          <w:rFonts w:cs="Traditional Arabic" w:hint="cs"/>
          <w:sz w:val="30"/>
          <w:szCs w:val="30"/>
          <w:rtl/>
          <w:lang w:eastAsia="zh-TW"/>
        </w:rPr>
        <w:t>وضعت</w:t>
      </w:r>
      <w:r w:rsidR="00217F36" w:rsidRPr="00232302">
        <w:rPr>
          <w:rFonts w:cs="Traditional Arabic"/>
          <w:sz w:val="30"/>
          <w:szCs w:val="30"/>
          <w:rtl/>
          <w:lang w:eastAsia="zh-TW"/>
        </w:rPr>
        <w:t xml:space="preserve"> </w:t>
      </w:r>
      <w:r w:rsidRPr="00232302">
        <w:rPr>
          <w:rFonts w:cs="Traditional Arabic"/>
          <w:sz w:val="30"/>
          <w:szCs w:val="30"/>
          <w:rtl/>
          <w:lang w:eastAsia="zh-TW"/>
        </w:rPr>
        <w:t>منظمة الصحة العالمية توجيهات بشأن التخطيط</w:t>
      </w:r>
      <w:r w:rsidR="008F5CBD">
        <w:rPr>
          <w:rFonts w:cs="Traditional Arabic" w:hint="cs"/>
          <w:sz w:val="30"/>
          <w:szCs w:val="30"/>
          <w:rtl/>
          <w:lang w:eastAsia="zh-TW"/>
        </w:rPr>
        <w:t xml:space="preserve"> الاستراتيجي</w:t>
      </w:r>
      <w:r w:rsidR="00711AC1">
        <w:rPr>
          <w:rFonts w:cs="Traditional Arabic" w:hint="cs"/>
          <w:sz w:val="30"/>
          <w:szCs w:val="30"/>
          <w:rtl/>
          <w:lang w:eastAsia="zh-TW"/>
        </w:rPr>
        <w:t xml:space="preserve"> لتنفيذ المواد المتعلقة بالصحة في الاتفاقية</w:t>
      </w:r>
      <w:r w:rsidR="008F5CBD">
        <w:rPr>
          <w:rFonts w:cs="Traditional Arabic" w:hint="cs"/>
          <w:sz w:val="30"/>
          <w:szCs w:val="30"/>
          <w:rtl/>
          <w:lang w:eastAsia="zh-TW"/>
        </w:rPr>
        <w:t>. وتقر التوجيهات بأنه سيتعين تكييف النهج المتبع في أي بلد مع الاحتياجات والظروف الخاصة بهذا البلد. لذا، تحدد الوثيقة ا</w:t>
      </w:r>
      <w:r w:rsidR="00217F36">
        <w:rPr>
          <w:rFonts w:cs="Traditional Arabic" w:hint="cs"/>
          <w:sz w:val="30"/>
          <w:szCs w:val="30"/>
          <w:rtl/>
          <w:lang w:eastAsia="zh-TW"/>
        </w:rPr>
        <w:t>لا</w:t>
      </w:r>
      <w:r w:rsidR="008F5CBD">
        <w:rPr>
          <w:rFonts w:cs="Traditional Arabic" w:hint="cs"/>
          <w:sz w:val="30"/>
          <w:szCs w:val="30"/>
          <w:rtl/>
          <w:lang w:eastAsia="zh-TW"/>
        </w:rPr>
        <w:t xml:space="preserve">عتبارات </w:t>
      </w:r>
      <w:r w:rsidR="00217F36">
        <w:rPr>
          <w:rFonts w:cs="Traditional Arabic" w:hint="cs"/>
          <w:sz w:val="30"/>
          <w:szCs w:val="30"/>
          <w:rtl/>
          <w:lang w:eastAsia="zh-TW"/>
        </w:rPr>
        <w:t>ال</w:t>
      </w:r>
      <w:r w:rsidR="008F5CBD">
        <w:rPr>
          <w:rFonts w:cs="Traditional Arabic" w:hint="cs"/>
          <w:sz w:val="30"/>
          <w:szCs w:val="30"/>
          <w:rtl/>
          <w:lang w:eastAsia="zh-TW"/>
        </w:rPr>
        <w:t xml:space="preserve">رئيسية </w:t>
      </w:r>
      <w:r w:rsidR="00217F36">
        <w:rPr>
          <w:rFonts w:cs="Traditional Arabic" w:hint="cs"/>
          <w:sz w:val="30"/>
          <w:szCs w:val="30"/>
          <w:rtl/>
          <w:lang w:eastAsia="zh-TW"/>
        </w:rPr>
        <w:t xml:space="preserve">التي تجب </w:t>
      </w:r>
      <w:r w:rsidR="008F5CBD">
        <w:rPr>
          <w:rFonts w:cs="Traditional Arabic" w:hint="cs"/>
          <w:sz w:val="30"/>
          <w:szCs w:val="30"/>
          <w:rtl/>
          <w:lang w:eastAsia="zh-TW"/>
        </w:rPr>
        <w:t xml:space="preserve">مراعاتها عند إعداد الخطط، </w:t>
      </w:r>
      <w:r w:rsidR="00217F36">
        <w:rPr>
          <w:rFonts w:cs="Traditional Arabic" w:hint="cs"/>
          <w:sz w:val="30"/>
          <w:szCs w:val="30"/>
          <w:rtl/>
          <w:lang w:eastAsia="zh-TW"/>
        </w:rPr>
        <w:t>وترد فيها توجيهات</w:t>
      </w:r>
      <w:r w:rsidRPr="00232302">
        <w:rPr>
          <w:rFonts w:cs="Traditional Arabic"/>
          <w:sz w:val="30"/>
          <w:szCs w:val="30"/>
          <w:rtl/>
          <w:lang w:eastAsia="zh-TW"/>
        </w:rPr>
        <w:t xml:space="preserve"> بشأن تعميم الإجراءات المتعلقة بالزئبق في البرامج الصحية المختلفة دعما</w:t>
      </w:r>
      <w:r w:rsidR="006242C0">
        <w:rPr>
          <w:rFonts w:cs="Traditional Arabic" w:hint="cs"/>
          <w:sz w:val="30"/>
          <w:szCs w:val="30"/>
          <w:rtl/>
          <w:lang w:eastAsia="zh-TW"/>
        </w:rPr>
        <w:t>ً</w:t>
      </w:r>
      <w:r w:rsidRPr="00232302">
        <w:rPr>
          <w:rFonts w:cs="Traditional Arabic"/>
          <w:sz w:val="30"/>
          <w:szCs w:val="30"/>
          <w:rtl/>
          <w:lang w:eastAsia="zh-TW"/>
        </w:rPr>
        <w:t xml:space="preserve"> للمادة</w:t>
      </w:r>
      <w:r w:rsidR="007D523D">
        <w:rPr>
          <w:rFonts w:cs="Traditional Arabic" w:hint="cs"/>
          <w:sz w:val="30"/>
          <w:szCs w:val="30"/>
          <w:rtl/>
          <w:lang w:eastAsia="zh-TW"/>
        </w:rPr>
        <w:t xml:space="preserve"> </w:t>
      </w:r>
      <w:r w:rsidR="008F5CBD">
        <w:rPr>
          <w:rFonts w:cs="Traditional Arabic" w:hint="cs"/>
          <w:sz w:val="30"/>
          <w:szCs w:val="30"/>
          <w:rtl/>
          <w:lang w:eastAsia="zh-TW"/>
        </w:rPr>
        <w:t>16</w:t>
      </w:r>
      <w:r w:rsidRPr="00232302">
        <w:rPr>
          <w:rFonts w:cs="Traditional Arabic"/>
          <w:sz w:val="30"/>
          <w:szCs w:val="30"/>
          <w:rtl/>
          <w:lang w:eastAsia="zh-TW"/>
        </w:rPr>
        <w:t xml:space="preserve"> بشأن الجوانب الصحية.</w:t>
      </w:r>
      <w:r w:rsidR="008F5CBD">
        <w:rPr>
          <w:rFonts w:cs="Traditional Arabic" w:hint="cs"/>
          <w:sz w:val="30"/>
          <w:szCs w:val="30"/>
          <w:rtl/>
          <w:lang w:eastAsia="zh-TW"/>
        </w:rPr>
        <w:t xml:space="preserve"> </w:t>
      </w:r>
      <w:r w:rsidR="00217F36">
        <w:rPr>
          <w:rFonts w:cs="Traditional Arabic" w:hint="cs"/>
          <w:sz w:val="30"/>
          <w:szCs w:val="30"/>
          <w:rtl/>
          <w:lang w:eastAsia="zh-TW"/>
        </w:rPr>
        <w:t>وستُنشر وتصدر</w:t>
      </w:r>
      <w:r w:rsidR="008F5CBD">
        <w:rPr>
          <w:rFonts w:cs="Traditional Arabic" w:hint="cs"/>
          <w:sz w:val="30"/>
          <w:szCs w:val="30"/>
          <w:rtl/>
          <w:lang w:eastAsia="zh-TW"/>
        </w:rPr>
        <w:t xml:space="preserve"> هذه التوجيهات باللغات الرسمية الست للأمم المتحدة في النصف الثاني من عام 2019.</w:t>
      </w:r>
    </w:p>
    <w:p w14:paraId="6ECE178C" w14:textId="5D239149" w:rsidR="004D41C2" w:rsidRPr="00232302" w:rsidRDefault="00217F36"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و</w:t>
      </w:r>
      <w:r w:rsidR="004D41C2">
        <w:rPr>
          <w:rFonts w:cs="Traditional Arabic" w:hint="cs"/>
          <w:sz w:val="30"/>
          <w:szCs w:val="30"/>
          <w:rtl/>
          <w:lang w:eastAsia="zh-TW"/>
        </w:rPr>
        <w:t>في النصف الثاني من عام 2019، ستدعم منظمة الصحة العالمية أيضاً عدداً من البلدان في تطبيق التوجيهات وإعداد خططها الاستراتيجية.</w:t>
      </w:r>
    </w:p>
    <w:p w14:paraId="1A0B4906" w14:textId="269D4379"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حلقات العمل الإقليمية التي عقدتها منظمة الصحة العالمية</w:t>
      </w:r>
    </w:p>
    <w:p w14:paraId="3DFD2746" w14:textId="1F3485E9"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أنجزت منظمة الصحة العالمية سلسلة من حلقات العمل الإقليمية من أجل التوعية وتعزيز الربط الشبكي فيما بين وزارات الصحة، وذلك بهدف دعم تنفيذ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وقرار جمعية الصحة العالمية 67-11.</w:t>
      </w:r>
      <w:r w:rsidR="00C245E3">
        <w:rPr>
          <w:rFonts w:cs="Traditional Arabic" w:hint="cs"/>
          <w:sz w:val="30"/>
          <w:szCs w:val="30"/>
          <w:rtl/>
          <w:lang w:eastAsia="zh-TW"/>
        </w:rPr>
        <w:t xml:space="preserve"> وأُصدر </w:t>
      </w:r>
      <w:r w:rsidR="00C245E3" w:rsidRPr="00232302">
        <w:rPr>
          <w:rFonts w:cs="Traditional Arabic"/>
          <w:sz w:val="30"/>
          <w:szCs w:val="30"/>
          <w:rtl/>
          <w:lang w:eastAsia="zh-TW"/>
        </w:rPr>
        <w:t>كتيب يوجز نتائج حلقات العمل</w:t>
      </w:r>
      <w:r w:rsidR="00C245E3">
        <w:rPr>
          <w:rFonts w:cs="Traditional Arabic" w:hint="cs"/>
          <w:sz w:val="30"/>
          <w:szCs w:val="30"/>
          <w:rtl/>
          <w:lang w:eastAsia="zh-TW"/>
        </w:rPr>
        <w:t xml:space="preserve"> خلال الاجتماع الثاني لمؤتمر الأطراف، في تشرين الثاني/نوفمبر 2018، وهو متاح الآن باللغات الرسمية الست للأمم المتحد</w:t>
      </w:r>
      <w:r w:rsidR="00355C76">
        <w:rPr>
          <w:rFonts w:cs="Traditional Arabic" w:hint="cs"/>
          <w:sz w:val="30"/>
          <w:szCs w:val="30"/>
          <w:rtl/>
          <w:lang w:eastAsia="zh-TW"/>
        </w:rPr>
        <w:t>ة</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2"/>
      </w:r>
      <w:r w:rsidR="00355C76" w:rsidRPr="00631EA6">
        <w:rPr>
          <w:rFonts w:cs="Traditional Arabic"/>
          <w:szCs w:val="30"/>
          <w:vertAlign w:val="superscript"/>
          <w:rtl/>
          <w:lang w:eastAsia="zh-TW"/>
        </w:rPr>
        <w:t>)</w:t>
      </w:r>
      <w:r w:rsidR="00C245E3">
        <w:rPr>
          <w:rFonts w:cs="Traditional Arabic" w:hint="cs"/>
          <w:sz w:val="30"/>
          <w:szCs w:val="30"/>
          <w:rtl/>
          <w:lang w:eastAsia="zh-TW"/>
        </w:rPr>
        <w:t>.</w:t>
      </w:r>
    </w:p>
    <w:p w14:paraId="7690AD49" w14:textId="17D51DC7"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تعدين الذهب الحرفي والضيق النطاق</w:t>
      </w:r>
    </w:p>
    <w:p w14:paraId="2754C4EE" w14:textId="7B3C74D0" w:rsidR="00232302" w:rsidRPr="00232302" w:rsidRDefault="00110B3D"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في كانون الأول/ديسمبر 2019، ستنشر منظمة الصحة العالمية وثيقة </w:t>
      </w:r>
      <w:r w:rsidRPr="00232302">
        <w:rPr>
          <w:rFonts w:cs="Traditional Arabic"/>
          <w:sz w:val="30"/>
          <w:szCs w:val="30"/>
          <w:rtl/>
          <w:lang w:eastAsia="zh-TW"/>
        </w:rPr>
        <w:t xml:space="preserve">توجيه </w:t>
      </w:r>
      <w:r>
        <w:rPr>
          <w:rFonts w:cs="Traditional Arabic" w:hint="cs"/>
          <w:i/>
          <w:iCs/>
          <w:sz w:val="30"/>
          <w:szCs w:val="30"/>
          <w:rtl/>
          <w:lang w:eastAsia="zh-TW"/>
        </w:rPr>
        <w:t xml:space="preserve">تتناول الجوانب الصحية في سياق إعداد خطط العمل الوطنية بموجب اتفاقية </w:t>
      </w:r>
      <w:proofErr w:type="spellStart"/>
      <w:r>
        <w:rPr>
          <w:rFonts w:cs="Traditional Arabic" w:hint="cs"/>
          <w:i/>
          <w:iCs/>
          <w:sz w:val="30"/>
          <w:szCs w:val="30"/>
          <w:rtl/>
          <w:lang w:eastAsia="zh-TW"/>
        </w:rPr>
        <w:t>ميناماتا</w:t>
      </w:r>
      <w:proofErr w:type="spellEnd"/>
      <w:r>
        <w:rPr>
          <w:rFonts w:cs="Traditional Arabic" w:hint="cs"/>
          <w:i/>
          <w:iCs/>
          <w:sz w:val="30"/>
          <w:szCs w:val="30"/>
          <w:rtl/>
          <w:lang w:eastAsia="zh-TW"/>
        </w:rPr>
        <w:t xml:space="preserve"> بشأن الزئبق،</w:t>
      </w:r>
      <w:r>
        <w:rPr>
          <w:rFonts w:cs="Traditional Arabic" w:hint="cs"/>
          <w:sz w:val="30"/>
          <w:szCs w:val="30"/>
          <w:rtl/>
          <w:lang w:eastAsia="zh-TW"/>
        </w:rPr>
        <w:t xml:space="preserve"> لكي تُوزع على نطاق واسع على وزراء الصحة. وتتناول هذه الوثيقة ا</w:t>
      </w:r>
      <w:r w:rsidR="00232302" w:rsidRPr="00232302">
        <w:rPr>
          <w:rFonts w:cs="Traditional Arabic"/>
          <w:sz w:val="30"/>
          <w:szCs w:val="30"/>
          <w:rtl/>
          <w:lang w:eastAsia="zh-TW"/>
        </w:rPr>
        <w:t>لآثار الصحية المترتبة على تعدين الذهب الحرفي والضيق النطاق.</w:t>
      </w:r>
      <w:r>
        <w:rPr>
          <w:rFonts w:cs="Traditional Arabic" w:hint="cs"/>
          <w:sz w:val="30"/>
          <w:szCs w:val="30"/>
          <w:rtl/>
          <w:lang w:eastAsia="zh-TW"/>
        </w:rPr>
        <w:t xml:space="preserve"> وأُعدت </w:t>
      </w:r>
      <w:r w:rsidR="000E366B">
        <w:rPr>
          <w:rFonts w:cs="Traditional Arabic" w:hint="cs"/>
          <w:sz w:val="30"/>
          <w:szCs w:val="30"/>
          <w:rtl/>
          <w:lang w:eastAsia="zh-TW"/>
        </w:rPr>
        <w:t xml:space="preserve">نسخة العمل </w:t>
      </w:r>
      <w:r>
        <w:rPr>
          <w:rFonts w:cs="Traditional Arabic" w:hint="cs"/>
          <w:sz w:val="30"/>
          <w:szCs w:val="30"/>
          <w:rtl/>
          <w:lang w:eastAsia="zh-TW"/>
        </w:rPr>
        <w:t>من الوثيقة، التي قُدمت إلى مؤتمر الأطراف في اجتماعه الثاني،</w:t>
      </w:r>
      <w:r w:rsidR="00232302" w:rsidRPr="00232302">
        <w:rPr>
          <w:rFonts w:cs="Traditional Arabic"/>
          <w:sz w:val="30"/>
          <w:szCs w:val="30"/>
          <w:rtl/>
          <w:lang w:eastAsia="zh-TW"/>
        </w:rPr>
        <w:t xml:space="preserve"> استجابة لقرار جمعية الصحة العالمية</w:t>
      </w:r>
      <w:r w:rsidR="00D52814">
        <w:rPr>
          <w:rFonts w:cs="Traditional Arabic"/>
          <w:sz w:val="30"/>
          <w:szCs w:val="30"/>
          <w:rtl/>
          <w:lang w:eastAsia="zh-TW"/>
        </w:rPr>
        <w:br/>
      </w:r>
      <w:r w:rsidR="00232302" w:rsidRPr="00232302">
        <w:rPr>
          <w:rFonts w:cs="Traditional Arabic"/>
          <w:sz w:val="30"/>
          <w:szCs w:val="30"/>
          <w:rtl/>
          <w:lang w:eastAsia="zh-TW"/>
        </w:rPr>
        <w:t xml:space="preserve">67-11، </w:t>
      </w:r>
      <w:r>
        <w:rPr>
          <w:rFonts w:cs="Traditional Arabic" w:hint="cs"/>
          <w:sz w:val="30"/>
          <w:szCs w:val="30"/>
          <w:rtl/>
          <w:lang w:eastAsia="zh-TW"/>
        </w:rPr>
        <w:t>واستندت</w:t>
      </w:r>
      <w:r w:rsidR="00232302" w:rsidRPr="00232302">
        <w:rPr>
          <w:rFonts w:cs="Traditional Arabic"/>
          <w:sz w:val="30"/>
          <w:szCs w:val="30"/>
          <w:rtl/>
          <w:lang w:eastAsia="zh-TW"/>
        </w:rPr>
        <w:t xml:space="preserve"> إلى العملية التشاورية مع الدول الأعضاء.</w:t>
      </w:r>
    </w:p>
    <w:p w14:paraId="7A13983A" w14:textId="0C1A60A8" w:rsidR="00232302" w:rsidRPr="00232302" w:rsidRDefault="00110B3D"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وتقوم</w:t>
      </w:r>
      <w:r w:rsidR="00232302" w:rsidRPr="00232302">
        <w:rPr>
          <w:rFonts w:cs="Traditional Arabic"/>
          <w:sz w:val="30"/>
          <w:szCs w:val="30"/>
          <w:rtl/>
          <w:lang w:eastAsia="zh-TW"/>
        </w:rPr>
        <w:t xml:space="preserve"> منظمة الصحة العالمية بتجريب استخدام التوجيهات في ثلاثة بلدان أفريقية تعمل على وضع خطط عمل وطنية أوسع نطاقاً بشأن تعدين الذهب الحرفي والضيق النطاق على النحو المطلوب بموجب الاتفاقية. ونفذت هذه الأعم</w:t>
      </w:r>
      <w:r w:rsidR="00711AC1">
        <w:rPr>
          <w:rFonts w:cs="Traditional Arabic"/>
          <w:sz w:val="30"/>
          <w:szCs w:val="30"/>
          <w:rtl/>
          <w:lang w:eastAsia="zh-TW"/>
        </w:rPr>
        <w:t>ال التجريبية في غانا وموزامبيق</w:t>
      </w:r>
      <w:r w:rsidR="00232302" w:rsidRPr="00232302">
        <w:rPr>
          <w:rFonts w:cs="Traditional Arabic"/>
          <w:sz w:val="30"/>
          <w:szCs w:val="30"/>
          <w:rtl/>
          <w:lang w:eastAsia="zh-TW"/>
        </w:rPr>
        <w:t xml:space="preserve"> ونيجيريا، وتشمل تقييماً سريعاً لأحوال الصحة وتقييماً للقدرات والنظم المؤسسية. </w:t>
      </w:r>
      <w:r w:rsidR="000E366B">
        <w:rPr>
          <w:rFonts w:cs="Traditional Arabic" w:hint="cs"/>
          <w:sz w:val="30"/>
          <w:szCs w:val="30"/>
          <w:rtl/>
          <w:lang w:eastAsia="zh-TW"/>
        </w:rPr>
        <w:t xml:space="preserve">واسترشد إعداد وثيقة التوجيه </w:t>
      </w:r>
      <w:r>
        <w:rPr>
          <w:rFonts w:cs="Traditional Arabic" w:hint="cs"/>
          <w:sz w:val="30"/>
          <w:szCs w:val="30"/>
          <w:rtl/>
          <w:lang w:eastAsia="zh-TW"/>
        </w:rPr>
        <w:t>بهذه الأعمال التجريبية، التي ستُنجز بحلول كانون الأول/ديسمبر 2019.</w:t>
      </w:r>
    </w:p>
    <w:p w14:paraId="5CC3EAFF" w14:textId="6AFAC8E6"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وتشمل المواد الأخرى المتعلقة بتعدين الذهب الحرفي والضيق النطاق والصحة </w:t>
      </w:r>
      <w:r w:rsidR="002141B6">
        <w:rPr>
          <w:rFonts w:cs="Traditional Arabic" w:hint="cs"/>
          <w:sz w:val="30"/>
          <w:szCs w:val="30"/>
          <w:rtl/>
          <w:lang w:eastAsia="zh-TW"/>
        </w:rPr>
        <w:t xml:space="preserve">التي يجري </w:t>
      </w:r>
      <w:r w:rsidR="00711AC1">
        <w:rPr>
          <w:rFonts w:cs="Traditional Arabic" w:hint="cs"/>
          <w:sz w:val="30"/>
          <w:szCs w:val="30"/>
          <w:rtl/>
          <w:lang w:eastAsia="zh-TW"/>
        </w:rPr>
        <w:t>إ</w:t>
      </w:r>
      <w:r w:rsidR="00110B3D">
        <w:rPr>
          <w:rFonts w:cs="Traditional Arabic" w:hint="cs"/>
          <w:sz w:val="30"/>
          <w:szCs w:val="30"/>
          <w:rtl/>
          <w:lang w:eastAsia="zh-TW"/>
        </w:rPr>
        <w:t>عدادها حالياً</w:t>
      </w:r>
      <w:r w:rsidRPr="00232302">
        <w:rPr>
          <w:rFonts w:cs="Traditional Arabic"/>
          <w:sz w:val="30"/>
          <w:szCs w:val="30"/>
          <w:rtl/>
          <w:lang w:eastAsia="zh-TW"/>
        </w:rPr>
        <w:t xml:space="preserve"> توجيهات بشأن كيفية إجراء تقييم سريع للحالة الصحية للعمال في مجال تعدين الذهب الحرفي والضيق النطاق وأفراد أسرهم، </w:t>
      </w:r>
      <w:r w:rsidR="00110B3D">
        <w:rPr>
          <w:rFonts w:cs="Traditional Arabic" w:hint="cs"/>
          <w:sz w:val="30"/>
          <w:szCs w:val="30"/>
          <w:rtl/>
          <w:lang w:eastAsia="zh-TW"/>
        </w:rPr>
        <w:t xml:space="preserve">أُعدت </w:t>
      </w:r>
      <w:r w:rsidRPr="00232302">
        <w:rPr>
          <w:rFonts w:cs="Traditional Arabic"/>
          <w:sz w:val="30"/>
          <w:szCs w:val="30"/>
          <w:rtl/>
          <w:lang w:eastAsia="zh-TW"/>
        </w:rPr>
        <w:t xml:space="preserve">استناداً إلى </w:t>
      </w:r>
      <w:r w:rsidR="00110B3D">
        <w:rPr>
          <w:rFonts w:cs="Traditional Arabic" w:hint="cs"/>
          <w:sz w:val="30"/>
          <w:szCs w:val="30"/>
          <w:rtl/>
          <w:lang w:eastAsia="zh-TW"/>
        </w:rPr>
        <w:t>الأعمال التجريبية</w:t>
      </w:r>
      <w:r w:rsidRPr="00232302">
        <w:rPr>
          <w:rFonts w:cs="Traditional Arabic"/>
          <w:sz w:val="30"/>
          <w:szCs w:val="30"/>
          <w:rtl/>
          <w:lang w:eastAsia="zh-TW"/>
        </w:rPr>
        <w:t xml:space="preserve"> التي </w:t>
      </w:r>
      <w:r w:rsidR="00110B3D">
        <w:rPr>
          <w:rFonts w:cs="Traditional Arabic" w:hint="cs"/>
          <w:sz w:val="30"/>
          <w:szCs w:val="30"/>
          <w:rtl/>
          <w:lang w:eastAsia="zh-TW"/>
        </w:rPr>
        <w:t>نُفذت</w:t>
      </w:r>
      <w:r w:rsidRPr="00232302">
        <w:rPr>
          <w:rFonts w:cs="Traditional Arabic"/>
          <w:sz w:val="30"/>
          <w:szCs w:val="30"/>
          <w:rtl/>
          <w:lang w:eastAsia="zh-TW"/>
        </w:rPr>
        <w:t xml:space="preserve"> في البلدان الأفريقية الثلاثة.</w:t>
      </w:r>
    </w:p>
    <w:p w14:paraId="631B1146" w14:textId="7AA7AE81"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sz w:val="30"/>
          <w:rtl/>
          <w:lang w:val="en-GB" w:eastAsia="zh-TW"/>
        </w:rPr>
      </w:pPr>
      <w:r w:rsidRPr="00232302">
        <w:rPr>
          <w:rFonts w:ascii="Traditional Arabic" w:hAnsi="Traditional Arabic"/>
          <w:b/>
          <w:bCs/>
          <w:sz w:val="30"/>
          <w:rtl/>
          <w:lang w:val="en-GB" w:eastAsia="zh-TW"/>
        </w:rPr>
        <w:t>ملاغم الأسنان</w:t>
      </w:r>
    </w:p>
    <w:p w14:paraId="2072A610" w14:textId="763CAAC1"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 xml:space="preserve">يمكن للتخلص التدريجي من </w:t>
      </w:r>
      <w:r w:rsidR="00110B3D">
        <w:rPr>
          <w:rFonts w:cs="Traditional Arabic" w:hint="cs"/>
          <w:sz w:val="30"/>
          <w:szCs w:val="30"/>
          <w:rtl/>
          <w:lang w:eastAsia="zh-TW"/>
        </w:rPr>
        <w:t xml:space="preserve">استخدام </w:t>
      </w:r>
      <w:r w:rsidRPr="00232302">
        <w:rPr>
          <w:rFonts w:cs="Traditional Arabic"/>
          <w:sz w:val="30"/>
          <w:szCs w:val="30"/>
          <w:rtl/>
          <w:lang w:eastAsia="zh-TW"/>
        </w:rPr>
        <w:t xml:space="preserve">ملاغم الأسنان بواسطة اتفاقية </w:t>
      </w:r>
      <w:proofErr w:type="spellStart"/>
      <w:r w:rsidRPr="00232302">
        <w:rPr>
          <w:rFonts w:cs="Traditional Arabic"/>
          <w:sz w:val="30"/>
          <w:szCs w:val="30"/>
          <w:rtl/>
          <w:lang w:eastAsia="zh-TW"/>
        </w:rPr>
        <w:t>ميناماتا</w:t>
      </w:r>
      <w:proofErr w:type="spellEnd"/>
      <w:r w:rsidRPr="00232302">
        <w:rPr>
          <w:rFonts w:cs="Traditional Arabic"/>
          <w:sz w:val="30"/>
          <w:szCs w:val="30"/>
          <w:rtl/>
          <w:lang w:eastAsia="zh-TW"/>
        </w:rPr>
        <w:t xml:space="preserve"> أن يحفز تغييراً عميقاً في مجال طب الأسنان.</w:t>
      </w:r>
      <w:r w:rsidR="00110B3D">
        <w:rPr>
          <w:rFonts w:cs="Traditional Arabic" w:hint="cs"/>
          <w:sz w:val="30"/>
          <w:szCs w:val="30"/>
          <w:rtl/>
          <w:lang w:eastAsia="zh-TW"/>
        </w:rPr>
        <w:t xml:space="preserve"> وتقدم</w:t>
      </w:r>
      <w:r w:rsidR="008338BA">
        <w:rPr>
          <w:rFonts w:cs="Traditional Arabic" w:hint="cs"/>
          <w:sz w:val="30"/>
          <w:szCs w:val="30"/>
          <w:rtl/>
          <w:lang w:eastAsia="zh-TW"/>
        </w:rPr>
        <w:t xml:space="preserve"> </w:t>
      </w:r>
      <w:r w:rsidR="00621531">
        <w:rPr>
          <w:rFonts w:cs="Traditional Arabic" w:hint="cs"/>
          <w:sz w:val="30"/>
          <w:szCs w:val="30"/>
          <w:rtl/>
          <w:lang w:eastAsia="zh-TW"/>
        </w:rPr>
        <w:t xml:space="preserve">نشرة صدرت عن منظمة الصحة العالمية في العام 2018 وتناولت </w:t>
      </w:r>
      <w:r w:rsidR="00D52814">
        <w:rPr>
          <w:rFonts w:cs="Traditional Arabic" w:hint="cs"/>
          <w:sz w:val="30"/>
          <w:szCs w:val="30"/>
          <w:rtl/>
          <w:lang w:eastAsia="zh-TW"/>
        </w:rPr>
        <w:t>’’</w:t>
      </w:r>
      <w:r w:rsidR="008338BA" w:rsidRPr="00120651">
        <w:rPr>
          <w:rFonts w:cs="Traditional Arabic"/>
          <w:sz w:val="30"/>
          <w:szCs w:val="30"/>
          <w:rtl/>
          <w:lang w:eastAsia="zh-TW"/>
        </w:rPr>
        <w:t xml:space="preserve">اتفاقية </w:t>
      </w:r>
      <w:proofErr w:type="spellStart"/>
      <w:r w:rsidR="008338BA" w:rsidRPr="00120651">
        <w:rPr>
          <w:rFonts w:cs="Traditional Arabic"/>
          <w:sz w:val="30"/>
          <w:szCs w:val="30"/>
          <w:rtl/>
          <w:lang w:eastAsia="zh-TW"/>
        </w:rPr>
        <w:t>ميناماتا</w:t>
      </w:r>
      <w:proofErr w:type="spellEnd"/>
      <w:r w:rsidR="008338BA" w:rsidRPr="00120651">
        <w:rPr>
          <w:rFonts w:cs="Traditional Arabic"/>
          <w:sz w:val="30"/>
          <w:szCs w:val="30"/>
          <w:rtl/>
          <w:lang w:eastAsia="zh-TW"/>
        </w:rPr>
        <w:t xml:space="preserve"> والتخلص التدريجي من ملاغم الأسنان</w:t>
      </w:r>
      <w:r w:rsidR="00D52814">
        <w:rPr>
          <w:rFonts w:cs="Traditional Arabic" w:hint="cs"/>
          <w:sz w:val="30"/>
          <w:szCs w:val="30"/>
          <w:rtl/>
          <w:lang w:eastAsia="zh-TW"/>
        </w:rPr>
        <w:t>‘‘</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3"/>
      </w:r>
      <w:r w:rsidR="00355C76" w:rsidRPr="00631EA6">
        <w:rPr>
          <w:rFonts w:cs="Traditional Arabic"/>
          <w:szCs w:val="30"/>
          <w:vertAlign w:val="superscript"/>
          <w:rtl/>
          <w:lang w:eastAsia="zh-TW"/>
        </w:rPr>
        <w:t>)</w:t>
      </w:r>
      <w:r w:rsidR="008338BA" w:rsidRPr="00FD07CC">
        <w:rPr>
          <w:rFonts w:cs="Traditional Arabic" w:hint="cs"/>
          <w:sz w:val="30"/>
          <w:szCs w:val="30"/>
          <w:rtl/>
          <w:lang w:eastAsia="zh-TW"/>
        </w:rPr>
        <w:t>،</w:t>
      </w:r>
      <w:r w:rsidR="00355C76">
        <w:rPr>
          <w:rFonts w:cs="Traditional Arabic" w:hint="cs"/>
          <w:sz w:val="30"/>
          <w:szCs w:val="30"/>
          <w:rtl/>
          <w:lang w:eastAsia="zh-TW"/>
        </w:rPr>
        <w:t xml:space="preserve"> </w:t>
      </w:r>
      <w:r w:rsidR="008338BA">
        <w:rPr>
          <w:rFonts w:cs="Traditional Arabic" w:hint="cs"/>
          <w:sz w:val="30"/>
          <w:szCs w:val="30"/>
          <w:rtl/>
          <w:lang w:eastAsia="zh-TW"/>
        </w:rPr>
        <w:t>منظور منظمة الصحة العالمية وبرنامج الأمم المتحدة للب</w:t>
      </w:r>
      <w:r w:rsidR="00711AC1">
        <w:rPr>
          <w:rFonts w:cs="Traditional Arabic" w:hint="cs"/>
          <w:sz w:val="30"/>
          <w:szCs w:val="30"/>
          <w:rtl/>
          <w:lang w:eastAsia="zh-TW"/>
        </w:rPr>
        <w:t xml:space="preserve">يئة بشأن تنفيذ التخلص التدريجي من </w:t>
      </w:r>
      <w:r w:rsidR="008338BA">
        <w:rPr>
          <w:rFonts w:cs="Traditional Arabic" w:hint="cs"/>
          <w:sz w:val="30"/>
          <w:szCs w:val="30"/>
          <w:rtl/>
          <w:lang w:eastAsia="zh-TW"/>
        </w:rPr>
        <w:t>استخدام ملاغم الأسنان. وتحدد هذه النشرة</w:t>
      </w:r>
      <w:r w:rsidRPr="00232302">
        <w:rPr>
          <w:rFonts w:cs="Traditional Arabic"/>
          <w:sz w:val="30"/>
          <w:szCs w:val="30"/>
          <w:rtl/>
          <w:lang w:eastAsia="zh-TW"/>
        </w:rPr>
        <w:t xml:space="preserve"> مجموعة من التدخلات الاستراتيجية </w:t>
      </w:r>
      <w:r w:rsidR="00621531">
        <w:rPr>
          <w:rFonts w:cs="Traditional Arabic" w:hint="cs"/>
          <w:sz w:val="30"/>
          <w:szCs w:val="30"/>
          <w:rtl/>
          <w:lang w:eastAsia="zh-TW"/>
        </w:rPr>
        <w:t>ال</w:t>
      </w:r>
      <w:r w:rsidRPr="00232302">
        <w:rPr>
          <w:rFonts w:cs="Traditional Arabic"/>
          <w:sz w:val="30"/>
          <w:szCs w:val="30"/>
          <w:rtl/>
          <w:lang w:eastAsia="zh-TW"/>
        </w:rPr>
        <w:t>متسقة مع التدابير التسعة الواردة في</w:t>
      </w:r>
      <w:r w:rsidR="008338BA">
        <w:rPr>
          <w:rFonts w:cs="Traditional Arabic" w:hint="cs"/>
          <w:sz w:val="30"/>
          <w:szCs w:val="30"/>
          <w:rtl/>
          <w:lang w:eastAsia="zh-TW"/>
        </w:rPr>
        <w:t xml:space="preserve"> الجزء الثاني من</w:t>
      </w:r>
      <w:r w:rsidRPr="00232302">
        <w:rPr>
          <w:rFonts w:cs="Traditional Arabic"/>
          <w:sz w:val="30"/>
          <w:szCs w:val="30"/>
          <w:rtl/>
          <w:lang w:eastAsia="zh-TW"/>
        </w:rPr>
        <w:t xml:space="preserve"> المرفق ألف للاتفاقية. وت</w:t>
      </w:r>
      <w:r w:rsidR="008338BA">
        <w:rPr>
          <w:rFonts w:cs="Traditional Arabic" w:hint="cs"/>
          <w:sz w:val="30"/>
          <w:szCs w:val="30"/>
          <w:rtl/>
          <w:lang w:eastAsia="zh-TW"/>
        </w:rPr>
        <w:t>ُ</w:t>
      </w:r>
      <w:r w:rsidRPr="00232302">
        <w:rPr>
          <w:rFonts w:cs="Traditional Arabic"/>
          <w:sz w:val="30"/>
          <w:szCs w:val="30"/>
          <w:rtl/>
          <w:lang w:eastAsia="zh-TW"/>
        </w:rPr>
        <w:t>وجه هذه التدخلات نحو اعتماد نهج متعدد الجوانب يجمع بين إدارة النفايات، وإدارة المعارف، وتعزيز النظم الصحية في سياق التغطية الصحية الشامل</w:t>
      </w:r>
      <w:r w:rsidR="008338BA">
        <w:rPr>
          <w:rFonts w:cs="Traditional Arabic" w:hint="cs"/>
          <w:sz w:val="30"/>
          <w:szCs w:val="30"/>
          <w:rtl/>
          <w:lang w:eastAsia="zh-TW"/>
        </w:rPr>
        <w:t>ة</w:t>
      </w:r>
      <w:r w:rsidRPr="00232302">
        <w:rPr>
          <w:rFonts w:cs="Traditional Arabic"/>
          <w:sz w:val="30"/>
          <w:szCs w:val="30"/>
          <w:rtl/>
          <w:lang w:eastAsia="zh-TW"/>
        </w:rPr>
        <w:t>.</w:t>
      </w:r>
    </w:p>
    <w:p w14:paraId="69598269" w14:textId="287F4682"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مقاييس الحرارة وضغط الدم الشرياني التي تحتوي على الزئبق</w:t>
      </w:r>
    </w:p>
    <w:p w14:paraId="29ECE4BE" w14:textId="0F969177" w:rsid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lang w:eastAsia="zh-TW"/>
        </w:rPr>
      </w:pPr>
      <w:r w:rsidRPr="00232302">
        <w:rPr>
          <w:rFonts w:cs="Traditional Arabic"/>
          <w:sz w:val="30"/>
          <w:szCs w:val="30"/>
          <w:rtl/>
          <w:lang w:eastAsia="zh-TW"/>
        </w:rPr>
        <w:t xml:space="preserve">تعمل </w:t>
      </w:r>
      <w:r w:rsidR="00201ED5">
        <w:rPr>
          <w:rFonts w:cs="Traditional Arabic" w:hint="cs"/>
          <w:sz w:val="30"/>
          <w:szCs w:val="30"/>
          <w:rtl/>
          <w:lang w:eastAsia="zh-TW"/>
        </w:rPr>
        <w:t>منظمة الصحة العالمية</w:t>
      </w:r>
      <w:r w:rsidRPr="00232302">
        <w:rPr>
          <w:rFonts w:cs="Traditional Arabic"/>
          <w:sz w:val="30"/>
          <w:szCs w:val="30"/>
          <w:rtl/>
          <w:lang w:eastAsia="zh-TW"/>
        </w:rPr>
        <w:t xml:space="preserve"> في شراكة مع مرفق البيئة العالمية على مشروع بعنوان ”تخفيض الإطلاقات غير المتعمدة من الملوثات العضوية الثابتة</w:t>
      </w:r>
      <w:r w:rsidR="001F6F5B">
        <w:rPr>
          <w:rFonts w:cs="Traditional Arabic" w:hint="cs"/>
          <w:sz w:val="30"/>
          <w:szCs w:val="30"/>
          <w:rtl/>
          <w:lang w:eastAsia="zh-TW"/>
        </w:rPr>
        <w:t xml:space="preserve"> </w:t>
      </w:r>
      <w:r w:rsidR="001F6F5B" w:rsidRPr="00FB6F90">
        <w:rPr>
          <w:rFonts w:asciiTheme="majorBidi" w:hAnsiTheme="majorBidi" w:cstheme="majorBidi"/>
          <w:sz w:val="18"/>
          <w:szCs w:val="18"/>
          <w:rtl/>
          <w:lang w:eastAsia="zh-TW"/>
        </w:rPr>
        <w:t>(</w:t>
      </w:r>
      <w:r w:rsidR="001F6F5B" w:rsidRPr="00FB6F90">
        <w:rPr>
          <w:rFonts w:asciiTheme="majorBidi" w:hAnsiTheme="majorBidi" w:cstheme="majorBidi"/>
          <w:sz w:val="18"/>
          <w:szCs w:val="18"/>
          <w:lang w:eastAsia="zh-TW"/>
        </w:rPr>
        <w:t>UPOPs</w:t>
      </w:r>
      <w:r w:rsidR="001F6F5B" w:rsidRPr="00FB6F90">
        <w:rPr>
          <w:rFonts w:asciiTheme="majorBidi" w:hAnsiTheme="majorBidi" w:cstheme="majorBidi"/>
          <w:sz w:val="18"/>
          <w:szCs w:val="18"/>
          <w:rtl/>
          <w:lang w:eastAsia="zh-TW"/>
        </w:rPr>
        <w:t>)</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4"/>
      </w:r>
      <w:r w:rsidR="00355C76" w:rsidRPr="00631EA6">
        <w:rPr>
          <w:rFonts w:cs="Traditional Arabic"/>
          <w:szCs w:val="30"/>
          <w:vertAlign w:val="superscript"/>
          <w:rtl/>
          <w:lang w:eastAsia="zh-TW"/>
        </w:rPr>
        <w:t>)</w:t>
      </w:r>
      <w:r w:rsidR="00355C76">
        <w:rPr>
          <w:rFonts w:cs="Traditional Arabic" w:hint="cs"/>
          <w:sz w:val="30"/>
          <w:szCs w:val="30"/>
          <w:rtl/>
          <w:lang w:eastAsia="zh-TW"/>
        </w:rPr>
        <w:t xml:space="preserve"> </w:t>
      </w:r>
      <w:r w:rsidRPr="00232302">
        <w:rPr>
          <w:rFonts w:cs="Traditional Arabic"/>
          <w:sz w:val="30"/>
          <w:szCs w:val="30"/>
          <w:rtl/>
          <w:lang w:eastAsia="zh-TW"/>
        </w:rPr>
        <w:t>وإطلاقات الزئبق الناجمة عن قطاع الصحة في أفريقيا“، وهو مشروع ينفذه برنامج الأمم المتحدة الإنمائي (</w:t>
      </w:r>
      <w:r w:rsidR="008338BA">
        <w:rPr>
          <w:rFonts w:cs="Traditional Arabic" w:hint="cs"/>
          <w:sz w:val="30"/>
          <w:szCs w:val="30"/>
          <w:rtl/>
          <w:lang w:eastAsia="zh-TW"/>
        </w:rPr>
        <w:t>2016</w:t>
      </w:r>
      <w:r w:rsidR="00355C76">
        <w:rPr>
          <w:rFonts w:cs="Traditional Arabic" w:hint="cs"/>
          <w:sz w:val="30"/>
          <w:szCs w:val="30"/>
          <w:rtl/>
          <w:lang w:eastAsia="zh-TW"/>
        </w:rPr>
        <w:t>-</w:t>
      </w:r>
      <w:r w:rsidR="008338BA">
        <w:rPr>
          <w:rFonts w:cs="Traditional Arabic" w:hint="cs"/>
          <w:sz w:val="30"/>
          <w:szCs w:val="30"/>
          <w:rtl/>
          <w:lang w:eastAsia="zh-TW"/>
        </w:rPr>
        <w:t>2019</w:t>
      </w:r>
      <w:r w:rsidRPr="00232302">
        <w:rPr>
          <w:rFonts w:cs="Traditional Arabic"/>
          <w:sz w:val="30"/>
          <w:szCs w:val="30"/>
          <w:rtl/>
          <w:lang w:eastAsia="zh-TW"/>
        </w:rPr>
        <w:t xml:space="preserve">). </w:t>
      </w:r>
      <w:r w:rsidR="001F6F5B">
        <w:rPr>
          <w:rFonts w:cs="Traditional Arabic" w:hint="cs"/>
          <w:sz w:val="30"/>
          <w:szCs w:val="30"/>
          <w:rtl/>
          <w:lang w:eastAsia="zh-TW"/>
        </w:rPr>
        <w:t>وبدأ المشروع إدخال</w:t>
      </w:r>
      <w:r w:rsidRPr="00232302">
        <w:rPr>
          <w:rFonts w:cs="Traditional Arabic"/>
          <w:sz w:val="30"/>
          <w:szCs w:val="30"/>
          <w:rtl/>
          <w:lang w:eastAsia="zh-TW"/>
        </w:rPr>
        <w:t xml:space="preserve"> مقاييس حرارة ومقاييس ضغط شرياني خالية من الزئبق إلى مرافق صحية تجريبية في أربعة </w:t>
      </w:r>
      <w:r w:rsidR="00201ED5">
        <w:rPr>
          <w:rFonts w:cs="Traditional Arabic" w:hint="cs"/>
          <w:sz w:val="30"/>
          <w:szCs w:val="30"/>
          <w:rtl/>
          <w:lang w:eastAsia="zh-TW"/>
        </w:rPr>
        <w:t xml:space="preserve">بلدان </w:t>
      </w:r>
      <w:r w:rsidRPr="00232302">
        <w:rPr>
          <w:rFonts w:cs="Traditional Arabic"/>
          <w:sz w:val="30"/>
          <w:szCs w:val="30"/>
          <w:rtl/>
          <w:lang w:eastAsia="zh-TW"/>
        </w:rPr>
        <w:t>من البلدان الأفريقية الواقعة جنوب الصحراء الكبرى (جمهورية تنزانيا المتحدة وزامبيا وغانا ومدغشقر).</w:t>
      </w:r>
    </w:p>
    <w:p w14:paraId="60D81338" w14:textId="1A26D587" w:rsidR="00D10178" w:rsidRPr="00232302" w:rsidRDefault="00D10178"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وفي يومي 26 و27 حزيران/يوني</w:t>
      </w:r>
      <w:r w:rsidR="00FB6F90">
        <w:rPr>
          <w:rFonts w:cs="Traditional Arabic" w:hint="cs"/>
          <w:sz w:val="30"/>
          <w:szCs w:val="30"/>
          <w:rtl/>
          <w:lang w:eastAsia="zh-TW"/>
        </w:rPr>
        <w:t>ه</w:t>
      </w:r>
      <w:r>
        <w:rPr>
          <w:rFonts w:cs="Traditional Arabic" w:hint="cs"/>
          <w:sz w:val="30"/>
          <w:szCs w:val="30"/>
          <w:rtl/>
          <w:lang w:eastAsia="zh-TW"/>
        </w:rPr>
        <w:t xml:space="preserve"> 2019، عقدت منظمة الصحة العالمية مشاورة </w:t>
      </w:r>
      <w:r w:rsidR="001F6F5B">
        <w:rPr>
          <w:rFonts w:cs="Traditional Arabic" w:hint="cs"/>
          <w:sz w:val="30"/>
          <w:szCs w:val="30"/>
          <w:rtl/>
          <w:lang w:eastAsia="zh-TW"/>
        </w:rPr>
        <w:t>لل</w:t>
      </w:r>
      <w:r>
        <w:rPr>
          <w:rFonts w:cs="Traditional Arabic" w:hint="cs"/>
          <w:sz w:val="30"/>
          <w:szCs w:val="30"/>
          <w:rtl/>
          <w:lang w:eastAsia="zh-TW"/>
        </w:rPr>
        <w:t xml:space="preserve">خبراء بشأن المواصفات التقنية لأجهزة قياس ضغط الدم غير </w:t>
      </w:r>
      <w:commentRangeStart w:id="1"/>
      <w:r w:rsidR="001F6F5B" w:rsidRPr="00EB1427">
        <w:rPr>
          <w:rFonts w:cs="Traditional Arabic"/>
          <w:sz w:val="30"/>
          <w:szCs w:val="30"/>
          <w:rtl/>
          <w:lang w:eastAsia="zh-TW"/>
        </w:rPr>
        <w:t>الباضعة</w:t>
      </w:r>
      <w:commentRangeEnd w:id="1"/>
      <w:r w:rsidR="001F6F5B" w:rsidRPr="00EB1427">
        <w:rPr>
          <w:rStyle w:val="CommentReference"/>
          <w:rFonts w:eastAsia="Times New Roman" w:cs="Traditional Arabic"/>
          <w:rtl/>
        </w:rPr>
        <w:commentReference w:id="1"/>
      </w:r>
      <w:r>
        <w:rPr>
          <w:rFonts w:cs="Traditional Arabic" w:hint="cs"/>
          <w:sz w:val="30"/>
          <w:szCs w:val="30"/>
          <w:rtl/>
          <w:lang w:eastAsia="zh-TW"/>
        </w:rPr>
        <w:t xml:space="preserve">. </w:t>
      </w:r>
      <w:r w:rsidR="00201ED5">
        <w:rPr>
          <w:rFonts w:cs="Traditional Arabic" w:hint="cs"/>
          <w:sz w:val="30"/>
          <w:szCs w:val="30"/>
          <w:rtl/>
          <w:lang w:eastAsia="zh-TW"/>
        </w:rPr>
        <w:t>ونوقشت خلال هذه</w:t>
      </w:r>
      <w:r>
        <w:rPr>
          <w:rFonts w:cs="Traditional Arabic" w:hint="cs"/>
          <w:sz w:val="30"/>
          <w:szCs w:val="30"/>
          <w:rtl/>
          <w:lang w:eastAsia="zh-TW"/>
        </w:rPr>
        <w:t xml:space="preserve"> المشاورات التوص</w:t>
      </w:r>
      <w:r w:rsidR="00201ED5">
        <w:rPr>
          <w:rFonts w:cs="Traditional Arabic" w:hint="cs"/>
          <w:sz w:val="30"/>
          <w:szCs w:val="30"/>
          <w:rtl/>
          <w:lang w:eastAsia="zh-TW"/>
        </w:rPr>
        <w:t xml:space="preserve">يات الرئيسية ومشروع </w:t>
      </w:r>
      <w:r w:rsidR="001F6F5B">
        <w:rPr>
          <w:rFonts w:cs="Traditional Arabic" w:hint="cs"/>
          <w:sz w:val="30"/>
          <w:szCs w:val="30"/>
          <w:rtl/>
          <w:lang w:eastAsia="zh-TW"/>
        </w:rPr>
        <w:t>ل</w:t>
      </w:r>
      <w:r w:rsidR="00201ED5">
        <w:rPr>
          <w:rFonts w:cs="Traditional Arabic" w:hint="cs"/>
          <w:sz w:val="30"/>
          <w:szCs w:val="30"/>
          <w:rtl/>
          <w:lang w:eastAsia="zh-TW"/>
        </w:rPr>
        <w:t>منشور تقني</w:t>
      </w:r>
      <w:r>
        <w:rPr>
          <w:rFonts w:cs="Traditional Arabic" w:hint="cs"/>
          <w:sz w:val="30"/>
          <w:szCs w:val="30"/>
          <w:rtl/>
          <w:lang w:eastAsia="zh-TW"/>
        </w:rPr>
        <w:t xml:space="preserve"> سيكون بمثابة مرجع رئيسي للبلدان التي تعمل على التخلص التدريجي من الأجهزة التي تحتوي على الزئبق والتي تسعى إلى استخدام أجهزة قياس ضغط الدم </w:t>
      </w:r>
      <w:r w:rsidR="001F6F5B">
        <w:rPr>
          <w:rFonts w:cs="Traditional Arabic" w:hint="cs"/>
          <w:sz w:val="30"/>
          <w:szCs w:val="30"/>
          <w:rtl/>
          <w:lang w:eastAsia="zh-TW"/>
        </w:rPr>
        <w:t xml:space="preserve">الآلية </w:t>
      </w:r>
      <w:r>
        <w:rPr>
          <w:rFonts w:cs="Traditional Arabic" w:hint="cs"/>
          <w:sz w:val="30"/>
          <w:szCs w:val="30"/>
          <w:rtl/>
          <w:lang w:eastAsia="zh-TW"/>
        </w:rPr>
        <w:t xml:space="preserve">المصادق عليها كتكنولوجيا بديلة. ونوقشت أيضاً قضايا التنفيذ، بما في ذلك بناء القدرات والتدريب. وتصدر منظمة الصحة العالمية أيضاً تقريراً عن </w:t>
      </w:r>
      <w:r w:rsidR="001F6F5B">
        <w:rPr>
          <w:rFonts w:cs="Traditional Arabic" w:hint="cs"/>
          <w:sz w:val="30"/>
          <w:szCs w:val="30"/>
          <w:rtl/>
          <w:lang w:eastAsia="zh-TW"/>
        </w:rPr>
        <w:t xml:space="preserve">سحب بعض </w:t>
      </w:r>
      <w:r>
        <w:rPr>
          <w:rFonts w:cs="Traditional Arabic" w:hint="cs"/>
          <w:sz w:val="30"/>
          <w:szCs w:val="30"/>
          <w:rtl/>
          <w:lang w:eastAsia="zh-TW"/>
        </w:rPr>
        <w:t>الأجهزة الطبية</w:t>
      </w:r>
      <w:r w:rsidR="001F6F5B">
        <w:rPr>
          <w:rFonts w:cs="Traditional Arabic" w:hint="cs"/>
          <w:sz w:val="30"/>
          <w:szCs w:val="30"/>
          <w:rtl/>
          <w:lang w:eastAsia="zh-TW"/>
        </w:rPr>
        <w:t xml:space="preserve"> من الخدمة، ويتضمن التقرير </w:t>
      </w:r>
      <w:r>
        <w:rPr>
          <w:rFonts w:cs="Traditional Arabic" w:hint="cs"/>
          <w:sz w:val="30"/>
          <w:szCs w:val="30"/>
          <w:rtl/>
          <w:lang w:eastAsia="zh-TW"/>
        </w:rPr>
        <w:t xml:space="preserve">معلومات عن الأجهزة التي تحتوي على الزئبق. </w:t>
      </w:r>
      <w:r w:rsidR="001F6F5B">
        <w:rPr>
          <w:rFonts w:cs="Traditional Arabic" w:hint="cs"/>
          <w:sz w:val="30"/>
          <w:szCs w:val="30"/>
          <w:rtl/>
          <w:lang w:eastAsia="zh-TW"/>
        </w:rPr>
        <w:t>ويتوقع أن ي</w:t>
      </w:r>
      <w:r>
        <w:rPr>
          <w:rFonts w:cs="Traditional Arabic" w:hint="cs"/>
          <w:sz w:val="30"/>
          <w:szCs w:val="30"/>
          <w:rtl/>
          <w:lang w:eastAsia="zh-TW"/>
        </w:rPr>
        <w:t xml:space="preserve">نشر </w:t>
      </w:r>
      <w:r w:rsidR="001F6F5B">
        <w:rPr>
          <w:rFonts w:cs="Traditional Arabic" w:hint="cs"/>
          <w:sz w:val="30"/>
          <w:szCs w:val="30"/>
          <w:rtl/>
          <w:lang w:eastAsia="zh-TW"/>
        </w:rPr>
        <w:t>التقريران</w:t>
      </w:r>
      <w:r>
        <w:rPr>
          <w:rFonts w:cs="Traditional Arabic" w:hint="cs"/>
          <w:sz w:val="30"/>
          <w:szCs w:val="30"/>
          <w:rtl/>
          <w:lang w:eastAsia="zh-TW"/>
        </w:rPr>
        <w:t xml:space="preserve"> كتوجيهات من منظمة الصحة العالمية بحلول نهاية عام 2019.</w:t>
      </w:r>
    </w:p>
    <w:p w14:paraId="00100466" w14:textId="1AA06B15"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الزئبق وميثيل الزئبق في الأسماك</w:t>
      </w:r>
    </w:p>
    <w:p w14:paraId="01857973" w14:textId="5D0D9558"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تواصل لجنة الدستور الغذائ</w:t>
      </w:r>
      <w:r w:rsidR="00236AAD">
        <w:rPr>
          <w:rFonts w:cs="Traditional Arabic" w:hint="cs"/>
          <w:sz w:val="30"/>
          <w:szCs w:val="30"/>
          <w:rtl/>
          <w:lang w:eastAsia="zh-TW"/>
        </w:rPr>
        <w:t>ي</w:t>
      </w:r>
      <w:r w:rsidRPr="00232302">
        <w:rPr>
          <w:rFonts w:cs="Traditional Arabic"/>
          <w:sz w:val="30"/>
          <w:szCs w:val="30"/>
          <w:rtl/>
          <w:lang w:eastAsia="zh-TW"/>
        </w:rPr>
        <w:t xml:space="preserve"> المعنية بالملوثات</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5"/>
      </w:r>
      <w:r w:rsidR="00355C76" w:rsidRPr="00631EA6">
        <w:rPr>
          <w:rFonts w:cs="Traditional Arabic"/>
          <w:szCs w:val="30"/>
          <w:vertAlign w:val="superscript"/>
          <w:rtl/>
          <w:lang w:eastAsia="zh-TW"/>
        </w:rPr>
        <w:t>)</w:t>
      </w:r>
      <w:r w:rsidR="00355C76">
        <w:rPr>
          <w:rFonts w:cs="Traditional Arabic" w:hint="cs"/>
          <w:sz w:val="30"/>
          <w:szCs w:val="30"/>
          <w:rtl/>
          <w:lang w:eastAsia="zh-TW"/>
        </w:rPr>
        <w:t xml:space="preserve"> </w:t>
      </w:r>
      <w:r w:rsidRPr="00232302">
        <w:rPr>
          <w:rFonts w:cs="Traditional Arabic"/>
          <w:sz w:val="30"/>
          <w:szCs w:val="30"/>
          <w:rtl/>
          <w:lang w:eastAsia="zh-TW"/>
        </w:rPr>
        <w:t>عملها على وضع حدود قصوى لمحتوى الزئبق في الأسما</w:t>
      </w:r>
      <w:r w:rsidR="00986A42">
        <w:rPr>
          <w:rFonts w:cs="Traditional Arabic" w:hint="cs"/>
          <w:sz w:val="30"/>
          <w:szCs w:val="30"/>
          <w:rtl/>
          <w:lang w:eastAsia="zh-TW"/>
        </w:rPr>
        <w:t>ك</w:t>
      </w:r>
      <w:r w:rsidRPr="00232302">
        <w:rPr>
          <w:rFonts w:cs="Traditional Arabic"/>
          <w:sz w:val="30"/>
          <w:szCs w:val="30"/>
          <w:rtl/>
          <w:lang w:eastAsia="zh-TW"/>
        </w:rPr>
        <w:t>.</w:t>
      </w:r>
    </w:p>
    <w:p w14:paraId="7890F3B0" w14:textId="7E0F0AAA" w:rsidR="00232302" w:rsidRPr="00236AAD"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6AAD">
        <w:rPr>
          <w:rFonts w:ascii="Traditional Arabic" w:hAnsi="Traditional Arabic"/>
          <w:b/>
          <w:bCs/>
          <w:sz w:val="30"/>
          <w:rtl/>
          <w:lang w:val="en-GB" w:eastAsia="zh-TW"/>
        </w:rPr>
        <w:t>الرصد الأحيائي</w:t>
      </w:r>
    </w:p>
    <w:p w14:paraId="6BE1964C" w14:textId="3FDD057B" w:rsidR="00232302" w:rsidRPr="00232302" w:rsidRDefault="00201ED5"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تعاونت</w:t>
      </w:r>
      <w:r w:rsidR="00232302" w:rsidRPr="00232302">
        <w:rPr>
          <w:rFonts w:cs="Traditional Arabic"/>
          <w:sz w:val="30"/>
          <w:szCs w:val="30"/>
          <w:rtl/>
          <w:lang w:eastAsia="zh-TW"/>
        </w:rPr>
        <w:t xml:space="preserve"> منظمة الصحة العالمية، من خلال مكتبها الإقليمي في أوروبا، مع برنامج الأمم المتحدة للبيئة بشأن تنفيذ مشروع مرفق البيئة العالمية المعنون ”</w:t>
      </w:r>
      <w:r>
        <w:rPr>
          <w:rFonts w:cs="Traditional Arabic" w:hint="cs"/>
          <w:sz w:val="30"/>
          <w:szCs w:val="30"/>
          <w:rtl/>
          <w:lang w:eastAsia="zh-TW"/>
        </w:rPr>
        <w:t>إعداد</w:t>
      </w:r>
      <w:r w:rsidR="00232302" w:rsidRPr="00232302">
        <w:rPr>
          <w:rFonts w:cs="Traditional Arabic"/>
          <w:sz w:val="30"/>
          <w:szCs w:val="30"/>
          <w:rtl/>
          <w:lang w:eastAsia="zh-TW"/>
        </w:rPr>
        <w:t xml:space="preserve"> خطة للرصد العالمي لتعرض البشر للزئبق وتركيزاته في البيئة“. وو</w:t>
      </w:r>
      <w:r>
        <w:rPr>
          <w:rFonts w:cs="Traditional Arabic" w:hint="cs"/>
          <w:sz w:val="30"/>
          <w:szCs w:val="30"/>
          <w:rtl/>
          <w:lang w:eastAsia="zh-TW"/>
        </w:rPr>
        <w:t>ُ</w:t>
      </w:r>
      <w:r w:rsidR="00232302" w:rsidRPr="00232302">
        <w:rPr>
          <w:rFonts w:cs="Traditional Arabic"/>
          <w:sz w:val="30"/>
          <w:szCs w:val="30"/>
          <w:rtl/>
          <w:lang w:eastAsia="zh-TW"/>
        </w:rPr>
        <w:t>ضع نهج منسق لتقييم تعرض الأجنة للزئبق قبل الولادة، بما في ذلك بروتوكول دراسة استقصائية</w:t>
      </w:r>
      <w:r w:rsidR="00986A42">
        <w:rPr>
          <w:rFonts w:cs="Traditional Arabic" w:hint="cs"/>
          <w:sz w:val="30"/>
          <w:szCs w:val="30"/>
          <w:rtl/>
          <w:lang w:eastAsia="zh-TW"/>
        </w:rPr>
        <w:t xml:space="preserve"> للرصد الأحيائي البشري</w:t>
      </w:r>
      <w:r w:rsidR="00232302" w:rsidRPr="00232302">
        <w:rPr>
          <w:rFonts w:cs="Traditional Arabic"/>
          <w:sz w:val="30"/>
          <w:szCs w:val="30"/>
          <w:rtl/>
          <w:lang w:eastAsia="zh-TW"/>
        </w:rPr>
        <w:t xml:space="preserve"> وضعته منظمة الصحة العالمية، </w:t>
      </w:r>
      <w:r w:rsidR="00986A42">
        <w:rPr>
          <w:rFonts w:cs="Traditional Arabic" w:hint="cs"/>
          <w:sz w:val="30"/>
          <w:szCs w:val="30"/>
          <w:rtl/>
          <w:lang w:eastAsia="zh-TW"/>
        </w:rPr>
        <w:t>ومجموعة</w:t>
      </w:r>
      <w:r w:rsidR="00232302" w:rsidRPr="00232302">
        <w:rPr>
          <w:rFonts w:cs="Traditional Arabic"/>
          <w:sz w:val="30"/>
          <w:szCs w:val="30"/>
          <w:rtl/>
          <w:lang w:eastAsia="zh-TW"/>
        </w:rPr>
        <w:t xml:space="preserve"> من إجراءات العمل الموحدة لأخذ العينات والتحليل</w:t>
      </w:r>
      <w:r w:rsidR="00986A42">
        <w:rPr>
          <w:rFonts w:cs="Traditional Arabic" w:hint="cs"/>
          <w:sz w:val="30"/>
          <w:szCs w:val="30"/>
          <w:rtl/>
          <w:lang w:eastAsia="zh-TW"/>
        </w:rPr>
        <w:t>، ويتاح كلاهما على الإنترنت</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6"/>
      </w:r>
      <w:r w:rsidR="00355C76" w:rsidRPr="00631EA6">
        <w:rPr>
          <w:rFonts w:cs="Traditional Arabic"/>
          <w:szCs w:val="30"/>
          <w:vertAlign w:val="superscript"/>
          <w:rtl/>
          <w:lang w:eastAsia="zh-TW"/>
        </w:rPr>
        <w:t>)</w:t>
      </w:r>
      <w:r w:rsidR="000E633A" w:rsidRPr="00232302">
        <w:rPr>
          <w:rFonts w:cs="Traditional Arabic"/>
          <w:sz w:val="30"/>
          <w:szCs w:val="30"/>
          <w:rtl/>
          <w:lang w:eastAsia="zh-TW"/>
        </w:rPr>
        <w:t>.</w:t>
      </w:r>
      <w:r w:rsidR="00232302" w:rsidRPr="00232302">
        <w:rPr>
          <w:rFonts w:cs="Traditional Arabic"/>
          <w:sz w:val="30"/>
          <w:szCs w:val="30"/>
          <w:rtl/>
          <w:lang w:eastAsia="zh-TW"/>
        </w:rPr>
        <w:t xml:space="preserve"> وج</w:t>
      </w:r>
      <w:r>
        <w:rPr>
          <w:rFonts w:cs="Traditional Arabic"/>
          <w:sz w:val="30"/>
          <w:szCs w:val="30"/>
          <w:rtl/>
          <w:lang w:eastAsia="zh-TW"/>
        </w:rPr>
        <w:t xml:space="preserve">معت </w:t>
      </w:r>
      <w:r w:rsidR="00986A42">
        <w:rPr>
          <w:rFonts w:cs="Traditional Arabic"/>
          <w:sz w:val="30"/>
          <w:szCs w:val="30"/>
          <w:rtl/>
          <w:lang w:eastAsia="zh-TW"/>
        </w:rPr>
        <w:t xml:space="preserve">بيانات عن التعرض للزئبق </w:t>
      </w:r>
      <w:r w:rsidR="00986A42">
        <w:rPr>
          <w:rFonts w:cs="Traditional Arabic" w:hint="cs"/>
          <w:sz w:val="30"/>
          <w:szCs w:val="30"/>
          <w:rtl/>
          <w:lang w:eastAsia="zh-TW"/>
        </w:rPr>
        <w:t xml:space="preserve">في دراسات استقصائية تجريبية </w:t>
      </w:r>
      <w:r w:rsidR="000E633A">
        <w:rPr>
          <w:rFonts w:cs="Traditional Arabic" w:hint="cs"/>
          <w:sz w:val="30"/>
          <w:szCs w:val="30"/>
          <w:rtl/>
          <w:lang w:eastAsia="zh-TW"/>
        </w:rPr>
        <w:t xml:space="preserve">أجريت </w:t>
      </w:r>
      <w:r w:rsidR="00986A42">
        <w:rPr>
          <w:rFonts w:cs="Traditional Arabic" w:hint="cs"/>
          <w:sz w:val="30"/>
          <w:szCs w:val="30"/>
          <w:rtl/>
          <w:lang w:eastAsia="zh-TW"/>
        </w:rPr>
        <w:t xml:space="preserve">في ستة بلدان </w:t>
      </w:r>
      <w:r w:rsidR="000E633A">
        <w:rPr>
          <w:rFonts w:cs="Traditional Arabic" w:hint="cs"/>
          <w:sz w:val="30"/>
          <w:szCs w:val="30"/>
          <w:rtl/>
          <w:lang w:eastAsia="zh-TW"/>
        </w:rPr>
        <w:t>وتعد حالياً</w:t>
      </w:r>
      <w:r w:rsidR="00986A42">
        <w:rPr>
          <w:rFonts w:cs="Traditional Arabic" w:hint="cs"/>
          <w:sz w:val="30"/>
          <w:szCs w:val="30"/>
          <w:rtl/>
          <w:lang w:eastAsia="zh-TW"/>
        </w:rPr>
        <w:t xml:space="preserve"> للنشر</w:t>
      </w:r>
      <w:r w:rsidR="00232302" w:rsidRPr="00232302">
        <w:rPr>
          <w:rFonts w:cs="Traditional Arabic"/>
          <w:sz w:val="30"/>
          <w:szCs w:val="30"/>
          <w:rtl/>
          <w:lang w:eastAsia="zh-TW"/>
        </w:rPr>
        <w:t xml:space="preserve">. </w:t>
      </w:r>
    </w:p>
    <w:p w14:paraId="484FCB55" w14:textId="6ADD1FA9"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عمل مؤتمر الأطراف فيما بين الدورات</w:t>
      </w:r>
    </w:p>
    <w:p w14:paraId="3838611C" w14:textId="4780BE37" w:rsidR="00232302" w:rsidRPr="00232302" w:rsidRDefault="00232302"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sidRPr="00232302">
        <w:rPr>
          <w:rFonts w:cs="Traditional Arabic"/>
          <w:sz w:val="30"/>
          <w:szCs w:val="30"/>
          <w:rtl/>
          <w:lang w:eastAsia="zh-TW"/>
        </w:rPr>
        <w:t>أسهمت منظمة الصحة العالمية في عمل فريق الخبراء</w:t>
      </w:r>
      <w:r w:rsidR="00986A42">
        <w:rPr>
          <w:rFonts w:cs="Traditional Arabic" w:hint="cs"/>
          <w:sz w:val="30"/>
          <w:szCs w:val="30"/>
          <w:rtl/>
          <w:lang w:eastAsia="zh-TW"/>
        </w:rPr>
        <w:t xml:space="preserve"> التقنيين</w:t>
      </w:r>
      <w:r w:rsidRPr="00232302">
        <w:rPr>
          <w:rFonts w:cs="Traditional Arabic"/>
          <w:sz w:val="30"/>
          <w:szCs w:val="30"/>
          <w:rtl/>
          <w:lang w:eastAsia="zh-TW"/>
        </w:rPr>
        <w:t xml:space="preserve"> المخصص المعني </w:t>
      </w:r>
      <w:r w:rsidR="00986A42">
        <w:rPr>
          <w:rFonts w:cs="Traditional Arabic" w:hint="cs"/>
          <w:sz w:val="30"/>
          <w:szCs w:val="30"/>
          <w:rtl/>
          <w:lang w:eastAsia="zh-TW"/>
        </w:rPr>
        <w:t xml:space="preserve">بتقييم فعالية اتفاقية </w:t>
      </w:r>
      <w:proofErr w:type="spellStart"/>
      <w:r w:rsidR="00986A42">
        <w:rPr>
          <w:rFonts w:cs="Traditional Arabic" w:hint="cs"/>
          <w:sz w:val="30"/>
          <w:szCs w:val="30"/>
          <w:rtl/>
          <w:lang w:eastAsia="zh-TW"/>
        </w:rPr>
        <w:t>ميناماتا</w:t>
      </w:r>
      <w:proofErr w:type="spellEnd"/>
      <w:r w:rsidRPr="00232302">
        <w:rPr>
          <w:rFonts w:cs="Traditional Arabic"/>
          <w:sz w:val="30"/>
          <w:szCs w:val="30"/>
          <w:rtl/>
          <w:lang w:eastAsia="zh-TW"/>
        </w:rPr>
        <w:t>.</w:t>
      </w:r>
      <w:r w:rsidR="00986A42">
        <w:rPr>
          <w:rFonts w:cs="Traditional Arabic" w:hint="cs"/>
          <w:sz w:val="30"/>
          <w:szCs w:val="30"/>
          <w:rtl/>
          <w:lang w:eastAsia="zh-TW"/>
        </w:rPr>
        <w:t xml:space="preserve"> وشارك ممثلو منظمة الصحة العالمية في اجتماع الفريق الذي عُقد في جنيف في الفترة من 8 إلى 12</w:t>
      </w:r>
      <w:r w:rsidR="00355C76">
        <w:rPr>
          <w:rFonts w:cs="Traditional Arabic" w:hint="cs"/>
          <w:sz w:val="30"/>
          <w:szCs w:val="30"/>
          <w:rtl/>
          <w:lang w:eastAsia="zh-TW"/>
        </w:rPr>
        <w:t xml:space="preserve"> </w:t>
      </w:r>
      <w:r w:rsidR="00986A42">
        <w:rPr>
          <w:rFonts w:cs="Traditional Arabic" w:hint="cs"/>
          <w:sz w:val="30"/>
          <w:szCs w:val="30"/>
          <w:rtl/>
          <w:lang w:eastAsia="zh-TW"/>
        </w:rPr>
        <w:t>نيسان/أبريل</w:t>
      </w:r>
      <w:r w:rsidR="00355C76">
        <w:rPr>
          <w:rFonts w:cs="Traditional Arabic" w:hint="cs"/>
          <w:sz w:val="30"/>
          <w:szCs w:val="30"/>
          <w:rtl/>
          <w:lang w:eastAsia="zh-TW"/>
        </w:rPr>
        <w:t xml:space="preserve"> </w:t>
      </w:r>
      <w:r w:rsidR="00986A42">
        <w:rPr>
          <w:rFonts w:cs="Traditional Arabic" w:hint="cs"/>
          <w:sz w:val="30"/>
          <w:szCs w:val="30"/>
          <w:rtl/>
          <w:lang w:eastAsia="zh-TW"/>
        </w:rPr>
        <w:t>2019.</w:t>
      </w:r>
    </w:p>
    <w:p w14:paraId="65F231DB" w14:textId="35FBBB3E" w:rsidR="00232302" w:rsidRPr="00232302" w:rsidRDefault="0023230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التقييم العالمي للزئبق</w:t>
      </w:r>
      <w:r w:rsidR="00F8037B">
        <w:rPr>
          <w:rFonts w:ascii="Traditional Arabic" w:hAnsi="Traditional Arabic" w:hint="cs"/>
          <w:b/>
          <w:bCs/>
          <w:sz w:val="30"/>
          <w:rtl/>
          <w:lang w:val="en-GB" w:eastAsia="zh-TW"/>
        </w:rPr>
        <w:t xml:space="preserve"> واستعراض حالة </w:t>
      </w:r>
      <w:r w:rsidR="000E633A">
        <w:rPr>
          <w:rFonts w:ascii="Traditional Arabic" w:hAnsi="Traditional Arabic" w:hint="cs"/>
          <w:b/>
          <w:bCs/>
          <w:sz w:val="30"/>
          <w:rtl/>
          <w:lang w:val="en-GB" w:eastAsia="zh-TW"/>
        </w:rPr>
        <w:t>العلم للمؤشرات البيولوجية</w:t>
      </w:r>
      <w:r w:rsidR="00F8037B">
        <w:rPr>
          <w:rFonts w:ascii="Traditional Arabic" w:hAnsi="Traditional Arabic" w:hint="cs"/>
          <w:b/>
          <w:bCs/>
          <w:sz w:val="30"/>
          <w:rtl/>
          <w:lang w:val="en-GB" w:eastAsia="zh-TW"/>
        </w:rPr>
        <w:t xml:space="preserve"> للزئبق لدى البشر</w:t>
      </w:r>
    </w:p>
    <w:p w14:paraId="176F91BA" w14:textId="2088EC46" w:rsidR="00232302" w:rsidRPr="00232302" w:rsidRDefault="00F8037B"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rtl/>
          <w:lang w:eastAsia="zh-TW"/>
        </w:rPr>
      </w:pPr>
      <w:r>
        <w:rPr>
          <w:rFonts w:cs="Traditional Arabic" w:hint="cs"/>
          <w:sz w:val="30"/>
          <w:szCs w:val="30"/>
          <w:rtl/>
          <w:lang w:eastAsia="zh-TW"/>
        </w:rPr>
        <w:t xml:space="preserve">أدت منظمة الصحة العالمية دوراً قيادياً في إعداد الفصل </w:t>
      </w:r>
      <w:r w:rsidR="000E633A">
        <w:rPr>
          <w:rFonts w:cs="Traditional Arabic" w:hint="cs"/>
          <w:sz w:val="30"/>
          <w:szCs w:val="30"/>
          <w:rtl/>
          <w:lang w:eastAsia="zh-TW"/>
        </w:rPr>
        <w:t>المتعلق ب</w:t>
      </w:r>
      <w:r>
        <w:rPr>
          <w:rFonts w:cs="Traditional Arabic" w:hint="cs"/>
          <w:sz w:val="30"/>
          <w:szCs w:val="30"/>
          <w:rtl/>
          <w:lang w:eastAsia="zh-TW"/>
        </w:rPr>
        <w:t>الرصد الأحيائي للزئبق</w:t>
      </w:r>
      <w:r w:rsidR="00201ED5">
        <w:rPr>
          <w:rFonts w:cs="Traditional Arabic" w:hint="cs"/>
          <w:sz w:val="30"/>
          <w:szCs w:val="30"/>
          <w:rtl/>
          <w:lang w:eastAsia="zh-TW"/>
        </w:rPr>
        <w:t xml:space="preserve"> لدى البشر</w:t>
      </w:r>
      <w:r>
        <w:rPr>
          <w:rFonts w:cs="Traditional Arabic" w:hint="cs"/>
          <w:sz w:val="30"/>
          <w:szCs w:val="30"/>
          <w:rtl/>
          <w:lang w:eastAsia="zh-TW"/>
        </w:rPr>
        <w:t xml:space="preserve"> من أجل </w:t>
      </w:r>
      <w:r w:rsidRPr="00FB6F90">
        <w:rPr>
          <w:rFonts w:cs="Traditional Arabic" w:hint="cs"/>
          <w:i/>
          <w:iCs/>
          <w:sz w:val="30"/>
          <w:szCs w:val="30"/>
          <w:rtl/>
          <w:lang w:eastAsia="zh-TW"/>
        </w:rPr>
        <w:t>التقييم العالمي للزئبق لعام 2018</w:t>
      </w:r>
      <w:r>
        <w:rPr>
          <w:rFonts w:cs="Traditional Arabic" w:hint="cs"/>
          <w:sz w:val="30"/>
          <w:szCs w:val="30"/>
          <w:rtl/>
          <w:lang w:eastAsia="zh-TW"/>
        </w:rPr>
        <w:t>. واستند هذا الفصل إلى استعراض</w:t>
      </w:r>
      <w:r w:rsidR="000E633A">
        <w:rPr>
          <w:rFonts w:cs="Traditional Arabic" w:hint="cs"/>
          <w:sz w:val="30"/>
          <w:szCs w:val="30"/>
          <w:rtl/>
          <w:lang w:eastAsia="zh-TW"/>
        </w:rPr>
        <w:t xml:space="preserve"> كلفت به منظمة الصحة العالمية ل</w:t>
      </w:r>
      <w:r>
        <w:rPr>
          <w:rFonts w:cs="Traditional Arabic" w:hint="cs"/>
          <w:sz w:val="30"/>
          <w:szCs w:val="30"/>
          <w:rtl/>
          <w:lang w:eastAsia="zh-TW"/>
        </w:rPr>
        <w:t xml:space="preserve">حالة </w:t>
      </w:r>
      <w:r w:rsidR="000E633A">
        <w:rPr>
          <w:rFonts w:cs="Traditional Arabic" w:hint="cs"/>
          <w:sz w:val="30"/>
          <w:szCs w:val="30"/>
          <w:rtl/>
          <w:lang w:eastAsia="zh-TW"/>
        </w:rPr>
        <w:t>العلم للمؤشرات</w:t>
      </w:r>
      <w:r>
        <w:rPr>
          <w:rFonts w:cs="Traditional Arabic" w:hint="cs"/>
          <w:sz w:val="30"/>
          <w:szCs w:val="30"/>
          <w:rtl/>
          <w:lang w:eastAsia="zh-TW"/>
        </w:rPr>
        <w:t xml:space="preserve"> البيولوجية للزئبق لدى البشر في جميع أنحاء العالم بين عامي 2000 و2018</w:t>
      </w:r>
      <w:r w:rsidR="00355C76" w:rsidRPr="00631EA6">
        <w:rPr>
          <w:rFonts w:cs="Traditional Arabic"/>
          <w:szCs w:val="30"/>
          <w:vertAlign w:val="superscript"/>
          <w:rtl/>
          <w:lang w:eastAsia="zh-TW"/>
        </w:rPr>
        <w:t>(</w:t>
      </w:r>
      <w:r w:rsidR="00355C76" w:rsidRPr="00631EA6">
        <w:rPr>
          <w:rFonts w:eastAsia="Arial Unicode MS" w:cs="Traditional Arabic"/>
          <w:szCs w:val="30"/>
          <w:u w:color="000000"/>
          <w:bdr w:val="nil"/>
          <w:vertAlign w:val="superscript"/>
          <w:rtl/>
          <w:lang w:eastAsia="zh-TW"/>
        </w:rPr>
        <w:footnoteReference w:id="7"/>
      </w:r>
      <w:r w:rsidR="00355C76" w:rsidRPr="00631EA6">
        <w:rPr>
          <w:rFonts w:cs="Traditional Arabic"/>
          <w:szCs w:val="30"/>
          <w:vertAlign w:val="superscript"/>
          <w:rtl/>
          <w:lang w:eastAsia="zh-TW"/>
        </w:rPr>
        <w:t>)</w:t>
      </w:r>
      <w:r w:rsidR="000E633A">
        <w:rPr>
          <w:rFonts w:cs="Traditional Arabic" w:hint="cs"/>
          <w:sz w:val="30"/>
          <w:szCs w:val="30"/>
          <w:rtl/>
          <w:lang w:eastAsia="zh-TW"/>
        </w:rPr>
        <w:t>.</w:t>
      </w:r>
      <w:r>
        <w:rPr>
          <w:rFonts w:cs="Traditional Arabic" w:hint="cs"/>
          <w:sz w:val="30"/>
          <w:szCs w:val="30"/>
          <w:rtl/>
          <w:lang w:eastAsia="zh-TW"/>
        </w:rPr>
        <w:t xml:space="preserve"> وحدد الاستعراض، الذي نُشر في </w:t>
      </w:r>
      <w:r w:rsidR="000E633A">
        <w:rPr>
          <w:rFonts w:cs="Traditional Arabic" w:hint="cs"/>
          <w:sz w:val="30"/>
          <w:szCs w:val="30"/>
          <w:rtl/>
          <w:lang w:eastAsia="zh-TW"/>
        </w:rPr>
        <w:t xml:space="preserve">المؤلفات </w:t>
      </w:r>
      <w:r>
        <w:rPr>
          <w:rFonts w:cs="Traditional Arabic" w:hint="cs"/>
          <w:sz w:val="30"/>
          <w:szCs w:val="30"/>
          <w:rtl/>
          <w:lang w:eastAsia="zh-TW"/>
        </w:rPr>
        <w:t xml:space="preserve">العلمية في تشرين الأول/أكتوبر 2018، معياراً عالمياً لتعرض </w:t>
      </w:r>
      <w:r w:rsidR="00201ED5">
        <w:rPr>
          <w:rFonts w:cs="Traditional Arabic" w:hint="cs"/>
          <w:sz w:val="30"/>
          <w:szCs w:val="30"/>
          <w:rtl/>
          <w:lang w:eastAsia="zh-TW"/>
        </w:rPr>
        <w:t>البشر</w:t>
      </w:r>
      <w:r>
        <w:rPr>
          <w:rFonts w:cs="Traditional Arabic" w:hint="cs"/>
          <w:sz w:val="30"/>
          <w:szCs w:val="30"/>
          <w:rtl/>
          <w:lang w:eastAsia="zh-TW"/>
        </w:rPr>
        <w:t xml:space="preserve"> للزئبق وحدد المجموعات السكانية الضعيفة والمناطق الجغرافية التي </w:t>
      </w:r>
      <w:r w:rsidR="000E633A">
        <w:rPr>
          <w:rFonts w:cs="Traditional Arabic" w:hint="cs"/>
          <w:sz w:val="30"/>
          <w:szCs w:val="30"/>
          <w:rtl/>
          <w:lang w:eastAsia="zh-TW"/>
        </w:rPr>
        <w:t xml:space="preserve">لا تتوفر </w:t>
      </w:r>
      <w:r>
        <w:rPr>
          <w:rFonts w:cs="Traditional Arabic" w:hint="cs"/>
          <w:sz w:val="30"/>
          <w:szCs w:val="30"/>
          <w:rtl/>
          <w:lang w:eastAsia="zh-TW"/>
        </w:rPr>
        <w:t>بيانات</w:t>
      </w:r>
      <w:r w:rsidR="000E633A">
        <w:rPr>
          <w:rFonts w:cs="Traditional Arabic" w:hint="cs"/>
          <w:sz w:val="30"/>
          <w:szCs w:val="30"/>
          <w:rtl/>
          <w:lang w:eastAsia="zh-TW"/>
        </w:rPr>
        <w:t xml:space="preserve"> كافية </w:t>
      </w:r>
      <w:r>
        <w:rPr>
          <w:rFonts w:cs="Traditional Arabic" w:hint="cs"/>
          <w:sz w:val="30"/>
          <w:szCs w:val="30"/>
          <w:rtl/>
          <w:lang w:eastAsia="zh-TW"/>
        </w:rPr>
        <w:t>بشأنها.</w:t>
      </w:r>
    </w:p>
    <w:p w14:paraId="2E364704" w14:textId="5019C624" w:rsidR="00232302" w:rsidRPr="00232302" w:rsidRDefault="00232302" w:rsidP="005761F0">
      <w:pPr>
        <w:keepNext/>
        <w:keepLines/>
        <w:tabs>
          <w:tab w:val="left" w:pos="3515"/>
          <w:tab w:val="left" w:pos="4082"/>
        </w:tabs>
        <w:suppressAutoHyphens/>
        <w:bidi/>
        <w:spacing w:after="120" w:line="400" w:lineRule="exact"/>
        <w:ind w:left="1134" w:right="284"/>
        <w:jc w:val="both"/>
        <w:textDirection w:val="tbRlV"/>
        <w:rPr>
          <w:rFonts w:ascii="Traditional Arabic" w:hAnsi="Traditional Arabic"/>
          <w:b/>
          <w:bCs/>
          <w:sz w:val="30"/>
          <w:rtl/>
          <w:lang w:val="en-GB" w:eastAsia="zh-TW"/>
        </w:rPr>
      </w:pPr>
      <w:r w:rsidRPr="00232302">
        <w:rPr>
          <w:rFonts w:ascii="Traditional Arabic" w:hAnsi="Traditional Arabic"/>
          <w:b/>
          <w:bCs/>
          <w:sz w:val="30"/>
          <w:rtl/>
          <w:lang w:val="en-GB" w:eastAsia="zh-TW"/>
        </w:rPr>
        <w:t>جمعية الصحة العالمية</w:t>
      </w:r>
    </w:p>
    <w:p w14:paraId="5F503CF0" w14:textId="6B3A83F3" w:rsidR="00386602" w:rsidRDefault="00F8037B" w:rsidP="005761F0">
      <w:pPr>
        <w:pStyle w:val="Normalnumber"/>
        <w:numPr>
          <w:ilvl w:val="0"/>
          <w:numId w:val="25"/>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في أيار/مايو 2019، أحاطت جمعية الصحة العالمية الثانية والسبعين علماً بالتقرير المرحلي الذي قدمته أمانة منظمة الصحة العالمية عن تنفيذ </w:t>
      </w:r>
      <w:r w:rsidR="000E633A">
        <w:rPr>
          <w:rFonts w:cs="Traditional Arabic" w:hint="cs"/>
          <w:sz w:val="30"/>
          <w:szCs w:val="30"/>
          <w:rtl/>
          <w:lang w:eastAsia="zh-TW"/>
        </w:rPr>
        <w:t xml:space="preserve">قرار جمعية الصحة العالمية </w:t>
      </w:r>
      <w:r w:rsidRPr="00232302">
        <w:rPr>
          <w:rFonts w:cs="Traditional Arabic"/>
          <w:sz w:val="30"/>
          <w:szCs w:val="30"/>
          <w:rtl/>
          <w:lang w:eastAsia="zh-TW"/>
        </w:rPr>
        <w:t>67-11</w:t>
      </w:r>
      <w:r>
        <w:rPr>
          <w:rFonts w:cs="Traditional Arabic" w:hint="cs"/>
          <w:sz w:val="30"/>
          <w:szCs w:val="30"/>
          <w:rtl/>
          <w:lang w:eastAsia="zh-TW"/>
        </w:rPr>
        <w:t xml:space="preserve">. ومن المقرر أن يصدر التقرير المرحلي </w:t>
      </w:r>
      <w:r w:rsidR="000E633A">
        <w:rPr>
          <w:rFonts w:cs="Traditional Arabic" w:hint="cs"/>
          <w:sz w:val="30"/>
          <w:szCs w:val="30"/>
          <w:rtl/>
          <w:lang w:eastAsia="zh-TW"/>
        </w:rPr>
        <w:t xml:space="preserve">المقبل </w:t>
      </w:r>
      <w:r>
        <w:rPr>
          <w:rFonts w:cs="Traditional Arabic" w:hint="cs"/>
          <w:sz w:val="30"/>
          <w:szCs w:val="30"/>
          <w:rtl/>
          <w:lang w:eastAsia="zh-TW"/>
        </w:rPr>
        <w:t>لجمعية الصحة العالمية الرابعة والسبعين في عام 2021.</w:t>
      </w:r>
    </w:p>
    <w:p w14:paraId="6D670DF8" w14:textId="77777777" w:rsidR="007D523D" w:rsidRDefault="007D523D" w:rsidP="005761F0">
      <w:pPr>
        <w:pStyle w:val="Normalnumber"/>
        <w:numPr>
          <w:ilvl w:val="0"/>
          <w:numId w:val="0"/>
        </w:numPr>
        <w:tabs>
          <w:tab w:val="left" w:pos="1841"/>
        </w:tabs>
        <w:bidi/>
        <w:spacing w:line="400" w:lineRule="exact"/>
        <w:ind w:left="1134"/>
        <w:jc w:val="both"/>
        <w:textDirection w:val="tbRlV"/>
        <w:rPr>
          <w:rFonts w:cs="Traditional Arabic"/>
          <w:sz w:val="30"/>
          <w:szCs w:val="30"/>
          <w:lang w:eastAsia="zh-TW"/>
        </w:rPr>
      </w:pPr>
    </w:p>
    <w:p w14:paraId="519DB439" w14:textId="48722DB4" w:rsidR="007D523D" w:rsidRDefault="007D523D" w:rsidP="005761F0">
      <w:pPr>
        <w:pStyle w:val="Normalnumber"/>
        <w:numPr>
          <w:ilvl w:val="0"/>
          <w:numId w:val="0"/>
        </w:numPr>
        <w:tabs>
          <w:tab w:val="left" w:pos="1841"/>
        </w:tabs>
        <w:bidi/>
        <w:spacing w:line="400" w:lineRule="exact"/>
        <w:ind w:left="1247"/>
        <w:jc w:val="both"/>
        <w:textDirection w:val="tbRlV"/>
        <w:rPr>
          <w:rFonts w:cs="Traditional Arabic"/>
          <w:sz w:val="30"/>
          <w:szCs w:val="30"/>
          <w:rtl/>
          <w:lang w:eastAsia="zh-TW"/>
        </w:rPr>
        <w:sectPr w:rsidR="007D523D" w:rsidSect="006F6824">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type w:val="continuous"/>
          <w:pgSz w:w="11906" w:h="16838" w:code="9"/>
          <w:pgMar w:top="907" w:right="1418" w:bottom="1418" w:left="992" w:header="539" w:footer="975" w:gutter="0"/>
          <w:cols w:space="720"/>
          <w:titlePg/>
          <w:bidi/>
          <w:rtlGutter/>
          <w:docGrid w:linePitch="299"/>
        </w:sectPr>
      </w:pPr>
    </w:p>
    <w:p w14:paraId="4415EB75" w14:textId="5BF4C0D6" w:rsidR="00F73A83" w:rsidRPr="008F5CBD" w:rsidRDefault="00F73A83" w:rsidP="005761F0">
      <w:pPr>
        <w:pStyle w:val="Normalnumber"/>
        <w:numPr>
          <w:ilvl w:val="0"/>
          <w:numId w:val="0"/>
        </w:numPr>
        <w:tabs>
          <w:tab w:val="left" w:pos="1841"/>
        </w:tabs>
        <w:bidi/>
        <w:spacing w:line="400" w:lineRule="exact"/>
        <w:jc w:val="both"/>
        <w:textDirection w:val="tbRlV"/>
        <w:rPr>
          <w:rFonts w:ascii="Traditional Arabic" w:hAnsi="Traditional Arabic" w:cs="Traditional Arabic"/>
          <w:sz w:val="34"/>
          <w:szCs w:val="34"/>
          <w:rtl/>
          <w:lang w:eastAsia="zh-TW"/>
        </w:rPr>
      </w:pPr>
      <w:r w:rsidRPr="00F73A83">
        <w:rPr>
          <w:rFonts w:ascii="Traditional Arabic" w:hAnsi="Traditional Arabic" w:cs="Traditional Arabic"/>
          <w:b/>
          <w:bCs/>
          <w:sz w:val="34"/>
          <w:szCs w:val="34"/>
          <w:rtl/>
          <w:lang w:eastAsia="zh-TW"/>
        </w:rPr>
        <w:t>المرفق</w:t>
      </w:r>
      <w:r w:rsidRPr="00F73A83">
        <w:rPr>
          <w:rFonts w:ascii="Traditional Arabic" w:hAnsi="Traditional Arabic" w:cs="Traditional Arabic" w:hint="cs"/>
          <w:b/>
          <w:bCs/>
          <w:sz w:val="34"/>
          <w:szCs w:val="34"/>
          <w:rtl/>
          <w:lang w:eastAsia="zh-TW" w:bidi="ar-EG"/>
        </w:rPr>
        <w:t xml:space="preserve"> </w:t>
      </w:r>
      <w:r>
        <w:rPr>
          <w:rFonts w:ascii="Traditional Arabic" w:hAnsi="Traditional Arabic" w:cs="Traditional Arabic" w:hint="cs"/>
          <w:b/>
          <w:bCs/>
          <w:sz w:val="34"/>
          <w:szCs w:val="34"/>
          <w:rtl/>
          <w:lang w:eastAsia="zh-TW" w:bidi="ar-EG"/>
        </w:rPr>
        <w:t>الثاني</w:t>
      </w:r>
    </w:p>
    <w:p w14:paraId="17F6D0EE" w14:textId="4E68D4F3" w:rsidR="00F73A83" w:rsidRPr="00232302" w:rsidRDefault="00F73A83" w:rsidP="005761F0">
      <w:pPr>
        <w:tabs>
          <w:tab w:val="left" w:pos="1841"/>
          <w:tab w:val="left" w:pos="4082"/>
        </w:tabs>
        <w:bidi/>
        <w:spacing w:after="120" w:line="400" w:lineRule="exact"/>
        <w:ind w:left="1134"/>
        <w:jc w:val="both"/>
        <w:textDirection w:val="tbRlV"/>
        <w:rPr>
          <w:rFonts w:ascii="Traditional Arabic" w:hAnsi="Traditional Arabic"/>
          <w:b/>
          <w:bCs/>
          <w:sz w:val="32"/>
          <w:szCs w:val="32"/>
          <w:rtl/>
          <w:lang w:val="en-GB" w:eastAsia="zh-TW"/>
        </w:rPr>
      </w:pPr>
      <w:r w:rsidRPr="00232302">
        <w:rPr>
          <w:rFonts w:ascii="Traditional Arabic" w:hAnsi="Traditional Arabic"/>
          <w:b/>
          <w:bCs/>
          <w:sz w:val="32"/>
          <w:szCs w:val="32"/>
          <w:rtl/>
          <w:lang w:val="en-GB" w:eastAsia="zh-TW"/>
        </w:rPr>
        <w:t xml:space="preserve">عمل منظمة </w:t>
      </w:r>
      <w:r>
        <w:rPr>
          <w:rFonts w:ascii="Traditional Arabic" w:hAnsi="Traditional Arabic" w:hint="cs"/>
          <w:b/>
          <w:bCs/>
          <w:sz w:val="32"/>
          <w:szCs w:val="32"/>
          <w:rtl/>
          <w:lang w:val="en-GB" w:eastAsia="zh-TW"/>
        </w:rPr>
        <w:t>العمل الدولية</w:t>
      </w:r>
      <w:r w:rsidRPr="00232302">
        <w:rPr>
          <w:rFonts w:ascii="Traditional Arabic" w:hAnsi="Traditional Arabic"/>
          <w:b/>
          <w:bCs/>
          <w:sz w:val="32"/>
          <w:szCs w:val="32"/>
          <w:rtl/>
          <w:lang w:val="en-GB" w:eastAsia="zh-TW"/>
        </w:rPr>
        <w:t xml:space="preserve"> فيما يتعلق باتفاقية </w:t>
      </w:r>
      <w:proofErr w:type="spellStart"/>
      <w:r w:rsidRPr="00232302">
        <w:rPr>
          <w:rFonts w:ascii="Traditional Arabic" w:hAnsi="Traditional Arabic"/>
          <w:b/>
          <w:bCs/>
          <w:sz w:val="32"/>
          <w:szCs w:val="32"/>
          <w:rtl/>
          <w:lang w:val="en-GB" w:eastAsia="zh-TW"/>
        </w:rPr>
        <w:t>ميناماتا</w:t>
      </w:r>
      <w:proofErr w:type="spellEnd"/>
      <w:r w:rsidRPr="00232302">
        <w:rPr>
          <w:rFonts w:ascii="Traditional Arabic" w:hAnsi="Traditional Arabic"/>
          <w:b/>
          <w:bCs/>
          <w:sz w:val="32"/>
          <w:szCs w:val="32"/>
          <w:rtl/>
          <w:lang w:val="en-GB" w:eastAsia="zh-TW"/>
        </w:rPr>
        <w:t xml:space="preserve"> بشأن الزئبق</w:t>
      </w:r>
    </w:p>
    <w:p w14:paraId="72BA03BD" w14:textId="34632539" w:rsidR="00F73A83" w:rsidRDefault="00F73A83"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يستند التعاون بين منظمة العمل الدولية ومؤتمر الأطراف في 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بشأن الزئبق</w:t>
      </w:r>
      <w:r w:rsidR="00201ED5">
        <w:rPr>
          <w:rFonts w:cs="Traditional Arabic" w:hint="cs"/>
          <w:sz w:val="30"/>
          <w:szCs w:val="30"/>
          <w:rtl/>
          <w:lang w:eastAsia="zh-TW"/>
        </w:rPr>
        <w:t xml:space="preserve"> وأمانة اتفاقية </w:t>
      </w:r>
      <w:proofErr w:type="spellStart"/>
      <w:r w:rsidR="00201ED5">
        <w:rPr>
          <w:rFonts w:cs="Traditional Arabic" w:hint="cs"/>
          <w:sz w:val="30"/>
          <w:szCs w:val="30"/>
          <w:rtl/>
          <w:lang w:eastAsia="zh-TW"/>
        </w:rPr>
        <w:t>ميناماتا</w:t>
      </w:r>
      <w:proofErr w:type="spellEnd"/>
      <w:r w:rsidR="00201ED5">
        <w:rPr>
          <w:rFonts w:cs="Traditional Arabic" w:hint="cs"/>
          <w:sz w:val="30"/>
          <w:szCs w:val="30"/>
          <w:rtl/>
          <w:lang w:eastAsia="zh-TW"/>
        </w:rPr>
        <w:t xml:space="preserve"> إلى نص</w:t>
      </w:r>
      <w:r>
        <w:rPr>
          <w:rFonts w:cs="Traditional Arabic" w:hint="cs"/>
          <w:sz w:val="30"/>
          <w:szCs w:val="30"/>
          <w:rtl/>
          <w:lang w:eastAsia="zh-TW"/>
        </w:rPr>
        <w:t xml:space="preserve"> الاتفاقية، </w:t>
      </w:r>
      <w:r w:rsidR="00201ED5">
        <w:rPr>
          <w:rFonts w:cs="Traditional Arabic" w:hint="cs"/>
          <w:sz w:val="30"/>
          <w:szCs w:val="30"/>
          <w:rtl/>
          <w:lang w:eastAsia="zh-TW"/>
        </w:rPr>
        <w:t>ولاسيما</w:t>
      </w:r>
      <w:r>
        <w:rPr>
          <w:rFonts w:cs="Traditional Arabic" w:hint="cs"/>
          <w:sz w:val="30"/>
          <w:szCs w:val="30"/>
          <w:rtl/>
          <w:lang w:eastAsia="zh-TW"/>
        </w:rPr>
        <w:t xml:space="preserve"> الفقرة 2 من المادة 16. وركزت منظمة العمل الدولية وهيئاتها التأسيسية دعمها التقني بما يتماشى مع المادة 7 </w:t>
      </w:r>
      <w:r w:rsidR="000E633A">
        <w:rPr>
          <w:rFonts w:cs="Traditional Arabic" w:hint="cs"/>
          <w:sz w:val="30"/>
          <w:szCs w:val="30"/>
          <w:rtl/>
          <w:lang w:eastAsia="zh-TW"/>
        </w:rPr>
        <w:t xml:space="preserve">من </w:t>
      </w:r>
      <w:r>
        <w:rPr>
          <w:rFonts w:cs="Traditional Arabic" w:hint="cs"/>
          <w:sz w:val="30"/>
          <w:szCs w:val="30"/>
          <w:rtl/>
          <w:lang w:eastAsia="zh-TW"/>
        </w:rPr>
        <w:t xml:space="preserve">المرفق جيم </w:t>
      </w:r>
      <w:r w:rsidR="000E633A">
        <w:rPr>
          <w:rFonts w:cs="Traditional Arabic" w:hint="cs"/>
          <w:sz w:val="30"/>
          <w:szCs w:val="30"/>
          <w:rtl/>
          <w:lang w:eastAsia="zh-TW"/>
        </w:rPr>
        <w:t>ل</w:t>
      </w:r>
      <w:r>
        <w:rPr>
          <w:rFonts w:cs="Traditional Arabic" w:hint="cs"/>
          <w:sz w:val="30"/>
          <w:szCs w:val="30"/>
          <w:rtl/>
          <w:lang w:eastAsia="zh-TW"/>
        </w:rPr>
        <w:t xml:space="preserve">لاتفاقية، </w:t>
      </w:r>
      <w:r w:rsidR="00A65127">
        <w:rPr>
          <w:rFonts w:cs="Traditional Arabic" w:hint="cs"/>
          <w:sz w:val="30"/>
          <w:szCs w:val="30"/>
          <w:rtl/>
          <w:lang w:eastAsia="zh-TW"/>
        </w:rPr>
        <w:t xml:space="preserve">التي تتناول </w:t>
      </w:r>
      <w:r>
        <w:rPr>
          <w:rFonts w:cs="Traditional Arabic" w:hint="cs"/>
          <w:sz w:val="30"/>
          <w:szCs w:val="30"/>
          <w:rtl/>
          <w:lang w:eastAsia="zh-TW"/>
        </w:rPr>
        <w:t xml:space="preserve">تعدين الذهب الحرفي </w:t>
      </w:r>
      <w:r w:rsidR="00386602">
        <w:rPr>
          <w:rFonts w:cs="Traditional Arabic" w:hint="cs"/>
          <w:sz w:val="30"/>
          <w:szCs w:val="30"/>
          <w:rtl/>
          <w:lang w:eastAsia="zh-TW"/>
        </w:rPr>
        <w:t>و</w:t>
      </w:r>
      <w:r>
        <w:rPr>
          <w:rFonts w:cs="Traditional Arabic" w:hint="cs"/>
          <w:sz w:val="30"/>
          <w:szCs w:val="30"/>
          <w:rtl/>
          <w:lang w:eastAsia="zh-TW"/>
        </w:rPr>
        <w:t xml:space="preserve">الضيق النطاق، وتشرع </w:t>
      </w:r>
      <w:r w:rsidR="00A65127">
        <w:rPr>
          <w:rFonts w:cs="Traditional Arabic" w:hint="cs"/>
          <w:sz w:val="30"/>
          <w:szCs w:val="30"/>
          <w:rtl/>
          <w:lang w:eastAsia="zh-TW"/>
        </w:rPr>
        <w:t xml:space="preserve">المنظمة </w:t>
      </w:r>
      <w:r>
        <w:rPr>
          <w:rFonts w:cs="Traditional Arabic" w:hint="cs"/>
          <w:sz w:val="30"/>
          <w:szCs w:val="30"/>
          <w:rtl/>
          <w:lang w:eastAsia="zh-TW"/>
        </w:rPr>
        <w:t>في توسيع نطاق مبادراتها لتشمل التعرض للزئبق في قطاع النفايات الإلكترونية.</w:t>
      </w:r>
    </w:p>
    <w:p w14:paraId="4CE6C4D5" w14:textId="400EB429" w:rsidR="00227D89" w:rsidRDefault="00227D89"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ومنذ اعتماد 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تضمنت أنشطة منظمة العمل الدولي</w:t>
      </w:r>
      <w:r w:rsidR="00AF5266">
        <w:rPr>
          <w:rFonts w:cs="Traditional Arabic" w:hint="cs"/>
          <w:sz w:val="30"/>
          <w:szCs w:val="30"/>
          <w:rtl/>
          <w:lang w:eastAsia="zh-TW"/>
        </w:rPr>
        <w:t>ة</w:t>
      </w:r>
      <w:r>
        <w:rPr>
          <w:rFonts w:cs="Traditional Arabic" w:hint="cs"/>
          <w:sz w:val="30"/>
          <w:szCs w:val="30"/>
          <w:rtl/>
          <w:lang w:eastAsia="zh-TW"/>
        </w:rPr>
        <w:t xml:space="preserve"> الرامية إلى دعم تنفيذ الاتفاقية تعزيز الصكوك الدولية لمنظمة العمل الدولية، وعمل المشاريع على المستوى القُطري، وإنتاج مدونات عالمية ل</w:t>
      </w:r>
      <w:r w:rsidR="000F2EC6">
        <w:rPr>
          <w:rFonts w:cs="Traditional Arabic" w:hint="cs"/>
          <w:sz w:val="30"/>
          <w:szCs w:val="30"/>
          <w:rtl/>
          <w:lang w:eastAsia="zh-TW"/>
        </w:rPr>
        <w:t>قواعد ا</w:t>
      </w:r>
      <w:r>
        <w:rPr>
          <w:rFonts w:cs="Traditional Arabic" w:hint="cs"/>
          <w:sz w:val="30"/>
          <w:szCs w:val="30"/>
          <w:rtl/>
          <w:lang w:eastAsia="zh-TW"/>
        </w:rPr>
        <w:t xml:space="preserve">لممارسات ووثائق </w:t>
      </w:r>
      <w:r w:rsidR="00A65127">
        <w:rPr>
          <w:rFonts w:cs="Traditional Arabic" w:hint="cs"/>
          <w:sz w:val="30"/>
          <w:szCs w:val="30"/>
          <w:rtl/>
          <w:lang w:eastAsia="zh-TW"/>
        </w:rPr>
        <w:t>ال</w:t>
      </w:r>
      <w:r>
        <w:rPr>
          <w:rFonts w:cs="Traditional Arabic" w:hint="cs"/>
          <w:sz w:val="30"/>
          <w:szCs w:val="30"/>
          <w:rtl/>
          <w:lang w:eastAsia="zh-TW"/>
        </w:rPr>
        <w:t>عمل، على النحو المبين أدناه.</w:t>
      </w:r>
    </w:p>
    <w:p w14:paraId="0516D767" w14:textId="1AF8D30F" w:rsidR="00F80E12" w:rsidRPr="00F80E12" w:rsidRDefault="00F80E12"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lang w:val="en-GB" w:eastAsia="zh-TW"/>
        </w:rPr>
      </w:pPr>
      <w:r w:rsidRPr="00F80E12">
        <w:rPr>
          <w:rFonts w:ascii="Traditional Arabic" w:hAnsi="Traditional Arabic" w:hint="cs"/>
          <w:b/>
          <w:bCs/>
          <w:sz w:val="30"/>
          <w:rtl/>
          <w:lang w:val="en-GB" w:eastAsia="zh-TW"/>
        </w:rPr>
        <w:t>تعزيز الصكوك الدولية لمنظمة العمل الدولي</w:t>
      </w:r>
      <w:r w:rsidR="00AF5266">
        <w:rPr>
          <w:rFonts w:ascii="Traditional Arabic" w:hAnsi="Traditional Arabic" w:hint="cs"/>
          <w:b/>
          <w:bCs/>
          <w:sz w:val="30"/>
          <w:rtl/>
          <w:lang w:val="en-GB" w:eastAsia="zh-TW"/>
        </w:rPr>
        <w:t>ة</w:t>
      </w:r>
      <w:r w:rsidRPr="00F80E12">
        <w:rPr>
          <w:rFonts w:ascii="Traditional Arabic" w:hAnsi="Traditional Arabic" w:hint="cs"/>
          <w:b/>
          <w:bCs/>
          <w:sz w:val="30"/>
          <w:rtl/>
          <w:lang w:val="en-GB" w:eastAsia="zh-TW"/>
        </w:rPr>
        <w:t xml:space="preserve"> للوقاية من الأمراض المهنية الناجمة عن التعرض للزئبق</w:t>
      </w:r>
    </w:p>
    <w:p w14:paraId="7062744F" w14:textId="470D23B7" w:rsidR="00227D89" w:rsidRDefault="00F80E12"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في إعلان منظمة العمل الدولية من أجل مستقبل العمل، المعتمد في حزيران/يوني</w:t>
      </w:r>
      <w:r w:rsidR="002B250C">
        <w:rPr>
          <w:rFonts w:cs="Traditional Arabic" w:hint="cs"/>
          <w:sz w:val="30"/>
          <w:szCs w:val="30"/>
          <w:rtl/>
          <w:lang w:eastAsia="zh-TW"/>
        </w:rPr>
        <w:t>ه</w:t>
      </w:r>
      <w:r>
        <w:rPr>
          <w:rFonts w:cs="Traditional Arabic" w:hint="cs"/>
          <w:sz w:val="30"/>
          <w:szCs w:val="30"/>
          <w:rtl/>
          <w:lang w:eastAsia="zh-TW"/>
        </w:rPr>
        <w:t xml:space="preserve"> 2019 في الدورة الثامنة بعد المائة لمؤتمر العمل الدولي، أعلن المؤتمر أن </w:t>
      </w:r>
      <w:r w:rsidR="00A658DD">
        <w:rPr>
          <w:rFonts w:cs="Traditional Arabic" w:hint="cs"/>
          <w:sz w:val="30"/>
          <w:szCs w:val="30"/>
          <w:rtl/>
          <w:lang w:eastAsia="zh-TW"/>
        </w:rPr>
        <w:t>”</w:t>
      </w:r>
      <w:r>
        <w:rPr>
          <w:rFonts w:cs="Traditional Arabic" w:hint="cs"/>
          <w:sz w:val="30"/>
          <w:szCs w:val="30"/>
          <w:rtl/>
          <w:lang w:eastAsia="zh-TW"/>
        </w:rPr>
        <w:t xml:space="preserve">ظروف العمل الآمنة والصحية </w:t>
      </w:r>
      <w:r w:rsidR="00A658DD">
        <w:rPr>
          <w:rFonts w:cs="Traditional Arabic" w:hint="cs"/>
          <w:sz w:val="30"/>
          <w:szCs w:val="30"/>
          <w:rtl/>
          <w:lang w:eastAsia="zh-TW"/>
        </w:rPr>
        <w:t>هي أساس</w:t>
      </w:r>
      <w:r>
        <w:rPr>
          <w:rFonts w:cs="Traditional Arabic" w:hint="cs"/>
          <w:sz w:val="30"/>
          <w:szCs w:val="30"/>
          <w:rtl/>
          <w:lang w:eastAsia="zh-TW"/>
        </w:rPr>
        <w:t xml:space="preserve"> </w:t>
      </w:r>
      <w:r w:rsidR="00A658DD">
        <w:rPr>
          <w:rFonts w:cs="Traditional Arabic" w:hint="cs"/>
          <w:sz w:val="30"/>
          <w:szCs w:val="30"/>
          <w:rtl/>
          <w:lang w:eastAsia="zh-TW"/>
        </w:rPr>
        <w:t xml:space="preserve">العمل </w:t>
      </w:r>
      <w:r w:rsidR="00AF5266">
        <w:rPr>
          <w:rFonts w:cs="Traditional Arabic" w:hint="cs"/>
          <w:sz w:val="30"/>
          <w:szCs w:val="30"/>
          <w:rtl/>
          <w:lang w:eastAsia="zh-TW"/>
        </w:rPr>
        <w:t>اللائق</w:t>
      </w:r>
      <w:r w:rsidR="00A658DD">
        <w:rPr>
          <w:rFonts w:cs="Traditional Arabic" w:hint="cs"/>
          <w:sz w:val="30"/>
          <w:szCs w:val="30"/>
          <w:rtl/>
          <w:lang w:eastAsia="zh-TW"/>
        </w:rPr>
        <w:t>“</w:t>
      </w:r>
      <w:r w:rsidR="00917616" w:rsidRPr="00631EA6">
        <w:rPr>
          <w:rFonts w:cs="Traditional Arabic"/>
          <w:szCs w:val="30"/>
          <w:vertAlign w:val="superscript"/>
          <w:rtl/>
          <w:lang w:eastAsia="zh-TW"/>
        </w:rPr>
        <w:t>(</w:t>
      </w:r>
      <w:r w:rsidR="00917616" w:rsidRPr="00631EA6">
        <w:rPr>
          <w:rFonts w:eastAsia="Arial Unicode MS" w:cs="Traditional Arabic"/>
          <w:szCs w:val="30"/>
          <w:u w:color="000000"/>
          <w:bdr w:val="nil"/>
          <w:vertAlign w:val="superscript"/>
          <w:rtl/>
          <w:lang w:eastAsia="zh-TW"/>
        </w:rPr>
        <w:footnoteReference w:id="8"/>
      </w:r>
      <w:r w:rsidR="00917616" w:rsidRPr="00631EA6">
        <w:rPr>
          <w:rFonts w:cs="Traditional Arabic"/>
          <w:szCs w:val="30"/>
          <w:vertAlign w:val="superscript"/>
          <w:rtl/>
          <w:lang w:eastAsia="zh-TW"/>
        </w:rPr>
        <w:t>)</w:t>
      </w:r>
      <w:r w:rsidR="00A658DD">
        <w:rPr>
          <w:rFonts w:cs="Traditional Arabic" w:hint="cs"/>
          <w:sz w:val="30"/>
          <w:szCs w:val="30"/>
          <w:rtl/>
          <w:lang w:eastAsia="zh-TW"/>
        </w:rPr>
        <w:t>.</w:t>
      </w:r>
    </w:p>
    <w:p w14:paraId="37948FDB" w14:textId="081DA3AD" w:rsidR="00D3078C" w:rsidRPr="004A0190" w:rsidRDefault="009B1576"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وتعمل منظمة العمل الدولية، من خلال مكاتبها في جميع أنحاء العالم، على تعزيز التصديق على الصكوك الدولية للمنظمة ذات الصلة </w:t>
      </w:r>
      <w:r w:rsidR="00A658DD">
        <w:rPr>
          <w:rFonts w:cs="Traditional Arabic" w:hint="cs"/>
          <w:sz w:val="30"/>
          <w:szCs w:val="30"/>
          <w:rtl/>
          <w:lang w:eastAsia="zh-TW"/>
        </w:rPr>
        <w:t>ب</w:t>
      </w:r>
      <w:r>
        <w:rPr>
          <w:rFonts w:cs="Traditional Arabic" w:hint="cs"/>
          <w:sz w:val="30"/>
          <w:szCs w:val="30"/>
          <w:rtl/>
          <w:lang w:eastAsia="zh-TW"/>
        </w:rPr>
        <w:t>التعرض للزئبق في مختلف الدول الأعضاء و</w:t>
      </w:r>
      <w:r w:rsidR="00A658DD">
        <w:rPr>
          <w:rFonts w:cs="Traditional Arabic" w:hint="cs"/>
          <w:sz w:val="30"/>
          <w:szCs w:val="30"/>
          <w:rtl/>
          <w:lang w:eastAsia="zh-TW"/>
        </w:rPr>
        <w:t xml:space="preserve">تعزيز </w:t>
      </w:r>
      <w:r>
        <w:rPr>
          <w:rFonts w:cs="Traditional Arabic" w:hint="cs"/>
          <w:sz w:val="30"/>
          <w:szCs w:val="30"/>
          <w:rtl/>
          <w:lang w:eastAsia="zh-TW"/>
        </w:rPr>
        <w:t xml:space="preserve">تنفيذها. </w:t>
      </w:r>
      <w:r w:rsidR="00A658DD">
        <w:rPr>
          <w:rFonts w:cs="Traditional Arabic" w:hint="cs"/>
          <w:sz w:val="30"/>
          <w:szCs w:val="30"/>
          <w:rtl/>
          <w:lang w:eastAsia="zh-TW"/>
        </w:rPr>
        <w:t xml:space="preserve">ويشمل </w:t>
      </w:r>
      <w:r>
        <w:rPr>
          <w:rFonts w:cs="Traditional Arabic" w:hint="cs"/>
          <w:sz w:val="30"/>
          <w:szCs w:val="30"/>
          <w:rtl/>
          <w:lang w:eastAsia="zh-TW"/>
        </w:rPr>
        <w:t xml:space="preserve">ذلك تعزيز </w:t>
      </w:r>
      <w:r w:rsidR="00A658DD">
        <w:rPr>
          <w:rFonts w:cs="Traditional Arabic" w:hint="cs"/>
          <w:sz w:val="30"/>
          <w:szCs w:val="30"/>
          <w:rtl/>
          <w:lang w:eastAsia="zh-TW"/>
        </w:rPr>
        <w:t>الاتفاقية المتعلقة بالسلامة في استخدام المواد الكيميائية في العمل</w:t>
      </w:r>
      <w:r>
        <w:rPr>
          <w:rFonts w:cs="Traditional Arabic" w:hint="cs"/>
          <w:sz w:val="30"/>
          <w:szCs w:val="30"/>
          <w:rtl/>
          <w:lang w:eastAsia="zh-TW"/>
        </w:rPr>
        <w:t>، 1990 (رقم 170)؛ واتفاقية منع الحوادث الصناعية الكبرى، 1993 (رقم</w:t>
      </w:r>
      <w:r w:rsidR="00917616">
        <w:rPr>
          <w:rFonts w:cs="Traditional Arabic" w:hint="cs"/>
          <w:sz w:val="30"/>
          <w:szCs w:val="30"/>
          <w:rtl/>
          <w:lang w:eastAsia="zh-TW"/>
        </w:rPr>
        <w:t xml:space="preserve"> </w:t>
      </w:r>
      <w:r>
        <w:rPr>
          <w:rFonts w:cs="Traditional Arabic" w:hint="cs"/>
          <w:sz w:val="30"/>
          <w:szCs w:val="30"/>
          <w:rtl/>
          <w:lang w:eastAsia="zh-TW"/>
        </w:rPr>
        <w:t>174)؛ واتفاقية السلامة والصحة في المناجم، 1995 (رقم 176)؛ واتفاقية السلامة والصحة في الزراعة، 2001 (رقم</w:t>
      </w:r>
      <w:r w:rsidR="00917616">
        <w:rPr>
          <w:rFonts w:cs="Traditional Arabic" w:hint="cs"/>
          <w:sz w:val="30"/>
          <w:szCs w:val="30"/>
          <w:rtl/>
          <w:lang w:eastAsia="zh-TW"/>
        </w:rPr>
        <w:t xml:space="preserve"> </w:t>
      </w:r>
      <w:r>
        <w:rPr>
          <w:rFonts w:cs="Traditional Arabic" w:hint="cs"/>
          <w:sz w:val="30"/>
          <w:szCs w:val="30"/>
          <w:rtl/>
          <w:lang w:eastAsia="zh-TW"/>
        </w:rPr>
        <w:t>184)</w:t>
      </w:r>
      <w:r>
        <w:rPr>
          <w:rFonts w:cs="Traditional Arabic" w:hint="cs"/>
          <w:sz w:val="30"/>
          <w:szCs w:val="30"/>
          <w:rtl/>
          <w:lang w:val="en-GB" w:eastAsia="zh-TW" w:bidi="ar-EG"/>
        </w:rPr>
        <w:t xml:space="preserve">. وتهدف اتفاقية الإطار الترويجي للسلامة والصحة المهنيتين، 2006 (رقم 187) إلى تعزيز النظم </w:t>
      </w:r>
      <w:r w:rsidR="00A658DD">
        <w:rPr>
          <w:rFonts w:cs="Traditional Arabic" w:hint="cs"/>
          <w:sz w:val="30"/>
          <w:szCs w:val="30"/>
          <w:rtl/>
          <w:lang w:val="en-GB" w:eastAsia="zh-TW" w:bidi="ar-EG"/>
        </w:rPr>
        <w:t xml:space="preserve">والبنى </w:t>
      </w:r>
      <w:r>
        <w:rPr>
          <w:rFonts w:cs="Traditional Arabic" w:hint="cs"/>
          <w:sz w:val="30"/>
          <w:szCs w:val="30"/>
          <w:rtl/>
          <w:lang w:val="en-GB" w:eastAsia="zh-TW" w:bidi="ar-EG"/>
        </w:rPr>
        <w:t xml:space="preserve">التحتية الوطنية للسلامة والصحة المهنيتين التي </w:t>
      </w:r>
      <w:r w:rsidR="00A658DD">
        <w:rPr>
          <w:rFonts w:cs="Traditional Arabic" w:hint="cs"/>
          <w:sz w:val="30"/>
          <w:szCs w:val="30"/>
          <w:rtl/>
          <w:lang w:val="en-GB" w:eastAsia="zh-TW" w:bidi="ar-EG"/>
        </w:rPr>
        <w:t xml:space="preserve">يرتكز عليها </w:t>
      </w:r>
      <w:r>
        <w:rPr>
          <w:rFonts w:cs="Traditional Arabic" w:hint="cs"/>
          <w:sz w:val="30"/>
          <w:szCs w:val="30"/>
          <w:rtl/>
          <w:lang w:val="en-GB" w:eastAsia="zh-TW" w:bidi="ar-EG"/>
        </w:rPr>
        <w:t xml:space="preserve">تنفيذ اتفاقيات منظمة العمل الدولية الأخرى بشأن الصحة والسلامة المهنيتين. وعلاوة على ذلك، يمكن للعمال، بموجب اتفاقية إعانات إصابات العمل، 1964 </w:t>
      </w:r>
      <w:r w:rsidR="00586DEA">
        <w:rPr>
          <w:rFonts w:cs="Traditional Arabic" w:hint="cs"/>
          <w:sz w:val="30"/>
          <w:szCs w:val="30"/>
          <w:rtl/>
          <w:lang w:val="en-GB" w:eastAsia="zh-TW" w:bidi="ar-EG"/>
        </w:rPr>
        <w:t xml:space="preserve">[التي عدل جدولها الأول في العام 1980] </w:t>
      </w:r>
      <w:r>
        <w:rPr>
          <w:rFonts w:cs="Traditional Arabic" w:hint="cs"/>
          <w:sz w:val="30"/>
          <w:szCs w:val="30"/>
          <w:rtl/>
          <w:lang w:val="en-GB" w:eastAsia="zh-TW" w:bidi="ar-EG"/>
        </w:rPr>
        <w:t xml:space="preserve">(رقم 121)، الحصول على تعويض في حالة التعرض للزئبق (الجدول الأول، قائمة الأمراض المهنية </w:t>
      </w:r>
      <w:r w:rsidR="00586DEA">
        <w:rPr>
          <w:rFonts w:cs="Traditional Arabic" w:hint="cs"/>
          <w:sz w:val="30"/>
          <w:szCs w:val="30"/>
          <w:rtl/>
          <w:lang w:val="en-GB" w:eastAsia="zh-TW" w:bidi="ar-EG"/>
        </w:rPr>
        <w:t>الفقرة</w:t>
      </w:r>
      <w:r>
        <w:rPr>
          <w:rFonts w:cs="Traditional Arabic" w:hint="cs"/>
          <w:sz w:val="30"/>
          <w:szCs w:val="30"/>
          <w:rtl/>
          <w:lang w:val="en-GB" w:eastAsia="zh-TW" w:bidi="ar-EG"/>
        </w:rPr>
        <w:t xml:space="preserve"> 12). وتُضاف إلى ذلك قائمة الأمراض المهنية (المنقحة</w:t>
      </w:r>
      <w:r w:rsidR="00586DEA">
        <w:rPr>
          <w:rFonts w:cs="Traditional Arabic" w:hint="cs"/>
          <w:sz w:val="30"/>
          <w:szCs w:val="30"/>
          <w:rtl/>
          <w:lang w:val="en-GB" w:eastAsia="zh-TW" w:bidi="ar-EG"/>
        </w:rPr>
        <w:t xml:space="preserve"> في عام</w:t>
      </w:r>
      <w:r>
        <w:rPr>
          <w:rFonts w:cs="Traditional Arabic" w:hint="cs"/>
          <w:sz w:val="30"/>
          <w:szCs w:val="30"/>
          <w:rtl/>
          <w:lang w:val="en-GB" w:eastAsia="zh-TW" w:bidi="ar-EG"/>
        </w:rPr>
        <w:t xml:space="preserve"> 2010) في مرفق توصية منظمة العمل الدولية رقم 194 </w:t>
      </w:r>
      <w:r w:rsidR="00A701A5">
        <w:rPr>
          <w:rFonts w:cs="Traditional Arabic" w:hint="cs"/>
          <w:sz w:val="30"/>
          <w:szCs w:val="30"/>
          <w:rtl/>
          <w:lang w:val="en-GB" w:eastAsia="zh-TW"/>
        </w:rPr>
        <w:t>المتعلقة</w:t>
      </w:r>
      <w:r>
        <w:rPr>
          <w:rFonts w:cs="Traditional Arabic" w:hint="cs"/>
          <w:sz w:val="30"/>
          <w:szCs w:val="30"/>
          <w:rtl/>
          <w:lang w:val="en-GB" w:eastAsia="zh-TW" w:bidi="ar-EG"/>
        </w:rPr>
        <w:t xml:space="preserve"> بقائمة الأمراض المهنية وتسجيل الحوادث</w:t>
      </w:r>
      <w:r w:rsidR="00DC42BA">
        <w:rPr>
          <w:rFonts w:cs="Traditional Arabic" w:hint="cs"/>
          <w:sz w:val="30"/>
          <w:szCs w:val="30"/>
          <w:rtl/>
          <w:lang w:val="en-GB" w:eastAsia="zh-TW" w:bidi="ar-EG"/>
        </w:rPr>
        <w:t xml:space="preserve"> المهنية والإخطار بها [قائمة توصيات الأمراض المهنية، 2002]، والتي تتضمن الأمراض الناجمة عن التعرض للزئبق أو مركباته (الفقرة 1-1-7).</w:t>
      </w:r>
    </w:p>
    <w:p w14:paraId="28C23AF4" w14:textId="5E1FED22" w:rsidR="004A0190" w:rsidRDefault="004A0190"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وتعد منظمة العمل الدولية حالياً مذكرات للسمات التشخيصية لتقديم تشخيص متناسق للأمراض المهنية الواردة في توصية منظمة العمل الدولي</w:t>
      </w:r>
      <w:r w:rsidR="00AF5266">
        <w:rPr>
          <w:rFonts w:cs="Traditional Arabic" w:hint="cs"/>
          <w:sz w:val="30"/>
          <w:szCs w:val="30"/>
          <w:rtl/>
          <w:lang w:eastAsia="zh-TW"/>
        </w:rPr>
        <w:t>ة</w:t>
      </w:r>
      <w:r>
        <w:rPr>
          <w:rFonts w:cs="Traditional Arabic" w:hint="cs"/>
          <w:sz w:val="30"/>
          <w:szCs w:val="30"/>
          <w:rtl/>
          <w:lang w:eastAsia="zh-TW"/>
        </w:rPr>
        <w:t xml:space="preserve"> رقم 194، بما في ذلك الأمراض الناجمة عن التعرض للزئبق أو مركباته السامة، </w:t>
      </w:r>
      <w:r w:rsidR="00A701A5">
        <w:rPr>
          <w:rFonts w:cs="Traditional Arabic" w:hint="cs"/>
          <w:sz w:val="30"/>
          <w:szCs w:val="30"/>
          <w:rtl/>
          <w:lang w:eastAsia="zh-TW"/>
        </w:rPr>
        <w:t xml:space="preserve">وهذه </w:t>
      </w:r>
      <w:r>
        <w:rPr>
          <w:rFonts w:cs="Traditional Arabic" w:hint="cs"/>
          <w:sz w:val="30"/>
          <w:szCs w:val="30"/>
          <w:rtl/>
          <w:lang w:eastAsia="zh-TW"/>
        </w:rPr>
        <w:t>ستكون مفيدة أيضاً في الإبلاغ عن المؤشر 1 من الغاية 8 من الهدف 8 من أهداف التنمية المستدامة.</w:t>
      </w:r>
    </w:p>
    <w:p w14:paraId="2253661E" w14:textId="51EF3E30" w:rsidR="004A0190" w:rsidRDefault="004A0190"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w:t>
      </w:r>
      <w:r w:rsidR="00A701A5">
        <w:rPr>
          <w:rFonts w:cs="Traditional Arabic" w:hint="cs"/>
          <w:sz w:val="30"/>
          <w:szCs w:val="30"/>
          <w:rtl/>
          <w:lang w:eastAsia="zh-TW"/>
        </w:rPr>
        <w:t xml:space="preserve">منتدى الصين </w:t>
      </w:r>
      <w:r>
        <w:rPr>
          <w:rFonts w:cs="Traditional Arabic" w:hint="cs"/>
          <w:sz w:val="30"/>
          <w:szCs w:val="30"/>
          <w:rtl/>
          <w:lang w:eastAsia="zh-TW"/>
        </w:rPr>
        <w:t xml:space="preserve">الدولي التاسع </w:t>
      </w:r>
      <w:r w:rsidR="00A701A5">
        <w:rPr>
          <w:rFonts w:cs="Traditional Arabic" w:hint="cs"/>
          <w:sz w:val="30"/>
          <w:szCs w:val="30"/>
          <w:rtl/>
          <w:lang w:eastAsia="zh-TW"/>
        </w:rPr>
        <w:t xml:space="preserve">المعني بسلامة </w:t>
      </w:r>
      <w:r>
        <w:rPr>
          <w:rFonts w:cs="Traditional Arabic" w:hint="cs"/>
          <w:sz w:val="30"/>
          <w:szCs w:val="30"/>
          <w:rtl/>
          <w:lang w:eastAsia="zh-TW"/>
        </w:rPr>
        <w:t xml:space="preserve">العمل، </w:t>
      </w:r>
      <w:r w:rsidR="00A701A5">
        <w:rPr>
          <w:rFonts w:cs="Traditional Arabic" w:hint="cs"/>
          <w:sz w:val="30"/>
          <w:szCs w:val="30"/>
          <w:rtl/>
          <w:lang w:eastAsia="zh-TW"/>
        </w:rPr>
        <w:t xml:space="preserve">والذي عُقد </w:t>
      </w:r>
      <w:r>
        <w:rPr>
          <w:rFonts w:cs="Traditional Arabic" w:hint="cs"/>
          <w:sz w:val="30"/>
          <w:szCs w:val="30"/>
          <w:rtl/>
          <w:lang w:eastAsia="zh-TW"/>
        </w:rPr>
        <w:t>في تشرين الأول/أكتوبر 2018، نظمت منظمة الع</w:t>
      </w:r>
      <w:r w:rsidR="00AF5266">
        <w:rPr>
          <w:rFonts w:cs="Traditional Arabic" w:hint="cs"/>
          <w:sz w:val="30"/>
          <w:szCs w:val="30"/>
          <w:rtl/>
          <w:lang w:eastAsia="zh-TW"/>
        </w:rPr>
        <w:t xml:space="preserve">مل الدولية جلسة موازية لمناقشة </w:t>
      </w:r>
      <w:r>
        <w:rPr>
          <w:rFonts w:cs="Traditional Arabic" w:hint="cs"/>
          <w:sz w:val="30"/>
          <w:szCs w:val="30"/>
          <w:rtl/>
          <w:lang w:eastAsia="zh-TW"/>
        </w:rPr>
        <w:t xml:space="preserve">مخاطر الصحة والسلامة المهنيتين في قطاع التعدين في الصين، </w:t>
      </w:r>
      <w:r w:rsidR="00A701A5">
        <w:rPr>
          <w:rFonts w:cs="Traditional Arabic" w:hint="cs"/>
          <w:sz w:val="30"/>
          <w:szCs w:val="30"/>
          <w:rtl/>
          <w:lang w:eastAsia="zh-TW"/>
        </w:rPr>
        <w:t>و</w:t>
      </w:r>
      <w:r>
        <w:rPr>
          <w:rFonts w:cs="Traditional Arabic" w:hint="cs"/>
          <w:sz w:val="30"/>
          <w:szCs w:val="30"/>
          <w:rtl/>
          <w:lang w:eastAsia="zh-TW"/>
        </w:rPr>
        <w:t xml:space="preserve">نوقشت خلالها قضايا التعرض للزئبق في قطاع التعدين على الصعيدين الوطني والعالمي. وروجت منظمة العمل الدولية أيضاً لاتفاقية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في حلقة عمل نُظمت مع الوكالة الكورية للسلامة والصحة المهنيتين</w:t>
      </w:r>
      <w:r w:rsidR="00A701A5">
        <w:rPr>
          <w:rFonts w:cs="Traditional Arabic" w:hint="cs"/>
          <w:sz w:val="30"/>
          <w:szCs w:val="30"/>
          <w:rtl/>
          <w:lang w:eastAsia="zh-TW"/>
        </w:rPr>
        <w:t>، وعُقدت في تموز/يوليه 2019 واستفاد منها مسؤولون حكوميون معنيون بالسلامة والصحة المهنيتين وينتمون إلى 10 دول أعضاء في رابطة أمم جنوب شرق آسيا، وتناولت حلقة العمل موضوع</w:t>
      </w:r>
      <w:r>
        <w:rPr>
          <w:rFonts w:cs="Traditional Arabic" w:hint="cs"/>
          <w:sz w:val="30"/>
          <w:szCs w:val="30"/>
          <w:rtl/>
          <w:lang w:eastAsia="zh-TW"/>
        </w:rPr>
        <w:t xml:space="preserve"> </w:t>
      </w:r>
      <w:r w:rsidR="00A701A5">
        <w:rPr>
          <w:rFonts w:cs="Traditional Arabic" w:hint="cs"/>
          <w:sz w:val="30"/>
          <w:szCs w:val="30"/>
          <w:rtl/>
          <w:lang w:eastAsia="zh-TW"/>
        </w:rPr>
        <w:t>”</w:t>
      </w:r>
      <w:r>
        <w:rPr>
          <w:rFonts w:cs="Traditional Arabic" w:hint="cs"/>
          <w:sz w:val="30"/>
          <w:szCs w:val="30"/>
          <w:rtl/>
          <w:lang w:eastAsia="zh-TW"/>
        </w:rPr>
        <w:t>التكيف مع مستقبل العمل: مواجهة التحديات الحالية والمستقبلية بشأن الصحة المهنية في رابطة أمم جنوب شرق آسيا</w:t>
      </w:r>
      <w:r w:rsidR="00A701A5">
        <w:rPr>
          <w:rFonts w:cs="Traditional Arabic" w:hint="cs"/>
          <w:sz w:val="30"/>
          <w:szCs w:val="30"/>
          <w:rtl/>
          <w:lang w:eastAsia="zh-TW"/>
        </w:rPr>
        <w:t>“</w:t>
      </w:r>
      <w:r>
        <w:rPr>
          <w:rFonts w:cs="Traditional Arabic" w:hint="cs"/>
          <w:sz w:val="30"/>
          <w:szCs w:val="30"/>
          <w:rtl/>
          <w:lang w:eastAsia="zh-TW"/>
        </w:rPr>
        <w:t>.</w:t>
      </w:r>
    </w:p>
    <w:p w14:paraId="35606B2D" w14:textId="1DBC5228" w:rsidR="00073E56" w:rsidRDefault="00073E56"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وقدمت منظمة العمل الدولية الدعم المتواصل إلى الفلبين في تنفيذ اتفاقية منظمة العمل الدولية بشأن السلامة والصحة في المناجم، 1</w:t>
      </w:r>
      <w:r w:rsidR="00BD7F4A">
        <w:rPr>
          <w:rFonts w:cs="Traditional Arabic" w:hint="cs"/>
          <w:sz w:val="30"/>
          <w:szCs w:val="30"/>
          <w:rtl/>
          <w:lang w:eastAsia="zh-TW"/>
        </w:rPr>
        <w:t xml:space="preserve">995 (رقم 176) المُصادق عليها. </w:t>
      </w:r>
      <w:r w:rsidR="00A701A5">
        <w:rPr>
          <w:rFonts w:cs="Traditional Arabic" w:hint="cs"/>
          <w:sz w:val="30"/>
          <w:szCs w:val="30"/>
          <w:rtl/>
          <w:lang w:eastAsia="zh-TW"/>
        </w:rPr>
        <w:t xml:space="preserve">وتنقح </w:t>
      </w:r>
      <w:r w:rsidR="00BD7F4A">
        <w:rPr>
          <w:rFonts w:cs="Traditional Arabic" w:hint="cs"/>
          <w:sz w:val="30"/>
          <w:szCs w:val="30"/>
          <w:rtl/>
          <w:lang w:eastAsia="zh-TW"/>
        </w:rPr>
        <w:t xml:space="preserve">الفلبين حالياً قائمتها للأمراض المهنية بما يتماشى مع توصية منظمة العمل الدولية رقم 194، </w:t>
      </w:r>
      <w:r w:rsidR="00A701A5">
        <w:rPr>
          <w:rFonts w:cs="Traditional Arabic" w:hint="cs"/>
          <w:sz w:val="30"/>
          <w:szCs w:val="30"/>
          <w:rtl/>
          <w:lang w:eastAsia="zh-TW"/>
        </w:rPr>
        <w:t>وتقوم بذلك أيضاً</w:t>
      </w:r>
      <w:r w:rsidR="00BD7F4A">
        <w:rPr>
          <w:rFonts w:cs="Traditional Arabic" w:hint="cs"/>
          <w:sz w:val="30"/>
          <w:szCs w:val="30"/>
          <w:rtl/>
          <w:lang w:eastAsia="zh-TW"/>
        </w:rPr>
        <w:t xml:space="preserve"> إندونيس</w:t>
      </w:r>
      <w:r w:rsidR="00A701A5">
        <w:rPr>
          <w:rFonts w:cs="Traditional Arabic" w:hint="cs"/>
          <w:sz w:val="30"/>
          <w:szCs w:val="30"/>
          <w:rtl/>
          <w:lang w:eastAsia="zh-TW"/>
        </w:rPr>
        <w:t>ي</w:t>
      </w:r>
      <w:r w:rsidR="00BD7F4A">
        <w:rPr>
          <w:rFonts w:cs="Traditional Arabic" w:hint="cs"/>
          <w:sz w:val="30"/>
          <w:szCs w:val="30"/>
          <w:rtl/>
          <w:lang w:eastAsia="zh-TW"/>
        </w:rPr>
        <w:t>ا وجمهورية لاو الديمقراطية الشعبية وميانمار وناميبيا.</w:t>
      </w:r>
    </w:p>
    <w:p w14:paraId="1CAA173E" w14:textId="225E2E39" w:rsidR="00386602" w:rsidRPr="00386602" w:rsidRDefault="00A701A5"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lang w:val="en-GB" w:eastAsia="zh-TW"/>
        </w:rPr>
      </w:pPr>
      <w:r>
        <w:rPr>
          <w:rFonts w:ascii="Traditional Arabic" w:hAnsi="Traditional Arabic" w:hint="cs"/>
          <w:b/>
          <w:bCs/>
          <w:sz w:val="30"/>
          <w:rtl/>
          <w:lang w:val="en-GB" w:eastAsia="zh-TW"/>
        </w:rPr>
        <w:t>ال</w:t>
      </w:r>
      <w:r w:rsidR="00386602" w:rsidRPr="00386602">
        <w:rPr>
          <w:rFonts w:ascii="Traditional Arabic" w:hAnsi="Traditional Arabic" w:hint="cs"/>
          <w:b/>
          <w:bCs/>
          <w:sz w:val="30"/>
          <w:rtl/>
          <w:lang w:val="en-GB" w:eastAsia="zh-TW"/>
        </w:rPr>
        <w:t>مشاريع في قطاع تعدين الذهب الحرفي والضيق النطاق</w:t>
      </w:r>
    </w:p>
    <w:p w14:paraId="298A5010" w14:textId="04A4FDA0" w:rsidR="00386602" w:rsidRPr="000F2EC6" w:rsidRDefault="008C1D01"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في الفلبين، تنفذ منظمة العمل الدولية مشروع </w:t>
      </w:r>
      <w:r w:rsidR="00A701A5">
        <w:rPr>
          <w:rFonts w:cs="Traditional Arabic" w:hint="cs"/>
          <w:sz w:val="30"/>
          <w:szCs w:val="30"/>
          <w:rtl/>
          <w:lang w:eastAsia="zh-TW"/>
        </w:rPr>
        <w:t>”</w:t>
      </w:r>
      <w:r>
        <w:rPr>
          <w:rFonts w:cs="Traditional Arabic" w:hint="cs"/>
          <w:sz w:val="30"/>
          <w:szCs w:val="30"/>
          <w:rtl/>
          <w:lang w:eastAsia="zh-TW"/>
        </w:rPr>
        <w:t xml:space="preserve">جمع الجهات الفاعلة لوضع وتنفيذ استراتيجيات للحد من </w:t>
      </w:r>
      <w:r w:rsidR="000F2EC6">
        <w:rPr>
          <w:rFonts w:cs="Traditional Arabic" w:hint="cs"/>
          <w:sz w:val="30"/>
          <w:szCs w:val="30"/>
          <w:rtl/>
          <w:lang w:eastAsia="zh-TW"/>
        </w:rPr>
        <w:t>عمالة</w:t>
      </w:r>
      <w:r>
        <w:rPr>
          <w:rFonts w:cs="Traditional Arabic" w:hint="cs"/>
          <w:sz w:val="30"/>
          <w:szCs w:val="30"/>
          <w:rtl/>
          <w:lang w:eastAsia="zh-TW"/>
        </w:rPr>
        <w:t xml:space="preserve"> الأطفال وتحسين ظروف العمل في تعدين الذهب الحرفي والضيق النطاق (مشروع </w:t>
      </w:r>
      <w:r w:rsidR="00A701A5">
        <w:rPr>
          <w:rFonts w:cs="Traditional Arabic" w:hint="cs"/>
          <w:sz w:val="30"/>
          <w:szCs w:val="30"/>
          <w:rtl/>
          <w:lang w:eastAsia="zh-TW"/>
        </w:rPr>
        <w:t xml:space="preserve">تعدين الذهب </w:t>
      </w:r>
      <w:r w:rsidR="004B31E3">
        <w:rPr>
          <w:rFonts w:cs="Traditional Arabic" w:hint="cs"/>
          <w:sz w:val="30"/>
          <w:szCs w:val="30"/>
          <w:rtl/>
          <w:lang w:val="en-GB" w:eastAsia="zh-TW"/>
        </w:rPr>
        <w:t>المسؤول</w:t>
      </w:r>
      <w:r w:rsidR="00A701A5">
        <w:rPr>
          <w:rFonts w:cs="Traditional Arabic" w:hint="cs"/>
          <w:sz w:val="30"/>
          <w:szCs w:val="30"/>
          <w:rtl/>
          <w:lang w:eastAsia="zh-TW"/>
        </w:rPr>
        <w:t xml:space="preserve">)“. </w:t>
      </w:r>
      <w:r>
        <w:rPr>
          <w:rFonts w:cs="Traditional Arabic" w:hint="cs"/>
          <w:sz w:val="30"/>
          <w:szCs w:val="30"/>
          <w:rtl/>
          <w:lang w:eastAsia="zh-TW"/>
        </w:rPr>
        <w:t xml:space="preserve">وهذا المشروع، الذي </w:t>
      </w:r>
      <w:r w:rsidR="004B31E3">
        <w:rPr>
          <w:rFonts w:cs="Traditional Arabic" w:hint="cs"/>
          <w:sz w:val="30"/>
          <w:szCs w:val="30"/>
          <w:rtl/>
          <w:lang w:eastAsia="zh-TW"/>
        </w:rPr>
        <w:t>يستمر أربع</w:t>
      </w:r>
      <w:r>
        <w:rPr>
          <w:rFonts w:cs="Traditional Arabic" w:hint="cs"/>
          <w:sz w:val="30"/>
          <w:szCs w:val="30"/>
          <w:rtl/>
          <w:lang w:eastAsia="zh-TW"/>
        </w:rPr>
        <w:t xml:space="preserve"> سنوات، تموله إدارة العمل بالولايات المتحدة ويتناول عمالة الأطفال ونقص ظروف العمل اللائق</w:t>
      </w:r>
      <w:r w:rsidR="008C2FD9">
        <w:rPr>
          <w:rFonts w:cs="Traditional Arabic" w:hint="cs"/>
          <w:sz w:val="30"/>
          <w:szCs w:val="30"/>
          <w:rtl/>
          <w:lang w:eastAsia="zh-TW"/>
        </w:rPr>
        <w:t>ة</w:t>
      </w:r>
      <w:r>
        <w:rPr>
          <w:rFonts w:cs="Traditional Arabic" w:hint="cs"/>
          <w:sz w:val="30"/>
          <w:szCs w:val="30"/>
          <w:rtl/>
          <w:lang w:eastAsia="zh-TW"/>
        </w:rPr>
        <w:t xml:space="preserve"> وظروف العمل في تعدين الذهب الحرفي والضيق النطاق. ويهدف هذا المشروع إلى تنظيم تعدين الذهب الحرفي والضيق النطاق و</w:t>
      </w:r>
      <w:r w:rsidR="004B31E3">
        <w:rPr>
          <w:rFonts w:cs="Traditional Arabic" w:hint="cs"/>
          <w:sz w:val="30"/>
          <w:szCs w:val="30"/>
          <w:rtl/>
          <w:lang w:eastAsia="zh-TW"/>
        </w:rPr>
        <w:t>ي</w:t>
      </w:r>
      <w:r>
        <w:rPr>
          <w:rFonts w:cs="Traditional Arabic" w:hint="cs"/>
          <w:sz w:val="30"/>
          <w:szCs w:val="30"/>
          <w:rtl/>
          <w:lang w:eastAsia="zh-TW"/>
        </w:rPr>
        <w:t>تضم</w:t>
      </w:r>
      <w:r w:rsidR="00AF5266">
        <w:rPr>
          <w:rFonts w:cs="Traditional Arabic" w:hint="cs"/>
          <w:sz w:val="30"/>
          <w:szCs w:val="30"/>
          <w:rtl/>
          <w:lang w:eastAsia="zh-TW"/>
        </w:rPr>
        <w:t>ّ</w:t>
      </w:r>
      <w:r>
        <w:rPr>
          <w:rFonts w:cs="Traditional Arabic" w:hint="cs"/>
          <w:sz w:val="30"/>
          <w:szCs w:val="30"/>
          <w:rtl/>
          <w:lang w:eastAsia="zh-TW"/>
        </w:rPr>
        <w:t>ن العديد من أنشطة الترويج وإذكاء الوعي. وتعمل الفرقة المعنية بالمشروع مع منظمة</w:t>
      </w:r>
      <w:r w:rsidR="004B31E3">
        <w:rPr>
          <w:rFonts w:cs="Traditional Arabic" w:hint="cs"/>
          <w:sz w:val="30"/>
          <w:szCs w:val="30"/>
          <w:rtl/>
          <w:lang w:eastAsia="zh-TW"/>
        </w:rPr>
        <w:t xml:space="preserve"> حظر المواد السامة</w:t>
      </w:r>
      <w:r>
        <w:rPr>
          <w:rFonts w:cs="Traditional Arabic" w:hint="cs"/>
          <w:sz w:val="30"/>
          <w:szCs w:val="30"/>
          <w:rtl/>
          <w:lang w:eastAsia="zh-TW"/>
        </w:rPr>
        <w:t xml:space="preserve"> </w:t>
      </w:r>
      <w:r w:rsidR="004B31E3">
        <w:rPr>
          <w:rFonts w:cs="Traditional Arabic" w:hint="cs"/>
          <w:sz w:val="22"/>
          <w:szCs w:val="22"/>
          <w:rtl/>
          <w:lang w:val="en-GB" w:eastAsia="zh-TW"/>
        </w:rPr>
        <w:t>(</w:t>
      </w:r>
      <w:r w:rsidR="004B31E3" w:rsidRPr="00166D59">
        <w:rPr>
          <w:rFonts w:cs="Traditional Arabic"/>
          <w:sz w:val="22"/>
          <w:szCs w:val="22"/>
          <w:lang w:val="en-GB" w:eastAsia="zh-TW"/>
        </w:rPr>
        <w:t>BAN Toxics</w:t>
      </w:r>
      <w:r w:rsidR="004B31E3">
        <w:rPr>
          <w:rFonts w:cs="Traditional Arabic" w:hint="cs"/>
          <w:sz w:val="22"/>
          <w:szCs w:val="22"/>
          <w:rtl/>
          <w:lang w:val="en-GB" w:eastAsia="zh-TW"/>
        </w:rPr>
        <w:t>)</w:t>
      </w:r>
      <w:r>
        <w:rPr>
          <w:rFonts w:cs="Traditional Arabic" w:hint="cs"/>
          <w:sz w:val="30"/>
          <w:szCs w:val="30"/>
          <w:rtl/>
          <w:lang w:val="en-GB" w:eastAsia="zh-TW" w:bidi="ar-EG"/>
        </w:rPr>
        <w:t>، وهي منظمة غير حكومية لها شراكة طويلة مع الدوائر المعنية بتعدين الذهب الحرفي والضيق النطاق في مجال القضاء على استخدام الزئبق. وفي إطار أنشطة المشروع، عُقدت القمة الوطنية الخامسة لتعدين الذهب الحرفي والضيق النطاق في الفلبين يومي 27 و28 أيلول/سبتمبر 2018،</w:t>
      </w:r>
      <w:r w:rsidR="000F2EC6">
        <w:rPr>
          <w:rFonts w:cs="Traditional Arabic" w:hint="cs"/>
          <w:sz w:val="30"/>
          <w:szCs w:val="30"/>
          <w:rtl/>
          <w:lang w:val="en-GB" w:eastAsia="zh-TW" w:bidi="ar-EG"/>
        </w:rPr>
        <w:t xml:space="preserve"> إذ شددت على ضرورة تحسين الصحة والسلامة المهنيتين في قطاع التعدين الضيق النطاق والقضاء على عمالة الأطفال واستخدام </w:t>
      </w:r>
      <w:proofErr w:type="gramStart"/>
      <w:r w:rsidR="000F2EC6">
        <w:rPr>
          <w:rFonts w:cs="Traditional Arabic" w:hint="cs"/>
          <w:sz w:val="30"/>
          <w:szCs w:val="30"/>
          <w:rtl/>
          <w:lang w:val="en-GB" w:eastAsia="zh-TW" w:bidi="ar-EG"/>
        </w:rPr>
        <w:t>الزئبق</w:t>
      </w:r>
      <w:r w:rsidR="00917616" w:rsidRPr="00631EA6">
        <w:rPr>
          <w:rFonts w:cs="Traditional Arabic"/>
          <w:szCs w:val="30"/>
          <w:vertAlign w:val="superscript"/>
          <w:rtl/>
          <w:lang w:eastAsia="zh-TW"/>
        </w:rPr>
        <w:t>(</w:t>
      </w:r>
      <w:proofErr w:type="gramEnd"/>
      <w:r w:rsidR="00917616" w:rsidRPr="00631EA6">
        <w:rPr>
          <w:rFonts w:eastAsia="Arial Unicode MS" w:cs="Traditional Arabic"/>
          <w:szCs w:val="30"/>
          <w:u w:color="000000"/>
          <w:bdr w:val="nil"/>
          <w:vertAlign w:val="superscript"/>
          <w:rtl/>
          <w:lang w:eastAsia="zh-TW"/>
        </w:rPr>
        <w:footnoteReference w:id="9"/>
      </w:r>
      <w:r w:rsidR="00917616" w:rsidRPr="00631EA6">
        <w:rPr>
          <w:rFonts w:cs="Traditional Arabic"/>
          <w:szCs w:val="30"/>
          <w:vertAlign w:val="superscript"/>
          <w:rtl/>
          <w:lang w:eastAsia="zh-TW"/>
        </w:rPr>
        <w:t>)</w:t>
      </w:r>
      <w:r w:rsidR="000E633A">
        <w:rPr>
          <w:rFonts w:cs="Traditional Arabic" w:hint="cs"/>
          <w:sz w:val="30"/>
          <w:szCs w:val="30"/>
          <w:rtl/>
          <w:lang w:val="en-GB" w:eastAsia="zh-TW" w:bidi="ar-EG"/>
        </w:rPr>
        <w:t>.</w:t>
      </w:r>
    </w:p>
    <w:p w14:paraId="21AE2E1A" w14:textId="3AFCB388" w:rsidR="000F2EC6" w:rsidRDefault="00E97C5A"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وعلاوة على ذلك، تشجع منظمة العمل الدولية استخدام طريقة </w:t>
      </w:r>
      <w:r w:rsidR="004B31E3">
        <w:rPr>
          <w:rFonts w:cs="Traditional Arabic" w:hint="cs"/>
          <w:sz w:val="30"/>
          <w:szCs w:val="30"/>
          <w:rtl/>
          <w:lang w:eastAsia="zh-TW"/>
        </w:rPr>
        <w:t xml:space="preserve">التركيز اعتماداً على </w:t>
      </w:r>
      <w:r>
        <w:rPr>
          <w:rFonts w:cs="Traditional Arabic" w:hint="cs"/>
          <w:sz w:val="30"/>
          <w:szCs w:val="30"/>
          <w:rtl/>
          <w:lang w:eastAsia="zh-TW"/>
        </w:rPr>
        <w:t xml:space="preserve">الجاذبية كتكنولوجيا لمعالجة الذهب </w:t>
      </w:r>
      <w:r w:rsidR="004B31E3">
        <w:rPr>
          <w:rFonts w:cs="Traditional Arabic" w:hint="cs"/>
          <w:sz w:val="30"/>
          <w:szCs w:val="30"/>
          <w:rtl/>
          <w:lang w:eastAsia="zh-TW"/>
        </w:rPr>
        <w:t>بدون استعمال ا</w:t>
      </w:r>
      <w:r>
        <w:rPr>
          <w:rFonts w:cs="Traditional Arabic" w:hint="cs"/>
          <w:sz w:val="30"/>
          <w:szCs w:val="30"/>
          <w:rtl/>
          <w:lang w:eastAsia="zh-TW"/>
        </w:rPr>
        <w:t>لزئبق</w:t>
      </w:r>
      <w:r w:rsidR="004B31E3">
        <w:rPr>
          <w:rFonts w:cs="Traditional Arabic" w:hint="cs"/>
          <w:sz w:val="30"/>
          <w:szCs w:val="30"/>
          <w:rtl/>
          <w:lang w:eastAsia="zh-TW"/>
        </w:rPr>
        <w:t>، وذلك</w:t>
      </w:r>
      <w:r>
        <w:rPr>
          <w:rFonts w:cs="Traditional Arabic" w:hint="cs"/>
          <w:sz w:val="30"/>
          <w:szCs w:val="30"/>
          <w:rtl/>
          <w:lang w:eastAsia="zh-TW"/>
        </w:rPr>
        <w:t xml:space="preserve"> في </w:t>
      </w:r>
      <w:r w:rsidR="004B31E3">
        <w:rPr>
          <w:rFonts w:cs="Traditional Arabic" w:hint="cs"/>
          <w:sz w:val="30"/>
          <w:szCs w:val="30"/>
          <w:rtl/>
          <w:lang w:eastAsia="zh-TW"/>
        </w:rPr>
        <w:t>المواقع التجريبية للمشروع في</w:t>
      </w:r>
      <w:r>
        <w:rPr>
          <w:rFonts w:cs="Traditional Arabic" w:hint="cs"/>
          <w:sz w:val="30"/>
          <w:szCs w:val="30"/>
          <w:rtl/>
          <w:lang w:eastAsia="zh-TW"/>
        </w:rPr>
        <w:t xml:space="preserve"> الفلبين. وتدعم منظمة العمل الدولية أيضاً عمل الفريق العامل التقني المعني بتعدين الذهب الحرفي والضيق النطاق في الفلبين وتوس</w:t>
      </w:r>
      <w:r w:rsidR="004B31E3">
        <w:rPr>
          <w:rFonts w:cs="Traditional Arabic" w:hint="cs"/>
          <w:sz w:val="30"/>
          <w:szCs w:val="30"/>
          <w:rtl/>
          <w:lang w:eastAsia="zh-TW"/>
        </w:rPr>
        <w:t>ي</w:t>
      </w:r>
      <w:r>
        <w:rPr>
          <w:rFonts w:cs="Traditional Arabic" w:hint="cs"/>
          <w:sz w:val="30"/>
          <w:szCs w:val="30"/>
          <w:rtl/>
          <w:lang w:eastAsia="zh-TW"/>
        </w:rPr>
        <w:t xml:space="preserve">ع نطاقه </w:t>
      </w:r>
      <w:r w:rsidR="004B31E3">
        <w:rPr>
          <w:rFonts w:cs="Traditional Arabic" w:hint="cs"/>
          <w:sz w:val="30"/>
          <w:szCs w:val="30"/>
          <w:rtl/>
          <w:lang w:eastAsia="zh-TW"/>
        </w:rPr>
        <w:t xml:space="preserve">لكي يشمل </w:t>
      </w:r>
      <w:r>
        <w:rPr>
          <w:rFonts w:cs="Traditional Arabic" w:hint="cs"/>
          <w:sz w:val="30"/>
          <w:szCs w:val="30"/>
          <w:rtl/>
          <w:lang w:eastAsia="zh-TW"/>
        </w:rPr>
        <w:t>عمالة الأطفال وتعزيز ظروف العمل اللائق</w:t>
      </w:r>
      <w:r w:rsidR="008C2FD9">
        <w:rPr>
          <w:rFonts w:cs="Traditional Arabic" w:hint="cs"/>
          <w:sz w:val="30"/>
          <w:szCs w:val="30"/>
          <w:rtl/>
          <w:lang w:eastAsia="zh-TW"/>
        </w:rPr>
        <w:t>ة</w:t>
      </w:r>
      <w:r>
        <w:rPr>
          <w:rFonts w:cs="Traditional Arabic" w:hint="cs"/>
          <w:sz w:val="30"/>
          <w:szCs w:val="30"/>
          <w:rtl/>
          <w:lang w:eastAsia="zh-TW"/>
        </w:rPr>
        <w:t>.</w:t>
      </w:r>
    </w:p>
    <w:p w14:paraId="639CE302" w14:textId="7B5706ED" w:rsidR="000F2EC6" w:rsidRDefault="00055743"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sidRPr="00802A2C">
        <w:rPr>
          <w:rFonts w:cs="Traditional Arabic"/>
          <w:sz w:val="30"/>
          <w:szCs w:val="30"/>
          <w:rtl/>
          <w:lang w:eastAsia="zh-TW"/>
        </w:rPr>
        <w:t>وفي عام 2019، شاركت فرقة مشروع</w:t>
      </w:r>
      <w:r>
        <w:rPr>
          <w:rFonts w:cs="Traditional Arabic" w:hint="cs"/>
          <w:sz w:val="30"/>
          <w:szCs w:val="30"/>
          <w:rtl/>
          <w:lang w:eastAsia="zh-TW"/>
        </w:rPr>
        <w:t xml:space="preserve"> </w:t>
      </w:r>
      <w:r w:rsidR="004B31E3">
        <w:rPr>
          <w:rFonts w:cs="Traditional Arabic" w:hint="cs"/>
          <w:sz w:val="30"/>
          <w:szCs w:val="30"/>
          <w:rtl/>
          <w:lang w:eastAsia="zh-TW"/>
        </w:rPr>
        <w:t>تعدين الذهب المسؤول</w:t>
      </w:r>
      <w:r>
        <w:rPr>
          <w:rFonts w:cs="Traditional Arabic" w:hint="cs"/>
          <w:sz w:val="30"/>
          <w:szCs w:val="30"/>
          <w:rtl/>
          <w:lang w:eastAsia="zh-TW"/>
        </w:rPr>
        <w:t xml:space="preserve"> في جمع بيانات </w:t>
      </w:r>
      <w:r w:rsidR="006C3C16">
        <w:rPr>
          <w:rFonts w:cs="Traditional Arabic" w:hint="cs"/>
          <w:sz w:val="30"/>
          <w:szCs w:val="30"/>
          <w:rtl/>
          <w:lang w:eastAsia="zh-TW"/>
        </w:rPr>
        <w:t>أساسية</w:t>
      </w:r>
      <w:r>
        <w:rPr>
          <w:rFonts w:cs="Traditional Arabic" w:hint="cs"/>
          <w:sz w:val="30"/>
          <w:szCs w:val="30"/>
          <w:rtl/>
          <w:lang w:eastAsia="zh-TW"/>
        </w:rPr>
        <w:t xml:space="preserve"> عن استخدام الزئبق في تعدين الذهب الحرفي والضيق النطاق وصياغة التقييم الأولي </w:t>
      </w:r>
      <w:r w:rsidR="00802A2C">
        <w:rPr>
          <w:rFonts w:cs="Traditional Arabic" w:hint="cs"/>
          <w:sz w:val="30"/>
          <w:szCs w:val="30"/>
          <w:rtl/>
          <w:lang w:eastAsia="zh-TW"/>
        </w:rPr>
        <w:t>ل</w:t>
      </w:r>
      <w:r>
        <w:rPr>
          <w:rFonts w:cs="Traditional Arabic" w:hint="cs"/>
          <w:sz w:val="30"/>
          <w:szCs w:val="30"/>
          <w:rtl/>
          <w:lang w:eastAsia="zh-TW"/>
        </w:rPr>
        <w:t xml:space="preserve">اتفاقية </w:t>
      </w:r>
      <w:proofErr w:type="spellStart"/>
      <w:r>
        <w:rPr>
          <w:rFonts w:cs="Traditional Arabic" w:hint="cs"/>
          <w:sz w:val="30"/>
          <w:szCs w:val="30"/>
          <w:rtl/>
          <w:lang w:eastAsia="zh-TW"/>
        </w:rPr>
        <w:t>ميناماتا</w:t>
      </w:r>
      <w:proofErr w:type="spellEnd"/>
      <w:r w:rsidR="00B47718">
        <w:rPr>
          <w:rFonts w:cs="Traditional Arabic" w:hint="cs"/>
          <w:sz w:val="30"/>
          <w:szCs w:val="30"/>
          <w:rtl/>
          <w:lang w:eastAsia="zh-TW"/>
        </w:rPr>
        <w:t xml:space="preserve">. </w:t>
      </w:r>
      <w:r w:rsidR="00802A2C">
        <w:rPr>
          <w:rFonts w:cs="Traditional Arabic" w:hint="cs"/>
          <w:sz w:val="30"/>
          <w:szCs w:val="30"/>
          <w:rtl/>
          <w:lang w:eastAsia="zh-TW"/>
        </w:rPr>
        <w:t xml:space="preserve">وعملت </w:t>
      </w:r>
      <w:r w:rsidR="00B47718">
        <w:rPr>
          <w:rFonts w:cs="Traditional Arabic" w:hint="cs"/>
          <w:sz w:val="30"/>
          <w:szCs w:val="30"/>
          <w:rtl/>
          <w:lang w:eastAsia="zh-TW"/>
        </w:rPr>
        <w:t xml:space="preserve">الفرقة المعنية بالمشروع </w:t>
      </w:r>
      <w:r w:rsidR="00802A2C">
        <w:rPr>
          <w:rFonts w:cs="Traditional Arabic" w:hint="cs"/>
          <w:sz w:val="30"/>
          <w:szCs w:val="30"/>
          <w:rtl/>
          <w:lang w:eastAsia="zh-TW"/>
        </w:rPr>
        <w:t xml:space="preserve">لكسب التأييد </w:t>
      </w:r>
      <w:r w:rsidR="00B47718">
        <w:rPr>
          <w:rFonts w:cs="Traditional Arabic" w:hint="cs"/>
          <w:sz w:val="30"/>
          <w:szCs w:val="30"/>
          <w:rtl/>
          <w:lang w:eastAsia="zh-TW"/>
        </w:rPr>
        <w:t xml:space="preserve">من أجل توسيع عضوية مجموعة العمل التقنية المعنية بالتقييم الأولي </w:t>
      </w:r>
      <w:r w:rsidR="00802A2C">
        <w:rPr>
          <w:rFonts w:cs="Traditional Arabic" w:hint="cs"/>
          <w:sz w:val="30"/>
          <w:szCs w:val="30"/>
          <w:rtl/>
          <w:lang w:eastAsia="zh-TW"/>
        </w:rPr>
        <w:t>ل</w:t>
      </w:r>
      <w:r w:rsidR="00B47718">
        <w:rPr>
          <w:rFonts w:cs="Traditional Arabic" w:hint="cs"/>
          <w:sz w:val="30"/>
          <w:szCs w:val="30"/>
          <w:rtl/>
          <w:lang w:eastAsia="zh-TW"/>
        </w:rPr>
        <w:t xml:space="preserve">اتفاقية </w:t>
      </w:r>
      <w:proofErr w:type="spellStart"/>
      <w:r w:rsidR="00B47718">
        <w:rPr>
          <w:rFonts w:cs="Traditional Arabic" w:hint="cs"/>
          <w:sz w:val="30"/>
          <w:szCs w:val="30"/>
          <w:rtl/>
          <w:lang w:eastAsia="zh-TW"/>
        </w:rPr>
        <w:t>ميناماتا</w:t>
      </w:r>
      <w:proofErr w:type="spellEnd"/>
      <w:r w:rsidR="00B47718">
        <w:rPr>
          <w:rFonts w:cs="Traditional Arabic" w:hint="cs"/>
          <w:sz w:val="30"/>
          <w:szCs w:val="30"/>
          <w:rtl/>
          <w:lang w:eastAsia="zh-TW"/>
        </w:rPr>
        <w:t xml:space="preserve"> </w:t>
      </w:r>
      <w:r w:rsidR="00802A2C">
        <w:rPr>
          <w:rFonts w:cs="Traditional Arabic" w:hint="cs"/>
          <w:sz w:val="30"/>
          <w:szCs w:val="30"/>
          <w:rtl/>
          <w:lang w:eastAsia="zh-TW"/>
        </w:rPr>
        <w:t>بحيث</w:t>
      </w:r>
      <w:r w:rsidR="00B47718">
        <w:rPr>
          <w:rFonts w:cs="Traditional Arabic" w:hint="cs"/>
          <w:sz w:val="30"/>
          <w:szCs w:val="30"/>
          <w:rtl/>
          <w:lang w:eastAsia="zh-TW"/>
        </w:rPr>
        <w:t xml:space="preserve"> تضم إدارة العمل والتوظيف في الفلبين وإدارة الرعاية الاجتماعية والتنمية</w:t>
      </w:r>
      <w:r w:rsidR="00802A2C">
        <w:rPr>
          <w:rFonts w:cs="Traditional Arabic" w:hint="cs"/>
          <w:sz w:val="30"/>
          <w:szCs w:val="30"/>
          <w:rtl/>
          <w:lang w:eastAsia="zh-TW"/>
        </w:rPr>
        <w:t xml:space="preserve"> في الفلبين، وذلك</w:t>
      </w:r>
      <w:r w:rsidR="00B47718">
        <w:rPr>
          <w:rFonts w:cs="Traditional Arabic" w:hint="cs"/>
          <w:sz w:val="30"/>
          <w:szCs w:val="30"/>
          <w:rtl/>
          <w:lang w:eastAsia="zh-TW"/>
        </w:rPr>
        <w:t xml:space="preserve"> كخطوة </w:t>
      </w:r>
      <w:r w:rsidR="00802A2C">
        <w:rPr>
          <w:rFonts w:cs="Traditional Arabic" w:hint="cs"/>
          <w:sz w:val="30"/>
          <w:szCs w:val="30"/>
          <w:rtl/>
          <w:lang w:eastAsia="zh-TW"/>
        </w:rPr>
        <w:t xml:space="preserve">هامة </w:t>
      </w:r>
      <w:r w:rsidR="00B47718">
        <w:rPr>
          <w:rFonts w:cs="Traditional Arabic" w:hint="cs"/>
          <w:sz w:val="30"/>
          <w:szCs w:val="30"/>
          <w:rtl/>
          <w:lang w:eastAsia="zh-TW"/>
        </w:rPr>
        <w:t xml:space="preserve">في تعزيز </w:t>
      </w:r>
      <w:r w:rsidR="00802A2C">
        <w:rPr>
          <w:rFonts w:cs="Traditional Arabic" w:hint="cs"/>
          <w:sz w:val="30"/>
          <w:szCs w:val="30"/>
          <w:rtl/>
          <w:lang w:eastAsia="zh-TW"/>
        </w:rPr>
        <w:t>طبيعة تعدد</w:t>
      </w:r>
      <w:r w:rsidR="00B47718">
        <w:rPr>
          <w:rFonts w:cs="Traditional Arabic" w:hint="cs"/>
          <w:sz w:val="30"/>
          <w:szCs w:val="30"/>
          <w:rtl/>
          <w:lang w:eastAsia="zh-TW"/>
        </w:rPr>
        <w:t xml:space="preserve"> أصحاب المصلحة </w:t>
      </w:r>
      <w:r w:rsidR="006C3C16">
        <w:rPr>
          <w:rFonts w:cs="Traditional Arabic" w:hint="cs"/>
          <w:sz w:val="30"/>
          <w:szCs w:val="30"/>
          <w:rtl/>
          <w:lang w:eastAsia="zh-TW"/>
        </w:rPr>
        <w:t>للمشاركة في</w:t>
      </w:r>
      <w:r w:rsidR="00B47718">
        <w:rPr>
          <w:rFonts w:cs="Traditional Arabic" w:hint="cs"/>
          <w:sz w:val="30"/>
          <w:szCs w:val="30"/>
          <w:rtl/>
          <w:lang w:eastAsia="zh-TW"/>
        </w:rPr>
        <w:t xml:space="preserve"> اتفاقية </w:t>
      </w:r>
      <w:proofErr w:type="spellStart"/>
      <w:r w:rsidR="00B47718">
        <w:rPr>
          <w:rFonts w:cs="Traditional Arabic" w:hint="cs"/>
          <w:sz w:val="30"/>
          <w:szCs w:val="30"/>
          <w:rtl/>
          <w:lang w:eastAsia="zh-TW"/>
        </w:rPr>
        <w:t>ميناماتا</w:t>
      </w:r>
      <w:proofErr w:type="spellEnd"/>
      <w:r w:rsidR="00B47718">
        <w:rPr>
          <w:rFonts w:cs="Traditional Arabic" w:hint="cs"/>
          <w:sz w:val="30"/>
          <w:szCs w:val="30"/>
          <w:rtl/>
          <w:lang w:eastAsia="zh-TW"/>
        </w:rPr>
        <w:t xml:space="preserve"> وتنفيذها على الصعيد الوطني. وفي تشرين الثاني/نوفمبر 2018، أصدرت إدارة البيئة والموارد الطبيعية في الفلبين قراراً </w:t>
      </w:r>
      <w:r w:rsidR="006C3C16">
        <w:rPr>
          <w:rFonts w:cs="Traditional Arabic" w:hint="cs"/>
          <w:sz w:val="30"/>
          <w:szCs w:val="30"/>
          <w:rtl/>
          <w:lang w:eastAsia="zh-TW"/>
        </w:rPr>
        <w:t>بتشكيل</w:t>
      </w:r>
      <w:r w:rsidR="00B47718">
        <w:rPr>
          <w:rFonts w:cs="Traditional Arabic" w:hint="cs"/>
          <w:sz w:val="30"/>
          <w:szCs w:val="30"/>
          <w:rtl/>
          <w:lang w:eastAsia="zh-TW"/>
        </w:rPr>
        <w:t xml:space="preserve"> مجموعة العمل التقنية المعنية بالتقييم الأولي بموجب اتفاقية </w:t>
      </w:r>
      <w:proofErr w:type="spellStart"/>
      <w:r w:rsidR="00B47718">
        <w:rPr>
          <w:rFonts w:cs="Traditional Arabic" w:hint="cs"/>
          <w:sz w:val="30"/>
          <w:szCs w:val="30"/>
          <w:rtl/>
          <w:lang w:eastAsia="zh-TW"/>
        </w:rPr>
        <w:t>ميناماتا</w:t>
      </w:r>
      <w:proofErr w:type="spellEnd"/>
      <w:r w:rsidR="00B47718">
        <w:rPr>
          <w:rFonts w:cs="Traditional Arabic" w:hint="cs"/>
          <w:sz w:val="30"/>
          <w:szCs w:val="30"/>
          <w:rtl/>
          <w:lang w:eastAsia="zh-TW"/>
        </w:rPr>
        <w:t xml:space="preserve">، التي تضم ممثلين عن إدارة العمل والتوظيف وإدارة الرعاية الاجتماعية والتنمية. وبالإضافة إلى ذلك، واصلت الفرقة المعنية بالمشروع تنفيذ جلسات للتدريب/التوجيه بشأن التكنولوجيا الخالية من الزئبق </w:t>
      </w:r>
      <w:r w:rsidR="00802A2C">
        <w:rPr>
          <w:rFonts w:cs="Traditional Arabic" w:hint="cs"/>
          <w:sz w:val="30"/>
          <w:szCs w:val="30"/>
          <w:rtl/>
          <w:lang w:eastAsia="zh-TW"/>
        </w:rPr>
        <w:t xml:space="preserve">لدى الجماعات العاملة </w:t>
      </w:r>
      <w:r w:rsidR="00B47718">
        <w:rPr>
          <w:rFonts w:cs="Traditional Arabic" w:hint="cs"/>
          <w:sz w:val="30"/>
          <w:szCs w:val="30"/>
          <w:rtl/>
          <w:lang w:eastAsia="zh-TW"/>
        </w:rPr>
        <w:t xml:space="preserve">بالتعدين، لاسيما في </w:t>
      </w:r>
      <w:proofErr w:type="spellStart"/>
      <w:r w:rsidR="00B47718">
        <w:rPr>
          <w:rFonts w:cs="Traditional Arabic" w:hint="cs"/>
          <w:sz w:val="30"/>
          <w:szCs w:val="30"/>
          <w:rtl/>
          <w:lang w:eastAsia="zh-TW"/>
        </w:rPr>
        <w:t>كامارينز</w:t>
      </w:r>
      <w:proofErr w:type="spellEnd"/>
      <w:r w:rsidR="00B47718">
        <w:rPr>
          <w:rFonts w:cs="Traditional Arabic" w:hint="cs"/>
          <w:sz w:val="30"/>
          <w:szCs w:val="30"/>
          <w:rtl/>
          <w:lang w:eastAsia="zh-TW"/>
        </w:rPr>
        <w:t xml:space="preserve"> نورتي. وأخيراً، </w:t>
      </w:r>
      <w:r w:rsidR="0028115E">
        <w:rPr>
          <w:rFonts w:cs="Traditional Arabic" w:hint="cs"/>
          <w:sz w:val="30"/>
          <w:szCs w:val="30"/>
          <w:rtl/>
          <w:lang w:eastAsia="zh-TW"/>
        </w:rPr>
        <w:t xml:space="preserve">لا يزال العمل جارياً على </w:t>
      </w:r>
      <w:r w:rsidR="00B47718">
        <w:rPr>
          <w:rFonts w:cs="Traditional Arabic" w:hint="cs"/>
          <w:sz w:val="30"/>
          <w:szCs w:val="30"/>
          <w:rtl/>
          <w:lang w:eastAsia="zh-TW"/>
        </w:rPr>
        <w:t>وضع خطة عمل وطنية بشأن تعدين الذهب الحرفي والضيق النطاق، تتضمن مبادرات لمعالجة استخدام الزئبق في تعدين الذهب الحرفي والضيق النطاق.</w:t>
      </w:r>
    </w:p>
    <w:p w14:paraId="4D7465C1" w14:textId="18A34BC5" w:rsidR="000F2EC6" w:rsidRDefault="003914D5"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ونظم المركز الدولي للتدريب التابع لمنظمة العمل الدولية والفرقة المعنية بمشروع تعدين الذهب</w:t>
      </w:r>
      <w:r w:rsidR="00DA2176">
        <w:rPr>
          <w:rFonts w:cs="Traditional Arabic" w:hint="cs"/>
          <w:sz w:val="30"/>
          <w:szCs w:val="30"/>
          <w:rtl/>
          <w:lang w:eastAsia="zh-TW"/>
        </w:rPr>
        <w:t xml:space="preserve"> المسؤول</w:t>
      </w:r>
      <w:r>
        <w:rPr>
          <w:rFonts w:cs="Traditional Arabic" w:hint="cs"/>
          <w:sz w:val="30"/>
          <w:szCs w:val="30"/>
          <w:rtl/>
          <w:lang w:eastAsia="zh-TW"/>
        </w:rPr>
        <w:t xml:space="preserve"> </w:t>
      </w:r>
      <w:r w:rsidR="00D733C5">
        <w:rPr>
          <w:rFonts w:cs="Traditional Arabic" w:hint="cs"/>
          <w:sz w:val="30"/>
          <w:szCs w:val="30"/>
          <w:rtl/>
          <w:lang w:eastAsia="zh-TW"/>
        </w:rPr>
        <w:t>المنتدى الأول</w:t>
      </w:r>
      <w:r>
        <w:rPr>
          <w:rFonts w:cs="Traditional Arabic" w:hint="cs"/>
          <w:sz w:val="30"/>
          <w:szCs w:val="30"/>
          <w:rtl/>
          <w:lang w:eastAsia="zh-TW"/>
        </w:rPr>
        <w:t xml:space="preserve"> لتقاسم المعارف بين الأقاليم بشأن عمالة الأطفال وظروف العمل في مجال تعدين الذهب الحرفي والضيق النطاق</w:t>
      </w:r>
      <w:r w:rsidR="00D60F9E" w:rsidRPr="00631EA6">
        <w:rPr>
          <w:rFonts w:cs="Traditional Arabic"/>
          <w:szCs w:val="30"/>
          <w:vertAlign w:val="superscript"/>
          <w:rtl/>
          <w:lang w:eastAsia="zh-TW"/>
        </w:rPr>
        <w:t>(</w:t>
      </w:r>
      <w:r w:rsidR="00D60F9E" w:rsidRPr="00631EA6">
        <w:rPr>
          <w:rFonts w:eastAsia="Arial Unicode MS" w:cs="Traditional Arabic"/>
          <w:szCs w:val="30"/>
          <w:u w:color="000000"/>
          <w:bdr w:val="nil"/>
          <w:vertAlign w:val="superscript"/>
          <w:rtl/>
          <w:lang w:eastAsia="zh-TW"/>
        </w:rPr>
        <w:footnoteReference w:id="10"/>
      </w:r>
      <w:r w:rsidR="00D60F9E" w:rsidRPr="00631EA6">
        <w:rPr>
          <w:rFonts w:cs="Traditional Arabic"/>
          <w:szCs w:val="30"/>
          <w:vertAlign w:val="superscript"/>
          <w:rtl/>
          <w:lang w:eastAsia="zh-TW"/>
        </w:rPr>
        <w:t>)</w:t>
      </w:r>
      <w:r w:rsidR="0028115E">
        <w:rPr>
          <w:rFonts w:cs="Traditional Arabic" w:hint="cs"/>
          <w:sz w:val="30"/>
          <w:szCs w:val="30"/>
          <w:rtl/>
          <w:lang w:eastAsia="zh-TW"/>
        </w:rPr>
        <w:t>،</w:t>
      </w:r>
      <w:r>
        <w:rPr>
          <w:rFonts w:cs="Traditional Arabic" w:hint="cs"/>
          <w:sz w:val="30"/>
          <w:szCs w:val="30"/>
          <w:rtl/>
          <w:lang w:eastAsia="zh-TW"/>
        </w:rPr>
        <w:t xml:space="preserve"> الذي عُقد في مانيلا في أيار/مايو 2019، </w:t>
      </w:r>
      <w:r w:rsidR="00D733C5">
        <w:rPr>
          <w:rFonts w:cs="Traditional Arabic" w:hint="cs"/>
          <w:sz w:val="30"/>
          <w:szCs w:val="30"/>
          <w:rtl/>
          <w:lang w:eastAsia="zh-TW"/>
        </w:rPr>
        <w:t>و</w:t>
      </w:r>
      <w:r>
        <w:rPr>
          <w:rFonts w:cs="Traditional Arabic" w:hint="cs"/>
          <w:sz w:val="30"/>
          <w:szCs w:val="30"/>
          <w:rtl/>
          <w:lang w:eastAsia="zh-TW"/>
        </w:rPr>
        <w:t xml:space="preserve">ضم أكثر من 50 خبيراً في هذا الموضوع. ونُظمت دورات للترويج لاتفاقية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والتكنولوجيا الخالية من الزئبق، بما في ذلك دورة بشأن اتفاقية </w:t>
      </w:r>
      <w:proofErr w:type="spellStart"/>
      <w:r>
        <w:rPr>
          <w:rFonts w:cs="Traditional Arabic" w:hint="cs"/>
          <w:sz w:val="30"/>
          <w:szCs w:val="30"/>
          <w:rtl/>
          <w:lang w:eastAsia="zh-TW"/>
        </w:rPr>
        <w:t>ميناماتا</w:t>
      </w:r>
      <w:proofErr w:type="spellEnd"/>
      <w:r w:rsidR="007F0F88">
        <w:rPr>
          <w:rFonts w:cs="Traditional Arabic" w:hint="cs"/>
          <w:sz w:val="30"/>
          <w:szCs w:val="30"/>
          <w:rtl/>
          <w:lang w:eastAsia="zh-TW"/>
        </w:rPr>
        <w:t xml:space="preserve"> </w:t>
      </w:r>
      <w:r w:rsidR="00D733C5">
        <w:rPr>
          <w:rFonts w:cs="Traditional Arabic" w:hint="cs"/>
          <w:sz w:val="30"/>
          <w:szCs w:val="30"/>
          <w:rtl/>
          <w:lang w:eastAsia="zh-TW"/>
        </w:rPr>
        <w:t xml:space="preserve">من حيث ارتباطها </w:t>
      </w:r>
      <w:r w:rsidR="007F0F88">
        <w:rPr>
          <w:rFonts w:cs="Traditional Arabic" w:hint="cs"/>
          <w:sz w:val="30"/>
          <w:szCs w:val="30"/>
          <w:rtl/>
          <w:lang w:eastAsia="zh-TW"/>
        </w:rPr>
        <w:t xml:space="preserve">بقطاع تعدين الذهب الحرفي والضيق النطاق ودورة أخرى </w:t>
      </w:r>
      <w:r w:rsidR="00D733C5">
        <w:rPr>
          <w:rFonts w:cs="Traditional Arabic" w:hint="cs"/>
          <w:sz w:val="30"/>
          <w:szCs w:val="30"/>
          <w:rtl/>
          <w:lang w:eastAsia="zh-TW"/>
        </w:rPr>
        <w:t>بحضور فريق</w:t>
      </w:r>
      <w:r w:rsidR="007F0F88">
        <w:rPr>
          <w:rFonts w:cs="Traditional Arabic" w:hint="cs"/>
          <w:sz w:val="30"/>
          <w:szCs w:val="30"/>
          <w:rtl/>
          <w:lang w:eastAsia="zh-TW"/>
        </w:rPr>
        <w:t xml:space="preserve"> </w:t>
      </w:r>
      <w:r w:rsidR="00D733C5">
        <w:rPr>
          <w:rFonts w:cs="Traditional Arabic" w:hint="cs"/>
          <w:sz w:val="30"/>
          <w:szCs w:val="30"/>
          <w:rtl/>
          <w:lang w:eastAsia="zh-TW"/>
        </w:rPr>
        <w:t xml:space="preserve">تناولت </w:t>
      </w:r>
      <w:r w:rsidR="007F0F88">
        <w:rPr>
          <w:rFonts w:cs="Traditional Arabic" w:hint="cs"/>
          <w:sz w:val="30"/>
          <w:szCs w:val="30"/>
          <w:rtl/>
          <w:lang w:eastAsia="zh-TW"/>
        </w:rPr>
        <w:t xml:space="preserve">الممارسات الجيدة، </w:t>
      </w:r>
      <w:r w:rsidR="00D733C5">
        <w:rPr>
          <w:rFonts w:cs="Traditional Arabic" w:hint="cs"/>
          <w:sz w:val="30"/>
          <w:szCs w:val="30"/>
          <w:rtl/>
          <w:lang w:eastAsia="zh-TW"/>
        </w:rPr>
        <w:t>و</w:t>
      </w:r>
      <w:r w:rsidR="007F0F88">
        <w:rPr>
          <w:rFonts w:cs="Traditional Arabic" w:hint="cs"/>
          <w:sz w:val="30"/>
          <w:szCs w:val="30"/>
          <w:rtl/>
          <w:lang w:eastAsia="zh-TW"/>
        </w:rPr>
        <w:t>تبادل فيها ممثلون من جامعة المناجم والتكنولوجيا في غانا معلومات عن تكنولوجيا يجري تطويرها بدعم من مشروع تعدين الذهب</w:t>
      </w:r>
      <w:r w:rsidR="00D733C5">
        <w:rPr>
          <w:rFonts w:cs="Traditional Arabic" w:hint="cs"/>
          <w:sz w:val="30"/>
          <w:szCs w:val="30"/>
          <w:rtl/>
          <w:lang w:eastAsia="zh-TW"/>
        </w:rPr>
        <w:t xml:space="preserve"> المسؤول</w:t>
      </w:r>
      <w:r w:rsidR="007F0F88">
        <w:rPr>
          <w:rFonts w:cs="Traditional Arabic" w:hint="cs"/>
          <w:sz w:val="30"/>
          <w:szCs w:val="30"/>
          <w:rtl/>
          <w:lang w:eastAsia="zh-TW"/>
        </w:rPr>
        <w:t xml:space="preserve">، </w:t>
      </w:r>
      <w:r w:rsidR="00D733C5">
        <w:rPr>
          <w:rFonts w:cs="Traditional Arabic" w:hint="cs"/>
          <w:sz w:val="30"/>
          <w:szCs w:val="30"/>
          <w:rtl/>
          <w:lang w:eastAsia="zh-TW"/>
        </w:rPr>
        <w:t>وتنطوي على</w:t>
      </w:r>
      <w:r w:rsidR="007F0F88">
        <w:rPr>
          <w:rFonts w:cs="Traditional Arabic" w:hint="cs"/>
          <w:sz w:val="30"/>
          <w:szCs w:val="30"/>
          <w:rtl/>
          <w:lang w:eastAsia="zh-TW"/>
        </w:rPr>
        <w:t xml:space="preserve"> صهر الذهب مباشرة باستخدام صهيرة كبديل عن ملغمة الزئبق. وبعد المنتدى، </w:t>
      </w:r>
      <w:r w:rsidR="00E55C82">
        <w:rPr>
          <w:rFonts w:cs="Traditional Arabic" w:hint="cs"/>
          <w:sz w:val="30"/>
          <w:szCs w:val="30"/>
          <w:rtl/>
          <w:lang w:eastAsia="zh-TW"/>
        </w:rPr>
        <w:t xml:space="preserve">نُظم </w:t>
      </w:r>
      <w:r w:rsidR="007F0F88">
        <w:rPr>
          <w:rFonts w:cs="Traditional Arabic" w:hint="cs"/>
          <w:sz w:val="30"/>
          <w:szCs w:val="30"/>
          <w:rtl/>
          <w:lang w:eastAsia="zh-TW"/>
        </w:rPr>
        <w:t xml:space="preserve">نشاط للتبادل بين بلدان الجنوب زار فيه </w:t>
      </w:r>
      <w:r w:rsidR="00E55C82">
        <w:rPr>
          <w:rFonts w:cs="Traditional Arabic" w:hint="cs"/>
          <w:sz w:val="30"/>
          <w:szCs w:val="30"/>
          <w:rtl/>
          <w:lang w:eastAsia="zh-TW"/>
        </w:rPr>
        <w:t xml:space="preserve">مندوبون </w:t>
      </w:r>
      <w:r w:rsidR="007F0F88">
        <w:rPr>
          <w:rFonts w:cs="Traditional Arabic" w:hint="cs"/>
          <w:sz w:val="30"/>
          <w:szCs w:val="30"/>
          <w:rtl/>
          <w:lang w:eastAsia="zh-TW"/>
        </w:rPr>
        <w:t xml:space="preserve">من غانا منجماً نموذجياً يستخدم طريقة تركيز الذهب </w:t>
      </w:r>
      <w:r w:rsidR="00E55C82">
        <w:rPr>
          <w:rFonts w:cs="Traditional Arabic" w:hint="cs"/>
          <w:sz w:val="30"/>
          <w:szCs w:val="30"/>
          <w:rtl/>
          <w:lang w:eastAsia="zh-TW"/>
        </w:rPr>
        <w:t xml:space="preserve">اعتماداً على </w:t>
      </w:r>
      <w:r w:rsidR="007F0F88">
        <w:rPr>
          <w:rFonts w:cs="Traditional Arabic" w:hint="cs"/>
          <w:sz w:val="30"/>
          <w:szCs w:val="30"/>
          <w:rtl/>
          <w:lang w:eastAsia="zh-TW"/>
        </w:rPr>
        <w:t xml:space="preserve">الجاذبية </w:t>
      </w:r>
      <w:r w:rsidR="00E55C82">
        <w:rPr>
          <w:rFonts w:cs="Traditional Arabic" w:hint="cs"/>
          <w:sz w:val="30"/>
          <w:szCs w:val="30"/>
          <w:rtl/>
          <w:lang w:eastAsia="zh-TW"/>
        </w:rPr>
        <w:t>ودون استعمال</w:t>
      </w:r>
      <w:r w:rsidR="006C3C16">
        <w:rPr>
          <w:rFonts w:cs="Traditional Arabic" w:hint="cs"/>
          <w:sz w:val="30"/>
          <w:szCs w:val="30"/>
          <w:rtl/>
          <w:lang w:eastAsia="zh-TW"/>
        </w:rPr>
        <w:t xml:space="preserve"> </w:t>
      </w:r>
      <w:r w:rsidR="007F0F88">
        <w:rPr>
          <w:rFonts w:cs="Traditional Arabic" w:hint="cs"/>
          <w:sz w:val="30"/>
          <w:szCs w:val="30"/>
          <w:rtl/>
          <w:lang w:eastAsia="zh-TW"/>
        </w:rPr>
        <w:t>الزئبق ومحطة تُجرى فيها تجارب على استخدام الملح لاستخراج الذهب من الرِكاز.</w:t>
      </w:r>
    </w:p>
    <w:p w14:paraId="4930E20D" w14:textId="3DE5C83B" w:rsidR="000F2EC6" w:rsidRDefault="007F0F88"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وفي غانا، أسهمت منظمة العمل الدولية</w:t>
      </w:r>
      <w:r w:rsidR="006C3C16">
        <w:rPr>
          <w:rFonts w:cs="Traditional Arabic" w:hint="cs"/>
          <w:sz w:val="30"/>
          <w:szCs w:val="30"/>
          <w:rtl/>
          <w:lang w:eastAsia="zh-TW"/>
        </w:rPr>
        <w:t xml:space="preserve"> في</w:t>
      </w:r>
      <w:r>
        <w:rPr>
          <w:rFonts w:cs="Traditional Arabic" w:hint="cs"/>
          <w:sz w:val="30"/>
          <w:szCs w:val="30"/>
          <w:rtl/>
          <w:lang w:eastAsia="zh-TW"/>
        </w:rPr>
        <w:t xml:space="preserve"> </w:t>
      </w:r>
      <w:r w:rsidR="00E55C82">
        <w:rPr>
          <w:rFonts w:cs="Traditional Arabic" w:hint="cs"/>
          <w:sz w:val="30"/>
          <w:szCs w:val="30"/>
          <w:rtl/>
          <w:lang w:eastAsia="zh-TW"/>
        </w:rPr>
        <w:t xml:space="preserve">إحراز </w:t>
      </w:r>
      <w:r>
        <w:rPr>
          <w:rFonts w:cs="Traditional Arabic" w:hint="cs"/>
          <w:sz w:val="30"/>
          <w:szCs w:val="30"/>
          <w:rtl/>
          <w:lang w:eastAsia="zh-TW"/>
        </w:rPr>
        <w:t xml:space="preserve">تقدم كبير في عام 2019. إذ شاركت المنظمة في صياغة التقييم الأولي </w:t>
      </w:r>
      <w:r w:rsidR="00E55C82">
        <w:rPr>
          <w:rFonts w:cs="Traditional Arabic" w:hint="cs"/>
          <w:sz w:val="30"/>
          <w:szCs w:val="30"/>
          <w:rtl/>
          <w:lang w:eastAsia="zh-TW"/>
        </w:rPr>
        <w:t>ل</w:t>
      </w:r>
      <w:r>
        <w:rPr>
          <w:rFonts w:cs="Traditional Arabic" w:hint="cs"/>
          <w:sz w:val="30"/>
          <w:szCs w:val="30"/>
          <w:rtl/>
          <w:lang w:eastAsia="zh-TW"/>
        </w:rPr>
        <w:t xml:space="preserve">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والتحقق من صحته وإصداره</w:t>
      </w:r>
      <w:r w:rsidR="000A14CF">
        <w:rPr>
          <w:rFonts w:cs="Traditional Arabic" w:hint="cs"/>
          <w:sz w:val="30"/>
          <w:szCs w:val="30"/>
          <w:rtl/>
          <w:lang w:eastAsia="zh-TW"/>
        </w:rPr>
        <w:t xml:space="preserve">، واستُكمل هذا التقييم </w:t>
      </w:r>
      <w:r w:rsidR="00E55C82">
        <w:rPr>
          <w:rFonts w:cs="Traditional Arabic" w:hint="cs"/>
          <w:sz w:val="30"/>
          <w:szCs w:val="30"/>
          <w:rtl/>
          <w:lang w:eastAsia="zh-TW"/>
        </w:rPr>
        <w:t>وأودع لدى</w:t>
      </w:r>
      <w:r w:rsidR="000A14CF">
        <w:rPr>
          <w:rFonts w:cs="Traditional Arabic" w:hint="cs"/>
          <w:sz w:val="30"/>
          <w:szCs w:val="30"/>
          <w:rtl/>
          <w:lang w:eastAsia="zh-TW"/>
        </w:rPr>
        <w:t xml:space="preserve"> أمانة اتفاقية </w:t>
      </w:r>
      <w:proofErr w:type="spellStart"/>
      <w:r w:rsidR="000A14CF">
        <w:rPr>
          <w:rFonts w:cs="Traditional Arabic" w:hint="cs"/>
          <w:sz w:val="30"/>
          <w:szCs w:val="30"/>
          <w:rtl/>
          <w:lang w:eastAsia="zh-TW"/>
        </w:rPr>
        <w:t>ميناماتا</w:t>
      </w:r>
      <w:proofErr w:type="spellEnd"/>
      <w:r w:rsidR="000A14CF">
        <w:rPr>
          <w:rFonts w:cs="Traditional Arabic" w:hint="cs"/>
          <w:sz w:val="30"/>
          <w:szCs w:val="30"/>
          <w:rtl/>
          <w:lang w:eastAsia="zh-TW"/>
        </w:rPr>
        <w:t xml:space="preserve">. </w:t>
      </w:r>
      <w:r w:rsidR="00E55C82">
        <w:rPr>
          <w:rFonts w:cs="Traditional Arabic" w:hint="cs"/>
          <w:sz w:val="30"/>
          <w:szCs w:val="30"/>
          <w:rtl/>
          <w:lang w:eastAsia="zh-TW"/>
        </w:rPr>
        <w:t xml:space="preserve">وتمثل </w:t>
      </w:r>
      <w:r w:rsidR="000A14CF">
        <w:rPr>
          <w:rFonts w:cs="Traditional Arabic" w:hint="cs"/>
          <w:sz w:val="30"/>
          <w:szCs w:val="30"/>
          <w:rtl/>
          <w:lang w:eastAsia="zh-TW"/>
        </w:rPr>
        <w:t xml:space="preserve">منظمة العمل الدولية أيضاً عضواً في الفريق العامل التقني الذي يضع خطة عمل وطنية بشأن القضاء على الزئبق. وبالإضافة إلى ذلك، تعمل منظمة العمل الدولية في إطار مشروع </w:t>
      </w:r>
      <w:r w:rsidR="00E55C82">
        <w:rPr>
          <w:rFonts w:cs="Traditional Arabic" w:hint="cs"/>
          <w:sz w:val="30"/>
          <w:szCs w:val="30"/>
          <w:rtl/>
          <w:lang w:eastAsia="zh-TW"/>
        </w:rPr>
        <w:t>ت</w:t>
      </w:r>
      <w:r w:rsidR="000A14CF">
        <w:rPr>
          <w:rFonts w:cs="Traditional Arabic" w:hint="cs"/>
          <w:sz w:val="30"/>
          <w:szCs w:val="30"/>
          <w:rtl/>
          <w:lang w:eastAsia="zh-TW"/>
        </w:rPr>
        <w:t>عدين الذهب</w:t>
      </w:r>
      <w:r w:rsidR="00E55C82">
        <w:rPr>
          <w:rFonts w:cs="Traditional Arabic" w:hint="cs"/>
          <w:sz w:val="30"/>
          <w:szCs w:val="30"/>
          <w:rtl/>
          <w:lang w:eastAsia="zh-TW"/>
        </w:rPr>
        <w:t xml:space="preserve"> المسؤول</w:t>
      </w:r>
      <w:r w:rsidR="000A14CF">
        <w:rPr>
          <w:rFonts w:cs="Traditional Arabic" w:hint="cs"/>
          <w:sz w:val="30"/>
          <w:szCs w:val="30"/>
          <w:rtl/>
          <w:lang w:eastAsia="zh-TW"/>
        </w:rPr>
        <w:t xml:space="preserve"> على تطوير طريقة معالجة الذهب الخالية من الزئبق بالصهر المباشر والتي </w:t>
      </w:r>
      <w:r w:rsidR="00E55C82">
        <w:rPr>
          <w:rFonts w:cs="Traditional Arabic" w:hint="cs"/>
          <w:sz w:val="30"/>
          <w:szCs w:val="30"/>
          <w:rtl/>
          <w:lang w:eastAsia="zh-TW"/>
        </w:rPr>
        <w:t>يجري تطويرها</w:t>
      </w:r>
      <w:r w:rsidR="000A14CF">
        <w:rPr>
          <w:rFonts w:cs="Traditional Arabic" w:hint="cs"/>
          <w:sz w:val="30"/>
          <w:szCs w:val="30"/>
          <w:rtl/>
          <w:lang w:eastAsia="zh-TW"/>
        </w:rPr>
        <w:t xml:space="preserve"> في جامعة المناجم والتكنولوجيا. </w:t>
      </w:r>
      <w:r w:rsidR="00E55C82">
        <w:rPr>
          <w:rFonts w:cs="Traditional Arabic" w:hint="cs"/>
          <w:sz w:val="30"/>
          <w:szCs w:val="30"/>
          <w:rtl/>
          <w:lang w:eastAsia="zh-TW"/>
        </w:rPr>
        <w:t>وبالتعاون</w:t>
      </w:r>
      <w:r w:rsidR="000A14CF">
        <w:rPr>
          <w:rFonts w:cs="Traditional Arabic" w:hint="cs"/>
          <w:sz w:val="30"/>
          <w:szCs w:val="30"/>
          <w:rtl/>
          <w:lang w:eastAsia="zh-TW"/>
        </w:rPr>
        <w:t xml:space="preserve"> مع منظمة أصدقاء الأمة</w:t>
      </w:r>
      <w:r w:rsidR="00E55C82">
        <w:rPr>
          <w:rFonts w:cs="Traditional Arabic" w:hint="cs"/>
          <w:sz w:val="30"/>
          <w:szCs w:val="30"/>
          <w:rtl/>
          <w:lang w:eastAsia="zh-TW"/>
        </w:rPr>
        <w:t xml:space="preserve"> </w:t>
      </w:r>
      <w:r w:rsidR="00E55C82" w:rsidRPr="00674309">
        <w:rPr>
          <w:rFonts w:asciiTheme="majorBidi" w:hAnsiTheme="majorBidi" w:cstheme="majorBidi"/>
          <w:szCs w:val="20"/>
          <w:rtl/>
          <w:lang w:eastAsia="zh-TW"/>
        </w:rPr>
        <w:t>(</w:t>
      </w:r>
      <w:r w:rsidR="00E55C82" w:rsidRPr="00674309">
        <w:rPr>
          <w:rFonts w:asciiTheme="majorBidi" w:hAnsiTheme="majorBidi" w:cstheme="majorBidi"/>
          <w:bCs/>
          <w:szCs w:val="20"/>
          <w:lang w:eastAsia="zh-TW"/>
        </w:rPr>
        <w:t>Friends of the Nation</w:t>
      </w:r>
      <w:r w:rsidR="00E55C82" w:rsidRPr="00674309">
        <w:rPr>
          <w:rFonts w:asciiTheme="majorBidi" w:hAnsiTheme="majorBidi" w:cstheme="majorBidi"/>
          <w:szCs w:val="20"/>
          <w:rtl/>
          <w:lang w:eastAsia="zh-TW"/>
        </w:rPr>
        <w:t>)</w:t>
      </w:r>
      <w:r w:rsidR="000A14CF">
        <w:rPr>
          <w:rFonts w:cs="Traditional Arabic" w:hint="cs"/>
          <w:sz w:val="30"/>
          <w:szCs w:val="30"/>
          <w:rtl/>
          <w:lang w:eastAsia="zh-TW"/>
        </w:rPr>
        <w:t xml:space="preserve"> وهي منظمة غير حكومية محلية تشارك في عمل الفريق العامل التقني المعني </w:t>
      </w:r>
      <w:r w:rsidR="00E55C82">
        <w:rPr>
          <w:rFonts w:cs="Traditional Arabic" w:hint="cs"/>
          <w:sz w:val="30"/>
          <w:szCs w:val="30"/>
          <w:rtl/>
          <w:lang w:eastAsia="zh-TW"/>
        </w:rPr>
        <w:t>بالزئبق</w:t>
      </w:r>
      <w:r w:rsidR="000A14CF">
        <w:rPr>
          <w:rFonts w:cs="Traditional Arabic" w:hint="cs"/>
          <w:sz w:val="30"/>
          <w:szCs w:val="30"/>
          <w:rtl/>
          <w:lang w:eastAsia="zh-TW"/>
        </w:rPr>
        <w:t xml:space="preserve">، </w:t>
      </w:r>
      <w:r w:rsidR="00E55C82">
        <w:rPr>
          <w:rFonts w:cs="Traditional Arabic" w:hint="cs"/>
          <w:sz w:val="30"/>
          <w:szCs w:val="30"/>
          <w:rtl/>
          <w:lang w:eastAsia="zh-TW"/>
        </w:rPr>
        <w:t xml:space="preserve">تعمل منظمة العمل الدولية على </w:t>
      </w:r>
      <w:r w:rsidR="000A14CF">
        <w:rPr>
          <w:rFonts w:cs="Traditional Arabic" w:hint="cs"/>
          <w:sz w:val="30"/>
          <w:szCs w:val="30"/>
          <w:rtl/>
          <w:lang w:eastAsia="zh-TW"/>
        </w:rPr>
        <w:t xml:space="preserve">تطوير حملة اتصالات </w:t>
      </w:r>
      <w:r w:rsidR="00E55C82">
        <w:rPr>
          <w:rFonts w:cs="Traditional Arabic" w:hint="cs"/>
          <w:sz w:val="30"/>
          <w:szCs w:val="30"/>
          <w:rtl/>
          <w:lang w:eastAsia="zh-TW"/>
        </w:rPr>
        <w:t>ل</w:t>
      </w:r>
      <w:r w:rsidR="000A14CF">
        <w:rPr>
          <w:rFonts w:cs="Traditional Arabic" w:hint="cs"/>
          <w:sz w:val="30"/>
          <w:szCs w:val="30"/>
          <w:rtl/>
          <w:lang w:eastAsia="zh-TW"/>
        </w:rPr>
        <w:t xml:space="preserve">اتفاقية </w:t>
      </w:r>
      <w:proofErr w:type="spellStart"/>
      <w:r w:rsidR="000A14CF">
        <w:rPr>
          <w:rFonts w:cs="Traditional Arabic" w:hint="cs"/>
          <w:sz w:val="30"/>
          <w:szCs w:val="30"/>
          <w:rtl/>
          <w:lang w:eastAsia="zh-TW"/>
        </w:rPr>
        <w:t>ميناماتا</w:t>
      </w:r>
      <w:proofErr w:type="spellEnd"/>
      <w:r w:rsidR="000A14CF">
        <w:rPr>
          <w:rFonts w:cs="Traditional Arabic" w:hint="cs"/>
          <w:sz w:val="30"/>
          <w:szCs w:val="30"/>
          <w:rtl/>
          <w:lang w:eastAsia="zh-TW"/>
        </w:rPr>
        <w:t xml:space="preserve"> تركز على الصلة بين استخدام الزئبق وعمالة الأطفال. وأخيراً، </w:t>
      </w:r>
      <w:r w:rsidR="00E55C82">
        <w:rPr>
          <w:rFonts w:cs="Traditional Arabic" w:hint="cs"/>
          <w:sz w:val="30"/>
          <w:szCs w:val="30"/>
          <w:rtl/>
          <w:lang w:eastAsia="zh-TW"/>
        </w:rPr>
        <w:t xml:space="preserve">يمثل </w:t>
      </w:r>
      <w:r w:rsidR="000A14CF">
        <w:rPr>
          <w:rFonts w:cs="Traditional Arabic" w:hint="cs"/>
          <w:sz w:val="30"/>
          <w:szCs w:val="30"/>
          <w:rtl/>
          <w:lang w:eastAsia="zh-TW"/>
        </w:rPr>
        <w:t xml:space="preserve">مشروع تعدين الذهب </w:t>
      </w:r>
      <w:r w:rsidR="00E55C82">
        <w:rPr>
          <w:rFonts w:cs="Traditional Arabic" w:hint="cs"/>
          <w:sz w:val="30"/>
          <w:szCs w:val="30"/>
          <w:rtl/>
          <w:lang w:eastAsia="zh-TW"/>
        </w:rPr>
        <w:t xml:space="preserve"> المسؤول </w:t>
      </w:r>
      <w:r w:rsidR="000A14CF">
        <w:rPr>
          <w:rFonts w:cs="Traditional Arabic" w:hint="cs"/>
          <w:sz w:val="30"/>
          <w:szCs w:val="30"/>
          <w:rtl/>
          <w:lang w:eastAsia="zh-TW"/>
        </w:rPr>
        <w:t>كذلك عضواً في اللجنة التوجيهية الوطنية التي تشرف على تنفيذ نظام الشكاوى</w:t>
      </w:r>
      <w:r w:rsidR="00E55C82">
        <w:rPr>
          <w:rFonts w:cs="Traditional Arabic" w:hint="cs"/>
          <w:sz w:val="30"/>
          <w:szCs w:val="30"/>
          <w:rtl/>
          <w:lang w:eastAsia="zh-TW"/>
        </w:rPr>
        <w:t xml:space="preserve"> الكامل</w:t>
      </w:r>
      <w:r w:rsidR="000A14CF">
        <w:rPr>
          <w:rFonts w:cs="Traditional Arabic" w:hint="cs"/>
          <w:sz w:val="30"/>
          <w:szCs w:val="30"/>
          <w:rtl/>
          <w:lang w:eastAsia="zh-TW"/>
        </w:rPr>
        <w:t xml:space="preserve"> في اتفاقية </w:t>
      </w:r>
      <w:proofErr w:type="spellStart"/>
      <w:r w:rsidR="000A14CF">
        <w:rPr>
          <w:rFonts w:cs="Traditional Arabic" w:hint="cs"/>
          <w:sz w:val="30"/>
          <w:szCs w:val="30"/>
          <w:rtl/>
          <w:lang w:eastAsia="zh-TW"/>
        </w:rPr>
        <w:t>ميناماتا</w:t>
      </w:r>
      <w:proofErr w:type="spellEnd"/>
      <w:r w:rsidR="000A14CF">
        <w:rPr>
          <w:rFonts w:cs="Traditional Arabic" w:hint="cs"/>
          <w:sz w:val="30"/>
          <w:szCs w:val="30"/>
          <w:rtl/>
          <w:lang w:eastAsia="zh-TW"/>
        </w:rPr>
        <w:t>.</w:t>
      </w:r>
    </w:p>
    <w:p w14:paraId="4D2B7DD0" w14:textId="4B9E72B9" w:rsidR="000F2EC6" w:rsidRDefault="00D1613F"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غيانا، </w:t>
      </w:r>
      <w:r w:rsidR="005E68A9">
        <w:rPr>
          <w:rFonts w:cs="Traditional Arabic" w:hint="cs"/>
          <w:sz w:val="30"/>
          <w:szCs w:val="30"/>
          <w:rtl/>
          <w:lang w:eastAsia="zh-TW"/>
        </w:rPr>
        <w:t xml:space="preserve">قدمت </w:t>
      </w:r>
      <w:r>
        <w:rPr>
          <w:rFonts w:cs="Traditional Arabic" w:hint="cs"/>
          <w:sz w:val="30"/>
          <w:szCs w:val="30"/>
          <w:rtl/>
          <w:lang w:eastAsia="zh-TW"/>
        </w:rPr>
        <w:t>منظمة العمل الدولية</w:t>
      </w:r>
      <w:r w:rsidR="005E68A9">
        <w:rPr>
          <w:rFonts w:cs="Traditional Arabic" w:hint="cs"/>
          <w:sz w:val="30"/>
          <w:szCs w:val="30"/>
          <w:rtl/>
          <w:lang w:eastAsia="zh-TW"/>
        </w:rPr>
        <w:t xml:space="preserve"> الدعم ل</w:t>
      </w:r>
      <w:r>
        <w:rPr>
          <w:rFonts w:cs="Traditional Arabic" w:hint="cs"/>
          <w:sz w:val="30"/>
          <w:szCs w:val="30"/>
          <w:rtl/>
          <w:lang w:eastAsia="zh-TW"/>
        </w:rPr>
        <w:t xml:space="preserve">مدرسة غيانا للتعدين في وضع </w:t>
      </w:r>
      <w:r w:rsidR="005E68A9">
        <w:rPr>
          <w:rFonts w:cs="Traditional Arabic" w:hint="cs"/>
          <w:sz w:val="30"/>
          <w:szCs w:val="30"/>
          <w:rtl/>
          <w:lang w:eastAsia="zh-TW"/>
        </w:rPr>
        <w:t xml:space="preserve">الصيغة </w:t>
      </w:r>
      <w:r>
        <w:rPr>
          <w:rFonts w:cs="Traditional Arabic" w:hint="cs"/>
          <w:sz w:val="30"/>
          <w:szCs w:val="30"/>
          <w:rtl/>
          <w:lang w:eastAsia="zh-TW"/>
        </w:rPr>
        <w:t xml:space="preserve">النهائية </w:t>
      </w:r>
      <w:r w:rsidR="005E68A9">
        <w:rPr>
          <w:rFonts w:cs="Traditional Arabic" w:hint="cs"/>
          <w:sz w:val="30"/>
          <w:szCs w:val="30"/>
          <w:rtl/>
          <w:lang w:eastAsia="zh-TW"/>
        </w:rPr>
        <w:t>ل</w:t>
      </w:r>
      <w:r>
        <w:rPr>
          <w:rFonts w:cs="Traditional Arabic" w:hint="cs"/>
          <w:sz w:val="30"/>
          <w:szCs w:val="30"/>
          <w:rtl/>
          <w:lang w:eastAsia="zh-TW"/>
        </w:rPr>
        <w:t>دليل التفتيش على الصحة والسلامة المهنيتين للمناجم الصغيرة والحرفية المفتوحة. وكان الدافع وراء</w:t>
      </w:r>
      <w:r w:rsidR="008563B5">
        <w:rPr>
          <w:rFonts w:cs="Traditional Arabic" w:hint="cs"/>
          <w:sz w:val="30"/>
          <w:szCs w:val="30"/>
          <w:rtl/>
          <w:lang w:eastAsia="zh-TW"/>
        </w:rPr>
        <w:t xml:space="preserve"> إعداد</w:t>
      </w:r>
      <w:r>
        <w:rPr>
          <w:rFonts w:cs="Traditional Arabic" w:hint="cs"/>
          <w:sz w:val="30"/>
          <w:szCs w:val="30"/>
          <w:rtl/>
          <w:lang w:eastAsia="zh-TW"/>
        </w:rPr>
        <w:t xml:space="preserve"> هذا الدليل، الذي يشير إلى اتفاقية </w:t>
      </w:r>
      <w:proofErr w:type="spellStart"/>
      <w:r>
        <w:rPr>
          <w:rFonts w:cs="Traditional Arabic" w:hint="cs"/>
          <w:sz w:val="30"/>
          <w:szCs w:val="30"/>
          <w:rtl/>
          <w:lang w:eastAsia="zh-TW"/>
        </w:rPr>
        <w:t>مينامات</w:t>
      </w:r>
      <w:proofErr w:type="spellEnd"/>
      <w:r>
        <w:rPr>
          <w:rFonts w:cs="Traditional Arabic" w:hint="cs"/>
          <w:sz w:val="30"/>
          <w:szCs w:val="30"/>
          <w:rtl/>
          <w:lang w:eastAsia="zh-TW"/>
        </w:rPr>
        <w:t xml:space="preserve"> ومبادئها، هو حادثة وقعت مؤخراً في مجلس غيانا المعني بالذهب تتعلق بالتلوث بالزئبق الناجم </w:t>
      </w:r>
      <w:r w:rsidR="008563B5">
        <w:rPr>
          <w:rFonts w:cs="Traditional Arabic" w:hint="cs"/>
          <w:sz w:val="30"/>
          <w:szCs w:val="30"/>
          <w:rtl/>
          <w:lang w:eastAsia="zh-TW"/>
        </w:rPr>
        <w:t>عن</w:t>
      </w:r>
      <w:r>
        <w:rPr>
          <w:rFonts w:cs="Traditional Arabic" w:hint="cs"/>
          <w:sz w:val="30"/>
          <w:szCs w:val="30"/>
          <w:rtl/>
          <w:lang w:eastAsia="zh-TW"/>
        </w:rPr>
        <w:t xml:space="preserve"> عملية ملغمة الزئبق</w:t>
      </w:r>
      <w:r w:rsidR="00D60F9E" w:rsidRPr="00631EA6">
        <w:rPr>
          <w:rFonts w:cs="Traditional Arabic"/>
          <w:szCs w:val="30"/>
          <w:vertAlign w:val="superscript"/>
          <w:rtl/>
          <w:lang w:eastAsia="zh-TW"/>
        </w:rPr>
        <w:t>(</w:t>
      </w:r>
      <w:r w:rsidR="00D60F9E" w:rsidRPr="00631EA6">
        <w:rPr>
          <w:rFonts w:eastAsia="Arial Unicode MS" w:cs="Traditional Arabic"/>
          <w:szCs w:val="30"/>
          <w:u w:color="000000"/>
          <w:bdr w:val="nil"/>
          <w:vertAlign w:val="superscript"/>
          <w:rtl/>
          <w:lang w:eastAsia="zh-TW"/>
        </w:rPr>
        <w:footnoteReference w:id="11"/>
      </w:r>
      <w:r w:rsidR="00D60F9E" w:rsidRPr="00631EA6">
        <w:rPr>
          <w:rFonts w:cs="Traditional Arabic"/>
          <w:szCs w:val="30"/>
          <w:vertAlign w:val="superscript"/>
          <w:rtl/>
          <w:lang w:eastAsia="zh-TW"/>
        </w:rPr>
        <w:t>)</w:t>
      </w:r>
      <w:r w:rsidR="00E55C82">
        <w:rPr>
          <w:rFonts w:cs="Traditional Arabic" w:hint="cs"/>
          <w:sz w:val="30"/>
          <w:szCs w:val="30"/>
          <w:rtl/>
          <w:lang w:eastAsia="zh-TW"/>
        </w:rPr>
        <w:t>.</w:t>
      </w:r>
    </w:p>
    <w:p w14:paraId="792C2CBE" w14:textId="18A3F8DA" w:rsidR="000F2EC6" w:rsidRDefault="003F7510"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سورينام، تعمل منظمة العمل الدولية، بالتعاون مع وزارة العمل، على وضع </w:t>
      </w:r>
      <w:r w:rsidR="005E68A9">
        <w:rPr>
          <w:rFonts w:cs="Traditional Arabic" w:hint="cs"/>
          <w:sz w:val="30"/>
          <w:szCs w:val="30"/>
          <w:rtl/>
          <w:lang w:eastAsia="zh-TW"/>
        </w:rPr>
        <w:t xml:space="preserve">الصيغة </w:t>
      </w:r>
      <w:r>
        <w:rPr>
          <w:rFonts w:cs="Traditional Arabic" w:hint="cs"/>
          <w:sz w:val="30"/>
          <w:szCs w:val="30"/>
          <w:rtl/>
          <w:lang w:eastAsia="zh-TW"/>
        </w:rPr>
        <w:t xml:space="preserve">النهائية </w:t>
      </w:r>
      <w:r w:rsidR="005E68A9">
        <w:rPr>
          <w:rFonts w:cs="Traditional Arabic" w:hint="cs"/>
          <w:sz w:val="30"/>
          <w:szCs w:val="30"/>
          <w:rtl/>
          <w:lang w:eastAsia="zh-TW"/>
        </w:rPr>
        <w:t>ل</w:t>
      </w:r>
      <w:r>
        <w:rPr>
          <w:rFonts w:cs="Traditional Arabic" w:hint="cs"/>
          <w:sz w:val="30"/>
          <w:szCs w:val="30"/>
          <w:rtl/>
          <w:lang w:eastAsia="zh-TW"/>
        </w:rPr>
        <w:t xml:space="preserve">مشروع دليل مماثل لدليل غيانا. وفي إطار هذه العملية، </w:t>
      </w:r>
      <w:r w:rsidR="005E68A9">
        <w:rPr>
          <w:rFonts w:cs="Traditional Arabic" w:hint="cs"/>
          <w:sz w:val="30"/>
          <w:szCs w:val="30"/>
          <w:rtl/>
          <w:lang w:eastAsia="zh-TW"/>
        </w:rPr>
        <w:t xml:space="preserve">ستعكس </w:t>
      </w:r>
      <w:r>
        <w:rPr>
          <w:rFonts w:cs="Traditional Arabic" w:hint="cs"/>
          <w:sz w:val="30"/>
          <w:szCs w:val="30"/>
          <w:rtl/>
          <w:lang w:eastAsia="zh-TW"/>
        </w:rPr>
        <w:t>منظمة العمل الدولية</w:t>
      </w:r>
      <w:r w:rsidR="005E68A9">
        <w:rPr>
          <w:rFonts w:cs="Traditional Arabic" w:hint="cs"/>
          <w:sz w:val="30"/>
          <w:szCs w:val="30"/>
          <w:rtl/>
          <w:lang w:eastAsia="zh-TW"/>
        </w:rPr>
        <w:t xml:space="preserve"> أحكام</w:t>
      </w:r>
      <w:r>
        <w:rPr>
          <w:rFonts w:cs="Traditional Arabic" w:hint="cs"/>
          <w:sz w:val="30"/>
          <w:szCs w:val="30"/>
          <w:rtl/>
          <w:lang w:eastAsia="zh-TW"/>
        </w:rPr>
        <w:t xml:space="preserve"> 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w:t>
      </w:r>
      <w:r w:rsidR="005E68A9">
        <w:rPr>
          <w:rFonts w:cs="Traditional Arabic" w:hint="cs"/>
          <w:sz w:val="30"/>
          <w:szCs w:val="30"/>
          <w:rtl/>
          <w:lang w:eastAsia="zh-TW"/>
        </w:rPr>
        <w:t xml:space="preserve">وستبحث </w:t>
      </w:r>
      <w:r>
        <w:rPr>
          <w:rFonts w:cs="Traditional Arabic" w:hint="cs"/>
          <w:sz w:val="30"/>
          <w:szCs w:val="30"/>
          <w:rtl/>
          <w:lang w:eastAsia="zh-TW"/>
        </w:rPr>
        <w:t>أوجه التآزر مع مشروع تعدين</w:t>
      </w:r>
      <w:r w:rsidR="00C0576B">
        <w:rPr>
          <w:rFonts w:cs="Traditional Arabic" w:hint="cs"/>
          <w:sz w:val="30"/>
          <w:szCs w:val="30"/>
          <w:rtl/>
          <w:lang w:eastAsia="zh-TW"/>
        </w:rPr>
        <w:t xml:space="preserve"> الذهب الحرفي والضيق النطاق الذي يرعاه مرفق البيئة العالمية </w:t>
      </w:r>
      <w:r w:rsidR="00CE1643">
        <w:rPr>
          <w:rFonts w:cs="Traditional Arabic" w:hint="cs"/>
          <w:sz w:val="30"/>
          <w:szCs w:val="30"/>
          <w:rtl/>
          <w:lang w:eastAsia="zh-TW"/>
        </w:rPr>
        <w:t>و</w:t>
      </w:r>
      <w:r w:rsidR="00C0576B">
        <w:rPr>
          <w:rFonts w:cs="Traditional Arabic" w:hint="cs"/>
          <w:sz w:val="30"/>
          <w:szCs w:val="30"/>
          <w:rtl/>
          <w:lang w:eastAsia="zh-TW"/>
        </w:rPr>
        <w:t>ينفذه برنامج الأمم المتحدة الإنمائي</w:t>
      </w:r>
      <w:r w:rsidR="00D60F9E" w:rsidRPr="00631EA6">
        <w:rPr>
          <w:rFonts w:cs="Traditional Arabic"/>
          <w:szCs w:val="30"/>
          <w:vertAlign w:val="superscript"/>
          <w:rtl/>
          <w:lang w:eastAsia="zh-TW"/>
        </w:rPr>
        <w:t>(</w:t>
      </w:r>
      <w:r w:rsidR="00D60F9E" w:rsidRPr="00631EA6">
        <w:rPr>
          <w:rFonts w:eastAsia="Arial Unicode MS" w:cs="Traditional Arabic"/>
          <w:szCs w:val="30"/>
          <w:u w:color="000000"/>
          <w:bdr w:val="nil"/>
          <w:vertAlign w:val="superscript"/>
          <w:rtl/>
          <w:lang w:eastAsia="zh-TW"/>
        </w:rPr>
        <w:footnoteReference w:id="12"/>
      </w:r>
      <w:r w:rsidR="00D60F9E" w:rsidRPr="00631EA6">
        <w:rPr>
          <w:rFonts w:cs="Traditional Arabic"/>
          <w:szCs w:val="30"/>
          <w:vertAlign w:val="superscript"/>
          <w:rtl/>
          <w:lang w:eastAsia="zh-TW"/>
        </w:rPr>
        <w:t>)</w:t>
      </w:r>
      <w:r w:rsidR="005E68A9">
        <w:rPr>
          <w:rFonts w:cs="Traditional Arabic" w:hint="cs"/>
          <w:sz w:val="30"/>
          <w:szCs w:val="30"/>
          <w:rtl/>
          <w:lang w:eastAsia="zh-TW"/>
        </w:rPr>
        <w:t>.</w:t>
      </w:r>
      <w:r w:rsidR="00C0576B">
        <w:rPr>
          <w:rFonts w:cs="Traditional Arabic" w:hint="cs"/>
          <w:sz w:val="30"/>
          <w:szCs w:val="30"/>
          <w:rtl/>
          <w:lang w:eastAsia="zh-TW"/>
        </w:rPr>
        <w:t xml:space="preserve"> وبالإضافة إلى ذلك، سيُوقع في عام 2019 على اتفاق </w:t>
      </w:r>
      <w:r w:rsidR="00CE1643">
        <w:rPr>
          <w:rFonts w:cs="Traditional Arabic" w:hint="cs"/>
          <w:sz w:val="30"/>
          <w:szCs w:val="30"/>
          <w:rtl/>
          <w:lang w:eastAsia="zh-TW"/>
        </w:rPr>
        <w:t>البرنامج القطري للعمل اللائق التابع لمنظمة العمل الدولية</w:t>
      </w:r>
      <w:r w:rsidR="00C0576B">
        <w:rPr>
          <w:rFonts w:cs="Traditional Arabic" w:hint="cs"/>
          <w:sz w:val="30"/>
          <w:szCs w:val="30"/>
          <w:rtl/>
          <w:lang w:eastAsia="zh-TW"/>
        </w:rPr>
        <w:t>، مما سيعزز زخم الأنشطة المتعلقة بهذه العملية.</w:t>
      </w:r>
    </w:p>
    <w:p w14:paraId="31CBEBE9" w14:textId="3AEAE177" w:rsidR="000F2EC6" w:rsidRDefault="0084752E"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موريتانيا، تعد منظمة العمل الدولية مبادرات لمعالجة الشواغل البيئية والصحية المتنامية التي يثيرها نشاط التعدين المتنامي بشكل استثنائي، لاسيما في شمال البلاد. وأعرب الاتحاد الوطني </w:t>
      </w:r>
      <w:r w:rsidR="00CE1643">
        <w:rPr>
          <w:rFonts w:cs="Traditional Arabic" w:hint="cs"/>
          <w:sz w:val="30"/>
          <w:szCs w:val="30"/>
          <w:rtl/>
          <w:lang w:eastAsia="zh-TW"/>
        </w:rPr>
        <w:t xml:space="preserve">لأصحاب الأعمال </w:t>
      </w:r>
      <w:r w:rsidR="00CD5E36">
        <w:rPr>
          <w:rFonts w:cs="Traditional Arabic" w:hint="cs"/>
          <w:sz w:val="30"/>
          <w:szCs w:val="30"/>
          <w:rtl/>
          <w:lang w:eastAsia="zh-TW"/>
        </w:rPr>
        <w:t>الموريتانيين</w:t>
      </w:r>
      <w:r>
        <w:rPr>
          <w:rFonts w:cs="Traditional Arabic" w:hint="cs"/>
          <w:sz w:val="30"/>
          <w:szCs w:val="30"/>
          <w:rtl/>
          <w:lang w:eastAsia="zh-TW"/>
        </w:rPr>
        <w:t xml:space="preserve"> والمنظمة الوطنية </w:t>
      </w:r>
      <w:r w:rsidR="00CE1643">
        <w:rPr>
          <w:rFonts w:cs="Traditional Arabic" w:hint="cs"/>
          <w:sz w:val="30"/>
          <w:szCs w:val="30"/>
          <w:rtl/>
          <w:lang w:eastAsia="zh-TW"/>
        </w:rPr>
        <w:t>لأصحاب الأعمال</w:t>
      </w:r>
      <w:r>
        <w:rPr>
          <w:rFonts w:cs="Traditional Arabic" w:hint="cs"/>
          <w:sz w:val="30"/>
          <w:szCs w:val="30"/>
          <w:rtl/>
          <w:lang w:eastAsia="zh-TW"/>
        </w:rPr>
        <w:t xml:space="preserve"> عن اهتمامهما باتخاذ إجراءات مشتركة مع منظمة العمل الدولي</w:t>
      </w:r>
      <w:r w:rsidR="008563B5">
        <w:rPr>
          <w:rFonts w:cs="Traditional Arabic" w:hint="cs"/>
          <w:sz w:val="30"/>
          <w:szCs w:val="30"/>
          <w:rtl/>
          <w:lang w:eastAsia="zh-TW"/>
        </w:rPr>
        <w:t>ة</w:t>
      </w:r>
      <w:r>
        <w:rPr>
          <w:rFonts w:cs="Traditional Arabic" w:hint="cs"/>
          <w:sz w:val="30"/>
          <w:szCs w:val="30"/>
          <w:rtl/>
          <w:lang w:eastAsia="zh-TW"/>
        </w:rPr>
        <w:t xml:space="preserve"> لإبلاغ </w:t>
      </w:r>
      <w:r w:rsidR="00CE1643">
        <w:rPr>
          <w:rFonts w:cs="Traditional Arabic" w:hint="cs"/>
          <w:sz w:val="30"/>
          <w:szCs w:val="30"/>
          <w:rtl/>
          <w:lang w:eastAsia="zh-TW"/>
        </w:rPr>
        <w:t xml:space="preserve">المنقبين </w:t>
      </w:r>
      <w:r>
        <w:rPr>
          <w:rFonts w:cs="Traditional Arabic" w:hint="cs"/>
          <w:sz w:val="30"/>
          <w:szCs w:val="30"/>
          <w:rtl/>
          <w:lang w:eastAsia="zh-TW"/>
        </w:rPr>
        <w:t xml:space="preserve">الحرفيين والصناعيين بالمخاطر القصيرة الأجل والطويلة الأجل المرتبطة </w:t>
      </w:r>
      <w:r w:rsidR="00CE1643">
        <w:rPr>
          <w:rFonts w:cs="Traditional Arabic" w:hint="cs"/>
          <w:sz w:val="30"/>
          <w:szCs w:val="30"/>
          <w:rtl/>
          <w:lang w:eastAsia="zh-TW"/>
        </w:rPr>
        <w:t>بهذا القطاع</w:t>
      </w:r>
      <w:r>
        <w:rPr>
          <w:rFonts w:cs="Traditional Arabic" w:hint="cs"/>
          <w:sz w:val="30"/>
          <w:szCs w:val="30"/>
          <w:rtl/>
          <w:lang w:eastAsia="zh-TW"/>
        </w:rPr>
        <w:t>. وفي أوائل عام</w:t>
      </w:r>
      <w:r w:rsidR="00D60F9E">
        <w:rPr>
          <w:rFonts w:cs="Traditional Arabic" w:hint="cs"/>
          <w:sz w:val="30"/>
          <w:szCs w:val="30"/>
          <w:rtl/>
          <w:lang w:eastAsia="zh-TW"/>
        </w:rPr>
        <w:t xml:space="preserve"> </w:t>
      </w:r>
      <w:r>
        <w:rPr>
          <w:rFonts w:cs="Traditional Arabic" w:hint="cs"/>
          <w:sz w:val="30"/>
          <w:szCs w:val="30"/>
          <w:rtl/>
          <w:lang w:eastAsia="zh-TW"/>
        </w:rPr>
        <w:t>2019، أجرت منظمة العمل الدولية مناقشات مع</w:t>
      </w:r>
      <w:r w:rsidR="008C2FD9">
        <w:rPr>
          <w:rFonts w:cs="Traditional Arabic" w:hint="cs"/>
          <w:sz w:val="30"/>
          <w:szCs w:val="30"/>
          <w:rtl/>
          <w:lang w:eastAsia="zh-TW"/>
        </w:rPr>
        <w:t xml:space="preserve"> الاتحاد</w:t>
      </w:r>
      <w:r>
        <w:rPr>
          <w:rFonts w:cs="Traditional Arabic" w:hint="cs"/>
          <w:sz w:val="30"/>
          <w:szCs w:val="30"/>
          <w:rtl/>
          <w:lang w:eastAsia="zh-TW"/>
        </w:rPr>
        <w:t xml:space="preserve"> </w:t>
      </w:r>
      <w:r w:rsidR="00CD5E36">
        <w:rPr>
          <w:rFonts w:cs="Traditional Arabic" w:hint="cs"/>
          <w:sz w:val="30"/>
          <w:szCs w:val="30"/>
          <w:rtl/>
          <w:lang w:eastAsia="zh-TW"/>
        </w:rPr>
        <w:t xml:space="preserve">الوطني </w:t>
      </w:r>
      <w:r w:rsidR="00CE1643">
        <w:rPr>
          <w:rFonts w:cs="Traditional Arabic" w:hint="cs"/>
          <w:sz w:val="30"/>
          <w:szCs w:val="30"/>
          <w:rtl/>
          <w:lang w:eastAsia="zh-TW"/>
        </w:rPr>
        <w:t>لأصحاب الأعمال</w:t>
      </w:r>
      <w:r w:rsidR="00CD5E36">
        <w:rPr>
          <w:rFonts w:cs="Traditional Arabic" w:hint="cs"/>
          <w:sz w:val="30"/>
          <w:szCs w:val="30"/>
          <w:rtl/>
          <w:lang w:eastAsia="zh-TW"/>
        </w:rPr>
        <w:t xml:space="preserve"> الموريتانيين </w:t>
      </w:r>
      <w:r>
        <w:rPr>
          <w:rFonts w:cs="Traditional Arabic" w:hint="cs"/>
          <w:sz w:val="30"/>
          <w:szCs w:val="30"/>
          <w:rtl/>
          <w:lang w:eastAsia="zh-TW"/>
        </w:rPr>
        <w:t>لإجراء تقييم لمخاطر الصحة والسلامة المهنيتين و</w:t>
      </w:r>
      <w:r w:rsidR="00CE1643">
        <w:rPr>
          <w:rFonts w:cs="Traditional Arabic" w:hint="cs"/>
          <w:sz w:val="30"/>
          <w:szCs w:val="30"/>
          <w:rtl/>
          <w:lang w:eastAsia="zh-TW"/>
        </w:rPr>
        <w:t xml:space="preserve">لتنظيم </w:t>
      </w:r>
      <w:r>
        <w:rPr>
          <w:rFonts w:cs="Traditional Arabic" w:hint="cs"/>
          <w:sz w:val="30"/>
          <w:szCs w:val="30"/>
          <w:rtl/>
          <w:lang w:eastAsia="zh-TW"/>
        </w:rPr>
        <w:t xml:space="preserve">برنامج لتنمية </w:t>
      </w:r>
      <w:r w:rsidR="00CE1643">
        <w:rPr>
          <w:rFonts w:cs="Traditional Arabic" w:hint="cs"/>
          <w:sz w:val="30"/>
          <w:szCs w:val="30"/>
          <w:rtl/>
          <w:lang w:eastAsia="zh-TW"/>
        </w:rPr>
        <w:t xml:space="preserve">قدرات </w:t>
      </w:r>
      <w:r>
        <w:rPr>
          <w:rFonts w:cs="Traditional Arabic" w:hint="cs"/>
          <w:sz w:val="30"/>
          <w:szCs w:val="30"/>
          <w:rtl/>
          <w:lang w:eastAsia="zh-TW"/>
        </w:rPr>
        <w:t>موظفي السلامة في مناجم الذهب (شمال موريتانيا). ويتضمن ذلك تقييم مخاطر التعرض للزئبق وجهود الوقاية من المخاطر على الصحة والسلامة. وتتطلع منظمة العمل الدولية إلى تأمين التمويل لهذه الأنشطة بغية تنفيذها خلال فترة السنتين القادمة.</w:t>
      </w:r>
    </w:p>
    <w:p w14:paraId="764097D2" w14:textId="4676ACDE" w:rsidR="000F2EC6" w:rsidRPr="000F2EC6" w:rsidRDefault="000F2EC6"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lang w:val="en-GB" w:eastAsia="zh-TW"/>
        </w:rPr>
      </w:pPr>
      <w:r w:rsidRPr="000F2EC6">
        <w:rPr>
          <w:rFonts w:ascii="Traditional Arabic" w:hAnsi="Traditional Arabic" w:hint="cs"/>
          <w:b/>
          <w:bCs/>
          <w:sz w:val="30"/>
          <w:rtl/>
          <w:lang w:val="en-GB" w:eastAsia="zh-TW"/>
        </w:rPr>
        <w:t>مشروع في قطاع تفكيك السيارات</w:t>
      </w:r>
    </w:p>
    <w:p w14:paraId="0A2120C5" w14:textId="165CC729" w:rsidR="000F2EC6" w:rsidRDefault="008C2FD9"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في فيجي، كان</w:t>
      </w:r>
      <w:r w:rsidR="001C0D36">
        <w:rPr>
          <w:rFonts w:cs="Traditional Arabic" w:hint="cs"/>
          <w:sz w:val="30"/>
          <w:szCs w:val="30"/>
          <w:rtl/>
          <w:lang w:eastAsia="zh-TW"/>
        </w:rPr>
        <w:t xml:space="preserve"> الهدف المباشر</w:t>
      </w:r>
      <w:r>
        <w:rPr>
          <w:rFonts w:cs="Traditional Arabic" w:hint="cs"/>
          <w:sz w:val="30"/>
          <w:szCs w:val="30"/>
          <w:rtl/>
          <w:lang w:eastAsia="zh-TW"/>
        </w:rPr>
        <w:t xml:space="preserve"> لمشروع بعنوان </w:t>
      </w:r>
      <w:r w:rsidR="001C0D36">
        <w:rPr>
          <w:rFonts w:cs="Traditional Arabic" w:hint="cs"/>
          <w:sz w:val="30"/>
          <w:szCs w:val="30"/>
          <w:rtl/>
          <w:lang w:eastAsia="zh-TW"/>
        </w:rPr>
        <w:t>”</w:t>
      </w:r>
      <w:r>
        <w:rPr>
          <w:rFonts w:cs="Traditional Arabic" w:hint="cs"/>
          <w:sz w:val="30"/>
          <w:szCs w:val="30"/>
          <w:rtl/>
          <w:lang w:eastAsia="zh-TW"/>
        </w:rPr>
        <w:t xml:space="preserve">تعزيز </w:t>
      </w:r>
      <w:r w:rsidR="001C0D36">
        <w:rPr>
          <w:rFonts w:cs="Traditional Arabic" w:hint="cs"/>
          <w:sz w:val="30"/>
          <w:szCs w:val="30"/>
          <w:rtl/>
          <w:lang w:eastAsia="zh-TW"/>
        </w:rPr>
        <w:t>العمل اللائق</w:t>
      </w:r>
      <w:r>
        <w:rPr>
          <w:rFonts w:cs="Traditional Arabic" w:hint="cs"/>
          <w:sz w:val="30"/>
          <w:szCs w:val="30"/>
          <w:rtl/>
          <w:lang w:eastAsia="zh-TW"/>
        </w:rPr>
        <w:t xml:space="preserve"> والانتقال العادل في قطاع تفكيك السيارات في فيجي</w:t>
      </w:r>
      <w:r w:rsidR="001C0D36">
        <w:rPr>
          <w:rFonts w:cs="Traditional Arabic" w:hint="cs"/>
          <w:sz w:val="30"/>
          <w:szCs w:val="30"/>
          <w:rtl/>
          <w:lang w:eastAsia="zh-TW"/>
        </w:rPr>
        <w:t xml:space="preserve">“، </w:t>
      </w:r>
      <w:r>
        <w:rPr>
          <w:rFonts w:cs="Traditional Arabic" w:hint="cs"/>
          <w:sz w:val="30"/>
          <w:szCs w:val="30"/>
          <w:rtl/>
          <w:lang w:eastAsia="zh-TW"/>
        </w:rPr>
        <w:t>الذي مولته الوكالة اليابانية للتعاون الدولي ونفذته منظمة العمل الدولية خلال الفترة بين تشرين</w:t>
      </w:r>
      <w:r w:rsidR="00122CDE">
        <w:rPr>
          <w:rFonts w:cs="Traditional Arabic" w:hint="cs"/>
          <w:sz w:val="30"/>
          <w:szCs w:val="30"/>
          <w:rtl/>
          <w:lang w:eastAsia="zh-TW"/>
        </w:rPr>
        <w:t xml:space="preserve"> </w:t>
      </w:r>
      <w:r>
        <w:rPr>
          <w:rFonts w:cs="Traditional Arabic" w:hint="cs"/>
          <w:sz w:val="30"/>
          <w:szCs w:val="30"/>
          <w:rtl/>
          <w:lang w:eastAsia="zh-TW"/>
        </w:rPr>
        <w:t xml:space="preserve">الأول/أكتوبر 2017 وأيلول/سبتمبر 2018، </w:t>
      </w:r>
      <w:r w:rsidR="001C0D36">
        <w:rPr>
          <w:rFonts w:cs="Traditional Arabic" w:hint="cs"/>
          <w:sz w:val="30"/>
          <w:szCs w:val="30"/>
          <w:rtl/>
          <w:lang w:eastAsia="zh-TW"/>
        </w:rPr>
        <w:t>يتمثل</w:t>
      </w:r>
      <w:r>
        <w:rPr>
          <w:rFonts w:cs="Traditional Arabic" w:hint="cs"/>
          <w:sz w:val="30"/>
          <w:szCs w:val="30"/>
          <w:rtl/>
          <w:lang w:eastAsia="zh-TW"/>
        </w:rPr>
        <w:t xml:space="preserve"> في تعزيز توفير وظائف أفضل من خلال تحسين الصحة والسلامة المهنيتين والنمو </w:t>
      </w:r>
      <w:r w:rsidR="001C0D36">
        <w:rPr>
          <w:rFonts w:cs="Traditional Arabic" w:hint="cs"/>
          <w:sz w:val="30"/>
          <w:szCs w:val="30"/>
          <w:rtl/>
          <w:lang w:eastAsia="zh-TW"/>
        </w:rPr>
        <w:t xml:space="preserve">المراعي للبيئة </w:t>
      </w:r>
      <w:r>
        <w:rPr>
          <w:rFonts w:cs="Traditional Arabic" w:hint="cs"/>
          <w:sz w:val="30"/>
          <w:szCs w:val="30"/>
          <w:rtl/>
          <w:lang w:eastAsia="zh-TW"/>
        </w:rPr>
        <w:t xml:space="preserve">وزيادة عدد هذه الوظائف في قطاع تفكيك السيارات في فيجي. ويهدف هذا المشروع أيضاً </w:t>
      </w:r>
      <w:r w:rsidR="008563B5">
        <w:rPr>
          <w:rFonts w:cs="Traditional Arabic" w:hint="cs"/>
          <w:sz w:val="30"/>
          <w:szCs w:val="30"/>
          <w:rtl/>
          <w:lang w:eastAsia="zh-TW"/>
        </w:rPr>
        <w:t>إلى</w:t>
      </w:r>
      <w:r>
        <w:rPr>
          <w:rFonts w:cs="Traditional Arabic" w:hint="cs"/>
          <w:sz w:val="30"/>
          <w:szCs w:val="30"/>
          <w:rtl/>
          <w:lang w:eastAsia="zh-TW"/>
        </w:rPr>
        <w:t xml:space="preserve"> المساهمة في منع التعرض المهني للزئبق والتخلص الآمن منه. وأظهر التقرير الأول لدراسة استقصائية ميدانية أن </w:t>
      </w:r>
      <w:r w:rsidR="001C0D36">
        <w:rPr>
          <w:rFonts w:cs="Traditional Arabic" w:hint="cs"/>
          <w:sz w:val="30"/>
          <w:szCs w:val="30"/>
          <w:rtl/>
          <w:lang w:eastAsia="zh-TW"/>
        </w:rPr>
        <w:t xml:space="preserve">الطرق </w:t>
      </w:r>
      <w:proofErr w:type="spellStart"/>
      <w:r w:rsidR="001C0D36">
        <w:rPr>
          <w:rFonts w:cs="Traditional Arabic" w:hint="cs"/>
          <w:sz w:val="30"/>
          <w:szCs w:val="30"/>
          <w:rtl/>
          <w:lang w:eastAsia="zh-TW"/>
        </w:rPr>
        <w:t>الموصى</w:t>
      </w:r>
      <w:proofErr w:type="spellEnd"/>
      <w:r w:rsidR="001C0D36">
        <w:rPr>
          <w:rFonts w:cs="Traditional Arabic" w:hint="cs"/>
          <w:sz w:val="30"/>
          <w:szCs w:val="30"/>
          <w:rtl/>
          <w:lang w:eastAsia="zh-TW"/>
        </w:rPr>
        <w:t xml:space="preserve"> بها للتخلص من الزئبق لم تطبق في أي</w:t>
      </w:r>
      <w:r>
        <w:rPr>
          <w:rFonts w:cs="Traditional Arabic" w:hint="cs"/>
          <w:sz w:val="30"/>
          <w:szCs w:val="30"/>
          <w:rtl/>
          <w:lang w:eastAsia="zh-TW"/>
        </w:rPr>
        <w:t xml:space="preserve"> من </w:t>
      </w:r>
      <w:r w:rsidR="001C0D36">
        <w:rPr>
          <w:rFonts w:cs="Traditional Arabic" w:hint="cs"/>
          <w:sz w:val="30"/>
          <w:szCs w:val="30"/>
          <w:rtl/>
          <w:lang w:eastAsia="zh-TW"/>
        </w:rPr>
        <w:t xml:space="preserve">مرائب </w:t>
      </w:r>
      <w:r>
        <w:rPr>
          <w:rFonts w:cs="Traditional Arabic" w:hint="cs"/>
          <w:sz w:val="30"/>
          <w:szCs w:val="30"/>
          <w:rtl/>
          <w:lang w:eastAsia="zh-TW"/>
        </w:rPr>
        <w:t xml:space="preserve">تفكيك السيارات التي أُجريت عليها الدراسة الاستقصائية. وكمتابعة للمشروع، هناك خطط لتطوير وتعزيز تطبيق </w:t>
      </w:r>
      <w:r w:rsidR="00B64B13">
        <w:rPr>
          <w:rFonts w:cs="Traditional Arabic" w:hint="cs"/>
          <w:sz w:val="30"/>
          <w:szCs w:val="30"/>
          <w:rtl/>
          <w:lang w:eastAsia="zh-TW"/>
        </w:rPr>
        <w:t>المبادئ التوجيهية ل</w:t>
      </w:r>
      <w:r>
        <w:rPr>
          <w:rFonts w:cs="Traditional Arabic" w:hint="cs"/>
          <w:sz w:val="30"/>
          <w:szCs w:val="30"/>
          <w:rtl/>
          <w:lang w:eastAsia="zh-TW"/>
        </w:rPr>
        <w:t>لسلامة والصحة المهنيتين والتخلص من النفايات</w:t>
      </w:r>
      <w:r w:rsidR="00B64B13">
        <w:rPr>
          <w:rFonts w:cs="Traditional Arabic" w:hint="cs"/>
          <w:sz w:val="30"/>
          <w:szCs w:val="30"/>
          <w:rtl/>
          <w:lang w:eastAsia="zh-TW"/>
        </w:rPr>
        <w:t xml:space="preserve"> بطريقة مراعية للبيئة والتدريب الواسع النطاق الذي يستهدف مقرري السياسات، وأصحاب المصلحة في هذا القطاع، والمجتمع بوجه عام.</w:t>
      </w:r>
    </w:p>
    <w:p w14:paraId="02C6D771" w14:textId="2FD6F072" w:rsidR="000F2EC6" w:rsidRPr="000F2EC6" w:rsidRDefault="001C0D36"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lang w:val="en-GB" w:eastAsia="zh-TW"/>
        </w:rPr>
      </w:pPr>
      <w:r>
        <w:rPr>
          <w:rFonts w:ascii="Traditional Arabic" w:hAnsi="Traditional Arabic" w:hint="cs"/>
          <w:b/>
          <w:bCs/>
          <w:sz w:val="30"/>
          <w:rtl/>
          <w:lang w:val="en-GB" w:eastAsia="zh-TW"/>
        </w:rPr>
        <w:t>مدونات قواعد الممارسة والو</w:t>
      </w:r>
      <w:r w:rsidR="000F2EC6" w:rsidRPr="000F2EC6">
        <w:rPr>
          <w:rFonts w:ascii="Traditional Arabic" w:hAnsi="Traditional Arabic" w:hint="cs"/>
          <w:b/>
          <w:bCs/>
          <w:sz w:val="30"/>
          <w:rtl/>
          <w:lang w:val="en-GB" w:eastAsia="zh-TW"/>
        </w:rPr>
        <w:t xml:space="preserve">رقات </w:t>
      </w:r>
      <w:r>
        <w:rPr>
          <w:rFonts w:ascii="Traditional Arabic" w:hAnsi="Traditional Arabic" w:hint="cs"/>
          <w:b/>
          <w:bCs/>
          <w:sz w:val="30"/>
          <w:rtl/>
          <w:lang w:val="en-GB" w:eastAsia="zh-TW"/>
        </w:rPr>
        <w:t>ال</w:t>
      </w:r>
      <w:r w:rsidR="000F2EC6" w:rsidRPr="000F2EC6">
        <w:rPr>
          <w:rFonts w:ascii="Traditional Arabic" w:hAnsi="Traditional Arabic" w:hint="cs"/>
          <w:b/>
          <w:bCs/>
          <w:sz w:val="30"/>
          <w:rtl/>
          <w:lang w:val="en-GB" w:eastAsia="zh-TW"/>
        </w:rPr>
        <w:t xml:space="preserve">بحثية ووثائق </w:t>
      </w:r>
      <w:r>
        <w:rPr>
          <w:rFonts w:ascii="Traditional Arabic" w:hAnsi="Traditional Arabic" w:hint="cs"/>
          <w:b/>
          <w:bCs/>
          <w:sz w:val="30"/>
          <w:rtl/>
          <w:lang w:val="en-GB" w:eastAsia="zh-TW"/>
        </w:rPr>
        <w:t>ال</w:t>
      </w:r>
      <w:r w:rsidR="008563B5">
        <w:rPr>
          <w:rFonts w:ascii="Traditional Arabic" w:hAnsi="Traditional Arabic" w:hint="cs"/>
          <w:b/>
          <w:bCs/>
          <w:sz w:val="30"/>
          <w:rtl/>
          <w:lang w:val="en-GB" w:eastAsia="zh-TW"/>
        </w:rPr>
        <w:t>عمل</w:t>
      </w:r>
      <w:r>
        <w:rPr>
          <w:rFonts w:ascii="Traditional Arabic" w:hAnsi="Traditional Arabic" w:hint="cs"/>
          <w:b/>
          <w:bCs/>
          <w:sz w:val="30"/>
          <w:rtl/>
          <w:lang w:val="en-GB" w:eastAsia="zh-TW"/>
        </w:rPr>
        <w:t xml:space="preserve"> العالمية</w:t>
      </w:r>
    </w:p>
    <w:p w14:paraId="15858050" w14:textId="364BA7D0" w:rsidR="000F2EC6" w:rsidRDefault="00B64B13"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في آذار/مارس 2019، شاركت منظمة العمل الدولي</w:t>
      </w:r>
      <w:r w:rsidR="008563B5">
        <w:rPr>
          <w:rFonts w:cs="Traditional Arabic" w:hint="cs"/>
          <w:sz w:val="30"/>
          <w:szCs w:val="30"/>
          <w:rtl/>
          <w:lang w:eastAsia="zh-TW"/>
        </w:rPr>
        <w:t>ة</w:t>
      </w:r>
      <w:r>
        <w:rPr>
          <w:rFonts w:cs="Traditional Arabic" w:hint="cs"/>
          <w:sz w:val="30"/>
          <w:szCs w:val="30"/>
          <w:rtl/>
          <w:lang w:eastAsia="zh-TW"/>
        </w:rPr>
        <w:t xml:space="preserve"> في حلقة دراسية دولية بشأن السلامة الكيميائية عقدها مجلس هونغ كونغ للسلامة والصحة المهنيتين لتبادل معايير منظمة العمل الدولية </w:t>
      </w:r>
      <w:r w:rsidR="000A49C5">
        <w:rPr>
          <w:rFonts w:cs="Traditional Arabic" w:hint="cs"/>
          <w:sz w:val="30"/>
          <w:szCs w:val="30"/>
          <w:rtl/>
          <w:lang w:eastAsia="zh-TW"/>
        </w:rPr>
        <w:t>وأدواتها المتعلقة ب</w:t>
      </w:r>
      <w:r>
        <w:rPr>
          <w:rFonts w:cs="Traditional Arabic" w:hint="cs"/>
          <w:sz w:val="30"/>
          <w:szCs w:val="30"/>
          <w:rtl/>
          <w:lang w:eastAsia="zh-TW"/>
        </w:rPr>
        <w:t xml:space="preserve">الإدارة الآمنة للمواد الكيميائية الخطرة، وعملت بنجاح على تعزيز أحكام 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فيما يتعلق بالتعرض للزئبق.</w:t>
      </w:r>
    </w:p>
    <w:p w14:paraId="3D9839D4" w14:textId="077F66E5" w:rsidR="000F2EC6" w:rsidRDefault="00193E50"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عام 2019، نشرت منظمة العمل الدولية ورقة قضايا بعنوان </w:t>
      </w:r>
      <w:r w:rsidR="000A49C5">
        <w:rPr>
          <w:rFonts w:cs="Traditional Arabic" w:hint="cs"/>
          <w:sz w:val="30"/>
          <w:szCs w:val="30"/>
          <w:rtl/>
          <w:lang w:eastAsia="zh-TW"/>
        </w:rPr>
        <w:t>”</w:t>
      </w:r>
      <w:r>
        <w:rPr>
          <w:rFonts w:cs="Traditional Arabic" w:hint="cs"/>
          <w:sz w:val="30"/>
          <w:szCs w:val="30"/>
          <w:rtl/>
          <w:lang w:eastAsia="zh-TW"/>
        </w:rPr>
        <w:t>العمل اللائق في إدارة النفايات الكهربائية والإلكترونية (النفايات الإلكترونية)</w:t>
      </w:r>
      <w:r w:rsidR="000A49C5">
        <w:rPr>
          <w:rFonts w:cs="Traditional Arabic" w:hint="cs"/>
          <w:sz w:val="30"/>
          <w:szCs w:val="30"/>
          <w:rtl/>
          <w:lang w:eastAsia="zh-TW"/>
        </w:rPr>
        <w:t>“</w:t>
      </w:r>
      <w:r w:rsidR="00122CDE" w:rsidRPr="00631EA6">
        <w:rPr>
          <w:rFonts w:cs="Traditional Arabic"/>
          <w:szCs w:val="30"/>
          <w:vertAlign w:val="superscript"/>
          <w:rtl/>
          <w:lang w:eastAsia="zh-TW"/>
        </w:rPr>
        <w:t>(</w:t>
      </w:r>
      <w:r w:rsidR="00122CDE" w:rsidRPr="00631EA6">
        <w:rPr>
          <w:rFonts w:eastAsia="Arial Unicode MS" w:cs="Traditional Arabic"/>
          <w:szCs w:val="30"/>
          <w:u w:color="000000"/>
          <w:bdr w:val="nil"/>
          <w:vertAlign w:val="superscript"/>
          <w:rtl/>
          <w:lang w:eastAsia="zh-TW"/>
        </w:rPr>
        <w:footnoteReference w:id="13"/>
      </w:r>
      <w:r w:rsidR="00122CDE" w:rsidRPr="00631EA6">
        <w:rPr>
          <w:rFonts w:cs="Traditional Arabic"/>
          <w:szCs w:val="30"/>
          <w:vertAlign w:val="superscript"/>
          <w:rtl/>
          <w:lang w:eastAsia="zh-TW"/>
        </w:rPr>
        <w:t>)</w:t>
      </w:r>
      <w:r w:rsidR="000A49C5">
        <w:rPr>
          <w:rFonts w:cs="Traditional Arabic" w:hint="cs"/>
          <w:sz w:val="30"/>
          <w:szCs w:val="30"/>
          <w:rtl/>
          <w:lang w:eastAsia="zh-TW"/>
        </w:rPr>
        <w:t>.</w:t>
      </w:r>
      <w:r>
        <w:rPr>
          <w:rFonts w:cs="Traditional Arabic" w:hint="cs"/>
          <w:sz w:val="30"/>
          <w:szCs w:val="30"/>
          <w:rtl/>
          <w:lang w:eastAsia="zh-TW"/>
        </w:rPr>
        <w:t xml:space="preserve"> وتشير الورقة إلى الدور الذي تؤديه اتفاقية </w:t>
      </w:r>
      <w:proofErr w:type="spellStart"/>
      <w:r>
        <w:rPr>
          <w:rFonts w:cs="Traditional Arabic" w:hint="cs"/>
          <w:sz w:val="30"/>
          <w:szCs w:val="30"/>
          <w:rtl/>
          <w:lang w:eastAsia="zh-TW"/>
        </w:rPr>
        <w:t>ميناماتا</w:t>
      </w:r>
      <w:proofErr w:type="spellEnd"/>
      <w:r>
        <w:rPr>
          <w:rFonts w:cs="Traditional Arabic" w:hint="cs"/>
          <w:sz w:val="30"/>
          <w:szCs w:val="30"/>
          <w:rtl/>
          <w:lang w:eastAsia="zh-TW"/>
        </w:rPr>
        <w:t xml:space="preserve"> في حماية صحة الإنسان والبيئة من انبعاثات وإطلاقات الزئبق، وبالتالي في إدارة النفايات الإلكترونية، التي يحتوي </w:t>
      </w:r>
      <w:r w:rsidR="00362A93">
        <w:rPr>
          <w:rFonts w:cs="Traditional Arabic" w:hint="cs"/>
          <w:sz w:val="30"/>
          <w:szCs w:val="30"/>
          <w:rtl/>
          <w:lang w:eastAsia="zh-TW"/>
        </w:rPr>
        <w:t xml:space="preserve">كثير </w:t>
      </w:r>
      <w:r>
        <w:rPr>
          <w:rFonts w:cs="Traditional Arabic" w:hint="cs"/>
          <w:sz w:val="30"/>
          <w:szCs w:val="30"/>
          <w:rtl/>
          <w:lang w:eastAsia="zh-TW"/>
        </w:rPr>
        <w:t>منها على الزئبق.</w:t>
      </w:r>
    </w:p>
    <w:p w14:paraId="4344CE2E" w14:textId="3D9B1F8E" w:rsidR="000F2EC6" w:rsidRDefault="009A3A1F"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وبالإضافة إلى ذلك، نظمت منظمة العمل الدولية المنتدى العالمي للحوار بشأن العمل اللائق في إدارة النفايات الكهربائية والإلكترونية، الذي عُقد في جنيف في نيسان/أبريل 2019. واعتمد المنتدى بالإجماع نقاط توافق الآراء </w:t>
      </w:r>
      <w:r w:rsidR="00362A93">
        <w:rPr>
          <w:rFonts w:cs="Traditional Arabic" w:hint="cs"/>
          <w:sz w:val="30"/>
          <w:szCs w:val="30"/>
          <w:rtl/>
          <w:lang w:eastAsia="zh-TW"/>
        </w:rPr>
        <w:t xml:space="preserve">من أجل اتخاذ </w:t>
      </w:r>
      <w:r>
        <w:rPr>
          <w:rFonts w:cs="Traditional Arabic" w:hint="cs"/>
          <w:sz w:val="30"/>
          <w:szCs w:val="30"/>
          <w:rtl/>
          <w:lang w:eastAsia="zh-TW"/>
        </w:rPr>
        <w:t>إجراءات في المستقبل بشأن إدارة النفايات الإلكترونية</w:t>
      </w:r>
      <w:r w:rsidR="00122CDE" w:rsidRPr="00631EA6">
        <w:rPr>
          <w:rFonts w:cs="Traditional Arabic"/>
          <w:szCs w:val="30"/>
          <w:vertAlign w:val="superscript"/>
          <w:rtl/>
          <w:lang w:eastAsia="zh-TW"/>
        </w:rPr>
        <w:t>(</w:t>
      </w:r>
      <w:r w:rsidR="00122CDE" w:rsidRPr="00631EA6">
        <w:rPr>
          <w:rFonts w:eastAsia="Arial Unicode MS" w:cs="Traditional Arabic"/>
          <w:szCs w:val="30"/>
          <w:u w:color="000000"/>
          <w:bdr w:val="nil"/>
          <w:vertAlign w:val="superscript"/>
          <w:rtl/>
          <w:lang w:eastAsia="zh-TW"/>
        </w:rPr>
        <w:footnoteReference w:id="14"/>
      </w:r>
      <w:r w:rsidR="00122CDE" w:rsidRPr="00631EA6">
        <w:rPr>
          <w:rFonts w:cs="Traditional Arabic"/>
          <w:szCs w:val="30"/>
          <w:vertAlign w:val="superscript"/>
          <w:rtl/>
          <w:lang w:eastAsia="zh-TW"/>
        </w:rPr>
        <w:t>)</w:t>
      </w:r>
      <w:r w:rsidR="00362A93">
        <w:rPr>
          <w:rFonts w:cs="Traditional Arabic" w:hint="cs"/>
          <w:sz w:val="30"/>
          <w:szCs w:val="30"/>
          <w:rtl/>
          <w:lang w:eastAsia="zh-TW"/>
        </w:rPr>
        <w:t>.</w:t>
      </w:r>
      <w:r>
        <w:rPr>
          <w:rFonts w:cs="Traditional Arabic" w:hint="cs"/>
          <w:sz w:val="30"/>
          <w:szCs w:val="30"/>
          <w:rtl/>
          <w:lang w:eastAsia="zh-TW"/>
        </w:rPr>
        <w:t xml:space="preserve"> </w:t>
      </w:r>
      <w:r w:rsidR="00362A93">
        <w:rPr>
          <w:rFonts w:cs="Traditional Arabic" w:hint="cs"/>
          <w:sz w:val="30"/>
          <w:szCs w:val="30"/>
          <w:rtl/>
          <w:lang w:eastAsia="zh-TW"/>
        </w:rPr>
        <w:t xml:space="preserve">وتمثل </w:t>
      </w:r>
      <w:r>
        <w:rPr>
          <w:rFonts w:cs="Traditional Arabic" w:hint="cs"/>
          <w:sz w:val="30"/>
          <w:szCs w:val="30"/>
          <w:rtl/>
          <w:lang w:eastAsia="zh-TW"/>
        </w:rPr>
        <w:t xml:space="preserve">منظمة العمل الدولية أيضاً عضواً في تحالف الأمم المتحدة للنفايات الإلكترونية، الذي شُكل لتعزيز التعاون، </w:t>
      </w:r>
      <w:r w:rsidR="00362A93">
        <w:rPr>
          <w:rFonts w:cs="Traditional Arabic" w:hint="cs"/>
          <w:sz w:val="30"/>
          <w:szCs w:val="30"/>
          <w:rtl/>
          <w:lang w:eastAsia="zh-TW"/>
        </w:rPr>
        <w:t xml:space="preserve">وإقامة </w:t>
      </w:r>
      <w:r>
        <w:rPr>
          <w:rFonts w:cs="Traditional Arabic" w:hint="cs"/>
          <w:sz w:val="30"/>
          <w:szCs w:val="30"/>
          <w:rtl/>
          <w:lang w:eastAsia="zh-TW"/>
        </w:rPr>
        <w:t xml:space="preserve">الشراكات، وتقديم الدعم بشكل أكثر كفاءة لمساعدة الدول </w:t>
      </w:r>
      <w:r w:rsidR="00362A93">
        <w:rPr>
          <w:rFonts w:cs="Traditional Arabic" w:hint="cs"/>
          <w:sz w:val="30"/>
          <w:szCs w:val="30"/>
          <w:rtl/>
          <w:lang w:eastAsia="zh-TW"/>
        </w:rPr>
        <w:t>في التصدي ل</w:t>
      </w:r>
      <w:r>
        <w:rPr>
          <w:rFonts w:cs="Traditional Arabic" w:hint="cs"/>
          <w:sz w:val="30"/>
          <w:szCs w:val="30"/>
          <w:rtl/>
          <w:lang w:eastAsia="zh-TW"/>
        </w:rPr>
        <w:t>تحدي النفايات الإلكترونية.</w:t>
      </w:r>
    </w:p>
    <w:p w14:paraId="41A6A316" w14:textId="0316658E" w:rsidR="000F2EC6" w:rsidRDefault="001C7BC3"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ونشرت منظمة العمل الدولية دراسة بعنوان </w:t>
      </w:r>
      <w:r w:rsidRPr="00120651">
        <w:rPr>
          <w:rFonts w:cs="Traditional Arabic"/>
          <w:i/>
          <w:iCs/>
          <w:sz w:val="30"/>
          <w:szCs w:val="30"/>
          <w:rtl/>
          <w:lang w:eastAsia="zh-TW"/>
        </w:rPr>
        <w:t>الدراسات القطاعية بشأن العمل اللائق في سلاسل الإمداد العالمية</w:t>
      </w:r>
      <w:r w:rsidR="007A3625">
        <w:rPr>
          <w:rFonts w:cs="Traditional Arabic" w:hint="cs"/>
          <w:sz w:val="30"/>
          <w:szCs w:val="30"/>
          <w:rtl/>
          <w:lang w:eastAsia="zh-TW"/>
        </w:rPr>
        <w:t xml:space="preserve">: </w:t>
      </w:r>
      <w:r w:rsidR="007A3625" w:rsidRPr="00120651">
        <w:rPr>
          <w:rFonts w:cs="Traditional Arabic"/>
          <w:i/>
          <w:iCs/>
          <w:sz w:val="30"/>
          <w:szCs w:val="30"/>
          <w:rtl/>
          <w:lang w:eastAsia="zh-TW"/>
        </w:rPr>
        <w:t>تحليل مقارن</w:t>
      </w:r>
      <w:r w:rsidR="007A3625">
        <w:rPr>
          <w:rFonts w:cs="Traditional Arabic" w:hint="cs"/>
          <w:i/>
          <w:iCs/>
          <w:sz w:val="30"/>
          <w:szCs w:val="30"/>
          <w:rtl/>
          <w:lang w:eastAsia="zh-TW"/>
        </w:rPr>
        <w:t xml:space="preserve"> للفرص والتحديات التي تنطوي عليها عمليات الترقية الاجتماعية والاقتصادية</w:t>
      </w:r>
      <w:r>
        <w:rPr>
          <w:rFonts w:cs="Traditional Arabic" w:hint="cs"/>
          <w:sz w:val="30"/>
          <w:szCs w:val="30"/>
          <w:rtl/>
          <w:lang w:eastAsia="zh-TW"/>
        </w:rPr>
        <w:t xml:space="preserve">، </w:t>
      </w:r>
      <w:r w:rsidR="007A3625">
        <w:rPr>
          <w:rFonts w:cs="Traditional Arabic" w:hint="cs"/>
          <w:sz w:val="30"/>
          <w:szCs w:val="30"/>
          <w:rtl/>
          <w:lang w:eastAsia="zh-TW"/>
        </w:rPr>
        <w:t>وت</w:t>
      </w:r>
      <w:r>
        <w:rPr>
          <w:rFonts w:cs="Traditional Arabic" w:hint="cs"/>
          <w:sz w:val="30"/>
          <w:szCs w:val="30"/>
          <w:rtl/>
          <w:lang w:eastAsia="zh-TW"/>
        </w:rPr>
        <w:t xml:space="preserve">ُروج لها حالياً فيما بين </w:t>
      </w:r>
      <w:r w:rsidR="007A3625">
        <w:rPr>
          <w:rFonts w:cs="Traditional Arabic" w:hint="cs"/>
          <w:sz w:val="30"/>
          <w:szCs w:val="30"/>
          <w:rtl/>
          <w:lang w:eastAsia="zh-TW"/>
        </w:rPr>
        <w:t>الهيئات المكونة لها</w:t>
      </w:r>
      <w:r w:rsidR="00122CDE" w:rsidRPr="00631EA6">
        <w:rPr>
          <w:rFonts w:cs="Traditional Arabic"/>
          <w:szCs w:val="30"/>
          <w:vertAlign w:val="superscript"/>
          <w:rtl/>
          <w:lang w:eastAsia="zh-TW"/>
        </w:rPr>
        <w:t>(</w:t>
      </w:r>
      <w:r w:rsidR="00122CDE" w:rsidRPr="00631EA6">
        <w:rPr>
          <w:rFonts w:eastAsia="Arial Unicode MS" w:cs="Traditional Arabic"/>
          <w:szCs w:val="30"/>
          <w:u w:color="000000"/>
          <w:bdr w:val="nil"/>
          <w:vertAlign w:val="superscript"/>
          <w:rtl/>
          <w:lang w:eastAsia="zh-TW"/>
        </w:rPr>
        <w:footnoteReference w:id="15"/>
      </w:r>
      <w:r w:rsidR="00122CDE" w:rsidRPr="00631EA6">
        <w:rPr>
          <w:rFonts w:cs="Traditional Arabic"/>
          <w:szCs w:val="30"/>
          <w:vertAlign w:val="superscript"/>
          <w:rtl/>
          <w:lang w:eastAsia="zh-TW"/>
        </w:rPr>
        <w:t>)</w:t>
      </w:r>
      <w:r w:rsidR="00D8079A">
        <w:rPr>
          <w:rFonts w:cs="Traditional Arabic" w:hint="cs"/>
          <w:sz w:val="30"/>
          <w:szCs w:val="30"/>
          <w:rtl/>
          <w:lang w:eastAsia="zh-TW"/>
        </w:rPr>
        <w:t>.</w:t>
      </w:r>
      <w:r>
        <w:rPr>
          <w:rFonts w:cs="Traditional Arabic" w:hint="cs"/>
          <w:sz w:val="30"/>
          <w:szCs w:val="30"/>
          <w:rtl/>
          <w:lang w:eastAsia="zh-TW"/>
        </w:rPr>
        <w:t xml:space="preserve"> وتتضمن</w:t>
      </w:r>
      <w:r w:rsidR="001C16C7">
        <w:rPr>
          <w:rFonts w:cs="Traditional Arabic" w:hint="cs"/>
          <w:sz w:val="30"/>
          <w:szCs w:val="30"/>
          <w:rtl/>
          <w:lang w:eastAsia="zh-TW"/>
        </w:rPr>
        <w:t xml:space="preserve"> هذه</w:t>
      </w:r>
      <w:r>
        <w:rPr>
          <w:rFonts w:cs="Traditional Arabic" w:hint="cs"/>
          <w:sz w:val="30"/>
          <w:szCs w:val="30"/>
          <w:rtl/>
          <w:lang w:eastAsia="zh-TW"/>
        </w:rPr>
        <w:t xml:space="preserve"> الدراسة دراسة حالة بشأن </w:t>
      </w:r>
      <w:r w:rsidR="007A3625">
        <w:rPr>
          <w:rFonts w:cs="Traditional Arabic" w:hint="cs"/>
          <w:sz w:val="30"/>
          <w:szCs w:val="30"/>
          <w:rtl/>
          <w:lang w:eastAsia="zh-TW"/>
        </w:rPr>
        <w:t>”</w:t>
      </w:r>
      <w:r w:rsidRPr="00120651">
        <w:rPr>
          <w:rFonts w:cs="Traditional Arabic"/>
          <w:sz w:val="30"/>
          <w:szCs w:val="30"/>
          <w:rtl/>
          <w:lang w:eastAsia="zh-TW"/>
        </w:rPr>
        <w:t>تعزيز العمل اللائق في سلاسة الإمداد العالمية: قطاع الذهب</w:t>
      </w:r>
      <w:r w:rsidR="007A3625">
        <w:rPr>
          <w:rFonts w:cs="Traditional Arabic" w:hint="cs"/>
          <w:sz w:val="30"/>
          <w:szCs w:val="30"/>
          <w:rtl/>
          <w:lang w:eastAsia="zh-TW"/>
        </w:rPr>
        <w:t>“</w:t>
      </w:r>
      <w:r>
        <w:rPr>
          <w:rFonts w:cs="Traditional Arabic" w:hint="cs"/>
          <w:sz w:val="30"/>
          <w:szCs w:val="30"/>
          <w:rtl/>
          <w:lang w:eastAsia="zh-TW"/>
        </w:rPr>
        <w:t xml:space="preserve"> (الصفحات 49-88) تشير إلى الشواغل المتعلقة بالسلامة والصحة المهنيتين ذات الصلة باستخدام الزئبق في قطاع تعدين الذهب. </w:t>
      </w:r>
    </w:p>
    <w:p w14:paraId="04DA8760" w14:textId="251EFF09" w:rsidR="000F2EC6" w:rsidRDefault="00440194"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وفي عام 2018، اعتمدت منظمة العمل الدولية وهيئاتها </w:t>
      </w:r>
      <w:r w:rsidR="007A3625">
        <w:rPr>
          <w:rFonts w:cs="Traditional Arabic" w:hint="cs"/>
          <w:sz w:val="30"/>
          <w:szCs w:val="30"/>
          <w:rtl/>
          <w:lang w:eastAsia="zh-TW"/>
        </w:rPr>
        <w:t xml:space="preserve">الثلاثية </w:t>
      </w:r>
      <w:r>
        <w:rPr>
          <w:rFonts w:cs="Traditional Arabic" w:hint="cs"/>
          <w:sz w:val="30"/>
          <w:szCs w:val="30"/>
          <w:rtl/>
          <w:lang w:eastAsia="zh-TW"/>
        </w:rPr>
        <w:t xml:space="preserve">مدونة </w:t>
      </w:r>
      <w:r w:rsidR="007A3625">
        <w:rPr>
          <w:rFonts w:cs="Traditional Arabic" w:hint="cs"/>
          <w:sz w:val="30"/>
          <w:szCs w:val="30"/>
          <w:rtl/>
          <w:lang w:eastAsia="zh-TW"/>
        </w:rPr>
        <w:t>الممارسات</w:t>
      </w:r>
      <w:r>
        <w:rPr>
          <w:rFonts w:cs="Traditional Arabic" w:hint="cs"/>
          <w:sz w:val="30"/>
          <w:szCs w:val="30"/>
          <w:rtl/>
          <w:lang w:eastAsia="zh-TW"/>
        </w:rPr>
        <w:t xml:space="preserve"> بشأن السلامة والصحة في </w:t>
      </w:r>
      <w:r w:rsidR="007A3625">
        <w:rPr>
          <w:rFonts w:cs="Traditional Arabic" w:hint="cs"/>
          <w:sz w:val="30"/>
          <w:szCs w:val="30"/>
          <w:rtl/>
          <w:lang w:eastAsia="zh-TW"/>
        </w:rPr>
        <w:t>المناجم</w:t>
      </w:r>
      <w:r w:rsidR="00A13F1B">
        <w:rPr>
          <w:rFonts w:cs="Traditional Arabic" w:hint="cs"/>
          <w:sz w:val="30"/>
          <w:szCs w:val="30"/>
          <w:rtl/>
          <w:lang w:eastAsia="zh-TW"/>
        </w:rPr>
        <w:t xml:space="preserve"> السطحية</w:t>
      </w:r>
      <w:r>
        <w:rPr>
          <w:rFonts w:cs="Traditional Arabic" w:hint="cs"/>
          <w:sz w:val="30"/>
          <w:szCs w:val="30"/>
          <w:rtl/>
          <w:lang w:eastAsia="zh-TW"/>
        </w:rPr>
        <w:t xml:space="preserve"> المفتوحة</w:t>
      </w:r>
      <w:r w:rsidR="00122CDE" w:rsidRPr="00631EA6">
        <w:rPr>
          <w:rFonts w:cs="Traditional Arabic"/>
          <w:szCs w:val="30"/>
          <w:vertAlign w:val="superscript"/>
          <w:rtl/>
          <w:lang w:eastAsia="zh-TW"/>
        </w:rPr>
        <w:t>(</w:t>
      </w:r>
      <w:r w:rsidR="00122CDE" w:rsidRPr="00631EA6">
        <w:rPr>
          <w:rFonts w:eastAsia="Arial Unicode MS" w:cs="Traditional Arabic"/>
          <w:szCs w:val="30"/>
          <w:u w:color="000000"/>
          <w:bdr w:val="nil"/>
          <w:vertAlign w:val="superscript"/>
          <w:rtl/>
          <w:lang w:eastAsia="zh-TW"/>
        </w:rPr>
        <w:footnoteReference w:id="16"/>
      </w:r>
      <w:r w:rsidR="00122CDE" w:rsidRPr="00631EA6">
        <w:rPr>
          <w:rFonts w:cs="Traditional Arabic"/>
          <w:szCs w:val="30"/>
          <w:vertAlign w:val="superscript"/>
          <w:rtl/>
          <w:lang w:eastAsia="zh-TW"/>
        </w:rPr>
        <w:t>)</w:t>
      </w:r>
      <w:r w:rsidR="007A3625">
        <w:rPr>
          <w:rFonts w:cs="Traditional Arabic" w:hint="cs"/>
          <w:sz w:val="30"/>
          <w:szCs w:val="30"/>
          <w:rtl/>
          <w:lang w:eastAsia="zh-TW"/>
        </w:rPr>
        <w:t>،</w:t>
      </w:r>
      <w:r>
        <w:rPr>
          <w:rFonts w:cs="Traditional Arabic" w:hint="cs"/>
          <w:sz w:val="30"/>
          <w:szCs w:val="30"/>
          <w:rtl/>
          <w:lang w:eastAsia="zh-TW"/>
        </w:rPr>
        <w:t xml:space="preserve"> التي أُعدت استناداً إلى مدونة الممارس</w:t>
      </w:r>
      <w:r w:rsidR="00A13F1B">
        <w:rPr>
          <w:rFonts w:cs="Traditional Arabic" w:hint="cs"/>
          <w:sz w:val="30"/>
          <w:szCs w:val="30"/>
          <w:rtl/>
          <w:lang w:eastAsia="zh-TW"/>
        </w:rPr>
        <w:t>ات</w:t>
      </w:r>
      <w:r>
        <w:rPr>
          <w:rFonts w:cs="Traditional Arabic" w:hint="cs"/>
          <w:sz w:val="30"/>
          <w:szCs w:val="30"/>
          <w:rtl/>
          <w:lang w:eastAsia="zh-TW"/>
        </w:rPr>
        <w:t xml:space="preserve"> المعتمدة في اجتماع الخبراء المعني بالسلامة والصحة في </w:t>
      </w:r>
      <w:r w:rsidR="00A13F1B">
        <w:rPr>
          <w:rFonts w:cs="Traditional Arabic" w:hint="cs"/>
          <w:sz w:val="30"/>
          <w:szCs w:val="30"/>
          <w:rtl/>
          <w:lang w:eastAsia="zh-TW"/>
        </w:rPr>
        <w:t>المناجم السطحية</w:t>
      </w:r>
      <w:r>
        <w:rPr>
          <w:rFonts w:cs="Traditional Arabic" w:hint="cs"/>
          <w:sz w:val="30"/>
          <w:szCs w:val="30"/>
          <w:rtl/>
          <w:lang w:eastAsia="zh-TW"/>
        </w:rPr>
        <w:t xml:space="preserve">، المنعقد في جنيف في الفترة 16-20 تشرين الأول/أكتوبر 2017. وتُلزم مدونة </w:t>
      </w:r>
      <w:r w:rsidR="00A13F1B">
        <w:rPr>
          <w:rFonts w:cs="Traditional Arabic" w:hint="cs"/>
          <w:sz w:val="30"/>
          <w:szCs w:val="30"/>
          <w:rtl/>
          <w:lang w:eastAsia="zh-TW"/>
        </w:rPr>
        <w:t>الممارسات</w:t>
      </w:r>
      <w:r>
        <w:rPr>
          <w:rFonts w:cs="Traditional Arabic" w:hint="cs"/>
          <w:sz w:val="30"/>
          <w:szCs w:val="30"/>
          <w:rtl/>
          <w:lang w:eastAsia="zh-TW"/>
        </w:rPr>
        <w:t xml:space="preserve"> الحكومات </w:t>
      </w:r>
      <w:r w:rsidR="00A13F1B">
        <w:rPr>
          <w:rFonts w:cs="Traditional Arabic" w:hint="cs"/>
          <w:sz w:val="30"/>
          <w:szCs w:val="30"/>
          <w:rtl/>
          <w:lang w:eastAsia="zh-TW"/>
        </w:rPr>
        <w:t>وأصحاب الأعمال</w:t>
      </w:r>
      <w:r>
        <w:rPr>
          <w:rFonts w:cs="Traditional Arabic" w:hint="cs"/>
          <w:sz w:val="30"/>
          <w:szCs w:val="30"/>
          <w:rtl/>
          <w:lang w:eastAsia="zh-TW"/>
        </w:rPr>
        <w:t xml:space="preserve"> باتخاذ إجراءات وقائية بشأن المواد الكيميائية الخطرة، بما في ذلك الزئبق.</w:t>
      </w:r>
    </w:p>
    <w:p w14:paraId="551B8665" w14:textId="3C944CF0" w:rsidR="000F2EC6" w:rsidRDefault="00A13F1B"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وتعمل </w:t>
      </w:r>
      <w:r w:rsidR="00B31166">
        <w:rPr>
          <w:rFonts w:cs="Traditional Arabic" w:hint="cs"/>
          <w:sz w:val="30"/>
          <w:szCs w:val="30"/>
          <w:rtl/>
          <w:lang w:eastAsia="zh-TW"/>
        </w:rPr>
        <w:t xml:space="preserve">منظمة العمل الدولية حالياً </w:t>
      </w:r>
      <w:r>
        <w:rPr>
          <w:rFonts w:cs="Traditional Arabic" w:hint="cs"/>
          <w:sz w:val="30"/>
          <w:szCs w:val="30"/>
          <w:rtl/>
          <w:lang w:eastAsia="zh-TW"/>
        </w:rPr>
        <w:t xml:space="preserve">على وضع الصيغة </w:t>
      </w:r>
      <w:r w:rsidR="00B31166">
        <w:rPr>
          <w:rFonts w:cs="Traditional Arabic" w:hint="cs"/>
          <w:sz w:val="30"/>
          <w:szCs w:val="30"/>
          <w:rtl/>
          <w:lang w:eastAsia="zh-TW"/>
        </w:rPr>
        <w:t xml:space="preserve">النهائية </w:t>
      </w:r>
      <w:r>
        <w:rPr>
          <w:rFonts w:cs="Traditional Arabic" w:hint="cs"/>
          <w:sz w:val="30"/>
          <w:szCs w:val="30"/>
          <w:rtl/>
          <w:lang w:eastAsia="zh-TW"/>
        </w:rPr>
        <w:t>ل</w:t>
      </w:r>
      <w:r w:rsidR="00B31166">
        <w:rPr>
          <w:rFonts w:cs="Traditional Arabic" w:hint="cs"/>
          <w:sz w:val="30"/>
          <w:szCs w:val="30"/>
          <w:rtl/>
          <w:lang w:eastAsia="zh-TW"/>
        </w:rPr>
        <w:t>ورقة عمل بشأن مخاطر التعرض للزئبق على العم</w:t>
      </w:r>
      <w:r>
        <w:rPr>
          <w:rFonts w:cs="Traditional Arabic" w:hint="cs"/>
          <w:sz w:val="30"/>
          <w:szCs w:val="30"/>
          <w:rtl/>
          <w:lang w:eastAsia="zh-TW"/>
        </w:rPr>
        <w:t>ا</w:t>
      </w:r>
      <w:r w:rsidR="00B31166">
        <w:rPr>
          <w:rFonts w:cs="Traditional Arabic" w:hint="cs"/>
          <w:sz w:val="30"/>
          <w:szCs w:val="30"/>
          <w:rtl/>
          <w:lang w:eastAsia="zh-TW"/>
        </w:rPr>
        <w:t xml:space="preserve">ل في مجال تعدين الذهب الحرفي والضيق النطاق. </w:t>
      </w:r>
      <w:r>
        <w:rPr>
          <w:rFonts w:cs="Traditional Arabic" w:hint="cs"/>
          <w:sz w:val="30"/>
          <w:szCs w:val="30"/>
          <w:rtl/>
          <w:lang w:eastAsia="zh-TW"/>
        </w:rPr>
        <w:t xml:space="preserve">وتبحث </w:t>
      </w:r>
      <w:r w:rsidR="00B31166">
        <w:rPr>
          <w:rFonts w:cs="Traditional Arabic" w:hint="cs"/>
          <w:sz w:val="30"/>
          <w:szCs w:val="30"/>
          <w:rtl/>
          <w:lang w:eastAsia="zh-TW"/>
        </w:rPr>
        <w:t>هذه الورقة طرقاً للحد من تعرض العمال في مجال تعدين الذهب الحرفي والضيق النطاق، و</w:t>
      </w:r>
      <w:r>
        <w:rPr>
          <w:rFonts w:cs="Traditional Arabic" w:hint="cs"/>
          <w:sz w:val="30"/>
          <w:szCs w:val="30"/>
          <w:rtl/>
          <w:lang w:eastAsia="zh-TW"/>
        </w:rPr>
        <w:t>ل</w:t>
      </w:r>
      <w:r w:rsidR="00B31166">
        <w:rPr>
          <w:rFonts w:cs="Traditional Arabic" w:hint="cs"/>
          <w:sz w:val="30"/>
          <w:szCs w:val="30"/>
          <w:rtl/>
          <w:lang w:eastAsia="zh-TW"/>
        </w:rPr>
        <w:t xml:space="preserve">دعم المساعدة التقنية لمنظمة العمل الدولية، وتعزيز ثقافة مستدامة للوقاية من الحوادث والأمراض وتحسين الصحة والسلامة المهنيتين. </w:t>
      </w:r>
      <w:r>
        <w:rPr>
          <w:rFonts w:cs="Traditional Arabic" w:hint="cs"/>
          <w:sz w:val="30"/>
          <w:szCs w:val="30"/>
          <w:rtl/>
          <w:lang w:eastAsia="zh-TW"/>
        </w:rPr>
        <w:t xml:space="preserve">وتمثل </w:t>
      </w:r>
      <w:r w:rsidR="00B31166">
        <w:rPr>
          <w:rFonts w:cs="Traditional Arabic" w:hint="cs"/>
          <w:sz w:val="30"/>
          <w:szCs w:val="30"/>
          <w:rtl/>
          <w:lang w:eastAsia="zh-TW"/>
        </w:rPr>
        <w:t xml:space="preserve">هذه الوثيقة جزءاً من الجهد الرامي إلى تعزيز التكنولوجيا التي تهدف إلى تحسين استخدام </w:t>
      </w:r>
      <w:r>
        <w:rPr>
          <w:rFonts w:cs="Traditional Arabic" w:hint="cs"/>
          <w:sz w:val="30"/>
          <w:szCs w:val="30"/>
          <w:rtl/>
          <w:lang w:eastAsia="zh-TW"/>
        </w:rPr>
        <w:t xml:space="preserve">عمال المناجم الحرفيين للزئبق أو إلغائه بما </w:t>
      </w:r>
      <w:r w:rsidR="00B31166">
        <w:rPr>
          <w:rFonts w:cs="Traditional Arabic" w:hint="cs"/>
          <w:sz w:val="30"/>
          <w:szCs w:val="30"/>
          <w:rtl/>
          <w:lang w:eastAsia="zh-TW"/>
        </w:rPr>
        <w:t>يتماشى مع المادة</w:t>
      </w:r>
      <w:r w:rsidR="00B31166">
        <w:rPr>
          <w:rFonts w:cs="Traditional Arabic" w:hint="eastAsia"/>
          <w:sz w:val="30"/>
          <w:szCs w:val="30"/>
          <w:rtl/>
          <w:lang w:eastAsia="zh-TW"/>
        </w:rPr>
        <w:t> </w:t>
      </w:r>
      <w:r w:rsidR="00B31166">
        <w:rPr>
          <w:rFonts w:cs="Traditional Arabic" w:hint="cs"/>
          <w:sz w:val="30"/>
          <w:szCs w:val="30"/>
          <w:rtl/>
          <w:lang w:eastAsia="zh-TW"/>
        </w:rPr>
        <w:t xml:space="preserve">7 </w:t>
      </w:r>
      <w:r>
        <w:rPr>
          <w:rFonts w:cs="Traditional Arabic" w:hint="cs"/>
          <w:sz w:val="30"/>
          <w:szCs w:val="30"/>
          <w:rtl/>
          <w:lang w:eastAsia="zh-TW"/>
        </w:rPr>
        <w:t xml:space="preserve">من </w:t>
      </w:r>
      <w:r w:rsidR="00B31166">
        <w:rPr>
          <w:rFonts w:cs="Traditional Arabic" w:hint="cs"/>
          <w:sz w:val="30"/>
          <w:szCs w:val="30"/>
          <w:rtl/>
          <w:lang w:eastAsia="zh-TW"/>
        </w:rPr>
        <w:t xml:space="preserve">اتفاقية </w:t>
      </w:r>
      <w:proofErr w:type="spellStart"/>
      <w:r w:rsidR="00B31166">
        <w:rPr>
          <w:rFonts w:cs="Traditional Arabic" w:hint="cs"/>
          <w:sz w:val="30"/>
          <w:szCs w:val="30"/>
          <w:rtl/>
          <w:lang w:eastAsia="zh-TW"/>
        </w:rPr>
        <w:t>مينامات</w:t>
      </w:r>
      <w:r w:rsidR="001C16C7">
        <w:rPr>
          <w:rFonts w:cs="Traditional Arabic" w:hint="cs"/>
          <w:sz w:val="30"/>
          <w:szCs w:val="30"/>
          <w:rtl/>
          <w:lang w:eastAsia="zh-TW"/>
        </w:rPr>
        <w:t>ا</w:t>
      </w:r>
      <w:proofErr w:type="spellEnd"/>
      <w:r w:rsidR="00B31166">
        <w:rPr>
          <w:rFonts w:cs="Traditional Arabic" w:hint="cs"/>
          <w:sz w:val="30"/>
          <w:szCs w:val="30"/>
          <w:rtl/>
          <w:lang w:eastAsia="zh-TW"/>
        </w:rPr>
        <w:t>، وتعزيز الممارسات الجيدة للسلامة والصحة في مواقع تعدين الذهب الحرفي والضيق النطاق.</w:t>
      </w:r>
    </w:p>
    <w:p w14:paraId="020889C2" w14:textId="7ADA1D08" w:rsidR="000F2EC6" w:rsidRPr="000F2EC6" w:rsidRDefault="00A13F1B" w:rsidP="005761F0">
      <w:pPr>
        <w:keepNext/>
        <w:keepLines/>
        <w:tabs>
          <w:tab w:val="right" w:pos="851"/>
          <w:tab w:val="left" w:pos="1841"/>
          <w:tab w:val="left" w:pos="4082"/>
        </w:tabs>
        <w:suppressAutoHyphens/>
        <w:bidi/>
        <w:spacing w:after="120" w:line="400" w:lineRule="exact"/>
        <w:ind w:left="1134" w:right="284"/>
        <w:jc w:val="both"/>
        <w:textDirection w:val="tbRlV"/>
        <w:rPr>
          <w:rFonts w:ascii="Traditional Arabic" w:hAnsi="Traditional Arabic"/>
          <w:b/>
          <w:bCs/>
          <w:sz w:val="30"/>
          <w:lang w:val="en-GB" w:eastAsia="zh-TW"/>
        </w:rPr>
      </w:pPr>
      <w:r>
        <w:rPr>
          <w:rFonts w:ascii="Traditional Arabic" w:hAnsi="Traditional Arabic" w:hint="cs"/>
          <w:b/>
          <w:bCs/>
          <w:sz w:val="30"/>
          <w:rtl/>
          <w:lang w:val="en-GB" w:eastAsia="zh-TW"/>
        </w:rPr>
        <w:t>الدعم المتواصل الذي تقدمه</w:t>
      </w:r>
      <w:r w:rsidRPr="000F2EC6">
        <w:rPr>
          <w:rFonts w:ascii="Traditional Arabic" w:hAnsi="Traditional Arabic" w:hint="cs"/>
          <w:b/>
          <w:bCs/>
          <w:sz w:val="30"/>
          <w:rtl/>
          <w:lang w:val="en-GB" w:eastAsia="zh-TW"/>
        </w:rPr>
        <w:t xml:space="preserve"> </w:t>
      </w:r>
      <w:r w:rsidR="000F2EC6" w:rsidRPr="000F2EC6">
        <w:rPr>
          <w:rFonts w:ascii="Traditional Arabic" w:hAnsi="Traditional Arabic" w:hint="cs"/>
          <w:b/>
          <w:bCs/>
          <w:sz w:val="30"/>
          <w:rtl/>
          <w:lang w:val="en-GB" w:eastAsia="zh-TW"/>
        </w:rPr>
        <w:t xml:space="preserve">منظمة العمل الدولية </w:t>
      </w:r>
      <w:r>
        <w:rPr>
          <w:rFonts w:ascii="Traditional Arabic" w:hAnsi="Traditional Arabic" w:hint="cs"/>
          <w:b/>
          <w:bCs/>
          <w:sz w:val="30"/>
          <w:rtl/>
          <w:lang w:val="en-GB" w:eastAsia="zh-TW"/>
        </w:rPr>
        <w:t>والمبادرات التي تنفذها</w:t>
      </w:r>
      <w:r w:rsidR="000F2EC6" w:rsidRPr="000F2EC6">
        <w:rPr>
          <w:rFonts w:ascii="Traditional Arabic" w:hAnsi="Traditional Arabic" w:hint="cs"/>
          <w:b/>
          <w:bCs/>
          <w:sz w:val="30"/>
          <w:rtl/>
          <w:lang w:val="en-GB" w:eastAsia="zh-TW"/>
        </w:rPr>
        <w:t xml:space="preserve"> في المستقبل</w:t>
      </w:r>
    </w:p>
    <w:p w14:paraId="3CC4B7FB" w14:textId="59BFD8EC" w:rsidR="000F2EC6" w:rsidRDefault="00417E05" w:rsidP="005761F0">
      <w:pPr>
        <w:pStyle w:val="Normalnumber"/>
        <w:numPr>
          <w:ilvl w:val="0"/>
          <w:numId w:val="40"/>
        </w:numPr>
        <w:tabs>
          <w:tab w:val="left" w:pos="1841"/>
        </w:tabs>
        <w:bidi/>
        <w:spacing w:line="400" w:lineRule="exact"/>
        <w:ind w:left="1134" w:firstLine="0"/>
        <w:jc w:val="both"/>
        <w:textDirection w:val="tbRlV"/>
        <w:rPr>
          <w:rFonts w:cs="Traditional Arabic"/>
          <w:sz w:val="30"/>
          <w:szCs w:val="30"/>
          <w:lang w:eastAsia="zh-TW"/>
        </w:rPr>
      </w:pPr>
      <w:r>
        <w:rPr>
          <w:rFonts w:cs="Traditional Arabic" w:hint="cs"/>
          <w:sz w:val="30"/>
          <w:szCs w:val="30"/>
          <w:rtl/>
          <w:lang w:eastAsia="zh-TW"/>
        </w:rPr>
        <w:t xml:space="preserve">في قطاع تعدين الذهب الحرفي والضيق النطاق، </w:t>
      </w:r>
      <w:r w:rsidR="00A13F1B">
        <w:rPr>
          <w:rFonts w:cs="Traditional Arabic" w:hint="cs"/>
          <w:sz w:val="30"/>
          <w:szCs w:val="30"/>
          <w:rtl/>
          <w:lang w:eastAsia="zh-TW"/>
        </w:rPr>
        <w:t xml:space="preserve">يمثل </w:t>
      </w:r>
      <w:r>
        <w:rPr>
          <w:rFonts w:cs="Traditional Arabic" w:hint="cs"/>
          <w:sz w:val="30"/>
          <w:szCs w:val="30"/>
          <w:rtl/>
          <w:lang w:eastAsia="zh-TW"/>
        </w:rPr>
        <w:t xml:space="preserve">إضفاء الطابع الرسمي على التعدين الحرفي خطوة حاسمة نحو حل مشكلة استخدام الزئبق وضمان إنتاج الذهب بطريقة مسؤولة </w:t>
      </w:r>
      <w:r w:rsidR="00A13F1B">
        <w:rPr>
          <w:rFonts w:cs="Traditional Arabic" w:hint="cs"/>
          <w:sz w:val="30"/>
          <w:szCs w:val="30"/>
          <w:rtl/>
          <w:lang w:eastAsia="zh-TW"/>
        </w:rPr>
        <w:t>تتسق</w:t>
      </w:r>
      <w:r>
        <w:rPr>
          <w:rFonts w:cs="Traditional Arabic" w:hint="cs"/>
          <w:sz w:val="30"/>
          <w:szCs w:val="30"/>
          <w:rtl/>
          <w:lang w:eastAsia="zh-TW"/>
        </w:rPr>
        <w:t xml:space="preserve"> مع المعايير الاجتماعية والبيئية الطوعية. </w:t>
      </w:r>
      <w:r w:rsidR="00A13F1B">
        <w:rPr>
          <w:rFonts w:cs="Traditional Arabic" w:hint="cs"/>
          <w:sz w:val="30"/>
          <w:szCs w:val="30"/>
          <w:rtl/>
          <w:lang w:eastAsia="zh-TW"/>
        </w:rPr>
        <w:t xml:space="preserve">وستتألف </w:t>
      </w:r>
      <w:r>
        <w:rPr>
          <w:rFonts w:cs="Traditional Arabic" w:hint="cs"/>
          <w:sz w:val="30"/>
          <w:szCs w:val="30"/>
          <w:rtl/>
          <w:lang w:eastAsia="zh-TW"/>
        </w:rPr>
        <w:t>تدخلات منظمة العمل الدولية</w:t>
      </w:r>
      <w:r w:rsidR="00A13F1B">
        <w:rPr>
          <w:rFonts w:cs="Traditional Arabic" w:hint="cs"/>
          <w:sz w:val="30"/>
          <w:szCs w:val="30"/>
          <w:rtl/>
          <w:lang w:eastAsia="zh-TW"/>
        </w:rPr>
        <w:t xml:space="preserve"> من</w:t>
      </w:r>
      <w:r>
        <w:rPr>
          <w:rFonts w:cs="Traditional Arabic" w:hint="cs"/>
          <w:sz w:val="30"/>
          <w:szCs w:val="30"/>
          <w:rtl/>
          <w:lang w:eastAsia="zh-TW"/>
        </w:rPr>
        <w:t xml:space="preserve"> إجراء دراسات </w:t>
      </w:r>
      <w:r w:rsidR="00A13F1B">
        <w:rPr>
          <w:rFonts w:cs="Traditional Arabic" w:hint="cs"/>
          <w:sz w:val="30"/>
          <w:szCs w:val="30"/>
          <w:rtl/>
          <w:lang w:eastAsia="zh-TW"/>
        </w:rPr>
        <w:t xml:space="preserve">محددة الهدف </w:t>
      </w:r>
      <w:r>
        <w:rPr>
          <w:rFonts w:cs="Traditional Arabic" w:hint="cs"/>
          <w:sz w:val="30"/>
          <w:szCs w:val="30"/>
          <w:rtl/>
          <w:lang w:eastAsia="zh-TW"/>
        </w:rPr>
        <w:t xml:space="preserve">واقتراح نُهج ومشاريع مستدامة في مجال التعدين على الحكومات من خلال ترتيب ثلاثي </w:t>
      </w:r>
      <w:r w:rsidR="00A13F1B">
        <w:rPr>
          <w:rFonts w:cs="Traditional Arabic" w:hint="cs"/>
          <w:sz w:val="30"/>
          <w:szCs w:val="30"/>
          <w:rtl/>
          <w:lang w:eastAsia="zh-TW"/>
        </w:rPr>
        <w:t xml:space="preserve">تشارك فيه </w:t>
      </w:r>
      <w:r>
        <w:rPr>
          <w:rFonts w:cs="Traditional Arabic" w:hint="cs"/>
          <w:sz w:val="30"/>
          <w:szCs w:val="30"/>
          <w:rtl/>
          <w:lang w:eastAsia="zh-TW"/>
        </w:rPr>
        <w:t xml:space="preserve">السلطات المسؤولة عن موارد التعدين ومنظمات </w:t>
      </w:r>
      <w:r w:rsidR="001C16C7">
        <w:rPr>
          <w:rFonts w:cs="Traditional Arabic" w:hint="cs"/>
          <w:sz w:val="30"/>
          <w:szCs w:val="30"/>
          <w:rtl/>
          <w:lang w:eastAsia="zh-TW"/>
        </w:rPr>
        <w:t>العمال في مجال</w:t>
      </w:r>
      <w:r>
        <w:rPr>
          <w:rFonts w:cs="Traditional Arabic" w:hint="cs"/>
          <w:sz w:val="30"/>
          <w:szCs w:val="30"/>
          <w:rtl/>
          <w:lang w:eastAsia="zh-TW"/>
        </w:rPr>
        <w:t xml:space="preserve"> التعدين ومنظمات </w:t>
      </w:r>
      <w:r w:rsidR="00A13F1B">
        <w:rPr>
          <w:rFonts w:cs="Traditional Arabic" w:hint="cs"/>
          <w:sz w:val="30"/>
          <w:szCs w:val="30"/>
          <w:rtl/>
          <w:lang w:eastAsia="zh-TW"/>
        </w:rPr>
        <w:t>أصحاب الأعمال</w:t>
      </w:r>
      <w:r>
        <w:rPr>
          <w:rFonts w:cs="Traditional Arabic" w:hint="cs"/>
          <w:sz w:val="30"/>
          <w:szCs w:val="30"/>
          <w:rtl/>
          <w:lang w:eastAsia="zh-TW"/>
        </w:rPr>
        <w:t xml:space="preserve">، بهدف إيجاد بدائل لأساليب معالجة </w:t>
      </w:r>
      <w:r w:rsidR="00A13F1B">
        <w:rPr>
          <w:rFonts w:cs="Traditional Arabic" w:hint="cs"/>
          <w:sz w:val="30"/>
          <w:szCs w:val="30"/>
          <w:rtl/>
          <w:lang w:eastAsia="zh-TW"/>
        </w:rPr>
        <w:t>ال</w:t>
      </w:r>
      <w:r>
        <w:rPr>
          <w:rFonts w:cs="Traditional Arabic" w:hint="cs"/>
          <w:sz w:val="30"/>
          <w:szCs w:val="30"/>
          <w:rtl/>
          <w:lang w:eastAsia="zh-TW"/>
        </w:rPr>
        <w:t xml:space="preserve">ركاز </w:t>
      </w:r>
      <w:r w:rsidR="00A13F1B">
        <w:rPr>
          <w:rFonts w:cs="Traditional Arabic" w:hint="cs"/>
          <w:sz w:val="30"/>
          <w:szCs w:val="30"/>
          <w:rtl/>
          <w:lang w:eastAsia="zh-TW"/>
        </w:rPr>
        <w:t xml:space="preserve">اعتماداً على الزئبق </w:t>
      </w:r>
      <w:r>
        <w:rPr>
          <w:rFonts w:cs="Traditional Arabic" w:hint="cs"/>
          <w:sz w:val="30"/>
          <w:szCs w:val="30"/>
          <w:rtl/>
          <w:lang w:eastAsia="zh-TW"/>
        </w:rPr>
        <w:t>وتعزيز ممارسات الصحة والسلامة المهنيتين. وستُشجع الحكومات على تنفيذ خطط عمل ملزِمة للحد من استخدام الزئبق في تعدين الذهب الحرفي والضيق النطاق.</w:t>
      </w:r>
    </w:p>
    <w:p w14:paraId="44356EF4" w14:textId="024355AF" w:rsidR="00232302" w:rsidRPr="007D523D" w:rsidRDefault="00ED03F8" w:rsidP="005761F0">
      <w:pPr>
        <w:pStyle w:val="Normalnumber"/>
        <w:numPr>
          <w:ilvl w:val="0"/>
          <w:numId w:val="40"/>
        </w:numPr>
        <w:tabs>
          <w:tab w:val="left" w:pos="1841"/>
        </w:tabs>
        <w:bidi/>
        <w:spacing w:after="0" w:line="400" w:lineRule="exact"/>
        <w:ind w:left="1134" w:firstLine="0"/>
        <w:jc w:val="both"/>
        <w:textDirection w:val="tbRlV"/>
        <w:rPr>
          <w:rFonts w:cs="Traditional Arabic"/>
          <w:sz w:val="30"/>
          <w:szCs w:val="30"/>
          <w:rtl/>
          <w:lang w:eastAsia="zh-TW"/>
        </w:rPr>
      </w:pPr>
      <w:r w:rsidRPr="007D523D">
        <w:rPr>
          <w:rFonts w:cs="Traditional Arabic" w:hint="cs"/>
          <w:sz w:val="30"/>
          <w:szCs w:val="30"/>
          <w:rtl/>
          <w:lang w:eastAsia="zh-TW"/>
        </w:rPr>
        <w:t>وفي قطاع الرعاية الصحية، تجري مناقشات لتوسيع نطاق عمل منظمة العمل الدولية من خلال التعاون مع برنامج الأمم المتحدة للبيئة ومنظمة الصحة العالمية بشأن مشروع متعدد البلدان لحماية العاملين في المجال الطبي في قطاع طب الأسنان من التعرض الخطير للزئبق.</w:t>
      </w:r>
    </w:p>
    <w:p w14:paraId="6A2AE965" w14:textId="58B01E49" w:rsidR="00451ABD" w:rsidRDefault="00500F3E" w:rsidP="006242C0">
      <w:pPr>
        <w:bidi/>
        <w:spacing w:line="400" w:lineRule="exact"/>
        <w:ind w:left="1134"/>
        <w:jc w:val="center"/>
        <w:rPr>
          <w:sz w:val="30"/>
          <w:rtl/>
        </w:rPr>
      </w:pPr>
      <w:r>
        <w:rPr>
          <w:rFonts w:hint="cs"/>
          <w:sz w:val="30"/>
          <w:rtl/>
        </w:rPr>
        <w:t>___________</w:t>
      </w:r>
    </w:p>
    <w:sectPr w:rsidR="00451ABD" w:rsidSect="00386602">
      <w:headerReference w:type="first" r:id="rId18"/>
      <w:footerReference w:type="first" r:id="rId19"/>
      <w:footnotePr>
        <w:numRestart w:val="eachSect"/>
      </w:footnotePr>
      <w:endnotePr>
        <w:numFmt w:val="lowerLetter"/>
      </w:endnotePr>
      <w:pgSz w:w="11906" w:h="16838" w:code="9"/>
      <w:pgMar w:top="907" w:right="1418" w:bottom="1418" w:left="992" w:header="539" w:footer="975" w:gutter="0"/>
      <w:cols w:space="720"/>
      <w:titlePg/>
      <w:bidi/>
      <w:rtlGutter/>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anda Moukayed" w:date="2019-09-13T14:59:00Z" w:initials="RM">
    <w:p w14:paraId="71C940A8" w14:textId="12183F69" w:rsidR="001F6F5B" w:rsidRDefault="001F6F5B">
      <w:pPr>
        <w:pStyle w:val="CommentText"/>
      </w:pPr>
      <w:r>
        <w:rPr>
          <w:rStyle w:val="CommentReference"/>
        </w:rPr>
        <w:annotationRef/>
      </w:r>
      <w:r>
        <w:rPr>
          <w:rFonts w:hint="cs"/>
          <w:rtl/>
        </w:rPr>
        <w:t>مصطلح طبي يرجى عدم تغييره.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C940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C940A8" w16cid:durableId="2129F1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A026A" w14:textId="77777777" w:rsidR="00FC4330" w:rsidRDefault="00FC4330">
      <w:r>
        <w:separator/>
      </w:r>
    </w:p>
  </w:endnote>
  <w:endnote w:type="continuationSeparator" w:id="0">
    <w:p w14:paraId="25E9C7C3" w14:textId="77777777" w:rsidR="00FC4330" w:rsidRDefault="00FC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09ECCCCE" w:rsidR="003F7510" w:rsidRPr="007B173A" w:rsidRDefault="003F7510"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A13F1B">
      <w:rPr>
        <w:rStyle w:val="PageNumber"/>
        <w:rFonts w:ascii="Times New Roman" w:hAnsi="Times New Roman" w:cs="Times New Roman"/>
      </w:rPr>
      <w:t>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013027CF" w:rsidR="003F7510" w:rsidRPr="007B173A" w:rsidRDefault="003F7510"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A13F1B">
      <w:rPr>
        <w:rStyle w:val="PageNumber"/>
        <w:rFonts w:ascii="Times New Roman" w:hAnsi="Times New Roman" w:cs="Times New Roman"/>
      </w:rPr>
      <w:t>9</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51CEC4B1" w:rsidR="003F7510" w:rsidRPr="00386602" w:rsidRDefault="003F7510" w:rsidP="00386602">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w:t>
    </w:r>
    <w:r>
      <w:rPr>
        <w:rStyle w:val="PageNumber"/>
        <w:rFonts w:asciiTheme="majorBidi" w:hAnsiTheme="majorBidi" w:cstheme="majorBidi"/>
        <w:szCs w:val="20"/>
      </w:rPr>
      <w:t>190366</w:t>
    </w:r>
    <w:r w:rsidR="007D523D">
      <w:rPr>
        <w:rStyle w:val="PageNumber"/>
        <w:rFonts w:asciiTheme="majorBidi" w:hAnsiTheme="majorBidi" w:cstheme="majorBidi"/>
        <w:szCs w:val="20"/>
      </w:rPr>
      <w:t>0</w:t>
    </w:r>
    <w:r>
      <w:rPr>
        <w:rStyle w:val="PageNumber"/>
        <w:rFonts w:asciiTheme="majorBidi" w:hAnsiTheme="majorBidi" w:cstheme="majorBidi" w:hint="cs"/>
        <w:szCs w:val="20"/>
        <w:rtl/>
      </w:rPr>
      <w:tab/>
    </w:r>
    <w:r w:rsidR="005761F0">
      <w:rPr>
        <w:rStyle w:val="PageNumber"/>
        <w:rFonts w:asciiTheme="majorBidi" w:hAnsiTheme="majorBidi" w:cstheme="majorBidi"/>
        <w:szCs w:val="20"/>
      </w:rPr>
      <w:t>16</w:t>
    </w:r>
    <w:r>
      <w:rPr>
        <w:rStyle w:val="PageNumber"/>
        <w:rFonts w:asciiTheme="majorBidi" w:hAnsiTheme="majorBidi" w:cstheme="majorBidi"/>
        <w:szCs w:val="20"/>
      </w:rPr>
      <w:t>0</w:t>
    </w:r>
    <w:r w:rsidR="007D523D">
      <w:rPr>
        <w:rStyle w:val="PageNumber"/>
        <w:rFonts w:asciiTheme="majorBidi" w:hAnsiTheme="majorBidi" w:cstheme="majorBidi"/>
        <w:szCs w:val="20"/>
      </w:rPr>
      <w:t>9</w:t>
    </w:r>
    <w:r>
      <w:rPr>
        <w:rStyle w:val="PageNumber"/>
        <w:rFonts w:asciiTheme="majorBidi" w:hAnsiTheme="majorBidi" w:cstheme="majorBidi"/>
        <w:szCs w:val="2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B3CC7" w14:textId="7ADFCC16" w:rsidR="003F7510" w:rsidRPr="00386602" w:rsidRDefault="003F7510" w:rsidP="007D523D">
    <w:pPr>
      <w:pStyle w:val="Footer"/>
      <w:tabs>
        <w:tab w:val="clear" w:pos="4153"/>
        <w:tab w:val="clear" w:pos="8306"/>
      </w:tabs>
      <w:rPr>
        <w:rFonts w:asciiTheme="majorBidi" w:hAnsiTheme="majorBidi" w:cstheme="majorBidi"/>
        <w:szCs w:val="20"/>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A13F1B">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2CEF9" w14:textId="77777777" w:rsidR="00FC4330" w:rsidRDefault="00FC4330" w:rsidP="008A79DC">
      <w:pPr>
        <w:bidi/>
        <w:ind w:left="720"/>
      </w:pPr>
      <w:r>
        <w:separator/>
      </w:r>
    </w:p>
  </w:footnote>
  <w:footnote w:type="continuationSeparator" w:id="0">
    <w:p w14:paraId="427B3345" w14:textId="77777777" w:rsidR="00FC4330" w:rsidRDefault="00FC4330">
      <w:r>
        <w:continuationSeparator/>
      </w:r>
    </w:p>
  </w:footnote>
  <w:footnote w:id="1">
    <w:p w14:paraId="5FF151A3" w14:textId="5136C3E4" w:rsidR="003F7510" w:rsidRPr="00C762BE" w:rsidRDefault="003F7510" w:rsidP="000D489C">
      <w:pPr>
        <w:tabs>
          <w:tab w:val="left" w:pos="624"/>
        </w:tabs>
        <w:bidi/>
        <w:spacing w:before="20" w:after="40"/>
        <w:ind w:left="1247"/>
        <w:jc w:val="both"/>
        <w:rPr>
          <w:rFonts w:asciiTheme="majorBidi" w:hAnsiTheme="majorBidi" w:cstheme="majorBidi"/>
          <w:bCs/>
          <w:szCs w:val="20"/>
          <w:rtl/>
        </w:rPr>
      </w:pPr>
      <w:proofErr w:type="gramStart"/>
      <w:r>
        <w:rPr>
          <w:rFonts w:asciiTheme="majorBidi" w:hAnsiTheme="majorBidi" w:cstheme="majorBidi"/>
          <w:bCs/>
          <w:szCs w:val="20"/>
        </w:rPr>
        <w:t>.</w:t>
      </w:r>
      <w:r w:rsidRPr="00C762BE">
        <w:rPr>
          <w:rFonts w:asciiTheme="majorBidi" w:hAnsiTheme="majorBidi" w:cstheme="majorBidi"/>
          <w:bCs/>
          <w:szCs w:val="20"/>
        </w:rPr>
        <w:t>UNEP</w:t>
      </w:r>
      <w:proofErr w:type="gramEnd"/>
      <w:r w:rsidRPr="00C762BE">
        <w:rPr>
          <w:rFonts w:asciiTheme="majorBidi" w:hAnsiTheme="majorBidi" w:cstheme="majorBidi"/>
          <w:bCs/>
          <w:szCs w:val="20"/>
        </w:rPr>
        <w:t>/MC/COP.</w:t>
      </w:r>
      <w:r>
        <w:rPr>
          <w:rFonts w:asciiTheme="majorBidi" w:hAnsiTheme="majorBidi" w:cstheme="majorBidi"/>
          <w:bCs/>
          <w:szCs w:val="20"/>
        </w:rPr>
        <w:t>3</w:t>
      </w:r>
      <w:r w:rsidRPr="00C762BE">
        <w:rPr>
          <w:rFonts w:asciiTheme="majorBidi" w:hAnsiTheme="majorBidi" w:cstheme="majorBidi"/>
          <w:bCs/>
          <w:szCs w:val="20"/>
        </w:rPr>
        <w:t>/1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50748085" w14:textId="43F8A7BD" w:rsidR="00355C76" w:rsidRPr="008B35FC" w:rsidRDefault="00355C76" w:rsidP="008B35FC">
      <w:pPr>
        <w:pStyle w:val="NormalNonumber"/>
        <w:tabs>
          <w:tab w:val="clear" w:pos="1247"/>
        </w:tabs>
        <w:bidi/>
        <w:spacing w:after="20" w:line="300" w:lineRule="exact"/>
        <w:ind w:left="1132" w:right="57"/>
        <w:jc w:val="both"/>
        <w:textDirection w:val="tbRlV"/>
        <w:rPr>
          <w:rFonts w:cs="Traditional Arabic"/>
          <w:szCs w:val="26"/>
          <w:rtl/>
          <w:lang w:eastAsia="zh-TW"/>
        </w:rPr>
      </w:pPr>
      <w:r w:rsidRPr="008B35FC">
        <w:rPr>
          <w:rFonts w:ascii="Traditional Arabic" w:hAnsi="Traditional Arabic" w:cs="Traditional Arabic"/>
          <w:sz w:val="26"/>
          <w:szCs w:val="26"/>
          <w:rtl/>
          <w:lang w:eastAsia="zh-TW"/>
        </w:rPr>
        <w:t>(</w:t>
      </w:r>
      <w:r w:rsidRPr="008B35FC">
        <w:rPr>
          <w:rFonts w:ascii="Traditional Arabic" w:hAnsi="Traditional Arabic" w:cs="Traditional Arabic"/>
          <w:sz w:val="26"/>
          <w:szCs w:val="26"/>
          <w:rtl/>
          <w:lang w:eastAsia="zh-TW"/>
        </w:rPr>
        <w:footnoteRef/>
      </w:r>
      <w:r w:rsidRPr="008B35FC">
        <w:rPr>
          <w:rFonts w:ascii="Traditional Arabic" w:hAnsi="Traditional Arabic" w:cs="Traditional Arabic"/>
          <w:sz w:val="26"/>
          <w:szCs w:val="26"/>
          <w:rtl/>
          <w:lang w:eastAsia="zh-TW"/>
        </w:rPr>
        <w:t xml:space="preserve">)  </w:t>
      </w:r>
      <w:hyperlink r:id="rId1" w:history="1">
        <w:r w:rsidRPr="008B35FC">
          <w:rPr>
            <w:rStyle w:val="Hyperlink"/>
            <w:sz w:val="18"/>
            <w:szCs w:val="18"/>
            <w:u w:val="none"/>
          </w:rPr>
          <w:t>https://www.who.int/ipcs/assessment/public_health/publication/en/</w:t>
        </w:r>
      </w:hyperlink>
      <w:r w:rsidRPr="008B35FC">
        <w:rPr>
          <w:rFonts w:cs="Traditional Arabic" w:hint="cs"/>
          <w:szCs w:val="26"/>
          <w:rtl/>
          <w:lang w:eastAsia="zh-TW"/>
        </w:rPr>
        <w:t>.</w:t>
      </w:r>
    </w:p>
  </w:footnote>
  <w:footnote w:id="3">
    <w:p w14:paraId="35C6A94C" w14:textId="589B6410" w:rsidR="00355C76" w:rsidRPr="008B35FC" w:rsidRDefault="00355C76" w:rsidP="008B35FC">
      <w:pPr>
        <w:pStyle w:val="NormalNonumber"/>
        <w:tabs>
          <w:tab w:val="clear" w:pos="1247"/>
        </w:tabs>
        <w:bidi/>
        <w:spacing w:after="40" w:line="300" w:lineRule="exact"/>
        <w:ind w:left="1134" w:right="57"/>
        <w:jc w:val="both"/>
        <w:textDirection w:val="tbRlV"/>
        <w:rPr>
          <w:rFonts w:cs="Traditional Arabic"/>
          <w:sz w:val="18"/>
          <w:szCs w:val="24"/>
          <w:rtl/>
          <w:lang w:eastAsia="zh-TW" w:bidi="ar-EG"/>
        </w:rPr>
      </w:pPr>
      <w:r w:rsidRPr="008B35FC">
        <w:rPr>
          <w:rFonts w:cs="Traditional Arabic" w:hint="cs"/>
          <w:sz w:val="18"/>
          <w:szCs w:val="24"/>
          <w:rtl/>
          <w:lang w:eastAsia="zh-TW"/>
        </w:rPr>
        <w:t>(</w:t>
      </w:r>
      <w:r w:rsidRPr="008B35FC">
        <w:rPr>
          <w:rFonts w:cs="Traditional Arabic"/>
          <w:sz w:val="18"/>
          <w:szCs w:val="24"/>
          <w:rtl/>
          <w:lang w:eastAsia="zh-TW"/>
        </w:rPr>
        <w:footnoteRef/>
      </w:r>
      <w:r w:rsidRPr="008B35FC">
        <w:rPr>
          <w:rFonts w:cs="Traditional Arabic" w:hint="cs"/>
          <w:sz w:val="18"/>
          <w:szCs w:val="24"/>
          <w:rtl/>
          <w:lang w:eastAsia="zh-TW"/>
        </w:rPr>
        <w:t xml:space="preserve">)  </w:t>
      </w:r>
      <w:hyperlink r:id="rId2" w:history="1">
        <w:r w:rsidRPr="008B35FC">
          <w:rPr>
            <w:rStyle w:val="Hyperlink"/>
            <w:rFonts w:cs="Traditional Arabic"/>
            <w:sz w:val="18"/>
            <w:szCs w:val="24"/>
            <w:u w:val="none"/>
          </w:rPr>
          <w:t>http://www.who.int/bulletin/volumes/96/6/17-203141.pdf</w:t>
        </w:r>
      </w:hyperlink>
      <w:r w:rsidRPr="008B35FC">
        <w:rPr>
          <w:rFonts w:cs="Traditional Arabic" w:hint="cs"/>
          <w:sz w:val="18"/>
          <w:szCs w:val="24"/>
          <w:rtl/>
          <w:lang w:bidi="ar-EG"/>
        </w:rPr>
        <w:t>.</w:t>
      </w:r>
    </w:p>
  </w:footnote>
  <w:footnote w:id="4">
    <w:p w14:paraId="0BE7849A" w14:textId="6B1A44E7" w:rsidR="00355C76" w:rsidRPr="008B35FC" w:rsidRDefault="00355C76" w:rsidP="008B35FC">
      <w:pPr>
        <w:pStyle w:val="NormalNonumber"/>
        <w:tabs>
          <w:tab w:val="clear" w:pos="1247"/>
        </w:tabs>
        <w:bidi/>
        <w:spacing w:after="40" w:line="300" w:lineRule="exact"/>
        <w:ind w:left="1134" w:right="57"/>
        <w:jc w:val="both"/>
        <w:textDirection w:val="tbRlV"/>
        <w:rPr>
          <w:rFonts w:cs="Traditional Arabic"/>
          <w:sz w:val="18"/>
          <w:szCs w:val="24"/>
          <w:rtl/>
          <w:lang w:eastAsia="zh-TW" w:bidi="ar-EG"/>
        </w:rPr>
      </w:pPr>
      <w:r w:rsidRPr="008B35FC">
        <w:rPr>
          <w:rFonts w:cs="Traditional Arabic" w:hint="cs"/>
          <w:sz w:val="18"/>
          <w:szCs w:val="24"/>
          <w:rtl/>
          <w:lang w:eastAsia="zh-TW"/>
        </w:rPr>
        <w:t>(</w:t>
      </w:r>
      <w:r w:rsidRPr="008B35FC">
        <w:rPr>
          <w:rFonts w:cs="Traditional Arabic"/>
          <w:sz w:val="18"/>
          <w:szCs w:val="24"/>
          <w:rtl/>
          <w:lang w:eastAsia="zh-TW"/>
        </w:rPr>
        <w:footnoteRef/>
      </w:r>
      <w:r w:rsidRPr="008B35FC">
        <w:rPr>
          <w:rFonts w:cs="Traditional Arabic" w:hint="cs"/>
          <w:sz w:val="18"/>
          <w:szCs w:val="24"/>
          <w:rtl/>
          <w:lang w:eastAsia="zh-TW"/>
        </w:rPr>
        <w:t xml:space="preserve">)  </w:t>
      </w:r>
      <w:r w:rsidRPr="008B35FC">
        <w:rPr>
          <w:rFonts w:cs="Traditional Arabic" w:hint="cs"/>
          <w:sz w:val="18"/>
          <w:szCs w:val="24"/>
          <w:rtl/>
          <w:lang w:bidi="ar-EG"/>
        </w:rPr>
        <w:t xml:space="preserve">يشير الاختصار </w:t>
      </w:r>
      <w:r w:rsidRPr="006B3E7A">
        <w:rPr>
          <w:rFonts w:cs="Traditional Arabic"/>
          <w:sz w:val="16"/>
          <w:szCs w:val="16"/>
        </w:rPr>
        <w:t>UPOPs</w:t>
      </w:r>
      <w:r w:rsidRPr="008B35FC">
        <w:rPr>
          <w:rFonts w:cs="Traditional Arabic" w:hint="cs"/>
          <w:sz w:val="18"/>
          <w:szCs w:val="24"/>
          <w:rtl/>
          <w:lang w:bidi="ar-EG"/>
        </w:rPr>
        <w:t xml:space="preserve"> إلى الإطلاقات غير المتعمدة من الملوثات العضوية الثابتة.</w:t>
      </w:r>
    </w:p>
  </w:footnote>
  <w:footnote w:id="5">
    <w:p w14:paraId="65A5016B" w14:textId="57AC8C83" w:rsidR="00355C76" w:rsidRPr="008B35FC" w:rsidRDefault="00355C76" w:rsidP="008B35FC">
      <w:pPr>
        <w:pStyle w:val="NormalNonumber"/>
        <w:tabs>
          <w:tab w:val="clear" w:pos="1247"/>
        </w:tabs>
        <w:bidi/>
        <w:spacing w:after="40" w:line="300" w:lineRule="exact"/>
        <w:ind w:left="1134" w:right="57"/>
        <w:jc w:val="both"/>
        <w:textDirection w:val="tbRlV"/>
        <w:rPr>
          <w:rFonts w:cs="Traditional Arabic"/>
          <w:szCs w:val="26"/>
          <w:rtl/>
          <w:lang w:eastAsia="zh-TW"/>
        </w:rPr>
      </w:pPr>
      <w:r w:rsidRPr="008B35FC">
        <w:rPr>
          <w:rFonts w:cs="Traditional Arabic" w:hint="cs"/>
          <w:sz w:val="18"/>
          <w:szCs w:val="24"/>
          <w:rtl/>
          <w:lang w:eastAsia="zh-TW"/>
        </w:rPr>
        <w:t>(</w:t>
      </w:r>
      <w:r w:rsidRPr="008B35FC">
        <w:rPr>
          <w:rFonts w:cs="Traditional Arabic"/>
          <w:sz w:val="18"/>
          <w:szCs w:val="24"/>
          <w:rtl/>
          <w:lang w:eastAsia="zh-TW"/>
        </w:rPr>
        <w:footnoteRef/>
      </w:r>
      <w:r w:rsidRPr="008B35FC">
        <w:rPr>
          <w:rFonts w:cs="Traditional Arabic" w:hint="cs"/>
          <w:sz w:val="18"/>
          <w:szCs w:val="24"/>
          <w:rtl/>
          <w:lang w:eastAsia="zh-TW"/>
        </w:rPr>
        <w:t xml:space="preserve">)  </w:t>
      </w:r>
      <w:r w:rsidRPr="00FB6F90">
        <w:rPr>
          <w:rStyle w:val="Hyperlink"/>
          <w:sz w:val="18"/>
          <w:szCs w:val="18"/>
          <w:u w:val="none"/>
        </w:rPr>
        <w:t>http://www.fao.org/fao-who-codexalimentarius/committees/committee/en/?committee=CCCF</w:t>
      </w:r>
      <w:r w:rsidRPr="008B35FC">
        <w:rPr>
          <w:rFonts w:cs="Traditional Arabic" w:hint="cs"/>
          <w:szCs w:val="26"/>
          <w:rtl/>
          <w:lang w:eastAsia="zh-TW"/>
        </w:rPr>
        <w:t>.</w:t>
      </w:r>
    </w:p>
  </w:footnote>
  <w:footnote w:id="6">
    <w:p w14:paraId="38DDA99A" w14:textId="4E4818D1" w:rsidR="00355C76" w:rsidRPr="008B35FC" w:rsidRDefault="00355C76" w:rsidP="006B3E7A">
      <w:pPr>
        <w:pStyle w:val="NormalNonumber"/>
        <w:tabs>
          <w:tab w:val="clear" w:pos="1247"/>
        </w:tabs>
        <w:bidi/>
        <w:spacing w:after="20" w:line="300" w:lineRule="exact"/>
        <w:ind w:left="1132" w:right="57"/>
        <w:jc w:val="both"/>
        <w:textDirection w:val="tbRlV"/>
        <w:rPr>
          <w:rFonts w:cs="Traditional Arabic"/>
          <w:sz w:val="18"/>
          <w:szCs w:val="24"/>
          <w:rtl/>
          <w:lang w:eastAsia="zh-TW"/>
        </w:rPr>
      </w:pPr>
      <w:r w:rsidRPr="008B35FC">
        <w:rPr>
          <w:rFonts w:cs="Traditional Arabic" w:hint="cs"/>
          <w:sz w:val="18"/>
          <w:szCs w:val="24"/>
          <w:rtl/>
          <w:lang w:eastAsia="zh-TW"/>
        </w:rPr>
        <w:t>(</w:t>
      </w:r>
      <w:r w:rsidRPr="008B35FC">
        <w:rPr>
          <w:rFonts w:cs="Traditional Arabic"/>
          <w:sz w:val="18"/>
          <w:szCs w:val="24"/>
          <w:rtl/>
          <w:lang w:eastAsia="zh-TW"/>
        </w:rPr>
        <w:footnoteRef/>
      </w:r>
      <w:r w:rsidRPr="008B35FC">
        <w:rPr>
          <w:rFonts w:cs="Traditional Arabic" w:hint="cs"/>
          <w:sz w:val="18"/>
          <w:szCs w:val="24"/>
          <w:rtl/>
          <w:lang w:eastAsia="zh-TW"/>
        </w:rPr>
        <w:t xml:space="preserve">)  </w:t>
      </w:r>
      <w:hyperlink r:id="rId3" w:history="1">
        <w:r w:rsidRPr="008B35FC">
          <w:rPr>
            <w:rStyle w:val="Hyperlink"/>
            <w:rFonts w:cs="Traditional Arabic"/>
            <w:sz w:val="18"/>
            <w:szCs w:val="24"/>
            <w:u w:val="none"/>
          </w:rPr>
          <w:t>http://www.euro.who.int/en/health-topics/environment-and-health/chemical-safety/publications</w:t>
        </w:r>
      </w:hyperlink>
      <w:r w:rsidRPr="008B35FC">
        <w:rPr>
          <w:rFonts w:cs="Traditional Arabic" w:hint="cs"/>
          <w:sz w:val="18"/>
          <w:szCs w:val="24"/>
          <w:rtl/>
          <w:lang w:eastAsia="zh-TW"/>
        </w:rPr>
        <w:t>.</w:t>
      </w:r>
    </w:p>
  </w:footnote>
  <w:footnote w:id="7">
    <w:p w14:paraId="56EDE15C" w14:textId="3EECE138" w:rsidR="00355C76" w:rsidRPr="008B35FC" w:rsidRDefault="00355C76" w:rsidP="006B3E7A">
      <w:pPr>
        <w:pStyle w:val="NormalNonumber"/>
        <w:tabs>
          <w:tab w:val="clear" w:pos="1247"/>
        </w:tabs>
        <w:bidi/>
        <w:spacing w:after="20" w:line="300" w:lineRule="exact"/>
        <w:ind w:left="1132" w:right="57"/>
        <w:jc w:val="both"/>
        <w:textDirection w:val="tbRlV"/>
        <w:rPr>
          <w:rFonts w:cs="Traditional Arabic" w:hint="cs"/>
          <w:sz w:val="18"/>
          <w:szCs w:val="24"/>
          <w:rtl/>
          <w:lang w:eastAsia="zh-TW"/>
        </w:rPr>
      </w:pPr>
      <w:r w:rsidRPr="008B35FC">
        <w:rPr>
          <w:rFonts w:cs="Traditional Arabic" w:hint="cs"/>
          <w:sz w:val="18"/>
          <w:szCs w:val="24"/>
          <w:rtl/>
          <w:lang w:eastAsia="zh-TW"/>
        </w:rPr>
        <w:t>(</w:t>
      </w:r>
      <w:r w:rsidRPr="008B35FC">
        <w:rPr>
          <w:rFonts w:cs="Traditional Arabic"/>
          <w:sz w:val="18"/>
          <w:szCs w:val="24"/>
          <w:rtl/>
          <w:lang w:eastAsia="zh-TW"/>
        </w:rPr>
        <w:footnoteRef/>
      </w:r>
      <w:r w:rsidRPr="008B35FC">
        <w:rPr>
          <w:rFonts w:cs="Traditional Arabic" w:hint="cs"/>
          <w:sz w:val="18"/>
          <w:szCs w:val="24"/>
          <w:rtl/>
          <w:lang w:eastAsia="zh-TW"/>
        </w:rPr>
        <w:t xml:space="preserve">)  </w:t>
      </w:r>
      <w:hyperlink r:id="rId4" w:history="1">
        <w:r w:rsidRPr="008B35FC">
          <w:rPr>
            <w:rStyle w:val="Hyperlink"/>
            <w:rFonts w:cs="Traditional Arabic"/>
            <w:sz w:val="18"/>
            <w:szCs w:val="24"/>
            <w:u w:val="none"/>
          </w:rPr>
          <w:t>https://ehp.niehs.nih.gov/doi/full/10.1289/EHP3904</w:t>
        </w:r>
      </w:hyperlink>
      <w:r w:rsidRPr="008B35FC">
        <w:rPr>
          <w:rFonts w:cs="Traditional Arabic" w:hint="cs"/>
          <w:sz w:val="18"/>
          <w:szCs w:val="24"/>
          <w:rtl/>
          <w:lang w:eastAsia="zh-TW"/>
        </w:rPr>
        <w:t>.</w:t>
      </w:r>
    </w:p>
  </w:footnote>
  <w:footnote w:id="8">
    <w:p w14:paraId="3567E93C" w14:textId="6EE72CE5" w:rsidR="00917616" w:rsidRPr="008B35FC" w:rsidRDefault="00917616" w:rsidP="006B3E7A">
      <w:pPr>
        <w:pStyle w:val="NormalNonumber"/>
        <w:tabs>
          <w:tab w:val="clear" w:pos="1247"/>
        </w:tabs>
        <w:bidi/>
        <w:spacing w:after="40" w:line="300" w:lineRule="exact"/>
        <w:ind w:left="1132"/>
        <w:jc w:val="both"/>
        <w:textDirection w:val="tbRlV"/>
        <w:rPr>
          <w:rFonts w:cs="Traditional Arabic"/>
          <w:sz w:val="18"/>
          <w:szCs w:val="24"/>
          <w:rtl/>
          <w:lang w:eastAsia="zh-TW" w:bidi="ar-EG"/>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5" w:history="1">
        <w:r w:rsidRPr="008B35FC">
          <w:rPr>
            <w:rStyle w:val="Hyperlink"/>
            <w:rFonts w:cs="Traditional Arabic"/>
            <w:sz w:val="18"/>
            <w:szCs w:val="24"/>
            <w:u w:val="none"/>
          </w:rPr>
          <w:t>https://www.ilo.org/ilc/ILCSessions/108/reports/provisional-records/</w:t>
        </w:r>
        <w:r w:rsidRPr="00C57071">
          <w:rPr>
            <w:rStyle w:val="Hyperlink"/>
            <w:rFonts w:cs="Traditional Arabic"/>
            <w:sz w:val="16"/>
            <w:szCs w:val="16"/>
            <w:u w:val="none"/>
          </w:rPr>
          <w:t>WCMS</w:t>
        </w:r>
        <w:r w:rsidRPr="008B35FC">
          <w:rPr>
            <w:rStyle w:val="Hyperlink"/>
            <w:rFonts w:cs="Traditional Arabic"/>
            <w:sz w:val="18"/>
            <w:szCs w:val="24"/>
            <w:u w:val="none"/>
          </w:rPr>
          <w:t>_711288/lang--en/index.htm</w:t>
        </w:r>
      </w:hyperlink>
      <w:r w:rsidRPr="008B35FC">
        <w:rPr>
          <w:rFonts w:cs="Traditional Arabic"/>
          <w:sz w:val="18"/>
          <w:szCs w:val="24"/>
          <w:rtl/>
          <w:lang w:bidi="ar-EG"/>
        </w:rPr>
        <w:t>.</w:t>
      </w:r>
    </w:p>
  </w:footnote>
  <w:footnote w:id="9">
    <w:p w14:paraId="0ABCF3DE" w14:textId="53873264" w:rsidR="00917616" w:rsidRPr="008B35FC" w:rsidRDefault="00917616" w:rsidP="006B3E7A">
      <w:pPr>
        <w:pStyle w:val="NormalNonumber"/>
        <w:tabs>
          <w:tab w:val="clear" w:pos="1247"/>
        </w:tabs>
        <w:bidi/>
        <w:spacing w:after="40" w:line="300" w:lineRule="exact"/>
        <w:ind w:left="1132"/>
        <w:jc w:val="both"/>
        <w:textDirection w:val="tbRlV"/>
        <w:rPr>
          <w:rFonts w:cs="Traditional Arabic"/>
          <w:sz w:val="18"/>
          <w:szCs w:val="24"/>
          <w:rtl/>
          <w:lang w:eastAsia="zh-TW"/>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6" w:tgtFrame="_blank" w:history="1">
        <w:r w:rsidRPr="008B35FC">
          <w:rPr>
            <w:rStyle w:val="Hyperlink"/>
            <w:rFonts w:cs="Traditional Arabic"/>
            <w:sz w:val="18"/>
            <w:szCs w:val="24"/>
            <w:u w:val="none"/>
          </w:rPr>
          <w:t>https://www.ilo.org/manila/eventsandmeetings/</w:t>
        </w:r>
        <w:r w:rsidRPr="00C57071">
          <w:rPr>
            <w:rStyle w:val="Hyperlink"/>
            <w:rFonts w:cs="Traditional Arabic"/>
            <w:sz w:val="16"/>
            <w:szCs w:val="16"/>
            <w:u w:val="none"/>
          </w:rPr>
          <w:t>WCMS_645607</w:t>
        </w:r>
        <w:r w:rsidRPr="008B35FC">
          <w:rPr>
            <w:rStyle w:val="Hyperlink"/>
            <w:rFonts w:cs="Traditional Arabic"/>
            <w:sz w:val="18"/>
            <w:szCs w:val="24"/>
            <w:u w:val="none"/>
          </w:rPr>
          <w:t>/lang--</w:t>
        </w:r>
        <w:proofErr w:type="spellStart"/>
        <w:r w:rsidRPr="008B35FC">
          <w:rPr>
            <w:rStyle w:val="Hyperlink"/>
            <w:rFonts w:cs="Traditional Arabic"/>
            <w:sz w:val="18"/>
            <w:szCs w:val="24"/>
            <w:u w:val="none"/>
          </w:rPr>
          <w:t>en</w:t>
        </w:r>
        <w:proofErr w:type="spellEnd"/>
        <w:r w:rsidRPr="008B35FC">
          <w:rPr>
            <w:rStyle w:val="Hyperlink"/>
            <w:rFonts w:cs="Traditional Arabic"/>
            <w:sz w:val="18"/>
            <w:szCs w:val="24"/>
            <w:u w:val="none"/>
          </w:rPr>
          <w:t>/index.htm</w:t>
        </w:r>
      </w:hyperlink>
      <w:r w:rsidRPr="008B35FC">
        <w:rPr>
          <w:rFonts w:cs="Traditional Arabic"/>
          <w:sz w:val="18"/>
          <w:szCs w:val="24"/>
          <w:rtl/>
          <w:lang w:eastAsia="zh-TW"/>
        </w:rPr>
        <w:t>.</w:t>
      </w:r>
    </w:p>
  </w:footnote>
  <w:footnote w:id="10">
    <w:p w14:paraId="161E0332" w14:textId="3A2ED135" w:rsidR="00D60F9E" w:rsidRPr="008B35FC" w:rsidRDefault="00D60F9E" w:rsidP="006B3E7A">
      <w:pPr>
        <w:pStyle w:val="NormalNonumber"/>
        <w:tabs>
          <w:tab w:val="clear" w:pos="1247"/>
        </w:tabs>
        <w:bidi/>
        <w:spacing w:after="40" w:line="300" w:lineRule="exact"/>
        <w:ind w:left="1132"/>
        <w:jc w:val="both"/>
        <w:textDirection w:val="tbRlV"/>
        <w:rPr>
          <w:rFonts w:cs="Traditional Arabic"/>
          <w:sz w:val="18"/>
          <w:szCs w:val="24"/>
          <w:rtl/>
          <w:lang w:eastAsia="zh-TW" w:bidi="ar-EG"/>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7" w:history="1">
        <w:r w:rsidRPr="008B35FC">
          <w:rPr>
            <w:rStyle w:val="Hyperlink"/>
            <w:rFonts w:cs="Traditional Arabic"/>
            <w:sz w:val="18"/>
            <w:szCs w:val="24"/>
            <w:u w:val="none"/>
          </w:rPr>
          <w:t>https://www.ilo.org/manila/eventsandmeetings/</w:t>
        </w:r>
        <w:r w:rsidRPr="006B3E7A">
          <w:rPr>
            <w:rStyle w:val="Hyperlink"/>
            <w:rFonts w:cs="Traditional Arabic"/>
            <w:sz w:val="16"/>
            <w:szCs w:val="16"/>
            <w:u w:val="none"/>
          </w:rPr>
          <w:t>WCMS</w:t>
        </w:r>
        <w:r w:rsidRPr="008B35FC">
          <w:rPr>
            <w:rStyle w:val="Hyperlink"/>
            <w:rFonts w:cs="Traditional Arabic"/>
            <w:sz w:val="18"/>
            <w:szCs w:val="24"/>
            <w:u w:val="none"/>
          </w:rPr>
          <w:t>_701934/lang--</w:t>
        </w:r>
        <w:proofErr w:type="spellStart"/>
        <w:r w:rsidRPr="008B35FC">
          <w:rPr>
            <w:rStyle w:val="Hyperlink"/>
            <w:rFonts w:cs="Traditional Arabic"/>
            <w:sz w:val="18"/>
            <w:szCs w:val="24"/>
            <w:u w:val="none"/>
          </w:rPr>
          <w:t>en</w:t>
        </w:r>
        <w:proofErr w:type="spellEnd"/>
        <w:r w:rsidRPr="008B35FC">
          <w:rPr>
            <w:rStyle w:val="Hyperlink"/>
            <w:rFonts w:cs="Traditional Arabic"/>
            <w:sz w:val="18"/>
            <w:szCs w:val="24"/>
            <w:u w:val="none"/>
          </w:rPr>
          <w:t>/index.htm</w:t>
        </w:r>
      </w:hyperlink>
      <w:r w:rsidRPr="008B35FC">
        <w:rPr>
          <w:rFonts w:cs="Traditional Arabic"/>
          <w:sz w:val="18"/>
          <w:szCs w:val="24"/>
          <w:rtl/>
          <w:lang w:bidi="ar-EG"/>
        </w:rPr>
        <w:t>.</w:t>
      </w:r>
    </w:p>
  </w:footnote>
  <w:footnote w:id="11">
    <w:p w14:paraId="2ED58D5D" w14:textId="408237A5" w:rsidR="00D60F9E" w:rsidRPr="008B35FC" w:rsidRDefault="00D60F9E" w:rsidP="00C57071">
      <w:pPr>
        <w:pStyle w:val="NormalNonumber"/>
        <w:tabs>
          <w:tab w:val="clear" w:pos="1247"/>
        </w:tabs>
        <w:bidi/>
        <w:spacing w:after="40" w:line="300" w:lineRule="exact"/>
        <w:ind w:left="1134"/>
        <w:jc w:val="both"/>
        <w:textDirection w:val="tbRlV"/>
        <w:rPr>
          <w:rFonts w:cs="Traditional Arabic"/>
          <w:sz w:val="18"/>
          <w:szCs w:val="24"/>
          <w:rtl/>
          <w:lang w:eastAsia="zh-TW" w:bidi="ar-EG"/>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8" w:tgtFrame="_blank" w:history="1">
        <w:r w:rsidRPr="008B35FC">
          <w:rPr>
            <w:rStyle w:val="Hyperlink"/>
            <w:rFonts w:cs="Traditional Arabic"/>
            <w:sz w:val="18"/>
            <w:szCs w:val="24"/>
            <w:u w:val="none"/>
          </w:rPr>
          <w:t>https://dpi.gov.gy/cdc-niosh-visiting-team-submits-findings-to-paho-who/</w:t>
        </w:r>
      </w:hyperlink>
      <w:r w:rsidRPr="008B35FC">
        <w:rPr>
          <w:rFonts w:cs="Traditional Arabic"/>
          <w:sz w:val="18"/>
          <w:szCs w:val="24"/>
          <w:rtl/>
          <w:lang w:bidi="ar-EG"/>
        </w:rPr>
        <w:t>.</w:t>
      </w:r>
    </w:p>
  </w:footnote>
  <w:footnote w:id="12">
    <w:p w14:paraId="187F8114" w14:textId="413F025E" w:rsidR="00D60F9E" w:rsidRPr="003021F3" w:rsidRDefault="00D60F9E" w:rsidP="00C57071">
      <w:pPr>
        <w:pStyle w:val="NormalNonumber"/>
        <w:tabs>
          <w:tab w:val="clear" w:pos="1247"/>
        </w:tabs>
        <w:bidi/>
        <w:spacing w:after="40" w:line="300" w:lineRule="exact"/>
        <w:ind w:left="1134"/>
        <w:jc w:val="both"/>
        <w:textDirection w:val="tbRlV"/>
        <w:rPr>
          <w:rFonts w:cs="Traditional Arabic" w:hint="cs"/>
          <w:sz w:val="18"/>
          <w:szCs w:val="24"/>
          <w:rtl/>
          <w:lang w:eastAsia="zh-TW"/>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r w:rsidR="00C57071">
        <w:rPr>
          <w:rFonts w:cs="Traditional Arabic" w:hint="cs"/>
          <w:sz w:val="18"/>
          <w:szCs w:val="24"/>
          <w:rtl/>
          <w:lang w:eastAsia="zh-TW"/>
        </w:rPr>
        <w:t xml:space="preserve"> </w:t>
      </w:r>
      <w:hyperlink r:id="rId9" w:tgtFrame="_blank" w:tooltip="Ctrl+Click or tap to follow the link" w:history="1">
        <w:r w:rsidR="00C57071" w:rsidRPr="00C57071">
          <w:rPr>
            <w:rStyle w:val="Hyperlink"/>
            <w:rFonts w:asciiTheme="majorBidi" w:hAnsiTheme="majorBidi" w:cstheme="majorBidi"/>
            <w:sz w:val="16"/>
            <w:szCs w:val="16"/>
            <w:u w:val="none"/>
          </w:rPr>
          <w:t>https://www.thegef.org/project/artisanal-and-small-scale-gold-mining-asgm-national-action-plan-nap-suriname</w:t>
        </w:r>
      </w:hyperlink>
      <w:r w:rsidR="00C57071">
        <w:rPr>
          <w:rFonts w:cs="Traditional Arabic" w:hint="cs"/>
          <w:sz w:val="18"/>
          <w:szCs w:val="24"/>
          <w:rtl/>
          <w:lang w:eastAsia="zh-TW"/>
        </w:rPr>
        <w:t>.</w:t>
      </w:r>
    </w:p>
  </w:footnote>
  <w:footnote w:id="13">
    <w:p w14:paraId="0F9F6393" w14:textId="33F5771E" w:rsidR="00122CDE" w:rsidRPr="00C66317" w:rsidRDefault="00122CDE" w:rsidP="006B3E7A">
      <w:pPr>
        <w:pStyle w:val="NormalNonumber"/>
        <w:tabs>
          <w:tab w:val="clear" w:pos="1247"/>
        </w:tabs>
        <w:bidi/>
        <w:spacing w:after="40" w:line="300" w:lineRule="exact"/>
        <w:ind w:left="1132"/>
        <w:jc w:val="both"/>
        <w:textDirection w:val="tbRlV"/>
        <w:rPr>
          <w:rFonts w:cs="Traditional Arabic"/>
          <w:sz w:val="18"/>
          <w:szCs w:val="24"/>
          <w:rtl/>
          <w:lang w:eastAsia="zh-TW" w:bidi="ar-EG"/>
        </w:rPr>
      </w:pPr>
      <w:r w:rsidRPr="00C66317">
        <w:rPr>
          <w:rFonts w:cs="Traditional Arabic"/>
          <w:sz w:val="18"/>
          <w:szCs w:val="24"/>
          <w:rtl/>
          <w:lang w:eastAsia="zh-TW"/>
        </w:rPr>
        <w:t>(</w:t>
      </w:r>
      <w:r w:rsidRPr="00C66317">
        <w:rPr>
          <w:rFonts w:cs="Traditional Arabic"/>
          <w:sz w:val="18"/>
          <w:szCs w:val="24"/>
          <w:rtl/>
          <w:lang w:eastAsia="zh-TW"/>
        </w:rPr>
        <w:footnoteRef/>
      </w:r>
      <w:r w:rsidRPr="00C66317">
        <w:rPr>
          <w:rFonts w:cs="Traditional Arabic"/>
          <w:sz w:val="18"/>
          <w:szCs w:val="24"/>
          <w:rtl/>
          <w:lang w:eastAsia="zh-TW"/>
        </w:rPr>
        <w:t xml:space="preserve">)  </w:t>
      </w:r>
      <w:hyperlink r:id="rId10" w:history="1">
        <w:r w:rsidRPr="00C66317">
          <w:rPr>
            <w:rStyle w:val="Hyperlink"/>
            <w:rFonts w:cs="Traditional Arabic"/>
            <w:sz w:val="18"/>
            <w:szCs w:val="24"/>
            <w:u w:val="none"/>
          </w:rPr>
          <w:t>https://www.ilo.org/wcmsp5/groups/public/---</w:t>
        </w:r>
        <w:proofErr w:type="spellStart"/>
        <w:r w:rsidRPr="00C66317">
          <w:rPr>
            <w:rStyle w:val="Hyperlink"/>
            <w:rFonts w:cs="Traditional Arabic"/>
            <w:sz w:val="18"/>
            <w:szCs w:val="24"/>
            <w:u w:val="none"/>
          </w:rPr>
          <w:t>ed_dialogue</w:t>
        </w:r>
        <w:proofErr w:type="spellEnd"/>
        <w:r w:rsidRPr="00C66317">
          <w:rPr>
            <w:rStyle w:val="Hyperlink"/>
            <w:rFonts w:cs="Traditional Arabic"/>
            <w:sz w:val="18"/>
            <w:szCs w:val="24"/>
            <w:u w:val="none"/>
          </w:rPr>
          <w:t>/---sector/documents/publication/wcms_673662.pdf</w:t>
        </w:r>
      </w:hyperlink>
      <w:r w:rsidRPr="00C66317">
        <w:rPr>
          <w:rFonts w:cs="Traditional Arabic"/>
          <w:sz w:val="18"/>
          <w:szCs w:val="24"/>
          <w:rtl/>
          <w:lang w:bidi="ar-EG"/>
        </w:rPr>
        <w:t>.</w:t>
      </w:r>
    </w:p>
  </w:footnote>
  <w:footnote w:id="14">
    <w:p w14:paraId="414624C5" w14:textId="796145C7" w:rsidR="00122CDE" w:rsidRPr="00C66317" w:rsidRDefault="00122CDE" w:rsidP="00C57071">
      <w:pPr>
        <w:pStyle w:val="NormalNonumber"/>
        <w:tabs>
          <w:tab w:val="clear" w:pos="1247"/>
        </w:tabs>
        <w:bidi/>
        <w:spacing w:after="0" w:line="280" w:lineRule="exact"/>
        <w:ind w:left="1134"/>
        <w:jc w:val="both"/>
        <w:textDirection w:val="tbRlV"/>
        <w:rPr>
          <w:rFonts w:cs="Traditional Arabic" w:hint="cs"/>
          <w:sz w:val="18"/>
          <w:szCs w:val="24"/>
          <w:rtl/>
          <w:lang w:eastAsia="zh-TW"/>
        </w:rPr>
      </w:pPr>
      <w:r w:rsidRPr="00C66317">
        <w:rPr>
          <w:rFonts w:cs="Traditional Arabic"/>
          <w:sz w:val="18"/>
          <w:szCs w:val="24"/>
          <w:rtl/>
          <w:lang w:eastAsia="zh-TW"/>
        </w:rPr>
        <w:t>(</w:t>
      </w:r>
      <w:r w:rsidRPr="00C66317">
        <w:rPr>
          <w:rFonts w:cs="Traditional Arabic"/>
          <w:sz w:val="18"/>
          <w:szCs w:val="24"/>
          <w:rtl/>
          <w:lang w:eastAsia="zh-TW"/>
        </w:rPr>
        <w:footnoteRef/>
      </w:r>
      <w:r w:rsidRPr="00C66317">
        <w:rPr>
          <w:rFonts w:cs="Traditional Arabic"/>
          <w:sz w:val="18"/>
          <w:szCs w:val="24"/>
          <w:rtl/>
          <w:lang w:eastAsia="zh-TW"/>
        </w:rPr>
        <w:t xml:space="preserve">)  </w:t>
      </w:r>
      <w:hyperlink r:id="rId11" w:history="1">
        <w:r w:rsidR="00674309" w:rsidRPr="00C66317">
          <w:rPr>
            <w:rStyle w:val="Hyperlink"/>
            <w:rFonts w:cs="Traditional Arabic"/>
            <w:sz w:val="18"/>
            <w:szCs w:val="24"/>
            <w:u w:val="none"/>
            <w:lang w:eastAsia="zh-TW"/>
          </w:rPr>
          <w:t>https://www.ilo.org/sector/Resources/recommendations-conclusions-of-sectoral-meetings</w:t>
        </w:r>
        <w:r w:rsidR="00674309" w:rsidRPr="00C66317">
          <w:rPr>
            <w:rStyle w:val="Hyperlink"/>
            <w:rFonts w:cs="Traditional Arabic"/>
            <w:sz w:val="18"/>
            <w:szCs w:val="24"/>
            <w:u w:val="none"/>
            <w:lang w:eastAsia="zh-TW"/>
          </w:rPr>
          <w:t>/</w:t>
        </w:r>
      </w:hyperlink>
    </w:p>
    <w:p w14:paraId="1E6CC7C2" w14:textId="31C40170" w:rsidR="00C57071" w:rsidRPr="008B35FC" w:rsidRDefault="00C57071" w:rsidP="00C57071">
      <w:pPr>
        <w:pStyle w:val="NormalNonumber"/>
        <w:tabs>
          <w:tab w:val="clear" w:pos="1247"/>
        </w:tabs>
        <w:bidi/>
        <w:spacing w:after="40" w:line="280" w:lineRule="exact"/>
        <w:ind w:left="1132"/>
        <w:jc w:val="both"/>
        <w:textDirection w:val="tbRlV"/>
        <w:rPr>
          <w:rFonts w:cs="Traditional Arabic" w:hint="cs"/>
          <w:sz w:val="18"/>
          <w:szCs w:val="24"/>
          <w:rtl/>
          <w:lang w:eastAsia="zh-TW"/>
        </w:rPr>
      </w:pPr>
      <w:hyperlink r:id="rId12" w:history="1">
        <w:r w:rsidRPr="00C66317">
          <w:rPr>
            <w:rStyle w:val="Hyperlink"/>
            <w:rFonts w:cs="Traditional Arabic"/>
            <w:sz w:val="16"/>
            <w:szCs w:val="16"/>
            <w:u w:val="none"/>
          </w:rPr>
          <w:t>WCMS_485367</w:t>
        </w:r>
        <w:r w:rsidRPr="00C66317">
          <w:rPr>
            <w:rStyle w:val="Hyperlink"/>
            <w:rFonts w:cs="Traditional Arabic"/>
            <w:sz w:val="18"/>
            <w:szCs w:val="24"/>
            <w:u w:val="none"/>
          </w:rPr>
          <w:t>/</w:t>
        </w:r>
        <w:proofErr w:type="spellStart"/>
        <w:r w:rsidRPr="00C66317">
          <w:rPr>
            <w:rStyle w:val="Hyperlink"/>
            <w:rFonts w:cs="Traditional Arabic"/>
            <w:sz w:val="18"/>
            <w:szCs w:val="24"/>
            <w:u w:val="none"/>
          </w:rPr>
          <w:t>lang</w:t>
        </w:r>
        <w:proofErr w:type="spellEnd"/>
        <w:r w:rsidRPr="00C66317">
          <w:rPr>
            <w:rStyle w:val="Hyperlink"/>
            <w:rFonts w:cs="Traditional Arabic"/>
            <w:sz w:val="18"/>
            <w:szCs w:val="24"/>
            <w:u w:val="none"/>
          </w:rPr>
          <w:t>--</w:t>
        </w:r>
        <w:proofErr w:type="spellStart"/>
        <w:r w:rsidRPr="00C66317">
          <w:rPr>
            <w:rStyle w:val="Hyperlink"/>
            <w:rFonts w:cs="Traditional Arabic"/>
            <w:sz w:val="18"/>
            <w:szCs w:val="24"/>
            <w:u w:val="none"/>
          </w:rPr>
          <w:t>en</w:t>
        </w:r>
        <w:proofErr w:type="spellEnd"/>
        <w:r w:rsidRPr="00C66317">
          <w:rPr>
            <w:rStyle w:val="Hyperlink"/>
            <w:rFonts w:cs="Traditional Arabic"/>
            <w:sz w:val="18"/>
            <w:szCs w:val="24"/>
            <w:u w:val="none"/>
          </w:rPr>
          <w:t>/index.htm</w:t>
        </w:r>
      </w:hyperlink>
      <w:r w:rsidRPr="00C57071">
        <w:rPr>
          <w:rFonts w:cs="Traditional Arabic"/>
          <w:sz w:val="18"/>
          <w:szCs w:val="24"/>
          <w:rtl/>
          <w:lang w:bidi="ar-EG"/>
        </w:rPr>
        <w:t>.</w:t>
      </w:r>
    </w:p>
  </w:footnote>
  <w:footnote w:id="15">
    <w:p w14:paraId="56F1EBF3" w14:textId="0F3FB5F4" w:rsidR="00122CDE" w:rsidRPr="00581D6F" w:rsidRDefault="00122CDE" w:rsidP="006B3E7A">
      <w:pPr>
        <w:pStyle w:val="NormalNonumber"/>
        <w:tabs>
          <w:tab w:val="clear" w:pos="1247"/>
        </w:tabs>
        <w:bidi/>
        <w:spacing w:after="40" w:line="300" w:lineRule="exact"/>
        <w:ind w:left="1132"/>
        <w:jc w:val="both"/>
        <w:textDirection w:val="tbRlV"/>
        <w:rPr>
          <w:rFonts w:cs="Traditional Arabic" w:hint="cs"/>
          <w:sz w:val="18"/>
          <w:szCs w:val="24"/>
          <w:rtl/>
          <w:lang w:val="en-US" w:eastAsia="zh-TW"/>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13" w:history="1">
        <w:r w:rsidR="00581D6F" w:rsidRPr="00581D6F">
          <w:rPr>
            <w:rStyle w:val="Hyperlink"/>
            <w:sz w:val="18"/>
            <w:szCs w:val="18"/>
            <w:u w:val="none"/>
            <w:lang w:val="en-US"/>
          </w:rPr>
          <w:t>https://www.ilo.org/sector/Resources/publications/</w:t>
        </w:r>
        <w:r w:rsidR="00581D6F" w:rsidRPr="00674309">
          <w:rPr>
            <w:rStyle w:val="Hyperlink"/>
            <w:sz w:val="16"/>
            <w:szCs w:val="16"/>
            <w:u w:val="none"/>
            <w:lang w:val="en-US"/>
          </w:rPr>
          <w:t>WCMS</w:t>
        </w:r>
        <w:r w:rsidR="00581D6F" w:rsidRPr="00581D6F">
          <w:rPr>
            <w:rStyle w:val="Hyperlink"/>
            <w:sz w:val="18"/>
            <w:szCs w:val="18"/>
            <w:u w:val="none"/>
            <w:lang w:val="en-US"/>
          </w:rPr>
          <w:t>_485367/lang--en/index.htm</w:t>
        </w:r>
      </w:hyperlink>
      <w:r w:rsidR="00581D6F">
        <w:rPr>
          <w:rFonts w:cs="Traditional Arabic" w:hint="cs"/>
          <w:sz w:val="18"/>
          <w:szCs w:val="24"/>
          <w:rtl/>
          <w:lang w:val="en-US" w:eastAsia="zh-TW"/>
        </w:rPr>
        <w:t>.</w:t>
      </w:r>
    </w:p>
  </w:footnote>
  <w:footnote w:id="16">
    <w:p w14:paraId="2869B50C" w14:textId="604DD0A6" w:rsidR="00122CDE" w:rsidRDefault="00122CDE" w:rsidP="00423516">
      <w:pPr>
        <w:pStyle w:val="NormalNonumber"/>
        <w:tabs>
          <w:tab w:val="clear" w:pos="1247"/>
        </w:tabs>
        <w:bidi/>
        <w:spacing w:after="0" w:line="280" w:lineRule="exact"/>
        <w:ind w:left="1134"/>
        <w:jc w:val="both"/>
        <w:textDirection w:val="tbRlV"/>
        <w:rPr>
          <w:rFonts w:cs="Traditional Arabic"/>
          <w:sz w:val="18"/>
          <w:szCs w:val="24"/>
          <w:rtl/>
        </w:rPr>
      </w:pPr>
      <w:r w:rsidRPr="008B35FC">
        <w:rPr>
          <w:rFonts w:cs="Traditional Arabic"/>
          <w:sz w:val="18"/>
          <w:szCs w:val="24"/>
          <w:rtl/>
          <w:lang w:eastAsia="zh-TW"/>
        </w:rPr>
        <w:t>(</w:t>
      </w:r>
      <w:r w:rsidRPr="008B35FC">
        <w:rPr>
          <w:rFonts w:cs="Traditional Arabic"/>
          <w:sz w:val="18"/>
          <w:szCs w:val="24"/>
          <w:rtl/>
          <w:lang w:eastAsia="zh-TW"/>
        </w:rPr>
        <w:footnoteRef/>
      </w:r>
      <w:r w:rsidRPr="008B35FC">
        <w:rPr>
          <w:rFonts w:cs="Traditional Arabic"/>
          <w:sz w:val="18"/>
          <w:szCs w:val="24"/>
          <w:rtl/>
          <w:lang w:eastAsia="zh-TW"/>
        </w:rPr>
        <w:t xml:space="preserve">)  </w:t>
      </w:r>
      <w:hyperlink r:id="rId14" w:history="1">
        <w:r w:rsidRPr="008B35FC">
          <w:rPr>
            <w:rStyle w:val="Hyperlink"/>
            <w:rFonts w:cs="Traditional Arabic"/>
            <w:sz w:val="18"/>
            <w:szCs w:val="24"/>
            <w:u w:val="none"/>
          </w:rPr>
          <w:t>https://www.ilo.org/wcmsp5/groups/public/---</w:t>
        </w:r>
        <w:proofErr w:type="spellStart"/>
        <w:r w:rsidRPr="008B35FC">
          <w:rPr>
            <w:rStyle w:val="Hyperlink"/>
            <w:rFonts w:cs="Traditional Arabic"/>
            <w:sz w:val="18"/>
            <w:szCs w:val="24"/>
            <w:u w:val="none"/>
          </w:rPr>
          <w:t>ed_dialogue</w:t>
        </w:r>
        <w:proofErr w:type="spellEnd"/>
        <w:r w:rsidRPr="008B35FC">
          <w:rPr>
            <w:rStyle w:val="Hyperlink"/>
            <w:rFonts w:cs="Traditional Arabic"/>
            <w:sz w:val="18"/>
            <w:szCs w:val="24"/>
            <w:u w:val="none"/>
          </w:rPr>
          <w:t>/---sector/documents/</w:t>
        </w:r>
        <w:proofErr w:type="spellStart"/>
        <w:r w:rsidRPr="008B35FC">
          <w:rPr>
            <w:rStyle w:val="Hyperlink"/>
            <w:rFonts w:cs="Traditional Arabic"/>
            <w:sz w:val="18"/>
            <w:szCs w:val="24"/>
            <w:u w:val="none"/>
          </w:rPr>
          <w:t>normativeinstrument</w:t>
        </w:r>
        <w:proofErr w:type="spellEnd"/>
      </w:hyperlink>
    </w:p>
    <w:p w14:paraId="3933B4A9" w14:textId="258B3539" w:rsidR="00423516" w:rsidRPr="008B35FC" w:rsidRDefault="00423516" w:rsidP="00423516">
      <w:pPr>
        <w:pStyle w:val="NormalNonumber"/>
        <w:tabs>
          <w:tab w:val="clear" w:pos="1247"/>
        </w:tabs>
        <w:bidi/>
        <w:spacing w:after="0" w:line="280" w:lineRule="exact"/>
        <w:ind w:left="1134"/>
        <w:jc w:val="both"/>
        <w:textDirection w:val="tbRlV"/>
        <w:rPr>
          <w:rFonts w:cs="Traditional Arabic" w:hint="cs"/>
          <w:sz w:val="18"/>
          <w:szCs w:val="24"/>
          <w:rtl/>
          <w:lang w:eastAsia="zh-TW"/>
        </w:rPr>
      </w:pPr>
      <w:r w:rsidRPr="00423516">
        <w:rPr>
          <w:rStyle w:val="Hyperlink"/>
          <w:u w:val="none"/>
          <w:rtl/>
        </w:rPr>
        <w:t>/</w:t>
      </w:r>
      <w:r w:rsidRPr="00423516">
        <w:rPr>
          <w:rStyle w:val="Hyperlink"/>
          <w:rFonts w:cs="Traditional Arabic"/>
          <w:sz w:val="18"/>
          <w:szCs w:val="24"/>
          <w:u w:val="none"/>
        </w:rPr>
        <w:t>wcms_617123.pd</w:t>
      </w:r>
      <w:r w:rsidRPr="00423516">
        <w:rPr>
          <w:rStyle w:val="Hyperlink"/>
          <w:u w:val="none"/>
        </w:rPr>
        <w:t>f</w:t>
      </w:r>
      <w:r>
        <w:rPr>
          <w:rFonts w:cs="Traditional Arabic" w:hint="cs"/>
          <w:sz w:val="18"/>
          <w:szCs w:val="24"/>
          <w:rtl/>
          <w:lang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0DA01C0A" w:rsidR="003F7510" w:rsidRPr="009D4EBB" w:rsidRDefault="003F7510" w:rsidP="008F5CBD">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2B0583DA" w:rsidR="003F7510" w:rsidRPr="00EC3A5F" w:rsidRDefault="003F7510" w:rsidP="008F5CBD">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AD8F4" w14:textId="2EE8651C" w:rsidR="003F7510" w:rsidRPr="007D523D" w:rsidRDefault="003F7510" w:rsidP="007D523D">
    <w:pPr>
      <w:pBdr>
        <w:bottom w:val="single" w:sz="4" w:space="0" w:color="auto"/>
      </w:pBdr>
      <w:spacing w:before="20" w:after="40"/>
      <w:jc w:val="right"/>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09EA0B40"/>
    <w:multiLevelType w:val="hybridMultilevel"/>
    <w:tmpl w:val="8E6424CE"/>
    <w:lvl w:ilvl="0" w:tplc="2BD86584">
      <w:start w:val="1"/>
      <w:numFmt w:val="decimal"/>
      <w:lvlText w:val="%1 -"/>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A8C3BFB"/>
    <w:multiLevelType w:val="hybridMultilevel"/>
    <w:tmpl w:val="9258DFA4"/>
    <w:lvl w:ilvl="0" w:tplc="6F1E64FA">
      <w:start w:val="1"/>
      <w:numFmt w:val="decimal"/>
      <w:lvlText w:val="%1 -"/>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10"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1"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2"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5F1F63C8"/>
    <w:multiLevelType w:val="hybridMultilevel"/>
    <w:tmpl w:val="9258DFA4"/>
    <w:lvl w:ilvl="0" w:tplc="6F1E64FA">
      <w:start w:val="1"/>
      <w:numFmt w:val="decimal"/>
      <w:lvlText w:val="%1 -"/>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7"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9"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20"/>
  </w:num>
  <w:num w:numId="4">
    <w:abstractNumId w:val="18"/>
  </w:num>
  <w:num w:numId="5">
    <w:abstractNumId w:val="9"/>
  </w:num>
  <w:num w:numId="6">
    <w:abstractNumId w:val="11"/>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4"/>
  </w:num>
  <w:num w:numId="12">
    <w:abstractNumId w:val="5"/>
  </w:num>
  <w:num w:numId="1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7"/>
    <w:lvlOverride w:ilvl="0">
      <w:lvl w:ilvl="0" w:tplc="B724672E">
        <w:start w:val="1"/>
        <w:numFmt w:val="decimal"/>
        <w:lvlText w:val="%1-"/>
        <w:lvlJc w:val="left"/>
        <w:pPr>
          <w:ind w:left="2071" w:hanging="360"/>
        </w:pPr>
        <w:rPr>
          <w:b w:val="0"/>
          <w:i w:val="0"/>
        </w:rPr>
      </w:lvl>
    </w:lvlOverride>
  </w:num>
  <w:num w:numId="20">
    <w:abstractNumId w:val="15"/>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19"/>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5">
    <w:abstractNumId w:val="7"/>
  </w:num>
  <w:num w:numId="2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9">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4">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5">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39">
    <w:abstractNumId w:val="17"/>
  </w:num>
  <w:num w:numId="40">
    <w:abstractNumId w:val="3"/>
  </w:num>
  <w:num w:numId="4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nda Moukayed">
    <w15:presenceInfo w15:providerId="None" w15:userId="Randa Mouka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activeWritingStyle w:appName="MSWord" w:lang="ar-SA" w:vendorID="64" w:dllVersion="0" w:nlCheck="1" w:checkStyle="0"/>
  <w:activeWritingStyle w:appName="MSWord" w:lang="en-US" w:vendorID="64" w:dllVersion="0" w:nlCheck="1" w:checkStyle="1"/>
  <w:activeWritingStyle w:appName="MSWord" w:lang="fr-FR" w:vendorID="64" w:dllVersion="0" w:nlCheck="1" w:checkStyle="1"/>
  <w:activeWritingStyle w:appName="MSWord" w:lang="ar-EG" w:vendorID="64" w:dllVersion="0" w:nlCheck="1" w:checkStyle="0"/>
  <w:activeWritingStyle w:appName="MSWord" w:lang="en-GB"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evenAndOddHeaders/>
  <w:drawingGridHorizontalSpacing w:val="171"/>
  <w:drawingGridVerticalSpacing w:val="233"/>
  <w:displayHorizontalDrawingGridEvery w:val="0"/>
  <w:noPunctuationKerning/>
  <w:characterSpacingControl w:val="doNotCompress"/>
  <w:hdrShapeDefaults>
    <o:shapedefaults v:ext="edit" spidmax="8193"/>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25854"/>
    <w:rsid w:val="0003131F"/>
    <w:rsid w:val="00033595"/>
    <w:rsid w:val="00033A5C"/>
    <w:rsid w:val="00037D52"/>
    <w:rsid w:val="0004010A"/>
    <w:rsid w:val="00051665"/>
    <w:rsid w:val="000545E0"/>
    <w:rsid w:val="00055743"/>
    <w:rsid w:val="0006021A"/>
    <w:rsid w:val="000668FE"/>
    <w:rsid w:val="00071F69"/>
    <w:rsid w:val="00072F5D"/>
    <w:rsid w:val="00073E56"/>
    <w:rsid w:val="0008088A"/>
    <w:rsid w:val="000844F9"/>
    <w:rsid w:val="000A14CF"/>
    <w:rsid w:val="000A33B7"/>
    <w:rsid w:val="000A49C5"/>
    <w:rsid w:val="000A7260"/>
    <w:rsid w:val="000B1AA7"/>
    <w:rsid w:val="000B41E8"/>
    <w:rsid w:val="000C042E"/>
    <w:rsid w:val="000C6AF1"/>
    <w:rsid w:val="000C72D5"/>
    <w:rsid w:val="000D489C"/>
    <w:rsid w:val="000D775A"/>
    <w:rsid w:val="000E3644"/>
    <w:rsid w:val="000E366B"/>
    <w:rsid w:val="000E633A"/>
    <w:rsid w:val="000F083C"/>
    <w:rsid w:val="000F2EC6"/>
    <w:rsid w:val="000F39C0"/>
    <w:rsid w:val="000F712A"/>
    <w:rsid w:val="00102A11"/>
    <w:rsid w:val="001045C2"/>
    <w:rsid w:val="00110B3D"/>
    <w:rsid w:val="00111DDA"/>
    <w:rsid w:val="001122CD"/>
    <w:rsid w:val="00115715"/>
    <w:rsid w:val="0012040B"/>
    <w:rsid w:val="00120651"/>
    <w:rsid w:val="001223A2"/>
    <w:rsid w:val="00122CDE"/>
    <w:rsid w:val="00124CC4"/>
    <w:rsid w:val="00131860"/>
    <w:rsid w:val="00131CE1"/>
    <w:rsid w:val="00134EB1"/>
    <w:rsid w:val="0013579C"/>
    <w:rsid w:val="001367EA"/>
    <w:rsid w:val="001368B8"/>
    <w:rsid w:val="0014278C"/>
    <w:rsid w:val="00143EB4"/>
    <w:rsid w:val="00153644"/>
    <w:rsid w:val="001536B1"/>
    <w:rsid w:val="00154323"/>
    <w:rsid w:val="00154CC2"/>
    <w:rsid w:val="00157B75"/>
    <w:rsid w:val="001640DB"/>
    <w:rsid w:val="00165BE3"/>
    <w:rsid w:val="0017427B"/>
    <w:rsid w:val="00174BBC"/>
    <w:rsid w:val="00177C0C"/>
    <w:rsid w:val="001841AD"/>
    <w:rsid w:val="001844E3"/>
    <w:rsid w:val="00186DE2"/>
    <w:rsid w:val="00193E50"/>
    <w:rsid w:val="001A0F83"/>
    <w:rsid w:val="001A6258"/>
    <w:rsid w:val="001B03D9"/>
    <w:rsid w:val="001C0D36"/>
    <w:rsid w:val="001C16C7"/>
    <w:rsid w:val="001C1DD1"/>
    <w:rsid w:val="001C513F"/>
    <w:rsid w:val="001C7BC3"/>
    <w:rsid w:val="001D3A25"/>
    <w:rsid w:val="001D6BA5"/>
    <w:rsid w:val="001E1443"/>
    <w:rsid w:val="001E4795"/>
    <w:rsid w:val="001E4E69"/>
    <w:rsid w:val="001E6E8E"/>
    <w:rsid w:val="001F0C9C"/>
    <w:rsid w:val="001F171C"/>
    <w:rsid w:val="001F390D"/>
    <w:rsid w:val="001F6F5B"/>
    <w:rsid w:val="00201ED5"/>
    <w:rsid w:val="002079F8"/>
    <w:rsid w:val="002141B6"/>
    <w:rsid w:val="00217F36"/>
    <w:rsid w:val="002239E4"/>
    <w:rsid w:val="00227D89"/>
    <w:rsid w:val="002300EA"/>
    <w:rsid w:val="0023160B"/>
    <w:rsid w:val="00232302"/>
    <w:rsid w:val="002323CD"/>
    <w:rsid w:val="002361BF"/>
    <w:rsid w:val="00236AAD"/>
    <w:rsid w:val="00250873"/>
    <w:rsid w:val="00252FE5"/>
    <w:rsid w:val="00255F00"/>
    <w:rsid w:val="00260A65"/>
    <w:rsid w:val="00260C3B"/>
    <w:rsid w:val="00261436"/>
    <w:rsid w:val="00261451"/>
    <w:rsid w:val="00267DA8"/>
    <w:rsid w:val="0027071F"/>
    <w:rsid w:val="00276330"/>
    <w:rsid w:val="002772B3"/>
    <w:rsid w:val="0028115E"/>
    <w:rsid w:val="00291EAE"/>
    <w:rsid w:val="00295F25"/>
    <w:rsid w:val="002962A4"/>
    <w:rsid w:val="002A2BDE"/>
    <w:rsid w:val="002B14DB"/>
    <w:rsid w:val="002B250C"/>
    <w:rsid w:val="002C0D23"/>
    <w:rsid w:val="002C1EE1"/>
    <w:rsid w:val="002C46F7"/>
    <w:rsid w:val="002C60AD"/>
    <w:rsid w:val="002D07C5"/>
    <w:rsid w:val="002D57DB"/>
    <w:rsid w:val="002E7390"/>
    <w:rsid w:val="002F11C2"/>
    <w:rsid w:val="002F74A0"/>
    <w:rsid w:val="003021F3"/>
    <w:rsid w:val="00304FAF"/>
    <w:rsid w:val="00306618"/>
    <w:rsid w:val="00310BFE"/>
    <w:rsid w:val="00317E61"/>
    <w:rsid w:val="00317EFB"/>
    <w:rsid w:val="00323929"/>
    <w:rsid w:val="003501E1"/>
    <w:rsid w:val="003511A7"/>
    <w:rsid w:val="00351FDC"/>
    <w:rsid w:val="003553DB"/>
    <w:rsid w:val="00355C76"/>
    <w:rsid w:val="0036154E"/>
    <w:rsid w:val="0036250E"/>
    <w:rsid w:val="00362A93"/>
    <w:rsid w:val="003821A4"/>
    <w:rsid w:val="0038322E"/>
    <w:rsid w:val="00384B8A"/>
    <w:rsid w:val="00386602"/>
    <w:rsid w:val="00386BD3"/>
    <w:rsid w:val="00390CD8"/>
    <w:rsid w:val="003914D5"/>
    <w:rsid w:val="003923ED"/>
    <w:rsid w:val="00397363"/>
    <w:rsid w:val="003B1437"/>
    <w:rsid w:val="003B507C"/>
    <w:rsid w:val="003C3E04"/>
    <w:rsid w:val="003C42E1"/>
    <w:rsid w:val="003C6409"/>
    <w:rsid w:val="003C6718"/>
    <w:rsid w:val="003D355A"/>
    <w:rsid w:val="003E0E95"/>
    <w:rsid w:val="003E1210"/>
    <w:rsid w:val="003E4E41"/>
    <w:rsid w:val="003F7510"/>
    <w:rsid w:val="003F77FF"/>
    <w:rsid w:val="0040218B"/>
    <w:rsid w:val="00403B93"/>
    <w:rsid w:val="00405211"/>
    <w:rsid w:val="004112CD"/>
    <w:rsid w:val="00417E05"/>
    <w:rsid w:val="0042042E"/>
    <w:rsid w:val="00420706"/>
    <w:rsid w:val="00423516"/>
    <w:rsid w:val="00423AEE"/>
    <w:rsid w:val="00440194"/>
    <w:rsid w:val="00451081"/>
    <w:rsid w:val="00451ABD"/>
    <w:rsid w:val="004524AB"/>
    <w:rsid w:val="00452B9C"/>
    <w:rsid w:val="004547E5"/>
    <w:rsid w:val="004606CA"/>
    <w:rsid w:val="00463694"/>
    <w:rsid w:val="00472C66"/>
    <w:rsid w:val="0047425F"/>
    <w:rsid w:val="00483DBC"/>
    <w:rsid w:val="00485260"/>
    <w:rsid w:val="004916B5"/>
    <w:rsid w:val="0049251D"/>
    <w:rsid w:val="00495361"/>
    <w:rsid w:val="004A0190"/>
    <w:rsid w:val="004A1FC4"/>
    <w:rsid w:val="004A65D6"/>
    <w:rsid w:val="004B0A17"/>
    <w:rsid w:val="004B31E3"/>
    <w:rsid w:val="004C6AB5"/>
    <w:rsid w:val="004D0F9A"/>
    <w:rsid w:val="004D2B12"/>
    <w:rsid w:val="004D41C2"/>
    <w:rsid w:val="004D567F"/>
    <w:rsid w:val="004E001B"/>
    <w:rsid w:val="004E1EDE"/>
    <w:rsid w:val="004E4EB2"/>
    <w:rsid w:val="004E5370"/>
    <w:rsid w:val="004E7B30"/>
    <w:rsid w:val="004F26CB"/>
    <w:rsid w:val="00500F3E"/>
    <w:rsid w:val="005023EE"/>
    <w:rsid w:val="00505660"/>
    <w:rsid w:val="005064C3"/>
    <w:rsid w:val="0052269E"/>
    <w:rsid w:val="00522932"/>
    <w:rsid w:val="005234DB"/>
    <w:rsid w:val="00530F46"/>
    <w:rsid w:val="00540949"/>
    <w:rsid w:val="005435B2"/>
    <w:rsid w:val="0055540A"/>
    <w:rsid w:val="005626F1"/>
    <w:rsid w:val="005668AB"/>
    <w:rsid w:val="005761F0"/>
    <w:rsid w:val="00581D6F"/>
    <w:rsid w:val="00586DEA"/>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8A9"/>
    <w:rsid w:val="005E6B63"/>
    <w:rsid w:val="005F3809"/>
    <w:rsid w:val="005F5925"/>
    <w:rsid w:val="00601018"/>
    <w:rsid w:val="0060188A"/>
    <w:rsid w:val="0060772E"/>
    <w:rsid w:val="00614BE8"/>
    <w:rsid w:val="00615461"/>
    <w:rsid w:val="006160A4"/>
    <w:rsid w:val="00621531"/>
    <w:rsid w:val="006227F4"/>
    <w:rsid w:val="006242C0"/>
    <w:rsid w:val="00632CDF"/>
    <w:rsid w:val="0063365A"/>
    <w:rsid w:val="0063685D"/>
    <w:rsid w:val="00643398"/>
    <w:rsid w:val="00655BF2"/>
    <w:rsid w:val="006569BD"/>
    <w:rsid w:val="00671875"/>
    <w:rsid w:val="00674309"/>
    <w:rsid w:val="0067612D"/>
    <w:rsid w:val="00684004"/>
    <w:rsid w:val="00684243"/>
    <w:rsid w:val="00696059"/>
    <w:rsid w:val="006A7E4F"/>
    <w:rsid w:val="006B05FA"/>
    <w:rsid w:val="006B3E7A"/>
    <w:rsid w:val="006B54B1"/>
    <w:rsid w:val="006C028B"/>
    <w:rsid w:val="006C3C16"/>
    <w:rsid w:val="006C560D"/>
    <w:rsid w:val="006D0402"/>
    <w:rsid w:val="006D598B"/>
    <w:rsid w:val="006E1D97"/>
    <w:rsid w:val="006E4BE0"/>
    <w:rsid w:val="006F036C"/>
    <w:rsid w:val="006F2DCA"/>
    <w:rsid w:val="006F6824"/>
    <w:rsid w:val="006F7F31"/>
    <w:rsid w:val="00706852"/>
    <w:rsid w:val="00711AC1"/>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3625"/>
    <w:rsid w:val="007A671B"/>
    <w:rsid w:val="007B0E55"/>
    <w:rsid w:val="007B173A"/>
    <w:rsid w:val="007B431F"/>
    <w:rsid w:val="007B5F59"/>
    <w:rsid w:val="007B7061"/>
    <w:rsid w:val="007B75A1"/>
    <w:rsid w:val="007C62EE"/>
    <w:rsid w:val="007C73F5"/>
    <w:rsid w:val="007D019B"/>
    <w:rsid w:val="007D3018"/>
    <w:rsid w:val="007D523D"/>
    <w:rsid w:val="007D6ED0"/>
    <w:rsid w:val="007E0C9A"/>
    <w:rsid w:val="007F0F88"/>
    <w:rsid w:val="007F304D"/>
    <w:rsid w:val="00802A2C"/>
    <w:rsid w:val="00802B63"/>
    <w:rsid w:val="00805014"/>
    <w:rsid w:val="00811602"/>
    <w:rsid w:val="00822614"/>
    <w:rsid w:val="008321C1"/>
    <w:rsid w:val="008323B3"/>
    <w:rsid w:val="008338BA"/>
    <w:rsid w:val="0084752E"/>
    <w:rsid w:val="008500FB"/>
    <w:rsid w:val="00852F12"/>
    <w:rsid w:val="008563B5"/>
    <w:rsid w:val="00873A40"/>
    <w:rsid w:val="00880C90"/>
    <w:rsid w:val="00887CE8"/>
    <w:rsid w:val="0089216B"/>
    <w:rsid w:val="0089620E"/>
    <w:rsid w:val="008A542D"/>
    <w:rsid w:val="008A5EBB"/>
    <w:rsid w:val="008A79DC"/>
    <w:rsid w:val="008B35FC"/>
    <w:rsid w:val="008B6A62"/>
    <w:rsid w:val="008C1D01"/>
    <w:rsid w:val="008C23F0"/>
    <w:rsid w:val="008C2FD9"/>
    <w:rsid w:val="008F1CA5"/>
    <w:rsid w:val="008F3FEF"/>
    <w:rsid w:val="008F4416"/>
    <w:rsid w:val="008F5CBD"/>
    <w:rsid w:val="0090002B"/>
    <w:rsid w:val="009017E0"/>
    <w:rsid w:val="009076B0"/>
    <w:rsid w:val="00917616"/>
    <w:rsid w:val="0092522D"/>
    <w:rsid w:val="00926C1F"/>
    <w:rsid w:val="00931CC7"/>
    <w:rsid w:val="0093243F"/>
    <w:rsid w:val="00933976"/>
    <w:rsid w:val="00934EBC"/>
    <w:rsid w:val="00934FB6"/>
    <w:rsid w:val="00952DAB"/>
    <w:rsid w:val="00955980"/>
    <w:rsid w:val="0096449B"/>
    <w:rsid w:val="00970694"/>
    <w:rsid w:val="00980B82"/>
    <w:rsid w:val="009819E2"/>
    <w:rsid w:val="00983518"/>
    <w:rsid w:val="00986A42"/>
    <w:rsid w:val="0099049A"/>
    <w:rsid w:val="009A052E"/>
    <w:rsid w:val="009A0564"/>
    <w:rsid w:val="009A11E7"/>
    <w:rsid w:val="009A1FDF"/>
    <w:rsid w:val="009A3A1F"/>
    <w:rsid w:val="009A6C71"/>
    <w:rsid w:val="009B1576"/>
    <w:rsid w:val="009B2A75"/>
    <w:rsid w:val="009B5F2A"/>
    <w:rsid w:val="009C40AA"/>
    <w:rsid w:val="009C5B87"/>
    <w:rsid w:val="009D06F9"/>
    <w:rsid w:val="009D28AB"/>
    <w:rsid w:val="009D4EBB"/>
    <w:rsid w:val="009D58E8"/>
    <w:rsid w:val="009E2CE5"/>
    <w:rsid w:val="009E4569"/>
    <w:rsid w:val="009E46DF"/>
    <w:rsid w:val="009E6EAB"/>
    <w:rsid w:val="009F7025"/>
    <w:rsid w:val="00A02D05"/>
    <w:rsid w:val="00A108BD"/>
    <w:rsid w:val="00A12840"/>
    <w:rsid w:val="00A13F1B"/>
    <w:rsid w:val="00A178E1"/>
    <w:rsid w:val="00A23B72"/>
    <w:rsid w:val="00A26E11"/>
    <w:rsid w:val="00A34C1A"/>
    <w:rsid w:val="00A579D1"/>
    <w:rsid w:val="00A57F44"/>
    <w:rsid w:val="00A65127"/>
    <w:rsid w:val="00A658DD"/>
    <w:rsid w:val="00A67825"/>
    <w:rsid w:val="00A701A5"/>
    <w:rsid w:val="00A746B8"/>
    <w:rsid w:val="00A76B59"/>
    <w:rsid w:val="00A969A0"/>
    <w:rsid w:val="00AA32A0"/>
    <w:rsid w:val="00AB1E5D"/>
    <w:rsid w:val="00AC1493"/>
    <w:rsid w:val="00AC5F19"/>
    <w:rsid w:val="00AE4729"/>
    <w:rsid w:val="00AF0DF6"/>
    <w:rsid w:val="00AF5266"/>
    <w:rsid w:val="00B0033E"/>
    <w:rsid w:val="00B110B0"/>
    <w:rsid w:val="00B179A4"/>
    <w:rsid w:val="00B17F47"/>
    <w:rsid w:val="00B3054B"/>
    <w:rsid w:val="00B31166"/>
    <w:rsid w:val="00B336C3"/>
    <w:rsid w:val="00B42C89"/>
    <w:rsid w:val="00B47718"/>
    <w:rsid w:val="00B602AD"/>
    <w:rsid w:val="00B64B13"/>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D7F4A"/>
    <w:rsid w:val="00BE20CA"/>
    <w:rsid w:val="00BE3C21"/>
    <w:rsid w:val="00BF64C6"/>
    <w:rsid w:val="00BF7F42"/>
    <w:rsid w:val="00C0576B"/>
    <w:rsid w:val="00C0594F"/>
    <w:rsid w:val="00C074F0"/>
    <w:rsid w:val="00C1200F"/>
    <w:rsid w:val="00C1297E"/>
    <w:rsid w:val="00C2111C"/>
    <w:rsid w:val="00C245E3"/>
    <w:rsid w:val="00C33F5C"/>
    <w:rsid w:val="00C34FDE"/>
    <w:rsid w:val="00C36378"/>
    <w:rsid w:val="00C37B3A"/>
    <w:rsid w:val="00C47E78"/>
    <w:rsid w:val="00C56205"/>
    <w:rsid w:val="00C57071"/>
    <w:rsid w:val="00C60C8B"/>
    <w:rsid w:val="00C66317"/>
    <w:rsid w:val="00C712BF"/>
    <w:rsid w:val="00C7529E"/>
    <w:rsid w:val="00C75C0B"/>
    <w:rsid w:val="00C762BE"/>
    <w:rsid w:val="00C7670D"/>
    <w:rsid w:val="00C85728"/>
    <w:rsid w:val="00C86BDC"/>
    <w:rsid w:val="00C90A4C"/>
    <w:rsid w:val="00C91665"/>
    <w:rsid w:val="00C94729"/>
    <w:rsid w:val="00CA4F8C"/>
    <w:rsid w:val="00CB79F1"/>
    <w:rsid w:val="00CC16CF"/>
    <w:rsid w:val="00CD25C4"/>
    <w:rsid w:val="00CD399B"/>
    <w:rsid w:val="00CD4572"/>
    <w:rsid w:val="00CD5653"/>
    <w:rsid w:val="00CD5E36"/>
    <w:rsid w:val="00CE1643"/>
    <w:rsid w:val="00D05640"/>
    <w:rsid w:val="00D0655D"/>
    <w:rsid w:val="00D10178"/>
    <w:rsid w:val="00D113A9"/>
    <w:rsid w:val="00D12FDA"/>
    <w:rsid w:val="00D15263"/>
    <w:rsid w:val="00D1613F"/>
    <w:rsid w:val="00D21049"/>
    <w:rsid w:val="00D3078C"/>
    <w:rsid w:val="00D444E7"/>
    <w:rsid w:val="00D44CE3"/>
    <w:rsid w:val="00D52814"/>
    <w:rsid w:val="00D52B4F"/>
    <w:rsid w:val="00D55934"/>
    <w:rsid w:val="00D569AA"/>
    <w:rsid w:val="00D578BF"/>
    <w:rsid w:val="00D60E05"/>
    <w:rsid w:val="00D60F9E"/>
    <w:rsid w:val="00D66C66"/>
    <w:rsid w:val="00D670EE"/>
    <w:rsid w:val="00D70490"/>
    <w:rsid w:val="00D71822"/>
    <w:rsid w:val="00D7320E"/>
    <w:rsid w:val="00D733C5"/>
    <w:rsid w:val="00D801BF"/>
    <w:rsid w:val="00D8079A"/>
    <w:rsid w:val="00D80FA4"/>
    <w:rsid w:val="00D90EDD"/>
    <w:rsid w:val="00D9173E"/>
    <w:rsid w:val="00D91942"/>
    <w:rsid w:val="00D958DE"/>
    <w:rsid w:val="00DA14CC"/>
    <w:rsid w:val="00DA1588"/>
    <w:rsid w:val="00DA2176"/>
    <w:rsid w:val="00DA3FB6"/>
    <w:rsid w:val="00DA494E"/>
    <w:rsid w:val="00DA61CC"/>
    <w:rsid w:val="00DB686B"/>
    <w:rsid w:val="00DB6958"/>
    <w:rsid w:val="00DC42BA"/>
    <w:rsid w:val="00DC4E2F"/>
    <w:rsid w:val="00DC590D"/>
    <w:rsid w:val="00DD2F15"/>
    <w:rsid w:val="00DD30CF"/>
    <w:rsid w:val="00DE44A3"/>
    <w:rsid w:val="00DE796A"/>
    <w:rsid w:val="00E015AC"/>
    <w:rsid w:val="00E0494C"/>
    <w:rsid w:val="00E1515A"/>
    <w:rsid w:val="00E176E7"/>
    <w:rsid w:val="00E2101B"/>
    <w:rsid w:val="00E323C0"/>
    <w:rsid w:val="00E362E3"/>
    <w:rsid w:val="00E369DB"/>
    <w:rsid w:val="00E36EB2"/>
    <w:rsid w:val="00E51BAF"/>
    <w:rsid w:val="00E55C82"/>
    <w:rsid w:val="00E63CFD"/>
    <w:rsid w:val="00E642AB"/>
    <w:rsid w:val="00E720C8"/>
    <w:rsid w:val="00E730A2"/>
    <w:rsid w:val="00E7491C"/>
    <w:rsid w:val="00E760C7"/>
    <w:rsid w:val="00E90558"/>
    <w:rsid w:val="00E96DEF"/>
    <w:rsid w:val="00E97C5A"/>
    <w:rsid w:val="00EA0788"/>
    <w:rsid w:val="00EA0F41"/>
    <w:rsid w:val="00EA14B6"/>
    <w:rsid w:val="00EB1427"/>
    <w:rsid w:val="00EB63CF"/>
    <w:rsid w:val="00EC35F9"/>
    <w:rsid w:val="00EC3A5F"/>
    <w:rsid w:val="00ED03F8"/>
    <w:rsid w:val="00ED0538"/>
    <w:rsid w:val="00ED77A3"/>
    <w:rsid w:val="00EE026C"/>
    <w:rsid w:val="00EE48F0"/>
    <w:rsid w:val="00EF0793"/>
    <w:rsid w:val="00F029FD"/>
    <w:rsid w:val="00F12DD6"/>
    <w:rsid w:val="00F1601D"/>
    <w:rsid w:val="00F240DC"/>
    <w:rsid w:val="00F26CD0"/>
    <w:rsid w:val="00F318C4"/>
    <w:rsid w:val="00F47390"/>
    <w:rsid w:val="00F50135"/>
    <w:rsid w:val="00F61AB5"/>
    <w:rsid w:val="00F64BB3"/>
    <w:rsid w:val="00F70C3F"/>
    <w:rsid w:val="00F73A83"/>
    <w:rsid w:val="00F7639B"/>
    <w:rsid w:val="00F8037B"/>
    <w:rsid w:val="00F80E12"/>
    <w:rsid w:val="00F93241"/>
    <w:rsid w:val="00FB59A6"/>
    <w:rsid w:val="00FB6F90"/>
    <w:rsid w:val="00FC4330"/>
    <w:rsid w:val="00FC5790"/>
    <w:rsid w:val="00FD07CC"/>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character" w:styleId="CommentReference">
    <w:name w:val="annotation reference"/>
    <w:basedOn w:val="DefaultParagraphFont"/>
    <w:semiHidden/>
    <w:unhideWhenUsed/>
    <w:rsid w:val="001F6F5B"/>
    <w:rPr>
      <w:sz w:val="16"/>
      <w:szCs w:val="16"/>
    </w:rPr>
  </w:style>
  <w:style w:type="paragraph" w:styleId="CommentText">
    <w:name w:val="annotation text"/>
    <w:basedOn w:val="Normal"/>
    <w:link w:val="CommentTextChar"/>
    <w:semiHidden/>
    <w:unhideWhenUsed/>
    <w:rsid w:val="001F6F5B"/>
    <w:rPr>
      <w:szCs w:val="20"/>
    </w:rPr>
  </w:style>
  <w:style w:type="character" w:customStyle="1" w:styleId="CommentTextChar">
    <w:name w:val="Comment Text Char"/>
    <w:basedOn w:val="DefaultParagraphFont"/>
    <w:link w:val="CommentText"/>
    <w:semiHidden/>
    <w:rsid w:val="001F6F5B"/>
  </w:style>
  <w:style w:type="paragraph" w:styleId="CommentSubject">
    <w:name w:val="annotation subject"/>
    <w:basedOn w:val="CommentText"/>
    <w:next w:val="CommentText"/>
    <w:link w:val="CommentSubjectChar"/>
    <w:semiHidden/>
    <w:unhideWhenUsed/>
    <w:rsid w:val="001F6F5B"/>
    <w:rPr>
      <w:b/>
      <w:bCs/>
    </w:rPr>
  </w:style>
  <w:style w:type="character" w:customStyle="1" w:styleId="CommentSubjectChar">
    <w:name w:val="Comment Subject Char"/>
    <w:basedOn w:val="CommentTextChar"/>
    <w:link w:val="CommentSubject"/>
    <w:semiHidden/>
    <w:rsid w:val="001F6F5B"/>
    <w:rPr>
      <w:b/>
      <w:bCs/>
    </w:rPr>
  </w:style>
  <w:style w:type="paragraph" w:customStyle="1" w:styleId="NormalNonumber">
    <w:name w:val="Normal_No_number"/>
    <w:basedOn w:val="Normal"/>
    <w:link w:val="NormalNonumberChar"/>
    <w:rsid w:val="00355C76"/>
    <w:pPr>
      <w:tabs>
        <w:tab w:val="left" w:pos="1247"/>
        <w:tab w:val="left" w:pos="1814"/>
        <w:tab w:val="left" w:pos="2381"/>
        <w:tab w:val="left" w:pos="2948"/>
        <w:tab w:val="left" w:pos="3515"/>
      </w:tabs>
      <w:spacing w:after="120"/>
      <w:ind w:left="1247"/>
    </w:pPr>
    <w:rPr>
      <w:rFonts w:cs="Times New Roman"/>
      <w:szCs w:val="20"/>
      <w:lang w:val="en-GB"/>
    </w:rPr>
  </w:style>
  <w:style w:type="character" w:customStyle="1" w:styleId="NormalNonumberChar">
    <w:name w:val="Normal_No_number Char"/>
    <w:link w:val="NormalNonumber"/>
    <w:rsid w:val="00355C76"/>
    <w:rPr>
      <w:rFonts w:cs="Times New Roman"/>
      <w:lang w:val="en-GB"/>
    </w:rPr>
  </w:style>
  <w:style w:type="character" w:styleId="UnresolvedMention">
    <w:name w:val="Unresolved Mention"/>
    <w:basedOn w:val="DefaultParagraphFont"/>
    <w:uiPriority w:val="99"/>
    <w:semiHidden/>
    <w:unhideWhenUsed/>
    <w:rsid w:val="008B3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pi.gov.gy/cdc-niosh-visiting-team-submits-findings-to-paho-who/" TargetMode="External"/><Relationship Id="rId13" Type="http://schemas.openxmlformats.org/officeDocument/2006/relationships/hyperlink" Target="https://www.ilo.org/sector/Resources/publications/WCMS_485367/lang--en/index.htm" TargetMode="External"/><Relationship Id="rId3" Type="http://schemas.openxmlformats.org/officeDocument/2006/relationships/hyperlink" Target="http://www.euro.who.int/en/health-topics/environment-and-health/chemical-safety/publications" TargetMode="External"/><Relationship Id="rId7" Type="http://schemas.openxmlformats.org/officeDocument/2006/relationships/hyperlink" Target="https://www.ilo.org/manila/eventsandmeetings/WCMS_701934/lang--en/index.htm" TargetMode="External"/><Relationship Id="rId12" Type="http://schemas.openxmlformats.org/officeDocument/2006/relationships/hyperlink" Target="https://www.ilo.org/sector/Resources/publications/WCMS_485367/lang--en/index.htm" TargetMode="External"/><Relationship Id="rId2" Type="http://schemas.openxmlformats.org/officeDocument/2006/relationships/hyperlink" Target="http://www.who.int/bulletin/volumes/96/6/17-203141.pdf" TargetMode="External"/><Relationship Id="rId1" Type="http://schemas.openxmlformats.org/officeDocument/2006/relationships/hyperlink" Target="https://www.who.int/ipcs/assessment/public_health/publication/en/" TargetMode="External"/><Relationship Id="rId6" Type="http://schemas.openxmlformats.org/officeDocument/2006/relationships/hyperlink" Target="https://www.ilo.org/manila/eventsandmeetings/WCMS_645607/lang--en/index.htm" TargetMode="External"/><Relationship Id="rId11" Type="http://schemas.openxmlformats.org/officeDocument/2006/relationships/hyperlink" Target="https://www.ilo.org/sector/Resources/recommendations-conclusions-of-sectoral-meetings/" TargetMode="External"/><Relationship Id="rId5" Type="http://schemas.openxmlformats.org/officeDocument/2006/relationships/hyperlink" Target="https://www.ilo.org/ilc/ILCSessions/108/reports/provisional-records/WCMS_711288/lang--en/index.htm" TargetMode="External"/><Relationship Id="rId10" Type="http://schemas.openxmlformats.org/officeDocument/2006/relationships/hyperlink" Target="https://www.ilo.org/wcmsp5/groups/public/---ed_dialogue/---sector/documents/publication/wcms_673662.pdf" TargetMode="External"/><Relationship Id="rId4" Type="http://schemas.openxmlformats.org/officeDocument/2006/relationships/hyperlink" Target="https://ehp.niehs.nih.gov/doi/full/10.1289/EHP3904" TargetMode="External"/><Relationship Id="rId9" Type="http://schemas.openxmlformats.org/officeDocument/2006/relationships/hyperlink" Target="https://www.thegef.org/project/artisanal-and-small-scale-gold-mining-asgm-national-action-plan-nap-suriname" TargetMode="External"/><Relationship Id="rId14" Type="http://schemas.openxmlformats.org/officeDocument/2006/relationships/hyperlink" Target="https://www.ilo.org/wcmsp5/groups/public/---ed_dialogue/---sector/documents/normativeinstrument/wcms_6171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BD178-397F-487E-BBF6-9E21A3B6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3654</Words>
  <Characters>20828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2019-09-03T08:09:00Z</cp:lastPrinted>
  <dcterms:created xsi:type="dcterms:W3CDTF">2019-09-16T11:31:00Z</dcterms:created>
  <dcterms:modified xsi:type="dcterms:W3CDTF">2019-09-16T11:31:00Z</dcterms:modified>
</cp:coreProperties>
</file>