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701"/>
        <w:gridCol w:w="4460"/>
        <w:gridCol w:w="3335"/>
      </w:tblGrid>
      <w:tr w:rsidR="003C7101" w:rsidRPr="00A87C62" w14:paraId="43C975DD" w14:textId="77777777" w:rsidTr="008B3A86">
        <w:trPr>
          <w:cantSplit/>
          <w:trHeight w:val="850"/>
          <w:jc w:val="right"/>
        </w:trPr>
        <w:tc>
          <w:tcPr>
            <w:tcW w:w="1701" w:type="dxa"/>
          </w:tcPr>
          <w:p w14:paraId="160C7BD1" w14:textId="77777777" w:rsidR="003C7101" w:rsidRPr="00A87C62" w:rsidRDefault="003C7101" w:rsidP="008B3A86">
            <w:pPr>
              <w:tabs>
                <w:tab w:val="left" w:pos="624"/>
                <w:tab w:val="left" w:pos="1871"/>
                <w:tab w:val="left" w:pos="2495"/>
              </w:tabs>
              <w:rPr>
                <w:rFonts w:ascii="Arial" w:hAnsi="Arial" w:cs="Arial"/>
                <w:b/>
                <w:sz w:val="27"/>
                <w:szCs w:val="27"/>
              </w:rPr>
            </w:pPr>
            <w:r w:rsidRPr="00A87C62">
              <w:rPr>
                <w:rFonts w:ascii="Arial" w:hAnsi="Arial" w:cs="Arial"/>
                <w:b/>
                <w:sz w:val="27"/>
                <w:szCs w:val="27"/>
              </w:rPr>
              <w:t>NACIONES UNIDAS</w:t>
            </w:r>
          </w:p>
        </w:tc>
        <w:tc>
          <w:tcPr>
            <w:tcW w:w="4460" w:type="dxa"/>
          </w:tcPr>
          <w:p w14:paraId="77F6ACD5" w14:textId="77777777" w:rsidR="003C7101" w:rsidRPr="00A87C62" w:rsidRDefault="003C7101" w:rsidP="008B3A86">
            <w:pPr>
              <w:tabs>
                <w:tab w:val="left" w:pos="624"/>
                <w:tab w:val="left" w:pos="1871"/>
                <w:tab w:val="left" w:pos="2495"/>
              </w:tabs>
              <w:rPr>
                <w:rFonts w:ascii="Univers" w:hAnsi="Univers"/>
                <w:b/>
                <w:sz w:val="27"/>
                <w:szCs w:val="27"/>
              </w:rPr>
            </w:pPr>
          </w:p>
        </w:tc>
        <w:tc>
          <w:tcPr>
            <w:tcW w:w="3335" w:type="dxa"/>
          </w:tcPr>
          <w:p w14:paraId="4D515227" w14:textId="77777777" w:rsidR="003C7101" w:rsidRPr="00A87C62" w:rsidRDefault="003C7101" w:rsidP="008B3A86">
            <w:pPr>
              <w:tabs>
                <w:tab w:val="left" w:pos="624"/>
                <w:tab w:val="left" w:pos="1871"/>
                <w:tab w:val="left" w:pos="2495"/>
              </w:tabs>
              <w:jc w:val="right"/>
              <w:rPr>
                <w:rFonts w:ascii="Arial" w:hAnsi="Arial" w:cs="Arial"/>
                <w:b/>
                <w:sz w:val="64"/>
                <w:szCs w:val="64"/>
              </w:rPr>
            </w:pPr>
            <w:r w:rsidRPr="00A87C62">
              <w:rPr>
                <w:rFonts w:ascii="Arial" w:hAnsi="Arial" w:cs="Arial"/>
                <w:b/>
                <w:sz w:val="64"/>
                <w:szCs w:val="64"/>
              </w:rPr>
              <w:t>MC</w:t>
            </w:r>
          </w:p>
        </w:tc>
      </w:tr>
      <w:tr w:rsidR="003C7101" w:rsidRPr="00A87C62" w14:paraId="1A725E13" w14:textId="77777777" w:rsidTr="008B3A86">
        <w:trPr>
          <w:cantSplit/>
          <w:trHeight w:val="281"/>
          <w:jc w:val="right"/>
        </w:trPr>
        <w:tc>
          <w:tcPr>
            <w:tcW w:w="1701" w:type="dxa"/>
            <w:tcBorders>
              <w:bottom w:val="single" w:sz="4" w:space="0" w:color="auto"/>
            </w:tcBorders>
          </w:tcPr>
          <w:p w14:paraId="22BB7501" w14:textId="77777777" w:rsidR="003C7101" w:rsidRPr="00A87C62" w:rsidRDefault="003C7101" w:rsidP="008B3A86">
            <w:pPr>
              <w:tabs>
                <w:tab w:val="left" w:pos="624"/>
                <w:tab w:val="left" w:pos="1871"/>
                <w:tab w:val="left" w:pos="2495"/>
              </w:tabs>
              <w:rPr>
                <w:sz w:val="18"/>
                <w:szCs w:val="18"/>
              </w:rPr>
            </w:pPr>
          </w:p>
        </w:tc>
        <w:tc>
          <w:tcPr>
            <w:tcW w:w="4460" w:type="dxa"/>
            <w:tcBorders>
              <w:bottom w:val="single" w:sz="4" w:space="0" w:color="auto"/>
            </w:tcBorders>
          </w:tcPr>
          <w:p w14:paraId="0C84796A" w14:textId="77777777" w:rsidR="003C7101" w:rsidRPr="00A87C62" w:rsidRDefault="003C7101" w:rsidP="008B3A86">
            <w:pPr>
              <w:tabs>
                <w:tab w:val="left" w:pos="624"/>
                <w:tab w:val="left" w:pos="1871"/>
                <w:tab w:val="left" w:pos="2495"/>
              </w:tabs>
              <w:rPr>
                <w:rFonts w:ascii="Univers" w:hAnsi="Univers"/>
                <w:b/>
                <w:sz w:val="18"/>
                <w:szCs w:val="18"/>
              </w:rPr>
            </w:pPr>
          </w:p>
        </w:tc>
        <w:tc>
          <w:tcPr>
            <w:tcW w:w="3335" w:type="dxa"/>
            <w:tcBorders>
              <w:bottom w:val="single" w:sz="4" w:space="0" w:color="auto"/>
            </w:tcBorders>
          </w:tcPr>
          <w:p w14:paraId="51328703" w14:textId="5D442BD9" w:rsidR="003C7101" w:rsidRPr="00A87C62" w:rsidRDefault="003C7101" w:rsidP="008B3A86">
            <w:pPr>
              <w:tabs>
                <w:tab w:val="left" w:pos="624"/>
                <w:tab w:val="left" w:pos="1871"/>
                <w:tab w:val="left" w:pos="2495"/>
              </w:tabs>
              <w:rPr>
                <w:sz w:val="18"/>
                <w:szCs w:val="18"/>
              </w:rPr>
            </w:pPr>
            <w:r w:rsidRPr="00A87C62">
              <w:rPr>
                <w:b/>
                <w:bCs/>
                <w:sz w:val="28"/>
              </w:rPr>
              <w:t>UNEP</w:t>
            </w:r>
            <w:r w:rsidRPr="00A87C62">
              <w:rPr>
                <w:b/>
                <w:bCs/>
              </w:rPr>
              <w:t>/</w:t>
            </w:r>
            <w:r w:rsidRPr="00A87C62">
              <w:t>MC/COP.3/17</w:t>
            </w:r>
          </w:p>
        </w:tc>
      </w:tr>
      <w:tr w:rsidR="003C7101" w:rsidRPr="00A87C62" w14:paraId="344F92AB" w14:textId="77777777" w:rsidTr="008B3A86">
        <w:trPr>
          <w:cantSplit/>
          <w:trHeight w:val="2549"/>
          <w:jc w:val="right"/>
        </w:trPr>
        <w:tc>
          <w:tcPr>
            <w:tcW w:w="1701" w:type="dxa"/>
            <w:tcBorders>
              <w:top w:val="single" w:sz="4" w:space="0" w:color="auto"/>
              <w:bottom w:val="single" w:sz="24" w:space="0" w:color="auto"/>
            </w:tcBorders>
          </w:tcPr>
          <w:p w14:paraId="308FCC88" w14:textId="77777777" w:rsidR="003C7101" w:rsidRPr="00A87C62" w:rsidRDefault="003C7101" w:rsidP="008B3A86">
            <w:pPr>
              <w:tabs>
                <w:tab w:val="left" w:pos="624"/>
                <w:tab w:val="left" w:pos="1871"/>
                <w:tab w:val="left" w:pos="2495"/>
              </w:tabs>
            </w:pPr>
            <w:r w:rsidRPr="00A87C62">
              <w:object w:dxaOrig="1831" w:dyaOrig="1726" w14:anchorId="15A27F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5pt;height:61.5pt" o:ole="" fillcolor="window">
                  <v:imagedata r:id="rId11" o:title=""/>
                </v:shape>
                <o:OLEObject Type="Embed" ProgID="Word.Picture.8" ShapeID="_x0000_i1025" DrawAspect="Content" ObjectID="_1629266924" r:id="rId12"/>
              </w:object>
            </w:r>
            <w:r w:rsidRPr="00A87C62">
              <w:rPr>
                <w:lang w:eastAsia="es-ES"/>
              </w:rPr>
              <w:drawing>
                <wp:inline distT="0" distB="0" distL="0" distR="0" wp14:anchorId="304FD2B0" wp14:editId="01527B9D">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460" w:type="dxa"/>
            <w:tcBorders>
              <w:top w:val="single" w:sz="4" w:space="0" w:color="auto"/>
              <w:bottom w:val="single" w:sz="24" w:space="0" w:color="auto"/>
            </w:tcBorders>
          </w:tcPr>
          <w:p w14:paraId="17A637C7" w14:textId="77777777" w:rsidR="003C7101" w:rsidRPr="00A87C62" w:rsidRDefault="003C7101" w:rsidP="008B3A86">
            <w:pPr>
              <w:tabs>
                <w:tab w:val="left" w:pos="624"/>
                <w:tab w:val="left" w:pos="1871"/>
                <w:tab w:val="left" w:pos="2495"/>
              </w:tabs>
              <w:spacing w:before="1200"/>
              <w:rPr>
                <w:rFonts w:ascii="Arial" w:hAnsi="Arial" w:cs="Arial"/>
                <w:b/>
                <w:sz w:val="32"/>
              </w:rPr>
            </w:pPr>
            <w:r w:rsidRPr="00A87C62">
              <w:rPr>
                <w:rFonts w:ascii="Arial" w:hAnsi="Arial" w:cs="Arial"/>
                <w:b/>
                <w:bCs/>
                <w:sz w:val="32"/>
              </w:rPr>
              <w:t>Programa de las Naciones Unidas para el Medio Ambiente</w:t>
            </w:r>
          </w:p>
        </w:tc>
        <w:tc>
          <w:tcPr>
            <w:tcW w:w="3335" w:type="dxa"/>
            <w:tcBorders>
              <w:top w:val="single" w:sz="4" w:space="0" w:color="auto"/>
              <w:bottom w:val="single" w:sz="24" w:space="0" w:color="auto"/>
            </w:tcBorders>
          </w:tcPr>
          <w:p w14:paraId="5EB693E0" w14:textId="624B936C" w:rsidR="003C7101" w:rsidRPr="00A87C62" w:rsidRDefault="003C7101" w:rsidP="008B3A86">
            <w:pPr>
              <w:tabs>
                <w:tab w:val="left" w:pos="624"/>
                <w:tab w:val="left" w:pos="1871"/>
                <w:tab w:val="left" w:pos="2495"/>
              </w:tabs>
              <w:spacing w:before="120"/>
            </w:pPr>
            <w:proofErr w:type="spellStart"/>
            <w:r w:rsidRPr="00A87C62">
              <w:t>Distr</w:t>
            </w:r>
            <w:proofErr w:type="spellEnd"/>
            <w:r w:rsidRPr="00A87C62">
              <w:t>. general</w:t>
            </w:r>
            <w:r w:rsidRPr="00A87C62">
              <w:br/>
            </w:r>
            <w:r w:rsidR="00A072AC" w:rsidRPr="00A87C62">
              <w:t xml:space="preserve">25 </w:t>
            </w:r>
            <w:r w:rsidRPr="00A87C62">
              <w:t>de julio de 2019</w:t>
            </w:r>
          </w:p>
          <w:p w14:paraId="1D53D643" w14:textId="77777777" w:rsidR="003C7101" w:rsidRPr="00A87C62" w:rsidRDefault="003C7101" w:rsidP="008B3A86">
            <w:pPr>
              <w:tabs>
                <w:tab w:val="left" w:pos="624"/>
                <w:tab w:val="left" w:pos="1871"/>
                <w:tab w:val="left" w:pos="2495"/>
              </w:tabs>
              <w:spacing w:before="240"/>
            </w:pPr>
            <w:r w:rsidRPr="00A87C62">
              <w:t>Español</w:t>
            </w:r>
            <w:r w:rsidRPr="00A87C62">
              <w:br/>
              <w:t>Original: inglés</w:t>
            </w:r>
          </w:p>
        </w:tc>
      </w:tr>
    </w:tbl>
    <w:p w14:paraId="6BBA8B27" w14:textId="77777777" w:rsidR="003C7101" w:rsidRPr="00A87C62" w:rsidRDefault="003C7101" w:rsidP="003C7101">
      <w:pPr>
        <w:pStyle w:val="AATitle"/>
        <w:keepNext w:val="0"/>
        <w:keepLines w:val="0"/>
        <w:tabs>
          <w:tab w:val="left" w:pos="624"/>
          <w:tab w:val="left" w:pos="1871"/>
          <w:tab w:val="left" w:pos="2495"/>
        </w:tabs>
        <w:rPr>
          <w:lang w:val="es-ES"/>
        </w:rPr>
      </w:pPr>
      <w:r w:rsidRPr="00A87C62">
        <w:rPr>
          <w:bCs/>
          <w:lang w:val="es-ES"/>
        </w:rPr>
        <w:t>Conferencia de las Partes en el Convenio de Minamata sobre el Mercurio</w:t>
      </w:r>
    </w:p>
    <w:p w14:paraId="6E79399F" w14:textId="77777777" w:rsidR="003C7101" w:rsidRPr="00A87C62" w:rsidRDefault="003C7101" w:rsidP="003C7101">
      <w:pPr>
        <w:pStyle w:val="AATitle"/>
        <w:keepNext w:val="0"/>
        <w:keepLines w:val="0"/>
        <w:tabs>
          <w:tab w:val="left" w:pos="624"/>
          <w:tab w:val="left" w:pos="1871"/>
          <w:tab w:val="left" w:pos="2495"/>
        </w:tabs>
        <w:ind w:left="624" w:hanging="624"/>
        <w:rPr>
          <w:b w:val="0"/>
          <w:lang w:val="es-ES"/>
        </w:rPr>
      </w:pPr>
      <w:r w:rsidRPr="00A87C62">
        <w:rPr>
          <w:bCs/>
          <w:lang w:val="es-ES"/>
        </w:rPr>
        <w:t>Tercera reunión</w:t>
      </w:r>
    </w:p>
    <w:p w14:paraId="3BA47CAD" w14:textId="77777777" w:rsidR="003C7101" w:rsidRPr="00A87C62" w:rsidRDefault="003C7101" w:rsidP="003C7101">
      <w:pPr>
        <w:pStyle w:val="AATitle"/>
        <w:rPr>
          <w:b w:val="0"/>
          <w:lang w:val="es-ES"/>
        </w:rPr>
      </w:pPr>
      <w:r w:rsidRPr="00A87C62">
        <w:rPr>
          <w:b w:val="0"/>
          <w:lang w:val="es-ES"/>
        </w:rPr>
        <w:t>Ginebra, 25 a 29 de noviembre de 2019</w:t>
      </w:r>
    </w:p>
    <w:p w14:paraId="421CEC2F" w14:textId="77777777" w:rsidR="00C6275F" w:rsidRPr="00A87C62" w:rsidRDefault="00C6275F" w:rsidP="00FC51B1">
      <w:pPr>
        <w:pStyle w:val="AATitle"/>
        <w:rPr>
          <w:b w:val="0"/>
          <w:lang w:val="es-ES"/>
        </w:rPr>
      </w:pPr>
      <w:bookmarkStart w:id="0" w:name="_Hlk517786179"/>
      <w:r w:rsidRPr="00A87C62">
        <w:rPr>
          <w:b w:val="0"/>
          <w:lang w:val="es-ES"/>
        </w:rPr>
        <w:t>Tema 5 k) del programa provisional</w:t>
      </w:r>
      <w:r w:rsidRPr="00A87C62">
        <w:rPr>
          <w:rStyle w:val="FootnoteReference"/>
          <w:b w:val="0"/>
          <w:vertAlign w:val="baseline"/>
          <w:lang w:val="es-ES"/>
        </w:rPr>
        <w:footnoteReference w:customMarkFollows="1" w:id="1"/>
        <w:t>*</w:t>
      </w:r>
    </w:p>
    <w:p w14:paraId="6A9D8DA8" w14:textId="4614B4F8" w:rsidR="00C6275F" w:rsidRPr="00A87C62" w:rsidRDefault="00C6275F" w:rsidP="00FC51B1">
      <w:pPr>
        <w:pStyle w:val="AATitle2"/>
        <w:spacing w:before="60"/>
        <w:rPr>
          <w:lang w:val="es-ES"/>
        </w:rPr>
      </w:pPr>
      <w:bookmarkStart w:id="1" w:name="_Hlk14867412"/>
      <w:r w:rsidRPr="00A87C62">
        <w:rPr>
          <w:bCs/>
          <w:lang w:val="es-ES"/>
        </w:rPr>
        <w:t>Cuestiones para el examen o la adopción de medidas por la Conferencia de las Partes: emisiones de mercurio dimanantes de la quema a cielo abierto de desechos</w:t>
      </w:r>
    </w:p>
    <w:bookmarkEnd w:id="1"/>
    <w:p w14:paraId="395043EB" w14:textId="77777777" w:rsidR="00C6275F" w:rsidRPr="00A87C62" w:rsidRDefault="008F0DC0" w:rsidP="00B56CC0">
      <w:pPr>
        <w:pStyle w:val="BBTitle"/>
        <w:rPr>
          <w:lang w:val="es-ES"/>
        </w:rPr>
      </w:pPr>
      <w:r w:rsidRPr="00A87C62">
        <w:rPr>
          <w:bCs/>
          <w:lang w:val="es-ES"/>
        </w:rPr>
        <w:t>Información en relación con las emisiones de mercurio dimanantes de la quema a cielo abierto de desechos</w:t>
      </w:r>
      <w:r w:rsidRPr="00A87C62">
        <w:rPr>
          <w:lang w:val="es-ES"/>
        </w:rPr>
        <w:t xml:space="preserve"> </w:t>
      </w:r>
      <w:bookmarkStart w:id="2" w:name="_Hlk14867454"/>
      <w:bookmarkEnd w:id="2"/>
    </w:p>
    <w:p w14:paraId="574A58B3" w14:textId="77777777" w:rsidR="00C6275F" w:rsidRPr="00A87C62" w:rsidRDefault="00C6275F" w:rsidP="00001B69">
      <w:pPr>
        <w:pStyle w:val="CH2"/>
        <w:rPr>
          <w:lang w:val="es-ES"/>
        </w:rPr>
      </w:pPr>
      <w:r w:rsidRPr="00A87C62">
        <w:rPr>
          <w:lang w:val="es-ES"/>
        </w:rPr>
        <w:tab/>
      </w:r>
      <w:r w:rsidRPr="00A87C62">
        <w:rPr>
          <w:lang w:val="es-ES"/>
        </w:rPr>
        <w:tab/>
      </w:r>
      <w:r w:rsidRPr="00A87C62">
        <w:rPr>
          <w:bCs/>
          <w:lang w:val="es-ES"/>
        </w:rPr>
        <w:t>Nota de la Secretaría</w:t>
      </w:r>
    </w:p>
    <w:p w14:paraId="5A39AC0F" w14:textId="73C9DEDB" w:rsidR="008B1CA9" w:rsidRPr="00A87C62" w:rsidRDefault="008B1CA9" w:rsidP="00001B69">
      <w:pPr>
        <w:pStyle w:val="Normalnumber"/>
        <w:numPr>
          <w:ilvl w:val="0"/>
          <w:numId w:val="38"/>
        </w:numPr>
        <w:tabs>
          <w:tab w:val="left" w:pos="624"/>
        </w:tabs>
        <w:rPr>
          <w:lang w:val="es-ES"/>
        </w:rPr>
      </w:pPr>
      <w:r w:rsidRPr="00A87C62">
        <w:rPr>
          <w:lang w:val="es-ES"/>
        </w:rPr>
        <w:t>En su primera reunión, celebrada en Ginebra del 24 al 29 de septiembre de 2017, la Conferencia de las Partes en el Convenio de Minamata sobre el Mercurio adoptó la decisión MC</w:t>
      </w:r>
      <w:r w:rsidR="00D2352C" w:rsidRPr="00A87C62">
        <w:rPr>
          <w:lang w:val="es-ES"/>
        </w:rPr>
        <w:t>-</w:t>
      </w:r>
      <w:r w:rsidRPr="00A87C62">
        <w:rPr>
          <w:lang w:val="es-ES"/>
        </w:rPr>
        <w:t>1/14 sobre las emisiones de mercurio relacionadas con la quema a cielo abierto de desechos. En esa decisión, la Conferencia</w:t>
      </w:r>
      <w:r w:rsidR="00A072AC" w:rsidRPr="00A87C62">
        <w:rPr>
          <w:lang w:val="es-ES"/>
        </w:rPr>
        <w:t xml:space="preserve"> de las Partes</w:t>
      </w:r>
      <w:r w:rsidRPr="00A87C62">
        <w:rPr>
          <w:lang w:val="es-ES"/>
        </w:rPr>
        <w:t xml:space="preserve"> reconoció que la quema a cielo abierto de desechos podía constituir una considerable fuente de emisiones de mercurio que no habían sido cuantificada</w:t>
      </w:r>
      <w:r w:rsidR="006B144B" w:rsidRPr="00A87C62">
        <w:rPr>
          <w:lang w:val="es-ES"/>
        </w:rPr>
        <w:t>s</w:t>
      </w:r>
      <w:r w:rsidR="00A072AC" w:rsidRPr="00A87C62">
        <w:rPr>
          <w:lang w:val="es-ES"/>
        </w:rPr>
        <w:t>,</w:t>
      </w:r>
      <w:r w:rsidRPr="00A87C62">
        <w:rPr>
          <w:lang w:val="es-ES"/>
        </w:rPr>
        <w:t xml:space="preserve"> y que la</w:t>
      </w:r>
      <w:r w:rsidR="00A87C62">
        <w:rPr>
          <w:lang w:val="es-ES"/>
        </w:rPr>
        <w:t> </w:t>
      </w:r>
      <w:r w:rsidRPr="00A87C62">
        <w:rPr>
          <w:lang w:val="es-ES"/>
        </w:rPr>
        <w:t>orientación sobre las mejores técnicas disponibles y mejores prácticas ambientales afirmaba</w:t>
      </w:r>
      <w:r w:rsidRPr="00A87C62">
        <w:rPr>
          <w:vertAlign w:val="superscript"/>
          <w:lang w:val="es-ES"/>
        </w:rPr>
        <w:footnoteReference w:id="2"/>
      </w:r>
      <w:r w:rsidRPr="00A87C62">
        <w:rPr>
          <w:lang w:val="es-ES"/>
        </w:rPr>
        <w:t xml:space="preserve"> que la</w:t>
      </w:r>
      <w:r w:rsidR="00A87C62">
        <w:rPr>
          <w:lang w:val="es-ES"/>
        </w:rPr>
        <w:t> </w:t>
      </w:r>
      <w:r w:rsidRPr="00A87C62">
        <w:rPr>
          <w:lang w:val="es-ES"/>
        </w:rPr>
        <w:t>quema a cielo abierto de desechos se consi</w:t>
      </w:r>
      <w:bookmarkStart w:id="3" w:name="_GoBack"/>
      <w:bookmarkEnd w:id="3"/>
      <w:r w:rsidRPr="00A87C62">
        <w:rPr>
          <w:lang w:val="es-ES"/>
        </w:rPr>
        <w:t xml:space="preserve">deraba una mala práctica ambiental que no debería promoverse. La Conferencia invitó también a las Partes y a otras entidades y organizaciones interesadas a que presentaran a la Secretaría información sobre las emisiones de mercurio procedentes de la quema a cielo abierto de desechos y solicitó a la Secretaría que </w:t>
      </w:r>
      <w:r w:rsidR="005A640B" w:rsidRPr="00A87C62">
        <w:rPr>
          <w:lang w:val="es-ES"/>
        </w:rPr>
        <w:t>continuase</w:t>
      </w:r>
      <w:r w:rsidRPr="00A87C62">
        <w:rPr>
          <w:lang w:val="es-ES"/>
        </w:rPr>
        <w:t xml:space="preserve"> recopilando información sobre las emisiones de mercurio</w:t>
      </w:r>
      <w:r w:rsidR="006B144B" w:rsidRPr="00A87C62">
        <w:rPr>
          <w:lang w:val="es-ES"/>
        </w:rPr>
        <w:t xml:space="preserve"> dimanantes</w:t>
      </w:r>
      <w:r w:rsidRPr="00A87C62">
        <w:rPr>
          <w:lang w:val="es-ES"/>
        </w:rPr>
        <w:t xml:space="preserve"> de la quema a cielo abierto</w:t>
      </w:r>
      <w:r w:rsidR="006B144B" w:rsidRPr="00A87C62">
        <w:rPr>
          <w:lang w:val="es-ES"/>
        </w:rPr>
        <w:t xml:space="preserve"> de desechos</w:t>
      </w:r>
      <w:r w:rsidRPr="00A87C62">
        <w:rPr>
          <w:lang w:val="es-ES"/>
        </w:rPr>
        <w:t>, en</w:t>
      </w:r>
      <w:r w:rsidR="00A87C62">
        <w:rPr>
          <w:lang w:val="es-ES"/>
        </w:rPr>
        <w:t> </w:t>
      </w:r>
      <w:r w:rsidRPr="00A87C62">
        <w:rPr>
          <w:lang w:val="es-ES"/>
        </w:rPr>
        <w:t xml:space="preserve">particular de los países en desarrollo y los países con economías en transición, </w:t>
      </w:r>
      <w:r w:rsidR="006B144B" w:rsidRPr="00A87C62">
        <w:rPr>
          <w:lang w:val="es-ES"/>
        </w:rPr>
        <w:t xml:space="preserve">con inclusión de </w:t>
      </w:r>
      <w:r w:rsidRPr="00A87C62">
        <w:rPr>
          <w:lang w:val="es-ES"/>
        </w:rPr>
        <w:t>información sobre inventarios y las evaluaciones iniciales de Minamata, factores de emisiones y mediciones reales de emisiones presentadas por las Partes, así como toda información pertinente elaborada por las Conferencias de las Partes en el Convenio de Basilea sobre el Control de los Movimientos Transfronterizos de los Desechos Peligrosos y su Eliminación y el Convenio de Estocolmo sobre Contaminantes Orgánicos Persistentes, y que la present</w:t>
      </w:r>
      <w:r w:rsidR="006B144B" w:rsidRPr="00A87C62">
        <w:rPr>
          <w:lang w:val="es-ES"/>
        </w:rPr>
        <w:t>as</w:t>
      </w:r>
      <w:r w:rsidRPr="00A87C62">
        <w:rPr>
          <w:lang w:val="es-ES"/>
        </w:rPr>
        <w:t>e a la Conferencia de las Partes para que</w:t>
      </w:r>
      <w:r w:rsidR="006B144B" w:rsidRPr="00A87C62">
        <w:rPr>
          <w:lang w:val="es-ES"/>
        </w:rPr>
        <w:t xml:space="preserve"> esta examinase</w:t>
      </w:r>
      <w:r w:rsidRPr="00A87C62">
        <w:rPr>
          <w:lang w:val="es-ES"/>
        </w:rPr>
        <w:t xml:space="preserve"> en su segunda reunión la necesidad de emprender nuevas medidas.</w:t>
      </w:r>
    </w:p>
    <w:p w14:paraId="718A9DE7" w14:textId="438891DA" w:rsidR="00201A7B" w:rsidRPr="00A87C62" w:rsidRDefault="00201A7B" w:rsidP="00001B69">
      <w:pPr>
        <w:pStyle w:val="Normalnumber"/>
        <w:numPr>
          <w:ilvl w:val="0"/>
          <w:numId w:val="38"/>
        </w:numPr>
        <w:tabs>
          <w:tab w:val="left" w:pos="624"/>
        </w:tabs>
        <w:rPr>
          <w:lang w:val="es-ES"/>
        </w:rPr>
      </w:pPr>
      <w:r w:rsidRPr="00A87C62">
        <w:rPr>
          <w:lang w:val="es-ES"/>
        </w:rPr>
        <w:t xml:space="preserve">La Secretaría presentó la información recopilada a la Conferencia </w:t>
      </w:r>
      <w:r w:rsidR="00A072AC" w:rsidRPr="00A87C62">
        <w:rPr>
          <w:lang w:val="es-ES"/>
        </w:rPr>
        <w:t xml:space="preserve">de las Partes </w:t>
      </w:r>
      <w:r w:rsidRPr="00A87C62">
        <w:rPr>
          <w:lang w:val="es-ES"/>
        </w:rPr>
        <w:t>en su segunda reunión, celebrada en Ginebra del 19 al 23 de noviembre de 2018. La Conferencia de las Partes tom</w:t>
      </w:r>
      <w:r w:rsidR="006B144B" w:rsidRPr="00A87C62">
        <w:rPr>
          <w:lang w:val="es-ES"/>
        </w:rPr>
        <w:t>ó</w:t>
      </w:r>
      <w:r w:rsidRPr="00A87C62">
        <w:rPr>
          <w:lang w:val="es-ES"/>
        </w:rPr>
        <w:t xml:space="preserve"> nota de la información recopilada y estuvo de acuerdo en que el apoyo a los países en desarrollo en esta cuestión tan importante era fundamental, y solicitó a la Secretaría que siguiese reuniendo y difundiendo la información pertinente disponible. La Conferencia solicitó también a la Secretaría que </w:t>
      </w:r>
      <w:r w:rsidRPr="00A87C62">
        <w:rPr>
          <w:lang w:val="es-ES"/>
        </w:rPr>
        <w:lastRenderedPageBreak/>
        <w:t xml:space="preserve">siguiese colaborando en el asunto con la Secretaría de los Convenios de Basilea, Estocolmo y Rotterdam, y que presentase información actualizada a la Conferencia </w:t>
      </w:r>
      <w:r w:rsidR="00A072AC" w:rsidRPr="00A87C62">
        <w:rPr>
          <w:lang w:val="es-ES"/>
        </w:rPr>
        <w:t xml:space="preserve">de las Partes </w:t>
      </w:r>
      <w:r w:rsidRPr="00A87C62">
        <w:rPr>
          <w:lang w:val="es-ES"/>
        </w:rPr>
        <w:t>en su tercera reunión.</w:t>
      </w:r>
    </w:p>
    <w:p w14:paraId="6DD89AAE" w14:textId="585730D0" w:rsidR="00201A7B" w:rsidRPr="00A87C62" w:rsidRDefault="00AD78DD" w:rsidP="00001B69">
      <w:pPr>
        <w:pStyle w:val="Normalnumber"/>
        <w:numPr>
          <w:ilvl w:val="0"/>
          <w:numId w:val="38"/>
        </w:numPr>
        <w:tabs>
          <w:tab w:val="left" w:pos="624"/>
        </w:tabs>
        <w:rPr>
          <w:lang w:val="es-ES"/>
        </w:rPr>
      </w:pPr>
      <w:r w:rsidRPr="00A87C62">
        <w:rPr>
          <w:lang w:val="es-ES"/>
        </w:rPr>
        <w:t>En una carta enviada por el Secretario Ejecutivo el 3 de diciembre de 2018 en relación con las</w:t>
      </w:r>
      <w:r w:rsidR="000423ED" w:rsidRPr="00A87C62">
        <w:rPr>
          <w:lang w:val="es-ES"/>
        </w:rPr>
        <w:t> </w:t>
      </w:r>
      <w:r w:rsidRPr="00A87C62">
        <w:rPr>
          <w:lang w:val="es-ES"/>
        </w:rPr>
        <w:t>medidas necesarias para dar seguimiento a l</w:t>
      </w:r>
      <w:r w:rsidR="006B144B" w:rsidRPr="00A87C62">
        <w:rPr>
          <w:lang w:val="es-ES"/>
        </w:rPr>
        <w:t>os resultados de l</w:t>
      </w:r>
      <w:r w:rsidRPr="00A87C62">
        <w:rPr>
          <w:lang w:val="es-ES"/>
        </w:rPr>
        <w:t xml:space="preserve">a segunda reunión de la Conferencia se cursó invitación a las Partes y a otros interesados para que presentasen información sobre las emisiones de mercurio resultantes de la quema a cielo abierto de desechos. Se recibió una comunicación de Nigeria, en </w:t>
      </w:r>
      <w:r w:rsidR="006B144B" w:rsidRPr="00A87C62">
        <w:rPr>
          <w:lang w:val="es-ES"/>
        </w:rPr>
        <w:t>la cual</w:t>
      </w:r>
      <w:r w:rsidRPr="00A87C62">
        <w:rPr>
          <w:lang w:val="es-ES"/>
        </w:rPr>
        <w:t xml:space="preserve"> se describía la práctica de gestión de desechos y la estimación de</w:t>
      </w:r>
      <w:r w:rsidR="000423ED" w:rsidRPr="00A87C62">
        <w:rPr>
          <w:lang w:val="es-ES"/>
        </w:rPr>
        <w:t> </w:t>
      </w:r>
      <w:r w:rsidRPr="00A87C62">
        <w:rPr>
          <w:lang w:val="es-ES"/>
        </w:rPr>
        <w:t>las emisiones de mercurio provenientes de la quema a cielo abierto de desechos. La comunicación figura en el documento UNEP/MC/COP.3/INF/16 y también está disponible en el sitio web del Convenio</w:t>
      </w:r>
      <w:r w:rsidR="000423ED" w:rsidRPr="00A87C62">
        <w:rPr>
          <w:lang w:val="es-ES"/>
        </w:rPr>
        <w:t> </w:t>
      </w:r>
      <w:r w:rsidRPr="00A87C62">
        <w:rPr>
          <w:lang w:val="es-ES"/>
        </w:rPr>
        <w:t>de</w:t>
      </w:r>
      <w:r w:rsidR="000423ED" w:rsidRPr="00A87C62">
        <w:rPr>
          <w:lang w:val="es-ES"/>
        </w:rPr>
        <w:t> </w:t>
      </w:r>
      <w:r w:rsidRPr="00A87C62">
        <w:rPr>
          <w:lang w:val="es-ES"/>
        </w:rPr>
        <w:t>Minamata</w:t>
      </w:r>
      <w:r w:rsidR="000423ED" w:rsidRPr="00A87C62">
        <w:rPr>
          <w:lang w:val="es-ES"/>
        </w:rPr>
        <w:t> </w:t>
      </w:r>
      <w:r w:rsidRPr="00A87C62">
        <w:rPr>
          <w:lang w:val="es-ES"/>
        </w:rPr>
        <w:t>en:</w:t>
      </w:r>
      <w:r w:rsidR="000423ED" w:rsidRPr="00A87C62">
        <w:rPr>
          <w:lang w:val="es-ES"/>
        </w:rPr>
        <w:t> </w:t>
      </w:r>
      <w:r w:rsidRPr="00A87C62">
        <w:rPr>
          <w:lang w:val="es-ES"/>
        </w:rPr>
        <w:t>www.mercuryconvention.org/Meetings/Intersessionalwork/tabid/7857/</w:t>
      </w:r>
      <w:r w:rsidR="000423ED" w:rsidRPr="00A87C62">
        <w:rPr>
          <w:lang w:val="es-ES"/>
        </w:rPr>
        <w:br/>
      </w:r>
      <w:proofErr w:type="spellStart"/>
      <w:r w:rsidRPr="00A87C62">
        <w:rPr>
          <w:lang w:val="es-ES"/>
        </w:rPr>
        <w:t>language</w:t>
      </w:r>
      <w:proofErr w:type="spellEnd"/>
      <w:r w:rsidRPr="00A87C62">
        <w:rPr>
          <w:lang w:val="es-ES"/>
        </w:rPr>
        <w:t>/ en-US/Default.aspx.</w:t>
      </w:r>
    </w:p>
    <w:p w14:paraId="29B2F77A" w14:textId="23F88C1B" w:rsidR="00173CA4" w:rsidRPr="00A87C62" w:rsidRDefault="00173CA4" w:rsidP="00001B69">
      <w:pPr>
        <w:pStyle w:val="Normalnumber"/>
        <w:numPr>
          <w:ilvl w:val="0"/>
          <w:numId w:val="38"/>
        </w:numPr>
        <w:tabs>
          <w:tab w:val="left" w:pos="624"/>
        </w:tabs>
        <w:rPr>
          <w:lang w:val="es-ES"/>
        </w:rPr>
      </w:pPr>
      <w:r w:rsidRPr="00A87C62">
        <w:rPr>
          <w:lang w:val="es-ES"/>
        </w:rPr>
        <w:t>La Secretaría, el Centro Internacional de Tecnología Ambiental del Programa de las Naciones</w:t>
      </w:r>
      <w:r w:rsidR="00D2352C" w:rsidRPr="00A87C62">
        <w:rPr>
          <w:lang w:val="es-ES"/>
        </w:rPr>
        <w:t> </w:t>
      </w:r>
      <w:r w:rsidRPr="00A87C62">
        <w:rPr>
          <w:lang w:val="es-ES"/>
        </w:rPr>
        <w:t>Unidas para el Medio Ambiente y el Ministerio de Medio Ambiente del Japón organizaron un taller sobre las sinergias en la gestión de los desechos de mercurio en Osaka (Japón) los días 30 y</w:t>
      </w:r>
      <w:r w:rsidR="00D2352C" w:rsidRPr="00A87C62">
        <w:rPr>
          <w:lang w:val="es-ES"/>
        </w:rPr>
        <w:t> </w:t>
      </w:r>
      <w:r w:rsidRPr="00A87C62">
        <w:rPr>
          <w:lang w:val="es-ES"/>
        </w:rPr>
        <w:t xml:space="preserve">31 de mayo de 2019. En el taller se abordaron los diferentes tipos de quemas a cielo abierto de desechos, </w:t>
      </w:r>
      <w:r w:rsidR="006B144B" w:rsidRPr="00A87C62">
        <w:rPr>
          <w:lang w:val="es-ES"/>
        </w:rPr>
        <w:t>por ejemplo</w:t>
      </w:r>
      <w:r w:rsidRPr="00A87C62">
        <w:rPr>
          <w:lang w:val="es-ES"/>
        </w:rPr>
        <w:t xml:space="preserve"> la quema intencional y no intencional en vertederos y </w:t>
      </w:r>
      <w:r w:rsidR="00A072AC" w:rsidRPr="00A87C62">
        <w:rPr>
          <w:lang w:val="es-ES"/>
        </w:rPr>
        <w:t>jardines</w:t>
      </w:r>
      <w:r w:rsidRPr="00A87C62">
        <w:rPr>
          <w:lang w:val="es-ES"/>
        </w:rPr>
        <w:t xml:space="preserve">. Los participantes recomendaron </w:t>
      </w:r>
      <w:r w:rsidR="006B144B" w:rsidRPr="00A87C62">
        <w:rPr>
          <w:lang w:val="es-ES"/>
        </w:rPr>
        <w:t>que se reforzasen</w:t>
      </w:r>
      <w:r w:rsidRPr="00A87C62">
        <w:rPr>
          <w:lang w:val="es-ES"/>
        </w:rPr>
        <w:t xml:space="preserve"> los compromisos políticos para establecer un marco legislativo, </w:t>
      </w:r>
      <w:r w:rsidR="006B144B" w:rsidRPr="00A87C62">
        <w:rPr>
          <w:lang w:val="es-ES"/>
        </w:rPr>
        <w:t xml:space="preserve">se desarrollase </w:t>
      </w:r>
      <w:r w:rsidRPr="00A87C62">
        <w:rPr>
          <w:lang w:val="es-ES"/>
        </w:rPr>
        <w:t>un plan de gestión de desechos a fin de promover la transición de la quema a cielo abierto de desechos a vertederos sanitarios y la incineración con medidas adecuadas de control de la contaminación, así como la puesta en marcha de un programa de vigilancia para medir las emisiones de mercurio. El informe del taller puede consultarse en el sitio web del Convenio.</w:t>
      </w:r>
    </w:p>
    <w:p w14:paraId="51CCDD4F" w14:textId="5D068E1E" w:rsidR="00401763" w:rsidRPr="00A87C62" w:rsidRDefault="00401763" w:rsidP="00474EFD">
      <w:pPr>
        <w:pStyle w:val="Normalnumber"/>
        <w:numPr>
          <w:ilvl w:val="0"/>
          <w:numId w:val="38"/>
        </w:numPr>
        <w:tabs>
          <w:tab w:val="left" w:pos="624"/>
        </w:tabs>
        <w:rPr>
          <w:lang w:val="es-ES"/>
        </w:rPr>
      </w:pPr>
      <w:r w:rsidRPr="00A87C62">
        <w:rPr>
          <w:lang w:val="es-ES"/>
        </w:rPr>
        <w:t xml:space="preserve">El Programa de las Naciones Unidas para el Medio Ambiente, en colaboración con el Instituto de las Naciones Unidas para Formación Profesional e Investigaciones, ha actualizado el factor </w:t>
      </w:r>
      <w:r w:rsidR="005A640B" w:rsidRPr="00A87C62">
        <w:rPr>
          <w:lang w:val="es-ES"/>
        </w:rPr>
        <w:t xml:space="preserve">de entrada por defecto </w:t>
      </w:r>
      <w:r w:rsidRPr="00A87C62">
        <w:rPr>
          <w:lang w:val="es-ES"/>
        </w:rPr>
        <w:t>utilizado en el Instrumental para la Identificación y Cuantificación de las Liberaciones de Mercurio</w:t>
      </w:r>
      <w:r w:rsidR="006B144B" w:rsidRPr="00A87C62">
        <w:rPr>
          <w:lang w:val="es-ES"/>
        </w:rPr>
        <w:t xml:space="preserve"> para la quema a cielo abierto de desechos</w:t>
      </w:r>
      <w:r w:rsidRPr="00A87C62">
        <w:rPr>
          <w:lang w:val="es-ES"/>
        </w:rPr>
        <w:t>. Sobre la base de las investigaciones realizadas, se ajustó el factor por defecto (5g Hg/t desechos quemados, rango de</w:t>
      </w:r>
      <w:r w:rsidR="00D2352C" w:rsidRPr="00A87C62">
        <w:rPr>
          <w:lang w:val="es-ES"/>
        </w:rPr>
        <w:t> </w:t>
      </w:r>
      <w:r w:rsidRPr="00A87C62">
        <w:rPr>
          <w:lang w:val="es-ES"/>
        </w:rPr>
        <w:t>1</w:t>
      </w:r>
      <w:r w:rsidR="00D2352C" w:rsidRPr="00A87C62">
        <w:rPr>
          <w:lang w:val="es-ES"/>
        </w:rPr>
        <w:t> </w:t>
      </w:r>
      <w:r w:rsidRPr="00A87C62">
        <w:rPr>
          <w:lang w:val="es-ES"/>
        </w:rPr>
        <w:t>a</w:t>
      </w:r>
      <w:r w:rsidR="00D2352C" w:rsidRPr="00A87C62">
        <w:rPr>
          <w:lang w:val="es-ES"/>
        </w:rPr>
        <w:t> </w:t>
      </w:r>
      <w:r w:rsidRPr="00A87C62">
        <w:rPr>
          <w:lang w:val="es-ES"/>
        </w:rPr>
        <w:t>10g Hg/</w:t>
      </w:r>
      <w:r w:rsidR="00D2352C" w:rsidRPr="00A87C62">
        <w:rPr>
          <w:lang w:val="es-ES"/>
        </w:rPr>
        <w:t>t</w:t>
      </w:r>
      <w:r w:rsidRPr="00A87C62">
        <w:rPr>
          <w:lang w:val="es-ES"/>
        </w:rPr>
        <w:t>) a 1g Hg/t, con un rango de 0,2 a 4g Hg/t. Se considera que el nuevo factor por defecto</w:t>
      </w:r>
      <w:r w:rsidR="00D2352C" w:rsidRPr="00A87C62">
        <w:rPr>
          <w:lang w:val="es-ES"/>
        </w:rPr>
        <w:t> </w:t>
      </w:r>
      <w:r w:rsidRPr="00A87C62">
        <w:rPr>
          <w:lang w:val="es-ES"/>
        </w:rPr>
        <w:t xml:space="preserve">refleja mejor la composición de desechos quemados a </w:t>
      </w:r>
      <w:r w:rsidR="005A640B" w:rsidRPr="00A87C62">
        <w:rPr>
          <w:lang w:val="es-ES"/>
        </w:rPr>
        <w:t>cielo</w:t>
      </w:r>
      <w:r w:rsidRPr="00A87C62">
        <w:rPr>
          <w:lang w:val="es-ES"/>
        </w:rPr>
        <w:t xml:space="preserve"> abierto en la mayoría de los países</w:t>
      </w:r>
      <w:r w:rsidR="00D2352C" w:rsidRPr="00A87C62">
        <w:rPr>
          <w:lang w:val="es-ES"/>
        </w:rPr>
        <w:t> </w:t>
      </w:r>
      <w:r w:rsidRPr="00A87C62">
        <w:rPr>
          <w:lang w:val="es-ES"/>
        </w:rPr>
        <w:t>que hacen uso del Instrumental. No obstante, se alienta a los usuarios a examinar y ajustar el</w:t>
      </w:r>
      <w:r w:rsidR="00D2352C" w:rsidRPr="00A87C62">
        <w:rPr>
          <w:lang w:val="es-ES"/>
        </w:rPr>
        <w:t> </w:t>
      </w:r>
      <w:r w:rsidRPr="00A87C62">
        <w:rPr>
          <w:lang w:val="es-ES"/>
        </w:rPr>
        <w:t>factor según los conocimientos disponibles y las situaciones específicas de los países. La versión actualizada del Instrumental se publicará en el sitio web del Programa de las Naciones Unidas para el</w:t>
      </w:r>
      <w:r w:rsidR="00D2352C" w:rsidRPr="00A87C62">
        <w:rPr>
          <w:lang w:val="es-ES"/>
        </w:rPr>
        <w:t> </w:t>
      </w:r>
      <w:r w:rsidRPr="00A87C62">
        <w:rPr>
          <w:lang w:val="es-ES"/>
        </w:rPr>
        <w:t>Medio Ambiente</w:t>
      </w:r>
      <w:r w:rsidRPr="00A87C62">
        <w:rPr>
          <w:rStyle w:val="FootnoteReference"/>
          <w:lang w:val="es-ES"/>
        </w:rPr>
        <w:footnoteReference w:id="3"/>
      </w:r>
      <w:r w:rsidRPr="00A87C62">
        <w:rPr>
          <w:lang w:val="es-ES"/>
        </w:rPr>
        <w:t>.</w:t>
      </w:r>
      <w:bookmarkStart w:id="4" w:name="_Hlk14864244"/>
      <w:bookmarkEnd w:id="4"/>
    </w:p>
    <w:p w14:paraId="3B52FF4F" w14:textId="1123BAE8" w:rsidR="008E10A4" w:rsidRPr="00A87C62" w:rsidRDefault="00AD78DD" w:rsidP="00001B69">
      <w:pPr>
        <w:pStyle w:val="Normalnumber"/>
        <w:numPr>
          <w:ilvl w:val="0"/>
          <w:numId w:val="38"/>
        </w:numPr>
        <w:tabs>
          <w:tab w:val="left" w:pos="624"/>
        </w:tabs>
        <w:rPr>
          <w:lang w:val="es-ES"/>
        </w:rPr>
      </w:pPr>
      <w:r w:rsidRPr="00A87C62">
        <w:rPr>
          <w:lang w:val="es-ES"/>
        </w:rPr>
        <w:t>En un esfuerzo por seguir abordando la necesidad de</w:t>
      </w:r>
      <w:r w:rsidR="006B144B" w:rsidRPr="00A87C62">
        <w:rPr>
          <w:lang w:val="es-ES"/>
        </w:rPr>
        <w:t xml:space="preserve"> cuantificar los</w:t>
      </w:r>
      <w:r w:rsidRPr="00A87C62">
        <w:rPr>
          <w:lang w:val="es-ES"/>
        </w:rPr>
        <w:t xml:space="preserve"> datos, como se reconoce en la decisión MC-1/14, el Centro Internacional de Tecnología Ambiental ha estado haciendo un seguimiento de la quema a cielo abierto de desechos e</w:t>
      </w:r>
      <w:r w:rsidR="00A87C62" w:rsidRPr="00A87C62">
        <w:rPr>
          <w:lang w:val="es-ES"/>
        </w:rPr>
        <w:t>n</w:t>
      </w:r>
      <w:r w:rsidRPr="00A87C62">
        <w:rPr>
          <w:lang w:val="es-ES"/>
        </w:rPr>
        <w:t xml:space="preserve"> relación con el mercurio y de lugares de vertimiento abiertos, en colaboración con el Ministerio de Medio Ambiente del Japón, como parte de un proyecto sobre la gestión ambientalmente racional de los desechos de mercurio financiado por el Japón. La monitorización del mercurio se llevó a cabo en el vertedero de </w:t>
      </w:r>
      <w:proofErr w:type="spellStart"/>
      <w:r w:rsidRPr="00A87C62">
        <w:rPr>
          <w:lang w:val="es-ES"/>
        </w:rPr>
        <w:t>Bantar</w:t>
      </w:r>
      <w:proofErr w:type="spellEnd"/>
      <w:r w:rsidRPr="00A87C62">
        <w:rPr>
          <w:lang w:val="es-ES"/>
        </w:rPr>
        <w:t xml:space="preserve"> </w:t>
      </w:r>
      <w:proofErr w:type="spellStart"/>
      <w:r w:rsidRPr="00A87C62">
        <w:rPr>
          <w:lang w:val="es-ES"/>
        </w:rPr>
        <w:t>Gebang</w:t>
      </w:r>
      <w:proofErr w:type="spellEnd"/>
      <w:r w:rsidRPr="00A87C62">
        <w:rPr>
          <w:lang w:val="es-ES"/>
        </w:rPr>
        <w:t xml:space="preserve"> en Indonesia en junio de 2018, en el vertedero de </w:t>
      </w:r>
      <w:proofErr w:type="spellStart"/>
      <w:r w:rsidRPr="00A87C62">
        <w:rPr>
          <w:lang w:val="es-ES"/>
        </w:rPr>
        <w:t>Dandora</w:t>
      </w:r>
      <w:proofErr w:type="spellEnd"/>
      <w:r w:rsidRPr="00A87C62">
        <w:rPr>
          <w:lang w:val="es-ES"/>
        </w:rPr>
        <w:t xml:space="preserve"> en Kenya en noviembre de 2018 y en el vertedero de </w:t>
      </w:r>
      <w:proofErr w:type="spellStart"/>
      <w:r w:rsidRPr="00A87C62">
        <w:rPr>
          <w:lang w:val="es-ES"/>
        </w:rPr>
        <w:t>Htein</w:t>
      </w:r>
      <w:proofErr w:type="spellEnd"/>
      <w:r w:rsidRPr="00A87C62">
        <w:rPr>
          <w:lang w:val="es-ES"/>
        </w:rPr>
        <w:t xml:space="preserve"> Pin en Myanmar en enero de 2019, y se llevará a cabo en otros dos lugares en 2019 y 2020. Los resultados de la monitorización del mercurio se publicarán en 2020.</w:t>
      </w:r>
    </w:p>
    <w:p w14:paraId="7A194AD8" w14:textId="7A5D9571" w:rsidR="008B1CA9" w:rsidRPr="00A87C62" w:rsidRDefault="008B1CA9" w:rsidP="00001B69">
      <w:pPr>
        <w:pStyle w:val="Normalnumber"/>
        <w:numPr>
          <w:ilvl w:val="0"/>
          <w:numId w:val="38"/>
        </w:numPr>
        <w:tabs>
          <w:tab w:val="left" w:pos="624"/>
        </w:tabs>
        <w:rPr>
          <w:lang w:val="es-ES"/>
        </w:rPr>
      </w:pPr>
      <w:r w:rsidRPr="00A87C62">
        <w:rPr>
          <w:lang w:val="es-ES"/>
        </w:rPr>
        <w:t>También se ha elaborado información pertinente para la cuestión de las emisiones de mercurio dimanantes de la quema a cielo abierto de desechos en el contexto de los Convenios de Basilea y Estocolmo</w:t>
      </w:r>
      <w:r w:rsidR="00335A08" w:rsidRPr="00A87C62">
        <w:rPr>
          <w:rStyle w:val="FootnoteReference"/>
          <w:lang w:val="es-ES"/>
        </w:rPr>
        <w:footnoteReference w:id="4"/>
      </w:r>
      <w:r w:rsidR="006B144B" w:rsidRPr="00A87C62">
        <w:rPr>
          <w:lang w:val="es-ES"/>
        </w:rPr>
        <w:t>.</w:t>
      </w:r>
    </w:p>
    <w:p w14:paraId="375935CF" w14:textId="4E8C9E1B" w:rsidR="008B1CA9" w:rsidRPr="00A87C62" w:rsidRDefault="00A91A83" w:rsidP="008D1BB3">
      <w:pPr>
        <w:pStyle w:val="Normalnumber"/>
        <w:numPr>
          <w:ilvl w:val="0"/>
          <w:numId w:val="38"/>
        </w:numPr>
        <w:tabs>
          <w:tab w:val="left" w:pos="624"/>
        </w:tabs>
        <w:rPr>
          <w:lang w:val="es-ES"/>
        </w:rPr>
      </w:pPr>
      <w:r w:rsidRPr="00A87C62">
        <w:rPr>
          <w:lang w:val="es-ES"/>
        </w:rPr>
        <w:t>En su 14</w:t>
      </w:r>
      <w:r w:rsidR="00A072AC" w:rsidRPr="00A87C62">
        <w:rPr>
          <w:lang w:val="es-ES"/>
        </w:rPr>
        <w:t>ª reunión</w:t>
      </w:r>
      <w:r w:rsidRPr="00A87C62">
        <w:rPr>
          <w:lang w:val="es-ES"/>
        </w:rPr>
        <w:t xml:space="preserve"> celebrad</w:t>
      </w:r>
      <w:r w:rsidR="00A072AC" w:rsidRPr="00A87C62">
        <w:rPr>
          <w:lang w:val="es-ES"/>
        </w:rPr>
        <w:t>a</w:t>
      </w:r>
      <w:r w:rsidRPr="00A87C62">
        <w:rPr>
          <w:lang w:val="es-ES"/>
        </w:rPr>
        <w:t xml:space="preserve"> en mayo de 2019, la Conferencia de las Partes en el Convenio de Basilea adoptó las orientaciones sobre la manera de abordar la gestión ambientalmente racional de los desechos en el sector no estructurado (UNEP/CHW</w:t>
      </w:r>
      <w:r w:rsidR="00A87C62" w:rsidRPr="00A87C62">
        <w:rPr>
          <w:lang w:val="es-ES"/>
        </w:rPr>
        <w:t>.14</w:t>
      </w:r>
      <w:r w:rsidRPr="00A87C62">
        <w:rPr>
          <w:lang w:val="es-ES"/>
        </w:rPr>
        <w:t xml:space="preserve">/INF/8). En las orientaciones se reconocen los efectos ambientales adversos de la quema a cielo abierto y los riesgos conexos para la salud, así como los riesgos para los trabajadores. Las orientaciones, que recomiendan el fortalecimiento del sector no estructurado alentando la adopción de prácticas de gestión ambientalmente racionales, </w:t>
      </w:r>
      <w:r w:rsidR="006B144B" w:rsidRPr="00A87C62">
        <w:rPr>
          <w:lang w:val="es-ES"/>
        </w:rPr>
        <w:t>sugieren</w:t>
      </w:r>
      <w:r w:rsidRPr="00A87C62">
        <w:rPr>
          <w:lang w:val="es-ES"/>
        </w:rPr>
        <w:t xml:space="preserve"> </w:t>
      </w:r>
      <w:r w:rsidR="006B144B" w:rsidRPr="00A87C62">
        <w:rPr>
          <w:lang w:val="es-ES"/>
        </w:rPr>
        <w:t>eliminar los</w:t>
      </w:r>
      <w:r w:rsidRPr="00A87C62">
        <w:rPr>
          <w:lang w:val="es-ES"/>
        </w:rPr>
        <w:t xml:space="preserve"> residuos y desechos no reciclables de una manera ambientalmente racional en instalaciones modernas </w:t>
      </w:r>
      <w:r w:rsidRPr="00A87C62">
        <w:rPr>
          <w:lang w:val="es-ES"/>
        </w:rPr>
        <w:lastRenderedPageBreak/>
        <w:t>y de conformidad con las tecnologías disponibles de cada país o región, y prohibir la quema a cielo abierto, especialmente la de desechos peligrosos.</w:t>
      </w:r>
    </w:p>
    <w:p w14:paraId="74720B0E" w14:textId="77777777" w:rsidR="008B1CA9" w:rsidRPr="00A87C62" w:rsidRDefault="00001B69" w:rsidP="00001B69">
      <w:pPr>
        <w:pStyle w:val="CH2"/>
        <w:rPr>
          <w:lang w:val="es-ES"/>
        </w:rPr>
      </w:pPr>
      <w:r w:rsidRPr="00A87C62">
        <w:rPr>
          <w:lang w:val="es-ES"/>
        </w:rPr>
        <w:tab/>
      </w:r>
      <w:r w:rsidRPr="00A87C62">
        <w:rPr>
          <w:lang w:val="es-ES"/>
        </w:rPr>
        <w:tab/>
      </w:r>
      <w:r w:rsidRPr="00A87C62">
        <w:rPr>
          <w:bCs/>
          <w:lang w:val="es-ES"/>
        </w:rPr>
        <w:t>Medida que podría adoptar la Conferencia de las Partes</w:t>
      </w:r>
    </w:p>
    <w:p w14:paraId="561F1584" w14:textId="039A438F" w:rsidR="009E3233" w:rsidRPr="00A87C62" w:rsidRDefault="008B1CA9" w:rsidP="008B1CA9">
      <w:pPr>
        <w:pStyle w:val="Normalnumber"/>
        <w:numPr>
          <w:ilvl w:val="0"/>
          <w:numId w:val="38"/>
        </w:numPr>
        <w:rPr>
          <w:lang w:val="es-ES"/>
        </w:rPr>
      </w:pPr>
      <w:r w:rsidRPr="00A87C62">
        <w:rPr>
          <w:lang w:val="es-ES"/>
        </w:rPr>
        <w:t>La Conferencia de las Partes tal vez desee examinar la información que figura en la presente nota y solicitar a la Secretaría que siga reuniendo información pertinente y la publique en el sitio web de</w:t>
      </w:r>
      <w:r w:rsidR="00A072AC" w:rsidRPr="00A87C62">
        <w:rPr>
          <w:lang w:val="es-ES"/>
        </w:rPr>
        <w:t>l Convenio.</w:t>
      </w:r>
    </w:p>
    <w:p w14:paraId="0189457E" w14:textId="77777777" w:rsidR="008D1BB3" w:rsidRPr="00A87C62" w:rsidRDefault="008D1BB3" w:rsidP="008D1BB3">
      <w:pPr>
        <w:pStyle w:val="Normal-pool"/>
        <w:rPr>
          <w:lang w:val="es-ES"/>
        </w:rPr>
      </w:pPr>
    </w:p>
    <w:tbl>
      <w:tblPr>
        <w:tblW w:w="0" w:type="auto"/>
        <w:tblLayout w:type="fixed"/>
        <w:tblLook w:val="04A0" w:firstRow="1" w:lastRow="0" w:firstColumn="1" w:lastColumn="0" w:noHBand="0" w:noVBand="1"/>
      </w:tblPr>
      <w:tblGrid>
        <w:gridCol w:w="1898"/>
        <w:gridCol w:w="1899"/>
        <w:gridCol w:w="1899"/>
        <w:gridCol w:w="1900"/>
        <w:gridCol w:w="1900"/>
      </w:tblGrid>
      <w:tr w:rsidR="00E976AB" w:rsidRPr="00A87C62" w14:paraId="59239AB7" w14:textId="77777777" w:rsidTr="00AA0791">
        <w:tc>
          <w:tcPr>
            <w:tcW w:w="1898" w:type="dxa"/>
            <w:shd w:val="clear" w:color="auto" w:fill="auto"/>
          </w:tcPr>
          <w:p w14:paraId="0A3BB2C4" w14:textId="77777777" w:rsidR="00E976AB" w:rsidRPr="00A87C62" w:rsidRDefault="008E10A4" w:rsidP="004455F3">
            <w:pPr>
              <w:pStyle w:val="Normal-pool"/>
              <w:tabs>
                <w:tab w:val="left" w:pos="624"/>
                <w:tab w:val="left" w:pos="1871"/>
                <w:tab w:val="left" w:pos="2495"/>
              </w:tabs>
              <w:spacing w:before="520"/>
              <w:rPr>
                <w:lang w:val="es-ES"/>
              </w:rPr>
            </w:pPr>
            <w:r w:rsidRPr="00A87C62">
              <w:rPr>
                <w:lang w:val="es-ES"/>
              </w:rPr>
              <w:br w:type="page"/>
            </w:r>
          </w:p>
        </w:tc>
        <w:tc>
          <w:tcPr>
            <w:tcW w:w="1899" w:type="dxa"/>
            <w:shd w:val="clear" w:color="auto" w:fill="auto"/>
          </w:tcPr>
          <w:p w14:paraId="2F45C154" w14:textId="77777777" w:rsidR="00E976AB" w:rsidRPr="00A87C62" w:rsidRDefault="00E976AB" w:rsidP="004455F3">
            <w:pPr>
              <w:pStyle w:val="Normal-pool"/>
              <w:tabs>
                <w:tab w:val="left" w:pos="624"/>
                <w:tab w:val="left" w:pos="1871"/>
                <w:tab w:val="left" w:pos="2495"/>
              </w:tabs>
              <w:spacing w:before="520"/>
              <w:rPr>
                <w:lang w:val="es-ES"/>
              </w:rPr>
            </w:pPr>
          </w:p>
        </w:tc>
        <w:tc>
          <w:tcPr>
            <w:tcW w:w="1899" w:type="dxa"/>
            <w:tcBorders>
              <w:bottom w:val="single" w:sz="4" w:space="0" w:color="auto"/>
            </w:tcBorders>
            <w:shd w:val="clear" w:color="auto" w:fill="auto"/>
          </w:tcPr>
          <w:p w14:paraId="2216745E" w14:textId="77777777" w:rsidR="00E976AB" w:rsidRPr="00A87C62" w:rsidRDefault="00E976AB" w:rsidP="004455F3">
            <w:pPr>
              <w:pStyle w:val="Normal-pool"/>
              <w:tabs>
                <w:tab w:val="left" w:pos="624"/>
                <w:tab w:val="left" w:pos="1871"/>
                <w:tab w:val="left" w:pos="2495"/>
              </w:tabs>
              <w:spacing w:before="520"/>
              <w:rPr>
                <w:lang w:val="es-ES"/>
              </w:rPr>
            </w:pPr>
          </w:p>
        </w:tc>
        <w:tc>
          <w:tcPr>
            <w:tcW w:w="1900" w:type="dxa"/>
            <w:shd w:val="clear" w:color="auto" w:fill="auto"/>
          </w:tcPr>
          <w:p w14:paraId="527B08DC" w14:textId="77777777" w:rsidR="00E976AB" w:rsidRPr="00A87C62" w:rsidRDefault="00E976AB" w:rsidP="004455F3">
            <w:pPr>
              <w:pStyle w:val="Normal-pool"/>
              <w:tabs>
                <w:tab w:val="left" w:pos="624"/>
                <w:tab w:val="left" w:pos="1871"/>
                <w:tab w:val="left" w:pos="2495"/>
              </w:tabs>
              <w:spacing w:before="520"/>
              <w:rPr>
                <w:lang w:val="es-ES"/>
              </w:rPr>
            </w:pPr>
          </w:p>
        </w:tc>
        <w:tc>
          <w:tcPr>
            <w:tcW w:w="1900" w:type="dxa"/>
            <w:shd w:val="clear" w:color="auto" w:fill="auto"/>
          </w:tcPr>
          <w:p w14:paraId="550FC5C9" w14:textId="77777777" w:rsidR="00E976AB" w:rsidRPr="00A87C62" w:rsidRDefault="00E976AB" w:rsidP="004455F3">
            <w:pPr>
              <w:pStyle w:val="Normal-pool"/>
              <w:tabs>
                <w:tab w:val="left" w:pos="624"/>
                <w:tab w:val="left" w:pos="1871"/>
                <w:tab w:val="left" w:pos="2495"/>
              </w:tabs>
              <w:spacing w:before="520"/>
              <w:rPr>
                <w:lang w:val="es-ES"/>
              </w:rPr>
            </w:pPr>
          </w:p>
        </w:tc>
      </w:tr>
      <w:bookmarkEnd w:id="0"/>
    </w:tbl>
    <w:p w14:paraId="45F3517F" w14:textId="77777777" w:rsidR="00032E4E" w:rsidRPr="00A87C62" w:rsidRDefault="00032E4E" w:rsidP="004455F3">
      <w:pPr>
        <w:pStyle w:val="Normal-pool"/>
        <w:tabs>
          <w:tab w:val="left" w:pos="624"/>
          <w:tab w:val="left" w:pos="1871"/>
          <w:tab w:val="left" w:pos="2495"/>
        </w:tabs>
        <w:rPr>
          <w:lang w:val="es-ES"/>
        </w:rPr>
      </w:pPr>
    </w:p>
    <w:sectPr w:rsidR="00032E4E" w:rsidRPr="00A87C62" w:rsidSect="00C771A9">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CC988A" w14:textId="77777777" w:rsidR="001308F0" w:rsidRDefault="001308F0">
      <w:r>
        <w:separator/>
      </w:r>
    </w:p>
  </w:endnote>
  <w:endnote w:type="continuationSeparator" w:id="0">
    <w:p w14:paraId="22D8F816" w14:textId="77777777" w:rsidR="001308F0" w:rsidRDefault="00130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34D59" w14:textId="77777777" w:rsidR="006111FE" w:rsidRPr="00001B69" w:rsidRDefault="006111FE" w:rsidP="00001B69">
    <w:pPr>
      <w:pStyle w:val="Footer-pool"/>
    </w:pPr>
    <w:r w:rsidRPr="00001B69">
      <w:rPr>
        <w:rStyle w:val="PageNumber"/>
        <w:b/>
      </w:rPr>
      <w:fldChar w:fldCharType="begin"/>
    </w:r>
    <w:r w:rsidRPr="00001B69">
      <w:rPr>
        <w:rStyle w:val="PageNumber"/>
        <w:b/>
      </w:rPr>
      <w:instrText xml:space="preserve"> PAGE </w:instrText>
    </w:r>
    <w:r w:rsidRPr="00001B69">
      <w:rPr>
        <w:rStyle w:val="PageNumber"/>
        <w:b/>
      </w:rPr>
      <w:fldChar w:fldCharType="separate"/>
    </w:r>
    <w:r w:rsidR="00F7754A">
      <w:rPr>
        <w:rStyle w:val="PageNumber"/>
        <w:b/>
        <w:noProof/>
      </w:rPr>
      <w:t>2</w:t>
    </w:r>
    <w:r w:rsidRPr="00001B69">
      <w:rPr>
        <w:rStyle w:val="PageNumbe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E1C0A" w14:textId="77777777" w:rsidR="006111FE" w:rsidRDefault="006111F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C40759">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8FDA3" w14:textId="3CF8D405" w:rsidR="00001B69" w:rsidRDefault="00001B69" w:rsidP="008D1BB3">
    <w:pPr>
      <w:pStyle w:val="Normal-pool"/>
    </w:pPr>
    <w:r>
      <w:t>K190334</w:t>
    </w:r>
    <w:r w:rsidR="000423ED">
      <w:t>5</w:t>
    </w:r>
    <w:r>
      <w:tab/>
    </w:r>
    <w:r w:rsidR="000423ED">
      <w:t>06</w:t>
    </w:r>
    <w:r w:rsidR="00D2352C">
      <w:t>09</w:t>
    </w:r>
    <w:r>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9AC10B" w14:textId="77777777" w:rsidR="001308F0" w:rsidRDefault="001308F0" w:rsidP="00A87C62">
      <w:pPr>
        <w:spacing w:before="20" w:after="40"/>
        <w:ind w:left="624"/>
      </w:pPr>
      <w:r>
        <w:separator/>
      </w:r>
    </w:p>
  </w:footnote>
  <w:footnote w:type="continuationSeparator" w:id="0">
    <w:p w14:paraId="0C5129F8" w14:textId="77777777" w:rsidR="001308F0" w:rsidRDefault="001308F0">
      <w:r>
        <w:continuationSeparator/>
      </w:r>
    </w:p>
  </w:footnote>
  <w:footnote w:id="1">
    <w:p w14:paraId="708994F7" w14:textId="77777777" w:rsidR="00C6275F" w:rsidRPr="00D2352C" w:rsidRDefault="00C6275F" w:rsidP="00C6275F">
      <w:pPr>
        <w:pStyle w:val="Standard"/>
        <w:tabs>
          <w:tab w:val="clear" w:pos="1247"/>
          <w:tab w:val="clear" w:pos="1814"/>
          <w:tab w:val="clear" w:pos="2381"/>
          <w:tab w:val="clear" w:pos="2948"/>
          <w:tab w:val="clear" w:pos="3515"/>
          <w:tab w:val="left" w:pos="1871"/>
          <w:tab w:val="left" w:pos="2494"/>
          <w:tab w:val="left" w:pos="3061"/>
          <w:tab w:val="left" w:pos="3628"/>
          <w:tab w:val="left" w:pos="4195"/>
          <w:tab w:val="left" w:pos="4762"/>
          <w:tab w:val="left" w:pos="5329"/>
        </w:tabs>
        <w:spacing w:before="20" w:after="40"/>
        <w:ind w:left="1247"/>
        <w:rPr>
          <w:sz w:val="18"/>
          <w:szCs w:val="18"/>
          <w:lang w:val="es-ES_tradnl"/>
        </w:rPr>
      </w:pPr>
      <w:r w:rsidRPr="00D2352C">
        <w:rPr>
          <w:sz w:val="18"/>
          <w:szCs w:val="18"/>
          <w:lang w:val="es-ES"/>
        </w:rPr>
        <w:t>* UNEP/MC/COP.3/1.</w:t>
      </w:r>
    </w:p>
  </w:footnote>
  <w:footnote w:id="2">
    <w:p w14:paraId="6924B041" w14:textId="30EA8FF2" w:rsidR="008B1CA9" w:rsidRPr="00D2352C" w:rsidRDefault="008B1CA9" w:rsidP="008B1CA9">
      <w:pPr>
        <w:pStyle w:val="FootnoteText"/>
        <w:rPr>
          <w:szCs w:val="18"/>
        </w:rPr>
      </w:pPr>
      <w:r w:rsidRPr="00D2352C">
        <w:rPr>
          <w:rStyle w:val="FootnoteReference"/>
          <w:sz w:val="18"/>
          <w:lang w:val="es-ES"/>
        </w:rPr>
        <w:footnoteRef/>
      </w:r>
      <w:r w:rsidRPr="00D2352C">
        <w:rPr>
          <w:szCs w:val="18"/>
          <w:lang w:val="es-ES"/>
        </w:rPr>
        <w:t xml:space="preserve"> </w:t>
      </w:r>
      <w:r w:rsidRPr="00D2352C">
        <w:rPr>
          <w:szCs w:val="18"/>
          <w:lang w:val="es-ES"/>
        </w:rPr>
        <w:t>Directrices en relación con las emisiones de mercurio sobre las mejores técnicas disponibles y las mejores prácticas ambientales</w:t>
      </w:r>
      <w:r w:rsidR="00A072AC">
        <w:rPr>
          <w:szCs w:val="18"/>
          <w:lang w:val="es-ES"/>
        </w:rPr>
        <w:t xml:space="preserve">, que toman en consideración la diferencia entre las fuentes existentes y la necesidad de reducir al mínimo los efectos entre los distintos medios, </w:t>
      </w:r>
      <w:r w:rsidRPr="00D2352C">
        <w:rPr>
          <w:szCs w:val="18"/>
          <w:lang w:val="es-ES"/>
        </w:rPr>
        <w:t xml:space="preserve">aprobadas por la Conferencia de las Partes en el Convenio de Minamata en su primera reunión (decisión MC-1/4) para ayudar a las Partes a cumplir sus obligaciones en virtud del artículo 8 (UNEP/MC/COP.1/7, anexo II). </w:t>
      </w:r>
    </w:p>
  </w:footnote>
  <w:footnote w:id="3">
    <w:p w14:paraId="3F8A9670" w14:textId="77777777" w:rsidR="00401763" w:rsidRPr="00D2352C" w:rsidRDefault="00401763">
      <w:pPr>
        <w:pStyle w:val="FootnoteText"/>
        <w:rPr>
          <w:szCs w:val="18"/>
        </w:rPr>
      </w:pPr>
      <w:r w:rsidRPr="00D2352C">
        <w:rPr>
          <w:rStyle w:val="FootnoteReference"/>
          <w:sz w:val="18"/>
          <w:lang w:val="es-ES"/>
        </w:rPr>
        <w:footnoteRef/>
      </w:r>
      <w:r w:rsidRPr="00D2352C">
        <w:rPr>
          <w:szCs w:val="18"/>
        </w:rPr>
        <w:t xml:space="preserve"> www.unenvironment.org/explore-topics/chemicals-waste/what-we-do/mercury/mercury-inventory-toolkit.</w:t>
      </w:r>
    </w:p>
  </w:footnote>
  <w:footnote w:id="4">
    <w:p w14:paraId="42BA24F3" w14:textId="77777777" w:rsidR="00335A08" w:rsidRPr="00D2352C" w:rsidRDefault="00335A08">
      <w:pPr>
        <w:pStyle w:val="FootnoteText"/>
        <w:rPr>
          <w:szCs w:val="18"/>
        </w:rPr>
      </w:pPr>
      <w:r w:rsidRPr="00D2352C">
        <w:rPr>
          <w:rStyle w:val="FootnoteReference"/>
          <w:sz w:val="18"/>
          <w:lang w:val="es-ES"/>
        </w:rPr>
        <w:footnoteRef/>
      </w:r>
      <w:r w:rsidRPr="00D2352C">
        <w:rPr>
          <w:szCs w:val="18"/>
          <w:lang w:val="es-ES"/>
        </w:rPr>
        <w:t xml:space="preserve"> </w:t>
      </w:r>
      <w:r w:rsidRPr="00D2352C">
        <w:rPr>
          <w:szCs w:val="18"/>
          <w:lang w:val="es-ES"/>
        </w:rPr>
        <w:t>Por ejemplo, en las directrices sobre las mejores técnicas disponibles y la orientación provisional sobre las mejores prácticas ambientales relativas al artículo 5 y el anexo C del Convenio de Estocolmo sobre Contaminantes Orgánicos Persistentes se afirma claramente que la quema a cielo abierto es un proceso ecológicamente inaceptable.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6FF1D" w14:textId="1CAA2A28" w:rsidR="006111FE" w:rsidRPr="00CA5CA9" w:rsidRDefault="006111FE" w:rsidP="00001B69">
    <w:pPr>
      <w:pStyle w:val="Header-pool"/>
    </w:pPr>
    <w:r w:rsidRPr="00CA5CA9">
      <w:rPr>
        <w:bCs/>
      </w:rPr>
      <w:t>UNEP</w:t>
    </w:r>
    <w:r w:rsidRPr="00CA5CA9">
      <w:t>/</w:t>
    </w:r>
    <w:r>
      <w:t>MC</w:t>
    </w:r>
    <w:r w:rsidRPr="00CA5CA9">
      <w:t>/</w:t>
    </w:r>
    <w:r>
      <w:t>COP.</w:t>
    </w:r>
    <w:r w:rsidR="00B42928">
      <w:t>3</w:t>
    </w:r>
    <w:r w:rsidRPr="00CA5CA9">
      <w:t>/</w:t>
    </w:r>
    <w:r>
      <w:t>1</w:t>
    </w:r>
    <w:r w:rsidR="009E3233">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63B5E" w14:textId="2130B980" w:rsidR="006111FE" w:rsidRPr="00CA5CA9" w:rsidRDefault="006111FE"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009E3233">
      <w:rPr>
        <w:szCs w:val="18"/>
      </w:rPr>
      <w:t>3</w:t>
    </w:r>
    <w:r w:rsidRPr="00CA5CA9">
      <w:rPr>
        <w:szCs w:val="18"/>
      </w:rPr>
      <w:t>/</w:t>
    </w:r>
    <w:r>
      <w:rPr>
        <w:szCs w:val="18"/>
      </w:rPr>
      <w:t>1</w:t>
    </w:r>
    <w:r w:rsidR="009E3233">
      <w:rPr>
        <w:szCs w:val="18"/>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782B5" w14:textId="23736303" w:rsidR="006111FE" w:rsidRDefault="006111F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F42CD"/>
    <w:multiLevelType w:val="hybridMultilevel"/>
    <w:tmpl w:val="2D0C7E3A"/>
    <w:lvl w:ilvl="0" w:tplc="D65AC7A8">
      <w:start w:val="1"/>
      <w:numFmt w:val="decimal"/>
      <w:lvlText w:val="%1."/>
      <w:lvlJc w:val="left"/>
      <w:pPr>
        <w:ind w:left="1817" w:hanging="570"/>
      </w:pPr>
      <w:rPr>
        <w:rFonts w:hint="default"/>
        <w:b w:val="0"/>
        <w:bCs/>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4"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5"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5"/>
  </w:num>
  <w:num w:numId="2">
    <w:abstractNumId w:val="1"/>
  </w:num>
  <w:num w:numId="3">
    <w:abstractNumId w:val="4"/>
  </w:num>
  <w:num w:numId="4">
    <w:abstractNumId w:val="5"/>
  </w:num>
  <w:num w:numId="5">
    <w:abstractNumId w:val="5"/>
    <w:lvlOverride w:ilvl="0">
      <w:lvl w:ilvl="0">
        <w:start w:val="1"/>
        <w:numFmt w:val="decimal"/>
        <w:pStyle w:val="Normalnumber"/>
        <w:lvlText w:val="%1."/>
        <w:lvlJc w:val="left"/>
        <w:pPr>
          <w:tabs>
            <w:tab w:val="num" w:pos="1134"/>
          </w:tabs>
          <w:ind w:left="1247" w:firstLine="0"/>
        </w:pPr>
        <w:rPr>
          <w:rFonts w:hint="default"/>
        </w:rPr>
      </w:lvl>
    </w:lvlOverride>
  </w:num>
  <w:num w:numId="6">
    <w:abstractNumId w:val="2"/>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3"/>
  </w:num>
  <w:num w:numId="38">
    <w:abstractNumId w:val="3"/>
    <w:lvlOverride w:ilvl="0">
      <w:startOverride w:val="1"/>
    </w:lvlOverride>
  </w:num>
  <w:num w:numId="39">
    <w:abstractNumId w:val="5"/>
  </w:num>
  <w:num w:numId="40">
    <w:abstractNumId w:val="5"/>
  </w:num>
  <w:num w:numId="41">
    <w:abstractNumId w:val="5"/>
  </w:num>
  <w:num w:numId="42">
    <w:abstractNumId w:val="0"/>
  </w:num>
  <w:num w:numId="43">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comments="0" w:insDel="0" w:formatting="0"/>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1B69"/>
    <w:rsid w:val="000024A3"/>
    <w:rsid w:val="000057BB"/>
    <w:rsid w:val="000077AD"/>
    <w:rsid w:val="00011A16"/>
    <w:rsid w:val="000149E6"/>
    <w:rsid w:val="00023DA9"/>
    <w:rsid w:val="000247B0"/>
    <w:rsid w:val="00026997"/>
    <w:rsid w:val="00026A08"/>
    <w:rsid w:val="00032E4E"/>
    <w:rsid w:val="00033B8D"/>
    <w:rsid w:val="00033E0B"/>
    <w:rsid w:val="00035188"/>
    <w:rsid w:val="00035EDE"/>
    <w:rsid w:val="000418EA"/>
    <w:rsid w:val="000423ED"/>
    <w:rsid w:val="000509B4"/>
    <w:rsid w:val="00052D39"/>
    <w:rsid w:val="00057D6D"/>
    <w:rsid w:val="0006035B"/>
    <w:rsid w:val="0006096F"/>
    <w:rsid w:val="000649C5"/>
    <w:rsid w:val="000656CE"/>
    <w:rsid w:val="00065F18"/>
    <w:rsid w:val="00071886"/>
    <w:rsid w:val="000742BC"/>
    <w:rsid w:val="00076CC6"/>
    <w:rsid w:val="00082A0C"/>
    <w:rsid w:val="00083504"/>
    <w:rsid w:val="0009640C"/>
    <w:rsid w:val="000B032E"/>
    <w:rsid w:val="000B22A2"/>
    <w:rsid w:val="000B2CA7"/>
    <w:rsid w:val="000B541B"/>
    <w:rsid w:val="000B73F9"/>
    <w:rsid w:val="000C0DA6"/>
    <w:rsid w:val="000C2A52"/>
    <w:rsid w:val="000C2A88"/>
    <w:rsid w:val="000C4354"/>
    <w:rsid w:val="000C5107"/>
    <w:rsid w:val="000C7B14"/>
    <w:rsid w:val="000D0341"/>
    <w:rsid w:val="000D0B93"/>
    <w:rsid w:val="000D33C0"/>
    <w:rsid w:val="000D3B67"/>
    <w:rsid w:val="000D4CF6"/>
    <w:rsid w:val="000D6941"/>
    <w:rsid w:val="000F3DCD"/>
    <w:rsid w:val="000F4829"/>
    <w:rsid w:val="000F6B21"/>
    <w:rsid w:val="0010236F"/>
    <w:rsid w:val="0010285F"/>
    <w:rsid w:val="00102EFB"/>
    <w:rsid w:val="00103013"/>
    <w:rsid w:val="001069E6"/>
    <w:rsid w:val="001202E3"/>
    <w:rsid w:val="00123518"/>
    <w:rsid w:val="00123699"/>
    <w:rsid w:val="001241FB"/>
    <w:rsid w:val="0012797B"/>
    <w:rsid w:val="0013059D"/>
    <w:rsid w:val="001308F0"/>
    <w:rsid w:val="00136187"/>
    <w:rsid w:val="00141669"/>
    <w:rsid w:val="00141A55"/>
    <w:rsid w:val="001421F0"/>
    <w:rsid w:val="0014293F"/>
    <w:rsid w:val="0014397D"/>
    <w:rsid w:val="001446A3"/>
    <w:rsid w:val="00152B6B"/>
    <w:rsid w:val="00155395"/>
    <w:rsid w:val="00155A2F"/>
    <w:rsid w:val="00156B6B"/>
    <w:rsid w:val="00160783"/>
    <w:rsid w:val="00160D74"/>
    <w:rsid w:val="001646EA"/>
    <w:rsid w:val="001677B4"/>
    <w:rsid w:val="00167D02"/>
    <w:rsid w:val="00173556"/>
    <w:rsid w:val="00173CA4"/>
    <w:rsid w:val="00174FA1"/>
    <w:rsid w:val="001759D8"/>
    <w:rsid w:val="00177D7F"/>
    <w:rsid w:val="00177F5E"/>
    <w:rsid w:val="00180C3F"/>
    <w:rsid w:val="00181EC8"/>
    <w:rsid w:val="00184349"/>
    <w:rsid w:val="00195F33"/>
    <w:rsid w:val="001A47E5"/>
    <w:rsid w:val="001B1617"/>
    <w:rsid w:val="001B504B"/>
    <w:rsid w:val="001B6F98"/>
    <w:rsid w:val="001C191A"/>
    <w:rsid w:val="001D3874"/>
    <w:rsid w:val="001D7E75"/>
    <w:rsid w:val="001E0D73"/>
    <w:rsid w:val="001E21C2"/>
    <w:rsid w:val="001E45BD"/>
    <w:rsid w:val="001E56D2"/>
    <w:rsid w:val="001E7D56"/>
    <w:rsid w:val="001F0F6A"/>
    <w:rsid w:val="001F12C3"/>
    <w:rsid w:val="001F2971"/>
    <w:rsid w:val="001F4413"/>
    <w:rsid w:val="001F5186"/>
    <w:rsid w:val="001F75DE"/>
    <w:rsid w:val="00200D58"/>
    <w:rsid w:val="002011C1"/>
    <w:rsid w:val="002013BE"/>
    <w:rsid w:val="00201A7B"/>
    <w:rsid w:val="00201EDC"/>
    <w:rsid w:val="002063A4"/>
    <w:rsid w:val="0021145B"/>
    <w:rsid w:val="00213511"/>
    <w:rsid w:val="00220C23"/>
    <w:rsid w:val="0022338B"/>
    <w:rsid w:val="002247F6"/>
    <w:rsid w:val="00225E21"/>
    <w:rsid w:val="00225E44"/>
    <w:rsid w:val="00234E78"/>
    <w:rsid w:val="00240CB6"/>
    <w:rsid w:val="00243D36"/>
    <w:rsid w:val="00243F00"/>
    <w:rsid w:val="00246151"/>
    <w:rsid w:val="00247707"/>
    <w:rsid w:val="00252456"/>
    <w:rsid w:val="0026018E"/>
    <w:rsid w:val="00276411"/>
    <w:rsid w:val="00286740"/>
    <w:rsid w:val="00291EAE"/>
    <w:rsid w:val="002929D8"/>
    <w:rsid w:val="00297BE0"/>
    <w:rsid w:val="002A237D"/>
    <w:rsid w:val="002A4C53"/>
    <w:rsid w:val="002B00F2"/>
    <w:rsid w:val="002B0672"/>
    <w:rsid w:val="002B247F"/>
    <w:rsid w:val="002B50D4"/>
    <w:rsid w:val="002B58BF"/>
    <w:rsid w:val="002C145D"/>
    <w:rsid w:val="002C2C3E"/>
    <w:rsid w:val="002C4227"/>
    <w:rsid w:val="002C4F61"/>
    <w:rsid w:val="002C533E"/>
    <w:rsid w:val="002D027F"/>
    <w:rsid w:val="002D3E15"/>
    <w:rsid w:val="002D7A85"/>
    <w:rsid w:val="002D7B60"/>
    <w:rsid w:val="002E34D9"/>
    <w:rsid w:val="002F4761"/>
    <w:rsid w:val="002F5C79"/>
    <w:rsid w:val="002F68EE"/>
    <w:rsid w:val="003019E2"/>
    <w:rsid w:val="00301E50"/>
    <w:rsid w:val="00310BEB"/>
    <w:rsid w:val="0031413F"/>
    <w:rsid w:val="00314854"/>
    <w:rsid w:val="003148BB"/>
    <w:rsid w:val="00316FFF"/>
    <w:rsid w:val="00317976"/>
    <w:rsid w:val="00320F2F"/>
    <w:rsid w:val="0032457E"/>
    <w:rsid w:val="00325968"/>
    <w:rsid w:val="00325D38"/>
    <w:rsid w:val="00335A08"/>
    <w:rsid w:val="0034256B"/>
    <w:rsid w:val="0035277E"/>
    <w:rsid w:val="00355EA9"/>
    <w:rsid w:val="003578DE"/>
    <w:rsid w:val="00361688"/>
    <w:rsid w:val="00367FD2"/>
    <w:rsid w:val="00380921"/>
    <w:rsid w:val="00386B84"/>
    <w:rsid w:val="003877D5"/>
    <w:rsid w:val="003929B8"/>
    <w:rsid w:val="00393432"/>
    <w:rsid w:val="00396257"/>
    <w:rsid w:val="00397EB8"/>
    <w:rsid w:val="003A4FD0"/>
    <w:rsid w:val="003A5A7A"/>
    <w:rsid w:val="003A69D1"/>
    <w:rsid w:val="003A7705"/>
    <w:rsid w:val="003A77F1"/>
    <w:rsid w:val="003B1545"/>
    <w:rsid w:val="003C0F26"/>
    <w:rsid w:val="003C2B6C"/>
    <w:rsid w:val="003C3219"/>
    <w:rsid w:val="003C390C"/>
    <w:rsid w:val="003C409D"/>
    <w:rsid w:val="003C4544"/>
    <w:rsid w:val="003C5583"/>
    <w:rsid w:val="003C5BA6"/>
    <w:rsid w:val="003C7101"/>
    <w:rsid w:val="003C74CF"/>
    <w:rsid w:val="003D3752"/>
    <w:rsid w:val="003E1B8B"/>
    <w:rsid w:val="003E35DA"/>
    <w:rsid w:val="003E455D"/>
    <w:rsid w:val="003E77D5"/>
    <w:rsid w:val="003F0E85"/>
    <w:rsid w:val="00401763"/>
    <w:rsid w:val="00405DE0"/>
    <w:rsid w:val="00410C55"/>
    <w:rsid w:val="00413443"/>
    <w:rsid w:val="00416854"/>
    <w:rsid w:val="00417725"/>
    <w:rsid w:val="0042266F"/>
    <w:rsid w:val="00431ED5"/>
    <w:rsid w:val="00434321"/>
    <w:rsid w:val="00437F26"/>
    <w:rsid w:val="00444097"/>
    <w:rsid w:val="00445487"/>
    <w:rsid w:val="004455F3"/>
    <w:rsid w:val="00447E0D"/>
    <w:rsid w:val="00453EA8"/>
    <w:rsid w:val="00454769"/>
    <w:rsid w:val="004650A2"/>
    <w:rsid w:val="00466991"/>
    <w:rsid w:val="0047064C"/>
    <w:rsid w:val="00474EFD"/>
    <w:rsid w:val="004822B7"/>
    <w:rsid w:val="0049469E"/>
    <w:rsid w:val="004A2018"/>
    <w:rsid w:val="004A2217"/>
    <w:rsid w:val="004A24F9"/>
    <w:rsid w:val="004A42E1"/>
    <w:rsid w:val="004B162C"/>
    <w:rsid w:val="004B2ABE"/>
    <w:rsid w:val="004C3DBE"/>
    <w:rsid w:val="004C5C96"/>
    <w:rsid w:val="004C5E14"/>
    <w:rsid w:val="004D06A4"/>
    <w:rsid w:val="004D2E21"/>
    <w:rsid w:val="004E12DD"/>
    <w:rsid w:val="004F1A81"/>
    <w:rsid w:val="004F5D88"/>
    <w:rsid w:val="0050082E"/>
    <w:rsid w:val="00501354"/>
    <w:rsid w:val="005050D2"/>
    <w:rsid w:val="00510FAE"/>
    <w:rsid w:val="005218D9"/>
    <w:rsid w:val="0052207E"/>
    <w:rsid w:val="00536186"/>
    <w:rsid w:val="00540F58"/>
    <w:rsid w:val="00544CBB"/>
    <w:rsid w:val="00551B65"/>
    <w:rsid w:val="00556704"/>
    <w:rsid w:val="005656D7"/>
    <w:rsid w:val="0057315F"/>
    <w:rsid w:val="0057433C"/>
    <w:rsid w:val="00576104"/>
    <w:rsid w:val="00576706"/>
    <w:rsid w:val="0058628E"/>
    <w:rsid w:val="00586418"/>
    <w:rsid w:val="00592B21"/>
    <w:rsid w:val="00594BAC"/>
    <w:rsid w:val="005A640B"/>
    <w:rsid w:val="005B2DF4"/>
    <w:rsid w:val="005B44BF"/>
    <w:rsid w:val="005C3945"/>
    <w:rsid w:val="005C5078"/>
    <w:rsid w:val="005C67C8"/>
    <w:rsid w:val="005D0249"/>
    <w:rsid w:val="005D18FA"/>
    <w:rsid w:val="005D4FD4"/>
    <w:rsid w:val="005D6E8C"/>
    <w:rsid w:val="005E3004"/>
    <w:rsid w:val="005E76FE"/>
    <w:rsid w:val="005F100C"/>
    <w:rsid w:val="005F68DA"/>
    <w:rsid w:val="005F7419"/>
    <w:rsid w:val="00601BC9"/>
    <w:rsid w:val="0060773B"/>
    <w:rsid w:val="006111FE"/>
    <w:rsid w:val="00613FD6"/>
    <w:rsid w:val="006157B5"/>
    <w:rsid w:val="00617224"/>
    <w:rsid w:val="00626FC6"/>
    <w:rsid w:val="006303B4"/>
    <w:rsid w:val="00630ADC"/>
    <w:rsid w:val="00633D3D"/>
    <w:rsid w:val="00641703"/>
    <w:rsid w:val="006431A6"/>
    <w:rsid w:val="00643E3A"/>
    <w:rsid w:val="006459F6"/>
    <w:rsid w:val="006501AD"/>
    <w:rsid w:val="00651BFA"/>
    <w:rsid w:val="00654475"/>
    <w:rsid w:val="00656DF0"/>
    <w:rsid w:val="00660DF0"/>
    <w:rsid w:val="00665A4B"/>
    <w:rsid w:val="00670FAE"/>
    <w:rsid w:val="00672B15"/>
    <w:rsid w:val="006755A0"/>
    <w:rsid w:val="00677848"/>
    <w:rsid w:val="00692E2A"/>
    <w:rsid w:val="0069496A"/>
    <w:rsid w:val="00696C1C"/>
    <w:rsid w:val="006A76F2"/>
    <w:rsid w:val="006A7A42"/>
    <w:rsid w:val="006B144B"/>
    <w:rsid w:val="006B7D29"/>
    <w:rsid w:val="006D19D4"/>
    <w:rsid w:val="006D5644"/>
    <w:rsid w:val="006D5F37"/>
    <w:rsid w:val="006D7EFB"/>
    <w:rsid w:val="006E6672"/>
    <w:rsid w:val="006E6722"/>
    <w:rsid w:val="006F7AFF"/>
    <w:rsid w:val="007027B9"/>
    <w:rsid w:val="007066B5"/>
    <w:rsid w:val="007145DA"/>
    <w:rsid w:val="00715E88"/>
    <w:rsid w:val="007164A7"/>
    <w:rsid w:val="0071679C"/>
    <w:rsid w:val="00716D8B"/>
    <w:rsid w:val="007225C7"/>
    <w:rsid w:val="00734CAA"/>
    <w:rsid w:val="00734DAB"/>
    <w:rsid w:val="00740EE2"/>
    <w:rsid w:val="00742680"/>
    <w:rsid w:val="0075533C"/>
    <w:rsid w:val="00755A18"/>
    <w:rsid w:val="00757581"/>
    <w:rsid w:val="007602F5"/>
    <w:rsid w:val="007608C6"/>
    <w:rsid w:val="00760D36"/>
    <w:rsid w:val="007611A0"/>
    <w:rsid w:val="00765FEE"/>
    <w:rsid w:val="00772574"/>
    <w:rsid w:val="00773E54"/>
    <w:rsid w:val="00787688"/>
    <w:rsid w:val="00790874"/>
    <w:rsid w:val="007935E6"/>
    <w:rsid w:val="00796669"/>
    <w:rsid w:val="00796D3F"/>
    <w:rsid w:val="007A1683"/>
    <w:rsid w:val="007A5C12"/>
    <w:rsid w:val="007A7CB0"/>
    <w:rsid w:val="007B68A3"/>
    <w:rsid w:val="007C2541"/>
    <w:rsid w:val="007D66A8"/>
    <w:rsid w:val="007E003F"/>
    <w:rsid w:val="007F0CF8"/>
    <w:rsid w:val="007F5E1B"/>
    <w:rsid w:val="007F62CB"/>
    <w:rsid w:val="008142EC"/>
    <w:rsid w:val="008164F2"/>
    <w:rsid w:val="00821395"/>
    <w:rsid w:val="00822230"/>
    <w:rsid w:val="0082619D"/>
    <w:rsid w:val="00830E26"/>
    <w:rsid w:val="00834368"/>
    <w:rsid w:val="0083441A"/>
    <w:rsid w:val="00835006"/>
    <w:rsid w:val="00843576"/>
    <w:rsid w:val="00843B64"/>
    <w:rsid w:val="00845261"/>
    <w:rsid w:val="008478FC"/>
    <w:rsid w:val="00851C51"/>
    <w:rsid w:val="008538F7"/>
    <w:rsid w:val="0086524F"/>
    <w:rsid w:val="00867BFF"/>
    <w:rsid w:val="00871542"/>
    <w:rsid w:val="00872BF6"/>
    <w:rsid w:val="00874046"/>
    <w:rsid w:val="00881238"/>
    <w:rsid w:val="0088480A"/>
    <w:rsid w:val="0088757A"/>
    <w:rsid w:val="0089431B"/>
    <w:rsid w:val="00894CA8"/>
    <w:rsid w:val="00895668"/>
    <w:rsid w:val="008957DD"/>
    <w:rsid w:val="00897D98"/>
    <w:rsid w:val="008A6DF2"/>
    <w:rsid w:val="008A7807"/>
    <w:rsid w:val="008B1CA9"/>
    <w:rsid w:val="008B4CC9"/>
    <w:rsid w:val="008C0B15"/>
    <w:rsid w:val="008C7C17"/>
    <w:rsid w:val="008D1BB3"/>
    <w:rsid w:val="008D64F1"/>
    <w:rsid w:val="008D75E4"/>
    <w:rsid w:val="008D7C99"/>
    <w:rsid w:val="008E0FCB"/>
    <w:rsid w:val="008E10A4"/>
    <w:rsid w:val="008E1AE5"/>
    <w:rsid w:val="008F0DC0"/>
    <w:rsid w:val="008F54BD"/>
    <w:rsid w:val="008F6DFE"/>
    <w:rsid w:val="0090529F"/>
    <w:rsid w:val="009173C9"/>
    <w:rsid w:val="0092178C"/>
    <w:rsid w:val="00923ABB"/>
    <w:rsid w:val="00924F53"/>
    <w:rsid w:val="00930B88"/>
    <w:rsid w:val="00935376"/>
    <w:rsid w:val="00940DCC"/>
    <w:rsid w:val="0094179A"/>
    <w:rsid w:val="0094459E"/>
    <w:rsid w:val="00944DBC"/>
    <w:rsid w:val="00950977"/>
    <w:rsid w:val="00951A7B"/>
    <w:rsid w:val="00955512"/>
    <w:rsid w:val="009564A6"/>
    <w:rsid w:val="00957EF8"/>
    <w:rsid w:val="00964637"/>
    <w:rsid w:val="00966A53"/>
    <w:rsid w:val="00967621"/>
    <w:rsid w:val="00967E6A"/>
    <w:rsid w:val="0097259C"/>
    <w:rsid w:val="00980EF8"/>
    <w:rsid w:val="009907B9"/>
    <w:rsid w:val="00990918"/>
    <w:rsid w:val="009A3A83"/>
    <w:rsid w:val="009B4A0F"/>
    <w:rsid w:val="009C11D2"/>
    <w:rsid w:val="009C184B"/>
    <w:rsid w:val="009C6C70"/>
    <w:rsid w:val="009C7B0A"/>
    <w:rsid w:val="009D0B63"/>
    <w:rsid w:val="009D5CB8"/>
    <w:rsid w:val="009D5FAF"/>
    <w:rsid w:val="009E307E"/>
    <w:rsid w:val="009E3233"/>
    <w:rsid w:val="009F1B2E"/>
    <w:rsid w:val="00A072AC"/>
    <w:rsid w:val="00A07870"/>
    <w:rsid w:val="00A07C54"/>
    <w:rsid w:val="00A07F19"/>
    <w:rsid w:val="00A10000"/>
    <w:rsid w:val="00A1348D"/>
    <w:rsid w:val="00A13C99"/>
    <w:rsid w:val="00A15074"/>
    <w:rsid w:val="00A16648"/>
    <w:rsid w:val="00A232EE"/>
    <w:rsid w:val="00A3408F"/>
    <w:rsid w:val="00A4175F"/>
    <w:rsid w:val="00A44411"/>
    <w:rsid w:val="00A4697E"/>
    <w:rsid w:val="00A469FA"/>
    <w:rsid w:val="00A47A6E"/>
    <w:rsid w:val="00A53662"/>
    <w:rsid w:val="00A55643"/>
    <w:rsid w:val="00A55B01"/>
    <w:rsid w:val="00A56B5B"/>
    <w:rsid w:val="00A603FF"/>
    <w:rsid w:val="00A619B6"/>
    <w:rsid w:val="00A648CA"/>
    <w:rsid w:val="00A657DD"/>
    <w:rsid w:val="00A666A6"/>
    <w:rsid w:val="00A675FD"/>
    <w:rsid w:val="00A7155B"/>
    <w:rsid w:val="00A72437"/>
    <w:rsid w:val="00A8048B"/>
    <w:rsid w:val="00A80611"/>
    <w:rsid w:val="00A87C62"/>
    <w:rsid w:val="00A87DC0"/>
    <w:rsid w:val="00A91A83"/>
    <w:rsid w:val="00AA0791"/>
    <w:rsid w:val="00AA346E"/>
    <w:rsid w:val="00AA5BF4"/>
    <w:rsid w:val="00AB5340"/>
    <w:rsid w:val="00AC0A89"/>
    <w:rsid w:val="00AC6921"/>
    <w:rsid w:val="00AC7C96"/>
    <w:rsid w:val="00AD3593"/>
    <w:rsid w:val="00AD78DD"/>
    <w:rsid w:val="00AE0812"/>
    <w:rsid w:val="00AE237D"/>
    <w:rsid w:val="00AE502A"/>
    <w:rsid w:val="00AF0010"/>
    <w:rsid w:val="00AF1AA8"/>
    <w:rsid w:val="00AF2C1F"/>
    <w:rsid w:val="00AF7C07"/>
    <w:rsid w:val="00B02A2C"/>
    <w:rsid w:val="00B0564D"/>
    <w:rsid w:val="00B06C64"/>
    <w:rsid w:val="00B07D8E"/>
    <w:rsid w:val="00B11CAC"/>
    <w:rsid w:val="00B15A29"/>
    <w:rsid w:val="00B22C93"/>
    <w:rsid w:val="00B27589"/>
    <w:rsid w:val="00B335D3"/>
    <w:rsid w:val="00B405B7"/>
    <w:rsid w:val="00B42928"/>
    <w:rsid w:val="00B44E03"/>
    <w:rsid w:val="00B468C0"/>
    <w:rsid w:val="00B47055"/>
    <w:rsid w:val="00B50FE9"/>
    <w:rsid w:val="00B52222"/>
    <w:rsid w:val="00B531DA"/>
    <w:rsid w:val="00B54895"/>
    <w:rsid w:val="00B54FE7"/>
    <w:rsid w:val="00B56CC0"/>
    <w:rsid w:val="00B647C6"/>
    <w:rsid w:val="00B655F9"/>
    <w:rsid w:val="00B66901"/>
    <w:rsid w:val="00B66F60"/>
    <w:rsid w:val="00B67F11"/>
    <w:rsid w:val="00B71E6D"/>
    <w:rsid w:val="00B72070"/>
    <w:rsid w:val="00B779E1"/>
    <w:rsid w:val="00B80F5A"/>
    <w:rsid w:val="00B81E3A"/>
    <w:rsid w:val="00B85CFB"/>
    <w:rsid w:val="00B914E9"/>
    <w:rsid w:val="00B91EE1"/>
    <w:rsid w:val="00B94602"/>
    <w:rsid w:val="00BA0090"/>
    <w:rsid w:val="00BA1A67"/>
    <w:rsid w:val="00BA6A80"/>
    <w:rsid w:val="00BB4ABB"/>
    <w:rsid w:val="00BC62BA"/>
    <w:rsid w:val="00BC7769"/>
    <w:rsid w:val="00BD0EC0"/>
    <w:rsid w:val="00BE5B5F"/>
    <w:rsid w:val="00BE7993"/>
    <w:rsid w:val="00C00DB0"/>
    <w:rsid w:val="00C11971"/>
    <w:rsid w:val="00C15245"/>
    <w:rsid w:val="00C16EEE"/>
    <w:rsid w:val="00C179DE"/>
    <w:rsid w:val="00C26F55"/>
    <w:rsid w:val="00C30C63"/>
    <w:rsid w:val="00C30FF3"/>
    <w:rsid w:val="00C34D5C"/>
    <w:rsid w:val="00C36B8B"/>
    <w:rsid w:val="00C40759"/>
    <w:rsid w:val="00C415C1"/>
    <w:rsid w:val="00C462DD"/>
    <w:rsid w:val="00C47DBF"/>
    <w:rsid w:val="00C552FF"/>
    <w:rsid w:val="00C558DA"/>
    <w:rsid w:val="00C55AF3"/>
    <w:rsid w:val="00C6275F"/>
    <w:rsid w:val="00C71368"/>
    <w:rsid w:val="00C771A9"/>
    <w:rsid w:val="00C82943"/>
    <w:rsid w:val="00C84759"/>
    <w:rsid w:val="00C857E3"/>
    <w:rsid w:val="00C93096"/>
    <w:rsid w:val="00CA1D3A"/>
    <w:rsid w:val="00CA2F57"/>
    <w:rsid w:val="00CA5270"/>
    <w:rsid w:val="00CA5CA9"/>
    <w:rsid w:val="00CA6C7F"/>
    <w:rsid w:val="00CB007D"/>
    <w:rsid w:val="00CB60CA"/>
    <w:rsid w:val="00CC07D8"/>
    <w:rsid w:val="00CC0FC7"/>
    <w:rsid w:val="00CC10A6"/>
    <w:rsid w:val="00CC3B1E"/>
    <w:rsid w:val="00CD5EB8"/>
    <w:rsid w:val="00CD7044"/>
    <w:rsid w:val="00CE08B9"/>
    <w:rsid w:val="00CE3515"/>
    <w:rsid w:val="00CE524C"/>
    <w:rsid w:val="00CF141F"/>
    <w:rsid w:val="00CF4777"/>
    <w:rsid w:val="00CF65C8"/>
    <w:rsid w:val="00D013F5"/>
    <w:rsid w:val="00D05E3F"/>
    <w:rsid w:val="00D067BB"/>
    <w:rsid w:val="00D1352A"/>
    <w:rsid w:val="00D14FD2"/>
    <w:rsid w:val="00D1638E"/>
    <w:rsid w:val="00D169AF"/>
    <w:rsid w:val="00D200EF"/>
    <w:rsid w:val="00D2352C"/>
    <w:rsid w:val="00D25175"/>
    <w:rsid w:val="00D25249"/>
    <w:rsid w:val="00D26854"/>
    <w:rsid w:val="00D32425"/>
    <w:rsid w:val="00D37477"/>
    <w:rsid w:val="00D44172"/>
    <w:rsid w:val="00D47BE3"/>
    <w:rsid w:val="00D63B8C"/>
    <w:rsid w:val="00D70BD5"/>
    <w:rsid w:val="00D739CC"/>
    <w:rsid w:val="00D806F9"/>
    <w:rsid w:val="00D8093D"/>
    <w:rsid w:val="00D8108C"/>
    <w:rsid w:val="00D83208"/>
    <w:rsid w:val="00D842AE"/>
    <w:rsid w:val="00D9211C"/>
    <w:rsid w:val="00D92DE0"/>
    <w:rsid w:val="00D92FEF"/>
    <w:rsid w:val="00D931F9"/>
    <w:rsid w:val="00D93A0F"/>
    <w:rsid w:val="00D94B42"/>
    <w:rsid w:val="00D97736"/>
    <w:rsid w:val="00DA1BCA"/>
    <w:rsid w:val="00DA3663"/>
    <w:rsid w:val="00DA52E9"/>
    <w:rsid w:val="00DB4A56"/>
    <w:rsid w:val="00DC1792"/>
    <w:rsid w:val="00DC274A"/>
    <w:rsid w:val="00DC46FF"/>
    <w:rsid w:val="00DC5254"/>
    <w:rsid w:val="00DC569D"/>
    <w:rsid w:val="00DD1A4F"/>
    <w:rsid w:val="00DD3107"/>
    <w:rsid w:val="00DD7C2C"/>
    <w:rsid w:val="00DE31C5"/>
    <w:rsid w:val="00DE5BDA"/>
    <w:rsid w:val="00DF433C"/>
    <w:rsid w:val="00DF519F"/>
    <w:rsid w:val="00DF7388"/>
    <w:rsid w:val="00E0035A"/>
    <w:rsid w:val="00E06797"/>
    <w:rsid w:val="00E1265B"/>
    <w:rsid w:val="00E12E09"/>
    <w:rsid w:val="00E13B48"/>
    <w:rsid w:val="00E1404F"/>
    <w:rsid w:val="00E20F1C"/>
    <w:rsid w:val="00E21C83"/>
    <w:rsid w:val="00E24ADA"/>
    <w:rsid w:val="00E3002F"/>
    <w:rsid w:val="00E32F59"/>
    <w:rsid w:val="00E36AE8"/>
    <w:rsid w:val="00E41908"/>
    <w:rsid w:val="00E46D9A"/>
    <w:rsid w:val="00E50E7E"/>
    <w:rsid w:val="00E565FF"/>
    <w:rsid w:val="00E62610"/>
    <w:rsid w:val="00E65388"/>
    <w:rsid w:val="00E6587E"/>
    <w:rsid w:val="00E75993"/>
    <w:rsid w:val="00E7741D"/>
    <w:rsid w:val="00E808CD"/>
    <w:rsid w:val="00E8348F"/>
    <w:rsid w:val="00E85A01"/>
    <w:rsid w:val="00E85B7D"/>
    <w:rsid w:val="00E9121B"/>
    <w:rsid w:val="00E9302E"/>
    <w:rsid w:val="00E976AB"/>
    <w:rsid w:val="00EA0AE2"/>
    <w:rsid w:val="00EA39E5"/>
    <w:rsid w:val="00EA57A3"/>
    <w:rsid w:val="00EA7AD8"/>
    <w:rsid w:val="00EB06A7"/>
    <w:rsid w:val="00EC2813"/>
    <w:rsid w:val="00EC5A46"/>
    <w:rsid w:val="00EC63E2"/>
    <w:rsid w:val="00ED0225"/>
    <w:rsid w:val="00ED366A"/>
    <w:rsid w:val="00ED6BB7"/>
    <w:rsid w:val="00EE19BA"/>
    <w:rsid w:val="00EF22B3"/>
    <w:rsid w:val="00F00BD8"/>
    <w:rsid w:val="00F03B69"/>
    <w:rsid w:val="00F07A50"/>
    <w:rsid w:val="00F113DA"/>
    <w:rsid w:val="00F266FC"/>
    <w:rsid w:val="00F3037A"/>
    <w:rsid w:val="00F33173"/>
    <w:rsid w:val="00F3465A"/>
    <w:rsid w:val="00F37DC8"/>
    <w:rsid w:val="00F4141B"/>
    <w:rsid w:val="00F439B3"/>
    <w:rsid w:val="00F45C7F"/>
    <w:rsid w:val="00F650C3"/>
    <w:rsid w:val="00F65D85"/>
    <w:rsid w:val="00F6700B"/>
    <w:rsid w:val="00F71240"/>
    <w:rsid w:val="00F7137B"/>
    <w:rsid w:val="00F7754A"/>
    <w:rsid w:val="00F8091E"/>
    <w:rsid w:val="00F83C41"/>
    <w:rsid w:val="00F8615C"/>
    <w:rsid w:val="00F969E5"/>
    <w:rsid w:val="00FA4972"/>
    <w:rsid w:val="00FA6BB0"/>
    <w:rsid w:val="00FB1DD1"/>
    <w:rsid w:val="00FB2DBD"/>
    <w:rsid w:val="00FC51B1"/>
    <w:rsid w:val="00FC7E36"/>
    <w:rsid w:val="00FD48DF"/>
    <w:rsid w:val="00FD5860"/>
    <w:rsid w:val="00FE352D"/>
    <w:rsid w:val="00FE40EB"/>
    <w:rsid w:val="00FE4D02"/>
    <w:rsid w:val="00FE685D"/>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2533E84"/>
  <w15:docId w15:val="{28FCE3E3-95F6-450A-B9F8-18FBBC2A3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val="es-ES"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001B69"/>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001B69"/>
    <w:pPr>
      <w:numPr>
        <w:numId w:val="5"/>
      </w:numPr>
      <w:tabs>
        <w:tab w:val="clear" w:pos="1134"/>
        <w:tab w:val="clear" w:pos="1247"/>
        <w:tab w:val="clear" w:pos="1814"/>
        <w:tab w:val="clear" w:pos="2381"/>
        <w:tab w:val="clear" w:pos="2948"/>
        <w:tab w:val="clear" w:pos="3515"/>
        <w:tab w:val="clear" w:pos="4082"/>
        <w:tab w:val="num"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C6275F"/>
    <w:rPr>
      <w:b/>
      <w:sz w:val="28"/>
      <w:szCs w:val="28"/>
      <w:lang w:eastAsia="en-US"/>
    </w:rPr>
  </w:style>
  <w:style w:type="character" w:customStyle="1" w:styleId="CH2Char">
    <w:name w:val="CH2 Char"/>
    <w:link w:val="CH2"/>
    <w:locked/>
    <w:rsid w:val="00001B69"/>
    <w:rPr>
      <w:b/>
      <w:sz w:val="24"/>
      <w:szCs w:val="24"/>
      <w:lang w:eastAsia="en-US"/>
    </w:rPr>
  </w:style>
  <w:style w:type="character" w:customStyle="1" w:styleId="NormalnumberChar">
    <w:name w:val="Normal_number Char"/>
    <w:link w:val="Normalnumber"/>
    <w:locked/>
    <w:rsid w:val="00001B69"/>
    <w:rPr>
      <w:lang w:eastAsia="en-US"/>
    </w:rPr>
  </w:style>
  <w:style w:type="paragraph" w:customStyle="1" w:styleId="Standard">
    <w:name w:val="Standard"/>
    <w:rsid w:val="00C6275F"/>
    <w:pPr>
      <w:tabs>
        <w:tab w:val="left" w:pos="1247"/>
        <w:tab w:val="left" w:pos="1814"/>
        <w:tab w:val="left" w:pos="2381"/>
        <w:tab w:val="left" w:pos="2948"/>
        <w:tab w:val="left" w:pos="3515"/>
      </w:tabs>
      <w:suppressAutoHyphens/>
      <w:autoSpaceDN w:val="0"/>
      <w:textAlignment w:val="baseline"/>
    </w:pPr>
    <w:rPr>
      <w:kern w:val="3"/>
      <w:lang w:eastAsia="en-US"/>
    </w:rPr>
  </w:style>
  <w:style w:type="numbering" w:customStyle="1" w:styleId="WWNum25">
    <w:name w:val="WWNum25"/>
    <w:basedOn w:val="NoList"/>
    <w:rsid w:val="00C6275F"/>
    <w:pPr>
      <w:numPr>
        <w:numId w:val="37"/>
      </w:numPr>
    </w:pPr>
  </w:style>
  <w:style w:type="character" w:customStyle="1" w:styleId="ZZAnxheaderChar">
    <w:name w:val="ZZ_Anx_header Char"/>
    <w:link w:val="ZZAnxheader"/>
    <w:rsid w:val="008E10A4"/>
    <w:rPr>
      <w:b/>
      <w:bCs/>
      <w:sz w:val="28"/>
      <w:szCs w:val="22"/>
      <w:lang w:eastAsia="en-US"/>
    </w:rPr>
  </w:style>
  <w:style w:type="character" w:customStyle="1" w:styleId="Normal-poolChar">
    <w:name w:val="Normal-pool Char"/>
    <w:link w:val="Normal-pool"/>
    <w:rsid w:val="008E10A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1454BBBC1CDE42AB175907F3F7B4C8" ma:contentTypeVersion="11" ma:contentTypeDescription="Create a new document." ma:contentTypeScope="" ma:versionID="0992cbdc4f5bbcb8e361be6395f03726">
  <xsd:schema xmlns:xsd="http://www.w3.org/2001/XMLSchema" xmlns:xs="http://www.w3.org/2001/XMLSchema" xmlns:p="http://schemas.microsoft.com/office/2006/metadata/properties" xmlns:ns3="d18b2cca-499f-4557-a4e9-65dcf311f482" xmlns:ns4="f500b1e4-de7e-4e77-a903-0925b28ae6a4" targetNamespace="http://schemas.microsoft.com/office/2006/metadata/properties" ma:root="true" ma:fieldsID="d6551fd0daded6097ec55b1000056b70" ns3:_="" ns4:_="">
    <xsd:import namespace="d18b2cca-499f-4557-a4e9-65dcf311f482"/>
    <xsd:import namespace="f500b1e4-de7e-4e77-a903-0925b28ae6a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b2cca-499f-4557-a4e9-65dcf311f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00b1e4-de7e-4e77-a903-0925b28ae6a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FBB7A-50B7-4B2E-8DD7-C372B0349DDD}">
  <ds:schemaRefs>
    <ds:schemaRef ds:uri="http://schemas.microsoft.com/sharepoint/v3/contenttype/forms"/>
  </ds:schemaRefs>
</ds:datastoreItem>
</file>

<file path=customXml/itemProps2.xml><?xml version="1.0" encoding="utf-8"?>
<ds:datastoreItem xmlns:ds="http://schemas.openxmlformats.org/officeDocument/2006/customXml" ds:itemID="{985B026B-805A-4F8B-B079-664CE5FA09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b2cca-499f-4557-a4e9-65dcf311f482"/>
    <ds:schemaRef ds:uri="f500b1e4-de7e-4e77-a903-0925b28ae6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055B12-F4EE-4A92-9E05-FA500F65FE7B}">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d18b2cca-499f-4557-a4e9-65dcf311f482"/>
    <ds:schemaRef ds:uri="http://schemas.microsoft.com/office/infopath/2007/PartnerControls"/>
    <ds:schemaRef ds:uri="f500b1e4-de7e-4e77-a903-0925b28ae6a4"/>
    <ds:schemaRef ds:uri="http://www.w3.org/XML/1998/namespace"/>
  </ds:schemaRefs>
</ds:datastoreItem>
</file>

<file path=customXml/itemProps4.xml><?xml version="1.0" encoding="utf-8"?>
<ds:datastoreItem xmlns:ds="http://schemas.openxmlformats.org/officeDocument/2006/customXml" ds:itemID="{8E7C03AD-BBFD-4795-95AB-2A7C443EE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1223</Words>
  <Characters>6727</Characters>
  <Application>Microsoft Office Word</Application>
  <DocSecurity>0</DocSecurity>
  <Lines>56</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7935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Jimena Vallejo Montes</cp:lastModifiedBy>
  <cp:revision>2</cp:revision>
  <cp:lastPrinted>2019-08-06T12:34:00Z</cp:lastPrinted>
  <dcterms:created xsi:type="dcterms:W3CDTF">2019-09-06T06:22:00Z</dcterms:created>
  <dcterms:modified xsi:type="dcterms:W3CDTF">2019-09-06T06:22:00Z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0x0101009B1454BBBC1CDE42AB175907F3F7B4C8</vt:lpwstr>
  </property>
  <property fmtid="{D5CDD505-2E9C-101B-9397-08002B2CF9AE}" pid="3" name="TranslatedWith">
    <vt:lpwstr>Mercury</vt:lpwstr>
  </property>
  <property fmtid="{D5CDD505-2E9C-101B-9397-08002B2CF9AE}" pid="4" name="GeneratedBy">
    <vt:lpwstr>gladys.tarrau.castellanos</vt:lpwstr>
  </property>
  <property fmtid="{D5CDD505-2E9C-101B-9397-08002B2CF9AE}" pid="5" name="GeneratedDate">
    <vt:lpwstr>9/3/2019 11:39:02 AM</vt:lpwstr>
  </property>
  <property fmtid="{D5CDD505-2E9C-101B-9397-08002B2CF9AE}" pid="6" name="OriginalDocID">
    <vt:lpwstr>716fc3d8-6395-4e39-9a8f-8dded2b0d6e9</vt:lpwstr>
  </property>
</Properties>
</file>