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2"/>
        <w:gridCol w:w="4639"/>
        <w:gridCol w:w="3335"/>
      </w:tblGrid>
      <w:tr w:rsidR="00250599" w:rsidRPr="00876DF4" w14:paraId="6455530E" w14:textId="77777777" w:rsidTr="00E807F7">
        <w:trPr>
          <w:cantSplit/>
          <w:trHeight w:val="850"/>
          <w:jc w:val="right"/>
        </w:trPr>
        <w:tc>
          <w:tcPr>
            <w:tcW w:w="1522" w:type="dxa"/>
          </w:tcPr>
          <w:p w14:paraId="660873A6" w14:textId="77777777" w:rsidR="00250599" w:rsidRPr="00876DF4" w:rsidRDefault="00250599" w:rsidP="00E807F7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Hlk517786179"/>
            <w:r w:rsidRPr="00876DF4">
              <w:rPr>
                <w:rFonts w:ascii="Arial" w:hAnsi="Arial" w:cs="Arial"/>
                <w:b/>
                <w:noProof/>
                <w:sz w:val="27"/>
                <w:szCs w:val="27"/>
              </w:rPr>
              <w:t>NATIONS</w:t>
            </w:r>
            <w:r w:rsidRPr="00876DF4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UNIES</w:t>
            </w:r>
          </w:p>
        </w:tc>
        <w:tc>
          <w:tcPr>
            <w:tcW w:w="4639" w:type="dxa"/>
          </w:tcPr>
          <w:p w14:paraId="6D499659" w14:textId="77777777" w:rsidR="00250599" w:rsidRPr="00876DF4" w:rsidRDefault="00250599" w:rsidP="00E807F7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35" w:type="dxa"/>
          </w:tcPr>
          <w:p w14:paraId="3B19B584" w14:textId="77777777" w:rsidR="00250599" w:rsidRPr="00876DF4" w:rsidRDefault="00250599" w:rsidP="00E807F7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876DF4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250599" w:rsidRPr="00876DF4" w14:paraId="3BB8F7F1" w14:textId="77777777" w:rsidTr="00E807F7">
        <w:trPr>
          <w:cantSplit/>
          <w:trHeight w:val="281"/>
          <w:jc w:val="right"/>
        </w:trPr>
        <w:tc>
          <w:tcPr>
            <w:tcW w:w="1522" w:type="dxa"/>
            <w:tcBorders>
              <w:bottom w:val="single" w:sz="4" w:space="0" w:color="auto"/>
            </w:tcBorders>
          </w:tcPr>
          <w:p w14:paraId="38603294" w14:textId="77777777" w:rsidR="00250599" w:rsidRPr="00876DF4" w:rsidRDefault="00250599" w:rsidP="00E807F7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639" w:type="dxa"/>
            <w:tcBorders>
              <w:bottom w:val="single" w:sz="4" w:space="0" w:color="auto"/>
            </w:tcBorders>
          </w:tcPr>
          <w:p w14:paraId="5D812038" w14:textId="77777777" w:rsidR="00250599" w:rsidRPr="00876DF4" w:rsidRDefault="00250599" w:rsidP="00E807F7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3DBDF6FC" w14:textId="085828DB" w:rsidR="00250599" w:rsidRPr="00876DF4" w:rsidRDefault="00250599" w:rsidP="00E807F7">
            <w:pPr>
              <w:rPr>
                <w:noProof/>
                <w:sz w:val="18"/>
                <w:szCs w:val="18"/>
              </w:rPr>
            </w:pPr>
            <w:r w:rsidRPr="00876DF4">
              <w:rPr>
                <w:b/>
                <w:bCs/>
                <w:sz w:val="28"/>
              </w:rPr>
              <w:t>UNEP/</w:t>
            </w:r>
            <w:r w:rsidRPr="00876DF4">
              <w:t>MC/COP.3/</w:t>
            </w:r>
            <w:r>
              <w:t>17</w:t>
            </w:r>
          </w:p>
        </w:tc>
      </w:tr>
      <w:tr w:rsidR="00250599" w:rsidRPr="00876DF4" w14:paraId="7E291DB3" w14:textId="77777777" w:rsidTr="00E807F7">
        <w:trPr>
          <w:cantSplit/>
          <w:trHeight w:val="2549"/>
          <w:jc w:val="right"/>
        </w:trPr>
        <w:tc>
          <w:tcPr>
            <w:tcW w:w="1522" w:type="dxa"/>
            <w:tcBorders>
              <w:top w:val="single" w:sz="4" w:space="0" w:color="auto"/>
              <w:bottom w:val="single" w:sz="24" w:space="0" w:color="auto"/>
            </w:tcBorders>
          </w:tcPr>
          <w:p w14:paraId="420C9C96" w14:textId="77777777" w:rsidR="00250599" w:rsidRPr="00876DF4" w:rsidRDefault="00250599" w:rsidP="00E807F7">
            <w:pPr>
              <w:rPr>
                <w:noProof/>
              </w:rPr>
            </w:pPr>
            <w:r w:rsidRPr="00876DF4">
              <w:rPr>
                <w:noProof/>
              </w:rPr>
              <w:object w:dxaOrig="1831" w:dyaOrig="1726" w14:anchorId="1AB9D40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1pt;height:61.35pt" o:ole="" fillcolor="window">
                  <v:imagedata r:id="rId11" o:title=""/>
                </v:shape>
                <o:OLEObject Type="Embed" ProgID="Word.Picture.8" ShapeID="_x0000_i1025" DrawAspect="Content" ObjectID="_1629802762" r:id="rId12"/>
              </w:object>
            </w:r>
            <w:r w:rsidRPr="00876DF4">
              <w:rPr>
                <w:noProof/>
                <w:lang w:eastAsia="en-GB"/>
              </w:rPr>
              <w:drawing>
                <wp:inline distT="0" distB="0" distL="0" distR="0" wp14:anchorId="682531AB" wp14:editId="75EF6647">
                  <wp:extent cx="723900" cy="769620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9" w:type="dxa"/>
            <w:tcBorders>
              <w:top w:val="single" w:sz="4" w:space="0" w:color="auto"/>
              <w:bottom w:val="single" w:sz="24" w:space="0" w:color="auto"/>
            </w:tcBorders>
          </w:tcPr>
          <w:p w14:paraId="78DFFDA1" w14:textId="15425857" w:rsidR="00250599" w:rsidRPr="00876DF4" w:rsidRDefault="00250599" w:rsidP="00E807F7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876DF4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Pr="00876DF4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Pr="00876DF4">
              <w:rPr>
                <w:rFonts w:ascii="Arial" w:hAnsi="Arial" w:cs="Arial"/>
                <w:b/>
                <w:sz w:val="32"/>
                <w:szCs w:val="32"/>
              </w:rPr>
              <w:br/>
              <w:t>pour l</w:t>
            </w:r>
            <w:r w:rsidR="00431A09">
              <w:rPr>
                <w:rFonts w:ascii="Arial" w:hAnsi="Arial" w:cs="Arial"/>
                <w:b/>
                <w:sz w:val="32"/>
                <w:szCs w:val="32"/>
              </w:rPr>
              <w:t>’</w:t>
            </w:r>
            <w:r w:rsidRPr="00876DF4">
              <w:rPr>
                <w:rFonts w:ascii="Arial" w:hAnsi="Arial" w:cs="Arial"/>
                <w:b/>
                <w:sz w:val="32"/>
                <w:szCs w:val="32"/>
              </w:rPr>
              <w:t>environnement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44121335" w14:textId="20C2D6D1" w:rsidR="00250599" w:rsidRPr="00876DF4" w:rsidRDefault="00250599" w:rsidP="00E807F7">
            <w:pPr>
              <w:spacing w:before="120"/>
            </w:pPr>
            <w:proofErr w:type="spellStart"/>
            <w:r w:rsidRPr="00876DF4">
              <w:t>Distr</w:t>
            </w:r>
            <w:proofErr w:type="spellEnd"/>
            <w:r w:rsidRPr="00876DF4">
              <w:t>. </w:t>
            </w:r>
            <w:proofErr w:type="gramStart"/>
            <w:r w:rsidRPr="00876DF4">
              <w:t>générale</w:t>
            </w:r>
            <w:proofErr w:type="gramEnd"/>
            <w:r w:rsidRPr="00876DF4">
              <w:t xml:space="preserve"> </w:t>
            </w:r>
            <w:r w:rsidRPr="00876DF4">
              <w:br/>
            </w:r>
            <w:r>
              <w:t>2</w:t>
            </w:r>
            <w:r w:rsidR="00526BD9">
              <w:t>5</w:t>
            </w:r>
            <w:r>
              <w:t> juillet </w:t>
            </w:r>
            <w:r w:rsidRPr="00876DF4">
              <w:t>2019</w:t>
            </w:r>
          </w:p>
          <w:p w14:paraId="0477ACB4" w14:textId="77777777" w:rsidR="00250599" w:rsidRPr="00876DF4" w:rsidRDefault="00250599" w:rsidP="00E807F7">
            <w:pPr>
              <w:spacing w:before="240"/>
            </w:pPr>
            <w:r w:rsidRPr="00876DF4">
              <w:t>Français</w:t>
            </w:r>
            <w:r>
              <w:t xml:space="preserve"> </w:t>
            </w:r>
            <w:r w:rsidRPr="00876DF4">
              <w:br/>
              <w:t>Original : anglais</w:t>
            </w:r>
          </w:p>
        </w:tc>
      </w:tr>
    </w:tbl>
    <w:p w14:paraId="0A655198" w14:textId="77777777" w:rsidR="00250599" w:rsidRPr="00876DF4" w:rsidRDefault="00250599" w:rsidP="00250599">
      <w:pPr>
        <w:pStyle w:val="AATitle"/>
        <w:keepNext w:val="0"/>
        <w:keepLines w:val="0"/>
        <w:rPr>
          <w:lang w:val="fr-FR"/>
        </w:rPr>
      </w:pPr>
      <w:r w:rsidRPr="00876DF4">
        <w:rPr>
          <w:bCs/>
          <w:lang w:val="fr-FR"/>
        </w:rPr>
        <w:t xml:space="preserve">Conférence des Parties à la Convention </w:t>
      </w:r>
      <w:r>
        <w:rPr>
          <w:bCs/>
          <w:lang w:val="fr-FR"/>
        </w:rPr>
        <w:br/>
      </w:r>
      <w:r w:rsidRPr="00876DF4">
        <w:rPr>
          <w:bCs/>
          <w:lang w:val="fr-FR"/>
        </w:rPr>
        <w:t>de Minamata sur le mercure</w:t>
      </w:r>
    </w:p>
    <w:p w14:paraId="6BF7E78B" w14:textId="77777777" w:rsidR="00250599" w:rsidRPr="00876DF4" w:rsidRDefault="00250599" w:rsidP="00250599">
      <w:pPr>
        <w:pStyle w:val="AATitle"/>
        <w:keepNext w:val="0"/>
        <w:keepLines w:val="0"/>
        <w:rPr>
          <w:lang w:val="fr-FR"/>
        </w:rPr>
      </w:pPr>
      <w:r w:rsidRPr="00876DF4">
        <w:rPr>
          <w:bCs/>
          <w:lang w:val="fr-FR"/>
        </w:rPr>
        <w:t>Troisième réunion</w:t>
      </w:r>
    </w:p>
    <w:p w14:paraId="207AA999" w14:textId="77777777" w:rsidR="00250599" w:rsidRPr="00876DF4" w:rsidRDefault="00250599" w:rsidP="00250599">
      <w:pPr>
        <w:pStyle w:val="AATitle"/>
        <w:rPr>
          <w:b w:val="0"/>
          <w:lang w:val="fr-FR"/>
        </w:rPr>
      </w:pPr>
      <w:r w:rsidRPr="00876DF4">
        <w:rPr>
          <w:b w:val="0"/>
          <w:lang w:val="fr-FR"/>
        </w:rPr>
        <w:t>Genève, 25–29 novembre 2019</w:t>
      </w:r>
    </w:p>
    <w:p w14:paraId="1CC90DDA" w14:textId="1C5557F9" w:rsidR="00250599" w:rsidRPr="0058291A" w:rsidRDefault="00250599" w:rsidP="00250599">
      <w:pPr>
        <w:pStyle w:val="AATitle"/>
        <w:rPr>
          <w:b w:val="0"/>
        </w:rPr>
      </w:pPr>
      <w:r w:rsidRPr="0058291A">
        <w:rPr>
          <w:b w:val="0"/>
          <w:lang w:val="fr-FR"/>
        </w:rPr>
        <w:t xml:space="preserve">Point </w:t>
      </w:r>
      <w:r>
        <w:rPr>
          <w:b w:val="0"/>
          <w:lang w:val="fr-FR"/>
        </w:rPr>
        <w:t>5 k)</w:t>
      </w:r>
      <w:r w:rsidRPr="0058291A">
        <w:rPr>
          <w:b w:val="0"/>
          <w:lang w:val="fr-FR"/>
        </w:rPr>
        <w:t xml:space="preserve"> de l</w:t>
      </w:r>
      <w:r w:rsidR="00431A09">
        <w:rPr>
          <w:b w:val="0"/>
          <w:lang w:val="fr-FR"/>
        </w:rPr>
        <w:t>’</w:t>
      </w:r>
      <w:r w:rsidRPr="0058291A">
        <w:rPr>
          <w:b w:val="0"/>
          <w:lang w:val="fr-FR"/>
        </w:rPr>
        <w:t>ordre du jour provisoire</w:t>
      </w:r>
      <w:r w:rsidRPr="003558CC">
        <w:rPr>
          <w:rStyle w:val="FootnoteReference"/>
          <w:b w:val="0"/>
          <w:vertAlign w:val="baseline"/>
          <w:lang w:val="fr-FR"/>
        </w:rPr>
        <w:footnoteReference w:customMarkFollows="1" w:id="1"/>
        <w:t>*</w:t>
      </w:r>
    </w:p>
    <w:p w14:paraId="7110836C" w14:textId="12CD7FB4" w:rsidR="00C6275F" w:rsidRPr="00F84178" w:rsidRDefault="00C6275F" w:rsidP="00F70B0D">
      <w:pPr>
        <w:pStyle w:val="AATitle2"/>
        <w:rPr>
          <w:lang w:val="fr-FR"/>
        </w:rPr>
      </w:pPr>
      <w:bookmarkStart w:id="1" w:name="_Hlk14867412"/>
      <w:r>
        <w:rPr>
          <w:lang w:val="fr-FR"/>
        </w:rPr>
        <w:t xml:space="preserve">Questions soumises à la Conférence des </w:t>
      </w:r>
      <w:r w:rsidR="005F69FF">
        <w:rPr>
          <w:lang w:val="fr-FR"/>
        </w:rPr>
        <w:t>Parties pour examen ou décision </w:t>
      </w:r>
      <w:r>
        <w:rPr>
          <w:lang w:val="fr-FR"/>
        </w:rPr>
        <w:t xml:space="preserve">: </w:t>
      </w:r>
      <w:r w:rsidRPr="00F70B0D">
        <w:t>émissions</w:t>
      </w:r>
      <w:r>
        <w:rPr>
          <w:lang w:val="fr-FR"/>
        </w:rPr>
        <w:t xml:space="preserve"> de mercure provenant du</w:t>
      </w:r>
      <w:r w:rsidR="00250599">
        <w:rPr>
          <w:lang w:val="fr-FR"/>
        </w:rPr>
        <w:t> </w:t>
      </w:r>
      <w:r>
        <w:rPr>
          <w:lang w:val="fr-FR"/>
        </w:rPr>
        <w:t>brûlage de déchets à l</w:t>
      </w:r>
      <w:r w:rsidR="00431A09">
        <w:rPr>
          <w:lang w:val="fr-FR"/>
        </w:rPr>
        <w:t>’</w:t>
      </w:r>
      <w:r>
        <w:rPr>
          <w:lang w:val="fr-FR"/>
        </w:rPr>
        <w:t>air libre</w:t>
      </w:r>
    </w:p>
    <w:bookmarkEnd w:id="1"/>
    <w:p w14:paraId="218EAFCF" w14:textId="4204381A" w:rsidR="00C6275F" w:rsidRPr="00F84178" w:rsidRDefault="008F0DC0" w:rsidP="00250599">
      <w:pPr>
        <w:pStyle w:val="BBTitle"/>
        <w:rPr>
          <w:lang w:val="fr-FR"/>
        </w:rPr>
      </w:pPr>
      <w:r>
        <w:rPr>
          <w:lang w:val="fr-FR"/>
        </w:rPr>
        <w:t>Informations relatives aux émissions de mercure provenant du</w:t>
      </w:r>
      <w:r w:rsidR="00431A09">
        <w:rPr>
          <w:lang w:val="fr-FR"/>
        </w:rPr>
        <w:t> </w:t>
      </w:r>
      <w:r>
        <w:rPr>
          <w:lang w:val="fr-FR"/>
        </w:rPr>
        <w:t>brûlage de déchets à l</w:t>
      </w:r>
      <w:r w:rsidR="00431A09">
        <w:rPr>
          <w:lang w:val="fr-FR"/>
        </w:rPr>
        <w:t>’</w:t>
      </w:r>
      <w:r>
        <w:rPr>
          <w:lang w:val="fr-FR"/>
        </w:rPr>
        <w:t>air libre</w:t>
      </w:r>
      <w:bookmarkStart w:id="2" w:name="_Hlk14867454"/>
      <w:bookmarkEnd w:id="2"/>
    </w:p>
    <w:p w14:paraId="79FB6F7D" w14:textId="77777777" w:rsidR="00C6275F" w:rsidRPr="004C2AB4" w:rsidRDefault="00C6275F" w:rsidP="00431A09">
      <w:pPr>
        <w:pStyle w:val="CH2"/>
      </w:pPr>
      <w:r>
        <w:rPr>
          <w:lang w:val="fr-FR"/>
        </w:rPr>
        <w:tab/>
      </w:r>
      <w:r>
        <w:rPr>
          <w:lang w:val="fr-FR"/>
        </w:rPr>
        <w:tab/>
      </w:r>
      <w:r w:rsidRPr="00431A09">
        <w:t>Note</w:t>
      </w:r>
      <w:r>
        <w:rPr>
          <w:lang w:val="fr-FR"/>
        </w:rPr>
        <w:t xml:space="preserve"> du secrétariat</w:t>
      </w:r>
    </w:p>
    <w:p w14:paraId="4DBF926C" w14:textId="061A991B" w:rsidR="008B1CA9" w:rsidRPr="00F84178" w:rsidRDefault="005F69FF" w:rsidP="003D4D62">
      <w:pPr>
        <w:pStyle w:val="Normalnumber"/>
        <w:numPr>
          <w:ilvl w:val="0"/>
          <w:numId w:val="2"/>
        </w:numPr>
        <w:rPr>
          <w:lang w:val="fr-FR"/>
        </w:rPr>
      </w:pPr>
      <w:r>
        <w:rPr>
          <w:lang w:val="fr-FR"/>
        </w:rPr>
        <w:t>À sa première </w:t>
      </w:r>
      <w:r w:rsidR="008B1CA9">
        <w:rPr>
          <w:lang w:val="fr-FR"/>
        </w:rPr>
        <w:t>réunion</w:t>
      </w:r>
      <w:r>
        <w:rPr>
          <w:lang w:val="fr-FR"/>
        </w:rPr>
        <w:t xml:space="preserve"> tenue du 24 au 29 </w:t>
      </w:r>
      <w:r w:rsidR="008B1CA9">
        <w:rPr>
          <w:lang w:val="fr-FR"/>
        </w:rPr>
        <w:t xml:space="preserve">septembre 2017 à Genève, la Conférence des Parties à la Convention de Minamata sur </w:t>
      </w:r>
      <w:r>
        <w:rPr>
          <w:lang w:val="fr-FR"/>
        </w:rPr>
        <w:t>le mercure a adopté la décision </w:t>
      </w:r>
      <w:r w:rsidR="008B1CA9">
        <w:rPr>
          <w:lang w:val="fr-FR"/>
        </w:rPr>
        <w:t>MC-1/14 sur les émissions de mercure liées au brûlage de déchets à l</w:t>
      </w:r>
      <w:r w:rsidR="00431A09">
        <w:rPr>
          <w:lang w:val="fr-FR"/>
        </w:rPr>
        <w:t>’</w:t>
      </w:r>
      <w:r w:rsidR="008B1CA9">
        <w:rPr>
          <w:lang w:val="fr-FR"/>
        </w:rPr>
        <w:t>air libre. Dans cette décision, la Conférence</w:t>
      </w:r>
      <w:r w:rsidR="003D4D62">
        <w:rPr>
          <w:lang w:val="fr-FR"/>
        </w:rPr>
        <w:t xml:space="preserve"> des Parties</w:t>
      </w:r>
      <w:r w:rsidR="008B1CA9">
        <w:rPr>
          <w:lang w:val="fr-FR"/>
        </w:rPr>
        <w:t xml:space="preserve"> reconnaissait que le brûlage à l</w:t>
      </w:r>
      <w:r w:rsidR="00431A09">
        <w:rPr>
          <w:lang w:val="fr-FR"/>
        </w:rPr>
        <w:t>’</w:t>
      </w:r>
      <w:r w:rsidR="008B1CA9">
        <w:rPr>
          <w:lang w:val="fr-FR"/>
        </w:rPr>
        <w:t>air libre pouvait être une source importante d</w:t>
      </w:r>
      <w:r w:rsidR="00431A09">
        <w:rPr>
          <w:lang w:val="fr-FR"/>
        </w:rPr>
        <w:t>’</w:t>
      </w:r>
      <w:r w:rsidR="008B1CA9">
        <w:rPr>
          <w:lang w:val="fr-FR"/>
        </w:rPr>
        <w:t>émissions de mercure qui n</w:t>
      </w:r>
      <w:r w:rsidR="00431A09">
        <w:rPr>
          <w:lang w:val="fr-FR"/>
        </w:rPr>
        <w:t>’</w:t>
      </w:r>
      <w:r w:rsidR="008B1CA9">
        <w:rPr>
          <w:lang w:val="fr-FR"/>
        </w:rPr>
        <w:t xml:space="preserve">avaient pas été quantifiée et que, dans les orientations sur les meilleures </w:t>
      </w:r>
      <w:proofErr w:type="spellStart"/>
      <w:r w:rsidR="008B1CA9">
        <w:rPr>
          <w:lang w:val="fr-FR"/>
        </w:rPr>
        <w:t>techniquesdisponibles</w:t>
      </w:r>
      <w:proofErr w:type="spellEnd"/>
      <w:r w:rsidR="008B1CA9">
        <w:rPr>
          <w:lang w:val="fr-FR"/>
        </w:rPr>
        <w:t xml:space="preserve"> et les</w:t>
      </w:r>
      <w:r w:rsidR="003D4D62">
        <w:rPr>
          <w:lang w:val="fr-FR"/>
        </w:rPr>
        <w:t> </w:t>
      </w:r>
      <w:r w:rsidR="008B1CA9">
        <w:rPr>
          <w:lang w:val="fr-FR"/>
        </w:rPr>
        <w:t>meilleures pratiques environnementales</w:t>
      </w:r>
      <w:r w:rsidR="008B1CA9" w:rsidRPr="0048785B">
        <w:rPr>
          <w:vertAlign w:val="superscript"/>
          <w:lang w:val="fr-FR"/>
        </w:rPr>
        <w:footnoteReference w:id="2"/>
      </w:r>
      <w:r w:rsidR="00783EB2">
        <w:rPr>
          <w:lang w:val="fr-FR"/>
        </w:rPr>
        <w:t>,</w:t>
      </w:r>
      <w:r w:rsidR="008B1CA9">
        <w:rPr>
          <w:lang w:val="fr-FR"/>
        </w:rPr>
        <w:t xml:space="preserve"> le brûlage de déchets à l</w:t>
      </w:r>
      <w:r w:rsidR="00431A09">
        <w:rPr>
          <w:lang w:val="fr-FR"/>
        </w:rPr>
        <w:t>’</w:t>
      </w:r>
      <w:r w:rsidR="008B1CA9">
        <w:rPr>
          <w:lang w:val="fr-FR"/>
        </w:rPr>
        <w:t>air libre était considéré comme une mauvaise pratique environnementale et devait être déconseillée. La Conférence a également invité les Parties et autres entités et organisations intéressées à communiquer au secrétariat des informations sur les émissions de</w:t>
      </w:r>
      <w:r w:rsidR="00431A09">
        <w:rPr>
          <w:lang w:val="fr-FR"/>
        </w:rPr>
        <w:t> </w:t>
      </w:r>
      <w:r w:rsidR="008B1CA9">
        <w:rPr>
          <w:lang w:val="fr-FR"/>
        </w:rPr>
        <w:t>mercure liées au brûlage de déchets à l</w:t>
      </w:r>
      <w:r w:rsidR="00431A09">
        <w:rPr>
          <w:lang w:val="fr-FR"/>
        </w:rPr>
        <w:t>’</w:t>
      </w:r>
      <w:r w:rsidR="008B1CA9">
        <w:rPr>
          <w:lang w:val="fr-FR"/>
        </w:rPr>
        <w:t>air libre, et prié le secrétariat de continuer de rassembler des</w:t>
      </w:r>
      <w:r w:rsidR="00431A09">
        <w:rPr>
          <w:lang w:val="fr-FR"/>
        </w:rPr>
        <w:t> </w:t>
      </w:r>
      <w:r w:rsidR="008B1CA9">
        <w:rPr>
          <w:lang w:val="fr-FR"/>
        </w:rPr>
        <w:t>informations sur les émissions de mercure produites par le brûlage de déchets à l</w:t>
      </w:r>
      <w:r w:rsidR="00431A09">
        <w:rPr>
          <w:lang w:val="fr-FR"/>
        </w:rPr>
        <w:t>’</w:t>
      </w:r>
      <w:r w:rsidR="008B1CA9">
        <w:rPr>
          <w:lang w:val="fr-FR"/>
        </w:rPr>
        <w:t>air libre, en</w:t>
      </w:r>
      <w:r w:rsidR="00431A09">
        <w:rPr>
          <w:lang w:val="fr-FR"/>
        </w:rPr>
        <w:t> </w:t>
      </w:r>
      <w:r w:rsidR="008B1CA9">
        <w:rPr>
          <w:lang w:val="fr-FR"/>
        </w:rPr>
        <w:t>particulier dans les pays en développement et les pays à économie en transition, en s</w:t>
      </w:r>
      <w:r w:rsidR="00431A09">
        <w:rPr>
          <w:lang w:val="fr-FR"/>
        </w:rPr>
        <w:t>’</w:t>
      </w:r>
      <w:r w:rsidR="008B1CA9">
        <w:rPr>
          <w:lang w:val="fr-FR"/>
        </w:rPr>
        <w:t>appuyant notamment sur les inventaires et les évaluations initiales menées dans le cadre de la</w:t>
      </w:r>
      <w:r w:rsidR="003D4D62">
        <w:rPr>
          <w:lang w:val="fr-FR"/>
        </w:rPr>
        <w:t> </w:t>
      </w:r>
      <w:r w:rsidR="008B1CA9">
        <w:rPr>
          <w:lang w:val="fr-FR"/>
        </w:rPr>
        <w:t>Convention de Minamata, les coefficients d</w:t>
      </w:r>
      <w:r w:rsidR="00431A09">
        <w:rPr>
          <w:lang w:val="fr-FR"/>
        </w:rPr>
        <w:t>’</w:t>
      </w:r>
      <w:r w:rsidR="008B1CA9">
        <w:rPr>
          <w:lang w:val="fr-FR"/>
        </w:rPr>
        <w:t>émission et les mesures réelles des émissions, ainsi que</w:t>
      </w:r>
      <w:r w:rsidR="003D4D62">
        <w:rPr>
          <w:lang w:val="fr-FR"/>
        </w:rPr>
        <w:t> </w:t>
      </w:r>
      <w:r w:rsidR="008B1CA9">
        <w:rPr>
          <w:lang w:val="fr-FR"/>
        </w:rPr>
        <w:t>toute information pertinente établie par les conférences des Parties à la Convention de Bâle sur le</w:t>
      </w:r>
      <w:r w:rsidR="003D4D62">
        <w:rPr>
          <w:lang w:val="fr-FR"/>
        </w:rPr>
        <w:t> </w:t>
      </w:r>
      <w:r w:rsidR="008B1CA9">
        <w:rPr>
          <w:lang w:val="fr-FR"/>
        </w:rPr>
        <w:t>contrôle des</w:t>
      </w:r>
      <w:r w:rsidR="00431A09">
        <w:rPr>
          <w:lang w:val="fr-FR"/>
        </w:rPr>
        <w:t> </w:t>
      </w:r>
      <w:r w:rsidR="008B1CA9">
        <w:rPr>
          <w:lang w:val="fr-FR"/>
        </w:rPr>
        <w:t>mouvements transfrontières de déchets dangereux et de leur élimination et à la</w:t>
      </w:r>
      <w:r w:rsidR="003D4D62">
        <w:rPr>
          <w:lang w:val="fr-FR"/>
        </w:rPr>
        <w:t> </w:t>
      </w:r>
      <w:r w:rsidR="008B1CA9">
        <w:rPr>
          <w:lang w:val="fr-FR"/>
        </w:rPr>
        <w:t>Convention de Stockholm sur les polluants organiques</w:t>
      </w:r>
      <w:r>
        <w:rPr>
          <w:lang w:val="fr-FR"/>
        </w:rPr>
        <w:t xml:space="preserve"> </w:t>
      </w:r>
      <w:r w:rsidR="008B1CA9">
        <w:rPr>
          <w:lang w:val="fr-FR"/>
        </w:rPr>
        <w:t>persistants, et de les lui communiquer pour</w:t>
      </w:r>
      <w:r w:rsidR="003D4D62">
        <w:rPr>
          <w:lang w:val="fr-FR"/>
        </w:rPr>
        <w:t> </w:t>
      </w:r>
      <w:r w:rsidR="008B1CA9">
        <w:rPr>
          <w:lang w:val="fr-FR"/>
        </w:rPr>
        <w:t>qu</w:t>
      </w:r>
      <w:r w:rsidR="00431A09">
        <w:rPr>
          <w:lang w:val="fr-FR"/>
        </w:rPr>
        <w:t>’</w:t>
      </w:r>
      <w:r w:rsidR="008B1CA9">
        <w:rPr>
          <w:lang w:val="fr-FR"/>
        </w:rPr>
        <w:t>elle examine s</w:t>
      </w:r>
      <w:r w:rsidR="00431A09">
        <w:rPr>
          <w:lang w:val="fr-FR"/>
        </w:rPr>
        <w:t>’</w:t>
      </w:r>
      <w:r w:rsidR="008B1CA9">
        <w:rPr>
          <w:lang w:val="fr-FR"/>
        </w:rPr>
        <w:t>il convient de prendre des mesures supplémentaires à sa deuxième réunion.</w:t>
      </w:r>
    </w:p>
    <w:p w14:paraId="1DB9CE64" w14:textId="35D03763" w:rsidR="00201A7B" w:rsidRPr="00F84178" w:rsidRDefault="00201A7B" w:rsidP="003D4D62">
      <w:pPr>
        <w:pStyle w:val="Normalnumber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Le secrétariat a présenté les informations compilées à la </w:t>
      </w:r>
      <w:r w:rsidR="00AC14E3">
        <w:rPr>
          <w:lang w:val="fr-FR"/>
        </w:rPr>
        <w:t xml:space="preserve">Conférence des Parties </w:t>
      </w:r>
      <w:r>
        <w:rPr>
          <w:lang w:val="fr-FR"/>
        </w:rPr>
        <w:t>à sa</w:t>
      </w:r>
      <w:r w:rsidR="00431A09">
        <w:rPr>
          <w:lang w:val="fr-FR"/>
        </w:rPr>
        <w:t> </w:t>
      </w:r>
      <w:r>
        <w:rPr>
          <w:lang w:val="fr-FR"/>
        </w:rPr>
        <w:t>deuxième</w:t>
      </w:r>
      <w:r w:rsidR="00431A09">
        <w:rPr>
          <w:lang w:val="fr-FR"/>
        </w:rPr>
        <w:t> </w:t>
      </w:r>
      <w:r>
        <w:rPr>
          <w:lang w:val="fr-FR"/>
        </w:rPr>
        <w:t>réun</w:t>
      </w:r>
      <w:r w:rsidR="005F69FF">
        <w:rPr>
          <w:lang w:val="fr-FR"/>
        </w:rPr>
        <w:t>ion, tenue à Genève du 19 au 23 </w:t>
      </w:r>
      <w:r>
        <w:rPr>
          <w:lang w:val="fr-FR"/>
        </w:rPr>
        <w:t>novembre 2018. La Conférence a pris note des</w:t>
      </w:r>
      <w:r w:rsidR="00431A09">
        <w:rPr>
          <w:lang w:val="fr-FR"/>
        </w:rPr>
        <w:t> </w:t>
      </w:r>
      <w:r>
        <w:rPr>
          <w:lang w:val="fr-FR"/>
        </w:rPr>
        <w:t>informations compilées et reconnu qu</w:t>
      </w:r>
      <w:r w:rsidR="00431A09">
        <w:rPr>
          <w:lang w:val="fr-FR"/>
        </w:rPr>
        <w:t>’</w:t>
      </w:r>
      <w:r>
        <w:rPr>
          <w:lang w:val="fr-FR"/>
        </w:rPr>
        <w:t>il était indispensable d</w:t>
      </w:r>
      <w:r w:rsidR="00431A09">
        <w:rPr>
          <w:lang w:val="fr-FR"/>
        </w:rPr>
        <w:t>’</w:t>
      </w:r>
      <w:r>
        <w:rPr>
          <w:lang w:val="fr-FR"/>
        </w:rPr>
        <w:t>aider les pays en développement à</w:t>
      </w:r>
      <w:r w:rsidR="00431A09">
        <w:rPr>
          <w:lang w:val="fr-FR"/>
        </w:rPr>
        <w:t> </w:t>
      </w:r>
      <w:r>
        <w:rPr>
          <w:lang w:val="fr-FR"/>
        </w:rPr>
        <w:t>s</w:t>
      </w:r>
      <w:r w:rsidR="00431A09">
        <w:rPr>
          <w:lang w:val="fr-FR"/>
        </w:rPr>
        <w:t>’</w:t>
      </w:r>
      <w:r>
        <w:rPr>
          <w:lang w:val="fr-FR"/>
        </w:rPr>
        <w:t>attaquer à cet important problème, et a prié le secrétariat de continuer à collecter des informations pertinentes et à les mettre à disposition. Elle a également prié le secrétariat de poursuivre le dialo</w:t>
      </w:r>
      <w:r w:rsidR="00F84178">
        <w:rPr>
          <w:lang w:val="fr-FR"/>
        </w:rPr>
        <w:t xml:space="preserve">gue </w:t>
      </w:r>
      <w:r w:rsidR="00F84178">
        <w:rPr>
          <w:lang w:val="fr-FR"/>
        </w:rPr>
        <w:lastRenderedPageBreak/>
        <w:t>sur cette question avec le s</w:t>
      </w:r>
      <w:r>
        <w:rPr>
          <w:lang w:val="fr-FR"/>
        </w:rPr>
        <w:t>ecrétariat des conventions de Bâle, de Rotterdam et de Stockholm et de l</w:t>
      </w:r>
      <w:r w:rsidR="00431A09">
        <w:rPr>
          <w:lang w:val="fr-FR"/>
        </w:rPr>
        <w:t>’</w:t>
      </w:r>
      <w:r>
        <w:rPr>
          <w:lang w:val="fr-FR"/>
        </w:rPr>
        <w:t>informer de l</w:t>
      </w:r>
      <w:r w:rsidR="00431A09">
        <w:rPr>
          <w:lang w:val="fr-FR"/>
        </w:rPr>
        <w:t>’</w:t>
      </w:r>
      <w:r>
        <w:rPr>
          <w:lang w:val="fr-FR"/>
        </w:rPr>
        <w:t>évolution de la situation à sa troisième réunion.</w:t>
      </w:r>
    </w:p>
    <w:p w14:paraId="35F8F464" w14:textId="0FE9AA6F" w:rsidR="00201A7B" w:rsidRPr="00F84178" w:rsidRDefault="00AD78DD" w:rsidP="003D4D62">
      <w:pPr>
        <w:pStyle w:val="Normalnumber"/>
        <w:numPr>
          <w:ilvl w:val="0"/>
          <w:numId w:val="2"/>
        </w:numPr>
        <w:rPr>
          <w:lang w:val="fr-FR"/>
        </w:rPr>
      </w:pPr>
      <w:r>
        <w:rPr>
          <w:lang w:val="fr-FR"/>
        </w:rPr>
        <w:t>Les Parties et autres parties prenantes ont été invitées à communiquer des informations sur les</w:t>
      </w:r>
      <w:r w:rsidR="003D4D62">
        <w:rPr>
          <w:lang w:val="fr-FR"/>
        </w:rPr>
        <w:t> </w:t>
      </w:r>
      <w:r>
        <w:rPr>
          <w:lang w:val="fr-FR"/>
        </w:rPr>
        <w:t xml:space="preserve">émissions de mercure </w:t>
      </w:r>
      <w:r w:rsidR="00783EB2">
        <w:rPr>
          <w:lang w:val="fr-FR"/>
        </w:rPr>
        <w:t>proven</w:t>
      </w:r>
      <w:r>
        <w:rPr>
          <w:lang w:val="fr-FR"/>
        </w:rPr>
        <w:t>ant du brûlage de déchets à l</w:t>
      </w:r>
      <w:r w:rsidR="00431A09">
        <w:rPr>
          <w:lang w:val="fr-FR"/>
        </w:rPr>
        <w:t>’</w:t>
      </w:r>
      <w:r>
        <w:rPr>
          <w:lang w:val="fr-FR"/>
        </w:rPr>
        <w:t>air libre dans une lettre</w:t>
      </w:r>
      <w:r w:rsidR="00783EB2">
        <w:rPr>
          <w:lang w:val="fr-FR"/>
        </w:rPr>
        <w:t>,</w:t>
      </w:r>
      <w:r>
        <w:rPr>
          <w:lang w:val="fr-FR"/>
        </w:rPr>
        <w:t xml:space="preserve"> envoyée </w:t>
      </w:r>
      <w:r w:rsidR="005F69FF">
        <w:rPr>
          <w:lang w:val="fr-FR"/>
        </w:rPr>
        <w:t>par le</w:t>
      </w:r>
      <w:r w:rsidR="003D4D62">
        <w:rPr>
          <w:lang w:val="fr-FR"/>
        </w:rPr>
        <w:t> </w:t>
      </w:r>
      <w:r w:rsidR="005F69FF">
        <w:rPr>
          <w:lang w:val="fr-FR"/>
        </w:rPr>
        <w:t>Secrétaire exécutif le 3 </w:t>
      </w:r>
      <w:r>
        <w:rPr>
          <w:lang w:val="fr-FR"/>
        </w:rPr>
        <w:t>décembre 2018, concernant les mesures à prendre pour assurer le suivi de la</w:t>
      </w:r>
      <w:r w:rsidR="003D4D62">
        <w:rPr>
          <w:lang w:val="fr-FR"/>
        </w:rPr>
        <w:t> </w:t>
      </w:r>
      <w:r>
        <w:rPr>
          <w:lang w:val="fr-FR"/>
        </w:rPr>
        <w:t xml:space="preserve">deuxième réunion de la Conférence. Le Nigéria a communiqué des informations décrivant </w:t>
      </w:r>
      <w:r w:rsidR="00783EB2">
        <w:rPr>
          <w:lang w:val="fr-FR"/>
        </w:rPr>
        <w:t>s</w:t>
      </w:r>
      <w:r>
        <w:rPr>
          <w:lang w:val="fr-FR"/>
        </w:rPr>
        <w:t>es</w:t>
      </w:r>
      <w:r w:rsidR="003D4D62">
        <w:rPr>
          <w:lang w:val="fr-FR"/>
        </w:rPr>
        <w:t> </w:t>
      </w:r>
      <w:r>
        <w:rPr>
          <w:lang w:val="fr-FR"/>
        </w:rPr>
        <w:t>pratiques générales de gestion des déchets ainsi qu</w:t>
      </w:r>
      <w:r w:rsidR="00431A09">
        <w:rPr>
          <w:lang w:val="fr-FR"/>
        </w:rPr>
        <w:t>’</w:t>
      </w:r>
      <w:r>
        <w:rPr>
          <w:lang w:val="fr-FR"/>
        </w:rPr>
        <w:t>une estimation des émissions de mercure provenant de la pratique du brûlage de déchets à l</w:t>
      </w:r>
      <w:r w:rsidR="00431A09">
        <w:rPr>
          <w:lang w:val="fr-FR"/>
        </w:rPr>
        <w:t>’</w:t>
      </w:r>
      <w:r>
        <w:rPr>
          <w:lang w:val="fr-FR"/>
        </w:rPr>
        <w:t>air libre. Ces informations figurent dans l</w:t>
      </w:r>
      <w:r w:rsidR="00431A09">
        <w:rPr>
          <w:lang w:val="fr-FR"/>
        </w:rPr>
        <w:t>’</w:t>
      </w:r>
      <w:r>
        <w:rPr>
          <w:lang w:val="fr-FR"/>
        </w:rPr>
        <w:t>annexe au</w:t>
      </w:r>
      <w:r w:rsidR="003D4D62">
        <w:rPr>
          <w:lang w:val="fr-FR"/>
        </w:rPr>
        <w:t> </w:t>
      </w:r>
      <w:r>
        <w:rPr>
          <w:lang w:val="fr-FR"/>
        </w:rPr>
        <w:t>document UNEP/MC/COP.3/INF/16 et sont également publiées sur le site Web de la Convention de Minamata à</w:t>
      </w:r>
      <w:r w:rsidR="00933BC8">
        <w:rPr>
          <w:lang w:val="fr-FR"/>
        </w:rPr>
        <w:t> </w:t>
      </w:r>
      <w:r>
        <w:rPr>
          <w:lang w:val="fr-FR"/>
        </w:rPr>
        <w:t>l</w:t>
      </w:r>
      <w:r w:rsidR="00431A09">
        <w:rPr>
          <w:lang w:val="fr-FR"/>
        </w:rPr>
        <w:t>’</w:t>
      </w:r>
      <w:r w:rsidR="005F69FF">
        <w:rPr>
          <w:lang w:val="fr-FR"/>
        </w:rPr>
        <w:t>adresse</w:t>
      </w:r>
      <w:r>
        <w:rPr>
          <w:lang w:val="fr-FR"/>
        </w:rPr>
        <w:t xml:space="preserve"> www.mercuryconvention.org/Meetings/Intersessionalwork/tabid/7857/</w:t>
      </w:r>
      <w:r w:rsidR="003D4D62">
        <w:rPr>
          <w:lang w:val="fr-FR"/>
        </w:rPr>
        <w:t xml:space="preserve"> </w:t>
      </w:r>
      <w:proofErr w:type="spellStart"/>
      <w:r>
        <w:rPr>
          <w:lang w:val="fr-FR"/>
        </w:rPr>
        <w:t>language</w:t>
      </w:r>
      <w:proofErr w:type="spellEnd"/>
      <w:r>
        <w:rPr>
          <w:lang w:val="fr-FR"/>
        </w:rPr>
        <w:t>/en-US/Default.aspx.</w:t>
      </w:r>
    </w:p>
    <w:p w14:paraId="63BE4466" w14:textId="25B7AD2A" w:rsidR="00173CA4" w:rsidRPr="00F84178" w:rsidRDefault="00173CA4" w:rsidP="003D4D62">
      <w:pPr>
        <w:pStyle w:val="Normalnumber"/>
        <w:numPr>
          <w:ilvl w:val="0"/>
          <w:numId w:val="2"/>
        </w:numPr>
        <w:rPr>
          <w:lang w:val="fr-FR"/>
        </w:rPr>
      </w:pPr>
      <w:r>
        <w:rPr>
          <w:lang w:val="fr-FR"/>
        </w:rPr>
        <w:t>Le secrétariat, le Centre international d</w:t>
      </w:r>
      <w:r w:rsidR="00431A09">
        <w:rPr>
          <w:lang w:val="fr-FR"/>
        </w:rPr>
        <w:t>’</w:t>
      </w:r>
      <w:r>
        <w:rPr>
          <w:lang w:val="fr-FR"/>
        </w:rPr>
        <w:t>écotechnologie du Programme des Nations Unies pour l</w:t>
      </w:r>
      <w:r w:rsidR="00431A09">
        <w:rPr>
          <w:lang w:val="fr-FR"/>
        </w:rPr>
        <w:t>’</w:t>
      </w:r>
      <w:r>
        <w:rPr>
          <w:lang w:val="fr-FR"/>
        </w:rPr>
        <w:t>environnement et le Ministère japonais de l</w:t>
      </w:r>
      <w:r w:rsidR="00431A09">
        <w:rPr>
          <w:lang w:val="fr-FR"/>
        </w:rPr>
        <w:t>’</w:t>
      </w:r>
      <w:r>
        <w:rPr>
          <w:lang w:val="fr-FR"/>
        </w:rPr>
        <w:t>environnement ont organisé un atelier sur les synergies dans la gestion des déchets de mercu</w:t>
      </w:r>
      <w:r w:rsidR="005F69FF">
        <w:rPr>
          <w:lang w:val="fr-FR"/>
        </w:rPr>
        <w:t>re, tenu à Osaka (Japon) les 30 et 31 </w:t>
      </w:r>
      <w:r>
        <w:rPr>
          <w:lang w:val="fr-FR"/>
        </w:rPr>
        <w:t>mai 2019. L</w:t>
      </w:r>
      <w:r w:rsidR="00431A09">
        <w:rPr>
          <w:lang w:val="fr-FR"/>
        </w:rPr>
        <w:t>’</w:t>
      </w:r>
      <w:r>
        <w:rPr>
          <w:lang w:val="fr-FR"/>
        </w:rPr>
        <w:t>atelier a traité des différents types de brûlage de déchets à l</w:t>
      </w:r>
      <w:r w:rsidR="00431A09">
        <w:rPr>
          <w:lang w:val="fr-FR"/>
        </w:rPr>
        <w:t>’</w:t>
      </w:r>
      <w:r>
        <w:rPr>
          <w:lang w:val="fr-FR"/>
        </w:rPr>
        <w:t xml:space="preserve">air libre, dont le brûlage intentionnel et non intentionnel dans les décharges ou les jardins. Les participants ont recommandé le renforcement des engagements politiques </w:t>
      </w:r>
      <w:r w:rsidR="00783EB2" w:rsidRPr="00AC14E3">
        <w:rPr>
          <w:lang w:val="fr-FR"/>
        </w:rPr>
        <w:t xml:space="preserve">à </w:t>
      </w:r>
      <w:r w:rsidRPr="00AC14E3">
        <w:rPr>
          <w:lang w:val="fr-FR"/>
        </w:rPr>
        <w:t>instaur</w:t>
      </w:r>
      <w:r w:rsidR="00783EB2" w:rsidRPr="00AC14E3">
        <w:rPr>
          <w:lang w:val="fr-FR"/>
        </w:rPr>
        <w:t>er</w:t>
      </w:r>
      <w:r>
        <w:rPr>
          <w:lang w:val="fr-FR"/>
        </w:rPr>
        <w:t xml:space="preserve"> un cadre législatif, ainsi que la mise en place d</w:t>
      </w:r>
      <w:r w:rsidR="00431A09">
        <w:rPr>
          <w:lang w:val="fr-FR"/>
        </w:rPr>
        <w:t>’</w:t>
      </w:r>
      <w:r>
        <w:rPr>
          <w:lang w:val="fr-FR"/>
        </w:rPr>
        <w:t>un plan de gestion des déchets pour promouvoir l</w:t>
      </w:r>
      <w:r w:rsidR="00431A09">
        <w:rPr>
          <w:lang w:val="fr-FR"/>
        </w:rPr>
        <w:t>’</w:t>
      </w:r>
      <w:r w:rsidR="00783EB2">
        <w:rPr>
          <w:lang w:val="fr-FR"/>
        </w:rPr>
        <w:t>abandon</w:t>
      </w:r>
      <w:r>
        <w:rPr>
          <w:lang w:val="fr-FR"/>
        </w:rPr>
        <w:t xml:space="preserve"> du brûlage de déchets à l</w:t>
      </w:r>
      <w:r w:rsidR="00431A09">
        <w:rPr>
          <w:lang w:val="fr-FR"/>
        </w:rPr>
        <w:t>’</w:t>
      </w:r>
      <w:r>
        <w:rPr>
          <w:lang w:val="fr-FR"/>
        </w:rPr>
        <w:t xml:space="preserve">air libre </w:t>
      </w:r>
      <w:r w:rsidR="00783EB2">
        <w:rPr>
          <w:lang w:val="fr-FR"/>
        </w:rPr>
        <w:t xml:space="preserve">au profit de </w:t>
      </w:r>
      <w:r>
        <w:rPr>
          <w:lang w:val="fr-FR"/>
        </w:rPr>
        <w:t xml:space="preserve">décharges sanitaires et </w:t>
      </w:r>
      <w:r w:rsidR="00783EB2">
        <w:rPr>
          <w:lang w:val="fr-FR"/>
        </w:rPr>
        <w:t>d</w:t>
      </w:r>
      <w:r w:rsidR="00431A09">
        <w:rPr>
          <w:lang w:val="fr-FR"/>
        </w:rPr>
        <w:t>’</w:t>
      </w:r>
      <w:r>
        <w:rPr>
          <w:lang w:val="fr-FR"/>
        </w:rPr>
        <w:t>une incinération assortie de mesures de lutte antipollution adéquates, et le lancement d</w:t>
      </w:r>
      <w:r w:rsidR="00431A09">
        <w:rPr>
          <w:lang w:val="fr-FR"/>
        </w:rPr>
        <w:t>’</w:t>
      </w:r>
      <w:r>
        <w:rPr>
          <w:lang w:val="fr-FR"/>
        </w:rPr>
        <w:t>un</w:t>
      </w:r>
      <w:r w:rsidR="00933BC8">
        <w:rPr>
          <w:lang w:val="fr-FR"/>
        </w:rPr>
        <w:t> </w:t>
      </w:r>
      <w:r>
        <w:rPr>
          <w:lang w:val="fr-FR"/>
        </w:rPr>
        <w:t>programme de surveillance pour mesurer les émissions de mercure. Le rapport de l</w:t>
      </w:r>
      <w:r w:rsidR="00431A09">
        <w:rPr>
          <w:lang w:val="fr-FR"/>
        </w:rPr>
        <w:t>’</w:t>
      </w:r>
      <w:r>
        <w:rPr>
          <w:lang w:val="fr-FR"/>
        </w:rPr>
        <w:t>atelier sera</w:t>
      </w:r>
      <w:r w:rsidR="00933BC8">
        <w:rPr>
          <w:lang w:val="fr-FR"/>
        </w:rPr>
        <w:t> </w:t>
      </w:r>
      <w:r>
        <w:rPr>
          <w:lang w:val="fr-FR"/>
        </w:rPr>
        <w:t>mis à disposition sur le site Web de la Convention.</w:t>
      </w:r>
    </w:p>
    <w:p w14:paraId="35ECFF44" w14:textId="0E8CFA55" w:rsidR="00401763" w:rsidRPr="00F84178" w:rsidRDefault="00401763" w:rsidP="003D4D62">
      <w:pPr>
        <w:pStyle w:val="Normalnumber"/>
        <w:numPr>
          <w:ilvl w:val="0"/>
          <w:numId w:val="2"/>
        </w:numPr>
        <w:rPr>
          <w:lang w:val="fr-FR"/>
        </w:rPr>
      </w:pPr>
      <w:r>
        <w:rPr>
          <w:lang w:val="fr-FR"/>
        </w:rPr>
        <w:t>Le Programme des Nations Unies pour l</w:t>
      </w:r>
      <w:r w:rsidR="00431A09">
        <w:rPr>
          <w:lang w:val="fr-FR"/>
        </w:rPr>
        <w:t>’</w:t>
      </w:r>
      <w:r>
        <w:rPr>
          <w:lang w:val="fr-FR"/>
        </w:rPr>
        <w:t>environnement, en collaboration avec l</w:t>
      </w:r>
      <w:r w:rsidR="00431A09">
        <w:rPr>
          <w:lang w:val="fr-FR"/>
        </w:rPr>
        <w:t>’</w:t>
      </w:r>
      <w:r>
        <w:rPr>
          <w:lang w:val="fr-FR"/>
        </w:rPr>
        <w:t>Institut des</w:t>
      </w:r>
      <w:r w:rsidR="00431A09">
        <w:rPr>
          <w:lang w:val="fr-FR"/>
        </w:rPr>
        <w:t> </w:t>
      </w:r>
      <w:r>
        <w:rPr>
          <w:lang w:val="fr-FR"/>
        </w:rPr>
        <w:t>Nations Unies pour la formation et la recherche, a mis à jour le facteur d</w:t>
      </w:r>
      <w:r w:rsidR="00431A09">
        <w:rPr>
          <w:lang w:val="fr-FR"/>
        </w:rPr>
        <w:t>’</w:t>
      </w:r>
      <w:r>
        <w:rPr>
          <w:lang w:val="fr-FR"/>
        </w:rPr>
        <w:t>apport par défaut utilisé pour le brûlage de déchets à l</w:t>
      </w:r>
      <w:r w:rsidR="00431A09">
        <w:rPr>
          <w:lang w:val="fr-FR"/>
        </w:rPr>
        <w:t>’</w:t>
      </w:r>
      <w:r>
        <w:rPr>
          <w:lang w:val="fr-FR"/>
        </w:rPr>
        <w:t>air libre dans l</w:t>
      </w:r>
      <w:r w:rsidR="00431A09">
        <w:rPr>
          <w:lang w:val="fr-FR"/>
        </w:rPr>
        <w:t>’</w:t>
      </w:r>
      <w:r>
        <w:rPr>
          <w:lang w:val="fr-FR"/>
        </w:rPr>
        <w:t>Outil d</w:t>
      </w:r>
      <w:r w:rsidR="00431A09">
        <w:rPr>
          <w:lang w:val="fr-FR"/>
        </w:rPr>
        <w:t>’</w:t>
      </w:r>
      <w:r>
        <w:rPr>
          <w:lang w:val="fr-FR"/>
        </w:rPr>
        <w:t>identification et de quantification des rejets de</w:t>
      </w:r>
      <w:r w:rsidR="00431A09">
        <w:rPr>
          <w:lang w:val="fr-FR"/>
        </w:rPr>
        <w:t> </w:t>
      </w:r>
      <w:r>
        <w:rPr>
          <w:lang w:val="fr-FR"/>
        </w:rPr>
        <w:t xml:space="preserve">mercure. Sur la base des recherches menées, le facteur par défaut (5g Hg/T de </w:t>
      </w:r>
      <w:r w:rsidR="005F69FF">
        <w:rPr>
          <w:lang w:val="fr-FR"/>
        </w:rPr>
        <w:t>déchets brûlés, variation 1-10g Hg/T) a été ramené à 1g </w:t>
      </w:r>
      <w:r>
        <w:rPr>
          <w:lang w:val="fr-FR"/>
        </w:rPr>
        <w:t>Hg/</w:t>
      </w:r>
      <w:r w:rsidR="005F69FF">
        <w:rPr>
          <w:lang w:val="fr-FR"/>
        </w:rPr>
        <w:t>T, avec une variation de 0,2-4g </w:t>
      </w:r>
      <w:r>
        <w:rPr>
          <w:lang w:val="fr-FR"/>
        </w:rPr>
        <w:t>Hg/T. Le nouveau facteur par défaut est considéré comme reflétant mieux la composition des déchets brûlés à l</w:t>
      </w:r>
      <w:r w:rsidR="00431A09">
        <w:rPr>
          <w:lang w:val="fr-FR"/>
        </w:rPr>
        <w:t>’</w:t>
      </w:r>
      <w:r>
        <w:rPr>
          <w:lang w:val="fr-FR"/>
        </w:rPr>
        <w:t>air libre dans la</w:t>
      </w:r>
      <w:r w:rsidR="00431A09">
        <w:rPr>
          <w:lang w:val="fr-FR"/>
        </w:rPr>
        <w:t> </w:t>
      </w:r>
      <w:r>
        <w:rPr>
          <w:lang w:val="fr-FR"/>
        </w:rPr>
        <w:t>plupart des pays qui se servent de l</w:t>
      </w:r>
      <w:r w:rsidR="00431A09">
        <w:rPr>
          <w:lang w:val="fr-FR"/>
        </w:rPr>
        <w:t>’</w:t>
      </w:r>
      <w:r>
        <w:rPr>
          <w:lang w:val="fr-FR"/>
        </w:rPr>
        <w:t>Outil. Toutefois, les utilisateurs sont encouragés à examiner et ajuster le facteur en fonction des connaissances disponibles et des particularités nationales. L</w:t>
      </w:r>
      <w:r w:rsidR="00431A09">
        <w:rPr>
          <w:lang w:val="fr-FR"/>
        </w:rPr>
        <w:t>’</w:t>
      </w:r>
      <w:r>
        <w:rPr>
          <w:lang w:val="fr-FR"/>
        </w:rPr>
        <w:t>Outil actualisé sera publié sur le site Web du Programme des Nations Unies pour l</w:t>
      </w:r>
      <w:r w:rsidR="00431A09">
        <w:rPr>
          <w:lang w:val="fr-FR"/>
        </w:rPr>
        <w:t>’</w:t>
      </w:r>
      <w:r>
        <w:rPr>
          <w:lang w:val="fr-FR"/>
        </w:rPr>
        <w:t>environnement</w:t>
      </w:r>
      <w:r>
        <w:rPr>
          <w:rStyle w:val="FootnoteReference"/>
          <w:lang w:val="fr-FR"/>
        </w:rPr>
        <w:footnoteReference w:id="3"/>
      </w:r>
      <w:r>
        <w:rPr>
          <w:lang w:val="fr-FR"/>
        </w:rPr>
        <w:t>.</w:t>
      </w:r>
      <w:bookmarkStart w:id="3" w:name="_Hlk14864244"/>
      <w:bookmarkEnd w:id="3"/>
    </w:p>
    <w:p w14:paraId="3F4415CF" w14:textId="17AF2850" w:rsidR="008E10A4" w:rsidRPr="00F84178" w:rsidRDefault="00AD78DD" w:rsidP="003D4D62">
      <w:pPr>
        <w:pStyle w:val="Normalnumber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Pour mieux répondre au besoin de données chiffrées </w:t>
      </w:r>
      <w:r w:rsidR="005F69FF">
        <w:rPr>
          <w:lang w:val="fr-FR"/>
        </w:rPr>
        <w:t>exprimé dans la décision </w:t>
      </w:r>
      <w:r>
        <w:rPr>
          <w:lang w:val="fr-FR"/>
        </w:rPr>
        <w:t>MC-1/14, le</w:t>
      </w:r>
      <w:r w:rsidR="00431A09">
        <w:rPr>
          <w:lang w:val="fr-FR"/>
        </w:rPr>
        <w:t> </w:t>
      </w:r>
      <w:r>
        <w:rPr>
          <w:lang w:val="fr-FR"/>
        </w:rPr>
        <w:t>Centre international d</w:t>
      </w:r>
      <w:r w:rsidR="00431A09">
        <w:rPr>
          <w:lang w:val="fr-FR"/>
        </w:rPr>
        <w:t>’</w:t>
      </w:r>
      <w:r>
        <w:rPr>
          <w:lang w:val="fr-FR"/>
        </w:rPr>
        <w:t>écotechnologie</w:t>
      </w:r>
      <w:r w:rsidR="00314F99" w:rsidRPr="00314F99">
        <w:rPr>
          <w:lang w:val="fr-FR"/>
        </w:rPr>
        <w:t>, en collaboration avec le Ministère japonais de l</w:t>
      </w:r>
      <w:r w:rsidR="00431A09">
        <w:rPr>
          <w:lang w:val="fr-FR"/>
        </w:rPr>
        <w:t>’</w:t>
      </w:r>
      <w:r w:rsidR="00314F99" w:rsidRPr="00314F99">
        <w:rPr>
          <w:lang w:val="fr-FR"/>
        </w:rPr>
        <w:t>environnement,</w:t>
      </w:r>
      <w:r>
        <w:rPr>
          <w:lang w:val="fr-FR"/>
        </w:rPr>
        <w:t xml:space="preserve"> a mené des activités de surveillance </w:t>
      </w:r>
      <w:r w:rsidR="008630D2">
        <w:rPr>
          <w:lang w:val="fr-FR"/>
        </w:rPr>
        <w:t>des rejets de</w:t>
      </w:r>
      <w:r>
        <w:rPr>
          <w:lang w:val="fr-FR"/>
        </w:rPr>
        <w:t xml:space="preserve"> mercure </w:t>
      </w:r>
      <w:r w:rsidR="008630D2">
        <w:rPr>
          <w:lang w:val="fr-FR"/>
        </w:rPr>
        <w:t xml:space="preserve">provenant du </w:t>
      </w:r>
      <w:r>
        <w:rPr>
          <w:lang w:val="fr-FR"/>
        </w:rPr>
        <w:t>brûlage de déchets à l</w:t>
      </w:r>
      <w:r w:rsidR="00431A09">
        <w:rPr>
          <w:lang w:val="fr-FR"/>
        </w:rPr>
        <w:t>’</w:t>
      </w:r>
      <w:r>
        <w:rPr>
          <w:lang w:val="fr-FR"/>
        </w:rPr>
        <w:t xml:space="preserve">air libre et </w:t>
      </w:r>
      <w:r w:rsidR="008630D2">
        <w:rPr>
          <w:lang w:val="fr-FR"/>
        </w:rPr>
        <w:t>d</w:t>
      </w:r>
      <w:r>
        <w:rPr>
          <w:lang w:val="fr-FR"/>
        </w:rPr>
        <w:t xml:space="preserve">es sites de mise </w:t>
      </w:r>
      <w:r w:rsidR="00314F99">
        <w:rPr>
          <w:lang w:val="fr-FR"/>
        </w:rPr>
        <w:t xml:space="preserve">en </w:t>
      </w:r>
      <w:r>
        <w:rPr>
          <w:lang w:val="fr-FR"/>
        </w:rPr>
        <w:t>décharge sauvage</w:t>
      </w:r>
      <w:r w:rsidR="00314F99">
        <w:rPr>
          <w:lang w:val="fr-FR"/>
        </w:rPr>
        <w:t>,</w:t>
      </w:r>
      <w:r>
        <w:rPr>
          <w:lang w:val="fr-FR"/>
        </w:rPr>
        <w:t xml:space="preserve"> dans le cadre d</w:t>
      </w:r>
      <w:r w:rsidR="00431A09">
        <w:rPr>
          <w:lang w:val="fr-FR"/>
        </w:rPr>
        <w:t>’</w:t>
      </w:r>
      <w:r>
        <w:rPr>
          <w:lang w:val="fr-FR"/>
        </w:rPr>
        <w:t>un projet financé par le</w:t>
      </w:r>
      <w:r w:rsidR="00431A09">
        <w:rPr>
          <w:lang w:val="fr-FR"/>
        </w:rPr>
        <w:t> </w:t>
      </w:r>
      <w:r>
        <w:rPr>
          <w:lang w:val="fr-FR"/>
        </w:rPr>
        <w:t xml:space="preserve">Japon sur la gestion écologiquement rationnelle des déchets de mercure. </w:t>
      </w:r>
      <w:r w:rsidR="008630D2">
        <w:rPr>
          <w:lang w:val="fr-FR"/>
        </w:rPr>
        <w:t xml:space="preserve">Ces activités ont eu lieu </w:t>
      </w:r>
      <w:r>
        <w:rPr>
          <w:lang w:val="fr-FR"/>
        </w:rPr>
        <w:t>en</w:t>
      </w:r>
      <w:r w:rsidR="00431A09">
        <w:rPr>
          <w:lang w:val="fr-FR"/>
        </w:rPr>
        <w:t> </w:t>
      </w:r>
      <w:r>
        <w:rPr>
          <w:lang w:val="fr-FR"/>
        </w:rPr>
        <w:t>juin 2018</w:t>
      </w:r>
      <w:r w:rsidR="008630D2" w:rsidRPr="008630D2">
        <w:rPr>
          <w:lang w:val="fr-FR"/>
        </w:rPr>
        <w:t xml:space="preserve"> en Indonésie, sur le site de la décharge de </w:t>
      </w:r>
      <w:proofErr w:type="spellStart"/>
      <w:r w:rsidR="008630D2" w:rsidRPr="008630D2">
        <w:rPr>
          <w:lang w:val="fr-FR"/>
        </w:rPr>
        <w:t>Bantar</w:t>
      </w:r>
      <w:proofErr w:type="spellEnd"/>
      <w:r w:rsidR="008630D2" w:rsidRPr="008630D2">
        <w:rPr>
          <w:lang w:val="fr-FR"/>
        </w:rPr>
        <w:t xml:space="preserve"> </w:t>
      </w:r>
      <w:proofErr w:type="spellStart"/>
      <w:r w:rsidR="008630D2" w:rsidRPr="008630D2">
        <w:rPr>
          <w:lang w:val="fr-FR"/>
        </w:rPr>
        <w:t>Gebang</w:t>
      </w:r>
      <w:proofErr w:type="spellEnd"/>
      <w:r w:rsidR="008630D2" w:rsidRPr="008630D2">
        <w:rPr>
          <w:lang w:val="fr-FR"/>
        </w:rPr>
        <w:t xml:space="preserve">, en novembre 2018 au Kenya, </w:t>
      </w:r>
      <w:r>
        <w:rPr>
          <w:lang w:val="fr-FR"/>
        </w:rPr>
        <w:t xml:space="preserve">sur le site de </w:t>
      </w:r>
      <w:proofErr w:type="spellStart"/>
      <w:r>
        <w:rPr>
          <w:lang w:val="fr-FR"/>
        </w:rPr>
        <w:t>Dandora</w:t>
      </w:r>
      <w:proofErr w:type="spellEnd"/>
      <w:r w:rsidR="008630D2" w:rsidRPr="008630D2">
        <w:rPr>
          <w:lang w:val="fr-FR"/>
        </w:rPr>
        <w:t xml:space="preserve"> </w:t>
      </w:r>
      <w:r>
        <w:rPr>
          <w:lang w:val="fr-FR"/>
        </w:rPr>
        <w:t>et en janvier 2019</w:t>
      </w:r>
      <w:r w:rsidR="008630D2" w:rsidRPr="008630D2">
        <w:rPr>
          <w:lang w:val="fr-FR"/>
        </w:rPr>
        <w:t xml:space="preserve"> au Myanmar,</w:t>
      </w:r>
      <w:r>
        <w:rPr>
          <w:lang w:val="fr-FR"/>
        </w:rPr>
        <w:t xml:space="preserve"> </w:t>
      </w:r>
      <w:r w:rsidR="008630D2" w:rsidRPr="008630D2">
        <w:rPr>
          <w:lang w:val="fr-FR"/>
        </w:rPr>
        <w:t xml:space="preserve">sur le site de </w:t>
      </w:r>
      <w:proofErr w:type="spellStart"/>
      <w:r w:rsidR="008630D2" w:rsidRPr="008630D2">
        <w:rPr>
          <w:lang w:val="fr-FR"/>
        </w:rPr>
        <w:t>Htein</w:t>
      </w:r>
      <w:proofErr w:type="spellEnd"/>
      <w:r w:rsidR="008630D2" w:rsidRPr="008630D2">
        <w:rPr>
          <w:lang w:val="fr-FR"/>
        </w:rPr>
        <w:t xml:space="preserve"> Pin</w:t>
      </w:r>
      <w:r w:rsidR="00217470">
        <w:rPr>
          <w:lang w:val="fr-FR"/>
        </w:rPr>
        <w:t> ;</w:t>
      </w:r>
      <w:r>
        <w:rPr>
          <w:lang w:val="fr-FR"/>
        </w:rPr>
        <w:t xml:space="preserve"> </w:t>
      </w:r>
      <w:r w:rsidR="008630D2">
        <w:rPr>
          <w:lang w:val="fr-FR"/>
        </w:rPr>
        <w:t>il est prévu d</w:t>
      </w:r>
      <w:r w:rsidR="00431A09">
        <w:rPr>
          <w:lang w:val="fr-FR"/>
        </w:rPr>
        <w:t>’</w:t>
      </w:r>
      <w:r w:rsidR="008630D2">
        <w:rPr>
          <w:lang w:val="fr-FR"/>
        </w:rPr>
        <w:t>en mener</w:t>
      </w:r>
      <w:r>
        <w:rPr>
          <w:lang w:val="fr-FR"/>
        </w:rPr>
        <w:t xml:space="preserve"> sur deux</w:t>
      </w:r>
      <w:r w:rsidR="005F69FF">
        <w:rPr>
          <w:lang w:val="fr-FR"/>
        </w:rPr>
        <w:t> autres sites en 2019 et </w:t>
      </w:r>
      <w:r>
        <w:rPr>
          <w:lang w:val="fr-FR"/>
        </w:rPr>
        <w:t>2020. Le</w:t>
      </w:r>
      <w:r w:rsidR="008630D2">
        <w:rPr>
          <w:lang w:val="fr-FR"/>
        </w:rPr>
        <w:t>ur</w:t>
      </w:r>
      <w:r>
        <w:rPr>
          <w:lang w:val="fr-FR"/>
        </w:rPr>
        <w:t xml:space="preserve">s résultats </w:t>
      </w:r>
      <w:r w:rsidR="005F69FF">
        <w:rPr>
          <w:lang w:val="fr-FR"/>
        </w:rPr>
        <w:t>seront publiés en </w:t>
      </w:r>
      <w:r>
        <w:rPr>
          <w:lang w:val="fr-FR"/>
        </w:rPr>
        <w:t>2020.</w:t>
      </w:r>
    </w:p>
    <w:p w14:paraId="3667A9BB" w14:textId="60EB5969" w:rsidR="008B1CA9" w:rsidRPr="00F84178" w:rsidRDefault="008B1CA9" w:rsidP="003D4D62">
      <w:pPr>
        <w:pStyle w:val="Normalnumber"/>
        <w:numPr>
          <w:ilvl w:val="0"/>
          <w:numId w:val="2"/>
        </w:numPr>
        <w:rPr>
          <w:lang w:val="fr-FR"/>
        </w:rPr>
      </w:pPr>
      <w:r>
        <w:rPr>
          <w:lang w:val="fr-FR"/>
        </w:rPr>
        <w:t>Des informations intéressant la question des émissions de mercure liées au brûlage de déchets à</w:t>
      </w:r>
      <w:r w:rsidR="00431A09">
        <w:rPr>
          <w:lang w:val="fr-FR"/>
        </w:rPr>
        <w:t> </w:t>
      </w:r>
      <w:r>
        <w:rPr>
          <w:lang w:val="fr-FR"/>
        </w:rPr>
        <w:t>l</w:t>
      </w:r>
      <w:r w:rsidR="00431A09">
        <w:rPr>
          <w:lang w:val="fr-FR"/>
        </w:rPr>
        <w:t>’</w:t>
      </w:r>
      <w:r>
        <w:rPr>
          <w:lang w:val="fr-FR"/>
        </w:rPr>
        <w:t>air libre ont également été réunies dans le cadre des conventions de Bâle et de Stockholm</w:t>
      </w:r>
      <w:r w:rsidR="00335A08">
        <w:rPr>
          <w:rStyle w:val="FootnoteReference"/>
          <w:lang w:val="fr-FR"/>
        </w:rPr>
        <w:footnoteReference w:id="4"/>
      </w:r>
      <w:r>
        <w:rPr>
          <w:lang w:val="fr-FR"/>
        </w:rPr>
        <w:t>.</w:t>
      </w:r>
    </w:p>
    <w:p w14:paraId="5C833CED" w14:textId="7B230FEC" w:rsidR="008B1CA9" w:rsidRPr="00F84178" w:rsidRDefault="00A91A83" w:rsidP="003D4D62">
      <w:pPr>
        <w:pStyle w:val="Normalnumber"/>
        <w:numPr>
          <w:ilvl w:val="0"/>
          <w:numId w:val="2"/>
        </w:numPr>
        <w:rPr>
          <w:lang w:val="fr-FR"/>
        </w:rPr>
      </w:pPr>
      <w:r>
        <w:rPr>
          <w:lang w:val="fr-FR"/>
        </w:rPr>
        <w:t>À sa qua</w:t>
      </w:r>
      <w:r w:rsidR="005F69FF">
        <w:rPr>
          <w:lang w:val="fr-FR"/>
        </w:rPr>
        <w:t>torzième </w:t>
      </w:r>
      <w:r w:rsidR="00783EB2">
        <w:rPr>
          <w:lang w:val="fr-FR"/>
        </w:rPr>
        <w:t>réun</w:t>
      </w:r>
      <w:r>
        <w:rPr>
          <w:lang w:val="fr-FR"/>
        </w:rPr>
        <w:t>ion, en mai 2019, la Conférence des Parties à la Convention de Bâle a</w:t>
      </w:r>
      <w:r w:rsidR="00431A09">
        <w:rPr>
          <w:lang w:val="fr-FR"/>
        </w:rPr>
        <w:t> </w:t>
      </w:r>
      <w:r>
        <w:rPr>
          <w:lang w:val="fr-FR"/>
        </w:rPr>
        <w:t>adopté des orientations sur la manière d</w:t>
      </w:r>
      <w:r w:rsidR="00431A09">
        <w:rPr>
          <w:lang w:val="fr-FR"/>
        </w:rPr>
        <w:t>’</w:t>
      </w:r>
      <w:r>
        <w:rPr>
          <w:lang w:val="fr-FR"/>
        </w:rPr>
        <w:t xml:space="preserve">aborder la gestion écologiquement rationnelle des déchets dans le secteur informel (UNEP/CHW.14/INF/8). </w:t>
      </w:r>
      <w:r w:rsidR="00217470">
        <w:rPr>
          <w:lang w:val="fr-FR"/>
        </w:rPr>
        <w:t>C</w:t>
      </w:r>
      <w:r>
        <w:rPr>
          <w:lang w:val="fr-FR"/>
        </w:rPr>
        <w:t>es orientations</w:t>
      </w:r>
      <w:r w:rsidR="00934A66">
        <w:rPr>
          <w:lang w:val="fr-FR"/>
        </w:rPr>
        <w:t>, qui</w:t>
      </w:r>
      <w:r>
        <w:rPr>
          <w:lang w:val="fr-FR"/>
        </w:rPr>
        <w:t xml:space="preserve"> reconnaissent les effets </w:t>
      </w:r>
      <w:r w:rsidR="00913FE5">
        <w:rPr>
          <w:lang w:val="fr-FR"/>
        </w:rPr>
        <w:t xml:space="preserve">écologiques </w:t>
      </w:r>
      <w:r>
        <w:rPr>
          <w:lang w:val="fr-FR"/>
        </w:rPr>
        <w:t xml:space="preserve">néfastes et </w:t>
      </w:r>
      <w:r w:rsidR="00934A66">
        <w:rPr>
          <w:lang w:val="fr-FR"/>
        </w:rPr>
        <w:t>les répercussions sanitaires</w:t>
      </w:r>
      <w:r>
        <w:rPr>
          <w:lang w:val="fr-FR"/>
        </w:rPr>
        <w:t xml:space="preserve"> connexes</w:t>
      </w:r>
      <w:r w:rsidR="00913FE5">
        <w:rPr>
          <w:lang w:val="fr-FR"/>
        </w:rPr>
        <w:t xml:space="preserve"> du </w:t>
      </w:r>
      <w:r w:rsidR="00913FE5" w:rsidRPr="00913FE5">
        <w:rPr>
          <w:lang w:val="fr-FR"/>
        </w:rPr>
        <w:t>brûlage de déchets à l</w:t>
      </w:r>
      <w:r w:rsidR="00431A09">
        <w:rPr>
          <w:lang w:val="fr-FR"/>
        </w:rPr>
        <w:t>’</w:t>
      </w:r>
      <w:r w:rsidR="00913FE5" w:rsidRPr="00913FE5">
        <w:rPr>
          <w:lang w:val="fr-FR"/>
        </w:rPr>
        <w:t>air libre</w:t>
      </w:r>
      <w:r>
        <w:rPr>
          <w:lang w:val="fr-FR"/>
        </w:rPr>
        <w:t>, ainsi que le risque qu</w:t>
      </w:r>
      <w:r w:rsidR="00431A09">
        <w:rPr>
          <w:lang w:val="fr-FR"/>
        </w:rPr>
        <w:t>’</w:t>
      </w:r>
      <w:r>
        <w:rPr>
          <w:lang w:val="fr-FR"/>
        </w:rPr>
        <w:t xml:space="preserve">il </w:t>
      </w:r>
      <w:r w:rsidR="00934A66">
        <w:rPr>
          <w:lang w:val="fr-FR"/>
        </w:rPr>
        <w:t>fait courir aux</w:t>
      </w:r>
      <w:r>
        <w:rPr>
          <w:lang w:val="fr-FR"/>
        </w:rPr>
        <w:t xml:space="preserve"> travailleurs</w:t>
      </w:r>
      <w:r w:rsidR="00934A66">
        <w:rPr>
          <w:lang w:val="fr-FR"/>
        </w:rPr>
        <w:t xml:space="preserve">, </w:t>
      </w:r>
      <w:r w:rsidR="00913FE5">
        <w:rPr>
          <w:lang w:val="fr-FR"/>
        </w:rPr>
        <w:t>préconis</w:t>
      </w:r>
      <w:r w:rsidR="00934A66">
        <w:rPr>
          <w:lang w:val="fr-FR"/>
        </w:rPr>
        <w:t>e</w:t>
      </w:r>
      <w:r w:rsidR="00217470">
        <w:rPr>
          <w:lang w:val="fr-FR"/>
        </w:rPr>
        <w:t xml:space="preserve">nt </w:t>
      </w:r>
      <w:r w:rsidR="00934A66">
        <w:rPr>
          <w:lang w:val="fr-FR"/>
        </w:rPr>
        <w:t>de</w:t>
      </w:r>
      <w:r>
        <w:rPr>
          <w:lang w:val="fr-FR"/>
        </w:rPr>
        <w:t xml:space="preserve"> renforce</w:t>
      </w:r>
      <w:r w:rsidR="00934A66">
        <w:rPr>
          <w:lang w:val="fr-FR"/>
        </w:rPr>
        <w:t>r le</w:t>
      </w:r>
      <w:r>
        <w:rPr>
          <w:lang w:val="fr-FR"/>
        </w:rPr>
        <w:t xml:space="preserve"> secteur informel </w:t>
      </w:r>
      <w:r w:rsidR="00934A66">
        <w:rPr>
          <w:lang w:val="fr-FR"/>
        </w:rPr>
        <w:t>au moyen</w:t>
      </w:r>
      <w:r w:rsidR="00217470">
        <w:rPr>
          <w:lang w:val="fr-FR"/>
        </w:rPr>
        <w:t xml:space="preserve"> d</w:t>
      </w:r>
      <w:r w:rsidR="00431A09">
        <w:rPr>
          <w:lang w:val="fr-FR"/>
        </w:rPr>
        <w:t>’</w:t>
      </w:r>
      <w:r>
        <w:rPr>
          <w:lang w:val="fr-FR"/>
        </w:rPr>
        <w:t>incita</w:t>
      </w:r>
      <w:r w:rsidR="00217470">
        <w:rPr>
          <w:lang w:val="fr-FR"/>
        </w:rPr>
        <w:t>tion</w:t>
      </w:r>
      <w:r>
        <w:rPr>
          <w:lang w:val="fr-FR"/>
        </w:rPr>
        <w:t xml:space="preserve">s à </w:t>
      </w:r>
      <w:r w:rsidR="00217470">
        <w:rPr>
          <w:lang w:val="fr-FR"/>
        </w:rPr>
        <w:t>l</w:t>
      </w:r>
      <w:r w:rsidR="00431A09">
        <w:rPr>
          <w:lang w:val="fr-FR"/>
        </w:rPr>
        <w:t>’</w:t>
      </w:r>
      <w:r>
        <w:rPr>
          <w:lang w:val="fr-FR"/>
        </w:rPr>
        <w:t>adopt</w:t>
      </w:r>
      <w:r w:rsidR="00217470">
        <w:rPr>
          <w:lang w:val="fr-FR"/>
        </w:rPr>
        <w:t>ion</w:t>
      </w:r>
      <w:r>
        <w:rPr>
          <w:lang w:val="fr-FR"/>
        </w:rPr>
        <w:t xml:space="preserve"> de pratiques de gestion écologiquement rationnelle</w:t>
      </w:r>
      <w:r w:rsidR="00B96036">
        <w:rPr>
          <w:lang w:val="fr-FR"/>
        </w:rPr>
        <w:t>,</w:t>
      </w:r>
      <w:r w:rsidR="00934A66">
        <w:rPr>
          <w:lang w:val="fr-FR"/>
        </w:rPr>
        <w:t xml:space="preserve"> </w:t>
      </w:r>
      <w:r w:rsidR="00B96036">
        <w:rPr>
          <w:lang w:val="fr-FR"/>
        </w:rPr>
        <w:t>d</w:t>
      </w:r>
      <w:r w:rsidR="00431A09">
        <w:rPr>
          <w:lang w:val="fr-FR"/>
        </w:rPr>
        <w:t>’</w:t>
      </w:r>
      <w:r w:rsidR="00B96036">
        <w:rPr>
          <w:lang w:val="fr-FR"/>
        </w:rPr>
        <w:t>assurer</w:t>
      </w:r>
      <w:r>
        <w:rPr>
          <w:lang w:val="fr-FR"/>
        </w:rPr>
        <w:t xml:space="preserve"> l</w:t>
      </w:r>
      <w:r w:rsidR="00431A09">
        <w:rPr>
          <w:lang w:val="fr-FR"/>
        </w:rPr>
        <w:t>’</w:t>
      </w:r>
      <w:r>
        <w:rPr>
          <w:lang w:val="fr-FR"/>
        </w:rPr>
        <w:t xml:space="preserve">élimination définitive des déchets résiduels et non recyclables </w:t>
      </w:r>
      <w:r w:rsidR="00B96036">
        <w:rPr>
          <w:lang w:val="fr-FR"/>
        </w:rPr>
        <w:t>d</w:t>
      </w:r>
      <w:r w:rsidR="00431A09">
        <w:rPr>
          <w:lang w:val="fr-FR"/>
        </w:rPr>
        <w:t>’</w:t>
      </w:r>
      <w:r w:rsidR="00B96036">
        <w:rPr>
          <w:lang w:val="fr-FR"/>
        </w:rPr>
        <w:t>une</w:t>
      </w:r>
      <w:r>
        <w:rPr>
          <w:lang w:val="fr-FR"/>
        </w:rPr>
        <w:t xml:space="preserve"> manière écologiquement rationnelle</w:t>
      </w:r>
      <w:r w:rsidR="00B96036">
        <w:rPr>
          <w:lang w:val="fr-FR"/>
        </w:rPr>
        <w:t>,</w:t>
      </w:r>
      <w:r>
        <w:rPr>
          <w:lang w:val="fr-FR"/>
        </w:rPr>
        <w:t xml:space="preserve"> dans des</w:t>
      </w:r>
      <w:r w:rsidR="00431A09">
        <w:rPr>
          <w:lang w:val="fr-FR"/>
        </w:rPr>
        <w:t> </w:t>
      </w:r>
      <w:r>
        <w:rPr>
          <w:lang w:val="fr-FR"/>
        </w:rPr>
        <w:t xml:space="preserve">installations </w:t>
      </w:r>
      <w:r w:rsidR="00B96036">
        <w:rPr>
          <w:lang w:val="fr-FR"/>
        </w:rPr>
        <w:t>faisant appel aux</w:t>
      </w:r>
      <w:r>
        <w:rPr>
          <w:lang w:val="fr-FR"/>
        </w:rPr>
        <w:t xml:space="preserve"> techniques </w:t>
      </w:r>
      <w:r w:rsidR="00B96036">
        <w:rPr>
          <w:lang w:val="fr-FR"/>
        </w:rPr>
        <w:t xml:space="preserve">les plus avancées </w:t>
      </w:r>
      <w:r>
        <w:rPr>
          <w:lang w:val="fr-FR"/>
        </w:rPr>
        <w:t>disponibles dans chaque pays ou région</w:t>
      </w:r>
      <w:r w:rsidR="00B96036">
        <w:rPr>
          <w:lang w:val="fr-FR"/>
        </w:rPr>
        <w:t>,</w:t>
      </w:r>
      <w:r>
        <w:rPr>
          <w:lang w:val="fr-FR"/>
        </w:rPr>
        <w:t xml:space="preserve"> et </w:t>
      </w:r>
      <w:r w:rsidR="00B96036">
        <w:rPr>
          <w:lang w:val="fr-FR"/>
        </w:rPr>
        <w:t>d</w:t>
      </w:r>
      <w:r w:rsidR="00431A09">
        <w:rPr>
          <w:lang w:val="fr-FR"/>
        </w:rPr>
        <w:t>’</w:t>
      </w:r>
      <w:r w:rsidR="00B96036">
        <w:rPr>
          <w:lang w:val="fr-FR"/>
        </w:rPr>
        <w:t xml:space="preserve">interdire </w:t>
      </w:r>
      <w:r>
        <w:rPr>
          <w:lang w:val="fr-FR"/>
        </w:rPr>
        <w:t xml:space="preserve">le brûlage à ciel ouvert, </w:t>
      </w:r>
      <w:r w:rsidR="00B96036">
        <w:rPr>
          <w:lang w:val="fr-FR"/>
        </w:rPr>
        <w:t xml:space="preserve">en particulier </w:t>
      </w:r>
      <w:r w:rsidR="00913FE5">
        <w:rPr>
          <w:lang w:val="fr-FR"/>
        </w:rPr>
        <w:t>pour l</w:t>
      </w:r>
      <w:r>
        <w:rPr>
          <w:lang w:val="fr-FR"/>
        </w:rPr>
        <w:t>es déchets dangereux.</w:t>
      </w:r>
    </w:p>
    <w:p w14:paraId="5A1549BB" w14:textId="0DD1B475" w:rsidR="008B1CA9" w:rsidRPr="00F84178" w:rsidRDefault="00001B69" w:rsidP="00431A09">
      <w:pPr>
        <w:pStyle w:val="CH2"/>
        <w:rPr>
          <w:lang w:val="fr-FR"/>
        </w:rPr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431A09">
        <w:t>Mesures</w:t>
      </w:r>
      <w:r>
        <w:rPr>
          <w:lang w:val="fr-FR"/>
        </w:rPr>
        <w:t xml:space="preserve"> que pourrait prendre la Conférence des Parties</w:t>
      </w:r>
    </w:p>
    <w:p w14:paraId="4B5D34F2" w14:textId="5B8F14DF" w:rsidR="009E3233" w:rsidRPr="00F84178" w:rsidRDefault="008B1CA9" w:rsidP="003D4D62">
      <w:pPr>
        <w:pStyle w:val="Normalnumber"/>
        <w:numPr>
          <w:ilvl w:val="0"/>
          <w:numId w:val="2"/>
        </w:numPr>
        <w:rPr>
          <w:lang w:val="fr-FR"/>
        </w:rPr>
      </w:pPr>
      <w:r>
        <w:rPr>
          <w:lang w:val="fr-FR"/>
        </w:rPr>
        <w:t>La Conférence des Parties souhaitera peut-être examiner les informations figurant dans la</w:t>
      </w:r>
      <w:r w:rsidR="00431A09">
        <w:rPr>
          <w:lang w:val="fr-FR"/>
        </w:rPr>
        <w:t> </w:t>
      </w:r>
      <w:r>
        <w:rPr>
          <w:lang w:val="fr-FR"/>
        </w:rPr>
        <w:t xml:space="preserve">présente note et demander au secrétariat de continuer à recueillir </w:t>
      </w:r>
      <w:r w:rsidR="00783EB2">
        <w:rPr>
          <w:lang w:val="fr-FR"/>
        </w:rPr>
        <w:t>d</w:t>
      </w:r>
      <w:r>
        <w:rPr>
          <w:lang w:val="fr-FR"/>
        </w:rPr>
        <w:t>es informations pertinentes et</w:t>
      </w:r>
      <w:r w:rsidR="003D4D62">
        <w:rPr>
          <w:lang w:val="fr-FR"/>
        </w:rPr>
        <w:t> </w:t>
      </w:r>
      <w:r>
        <w:rPr>
          <w:lang w:val="fr-FR"/>
        </w:rPr>
        <w:t>de</w:t>
      </w:r>
      <w:r w:rsidR="003D4D62">
        <w:rPr>
          <w:lang w:val="fr-FR"/>
        </w:rPr>
        <w:t> </w:t>
      </w:r>
      <w:r>
        <w:rPr>
          <w:lang w:val="fr-FR"/>
        </w:rPr>
        <w:t>diffuser ces informations sur le site Web de la Con</w:t>
      </w:r>
      <w:r w:rsidR="006D0042">
        <w:rPr>
          <w:lang w:val="fr-FR"/>
        </w:rPr>
        <w:t>vention</w:t>
      </w:r>
      <w:r>
        <w:rPr>
          <w:lang w:val="fr-FR"/>
        </w:rPr>
        <w:t>.</w:t>
      </w:r>
      <w:bookmarkStart w:id="4" w:name="_GoBack"/>
      <w:bookmarkEnd w:id="4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E976AB" w:rsidRPr="00783EB2" w14:paraId="6DB0CABC" w14:textId="77777777" w:rsidTr="00AA0791">
        <w:tc>
          <w:tcPr>
            <w:tcW w:w="1898" w:type="dxa"/>
            <w:shd w:val="clear" w:color="auto" w:fill="auto"/>
          </w:tcPr>
          <w:p w14:paraId="6D3F7C2C" w14:textId="5E6843FF" w:rsidR="00E976AB" w:rsidRPr="00F84178" w:rsidRDefault="008E10A4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lang w:val="fr-FR"/>
              </w:rPr>
            </w:pPr>
            <w:r w:rsidRPr="00F84178">
              <w:rPr>
                <w:lang w:val="fr-FR"/>
              </w:rPr>
              <w:br w:type="page"/>
            </w:r>
          </w:p>
        </w:tc>
        <w:tc>
          <w:tcPr>
            <w:tcW w:w="1899" w:type="dxa"/>
            <w:shd w:val="clear" w:color="auto" w:fill="auto"/>
          </w:tcPr>
          <w:p w14:paraId="378BA037" w14:textId="77777777" w:rsidR="00E976AB" w:rsidRPr="00F84178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lang w:val="fr-FR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</w:tcPr>
          <w:p w14:paraId="028E3E1E" w14:textId="77777777" w:rsidR="00E976AB" w:rsidRPr="00F84178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lang w:val="fr-FR"/>
              </w:rPr>
            </w:pPr>
          </w:p>
        </w:tc>
        <w:tc>
          <w:tcPr>
            <w:tcW w:w="1900" w:type="dxa"/>
            <w:shd w:val="clear" w:color="auto" w:fill="auto"/>
          </w:tcPr>
          <w:p w14:paraId="25F1BA19" w14:textId="77777777" w:rsidR="00E976AB" w:rsidRPr="00F84178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lang w:val="fr-FR"/>
              </w:rPr>
            </w:pPr>
          </w:p>
        </w:tc>
        <w:tc>
          <w:tcPr>
            <w:tcW w:w="1900" w:type="dxa"/>
            <w:shd w:val="clear" w:color="auto" w:fill="auto"/>
          </w:tcPr>
          <w:p w14:paraId="457D2993" w14:textId="77777777" w:rsidR="00E976AB" w:rsidRPr="00F84178" w:rsidRDefault="00E976AB" w:rsidP="004455F3">
            <w:pPr>
              <w:pStyle w:val="Normal-pool"/>
              <w:tabs>
                <w:tab w:val="left" w:pos="624"/>
                <w:tab w:val="left" w:pos="1871"/>
                <w:tab w:val="left" w:pos="2495"/>
              </w:tabs>
              <w:spacing w:before="520"/>
              <w:rPr>
                <w:lang w:val="fr-FR"/>
              </w:rPr>
            </w:pPr>
          </w:p>
        </w:tc>
      </w:tr>
      <w:bookmarkEnd w:id="0"/>
    </w:tbl>
    <w:p w14:paraId="325E8270" w14:textId="77777777" w:rsidR="00032E4E" w:rsidRPr="00F84178" w:rsidRDefault="00032E4E" w:rsidP="00112D81">
      <w:pPr>
        <w:pStyle w:val="Normal-pool"/>
        <w:tabs>
          <w:tab w:val="left" w:pos="624"/>
          <w:tab w:val="left" w:pos="1871"/>
          <w:tab w:val="left" w:pos="2495"/>
        </w:tabs>
        <w:rPr>
          <w:lang w:val="fr-FR"/>
        </w:rPr>
      </w:pPr>
    </w:p>
    <w:sectPr w:rsidR="00032E4E" w:rsidRPr="00F84178" w:rsidSect="00933BC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C5252" w14:textId="77777777" w:rsidR="00320EAA" w:rsidRDefault="00320EAA">
      <w:r>
        <w:separator/>
      </w:r>
    </w:p>
  </w:endnote>
  <w:endnote w:type="continuationSeparator" w:id="0">
    <w:p w14:paraId="5F9985A8" w14:textId="77777777" w:rsidR="00320EAA" w:rsidRDefault="0032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0916A6D2" w:rsidR="006111FE" w:rsidRPr="00431A09" w:rsidRDefault="006111FE" w:rsidP="00431A09">
    <w:pPr>
      <w:pStyle w:val="Footer-pool"/>
    </w:pPr>
    <w:r w:rsidRPr="00001B69">
      <w:rPr>
        <w:rStyle w:val="PageNumber"/>
        <w:b/>
      </w:rPr>
      <w:fldChar w:fldCharType="begin"/>
    </w:r>
    <w:r w:rsidRPr="00001B69">
      <w:rPr>
        <w:rStyle w:val="PageNumber"/>
        <w:b/>
      </w:rPr>
      <w:instrText xml:space="preserve"> PAGE </w:instrText>
    </w:r>
    <w:r w:rsidRPr="00001B69">
      <w:rPr>
        <w:rStyle w:val="PageNumber"/>
        <w:b/>
      </w:rPr>
      <w:fldChar w:fldCharType="separate"/>
    </w:r>
    <w:r w:rsidR="00112D81">
      <w:rPr>
        <w:rStyle w:val="PageNumber"/>
        <w:b/>
        <w:noProof/>
      </w:rPr>
      <w:t>2</w:t>
    </w:r>
    <w:r w:rsidRPr="00001B69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3BB7DF5A" w:rsidR="006111FE" w:rsidRPr="00431A09" w:rsidRDefault="006111FE" w:rsidP="00431A09">
    <w:pPr>
      <w:pStyle w:val="Footer-pool"/>
      <w:jc w:val="right"/>
      <w:rPr>
        <w:b w:val="0"/>
      </w:rPr>
    </w:pPr>
    <w:r w:rsidRPr="00431A09">
      <w:rPr>
        <w:rStyle w:val="PageNumber"/>
        <w:b/>
      </w:rPr>
      <w:fldChar w:fldCharType="begin"/>
    </w:r>
    <w:r w:rsidRPr="00431A09">
      <w:rPr>
        <w:rStyle w:val="PageNumber"/>
        <w:b/>
      </w:rPr>
      <w:instrText xml:space="preserve"> PAGE </w:instrText>
    </w:r>
    <w:r w:rsidRPr="00431A09">
      <w:rPr>
        <w:rStyle w:val="PageNumber"/>
        <w:b/>
      </w:rPr>
      <w:fldChar w:fldCharType="separate"/>
    </w:r>
    <w:r w:rsidR="00112D81" w:rsidRPr="00431A09">
      <w:rPr>
        <w:rStyle w:val="PageNumber"/>
        <w:b/>
        <w:noProof/>
      </w:rPr>
      <w:t>3</w:t>
    </w:r>
    <w:r w:rsidRPr="00431A09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267C2" w14:textId="2B0F05AF" w:rsidR="00001B69" w:rsidRDefault="00001B69" w:rsidP="00431A09">
    <w:pPr>
      <w:pStyle w:val="Normal-pool"/>
    </w:pPr>
    <w:r>
      <w:t>K190334</w:t>
    </w:r>
    <w:r w:rsidR="005F69FF">
      <w:t>3</w:t>
    </w:r>
    <w:r>
      <w:tab/>
    </w:r>
    <w:r w:rsidR="00431A09">
      <w:t>12</w:t>
    </w:r>
    <w:r w:rsidR="005F69FF" w:rsidRPr="00431A09">
      <w:t>09</w:t>
    </w:r>
    <w:r w:rsidRPr="00431A09"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92F96" w14:textId="77777777" w:rsidR="00320EAA" w:rsidRDefault="00320EAA" w:rsidP="00D92DE0">
      <w:pPr>
        <w:ind w:left="624"/>
      </w:pPr>
      <w:r>
        <w:separator/>
      </w:r>
    </w:p>
  </w:footnote>
  <w:footnote w:type="continuationSeparator" w:id="0">
    <w:p w14:paraId="54535BF3" w14:textId="77777777" w:rsidR="00320EAA" w:rsidRDefault="00320EAA">
      <w:r>
        <w:continuationSeparator/>
      </w:r>
    </w:p>
  </w:footnote>
  <w:footnote w:id="1">
    <w:p w14:paraId="7C33A6FA" w14:textId="77777777" w:rsidR="00250599" w:rsidRPr="003558CC" w:rsidRDefault="00250599" w:rsidP="00250599">
      <w:pPr>
        <w:pStyle w:val="FootnoteText"/>
        <w:rPr>
          <w:lang w:val="fr-FR"/>
        </w:rPr>
      </w:pPr>
      <w:r w:rsidRPr="00430669">
        <w:rPr>
          <w:rStyle w:val="FootnoteReference"/>
          <w:sz w:val="18"/>
          <w:vertAlign w:val="baseline"/>
        </w:rPr>
        <w:t>*</w:t>
      </w:r>
      <w:r w:rsidRPr="00430669">
        <w:rPr>
          <w:szCs w:val="18"/>
        </w:rPr>
        <w:t xml:space="preserve"> </w:t>
      </w:r>
      <w:r w:rsidRPr="00430669">
        <w:rPr>
          <w:szCs w:val="18"/>
          <w:lang w:val="fr-FR"/>
        </w:rPr>
        <w:t>UNEP/MC/COP</w:t>
      </w:r>
      <w:r>
        <w:rPr>
          <w:lang w:val="fr-FR"/>
        </w:rPr>
        <w:t>.3/1.</w:t>
      </w:r>
    </w:p>
  </w:footnote>
  <w:footnote w:id="2">
    <w:p w14:paraId="76002BD6" w14:textId="32134F0F" w:rsidR="008B1CA9" w:rsidRPr="00001B69" w:rsidRDefault="008B1CA9" w:rsidP="008B1CA9">
      <w:pPr>
        <w:pStyle w:val="FootnoteText"/>
        <w:rPr>
          <w:szCs w:val="18"/>
        </w:rPr>
      </w:pPr>
      <w:r w:rsidRPr="005F69FF">
        <w:rPr>
          <w:rStyle w:val="FootnoteReference"/>
          <w:sz w:val="18"/>
        </w:rPr>
        <w:footnoteRef/>
      </w:r>
      <w:r w:rsidRPr="005F69FF">
        <w:rPr>
          <w:szCs w:val="18"/>
        </w:rPr>
        <w:t xml:space="preserve"> Orientations concernant les meilleures techniques disponibles et les meilleures pratiques environnementales</w:t>
      </w:r>
      <w:r w:rsidR="00AC14E3" w:rsidRPr="00AC14E3">
        <w:rPr>
          <w:szCs w:val="18"/>
        </w:rPr>
        <w:t xml:space="preserve">, compte </w:t>
      </w:r>
      <w:r w:rsidR="00314F99">
        <w:rPr>
          <w:szCs w:val="18"/>
        </w:rPr>
        <w:t xml:space="preserve">tenu </w:t>
      </w:r>
      <w:r w:rsidR="00AC14E3" w:rsidRPr="00AC14E3">
        <w:rPr>
          <w:szCs w:val="18"/>
        </w:rPr>
        <w:t>des différences entre les nouvelles sources et les sources existantes ainsi que de la nécessité de réduire au minimum les effets entre différents milieux</w:t>
      </w:r>
      <w:r w:rsidR="00314F99">
        <w:rPr>
          <w:szCs w:val="18"/>
        </w:rPr>
        <w:t>,</w:t>
      </w:r>
      <w:r w:rsidRPr="005F69FF">
        <w:rPr>
          <w:szCs w:val="18"/>
        </w:rPr>
        <w:t xml:space="preserve"> adoptées par la Conférence des Parties à la Convention de Minamata </w:t>
      </w:r>
      <w:r w:rsidR="005F69FF" w:rsidRPr="005F69FF">
        <w:rPr>
          <w:szCs w:val="18"/>
        </w:rPr>
        <w:t>à sa première réunion (décision </w:t>
      </w:r>
      <w:r w:rsidRPr="005F69FF">
        <w:rPr>
          <w:szCs w:val="18"/>
        </w:rPr>
        <w:t>MC-1/4) afin d</w:t>
      </w:r>
      <w:r w:rsidR="00431A09">
        <w:rPr>
          <w:szCs w:val="18"/>
        </w:rPr>
        <w:t>’</w:t>
      </w:r>
      <w:r w:rsidRPr="005F69FF">
        <w:rPr>
          <w:szCs w:val="18"/>
        </w:rPr>
        <w:t>aider les Parties à s</w:t>
      </w:r>
      <w:r w:rsidR="00431A09">
        <w:rPr>
          <w:szCs w:val="18"/>
        </w:rPr>
        <w:t>’</w:t>
      </w:r>
      <w:r w:rsidRPr="005F69FF">
        <w:rPr>
          <w:szCs w:val="18"/>
        </w:rPr>
        <w:t>acquitter de</w:t>
      </w:r>
      <w:r w:rsidR="00AC14E3">
        <w:rPr>
          <w:szCs w:val="18"/>
        </w:rPr>
        <w:t xml:space="preserve"> leur</w:t>
      </w:r>
      <w:r w:rsidRPr="005F69FF">
        <w:rPr>
          <w:szCs w:val="18"/>
        </w:rPr>
        <w:t>s obli</w:t>
      </w:r>
      <w:r w:rsidR="005F69FF" w:rsidRPr="005F69FF">
        <w:rPr>
          <w:szCs w:val="18"/>
        </w:rPr>
        <w:t xml:space="preserve">gations </w:t>
      </w:r>
      <w:r w:rsidR="00AC14E3">
        <w:rPr>
          <w:szCs w:val="18"/>
        </w:rPr>
        <w:t>au titre de</w:t>
      </w:r>
      <w:r w:rsidR="005F69FF" w:rsidRPr="005F69FF">
        <w:rPr>
          <w:szCs w:val="18"/>
        </w:rPr>
        <w:t xml:space="preserve"> l</w:t>
      </w:r>
      <w:r w:rsidR="00431A09">
        <w:rPr>
          <w:szCs w:val="18"/>
        </w:rPr>
        <w:t>’</w:t>
      </w:r>
      <w:r w:rsidR="005F69FF" w:rsidRPr="005F69FF">
        <w:rPr>
          <w:szCs w:val="18"/>
        </w:rPr>
        <w:t>article 8 (UNEP/MC/COP.1/7, annexe </w:t>
      </w:r>
      <w:r w:rsidRPr="005F69FF">
        <w:rPr>
          <w:szCs w:val="18"/>
        </w:rPr>
        <w:t>II).</w:t>
      </w:r>
      <w:r>
        <w:t xml:space="preserve"> </w:t>
      </w:r>
    </w:p>
  </w:footnote>
  <w:footnote w:id="3">
    <w:p w14:paraId="1B4BFB5F" w14:textId="407F5594" w:rsidR="00401763" w:rsidRPr="00001B69" w:rsidRDefault="00401763">
      <w:pPr>
        <w:pStyle w:val="FootnoteText"/>
        <w:rPr>
          <w:szCs w:val="18"/>
        </w:rPr>
      </w:pPr>
      <w:r w:rsidRPr="00001B69">
        <w:rPr>
          <w:rStyle w:val="FootnoteReference"/>
          <w:sz w:val="18"/>
        </w:rPr>
        <w:footnoteRef/>
      </w:r>
      <w:r>
        <w:t xml:space="preserve"> www.unenvironment.org/explore-topics/chemicals-waste/what-we-do/mercury/mercury-inventory-toolkit.</w:t>
      </w:r>
    </w:p>
  </w:footnote>
  <w:footnote w:id="4">
    <w:p w14:paraId="3E74FEB2" w14:textId="6668DF9D" w:rsidR="00335A08" w:rsidRPr="00001B69" w:rsidRDefault="00335A08">
      <w:pPr>
        <w:pStyle w:val="FootnoteText"/>
        <w:rPr>
          <w:szCs w:val="18"/>
        </w:rPr>
      </w:pPr>
      <w:r w:rsidRPr="00001B69">
        <w:rPr>
          <w:rStyle w:val="FootnoteReference"/>
          <w:sz w:val="18"/>
        </w:rPr>
        <w:footnoteRef/>
      </w:r>
      <w:r>
        <w:t xml:space="preserve"> Par exemple, les Directives sur les meilleures techniques disponibles et les meilleures pratiques environnemen</w:t>
      </w:r>
      <w:r w:rsidR="005F69FF">
        <w:t>tales en liaison avec l</w:t>
      </w:r>
      <w:r w:rsidR="00431A09">
        <w:t>’</w:t>
      </w:r>
      <w:r w:rsidR="005F69FF">
        <w:t>article 5 et l</w:t>
      </w:r>
      <w:r w:rsidR="00431A09">
        <w:t>’</w:t>
      </w:r>
      <w:r w:rsidR="005F69FF">
        <w:t>annexe </w:t>
      </w:r>
      <w:r>
        <w:t>C de la Convention de Stockholm sur les polluants organiques persistants affirment clairement que le brûlage à l</w:t>
      </w:r>
      <w:r w:rsidR="00431A09">
        <w:t>’</w:t>
      </w:r>
      <w:r>
        <w:t>air libre est un procédé inacceptable pour l</w:t>
      </w:r>
      <w:r w:rsidR="00431A09">
        <w:t>’</w:t>
      </w:r>
      <w:r>
        <w:t>environnement.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48B9B111" w:rsidR="006111FE" w:rsidRPr="00CA5CA9" w:rsidRDefault="005F69FF" w:rsidP="00001B69">
    <w:pPr>
      <w:pStyle w:val="Header-pool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0CC026F0" wp14:editId="548D386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12255" cy="1889125"/>
              <wp:effectExtent l="0" t="1828800" r="0" b="17684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12255" cy="18891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B4040" w14:textId="77777777" w:rsidR="005F69FF" w:rsidRDefault="005F69FF" w:rsidP="005F69F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ADVANCE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C026F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520.65pt;height:148.7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48BB4040" w14:textId="77777777" w:rsidR="005F69FF" w:rsidRDefault="005F69FF" w:rsidP="005F69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ADVANCE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111FE" w:rsidRPr="00CA5CA9">
      <w:rPr>
        <w:bCs/>
      </w:rPr>
      <w:t>UNEP</w:t>
    </w:r>
    <w:r w:rsidR="006111FE" w:rsidRPr="00CA5CA9">
      <w:t>/</w:t>
    </w:r>
    <w:r w:rsidR="006111FE">
      <w:t>MC</w:t>
    </w:r>
    <w:r w:rsidR="006111FE" w:rsidRPr="00CA5CA9">
      <w:t>/</w:t>
    </w:r>
    <w:r w:rsidR="006111FE">
      <w:t>COP.</w:t>
    </w:r>
    <w:r w:rsidR="00B42928">
      <w:t>3</w:t>
    </w:r>
    <w:r w:rsidR="006111FE" w:rsidRPr="00CA5CA9">
      <w:t>/</w:t>
    </w:r>
    <w:r w:rsidR="006111FE">
      <w:t>1</w:t>
    </w:r>
    <w:r w:rsidR="009E3233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63C4B344" w:rsidR="006111FE" w:rsidRPr="00CA5CA9" w:rsidRDefault="006111FE" w:rsidP="00431A09">
    <w:pPr>
      <w:pStyle w:val="Header-pool"/>
      <w:jc w:val="right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</w:t>
    </w:r>
    <w:r w:rsidR="009E3233">
      <w:t>3</w:t>
    </w:r>
    <w:r w:rsidRPr="00CA5CA9">
      <w:t>/</w:t>
    </w:r>
    <w:r>
      <w:t>1</w:t>
    </w:r>
    <w:r w:rsidR="009E3233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33E3BEDB" w:rsidR="006111FE" w:rsidRDefault="006111FE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1E8650E4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" w15:restartNumberingAfterBreak="0">
    <w:nsid w:val="35571603"/>
    <w:multiLevelType w:val="singleLevel"/>
    <w:tmpl w:val="C9CACEF8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 w15:restartNumberingAfterBreak="0">
    <w:nsid w:val="62291BF8"/>
    <w:multiLevelType w:val="multilevel"/>
    <w:tmpl w:val="F4ACF36E"/>
    <w:numStyleLink w:val="Normallist"/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B69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B8D"/>
    <w:rsid w:val="00033E0B"/>
    <w:rsid w:val="00035188"/>
    <w:rsid w:val="00035EDE"/>
    <w:rsid w:val="000418EA"/>
    <w:rsid w:val="000509B4"/>
    <w:rsid w:val="00052D39"/>
    <w:rsid w:val="00057D6D"/>
    <w:rsid w:val="0006035B"/>
    <w:rsid w:val="0006096F"/>
    <w:rsid w:val="000649C5"/>
    <w:rsid w:val="000656CE"/>
    <w:rsid w:val="00065F18"/>
    <w:rsid w:val="00071886"/>
    <w:rsid w:val="000742BC"/>
    <w:rsid w:val="00076CC6"/>
    <w:rsid w:val="00082A0C"/>
    <w:rsid w:val="00083504"/>
    <w:rsid w:val="0009640C"/>
    <w:rsid w:val="000B032E"/>
    <w:rsid w:val="000B22A2"/>
    <w:rsid w:val="000B2CA7"/>
    <w:rsid w:val="000B541B"/>
    <w:rsid w:val="000B73F9"/>
    <w:rsid w:val="000C0DA6"/>
    <w:rsid w:val="000C2A52"/>
    <w:rsid w:val="000C2A88"/>
    <w:rsid w:val="000C5107"/>
    <w:rsid w:val="000C7B14"/>
    <w:rsid w:val="000D0341"/>
    <w:rsid w:val="000D0B93"/>
    <w:rsid w:val="000D33C0"/>
    <w:rsid w:val="000D3B67"/>
    <w:rsid w:val="000D4CF6"/>
    <w:rsid w:val="000D6941"/>
    <w:rsid w:val="000F3DCD"/>
    <w:rsid w:val="000F4829"/>
    <w:rsid w:val="000F6B21"/>
    <w:rsid w:val="0010236F"/>
    <w:rsid w:val="0010285F"/>
    <w:rsid w:val="00102EFB"/>
    <w:rsid w:val="00103013"/>
    <w:rsid w:val="001069E6"/>
    <w:rsid w:val="00112D81"/>
    <w:rsid w:val="001202E3"/>
    <w:rsid w:val="00123699"/>
    <w:rsid w:val="001241FB"/>
    <w:rsid w:val="0012797B"/>
    <w:rsid w:val="0013059D"/>
    <w:rsid w:val="00136187"/>
    <w:rsid w:val="00141669"/>
    <w:rsid w:val="00141A55"/>
    <w:rsid w:val="001421F0"/>
    <w:rsid w:val="0014293F"/>
    <w:rsid w:val="0014397D"/>
    <w:rsid w:val="001446A3"/>
    <w:rsid w:val="00152B6B"/>
    <w:rsid w:val="00155395"/>
    <w:rsid w:val="00155A2F"/>
    <w:rsid w:val="00156B6B"/>
    <w:rsid w:val="00160783"/>
    <w:rsid w:val="00160D74"/>
    <w:rsid w:val="001646EA"/>
    <w:rsid w:val="001677B4"/>
    <w:rsid w:val="00167D02"/>
    <w:rsid w:val="00173556"/>
    <w:rsid w:val="00173CA4"/>
    <w:rsid w:val="00174FA1"/>
    <w:rsid w:val="001759D8"/>
    <w:rsid w:val="00177D7F"/>
    <w:rsid w:val="00177F5E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21C2"/>
    <w:rsid w:val="001E45BD"/>
    <w:rsid w:val="001E56D2"/>
    <w:rsid w:val="001E7D56"/>
    <w:rsid w:val="001F0F6A"/>
    <w:rsid w:val="001F12C3"/>
    <w:rsid w:val="001F2971"/>
    <w:rsid w:val="001F4413"/>
    <w:rsid w:val="001F5186"/>
    <w:rsid w:val="001F75DE"/>
    <w:rsid w:val="001F7A51"/>
    <w:rsid w:val="00200D58"/>
    <w:rsid w:val="002011C1"/>
    <w:rsid w:val="002013BE"/>
    <w:rsid w:val="00201A7B"/>
    <w:rsid w:val="00201EDC"/>
    <w:rsid w:val="002063A4"/>
    <w:rsid w:val="0021145B"/>
    <w:rsid w:val="00213511"/>
    <w:rsid w:val="00217470"/>
    <w:rsid w:val="00220C23"/>
    <w:rsid w:val="0022338B"/>
    <w:rsid w:val="002247F6"/>
    <w:rsid w:val="00225E21"/>
    <w:rsid w:val="00225E44"/>
    <w:rsid w:val="00234E78"/>
    <w:rsid w:val="00240CB6"/>
    <w:rsid w:val="00243D36"/>
    <w:rsid w:val="00243F00"/>
    <w:rsid w:val="002457A2"/>
    <w:rsid w:val="00246151"/>
    <w:rsid w:val="00247707"/>
    <w:rsid w:val="00250599"/>
    <w:rsid w:val="00252456"/>
    <w:rsid w:val="0026018E"/>
    <w:rsid w:val="00276411"/>
    <w:rsid w:val="00286740"/>
    <w:rsid w:val="00291EAE"/>
    <w:rsid w:val="002929D8"/>
    <w:rsid w:val="00297BE0"/>
    <w:rsid w:val="002A237D"/>
    <w:rsid w:val="002A4C53"/>
    <w:rsid w:val="002B00F2"/>
    <w:rsid w:val="002B0672"/>
    <w:rsid w:val="002B247F"/>
    <w:rsid w:val="002B50D4"/>
    <w:rsid w:val="002B58BF"/>
    <w:rsid w:val="002C145D"/>
    <w:rsid w:val="002C2C3E"/>
    <w:rsid w:val="002C4227"/>
    <w:rsid w:val="002C4F61"/>
    <w:rsid w:val="002C533E"/>
    <w:rsid w:val="002D027F"/>
    <w:rsid w:val="002D3E15"/>
    <w:rsid w:val="002D7A85"/>
    <w:rsid w:val="002D7B60"/>
    <w:rsid w:val="002E34D9"/>
    <w:rsid w:val="002F4761"/>
    <w:rsid w:val="002F5C79"/>
    <w:rsid w:val="002F68EE"/>
    <w:rsid w:val="003019E2"/>
    <w:rsid w:val="00301E50"/>
    <w:rsid w:val="00310BEB"/>
    <w:rsid w:val="0031413F"/>
    <w:rsid w:val="00314854"/>
    <w:rsid w:val="003148BB"/>
    <w:rsid w:val="00314F99"/>
    <w:rsid w:val="00316FFF"/>
    <w:rsid w:val="00317976"/>
    <w:rsid w:val="00320EAA"/>
    <w:rsid w:val="00320F2F"/>
    <w:rsid w:val="0032457E"/>
    <w:rsid w:val="00325968"/>
    <w:rsid w:val="00325D38"/>
    <w:rsid w:val="00335A08"/>
    <w:rsid w:val="0034256B"/>
    <w:rsid w:val="0035277E"/>
    <w:rsid w:val="00355EA9"/>
    <w:rsid w:val="003578DE"/>
    <w:rsid w:val="00361688"/>
    <w:rsid w:val="00367FD2"/>
    <w:rsid w:val="00380921"/>
    <w:rsid w:val="00386B84"/>
    <w:rsid w:val="003877D5"/>
    <w:rsid w:val="003929B8"/>
    <w:rsid w:val="00393432"/>
    <w:rsid w:val="00396257"/>
    <w:rsid w:val="00397EB8"/>
    <w:rsid w:val="003A4FD0"/>
    <w:rsid w:val="003A5A7A"/>
    <w:rsid w:val="003A69D1"/>
    <w:rsid w:val="003A7705"/>
    <w:rsid w:val="003A77F1"/>
    <w:rsid w:val="003B1545"/>
    <w:rsid w:val="003C0F26"/>
    <w:rsid w:val="003C2B6C"/>
    <w:rsid w:val="003C3219"/>
    <w:rsid w:val="003C390C"/>
    <w:rsid w:val="003C409D"/>
    <w:rsid w:val="003C4544"/>
    <w:rsid w:val="003C5583"/>
    <w:rsid w:val="003C5BA6"/>
    <w:rsid w:val="003C74CF"/>
    <w:rsid w:val="003D3752"/>
    <w:rsid w:val="003D4D62"/>
    <w:rsid w:val="003E1B8B"/>
    <w:rsid w:val="003E35DA"/>
    <w:rsid w:val="003E455D"/>
    <w:rsid w:val="003E77D5"/>
    <w:rsid w:val="003F0E85"/>
    <w:rsid w:val="00401763"/>
    <w:rsid w:val="00405DE0"/>
    <w:rsid w:val="00410C55"/>
    <w:rsid w:val="00413443"/>
    <w:rsid w:val="00416854"/>
    <w:rsid w:val="00417725"/>
    <w:rsid w:val="0042266F"/>
    <w:rsid w:val="00431A09"/>
    <w:rsid w:val="00431ED5"/>
    <w:rsid w:val="00434321"/>
    <w:rsid w:val="00437F26"/>
    <w:rsid w:val="00444097"/>
    <w:rsid w:val="00445487"/>
    <w:rsid w:val="004455F3"/>
    <w:rsid w:val="00447E0D"/>
    <w:rsid w:val="00453EA8"/>
    <w:rsid w:val="00454769"/>
    <w:rsid w:val="004650A2"/>
    <w:rsid w:val="00466991"/>
    <w:rsid w:val="0047064C"/>
    <w:rsid w:val="00474EFD"/>
    <w:rsid w:val="004822B7"/>
    <w:rsid w:val="0049469E"/>
    <w:rsid w:val="004A2018"/>
    <w:rsid w:val="004A2217"/>
    <w:rsid w:val="004A24F9"/>
    <w:rsid w:val="004A42E1"/>
    <w:rsid w:val="004B162C"/>
    <w:rsid w:val="004B2ABE"/>
    <w:rsid w:val="004C3DBE"/>
    <w:rsid w:val="004C5C96"/>
    <w:rsid w:val="004C5E14"/>
    <w:rsid w:val="004D06A4"/>
    <w:rsid w:val="004D2E21"/>
    <w:rsid w:val="004E12DD"/>
    <w:rsid w:val="004F1A81"/>
    <w:rsid w:val="004F5D88"/>
    <w:rsid w:val="0050082E"/>
    <w:rsid w:val="00501354"/>
    <w:rsid w:val="005050D2"/>
    <w:rsid w:val="00510FAE"/>
    <w:rsid w:val="005218D9"/>
    <w:rsid w:val="0052207E"/>
    <w:rsid w:val="00526BD9"/>
    <w:rsid w:val="00536186"/>
    <w:rsid w:val="00540F58"/>
    <w:rsid w:val="00544CBB"/>
    <w:rsid w:val="00551B65"/>
    <w:rsid w:val="00556704"/>
    <w:rsid w:val="005656D7"/>
    <w:rsid w:val="0057315F"/>
    <w:rsid w:val="0057433C"/>
    <w:rsid w:val="00576104"/>
    <w:rsid w:val="00576706"/>
    <w:rsid w:val="0058628E"/>
    <w:rsid w:val="00586418"/>
    <w:rsid w:val="00592B21"/>
    <w:rsid w:val="00594BAC"/>
    <w:rsid w:val="005A259F"/>
    <w:rsid w:val="005B2DF4"/>
    <w:rsid w:val="005B44BF"/>
    <w:rsid w:val="005C3945"/>
    <w:rsid w:val="005C5078"/>
    <w:rsid w:val="005C67C8"/>
    <w:rsid w:val="005D0249"/>
    <w:rsid w:val="005D18FA"/>
    <w:rsid w:val="005D4FD4"/>
    <w:rsid w:val="005D6E8C"/>
    <w:rsid w:val="005E3004"/>
    <w:rsid w:val="005E76FE"/>
    <w:rsid w:val="005F100C"/>
    <w:rsid w:val="005F68DA"/>
    <w:rsid w:val="005F69FF"/>
    <w:rsid w:val="005F7419"/>
    <w:rsid w:val="00601BC9"/>
    <w:rsid w:val="0060773B"/>
    <w:rsid w:val="006111FE"/>
    <w:rsid w:val="00613FD6"/>
    <w:rsid w:val="006157B5"/>
    <w:rsid w:val="0061722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0DF0"/>
    <w:rsid w:val="00665A4B"/>
    <w:rsid w:val="00670FAE"/>
    <w:rsid w:val="00672B15"/>
    <w:rsid w:val="00677848"/>
    <w:rsid w:val="00692E2A"/>
    <w:rsid w:val="0069496A"/>
    <w:rsid w:val="00696C1C"/>
    <w:rsid w:val="006A76F2"/>
    <w:rsid w:val="006A7A42"/>
    <w:rsid w:val="006B25E4"/>
    <w:rsid w:val="006B7D29"/>
    <w:rsid w:val="006D0042"/>
    <w:rsid w:val="006D19D4"/>
    <w:rsid w:val="006D5644"/>
    <w:rsid w:val="006D5F37"/>
    <w:rsid w:val="006D7EFB"/>
    <w:rsid w:val="006E6672"/>
    <w:rsid w:val="006E6722"/>
    <w:rsid w:val="006F7AFF"/>
    <w:rsid w:val="007027B9"/>
    <w:rsid w:val="007066B5"/>
    <w:rsid w:val="007145DA"/>
    <w:rsid w:val="00715E88"/>
    <w:rsid w:val="007164A7"/>
    <w:rsid w:val="00716D8B"/>
    <w:rsid w:val="007225C7"/>
    <w:rsid w:val="00734CAA"/>
    <w:rsid w:val="00734DAB"/>
    <w:rsid w:val="00740EE2"/>
    <w:rsid w:val="00742680"/>
    <w:rsid w:val="0075533C"/>
    <w:rsid w:val="00755A18"/>
    <w:rsid w:val="00757581"/>
    <w:rsid w:val="007602F5"/>
    <w:rsid w:val="00760D36"/>
    <w:rsid w:val="007611A0"/>
    <w:rsid w:val="00765FEE"/>
    <w:rsid w:val="00772574"/>
    <w:rsid w:val="00772B52"/>
    <w:rsid w:val="00773E54"/>
    <w:rsid w:val="00783EB2"/>
    <w:rsid w:val="00787688"/>
    <w:rsid w:val="00790874"/>
    <w:rsid w:val="007935E6"/>
    <w:rsid w:val="00796669"/>
    <w:rsid w:val="00796D3F"/>
    <w:rsid w:val="007A1683"/>
    <w:rsid w:val="007A5C12"/>
    <w:rsid w:val="007A7CB0"/>
    <w:rsid w:val="007B68A3"/>
    <w:rsid w:val="007C2541"/>
    <w:rsid w:val="007D66A8"/>
    <w:rsid w:val="007E003F"/>
    <w:rsid w:val="007F0CF8"/>
    <w:rsid w:val="007F5E1B"/>
    <w:rsid w:val="007F62CB"/>
    <w:rsid w:val="008142EC"/>
    <w:rsid w:val="00816270"/>
    <w:rsid w:val="008164F2"/>
    <w:rsid w:val="00821395"/>
    <w:rsid w:val="00822230"/>
    <w:rsid w:val="0082619D"/>
    <w:rsid w:val="00830E26"/>
    <w:rsid w:val="00834368"/>
    <w:rsid w:val="0083441A"/>
    <w:rsid w:val="00835006"/>
    <w:rsid w:val="00843576"/>
    <w:rsid w:val="00843B64"/>
    <w:rsid w:val="00845261"/>
    <w:rsid w:val="008478FC"/>
    <w:rsid w:val="00851C51"/>
    <w:rsid w:val="008538F7"/>
    <w:rsid w:val="008630D2"/>
    <w:rsid w:val="0086524F"/>
    <w:rsid w:val="00867BFF"/>
    <w:rsid w:val="00871542"/>
    <w:rsid w:val="00872BF6"/>
    <w:rsid w:val="00874046"/>
    <w:rsid w:val="00881238"/>
    <w:rsid w:val="0088480A"/>
    <w:rsid w:val="0088757A"/>
    <w:rsid w:val="0089431B"/>
    <w:rsid w:val="00894CA8"/>
    <w:rsid w:val="00895668"/>
    <w:rsid w:val="008957DD"/>
    <w:rsid w:val="00897D98"/>
    <w:rsid w:val="008A6DF2"/>
    <w:rsid w:val="008A7807"/>
    <w:rsid w:val="008B1CA9"/>
    <w:rsid w:val="008B4CC9"/>
    <w:rsid w:val="008C0B15"/>
    <w:rsid w:val="008C7C17"/>
    <w:rsid w:val="008D1BB3"/>
    <w:rsid w:val="008D64F1"/>
    <w:rsid w:val="008D75E4"/>
    <w:rsid w:val="008D7C99"/>
    <w:rsid w:val="008E0FCB"/>
    <w:rsid w:val="008E10A4"/>
    <w:rsid w:val="008E1AE5"/>
    <w:rsid w:val="008F0DC0"/>
    <w:rsid w:val="008F54BD"/>
    <w:rsid w:val="008F6DFE"/>
    <w:rsid w:val="0090529F"/>
    <w:rsid w:val="00913FE5"/>
    <w:rsid w:val="009173C9"/>
    <w:rsid w:val="0092178C"/>
    <w:rsid w:val="00923ABB"/>
    <w:rsid w:val="00924F53"/>
    <w:rsid w:val="009305E0"/>
    <w:rsid w:val="00930B88"/>
    <w:rsid w:val="00933BC8"/>
    <w:rsid w:val="00934A66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4637"/>
    <w:rsid w:val="00966A53"/>
    <w:rsid w:val="00967621"/>
    <w:rsid w:val="00967E6A"/>
    <w:rsid w:val="0097259C"/>
    <w:rsid w:val="00980EF8"/>
    <w:rsid w:val="009907B9"/>
    <w:rsid w:val="00990918"/>
    <w:rsid w:val="009A3A83"/>
    <w:rsid w:val="009B4A0F"/>
    <w:rsid w:val="009C11D2"/>
    <w:rsid w:val="009C184B"/>
    <w:rsid w:val="009C6C70"/>
    <w:rsid w:val="009C7B0A"/>
    <w:rsid w:val="009D0B63"/>
    <w:rsid w:val="009D5CB8"/>
    <w:rsid w:val="009D5FAF"/>
    <w:rsid w:val="009E307E"/>
    <w:rsid w:val="009E3233"/>
    <w:rsid w:val="009F1B2E"/>
    <w:rsid w:val="00A07870"/>
    <w:rsid w:val="00A07C54"/>
    <w:rsid w:val="00A07F19"/>
    <w:rsid w:val="00A10000"/>
    <w:rsid w:val="00A1348D"/>
    <w:rsid w:val="00A13C99"/>
    <w:rsid w:val="00A15074"/>
    <w:rsid w:val="00A16648"/>
    <w:rsid w:val="00A232EE"/>
    <w:rsid w:val="00A3408F"/>
    <w:rsid w:val="00A4175F"/>
    <w:rsid w:val="00A44411"/>
    <w:rsid w:val="00A4697E"/>
    <w:rsid w:val="00A469FA"/>
    <w:rsid w:val="00A47A6E"/>
    <w:rsid w:val="00A53662"/>
    <w:rsid w:val="00A55643"/>
    <w:rsid w:val="00A55B01"/>
    <w:rsid w:val="00A56B5B"/>
    <w:rsid w:val="00A603FF"/>
    <w:rsid w:val="00A619B6"/>
    <w:rsid w:val="00A648CA"/>
    <w:rsid w:val="00A657DD"/>
    <w:rsid w:val="00A666A6"/>
    <w:rsid w:val="00A675FD"/>
    <w:rsid w:val="00A7155B"/>
    <w:rsid w:val="00A72437"/>
    <w:rsid w:val="00A8048B"/>
    <w:rsid w:val="00A80611"/>
    <w:rsid w:val="00A87DC0"/>
    <w:rsid w:val="00A91A83"/>
    <w:rsid w:val="00AA0791"/>
    <w:rsid w:val="00AA346E"/>
    <w:rsid w:val="00AA5BF4"/>
    <w:rsid w:val="00AB5340"/>
    <w:rsid w:val="00AC0A89"/>
    <w:rsid w:val="00AC14E3"/>
    <w:rsid w:val="00AC6921"/>
    <w:rsid w:val="00AC7C96"/>
    <w:rsid w:val="00AD3593"/>
    <w:rsid w:val="00AD78DD"/>
    <w:rsid w:val="00AE0812"/>
    <w:rsid w:val="00AE237D"/>
    <w:rsid w:val="00AE502A"/>
    <w:rsid w:val="00AF0010"/>
    <w:rsid w:val="00AF1AA8"/>
    <w:rsid w:val="00AF2C1F"/>
    <w:rsid w:val="00AF7C07"/>
    <w:rsid w:val="00B02A2C"/>
    <w:rsid w:val="00B0564D"/>
    <w:rsid w:val="00B06C64"/>
    <w:rsid w:val="00B07D8E"/>
    <w:rsid w:val="00B11CAC"/>
    <w:rsid w:val="00B15A29"/>
    <w:rsid w:val="00B22C93"/>
    <w:rsid w:val="00B27589"/>
    <w:rsid w:val="00B335D3"/>
    <w:rsid w:val="00B405B7"/>
    <w:rsid w:val="00B42928"/>
    <w:rsid w:val="00B44E03"/>
    <w:rsid w:val="00B468C0"/>
    <w:rsid w:val="00B47055"/>
    <w:rsid w:val="00B50FE9"/>
    <w:rsid w:val="00B52222"/>
    <w:rsid w:val="00B531DA"/>
    <w:rsid w:val="00B54895"/>
    <w:rsid w:val="00B54FE7"/>
    <w:rsid w:val="00B565F4"/>
    <w:rsid w:val="00B56CC0"/>
    <w:rsid w:val="00B647C6"/>
    <w:rsid w:val="00B655F9"/>
    <w:rsid w:val="00B66901"/>
    <w:rsid w:val="00B66F60"/>
    <w:rsid w:val="00B67F11"/>
    <w:rsid w:val="00B71E6D"/>
    <w:rsid w:val="00B72070"/>
    <w:rsid w:val="00B779E1"/>
    <w:rsid w:val="00B80F5A"/>
    <w:rsid w:val="00B81E3A"/>
    <w:rsid w:val="00B85CFB"/>
    <w:rsid w:val="00B914E9"/>
    <w:rsid w:val="00B91EE1"/>
    <w:rsid w:val="00B94602"/>
    <w:rsid w:val="00B96036"/>
    <w:rsid w:val="00BA0090"/>
    <w:rsid w:val="00BA1A67"/>
    <w:rsid w:val="00BA6A80"/>
    <w:rsid w:val="00BB4ABB"/>
    <w:rsid w:val="00BC62BA"/>
    <w:rsid w:val="00BC7769"/>
    <w:rsid w:val="00BD0EC0"/>
    <w:rsid w:val="00BE5B5F"/>
    <w:rsid w:val="00BE7993"/>
    <w:rsid w:val="00C00DB0"/>
    <w:rsid w:val="00C11971"/>
    <w:rsid w:val="00C15245"/>
    <w:rsid w:val="00C16EEE"/>
    <w:rsid w:val="00C179DE"/>
    <w:rsid w:val="00C26F55"/>
    <w:rsid w:val="00C30C63"/>
    <w:rsid w:val="00C30FF3"/>
    <w:rsid w:val="00C34D5C"/>
    <w:rsid w:val="00C36B8B"/>
    <w:rsid w:val="00C40759"/>
    <w:rsid w:val="00C415C1"/>
    <w:rsid w:val="00C462DD"/>
    <w:rsid w:val="00C47DBF"/>
    <w:rsid w:val="00C552FF"/>
    <w:rsid w:val="00C558DA"/>
    <w:rsid w:val="00C55AF3"/>
    <w:rsid w:val="00C6275F"/>
    <w:rsid w:val="00C71368"/>
    <w:rsid w:val="00C771A9"/>
    <w:rsid w:val="00C82943"/>
    <w:rsid w:val="00C84759"/>
    <w:rsid w:val="00C857E3"/>
    <w:rsid w:val="00C93096"/>
    <w:rsid w:val="00CA1D3A"/>
    <w:rsid w:val="00CA2F57"/>
    <w:rsid w:val="00CA5270"/>
    <w:rsid w:val="00CA5CA9"/>
    <w:rsid w:val="00CA6C7F"/>
    <w:rsid w:val="00CB007D"/>
    <w:rsid w:val="00CB60CA"/>
    <w:rsid w:val="00CC07D8"/>
    <w:rsid w:val="00CC0FC7"/>
    <w:rsid w:val="00CC10A6"/>
    <w:rsid w:val="00CC3B1E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4FD2"/>
    <w:rsid w:val="00D1638E"/>
    <w:rsid w:val="00D169AF"/>
    <w:rsid w:val="00D200EF"/>
    <w:rsid w:val="00D25175"/>
    <w:rsid w:val="00D25249"/>
    <w:rsid w:val="00D26854"/>
    <w:rsid w:val="00D32425"/>
    <w:rsid w:val="00D37477"/>
    <w:rsid w:val="00D44172"/>
    <w:rsid w:val="00D47BE3"/>
    <w:rsid w:val="00D63B8C"/>
    <w:rsid w:val="00D70BD5"/>
    <w:rsid w:val="00D739CC"/>
    <w:rsid w:val="00D806F9"/>
    <w:rsid w:val="00D8093D"/>
    <w:rsid w:val="00D8108C"/>
    <w:rsid w:val="00D83208"/>
    <w:rsid w:val="00D842AE"/>
    <w:rsid w:val="00D9211C"/>
    <w:rsid w:val="00D92DE0"/>
    <w:rsid w:val="00D92FEF"/>
    <w:rsid w:val="00D931F9"/>
    <w:rsid w:val="00D93A0F"/>
    <w:rsid w:val="00D94B42"/>
    <w:rsid w:val="00D97736"/>
    <w:rsid w:val="00DA1BCA"/>
    <w:rsid w:val="00DA3663"/>
    <w:rsid w:val="00DA52E9"/>
    <w:rsid w:val="00DB4A56"/>
    <w:rsid w:val="00DC1792"/>
    <w:rsid w:val="00DC274A"/>
    <w:rsid w:val="00DC46FF"/>
    <w:rsid w:val="00DC5254"/>
    <w:rsid w:val="00DC569D"/>
    <w:rsid w:val="00DD1A4F"/>
    <w:rsid w:val="00DD3107"/>
    <w:rsid w:val="00DD7C2C"/>
    <w:rsid w:val="00DE31C5"/>
    <w:rsid w:val="00DE5BDA"/>
    <w:rsid w:val="00DF2FD4"/>
    <w:rsid w:val="00DF433C"/>
    <w:rsid w:val="00DF519F"/>
    <w:rsid w:val="00DF7388"/>
    <w:rsid w:val="00E0035A"/>
    <w:rsid w:val="00E0434C"/>
    <w:rsid w:val="00E06797"/>
    <w:rsid w:val="00E1265B"/>
    <w:rsid w:val="00E12E09"/>
    <w:rsid w:val="00E13B48"/>
    <w:rsid w:val="00E1404F"/>
    <w:rsid w:val="00E20F1C"/>
    <w:rsid w:val="00E21C83"/>
    <w:rsid w:val="00E24ADA"/>
    <w:rsid w:val="00E3002F"/>
    <w:rsid w:val="00E32F59"/>
    <w:rsid w:val="00E36AE8"/>
    <w:rsid w:val="00E41908"/>
    <w:rsid w:val="00E46D9A"/>
    <w:rsid w:val="00E50E7E"/>
    <w:rsid w:val="00E565FF"/>
    <w:rsid w:val="00E62610"/>
    <w:rsid w:val="00E65388"/>
    <w:rsid w:val="00E6587E"/>
    <w:rsid w:val="00E75993"/>
    <w:rsid w:val="00E7741D"/>
    <w:rsid w:val="00E77454"/>
    <w:rsid w:val="00E808CD"/>
    <w:rsid w:val="00E8348F"/>
    <w:rsid w:val="00E85A01"/>
    <w:rsid w:val="00E85B7D"/>
    <w:rsid w:val="00E9121B"/>
    <w:rsid w:val="00E9302E"/>
    <w:rsid w:val="00E976AB"/>
    <w:rsid w:val="00EA0AE2"/>
    <w:rsid w:val="00EA39E5"/>
    <w:rsid w:val="00EA57A3"/>
    <w:rsid w:val="00EA7AD8"/>
    <w:rsid w:val="00EB06A7"/>
    <w:rsid w:val="00EC2813"/>
    <w:rsid w:val="00EC5A46"/>
    <w:rsid w:val="00EC63E2"/>
    <w:rsid w:val="00ED0225"/>
    <w:rsid w:val="00ED366A"/>
    <w:rsid w:val="00ED6BB7"/>
    <w:rsid w:val="00EE19BA"/>
    <w:rsid w:val="00EF22B3"/>
    <w:rsid w:val="00F03B69"/>
    <w:rsid w:val="00F07A50"/>
    <w:rsid w:val="00F113DA"/>
    <w:rsid w:val="00F1705F"/>
    <w:rsid w:val="00F266FC"/>
    <w:rsid w:val="00F3037A"/>
    <w:rsid w:val="00F33173"/>
    <w:rsid w:val="00F3465A"/>
    <w:rsid w:val="00F37DC8"/>
    <w:rsid w:val="00F4141B"/>
    <w:rsid w:val="00F439B3"/>
    <w:rsid w:val="00F45C7F"/>
    <w:rsid w:val="00F650C3"/>
    <w:rsid w:val="00F65D85"/>
    <w:rsid w:val="00F6700B"/>
    <w:rsid w:val="00F70B0D"/>
    <w:rsid w:val="00F71240"/>
    <w:rsid w:val="00F7137B"/>
    <w:rsid w:val="00F7754A"/>
    <w:rsid w:val="00F8091E"/>
    <w:rsid w:val="00F83C41"/>
    <w:rsid w:val="00F84178"/>
    <w:rsid w:val="00F8615C"/>
    <w:rsid w:val="00F969E5"/>
    <w:rsid w:val="00FA4972"/>
    <w:rsid w:val="00FA6BB0"/>
    <w:rsid w:val="00FB1DD1"/>
    <w:rsid w:val="00FB2DBD"/>
    <w:rsid w:val="00FC51B1"/>
    <w:rsid w:val="00FC7E36"/>
    <w:rsid w:val="00FD48DF"/>
    <w:rsid w:val="00FD5860"/>
    <w:rsid w:val="00FE352D"/>
    <w:rsid w:val="00FE40EB"/>
    <w:rsid w:val="00FE4D02"/>
    <w:rsid w:val="00FE685D"/>
    <w:rsid w:val="00FE7D62"/>
    <w:rsid w:val="00FF0DA0"/>
    <w:rsid w:val="00FF3819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4406B4B"/>
  <w15:docId w15:val="{28FCE3E3-95F6-450A-B9F8-18FBBC2A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70B0D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F70B0D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F70B0D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0B0D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F70B0D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F70B0D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F70B0D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F70B0D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F70B0D"/>
    <w:pPr>
      <w:keepNext/>
      <w:widowControl w:val="0"/>
      <w:numPr>
        <w:numId w:val="3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F70B0D"/>
    <w:pPr>
      <w:keepNext/>
      <w:widowControl w:val="0"/>
      <w:numPr>
        <w:numId w:val="4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F70B0D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F70B0D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F70B0D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F70B0D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F70B0D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F70B0D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F70B0D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F70B0D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F70B0D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link w:val="CH2Char"/>
    <w:rsid w:val="00F70B0D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rsid w:val="00F70B0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F70B0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F70B0D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F70B0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F70B0D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F70B0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F70B0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F70B0D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F70B0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F70B0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rsid w:val="00F70B0D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F70B0D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link w:val="FootnoteText"/>
    <w:locked/>
    <w:rsid w:val="00F70B0D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F70B0D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F70B0D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F70B0D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F70B0D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semiHidden/>
    <w:rsid w:val="00F70B0D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F70B0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F70B0D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F70B0D"/>
    <w:pPr>
      <w:numPr>
        <w:numId w:val="5"/>
      </w:numPr>
    </w:pPr>
  </w:style>
  <w:style w:type="paragraph" w:customStyle="1" w:styleId="NormalNonumber">
    <w:name w:val="Normal_No_number"/>
    <w:basedOn w:val="Normalpool"/>
    <w:rsid w:val="00F70B0D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F70B0D"/>
    <w:pPr>
      <w:numPr>
        <w:numId w:val="6"/>
      </w:numPr>
      <w:spacing w:after="120"/>
    </w:pPr>
  </w:style>
  <w:style w:type="paragraph" w:customStyle="1" w:styleId="Titletable">
    <w:name w:val="Title_table"/>
    <w:basedOn w:val="Normalpool"/>
    <w:rsid w:val="00F70B0D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F70B0D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F70B0D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F70B0D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F70B0D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F70B0D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F70B0D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F70B0D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C6275F"/>
    <w:rPr>
      <w:b/>
      <w:sz w:val="28"/>
      <w:szCs w:val="28"/>
      <w:lang w:val="fr-CA" w:eastAsia="en-US"/>
    </w:rPr>
  </w:style>
  <w:style w:type="character" w:customStyle="1" w:styleId="CH2Char">
    <w:name w:val="CH2 Char"/>
    <w:link w:val="CH2"/>
    <w:locked/>
    <w:rsid w:val="00001B69"/>
    <w:rPr>
      <w:b/>
      <w:sz w:val="24"/>
      <w:szCs w:val="24"/>
      <w:lang w:val="fr-CA" w:eastAsia="en-US"/>
    </w:rPr>
  </w:style>
  <w:style w:type="character" w:customStyle="1" w:styleId="NormalnumberChar">
    <w:name w:val="Normal_number Char"/>
    <w:link w:val="Normalnumber"/>
    <w:locked/>
    <w:rsid w:val="00001B69"/>
    <w:rPr>
      <w:lang w:val="fr-CA" w:eastAsia="en-US"/>
    </w:rPr>
  </w:style>
  <w:style w:type="paragraph" w:customStyle="1" w:styleId="Standard">
    <w:name w:val="Standard"/>
    <w:rsid w:val="00C6275F"/>
    <w:pPr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autoSpaceDN w:val="0"/>
      <w:textAlignment w:val="baseline"/>
    </w:pPr>
    <w:rPr>
      <w:kern w:val="3"/>
      <w:lang w:eastAsia="en-US"/>
    </w:rPr>
  </w:style>
  <w:style w:type="numbering" w:customStyle="1" w:styleId="WWNum25">
    <w:name w:val="WWNum25"/>
    <w:basedOn w:val="NoList"/>
    <w:rsid w:val="00C6275F"/>
    <w:pPr>
      <w:numPr>
        <w:numId w:val="1"/>
      </w:numPr>
    </w:pPr>
  </w:style>
  <w:style w:type="character" w:customStyle="1" w:styleId="ZZAnxheaderChar">
    <w:name w:val="ZZ_Anx_header Char"/>
    <w:link w:val="ZZAnxheader"/>
    <w:rsid w:val="008E10A4"/>
    <w:rPr>
      <w:b/>
      <w:bCs/>
      <w:sz w:val="28"/>
      <w:szCs w:val="22"/>
      <w:lang w:val="fr-CA" w:eastAsia="en-US"/>
    </w:rPr>
  </w:style>
  <w:style w:type="character" w:customStyle="1" w:styleId="Normal-poolChar">
    <w:name w:val="Normal-pool Char"/>
    <w:link w:val="Normal-pool"/>
    <w:rsid w:val="008E10A4"/>
    <w:rPr>
      <w:lang w:val="fr-CA" w:eastAsia="en-US"/>
    </w:rPr>
  </w:style>
  <w:style w:type="paragraph" w:styleId="NormalWeb">
    <w:name w:val="Normal (Web)"/>
    <w:basedOn w:val="Normal"/>
    <w:uiPriority w:val="99"/>
    <w:semiHidden/>
    <w:unhideWhenUsed/>
    <w:rsid w:val="005F69F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fr-FR"/>
    </w:rPr>
  </w:style>
  <w:style w:type="character" w:customStyle="1" w:styleId="FooterChar">
    <w:name w:val="Footer Char"/>
    <w:link w:val="Footer"/>
    <w:semiHidden/>
    <w:rsid w:val="00F70B0D"/>
    <w:rPr>
      <w:sz w:val="18"/>
      <w:lang w:val="fr-FR" w:eastAsia="en-US"/>
    </w:rPr>
  </w:style>
  <w:style w:type="character" w:customStyle="1" w:styleId="HeaderChar">
    <w:name w:val="Header Char"/>
    <w:link w:val="Header"/>
    <w:semiHidden/>
    <w:rsid w:val="00F70B0D"/>
    <w:rPr>
      <w:b/>
      <w:sz w:val="18"/>
      <w:lang w:val="fr-FR" w:eastAsia="en-US"/>
    </w:rPr>
  </w:style>
  <w:style w:type="character" w:customStyle="1" w:styleId="Heading1Char">
    <w:name w:val="Heading 1 Char"/>
    <w:link w:val="Heading1"/>
    <w:rsid w:val="00F70B0D"/>
    <w:rPr>
      <w:b/>
      <w:sz w:val="28"/>
      <w:lang w:val="fr-FR" w:eastAsia="en-US"/>
    </w:rPr>
  </w:style>
  <w:style w:type="character" w:customStyle="1" w:styleId="Heading2Char">
    <w:name w:val="Heading 2 Char"/>
    <w:link w:val="Heading2"/>
    <w:rsid w:val="00F70B0D"/>
    <w:rPr>
      <w:b/>
      <w:sz w:val="24"/>
      <w:szCs w:val="24"/>
      <w:lang w:val="fr-FR" w:eastAsia="en-US"/>
    </w:rPr>
  </w:style>
  <w:style w:type="character" w:customStyle="1" w:styleId="Heading3Char">
    <w:name w:val="Heading 3 Char"/>
    <w:link w:val="Heading3"/>
    <w:rsid w:val="00F70B0D"/>
    <w:rPr>
      <w:b/>
      <w:lang w:val="fr-FR" w:eastAsia="en-US"/>
    </w:rPr>
  </w:style>
  <w:style w:type="character" w:customStyle="1" w:styleId="Heading4Char">
    <w:name w:val="Heading 4 Char"/>
    <w:link w:val="Heading4"/>
    <w:rsid w:val="00F70B0D"/>
    <w:rPr>
      <w:b/>
      <w:lang w:val="fr-FR" w:eastAsia="en-US"/>
    </w:rPr>
  </w:style>
  <w:style w:type="character" w:customStyle="1" w:styleId="Heading5Char">
    <w:name w:val="Heading 5 Char"/>
    <w:link w:val="Heading5"/>
    <w:rsid w:val="00F70B0D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link w:val="Heading6"/>
    <w:rsid w:val="00F70B0D"/>
    <w:rPr>
      <w:b/>
      <w:bCs/>
      <w:sz w:val="24"/>
      <w:lang w:val="fr-FR" w:eastAsia="en-US"/>
    </w:rPr>
  </w:style>
  <w:style w:type="character" w:customStyle="1" w:styleId="Heading7Char">
    <w:name w:val="Heading 7 Char"/>
    <w:link w:val="Heading7"/>
    <w:rsid w:val="00F70B0D"/>
    <w:rPr>
      <w:snapToGrid w:val="0"/>
      <w:u w:val="single"/>
      <w:lang w:val="en-US" w:eastAsia="en-US"/>
    </w:rPr>
  </w:style>
  <w:style w:type="character" w:customStyle="1" w:styleId="Heading8Char">
    <w:name w:val="Heading 8 Char"/>
    <w:link w:val="Heading8"/>
    <w:rsid w:val="00F70B0D"/>
    <w:rPr>
      <w:snapToGrid w:val="0"/>
      <w:u w:val="single"/>
      <w:lang w:val="en-US" w:eastAsia="en-US"/>
    </w:rPr>
  </w:style>
  <w:style w:type="character" w:customStyle="1" w:styleId="Heading9Char">
    <w:name w:val="Heading 9 Char"/>
    <w:link w:val="Heading9"/>
    <w:rsid w:val="00F70B0D"/>
    <w:rPr>
      <w:snapToGrid w:val="0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1454BBBC1CDE42AB175907F3F7B4C8" ma:contentTypeVersion="11" ma:contentTypeDescription="Create a new document." ma:contentTypeScope="" ma:versionID="0992cbdc4f5bbcb8e361be6395f03726">
  <xsd:schema xmlns:xsd="http://www.w3.org/2001/XMLSchema" xmlns:xs="http://www.w3.org/2001/XMLSchema" xmlns:p="http://schemas.microsoft.com/office/2006/metadata/properties" xmlns:ns3="d18b2cca-499f-4557-a4e9-65dcf311f482" xmlns:ns4="f500b1e4-de7e-4e77-a903-0925b28ae6a4" targetNamespace="http://schemas.microsoft.com/office/2006/metadata/properties" ma:root="true" ma:fieldsID="d6551fd0daded6097ec55b1000056b70" ns3:_="" ns4:_="">
    <xsd:import namespace="d18b2cca-499f-4557-a4e9-65dcf311f482"/>
    <xsd:import namespace="f500b1e4-de7e-4e77-a903-0925b28ae6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b2cca-499f-4557-a4e9-65dcf311f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0b1e4-de7e-4e77-a903-0925b28ae6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55B12-F4EE-4A92-9E05-FA500F65FE7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18b2cca-499f-4557-a4e9-65dcf311f482"/>
    <ds:schemaRef ds:uri="http://purl.org/dc/terms/"/>
    <ds:schemaRef ds:uri="http://schemas.openxmlformats.org/package/2006/metadata/core-properties"/>
    <ds:schemaRef ds:uri="f500b1e4-de7e-4e77-a903-0925b28ae6a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5B026B-805A-4F8B-B079-664CE5FA0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b2cca-499f-4557-a4e9-65dcf311f482"/>
    <ds:schemaRef ds:uri="f500b1e4-de7e-4e77-a903-0925b28ae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EFBB7A-50B7-4B2E-8DD7-C372B0349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A83514-86BA-48BA-A3B2-702998EC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1149</Words>
  <Characters>6551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UNON-DCS-FLU</cp:lastModifiedBy>
  <cp:revision>2</cp:revision>
  <cp:lastPrinted>2019-09-12T09:18:00Z</cp:lastPrinted>
  <dcterms:created xsi:type="dcterms:W3CDTF">2019-09-12T11:13:00Z</dcterms:created>
  <dcterms:modified xsi:type="dcterms:W3CDTF">2019-09-12T11:13:00Z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0x0101009B1454BBBC1CDE42AB175907F3F7B4C8</vt:lpwstr>
  </property>
  <property fmtid="{D5CDD505-2E9C-101B-9397-08002B2CF9AE}" pid="3" name="TranslatedWith">
    <vt:lpwstr>Mercury</vt:lpwstr>
  </property>
  <property fmtid="{D5CDD505-2E9C-101B-9397-08002B2CF9AE}" pid="4" name="GeneratedBy">
    <vt:lpwstr>veronique.racine espinosa</vt:lpwstr>
  </property>
  <property fmtid="{D5CDD505-2E9C-101B-9397-08002B2CF9AE}" pid="5" name="GeneratedDate">
    <vt:lpwstr>8/30/2019 8:50:19 AM</vt:lpwstr>
  </property>
  <property fmtid="{D5CDD505-2E9C-101B-9397-08002B2CF9AE}" pid="6" name="OriginalDocID">
    <vt:lpwstr>7d783455-ed89-479c-baa5-9517b2d7b714</vt:lpwstr>
  </property>
</Properties>
</file>