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001B69">
        <w:trPr>
          <w:cantSplit/>
          <w:trHeight w:val="57"/>
          <w:jc w:val="right"/>
        </w:trPr>
        <w:tc>
          <w:tcPr>
            <w:tcW w:w="1550" w:type="dxa"/>
          </w:tcPr>
          <w:p w14:paraId="2A9B9F9D" w14:textId="3176BDCD" w:rsidR="00032E4E" w:rsidRPr="00D25175" w:rsidRDefault="00032E4E" w:rsidP="004455F3">
            <w:pPr>
              <w:tabs>
                <w:tab w:val="left" w:pos="624"/>
                <w:tab w:val="left" w:pos="1871"/>
                <w:tab w:val="left" w:pos="2495"/>
              </w:tabs>
              <w:rPr>
                <w:rFonts w:ascii="Univers" w:hAnsi="Univers"/>
                <w:b/>
                <w:noProof/>
                <w:sz w:val="27"/>
                <w:szCs w:val="27"/>
              </w:rPr>
            </w:pPr>
            <w:r w:rsidRPr="00D25175">
              <w:rPr>
                <w:rFonts w:ascii="Arial" w:hAnsi="Arial" w:cs="Arial"/>
                <w:b/>
                <w:noProof/>
                <w:sz w:val="27"/>
                <w:szCs w:val="27"/>
              </w:rPr>
              <w:t>UNITED</w:t>
            </w:r>
            <w:r w:rsidRPr="00D25175">
              <w:rPr>
                <w:rFonts w:ascii="Arial" w:hAnsi="Arial" w:cs="Arial"/>
                <w:b/>
                <w:noProof/>
                <w:sz w:val="27"/>
                <w:szCs w:val="27"/>
              </w:rPr>
              <w:br/>
              <w:t>NATIONS</w:t>
            </w:r>
          </w:p>
        </w:tc>
        <w:tc>
          <w:tcPr>
            <w:tcW w:w="4751" w:type="dxa"/>
          </w:tcPr>
          <w:p w14:paraId="2F47229A" w14:textId="77777777" w:rsidR="00032E4E" w:rsidRPr="00D25175" w:rsidRDefault="00032E4E" w:rsidP="004455F3">
            <w:pPr>
              <w:tabs>
                <w:tab w:val="left" w:pos="624"/>
                <w:tab w:val="left" w:pos="1871"/>
                <w:tab w:val="left" w:pos="2495"/>
              </w:tabs>
              <w:rPr>
                <w:rFonts w:ascii="Univers" w:hAnsi="Univers"/>
                <w:b/>
                <w:sz w:val="27"/>
                <w:szCs w:val="27"/>
              </w:rPr>
            </w:pPr>
          </w:p>
        </w:tc>
        <w:tc>
          <w:tcPr>
            <w:tcW w:w="3411" w:type="dxa"/>
          </w:tcPr>
          <w:p w14:paraId="57073C3F" w14:textId="77777777" w:rsidR="00032E4E" w:rsidRPr="00D25175" w:rsidRDefault="00787688" w:rsidP="004455F3">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001B69">
        <w:trPr>
          <w:cantSplit/>
          <w:trHeight w:val="57"/>
          <w:jc w:val="right"/>
        </w:trPr>
        <w:tc>
          <w:tcPr>
            <w:tcW w:w="1550" w:type="dxa"/>
            <w:tcBorders>
              <w:bottom w:val="single" w:sz="4" w:space="0" w:color="auto"/>
            </w:tcBorders>
          </w:tcPr>
          <w:p w14:paraId="30269B88" w14:textId="77777777" w:rsidR="00032E4E" w:rsidRPr="00D25175" w:rsidRDefault="00032E4E" w:rsidP="004455F3">
            <w:pPr>
              <w:tabs>
                <w:tab w:val="left" w:pos="624"/>
                <w:tab w:val="left" w:pos="1871"/>
                <w:tab w:val="left" w:pos="2495"/>
              </w:tabs>
              <w:rPr>
                <w:noProof/>
                <w:sz w:val="18"/>
                <w:szCs w:val="18"/>
              </w:rPr>
            </w:pPr>
          </w:p>
        </w:tc>
        <w:tc>
          <w:tcPr>
            <w:tcW w:w="4751" w:type="dxa"/>
            <w:tcBorders>
              <w:bottom w:val="single" w:sz="4" w:space="0" w:color="auto"/>
            </w:tcBorders>
          </w:tcPr>
          <w:p w14:paraId="54296B4D" w14:textId="77777777" w:rsidR="00032E4E" w:rsidRPr="00D25175" w:rsidRDefault="00032E4E" w:rsidP="004455F3">
            <w:pPr>
              <w:tabs>
                <w:tab w:val="left" w:pos="624"/>
                <w:tab w:val="left" w:pos="1871"/>
                <w:tab w:val="left" w:pos="2495"/>
              </w:tabs>
              <w:rPr>
                <w:rFonts w:ascii="Univers" w:hAnsi="Univers"/>
                <w:b/>
                <w:sz w:val="18"/>
                <w:szCs w:val="18"/>
              </w:rPr>
            </w:pPr>
          </w:p>
        </w:tc>
        <w:tc>
          <w:tcPr>
            <w:tcW w:w="3411" w:type="dxa"/>
            <w:tcBorders>
              <w:bottom w:val="single" w:sz="4" w:space="0" w:color="auto"/>
            </w:tcBorders>
          </w:tcPr>
          <w:p w14:paraId="540639F8" w14:textId="6DA724F7" w:rsidR="00032E4E" w:rsidRPr="00D25175" w:rsidRDefault="00032E4E" w:rsidP="004455F3">
            <w:pPr>
              <w:tabs>
                <w:tab w:val="left" w:pos="624"/>
                <w:tab w:val="left" w:pos="1871"/>
                <w:tab w:val="left" w:pos="2495"/>
              </w:tabs>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FE685D">
              <w:t>3</w:t>
            </w:r>
            <w:r w:rsidRPr="00D25175">
              <w:t>/</w:t>
            </w:r>
            <w:r w:rsidR="008F0DC0">
              <w:t>17</w:t>
            </w:r>
          </w:p>
        </w:tc>
      </w:tr>
      <w:bookmarkStart w:id="2" w:name="_MON_1021710510"/>
      <w:bookmarkEnd w:id="2"/>
      <w:bookmarkStart w:id="3" w:name="_MON_1021710482"/>
      <w:bookmarkEnd w:id="3"/>
      <w:tr w:rsidR="00032E4E" w:rsidRPr="00D25175" w14:paraId="34AA74B4" w14:textId="77777777" w:rsidTr="00001B69">
        <w:trPr>
          <w:cantSplit/>
          <w:trHeight w:val="57"/>
          <w:jc w:val="right"/>
        </w:trPr>
        <w:tc>
          <w:tcPr>
            <w:tcW w:w="1550" w:type="dxa"/>
            <w:tcBorders>
              <w:top w:val="single" w:sz="4" w:space="0" w:color="auto"/>
              <w:bottom w:val="single" w:sz="24" w:space="0" w:color="auto"/>
            </w:tcBorders>
          </w:tcPr>
          <w:p w14:paraId="02CDC318" w14:textId="77777777" w:rsidR="00032E4E" w:rsidRPr="00D25175" w:rsidRDefault="008E1AE5" w:rsidP="004455F3">
            <w:pPr>
              <w:tabs>
                <w:tab w:val="left" w:pos="624"/>
                <w:tab w:val="left" w:pos="1871"/>
                <w:tab w:val="left" w:pos="2495"/>
              </w:tabs>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15pt;height:60.35pt;mso-width-percent:0;mso-height-percent:0;mso-width-percent:0;mso-height-percent:0" o:ole="" fillcolor="window">
                  <v:imagedata r:id="rId11" o:title=""/>
                </v:shape>
                <o:OLEObject Type="Embed" ProgID="Word.Picture.8" ShapeID="_x0000_i1025" DrawAspect="Content" ObjectID="_1629202636" r:id="rId12"/>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4455F3">
            <w:pPr>
              <w:tabs>
                <w:tab w:val="left" w:pos="624"/>
                <w:tab w:val="left" w:pos="1871"/>
                <w:tab w:val="left" w:pos="2495"/>
              </w:tabs>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216EA3F5" w:rsidR="00032E4E" w:rsidRPr="00D25175" w:rsidRDefault="00032E4E" w:rsidP="0086524F">
            <w:pPr>
              <w:tabs>
                <w:tab w:val="left" w:pos="624"/>
                <w:tab w:val="left" w:pos="1871"/>
                <w:tab w:val="left" w:pos="2495"/>
              </w:tabs>
              <w:spacing w:before="120"/>
            </w:pPr>
            <w:r w:rsidRPr="00D25175">
              <w:t>Distr.: General</w:t>
            </w:r>
            <w:r w:rsidR="005B2DF4">
              <w:t xml:space="preserve"> </w:t>
            </w:r>
            <w:r w:rsidRPr="00D25175">
              <w:br w:type="textWrapping" w:clear="all"/>
            </w:r>
            <w:r w:rsidR="00622EAD">
              <w:t xml:space="preserve">25 </w:t>
            </w:r>
            <w:r w:rsidR="00001B69">
              <w:t>July</w:t>
            </w:r>
            <w:r w:rsidR="0086524F">
              <w:t xml:space="preserve"> </w:t>
            </w:r>
            <w:r w:rsidR="0042266F" w:rsidRPr="00D25175">
              <w:t>201</w:t>
            </w:r>
            <w:r w:rsidR="0086524F">
              <w:t>9</w:t>
            </w:r>
          </w:p>
          <w:p w14:paraId="1A75CF9D" w14:textId="77777777" w:rsidR="00032E4E" w:rsidRPr="00D25175" w:rsidRDefault="00032E4E" w:rsidP="004455F3">
            <w:pPr>
              <w:tabs>
                <w:tab w:val="left" w:pos="624"/>
                <w:tab w:val="left" w:pos="1871"/>
                <w:tab w:val="left" w:pos="2495"/>
              </w:tabs>
              <w:spacing w:before="240"/>
            </w:pPr>
            <w:r w:rsidRPr="00D25175">
              <w:t>Original: English</w:t>
            </w:r>
          </w:p>
        </w:tc>
      </w:tr>
    </w:tbl>
    <w:p w14:paraId="0A4BFFDA" w14:textId="30575E0E" w:rsidR="00E976AB" w:rsidRPr="00D25175" w:rsidRDefault="00CB007D" w:rsidP="004455F3">
      <w:pPr>
        <w:pStyle w:val="AATitle"/>
        <w:keepNext w:val="0"/>
        <w:keepLines w:val="0"/>
        <w:tabs>
          <w:tab w:val="left" w:pos="624"/>
          <w:tab w:val="left" w:pos="1871"/>
          <w:tab w:val="left" w:pos="2495"/>
        </w:tabs>
      </w:pPr>
      <w:r w:rsidRPr="00D25175">
        <w:t>Conference of the Parties</w:t>
      </w:r>
      <w:r>
        <w:t xml:space="preserve"> to the</w:t>
      </w:r>
      <w:r w:rsidR="005B2DF4">
        <w:t xml:space="preserve"> </w:t>
      </w:r>
      <w:r w:rsidR="005B2DF4">
        <w:br/>
      </w:r>
      <w:r w:rsidR="00787688" w:rsidRPr="00D25175">
        <w:t>Minamata Convention on Mercury</w:t>
      </w:r>
    </w:p>
    <w:p w14:paraId="26A6CAA0" w14:textId="592F7D2F" w:rsidR="00E976AB" w:rsidRPr="00D25175" w:rsidRDefault="00EB06A7" w:rsidP="004455F3">
      <w:pPr>
        <w:pStyle w:val="AATitle"/>
        <w:keepNext w:val="0"/>
        <w:keepLines w:val="0"/>
        <w:tabs>
          <w:tab w:val="left" w:pos="624"/>
          <w:tab w:val="left" w:pos="1871"/>
          <w:tab w:val="left" w:pos="2495"/>
        </w:tabs>
      </w:pPr>
      <w:r>
        <w:t xml:space="preserve">Third </w:t>
      </w:r>
      <w:r w:rsidR="00787688" w:rsidRPr="00D25175">
        <w:t>meeting</w:t>
      </w:r>
    </w:p>
    <w:p w14:paraId="67B82F12" w14:textId="27872DD7" w:rsidR="00787688" w:rsidRPr="00D25175" w:rsidRDefault="00787688" w:rsidP="004455F3">
      <w:pPr>
        <w:pStyle w:val="AATitle"/>
        <w:tabs>
          <w:tab w:val="left" w:pos="624"/>
          <w:tab w:val="left" w:pos="1871"/>
          <w:tab w:val="left" w:pos="2495"/>
        </w:tabs>
      </w:pPr>
      <w:r w:rsidRPr="00D25175">
        <w:rPr>
          <w:b w:val="0"/>
        </w:rPr>
        <w:t>Geneva</w:t>
      </w:r>
      <w:r w:rsidR="00E976AB" w:rsidRPr="00D25175">
        <w:rPr>
          <w:b w:val="0"/>
        </w:rPr>
        <w:t xml:space="preserve">, </w:t>
      </w:r>
      <w:r w:rsidR="00EB06A7">
        <w:rPr>
          <w:b w:val="0"/>
        </w:rPr>
        <w:t>25</w:t>
      </w:r>
      <w:r w:rsidR="00325D38" w:rsidRPr="00D25175">
        <w:rPr>
          <w:b w:val="0"/>
        </w:rPr>
        <w:t>–2</w:t>
      </w:r>
      <w:r w:rsidR="00EB06A7">
        <w:rPr>
          <w:b w:val="0"/>
        </w:rPr>
        <w:t>9</w:t>
      </w:r>
      <w:r w:rsidR="00325D38" w:rsidRPr="00D25175">
        <w:rPr>
          <w:b w:val="0"/>
        </w:rPr>
        <w:t xml:space="preserve"> </w:t>
      </w:r>
      <w:r w:rsidR="00434321">
        <w:rPr>
          <w:b w:val="0"/>
        </w:rPr>
        <w:t>November 201</w:t>
      </w:r>
      <w:r w:rsidR="00EB06A7">
        <w:rPr>
          <w:b w:val="0"/>
        </w:rPr>
        <w:t>9</w:t>
      </w:r>
    </w:p>
    <w:p w14:paraId="271F2664" w14:textId="1CD91FCA" w:rsidR="00C6275F" w:rsidRDefault="00C6275F" w:rsidP="00FC51B1">
      <w:pPr>
        <w:pStyle w:val="AATitle"/>
      </w:pPr>
      <w:bookmarkStart w:id="4" w:name="_Hlk517786179"/>
      <w:r>
        <w:rPr>
          <w:b w:val="0"/>
        </w:rPr>
        <w:t>Item 5</w:t>
      </w:r>
      <w:r w:rsidR="00174FA1">
        <w:rPr>
          <w:b w:val="0"/>
        </w:rPr>
        <w:t xml:space="preserve"> </w:t>
      </w:r>
      <w:r>
        <w:rPr>
          <w:b w:val="0"/>
        </w:rPr>
        <w:t>(</w:t>
      </w:r>
      <w:r w:rsidR="008F0DC0">
        <w:rPr>
          <w:b w:val="0"/>
        </w:rPr>
        <w:t>k</w:t>
      </w:r>
      <w:r>
        <w:rPr>
          <w:b w:val="0"/>
        </w:rPr>
        <w:t>) of the provisional</w:t>
      </w:r>
      <w:bookmarkStart w:id="5" w:name="_GoBack"/>
      <w:bookmarkEnd w:id="5"/>
      <w:r>
        <w:rPr>
          <w:b w:val="0"/>
        </w:rPr>
        <w:t xml:space="preserve"> agenda</w:t>
      </w:r>
      <w:r w:rsidRPr="00FC51B1">
        <w:rPr>
          <w:rStyle w:val="FootnoteReference"/>
          <w:vertAlign w:val="baseline"/>
        </w:rPr>
        <w:footnoteReference w:customMarkFollows="1" w:id="1"/>
        <w:t>*</w:t>
      </w:r>
    </w:p>
    <w:p w14:paraId="7110836C" w14:textId="598CD6B8" w:rsidR="00C6275F" w:rsidRPr="00D25175" w:rsidRDefault="00C6275F" w:rsidP="00FC51B1">
      <w:pPr>
        <w:pStyle w:val="AATitle2"/>
        <w:spacing w:before="60"/>
      </w:pPr>
      <w:bookmarkStart w:id="6" w:name="_Hlk14867412"/>
      <w:r>
        <w:t xml:space="preserve">Matters for consideration or action by the </w:t>
      </w:r>
      <w:r w:rsidR="008D1BB3">
        <w:br/>
      </w:r>
      <w:r>
        <w:t xml:space="preserve">Conference of the Parties: </w:t>
      </w:r>
      <w:r w:rsidR="00C15245">
        <w:t>e</w:t>
      </w:r>
      <w:r w:rsidR="008F0DC0" w:rsidRPr="008F0DC0">
        <w:t xml:space="preserve">missions of mercury </w:t>
      </w:r>
      <w:r w:rsidR="008D1BB3">
        <w:br/>
      </w:r>
      <w:r w:rsidR="008F0DC0" w:rsidRPr="008F0DC0">
        <w:t>resulting from the open burning of waste</w:t>
      </w:r>
    </w:p>
    <w:bookmarkEnd w:id="6"/>
    <w:p w14:paraId="218EAFCF" w14:textId="0E341203" w:rsidR="00C6275F" w:rsidRDefault="008F0DC0" w:rsidP="00B56CC0">
      <w:pPr>
        <w:pStyle w:val="BBTitle"/>
      </w:pPr>
      <w:r w:rsidRPr="008F0DC0">
        <w:t xml:space="preserve">Information </w:t>
      </w:r>
      <w:bookmarkStart w:id="7" w:name="_Hlk14867454"/>
      <w:r w:rsidRPr="008F0DC0">
        <w:t xml:space="preserve">in relation to </w:t>
      </w:r>
      <w:r w:rsidR="00103013" w:rsidRPr="008F0DC0">
        <w:t xml:space="preserve">emissions </w:t>
      </w:r>
      <w:r w:rsidR="00103013">
        <w:t xml:space="preserve">of </w:t>
      </w:r>
      <w:r w:rsidRPr="008F0DC0">
        <w:t xml:space="preserve">mercury resulting from the open burning of waste </w:t>
      </w:r>
      <w:bookmarkEnd w:id="7"/>
    </w:p>
    <w:p w14:paraId="79FB6F7D" w14:textId="77777777" w:rsidR="00C6275F" w:rsidRPr="004C2AB4" w:rsidRDefault="00C6275F" w:rsidP="00001B69">
      <w:pPr>
        <w:pStyle w:val="CH2"/>
      </w:pPr>
      <w:r>
        <w:tab/>
      </w:r>
      <w:r>
        <w:tab/>
      </w:r>
      <w:r w:rsidRPr="00035ED3">
        <w:t>Note by the secretariat</w:t>
      </w:r>
    </w:p>
    <w:p w14:paraId="4DBF926C" w14:textId="468A7F6B" w:rsidR="008B1CA9" w:rsidRPr="00E42746" w:rsidRDefault="008B1CA9" w:rsidP="00001B69">
      <w:pPr>
        <w:pStyle w:val="Normalnumber"/>
        <w:numPr>
          <w:ilvl w:val="0"/>
          <w:numId w:val="38"/>
        </w:numPr>
        <w:tabs>
          <w:tab w:val="left" w:pos="624"/>
        </w:tabs>
      </w:pPr>
      <w:r w:rsidRPr="00E42746">
        <w:t>At its first meeting</w:t>
      </w:r>
      <w:r>
        <w:t>,</w:t>
      </w:r>
      <w:r w:rsidRPr="00E42746">
        <w:t xml:space="preserve"> held in Geneva from 24 to 29 September 2017, the Conference of the Parties </w:t>
      </w:r>
      <w:r w:rsidR="00C857E3">
        <w:t xml:space="preserve">to the Minamata Convention on Mercury </w:t>
      </w:r>
      <w:r>
        <w:t xml:space="preserve">adopted decision MC-1/14 on </w:t>
      </w:r>
      <w:r w:rsidR="00201A7B">
        <w:t>mercury emissions re</w:t>
      </w:r>
      <w:r w:rsidR="00301E50">
        <w:t xml:space="preserve">lated to </w:t>
      </w:r>
      <w:r w:rsidR="00201A7B">
        <w:t>the open burning of waste</w:t>
      </w:r>
      <w:r w:rsidRPr="00E42746">
        <w:t>. In</w:t>
      </w:r>
      <w:r>
        <w:t xml:space="preserve"> th</w:t>
      </w:r>
      <w:r w:rsidR="00276411">
        <w:t>at</w:t>
      </w:r>
      <w:r>
        <w:t xml:space="preserve"> decision,</w:t>
      </w:r>
      <w:r w:rsidRPr="00E42746">
        <w:t xml:space="preserve"> </w:t>
      </w:r>
      <w:r w:rsidR="00301E50">
        <w:t xml:space="preserve">the Conference </w:t>
      </w:r>
      <w:r w:rsidR="001326EF">
        <w:t xml:space="preserve">of the Parties </w:t>
      </w:r>
      <w:r w:rsidR="00201A7B">
        <w:t>r</w:t>
      </w:r>
      <w:r w:rsidRPr="00E42746">
        <w:t>ecogniz</w:t>
      </w:r>
      <w:r w:rsidR="00301E50">
        <w:t>e</w:t>
      </w:r>
      <w:r w:rsidR="004E12DD">
        <w:t>d</w:t>
      </w:r>
      <w:r w:rsidRPr="00E42746">
        <w:t xml:space="preserve"> that open burning </w:t>
      </w:r>
      <w:r w:rsidR="00201A7B">
        <w:t xml:space="preserve">of waste </w:t>
      </w:r>
      <w:r w:rsidR="00C857E3">
        <w:t>could</w:t>
      </w:r>
      <w:r w:rsidRPr="00E42746">
        <w:t xml:space="preserve"> be a significant source of mercury emissions that ha</w:t>
      </w:r>
      <w:r w:rsidR="00C857E3">
        <w:t>d</w:t>
      </w:r>
      <w:r w:rsidRPr="00E42746">
        <w:t xml:space="preserve"> not been quantified</w:t>
      </w:r>
      <w:r w:rsidR="001326EF">
        <w:t>,</w:t>
      </w:r>
      <w:r w:rsidRPr="00E42746">
        <w:t xml:space="preserve"> and that the guidance on best available techniques and best environment</w:t>
      </w:r>
      <w:r>
        <w:t>al</w:t>
      </w:r>
      <w:r w:rsidRPr="00E42746">
        <w:t xml:space="preserve"> practices</w:t>
      </w:r>
      <w:r w:rsidRPr="0048785B">
        <w:rPr>
          <w:vertAlign w:val="superscript"/>
        </w:rPr>
        <w:footnoteReference w:id="2"/>
      </w:r>
      <w:r w:rsidRPr="00E42746">
        <w:t xml:space="preserve"> </w:t>
      </w:r>
      <w:r w:rsidR="00276411">
        <w:t>held</w:t>
      </w:r>
      <w:r w:rsidRPr="00E42746">
        <w:t xml:space="preserve"> that open burning of waste </w:t>
      </w:r>
      <w:r w:rsidR="00C857E3">
        <w:t>wa</w:t>
      </w:r>
      <w:r w:rsidRPr="00E42746">
        <w:t>s considered bad environmental practice and should be discouraged</w:t>
      </w:r>
      <w:r w:rsidR="00201A7B">
        <w:t xml:space="preserve">. </w:t>
      </w:r>
      <w:r w:rsidR="004E12DD">
        <w:t xml:space="preserve">The Conference also </w:t>
      </w:r>
      <w:r w:rsidRPr="00E42746">
        <w:t>invited parties and other interested entities and organizations to submit to the secretariat information on mercury emissions from open burning of waste</w:t>
      </w:r>
      <w:r w:rsidR="00201A7B">
        <w:t xml:space="preserve"> and </w:t>
      </w:r>
      <w:r w:rsidRPr="00E42746">
        <w:t>requested the secretariat to continue to compile information</w:t>
      </w:r>
      <w:r w:rsidR="00C857E3">
        <w:t>,</w:t>
      </w:r>
      <w:r w:rsidRPr="00E42746">
        <w:t xml:space="preserve"> particularly from developing countries and countries with economies in transition, including information from inventories and Minamata initial assessments, emission factors and </w:t>
      </w:r>
      <w:r w:rsidR="00B335D3">
        <w:t>actual</w:t>
      </w:r>
      <w:r w:rsidR="00B335D3" w:rsidRPr="00E42746">
        <w:t xml:space="preserve"> </w:t>
      </w:r>
      <w:r w:rsidRPr="00E42746">
        <w:t xml:space="preserve">measurements of emissions </w:t>
      </w:r>
      <w:r w:rsidR="004E12DD">
        <w:t xml:space="preserve">submitted by parties, </w:t>
      </w:r>
      <w:r w:rsidRPr="00E42746">
        <w:t xml:space="preserve">and any relevant information developed by the </w:t>
      </w:r>
      <w:r>
        <w:t>c</w:t>
      </w:r>
      <w:r w:rsidRPr="00E42746">
        <w:t xml:space="preserve">onferences of the </w:t>
      </w:r>
      <w:r>
        <w:t>p</w:t>
      </w:r>
      <w:r w:rsidRPr="00E42746">
        <w:t>arties to the Basel Convention on the Control of Transboundary Movements of Hazardous Wastes and Their Disposal and the Stockholm Convention on Persistent Organic Pollutants</w:t>
      </w:r>
      <w:r w:rsidR="004E12DD">
        <w:t>, and to submit that information to the Conference of the Parties</w:t>
      </w:r>
      <w:r w:rsidR="00E36AE8">
        <w:t xml:space="preserve"> </w:t>
      </w:r>
      <w:r w:rsidR="00B335D3">
        <w:t xml:space="preserve">at its second meeting </w:t>
      </w:r>
      <w:r w:rsidR="00E36AE8">
        <w:t>for its consideration of the need for further action</w:t>
      </w:r>
      <w:r w:rsidRPr="00E42746">
        <w:t>.</w:t>
      </w:r>
    </w:p>
    <w:p w14:paraId="1DB9CE64" w14:textId="2C75F4D3" w:rsidR="00201A7B" w:rsidRDefault="00201A7B" w:rsidP="00001B69">
      <w:pPr>
        <w:pStyle w:val="Normalnumber"/>
        <w:numPr>
          <w:ilvl w:val="0"/>
          <w:numId w:val="38"/>
        </w:numPr>
        <w:tabs>
          <w:tab w:val="left" w:pos="624"/>
        </w:tabs>
      </w:pPr>
      <w:r>
        <w:t xml:space="preserve">The secretariat submitted the compiled information to the Conference </w:t>
      </w:r>
      <w:r w:rsidR="001326EF">
        <w:t xml:space="preserve">of the Parties </w:t>
      </w:r>
      <w:r>
        <w:t>at its second meeting</w:t>
      </w:r>
      <w:r w:rsidR="00E36AE8">
        <w:t>,</w:t>
      </w:r>
      <w:r>
        <w:t xml:space="preserve"> held in Geneva from 19 to 23 November 2018. The Conference, noting the compiled information, </w:t>
      </w:r>
      <w:r w:rsidRPr="00201A7B">
        <w:t xml:space="preserve">agreed that support for developing countries on </w:t>
      </w:r>
      <w:r>
        <w:t>this</w:t>
      </w:r>
      <w:r w:rsidRPr="00201A7B">
        <w:t xml:space="preserve"> important issue was crucial and requested the secretariat to continue to collect and make available relevant information. The Conference also requested the secretariat to continue to engage on the issue with the secretariat of the Basel, Rotterdam and Stockholm conventions and to update the Conference </w:t>
      </w:r>
      <w:r w:rsidR="00B05FFE">
        <w:t xml:space="preserve">of the Parties </w:t>
      </w:r>
      <w:r w:rsidRPr="00201A7B">
        <w:t>at its third meeting.</w:t>
      </w:r>
    </w:p>
    <w:p w14:paraId="35F8F464" w14:textId="5D196D49" w:rsidR="00201A7B" w:rsidRDefault="00AD78DD" w:rsidP="00001B69">
      <w:pPr>
        <w:pStyle w:val="Normalnumber"/>
        <w:numPr>
          <w:ilvl w:val="0"/>
          <w:numId w:val="38"/>
        </w:numPr>
        <w:tabs>
          <w:tab w:val="left" w:pos="624"/>
        </w:tabs>
      </w:pPr>
      <w:r>
        <w:t xml:space="preserve">An invitation </w:t>
      </w:r>
      <w:r w:rsidR="00474EFD">
        <w:t xml:space="preserve">was made </w:t>
      </w:r>
      <w:r>
        <w:t>to parties and other stakeholders to submit</w:t>
      </w:r>
      <w:r w:rsidR="008B1CA9" w:rsidRPr="00E42746">
        <w:t xml:space="preserve"> information on mercury emissions</w:t>
      </w:r>
      <w:r>
        <w:t xml:space="preserve"> resulting</w:t>
      </w:r>
      <w:r w:rsidR="008B1CA9" w:rsidRPr="00E42746">
        <w:t xml:space="preserve"> from </w:t>
      </w:r>
      <w:r w:rsidR="008B1CA9">
        <w:t xml:space="preserve">the </w:t>
      </w:r>
      <w:r w:rsidR="008B1CA9" w:rsidRPr="00E42746">
        <w:t>open burning of waste</w:t>
      </w:r>
      <w:r>
        <w:t xml:space="preserve"> in </w:t>
      </w:r>
      <w:r w:rsidR="00474EFD">
        <w:t>a</w:t>
      </w:r>
      <w:r>
        <w:t xml:space="preserve"> letter sent by the Executive Secretary on 3</w:t>
      </w:r>
      <w:r w:rsidR="00001B69">
        <w:t> </w:t>
      </w:r>
      <w:r>
        <w:t xml:space="preserve">December 2018 </w:t>
      </w:r>
      <w:r w:rsidR="00AC6921">
        <w:t xml:space="preserve">regarding </w:t>
      </w:r>
      <w:r>
        <w:t>action required to follow up on the second meeting of the Conference.</w:t>
      </w:r>
      <w:r w:rsidR="00001B69">
        <w:t xml:space="preserve"> </w:t>
      </w:r>
      <w:r>
        <w:lastRenderedPageBreak/>
        <w:t>A</w:t>
      </w:r>
      <w:r w:rsidR="00953924">
        <w:t> </w:t>
      </w:r>
      <w:r w:rsidR="008B1CA9" w:rsidRPr="00E42746">
        <w:t>submission</w:t>
      </w:r>
      <w:r w:rsidR="00201A7B">
        <w:t xml:space="preserve"> wa</w:t>
      </w:r>
      <w:r w:rsidR="008B1CA9" w:rsidRPr="00E42746">
        <w:t xml:space="preserve">s </w:t>
      </w:r>
      <w:r w:rsidR="00201A7B">
        <w:t>received from Nigeria</w:t>
      </w:r>
      <w:r w:rsidR="008E10A4">
        <w:t>, describing gene</w:t>
      </w:r>
      <w:r w:rsidR="001F12C3">
        <w:t>r</w:t>
      </w:r>
      <w:r w:rsidR="008E10A4">
        <w:t>al waste management practice and estimated mercury emission</w:t>
      </w:r>
      <w:r w:rsidR="00AC6921">
        <w:t>s</w:t>
      </w:r>
      <w:r w:rsidR="008E10A4">
        <w:t xml:space="preserve"> from </w:t>
      </w:r>
      <w:r w:rsidR="00AC6921">
        <w:t xml:space="preserve">the </w:t>
      </w:r>
      <w:r w:rsidR="008E10A4">
        <w:t>open burning of waste</w:t>
      </w:r>
      <w:r w:rsidR="00201A7B">
        <w:t>.</w:t>
      </w:r>
      <w:r w:rsidR="008E10A4">
        <w:t xml:space="preserve"> Th</w:t>
      </w:r>
      <w:r w:rsidR="00E85A01">
        <w:t>e</w:t>
      </w:r>
      <w:r w:rsidR="008E10A4">
        <w:t xml:space="preserve"> submission is </w:t>
      </w:r>
      <w:r w:rsidR="009C184B">
        <w:t xml:space="preserve">set out </w:t>
      </w:r>
      <w:r w:rsidR="006A7A42" w:rsidRPr="006A7A42">
        <w:t xml:space="preserve">in </w:t>
      </w:r>
      <w:r w:rsidR="009C184B">
        <w:t xml:space="preserve">the annex to </w:t>
      </w:r>
      <w:r w:rsidR="006A7A42" w:rsidRPr="006A7A42">
        <w:t>document UNEP/MC/COP.3/INF/1</w:t>
      </w:r>
      <w:r w:rsidR="00AA0791">
        <w:t>6</w:t>
      </w:r>
      <w:r w:rsidR="006A7A42" w:rsidRPr="006A7A42">
        <w:t xml:space="preserve"> and is also available on the website of the </w:t>
      </w:r>
      <w:proofErr w:type="spellStart"/>
      <w:r w:rsidR="006A7A42" w:rsidRPr="006A7A42">
        <w:t>Minamata</w:t>
      </w:r>
      <w:proofErr w:type="spellEnd"/>
      <w:r w:rsidR="006A7A42" w:rsidRPr="006A7A42">
        <w:t xml:space="preserve"> Convention at: www.mercuryconvention.org/Meetings/Intersessionalwork/tabid/7857/language/</w:t>
      </w:r>
      <w:r w:rsidR="00001B69">
        <w:br/>
      </w:r>
      <w:proofErr w:type="spellStart"/>
      <w:r w:rsidR="006A7A42" w:rsidRPr="006A7A42">
        <w:t>en</w:t>
      </w:r>
      <w:proofErr w:type="spellEnd"/>
      <w:r w:rsidR="006A7A42" w:rsidRPr="006A7A42">
        <w:t>-US/Default.aspx</w:t>
      </w:r>
      <w:r w:rsidR="008E10A4">
        <w:t>.</w:t>
      </w:r>
    </w:p>
    <w:p w14:paraId="63BE4466" w14:textId="6AFA6D7D" w:rsidR="00173CA4" w:rsidRDefault="00173CA4" w:rsidP="00001B69">
      <w:pPr>
        <w:pStyle w:val="Normalnumber"/>
        <w:numPr>
          <w:ilvl w:val="0"/>
          <w:numId w:val="38"/>
        </w:numPr>
        <w:tabs>
          <w:tab w:val="left" w:pos="624"/>
        </w:tabs>
      </w:pPr>
      <w:r>
        <w:t xml:space="preserve">The secretariat, </w:t>
      </w:r>
      <w:r w:rsidRPr="009E3233">
        <w:t>the International Environmental Technology Centre of the United Nations Environment Programme</w:t>
      </w:r>
      <w:r>
        <w:t xml:space="preserve"> and the </w:t>
      </w:r>
      <w:r w:rsidRPr="009E3233">
        <w:t>Japanese Ministry of the Environment</w:t>
      </w:r>
      <w:r>
        <w:t xml:space="preserve"> organized a workshop on synergies in mercury waste management in Osaka, Japan, </w:t>
      </w:r>
      <w:r w:rsidRPr="00474EFD">
        <w:t>on 30</w:t>
      </w:r>
      <w:r w:rsidR="00474EFD" w:rsidRPr="008D1BB3">
        <w:t xml:space="preserve"> and</w:t>
      </w:r>
      <w:r w:rsidR="00474EFD">
        <w:t xml:space="preserve"> </w:t>
      </w:r>
      <w:r w:rsidRPr="00474EFD">
        <w:t>31</w:t>
      </w:r>
      <w:r w:rsidR="00474EFD">
        <w:t xml:space="preserve"> </w:t>
      </w:r>
      <w:r>
        <w:t xml:space="preserve">May 2019. The workshop </w:t>
      </w:r>
      <w:r w:rsidR="0050082E">
        <w:t xml:space="preserve">covered </w:t>
      </w:r>
      <w:r w:rsidRPr="00173CA4">
        <w:t>different types of open</w:t>
      </w:r>
      <w:r w:rsidR="009F1B2E">
        <w:t xml:space="preserve"> </w:t>
      </w:r>
      <w:r w:rsidRPr="00173CA4">
        <w:t>burning of waste</w:t>
      </w:r>
      <w:r w:rsidR="00035188">
        <w:t xml:space="preserve">, including </w:t>
      </w:r>
      <w:r w:rsidRPr="00173CA4">
        <w:t>intentional</w:t>
      </w:r>
      <w:r w:rsidR="00035188">
        <w:t xml:space="preserve"> and </w:t>
      </w:r>
      <w:r w:rsidRPr="00173CA4">
        <w:t>unintentional open</w:t>
      </w:r>
      <w:r w:rsidR="009F1B2E">
        <w:t xml:space="preserve"> </w:t>
      </w:r>
      <w:r w:rsidRPr="00173CA4">
        <w:t>burning at dumpsites</w:t>
      </w:r>
      <w:r w:rsidR="00035188">
        <w:t xml:space="preserve"> or</w:t>
      </w:r>
      <w:r w:rsidR="00474EFD">
        <w:t xml:space="preserve"> in </w:t>
      </w:r>
      <w:r w:rsidR="00D679D3">
        <w:t>gardens</w:t>
      </w:r>
      <w:r w:rsidR="00B230FE">
        <w:t>.</w:t>
      </w:r>
      <w:r w:rsidR="00D679D3">
        <w:t xml:space="preserve"> </w:t>
      </w:r>
      <w:r w:rsidR="009F1B2E">
        <w:t>P</w:t>
      </w:r>
      <w:r w:rsidRPr="00173CA4">
        <w:t>articipants recommended t</w:t>
      </w:r>
      <w:r w:rsidR="009F1B2E">
        <w:t>he</w:t>
      </w:r>
      <w:r w:rsidRPr="00173CA4">
        <w:t xml:space="preserve"> strengthen</w:t>
      </w:r>
      <w:r w:rsidR="009F1B2E">
        <w:t>ing of</w:t>
      </w:r>
      <w:r w:rsidRPr="00173CA4">
        <w:t xml:space="preserve"> political commitments to establish a legislative framework</w:t>
      </w:r>
      <w:r w:rsidR="009F1B2E">
        <w:t>, the</w:t>
      </w:r>
      <w:r w:rsidRPr="00173CA4">
        <w:t xml:space="preserve"> establishment of </w:t>
      </w:r>
      <w:r w:rsidR="009F1B2E">
        <w:t xml:space="preserve">a </w:t>
      </w:r>
      <w:r w:rsidRPr="00173CA4">
        <w:t>waste management plan to promote the transition from open</w:t>
      </w:r>
      <w:r w:rsidR="009F1B2E">
        <w:t xml:space="preserve"> </w:t>
      </w:r>
      <w:r w:rsidRPr="00173CA4">
        <w:t>burning of waste to sanitary landfills and</w:t>
      </w:r>
      <w:r w:rsidR="009F1B2E">
        <w:t xml:space="preserve"> </w:t>
      </w:r>
      <w:r w:rsidRPr="00173CA4">
        <w:t>incineration with appropriate pollution control measures, and</w:t>
      </w:r>
      <w:r w:rsidR="009F1B2E">
        <w:t xml:space="preserve"> the</w:t>
      </w:r>
      <w:r w:rsidRPr="00173CA4">
        <w:t xml:space="preserve"> launching of a monitoring programme to measure mercury emissions.</w:t>
      </w:r>
      <w:r>
        <w:t xml:space="preserve"> </w:t>
      </w:r>
      <w:r w:rsidR="000418EA">
        <w:t xml:space="preserve">The report of the workshop </w:t>
      </w:r>
      <w:r w:rsidR="00DA52E9">
        <w:t>will be</w:t>
      </w:r>
      <w:r w:rsidR="000418EA">
        <w:t xml:space="preserve"> available </w:t>
      </w:r>
      <w:r w:rsidR="00576706" w:rsidRPr="006A7A42">
        <w:t>on the Convention website</w:t>
      </w:r>
      <w:r w:rsidR="000418EA">
        <w:t>.</w:t>
      </w:r>
      <w:r w:rsidR="0050082E">
        <w:t xml:space="preserve"> </w:t>
      </w:r>
      <w:r w:rsidR="00DA52E9">
        <w:rPr>
          <w:b/>
        </w:rPr>
        <w:t xml:space="preserve"> </w:t>
      </w:r>
    </w:p>
    <w:p w14:paraId="35ECFF44" w14:textId="168ECF65" w:rsidR="00401763" w:rsidRDefault="00401763" w:rsidP="00474EFD">
      <w:pPr>
        <w:pStyle w:val="Normalnumber"/>
        <w:numPr>
          <w:ilvl w:val="0"/>
          <w:numId w:val="38"/>
        </w:numPr>
        <w:tabs>
          <w:tab w:val="left" w:pos="624"/>
        </w:tabs>
      </w:pPr>
      <w:r w:rsidRPr="00401763">
        <w:t>The U</w:t>
      </w:r>
      <w:r>
        <w:t xml:space="preserve">nited </w:t>
      </w:r>
      <w:r w:rsidRPr="00401763">
        <w:t>N</w:t>
      </w:r>
      <w:r>
        <w:t xml:space="preserve">ations </w:t>
      </w:r>
      <w:r w:rsidRPr="00401763">
        <w:t>E</w:t>
      </w:r>
      <w:r>
        <w:t xml:space="preserve">nvironment </w:t>
      </w:r>
      <w:r w:rsidRPr="00401763">
        <w:t>P</w:t>
      </w:r>
      <w:r>
        <w:t>rogramme</w:t>
      </w:r>
      <w:r w:rsidRPr="00401763">
        <w:t>, in collaboration with</w:t>
      </w:r>
      <w:r w:rsidR="00D14FD2">
        <w:t xml:space="preserve"> the</w:t>
      </w:r>
      <w:r w:rsidRPr="00401763">
        <w:t xml:space="preserve"> U</w:t>
      </w:r>
      <w:r>
        <w:t>nited Nations Institute for Training and Research</w:t>
      </w:r>
      <w:r w:rsidRPr="00401763">
        <w:t>, has updated the default input factor used for open burning of waste in the Toolkit for Identification and Quantification of Mercury Releases. Based on the research conducted, the default factor (5g Hg/t waste burned, range 1</w:t>
      </w:r>
      <w:r w:rsidR="00474EFD" w:rsidRPr="00474EFD">
        <w:t>–</w:t>
      </w:r>
      <w:r w:rsidRPr="00401763">
        <w:t>10g Hg/t) was adjusted down to 1g Hg/t, with a range of 0.2</w:t>
      </w:r>
      <w:r w:rsidR="00474EFD" w:rsidRPr="00474EFD">
        <w:t>–</w:t>
      </w:r>
      <w:r w:rsidRPr="00401763">
        <w:t xml:space="preserve">4g Hg/t. The new default factor is believed to better reflect the composition of waste openly </w:t>
      </w:r>
      <w:r w:rsidR="00386B84" w:rsidRPr="00401763">
        <w:t>burn</w:t>
      </w:r>
      <w:r w:rsidR="00386B84">
        <w:t xml:space="preserve">ed </w:t>
      </w:r>
      <w:r w:rsidRPr="00401763">
        <w:t xml:space="preserve">in most of the countries </w:t>
      </w:r>
      <w:r w:rsidR="009F1B2E">
        <w:t>that use</w:t>
      </w:r>
      <w:r w:rsidRPr="00401763">
        <w:t xml:space="preserve"> the Toolkit. However, users are encouraged to consider and adjust the factor according to available knowledge and country-specific situation</w:t>
      </w:r>
      <w:r w:rsidR="00386B84">
        <w:t>s</w:t>
      </w:r>
      <w:r w:rsidRPr="00401763">
        <w:t xml:space="preserve">. </w:t>
      </w:r>
      <w:bookmarkStart w:id="8" w:name="_Hlk14864244"/>
      <w:r w:rsidRPr="00401763">
        <w:t xml:space="preserve">The updated </w:t>
      </w:r>
      <w:r w:rsidR="00035188">
        <w:t>T</w:t>
      </w:r>
      <w:r w:rsidRPr="00401763">
        <w:t>oolkit will be published on the website</w:t>
      </w:r>
      <w:r>
        <w:t xml:space="preserve"> of the </w:t>
      </w:r>
      <w:r w:rsidRPr="00401763">
        <w:t>U</w:t>
      </w:r>
      <w:r>
        <w:t xml:space="preserve">nited </w:t>
      </w:r>
      <w:r w:rsidRPr="00401763">
        <w:t>N</w:t>
      </w:r>
      <w:r>
        <w:t xml:space="preserve">ations </w:t>
      </w:r>
      <w:r w:rsidRPr="00401763">
        <w:t>E</w:t>
      </w:r>
      <w:r>
        <w:t xml:space="preserve">nvironment </w:t>
      </w:r>
      <w:r w:rsidRPr="00401763">
        <w:t>P</w:t>
      </w:r>
      <w:r>
        <w:t>rogramme</w:t>
      </w:r>
      <w:bookmarkEnd w:id="8"/>
      <w:r w:rsidR="00734DAB">
        <w:t>.</w:t>
      </w:r>
      <w:r>
        <w:rPr>
          <w:rStyle w:val="FootnoteReference"/>
        </w:rPr>
        <w:footnoteReference w:id="3"/>
      </w:r>
    </w:p>
    <w:p w14:paraId="3F4415CF" w14:textId="292E0F9B" w:rsidR="008E10A4" w:rsidRDefault="00AD78DD" w:rsidP="00001B69">
      <w:pPr>
        <w:pStyle w:val="Normalnumber"/>
        <w:numPr>
          <w:ilvl w:val="0"/>
          <w:numId w:val="38"/>
        </w:numPr>
        <w:tabs>
          <w:tab w:val="left" w:pos="624"/>
        </w:tabs>
      </w:pPr>
      <w:proofErr w:type="gramStart"/>
      <w:r>
        <w:t>In an effort t</w:t>
      </w:r>
      <w:r w:rsidR="009E3233" w:rsidRPr="009E3233">
        <w:t>o</w:t>
      </w:r>
      <w:proofErr w:type="gramEnd"/>
      <w:r w:rsidR="00401763">
        <w:t xml:space="preserve"> further</w:t>
      </w:r>
      <w:r w:rsidR="009E3233" w:rsidRPr="009E3233">
        <w:t xml:space="preserve"> address the need for quantified dat</w:t>
      </w:r>
      <w:r>
        <w:t>a</w:t>
      </w:r>
      <w:r w:rsidR="00DE1383">
        <w:t>,</w:t>
      </w:r>
      <w:r w:rsidR="009E3233" w:rsidRPr="009E3233">
        <w:t xml:space="preserve"> as recognized by decision MC-1/14, the International Environmental Technology Centre has been conducting mercury monitoring of </w:t>
      </w:r>
      <w:r w:rsidR="00E75993">
        <w:t xml:space="preserve">the </w:t>
      </w:r>
      <w:r w:rsidR="009E3233" w:rsidRPr="009E3233">
        <w:t xml:space="preserve">open burning of waste and open dumping sites in collaboration with the Japanese Ministry of the Environment, as part of </w:t>
      </w:r>
      <w:r w:rsidR="009E3233">
        <w:t xml:space="preserve">a </w:t>
      </w:r>
      <w:r w:rsidR="009E3233" w:rsidRPr="009E3233">
        <w:t xml:space="preserve">project on environmentally sound management of mercury waste funded by Japan. </w:t>
      </w:r>
      <w:r>
        <w:t>M</w:t>
      </w:r>
      <w:r w:rsidR="009E3233" w:rsidRPr="009E3233">
        <w:t xml:space="preserve">ercury monitoring was conducted at the </w:t>
      </w:r>
      <w:proofErr w:type="spellStart"/>
      <w:r w:rsidR="009E3233" w:rsidRPr="009E3233">
        <w:t>Bantar</w:t>
      </w:r>
      <w:proofErr w:type="spellEnd"/>
      <w:r w:rsidR="009E3233" w:rsidRPr="009E3233">
        <w:t xml:space="preserve"> </w:t>
      </w:r>
      <w:proofErr w:type="spellStart"/>
      <w:r w:rsidR="009E3233" w:rsidRPr="009E3233">
        <w:t>Gebang</w:t>
      </w:r>
      <w:proofErr w:type="spellEnd"/>
      <w:r w:rsidR="009E3233" w:rsidRPr="009E3233">
        <w:t xml:space="preserve"> landfill site in Indonesia in June 2018, </w:t>
      </w:r>
      <w:proofErr w:type="spellStart"/>
      <w:r w:rsidR="009E3233" w:rsidRPr="009E3233">
        <w:t>Dandora</w:t>
      </w:r>
      <w:proofErr w:type="spellEnd"/>
      <w:r w:rsidR="009E3233" w:rsidRPr="009E3233">
        <w:t xml:space="preserve"> landfill site in Kenya in November 2018 and </w:t>
      </w:r>
      <w:proofErr w:type="spellStart"/>
      <w:r w:rsidR="009E3233" w:rsidRPr="009E3233">
        <w:t>Htein</w:t>
      </w:r>
      <w:proofErr w:type="spellEnd"/>
      <w:r w:rsidR="009E3233" w:rsidRPr="009E3233">
        <w:t xml:space="preserve"> Pin landfill site in Myanmar in January 2019</w:t>
      </w:r>
      <w:r w:rsidR="00734DAB">
        <w:t>,</w:t>
      </w:r>
      <w:r w:rsidR="009E3233" w:rsidRPr="009E3233">
        <w:t xml:space="preserve"> and will be conducted </w:t>
      </w:r>
      <w:r w:rsidR="00734DAB">
        <w:t>at</w:t>
      </w:r>
      <w:r w:rsidR="009E3233" w:rsidRPr="009E3233">
        <w:t xml:space="preserve"> two more sites in 2019</w:t>
      </w:r>
      <w:r w:rsidR="00734DAB">
        <w:t xml:space="preserve"> and </w:t>
      </w:r>
      <w:r w:rsidR="009E3233" w:rsidRPr="009E3233">
        <w:t xml:space="preserve">2020. </w:t>
      </w:r>
      <w:r w:rsidR="00734DAB">
        <w:t>The r</w:t>
      </w:r>
      <w:r w:rsidR="009E3233" w:rsidRPr="009E3233">
        <w:t>esult</w:t>
      </w:r>
      <w:r>
        <w:t>s</w:t>
      </w:r>
      <w:r w:rsidR="009E3233" w:rsidRPr="009E3233">
        <w:t xml:space="preserve"> of </w:t>
      </w:r>
      <w:r w:rsidR="00734DAB">
        <w:t xml:space="preserve">the </w:t>
      </w:r>
      <w:r w:rsidR="009E3233" w:rsidRPr="009E3233">
        <w:t>mercury monitoring will be released in 2020.</w:t>
      </w:r>
    </w:p>
    <w:p w14:paraId="3667A9BB" w14:textId="10517815" w:rsidR="008B1CA9" w:rsidRPr="00E42746" w:rsidRDefault="008B1CA9" w:rsidP="00001B69">
      <w:pPr>
        <w:pStyle w:val="Normalnumber"/>
        <w:numPr>
          <w:ilvl w:val="0"/>
          <w:numId w:val="38"/>
        </w:numPr>
        <w:tabs>
          <w:tab w:val="left" w:pos="624"/>
        </w:tabs>
      </w:pPr>
      <w:r w:rsidRPr="00E42746">
        <w:t>Information relevant to the issue of mercury emissions from</w:t>
      </w:r>
      <w:r w:rsidR="00734DAB">
        <w:t xml:space="preserve"> the</w:t>
      </w:r>
      <w:r w:rsidRPr="00E42746">
        <w:t xml:space="preserve"> open burning of waste has also been developed in the context of the Basel and Stockholm conventions</w:t>
      </w:r>
      <w:r w:rsidR="00734DAB">
        <w:t>.</w:t>
      </w:r>
      <w:r w:rsidR="00335A08">
        <w:rPr>
          <w:rStyle w:val="FootnoteReference"/>
        </w:rPr>
        <w:footnoteReference w:id="4"/>
      </w:r>
    </w:p>
    <w:p w14:paraId="5C833CED" w14:textId="24474AE0" w:rsidR="008B1CA9" w:rsidRPr="0056516F" w:rsidRDefault="00A91A83" w:rsidP="008D1BB3">
      <w:pPr>
        <w:pStyle w:val="Normalnumber"/>
        <w:numPr>
          <w:ilvl w:val="0"/>
          <w:numId w:val="38"/>
        </w:numPr>
        <w:tabs>
          <w:tab w:val="left" w:pos="624"/>
        </w:tabs>
      </w:pPr>
      <w:r>
        <w:t xml:space="preserve">At its fourteenth </w:t>
      </w:r>
      <w:r w:rsidR="009B1362">
        <w:t xml:space="preserve">meeting </w:t>
      </w:r>
      <w:r>
        <w:t>in May 2019, t</w:t>
      </w:r>
      <w:r w:rsidR="000D3B67">
        <w:t>he Conference of the Parties to</w:t>
      </w:r>
      <w:r w:rsidR="008B1CA9" w:rsidRPr="00E42746">
        <w:t xml:space="preserve"> the Basel Convention</w:t>
      </w:r>
      <w:r w:rsidR="000D3B67">
        <w:t xml:space="preserve"> adopted the </w:t>
      </w:r>
      <w:r w:rsidR="000D3B67" w:rsidRPr="000D3B67">
        <w:t xml:space="preserve">guidance on </w:t>
      </w:r>
      <w:r w:rsidR="00E75993">
        <w:t>the ways in which</w:t>
      </w:r>
      <w:r w:rsidR="00E75993" w:rsidRPr="000D3B67">
        <w:t xml:space="preserve"> </w:t>
      </w:r>
      <w:r w:rsidR="000D3B67" w:rsidRPr="000D3B67">
        <w:t xml:space="preserve">to address the environmentally sound management of wastes in the informal sector </w:t>
      </w:r>
      <w:r w:rsidR="000D3B67">
        <w:t>(</w:t>
      </w:r>
      <w:r w:rsidR="000D3B67" w:rsidRPr="000D3B67">
        <w:t>UNEP/CHW.14/INF/8</w:t>
      </w:r>
      <w:r w:rsidR="000D3B67">
        <w:t xml:space="preserve">). </w:t>
      </w:r>
      <w:r w:rsidR="008B1CA9" w:rsidRPr="0056516F">
        <w:t>The guidance recognizes the a</w:t>
      </w:r>
      <w:r w:rsidR="008B1CA9" w:rsidRPr="00E42746">
        <w:t>dverse environmental impact of open</w:t>
      </w:r>
      <w:r w:rsidR="008B1CA9">
        <w:t xml:space="preserve"> </w:t>
      </w:r>
      <w:r w:rsidR="008B1CA9" w:rsidRPr="00E42746">
        <w:t xml:space="preserve">burning and its associated health risks, </w:t>
      </w:r>
      <w:r w:rsidR="000D3B67">
        <w:t xml:space="preserve">as well as </w:t>
      </w:r>
      <w:r w:rsidR="00E75993">
        <w:t xml:space="preserve">the </w:t>
      </w:r>
      <w:r w:rsidR="000D3B67">
        <w:t xml:space="preserve">risk to workers. </w:t>
      </w:r>
      <w:r w:rsidR="000D3B67" w:rsidRPr="000D3B67">
        <w:t xml:space="preserve">The guidance, </w:t>
      </w:r>
      <w:r w:rsidR="0010285F">
        <w:t xml:space="preserve">which </w:t>
      </w:r>
      <w:r w:rsidR="000D3B67">
        <w:t>r</w:t>
      </w:r>
      <w:r w:rsidR="000D3B67" w:rsidRPr="000D3B67">
        <w:t>ecommend</w:t>
      </w:r>
      <w:r w:rsidR="0010285F">
        <w:t>s</w:t>
      </w:r>
      <w:r w:rsidR="000D3B67" w:rsidRPr="000D3B67">
        <w:t xml:space="preserve"> strengthen</w:t>
      </w:r>
      <w:r w:rsidR="0010285F">
        <w:t>ing</w:t>
      </w:r>
      <w:r w:rsidR="000D3B67" w:rsidRPr="000D3B67">
        <w:t xml:space="preserve"> the informal sector by incentivizing the adoption of environmentally sound management practices, advises that the final disposal of residuals and </w:t>
      </w:r>
      <w:r w:rsidR="00F7754A">
        <w:t>non</w:t>
      </w:r>
      <w:r w:rsidR="00F7754A">
        <w:noBreakHyphen/>
        <w:t>recyclable</w:t>
      </w:r>
      <w:r w:rsidR="000D3B67" w:rsidRPr="000D3B67">
        <w:t xml:space="preserve"> waste should be done in an environmentally sound manner </w:t>
      </w:r>
      <w:r w:rsidR="00E75993">
        <w:t>in</w:t>
      </w:r>
      <w:r w:rsidR="00E75993" w:rsidRPr="000D3B67">
        <w:t xml:space="preserve"> </w:t>
      </w:r>
      <w:r w:rsidR="000D3B67" w:rsidRPr="000D3B67">
        <w:t>state-of-the-art facilities and in accordance with the available technologies of each country or region, and that open burning, especially of hazardous waste, should be prohibited</w:t>
      </w:r>
      <w:r w:rsidR="008B1CA9" w:rsidRPr="0066233D">
        <w:t>.</w:t>
      </w:r>
    </w:p>
    <w:p w14:paraId="5A1549BB" w14:textId="0DD1B475" w:rsidR="008B1CA9" w:rsidRPr="00001B69" w:rsidRDefault="00001B69" w:rsidP="00001B69">
      <w:pPr>
        <w:pStyle w:val="CH2"/>
      </w:pPr>
      <w:r>
        <w:tab/>
      </w:r>
      <w:r>
        <w:tab/>
      </w:r>
      <w:r w:rsidR="008B1CA9" w:rsidRPr="00001B69">
        <w:t>Suggested action by the Conference of the Parties</w:t>
      </w:r>
    </w:p>
    <w:p w14:paraId="4B5D34F2" w14:textId="5E102D98" w:rsidR="009E3233" w:rsidRDefault="008B1CA9" w:rsidP="008B1CA9">
      <w:pPr>
        <w:pStyle w:val="Normalnumber"/>
        <w:numPr>
          <w:ilvl w:val="0"/>
          <w:numId w:val="38"/>
        </w:numPr>
      </w:pPr>
      <w:r w:rsidRPr="00E42746">
        <w:t xml:space="preserve">The Conference of the Parties may wish to consider the information </w:t>
      </w:r>
      <w:r w:rsidR="001421F0">
        <w:t xml:space="preserve">contained </w:t>
      </w:r>
      <w:r w:rsidRPr="00E42746">
        <w:t xml:space="preserve">in </w:t>
      </w:r>
      <w:r w:rsidR="009E3233">
        <w:t xml:space="preserve">the present note, and request the secretariat to continue to collect relevant information and to make such information available on the </w:t>
      </w:r>
      <w:r w:rsidR="006B3569">
        <w:t xml:space="preserve">Convention </w:t>
      </w:r>
      <w:r w:rsidR="009E3233">
        <w:t>website.</w:t>
      </w:r>
    </w:p>
    <w:p w14:paraId="5A3B575C" w14:textId="77777777" w:rsidR="008D1BB3" w:rsidRDefault="008D1BB3" w:rsidP="008D1BB3">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AA0791">
        <w:tc>
          <w:tcPr>
            <w:tcW w:w="1898" w:type="dxa"/>
            <w:shd w:val="clear" w:color="auto" w:fill="auto"/>
          </w:tcPr>
          <w:p w14:paraId="6D3F7C2C" w14:textId="5E6843FF" w:rsidR="00E976AB" w:rsidRPr="00D25175" w:rsidRDefault="008E10A4" w:rsidP="004455F3">
            <w:pPr>
              <w:pStyle w:val="Normal-pool"/>
              <w:tabs>
                <w:tab w:val="left" w:pos="624"/>
                <w:tab w:val="left" w:pos="1871"/>
                <w:tab w:val="left" w:pos="2495"/>
              </w:tabs>
              <w:spacing w:before="520"/>
            </w:pPr>
            <w:r w:rsidRPr="00E34F4B">
              <w:br w:type="page"/>
            </w:r>
          </w:p>
        </w:tc>
        <w:tc>
          <w:tcPr>
            <w:tcW w:w="1899" w:type="dxa"/>
            <w:shd w:val="clear" w:color="auto" w:fill="auto"/>
          </w:tcPr>
          <w:p w14:paraId="378BA037" w14:textId="77777777" w:rsidR="00E976AB" w:rsidRPr="00D25175" w:rsidRDefault="00E976AB" w:rsidP="004455F3">
            <w:pPr>
              <w:pStyle w:val="Normal-pool"/>
              <w:tabs>
                <w:tab w:val="left" w:pos="624"/>
                <w:tab w:val="left" w:pos="1871"/>
                <w:tab w:val="left" w:pos="2495"/>
              </w:tabs>
              <w:spacing w:before="520"/>
            </w:pPr>
          </w:p>
        </w:tc>
        <w:tc>
          <w:tcPr>
            <w:tcW w:w="1899" w:type="dxa"/>
            <w:tcBorders>
              <w:bottom w:val="single" w:sz="4" w:space="0" w:color="auto"/>
            </w:tcBorders>
            <w:shd w:val="clear" w:color="auto" w:fill="auto"/>
          </w:tcPr>
          <w:p w14:paraId="028E3E1E" w14:textId="77777777" w:rsidR="00E976AB" w:rsidRPr="00D25175" w:rsidRDefault="00E976AB" w:rsidP="004455F3">
            <w:pPr>
              <w:pStyle w:val="Normal-pool"/>
              <w:tabs>
                <w:tab w:val="left" w:pos="624"/>
                <w:tab w:val="left" w:pos="1871"/>
                <w:tab w:val="left" w:pos="2495"/>
              </w:tabs>
              <w:spacing w:before="520"/>
            </w:pPr>
          </w:p>
        </w:tc>
        <w:tc>
          <w:tcPr>
            <w:tcW w:w="1900" w:type="dxa"/>
            <w:shd w:val="clear" w:color="auto" w:fill="auto"/>
          </w:tcPr>
          <w:p w14:paraId="25F1BA19" w14:textId="77777777" w:rsidR="00E976AB" w:rsidRPr="00D25175" w:rsidRDefault="00E976AB" w:rsidP="004455F3">
            <w:pPr>
              <w:pStyle w:val="Normal-pool"/>
              <w:tabs>
                <w:tab w:val="left" w:pos="624"/>
                <w:tab w:val="left" w:pos="1871"/>
                <w:tab w:val="left" w:pos="2495"/>
              </w:tabs>
              <w:spacing w:before="520"/>
            </w:pPr>
          </w:p>
        </w:tc>
        <w:tc>
          <w:tcPr>
            <w:tcW w:w="1900" w:type="dxa"/>
            <w:shd w:val="clear" w:color="auto" w:fill="auto"/>
          </w:tcPr>
          <w:p w14:paraId="457D2993" w14:textId="77777777" w:rsidR="00E976AB" w:rsidRPr="00D25175" w:rsidRDefault="00E976AB" w:rsidP="004455F3">
            <w:pPr>
              <w:pStyle w:val="Normal-pool"/>
              <w:tabs>
                <w:tab w:val="left" w:pos="624"/>
                <w:tab w:val="left" w:pos="1871"/>
                <w:tab w:val="left" w:pos="2495"/>
              </w:tabs>
              <w:spacing w:before="520"/>
            </w:pPr>
          </w:p>
        </w:tc>
      </w:tr>
      <w:bookmarkEnd w:id="4"/>
    </w:tbl>
    <w:p w14:paraId="325E8270" w14:textId="77777777" w:rsidR="00032E4E" w:rsidRPr="00D25175" w:rsidRDefault="00032E4E" w:rsidP="004455F3">
      <w:pPr>
        <w:pStyle w:val="Normal-pool"/>
        <w:tabs>
          <w:tab w:val="left" w:pos="624"/>
          <w:tab w:val="left" w:pos="1871"/>
          <w:tab w:val="left" w:pos="2495"/>
        </w:tabs>
      </w:pPr>
    </w:p>
    <w:sectPr w:rsidR="00032E4E" w:rsidRPr="00D25175" w:rsidSect="00C771A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F8622" w14:textId="77777777" w:rsidR="00D94B42" w:rsidRDefault="00D94B42">
      <w:r>
        <w:separator/>
      </w:r>
    </w:p>
  </w:endnote>
  <w:endnote w:type="continuationSeparator" w:id="0">
    <w:p w14:paraId="2BEAD55F" w14:textId="77777777" w:rsidR="00D94B42" w:rsidRDefault="00D94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0B12548" w:rsidR="006111FE" w:rsidRPr="00001B69" w:rsidRDefault="006111FE" w:rsidP="00001B69">
    <w:pPr>
      <w:pStyle w:val="Footer-pool"/>
    </w:pPr>
    <w:r w:rsidRPr="00001B69">
      <w:rPr>
        <w:rStyle w:val="PageNumber"/>
        <w:b/>
      </w:rPr>
      <w:fldChar w:fldCharType="begin"/>
    </w:r>
    <w:r w:rsidRPr="00001B69">
      <w:rPr>
        <w:rStyle w:val="PageNumber"/>
        <w:b/>
      </w:rPr>
      <w:instrText xml:space="preserve"> PAGE </w:instrText>
    </w:r>
    <w:r w:rsidRPr="00001B69">
      <w:rPr>
        <w:rStyle w:val="PageNumber"/>
        <w:b/>
      </w:rPr>
      <w:fldChar w:fldCharType="separate"/>
    </w:r>
    <w:r w:rsidR="00215567">
      <w:rPr>
        <w:rStyle w:val="PageNumber"/>
        <w:b/>
        <w:noProof/>
      </w:rPr>
      <w:t>2</w:t>
    </w:r>
    <w:r w:rsidRPr="00001B69">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35AEE79"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40759">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267C2" w14:textId="2850CF86" w:rsidR="00001B69" w:rsidRDefault="00001B69" w:rsidP="008D1BB3">
    <w:pPr>
      <w:pStyle w:val="Normal-pool"/>
    </w:pPr>
    <w:r>
      <w:t>K1903342</w:t>
    </w:r>
    <w:r>
      <w:tab/>
    </w:r>
    <w:r w:rsidR="00953924">
      <w:t>0509</w:t>
    </w:r>
    <w: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BD57E" w14:textId="77777777" w:rsidR="00D94B42" w:rsidRDefault="00D94B42" w:rsidP="00D92DE0">
      <w:pPr>
        <w:ind w:left="624"/>
      </w:pPr>
      <w:r>
        <w:separator/>
      </w:r>
    </w:p>
  </w:footnote>
  <w:footnote w:type="continuationSeparator" w:id="0">
    <w:p w14:paraId="082C784C" w14:textId="77777777" w:rsidR="00D94B42" w:rsidRDefault="00D94B42">
      <w:r>
        <w:continuationSeparator/>
      </w:r>
    </w:p>
  </w:footnote>
  <w:footnote w:id="1">
    <w:p w14:paraId="1AACA6D8" w14:textId="1FDCAC79" w:rsidR="00C6275F" w:rsidRPr="00001B69" w:rsidRDefault="00C6275F" w:rsidP="00C6275F">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sidRPr="00001B69">
        <w:rPr>
          <w:rStyle w:val="FootnoteReference"/>
          <w:sz w:val="18"/>
          <w:vertAlign w:val="baseline"/>
        </w:rPr>
        <w:t>*</w:t>
      </w:r>
      <w:r w:rsidRPr="00001B69">
        <w:rPr>
          <w:sz w:val="18"/>
          <w:szCs w:val="18"/>
        </w:rPr>
        <w:t xml:space="preserve"> UNEP/MC/COP.</w:t>
      </w:r>
      <w:r w:rsidR="00CA2F57" w:rsidRPr="00001B69">
        <w:rPr>
          <w:sz w:val="18"/>
          <w:szCs w:val="18"/>
        </w:rPr>
        <w:t>3</w:t>
      </w:r>
      <w:r w:rsidRPr="00001B69">
        <w:rPr>
          <w:sz w:val="18"/>
          <w:szCs w:val="18"/>
        </w:rPr>
        <w:t>/1.</w:t>
      </w:r>
    </w:p>
  </w:footnote>
  <w:footnote w:id="2">
    <w:p w14:paraId="76002BD6" w14:textId="091AD1D3" w:rsidR="008B1CA9" w:rsidRPr="00001B69" w:rsidRDefault="008B1CA9" w:rsidP="008B1CA9">
      <w:pPr>
        <w:pStyle w:val="FootnoteText"/>
        <w:rPr>
          <w:szCs w:val="18"/>
          <w:lang w:val="en-US"/>
        </w:rPr>
      </w:pPr>
      <w:r w:rsidRPr="00001B69">
        <w:rPr>
          <w:rStyle w:val="FootnoteReference"/>
          <w:sz w:val="18"/>
        </w:rPr>
        <w:footnoteRef/>
      </w:r>
      <w:r w:rsidRPr="00001B69">
        <w:rPr>
          <w:szCs w:val="18"/>
          <w:lang w:val="en-US"/>
        </w:rPr>
        <w:t xml:space="preserve"> Guidance </w:t>
      </w:r>
      <w:r w:rsidR="00C15245">
        <w:rPr>
          <w:szCs w:val="18"/>
          <w:lang w:val="en-US"/>
        </w:rPr>
        <w:t>in relation to mercury emissions</w:t>
      </w:r>
      <w:r w:rsidR="00835006">
        <w:rPr>
          <w:szCs w:val="18"/>
          <w:lang w:val="en-US"/>
        </w:rPr>
        <w:t xml:space="preserve"> </w:t>
      </w:r>
      <w:r w:rsidRPr="00001B69">
        <w:rPr>
          <w:szCs w:val="18"/>
          <w:lang w:val="en-US"/>
        </w:rPr>
        <w:t xml:space="preserve">on best available techniques and best environmental practices </w:t>
      </w:r>
      <w:r w:rsidR="001326EF">
        <w:rPr>
          <w:szCs w:val="18"/>
          <w:lang w:val="en-US"/>
        </w:rPr>
        <w:t xml:space="preserve">taking into account any difference between new and existing sources and the need to minimize cross-media effects, </w:t>
      </w:r>
      <w:r w:rsidRPr="00001B69">
        <w:rPr>
          <w:szCs w:val="18"/>
          <w:lang w:val="en-US"/>
        </w:rPr>
        <w:t xml:space="preserve">adopted by the Conference of the Parties to the Minamata Convention at its first meeting </w:t>
      </w:r>
      <w:r w:rsidR="0097259C" w:rsidRPr="00001B69">
        <w:rPr>
          <w:szCs w:val="18"/>
          <w:lang w:val="en-US"/>
        </w:rPr>
        <w:t>(decision MC-1/4)</w:t>
      </w:r>
      <w:r w:rsidR="001326EF">
        <w:rPr>
          <w:szCs w:val="18"/>
          <w:lang w:val="en-US"/>
        </w:rPr>
        <w:t>,</w:t>
      </w:r>
      <w:r w:rsidR="0097259C" w:rsidRPr="00001B69">
        <w:rPr>
          <w:szCs w:val="18"/>
          <w:lang w:val="en-US"/>
        </w:rPr>
        <w:t xml:space="preserve"> </w:t>
      </w:r>
      <w:r w:rsidRPr="00001B69">
        <w:rPr>
          <w:szCs w:val="18"/>
          <w:lang w:val="en-US"/>
        </w:rPr>
        <w:t xml:space="preserve">to assist parties in meeting their obligations under </w:t>
      </w:r>
      <w:r w:rsidR="00240CB6">
        <w:rPr>
          <w:szCs w:val="18"/>
          <w:lang w:val="en-US"/>
        </w:rPr>
        <w:t>a</w:t>
      </w:r>
      <w:r w:rsidRPr="00001B69">
        <w:rPr>
          <w:szCs w:val="18"/>
          <w:lang w:val="en-US"/>
        </w:rPr>
        <w:t xml:space="preserve">rticle 8 (UNEP/MC/COP.1/7, annex II). </w:t>
      </w:r>
    </w:p>
  </w:footnote>
  <w:footnote w:id="3">
    <w:p w14:paraId="1B4BFB5F" w14:textId="407F5594" w:rsidR="00401763" w:rsidRPr="00001B69" w:rsidRDefault="00401763">
      <w:pPr>
        <w:pStyle w:val="FootnoteText"/>
        <w:rPr>
          <w:szCs w:val="18"/>
          <w:lang w:val="en-US"/>
        </w:rPr>
      </w:pPr>
      <w:r w:rsidRPr="00001B69">
        <w:rPr>
          <w:rStyle w:val="FootnoteReference"/>
          <w:sz w:val="18"/>
        </w:rPr>
        <w:footnoteRef/>
      </w:r>
      <w:r w:rsidR="00141669">
        <w:rPr>
          <w:szCs w:val="18"/>
          <w:lang w:val="en-US"/>
        </w:rPr>
        <w:t xml:space="preserve"> </w:t>
      </w:r>
      <w:r w:rsidRPr="00001B69">
        <w:rPr>
          <w:szCs w:val="18"/>
          <w:lang w:val="en-US"/>
        </w:rPr>
        <w:t>www.unenvironment.org/explore-topics/chemicals-waste/what-we-do/mercury/mercury-inventory-toolkit</w:t>
      </w:r>
      <w:r w:rsidR="00035188">
        <w:rPr>
          <w:szCs w:val="18"/>
          <w:lang w:val="en-US"/>
        </w:rPr>
        <w:t>.</w:t>
      </w:r>
    </w:p>
  </w:footnote>
  <w:footnote w:id="4">
    <w:p w14:paraId="3E74FEB2" w14:textId="501D4002" w:rsidR="00335A08" w:rsidRPr="00001B69" w:rsidRDefault="00335A08">
      <w:pPr>
        <w:pStyle w:val="FootnoteText"/>
        <w:rPr>
          <w:szCs w:val="18"/>
          <w:lang w:val="en-US"/>
        </w:rPr>
      </w:pPr>
      <w:r w:rsidRPr="00001B69">
        <w:rPr>
          <w:rStyle w:val="FootnoteReference"/>
          <w:sz w:val="18"/>
        </w:rPr>
        <w:footnoteRef/>
      </w:r>
      <w:r w:rsidRPr="00001B69">
        <w:rPr>
          <w:szCs w:val="18"/>
          <w:lang w:val="en-US"/>
        </w:rPr>
        <w:t xml:space="preserve"> For example, the Guidelines on </w:t>
      </w:r>
      <w:r w:rsidR="00A91A83">
        <w:rPr>
          <w:szCs w:val="18"/>
          <w:lang w:val="en-US"/>
        </w:rPr>
        <w:t>b</w:t>
      </w:r>
      <w:r w:rsidRPr="00001B69">
        <w:rPr>
          <w:szCs w:val="18"/>
          <w:lang w:val="en-US"/>
        </w:rPr>
        <w:t xml:space="preserve">est </w:t>
      </w:r>
      <w:r w:rsidR="00A91A83">
        <w:rPr>
          <w:szCs w:val="18"/>
          <w:lang w:val="en-US"/>
        </w:rPr>
        <w:t>a</w:t>
      </w:r>
      <w:r w:rsidRPr="00001B69">
        <w:rPr>
          <w:szCs w:val="18"/>
          <w:lang w:val="en-US"/>
        </w:rPr>
        <w:t xml:space="preserve">vailable </w:t>
      </w:r>
      <w:r w:rsidR="00A91A83">
        <w:rPr>
          <w:szCs w:val="18"/>
          <w:lang w:val="en-US"/>
        </w:rPr>
        <w:t>t</w:t>
      </w:r>
      <w:r w:rsidRPr="00001B69">
        <w:rPr>
          <w:szCs w:val="18"/>
          <w:lang w:val="en-US"/>
        </w:rPr>
        <w:t xml:space="preserve">echniques and </w:t>
      </w:r>
      <w:r w:rsidR="00A91A83">
        <w:rPr>
          <w:szCs w:val="18"/>
          <w:lang w:val="en-US"/>
        </w:rPr>
        <w:t>p</w:t>
      </w:r>
      <w:r w:rsidRPr="00001B69">
        <w:rPr>
          <w:szCs w:val="18"/>
          <w:lang w:val="en-US"/>
        </w:rPr>
        <w:t xml:space="preserve">rovisional </w:t>
      </w:r>
      <w:r w:rsidR="00A91A83">
        <w:rPr>
          <w:szCs w:val="18"/>
          <w:lang w:val="en-US"/>
        </w:rPr>
        <w:t>g</w:t>
      </w:r>
      <w:r w:rsidRPr="00001B69">
        <w:rPr>
          <w:szCs w:val="18"/>
          <w:lang w:val="en-US"/>
        </w:rPr>
        <w:t xml:space="preserve">uidance on </w:t>
      </w:r>
      <w:r w:rsidR="00A91A83">
        <w:rPr>
          <w:szCs w:val="18"/>
          <w:lang w:val="en-US"/>
        </w:rPr>
        <w:t>b</w:t>
      </w:r>
      <w:r w:rsidRPr="00001B69">
        <w:rPr>
          <w:szCs w:val="18"/>
          <w:lang w:val="en-US"/>
        </w:rPr>
        <w:t xml:space="preserve">est </w:t>
      </w:r>
      <w:r w:rsidR="00A91A83">
        <w:rPr>
          <w:szCs w:val="18"/>
          <w:lang w:val="en-US"/>
        </w:rPr>
        <w:t>e</w:t>
      </w:r>
      <w:r w:rsidRPr="00001B69">
        <w:rPr>
          <w:szCs w:val="18"/>
          <w:lang w:val="en-US"/>
        </w:rPr>
        <w:t xml:space="preserve">nvironmental </w:t>
      </w:r>
      <w:r w:rsidR="00A91A83">
        <w:rPr>
          <w:szCs w:val="18"/>
          <w:lang w:val="en-US"/>
        </w:rPr>
        <w:t>p</w:t>
      </w:r>
      <w:r w:rsidRPr="00001B69">
        <w:rPr>
          <w:szCs w:val="18"/>
          <w:lang w:val="en-US"/>
        </w:rPr>
        <w:t xml:space="preserve">ractices </w:t>
      </w:r>
      <w:r w:rsidR="00A91A83">
        <w:rPr>
          <w:szCs w:val="18"/>
          <w:lang w:val="en-US"/>
        </w:rPr>
        <w:t>r</w:t>
      </w:r>
      <w:r w:rsidRPr="00001B69">
        <w:rPr>
          <w:szCs w:val="18"/>
          <w:lang w:val="en-US"/>
        </w:rPr>
        <w:t>elevant to Article 5 and Annex C of the Stockholm Convention on Persistent Organic Pollutants state clearly that open burning is an environmentally unacceptable process</w:t>
      </w:r>
      <w:r w:rsidR="00173CA4" w:rsidRPr="00001B69">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D30C609" w:rsidR="006111FE" w:rsidRPr="00CA5CA9" w:rsidRDefault="006111FE" w:rsidP="00001B69">
    <w:pPr>
      <w:pStyle w:val="Header-pool"/>
    </w:pPr>
    <w:r w:rsidRPr="00CA5CA9">
      <w:rPr>
        <w:bCs/>
      </w:rPr>
      <w:t>UNEP</w:t>
    </w:r>
    <w:r w:rsidRPr="00CA5CA9">
      <w:t>/</w:t>
    </w:r>
    <w:r>
      <w:t>MC</w:t>
    </w:r>
    <w:r w:rsidRPr="00CA5CA9">
      <w:t>/</w:t>
    </w:r>
    <w:r>
      <w:t>COP.</w:t>
    </w:r>
    <w:r w:rsidR="00B42928">
      <w:t>3</w:t>
    </w:r>
    <w:r w:rsidRPr="00CA5CA9">
      <w:t>/</w:t>
    </w:r>
    <w:r>
      <w:t>1</w:t>
    </w:r>
    <w:r w:rsidR="009E3233">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4E43020E" w:rsidR="006111FE" w:rsidRPr="00CA5CA9" w:rsidRDefault="00215567" w:rsidP="00F7137B">
    <w:pPr>
      <w:pStyle w:val="Header"/>
      <w:jc w:val="right"/>
      <w:rPr>
        <w:szCs w:val="18"/>
      </w:rPr>
    </w:pPr>
    <w:r>
      <w:rPr>
        <w:noProof/>
      </w:rPr>
      <w:pict w14:anchorId="42839D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47" type="#_x0000_t136" style="position:absolute;left:0;text-align:left;margin-left:0;margin-top:0;width:520.65pt;height:148.7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6111FE" w:rsidRPr="00CA5CA9">
      <w:rPr>
        <w:bCs/>
        <w:szCs w:val="18"/>
      </w:rPr>
      <w:t>UNEP</w:t>
    </w:r>
    <w:r w:rsidR="006111FE" w:rsidRPr="00CA5CA9">
      <w:rPr>
        <w:szCs w:val="18"/>
      </w:rPr>
      <w:t>/</w:t>
    </w:r>
    <w:r w:rsidR="006111FE">
      <w:rPr>
        <w:szCs w:val="18"/>
      </w:rPr>
      <w:t>MC</w:t>
    </w:r>
    <w:r w:rsidR="006111FE" w:rsidRPr="00CA5CA9">
      <w:rPr>
        <w:szCs w:val="18"/>
      </w:rPr>
      <w:t>/</w:t>
    </w:r>
    <w:r w:rsidR="006111FE">
      <w:rPr>
        <w:szCs w:val="18"/>
      </w:rPr>
      <w:t>COP.</w:t>
    </w:r>
    <w:r w:rsidR="009E3233">
      <w:rPr>
        <w:szCs w:val="18"/>
      </w:rPr>
      <w:t>3</w:t>
    </w:r>
    <w:r w:rsidR="006111FE" w:rsidRPr="00CA5CA9">
      <w:rPr>
        <w:szCs w:val="18"/>
      </w:rPr>
      <w:t>/</w:t>
    </w:r>
    <w:r w:rsidR="006111FE">
      <w:rPr>
        <w:szCs w:val="18"/>
      </w:rPr>
      <w:t>1</w:t>
    </w:r>
    <w:r w:rsidR="009E3233">
      <w:rPr>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535B3ED5"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2CD"/>
    <w:multiLevelType w:val="hybridMultilevel"/>
    <w:tmpl w:val="2D0C7E3A"/>
    <w:lvl w:ilvl="0" w:tplc="D65AC7A8">
      <w:start w:val="1"/>
      <w:numFmt w:val="decimal"/>
      <w:lvlText w:val="%1."/>
      <w:lvlJc w:val="left"/>
      <w:pPr>
        <w:ind w:left="1817" w:hanging="570"/>
      </w:pPr>
      <w:rPr>
        <w:rFonts w:hint="default"/>
        <w:b w:val="0"/>
        <w:bCs/>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5"/>
  </w:num>
  <w:num w:numId="2">
    <w:abstractNumId w:val="1"/>
  </w:num>
  <w:num w:numId="3">
    <w:abstractNumId w:val="4"/>
  </w:num>
  <w:num w:numId="4">
    <w:abstractNumId w:val="5"/>
  </w:num>
  <w:num w:numId="5">
    <w:abstractNumId w:val="5"/>
  </w:num>
  <w:num w:numId="6">
    <w:abstractNumId w:val="2"/>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3"/>
  </w:num>
  <w:num w:numId="38">
    <w:abstractNumId w:val="3"/>
    <w:lvlOverride w:ilvl="0">
      <w:startOverride w:val="1"/>
    </w:lvlOverride>
  </w:num>
  <w:num w:numId="39">
    <w:abstractNumId w:val="5"/>
  </w:num>
  <w:num w:numId="40">
    <w:abstractNumId w:val="5"/>
  </w:num>
  <w:num w:numId="41">
    <w:abstractNumId w:val="5"/>
  </w:num>
  <w:num w:numId="42">
    <w:abstractNumId w:val="0"/>
  </w:num>
  <w:num w:numId="4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hideGrammaticalErrors/>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B69"/>
    <w:rsid w:val="000024A3"/>
    <w:rsid w:val="000057BB"/>
    <w:rsid w:val="000077AD"/>
    <w:rsid w:val="00011A16"/>
    <w:rsid w:val="000149E6"/>
    <w:rsid w:val="00023DA9"/>
    <w:rsid w:val="000247B0"/>
    <w:rsid w:val="00026997"/>
    <w:rsid w:val="00026A08"/>
    <w:rsid w:val="00032E4E"/>
    <w:rsid w:val="00033B8D"/>
    <w:rsid w:val="00033E0B"/>
    <w:rsid w:val="00035188"/>
    <w:rsid w:val="00035EDE"/>
    <w:rsid w:val="000418EA"/>
    <w:rsid w:val="000509B4"/>
    <w:rsid w:val="00052D39"/>
    <w:rsid w:val="00057D6D"/>
    <w:rsid w:val="0006035B"/>
    <w:rsid w:val="0006096F"/>
    <w:rsid w:val="000649C5"/>
    <w:rsid w:val="000656CE"/>
    <w:rsid w:val="00065F18"/>
    <w:rsid w:val="00071886"/>
    <w:rsid w:val="000742BC"/>
    <w:rsid w:val="00076CC6"/>
    <w:rsid w:val="00082A0C"/>
    <w:rsid w:val="00083504"/>
    <w:rsid w:val="0009640C"/>
    <w:rsid w:val="000B032E"/>
    <w:rsid w:val="000B22A2"/>
    <w:rsid w:val="000B2CA7"/>
    <w:rsid w:val="000B541B"/>
    <w:rsid w:val="000B73F9"/>
    <w:rsid w:val="000C0DA6"/>
    <w:rsid w:val="000C2A52"/>
    <w:rsid w:val="000C2A88"/>
    <w:rsid w:val="000C5107"/>
    <w:rsid w:val="000C7B14"/>
    <w:rsid w:val="000D0341"/>
    <w:rsid w:val="000D0B93"/>
    <w:rsid w:val="000D33C0"/>
    <w:rsid w:val="000D3B67"/>
    <w:rsid w:val="000D4CF6"/>
    <w:rsid w:val="000D6941"/>
    <w:rsid w:val="000F3DCD"/>
    <w:rsid w:val="000F4829"/>
    <w:rsid w:val="000F6B21"/>
    <w:rsid w:val="0010236F"/>
    <w:rsid w:val="0010285F"/>
    <w:rsid w:val="00102EFB"/>
    <w:rsid w:val="00103013"/>
    <w:rsid w:val="001069E6"/>
    <w:rsid w:val="001202E3"/>
    <w:rsid w:val="00123699"/>
    <w:rsid w:val="001241FB"/>
    <w:rsid w:val="0012797B"/>
    <w:rsid w:val="0013059D"/>
    <w:rsid w:val="001326EF"/>
    <w:rsid w:val="00136187"/>
    <w:rsid w:val="00141669"/>
    <w:rsid w:val="00141A55"/>
    <w:rsid w:val="001421F0"/>
    <w:rsid w:val="0014293F"/>
    <w:rsid w:val="0014397D"/>
    <w:rsid w:val="001446A3"/>
    <w:rsid w:val="00152B6B"/>
    <w:rsid w:val="00155395"/>
    <w:rsid w:val="00155A2F"/>
    <w:rsid w:val="00156B6B"/>
    <w:rsid w:val="00160783"/>
    <w:rsid w:val="00160D74"/>
    <w:rsid w:val="001646EA"/>
    <w:rsid w:val="001677B4"/>
    <w:rsid w:val="00167D02"/>
    <w:rsid w:val="00173556"/>
    <w:rsid w:val="00173CA4"/>
    <w:rsid w:val="00174FA1"/>
    <w:rsid w:val="001759D8"/>
    <w:rsid w:val="00177D7F"/>
    <w:rsid w:val="00177F5E"/>
    <w:rsid w:val="00180C3F"/>
    <w:rsid w:val="00181EC8"/>
    <w:rsid w:val="00184349"/>
    <w:rsid w:val="00195F33"/>
    <w:rsid w:val="001A47E5"/>
    <w:rsid w:val="001B1617"/>
    <w:rsid w:val="001B504B"/>
    <w:rsid w:val="001B6F98"/>
    <w:rsid w:val="001C191A"/>
    <w:rsid w:val="001D3874"/>
    <w:rsid w:val="001D7E75"/>
    <w:rsid w:val="001E0D73"/>
    <w:rsid w:val="001E21C2"/>
    <w:rsid w:val="001E45BD"/>
    <w:rsid w:val="001E56D2"/>
    <w:rsid w:val="001E7D56"/>
    <w:rsid w:val="001F0F6A"/>
    <w:rsid w:val="001F12C3"/>
    <w:rsid w:val="001F2971"/>
    <w:rsid w:val="001F4413"/>
    <w:rsid w:val="001F5186"/>
    <w:rsid w:val="001F75DE"/>
    <w:rsid w:val="00200D58"/>
    <w:rsid w:val="002011C1"/>
    <w:rsid w:val="002013BE"/>
    <w:rsid w:val="00201A7B"/>
    <w:rsid w:val="00201EDC"/>
    <w:rsid w:val="002063A4"/>
    <w:rsid w:val="0021145B"/>
    <w:rsid w:val="00213511"/>
    <w:rsid w:val="00215567"/>
    <w:rsid w:val="00220C23"/>
    <w:rsid w:val="0022338B"/>
    <w:rsid w:val="002247F6"/>
    <w:rsid w:val="00225E21"/>
    <w:rsid w:val="00225E44"/>
    <w:rsid w:val="00234E78"/>
    <w:rsid w:val="00240CB6"/>
    <w:rsid w:val="00243D36"/>
    <w:rsid w:val="00243F00"/>
    <w:rsid w:val="00246151"/>
    <w:rsid w:val="00247707"/>
    <w:rsid w:val="00252456"/>
    <w:rsid w:val="0026018E"/>
    <w:rsid w:val="00276411"/>
    <w:rsid w:val="00286740"/>
    <w:rsid w:val="00291EAE"/>
    <w:rsid w:val="002929D8"/>
    <w:rsid w:val="00297BE0"/>
    <w:rsid w:val="002A237D"/>
    <w:rsid w:val="002A4C53"/>
    <w:rsid w:val="002B00F2"/>
    <w:rsid w:val="002B0672"/>
    <w:rsid w:val="002B247F"/>
    <w:rsid w:val="002B50D4"/>
    <w:rsid w:val="002B58BF"/>
    <w:rsid w:val="002C145D"/>
    <w:rsid w:val="002C2C3E"/>
    <w:rsid w:val="002C4227"/>
    <w:rsid w:val="002C4F61"/>
    <w:rsid w:val="002C533E"/>
    <w:rsid w:val="002D027F"/>
    <w:rsid w:val="002D3E15"/>
    <w:rsid w:val="002D7A85"/>
    <w:rsid w:val="002D7B60"/>
    <w:rsid w:val="002E34D9"/>
    <w:rsid w:val="002F4761"/>
    <w:rsid w:val="002F5C79"/>
    <w:rsid w:val="002F68EE"/>
    <w:rsid w:val="003019E2"/>
    <w:rsid w:val="00301E50"/>
    <w:rsid w:val="003067E2"/>
    <w:rsid w:val="00310BEB"/>
    <w:rsid w:val="0031413F"/>
    <w:rsid w:val="00314854"/>
    <w:rsid w:val="003148BB"/>
    <w:rsid w:val="00316FFF"/>
    <w:rsid w:val="00317976"/>
    <w:rsid w:val="00320F2F"/>
    <w:rsid w:val="0032457E"/>
    <w:rsid w:val="00325968"/>
    <w:rsid w:val="00325D38"/>
    <w:rsid w:val="00335A08"/>
    <w:rsid w:val="0034256B"/>
    <w:rsid w:val="0035277E"/>
    <w:rsid w:val="00355EA9"/>
    <w:rsid w:val="003578DE"/>
    <w:rsid w:val="00361688"/>
    <w:rsid w:val="00367FD2"/>
    <w:rsid w:val="00380921"/>
    <w:rsid w:val="00386B84"/>
    <w:rsid w:val="003877D5"/>
    <w:rsid w:val="003929B8"/>
    <w:rsid w:val="00393432"/>
    <w:rsid w:val="00396257"/>
    <w:rsid w:val="00397EB8"/>
    <w:rsid w:val="003A3E46"/>
    <w:rsid w:val="003A4FD0"/>
    <w:rsid w:val="003A5A7A"/>
    <w:rsid w:val="003A69D1"/>
    <w:rsid w:val="003A7705"/>
    <w:rsid w:val="003A77F1"/>
    <w:rsid w:val="003B1545"/>
    <w:rsid w:val="003C0F26"/>
    <w:rsid w:val="003C2B6C"/>
    <w:rsid w:val="003C3219"/>
    <w:rsid w:val="003C390C"/>
    <w:rsid w:val="003C409D"/>
    <w:rsid w:val="003C4544"/>
    <w:rsid w:val="003C5583"/>
    <w:rsid w:val="003C5BA6"/>
    <w:rsid w:val="003C74CF"/>
    <w:rsid w:val="003D3752"/>
    <w:rsid w:val="003E1B8B"/>
    <w:rsid w:val="003E35DA"/>
    <w:rsid w:val="003E455D"/>
    <w:rsid w:val="003E77D5"/>
    <w:rsid w:val="003F0E85"/>
    <w:rsid w:val="00401763"/>
    <w:rsid w:val="004032D8"/>
    <w:rsid w:val="00405DE0"/>
    <w:rsid w:val="00410C55"/>
    <w:rsid w:val="00413443"/>
    <w:rsid w:val="00416854"/>
    <w:rsid w:val="00417725"/>
    <w:rsid w:val="0042266F"/>
    <w:rsid w:val="00431ED5"/>
    <w:rsid w:val="00434321"/>
    <w:rsid w:val="00437F26"/>
    <w:rsid w:val="00444097"/>
    <w:rsid w:val="00445487"/>
    <w:rsid w:val="004455F3"/>
    <w:rsid w:val="00447E0D"/>
    <w:rsid w:val="00453EA8"/>
    <w:rsid w:val="00454769"/>
    <w:rsid w:val="004650A2"/>
    <w:rsid w:val="00466991"/>
    <w:rsid w:val="0047064C"/>
    <w:rsid w:val="00474EFD"/>
    <w:rsid w:val="004822B7"/>
    <w:rsid w:val="0049469E"/>
    <w:rsid w:val="004A2018"/>
    <w:rsid w:val="004A2217"/>
    <w:rsid w:val="004A24F9"/>
    <w:rsid w:val="004A42E1"/>
    <w:rsid w:val="004B162C"/>
    <w:rsid w:val="004B2ABE"/>
    <w:rsid w:val="004C3DBE"/>
    <w:rsid w:val="004C5C96"/>
    <w:rsid w:val="004C5E14"/>
    <w:rsid w:val="004D06A4"/>
    <w:rsid w:val="004D2E21"/>
    <w:rsid w:val="004E12DD"/>
    <w:rsid w:val="004F1A81"/>
    <w:rsid w:val="004F5D88"/>
    <w:rsid w:val="0050082E"/>
    <w:rsid w:val="00501354"/>
    <w:rsid w:val="005050D2"/>
    <w:rsid w:val="00510FAE"/>
    <w:rsid w:val="005218D9"/>
    <w:rsid w:val="0052207E"/>
    <w:rsid w:val="00536186"/>
    <w:rsid w:val="00540F58"/>
    <w:rsid w:val="00544CBB"/>
    <w:rsid w:val="00551B65"/>
    <w:rsid w:val="00556704"/>
    <w:rsid w:val="005656D7"/>
    <w:rsid w:val="00571FD3"/>
    <w:rsid w:val="0057315F"/>
    <w:rsid w:val="0057433C"/>
    <w:rsid w:val="00576104"/>
    <w:rsid w:val="00576706"/>
    <w:rsid w:val="0058628E"/>
    <w:rsid w:val="00586418"/>
    <w:rsid w:val="00592B21"/>
    <w:rsid w:val="00594BAC"/>
    <w:rsid w:val="005B2DF4"/>
    <w:rsid w:val="005B44BF"/>
    <w:rsid w:val="005C3945"/>
    <w:rsid w:val="005C5078"/>
    <w:rsid w:val="005C67C8"/>
    <w:rsid w:val="005D0249"/>
    <w:rsid w:val="005D18FA"/>
    <w:rsid w:val="005D4FD4"/>
    <w:rsid w:val="005D6E8C"/>
    <w:rsid w:val="005E3004"/>
    <w:rsid w:val="005E76FE"/>
    <w:rsid w:val="005F100C"/>
    <w:rsid w:val="005F68DA"/>
    <w:rsid w:val="005F7419"/>
    <w:rsid w:val="00601BC9"/>
    <w:rsid w:val="0060773B"/>
    <w:rsid w:val="006111FE"/>
    <w:rsid w:val="00613FD6"/>
    <w:rsid w:val="006157B5"/>
    <w:rsid w:val="00617224"/>
    <w:rsid w:val="00622EAD"/>
    <w:rsid w:val="00626FC6"/>
    <w:rsid w:val="006303B4"/>
    <w:rsid w:val="00630ADC"/>
    <w:rsid w:val="00633D3D"/>
    <w:rsid w:val="00641703"/>
    <w:rsid w:val="006431A6"/>
    <w:rsid w:val="00643E3A"/>
    <w:rsid w:val="006459F6"/>
    <w:rsid w:val="006501AD"/>
    <w:rsid w:val="00651BFA"/>
    <w:rsid w:val="00654475"/>
    <w:rsid w:val="00656DF0"/>
    <w:rsid w:val="00660DF0"/>
    <w:rsid w:val="00665A4B"/>
    <w:rsid w:val="00670FAE"/>
    <w:rsid w:val="00672B15"/>
    <w:rsid w:val="00677848"/>
    <w:rsid w:val="00692E2A"/>
    <w:rsid w:val="0069496A"/>
    <w:rsid w:val="00696C1C"/>
    <w:rsid w:val="006A76F2"/>
    <w:rsid w:val="006A7A42"/>
    <w:rsid w:val="006B3569"/>
    <w:rsid w:val="006B7D29"/>
    <w:rsid w:val="006D19D4"/>
    <w:rsid w:val="006D5644"/>
    <w:rsid w:val="006D5F37"/>
    <w:rsid w:val="006D7EFB"/>
    <w:rsid w:val="006E6672"/>
    <w:rsid w:val="006E6722"/>
    <w:rsid w:val="006F7AFF"/>
    <w:rsid w:val="007027B9"/>
    <w:rsid w:val="007066B5"/>
    <w:rsid w:val="007145DA"/>
    <w:rsid w:val="00715E88"/>
    <w:rsid w:val="007164A7"/>
    <w:rsid w:val="00716D8B"/>
    <w:rsid w:val="007225C7"/>
    <w:rsid w:val="00734CAA"/>
    <w:rsid w:val="00734DAB"/>
    <w:rsid w:val="00740EE2"/>
    <w:rsid w:val="00742680"/>
    <w:rsid w:val="0075533C"/>
    <w:rsid w:val="00755A18"/>
    <w:rsid w:val="00757581"/>
    <w:rsid w:val="007602F5"/>
    <w:rsid w:val="00760D36"/>
    <w:rsid w:val="007611A0"/>
    <w:rsid w:val="00765FEE"/>
    <w:rsid w:val="00772574"/>
    <w:rsid w:val="00773E54"/>
    <w:rsid w:val="00787688"/>
    <w:rsid w:val="00790874"/>
    <w:rsid w:val="007935E6"/>
    <w:rsid w:val="00796669"/>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22230"/>
    <w:rsid w:val="0082619D"/>
    <w:rsid w:val="00830E26"/>
    <w:rsid w:val="00834368"/>
    <w:rsid w:val="0083441A"/>
    <w:rsid w:val="00835006"/>
    <w:rsid w:val="00843576"/>
    <w:rsid w:val="00843B64"/>
    <w:rsid w:val="00845261"/>
    <w:rsid w:val="008478FC"/>
    <w:rsid w:val="00851C51"/>
    <w:rsid w:val="008538F7"/>
    <w:rsid w:val="0086524F"/>
    <w:rsid w:val="00867BFF"/>
    <w:rsid w:val="00871542"/>
    <w:rsid w:val="00872BF6"/>
    <w:rsid w:val="00874046"/>
    <w:rsid w:val="00881238"/>
    <w:rsid w:val="0088480A"/>
    <w:rsid w:val="0088757A"/>
    <w:rsid w:val="0089431B"/>
    <w:rsid w:val="00894CA8"/>
    <w:rsid w:val="00895668"/>
    <w:rsid w:val="008957DD"/>
    <w:rsid w:val="00897D98"/>
    <w:rsid w:val="008A6DF2"/>
    <w:rsid w:val="008A7807"/>
    <w:rsid w:val="008B1CA9"/>
    <w:rsid w:val="008B4CC9"/>
    <w:rsid w:val="008C0B15"/>
    <w:rsid w:val="008C7C17"/>
    <w:rsid w:val="008D1BB3"/>
    <w:rsid w:val="008D64F1"/>
    <w:rsid w:val="008D75E4"/>
    <w:rsid w:val="008D7C99"/>
    <w:rsid w:val="008E0FCB"/>
    <w:rsid w:val="008E10A4"/>
    <w:rsid w:val="008E1AE5"/>
    <w:rsid w:val="008F0DC0"/>
    <w:rsid w:val="008F54BD"/>
    <w:rsid w:val="008F6DFE"/>
    <w:rsid w:val="0090529F"/>
    <w:rsid w:val="009173C9"/>
    <w:rsid w:val="0092178C"/>
    <w:rsid w:val="00923ABB"/>
    <w:rsid w:val="00924F53"/>
    <w:rsid w:val="00930B88"/>
    <w:rsid w:val="00935376"/>
    <w:rsid w:val="00940DCC"/>
    <w:rsid w:val="0094179A"/>
    <w:rsid w:val="0094459E"/>
    <w:rsid w:val="00944DBC"/>
    <w:rsid w:val="00950977"/>
    <w:rsid w:val="00951A7B"/>
    <w:rsid w:val="00953924"/>
    <w:rsid w:val="00955512"/>
    <w:rsid w:val="009564A6"/>
    <w:rsid w:val="00957EF8"/>
    <w:rsid w:val="00964637"/>
    <w:rsid w:val="00966A53"/>
    <w:rsid w:val="00967621"/>
    <w:rsid w:val="00967E6A"/>
    <w:rsid w:val="0097259C"/>
    <w:rsid w:val="00980EF8"/>
    <w:rsid w:val="009907B9"/>
    <w:rsid w:val="00990918"/>
    <w:rsid w:val="009A3A83"/>
    <w:rsid w:val="009B1362"/>
    <w:rsid w:val="009B4A0F"/>
    <w:rsid w:val="009C11D2"/>
    <w:rsid w:val="009C184B"/>
    <w:rsid w:val="009C6C70"/>
    <w:rsid w:val="009C7B0A"/>
    <w:rsid w:val="009D0B63"/>
    <w:rsid w:val="009D5CB8"/>
    <w:rsid w:val="009D5FAF"/>
    <w:rsid w:val="009E307E"/>
    <w:rsid w:val="009E3233"/>
    <w:rsid w:val="009F1B2E"/>
    <w:rsid w:val="00A07870"/>
    <w:rsid w:val="00A07C54"/>
    <w:rsid w:val="00A07F19"/>
    <w:rsid w:val="00A10000"/>
    <w:rsid w:val="00A1348D"/>
    <w:rsid w:val="00A13C99"/>
    <w:rsid w:val="00A15074"/>
    <w:rsid w:val="00A16648"/>
    <w:rsid w:val="00A232EE"/>
    <w:rsid w:val="00A3408F"/>
    <w:rsid w:val="00A4175F"/>
    <w:rsid w:val="00A44411"/>
    <w:rsid w:val="00A4697E"/>
    <w:rsid w:val="00A469FA"/>
    <w:rsid w:val="00A47A6E"/>
    <w:rsid w:val="00A53662"/>
    <w:rsid w:val="00A55643"/>
    <w:rsid w:val="00A55B01"/>
    <w:rsid w:val="00A56B5B"/>
    <w:rsid w:val="00A603FF"/>
    <w:rsid w:val="00A619B6"/>
    <w:rsid w:val="00A648CA"/>
    <w:rsid w:val="00A657DD"/>
    <w:rsid w:val="00A666A6"/>
    <w:rsid w:val="00A675FD"/>
    <w:rsid w:val="00A7155B"/>
    <w:rsid w:val="00A72437"/>
    <w:rsid w:val="00A8048B"/>
    <w:rsid w:val="00A80611"/>
    <w:rsid w:val="00A87DC0"/>
    <w:rsid w:val="00A91A83"/>
    <w:rsid w:val="00AA0791"/>
    <w:rsid w:val="00AA346E"/>
    <w:rsid w:val="00AA5BF4"/>
    <w:rsid w:val="00AB5340"/>
    <w:rsid w:val="00AC0A89"/>
    <w:rsid w:val="00AC6921"/>
    <w:rsid w:val="00AC7C96"/>
    <w:rsid w:val="00AD3593"/>
    <w:rsid w:val="00AD78DD"/>
    <w:rsid w:val="00AE0812"/>
    <w:rsid w:val="00AE237D"/>
    <w:rsid w:val="00AE502A"/>
    <w:rsid w:val="00AF0010"/>
    <w:rsid w:val="00AF1AA8"/>
    <w:rsid w:val="00AF2C1F"/>
    <w:rsid w:val="00AF7C07"/>
    <w:rsid w:val="00B02A2C"/>
    <w:rsid w:val="00B0564D"/>
    <w:rsid w:val="00B05FFE"/>
    <w:rsid w:val="00B06C64"/>
    <w:rsid w:val="00B07D8E"/>
    <w:rsid w:val="00B11CAC"/>
    <w:rsid w:val="00B15A29"/>
    <w:rsid w:val="00B22C93"/>
    <w:rsid w:val="00B230FE"/>
    <w:rsid w:val="00B27589"/>
    <w:rsid w:val="00B335D3"/>
    <w:rsid w:val="00B405B7"/>
    <w:rsid w:val="00B42928"/>
    <w:rsid w:val="00B44E03"/>
    <w:rsid w:val="00B468C0"/>
    <w:rsid w:val="00B47055"/>
    <w:rsid w:val="00B50FE9"/>
    <w:rsid w:val="00B52222"/>
    <w:rsid w:val="00B531DA"/>
    <w:rsid w:val="00B54895"/>
    <w:rsid w:val="00B54FE7"/>
    <w:rsid w:val="00B56CC0"/>
    <w:rsid w:val="00B647C6"/>
    <w:rsid w:val="00B655F9"/>
    <w:rsid w:val="00B66901"/>
    <w:rsid w:val="00B66F60"/>
    <w:rsid w:val="00B67F11"/>
    <w:rsid w:val="00B71E6D"/>
    <w:rsid w:val="00B72070"/>
    <w:rsid w:val="00B779E1"/>
    <w:rsid w:val="00B80F5A"/>
    <w:rsid w:val="00B81E3A"/>
    <w:rsid w:val="00B85CFB"/>
    <w:rsid w:val="00B914E9"/>
    <w:rsid w:val="00B91EE1"/>
    <w:rsid w:val="00B94602"/>
    <w:rsid w:val="00BA0090"/>
    <w:rsid w:val="00BA1A67"/>
    <w:rsid w:val="00BA6A80"/>
    <w:rsid w:val="00BB4ABB"/>
    <w:rsid w:val="00BC62BA"/>
    <w:rsid w:val="00BC7769"/>
    <w:rsid w:val="00BD0EC0"/>
    <w:rsid w:val="00BE5B5F"/>
    <w:rsid w:val="00BE7993"/>
    <w:rsid w:val="00C00DB0"/>
    <w:rsid w:val="00C11971"/>
    <w:rsid w:val="00C15245"/>
    <w:rsid w:val="00C16EEE"/>
    <w:rsid w:val="00C179DE"/>
    <w:rsid w:val="00C26F55"/>
    <w:rsid w:val="00C30C63"/>
    <w:rsid w:val="00C30FF3"/>
    <w:rsid w:val="00C34D5C"/>
    <w:rsid w:val="00C36B8B"/>
    <w:rsid w:val="00C40759"/>
    <w:rsid w:val="00C415C1"/>
    <w:rsid w:val="00C462DD"/>
    <w:rsid w:val="00C47DBF"/>
    <w:rsid w:val="00C552FF"/>
    <w:rsid w:val="00C558DA"/>
    <w:rsid w:val="00C55AF3"/>
    <w:rsid w:val="00C6275F"/>
    <w:rsid w:val="00C71368"/>
    <w:rsid w:val="00C771A9"/>
    <w:rsid w:val="00C82943"/>
    <w:rsid w:val="00C84759"/>
    <w:rsid w:val="00C857E3"/>
    <w:rsid w:val="00C93096"/>
    <w:rsid w:val="00CA1D3A"/>
    <w:rsid w:val="00CA2F57"/>
    <w:rsid w:val="00CA5270"/>
    <w:rsid w:val="00CA5CA9"/>
    <w:rsid w:val="00CA6C7F"/>
    <w:rsid w:val="00CB007D"/>
    <w:rsid w:val="00CB60CA"/>
    <w:rsid w:val="00CC07D8"/>
    <w:rsid w:val="00CC0FC7"/>
    <w:rsid w:val="00CC10A6"/>
    <w:rsid w:val="00CC3B1E"/>
    <w:rsid w:val="00CD5EB8"/>
    <w:rsid w:val="00CD7044"/>
    <w:rsid w:val="00CE08B9"/>
    <w:rsid w:val="00CE3515"/>
    <w:rsid w:val="00CE524C"/>
    <w:rsid w:val="00CF141F"/>
    <w:rsid w:val="00CF4777"/>
    <w:rsid w:val="00CF65C8"/>
    <w:rsid w:val="00D013F5"/>
    <w:rsid w:val="00D05E3F"/>
    <w:rsid w:val="00D067BB"/>
    <w:rsid w:val="00D1352A"/>
    <w:rsid w:val="00D14FD2"/>
    <w:rsid w:val="00D1638E"/>
    <w:rsid w:val="00D169AF"/>
    <w:rsid w:val="00D200EF"/>
    <w:rsid w:val="00D25175"/>
    <w:rsid w:val="00D25249"/>
    <w:rsid w:val="00D26854"/>
    <w:rsid w:val="00D32425"/>
    <w:rsid w:val="00D37477"/>
    <w:rsid w:val="00D44172"/>
    <w:rsid w:val="00D47BE3"/>
    <w:rsid w:val="00D63B8C"/>
    <w:rsid w:val="00D679D3"/>
    <w:rsid w:val="00D70BD5"/>
    <w:rsid w:val="00D739CC"/>
    <w:rsid w:val="00D806F9"/>
    <w:rsid w:val="00D8093D"/>
    <w:rsid w:val="00D8108C"/>
    <w:rsid w:val="00D83208"/>
    <w:rsid w:val="00D842AE"/>
    <w:rsid w:val="00D9211C"/>
    <w:rsid w:val="00D92DE0"/>
    <w:rsid w:val="00D92FEF"/>
    <w:rsid w:val="00D931F9"/>
    <w:rsid w:val="00D93A0F"/>
    <w:rsid w:val="00D94B42"/>
    <w:rsid w:val="00D97736"/>
    <w:rsid w:val="00DA1BCA"/>
    <w:rsid w:val="00DA3663"/>
    <w:rsid w:val="00DA52E9"/>
    <w:rsid w:val="00DB4A56"/>
    <w:rsid w:val="00DC1792"/>
    <w:rsid w:val="00DC274A"/>
    <w:rsid w:val="00DC46FF"/>
    <w:rsid w:val="00DC5254"/>
    <w:rsid w:val="00DC569D"/>
    <w:rsid w:val="00DD1A4F"/>
    <w:rsid w:val="00DD3107"/>
    <w:rsid w:val="00DD7C2C"/>
    <w:rsid w:val="00DE1383"/>
    <w:rsid w:val="00DE31C5"/>
    <w:rsid w:val="00DE5BDA"/>
    <w:rsid w:val="00DF433C"/>
    <w:rsid w:val="00DF519F"/>
    <w:rsid w:val="00DF7388"/>
    <w:rsid w:val="00E0035A"/>
    <w:rsid w:val="00E06797"/>
    <w:rsid w:val="00E1265B"/>
    <w:rsid w:val="00E12E09"/>
    <w:rsid w:val="00E13B48"/>
    <w:rsid w:val="00E1404F"/>
    <w:rsid w:val="00E20F1C"/>
    <w:rsid w:val="00E21C83"/>
    <w:rsid w:val="00E24ADA"/>
    <w:rsid w:val="00E3002F"/>
    <w:rsid w:val="00E32F59"/>
    <w:rsid w:val="00E36AE8"/>
    <w:rsid w:val="00E41908"/>
    <w:rsid w:val="00E46D9A"/>
    <w:rsid w:val="00E50E7E"/>
    <w:rsid w:val="00E565FF"/>
    <w:rsid w:val="00E62610"/>
    <w:rsid w:val="00E65388"/>
    <w:rsid w:val="00E6587E"/>
    <w:rsid w:val="00E75993"/>
    <w:rsid w:val="00E7741D"/>
    <w:rsid w:val="00E808CD"/>
    <w:rsid w:val="00E8348F"/>
    <w:rsid w:val="00E85A01"/>
    <w:rsid w:val="00E85B7D"/>
    <w:rsid w:val="00E9121B"/>
    <w:rsid w:val="00E9302E"/>
    <w:rsid w:val="00E976AB"/>
    <w:rsid w:val="00EA0AE2"/>
    <w:rsid w:val="00EA39E5"/>
    <w:rsid w:val="00EA57A3"/>
    <w:rsid w:val="00EA7AD8"/>
    <w:rsid w:val="00EB06A7"/>
    <w:rsid w:val="00EC2813"/>
    <w:rsid w:val="00EC5A46"/>
    <w:rsid w:val="00EC63E2"/>
    <w:rsid w:val="00ED0225"/>
    <w:rsid w:val="00ED366A"/>
    <w:rsid w:val="00ED6BB7"/>
    <w:rsid w:val="00EE19BA"/>
    <w:rsid w:val="00EF22B3"/>
    <w:rsid w:val="00F03B69"/>
    <w:rsid w:val="00F07A50"/>
    <w:rsid w:val="00F113DA"/>
    <w:rsid w:val="00F266FC"/>
    <w:rsid w:val="00F3037A"/>
    <w:rsid w:val="00F33173"/>
    <w:rsid w:val="00F3465A"/>
    <w:rsid w:val="00F37DC8"/>
    <w:rsid w:val="00F4141B"/>
    <w:rsid w:val="00F439B3"/>
    <w:rsid w:val="00F45C7F"/>
    <w:rsid w:val="00F650C3"/>
    <w:rsid w:val="00F65D85"/>
    <w:rsid w:val="00F6700B"/>
    <w:rsid w:val="00F71240"/>
    <w:rsid w:val="00F7137B"/>
    <w:rsid w:val="00F7754A"/>
    <w:rsid w:val="00F8091E"/>
    <w:rsid w:val="00F83C41"/>
    <w:rsid w:val="00F8615C"/>
    <w:rsid w:val="00F969E5"/>
    <w:rsid w:val="00FA4972"/>
    <w:rsid w:val="00FA6BB0"/>
    <w:rsid w:val="00FB1DD1"/>
    <w:rsid w:val="00FB2DBD"/>
    <w:rsid w:val="00FC51B1"/>
    <w:rsid w:val="00FC7E36"/>
    <w:rsid w:val="00FD48DF"/>
    <w:rsid w:val="00FD5860"/>
    <w:rsid w:val="00FE352D"/>
    <w:rsid w:val="00FE40EB"/>
    <w:rsid w:val="00FE4D02"/>
    <w:rsid w:val="00FE685D"/>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8"/>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001B69"/>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001B69"/>
    <w:pPr>
      <w:numPr>
        <w:numId w:val="5"/>
      </w:numPr>
      <w:tabs>
        <w:tab w:val="clear" w:pos="1134"/>
        <w:tab w:val="clear" w:pos="1247"/>
        <w:tab w:val="clear" w:pos="1814"/>
        <w:tab w:val="clear" w:pos="2381"/>
        <w:tab w:val="clear" w:pos="2948"/>
        <w:tab w:val="clear" w:pos="3515"/>
        <w:tab w:val="clear" w:pos="4082"/>
        <w:tab w:val="num"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001B69"/>
    <w:rPr>
      <w:b/>
      <w:sz w:val="24"/>
      <w:szCs w:val="24"/>
      <w:lang w:eastAsia="en-US"/>
    </w:rPr>
  </w:style>
  <w:style w:type="character" w:customStyle="1" w:styleId="NormalnumberChar">
    <w:name w:val="Normal_number Char"/>
    <w:link w:val="Normalnumber"/>
    <w:locked/>
    <w:rsid w:val="00001B69"/>
    <w:rPr>
      <w:lang w:eastAsia="en-US"/>
    </w:rPr>
  </w:style>
  <w:style w:type="paragraph" w:customStyle="1" w:styleId="Standard">
    <w:name w:val="Standard"/>
    <w:rsid w:val="00C6275F"/>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C6275F"/>
    <w:pPr>
      <w:numPr>
        <w:numId w:val="37"/>
      </w:numPr>
    </w:pPr>
  </w:style>
  <w:style w:type="character" w:customStyle="1" w:styleId="ZZAnxheaderChar">
    <w:name w:val="ZZ_Anx_header Char"/>
    <w:link w:val="ZZAnxheader"/>
    <w:rsid w:val="008E10A4"/>
    <w:rPr>
      <w:b/>
      <w:bCs/>
      <w:sz w:val="28"/>
      <w:szCs w:val="22"/>
      <w:lang w:eastAsia="en-US"/>
    </w:rPr>
  </w:style>
  <w:style w:type="character" w:customStyle="1" w:styleId="Normal-poolChar">
    <w:name w:val="Normal-pool Char"/>
    <w:link w:val="Normal-pool"/>
    <w:rsid w:val="008E10A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55B12-F4EE-4A92-9E05-FA500F65FE7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18b2cca-499f-4557-a4e9-65dcf311f482"/>
    <ds:schemaRef ds:uri="http://purl.org/dc/terms/"/>
    <ds:schemaRef ds:uri="http://schemas.openxmlformats.org/package/2006/metadata/core-properties"/>
    <ds:schemaRef ds:uri="f500b1e4-de7e-4e77-a903-0925b28ae6a4"/>
    <ds:schemaRef ds:uri="http://www.w3.org/XML/1998/namespace"/>
    <ds:schemaRef ds:uri="http://purl.org/dc/dcmitype/"/>
  </ds:schemaRefs>
</ds:datastoreItem>
</file>

<file path=customXml/itemProps2.xml><?xml version="1.0" encoding="utf-8"?>
<ds:datastoreItem xmlns:ds="http://schemas.openxmlformats.org/officeDocument/2006/customXml" ds:itemID="{46EFBB7A-50B7-4B2E-8DD7-C372B0349DDD}">
  <ds:schemaRefs>
    <ds:schemaRef ds:uri="http://schemas.microsoft.com/sharepoint/v3/contenttype/forms"/>
  </ds:schemaRefs>
</ds:datastoreItem>
</file>

<file path=customXml/itemProps3.xml><?xml version="1.0" encoding="utf-8"?>
<ds:datastoreItem xmlns:ds="http://schemas.openxmlformats.org/officeDocument/2006/customXml" ds:itemID="{985B026B-805A-4F8B-B079-664CE5FA0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4862F0-DB48-445E-BCA2-1C620F2AF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1022</Words>
  <Characters>5832</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3</cp:revision>
  <cp:lastPrinted>2019-08-06T12:34:00Z</cp:lastPrinted>
  <dcterms:created xsi:type="dcterms:W3CDTF">2019-09-05T12:31:00Z</dcterms:created>
  <dcterms:modified xsi:type="dcterms:W3CDTF">2019-09-05T12:31:00Z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