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640" w:type="dxa"/>
        <w:tblInd w:w="-34" w:type="dxa"/>
        <w:tblBorders>
          <w:bottom w:val="single" w:sz="24" w:space="0" w:color="auto"/>
          <w:insideH w:val="single" w:sz="8" w:space="0" w:color="auto"/>
        </w:tblBorders>
        <w:tblLayout w:type="fixed"/>
        <w:tblCellMar>
          <w:left w:w="57" w:type="dxa"/>
          <w:right w:w="57" w:type="dxa"/>
        </w:tblCellMar>
        <w:tblLook w:val="0000" w:firstRow="0" w:lastRow="0" w:firstColumn="0" w:lastColumn="0" w:noHBand="0" w:noVBand="0"/>
      </w:tblPr>
      <w:tblGrid>
        <w:gridCol w:w="3403"/>
        <w:gridCol w:w="4536"/>
        <w:gridCol w:w="1701"/>
      </w:tblGrid>
      <w:tr w:rsidR="00DE796A" w14:paraId="43501267" w14:textId="77777777" w:rsidTr="00E60E51">
        <w:trPr>
          <w:cantSplit/>
          <w:trHeight w:val="624"/>
        </w:trPr>
        <w:tc>
          <w:tcPr>
            <w:tcW w:w="3403" w:type="dxa"/>
            <w:tcBorders>
              <w:bottom w:val="nil"/>
            </w:tcBorders>
          </w:tcPr>
          <w:p w14:paraId="315B46E2" w14:textId="77777777" w:rsidR="00DE796A" w:rsidRPr="0064436F" w:rsidRDefault="00934FB6" w:rsidP="000B1AA7">
            <w:pPr>
              <w:spacing w:after="120" w:line="640" w:lineRule="exact"/>
              <w:rPr>
                <w:rFonts w:ascii="Arial" w:hAnsi="Arial" w:cs="Arial"/>
                <w:b/>
                <w:bCs/>
                <w:sz w:val="64"/>
                <w:szCs w:val="64"/>
                <w:lang w:val="en-GB"/>
              </w:rPr>
            </w:pPr>
            <w:r w:rsidRPr="00934FB6">
              <w:rPr>
                <w:rFonts w:ascii="Arial" w:hAnsi="Arial" w:cs="Arial"/>
                <w:b/>
                <w:bCs/>
                <w:sz w:val="64"/>
                <w:szCs w:val="64"/>
              </w:rPr>
              <w:t>MC</w:t>
            </w:r>
          </w:p>
        </w:tc>
        <w:tc>
          <w:tcPr>
            <w:tcW w:w="6237" w:type="dxa"/>
            <w:gridSpan w:val="2"/>
            <w:tcBorders>
              <w:bottom w:val="nil"/>
            </w:tcBorders>
          </w:tcPr>
          <w:p w14:paraId="15BB08DF" w14:textId="77777777" w:rsidR="00DE796A" w:rsidRPr="000844F9" w:rsidRDefault="00DE796A" w:rsidP="00614BE8">
            <w:pPr>
              <w:bidi/>
              <w:spacing w:line="640" w:lineRule="exact"/>
              <w:jc w:val="both"/>
              <w:rPr>
                <w:b/>
                <w:bCs/>
                <w:sz w:val="44"/>
                <w:szCs w:val="44"/>
                <w:rtl/>
              </w:rPr>
            </w:pPr>
            <w:r w:rsidRPr="000844F9">
              <w:rPr>
                <w:rFonts w:hint="cs"/>
                <w:b/>
                <w:bCs/>
                <w:sz w:val="44"/>
                <w:szCs w:val="44"/>
                <w:rtl/>
              </w:rPr>
              <w:t>الأمم المتحدة</w:t>
            </w:r>
          </w:p>
        </w:tc>
      </w:tr>
      <w:tr w:rsidR="004B0A17" w14:paraId="6D3BD447" w14:textId="77777777" w:rsidTr="00E60E51">
        <w:trPr>
          <w:cantSplit/>
          <w:trHeight w:val="254"/>
        </w:trPr>
        <w:tc>
          <w:tcPr>
            <w:tcW w:w="3403" w:type="dxa"/>
            <w:tcBorders>
              <w:top w:val="nil"/>
              <w:bottom w:val="single" w:sz="4" w:space="0" w:color="auto"/>
            </w:tcBorders>
          </w:tcPr>
          <w:p w14:paraId="71DEC684" w14:textId="0A8B777E" w:rsidR="004B0A17" w:rsidRPr="00583E92" w:rsidRDefault="00115715" w:rsidP="00DB6CCC">
            <w:pPr>
              <w:rPr>
                <w:rFonts w:cs="Times New Roman"/>
                <w:b/>
                <w:bCs/>
                <w:szCs w:val="20"/>
              </w:rPr>
            </w:pPr>
            <w:r w:rsidRPr="00AB507F">
              <w:rPr>
                <w:rFonts w:cs="Times New Roman"/>
                <w:b/>
                <w:bCs/>
                <w:sz w:val="28"/>
              </w:rPr>
              <w:t>UNEP</w:t>
            </w:r>
            <w:r>
              <w:rPr>
                <w:rFonts w:cs="Times New Roman"/>
              </w:rPr>
              <w:t>/</w:t>
            </w:r>
            <w:r w:rsidR="00934FB6">
              <w:rPr>
                <w:rFonts w:cs="Times New Roman"/>
                <w:szCs w:val="20"/>
              </w:rPr>
              <w:t>MC/COP.</w:t>
            </w:r>
            <w:r w:rsidR="001764C7">
              <w:rPr>
                <w:rFonts w:cs="Times New Roman"/>
                <w:szCs w:val="20"/>
              </w:rPr>
              <w:t>3</w:t>
            </w:r>
            <w:r w:rsidR="00934FB6">
              <w:rPr>
                <w:rFonts w:cs="Times New Roman"/>
                <w:szCs w:val="20"/>
              </w:rPr>
              <w:t>/</w:t>
            </w:r>
            <w:r w:rsidR="008E4579">
              <w:rPr>
                <w:rFonts w:cs="Times New Roman"/>
                <w:szCs w:val="20"/>
              </w:rPr>
              <w:t>1</w:t>
            </w:r>
            <w:r w:rsidR="00583E92">
              <w:rPr>
                <w:rFonts w:cs="Times New Roman"/>
                <w:szCs w:val="20"/>
              </w:rPr>
              <w:t>7</w:t>
            </w:r>
          </w:p>
        </w:tc>
        <w:tc>
          <w:tcPr>
            <w:tcW w:w="6237" w:type="dxa"/>
            <w:gridSpan w:val="2"/>
            <w:tcBorders>
              <w:top w:val="nil"/>
              <w:bottom w:val="single" w:sz="4" w:space="0" w:color="auto"/>
            </w:tcBorders>
          </w:tcPr>
          <w:p w14:paraId="0A72B2A3" w14:textId="77777777" w:rsidR="004B0A17" w:rsidRPr="004B0A17" w:rsidRDefault="004B0A17" w:rsidP="004B0A17">
            <w:pPr>
              <w:jc w:val="both"/>
              <w:rPr>
                <w:rFonts w:cs="Times New Roman"/>
                <w:b/>
                <w:bCs/>
                <w:szCs w:val="20"/>
                <w:rtl/>
              </w:rPr>
            </w:pPr>
          </w:p>
        </w:tc>
      </w:tr>
      <w:tr w:rsidR="00DE796A" w14:paraId="0D8768E6" w14:textId="77777777" w:rsidTr="00E60E51">
        <w:trPr>
          <w:cantSplit/>
          <w:trHeight w:val="1892"/>
        </w:trPr>
        <w:tc>
          <w:tcPr>
            <w:tcW w:w="3403" w:type="dxa"/>
            <w:tcBorders>
              <w:top w:val="single" w:sz="4" w:space="0" w:color="auto"/>
              <w:bottom w:val="single" w:sz="4" w:space="0" w:color="auto"/>
            </w:tcBorders>
          </w:tcPr>
          <w:p w14:paraId="2B4BA96C" w14:textId="77777777" w:rsidR="00934FB6" w:rsidRPr="00A969A0" w:rsidRDefault="00934FB6" w:rsidP="00B42C89">
            <w:pPr>
              <w:spacing w:before="120"/>
              <w:jc w:val="both"/>
              <w:rPr>
                <w:rFonts w:cs="Times New Roman"/>
                <w:szCs w:val="20"/>
                <w:lang w:val="en-GB"/>
              </w:rPr>
            </w:pPr>
            <w:r w:rsidRPr="00A969A0">
              <w:rPr>
                <w:rFonts w:cs="Times New Roman"/>
                <w:szCs w:val="20"/>
              </w:rPr>
              <w:t>Distr.</w:t>
            </w:r>
            <w:r w:rsidRPr="00A969A0">
              <w:rPr>
                <w:rFonts w:cs="Times New Roman"/>
                <w:szCs w:val="20"/>
                <w:lang w:val="en-GB"/>
              </w:rPr>
              <w:t>: General</w:t>
            </w:r>
          </w:p>
          <w:p w14:paraId="10AF5101" w14:textId="48FD3603" w:rsidR="00934FB6" w:rsidRPr="002772B3" w:rsidRDefault="00583E92" w:rsidP="00934FB6">
            <w:pPr>
              <w:jc w:val="both"/>
              <w:rPr>
                <w:rFonts w:cs="Times New Roman"/>
                <w:szCs w:val="20"/>
              </w:rPr>
            </w:pPr>
            <w:r>
              <w:rPr>
                <w:rFonts w:cs="Times New Roman"/>
                <w:szCs w:val="20"/>
              </w:rPr>
              <w:t>25</w:t>
            </w:r>
            <w:r w:rsidR="00052C2D">
              <w:rPr>
                <w:rFonts w:cs="Times New Roman"/>
                <w:szCs w:val="20"/>
              </w:rPr>
              <w:t xml:space="preserve"> </w:t>
            </w:r>
            <w:r w:rsidR="00B3054B">
              <w:rPr>
                <w:rFonts w:cs="Times New Roman"/>
                <w:szCs w:val="20"/>
              </w:rPr>
              <w:t>July</w:t>
            </w:r>
            <w:r w:rsidR="00934FB6" w:rsidRPr="00A969A0">
              <w:rPr>
                <w:rFonts w:cs="Times New Roman"/>
                <w:szCs w:val="20"/>
              </w:rPr>
              <w:t xml:space="preserve"> 20</w:t>
            </w:r>
            <w:r w:rsidR="00934FB6">
              <w:rPr>
                <w:rFonts w:cs="Times New Roman"/>
                <w:szCs w:val="20"/>
              </w:rPr>
              <w:t>1</w:t>
            </w:r>
            <w:r w:rsidR="001764C7">
              <w:rPr>
                <w:rFonts w:cs="Times New Roman"/>
                <w:szCs w:val="20"/>
              </w:rPr>
              <w:t>9</w:t>
            </w:r>
          </w:p>
          <w:p w14:paraId="30C352C1" w14:textId="77777777" w:rsidR="00934FB6" w:rsidRPr="00DA3FB6" w:rsidRDefault="00934FB6" w:rsidP="00E720C8">
            <w:pPr>
              <w:pStyle w:val="Heading5"/>
              <w:spacing w:before="120"/>
              <w:ind w:left="34" w:right="34"/>
              <w:jc w:val="both"/>
              <w:rPr>
                <w:rFonts w:ascii="Times New Roman" w:hAnsi="Times New Roman" w:cs="Times New Roman"/>
                <w:b w:val="0"/>
                <w:bCs w:val="0"/>
                <w:noProof w:val="0"/>
                <w:szCs w:val="20"/>
                <w:lang w:val="en-GB"/>
              </w:rPr>
            </w:pPr>
            <w:r w:rsidRPr="00A969A0">
              <w:rPr>
                <w:rFonts w:ascii="Times New Roman" w:hAnsi="Times New Roman" w:cs="Times New Roman"/>
                <w:b w:val="0"/>
                <w:bCs w:val="0"/>
                <w:noProof w:val="0"/>
                <w:szCs w:val="20"/>
              </w:rPr>
              <w:t>Arabic</w:t>
            </w:r>
          </w:p>
          <w:p w14:paraId="504A8337" w14:textId="77777777" w:rsidR="00DE796A" w:rsidRDefault="00934FB6" w:rsidP="00934FB6">
            <w:pPr>
              <w:ind w:right="34"/>
              <w:jc w:val="both"/>
            </w:pPr>
            <w:r w:rsidRPr="00A969A0">
              <w:rPr>
                <w:rFonts w:cs="Times New Roman"/>
                <w:szCs w:val="20"/>
              </w:rPr>
              <w:t>Original: English</w:t>
            </w:r>
          </w:p>
        </w:tc>
        <w:tc>
          <w:tcPr>
            <w:tcW w:w="4536" w:type="dxa"/>
            <w:tcBorders>
              <w:top w:val="single" w:sz="4" w:space="0" w:color="auto"/>
              <w:bottom w:val="single" w:sz="4" w:space="0" w:color="auto"/>
            </w:tcBorders>
          </w:tcPr>
          <w:p w14:paraId="217CCEE4" w14:textId="77777777" w:rsidR="00317EFB" w:rsidRPr="00643398" w:rsidRDefault="00317EFB" w:rsidP="00E60E51">
            <w:pPr>
              <w:bidi/>
              <w:spacing w:before="840" w:line="620" w:lineRule="exact"/>
              <w:rPr>
                <w:b/>
                <w:bCs/>
                <w:sz w:val="36"/>
                <w:szCs w:val="36"/>
                <w:rtl/>
              </w:rPr>
            </w:pPr>
            <w:r w:rsidRPr="00E760C7">
              <w:rPr>
                <w:rFonts w:hint="cs"/>
                <w:b/>
                <w:bCs/>
                <w:sz w:val="52"/>
                <w:szCs w:val="52"/>
                <w:rtl/>
              </w:rPr>
              <w:t>برنامج الأمم</w:t>
            </w:r>
          </w:p>
          <w:p w14:paraId="5598AB4C" w14:textId="4C19C1F1" w:rsidR="00DE796A" w:rsidRDefault="00317EFB" w:rsidP="00DA3FB6">
            <w:pPr>
              <w:bidi/>
              <w:spacing w:line="620" w:lineRule="exact"/>
              <w:ind w:left="34" w:hanging="17"/>
              <w:rPr>
                <w:rtl/>
              </w:rPr>
            </w:pPr>
            <w:r w:rsidRPr="00E760C7">
              <w:rPr>
                <w:rFonts w:hint="cs"/>
                <w:b/>
                <w:bCs/>
                <w:sz w:val="52"/>
                <w:szCs w:val="52"/>
                <w:rtl/>
              </w:rPr>
              <w:t>المتحدة للبيئة</w:t>
            </w:r>
          </w:p>
        </w:tc>
        <w:tc>
          <w:tcPr>
            <w:tcW w:w="1701" w:type="dxa"/>
            <w:tcBorders>
              <w:top w:val="single" w:sz="4" w:space="0" w:color="auto"/>
              <w:bottom w:val="single" w:sz="4" w:space="0" w:color="auto"/>
            </w:tcBorders>
          </w:tcPr>
          <w:p w14:paraId="5CF0660A" w14:textId="77E6E52B" w:rsidR="00DE796A" w:rsidRDefault="00E60E51" w:rsidP="007D019B">
            <w:pPr>
              <w:spacing w:line="20" w:lineRule="exact"/>
            </w:pPr>
            <w:r>
              <w:rPr>
                <w:noProof/>
                <w:lang w:val="en-CA" w:eastAsia="en-CA"/>
              </w:rPr>
              <w:drawing>
                <wp:anchor distT="0" distB="0" distL="114300" distR="114300" simplePos="0" relativeHeight="251658240" behindDoc="0" locked="0" layoutInCell="1" allowOverlap="1" wp14:anchorId="6D45A22E" wp14:editId="188580C9">
                  <wp:simplePos x="0" y="0"/>
                  <wp:positionH relativeFrom="column">
                    <wp:posOffset>195368</wp:posOffset>
                  </wp:positionH>
                  <wp:positionV relativeFrom="paragraph">
                    <wp:posOffset>675005</wp:posOffset>
                  </wp:positionV>
                  <wp:extent cx="819150" cy="765175"/>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rcRect b="9727"/>
                          <a:stretch>
                            <a:fillRect/>
                          </a:stretch>
                        </pic:blipFill>
                        <pic:spPr bwMode="auto">
                          <a:xfrm>
                            <a:off x="0" y="0"/>
                            <a:ext cx="819150" cy="765175"/>
                          </a:xfrm>
                          <a:prstGeom prst="rect">
                            <a:avLst/>
                          </a:prstGeom>
                          <a:noFill/>
                          <a:ln>
                            <a:noFill/>
                          </a:ln>
                        </pic:spPr>
                      </pic:pic>
                    </a:graphicData>
                  </a:graphic>
                  <wp14:sizeRelH relativeFrom="page">
                    <wp14:pctWidth>0</wp14:pctWidth>
                  </wp14:sizeRelH>
                  <wp14:sizeRelV relativeFrom="page">
                    <wp14:pctHeight>0</wp14:pctHeight>
                  </wp14:sizeRelV>
                </wp:anchor>
              </w:drawing>
            </w:r>
            <w:r w:rsidR="00933976">
              <w:rPr>
                <w:noProof/>
                <w:lang w:val="en-CA" w:eastAsia="en-CA"/>
              </w:rPr>
              <w:drawing>
                <wp:anchor distT="0" distB="0" distL="114300" distR="114300" simplePos="0" relativeHeight="251657216" behindDoc="1" locked="0" layoutInCell="1" allowOverlap="1" wp14:anchorId="0B48B7CA" wp14:editId="6C645CE2">
                  <wp:simplePos x="0" y="0"/>
                  <wp:positionH relativeFrom="column">
                    <wp:posOffset>219498</wp:posOffset>
                  </wp:positionH>
                  <wp:positionV relativeFrom="paragraph">
                    <wp:posOffset>20955</wp:posOffset>
                  </wp:positionV>
                  <wp:extent cx="793750" cy="718820"/>
                  <wp:effectExtent l="0" t="0" r="6350" b="5080"/>
                  <wp:wrapTight wrapText="bothSides">
                    <wp:wrapPolygon edited="0">
                      <wp:start x="0" y="0"/>
                      <wp:lineTo x="0" y="21180"/>
                      <wp:lineTo x="21254" y="21180"/>
                      <wp:lineTo x="21254" y="0"/>
                      <wp:lineTo x="0" y="0"/>
                    </wp:wrapPolygon>
                  </wp:wrapTight>
                  <wp:docPr id="2" name="Picture 2" descr="#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UNLOG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93750" cy="718820"/>
                          </a:xfrm>
                          <a:prstGeom prst="rect">
                            <a:avLst/>
                          </a:prstGeom>
                          <a:noFill/>
                          <a:ln>
                            <a:noFill/>
                          </a:ln>
                        </pic:spPr>
                      </pic:pic>
                    </a:graphicData>
                  </a:graphic>
                  <wp14:sizeRelH relativeFrom="page">
                    <wp14:pctWidth>0</wp14:pctWidth>
                  </wp14:sizeRelH>
                  <wp14:sizeRelV relativeFrom="page">
                    <wp14:pctHeight>0</wp14:pctHeight>
                  </wp14:sizeRelV>
                </wp:anchor>
              </w:drawing>
            </w:r>
          </w:p>
        </w:tc>
      </w:tr>
      <w:tr w:rsidR="002625D8" w:rsidRPr="00583E92" w14:paraId="1390D2F1" w14:textId="77777777" w:rsidTr="00E60E51">
        <w:trPr>
          <w:cantSplit/>
          <w:trHeight w:val="2317"/>
        </w:trPr>
        <w:tc>
          <w:tcPr>
            <w:tcW w:w="3403" w:type="dxa"/>
            <w:tcBorders>
              <w:top w:val="single" w:sz="4" w:space="0" w:color="auto"/>
              <w:bottom w:val="nil"/>
            </w:tcBorders>
          </w:tcPr>
          <w:p w14:paraId="5D95DE35" w14:textId="77777777" w:rsidR="002625D8" w:rsidRPr="002625D8" w:rsidRDefault="002625D8" w:rsidP="002625D8">
            <w:pPr>
              <w:bidi/>
              <w:spacing w:before="120" w:after="120" w:line="400" w:lineRule="exact"/>
              <w:jc w:val="both"/>
              <w:rPr>
                <w:rFonts w:ascii="Traditional Arabic" w:hAnsi="Traditional Arabic"/>
                <w:sz w:val="28"/>
                <w:szCs w:val="28"/>
              </w:rPr>
            </w:pPr>
          </w:p>
        </w:tc>
        <w:tc>
          <w:tcPr>
            <w:tcW w:w="6237" w:type="dxa"/>
            <w:gridSpan w:val="2"/>
            <w:tcBorders>
              <w:top w:val="single" w:sz="4" w:space="0" w:color="auto"/>
              <w:bottom w:val="nil"/>
            </w:tcBorders>
          </w:tcPr>
          <w:p w14:paraId="039F54BB" w14:textId="77777777" w:rsidR="002625D8" w:rsidRDefault="002625D8" w:rsidP="002625D8">
            <w:pPr>
              <w:bidi/>
              <w:spacing w:before="60" w:line="360" w:lineRule="exact"/>
              <w:ind w:right="2019"/>
              <w:jc w:val="both"/>
              <w:rPr>
                <w:b/>
                <w:bCs/>
                <w:sz w:val="30"/>
                <w:rtl/>
              </w:rPr>
            </w:pPr>
            <w:r>
              <w:rPr>
                <w:rFonts w:hint="cs"/>
                <w:b/>
                <w:bCs/>
                <w:sz w:val="30"/>
                <w:rtl/>
              </w:rPr>
              <w:t xml:space="preserve">مؤتمر الأطراف في اتفاقية </w:t>
            </w:r>
            <w:proofErr w:type="spellStart"/>
            <w:r>
              <w:rPr>
                <w:rFonts w:hint="cs"/>
                <w:b/>
                <w:bCs/>
                <w:sz w:val="30"/>
                <w:rtl/>
              </w:rPr>
              <w:t>ميناماتا</w:t>
            </w:r>
            <w:proofErr w:type="spellEnd"/>
          </w:p>
          <w:p w14:paraId="12824EF2" w14:textId="77777777" w:rsidR="002625D8" w:rsidRDefault="002625D8" w:rsidP="002625D8">
            <w:pPr>
              <w:bidi/>
              <w:spacing w:line="360" w:lineRule="exact"/>
              <w:ind w:right="2019"/>
              <w:jc w:val="both"/>
              <w:rPr>
                <w:b/>
                <w:bCs/>
                <w:sz w:val="30"/>
                <w:rtl/>
              </w:rPr>
            </w:pPr>
            <w:r>
              <w:rPr>
                <w:rFonts w:hint="cs"/>
                <w:b/>
                <w:bCs/>
                <w:sz w:val="30"/>
                <w:rtl/>
              </w:rPr>
              <w:t>بشأن الزئبق</w:t>
            </w:r>
          </w:p>
          <w:p w14:paraId="2C1B588E" w14:textId="77777777" w:rsidR="002625D8" w:rsidRPr="00A579D1" w:rsidRDefault="002625D8" w:rsidP="002625D8">
            <w:pPr>
              <w:bidi/>
              <w:spacing w:line="360" w:lineRule="exact"/>
              <w:ind w:right="748"/>
              <w:jc w:val="both"/>
              <w:rPr>
                <w:b/>
                <w:bCs/>
                <w:sz w:val="30"/>
                <w:rtl/>
              </w:rPr>
            </w:pPr>
            <w:r>
              <w:rPr>
                <w:rFonts w:hint="cs"/>
                <w:b/>
                <w:bCs/>
                <w:sz w:val="30"/>
                <w:rtl/>
              </w:rPr>
              <w:t>الاجتماع الثالث</w:t>
            </w:r>
          </w:p>
          <w:p w14:paraId="302113BB" w14:textId="77777777" w:rsidR="002625D8" w:rsidRDefault="002625D8" w:rsidP="002625D8">
            <w:pPr>
              <w:bidi/>
              <w:spacing w:before="40" w:line="360" w:lineRule="exact"/>
              <w:rPr>
                <w:rFonts w:ascii="Traditional Arabic" w:hAnsi="Traditional Arabic"/>
                <w:sz w:val="30"/>
                <w:rtl/>
              </w:rPr>
            </w:pPr>
            <w:r w:rsidRPr="00980B8A">
              <w:rPr>
                <w:rFonts w:ascii="Traditional Arabic" w:hAnsi="Traditional Arabic" w:hint="cs"/>
                <w:sz w:val="30"/>
                <w:rtl/>
              </w:rPr>
              <w:t>جنيف،</w:t>
            </w:r>
            <w:r w:rsidRPr="00980B8A">
              <w:rPr>
                <w:rFonts w:ascii="Traditional Arabic" w:hAnsi="Traditional Arabic"/>
                <w:sz w:val="30"/>
                <w:rtl/>
              </w:rPr>
              <w:t xml:space="preserve"> </w:t>
            </w:r>
            <w:r>
              <w:rPr>
                <w:rFonts w:ascii="Traditional Arabic" w:hAnsi="Traditional Arabic" w:hint="cs"/>
                <w:sz w:val="30"/>
                <w:rtl/>
              </w:rPr>
              <w:t>25</w:t>
            </w:r>
            <w:r w:rsidRPr="00980B8A">
              <w:rPr>
                <w:rFonts w:ascii="Traditional Arabic" w:hAnsi="Traditional Arabic"/>
                <w:sz w:val="30"/>
                <w:rtl/>
              </w:rPr>
              <w:t>-</w:t>
            </w:r>
            <w:r>
              <w:rPr>
                <w:rFonts w:ascii="Traditional Arabic" w:hAnsi="Traditional Arabic" w:hint="cs"/>
                <w:sz w:val="30"/>
                <w:rtl/>
              </w:rPr>
              <w:t>29</w:t>
            </w:r>
            <w:r w:rsidRPr="00980B8A">
              <w:rPr>
                <w:rFonts w:ascii="Traditional Arabic" w:hAnsi="Traditional Arabic"/>
                <w:sz w:val="30"/>
                <w:rtl/>
              </w:rPr>
              <w:t xml:space="preserve"> </w:t>
            </w:r>
            <w:r>
              <w:rPr>
                <w:rFonts w:ascii="Traditional Arabic" w:hAnsi="Traditional Arabic" w:hint="cs"/>
                <w:sz w:val="30"/>
                <w:rtl/>
              </w:rPr>
              <w:t>تشرين الثاني</w:t>
            </w:r>
            <w:r w:rsidRPr="00980B8A">
              <w:rPr>
                <w:rFonts w:ascii="Traditional Arabic" w:hAnsi="Traditional Arabic"/>
                <w:sz w:val="30"/>
                <w:rtl/>
              </w:rPr>
              <w:t>/</w:t>
            </w:r>
            <w:r>
              <w:rPr>
                <w:rFonts w:ascii="Traditional Arabic" w:hAnsi="Traditional Arabic" w:hint="cs"/>
                <w:sz w:val="30"/>
                <w:rtl/>
              </w:rPr>
              <w:t>نوفمب</w:t>
            </w:r>
            <w:r w:rsidRPr="00980B8A">
              <w:rPr>
                <w:rFonts w:ascii="Traditional Arabic" w:hAnsi="Traditional Arabic" w:hint="cs"/>
                <w:sz w:val="30"/>
                <w:rtl/>
              </w:rPr>
              <w:t>ر</w:t>
            </w:r>
            <w:r w:rsidRPr="00980B8A">
              <w:rPr>
                <w:rFonts w:ascii="Traditional Arabic" w:hAnsi="Traditional Arabic"/>
                <w:sz w:val="30"/>
                <w:rtl/>
              </w:rPr>
              <w:t xml:space="preserve"> 201</w:t>
            </w:r>
            <w:r>
              <w:rPr>
                <w:rFonts w:ascii="Traditional Arabic" w:hAnsi="Traditional Arabic" w:hint="cs"/>
                <w:sz w:val="30"/>
                <w:rtl/>
              </w:rPr>
              <w:t>9</w:t>
            </w:r>
          </w:p>
          <w:p w14:paraId="5ECF8C5C" w14:textId="77777777" w:rsidR="002625D8" w:rsidRDefault="002625D8" w:rsidP="00583E92">
            <w:pPr>
              <w:bidi/>
              <w:spacing w:line="360" w:lineRule="exact"/>
              <w:jc w:val="both"/>
              <w:rPr>
                <w:rFonts w:ascii="Traditional Arabic" w:hAnsi="Traditional Arabic"/>
                <w:noProof/>
                <w:sz w:val="28"/>
                <w:szCs w:val="28"/>
                <w:rtl/>
                <w:lang w:eastAsia="en-CA"/>
              </w:rPr>
            </w:pPr>
            <w:r w:rsidRPr="00FF3359">
              <w:rPr>
                <w:rFonts w:ascii="Traditional Arabic" w:hAnsi="Traditional Arabic" w:hint="cs"/>
                <w:sz w:val="28"/>
                <w:rtl/>
              </w:rPr>
              <w:t xml:space="preserve">البند </w:t>
            </w:r>
            <w:r w:rsidR="00583E92">
              <w:rPr>
                <w:rFonts w:asciiTheme="minorHAnsi" w:hAnsiTheme="minorHAnsi" w:hint="cs"/>
                <w:sz w:val="28"/>
                <w:rtl/>
              </w:rPr>
              <w:t>5 (ك)</w:t>
            </w:r>
            <w:r>
              <w:rPr>
                <w:rFonts w:asciiTheme="minorHAnsi" w:hAnsiTheme="minorHAnsi" w:hint="cs"/>
                <w:sz w:val="28"/>
                <w:rtl/>
              </w:rPr>
              <w:t xml:space="preserve"> </w:t>
            </w:r>
            <w:r w:rsidRPr="00FF3359">
              <w:rPr>
                <w:rFonts w:ascii="Traditional Arabic" w:hAnsi="Traditional Arabic" w:hint="cs"/>
                <w:sz w:val="28"/>
                <w:rtl/>
              </w:rPr>
              <w:t>من جدول الأعمال المؤقت</w:t>
            </w:r>
            <w:r w:rsidRPr="00262E14">
              <w:rPr>
                <w:sz w:val="28"/>
                <w:szCs w:val="28"/>
                <w:vertAlign w:val="superscript"/>
              </w:rPr>
              <w:footnoteReference w:customMarkFollows="1" w:id="1"/>
              <w:t>*</w:t>
            </w:r>
          </w:p>
          <w:p w14:paraId="4E399EE0" w14:textId="4A3E3438" w:rsidR="00583E92" w:rsidRPr="002625D8" w:rsidRDefault="00583E92" w:rsidP="00EF46B6">
            <w:pPr>
              <w:bidi/>
              <w:spacing w:after="320" w:line="360" w:lineRule="exact"/>
              <w:ind w:right="2812"/>
              <w:jc w:val="both"/>
              <w:rPr>
                <w:rFonts w:ascii="Traditional Arabic" w:hAnsi="Traditional Arabic"/>
                <w:noProof/>
                <w:sz w:val="28"/>
                <w:szCs w:val="28"/>
                <w:rtl/>
                <w:lang w:eastAsia="en-CA"/>
              </w:rPr>
            </w:pPr>
            <w:r w:rsidRPr="00583E92">
              <w:rPr>
                <w:b/>
                <w:bCs/>
                <w:sz w:val="28"/>
                <w:szCs w:val="28"/>
                <w:rtl/>
              </w:rPr>
              <w:t>مسائل تُعرض على مؤتمر الأطراف لكي ينظر فيها</w:t>
            </w:r>
            <w:r>
              <w:rPr>
                <w:rFonts w:hint="cs"/>
                <w:b/>
                <w:bCs/>
                <w:sz w:val="28"/>
                <w:szCs w:val="28"/>
                <w:rtl/>
              </w:rPr>
              <w:t xml:space="preserve"> </w:t>
            </w:r>
            <w:r w:rsidRPr="00583E92">
              <w:rPr>
                <w:b/>
                <w:bCs/>
                <w:sz w:val="28"/>
                <w:szCs w:val="28"/>
                <w:rtl/>
              </w:rPr>
              <w:t>أو يتخذ إجراءً بشأنها:</w:t>
            </w:r>
            <w:r w:rsidRPr="00583E92">
              <w:rPr>
                <w:rFonts w:hint="cs"/>
                <w:b/>
                <w:bCs/>
                <w:sz w:val="28"/>
                <w:szCs w:val="28"/>
                <w:rtl/>
              </w:rPr>
              <w:t xml:space="preserve"> </w:t>
            </w:r>
            <w:r w:rsidRPr="00583E92">
              <w:rPr>
                <w:b/>
                <w:bCs/>
                <w:sz w:val="28"/>
                <w:szCs w:val="28"/>
                <w:rtl/>
              </w:rPr>
              <w:t>انبعاثات الزئبق</w:t>
            </w:r>
            <w:r>
              <w:rPr>
                <w:rFonts w:hint="cs"/>
                <w:b/>
                <w:bCs/>
                <w:sz w:val="28"/>
                <w:szCs w:val="28"/>
                <w:rtl/>
              </w:rPr>
              <w:t xml:space="preserve"> </w:t>
            </w:r>
            <w:r w:rsidRPr="00583E92">
              <w:rPr>
                <w:b/>
                <w:bCs/>
                <w:sz w:val="28"/>
                <w:szCs w:val="28"/>
                <w:rtl/>
              </w:rPr>
              <w:t>الناجمة عن الحرق المكشوف للنفايات</w:t>
            </w:r>
          </w:p>
        </w:tc>
      </w:tr>
    </w:tbl>
    <w:p w14:paraId="49DE69A9" w14:textId="75080A65" w:rsidR="00583E92" w:rsidRPr="00583E92" w:rsidRDefault="00583E92" w:rsidP="00EF46B6">
      <w:pPr>
        <w:pStyle w:val="BBTitle"/>
        <w:tabs>
          <w:tab w:val="clear" w:pos="1247"/>
          <w:tab w:val="clear" w:pos="1814"/>
          <w:tab w:val="clear" w:pos="2381"/>
          <w:tab w:val="clear" w:pos="2948"/>
          <w:tab w:val="clear" w:pos="3515"/>
          <w:tab w:val="clear" w:pos="4082"/>
          <w:tab w:val="left" w:pos="1699"/>
        </w:tabs>
        <w:bidi/>
        <w:spacing w:before="0" w:line="400" w:lineRule="exact"/>
        <w:ind w:left="1134" w:right="0"/>
        <w:jc w:val="both"/>
        <w:textDirection w:val="tbRlV"/>
        <w:rPr>
          <w:rFonts w:cs="Traditional Arabic" w:hint="cs"/>
          <w:sz w:val="34"/>
          <w:szCs w:val="34"/>
          <w:rtl/>
          <w:lang w:val="ar-SA" w:eastAsia="zh-TW"/>
        </w:rPr>
      </w:pPr>
      <w:r w:rsidRPr="00583E92">
        <w:rPr>
          <w:rFonts w:cs="Traditional Arabic"/>
          <w:bCs/>
          <w:sz w:val="34"/>
          <w:szCs w:val="34"/>
          <w:rtl/>
        </w:rPr>
        <w:t>المعلومات المتعلقة بانبعاثات الزئبق الناجمة عن الحرق المكشوف للنفايات</w:t>
      </w:r>
      <w:bookmarkStart w:id="0" w:name="_Hlk14867454"/>
      <w:bookmarkEnd w:id="0"/>
    </w:p>
    <w:p w14:paraId="74884BA3" w14:textId="47502501" w:rsidR="00583E92" w:rsidRPr="00AA5EA1" w:rsidRDefault="00583E92" w:rsidP="00583E92">
      <w:pPr>
        <w:pStyle w:val="CH2"/>
        <w:tabs>
          <w:tab w:val="clear" w:pos="1247"/>
          <w:tab w:val="clear" w:pos="1814"/>
          <w:tab w:val="clear" w:pos="2381"/>
          <w:tab w:val="clear" w:pos="2948"/>
          <w:tab w:val="clear" w:pos="3515"/>
          <w:tab w:val="clear" w:pos="4082"/>
          <w:tab w:val="left" w:pos="1699"/>
        </w:tabs>
        <w:bidi/>
        <w:spacing w:before="0" w:line="400" w:lineRule="exact"/>
        <w:ind w:left="1134" w:right="0" w:firstLine="0"/>
        <w:jc w:val="both"/>
        <w:textDirection w:val="tbRlV"/>
        <w:rPr>
          <w:rFonts w:cs="Traditional Arabic"/>
          <w:sz w:val="20"/>
          <w:szCs w:val="32"/>
          <w:rtl/>
          <w:lang w:val="ar-SA" w:eastAsia="zh-TW"/>
        </w:rPr>
      </w:pPr>
      <w:r w:rsidRPr="00AA5EA1">
        <w:rPr>
          <w:rFonts w:cs="Traditional Arabic"/>
          <w:bCs/>
          <w:sz w:val="20"/>
          <w:szCs w:val="32"/>
          <w:rtl/>
        </w:rPr>
        <w:t>مذكرة من الأمانة</w:t>
      </w:r>
    </w:p>
    <w:p w14:paraId="2BCAA4DA" w14:textId="77777777" w:rsidR="00583E92" w:rsidRPr="00AA5EA1" w:rsidRDefault="00583E92" w:rsidP="00EF46B6">
      <w:pPr>
        <w:pStyle w:val="Normalnumber"/>
        <w:numPr>
          <w:ilvl w:val="0"/>
          <w:numId w:val="21"/>
        </w:numPr>
        <w:tabs>
          <w:tab w:val="left" w:pos="624"/>
          <w:tab w:val="left" w:pos="1699"/>
        </w:tabs>
        <w:autoSpaceDE/>
        <w:autoSpaceDN/>
        <w:bidi/>
        <w:adjustRightInd/>
        <w:spacing w:after="0" w:line="400" w:lineRule="exact"/>
        <w:ind w:left="1134"/>
        <w:jc w:val="both"/>
        <w:textDirection w:val="tbRlV"/>
        <w:rPr>
          <w:rFonts w:cs="Traditional Arabic"/>
          <w:szCs w:val="30"/>
          <w:rtl/>
          <w:lang w:val="ar-SA" w:eastAsia="zh-TW"/>
        </w:rPr>
      </w:pPr>
      <w:r w:rsidRPr="00AA5EA1">
        <w:rPr>
          <w:rFonts w:cs="Traditional Arabic"/>
          <w:szCs w:val="30"/>
          <w:rtl/>
        </w:rPr>
        <w:t xml:space="preserve">اعتمد مؤتمر الأطراف في اتفاقية </w:t>
      </w:r>
      <w:proofErr w:type="spellStart"/>
      <w:r w:rsidRPr="00AA5EA1">
        <w:rPr>
          <w:rFonts w:cs="Traditional Arabic"/>
          <w:szCs w:val="30"/>
          <w:rtl/>
        </w:rPr>
        <w:t>ميناماتا</w:t>
      </w:r>
      <w:proofErr w:type="spellEnd"/>
      <w:r w:rsidRPr="00AA5EA1">
        <w:rPr>
          <w:rFonts w:cs="Traditional Arabic"/>
          <w:szCs w:val="30"/>
          <w:rtl/>
        </w:rPr>
        <w:t xml:space="preserve"> بشأن الزئبق، خلال اجتماعه الأول المعقود في جنيف في الفترة من</w:t>
      </w:r>
      <w:r w:rsidRPr="00EF46B6">
        <w:rPr>
          <w:rFonts w:ascii="Traditional Arabic" w:hAnsi="Traditional Arabic" w:cs="Traditional Arabic"/>
          <w:sz w:val="30"/>
          <w:szCs w:val="30"/>
        </w:rPr>
        <w:t xml:space="preserve"> </w:t>
      </w:r>
      <w:r w:rsidRPr="00EF46B6">
        <w:rPr>
          <w:rFonts w:ascii="Traditional Arabic" w:hAnsi="Traditional Arabic" w:cs="Traditional Arabic"/>
          <w:sz w:val="30"/>
          <w:szCs w:val="30"/>
          <w:rtl/>
        </w:rPr>
        <w:t>24</w:t>
      </w:r>
      <w:r w:rsidRPr="00EF46B6">
        <w:rPr>
          <w:rFonts w:ascii="Traditional Arabic" w:hAnsi="Traditional Arabic" w:cs="Traditional Arabic"/>
          <w:sz w:val="30"/>
          <w:szCs w:val="30"/>
        </w:rPr>
        <w:t xml:space="preserve"> </w:t>
      </w:r>
      <w:r w:rsidRPr="00EF46B6">
        <w:rPr>
          <w:rFonts w:ascii="Traditional Arabic" w:hAnsi="Traditional Arabic" w:cs="Traditional Arabic"/>
          <w:sz w:val="30"/>
          <w:szCs w:val="30"/>
          <w:rtl/>
        </w:rPr>
        <w:t>إلى</w:t>
      </w:r>
      <w:r w:rsidRPr="00EF46B6">
        <w:rPr>
          <w:rFonts w:ascii="Traditional Arabic" w:hAnsi="Traditional Arabic" w:cs="Traditional Arabic"/>
          <w:sz w:val="30"/>
          <w:szCs w:val="30"/>
        </w:rPr>
        <w:t xml:space="preserve"> </w:t>
      </w:r>
      <w:r w:rsidRPr="00EF46B6">
        <w:rPr>
          <w:rFonts w:ascii="Traditional Arabic" w:hAnsi="Traditional Arabic" w:cs="Traditional Arabic"/>
          <w:sz w:val="30"/>
          <w:szCs w:val="30"/>
          <w:rtl/>
        </w:rPr>
        <w:t>29</w:t>
      </w:r>
      <w:r w:rsidRPr="00EF46B6">
        <w:rPr>
          <w:rFonts w:ascii="Traditional Arabic" w:hAnsi="Traditional Arabic" w:cs="Traditional Arabic"/>
          <w:sz w:val="30"/>
          <w:szCs w:val="30"/>
        </w:rPr>
        <w:t xml:space="preserve"> </w:t>
      </w:r>
      <w:r w:rsidRPr="00EF46B6">
        <w:rPr>
          <w:rFonts w:ascii="Traditional Arabic" w:hAnsi="Traditional Arabic" w:cs="Traditional Arabic"/>
          <w:sz w:val="30"/>
          <w:szCs w:val="30"/>
          <w:rtl/>
        </w:rPr>
        <w:t>أيلول/سبتمبر</w:t>
      </w:r>
      <w:r w:rsidRPr="00AA5EA1">
        <w:rPr>
          <w:rFonts w:cs="Traditional Arabic"/>
          <w:szCs w:val="30"/>
          <w:rtl/>
        </w:rPr>
        <w:t xml:space="preserve"> 2017، المقرر ا م-1/14</w:t>
      </w:r>
      <w:r w:rsidRPr="00AA5EA1">
        <w:rPr>
          <w:rFonts w:cs="Traditional Arabic"/>
          <w:szCs w:val="30"/>
        </w:rPr>
        <w:t xml:space="preserve"> </w:t>
      </w:r>
      <w:r w:rsidRPr="00AA5EA1">
        <w:rPr>
          <w:rFonts w:cs="Traditional Arabic"/>
          <w:szCs w:val="30"/>
          <w:rtl/>
        </w:rPr>
        <w:t>بشأن انبعاثات الزئبق ذات الصلة بالحرق المكشوف للنفايات.</w:t>
      </w:r>
      <w:r w:rsidRPr="00AA5EA1">
        <w:rPr>
          <w:rFonts w:cs="Traditional Arabic"/>
          <w:szCs w:val="30"/>
        </w:rPr>
        <w:t xml:space="preserve"> </w:t>
      </w:r>
      <w:r w:rsidRPr="00AA5EA1">
        <w:rPr>
          <w:rFonts w:cs="Traditional Arabic"/>
          <w:szCs w:val="30"/>
          <w:rtl/>
        </w:rPr>
        <w:t xml:space="preserve">وفي ذلك المقرر، سلّم </w:t>
      </w:r>
      <w:r>
        <w:rPr>
          <w:rFonts w:cs="Traditional Arabic" w:hint="cs"/>
          <w:szCs w:val="30"/>
          <w:rtl/>
        </w:rPr>
        <w:t>مؤتمر الأطراف</w:t>
      </w:r>
      <w:r w:rsidRPr="00AA5EA1">
        <w:rPr>
          <w:rFonts w:cs="Traditional Arabic"/>
          <w:szCs w:val="30"/>
          <w:rtl/>
        </w:rPr>
        <w:t xml:space="preserve"> بأن الحرق المكشوف [للنفايات] قد يكون مصدراً هاماً لانبعاثات الزئبق لم يجرِ تحديده كمياً، وبأن التوجيهات بشأن أفضل التقنيات المتاحة وأفضل الممارسات </w:t>
      </w:r>
      <w:r w:rsidRPr="005D6265">
        <w:rPr>
          <w:rFonts w:ascii="Traditional Arabic" w:hAnsi="Traditional Arabic" w:cs="Traditional Arabic"/>
          <w:sz w:val="30"/>
          <w:szCs w:val="30"/>
          <w:rtl/>
        </w:rPr>
        <w:t>البيئية</w:t>
      </w:r>
      <w:r w:rsidRPr="005D6265">
        <w:rPr>
          <w:rFonts w:ascii="Traditional Arabic" w:hAnsi="Traditional Arabic" w:cs="Traditional Arabic"/>
          <w:sz w:val="30"/>
          <w:szCs w:val="30"/>
          <w:vertAlign w:val="superscript"/>
        </w:rPr>
        <w:t>)</w:t>
      </w:r>
      <w:r w:rsidRPr="005D6265">
        <w:rPr>
          <w:rFonts w:ascii="Traditional Arabic" w:hAnsi="Traditional Arabic" w:cs="Traditional Arabic"/>
          <w:sz w:val="30"/>
          <w:szCs w:val="30"/>
          <w:vertAlign w:val="superscript"/>
          <w:rtl/>
        </w:rPr>
        <w:footnoteReference w:id="2"/>
      </w:r>
      <w:r w:rsidRPr="005D6265">
        <w:rPr>
          <w:rFonts w:ascii="Traditional Arabic" w:hAnsi="Traditional Arabic" w:cs="Traditional Arabic"/>
          <w:sz w:val="30"/>
          <w:szCs w:val="30"/>
          <w:vertAlign w:val="superscript"/>
        </w:rPr>
        <w:t>(</w:t>
      </w:r>
      <w:r w:rsidRPr="005D6265">
        <w:rPr>
          <w:rFonts w:ascii="Traditional Arabic" w:hAnsi="Traditional Arabic" w:cs="Traditional Arabic"/>
          <w:sz w:val="30"/>
          <w:szCs w:val="30"/>
          <w:rtl/>
        </w:rPr>
        <w:t xml:space="preserve"> تفيد بأن الحرق المكشوف</w:t>
      </w:r>
      <w:r w:rsidRPr="00AA5EA1">
        <w:rPr>
          <w:rFonts w:cs="Traditional Arabic"/>
          <w:szCs w:val="30"/>
          <w:rtl/>
        </w:rPr>
        <w:t xml:space="preserve"> للنفايات يُعتبر من الممارسات البيئية السيئة التي ينبغي الثني عنها.</w:t>
      </w:r>
      <w:r w:rsidRPr="00AA5EA1">
        <w:rPr>
          <w:rFonts w:cs="Traditional Arabic"/>
          <w:szCs w:val="30"/>
        </w:rPr>
        <w:t xml:space="preserve"> </w:t>
      </w:r>
      <w:r w:rsidRPr="00AA5EA1">
        <w:rPr>
          <w:rFonts w:cs="Traditional Arabic"/>
          <w:szCs w:val="30"/>
          <w:rtl/>
        </w:rPr>
        <w:t xml:space="preserve">ودعا المؤتمر الأطراف وغيرها من الكيانات والمنظمات المهتمة إلى أن تقدم إلى الأمانة معلومات عن انبعاثات الزئبق من الحرق المكشوف للنفايات وطلب إلى الأمانة أن تواصل تجميع المعلومات، ولا سيما من البلدان النامية والبلدان التي تمر اقتصاداتها بمرحلة انتقالية، بما في ذلك المعلومات المستمدة من قوائم الجرد والتقييمات الأولية </w:t>
      </w:r>
      <w:proofErr w:type="spellStart"/>
      <w:r w:rsidRPr="00AA5EA1">
        <w:rPr>
          <w:rFonts w:cs="Traditional Arabic"/>
          <w:szCs w:val="30"/>
          <w:rtl/>
        </w:rPr>
        <w:t>لميناماتا</w:t>
      </w:r>
      <w:proofErr w:type="spellEnd"/>
      <w:r w:rsidRPr="00AA5EA1">
        <w:rPr>
          <w:rFonts w:cs="Traditional Arabic"/>
          <w:szCs w:val="30"/>
          <w:rtl/>
        </w:rPr>
        <w:t>، ومعامِلات الانبعاث والقياسات الحقيقية للانبعاثات التي تقدمها الأطراف، وأي معلومات ذات صلة تضعها مؤتمرات الأطراف في اتفاقية بازل بشأن التحكم في نقل النفايات الخطرة والتخلص منها عبر الحدود، واتفاقية استكهولم بشأن الملوثات العضوية الثابتة، وأن تقدم تلك المعلومات إلى مؤتمر الأطراف لكي ينظر في اجتماعه الثاني في ضرورة اتخاذ مزيد من الإجراءات.</w:t>
      </w:r>
    </w:p>
    <w:p w14:paraId="182303C2" w14:textId="77777777" w:rsidR="00583E92" w:rsidRPr="00AA5EA1" w:rsidRDefault="00583E92" w:rsidP="00583E92">
      <w:pPr>
        <w:pStyle w:val="Normalnumber"/>
        <w:numPr>
          <w:ilvl w:val="0"/>
          <w:numId w:val="21"/>
        </w:numPr>
        <w:tabs>
          <w:tab w:val="left" w:pos="624"/>
          <w:tab w:val="left" w:pos="1699"/>
        </w:tabs>
        <w:autoSpaceDE/>
        <w:autoSpaceDN/>
        <w:bidi/>
        <w:adjustRightInd/>
        <w:spacing w:line="400" w:lineRule="exact"/>
        <w:ind w:left="1134"/>
        <w:jc w:val="both"/>
        <w:textDirection w:val="tbRlV"/>
        <w:rPr>
          <w:rFonts w:cs="Traditional Arabic"/>
          <w:szCs w:val="30"/>
          <w:rtl/>
          <w:lang w:val="ar-SA" w:eastAsia="zh-TW"/>
        </w:rPr>
      </w:pPr>
      <w:r w:rsidRPr="00AA5EA1">
        <w:rPr>
          <w:rFonts w:cs="Traditional Arabic"/>
          <w:szCs w:val="30"/>
          <w:rtl/>
        </w:rPr>
        <w:t xml:space="preserve">وقدمت الأمانة المعلومات المجمّعة إلى </w:t>
      </w:r>
      <w:r>
        <w:rPr>
          <w:rFonts w:cs="Traditional Arabic" w:hint="cs"/>
          <w:szCs w:val="30"/>
          <w:rtl/>
        </w:rPr>
        <w:t>مؤتمر الأطراف</w:t>
      </w:r>
      <w:r w:rsidRPr="00AA5EA1">
        <w:rPr>
          <w:rFonts w:cs="Traditional Arabic"/>
          <w:szCs w:val="30"/>
          <w:rtl/>
        </w:rPr>
        <w:t xml:space="preserve"> في اجتماعه الثاني المعقود في جنيف في الفترة من</w:t>
      </w:r>
      <w:r w:rsidRPr="00AA5EA1">
        <w:rPr>
          <w:rFonts w:cs="Traditional Arabic"/>
          <w:szCs w:val="30"/>
        </w:rPr>
        <w:t xml:space="preserve"> </w:t>
      </w:r>
      <w:r w:rsidRPr="00EF46B6">
        <w:rPr>
          <w:rFonts w:ascii="Traditional Arabic" w:hAnsi="Traditional Arabic" w:cs="Traditional Arabic"/>
          <w:sz w:val="30"/>
          <w:szCs w:val="30"/>
          <w:rtl/>
        </w:rPr>
        <w:t>19</w:t>
      </w:r>
      <w:r w:rsidRPr="00EF46B6">
        <w:rPr>
          <w:rFonts w:ascii="Traditional Arabic" w:hAnsi="Traditional Arabic" w:cs="Traditional Arabic"/>
          <w:sz w:val="30"/>
          <w:szCs w:val="30"/>
        </w:rPr>
        <w:t xml:space="preserve"> </w:t>
      </w:r>
      <w:r w:rsidRPr="00EF46B6">
        <w:rPr>
          <w:rFonts w:ascii="Traditional Arabic" w:hAnsi="Traditional Arabic" w:cs="Traditional Arabic"/>
          <w:sz w:val="30"/>
          <w:szCs w:val="30"/>
          <w:rtl/>
        </w:rPr>
        <w:t>إلى</w:t>
      </w:r>
      <w:r w:rsidRPr="00EF46B6">
        <w:rPr>
          <w:rFonts w:ascii="Traditional Arabic" w:hAnsi="Traditional Arabic" w:cs="Traditional Arabic"/>
          <w:sz w:val="30"/>
          <w:szCs w:val="30"/>
        </w:rPr>
        <w:t xml:space="preserve"> </w:t>
      </w:r>
      <w:r w:rsidRPr="00EF46B6">
        <w:rPr>
          <w:rFonts w:ascii="Traditional Arabic" w:hAnsi="Traditional Arabic" w:cs="Traditional Arabic"/>
          <w:sz w:val="30"/>
          <w:szCs w:val="30"/>
          <w:rtl/>
        </w:rPr>
        <w:t>23</w:t>
      </w:r>
      <w:r w:rsidRPr="00EF46B6">
        <w:rPr>
          <w:rFonts w:ascii="Traditional Arabic" w:hAnsi="Traditional Arabic" w:cs="Traditional Arabic"/>
          <w:sz w:val="30"/>
          <w:szCs w:val="30"/>
        </w:rPr>
        <w:t xml:space="preserve"> </w:t>
      </w:r>
      <w:r w:rsidRPr="00EF46B6">
        <w:rPr>
          <w:rFonts w:ascii="Traditional Arabic" w:hAnsi="Traditional Arabic" w:cs="Traditional Arabic"/>
          <w:sz w:val="30"/>
          <w:szCs w:val="30"/>
          <w:rtl/>
        </w:rPr>
        <w:t>تشرين</w:t>
      </w:r>
      <w:r w:rsidRPr="00AA5EA1">
        <w:rPr>
          <w:rFonts w:cs="Traditional Arabic"/>
          <w:szCs w:val="30"/>
          <w:rtl/>
        </w:rPr>
        <w:t xml:space="preserve"> الثاني/نوفمبر</w:t>
      </w:r>
      <w:r w:rsidRPr="00AA5EA1">
        <w:rPr>
          <w:rFonts w:cs="Traditional Arabic"/>
          <w:szCs w:val="30"/>
        </w:rPr>
        <w:t xml:space="preserve"> </w:t>
      </w:r>
      <w:r w:rsidRPr="00AA5EA1">
        <w:rPr>
          <w:rFonts w:cs="Traditional Arabic"/>
          <w:szCs w:val="30"/>
          <w:rtl/>
        </w:rPr>
        <w:t>2018. واتفق المؤتمر، إذ أحاط علماً بالمعلومات المجمّعة، على أن تقديم الدعم للبلدان النامية بشأن هذه المسألة الهامة يتسم بأهمية حيوية وطلب إلى الأمانة أن تواصل جمع المعلومات ذات الصلة وإتاحة الاطلاع عليها.</w:t>
      </w:r>
      <w:r w:rsidRPr="00AA5EA1">
        <w:rPr>
          <w:rFonts w:cs="Traditional Arabic"/>
          <w:szCs w:val="30"/>
        </w:rPr>
        <w:t xml:space="preserve"> </w:t>
      </w:r>
      <w:r w:rsidRPr="00AA5EA1">
        <w:rPr>
          <w:rFonts w:cs="Traditional Arabic"/>
          <w:szCs w:val="30"/>
          <w:rtl/>
        </w:rPr>
        <w:t>وكذلك طلب المؤتمر إلى الأمانة الاستمرار في المشاركة في هذه المسألة مع أمانة اتفاقيات بازل وروتردام واستكهولم وإطلاع المؤتمر على آخر المعلومات في اجتماعه الثالث.</w:t>
      </w:r>
    </w:p>
    <w:p w14:paraId="1253E4AC" w14:textId="09D05B5E" w:rsidR="00583E92" w:rsidRPr="00AA5EA1" w:rsidRDefault="00583E92" w:rsidP="00583E92">
      <w:pPr>
        <w:pStyle w:val="Normalnumber"/>
        <w:numPr>
          <w:ilvl w:val="0"/>
          <w:numId w:val="21"/>
        </w:numPr>
        <w:tabs>
          <w:tab w:val="left" w:pos="624"/>
          <w:tab w:val="left" w:pos="1699"/>
        </w:tabs>
        <w:autoSpaceDE/>
        <w:autoSpaceDN/>
        <w:bidi/>
        <w:adjustRightInd/>
        <w:spacing w:line="400" w:lineRule="exact"/>
        <w:ind w:left="1134"/>
        <w:jc w:val="both"/>
        <w:textDirection w:val="tbRlV"/>
        <w:rPr>
          <w:rFonts w:cs="Traditional Arabic"/>
          <w:szCs w:val="30"/>
          <w:rtl/>
          <w:lang w:val="ar-SA" w:eastAsia="zh-TW"/>
        </w:rPr>
      </w:pPr>
      <w:r w:rsidRPr="00AA5EA1">
        <w:rPr>
          <w:rFonts w:cs="Traditional Arabic"/>
          <w:szCs w:val="30"/>
          <w:rtl/>
        </w:rPr>
        <w:t xml:space="preserve">ووُجهت دعوة إلى الأطراف والجهات المعنية الأخرى إلى تقديم معلومات عن انبعاثات الزئبق الناجمة عن الحرق المكشوف للنفايات، من خلال رسالة موجهة من الأمين التنفيذي بتاريخ 3 كانون الأول/ديسمبر 2018 بشأن الإجراءات اللازمة لمتابعة نتائج الاجتماع الثاني للمؤتمر. ووردت إفادة من نيجيريا تصف الممارسات العامة لإدارة النفايات وتقديرات انبعاثات الزئبق الناجمة عن الحرق المكشوف للنفايات. وترد هذه الإفادة في الوثيقة </w:t>
      </w:r>
      <w:r w:rsidRPr="00AA5EA1">
        <w:rPr>
          <w:rFonts w:cs="Traditional Arabic"/>
          <w:szCs w:val="30"/>
        </w:rPr>
        <w:t>UNEP/MC/COP.3/INF/16</w:t>
      </w:r>
      <w:r w:rsidRPr="00AA5EA1">
        <w:rPr>
          <w:rFonts w:cs="Traditional Arabic"/>
          <w:szCs w:val="30"/>
          <w:rtl/>
        </w:rPr>
        <w:t xml:space="preserve">، وهي أيضاً متاحة على الموقع الشبكي لاتفاقية </w:t>
      </w:r>
      <w:proofErr w:type="spellStart"/>
      <w:r w:rsidRPr="00AA5EA1">
        <w:rPr>
          <w:rFonts w:cs="Traditional Arabic"/>
          <w:szCs w:val="30"/>
          <w:rtl/>
        </w:rPr>
        <w:t>ميناماتا</w:t>
      </w:r>
      <w:proofErr w:type="spellEnd"/>
      <w:r w:rsidRPr="00AA5EA1">
        <w:rPr>
          <w:rFonts w:cs="Traditional Arabic"/>
          <w:szCs w:val="30"/>
          <w:rtl/>
        </w:rPr>
        <w:t xml:space="preserve"> على الرابط: </w:t>
      </w:r>
      <w:r w:rsidRPr="00AA5EA1">
        <w:rPr>
          <w:rFonts w:cs="Traditional Arabic"/>
          <w:szCs w:val="30"/>
        </w:rPr>
        <w:t xml:space="preserve">www.mercuryconvention.org/Meetings/Intersessionalwork/tabid/7857/language/ </w:t>
      </w:r>
      <w:proofErr w:type="spellStart"/>
      <w:r w:rsidRPr="00AA5EA1">
        <w:rPr>
          <w:rFonts w:cs="Traditional Arabic"/>
          <w:szCs w:val="30"/>
        </w:rPr>
        <w:t>en</w:t>
      </w:r>
      <w:proofErr w:type="spellEnd"/>
      <w:r w:rsidRPr="00AA5EA1">
        <w:rPr>
          <w:rFonts w:cs="Traditional Arabic"/>
          <w:szCs w:val="30"/>
        </w:rPr>
        <w:t>-US/Default.aspx</w:t>
      </w:r>
      <w:r w:rsidR="008E4579">
        <w:rPr>
          <w:rFonts w:cs="Traditional Arabic" w:hint="cs"/>
          <w:szCs w:val="30"/>
          <w:rtl/>
          <w:lang w:val="ar-SA" w:eastAsia="zh-TW"/>
        </w:rPr>
        <w:t>.</w:t>
      </w:r>
    </w:p>
    <w:p w14:paraId="377860FE" w14:textId="44965298" w:rsidR="00583E92" w:rsidRPr="00AA5EA1" w:rsidRDefault="00583E92" w:rsidP="00583E92">
      <w:pPr>
        <w:pStyle w:val="Normalnumber"/>
        <w:numPr>
          <w:ilvl w:val="0"/>
          <w:numId w:val="21"/>
        </w:numPr>
        <w:tabs>
          <w:tab w:val="left" w:pos="624"/>
          <w:tab w:val="left" w:pos="1699"/>
        </w:tabs>
        <w:autoSpaceDE/>
        <w:autoSpaceDN/>
        <w:bidi/>
        <w:adjustRightInd/>
        <w:spacing w:line="400" w:lineRule="exact"/>
        <w:ind w:left="1134"/>
        <w:jc w:val="both"/>
        <w:textDirection w:val="tbRlV"/>
        <w:rPr>
          <w:rFonts w:cs="Traditional Arabic"/>
          <w:szCs w:val="30"/>
          <w:rtl/>
          <w:lang w:val="ar-SA" w:eastAsia="zh-TW"/>
        </w:rPr>
      </w:pPr>
      <w:r w:rsidRPr="00AA5EA1">
        <w:rPr>
          <w:rFonts w:cs="Traditional Arabic"/>
          <w:szCs w:val="30"/>
          <w:rtl/>
        </w:rPr>
        <w:t>ونظم كل من الأمانة والمركز الدولي للتكنولوجيا البيئية التابع لبرنامج الأمم المتحدة للبيئة، ووزارة البيئة اليابانية حلقة عمل بشأن أوجه التآزر في مجال إدارة نفايات الزئبق في أوساكا، اليابان، عقدت يومي 30 و31 أيار/مايو 2019. وتناولت حلقة العمل أنواعاً مختلفة من الحرق المكشوف للنفايات، بما في ذلك الحرق المكشوف المتعمد وغير المتعمد في مقالب النفايات أو الحدائق. وأوصى المشاركون بتعزيز الالتزامات السياسية بوضع إطار تشريعي، ووضع خطة لإدارة النفايات من أجل تشجيع الانتقال من الحرق المكشوف للنفايات إلى</w:t>
      </w:r>
      <w:r>
        <w:rPr>
          <w:rFonts w:cs="Traditional Arabic" w:hint="cs"/>
          <w:szCs w:val="30"/>
          <w:rtl/>
        </w:rPr>
        <w:t xml:space="preserve"> التخلص منها في</w:t>
      </w:r>
      <w:r w:rsidRPr="00AA5EA1">
        <w:rPr>
          <w:rFonts w:cs="Traditional Arabic"/>
          <w:szCs w:val="30"/>
          <w:rtl/>
        </w:rPr>
        <w:t xml:space="preserve"> مواقع دفن القمامة الصحية وحرقها في ظل تدابير ملائمة لمكافحة التلوث، وإطلاق برنامج رصد لقياس انبعاثات الزئبق.</w:t>
      </w:r>
      <w:r w:rsidRPr="00AA5EA1">
        <w:rPr>
          <w:rFonts w:cs="Traditional Arabic"/>
          <w:szCs w:val="30"/>
        </w:rPr>
        <w:t xml:space="preserve"> </w:t>
      </w:r>
      <w:r w:rsidRPr="00AA5EA1">
        <w:rPr>
          <w:rFonts w:cs="Traditional Arabic"/>
          <w:szCs w:val="30"/>
          <w:rtl/>
        </w:rPr>
        <w:t>وسيتاح التقرير عن حلقة العمل على الموقع الشبكي للاتفاقية.</w:t>
      </w:r>
    </w:p>
    <w:p w14:paraId="202DC731" w14:textId="77777777" w:rsidR="00583E92" w:rsidRPr="00AA5EA1" w:rsidRDefault="00583E92" w:rsidP="00583E92">
      <w:pPr>
        <w:pStyle w:val="Normalnumber"/>
        <w:numPr>
          <w:ilvl w:val="0"/>
          <w:numId w:val="21"/>
        </w:numPr>
        <w:tabs>
          <w:tab w:val="left" w:pos="624"/>
          <w:tab w:val="left" w:pos="1699"/>
        </w:tabs>
        <w:autoSpaceDE/>
        <w:autoSpaceDN/>
        <w:bidi/>
        <w:adjustRightInd/>
        <w:spacing w:line="400" w:lineRule="exact"/>
        <w:ind w:left="1134"/>
        <w:jc w:val="both"/>
        <w:textDirection w:val="tbRlV"/>
        <w:rPr>
          <w:rFonts w:cs="Traditional Arabic"/>
          <w:szCs w:val="30"/>
          <w:rtl/>
          <w:lang w:val="ar-SA" w:eastAsia="zh-TW"/>
        </w:rPr>
      </w:pPr>
      <w:r>
        <w:rPr>
          <w:rFonts w:cs="Traditional Arabic" w:hint="cs"/>
          <w:szCs w:val="30"/>
          <w:rtl/>
        </w:rPr>
        <w:t>ووضع</w:t>
      </w:r>
      <w:r w:rsidRPr="00AA5EA1">
        <w:rPr>
          <w:rFonts w:cs="Traditional Arabic"/>
          <w:szCs w:val="30"/>
          <w:rtl/>
        </w:rPr>
        <w:t xml:space="preserve"> برنامج الأمم المتحدة للبيئة، بالتعاون مع معهد الأمم المتحدة للتدريب والبحث، </w:t>
      </w:r>
      <w:r>
        <w:rPr>
          <w:rFonts w:cs="Traditional Arabic" w:hint="cs"/>
          <w:szCs w:val="30"/>
          <w:rtl/>
        </w:rPr>
        <w:t>تحديثاً لم</w:t>
      </w:r>
      <w:r w:rsidRPr="00AA5EA1">
        <w:rPr>
          <w:rFonts w:cs="Traditional Arabic"/>
          <w:szCs w:val="30"/>
          <w:rtl/>
        </w:rPr>
        <w:t xml:space="preserve">عامل </w:t>
      </w:r>
      <w:r>
        <w:rPr>
          <w:rFonts w:cs="Traditional Arabic" w:hint="cs"/>
          <w:szCs w:val="30"/>
          <w:rtl/>
        </w:rPr>
        <w:t>الإدخال</w:t>
      </w:r>
      <w:r w:rsidRPr="00AA5EA1">
        <w:rPr>
          <w:rFonts w:cs="Traditional Arabic"/>
          <w:szCs w:val="30"/>
          <w:rtl/>
        </w:rPr>
        <w:t xml:space="preserve"> الافتراضي المستخدم للحرق المكشوف للنفايات في مجموعة أدوات تحديد الزئبق المتسرِّب وتقدير كميته. فاستناداً إلى البحوث التي أجريت، </w:t>
      </w:r>
      <w:r>
        <w:rPr>
          <w:rFonts w:cs="Traditional Arabic" w:hint="cs"/>
          <w:szCs w:val="30"/>
          <w:rtl/>
        </w:rPr>
        <w:t>عُدِّل</w:t>
      </w:r>
      <w:r w:rsidRPr="00AA5EA1">
        <w:rPr>
          <w:rFonts w:cs="Traditional Arabic"/>
          <w:szCs w:val="30"/>
          <w:rtl/>
        </w:rPr>
        <w:t xml:space="preserve"> ال</w:t>
      </w:r>
      <w:r>
        <w:rPr>
          <w:rFonts w:cs="Traditional Arabic" w:hint="cs"/>
          <w:szCs w:val="30"/>
          <w:rtl/>
        </w:rPr>
        <w:t>م</w:t>
      </w:r>
      <w:r w:rsidRPr="00AA5EA1">
        <w:rPr>
          <w:rFonts w:cs="Traditional Arabic"/>
          <w:szCs w:val="30"/>
          <w:rtl/>
        </w:rPr>
        <w:t xml:space="preserve">عامل الافتراضي (5 غرامات زئبق/طن </w:t>
      </w:r>
      <w:r>
        <w:rPr>
          <w:rFonts w:cs="Traditional Arabic" w:hint="cs"/>
          <w:szCs w:val="30"/>
          <w:rtl/>
        </w:rPr>
        <w:t xml:space="preserve">يُحرق </w:t>
      </w:r>
      <w:r w:rsidRPr="00AA5EA1">
        <w:rPr>
          <w:rFonts w:cs="Traditional Arabic"/>
          <w:szCs w:val="30"/>
          <w:rtl/>
        </w:rPr>
        <w:t xml:space="preserve">من القمامة، </w:t>
      </w:r>
      <w:r>
        <w:rPr>
          <w:rFonts w:cs="Traditional Arabic" w:hint="cs"/>
          <w:szCs w:val="30"/>
          <w:rtl/>
        </w:rPr>
        <w:t>ونطاق من</w:t>
      </w:r>
      <w:r w:rsidRPr="00AA5EA1">
        <w:rPr>
          <w:rFonts w:cs="Traditional Arabic"/>
          <w:szCs w:val="30"/>
          <w:rtl/>
        </w:rPr>
        <w:t xml:space="preserve"> 1 </w:t>
      </w:r>
      <w:r>
        <w:rPr>
          <w:rFonts w:cs="Traditional Arabic" w:hint="cs"/>
          <w:szCs w:val="30"/>
          <w:rtl/>
        </w:rPr>
        <w:t xml:space="preserve">إلى </w:t>
      </w:r>
      <w:r w:rsidRPr="00AA5EA1">
        <w:rPr>
          <w:rFonts w:cs="Traditional Arabic"/>
          <w:szCs w:val="30"/>
          <w:rtl/>
        </w:rPr>
        <w:t xml:space="preserve">10 غرامات زئبق/طن) </w:t>
      </w:r>
      <w:r>
        <w:rPr>
          <w:rFonts w:cs="Traditional Arabic" w:hint="cs"/>
          <w:szCs w:val="30"/>
          <w:rtl/>
        </w:rPr>
        <w:t>بتخفيضه</w:t>
      </w:r>
      <w:r w:rsidRPr="00AA5EA1">
        <w:rPr>
          <w:rFonts w:cs="Traditional Arabic"/>
          <w:szCs w:val="30"/>
          <w:rtl/>
        </w:rPr>
        <w:t xml:space="preserve"> إلى 1 غرام زئبق/طن </w:t>
      </w:r>
      <w:r>
        <w:rPr>
          <w:rFonts w:cs="Traditional Arabic" w:hint="cs"/>
          <w:szCs w:val="30"/>
          <w:rtl/>
        </w:rPr>
        <w:t xml:space="preserve">ونطاق من </w:t>
      </w:r>
      <w:r w:rsidRPr="00AA5EA1">
        <w:rPr>
          <w:rFonts w:cs="Traditional Arabic"/>
          <w:szCs w:val="30"/>
          <w:rtl/>
        </w:rPr>
        <w:t>0,2 إلى 4 غرامات زئبق/طن. ويُعتقد أن ال</w:t>
      </w:r>
      <w:r>
        <w:rPr>
          <w:rFonts w:cs="Traditional Arabic" w:hint="cs"/>
          <w:szCs w:val="30"/>
          <w:rtl/>
        </w:rPr>
        <w:t>م</w:t>
      </w:r>
      <w:r w:rsidRPr="00AA5EA1">
        <w:rPr>
          <w:rFonts w:cs="Traditional Arabic"/>
          <w:szCs w:val="30"/>
          <w:rtl/>
        </w:rPr>
        <w:t>عامل الافتراضي الجديد يعكس بصورة أفضل تكوين النفايات التي يتم حرقها في الأماكن المفتوحة في معظم البلدان التي تستخدم مجموعة الأدوات. ومع ذلك، يُشجَّع المستخدمون على النظر في المعامل وتعديله وفقاً للمعارف المتاحة والحالة المحددة لكل بلد. وستُنشر مجموعة الأدوات المحدثة على الموقع الشبكي لبرنامج الأمم المتحدة للبيئة</w:t>
      </w:r>
      <w:r>
        <w:rPr>
          <w:rFonts w:cs="Traditional Arabic" w:hint="cs"/>
          <w:szCs w:val="30"/>
          <w:vertAlign w:val="superscript"/>
          <w:rtl/>
        </w:rPr>
        <w:t>(</w:t>
      </w:r>
      <w:r w:rsidRPr="00AA5EA1">
        <w:rPr>
          <w:rStyle w:val="FootnoteReference"/>
          <w:rFonts w:cs="Traditional Arabic"/>
          <w:szCs w:val="30"/>
          <w:rtl/>
        </w:rPr>
        <w:footnoteReference w:id="3"/>
      </w:r>
      <w:r>
        <w:rPr>
          <w:rFonts w:cs="Traditional Arabic" w:hint="cs"/>
          <w:szCs w:val="30"/>
          <w:vertAlign w:val="superscript"/>
          <w:rtl/>
        </w:rPr>
        <w:t>)</w:t>
      </w:r>
      <w:r w:rsidRPr="00AA5EA1">
        <w:rPr>
          <w:rFonts w:cs="Traditional Arabic"/>
          <w:szCs w:val="30"/>
          <w:rtl/>
        </w:rPr>
        <w:t>.</w:t>
      </w:r>
      <w:bookmarkStart w:id="1" w:name="_Hlk14864244"/>
      <w:bookmarkEnd w:id="1"/>
    </w:p>
    <w:p w14:paraId="173F7141" w14:textId="77777777" w:rsidR="00583E92" w:rsidRPr="00AA5EA1" w:rsidRDefault="00583E92" w:rsidP="00583E92">
      <w:pPr>
        <w:pStyle w:val="Normalnumber"/>
        <w:numPr>
          <w:ilvl w:val="0"/>
          <w:numId w:val="21"/>
        </w:numPr>
        <w:tabs>
          <w:tab w:val="left" w:pos="624"/>
          <w:tab w:val="left" w:pos="1699"/>
        </w:tabs>
        <w:autoSpaceDE/>
        <w:autoSpaceDN/>
        <w:bidi/>
        <w:adjustRightInd/>
        <w:spacing w:line="400" w:lineRule="exact"/>
        <w:ind w:left="1134"/>
        <w:jc w:val="both"/>
        <w:textDirection w:val="tbRlV"/>
        <w:rPr>
          <w:rFonts w:cs="Traditional Arabic"/>
          <w:szCs w:val="30"/>
          <w:rtl/>
          <w:lang w:val="ar-SA" w:eastAsia="zh-TW"/>
        </w:rPr>
      </w:pPr>
      <w:r w:rsidRPr="00AA5EA1">
        <w:rPr>
          <w:rFonts w:cs="Traditional Arabic"/>
          <w:szCs w:val="30"/>
          <w:rtl/>
        </w:rPr>
        <w:t>وفي محاولة لمواصلة معالجة الحاجة إلى بيانات كمية</w:t>
      </w:r>
      <w:r>
        <w:rPr>
          <w:rFonts w:cs="Traditional Arabic" w:hint="cs"/>
          <w:szCs w:val="30"/>
          <w:rtl/>
        </w:rPr>
        <w:t>،</w:t>
      </w:r>
      <w:r w:rsidRPr="00AA5EA1">
        <w:rPr>
          <w:rFonts w:cs="Traditional Arabic"/>
          <w:szCs w:val="30"/>
          <w:rtl/>
        </w:rPr>
        <w:t xml:space="preserve"> على النحو المسلّم به في المقرر ا م-1/14، ما فتئ المركز الدولي للتكنولوجيا البيئية يجري رصداً للزئبق الناجم عن الحرق المكشوف للنفايات ومقالب القمامة المكشوفة بالتعاون مع وزارة البيئة اليابانية، كجزء من مشروع الإدارة السليمة بيئياً لنفايات الزئبق الذي تموله اليابان.</w:t>
      </w:r>
      <w:r w:rsidRPr="00AA5EA1">
        <w:rPr>
          <w:rFonts w:cs="Traditional Arabic"/>
          <w:szCs w:val="30"/>
        </w:rPr>
        <w:t xml:space="preserve"> </w:t>
      </w:r>
      <w:r>
        <w:rPr>
          <w:rFonts w:cs="Traditional Arabic" w:hint="cs"/>
          <w:szCs w:val="30"/>
          <w:rtl/>
        </w:rPr>
        <w:t>و</w:t>
      </w:r>
      <w:r w:rsidRPr="00AA5EA1">
        <w:rPr>
          <w:rFonts w:cs="Traditional Arabic"/>
          <w:szCs w:val="30"/>
          <w:rtl/>
        </w:rPr>
        <w:t>أجري رصد الزئبق في مدفن قمامة ’’</w:t>
      </w:r>
      <w:proofErr w:type="spellStart"/>
      <w:r w:rsidRPr="00AA5EA1">
        <w:rPr>
          <w:rFonts w:cs="Traditional Arabic"/>
          <w:szCs w:val="30"/>
          <w:rtl/>
        </w:rPr>
        <w:t>بانتار</w:t>
      </w:r>
      <w:proofErr w:type="spellEnd"/>
      <w:r w:rsidRPr="00AA5EA1">
        <w:rPr>
          <w:rFonts w:cs="Traditional Arabic"/>
          <w:szCs w:val="30"/>
          <w:rtl/>
        </w:rPr>
        <w:t xml:space="preserve"> </w:t>
      </w:r>
      <w:proofErr w:type="spellStart"/>
      <w:r w:rsidRPr="00AA5EA1">
        <w:rPr>
          <w:rFonts w:cs="Traditional Arabic"/>
          <w:szCs w:val="30"/>
          <w:rtl/>
        </w:rPr>
        <w:t>غيبانغ</w:t>
      </w:r>
      <w:proofErr w:type="spellEnd"/>
      <w:r w:rsidRPr="00AA5EA1">
        <w:rPr>
          <w:rFonts w:cs="Traditional Arabic"/>
          <w:szCs w:val="30"/>
          <w:rtl/>
        </w:rPr>
        <w:t>‘‘ في إندونيسيا في حزيران/يونيه 2018، ومدفن قمامة ’’</w:t>
      </w:r>
      <w:proofErr w:type="spellStart"/>
      <w:r w:rsidRPr="00AA5EA1">
        <w:rPr>
          <w:rFonts w:cs="Traditional Arabic"/>
          <w:szCs w:val="30"/>
          <w:rtl/>
        </w:rPr>
        <w:t>داندورا</w:t>
      </w:r>
      <w:proofErr w:type="spellEnd"/>
      <w:r w:rsidRPr="00AA5EA1">
        <w:rPr>
          <w:rFonts w:cs="Traditional Arabic"/>
          <w:szCs w:val="30"/>
          <w:rtl/>
        </w:rPr>
        <w:t>‘‘ في كينيا في تشرين الثاني/نوفمبر 2018، و</w:t>
      </w:r>
      <w:r>
        <w:rPr>
          <w:rFonts w:cs="Traditional Arabic" w:hint="cs"/>
          <w:szCs w:val="30"/>
          <w:rtl/>
        </w:rPr>
        <w:t xml:space="preserve">في </w:t>
      </w:r>
      <w:r w:rsidRPr="00AA5EA1">
        <w:rPr>
          <w:rFonts w:cs="Traditional Arabic"/>
          <w:szCs w:val="30"/>
          <w:rtl/>
        </w:rPr>
        <w:t>مدفن قمامة ’’تين بين‘‘ في ميانمار في كانون الثاني/يناير 2019، وسيجرى في موقعين إضافيين في عامي 2019 و2020. وستصدر نتائج رصد الزئبق في عام 2020.</w:t>
      </w:r>
    </w:p>
    <w:p w14:paraId="77E884E8" w14:textId="77777777" w:rsidR="00583E92" w:rsidRPr="00AA5EA1" w:rsidRDefault="00583E92" w:rsidP="00583E92">
      <w:pPr>
        <w:pStyle w:val="Normalnumber"/>
        <w:numPr>
          <w:ilvl w:val="0"/>
          <w:numId w:val="21"/>
        </w:numPr>
        <w:tabs>
          <w:tab w:val="left" w:pos="624"/>
          <w:tab w:val="left" w:pos="1699"/>
        </w:tabs>
        <w:autoSpaceDE/>
        <w:autoSpaceDN/>
        <w:bidi/>
        <w:adjustRightInd/>
        <w:spacing w:line="400" w:lineRule="exact"/>
        <w:ind w:left="1134"/>
        <w:jc w:val="both"/>
        <w:textDirection w:val="tbRlV"/>
        <w:rPr>
          <w:rFonts w:cs="Traditional Arabic"/>
          <w:szCs w:val="30"/>
          <w:rtl/>
          <w:lang w:val="ar-SA" w:eastAsia="zh-TW"/>
        </w:rPr>
      </w:pPr>
      <w:r>
        <w:rPr>
          <w:rFonts w:cs="Traditional Arabic" w:hint="cs"/>
          <w:szCs w:val="30"/>
          <w:rtl/>
        </w:rPr>
        <w:t>ووضعت أيضاً</w:t>
      </w:r>
      <w:r w:rsidRPr="00AA5EA1">
        <w:rPr>
          <w:rFonts w:cs="Traditional Arabic"/>
          <w:szCs w:val="30"/>
          <w:rtl/>
        </w:rPr>
        <w:t xml:space="preserve"> معلومات ذات صلة بالحرق المكشوف للنفايات في سياق اتفاقيتي بازل واستكهولم</w:t>
      </w:r>
      <w:r>
        <w:rPr>
          <w:rFonts w:cs="Traditional Arabic" w:hint="cs"/>
          <w:szCs w:val="30"/>
          <w:vertAlign w:val="superscript"/>
          <w:rtl/>
        </w:rPr>
        <w:t>(</w:t>
      </w:r>
      <w:r w:rsidRPr="00AA5EA1">
        <w:rPr>
          <w:rStyle w:val="FootnoteReference"/>
          <w:rFonts w:cs="Traditional Arabic"/>
          <w:szCs w:val="30"/>
          <w:rtl/>
        </w:rPr>
        <w:footnoteReference w:id="4"/>
      </w:r>
      <w:r>
        <w:rPr>
          <w:rFonts w:cs="Traditional Arabic" w:hint="cs"/>
          <w:szCs w:val="30"/>
          <w:vertAlign w:val="superscript"/>
          <w:rtl/>
        </w:rPr>
        <w:t>)</w:t>
      </w:r>
      <w:r w:rsidRPr="00AA5EA1">
        <w:rPr>
          <w:rFonts w:cs="Traditional Arabic"/>
          <w:szCs w:val="30"/>
          <w:rtl/>
        </w:rPr>
        <w:t>.</w:t>
      </w:r>
    </w:p>
    <w:p w14:paraId="2E3F9E43" w14:textId="77777777" w:rsidR="00583E92" w:rsidRPr="00AA5EA1" w:rsidRDefault="00583E92" w:rsidP="00583E92">
      <w:pPr>
        <w:pStyle w:val="Normalnumber"/>
        <w:numPr>
          <w:ilvl w:val="0"/>
          <w:numId w:val="21"/>
        </w:numPr>
        <w:tabs>
          <w:tab w:val="left" w:pos="624"/>
          <w:tab w:val="left" w:pos="1699"/>
        </w:tabs>
        <w:autoSpaceDE/>
        <w:autoSpaceDN/>
        <w:bidi/>
        <w:adjustRightInd/>
        <w:spacing w:line="400" w:lineRule="exact"/>
        <w:ind w:left="1134"/>
        <w:jc w:val="both"/>
        <w:textDirection w:val="tbRlV"/>
        <w:rPr>
          <w:rFonts w:cs="Traditional Arabic"/>
          <w:szCs w:val="30"/>
          <w:rtl/>
          <w:lang w:val="ar-SA" w:eastAsia="zh-TW"/>
        </w:rPr>
      </w:pPr>
      <w:r w:rsidRPr="00AA5EA1">
        <w:rPr>
          <w:rFonts w:cs="Traditional Arabic"/>
          <w:szCs w:val="30"/>
          <w:rtl/>
        </w:rPr>
        <w:t xml:space="preserve">واعتمد مؤتمر الأطراف في اتفاقية بازل في </w:t>
      </w:r>
      <w:r>
        <w:rPr>
          <w:rFonts w:cs="Traditional Arabic" w:hint="cs"/>
          <w:szCs w:val="30"/>
          <w:rtl/>
        </w:rPr>
        <w:t>اجتماعه</w:t>
      </w:r>
      <w:r w:rsidRPr="00AA5EA1">
        <w:rPr>
          <w:rFonts w:cs="Traditional Arabic"/>
          <w:szCs w:val="30"/>
          <w:rtl/>
        </w:rPr>
        <w:t xml:space="preserve"> الرابع عشر في أيار/مايو 2019 التوجيهات بشأن كيفية معالجة الإدارة السليمة بيئياً للنفايات في القطاع غير الرسمي </w:t>
      </w:r>
      <w:r w:rsidRPr="00AA5EA1">
        <w:rPr>
          <w:rFonts w:cs="Traditional Arabic" w:hint="cs"/>
          <w:szCs w:val="30"/>
          <w:rtl/>
        </w:rPr>
        <w:t>(</w:t>
      </w:r>
      <w:r w:rsidRPr="00AA5EA1">
        <w:t>UNEP/CHW.14/INF/8</w:t>
      </w:r>
      <w:r w:rsidRPr="00AA5EA1">
        <w:rPr>
          <w:rFonts w:hint="cs"/>
          <w:rtl/>
        </w:rPr>
        <w:t xml:space="preserve">). </w:t>
      </w:r>
      <w:r w:rsidRPr="00AA5EA1">
        <w:rPr>
          <w:rFonts w:cs="Traditional Arabic"/>
          <w:szCs w:val="30"/>
          <w:rtl/>
        </w:rPr>
        <w:t xml:space="preserve">وتعترف التوجيهات بالآثار البيئية الضارة للحرق </w:t>
      </w:r>
      <w:r>
        <w:rPr>
          <w:rFonts w:cs="Traditional Arabic" w:hint="cs"/>
          <w:szCs w:val="30"/>
          <w:rtl/>
        </w:rPr>
        <w:t xml:space="preserve">المكشوف </w:t>
      </w:r>
      <w:r w:rsidRPr="00AA5EA1">
        <w:rPr>
          <w:rFonts w:cs="Traditional Arabic"/>
          <w:szCs w:val="30"/>
          <w:rtl/>
        </w:rPr>
        <w:t xml:space="preserve">وما يرتبط به من مخاطر صحية، </w:t>
      </w:r>
      <w:r>
        <w:rPr>
          <w:rFonts w:cs="Traditional Arabic" w:hint="cs"/>
          <w:szCs w:val="30"/>
          <w:rtl/>
        </w:rPr>
        <w:t>إلى جانب مخاطره</w:t>
      </w:r>
      <w:r w:rsidRPr="00AA5EA1">
        <w:rPr>
          <w:rFonts w:cs="Traditional Arabic"/>
          <w:szCs w:val="30"/>
          <w:rtl/>
        </w:rPr>
        <w:t xml:space="preserve"> المترتبة على صحة العمال</w:t>
      </w:r>
      <w:bookmarkStart w:id="2" w:name="_GoBack"/>
      <w:bookmarkEnd w:id="2"/>
      <w:r w:rsidRPr="00AA5EA1">
        <w:rPr>
          <w:rFonts w:cs="Traditional Arabic"/>
          <w:szCs w:val="30"/>
          <w:rtl/>
        </w:rPr>
        <w:t>.</w:t>
      </w:r>
      <w:r w:rsidRPr="00AA5EA1">
        <w:rPr>
          <w:rFonts w:cs="Traditional Arabic"/>
          <w:szCs w:val="30"/>
        </w:rPr>
        <w:t xml:space="preserve"> </w:t>
      </w:r>
      <w:r w:rsidRPr="00AA5EA1">
        <w:rPr>
          <w:rFonts w:cs="Traditional Arabic"/>
          <w:szCs w:val="30"/>
          <w:rtl/>
        </w:rPr>
        <w:t xml:space="preserve">وتنصح التوجيهات، التي توصي بتقوية القطاع غير الرسمي عن طريق تحفيز اعتماد ممارسات الإدارة السليمة بيئياً، بأن يتم التخلص النهائي من المخلفات والنفايات غير القابلة لإعادة التدوير بطريقة سليمة بيئياً من خلال أحدث المرافق ووفقاً </w:t>
      </w:r>
      <w:r>
        <w:rPr>
          <w:rFonts w:cs="Traditional Arabic" w:hint="cs"/>
          <w:szCs w:val="30"/>
          <w:rtl/>
        </w:rPr>
        <w:t>لأنواع التكنولوجيا</w:t>
      </w:r>
      <w:r w:rsidRPr="00AA5EA1">
        <w:rPr>
          <w:rFonts w:cs="Traditional Arabic"/>
          <w:szCs w:val="30"/>
          <w:rtl/>
        </w:rPr>
        <w:t xml:space="preserve"> المتاحة لكل بلد أو منطقة</w:t>
      </w:r>
      <w:r w:rsidRPr="00AA5EA1" w:rsidDel="00C1272F">
        <w:rPr>
          <w:rFonts w:cs="Traditional Arabic"/>
          <w:szCs w:val="30"/>
          <w:rtl/>
        </w:rPr>
        <w:t xml:space="preserve"> </w:t>
      </w:r>
      <w:r w:rsidRPr="00AA5EA1">
        <w:rPr>
          <w:rFonts w:cs="Traditional Arabic"/>
          <w:szCs w:val="30"/>
          <w:rtl/>
        </w:rPr>
        <w:t xml:space="preserve">، وأنه يجب حظر </w:t>
      </w:r>
      <w:r>
        <w:rPr>
          <w:rFonts w:cs="Traditional Arabic" w:hint="cs"/>
          <w:szCs w:val="30"/>
          <w:rtl/>
        </w:rPr>
        <w:t>الإحراق</w:t>
      </w:r>
      <w:r w:rsidRPr="00AA5EA1">
        <w:rPr>
          <w:rFonts w:cs="Traditional Arabic"/>
          <w:szCs w:val="30"/>
          <w:rtl/>
        </w:rPr>
        <w:t xml:space="preserve"> في الأماكن المفتوحة، وخصوصاً حرق النفايات الخطرة.</w:t>
      </w:r>
      <w:r w:rsidRPr="00AA5EA1" w:rsidDel="00C1272F">
        <w:rPr>
          <w:rFonts w:cs="Traditional Arabic"/>
          <w:szCs w:val="30"/>
          <w:rtl/>
        </w:rPr>
        <w:t xml:space="preserve"> </w:t>
      </w:r>
    </w:p>
    <w:p w14:paraId="59A72C0E" w14:textId="02B05FE8" w:rsidR="00583E92" w:rsidRPr="00AA5EA1" w:rsidRDefault="00583E92" w:rsidP="00583E92">
      <w:pPr>
        <w:pStyle w:val="CH2"/>
        <w:tabs>
          <w:tab w:val="clear" w:pos="1247"/>
          <w:tab w:val="clear" w:pos="1814"/>
          <w:tab w:val="clear" w:pos="2381"/>
          <w:tab w:val="clear" w:pos="2948"/>
          <w:tab w:val="clear" w:pos="3515"/>
          <w:tab w:val="clear" w:pos="4082"/>
          <w:tab w:val="left" w:pos="1699"/>
        </w:tabs>
        <w:bidi/>
        <w:spacing w:before="0" w:line="400" w:lineRule="exact"/>
        <w:ind w:left="1134" w:right="0" w:firstLine="0"/>
        <w:jc w:val="both"/>
        <w:textDirection w:val="tbRlV"/>
        <w:rPr>
          <w:rFonts w:cs="Traditional Arabic"/>
          <w:sz w:val="20"/>
          <w:szCs w:val="32"/>
          <w:rtl/>
          <w:lang w:val="ar-SA" w:eastAsia="zh-TW"/>
        </w:rPr>
      </w:pPr>
      <w:r w:rsidRPr="00AA5EA1">
        <w:rPr>
          <w:rFonts w:cs="Traditional Arabic"/>
          <w:bCs/>
          <w:sz w:val="20"/>
          <w:szCs w:val="32"/>
          <w:rtl/>
        </w:rPr>
        <w:t>الإجراء الذي يُقترح أن يتخذه مؤتمر الأطراف</w:t>
      </w:r>
    </w:p>
    <w:p w14:paraId="6416329A" w14:textId="485221DA" w:rsidR="00F12D03" w:rsidRPr="00225168" w:rsidRDefault="008E4579" w:rsidP="00583E92">
      <w:pPr>
        <w:tabs>
          <w:tab w:val="left" w:pos="1699"/>
        </w:tabs>
        <w:bidi/>
        <w:spacing w:after="120" w:line="400" w:lineRule="exact"/>
        <w:ind w:left="1134"/>
        <w:jc w:val="both"/>
        <w:rPr>
          <w:b/>
          <w:bCs/>
          <w:sz w:val="34"/>
          <w:szCs w:val="34"/>
          <w:rtl/>
        </w:rPr>
      </w:pPr>
      <w:r>
        <w:rPr>
          <w:rFonts w:hint="cs"/>
          <w:rtl/>
        </w:rPr>
        <w:t>9-</w:t>
      </w:r>
      <w:r>
        <w:rPr>
          <w:rtl/>
        </w:rPr>
        <w:tab/>
      </w:r>
      <w:r w:rsidR="00583E92" w:rsidRPr="00AA5EA1">
        <w:rPr>
          <w:rtl/>
        </w:rPr>
        <w:t xml:space="preserve">قد </w:t>
      </w:r>
      <w:r w:rsidR="00583E92">
        <w:rPr>
          <w:rFonts w:hint="cs"/>
          <w:rtl/>
        </w:rPr>
        <w:t>يود</w:t>
      </w:r>
      <w:r w:rsidR="00583E92" w:rsidRPr="00AA5EA1">
        <w:rPr>
          <w:rtl/>
        </w:rPr>
        <w:t xml:space="preserve"> مؤتمر الأطراف </w:t>
      </w:r>
      <w:r w:rsidR="00583E92">
        <w:rPr>
          <w:rFonts w:hint="cs"/>
          <w:rtl/>
        </w:rPr>
        <w:t>أن ينظر</w:t>
      </w:r>
      <w:r w:rsidR="00583E92" w:rsidRPr="00AA5EA1">
        <w:rPr>
          <w:rtl/>
        </w:rPr>
        <w:t xml:space="preserve"> في المعلومات الواردة في هذه المذكرة، وأن يطلب إلى الأمانة </w:t>
      </w:r>
      <w:r w:rsidR="00583E92">
        <w:rPr>
          <w:rFonts w:hint="cs"/>
          <w:rtl/>
        </w:rPr>
        <w:t>مواصلة</w:t>
      </w:r>
      <w:r w:rsidR="00583E92" w:rsidRPr="00AA5EA1">
        <w:rPr>
          <w:rtl/>
        </w:rPr>
        <w:t xml:space="preserve"> جمع المعلومات ذات الصلة </w:t>
      </w:r>
      <w:r w:rsidR="00583E92">
        <w:rPr>
          <w:rFonts w:hint="cs"/>
          <w:rtl/>
        </w:rPr>
        <w:t xml:space="preserve">وإتاحة </w:t>
      </w:r>
      <w:r w:rsidR="00583E92" w:rsidRPr="00AA5EA1">
        <w:rPr>
          <w:rtl/>
        </w:rPr>
        <w:t xml:space="preserve">تلك المعلومات على الموقع الشبكي </w:t>
      </w:r>
      <w:r w:rsidR="00583E92">
        <w:rPr>
          <w:rFonts w:hint="cs"/>
          <w:rtl/>
        </w:rPr>
        <w:t>للاتفاق</w:t>
      </w:r>
      <w:r w:rsidR="00583E92">
        <w:rPr>
          <w:rFonts w:hint="cs"/>
          <w:rtl/>
        </w:rPr>
        <w:t>ية.</w:t>
      </w:r>
    </w:p>
    <w:p w14:paraId="6A2AE965" w14:textId="5EF0895F" w:rsidR="00451ABD" w:rsidRDefault="0038322E" w:rsidP="00DB0A68">
      <w:pPr>
        <w:bidi/>
        <w:spacing w:after="120" w:line="400" w:lineRule="exact"/>
        <w:ind w:left="1134"/>
        <w:jc w:val="center"/>
        <w:rPr>
          <w:sz w:val="30"/>
          <w:rtl/>
        </w:rPr>
      </w:pPr>
      <w:r>
        <w:rPr>
          <w:sz w:val="30"/>
        </w:rPr>
        <w:t>____</w:t>
      </w:r>
      <w:r w:rsidR="00EC3A5F">
        <w:rPr>
          <w:sz w:val="30"/>
        </w:rPr>
        <w:t>________</w:t>
      </w:r>
    </w:p>
    <w:sectPr w:rsidR="00451ABD" w:rsidSect="002625D8">
      <w:headerReference w:type="even" r:id="rId10"/>
      <w:headerReference w:type="default" r:id="rId11"/>
      <w:footerReference w:type="even" r:id="rId12"/>
      <w:footerReference w:type="default" r:id="rId13"/>
      <w:footerReference w:type="first" r:id="rId14"/>
      <w:endnotePr>
        <w:numFmt w:val="lowerLetter"/>
      </w:endnotePr>
      <w:type w:val="continuous"/>
      <w:pgSz w:w="11906" w:h="16838" w:code="9"/>
      <w:pgMar w:top="907" w:right="1418" w:bottom="1418" w:left="992" w:header="539" w:footer="975" w:gutter="0"/>
      <w:cols w:space="720"/>
      <w:titlePg/>
      <w:bidi/>
      <w:rtlGutter/>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C373C99" w14:textId="77777777" w:rsidR="00CE3292" w:rsidRDefault="00CE3292">
      <w:r>
        <w:separator/>
      </w:r>
    </w:p>
  </w:endnote>
  <w:endnote w:type="continuationSeparator" w:id="0">
    <w:p w14:paraId="49F160BD" w14:textId="77777777" w:rsidR="00CE3292" w:rsidRDefault="00CE32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1002AFF" w:usb1="4000ACFF"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Agency FB">
    <w:panose1 w:val="020B0503020202020204"/>
    <w:charset w:val="00"/>
    <w:family w:val="swiss"/>
    <w:pitch w:val="variable"/>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Arabic Transparent">
    <w:altName w:val="Calibri"/>
    <w:panose1 w:val="020B0604020202020204"/>
    <w:charset w:val="00"/>
    <w:family w:val="swiss"/>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udir MT">
    <w:panose1 w:val="00000000000000000000"/>
    <w:charset w:val="B2"/>
    <w:family w:val="auto"/>
    <w:pitch w:val="variable"/>
    <w:sig w:usb0="00002001" w:usb1="00000000" w:usb2="00000000" w:usb3="00000000" w:csb0="00000040" w:csb1="00000000"/>
  </w:font>
  <w:font w:name="Simplified Arabic">
    <w:charset w:val="B2"/>
    <w:family w:val="roman"/>
    <w:pitch w:val="variable"/>
    <w:sig w:usb0="00002003" w:usb1="80000000" w:usb2="00000008" w:usb3="00000000" w:csb0="0000004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C8F787" w14:textId="77777777" w:rsidR="0042042E" w:rsidRPr="007B173A" w:rsidRDefault="0042042E" w:rsidP="00E0494C">
    <w:pPr>
      <w:pStyle w:val="Footer"/>
      <w:tabs>
        <w:tab w:val="clear" w:pos="4153"/>
        <w:tab w:val="clear" w:pos="8306"/>
      </w:tabs>
      <w:rPr>
        <w:rFonts w:ascii="Times New Roman" w:hAnsi="Times New Roman" w:cs="Times New Roman"/>
        <w:sz w:val="22"/>
        <w:szCs w:val="20"/>
        <w:rtl/>
      </w:rPr>
    </w:pPr>
    <w:r w:rsidRPr="007B173A">
      <w:rPr>
        <w:rStyle w:val="PageNumber"/>
        <w:rFonts w:ascii="Times New Roman" w:hAnsi="Times New Roman" w:cs="Times New Roman"/>
      </w:rPr>
      <w:fldChar w:fldCharType="begin"/>
    </w:r>
    <w:r w:rsidRPr="007B173A">
      <w:rPr>
        <w:rStyle w:val="PageNumber"/>
        <w:rFonts w:ascii="Times New Roman" w:hAnsi="Times New Roman" w:cs="Times New Roman"/>
        <w:rtl/>
      </w:rPr>
      <w:instrText xml:space="preserve"> </w:instrText>
    </w:r>
    <w:r w:rsidRPr="007B173A">
      <w:rPr>
        <w:rStyle w:val="PageNumber"/>
        <w:rFonts w:ascii="Times New Roman" w:hAnsi="Times New Roman" w:cs="Times New Roman"/>
      </w:rPr>
      <w:instrText>PAGE</w:instrText>
    </w:r>
    <w:r w:rsidRPr="007B173A">
      <w:rPr>
        <w:rStyle w:val="PageNumber"/>
        <w:rFonts w:ascii="Times New Roman" w:hAnsi="Times New Roman" w:cs="Times New Roman"/>
        <w:rtl/>
      </w:rPr>
      <w:instrText xml:space="preserve"> </w:instrText>
    </w:r>
    <w:r w:rsidRPr="007B173A">
      <w:rPr>
        <w:rStyle w:val="PageNumber"/>
        <w:rFonts w:ascii="Times New Roman" w:hAnsi="Times New Roman" w:cs="Times New Roman"/>
      </w:rPr>
      <w:fldChar w:fldCharType="separate"/>
    </w:r>
    <w:r w:rsidR="00177118">
      <w:rPr>
        <w:rStyle w:val="PageNumber"/>
        <w:rFonts w:ascii="Times New Roman" w:hAnsi="Times New Roman" w:cs="Times New Roman"/>
      </w:rPr>
      <w:t>2</w:t>
    </w:r>
    <w:r w:rsidRPr="007B173A">
      <w:rPr>
        <w:rStyle w:val="PageNumber"/>
        <w:rFonts w:ascii="Times New Roman" w:hAnsi="Times New Roman" w:cs="Times New Roman"/>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A8A7BE" w14:textId="77777777" w:rsidR="0042042E" w:rsidRPr="007B173A" w:rsidRDefault="0042042E" w:rsidP="00E0494C">
    <w:pPr>
      <w:pStyle w:val="Footer"/>
      <w:tabs>
        <w:tab w:val="clear" w:pos="4153"/>
        <w:tab w:val="clear" w:pos="8306"/>
      </w:tabs>
      <w:spacing w:before="40"/>
      <w:jc w:val="both"/>
      <w:rPr>
        <w:rFonts w:ascii="Times New Roman" w:hAnsi="Times New Roman" w:cs="Times New Roman"/>
        <w:sz w:val="22"/>
        <w:szCs w:val="20"/>
        <w:rtl/>
      </w:rPr>
    </w:pPr>
    <w:r w:rsidRPr="007B173A">
      <w:rPr>
        <w:rStyle w:val="PageNumber"/>
        <w:rFonts w:ascii="Times New Roman" w:hAnsi="Times New Roman" w:cs="Times New Roman"/>
      </w:rPr>
      <w:fldChar w:fldCharType="begin"/>
    </w:r>
    <w:r w:rsidRPr="007B173A">
      <w:rPr>
        <w:rStyle w:val="PageNumber"/>
        <w:rFonts w:ascii="Times New Roman" w:hAnsi="Times New Roman" w:cs="Times New Roman"/>
        <w:rtl/>
      </w:rPr>
      <w:instrText xml:space="preserve"> </w:instrText>
    </w:r>
    <w:r w:rsidRPr="007B173A">
      <w:rPr>
        <w:rStyle w:val="PageNumber"/>
        <w:rFonts w:ascii="Times New Roman" w:hAnsi="Times New Roman" w:cs="Times New Roman"/>
      </w:rPr>
      <w:instrText>PAGE</w:instrText>
    </w:r>
    <w:r w:rsidRPr="007B173A">
      <w:rPr>
        <w:rStyle w:val="PageNumber"/>
        <w:rFonts w:ascii="Times New Roman" w:hAnsi="Times New Roman" w:cs="Times New Roman"/>
        <w:rtl/>
      </w:rPr>
      <w:instrText xml:space="preserve"> </w:instrText>
    </w:r>
    <w:r w:rsidRPr="007B173A">
      <w:rPr>
        <w:rStyle w:val="PageNumber"/>
        <w:rFonts w:ascii="Times New Roman" w:hAnsi="Times New Roman" w:cs="Times New Roman"/>
      </w:rPr>
      <w:fldChar w:fldCharType="separate"/>
    </w:r>
    <w:r w:rsidR="00961D22">
      <w:rPr>
        <w:rStyle w:val="PageNumber"/>
        <w:rFonts w:ascii="Times New Roman" w:hAnsi="Times New Roman" w:cs="Times New Roman"/>
      </w:rPr>
      <w:t>5</w:t>
    </w:r>
    <w:r w:rsidRPr="007B173A">
      <w:rPr>
        <w:rStyle w:val="PageNumber"/>
        <w:rFonts w:ascii="Times New Roman" w:hAnsi="Times New Roman" w:cs="Times New Roman"/>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2C3543" w14:textId="0C30781C" w:rsidR="0042042E" w:rsidRPr="00D80FA4" w:rsidRDefault="00D80FA4" w:rsidP="00843FDA">
    <w:pPr>
      <w:pStyle w:val="Footer"/>
      <w:tabs>
        <w:tab w:val="clear" w:pos="4153"/>
        <w:tab w:val="clear" w:pos="8306"/>
      </w:tabs>
      <w:bidi/>
      <w:jc w:val="left"/>
      <w:rPr>
        <w:rFonts w:asciiTheme="majorBidi" w:hAnsiTheme="majorBidi" w:cstheme="majorBidi" w:hint="cs"/>
        <w:szCs w:val="20"/>
        <w:rtl/>
      </w:rPr>
    </w:pPr>
    <w:r w:rsidRPr="00D80FA4">
      <w:rPr>
        <w:rStyle w:val="PageNumber"/>
        <w:rFonts w:asciiTheme="majorBidi" w:hAnsiTheme="majorBidi" w:cstheme="majorBidi"/>
        <w:szCs w:val="20"/>
      </w:rPr>
      <w:t>K1</w:t>
    </w:r>
    <w:r w:rsidR="002A3532">
      <w:rPr>
        <w:rStyle w:val="PageNumber"/>
        <w:rFonts w:asciiTheme="majorBidi" w:hAnsiTheme="majorBidi" w:cstheme="majorBidi"/>
        <w:szCs w:val="20"/>
      </w:rPr>
      <w:t>90</w:t>
    </w:r>
    <w:r w:rsidR="00F3243D">
      <w:rPr>
        <w:rStyle w:val="PageNumber"/>
        <w:rFonts w:asciiTheme="majorBidi" w:hAnsiTheme="majorBidi" w:cstheme="majorBidi"/>
        <w:szCs w:val="20"/>
      </w:rPr>
      <w:t>3340</w:t>
    </w:r>
    <w:r w:rsidR="006E1D97">
      <w:rPr>
        <w:rStyle w:val="PageNumber"/>
        <w:rFonts w:asciiTheme="majorBidi" w:hAnsiTheme="majorBidi" w:cstheme="majorBidi" w:hint="cs"/>
        <w:szCs w:val="20"/>
        <w:rtl/>
      </w:rPr>
      <w:tab/>
    </w:r>
    <w:r w:rsidR="00F3243D">
      <w:rPr>
        <w:rStyle w:val="PageNumber"/>
        <w:rFonts w:asciiTheme="majorBidi" w:hAnsiTheme="majorBidi" w:cstheme="majorBidi"/>
        <w:szCs w:val="20"/>
      </w:rPr>
      <w:t>1</w:t>
    </w:r>
    <w:r w:rsidR="00A43405">
      <w:rPr>
        <w:rStyle w:val="PageNumber"/>
        <w:rFonts w:asciiTheme="majorBidi" w:hAnsiTheme="majorBidi" w:cstheme="majorBidi"/>
        <w:szCs w:val="20"/>
      </w:rPr>
      <w:t>0</w:t>
    </w:r>
    <w:r w:rsidR="002A3532">
      <w:rPr>
        <w:rStyle w:val="PageNumber"/>
        <w:rFonts w:asciiTheme="majorBidi" w:hAnsiTheme="majorBidi" w:cstheme="majorBidi"/>
        <w:szCs w:val="20"/>
      </w:rPr>
      <w:t>0</w:t>
    </w:r>
    <w:r w:rsidR="00F3243D">
      <w:rPr>
        <w:rStyle w:val="PageNumber"/>
        <w:rFonts w:asciiTheme="majorBidi" w:hAnsiTheme="majorBidi" w:cstheme="majorBidi"/>
        <w:szCs w:val="20"/>
      </w:rPr>
      <w:t>9</w:t>
    </w:r>
    <w:r w:rsidR="006E1D97" w:rsidRPr="00D80FA4">
      <w:rPr>
        <w:rStyle w:val="PageNumber"/>
        <w:rFonts w:asciiTheme="majorBidi" w:hAnsiTheme="majorBidi" w:cstheme="majorBidi"/>
        <w:szCs w:val="20"/>
      </w:rPr>
      <w:t>1</w:t>
    </w:r>
    <w:r w:rsidR="002A3532">
      <w:rPr>
        <w:rStyle w:val="PageNumber"/>
        <w:rFonts w:asciiTheme="majorBidi" w:hAnsiTheme="majorBidi" w:cstheme="majorBidi"/>
        <w:szCs w:val="20"/>
      </w:rPr>
      <w:t>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BE0DD15" w14:textId="77777777" w:rsidR="00CE3292" w:rsidRDefault="00CE3292" w:rsidP="008A79DC">
      <w:pPr>
        <w:bidi/>
        <w:ind w:left="720"/>
      </w:pPr>
      <w:r>
        <w:separator/>
      </w:r>
    </w:p>
  </w:footnote>
  <w:footnote w:type="continuationSeparator" w:id="0">
    <w:p w14:paraId="3817A56F" w14:textId="77777777" w:rsidR="00CE3292" w:rsidRDefault="00CE3292">
      <w:r>
        <w:continuationSeparator/>
      </w:r>
    </w:p>
  </w:footnote>
  <w:footnote w:id="1">
    <w:p w14:paraId="6C028CC3" w14:textId="77777777" w:rsidR="002625D8" w:rsidRPr="00C204E0" w:rsidRDefault="002625D8" w:rsidP="00F3243D">
      <w:pPr>
        <w:bidi/>
        <w:spacing w:after="60" w:line="300" w:lineRule="exact"/>
        <w:ind w:left="1134"/>
        <w:jc w:val="both"/>
        <w:rPr>
          <w:rFonts w:asciiTheme="majorBidi" w:hAnsiTheme="majorBidi" w:cstheme="majorBidi"/>
          <w:bCs/>
          <w:szCs w:val="20"/>
          <w:rtl/>
        </w:rPr>
      </w:pPr>
      <w:r w:rsidRPr="003858ED">
        <w:rPr>
          <w:rFonts w:ascii="Traditional Arabic" w:hAnsi="Traditional Arabic" w:hint="cs"/>
          <w:bCs/>
          <w:sz w:val="26"/>
          <w:szCs w:val="26"/>
        </w:rPr>
        <w:t>.</w:t>
      </w:r>
      <w:r w:rsidRPr="00F3243D">
        <w:rPr>
          <w:rFonts w:asciiTheme="majorBidi" w:hAnsiTheme="majorBidi" w:cstheme="majorBidi"/>
          <w:bCs/>
          <w:sz w:val="18"/>
          <w:szCs w:val="18"/>
        </w:rPr>
        <w:t>UNEP/MC/COP.3/1</w:t>
      </w:r>
      <w:r>
        <w:rPr>
          <w:rFonts w:asciiTheme="majorBidi" w:hAnsiTheme="majorBidi" w:cstheme="majorBidi"/>
          <w:bCs/>
          <w:szCs w:val="20"/>
        </w:rPr>
        <w:t xml:space="preserve">  </w:t>
      </w:r>
      <w:r w:rsidRPr="00F3243D">
        <w:rPr>
          <w:rFonts w:ascii="Traditional Arabic" w:hAnsi="Traditional Arabic" w:hint="cs"/>
          <w:bCs/>
          <w:szCs w:val="20"/>
        </w:rPr>
        <w:t>*</w:t>
      </w:r>
    </w:p>
  </w:footnote>
  <w:footnote w:id="2">
    <w:p w14:paraId="4FB178F2" w14:textId="058A3394" w:rsidR="00583E92" w:rsidRPr="00F3243D" w:rsidRDefault="00583E92" w:rsidP="00EF46B6">
      <w:pPr>
        <w:pStyle w:val="FootnoteText"/>
        <w:bidi/>
        <w:spacing w:line="300" w:lineRule="exact"/>
        <w:ind w:left="1134"/>
        <w:jc w:val="both"/>
        <w:textDirection w:val="tbRlV"/>
        <w:rPr>
          <w:rFonts w:ascii="Traditional Arabic" w:hAnsi="Traditional Arabic"/>
          <w:sz w:val="26"/>
          <w:szCs w:val="26"/>
          <w:rtl/>
          <w:lang w:val="ar-SA" w:eastAsia="zh-TW"/>
        </w:rPr>
      </w:pPr>
      <w:r w:rsidRPr="00F3243D">
        <w:rPr>
          <w:rStyle w:val="FootnoteReference"/>
          <w:rFonts w:ascii="Traditional Arabic" w:hAnsi="Traditional Arabic"/>
          <w:sz w:val="26"/>
          <w:szCs w:val="26"/>
          <w:vertAlign w:val="baseline"/>
          <w:rtl/>
        </w:rPr>
        <w:t>(1)</w:t>
      </w:r>
      <w:r w:rsidRPr="00F3243D">
        <w:rPr>
          <w:rFonts w:ascii="Traditional Arabic" w:hAnsi="Traditional Arabic"/>
          <w:sz w:val="26"/>
          <w:szCs w:val="26"/>
          <w:rtl/>
        </w:rPr>
        <w:t xml:space="preserve"> </w:t>
      </w:r>
      <w:r w:rsidR="00F3243D">
        <w:rPr>
          <w:rFonts w:ascii="Traditional Arabic" w:hAnsi="Traditional Arabic" w:hint="cs"/>
          <w:sz w:val="26"/>
          <w:szCs w:val="26"/>
          <w:rtl/>
        </w:rPr>
        <w:t xml:space="preserve"> </w:t>
      </w:r>
      <w:r w:rsidRPr="00F3243D">
        <w:rPr>
          <w:rFonts w:ascii="Traditional Arabic" w:hAnsi="Traditional Arabic" w:hint="cs"/>
          <w:sz w:val="26"/>
          <w:szCs w:val="26"/>
          <w:rtl/>
        </w:rPr>
        <w:t xml:space="preserve">المبادئ التوجيهية المتعلقة </w:t>
      </w:r>
      <w:r w:rsidRPr="00F3243D">
        <w:rPr>
          <w:rFonts w:ascii="Traditional Arabic" w:hAnsi="Traditional Arabic"/>
          <w:sz w:val="26"/>
          <w:szCs w:val="26"/>
          <w:rtl/>
        </w:rPr>
        <w:t>بانبعاثات الزئبق بشأن أفضل التقنيات المتاحة وأفضل الممارسات البيئية</w:t>
      </w:r>
      <w:r w:rsidRPr="00F3243D">
        <w:rPr>
          <w:rFonts w:ascii="Traditional Arabic" w:hAnsi="Traditional Arabic" w:hint="cs"/>
          <w:sz w:val="26"/>
          <w:szCs w:val="26"/>
          <w:rtl/>
        </w:rPr>
        <w:t xml:space="preserve"> مع مراعاة أي اختلافات بين المصادر الجديدة والقائمة والحاجة إلى التقليل إلى أدنى حد ممكن من الآثار الشاملة لعدة أوساط، وهي مبادئ </w:t>
      </w:r>
      <w:r w:rsidRPr="00F3243D">
        <w:rPr>
          <w:rFonts w:ascii="Traditional Arabic" w:hAnsi="Traditional Arabic"/>
          <w:sz w:val="26"/>
          <w:szCs w:val="26"/>
          <w:rtl/>
        </w:rPr>
        <w:t xml:space="preserve">اعتمدها مؤتمر الأطراف في اتفاقية ميناماتا </w:t>
      </w:r>
      <w:r w:rsidRPr="00F3243D">
        <w:rPr>
          <w:rFonts w:ascii="Traditional Arabic" w:hAnsi="Traditional Arabic" w:hint="cs"/>
          <w:sz w:val="26"/>
          <w:szCs w:val="26"/>
          <w:rtl/>
        </w:rPr>
        <w:t>في</w:t>
      </w:r>
      <w:r w:rsidRPr="00F3243D">
        <w:rPr>
          <w:rFonts w:ascii="Traditional Arabic" w:hAnsi="Traditional Arabic"/>
          <w:sz w:val="26"/>
          <w:szCs w:val="26"/>
          <w:rtl/>
        </w:rPr>
        <w:t xml:space="preserve"> اجتماعه الأول (المقرر ا م-1/4) من أجل مساعدة الأطراف على الوفاء بالتزاماتها بموجب المادة 8 (</w:t>
      </w:r>
      <w:r w:rsidRPr="00F3243D">
        <w:rPr>
          <w:rFonts w:asciiTheme="majorBidi" w:hAnsiTheme="majorBidi" w:cstheme="majorBidi"/>
          <w:sz w:val="16"/>
          <w:szCs w:val="16"/>
        </w:rPr>
        <w:t>UNEP/MC/COP.1/7</w:t>
      </w:r>
      <w:r w:rsidRPr="00F3243D">
        <w:rPr>
          <w:rFonts w:ascii="Traditional Arabic" w:hAnsi="Traditional Arabic"/>
          <w:sz w:val="26"/>
          <w:szCs w:val="26"/>
          <w:rtl/>
        </w:rPr>
        <w:t>، المرفق الثاني</w:t>
      </w:r>
      <w:r w:rsidRPr="00F3243D">
        <w:rPr>
          <w:rFonts w:ascii="Traditional Arabic" w:hAnsi="Traditional Arabic" w:hint="cs"/>
          <w:sz w:val="26"/>
          <w:szCs w:val="26"/>
          <w:rtl/>
        </w:rPr>
        <w:t>)</w:t>
      </w:r>
      <w:r w:rsidRPr="00F3243D">
        <w:rPr>
          <w:rFonts w:ascii="Traditional Arabic" w:hAnsi="Traditional Arabic"/>
          <w:sz w:val="26"/>
          <w:szCs w:val="26"/>
          <w:rtl/>
        </w:rPr>
        <w:t>.</w:t>
      </w:r>
    </w:p>
  </w:footnote>
  <w:footnote w:id="3">
    <w:p w14:paraId="6679AD0F" w14:textId="28FAAC12" w:rsidR="00583E92" w:rsidRPr="003B5160" w:rsidRDefault="00583E92" w:rsidP="00583E92">
      <w:pPr>
        <w:pStyle w:val="FootnoteText"/>
        <w:bidi/>
        <w:textDirection w:val="tbRlV"/>
        <w:rPr>
          <w:szCs w:val="30"/>
          <w:rtl/>
          <w:lang w:val="ar-SA" w:eastAsia="zh-TW"/>
        </w:rPr>
      </w:pPr>
      <w:r w:rsidRPr="003B5160">
        <w:rPr>
          <w:rStyle w:val="FootnoteReference"/>
          <w:sz w:val="26"/>
          <w:szCs w:val="26"/>
          <w:vertAlign w:val="baseline"/>
          <w:rtl/>
        </w:rPr>
        <w:t>(</w:t>
      </w:r>
      <w:r w:rsidRPr="003B5160">
        <w:rPr>
          <w:rStyle w:val="FootnoteReference"/>
          <w:sz w:val="26"/>
          <w:szCs w:val="26"/>
          <w:vertAlign w:val="baseline"/>
          <w:rtl/>
        </w:rPr>
        <w:footnoteRef/>
      </w:r>
      <w:r w:rsidRPr="003B5160">
        <w:rPr>
          <w:rStyle w:val="FootnoteReference"/>
          <w:sz w:val="26"/>
          <w:szCs w:val="26"/>
          <w:vertAlign w:val="baseline"/>
          <w:rtl/>
        </w:rPr>
        <w:t>)</w:t>
      </w:r>
      <w:hyperlink r:id="rId1" w:history="1">
        <w:r w:rsidR="003B5160" w:rsidRPr="003B5160">
          <w:rPr>
            <w:rStyle w:val="Hyperlink"/>
            <w:rFonts w:asciiTheme="majorBidi" w:hAnsiTheme="majorBidi" w:cstheme="majorBidi"/>
            <w:sz w:val="18"/>
            <w:szCs w:val="18"/>
            <w:u w:val="none"/>
          </w:rPr>
          <w:t>www.unenvironment.org/explore-topics/chemicals-waste/what-we-do/mercury/mercury-inventory-toolkit</w:t>
        </w:r>
      </w:hyperlink>
      <w:r w:rsidR="003B5160" w:rsidRPr="003B5160">
        <w:t xml:space="preserve">  </w:t>
      </w:r>
      <w:r w:rsidR="003B5160" w:rsidRPr="003B5160">
        <w:rPr>
          <w:rFonts w:hint="cs"/>
          <w:rtl/>
        </w:rPr>
        <w:t>.</w:t>
      </w:r>
    </w:p>
  </w:footnote>
  <w:footnote w:id="4">
    <w:p w14:paraId="64F10DC9" w14:textId="33A8083B" w:rsidR="00583E92" w:rsidRPr="003B5160" w:rsidRDefault="00583E92" w:rsidP="003B5160">
      <w:pPr>
        <w:pStyle w:val="FootnoteText"/>
        <w:bidi/>
        <w:spacing w:after="40" w:line="300" w:lineRule="exact"/>
        <w:ind w:left="1134"/>
        <w:jc w:val="both"/>
        <w:textDirection w:val="tbRlV"/>
        <w:rPr>
          <w:rFonts w:ascii="Traditional Arabic" w:hAnsi="Traditional Arabic"/>
          <w:sz w:val="26"/>
          <w:szCs w:val="26"/>
          <w:rtl/>
          <w:lang w:val="ar-SA" w:eastAsia="zh-TW"/>
        </w:rPr>
      </w:pPr>
      <w:r w:rsidRPr="003B5160">
        <w:rPr>
          <w:rStyle w:val="FootnoteReference"/>
          <w:rFonts w:ascii="Traditional Arabic" w:hAnsi="Traditional Arabic"/>
          <w:sz w:val="26"/>
          <w:szCs w:val="26"/>
          <w:vertAlign w:val="baseline"/>
          <w:rtl/>
        </w:rPr>
        <w:t>(</w:t>
      </w:r>
      <w:r w:rsidRPr="003B5160">
        <w:rPr>
          <w:rStyle w:val="FootnoteReference"/>
          <w:rFonts w:ascii="Traditional Arabic" w:hAnsi="Traditional Arabic" w:hint="cs"/>
          <w:sz w:val="26"/>
          <w:szCs w:val="26"/>
          <w:vertAlign w:val="baseline"/>
          <w:rtl/>
        </w:rPr>
        <w:t>3</w:t>
      </w:r>
      <w:r w:rsidRPr="003B5160">
        <w:rPr>
          <w:rStyle w:val="FootnoteReference"/>
          <w:rFonts w:ascii="Traditional Arabic" w:hAnsi="Traditional Arabic"/>
          <w:sz w:val="26"/>
          <w:szCs w:val="26"/>
          <w:vertAlign w:val="baseline"/>
          <w:rtl/>
        </w:rPr>
        <w:t>)</w:t>
      </w:r>
      <w:r w:rsidRPr="003B5160">
        <w:rPr>
          <w:rFonts w:ascii="Traditional Arabic" w:hAnsi="Traditional Arabic"/>
          <w:sz w:val="26"/>
          <w:szCs w:val="26"/>
        </w:rPr>
        <w:t xml:space="preserve"> </w:t>
      </w:r>
      <w:r w:rsidR="003B5160" w:rsidRPr="003B5160">
        <w:rPr>
          <w:rFonts w:ascii="Traditional Arabic" w:hAnsi="Traditional Arabic" w:hint="cs"/>
          <w:sz w:val="26"/>
          <w:szCs w:val="26"/>
          <w:rtl/>
        </w:rPr>
        <w:t xml:space="preserve"> </w:t>
      </w:r>
      <w:r w:rsidRPr="003B5160">
        <w:rPr>
          <w:rFonts w:ascii="Traditional Arabic" w:hAnsi="Traditional Arabic"/>
          <w:sz w:val="26"/>
          <w:szCs w:val="26"/>
          <w:rtl/>
        </w:rPr>
        <w:t>على سبيل المثال، تنص بوضوح المبادئ التوجيهية بشأن أفضل التقنيات المتاحة والتوجيهات المؤقتة بشأن أفضل الممارسات البيئية ذات الصلة بالمادة</w:t>
      </w:r>
      <w:r w:rsidRPr="003B5160">
        <w:rPr>
          <w:rFonts w:ascii="Traditional Arabic" w:hAnsi="Traditional Arabic"/>
          <w:sz w:val="26"/>
          <w:szCs w:val="26"/>
        </w:rPr>
        <w:t xml:space="preserve"> </w:t>
      </w:r>
      <w:r w:rsidRPr="003B5160">
        <w:rPr>
          <w:rFonts w:ascii="Traditional Arabic" w:hAnsi="Traditional Arabic" w:hint="cs"/>
          <w:sz w:val="26"/>
          <w:szCs w:val="26"/>
          <w:rtl/>
        </w:rPr>
        <w:t>5</w:t>
      </w:r>
      <w:r w:rsidRPr="003B5160">
        <w:rPr>
          <w:rFonts w:ascii="Traditional Arabic" w:hAnsi="Traditional Arabic"/>
          <w:sz w:val="26"/>
          <w:szCs w:val="26"/>
        </w:rPr>
        <w:t xml:space="preserve"> </w:t>
      </w:r>
      <w:r w:rsidRPr="003B5160">
        <w:rPr>
          <w:rFonts w:ascii="Traditional Arabic" w:hAnsi="Traditional Arabic"/>
          <w:sz w:val="26"/>
          <w:szCs w:val="26"/>
          <w:rtl/>
        </w:rPr>
        <w:t>والمرفق جيم من اتفاقية استكهولم بشأن الملوثات العضوية الثابتة، على أن الحرق المكشوف عملية غير مقبولة بيئياً.</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02F20E" w14:textId="5A3BA79D" w:rsidR="0042042E" w:rsidRPr="009D4EBB" w:rsidRDefault="00934FB6" w:rsidP="00DB6CCC">
    <w:pPr>
      <w:pBdr>
        <w:bottom w:val="single" w:sz="4" w:space="0" w:color="auto"/>
      </w:pBdr>
      <w:spacing w:before="20" w:after="40"/>
      <w:jc w:val="right"/>
      <w:rPr>
        <w:b/>
        <w:bCs/>
        <w:sz w:val="17"/>
        <w:szCs w:val="17"/>
        <w:rtl/>
        <w:lang w:val="fr-FR"/>
      </w:rPr>
    </w:pPr>
    <w:r w:rsidRPr="00316903">
      <w:rPr>
        <w:rStyle w:val="PageNumber"/>
        <w:b/>
        <w:bCs/>
        <w:sz w:val="17"/>
        <w:szCs w:val="17"/>
        <w:lang w:val="fr-FR"/>
      </w:rPr>
      <w:t>UNEP</w:t>
    </w:r>
    <w:r>
      <w:rPr>
        <w:rStyle w:val="PageNumber"/>
        <w:b/>
        <w:bCs/>
        <w:sz w:val="17"/>
        <w:szCs w:val="17"/>
        <w:lang w:val="fr-FR"/>
      </w:rPr>
      <w:t>/MC</w:t>
    </w:r>
    <w:r>
      <w:rPr>
        <w:rFonts w:cs="Times New Roman"/>
        <w:b/>
        <w:bCs/>
        <w:sz w:val="17"/>
        <w:szCs w:val="17"/>
      </w:rPr>
      <w:t>/COP.</w:t>
    </w:r>
    <w:r w:rsidR="002E2164">
      <w:rPr>
        <w:rFonts w:cs="Times New Roman"/>
        <w:b/>
        <w:bCs/>
        <w:sz w:val="17"/>
        <w:szCs w:val="17"/>
      </w:rPr>
      <w:t>3</w:t>
    </w:r>
    <w:r>
      <w:rPr>
        <w:rFonts w:cs="Times New Roman"/>
        <w:b/>
        <w:bCs/>
        <w:sz w:val="17"/>
        <w:szCs w:val="17"/>
      </w:rPr>
      <w:t>/</w:t>
    </w:r>
    <w:r w:rsidR="00DB6CCC">
      <w:rPr>
        <w:rFonts w:cs="Times New Roman"/>
        <w:b/>
        <w:bCs/>
        <w:sz w:val="17"/>
        <w:szCs w:val="17"/>
      </w:rPr>
      <w:t>1</w:t>
    </w:r>
    <w:r w:rsidR="008E4579">
      <w:rPr>
        <w:rFonts w:cs="Times New Roman"/>
        <w:b/>
        <w:bCs/>
        <w:sz w:val="17"/>
        <w:szCs w:val="17"/>
      </w:rPr>
      <w:t>7</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5B810D" w14:textId="5CBD3FE7" w:rsidR="0042042E" w:rsidRPr="008E4579" w:rsidRDefault="00934FB6" w:rsidP="00DB6CCC">
    <w:pPr>
      <w:pBdr>
        <w:bottom w:val="single" w:sz="4" w:space="0" w:color="auto"/>
      </w:pBdr>
      <w:spacing w:before="20" w:after="40"/>
      <w:jc w:val="both"/>
      <w:rPr>
        <w:b/>
        <w:bCs/>
        <w:sz w:val="17"/>
        <w:szCs w:val="17"/>
        <w:rtl/>
      </w:rPr>
    </w:pPr>
    <w:r w:rsidRPr="00316903">
      <w:rPr>
        <w:rStyle w:val="PageNumber"/>
        <w:b/>
        <w:bCs/>
        <w:sz w:val="17"/>
        <w:szCs w:val="17"/>
        <w:lang w:val="fr-FR"/>
      </w:rPr>
      <w:t>UNEP</w:t>
    </w:r>
    <w:r>
      <w:rPr>
        <w:rStyle w:val="PageNumber"/>
        <w:b/>
        <w:bCs/>
        <w:sz w:val="17"/>
        <w:szCs w:val="17"/>
        <w:lang w:val="fr-FR"/>
      </w:rPr>
      <w:t>/MC</w:t>
    </w:r>
    <w:r>
      <w:rPr>
        <w:rFonts w:cs="Times New Roman"/>
        <w:b/>
        <w:bCs/>
        <w:sz w:val="17"/>
        <w:szCs w:val="17"/>
      </w:rPr>
      <w:t>/COP.</w:t>
    </w:r>
    <w:r w:rsidR="00A4119B">
      <w:rPr>
        <w:rFonts w:cs="Times New Roman"/>
        <w:b/>
        <w:bCs/>
        <w:sz w:val="17"/>
        <w:szCs w:val="17"/>
      </w:rPr>
      <w:t>3</w:t>
    </w:r>
    <w:r>
      <w:rPr>
        <w:rFonts w:cs="Times New Roman"/>
        <w:b/>
        <w:bCs/>
        <w:sz w:val="17"/>
        <w:szCs w:val="17"/>
      </w:rPr>
      <w:t>/</w:t>
    </w:r>
    <w:r w:rsidR="00DB6CCC">
      <w:rPr>
        <w:rFonts w:cs="Times New Roman"/>
        <w:b/>
        <w:bCs/>
        <w:sz w:val="17"/>
        <w:szCs w:val="17"/>
      </w:rPr>
      <w:t>1</w:t>
    </w:r>
    <w:r w:rsidR="008E4579">
      <w:rPr>
        <w:rFonts w:cs="Times New Roman"/>
        <w:b/>
        <w:bCs/>
        <w:sz w:val="17"/>
        <w:szCs w:val="17"/>
      </w:rPr>
      <w:t>7</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multilevel"/>
    <w:tmpl w:val="48241D10"/>
    <w:lvl w:ilvl="0">
      <w:start w:val="1"/>
      <w:numFmt w:val="decimal"/>
      <w:pStyle w:val="Normalnumber"/>
      <w:lvlText w:val="%1."/>
      <w:lvlJc w:val="left"/>
      <w:pPr>
        <w:tabs>
          <w:tab w:val="num" w:pos="567"/>
        </w:tabs>
        <w:ind w:left="1247"/>
      </w:pPr>
      <w:rPr>
        <w:rFonts w:cs="Times New Roman" w:hint="eastAsia"/>
      </w:rPr>
    </w:lvl>
    <w:lvl w:ilvl="1">
      <w:start w:val="1"/>
      <w:numFmt w:val="lowerLetter"/>
      <w:lvlText w:val="(%2)"/>
      <w:lvlJc w:val="left"/>
      <w:pPr>
        <w:tabs>
          <w:tab w:val="num" w:pos="567"/>
        </w:tabs>
        <w:ind w:left="1247" w:firstLine="567"/>
      </w:pPr>
      <w:rPr>
        <w:rFonts w:cs="Times New Roman" w:hint="eastAsia"/>
      </w:rPr>
    </w:lvl>
    <w:lvl w:ilvl="2">
      <w:start w:val="1"/>
      <w:numFmt w:val="lowerRoman"/>
      <w:lvlText w:val="(%3)"/>
      <w:lvlJc w:val="left"/>
      <w:pPr>
        <w:tabs>
          <w:tab w:val="num" w:pos="567"/>
        </w:tabs>
        <w:ind w:left="2948" w:hanging="567"/>
      </w:pPr>
      <w:rPr>
        <w:rFonts w:cs="Times New Roman" w:hint="eastAsia"/>
      </w:rPr>
    </w:lvl>
    <w:lvl w:ilvl="3">
      <w:start w:val="1"/>
      <w:numFmt w:val="lowerLetter"/>
      <w:lvlText w:val="%4."/>
      <w:lvlJc w:val="left"/>
      <w:pPr>
        <w:tabs>
          <w:tab w:val="num" w:pos="567"/>
        </w:tabs>
        <w:ind w:left="3515" w:hanging="567"/>
      </w:pPr>
      <w:rPr>
        <w:rFonts w:cs="Times New Roman" w:hint="eastAsia"/>
      </w:rPr>
    </w:lvl>
    <w:lvl w:ilvl="4">
      <w:start w:val="1"/>
      <w:numFmt w:val="lowerLetter"/>
      <w:lvlText w:val="%5."/>
      <w:lvlJc w:val="left"/>
      <w:pPr>
        <w:tabs>
          <w:tab w:val="num" w:pos="6548"/>
        </w:tabs>
        <w:ind w:left="6548" w:hanging="360"/>
      </w:pPr>
      <w:rPr>
        <w:rFonts w:cs="Times New Roman" w:hint="eastAsia"/>
      </w:rPr>
    </w:lvl>
    <w:lvl w:ilvl="5">
      <w:start w:val="1"/>
      <w:numFmt w:val="lowerRoman"/>
      <w:lvlText w:val="%6."/>
      <w:lvlJc w:val="right"/>
      <w:pPr>
        <w:tabs>
          <w:tab w:val="num" w:pos="7268"/>
        </w:tabs>
        <w:ind w:left="7268" w:hanging="180"/>
      </w:pPr>
      <w:rPr>
        <w:rFonts w:cs="Times New Roman" w:hint="eastAsia"/>
      </w:rPr>
    </w:lvl>
    <w:lvl w:ilvl="6">
      <w:start w:val="1"/>
      <w:numFmt w:val="decimal"/>
      <w:lvlText w:val="%7."/>
      <w:lvlJc w:val="left"/>
      <w:pPr>
        <w:tabs>
          <w:tab w:val="num" w:pos="7988"/>
        </w:tabs>
        <w:ind w:left="7988" w:hanging="360"/>
      </w:pPr>
      <w:rPr>
        <w:rFonts w:cs="Times New Roman" w:hint="eastAsia"/>
      </w:rPr>
    </w:lvl>
    <w:lvl w:ilvl="7">
      <w:start w:val="1"/>
      <w:numFmt w:val="lowerLetter"/>
      <w:lvlText w:val="%8."/>
      <w:lvlJc w:val="left"/>
      <w:pPr>
        <w:tabs>
          <w:tab w:val="num" w:pos="8708"/>
        </w:tabs>
        <w:ind w:left="8708" w:hanging="360"/>
      </w:pPr>
      <w:rPr>
        <w:rFonts w:cs="Times New Roman" w:hint="eastAsia"/>
      </w:rPr>
    </w:lvl>
    <w:lvl w:ilvl="8">
      <w:start w:val="1"/>
      <w:numFmt w:val="lowerRoman"/>
      <w:lvlText w:val="%9."/>
      <w:lvlJc w:val="right"/>
      <w:pPr>
        <w:tabs>
          <w:tab w:val="num" w:pos="9428"/>
        </w:tabs>
        <w:ind w:left="9428" w:hanging="180"/>
      </w:pPr>
      <w:rPr>
        <w:rFonts w:cs="Times New Roman" w:hint="eastAsia"/>
      </w:rPr>
    </w:lvl>
  </w:abstractNum>
  <w:abstractNum w:abstractNumId="1" w15:restartNumberingAfterBreak="0">
    <w:nsid w:val="08AA0772"/>
    <w:multiLevelType w:val="hybridMultilevel"/>
    <w:tmpl w:val="06A41752"/>
    <w:lvl w:ilvl="0" w:tplc="8A160952">
      <w:start w:val="1"/>
      <w:numFmt w:val="decimal"/>
      <w:lvlText w:val="%1-"/>
      <w:lvlJc w:val="left"/>
      <w:pPr>
        <w:ind w:left="1335" w:hanging="435"/>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 w15:restartNumberingAfterBreak="0">
    <w:nsid w:val="08AF42CD"/>
    <w:multiLevelType w:val="hybridMultilevel"/>
    <w:tmpl w:val="6A0A80CE"/>
    <w:lvl w:ilvl="0" w:tplc="E27672C8">
      <w:start w:val="1"/>
      <w:numFmt w:val="decimal"/>
      <w:lvlText w:val="%1-"/>
      <w:lvlJc w:val="left"/>
      <w:pPr>
        <w:ind w:left="1817" w:hanging="570"/>
      </w:pPr>
      <w:rPr>
        <w:rFonts w:hint="default"/>
        <w:b/>
        <w:bCs w:val="0"/>
        <w:i w:val="0"/>
      </w:rPr>
    </w:lvl>
    <w:lvl w:ilvl="1" w:tplc="04090019" w:tentative="1">
      <w:start w:val="1"/>
      <w:numFmt w:val="lowerLetter"/>
      <w:lvlText w:val="%2."/>
      <w:lvlJc w:val="left"/>
      <w:pPr>
        <w:ind w:left="2327" w:hanging="360"/>
      </w:pPr>
    </w:lvl>
    <w:lvl w:ilvl="2" w:tplc="0409001B" w:tentative="1">
      <w:start w:val="1"/>
      <w:numFmt w:val="lowerRoman"/>
      <w:lvlText w:val="%3."/>
      <w:lvlJc w:val="right"/>
      <w:pPr>
        <w:ind w:left="3047" w:hanging="180"/>
      </w:pPr>
    </w:lvl>
    <w:lvl w:ilvl="3" w:tplc="0409000F" w:tentative="1">
      <w:start w:val="1"/>
      <w:numFmt w:val="decimal"/>
      <w:lvlText w:val="%4."/>
      <w:lvlJc w:val="left"/>
      <w:pPr>
        <w:ind w:left="3767" w:hanging="360"/>
      </w:pPr>
    </w:lvl>
    <w:lvl w:ilvl="4" w:tplc="04090019" w:tentative="1">
      <w:start w:val="1"/>
      <w:numFmt w:val="lowerLetter"/>
      <w:lvlText w:val="%5."/>
      <w:lvlJc w:val="left"/>
      <w:pPr>
        <w:ind w:left="4487" w:hanging="360"/>
      </w:pPr>
    </w:lvl>
    <w:lvl w:ilvl="5" w:tplc="0409001B" w:tentative="1">
      <w:start w:val="1"/>
      <w:numFmt w:val="lowerRoman"/>
      <w:lvlText w:val="%6."/>
      <w:lvlJc w:val="right"/>
      <w:pPr>
        <w:ind w:left="5207" w:hanging="180"/>
      </w:pPr>
    </w:lvl>
    <w:lvl w:ilvl="6" w:tplc="0409000F" w:tentative="1">
      <w:start w:val="1"/>
      <w:numFmt w:val="decimal"/>
      <w:lvlText w:val="%7."/>
      <w:lvlJc w:val="left"/>
      <w:pPr>
        <w:ind w:left="5927" w:hanging="360"/>
      </w:pPr>
    </w:lvl>
    <w:lvl w:ilvl="7" w:tplc="04090019" w:tentative="1">
      <w:start w:val="1"/>
      <w:numFmt w:val="lowerLetter"/>
      <w:lvlText w:val="%8."/>
      <w:lvlJc w:val="left"/>
      <w:pPr>
        <w:ind w:left="6647" w:hanging="360"/>
      </w:pPr>
    </w:lvl>
    <w:lvl w:ilvl="8" w:tplc="0409001B" w:tentative="1">
      <w:start w:val="1"/>
      <w:numFmt w:val="lowerRoman"/>
      <w:lvlText w:val="%9."/>
      <w:lvlJc w:val="right"/>
      <w:pPr>
        <w:ind w:left="7367" w:hanging="180"/>
      </w:pPr>
    </w:lvl>
  </w:abstractNum>
  <w:abstractNum w:abstractNumId="3" w15:restartNumberingAfterBreak="0">
    <w:nsid w:val="19FD37BB"/>
    <w:multiLevelType w:val="hybridMultilevel"/>
    <w:tmpl w:val="F334DD8C"/>
    <w:lvl w:ilvl="0" w:tplc="08090003">
      <w:start w:val="1"/>
      <w:numFmt w:val="bullet"/>
      <w:lvlText w:val="o"/>
      <w:lvlJc w:val="left"/>
      <w:pPr>
        <w:ind w:left="720" w:hanging="360"/>
      </w:pPr>
      <w:rPr>
        <w:rFonts w:ascii="Courier New" w:hAnsi="Courier New" w:hint="default"/>
      </w:rPr>
    </w:lvl>
    <w:lvl w:ilvl="1" w:tplc="1D20D234">
      <w:start w:val="1"/>
      <w:numFmt w:val="bullet"/>
      <w:lvlText w:val="-"/>
      <w:lvlJc w:val="left"/>
      <w:pPr>
        <w:ind w:left="1440" w:hanging="360"/>
      </w:pPr>
      <w:rPr>
        <w:rFonts w:ascii="Courier New" w:hAnsi="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hint="default"/>
      </w:rPr>
    </w:lvl>
    <w:lvl w:ilvl="8" w:tplc="08090005">
      <w:start w:val="1"/>
      <w:numFmt w:val="bullet"/>
      <w:lvlText w:val=""/>
      <w:lvlJc w:val="left"/>
      <w:pPr>
        <w:ind w:left="6480" w:hanging="360"/>
      </w:pPr>
      <w:rPr>
        <w:rFonts w:ascii="Wingdings" w:hAnsi="Wingdings" w:hint="default"/>
      </w:rPr>
    </w:lvl>
  </w:abstractNum>
  <w:abstractNum w:abstractNumId="4" w15:restartNumberingAfterBreak="0">
    <w:nsid w:val="2F003D0C"/>
    <w:multiLevelType w:val="multilevel"/>
    <w:tmpl w:val="81E0E7BA"/>
    <w:styleLink w:val="WWNum25"/>
    <w:lvl w:ilvl="0">
      <w:start w:val="1"/>
      <w:numFmt w:val="decimal"/>
      <w:lvlText w:val="%1-"/>
      <w:lvlJc w:val="left"/>
      <w:pPr>
        <w:ind w:left="1247" w:firstLine="0"/>
      </w:pPr>
      <w:rPr>
        <w:rFonts w:hAnsi="Arial Unicode MS" w:hint="eastAsia"/>
        <w:i w:val="0"/>
        <w:caps w:val="0"/>
        <w:strike w:val="0"/>
        <w:dstrike w:val="0"/>
        <w:color w:val="000000"/>
        <w:spacing w:val="0"/>
        <w:w w:val="100"/>
        <w:kern w:val="0"/>
        <w:position w:val="0"/>
        <w:vertAlign w:val="baseline"/>
      </w:rPr>
    </w:lvl>
    <w:lvl w:ilvl="1">
      <w:start w:val="1"/>
      <w:numFmt w:val="lowerLetter"/>
      <w:lvlText w:val="(%2)"/>
      <w:lvlJc w:val="left"/>
      <w:pPr>
        <w:ind w:left="1247" w:firstLine="567"/>
      </w:pPr>
    </w:lvl>
    <w:lvl w:ilvl="2">
      <w:start w:val="1"/>
      <w:numFmt w:val="lowerRoman"/>
      <w:lvlText w:val="(%1.%2.%3)"/>
      <w:lvlJc w:val="left"/>
      <w:pPr>
        <w:ind w:left="2948" w:hanging="567"/>
      </w:pPr>
    </w:lvl>
    <w:lvl w:ilvl="3">
      <w:start w:val="1"/>
      <w:numFmt w:val="lowerLetter"/>
      <w:lvlText w:val="%1.%2.%3.%4."/>
      <w:lvlJc w:val="left"/>
      <w:pPr>
        <w:ind w:left="3515" w:hanging="567"/>
      </w:pPr>
    </w:lvl>
    <w:lvl w:ilvl="4">
      <w:start w:val="1"/>
      <w:numFmt w:val="lowerLetter"/>
      <w:lvlText w:val="%1.%2.%3.%4.%5."/>
      <w:lvlJc w:val="left"/>
      <w:pPr>
        <w:ind w:left="6548" w:hanging="360"/>
      </w:pPr>
    </w:lvl>
    <w:lvl w:ilvl="5">
      <w:start w:val="1"/>
      <w:numFmt w:val="lowerRoman"/>
      <w:lvlText w:val="%1.%2.%3.%4.%5.%6."/>
      <w:lvlJc w:val="right"/>
      <w:pPr>
        <w:ind w:left="7268" w:hanging="180"/>
      </w:pPr>
    </w:lvl>
    <w:lvl w:ilvl="6">
      <w:start w:val="1"/>
      <w:numFmt w:val="decimal"/>
      <w:lvlText w:val="%1.%2.%3.%4.%5.%6.%7."/>
      <w:lvlJc w:val="left"/>
      <w:pPr>
        <w:ind w:left="7988" w:hanging="360"/>
      </w:pPr>
    </w:lvl>
    <w:lvl w:ilvl="7">
      <w:start w:val="1"/>
      <w:numFmt w:val="lowerLetter"/>
      <w:lvlText w:val="%1.%2.%3.%4.%5.%6.%7.%8."/>
      <w:lvlJc w:val="left"/>
      <w:pPr>
        <w:ind w:left="8708" w:hanging="360"/>
      </w:pPr>
    </w:lvl>
    <w:lvl w:ilvl="8">
      <w:start w:val="1"/>
      <w:numFmt w:val="lowerRoman"/>
      <w:lvlText w:val="%1.%2.%3.%4.%5.%6.%7.%8.%9."/>
      <w:lvlJc w:val="right"/>
      <w:pPr>
        <w:ind w:left="9428" w:hanging="180"/>
      </w:pPr>
    </w:lvl>
  </w:abstractNum>
  <w:abstractNum w:abstractNumId="5" w15:restartNumberingAfterBreak="0">
    <w:nsid w:val="30927E40"/>
    <w:multiLevelType w:val="hybridMultilevel"/>
    <w:tmpl w:val="1D7091DA"/>
    <w:lvl w:ilvl="0" w:tplc="36C81850">
      <w:start w:val="21"/>
      <w:numFmt w:val="decimal"/>
      <w:lvlText w:val="%1-"/>
      <w:lvlJc w:val="left"/>
      <w:pPr>
        <w:ind w:left="1320" w:hanging="42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6" w15:restartNumberingAfterBreak="0">
    <w:nsid w:val="395D64A6"/>
    <w:multiLevelType w:val="hybridMultilevel"/>
    <w:tmpl w:val="4B54480E"/>
    <w:lvl w:ilvl="0" w:tplc="30CC5704">
      <w:start w:val="1"/>
      <w:numFmt w:val="bullet"/>
      <w:lvlText w:val=""/>
      <w:lvlJc w:val="left"/>
      <w:pPr>
        <w:ind w:left="720" w:hanging="360"/>
      </w:pPr>
      <w:rPr>
        <w:rFonts w:ascii="Symbol" w:hAnsi="Symbol" w:hint="default"/>
        <w:sz w:val="20"/>
        <w:szCs w:val="20"/>
      </w:rPr>
    </w:lvl>
    <w:lvl w:ilvl="1" w:tplc="C04E133C">
      <w:start w:val="1"/>
      <w:numFmt w:val="bullet"/>
      <w:lvlText w:val=""/>
      <w:lvlJc w:val="left"/>
      <w:pPr>
        <w:ind w:left="1440" w:hanging="360"/>
      </w:pPr>
      <w:rPr>
        <w:rFonts w:ascii="Symbol" w:hAnsi="Symbol" w:hint="default"/>
        <w:sz w:val="20"/>
        <w:szCs w:val="20"/>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7" w15:restartNumberingAfterBreak="0">
    <w:nsid w:val="42C831C3"/>
    <w:multiLevelType w:val="hybridMultilevel"/>
    <w:tmpl w:val="8B92FE12"/>
    <w:lvl w:ilvl="0" w:tplc="8F5891F2">
      <w:start w:val="17"/>
      <w:numFmt w:val="decimal"/>
      <w:lvlText w:val="%1-"/>
      <w:lvlJc w:val="left"/>
      <w:pPr>
        <w:ind w:left="1320" w:hanging="42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8" w15:restartNumberingAfterBreak="0">
    <w:nsid w:val="50C8561A"/>
    <w:multiLevelType w:val="singleLevel"/>
    <w:tmpl w:val="779E85D6"/>
    <w:lvl w:ilvl="0">
      <w:numFmt w:val="ganada"/>
      <w:lvlText w:val="%1"/>
      <w:lvlJc w:val="left"/>
      <w:pPr>
        <w:tabs>
          <w:tab w:val="num" w:pos="360"/>
        </w:tabs>
        <w:ind w:right="360" w:hanging="360"/>
      </w:pPr>
      <w:rPr>
        <w:rFonts w:hint="default"/>
      </w:rPr>
    </w:lvl>
  </w:abstractNum>
  <w:abstractNum w:abstractNumId="9" w15:restartNumberingAfterBreak="0">
    <w:nsid w:val="52A66A9D"/>
    <w:multiLevelType w:val="multilevel"/>
    <w:tmpl w:val="48241D10"/>
    <w:styleLink w:val="Normallist"/>
    <w:lvl w:ilvl="0">
      <w:start w:val="1"/>
      <w:numFmt w:val="decimal"/>
      <w:lvlText w:val="%1."/>
      <w:lvlJc w:val="left"/>
      <w:pPr>
        <w:tabs>
          <w:tab w:val="num" w:pos="567"/>
        </w:tabs>
        <w:ind w:left="1247" w:firstLine="0"/>
      </w:pPr>
    </w:lvl>
    <w:lvl w:ilvl="1">
      <w:start w:val="1"/>
      <w:numFmt w:val="lowerLetter"/>
      <w:lvlText w:val="(%2)"/>
      <w:lvlJc w:val="left"/>
      <w:pPr>
        <w:tabs>
          <w:tab w:val="num" w:pos="567"/>
        </w:tabs>
        <w:ind w:left="1247" w:firstLine="567"/>
      </w:pPr>
    </w:lvl>
    <w:lvl w:ilvl="2">
      <w:start w:val="1"/>
      <w:numFmt w:val="lowerRoman"/>
      <w:lvlText w:val="(%3)"/>
      <w:lvlJc w:val="left"/>
      <w:pPr>
        <w:tabs>
          <w:tab w:val="num" w:pos="567"/>
        </w:tabs>
        <w:ind w:left="2948" w:hanging="567"/>
      </w:pPr>
    </w:lvl>
    <w:lvl w:ilvl="3">
      <w:start w:val="1"/>
      <w:numFmt w:val="lowerLetter"/>
      <w:lvlText w:val="%4."/>
      <w:lvlJc w:val="left"/>
      <w:pPr>
        <w:tabs>
          <w:tab w:val="num" w:pos="567"/>
        </w:tabs>
        <w:ind w:left="3515" w:hanging="567"/>
      </w:pPr>
    </w:lvl>
    <w:lvl w:ilvl="4">
      <w:start w:val="1"/>
      <w:numFmt w:val="lowerLetter"/>
      <w:lvlText w:val="%5."/>
      <w:lvlJc w:val="left"/>
      <w:pPr>
        <w:tabs>
          <w:tab w:val="num" w:pos="6548"/>
        </w:tabs>
        <w:ind w:left="6548" w:hanging="360"/>
      </w:pPr>
    </w:lvl>
    <w:lvl w:ilvl="5">
      <w:start w:val="1"/>
      <w:numFmt w:val="lowerRoman"/>
      <w:lvlText w:val="%6."/>
      <w:lvlJc w:val="right"/>
      <w:pPr>
        <w:tabs>
          <w:tab w:val="num" w:pos="7268"/>
        </w:tabs>
        <w:ind w:left="7268" w:hanging="180"/>
      </w:pPr>
    </w:lvl>
    <w:lvl w:ilvl="6">
      <w:start w:val="1"/>
      <w:numFmt w:val="decimal"/>
      <w:lvlText w:val="%7."/>
      <w:lvlJc w:val="left"/>
      <w:pPr>
        <w:tabs>
          <w:tab w:val="num" w:pos="7988"/>
        </w:tabs>
        <w:ind w:left="7988" w:hanging="360"/>
      </w:pPr>
    </w:lvl>
    <w:lvl w:ilvl="7">
      <w:start w:val="1"/>
      <w:numFmt w:val="lowerLetter"/>
      <w:lvlText w:val="%8."/>
      <w:lvlJc w:val="left"/>
      <w:pPr>
        <w:tabs>
          <w:tab w:val="num" w:pos="8708"/>
        </w:tabs>
        <w:ind w:left="8708" w:hanging="360"/>
      </w:pPr>
    </w:lvl>
    <w:lvl w:ilvl="8">
      <w:start w:val="1"/>
      <w:numFmt w:val="lowerRoman"/>
      <w:lvlText w:val="%9."/>
      <w:lvlJc w:val="right"/>
      <w:pPr>
        <w:tabs>
          <w:tab w:val="num" w:pos="9428"/>
        </w:tabs>
        <w:ind w:left="9428" w:hanging="180"/>
      </w:pPr>
    </w:lvl>
  </w:abstractNum>
  <w:abstractNum w:abstractNumId="10" w15:restartNumberingAfterBreak="0">
    <w:nsid w:val="54DA0699"/>
    <w:multiLevelType w:val="hybridMultilevel"/>
    <w:tmpl w:val="33CECC38"/>
    <w:lvl w:ilvl="0" w:tplc="6CD47A02">
      <w:start w:val="1"/>
      <w:numFmt w:val="arabicAlpha"/>
      <w:lvlText w:val="(%1)"/>
      <w:lvlJc w:val="left"/>
      <w:pPr>
        <w:ind w:left="2138" w:hanging="720"/>
      </w:pPr>
      <w:rPr>
        <w:rFonts w:hint="default"/>
        <w:color w:val="auto"/>
      </w:rPr>
    </w:lvl>
    <w:lvl w:ilvl="1" w:tplc="04090019" w:tentative="1">
      <w:start w:val="1"/>
      <w:numFmt w:val="lowerLetter"/>
      <w:lvlText w:val="%2."/>
      <w:lvlJc w:val="left"/>
      <w:pPr>
        <w:ind w:left="2213" w:hanging="360"/>
      </w:pPr>
    </w:lvl>
    <w:lvl w:ilvl="2" w:tplc="0409001B" w:tentative="1">
      <w:start w:val="1"/>
      <w:numFmt w:val="lowerRoman"/>
      <w:lvlText w:val="%3."/>
      <w:lvlJc w:val="right"/>
      <w:pPr>
        <w:ind w:left="2933" w:hanging="180"/>
      </w:pPr>
    </w:lvl>
    <w:lvl w:ilvl="3" w:tplc="0409000F" w:tentative="1">
      <w:start w:val="1"/>
      <w:numFmt w:val="decimal"/>
      <w:lvlText w:val="%4."/>
      <w:lvlJc w:val="left"/>
      <w:pPr>
        <w:ind w:left="3653" w:hanging="360"/>
      </w:pPr>
    </w:lvl>
    <w:lvl w:ilvl="4" w:tplc="04090019" w:tentative="1">
      <w:start w:val="1"/>
      <w:numFmt w:val="lowerLetter"/>
      <w:lvlText w:val="%5."/>
      <w:lvlJc w:val="left"/>
      <w:pPr>
        <w:ind w:left="4373" w:hanging="360"/>
      </w:pPr>
    </w:lvl>
    <w:lvl w:ilvl="5" w:tplc="0409001B" w:tentative="1">
      <w:start w:val="1"/>
      <w:numFmt w:val="lowerRoman"/>
      <w:lvlText w:val="%6."/>
      <w:lvlJc w:val="right"/>
      <w:pPr>
        <w:ind w:left="5093" w:hanging="180"/>
      </w:pPr>
    </w:lvl>
    <w:lvl w:ilvl="6" w:tplc="0409000F" w:tentative="1">
      <w:start w:val="1"/>
      <w:numFmt w:val="decimal"/>
      <w:lvlText w:val="%7."/>
      <w:lvlJc w:val="left"/>
      <w:pPr>
        <w:ind w:left="5813" w:hanging="360"/>
      </w:pPr>
    </w:lvl>
    <w:lvl w:ilvl="7" w:tplc="04090019" w:tentative="1">
      <w:start w:val="1"/>
      <w:numFmt w:val="lowerLetter"/>
      <w:lvlText w:val="%8."/>
      <w:lvlJc w:val="left"/>
      <w:pPr>
        <w:ind w:left="6533" w:hanging="360"/>
      </w:pPr>
    </w:lvl>
    <w:lvl w:ilvl="8" w:tplc="0409001B" w:tentative="1">
      <w:start w:val="1"/>
      <w:numFmt w:val="lowerRoman"/>
      <w:lvlText w:val="%9."/>
      <w:lvlJc w:val="right"/>
      <w:pPr>
        <w:ind w:left="7253" w:hanging="180"/>
      </w:pPr>
    </w:lvl>
  </w:abstractNum>
  <w:abstractNum w:abstractNumId="11" w15:restartNumberingAfterBreak="0">
    <w:nsid w:val="57B346CB"/>
    <w:multiLevelType w:val="hybridMultilevel"/>
    <w:tmpl w:val="69EAD434"/>
    <w:lvl w:ilvl="0" w:tplc="6ED6A31E">
      <w:start w:val="1"/>
      <w:numFmt w:val="bullet"/>
      <w:lvlText w:val=""/>
      <w:lvlJc w:val="left"/>
      <w:pPr>
        <w:ind w:left="2061" w:hanging="360"/>
      </w:pPr>
      <w:rPr>
        <w:rFonts w:ascii="Symbol" w:hAnsi="Symbol" w:hint="default"/>
        <w:sz w:val="20"/>
        <w:szCs w:val="20"/>
      </w:rPr>
    </w:lvl>
    <w:lvl w:ilvl="1" w:tplc="4A9CADDE">
      <w:start w:val="1"/>
      <w:numFmt w:val="bullet"/>
      <w:lvlText w:val="˗"/>
      <w:lvlJc w:val="left"/>
      <w:pPr>
        <w:ind w:left="1494" w:hanging="360"/>
      </w:pPr>
      <w:rPr>
        <w:rFonts w:ascii="Times New Roman" w:hAnsi="Times New Roman" w:cs="Times New Roman" w:hint="default"/>
      </w:r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12" w15:restartNumberingAfterBreak="0">
    <w:nsid w:val="5D717927"/>
    <w:multiLevelType w:val="hybridMultilevel"/>
    <w:tmpl w:val="9E1C1C44"/>
    <w:lvl w:ilvl="0" w:tplc="D5D03EE0">
      <w:start w:val="1"/>
      <w:numFmt w:val="bullet"/>
      <w:lvlText w:val=""/>
      <w:lvlJc w:val="left"/>
      <w:pPr>
        <w:ind w:left="2880" w:hanging="360"/>
      </w:pPr>
      <w:rPr>
        <w:rFonts w:ascii="Symbol" w:eastAsiaTheme="minorHAnsi" w:hAnsi="Symbol" w:cs="Traditional Arabic" w:hint="default"/>
        <w:sz w:val="24"/>
        <w:szCs w:val="24"/>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13" w15:restartNumberingAfterBreak="0">
    <w:nsid w:val="5ED2721E"/>
    <w:multiLevelType w:val="hybridMultilevel"/>
    <w:tmpl w:val="4A56294A"/>
    <w:lvl w:ilvl="0" w:tplc="6FD6C01A">
      <w:start w:val="18"/>
      <w:numFmt w:val="decimal"/>
      <w:lvlText w:val="%1-"/>
      <w:lvlJc w:val="left"/>
      <w:pPr>
        <w:ind w:left="1320" w:hanging="42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14" w15:restartNumberingAfterBreak="0">
    <w:nsid w:val="6AA50DB1"/>
    <w:multiLevelType w:val="singleLevel"/>
    <w:tmpl w:val="0C00B568"/>
    <w:lvl w:ilvl="0">
      <w:start w:val="1"/>
      <w:numFmt w:val="decimal"/>
      <w:lvlText w:val="%1."/>
      <w:lvlJc w:val="left"/>
      <w:pPr>
        <w:tabs>
          <w:tab w:val="num" w:pos="360"/>
        </w:tabs>
        <w:ind w:left="0" w:firstLine="0"/>
      </w:pPr>
      <w:rPr>
        <w:rFonts w:ascii="Times New Roman" w:hAnsi="Times New Roman" w:hint="default"/>
        <w:b w:val="0"/>
        <w:i w:val="0"/>
        <w:sz w:val="22"/>
      </w:rPr>
    </w:lvl>
  </w:abstractNum>
  <w:abstractNum w:abstractNumId="15" w15:restartNumberingAfterBreak="0">
    <w:nsid w:val="6F2116D9"/>
    <w:multiLevelType w:val="hybridMultilevel"/>
    <w:tmpl w:val="460A455E"/>
    <w:lvl w:ilvl="0" w:tplc="B724672E">
      <w:start w:val="1"/>
      <w:numFmt w:val="decimal"/>
      <w:lvlText w:val="%1."/>
      <w:lvlJc w:val="left"/>
      <w:pPr>
        <w:ind w:left="720" w:hanging="360"/>
      </w:pPr>
      <w:rPr>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712B4EA4"/>
    <w:multiLevelType w:val="hybridMultilevel"/>
    <w:tmpl w:val="AC74672A"/>
    <w:lvl w:ilvl="0" w:tplc="49C44DE2">
      <w:start w:val="1"/>
      <w:numFmt w:val="bullet"/>
      <w:lvlText w:val=""/>
      <w:lvlJc w:val="left"/>
      <w:pPr>
        <w:tabs>
          <w:tab w:val="num" w:pos="394"/>
        </w:tabs>
        <w:ind w:left="394" w:hanging="360"/>
      </w:pPr>
      <w:rPr>
        <w:rFonts w:ascii="Symbol" w:hAnsi="Symbol" w:cs="Traditional Arabic" w:hint="default"/>
        <w:sz w:val="24"/>
        <w:szCs w:val="24"/>
      </w:rPr>
    </w:lvl>
    <w:lvl w:ilvl="1" w:tplc="08090003">
      <w:start w:val="1"/>
      <w:numFmt w:val="bullet"/>
      <w:lvlText w:val="o"/>
      <w:lvlJc w:val="left"/>
      <w:pPr>
        <w:tabs>
          <w:tab w:val="num" w:pos="754"/>
        </w:tabs>
        <w:ind w:left="754" w:hanging="360"/>
      </w:pPr>
      <w:rPr>
        <w:rFonts w:ascii="Courier New" w:hAnsi="Courier New" w:cs="Courier New" w:hint="default"/>
      </w:rPr>
    </w:lvl>
    <w:lvl w:ilvl="2" w:tplc="08090005" w:tentative="1">
      <w:start w:val="1"/>
      <w:numFmt w:val="bullet"/>
      <w:lvlText w:val=""/>
      <w:lvlJc w:val="left"/>
      <w:pPr>
        <w:tabs>
          <w:tab w:val="num" w:pos="1474"/>
        </w:tabs>
        <w:ind w:left="1474" w:hanging="360"/>
      </w:pPr>
      <w:rPr>
        <w:rFonts w:ascii="Wingdings" w:hAnsi="Wingdings" w:hint="default"/>
      </w:rPr>
    </w:lvl>
    <w:lvl w:ilvl="3" w:tplc="08090001" w:tentative="1">
      <w:start w:val="1"/>
      <w:numFmt w:val="bullet"/>
      <w:lvlText w:val=""/>
      <w:lvlJc w:val="left"/>
      <w:pPr>
        <w:tabs>
          <w:tab w:val="num" w:pos="2194"/>
        </w:tabs>
        <w:ind w:left="2194" w:hanging="360"/>
      </w:pPr>
      <w:rPr>
        <w:rFonts w:ascii="Symbol" w:hAnsi="Symbol" w:hint="default"/>
      </w:rPr>
    </w:lvl>
    <w:lvl w:ilvl="4" w:tplc="08090003" w:tentative="1">
      <w:start w:val="1"/>
      <w:numFmt w:val="bullet"/>
      <w:lvlText w:val="o"/>
      <w:lvlJc w:val="left"/>
      <w:pPr>
        <w:tabs>
          <w:tab w:val="num" w:pos="2914"/>
        </w:tabs>
        <w:ind w:left="2914" w:hanging="360"/>
      </w:pPr>
      <w:rPr>
        <w:rFonts w:ascii="Courier New" w:hAnsi="Courier New" w:cs="Courier New" w:hint="default"/>
      </w:rPr>
    </w:lvl>
    <w:lvl w:ilvl="5" w:tplc="08090005" w:tentative="1">
      <w:start w:val="1"/>
      <w:numFmt w:val="bullet"/>
      <w:lvlText w:val=""/>
      <w:lvlJc w:val="left"/>
      <w:pPr>
        <w:tabs>
          <w:tab w:val="num" w:pos="3634"/>
        </w:tabs>
        <w:ind w:left="3634" w:hanging="360"/>
      </w:pPr>
      <w:rPr>
        <w:rFonts w:ascii="Wingdings" w:hAnsi="Wingdings" w:hint="default"/>
      </w:rPr>
    </w:lvl>
    <w:lvl w:ilvl="6" w:tplc="08090001" w:tentative="1">
      <w:start w:val="1"/>
      <w:numFmt w:val="bullet"/>
      <w:lvlText w:val=""/>
      <w:lvlJc w:val="left"/>
      <w:pPr>
        <w:tabs>
          <w:tab w:val="num" w:pos="4354"/>
        </w:tabs>
        <w:ind w:left="4354" w:hanging="360"/>
      </w:pPr>
      <w:rPr>
        <w:rFonts w:ascii="Symbol" w:hAnsi="Symbol" w:hint="default"/>
      </w:rPr>
    </w:lvl>
    <w:lvl w:ilvl="7" w:tplc="08090003" w:tentative="1">
      <w:start w:val="1"/>
      <w:numFmt w:val="bullet"/>
      <w:lvlText w:val="o"/>
      <w:lvlJc w:val="left"/>
      <w:pPr>
        <w:tabs>
          <w:tab w:val="num" w:pos="5074"/>
        </w:tabs>
        <w:ind w:left="5074" w:hanging="360"/>
      </w:pPr>
      <w:rPr>
        <w:rFonts w:ascii="Courier New" w:hAnsi="Courier New" w:cs="Courier New" w:hint="default"/>
      </w:rPr>
    </w:lvl>
    <w:lvl w:ilvl="8" w:tplc="08090005" w:tentative="1">
      <w:start w:val="1"/>
      <w:numFmt w:val="bullet"/>
      <w:lvlText w:val=""/>
      <w:lvlJc w:val="left"/>
      <w:pPr>
        <w:tabs>
          <w:tab w:val="num" w:pos="5794"/>
        </w:tabs>
        <w:ind w:left="5794" w:hanging="360"/>
      </w:pPr>
      <w:rPr>
        <w:rFonts w:ascii="Wingdings" w:hAnsi="Wingdings" w:hint="default"/>
      </w:rPr>
    </w:lvl>
  </w:abstractNum>
  <w:abstractNum w:abstractNumId="17" w15:restartNumberingAfterBreak="0">
    <w:nsid w:val="7EF71EF0"/>
    <w:multiLevelType w:val="hybridMultilevel"/>
    <w:tmpl w:val="3D381B26"/>
    <w:lvl w:ilvl="0" w:tplc="8F260EEE">
      <w:start w:val="1"/>
      <w:numFmt w:val="bullet"/>
      <w:lvlText w:val="-"/>
      <w:lvlJc w:val="left"/>
      <w:pPr>
        <w:tabs>
          <w:tab w:val="num" w:pos="1080"/>
        </w:tabs>
        <w:ind w:left="1080" w:hanging="360"/>
      </w:pPr>
      <w:rPr>
        <w:rFonts w:ascii="Agency FB" w:hAnsi="Agency FB"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14"/>
  </w:num>
  <w:num w:numId="2">
    <w:abstractNumId w:val="3"/>
  </w:num>
  <w:num w:numId="3">
    <w:abstractNumId w:val="17"/>
  </w:num>
  <w:num w:numId="4">
    <w:abstractNumId w:val="16"/>
  </w:num>
  <w:num w:numId="5">
    <w:abstractNumId w:val="8"/>
  </w:num>
  <w:num w:numId="6">
    <w:abstractNumId w:val="10"/>
  </w:num>
  <w:num w:numId="7">
    <w:abstractNumId w:val="0"/>
    <w:lvlOverride w:ilvl="0">
      <w:lvl w:ilvl="0">
        <w:start w:val="1"/>
        <w:numFmt w:val="decimal"/>
        <w:pStyle w:val="Normalnumber"/>
        <w:lvlText w:val="%1."/>
        <w:lvlJc w:val="left"/>
        <w:pPr>
          <w:tabs>
            <w:tab w:val="num" w:pos="567"/>
          </w:tabs>
          <w:ind w:left="1247"/>
        </w:pPr>
        <w:rPr>
          <w:rFonts w:cs="Times New Roman" w:hint="eastAsia"/>
        </w:rPr>
      </w:lvl>
    </w:lvlOverride>
    <w:lvlOverride w:ilvl="1">
      <w:lvl w:ilvl="1">
        <w:start w:val="1"/>
        <w:numFmt w:val="lowerLetter"/>
        <w:lvlText w:val="(%2)"/>
        <w:lvlJc w:val="left"/>
        <w:pPr>
          <w:tabs>
            <w:tab w:val="num" w:pos="567"/>
          </w:tabs>
          <w:ind w:left="1247" w:firstLine="567"/>
        </w:pPr>
        <w:rPr>
          <w:rFonts w:cs="Times New Roman" w:hint="eastAsia"/>
        </w:rPr>
      </w:lvl>
    </w:lvlOverride>
    <w:lvlOverride w:ilvl="2">
      <w:lvl w:ilvl="2">
        <w:start w:val="1"/>
        <w:numFmt w:val="lowerRoman"/>
        <w:lvlText w:val="(%3)"/>
        <w:lvlJc w:val="left"/>
        <w:pPr>
          <w:tabs>
            <w:tab w:val="num" w:pos="567"/>
          </w:tabs>
          <w:ind w:left="2948" w:hanging="567"/>
        </w:pPr>
        <w:rPr>
          <w:rFonts w:cs="Times New Roman" w:hint="eastAsia"/>
        </w:rPr>
      </w:lvl>
    </w:lvlOverride>
    <w:lvlOverride w:ilvl="3">
      <w:lvl w:ilvl="3">
        <w:start w:val="1"/>
        <w:numFmt w:val="lowerLetter"/>
        <w:lvlText w:val="%4."/>
        <w:lvlJc w:val="left"/>
        <w:pPr>
          <w:tabs>
            <w:tab w:val="num" w:pos="567"/>
          </w:tabs>
          <w:ind w:left="3515" w:hanging="567"/>
        </w:pPr>
        <w:rPr>
          <w:rFonts w:cs="Times New Roman" w:hint="eastAsia"/>
        </w:rPr>
      </w:lvl>
    </w:lvlOverride>
    <w:lvlOverride w:ilvl="4">
      <w:lvl w:ilvl="4">
        <w:start w:val="1"/>
        <w:numFmt w:val="lowerLetter"/>
        <w:lvlText w:val="%5."/>
        <w:lvlJc w:val="left"/>
        <w:pPr>
          <w:tabs>
            <w:tab w:val="num" w:pos="6548"/>
          </w:tabs>
          <w:ind w:left="6548" w:hanging="360"/>
        </w:pPr>
        <w:rPr>
          <w:rFonts w:cs="Times New Roman" w:hint="eastAsia"/>
        </w:rPr>
      </w:lvl>
    </w:lvlOverride>
    <w:lvlOverride w:ilvl="5">
      <w:lvl w:ilvl="5">
        <w:start w:val="1"/>
        <w:numFmt w:val="lowerRoman"/>
        <w:lvlText w:val="%6."/>
        <w:lvlJc w:val="right"/>
        <w:pPr>
          <w:tabs>
            <w:tab w:val="num" w:pos="7268"/>
          </w:tabs>
          <w:ind w:left="7268" w:hanging="180"/>
        </w:pPr>
        <w:rPr>
          <w:rFonts w:cs="Times New Roman" w:hint="eastAsia"/>
        </w:rPr>
      </w:lvl>
    </w:lvlOverride>
    <w:lvlOverride w:ilvl="6">
      <w:lvl w:ilvl="6">
        <w:start w:val="1"/>
        <w:numFmt w:val="decimal"/>
        <w:lvlText w:val="%7."/>
        <w:lvlJc w:val="left"/>
        <w:pPr>
          <w:tabs>
            <w:tab w:val="num" w:pos="7988"/>
          </w:tabs>
          <w:ind w:left="7988" w:hanging="360"/>
        </w:pPr>
        <w:rPr>
          <w:rFonts w:cs="Times New Roman" w:hint="eastAsia"/>
        </w:rPr>
      </w:lvl>
    </w:lvlOverride>
    <w:lvlOverride w:ilvl="7">
      <w:lvl w:ilvl="7">
        <w:start w:val="1"/>
        <w:numFmt w:val="lowerLetter"/>
        <w:lvlText w:val="%8."/>
        <w:lvlJc w:val="left"/>
        <w:pPr>
          <w:tabs>
            <w:tab w:val="num" w:pos="8708"/>
          </w:tabs>
          <w:ind w:left="8708" w:hanging="360"/>
        </w:pPr>
        <w:rPr>
          <w:rFonts w:cs="Times New Roman" w:hint="eastAsia"/>
        </w:rPr>
      </w:lvl>
    </w:lvlOverride>
    <w:lvlOverride w:ilvl="8">
      <w:lvl w:ilvl="8">
        <w:start w:val="1"/>
        <w:numFmt w:val="lowerRoman"/>
        <w:lvlText w:val="%9."/>
        <w:lvlJc w:val="right"/>
        <w:pPr>
          <w:tabs>
            <w:tab w:val="num" w:pos="9428"/>
          </w:tabs>
          <w:ind w:left="9428" w:hanging="180"/>
        </w:pPr>
        <w:rPr>
          <w:rFonts w:cs="Times New Roman" w:hint="eastAsia"/>
        </w:rPr>
      </w:lvl>
    </w:lvlOverride>
  </w:num>
  <w:num w:numId="8">
    <w:abstractNumId w:val="12"/>
  </w:num>
  <w:num w:numId="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num>
  <w:num w:numId="11">
    <w:abstractNumId w:val="13"/>
  </w:num>
  <w:num w:numId="12">
    <w:abstractNumId w:val="5"/>
  </w:num>
  <w:num w:numId="13">
    <w:abstractNumId w:val="11"/>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
  </w:num>
  <w:num w:numId="15">
    <w:abstractNumId w:val="6"/>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6"/>
  </w:num>
  <w:num w:numId="17">
    <w:abstractNumId w:val="1"/>
  </w:num>
  <w:num w:numId="18">
    <w:abstractNumId w:val="2"/>
  </w:num>
  <w:num w:numId="19">
    <w:abstractNumId w:val="15"/>
    <w:lvlOverride w:ilvl="0">
      <w:lvl w:ilvl="0" w:tplc="B724672E">
        <w:start w:val="1"/>
        <w:numFmt w:val="decimal"/>
        <w:lvlText w:val="%1-"/>
        <w:lvlJc w:val="left"/>
        <w:pPr>
          <w:ind w:left="2071" w:hanging="360"/>
        </w:pPr>
        <w:rPr>
          <w:b w:val="0"/>
          <w:i w:val="0"/>
        </w:rPr>
      </w:lvl>
    </w:lvlOverride>
  </w:num>
  <w:num w:numId="20">
    <w:abstractNumId w:val="9"/>
    <w:lvlOverride w:ilvl="0">
      <w:lvl w:ilvl="0">
        <w:start w:val="1"/>
        <w:numFmt w:val="decimal"/>
        <w:lvlText w:val="%1-"/>
        <w:lvlJc w:val="left"/>
        <w:pPr>
          <w:tabs>
            <w:tab w:val="num" w:pos="1134"/>
          </w:tabs>
          <w:ind w:left="1247" w:firstLine="0"/>
        </w:pPr>
        <w:rPr>
          <w:rFonts w:hint="default"/>
        </w:rPr>
      </w:lvl>
    </w:lvlOverride>
  </w:num>
  <w:num w:numId="21">
    <w:abstractNumId w:val="4"/>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225"/>
  <w:embedSystemFonts/>
  <w:gutterAtTop/>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drawingGridHorizontalSpacing w:val="171"/>
  <w:drawingGridVerticalSpacing w:val="233"/>
  <w:displayHorizontalDrawingGridEvery w:val="0"/>
  <w:noPunctuationKerning/>
  <w:characterSpacingControl w:val="doNotCompress"/>
  <w:hdrShapeDefaults>
    <o:shapedefaults v:ext="edit" spidmax="22529"/>
  </w:hdrShapeDefaults>
  <w:footnotePr>
    <w:footnote w:id="-1"/>
    <w:footnote w:id="0"/>
  </w:footnotePr>
  <w:endnotePr>
    <w:numFmt w:val="lowerLette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002B"/>
    <w:rsid w:val="000242CB"/>
    <w:rsid w:val="00024566"/>
    <w:rsid w:val="00024D2B"/>
    <w:rsid w:val="0003131F"/>
    <w:rsid w:val="00033595"/>
    <w:rsid w:val="00033A5C"/>
    <w:rsid w:val="00037D52"/>
    <w:rsid w:val="0004010A"/>
    <w:rsid w:val="00051665"/>
    <w:rsid w:val="0005282F"/>
    <w:rsid w:val="00052C2D"/>
    <w:rsid w:val="0006021A"/>
    <w:rsid w:val="000668FE"/>
    <w:rsid w:val="00071F69"/>
    <w:rsid w:val="00072F5D"/>
    <w:rsid w:val="0008088A"/>
    <w:rsid w:val="000844F9"/>
    <w:rsid w:val="000A33B7"/>
    <w:rsid w:val="000A7260"/>
    <w:rsid w:val="000B1AA7"/>
    <w:rsid w:val="000B41E8"/>
    <w:rsid w:val="000C042E"/>
    <w:rsid w:val="000C6AF1"/>
    <w:rsid w:val="000C72D5"/>
    <w:rsid w:val="000D3AC8"/>
    <w:rsid w:val="000D775A"/>
    <w:rsid w:val="000E3644"/>
    <w:rsid w:val="000F083C"/>
    <w:rsid w:val="000F39C0"/>
    <w:rsid w:val="000F712A"/>
    <w:rsid w:val="001010F0"/>
    <w:rsid w:val="00102A11"/>
    <w:rsid w:val="00111DDA"/>
    <w:rsid w:val="001122CD"/>
    <w:rsid w:val="00113A5C"/>
    <w:rsid w:val="00115715"/>
    <w:rsid w:val="0012040B"/>
    <w:rsid w:val="001223A2"/>
    <w:rsid w:val="00124CC4"/>
    <w:rsid w:val="00131860"/>
    <w:rsid w:val="00131CE1"/>
    <w:rsid w:val="00134EB1"/>
    <w:rsid w:val="001367EA"/>
    <w:rsid w:val="001368B8"/>
    <w:rsid w:val="0014278C"/>
    <w:rsid w:val="00143EB4"/>
    <w:rsid w:val="00153644"/>
    <w:rsid w:val="001536B1"/>
    <w:rsid w:val="00154323"/>
    <w:rsid w:val="00154CC2"/>
    <w:rsid w:val="00157B75"/>
    <w:rsid w:val="001640DB"/>
    <w:rsid w:val="00165BE3"/>
    <w:rsid w:val="0017427B"/>
    <w:rsid w:val="00174BBC"/>
    <w:rsid w:val="001764C7"/>
    <w:rsid w:val="00177118"/>
    <w:rsid w:val="00177C0C"/>
    <w:rsid w:val="001841AD"/>
    <w:rsid w:val="001844E3"/>
    <w:rsid w:val="00186DE2"/>
    <w:rsid w:val="001A0F83"/>
    <w:rsid w:val="001A6258"/>
    <w:rsid w:val="001B03D9"/>
    <w:rsid w:val="001B2FF1"/>
    <w:rsid w:val="001C1DD1"/>
    <w:rsid w:val="001C513F"/>
    <w:rsid w:val="001C64B6"/>
    <w:rsid w:val="001D3A25"/>
    <w:rsid w:val="001D6BA5"/>
    <w:rsid w:val="001E1443"/>
    <w:rsid w:val="001E4795"/>
    <w:rsid w:val="001E6E8E"/>
    <w:rsid w:val="001F0C9C"/>
    <w:rsid w:val="001F171C"/>
    <w:rsid w:val="001F390D"/>
    <w:rsid w:val="00207022"/>
    <w:rsid w:val="002079F8"/>
    <w:rsid w:val="002300EA"/>
    <w:rsid w:val="0023160B"/>
    <w:rsid w:val="002323CD"/>
    <w:rsid w:val="002361BF"/>
    <w:rsid w:val="00237F16"/>
    <w:rsid w:val="00245592"/>
    <w:rsid w:val="00252FE5"/>
    <w:rsid w:val="00255F00"/>
    <w:rsid w:val="00260A65"/>
    <w:rsid w:val="00260C3B"/>
    <w:rsid w:val="00261436"/>
    <w:rsid w:val="00261451"/>
    <w:rsid w:val="002625D8"/>
    <w:rsid w:val="00262E14"/>
    <w:rsid w:val="0026317F"/>
    <w:rsid w:val="00267DA8"/>
    <w:rsid w:val="0027071F"/>
    <w:rsid w:val="00276330"/>
    <w:rsid w:val="002772B3"/>
    <w:rsid w:val="00291EAE"/>
    <w:rsid w:val="00295F25"/>
    <w:rsid w:val="002962A4"/>
    <w:rsid w:val="002A2BDE"/>
    <w:rsid w:val="002A3532"/>
    <w:rsid w:val="002B14DB"/>
    <w:rsid w:val="002B24AA"/>
    <w:rsid w:val="002C1EE1"/>
    <w:rsid w:val="002C46F7"/>
    <w:rsid w:val="002C60AD"/>
    <w:rsid w:val="002D07C5"/>
    <w:rsid w:val="002D57DB"/>
    <w:rsid w:val="002E2164"/>
    <w:rsid w:val="002E7390"/>
    <w:rsid w:val="002F11C2"/>
    <w:rsid w:val="002F74A0"/>
    <w:rsid w:val="00304FAF"/>
    <w:rsid w:val="00306618"/>
    <w:rsid w:val="00310BFE"/>
    <w:rsid w:val="00317E61"/>
    <w:rsid w:val="00317EFB"/>
    <w:rsid w:val="00323929"/>
    <w:rsid w:val="003501E1"/>
    <w:rsid w:val="003511A7"/>
    <w:rsid w:val="00351FDC"/>
    <w:rsid w:val="003553DB"/>
    <w:rsid w:val="0036154E"/>
    <w:rsid w:val="0036250E"/>
    <w:rsid w:val="0038155A"/>
    <w:rsid w:val="003821A4"/>
    <w:rsid w:val="0038322E"/>
    <w:rsid w:val="00384B8A"/>
    <w:rsid w:val="003858ED"/>
    <w:rsid w:val="00386BD3"/>
    <w:rsid w:val="00390CD8"/>
    <w:rsid w:val="003923ED"/>
    <w:rsid w:val="00397363"/>
    <w:rsid w:val="003B1437"/>
    <w:rsid w:val="003B507C"/>
    <w:rsid w:val="003B5160"/>
    <w:rsid w:val="003C3E04"/>
    <w:rsid w:val="003C42E1"/>
    <w:rsid w:val="003C6409"/>
    <w:rsid w:val="003C6718"/>
    <w:rsid w:val="003D355A"/>
    <w:rsid w:val="003E0E95"/>
    <w:rsid w:val="003E1210"/>
    <w:rsid w:val="003E4E41"/>
    <w:rsid w:val="003F77FF"/>
    <w:rsid w:val="0040218B"/>
    <w:rsid w:val="00403B93"/>
    <w:rsid w:val="00404CFE"/>
    <w:rsid w:val="00405211"/>
    <w:rsid w:val="004112CD"/>
    <w:rsid w:val="0042042E"/>
    <w:rsid w:val="00420706"/>
    <w:rsid w:val="00423AEE"/>
    <w:rsid w:val="004469F3"/>
    <w:rsid w:val="00451081"/>
    <w:rsid w:val="00451ABD"/>
    <w:rsid w:val="004524AB"/>
    <w:rsid w:val="00452B9C"/>
    <w:rsid w:val="004547E5"/>
    <w:rsid w:val="004606CA"/>
    <w:rsid w:val="00472C66"/>
    <w:rsid w:val="00473D7D"/>
    <w:rsid w:val="0047425F"/>
    <w:rsid w:val="00485260"/>
    <w:rsid w:val="004916B5"/>
    <w:rsid w:val="0049251D"/>
    <w:rsid w:val="00495361"/>
    <w:rsid w:val="004A1FC4"/>
    <w:rsid w:val="004B0A17"/>
    <w:rsid w:val="004D0F9A"/>
    <w:rsid w:val="004D2B12"/>
    <w:rsid w:val="004D567F"/>
    <w:rsid w:val="004E001B"/>
    <w:rsid w:val="004E1EDE"/>
    <w:rsid w:val="004E4EB2"/>
    <w:rsid w:val="004E5370"/>
    <w:rsid w:val="004E7B30"/>
    <w:rsid w:val="004F26CB"/>
    <w:rsid w:val="005023EE"/>
    <w:rsid w:val="00505660"/>
    <w:rsid w:val="005064C3"/>
    <w:rsid w:val="00520C86"/>
    <w:rsid w:val="00522932"/>
    <w:rsid w:val="005234DB"/>
    <w:rsid w:val="00530F46"/>
    <w:rsid w:val="00540949"/>
    <w:rsid w:val="005435B2"/>
    <w:rsid w:val="005668AB"/>
    <w:rsid w:val="00583E92"/>
    <w:rsid w:val="00590B41"/>
    <w:rsid w:val="00591B8E"/>
    <w:rsid w:val="00594173"/>
    <w:rsid w:val="00594340"/>
    <w:rsid w:val="005945AA"/>
    <w:rsid w:val="00597815"/>
    <w:rsid w:val="005A5C9D"/>
    <w:rsid w:val="005A6A53"/>
    <w:rsid w:val="005B198D"/>
    <w:rsid w:val="005B25B0"/>
    <w:rsid w:val="005B3616"/>
    <w:rsid w:val="005C1DB0"/>
    <w:rsid w:val="005C55FF"/>
    <w:rsid w:val="005D23EF"/>
    <w:rsid w:val="005E06C5"/>
    <w:rsid w:val="005E2737"/>
    <w:rsid w:val="005E35EA"/>
    <w:rsid w:val="005E6B63"/>
    <w:rsid w:val="005F3809"/>
    <w:rsid w:val="005F5925"/>
    <w:rsid w:val="00601018"/>
    <w:rsid w:val="0060188A"/>
    <w:rsid w:val="00606839"/>
    <w:rsid w:val="0060772E"/>
    <w:rsid w:val="00614BE8"/>
    <w:rsid w:val="00615461"/>
    <w:rsid w:val="006160A4"/>
    <w:rsid w:val="006227F4"/>
    <w:rsid w:val="00632CDF"/>
    <w:rsid w:val="0063365A"/>
    <w:rsid w:val="0063685D"/>
    <w:rsid w:val="00643398"/>
    <w:rsid w:val="0064436F"/>
    <w:rsid w:val="006569BD"/>
    <w:rsid w:val="00671875"/>
    <w:rsid w:val="00684004"/>
    <w:rsid w:val="00684243"/>
    <w:rsid w:val="006861B7"/>
    <w:rsid w:val="00690AEC"/>
    <w:rsid w:val="00696059"/>
    <w:rsid w:val="006A7E4F"/>
    <w:rsid w:val="006B05FA"/>
    <w:rsid w:val="006B0E7B"/>
    <w:rsid w:val="006B4C13"/>
    <w:rsid w:val="006B54B1"/>
    <w:rsid w:val="006C028B"/>
    <w:rsid w:val="006C560D"/>
    <w:rsid w:val="006C5C5C"/>
    <w:rsid w:val="006D0402"/>
    <w:rsid w:val="006D598B"/>
    <w:rsid w:val="006E1D97"/>
    <w:rsid w:val="006E30FA"/>
    <w:rsid w:val="006E4BE0"/>
    <w:rsid w:val="006F036C"/>
    <w:rsid w:val="006F6824"/>
    <w:rsid w:val="006F7F31"/>
    <w:rsid w:val="00706852"/>
    <w:rsid w:val="00712158"/>
    <w:rsid w:val="00720D77"/>
    <w:rsid w:val="0072582B"/>
    <w:rsid w:val="00726240"/>
    <w:rsid w:val="007275EE"/>
    <w:rsid w:val="00734EE4"/>
    <w:rsid w:val="007418BE"/>
    <w:rsid w:val="00744D3B"/>
    <w:rsid w:val="00744D9A"/>
    <w:rsid w:val="00751096"/>
    <w:rsid w:val="0075239F"/>
    <w:rsid w:val="0075378C"/>
    <w:rsid w:val="007575AB"/>
    <w:rsid w:val="0076392D"/>
    <w:rsid w:val="007640B0"/>
    <w:rsid w:val="00764B71"/>
    <w:rsid w:val="0077392C"/>
    <w:rsid w:val="007775CF"/>
    <w:rsid w:val="00783165"/>
    <w:rsid w:val="007878A7"/>
    <w:rsid w:val="00787C1E"/>
    <w:rsid w:val="007A671B"/>
    <w:rsid w:val="007B173A"/>
    <w:rsid w:val="007B431F"/>
    <w:rsid w:val="007B5F59"/>
    <w:rsid w:val="007B7061"/>
    <w:rsid w:val="007B75A1"/>
    <w:rsid w:val="007C62EE"/>
    <w:rsid w:val="007C73F5"/>
    <w:rsid w:val="007D019B"/>
    <w:rsid w:val="007D3018"/>
    <w:rsid w:val="007D6ED0"/>
    <w:rsid w:val="007E0C9A"/>
    <w:rsid w:val="007F304D"/>
    <w:rsid w:val="00802B63"/>
    <w:rsid w:val="00805014"/>
    <w:rsid w:val="00811602"/>
    <w:rsid w:val="00822614"/>
    <w:rsid w:val="00827105"/>
    <w:rsid w:val="008321C1"/>
    <w:rsid w:val="008323B3"/>
    <w:rsid w:val="00843FDA"/>
    <w:rsid w:val="00846640"/>
    <w:rsid w:val="008500FB"/>
    <w:rsid w:val="00852F12"/>
    <w:rsid w:val="00873A40"/>
    <w:rsid w:val="00880C90"/>
    <w:rsid w:val="00887CE8"/>
    <w:rsid w:val="0089216B"/>
    <w:rsid w:val="0089620E"/>
    <w:rsid w:val="008A5420"/>
    <w:rsid w:val="008A5EBB"/>
    <w:rsid w:val="008A6475"/>
    <w:rsid w:val="008A79DC"/>
    <w:rsid w:val="008B6A62"/>
    <w:rsid w:val="008C188E"/>
    <w:rsid w:val="008C23F0"/>
    <w:rsid w:val="008D4D22"/>
    <w:rsid w:val="008D7739"/>
    <w:rsid w:val="008E4579"/>
    <w:rsid w:val="008F4416"/>
    <w:rsid w:val="0090002B"/>
    <w:rsid w:val="009017E0"/>
    <w:rsid w:val="009121DA"/>
    <w:rsid w:val="00916C2A"/>
    <w:rsid w:val="0092522D"/>
    <w:rsid w:val="00926C1F"/>
    <w:rsid w:val="00931CC7"/>
    <w:rsid w:val="00933976"/>
    <w:rsid w:val="00934EBC"/>
    <w:rsid w:val="00934FB6"/>
    <w:rsid w:val="00952DAB"/>
    <w:rsid w:val="00954948"/>
    <w:rsid w:val="00955980"/>
    <w:rsid w:val="00961D22"/>
    <w:rsid w:val="0096449B"/>
    <w:rsid w:val="009809CC"/>
    <w:rsid w:val="00980B82"/>
    <w:rsid w:val="009819E2"/>
    <w:rsid w:val="00983518"/>
    <w:rsid w:val="0099049A"/>
    <w:rsid w:val="009A052E"/>
    <w:rsid w:val="009A0564"/>
    <w:rsid w:val="009A11E7"/>
    <w:rsid w:val="009A1FDF"/>
    <w:rsid w:val="009A2C69"/>
    <w:rsid w:val="009A6C71"/>
    <w:rsid w:val="009B2A75"/>
    <w:rsid w:val="009C40AA"/>
    <w:rsid w:val="009C5B87"/>
    <w:rsid w:val="009D06F9"/>
    <w:rsid w:val="009D28AB"/>
    <w:rsid w:val="009D4EBB"/>
    <w:rsid w:val="009D58E8"/>
    <w:rsid w:val="009E2CE5"/>
    <w:rsid w:val="009E4569"/>
    <w:rsid w:val="009E46DF"/>
    <w:rsid w:val="009E6EAB"/>
    <w:rsid w:val="009E7EAD"/>
    <w:rsid w:val="009F7025"/>
    <w:rsid w:val="00A02D05"/>
    <w:rsid w:val="00A108BD"/>
    <w:rsid w:val="00A12896"/>
    <w:rsid w:val="00A178E1"/>
    <w:rsid w:val="00A17930"/>
    <w:rsid w:val="00A23B72"/>
    <w:rsid w:val="00A26E11"/>
    <w:rsid w:val="00A34C1A"/>
    <w:rsid w:val="00A36ABF"/>
    <w:rsid w:val="00A4058E"/>
    <w:rsid w:val="00A4119B"/>
    <w:rsid w:val="00A43405"/>
    <w:rsid w:val="00A46AF4"/>
    <w:rsid w:val="00A579D1"/>
    <w:rsid w:val="00A57F44"/>
    <w:rsid w:val="00A67825"/>
    <w:rsid w:val="00A76B59"/>
    <w:rsid w:val="00A91772"/>
    <w:rsid w:val="00A969A0"/>
    <w:rsid w:val="00AA32A0"/>
    <w:rsid w:val="00AB1E5D"/>
    <w:rsid w:val="00AC5F19"/>
    <w:rsid w:val="00AD7F38"/>
    <w:rsid w:val="00AE4729"/>
    <w:rsid w:val="00AF0DF6"/>
    <w:rsid w:val="00AF75CE"/>
    <w:rsid w:val="00B0033E"/>
    <w:rsid w:val="00B110B0"/>
    <w:rsid w:val="00B179A4"/>
    <w:rsid w:val="00B3054B"/>
    <w:rsid w:val="00B336C3"/>
    <w:rsid w:val="00B3408E"/>
    <w:rsid w:val="00B347CA"/>
    <w:rsid w:val="00B42C89"/>
    <w:rsid w:val="00B602AD"/>
    <w:rsid w:val="00B65469"/>
    <w:rsid w:val="00B66D5F"/>
    <w:rsid w:val="00B762F2"/>
    <w:rsid w:val="00B77EDA"/>
    <w:rsid w:val="00B83776"/>
    <w:rsid w:val="00B87B65"/>
    <w:rsid w:val="00B87FDB"/>
    <w:rsid w:val="00B913B6"/>
    <w:rsid w:val="00B945ED"/>
    <w:rsid w:val="00B97A52"/>
    <w:rsid w:val="00BA25F3"/>
    <w:rsid w:val="00BA5B08"/>
    <w:rsid w:val="00BA66F1"/>
    <w:rsid w:val="00BA6ED1"/>
    <w:rsid w:val="00BB0629"/>
    <w:rsid w:val="00BB4CA4"/>
    <w:rsid w:val="00BB514C"/>
    <w:rsid w:val="00BC2166"/>
    <w:rsid w:val="00BD0BC5"/>
    <w:rsid w:val="00BD1906"/>
    <w:rsid w:val="00BD2B8F"/>
    <w:rsid w:val="00BD4A65"/>
    <w:rsid w:val="00BE20CA"/>
    <w:rsid w:val="00BE3C21"/>
    <w:rsid w:val="00BF64C6"/>
    <w:rsid w:val="00BF7F42"/>
    <w:rsid w:val="00C0594F"/>
    <w:rsid w:val="00C1200F"/>
    <w:rsid w:val="00C1297E"/>
    <w:rsid w:val="00C204E0"/>
    <w:rsid w:val="00C2111C"/>
    <w:rsid w:val="00C33F5C"/>
    <w:rsid w:val="00C34FDE"/>
    <w:rsid w:val="00C36378"/>
    <w:rsid w:val="00C37B3A"/>
    <w:rsid w:val="00C44909"/>
    <w:rsid w:val="00C47E78"/>
    <w:rsid w:val="00C56205"/>
    <w:rsid w:val="00C60C8B"/>
    <w:rsid w:val="00C629B7"/>
    <w:rsid w:val="00C712BF"/>
    <w:rsid w:val="00C7529E"/>
    <w:rsid w:val="00C75C0B"/>
    <w:rsid w:val="00C762BE"/>
    <w:rsid w:val="00C82D22"/>
    <w:rsid w:val="00C85728"/>
    <w:rsid w:val="00C86BDC"/>
    <w:rsid w:val="00C90A4C"/>
    <w:rsid w:val="00C91665"/>
    <w:rsid w:val="00C93743"/>
    <w:rsid w:val="00C94729"/>
    <w:rsid w:val="00CA4F8C"/>
    <w:rsid w:val="00CA7833"/>
    <w:rsid w:val="00CB79F1"/>
    <w:rsid w:val="00CC16CF"/>
    <w:rsid w:val="00CD25C4"/>
    <w:rsid w:val="00CD399B"/>
    <w:rsid w:val="00CD4572"/>
    <w:rsid w:val="00CD5653"/>
    <w:rsid w:val="00CD6428"/>
    <w:rsid w:val="00CE3292"/>
    <w:rsid w:val="00D05640"/>
    <w:rsid w:val="00D0655D"/>
    <w:rsid w:val="00D113A9"/>
    <w:rsid w:val="00D12FDA"/>
    <w:rsid w:val="00D15263"/>
    <w:rsid w:val="00D21049"/>
    <w:rsid w:val="00D27F92"/>
    <w:rsid w:val="00D444E7"/>
    <w:rsid w:val="00D44CE3"/>
    <w:rsid w:val="00D52B4F"/>
    <w:rsid w:val="00D55934"/>
    <w:rsid w:val="00D569AA"/>
    <w:rsid w:val="00D578BF"/>
    <w:rsid w:val="00D66C66"/>
    <w:rsid w:val="00D70490"/>
    <w:rsid w:val="00D71211"/>
    <w:rsid w:val="00D71822"/>
    <w:rsid w:val="00D7320E"/>
    <w:rsid w:val="00D80FA4"/>
    <w:rsid w:val="00D90EDD"/>
    <w:rsid w:val="00D9173E"/>
    <w:rsid w:val="00D91942"/>
    <w:rsid w:val="00D958DE"/>
    <w:rsid w:val="00DA14CC"/>
    <w:rsid w:val="00DA1588"/>
    <w:rsid w:val="00DA3FB6"/>
    <w:rsid w:val="00DA494E"/>
    <w:rsid w:val="00DB0A68"/>
    <w:rsid w:val="00DB686B"/>
    <w:rsid w:val="00DB6958"/>
    <w:rsid w:val="00DB6CCC"/>
    <w:rsid w:val="00DC4E2F"/>
    <w:rsid w:val="00DC590D"/>
    <w:rsid w:val="00DD2F15"/>
    <w:rsid w:val="00DD3DD1"/>
    <w:rsid w:val="00DE44A3"/>
    <w:rsid w:val="00DE796A"/>
    <w:rsid w:val="00E015AC"/>
    <w:rsid w:val="00E0494C"/>
    <w:rsid w:val="00E14F7F"/>
    <w:rsid w:val="00E1515A"/>
    <w:rsid w:val="00E176E7"/>
    <w:rsid w:val="00E2101B"/>
    <w:rsid w:val="00E323C0"/>
    <w:rsid w:val="00E369DB"/>
    <w:rsid w:val="00E36EB2"/>
    <w:rsid w:val="00E51BAF"/>
    <w:rsid w:val="00E60E51"/>
    <w:rsid w:val="00E63CFD"/>
    <w:rsid w:val="00E642AB"/>
    <w:rsid w:val="00E720C8"/>
    <w:rsid w:val="00E7491C"/>
    <w:rsid w:val="00E760C7"/>
    <w:rsid w:val="00E90558"/>
    <w:rsid w:val="00E96DEF"/>
    <w:rsid w:val="00EA0788"/>
    <w:rsid w:val="00EA0F41"/>
    <w:rsid w:val="00EA14B6"/>
    <w:rsid w:val="00EA31BB"/>
    <w:rsid w:val="00EA3601"/>
    <w:rsid w:val="00EB63CF"/>
    <w:rsid w:val="00EC35F9"/>
    <w:rsid w:val="00EC3A5F"/>
    <w:rsid w:val="00ED0538"/>
    <w:rsid w:val="00ED3537"/>
    <w:rsid w:val="00ED77A3"/>
    <w:rsid w:val="00EE026C"/>
    <w:rsid w:val="00EE48F0"/>
    <w:rsid w:val="00EF0793"/>
    <w:rsid w:val="00EF46B6"/>
    <w:rsid w:val="00F12D03"/>
    <w:rsid w:val="00F12DD6"/>
    <w:rsid w:val="00F1601D"/>
    <w:rsid w:val="00F21909"/>
    <w:rsid w:val="00F240DC"/>
    <w:rsid w:val="00F26CD0"/>
    <w:rsid w:val="00F3243D"/>
    <w:rsid w:val="00F47390"/>
    <w:rsid w:val="00F50135"/>
    <w:rsid w:val="00F61AB5"/>
    <w:rsid w:val="00F64BB3"/>
    <w:rsid w:val="00F70C3F"/>
    <w:rsid w:val="00F7639B"/>
    <w:rsid w:val="00F93241"/>
    <w:rsid w:val="00F96B6F"/>
    <w:rsid w:val="00FA45ED"/>
    <w:rsid w:val="00FB59A6"/>
    <w:rsid w:val="00FC5790"/>
    <w:rsid w:val="00FD33D6"/>
    <w:rsid w:val="00FD576F"/>
    <w:rsid w:val="00FD7BCB"/>
    <w:rsid w:val="00FD7F76"/>
    <w:rsid w:val="00FE21C0"/>
    <w:rsid w:val="00FE2DC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12122821"/>
  <w15:docId w15:val="{839DBB6A-C642-45A1-88D4-1156C18FF3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raditional Arabic"/>
        <w:lang w:val="en-US" w:eastAsia="en-US"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Pr>
      <w:szCs w:val="30"/>
    </w:rPr>
  </w:style>
  <w:style w:type="paragraph" w:styleId="Heading1">
    <w:name w:val="heading 1"/>
    <w:basedOn w:val="Normal"/>
    <w:next w:val="Normal"/>
    <w:qFormat/>
    <w:pPr>
      <w:keepNext/>
      <w:spacing w:before="120" w:after="120" w:line="360" w:lineRule="exact"/>
      <w:jc w:val="center"/>
      <w:outlineLvl w:val="0"/>
    </w:pPr>
    <w:rPr>
      <w:u w:val="single"/>
    </w:rPr>
  </w:style>
  <w:style w:type="paragraph" w:styleId="Heading2">
    <w:name w:val="heading 2"/>
    <w:basedOn w:val="Normal"/>
    <w:next w:val="Normal"/>
    <w:qFormat/>
    <w:pPr>
      <w:keepNext/>
      <w:spacing w:before="120" w:after="120" w:line="360" w:lineRule="exact"/>
      <w:jc w:val="center"/>
      <w:outlineLvl w:val="1"/>
    </w:pPr>
    <w:rPr>
      <w:u w:val="single"/>
    </w:rPr>
  </w:style>
  <w:style w:type="paragraph" w:styleId="Heading3">
    <w:name w:val="heading 3"/>
    <w:basedOn w:val="Normal"/>
    <w:next w:val="Normal"/>
    <w:qFormat/>
    <w:pPr>
      <w:keepNext/>
      <w:spacing w:before="120" w:after="120" w:line="360" w:lineRule="exact"/>
      <w:jc w:val="both"/>
      <w:outlineLvl w:val="2"/>
    </w:pPr>
    <w:rPr>
      <w:u w:val="single"/>
    </w:rPr>
  </w:style>
  <w:style w:type="paragraph" w:styleId="Heading4">
    <w:name w:val="heading 4"/>
    <w:basedOn w:val="Normal"/>
    <w:next w:val="Normal"/>
    <w:qFormat/>
    <w:pPr>
      <w:keepNext/>
      <w:spacing w:before="120" w:after="120" w:line="360" w:lineRule="exact"/>
      <w:jc w:val="both"/>
      <w:outlineLvl w:val="3"/>
    </w:pPr>
  </w:style>
  <w:style w:type="paragraph" w:styleId="Heading5">
    <w:name w:val="heading 5"/>
    <w:basedOn w:val="Normal"/>
    <w:next w:val="Normal"/>
    <w:qFormat/>
    <w:pPr>
      <w:keepNext/>
      <w:jc w:val="right"/>
      <w:outlineLvl w:val="4"/>
    </w:pPr>
    <w:rPr>
      <w:rFonts w:ascii="Times" w:hAnsi="Times" w:cs="Arabic Transparent"/>
      <w:b/>
      <w:bCs/>
      <w:noProof/>
      <w:szCs w:val="44"/>
    </w:rPr>
  </w:style>
  <w:style w:type="paragraph" w:styleId="Heading6">
    <w:name w:val="heading 6"/>
    <w:basedOn w:val="Normal"/>
    <w:next w:val="Normal"/>
    <w:qFormat/>
    <w:pPr>
      <w:keepNext/>
      <w:spacing w:before="120" w:after="120" w:line="360" w:lineRule="exact"/>
      <w:jc w:val="both"/>
      <w:outlineLvl w:val="5"/>
    </w:pPr>
    <w:rPr>
      <w:u w:val="single"/>
    </w:rPr>
  </w:style>
  <w:style w:type="paragraph" w:styleId="Heading7">
    <w:name w:val="heading 7"/>
    <w:basedOn w:val="Normal"/>
    <w:next w:val="Normal"/>
    <w:qFormat/>
    <w:pPr>
      <w:keepNext/>
      <w:jc w:val="center"/>
      <w:outlineLvl w:val="6"/>
    </w:pPr>
    <w:rPr>
      <w:rFonts w:ascii="Times" w:hAnsi="Times"/>
      <w:b/>
      <w:bCs/>
      <w:noProof/>
    </w:rPr>
  </w:style>
  <w:style w:type="paragraph" w:styleId="Heading8">
    <w:name w:val="heading 8"/>
    <w:basedOn w:val="Normal"/>
    <w:next w:val="Normal"/>
    <w:qFormat/>
    <w:pPr>
      <w:keepNext/>
      <w:jc w:val="center"/>
      <w:outlineLvl w:val="7"/>
    </w:pPr>
    <w:rPr>
      <w:b/>
      <w:bCs/>
      <w:sz w:val="30"/>
    </w:rPr>
  </w:style>
  <w:style w:type="paragraph" w:styleId="Heading9">
    <w:name w:val="heading 9"/>
    <w:basedOn w:val="Normal"/>
    <w:next w:val="Normal"/>
    <w:qFormat/>
    <w:pPr>
      <w:keepNext/>
      <w:spacing w:line="360" w:lineRule="exact"/>
      <w:jc w:val="center"/>
      <w:outlineLvl w:val="8"/>
    </w:pPr>
    <w:rPr>
      <w:rFonts w:ascii="Times" w:hAnsi="Times"/>
      <w:b/>
      <w:bCs/>
      <w:noProof/>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153"/>
        <w:tab w:val="right" w:pos="8306"/>
      </w:tabs>
      <w:jc w:val="right"/>
    </w:pPr>
    <w:rPr>
      <w:rFonts w:ascii="Times" w:hAnsi="Times"/>
      <w:noProof/>
      <w:szCs w:val="24"/>
    </w:rPr>
  </w:style>
  <w:style w:type="character" w:styleId="PageNumber">
    <w:name w:val="page number"/>
    <w:basedOn w:val="DefaultParagraphFont"/>
  </w:style>
  <w:style w:type="paragraph" w:styleId="Footer">
    <w:name w:val="footer"/>
    <w:basedOn w:val="Normal"/>
    <w:pPr>
      <w:tabs>
        <w:tab w:val="center" w:pos="4153"/>
        <w:tab w:val="right" w:pos="8306"/>
      </w:tabs>
      <w:jc w:val="right"/>
    </w:pPr>
    <w:rPr>
      <w:rFonts w:ascii="Times" w:hAnsi="Times"/>
      <w:noProof/>
      <w:szCs w:val="24"/>
    </w:rPr>
  </w:style>
  <w:style w:type="paragraph" w:styleId="FootnoteText">
    <w:name w:val="footnote text"/>
    <w:aliases w:val="DNV-FT,Geneva 9,Font: Geneva 9,Boston 10,f,footnote3,text,Geneva,92,Font:,Boston,10,FOOTNOTES,fn,single space,Footnote Text Rail EIS,ft,Footnotes,Footnote ak,fn cafc,Footnotes Char Char,Footnote Text Char Char,fn Char Char,footnote text"/>
    <w:basedOn w:val="Normal"/>
    <w:link w:val="FootnoteTextChar"/>
    <w:qFormat/>
    <w:pPr>
      <w:jc w:val="right"/>
    </w:pPr>
    <w:rPr>
      <w:rFonts w:ascii="Times" w:hAnsi="Times"/>
      <w:noProof/>
      <w:szCs w:val="20"/>
    </w:rPr>
  </w:style>
  <w:style w:type="character" w:styleId="FootnoteReference">
    <w:name w:val="footnote reference"/>
    <w:aliases w:val="16 Point,Superscript 6 Point,ftref,(Ref. de nota al pie),number,SUPERS,Footnote Reference Superscript,Footnote text,Footnote Text1,Footnote Text2"/>
    <w:rPr>
      <w:vertAlign w:val="superscript"/>
    </w:rPr>
  </w:style>
  <w:style w:type="paragraph" w:customStyle="1" w:styleId="Level1">
    <w:name w:val="Level1"/>
    <w:basedOn w:val="Normal"/>
    <w:pPr>
      <w:tabs>
        <w:tab w:val="left" w:pos="578"/>
        <w:tab w:val="left" w:pos="1157"/>
      </w:tabs>
      <w:spacing w:after="240"/>
    </w:pPr>
    <w:rPr>
      <w:rFonts w:cs="Times New Roman"/>
      <w:szCs w:val="22"/>
      <w:lang w:val="en-GB" w:eastAsia="fr-FR"/>
    </w:rPr>
  </w:style>
  <w:style w:type="paragraph" w:customStyle="1" w:styleId="font6">
    <w:name w:val="font6"/>
    <w:basedOn w:val="Normal"/>
    <w:pPr>
      <w:spacing w:before="100" w:beforeAutospacing="1" w:after="100" w:afterAutospacing="1"/>
    </w:pPr>
    <w:rPr>
      <w:rFonts w:ascii="Arial" w:eastAsia="Arial Unicode MS" w:hAnsi="Arial" w:cs="Arial"/>
      <w:szCs w:val="20"/>
      <w:lang w:val="fr-FR" w:eastAsia="fr-FR"/>
    </w:rPr>
  </w:style>
  <w:style w:type="paragraph" w:styleId="BodyText">
    <w:name w:val="Body Text"/>
    <w:basedOn w:val="Normal"/>
    <w:rPr>
      <w:rFonts w:ascii="Times" w:hAnsi="Times"/>
    </w:rPr>
  </w:style>
  <w:style w:type="paragraph" w:styleId="BodyText2">
    <w:name w:val="Body Text 2"/>
    <w:basedOn w:val="Normal"/>
    <w:pPr>
      <w:jc w:val="both"/>
    </w:pPr>
    <w:rPr>
      <w:rFonts w:ascii="Times" w:hAnsi="Times"/>
      <w:noProof/>
      <w:sz w:val="28"/>
    </w:rPr>
  </w:style>
  <w:style w:type="paragraph" w:customStyle="1" w:styleId="SingleTxt">
    <w:name w:val="__Single Txt"/>
    <w:basedOn w:val="Normal"/>
    <w:rsid w:val="007E0C9A"/>
    <w:pPr>
      <w:tabs>
        <w:tab w:val="left" w:pos="1267"/>
        <w:tab w:val="left" w:pos="1930"/>
        <w:tab w:val="left" w:pos="2592"/>
        <w:tab w:val="left" w:pos="3254"/>
        <w:tab w:val="left" w:pos="3917"/>
        <w:tab w:val="left" w:pos="4579"/>
        <w:tab w:val="left" w:pos="5242"/>
        <w:tab w:val="left" w:pos="5904"/>
        <w:tab w:val="left" w:pos="6566"/>
      </w:tabs>
      <w:spacing w:after="120" w:line="400" w:lineRule="exact"/>
      <w:ind w:left="1267" w:right="1267"/>
      <w:jc w:val="lowKashida"/>
    </w:pPr>
    <w:rPr>
      <w:w w:val="103"/>
      <w:kern w:val="14"/>
    </w:rPr>
  </w:style>
  <w:style w:type="paragraph" w:customStyle="1" w:styleId="Normal-pool">
    <w:name w:val="Normal-pool"/>
    <w:link w:val="Normal-poolChar"/>
    <w:uiPriority w:val="99"/>
    <w:rsid w:val="00317E61"/>
    <w:pPr>
      <w:tabs>
        <w:tab w:val="left" w:pos="1247"/>
        <w:tab w:val="left" w:pos="1814"/>
        <w:tab w:val="left" w:pos="2381"/>
        <w:tab w:val="left" w:pos="2948"/>
        <w:tab w:val="left" w:pos="3515"/>
      </w:tabs>
    </w:pPr>
    <w:rPr>
      <w:rFonts w:cs="Times New Roman"/>
      <w:szCs w:val="30"/>
      <w:lang w:val="en-GB"/>
    </w:rPr>
  </w:style>
  <w:style w:type="character" w:customStyle="1" w:styleId="Normal-poolChar">
    <w:name w:val="Normal-pool Char"/>
    <w:link w:val="Normal-pool"/>
    <w:uiPriority w:val="99"/>
    <w:rsid w:val="00317E61"/>
    <w:rPr>
      <w:lang w:val="en-GB" w:eastAsia="en-US" w:bidi="ar-SA"/>
    </w:rPr>
  </w:style>
  <w:style w:type="paragraph" w:customStyle="1" w:styleId="ListParagraph1">
    <w:name w:val="List Paragraph1"/>
    <w:basedOn w:val="Normal"/>
    <w:rsid w:val="00317E61"/>
    <w:pPr>
      <w:spacing w:after="120"/>
      <w:ind w:left="720"/>
      <w:contextualSpacing/>
      <w:jc w:val="both"/>
    </w:pPr>
    <w:rPr>
      <w:rFonts w:ascii="Cambria" w:eastAsia="MS Mincho" w:hAnsi="Cambria" w:cs="Times New Roman"/>
      <w:sz w:val="24"/>
      <w:szCs w:val="20"/>
      <w:lang w:val="de-DE"/>
    </w:rPr>
  </w:style>
  <w:style w:type="paragraph" w:customStyle="1" w:styleId="ZZAnxheader">
    <w:name w:val="ZZ_Anx_header"/>
    <w:basedOn w:val="Normal-pool"/>
    <w:link w:val="ZZAnxheaderChar"/>
    <w:rsid w:val="00317E61"/>
    <w:rPr>
      <w:b/>
      <w:bCs/>
      <w:sz w:val="28"/>
      <w:szCs w:val="22"/>
    </w:rPr>
  </w:style>
  <w:style w:type="character" w:customStyle="1" w:styleId="FootnoteTextChar">
    <w:name w:val="Footnote Text Char"/>
    <w:aliases w:val="DNV-FT Char,Geneva 9 Char,Font: Geneva 9 Char,Boston 10 Char,f Char,footnote3 Char,text Char,Geneva Char,92 Char,Font: Char,Boston Char,10 Char,FOOTNOTES Char,fn Char,single space Char,Footnote Text Rail EIS Char,ft Char,fn cafc Char"/>
    <w:link w:val="FootnoteText"/>
    <w:locked/>
    <w:rsid w:val="001E1443"/>
    <w:rPr>
      <w:rFonts w:ascii="Times" w:hAnsi="Times"/>
      <w:noProof/>
    </w:rPr>
  </w:style>
  <w:style w:type="paragraph" w:styleId="BalloonText">
    <w:name w:val="Balloon Text"/>
    <w:basedOn w:val="Normal"/>
    <w:link w:val="BalloonTextChar"/>
    <w:rsid w:val="004F26CB"/>
    <w:rPr>
      <w:rFonts w:ascii="Tahoma" w:hAnsi="Tahoma" w:cs="Tahoma"/>
      <w:sz w:val="16"/>
      <w:szCs w:val="16"/>
    </w:rPr>
  </w:style>
  <w:style w:type="character" w:customStyle="1" w:styleId="BalloonTextChar">
    <w:name w:val="Balloon Text Char"/>
    <w:link w:val="BalloonText"/>
    <w:rsid w:val="004F26CB"/>
    <w:rPr>
      <w:rFonts w:ascii="Tahoma" w:hAnsi="Tahoma" w:cs="Tahoma"/>
      <w:sz w:val="16"/>
      <w:szCs w:val="16"/>
    </w:rPr>
  </w:style>
  <w:style w:type="paragraph" w:styleId="BlockText">
    <w:name w:val="Block Text"/>
    <w:basedOn w:val="Normal"/>
    <w:rsid w:val="00E176E7"/>
    <w:pPr>
      <w:bidi/>
      <w:ind w:left="720" w:hanging="720"/>
      <w:jc w:val="lowKashida"/>
    </w:pPr>
    <w:rPr>
      <w:rFonts w:ascii="Times" w:hAnsi="Times" w:cs="Mudir MT"/>
      <w:noProof/>
      <w:szCs w:val="24"/>
    </w:rPr>
  </w:style>
  <w:style w:type="paragraph" w:styleId="BodyText3">
    <w:name w:val="Body Text 3"/>
    <w:basedOn w:val="Normal"/>
    <w:link w:val="BodyText3Char"/>
    <w:rsid w:val="00E176E7"/>
    <w:pPr>
      <w:bidi/>
      <w:spacing w:before="240" w:line="360" w:lineRule="auto"/>
      <w:jc w:val="both"/>
    </w:pPr>
    <w:rPr>
      <w:rFonts w:ascii="Times" w:hAnsi="Times" w:cs="Simplified Arabic"/>
      <w:szCs w:val="28"/>
    </w:rPr>
  </w:style>
  <w:style w:type="character" w:customStyle="1" w:styleId="BodyText3Char">
    <w:name w:val="Body Text 3 Char"/>
    <w:basedOn w:val="DefaultParagraphFont"/>
    <w:link w:val="BodyText3"/>
    <w:rsid w:val="00E176E7"/>
    <w:rPr>
      <w:rFonts w:ascii="Times" w:hAnsi="Times" w:cs="Simplified Arabic"/>
      <w:szCs w:val="28"/>
    </w:rPr>
  </w:style>
  <w:style w:type="character" w:styleId="Hyperlink">
    <w:name w:val="Hyperlink"/>
    <w:uiPriority w:val="99"/>
    <w:rsid w:val="00E176E7"/>
    <w:rPr>
      <w:color w:val="0000FF"/>
      <w:u w:val="single"/>
    </w:rPr>
  </w:style>
  <w:style w:type="paragraph" w:styleId="BodyTextIndent">
    <w:name w:val="Body Text Indent"/>
    <w:basedOn w:val="Normal"/>
    <w:link w:val="BodyTextIndentChar"/>
    <w:rsid w:val="00E176E7"/>
    <w:pPr>
      <w:bidi/>
      <w:spacing w:line="360" w:lineRule="exact"/>
      <w:ind w:left="13" w:firstLine="707"/>
      <w:jc w:val="both"/>
    </w:pPr>
    <w:rPr>
      <w:rFonts w:ascii="Times" w:hAnsi="Times" w:cs="Simplified Arabic"/>
      <w:szCs w:val="28"/>
    </w:rPr>
  </w:style>
  <w:style w:type="character" w:customStyle="1" w:styleId="BodyTextIndentChar">
    <w:name w:val="Body Text Indent Char"/>
    <w:basedOn w:val="DefaultParagraphFont"/>
    <w:link w:val="BodyTextIndent"/>
    <w:rsid w:val="00E176E7"/>
    <w:rPr>
      <w:rFonts w:ascii="Times" w:hAnsi="Times" w:cs="Simplified Arabic"/>
      <w:szCs w:val="28"/>
    </w:rPr>
  </w:style>
  <w:style w:type="character" w:styleId="FollowedHyperlink">
    <w:name w:val="FollowedHyperlink"/>
    <w:rsid w:val="00E176E7"/>
    <w:rPr>
      <w:color w:val="800080"/>
      <w:u w:val="single"/>
    </w:rPr>
  </w:style>
  <w:style w:type="paragraph" w:styleId="EndnoteText">
    <w:name w:val="endnote text"/>
    <w:basedOn w:val="Normal"/>
    <w:link w:val="EndnoteTextChar"/>
    <w:rsid w:val="00E176E7"/>
    <w:pPr>
      <w:bidi/>
    </w:pPr>
    <w:rPr>
      <w:rFonts w:ascii="Times" w:hAnsi="Times" w:cs="Simplified Arabic"/>
      <w:noProof/>
      <w:szCs w:val="20"/>
    </w:rPr>
  </w:style>
  <w:style w:type="character" w:customStyle="1" w:styleId="EndnoteTextChar">
    <w:name w:val="Endnote Text Char"/>
    <w:basedOn w:val="DefaultParagraphFont"/>
    <w:link w:val="EndnoteText"/>
    <w:rsid w:val="00E176E7"/>
    <w:rPr>
      <w:rFonts w:ascii="Times" w:hAnsi="Times" w:cs="Simplified Arabic"/>
      <w:noProof/>
    </w:rPr>
  </w:style>
  <w:style w:type="character" w:styleId="EndnoteReference">
    <w:name w:val="endnote reference"/>
    <w:rsid w:val="00E176E7"/>
    <w:rPr>
      <w:vertAlign w:val="superscript"/>
    </w:rPr>
  </w:style>
  <w:style w:type="paragraph" w:styleId="Title">
    <w:name w:val="Title"/>
    <w:basedOn w:val="Normal"/>
    <w:link w:val="TitleChar"/>
    <w:qFormat/>
    <w:rsid w:val="00E176E7"/>
    <w:pPr>
      <w:bidi/>
      <w:jc w:val="center"/>
    </w:pPr>
    <w:rPr>
      <w:rFonts w:cs="Simplified Arabic"/>
      <w:sz w:val="22"/>
      <w:szCs w:val="28"/>
      <w:u w:val="single"/>
    </w:rPr>
  </w:style>
  <w:style w:type="character" w:customStyle="1" w:styleId="TitleChar">
    <w:name w:val="Title Char"/>
    <w:basedOn w:val="DefaultParagraphFont"/>
    <w:link w:val="Title"/>
    <w:rsid w:val="00E176E7"/>
    <w:rPr>
      <w:rFonts w:cs="Simplified Arabic"/>
      <w:sz w:val="22"/>
      <w:szCs w:val="28"/>
      <w:u w:val="single"/>
    </w:rPr>
  </w:style>
  <w:style w:type="paragraph" w:styleId="Subtitle">
    <w:name w:val="Subtitle"/>
    <w:basedOn w:val="Normal"/>
    <w:link w:val="SubtitleChar"/>
    <w:qFormat/>
    <w:rsid w:val="00E176E7"/>
    <w:pPr>
      <w:bidi/>
      <w:jc w:val="center"/>
    </w:pPr>
    <w:rPr>
      <w:rFonts w:cs="Simplified Arabic"/>
      <w:sz w:val="22"/>
      <w:szCs w:val="28"/>
      <w:u w:val="single"/>
    </w:rPr>
  </w:style>
  <w:style w:type="character" w:customStyle="1" w:styleId="SubtitleChar">
    <w:name w:val="Subtitle Char"/>
    <w:basedOn w:val="DefaultParagraphFont"/>
    <w:link w:val="Subtitle"/>
    <w:rsid w:val="00E176E7"/>
    <w:rPr>
      <w:rFonts w:cs="Simplified Arabic"/>
      <w:sz w:val="22"/>
      <w:szCs w:val="28"/>
      <w:u w:val="single"/>
    </w:rPr>
  </w:style>
  <w:style w:type="paragraph" w:styleId="BodyTextIndent2">
    <w:name w:val="Body Text Indent 2"/>
    <w:basedOn w:val="Normal"/>
    <w:link w:val="BodyTextIndent2Char"/>
    <w:rsid w:val="00E176E7"/>
    <w:pPr>
      <w:bidi/>
      <w:spacing w:line="360" w:lineRule="exact"/>
      <w:ind w:left="70" w:firstLine="600"/>
      <w:jc w:val="both"/>
    </w:pPr>
    <w:rPr>
      <w:rFonts w:cs="Simplified Arabic"/>
      <w:sz w:val="22"/>
      <w:szCs w:val="28"/>
    </w:rPr>
  </w:style>
  <w:style w:type="character" w:customStyle="1" w:styleId="BodyTextIndent2Char">
    <w:name w:val="Body Text Indent 2 Char"/>
    <w:basedOn w:val="DefaultParagraphFont"/>
    <w:link w:val="BodyTextIndent2"/>
    <w:rsid w:val="00E176E7"/>
    <w:rPr>
      <w:rFonts w:cs="Simplified Arabic"/>
      <w:sz w:val="22"/>
      <w:szCs w:val="28"/>
    </w:rPr>
  </w:style>
  <w:style w:type="paragraph" w:styleId="BodyTextIndent3">
    <w:name w:val="Body Text Indent 3"/>
    <w:basedOn w:val="Normal"/>
    <w:link w:val="BodyTextIndent3Char"/>
    <w:rsid w:val="00E176E7"/>
    <w:pPr>
      <w:bidi/>
      <w:spacing w:line="360" w:lineRule="exact"/>
      <w:ind w:left="70" w:firstLine="600"/>
      <w:jc w:val="both"/>
    </w:pPr>
    <w:rPr>
      <w:rFonts w:cs="Simplified Arabic"/>
      <w:sz w:val="22"/>
      <w:szCs w:val="28"/>
    </w:rPr>
  </w:style>
  <w:style w:type="character" w:customStyle="1" w:styleId="BodyTextIndent3Char">
    <w:name w:val="Body Text Indent 3 Char"/>
    <w:basedOn w:val="DefaultParagraphFont"/>
    <w:link w:val="BodyTextIndent3"/>
    <w:rsid w:val="00E176E7"/>
    <w:rPr>
      <w:rFonts w:cs="Simplified Arabic"/>
      <w:sz w:val="22"/>
      <w:szCs w:val="28"/>
    </w:rPr>
  </w:style>
  <w:style w:type="paragraph" w:styleId="Caption">
    <w:name w:val="caption"/>
    <w:basedOn w:val="Normal"/>
    <w:next w:val="Normal"/>
    <w:qFormat/>
    <w:rsid w:val="00E176E7"/>
    <w:pPr>
      <w:bidi/>
      <w:spacing w:after="360" w:line="360" w:lineRule="exact"/>
      <w:jc w:val="both"/>
    </w:pPr>
    <w:rPr>
      <w:rFonts w:ascii="Times" w:hAnsi="Times"/>
      <w:b/>
      <w:bCs/>
    </w:rPr>
  </w:style>
  <w:style w:type="paragraph" w:customStyle="1" w:styleId="Normal-num">
    <w:name w:val="Normal-num"/>
    <w:basedOn w:val="Normal"/>
    <w:next w:val="Normal"/>
    <w:rsid w:val="00E176E7"/>
    <w:pPr>
      <w:tabs>
        <w:tab w:val="num" w:pos="360"/>
      </w:tabs>
      <w:suppressAutoHyphens/>
      <w:ind w:right="360" w:hanging="360"/>
    </w:pPr>
    <w:rPr>
      <w:rFonts w:cs="Times New Roman"/>
      <w:snapToGrid w:val="0"/>
      <w:sz w:val="22"/>
      <w:szCs w:val="22"/>
      <w:lang w:val="en-GB"/>
    </w:rPr>
  </w:style>
  <w:style w:type="character" w:customStyle="1" w:styleId="DeltaViewInsertion">
    <w:name w:val="DeltaView Insertion"/>
    <w:uiPriority w:val="99"/>
    <w:rsid w:val="00E176E7"/>
    <w:rPr>
      <w:color w:val="0000FF"/>
      <w:u w:val="double"/>
    </w:rPr>
  </w:style>
  <w:style w:type="paragraph" w:customStyle="1" w:styleId="Normalnumber">
    <w:name w:val="Normal_number"/>
    <w:basedOn w:val="Normal"/>
    <w:link w:val="NormalnumberChar"/>
    <w:rsid w:val="00E176E7"/>
    <w:pPr>
      <w:numPr>
        <w:numId w:val="7"/>
      </w:numPr>
      <w:autoSpaceDE w:val="0"/>
      <w:autoSpaceDN w:val="0"/>
      <w:adjustRightInd w:val="0"/>
      <w:spacing w:after="120"/>
    </w:pPr>
    <w:rPr>
      <w:rFonts w:eastAsiaTheme="minorEastAsia" w:cs="Times New Roman"/>
      <w:szCs w:val="24"/>
    </w:rPr>
  </w:style>
  <w:style w:type="paragraph" w:styleId="ListParagraph">
    <w:name w:val="List Paragraph"/>
    <w:basedOn w:val="Normal"/>
    <w:uiPriority w:val="34"/>
    <w:qFormat/>
    <w:rsid w:val="00D113A9"/>
    <w:pPr>
      <w:bidi/>
      <w:ind w:left="720"/>
      <w:contextualSpacing/>
    </w:pPr>
    <w:rPr>
      <w:rFonts w:ascii="Times" w:hAnsi="Times" w:cs="Simplified Arabic"/>
      <w:noProof/>
      <w:szCs w:val="28"/>
    </w:rPr>
  </w:style>
  <w:style w:type="paragraph" w:customStyle="1" w:styleId="Normalpool">
    <w:name w:val="Normal_pool"/>
    <w:link w:val="NormalpoolChar"/>
    <w:rsid w:val="00D113A9"/>
    <w:pPr>
      <w:tabs>
        <w:tab w:val="left" w:pos="1253"/>
        <w:tab w:val="left" w:pos="1814"/>
        <w:tab w:val="left" w:pos="2376"/>
        <w:tab w:val="left" w:pos="2952"/>
        <w:tab w:val="left" w:pos="3514"/>
      </w:tabs>
    </w:pPr>
    <w:rPr>
      <w:rFonts w:eastAsiaTheme="minorHAnsi" w:cs="Times New Roman"/>
      <w:sz w:val="22"/>
      <w:szCs w:val="22"/>
      <w:lang w:val="en-GB"/>
    </w:rPr>
  </w:style>
  <w:style w:type="character" w:customStyle="1" w:styleId="NormalnumberChar">
    <w:name w:val="Normal_number Char"/>
    <w:link w:val="Normalnumber"/>
    <w:locked/>
    <w:rsid w:val="00D113A9"/>
    <w:rPr>
      <w:rFonts w:eastAsiaTheme="minorEastAsia" w:cs="Times New Roman"/>
      <w:szCs w:val="24"/>
    </w:rPr>
  </w:style>
  <w:style w:type="numbering" w:customStyle="1" w:styleId="Normallist">
    <w:name w:val="Normal_list"/>
    <w:rsid w:val="00D113A9"/>
    <w:pPr>
      <w:numPr>
        <w:numId w:val="14"/>
      </w:numPr>
    </w:pPr>
  </w:style>
  <w:style w:type="character" w:customStyle="1" w:styleId="NormalpoolChar">
    <w:name w:val="Normal_pool Char"/>
    <w:link w:val="Normalpool"/>
    <w:locked/>
    <w:rsid w:val="00D113A9"/>
    <w:rPr>
      <w:rFonts w:eastAsiaTheme="minorHAnsi" w:cs="Times New Roman"/>
      <w:sz w:val="22"/>
      <w:szCs w:val="22"/>
      <w:lang w:val="en-GB"/>
    </w:rPr>
  </w:style>
  <w:style w:type="table" w:styleId="TableGrid">
    <w:name w:val="Table Grid"/>
    <w:basedOn w:val="TableNormal"/>
    <w:uiPriority w:val="39"/>
    <w:rsid w:val="00D113A9"/>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CharCharCharCharCharChar">
    <w:name w:val="Char1 Char Char Char Char Char Char"/>
    <w:basedOn w:val="Normal"/>
    <w:rsid w:val="00C2111C"/>
    <w:pPr>
      <w:spacing w:after="160" w:line="240" w:lineRule="exact"/>
    </w:pPr>
    <w:rPr>
      <w:rFonts w:ascii="Tahoma" w:hAnsi="Tahoma" w:cs="Times New Roman"/>
      <w:szCs w:val="20"/>
    </w:rPr>
  </w:style>
  <w:style w:type="character" w:customStyle="1" w:styleId="hps">
    <w:name w:val="hps"/>
    <w:rsid w:val="00C2111C"/>
  </w:style>
  <w:style w:type="paragraph" w:customStyle="1" w:styleId="CH2">
    <w:name w:val="CH2"/>
    <w:basedOn w:val="Normal"/>
    <w:next w:val="Normalnumber"/>
    <w:link w:val="CH2Char"/>
    <w:rsid w:val="00C60C8B"/>
    <w:pPr>
      <w:keepNext/>
      <w:keepLines/>
      <w:tabs>
        <w:tab w:val="right" w:pos="851"/>
        <w:tab w:val="left" w:pos="1247"/>
        <w:tab w:val="left" w:pos="1814"/>
        <w:tab w:val="left" w:pos="2381"/>
        <w:tab w:val="left" w:pos="2948"/>
        <w:tab w:val="left" w:pos="3515"/>
        <w:tab w:val="left" w:pos="4082"/>
      </w:tabs>
      <w:suppressAutoHyphens/>
      <w:spacing w:before="80" w:after="120"/>
      <w:ind w:left="1247" w:right="284" w:hanging="1247"/>
    </w:pPr>
    <w:rPr>
      <w:rFonts w:cs="Times New Roman"/>
      <w:b/>
      <w:sz w:val="24"/>
      <w:szCs w:val="24"/>
      <w:lang w:val="en-GB"/>
    </w:rPr>
  </w:style>
  <w:style w:type="paragraph" w:customStyle="1" w:styleId="ZZAnxtitle">
    <w:name w:val="ZZ_Anx_title"/>
    <w:basedOn w:val="Normal"/>
    <w:link w:val="ZZAnxtitleChar"/>
    <w:rsid w:val="00C60C8B"/>
    <w:pPr>
      <w:tabs>
        <w:tab w:val="left" w:pos="1247"/>
        <w:tab w:val="left" w:pos="1814"/>
        <w:tab w:val="left" w:pos="2381"/>
        <w:tab w:val="left" w:pos="2948"/>
        <w:tab w:val="left" w:pos="3515"/>
        <w:tab w:val="left" w:pos="4082"/>
      </w:tabs>
      <w:spacing w:before="360" w:after="120"/>
      <w:ind w:left="1247"/>
    </w:pPr>
    <w:rPr>
      <w:rFonts w:cs="Times New Roman"/>
      <w:b/>
      <w:bCs/>
      <w:sz w:val="28"/>
      <w:szCs w:val="26"/>
      <w:lang w:val="en-GB"/>
    </w:rPr>
  </w:style>
  <w:style w:type="character" w:customStyle="1" w:styleId="ZZAnxtitleChar">
    <w:name w:val="ZZ_Anx_title Char"/>
    <w:link w:val="ZZAnxtitle"/>
    <w:rsid w:val="00C60C8B"/>
    <w:rPr>
      <w:rFonts w:cs="Times New Roman"/>
      <w:b/>
      <w:bCs/>
      <w:sz w:val="28"/>
      <w:szCs w:val="26"/>
      <w:lang w:val="en-GB"/>
    </w:rPr>
  </w:style>
  <w:style w:type="character" w:customStyle="1" w:styleId="CH2Char">
    <w:name w:val="CH2 Char"/>
    <w:link w:val="CH2"/>
    <w:locked/>
    <w:rsid w:val="00C60C8B"/>
    <w:rPr>
      <w:rFonts w:cs="Times New Roman"/>
      <w:b/>
      <w:sz w:val="24"/>
      <w:szCs w:val="24"/>
      <w:lang w:val="en-GB"/>
    </w:rPr>
  </w:style>
  <w:style w:type="character" w:customStyle="1" w:styleId="ZZAnxheaderChar">
    <w:name w:val="ZZ_Anx_header Char"/>
    <w:link w:val="ZZAnxheader"/>
    <w:rsid w:val="00C60C8B"/>
    <w:rPr>
      <w:rFonts w:cs="Times New Roman"/>
      <w:b/>
      <w:bCs/>
      <w:sz w:val="28"/>
      <w:szCs w:val="22"/>
      <w:lang w:val="en-GB"/>
    </w:rPr>
  </w:style>
  <w:style w:type="paragraph" w:customStyle="1" w:styleId="AATitle2">
    <w:name w:val="AA_Title2"/>
    <w:basedOn w:val="Normal"/>
    <w:rsid w:val="00583E92"/>
    <w:pPr>
      <w:keepNext/>
      <w:keepLines/>
      <w:tabs>
        <w:tab w:val="left" w:pos="1247"/>
        <w:tab w:val="left" w:pos="1814"/>
        <w:tab w:val="left" w:pos="2381"/>
        <w:tab w:val="left" w:pos="2948"/>
        <w:tab w:val="left" w:pos="3515"/>
      </w:tabs>
      <w:suppressAutoHyphens/>
      <w:spacing w:before="120" w:after="120"/>
      <w:ind w:right="4536"/>
    </w:pPr>
    <w:rPr>
      <w:rFonts w:cs="Times New Roman"/>
      <w:b/>
      <w:szCs w:val="20"/>
      <w:lang w:val="en-GB"/>
    </w:rPr>
  </w:style>
  <w:style w:type="paragraph" w:customStyle="1" w:styleId="BBTitle">
    <w:name w:val="BB_Title"/>
    <w:basedOn w:val="Normalpool"/>
    <w:link w:val="BBTitleChar"/>
    <w:rsid w:val="00583E92"/>
    <w:pPr>
      <w:keepNext/>
      <w:keepLines/>
      <w:tabs>
        <w:tab w:val="clear" w:pos="1253"/>
        <w:tab w:val="clear" w:pos="2376"/>
        <w:tab w:val="clear" w:pos="2952"/>
        <w:tab w:val="clear" w:pos="3514"/>
        <w:tab w:val="left" w:pos="1247"/>
        <w:tab w:val="left" w:pos="2381"/>
        <w:tab w:val="left" w:pos="2948"/>
        <w:tab w:val="left" w:pos="3515"/>
        <w:tab w:val="left" w:pos="4082"/>
      </w:tabs>
      <w:suppressAutoHyphens/>
      <w:spacing w:before="320" w:after="240"/>
      <w:ind w:left="1247" w:right="567"/>
    </w:pPr>
    <w:rPr>
      <w:rFonts w:eastAsia="Times New Roman"/>
      <w:b/>
      <w:sz w:val="28"/>
      <w:szCs w:val="28"/>
    </w:rPr>
  </w:style>
  <w:style w:type="character" w:customStyle="1" w:styleId="BBTitleChar">
    <w:name w:val="BB_Title Char"/>
    <w:link w:val="BBTitle"/>
    <w:rsid w:val="00583E92"/>
    <w:rPr>
      <w:rFonts w:cs="Times New Roman"/>
      <w:b/>
      <w:sz w:val="28"/>
      <w:szCs w:val="28"/>
      <w:lang w:val="en-GB"/>
    </w:rPr>
  </w:style>
  <w:style w:type="numbering" w:customStyle="1" w:styleId="WWNum25">
    <w:name w:val="WWNum25"/>
    <w:basedOn w:val="NoList"/>
    <w:rsid w:val="00583E92"/>
    <w:pPr>
      <w:numPr>
        <w:numId w:val="21"/>
      </w:numPr>
    </w:pPr>
  </w:style>
  <w:style w:type="character" w:styleId="UnresolvedMention">
    <w:name w:val="Unresolved Mention"/>
    <w:basedOn w:val="DefaultParagraphFont"/>
    <w:uiPriority w:val="99"/>
    <w:semiHidden/>
    <w:unhideWhenUsed/>
    <w:rsid w:val="003B516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1" Type="http://schemas.openxmlformats.org/officeDocument/2006/relationships/hyperlink" Target="http://www.unenvironment.org/explore-topics/chemicals-waste/what-we-do/mercury/mercury-inventory-toolki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A990A2-D745-4571-8FB0-B794887DE3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844</Words>
  <Characters>4816</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UNEP/GC/25/00</vt:lpstr>
    </vt:vector>
  </TitlesOfParts>
  <Company>UNON</Company>
  <LinksUpToDate>false</LinksUpToDate>
  <CharactersWithSpaces>5649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UNEP/GC/25/00</dc:title>
  <dc:creator>ARABIC UNIT</dc:creator>
  <cp:lastModifiedBy>Afaf Salih</cp:lastModifiedBy>
  <cp:revision>2</cp:revision>
  <cp:lastPrinted>2019-07-23T13:41:00Z</cp:lastPrinted>
  <dcterms:created xsi:type="dcterms:W3CDTF">2019-09-10T13:59:00Z</dcterms:created>
  <dcterms:modified xsi:type="dcterms:W3CDTF">2019-09-10T13:59:00Z</dcterms:modified>
</cp:coreProperties>
</file>