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2"/>
        <w:gridCol w:w="4460"/>
        <w:gridCol w:w="3335"/>
      </w:tblGrid>
      <w:tr w:rsidR="00A66967" w:rsidRPr="00DB5635" w14:paraId="34EC76FF" w14:textId="77777777" w:rsidTr="00295A7B">
        <w:trPr>
          <w:cantSplit/>
          <w:trHeight w:val="850"/>
          <w:jc w:val="right"/>
        </w:trPr>
        <w:tc>
          <w:tcPr>
            <w:tcW w:w="1701" w:type="dxa"/>
          </w:tcPr>
          <w:p w14:paraId="5BAF8918" w14:textId="77777777" w:rsidR="00A66967" w:rsidRPr="00DB5635" w:rsidRDefault="00A66967" w:rsidP="00295A7B">
            <w:pPr>
              <w:tabs>
                <w:tab w:val="left" w:pos="624"/>
                <w:tab w:val="left" w:pos="1871"/>
                <w:tab w:val="left" w:pos="2495"/>
              </w:tabs>
              <w:rPr>
                <w:rFonts w:ascii="Arial" w:hAnsi="Arial" w:cs="Arial"/>
                <w:b/>
                <w:sz w:val="27"/>
                <w:szCs w:val="27"/>
              </w:rPr>
            </w:pPr>
            <w:r w:rsidRPr="00DB5635">
              <w:rPr>
                <w:rFonts w:ascii="Arial" w:hAnsi="Arial" w:cs="Arial"/>
                <w:b/>
                <w:sz w:val="27"/>
                <w:szCs w:val="27"/>
              </w:rPr>
              <w:t>NACIONES UNIDAS</w:t>
            </w:r>
          </w:p>
        </w:tc>
        <w:tc>
          <w:tcPr>
            <w:tcW w:w="4460" w:type="dxa"/>
          </w:tcPr>
          <w:p w14:paraId="782B3A67" w14:textId="77777777" w:rsidR="00A66967" w:rsidRPr="00DB5635" w:rsidRDefault="00A66967" w:rsidP="00295A7B">
            <w:pPr>
              <w:tabs>
                <w:tab w:val="left" w:pos="624"/>
                <w:tab w:val="left" w:pos="1871"/>
                <w:tab w:val="left" w:pos="2495"/>
              </w:tabs>
              <w:rPr>
                <w:rFonts w:ascii="Univers" w:hAnsi="Univers"/>
                <w:b/>
                <w:sz w:val="27"/>
                <w:szCs w:val="27"/>
              </w:rPr>
            </w:pPr>
          </w:p>
        </w:tc>
        <w:tc>
          <w:tcPr>
            <w:tcW w:w="3335" w:type="dxa"/>
          </w:tcPr>
          <w:p w14:paraId="2D6C75B5" w14:textId="77777777" w:rsidR="00A66967" w:rsidRPr="00DB5635" w:rsidRDefault="00A66967" w:rsidP="00295A7B">
            <w:pPr>
              <w:tabs>
                <w:tab w:val="left" w:pos="624"/>
                <w:tab w:val="left" w:pos="1871"/>
                <w:tab w:val="left" w:pos="2495"/>
              </w:tabs>
              <w:jc w:val="right"/>
              <w:rPr>
                <w:rFonts w:ascii="Arial" w:hAnsi="Arial" w:cs="Arial"/>
                <w:b/>
                <w:sz w:val="64"/>
                <w:szCs w:val="64"/>
              </w:rPr>
            </w:pPr>
            <w:r w:rsidRPr="00DB5635">
              <w:rPr>
                <w:rFonts w:ascii="Arial" w:hAnsi="Arial" w:cs="Arial"/>
                <w:b/>
                <w:sz w:val="64"/>
                <w:szCs w:val="64"/>
              </w:rPr>
              <w:t>MC</w:t>
            </w:r>
          </w:p>
        </w:tc>
      </w:tr>
      <w:tr w:rsidR="00A66967" w:rsidRPr="00DB5635" w14:paraId="1B920AF4" w14:textId="77777777" w:rsidTr="00295A7B">
        <w:trPr>
          <w:cantSplit/>
          <w:trHeight w:val="281"/>
          <w:jc w:val="right"/>
        </w:trPr>
        <w:tc>
          <w:tcPr>
            <w:tcW w:w="1701" w:type="dxa"/>
            <w:tcBorders>
              <w:bottom w:val="single" w:sz="4" w:space="0" w:color="auto"/>
            </w:tcBorders>
          </w:tcPr>
          <w:p w14:paraId="6E9DF119" w14:textId="77777777" w:rsidR="00A66967" w:rsidRPr="00DB5635" w:rsidRDefault="00A66967" w:rsidP="00295A7B">
            <w:pPr>
              <w:tabs>
                <w:tab w:val="left" w:pos="624"/>
                <w:tab w:val="left" w:pos="1871"/>
                <w:tab w:val="left" w:pos="2495"/>
              </w:tabs>
              <w:rPr>
                <w:sz w:val="18"/>
                <w:szCs w:val="18"/>
              </w:rPr>
            </w:pPr>
          </w:p>
        </w:tc>
        <w:tc>
          <w:tcPr>
            <w:tcW w:w="4460" w:type="dxa"/>
            <w:tcBorders>
              <w:bottom w:val="single" w:sz="4" w:space="0" w:color="auto"/>
            </w:tcBorders>
          </w:tcPr>
          <w:p w14:paraId="3C372B77" w14:textId="77777777" w:rsidR="00A66967" w:rsidRPr="00DB5635" w:rsidRDefault="00A66967" w:rsidP="00295A7B">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2B8B56EA" w14:textId="4B9875B8" w:rsidR="00A66967" w:rsidRPr="00DB5635" w:rsidRDefault="00A66967" w:rsidP="00295A7B">
            <w:pPr>
              <w:tabs>
                <w:tab w:val="left" w:pos="624"/>
                <w:tab w:val="left" w:pos="1871"/>
                <w:tab w:val="left" w:pos="2495"/>
              </w:tabs>
              <w:rPr>
                <w:sz w:val="18"/>
                <w:szCs w:val="18"/>
              </w:rPr>
            </w:pPr>
            <w:r w:rsidRPr="00DB5635">
              <w:rPr>
                <w:b/>
                <w:bCs/>
                <w:sz w:val="28"/>
              </w:rPr>
              <w:t>UNEP</w:t>
            </w:r>
            <w:r w:rsidRPr="00DB5635">
              <w:rPr>
                <w:b/>
                <w:bCs/>
              </w:rPr>
              <w:t>/</w:t>
            </w:r>
            <w:r w:rsidRPr="00DB5635">
              <w:t>MC/COP.3/16</w:t>
            </w:r>
          </w:p>
        </w:tc>
      </w:tr>
      <w:bookmarkStart w:id="0" w:name="_MON_1021710482"/>
      <w:bookmarkEnd w:id="0"/>
      <w:bookmarkStart w:id="1" w:name="_MON_1021710510"/>
      <w:bookmarkEnd w:id="1"/>
      <w:tr w:rsidR="00A66967" w:rsidRPr="00DB5635" w14:paraId="3EC6DA3B" w14:textId="77777777" w:rsidTr="00295A7B">
        <w:trPr>
          <w:cantSplit/>
          <w:trHeight w:val="2549"/>
          <w:jc w:val="right"/>
        </w:trPr>
        <w:tc>
          <w:tcPr>
            <w:tcW w:w="1701" w:type="dxa"/>
            <w:tcBorders>
              <w:top w:val="single" w:sz="4" w:space="0" w:color="auto"/>
              <w:bottom w:val="single" w:sz="24" w:space="0" w:color="auto"/>
            </w:tcBorders>
          </w:tcPr>
          <w:p w14:paraId="4CBAF21B" w14:textId="77777777" w:rsidR="00A66967" w:rsidRPr="00DB5635" w:rsidRDefault="00A66967" w:rsidP="00295A7B">
            <w:pPr>
              <w:tabs>
                <w:tab w:val="left" w:pos="624"/>
                <w:tab w:val="left" w:pos="1871"/>
                <w:tab w:val="left" w:pos="2495"/>
              </w:tabs>
            </w:pPr>
            <w:r w:rsidRPr="00DB5635">
              <w:object w:dxaOrig="1831" w:dyaOrig="1726" w14:anchorId="19332F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45pt" o:ole="" fillcolor="window">
                  <v:imagedata r:id="rId11" o:title=""/>
                </v:shape>
                <o:OLEObject Type="Embed" ProgID="Word.Picture.8" ShapeID="_x0000_i1025" DrawAspect="Content" ObjectID="_1635163577" r:id="rId12"/>
              </w:object>
            </w:r>
            <w:r w:rsidRPr="00DB5635">
              <w:rPr>
                <w:noProof/>
                <w:lang w:eastAsia="es-ES_tradnl"/>
              </w:rPr>
              <w:drawing>
                <wp:inline distT="0" distB="0" distL="0" distR="0" wp14:anchorId="6DAED7E2" wp14:editId="679CD9C2">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3AE6C9E1" w14:textId="7F50D8BC" w:rsidR="00A66967" w:rsidRPr="00DB5635" w:rsidRDefault="00A66967" w:rsidP="00295A7B">
            <w:pPr>
              <w:tabs>
                <w:tab w:val="left" w:pos="624"/>
                <w:tab w:val="left" w:pos="1871"/>
                <w:tab w:val="left" w:pos="2495"/>
              </w:tabs>
              <w:spacing w:before="1200"/>
              <w:rPr>
                <w:rFonts w:ascii="Arial" w:hAnsi="Arial" w:cs="Arial"/>
                <w:b/>
                <w:sz w:val="32"/>
              </w:rPr>
            </w:pPr>
            <w:r w:rsidRPr="00DB5635">
              <w:rPr>
                <w:rFonts w:ascii="Arial" w:hAnsi="Arial" w:cs="Arial"/>
                <w:b/>
                <w:bCs/>
                <w:sz w:val="32"/>
              </w:rPr>
              <w:t>Programa de las Naciones Unidas para el Medio Ambiente</w:t>
            </w:r>
          </w:p>
        </w:tc>
        <w:tc>
          <w:tcPr>
            <w:tcW w:w="3335" w:type="dxa"/>
            <w:tcBorders>
              <w:top w:val="single" w:sz="4" w:space="0" w:color="auto"/>
              <w:bottom w:val="single" w:sz="24" w:space="0" w:color="auto"/>
            </w:tcBorders>
          </w:tcPr>
          <w:p w14:paraId="42DB8EEF" w14:textId="6B51FB2C" w:rsidR="00A66967" w:rsidRPr="00DB5635" w:rsidRDefault="00A66967" w:rsidP="00295A7B">
            <w:pPr>
              <w:tabs>
                <w:tab w:val="left" w:pos="624"/>
                <w:tab w:val="left" w:pos="1871"/>
                <w:tab w:val="left" w:pos="2495"/>
              </w:tabs>
              <w:spacing w:before="120"/>
            </w:pPr>
            <w:r w:rsidRPr="00DB5635">
              <w:t>Distr. general</w:t>
            </w:r>
            <w:r w:rsidRPr="00DB5635">
              <w:br/>
              <w:t>3 de octubre de 2019</w:t>
            </w:r>
          </w:p>
          <w:p w14:paraId="7C074AA0" w14:textId="77777777" w:rsidR="00A66967" w:rsidRPr="00DB5635" w:rsidRDefault="00A66967" w:rsidP="00295A7B">
            <w:pPr>
              <w:tabs>
                <w:tab w:val="left" w:pos="624"/>
                <w:tab w:val="left" w:pos="1871"/>
                <w:tab w:val="left" w:pos="2495"/>
              </w:tabs>
              <w:spacing w:before="240"/>
            </w:pPr>
            <w:r w:rsidRPr="00DB5635">
              <w:t>Español</w:t>
            </w:r>
            <w:r w:rsidRPr="00DB5635">
              <w:br/>
              <w:t>Original: inglés</w:t>
            </w:r>
          </w:p>
        </w:tc>
      </w:tr>
    </w:tbl>
    <w:p w14:paraId="5C192050" w14:textId="5C889AFD" w:rsidR="00E976AB" w:rsidRPr="00DB5635" w:rsidRDefault="00CB007D" w:rsidP="00E976AB">
      <w:pPr>
        <w:pStyle w:val="AATitle"/>
        <w:keepNext w:val="0"/>
        <w:keepLines w:val="0"/>
        <w:rPr>
          <w:lang w:val="es-ES_tradnl"/>
        </w:rPr>
      </w:pPr>
      <w:r w:rsidRPr="00DB5635">
        <w:rPr>
          <w:bCs/>
          <w:lang w:val="es-ES_tradnl"/>
        </w:rPr>
        <w:t>Conferencia de las Partes en el Convenio de Minamata sobre el Mercurio</w:t>
      </w:r>
    </w:p>
    <w:p w14:paraId="4AF974CE" w14:textId="77777777" w:rsidR="00E976AB" w:rsidRPr="00DB5635" w:rsidRDefault="00F96F7E" w:rsidP="00E976AB">
      <w:pPr>
        <w:pStyle w:val="AATitle"/>
        <w:keepNext w:val="0"/>
        <w:keepLines w:val="0"/>
        <w:rPr>
          <w:lang w:val="es-ES_tradnl"/>
        </w:rPr>
      </w:pPr>
      <w:r w:rsidRPr="00DB5635">
        <w:rPr>
          <w:bCs/>
          <w:lang w:val="es-ES_tradnl"/>
        </w:rPr>
        <w:t>Tercera reunión</w:t>
      </w:r>
    </w:p>
    <w:p w14:paraId="5F02D136" w14:textId="77777777" w:rsidR="00787688" w:rsidRPr="00DB5635" w:rsidRDefault="00787688" w:rsidP="00434321">
      <w:pPr>
        <w:pStyle w:val="AATitle"/>
        <w:rPr>
          <w:b w:val="0"/>
          <w:lang w:val="es-ES_tradnl"/>
        </w:rPr>
      </w:pPr>
      <w:r w:rsidRPr="00DB5635">
        <w:rPr>
          <w:b w:val="0"/>
          <w:lang w:val="es-ES_tradnl"/>
        </w:rPr>
        <w:t>Ginebra, 25 a 29 de noviembre de 2019</w:t>
      </w:r>
    </w:p>
    <w:p w14:paraId="0A20DE4F" w14:textId="77777777" w:rsidR="00863F6A" w:rsidRPr="00DB5635" w:rsidRDefault="00863F6A" w:rsidP="00863F6A">
      <w:pPr>
        <w:pStyle w:val="AATitle"/>
        <w:keepNext w:val="0"/>
        <w:keepLines w:val="0"/>
        <w:rPr>
          <w:b w:val="0"/>
          <w:lang w:val="es-ES_tradnl"/>
        </w:rPr>
      </w:pPr>
      <w:r w:rsidRPr="00DB5635">
        <w:rPr>
          <w:b w:val="0"/>
          <w:lang w:val="es-ES_tradnl"/>
        </w:rPr>
        <w:t>Tema 5 j) del programa provisional</w:t>
      </w:r>
      <w:r w:rsidRPr="00DB5635">
        <w:rPr>
          <w:b w:val="0"/>
          <w:lang w:val="es-ES_tradnl"/>
        </w:rPr>
        <w:footnoteReference w:customMarkFollows="1" w:id="1"/>
        <w:t>*</w:t>
      </w:r>
    </w:p>
    <w:p w14:paraId="29FD4070" w14:textId="763EA0A8" w:rsidR="00863F6A" w:rsidRPr="00DB5635" w:rsidRDefault="00863F6A" w:rsidP="00863F6A">
      <w:pPr>
        <w:pStyle w:val="AATitle2"/>
        <w:rPr>
          <w:lang w:val="es-ES_tradnl"/>
        </w:rPr>
      </w:pPr>
      <w:r w:rsidRPr="00DB5635">
        <w:rPr>
          <w:bCs/>
          <w:lang w:val="es-ES_tradnl"/>
        </w:rPr>
        <w:t>Cuestiones para el examen o la adopción de medidas por</w:t>
      </w:r>
      <w:r w:rsidR="00806F3E" w:rsidRPr="00DB5635">
        <w:rPr>
          <w:bCs/>
          <w:lang w:val="es-ES_tradnl"/>
        </w:rPr>
        <w:t> </w:t>
      </w:r>
      <w:r w:rsidRPr="00DB5635">
        <w:rPr>
          <w:bCs/>
          <w:lang w:val="es-ES_tradnl"/>
        </w:rPr>
        <w:t>la Conferencia de las Partes: Secretaría</w:t>
      </w:r>
    </w:p>
    <w:p w14:paraId="739DC3F4" w14:textId="45FC9D43" w:rsidR="00863F6A" w:rsidRDefault="00863F6A" w:rsidP="00863F6A">
      <w:pPr>
        <w:pStyle w:val="BBTitle"/>
        <w:rPr>
          <w:lang w:val="es-ES_tradnl"/>
        </w:rPr>
      </w:pPr>
      <w:r w:rsidRPr="00DB5635">
        <w:rPr>
          <w:bCs/>
          <w:lang w:val="es-ES_tradnl"/>
        </w:rPr>
        <w:t xml:space="preserve">Propuesta de parte dispositiva de la Directora Ejecutiva del Programa de las </w:t>
      </w:r>
      <w:r w:rsidR="00A66967" w:rsidRPr="00DB5635">
        <w:rPr>
          <w:bCs/>
          <w:lang w:val="es-ES_tradnl"/>
        </w:rPr>
        <w:t>Naciones Unidas</w:t>
      </w:r>
      <w:r w:rsidRPr="00DB5635">
        <w:rPr>
          <w:bCs/>
          <w:lang w:val="es-ES_tradnl"/>
        </w:rPr>
        <w:t xml:space="preserve"> para el Medio Ambiente relativa al intercambio de servicios entre la Secretaría del Convenio de Minamata y la Secretaría de los Convenios de Basilea, Estocolmo y Rotterdam</w:t>
      </w:r>
    </w:p>
    <w:p w14:paraId="3B14B803" w14:textId="549E8434" w:rsidR="004D0BE4" w:rsidRPr="00C55EA7" w:rsidRDefault="004D0BE4" w:rsidP="00863F6A">
      <w:pPr>
        <w:pStyle w:val="BBTitle"/>
        <w:rPr>
          <w:sz w:val="24"/>
          <w:szCs w:val="24"/>
          <w:lang w:val="es-ES_tradnl"/>
        </w:rPr>
      </w:pPr>
      <w:r w:rsidRPr="00C55EA7">
        <w:rPr>
          <w:sz w:val="24"/>
          <w:szCs w:val="24"/>
          <w:lang w:val="es-ES_tradnl"/>
        </w:rPr>
        <w:t>Nota de la Secretaría</w:t>
      </w:r>
    </w:p>
    <w:p w14:paraId="62A6A503" w14:textId="43A0B711" w:rsidR="00C55EA7" w:rsidRPr="00DB5635" w:rsidRDefault="00C55EA7" w:rsidP="00C55EA7">
      <w:pPr>
        <w:pStyle w:val="NormalNonumber"/>
        <w:numPr>
          <w:ilvl w:val="0"/>
          <w:numId w:val="8"/>
        </w:numPr>
        <w:tabs>
          <w:tab w:val="clear" w:pos="1247"/>
          <w:tab w:val="clear" w:pos="1814"/>
          <w:tab w:val="clear" w:pos="2381"/>
          <w:tab w:val="clear" w:pos="2948"/>
          <w:tab w:val="clear" w:pos="3515"/>
          <w:tab w:val="clear" w:pos="4082"/>
        </w:tabs>
        <w:ind w:firstLine="0"/>
        <w:rPr>
          <w:lang w:val="es-ES_tradnl"/>
        </w:rPr>
      </w:pPr>
      <w:r w:rsidRPr="00DB5635">
        <w:rPr>
          <w:lang w:val="es-ES_tradnl"/>
        </w:rPr>
        <w:t>En su decisión MC-2/7, la Conferencia de las Partes en el Convenio de Minamata sobre el Mercurio solicitó a la Dirección Ejecutiva del Programa de las Naciones Unidas para el Medio Ambiente (PNUMA) que presentase una propuesta de parte dispositiva relativa a un marco operativo para el intercambio de servicios entre la Secretaría del Convenio de Minamata y la Secretaría de los Convenios de Basilea, Estocolmo y Rotterdam, preparada en colaboración con la Secretaria Ejecutiva del Convenio de Minamata y con el apoyo del Secretario Ejecutivo de los Convenios de Basilea</w:t>
      </w:r>
      <w:r>
        <w:rPr>
          <w:lang w:val="es-ES_tradnl"/>
        </w:rPr>
        <w:t xml:space="preserve"> sobre</w:t>
      </w:r>
      <w:r w:rsidR="00975334">
        <w:rPr>
          <w:lang w:val="es-ES_tradnl"/>
        </w:rPr>
        <w:t> </w:t>
      </w:r>
      <w:r>
        <w:rPr>
          <w:lang w:val="es-ES_tradnl"/>
        </w:rPr>
        <w:t>el Control de los Movimientos Transfronterizos de los Desech</w:t>
      </w:r>
      <w:bookmarkStart w:id="2" w:name="_GoBack"/>
      <w:bookmarkEnd w:id="2"/>
      <w:r>
        <w:rPr>
          <w:lang w:val="es-ES_tradnl"/>
        </w:rPr>
        <w:t>os Peligrosos y su Eliminación, el</w:t>
      </w:r>
      <w:r w:rsidR="00975334">
        <w:rPr>
          <w:lang w:val="es-ES_tradnl"/>
        </w:rPr>
        <w:t> </w:t>
      </w:r>
      <w:r>
        <w:rPr>
          <w:lang w:val="es-ES_tradnl"/>
        </w:rPr>
        <w:t>Convenio de</w:t>
      </w:r>
      <w:r w:rsidRPr="00DB5635">
        <w:rPr>
          <w:lang w:val="es-ES_tradnl"/>
        </w:rPr>
        <w:t xml:space="preserve"> Estocolmo</w:t>
      </w:r>
      <w:r>
        <w:rPr>
          <w:lang w:val="es-ES_tradnl"/>
        </w:rPr>
        <w:t xml:space="preserve"> sobre Contaminantes Orgánicos Persistentes</w:t>
      </w:r>
      <w:r w:rsidRPr="00DB5635">
        <w:rPr>
          <w:lang w:val="es-ES_tradnl"/>
        </w:rPr>
        <w:t xml:space="preserve"> y la parte del Convenio de Rotterdam </w:t>
      </w:r>
      <w:r>
        <w:rPr>
          <w:lang w:val="es-ES_tradnl"/>
        </w:rPr>
        <w:t xml:space="preserve">sobre el Procedimiento de Consentimiento Fundamentado Previo Aplicable a Ciertos Plaguicidas y Productos Químicos Peligrosos Objeto de Comercio Internacional </w:t>
      </w:r>
      <w:r w:rsidRPr="00DB5635">
        <w:rPr>
          <w:lang w:val="es-ES_tradnl"/>
        </w:rPr>
        <w:t>que asume el</w:t>
      </w:r>
      <w:r w:rsidR="00975334">
        <w:rPr>
          <w:lang w:val="es-ES_tradnl"/>
        </w:rPr>
        <w:t> </w:t>
      </w:r>
      <w:r w:rsidRPr="00DB5635">
        <w:rPr>
          <w:lang w:val="es-ES_tradnl"/>
        </w:rPr>
        <w:t>PNUMA.</w:t>
      </w:r>
    </w:p>
    <w:p w14:paraId="2E155755" w14:textId="52E81FA8" w:rsidR="00C55EA7" w:rsidRPr="00DB5635" w:rsidRDefault="00C55EA7" w:rsidP="00C55EA7">
      <w:pPr>
        <w:pStyle w:val="NormalNonumber"/>
        <w:numPr>
          <w:ilvl w:val="0"/>
          <w:numId w:val="8"/>
        </w:numPr>
        <w:tabs>
          <w:tab w:val="clear" w:pos="1247"/>
          <w:tab w:val="clear" w:pos="1814"/>
          <w:tab w:val="clear" w:pos="2381"/>
          <w:tab w:val="clear" w:pos="2948"/>
          <w:tab w:val="clear" w:pos="3515"/>
          <w:tab w:val="clear" w:pos="4082"/>
        </w:tabs>
        <w:ind w:firstLine="0"/>
        <w:rPr>
          <w:lang w:val="es-ES_tradnl"/>
        </w:rPr>
      </w:pPr>
      <w:r w:rsidRPr="00DB5635">
        <w:rPr>
          <w:lang w:val="es-ES_tradnl"/>
        </w:rPr>
        <w:t>La Secretaría tiene el honor de presentar la propuesta de parte dispositiva de la Directora</w:t>
      </w:r>
      <w:r w:rsidR="00975334">
        <w:rPr>
          <w:lang w:val="es-ES_tradnl"/>
        </w:rPr>
        <w:t> </w:t>
      </w:r>
      <w:r w:rsidRPr="00DB5635">
        <w:rPr>
          <w:lang w:val="es-ES_tradnl"/>
        </w:rPr>
        <w:t>Ejecutiva del PNUMA relativa al intercambio de servicios entre los Convenios para que la</w:t>
      </w:r>
      <w:r w:rsidR="00975334">
        <w:rPr>
          <w:lang w:val="es-ES_tradnl"/>
        </w:rPr>
        <w:t> </w:t>
      </w:r>
      <w:r w:rsidRPr="00DB5635">
        <w:rPr>
          <w:lang w:val="es-ES_tradnl"/>
        </w:rPr>
        <w:t>Conferencia de las Partes en el Convenio de Minamata la examine en su tercera reunión. En la presente propuesta de parte dispositiva se exponen y evalúan tres opciones posibles, a saber:</w:t>
      </w:r>
    </w:p>
    <w:p w14:paraId="03C4194C" w14:textId="77777777" w:rsidR="00C55EA7" w:rsidRPr="00DB5635" w:rsidRDefault="00C55EA7" w:rsidP="00C55EA7">
      <w:pPr>
        <w:pStyle w:val="Normalnumber"/>
        <w:numPr>
          <w:ilvl w:val="0"/>
          <w:numId w:val="5"/>
        </w:numPr>
        <w:ind w:left="1247" w:firstLine="624"/>
        <w:rPr>
          <w:lang w:val="es-ES_tradnl"/>
        </w:rPr>
      </w:pPr>
      <w:r w:rsidRPr="00DB5635">
        <w:rPr>
          <w:lang w:val="es-ES_tradnl"/>
        </w:rPr>
        <w:t>Una dependencia unificada específica;</w:t>
      </w:r>
    </w:p>
    <w:p w14:paraId="150B1BAE" w14:textId="77777777" w:rsidR="00C55EA7" w:rsidRPr="00DB5635" w:rsidRDefault="00C55EA7" w:rsidP="00C55EA7">
      <w:pPr>
        <w:pStyle w:val="Normalnumber"/>
        <w:numPr>
          <w:ilvl w:val="0"/>
          <w:numId w:val="5"/>
        </w:numPr>
        <w:ind w:left="1247" w:firstLine="624"/>
        <w:rPr>
          <w:lang w:val="es-ES_tradnl"/>
        </w:rPr>
      </w:pPr>
      <w:r w:rsidRPr="00DB5635">
        <w:rPr>
          <w:lang w:val="es-ES_tradnl"/>
        </w:rPr>
        <w:t xml:space="preserve">La redistribución de personal de la Secretaría del Convenio de Minamata a la Secretaría de los Convenios de Basilea, Estocolmo y Rotterdam; </w:t>
      </w:r>
    </w:p>
    <w:p w14:paraId="663195FC" w14:textId="77777777" w:rsidR="00C55EA7" w:rsidRPr="00DB5635" w:rsidRDefault="00C55EA7" w:rsidP="00C55EA7">
      <w:pPr>
        <w:pStyle w:val="Normalnumber"/>
        <w:numPr>
          <w:ilvl w:val="0"/>
          <w:numId w:val="5"/>
        </w:numPr>
        <w:ind w:left="1247" w:firstLine="624"/>
        <w:rPr>
          <w:lang w:val="es-ES_tradnl"/>
        </w:rPr>
      </w:pPr>
      <w:r w:rsidRPr="00DB5635">
        <w:rPr>
          <w:lang w:val="es-ES_tradnl"/>
        </w:rPr>
        <w:t>La adquisición por la Secretaría del Convenio de Minamata de servicios de la Secretaría de los Convenios de Basilea, Estocolmo y Rotterdam en un régimen de recuperación de costos.</w:t>
      </w:r>
    </w:p>
    <w:p w14:paraId="0094907A" w14:textId="1753D218" w:rsidR="009E0757" w:rsidRDefault="00C55EA7" w:rsidP="00C55EA7">
      <w:pPr>
        <w:pStyle w:val="NormalNonumber"/>
        <w:numPr>
          <w:ilvl w:val="0"/>
          <w:numId w:val="8"/>
        </w:numPr>
        <w:tabs>
          <w:tab w:val="clear" w:pos="1247"/>
          <w:tab w:val="clear" w:pos="1814"/>
          <w:tab w:val="clear" w:pos="2381"/>
          <w:tab w:val="clear" w:pos="2948"/>
          <w:tab w:val="clear" w:pos="3515"/>
          <w:tab w:val="clear" w:pos="4082"/>
        </w:tabs>
        <w:ind w:firstLine="0"/>
        <w:rPr>
          <w:lang w:val="es-ES_tradnl"/>
        </w:rPr>
      </w:pPr>
      <w:r w:rsidRPr="00DB5635">
        <w:rPr>
          <w:lang w:val="es-ES_tradnl"/>
        </w:rPr>
        <w:lastRenderedPageBreak/>
        <w:t>La Conferencia de las Partes tal vez deseará considerar la posibilidad de aceptar la propuesta y apoyar la adquisición por la Secretaría del Convenio de Minamata de servicios de la Secretaría de los Convenios de Basilea, Estocolmo y Rotterdam según el modelo de recuperación de costos, dejando abierta la posibilidad de revisar el acuerdo en 2021.</w:t>
      </w:r>
    </w:p>
    <w:p w14:paraId="29A60F53" w14:textId="77777777" w:rsidR="00C55EA7" w:rsidRPr="00DB5635" w:rsidRDefault="00C55EA7" w:rsidP="009E0757">
      <w:pPr>
        <w:pStyle w:val="Normal-pool"/>
        <w:rPr>
          <w:lang w:val="es-ES_tradnl"/>
        </w:rPr>
      </w:pPr>
    </w:p>
    <w:p w14:paraId="5E774A4C" w14:textId="099881FD" w:rsidR="009E0757" w:rsidRPr="00DB5635" w:rsidRDefault="009E0757" w:rsidP="009E0757">
      <w:pPr>
        <w:pStyle w:val="Normal-pool"/>
        <w:rPr>
          <w:b/>
          <w:bCs/>
          <w:lang w:val="es-ES_tradnl"/>
        </w:rPr>
        <w:sectPr w:rsidR="009E0757" w:rsidRPr="00DB5635" w:rsidSect="00353EC0">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continuous"/>
          <w:pgSz w:w="11907" w:h="16840" w:code="9"/>
          <w:pgMar w:top="907" w:right="992" w:bottom="1418" w:left="1418" w:header="539" w:footer="975" w:gutter="0"/>
          <w:cols w:space="539"/>
          <w:titlePg/>
          <w:docGrid w:linePitch="360"/>
        </w:sectPr>
      </w:pPr>
    </w:p>
    <w:p w14:paraId="4A7190DE" w14:textId="77777777" w:rsidR="004D0BE4" w:rsidRPr="00C55EA7" w:rsidRDefault="004D0BE4" w:rsidP="00C55EA7">
      <w:pPr>
        <w:pStyle w:val="CH2"/>
        <w:spacing w:before="0" w:after="0"/>
        <w:rPr>
          <w:sz w:val="28"/>
          <w:szCs w:val="28"/>
          <w:lang w:val="es-ES_tradnl"/>
        </w:rPr>
      </w:pPr>
      <w:r w:rsidRPr="00C55EA7">
        <w:rPr>
          <w:sz w:val="28"/>
          <w:szCs w:val="28"/>
          <w:lang w:val="es-ES_tradnl"/>
        </w:rPr>
        <w:lastRenderedPageBreak/>
        <w:t>Anexo</w:t>
      </w:r>
    </w:p>
    <w:p w14:paraId="62B5F6B1" w14:textId="59D5E833" w:rsidR="004D0BE4" w:rsidRPr="00C55EA7" w:rsidRDefault="009749BE" w:rsidP="00975334">
      <w:pPr>
        <w:pStyle w:val="CH2"/>
        <w:spacing w:after="320"/>
        <w:ind w:firstLine="0"/>
        <w:rPr>
          <w:sz w:val="28"/>
          <w:szCs w:val="28"/>
          <w:lang w:val="es-ES_tradnl"/>
        </w:rPr>
      </w:pPr>
      <w:r w:rsidRPr="00C55EA7">
        <w:rPr>
          <w:bCs/>
          <w:sz w:val="28"/>
          <w:szCs w:val="28"/>
          <w:lang w:val="es-ES_tradnl"/>
        </w:rPr>
        <w:t>Propuesta de parte dispositiva de la Directora Ejecutiva del Programa de las Naciones Unidas para el Medio Ambiente relativa al intercambio de servicios entre la Secretaría del Convenio de Minamata y la Secretaría de los Convenios de Basilea, Estocolmo y Rotterdam</w:t>
      </w:r>
    </w:p>
    <w:p w14:paraId="216A255F" w14:textId="4FE015ED" w:rsidR="00863F6A" w:rsidRPr="00DB5635" w:rsidRDefault="00E43DF5" w:rsidP="00C55EA7">
      <w:pPr>
        <w:pStyle w:val="CH2"/>
        <w:ind w:left="2494"/>
        <w:rPr>
          <w:b w:val="0"/>
          <w:bCs/>
          <w:lang w:val="es-ES_tradnl"/>
        </w:rPr>
      </w:pPr>
      <w:r w:rsidRPr="00DB5635">
        <w:rPr>
          <w:bCs/>
          <w:lang w:val="es-ES_tradnl"/>
        </w:rPr>
        <w:t>Índice</w:t>
      </w:r>
    </w:p>
    <w:p w14:paraId="002871B3" w14:textId="1F984245" w:rsidR="006D3B59" w:rsidRPr="00DB5635" w:rsidRDefault="007D50B6">
      <w:pPr>
        <w:pStyle w:val="TOC1"/>
        <w:rPr>
          <w:rFonts w:asciiTheme="minorHAnsi" w:eastAsiaTheme="minorEastAsia" w:hAnsiTheme="minorHAnsi" w:cstheme="minorBidi"/>
          <w:bCs w:val="0"/>
          <w:noProof/>
          <w:sz w:val="22"/>
          <w:szCs w:val="22"/>
          <w:lang w:val="es-ES_tradnl"/>
        </w:rPr>
      </w:pPr>
      <w:r w:rsidRPr="00DB5635">
        <w:rPr>
          <w:b/>
          <w:bCs w:val="0"/>
          <w:lang w:val="es-ES_tradnl"/>
        </w:rPr>
        <w:fldChar w:fldCharType="begin"/>
      </w:r>
      <w:r w:rsidRPr="00DB5635">
        <w:rPr>
          <w:b/>
          <w:bCs w:val="0"/>
          <w:lang w:val="es-ES_tradnl"/>
        </w:rPr>
        <w:instrText xml:space="preserve"> TOC \o "1-3" \h \z \t "CH1,1,ZZ_Anx_header,2" </w:instrText>
      </w:r>
      <w:r w:rsidRPr="00DB5635">
        <w:rPr>
          <w:b/>
          <w:bCs w:val="0"/>
          <w:lang w:val="es-ES_tradnl"/>
        </w:rPr>
        <w:fldChar w:fldCharType="separate"/>
      </w:r>
      <w:hyperlink w:anchor="_Toc22825238" w:history="1">
        <w:r w:rsidR="006D3B59" w:rsidRPr="00DB5635">
          <w:rPr>
            <w:rStyle w:val="Hyperlink"/>
            <w:noProof/>
            <w:lang w:val="es-ES_tradnl"/>
          </w:rPr>
          <w:t>I.</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Antecedentes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_Toc22825238 \h </w:instrText>
        </w:r>
        <w:r w:rsidR="006D3B59" w:rsidRPr="00DB5635">
          <w:rPr>
            <w:noProof/>
            <w:webHidden/>
            <w:lang w:val="es-ES_tradnl"/>
          </w:rPr>
        </w:r>
        <w:r w:rsidR="006D3B59" w:rsidRPr="00DB5635">
          <w:rPr>
            <w:noProof/>
            <w:webHidden/>
            <w:lang w:val="es-ES_tradnl"/>
          </w:rPr>
          <w:fldChar w:fldCharType="separate"/>
        </w:r>
        <w:r w:rsidR="00E65E7A">
          <w:rPr>
            <w:noProof/>
            <w:webHidden/>
            <w:lang w:val="es-ES_tradnl"/>
          </w:rPr>
          <w:t>4</w:t>
        </w:r>
        <w:r w:rsidR="006D3B59" w:rsidRPr="00DB5635">
          <w:rPr>
            <w:noProof/>
            <w:webHidden/>
            <w:lang w:val="es-ES_tradnl"/>
          </w:rPr>
          <w:fldChar w:fldCharType="end"/>
        </w:r>
      </w:hyperlink>
    </w:p>
    <w:p w14:paraId="2A9E9EBE" w14:textId="17DBCF95"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39" w:history="1">
        <w:r w:rsidR="006D3B59" w:rsidRPr="00DB5635">
          <w:rPr>
            <w:rStyle w:val="Hyperlink"/>
            <w:noProof/>
            <w:lang w:val="es-ES_tradnl"/>
          </w:rPr>
          <w:t>II.</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Proceso de evaluación y consideraciones fundamentales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_Toc22825239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4</w:t>
        </w:r>
        <w:r w:rsidR="006D3B59" w:rsidRPr="00DB5635">
          <w:rPr>
            <w:noProof/>
            <w:webHidden/>
            <w:lang w:val="es-ES_tradnl"/>
          </w:rPr>
          <w:fldChar w:fldCharType="end"/>
        </w:r>
      </w:hyperlink>
    </w:p>
    <w:p w14:paraId="223CBA24" w14:textId="66B7520E"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0" w:history="1">
        <w:r w:rsidR="006D3B59" w:rsidRPr="00DB5635">
          <w:rPr>
            <w:rStyle w:val="Hyperlink"/>
            <w:noProof/>
            <w:lang w:val="es-ES_tradnl"/>
          </w:rPr>
          <w:t>III.</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Principios básicos</w:t>
        </w:r>
        <w:r w:rsidR="006D3B59" w:rsidRPr="00DB5635">
          <w:rPr>
            <w:noProof/>
            <w:webHidden/>
            <w:lang w:val="es-ES_tradnl"/>
          </w:rPr>
          <w:tab/>
        </w:r>
        <w:r w:rsidR="005D5041" w:rsidRPr="00DB5635">
          <w:rPr>
            <w:noProof/>
            <w:webHidden/>
            <w:lang w:val="es-ES_tradnl"/>
          </w:rPr>
          <w:t>4</w:t>
        </w:r>
      </w:hyperlink>
    </w:p>
    <w:p w14:paraId="0EBDB426" w14:textId="17998819"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1" w:history="1">
        <w:r w:rsidR="006D3B59" w:rsidRPr="00DB5635">
          <w:rPr>
            <w:rStyle w:val="Hyperlink"/>
            <w:noProof/>
            <w:lang w:val="es-ES_tradnl"/>
          </w:rPr>
          <w:t>IV.</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Función de la División de Servicios Corporativos del PNUMA</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_Toc22825241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5</w:t>
        </w:r>
        <w:r w:rsidR="006D3B59" w:rsidRPr="00DB5635">
          <w:rPr>
            <w:noProof/>
            <w:webHidden/>
            <w:lang w:val="es-ES_tradnl"/>
          </w:rPr>
          <w:fldChar w:fldCharType="end"/>
        </w:r>
      </w:hyperlink>
    </w:p>
    <w:p w14:paraId="1EB4CAB5" w14:textId="063BA1CE"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2" w:history="1">
        <w:r w:rsidR="006D3B59" w:rsidRPr="00DB5635">
          <w:rPr>
            <w:rStyle w:val="Hyperlink"/>
            <w:noProof/>
            <w:lang w:val="es-ES_tradnl"/>
          </w:rPr>
          <w:t>V.</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Definición</w:t>
        </w:r>
        <w:r w:rsidR="006D3B59" w:rsidRPr="00DB5635">
          <w:rPr>
            <w:rStyle w:val="Hyperlink"/>
            <w:noProof/>
            <w:lang w:val="es-ES_tradnl"/>
          </w:rPr>
          <w:t xml:space="preserve"> </w:t>
        </w:r>
        <w:r w:rsidR="005D5041" w:rsidRPr="00DB5635">
          <w:rPr>
            <w:rStyle w:val="Hyperlink"/>
            <w:noProof/>
            <w:lang w:val="es-ES_tradnl"/>
          </w:rPr>
          <w:t>de modelos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_Toc22825242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6</w:t>
        </w:r>
        <w:r w:rsidR="006D3B59" w:rsidRPr="00DB5635">
          <w:rPr>
            <w:noProof/>
            <w:webHidden/>
            <w:lang w:val="es-ES_tradnl"/>
          </w:rPr>
          <w:fldChar w:fldCharType="end"/>
        </w:r>
      </w:hyperlink>
    </w:p>
    <w:p w14:paraId="18D13E60" w14:textId="77544B5D"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3" w:history="1">
        <w:r w:rsidR="006D3B59" w:rsidRPr="00DB5635">
          <w:rPr>
            <w:rStyle w:val="Hyperlink"/>
            <w:noProof/>
            <w:lang w:val="es-ES_tradnl"/>
          </w:rPr>
          <w:t>VI.</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Unificación de los servicios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_Toc22825243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6</w:t>
        </w:r>
        <w:r w:rsidR="006D3B59" w:rsidRPr="00DB5635">
          <w:rPr>
            <w:noProof/>
            <w:webHidden/>
            <w:lang w:val="es-ES_tradnl"/>
          </w:rPr>
          <w:fldChar w:fldCharType="end"/>
        </w:r>
      </w:hyperlink>
    </w:p>
    <w:p w14:paraId="2E529A54" w14:textId="200FB8C5"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4" w:history="1">
        <w:r w:rsidR="006D3B59" w:rsidRPr="00DB5635">
          <w:rPr>
            <w:rStyle w:val="Hyperlink"/>
            <w:noProof/>
            <w:lang w:val="es-ES_tradnl"/>
          </w:rPr>
          <w:t>VII.</w:t>
        </w:r>
        <w:r w:rsidR="006D3B59" w:rsidRPr="00DB5635">
          <w:rPr>
            <w:rFonts w:asciiTheme="minorHAnsi" w:eastAsiaTheme="minorEastAsia" w:hAnsiTheme="minorHAnsi" w:cstheme="minorBidi"/>
            <w:bCs w:val="0"/>
            <w:noProof/>
            <w:sz w:val="22"/>
            <w:szCs w:val="22"/>
            <w:lang w:val="es-ES_tradnl"/>
          </w:rPr>
          <w:tab/>
        </w:r>
        <w:r w:rsidR="005D5041" w:rsidRPr="00DB5635">
          <w:rPr>
            <w:rStyle w:val="Hyperlink"/>
            <w:noProof/>
            <w:lang w:val="es-ES_tradnl"/>
          </w:rPr>
          <w:t>Redistribución de personal de la Secretaría del Convenio de Minamata a la Secretaría de los Convenios de Basilea, Estocolmo y Rotterdam</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_Toc22825244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7</w:t>
        </w:r>
        <w:r w:rsidR="006D3B59" w:rsidRPr="00DB5635">
          <w:rPr>
            <w:noProof/>
            <w:webHidden/>
            <w:lang w:val="es-ES_tradnl"/>
          </w:rPr>
          <w:fldChar w:fldCharType="end"/>
        </w:r>
      </w:hyperlink>
    </w:p>
    <w:p w14:paraId="31F75DDC" w14:textId="0C1B17E3"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5" w:history="1">
        <w:r w:rsidR="006D3B59" w:rsidRPr="00DB5635">
          <w:rPr>
            <w:rStyle w:val="Hyperlink"/>
            <w:noProof/>
            <w:lang w:val="es-ES_tradnl"/>
          </w:rPr>
          <w:t>VIII.</w:t>
        </w:r>
        <w:r w:rsidR="006D3B59" w:rsidRPr="00DB5635">
          <w:rPr>
            <w:rFonts w:asciiTheme="minorHAnsi" w:eastAsiaTheme="minorEastAsia" w:hAnsiTheme="minorHAnsi" w:cstheme="minorBidi"/>
            <w:bCs w:val="0"/>
            <w:noProof/>
            <w:sz w:val="22"/>
            <w:szCs w:val="22"/>
            <w:lang w:val="es-ES_tradnl"/>
          </w:rPr>
          <w:tab/>
        </w:r>
        <w:r w:rsidR="00E50040" w:rsidRPr="00DB5635">
          <w:rPr>
            <w:rStyle w:val="Hyperlink"/>
            <w:noProof/>
            <w:lang w:val="es-ES_tradnl"/>
          </w:rPr>
          <w:t>Adquisición de servicios en régimen de recuperación de costos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_Toc22825245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8</w:t>
        </w:r>
        <w:r w:rsidR="006D3B59" w:rsidRPr="00DB5635">
          <w:rPr>
            <w:noProof/>
            <w:webHidden/>
            <w:lang w:val="es-ES_tradnl"/>
          </w:rPr>
          <w:fldChar w:fldCharType="end"/>
        </w:r>
      </w:hyperlink>
    </w:p>
    <w:p w14:paraId="79D8967D" w14:textId="6C3C17DB"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6" w:history="1">
        <w:r w:rsidR="006D3B59" w:rsidRPr="00DB5635">
          <w:rPr>
            <w:rStyle w:val="Hyperlink"/>
            <w:noProof/>
            <w:lang w:val="es-ES_tradnl"/>
          </w:rPr>
          <w:t>IX.</w:t>
        </w:r>
        <w:r w:rsidR="006D3B59" w:rsidRPr="00DB5635">
          <w:rPr>
            <w:rFonts w:asciiTheme="minorHAnsi" w:eastAsiaTheme="minorEastAsia" w:hAnsiTheme="minorHAnsi" w:cstheme="minorBidi"/>
            <w:bCs w:val="0"/>
            <w:noProof/>
            <w:sz w:val="22"/>
            <w:szCs w:val="22"/>
            <w:lang w:val="es-ES_tradnl"/>
          </w:rPr>
          <w:tab/>
        </w:r>
        <w:r w:rsidR="006D3B59" w:rsidRPr="00DB5635">
          <w:rPr>
            <w:rStyle w:val="Hyperlink"/>
            <w:noProof/>
            <w:lang w:val="es-ES_tradnl"/>
          </w:rPr>
          <w:t>O</w:t>
        </w:r>
        <w:r w:rsidR="00E50040" w:rsidRPr="00DB5635">
          <w:rPr>
            <w:rStyle w:val="Hyperlink"/>
            <w:noProof/>
            <w:lang w:val="es-ES_tradnl"/>
          </w:rPr>
          <w:t>tras consideraciones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_Toc22825246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8</w:t>
        </w:r>
        <w:r w:rsidR="006D3B59" w:rsidRPr="00DB5635">
          <w:rPr>
            <w:noProof/>
            <w:webHidden/>
            <w:lang w:val="es-ES_tradnl"/>
          </w:rPr>
          <w:fldChar w:fldCharType="end"/>
        </w:r>
      </w:hyperlink>
    </w:p>
    <w:p w14:paraId="051223E3" w14:textId="2B43EDAD"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7" w:history="1">
        <w:r w:rsidR="006D3B59" w:rsidRPr="00DB5635">
          <w:rPr>
            <w:rStyle w:val="Hyperlink"/>
            <w:noProof/>
            <w:lang w:val="es-ES_tradnl"/>
          </w:rPr>
          <w:t>X.</w:t>
        </w:r>
        <w:r w:rsidR="006D3B59" w:rsidRPr="00DB5635">
          <w:rPr>
            <w:rFonts w:asciiTheme="minorHAnsi" w:eastAsiaTheme="minorEastAsia" w:hAnsiTheme="minorHAnsi" w:cstheme="minorBidi"/>
            <w:bCs w:val="0"/>
            <w:noProof/>
            <w:sz w:val="22"/>
            <w:szCs w:val="22"/>
            <w:lang w:val="es-ES_tradnl"/>
          </w:rPr>
          <w:tab/>
        </w:r>
        <w:r w:rsidR="00E50040" w:rsidRPr="00DB5635">
          <w:rPr>
            <w:rStyle w:val="Hyperlink"/>
            <w:noProof/>
            <w:lang w:val="es-ES_tradnl"/>
          </w:rPr>
          <w:t>Conclusión</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_Toc22825247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8</w:t>
        </w:r>
        <w:r w:rsidR="006D3B59" w:rsidRPr="00DB5635">
          <w:rPr>
            <w:noProof/>
            <w:webHidden/>
            <w:lang w:val="es-ES_tradnl"/>
          </w:rPr>
          <w:fldChar w:fldCharType="end"/>
        </w:r>
      </w:hyperlink>
    </w:p>
    <w:p w14:paraId="23F7734A" w14:textId="3D9BE888" w:rsidR="006D3B59" w:rsidRPr="00DB5635" w:rsidRDefault="00E65E7A">
      <w:pPr>
        <w:pStyle w:val="TOC1"/>
        <w:rPr>
          <w:rFonts w:asciiTheme="minorHAnsi" w:eastAsiaTheme="minorEastAsia" w:hAnsiTheme="minorHAnsi" w:cstheme="minorBidi"/>
          <w:bCs w:val="0"/>
          <w:noProof/>
          <w:sz w:val="22"/>
          <w:szCs w:val="22"/>
          <w:lang w:val="es-ES_tradnl"/>
        </w:rPr>
      </w:pPr>
      <w:hyperlink w:anchor="_Toc22825248" w:history="1">
        <w:r w:rsidR="006D3B59" w:rsidRPr="00DB5635">
          <w:rPr>
            <w:rStyle w:val="Hyperlink"/>
            <w:noProof/>
            <w:lang w:val="es-ES_tradnl"/>
          </w:rPr>
          <w:t>XI.</w:t>
        </w:r>
        <w:r w:rsidR="006D3B59" w:rsidRPr="00DB5635">
          <w:rPr>
            <w:rFonts w:asciiTheme="minorHAnsi" w:eastAsiaTheme="minorEastAsia" w:hAnsiTheme="minorHAnsi" w:cstheme="minorBidi"/>
            <w:bCs w:val="0"/>
            <w:noProof/>
            <w:sz w:val="22"/>
            <w:szCs w:val="22"/>
            <w:lang w:val="es-ES_tradnl"/>
          </w:rPr>
          <w:tab/>
        </w:r>
        <w:r w:rsidR="00E50040" w:rsidRPr="00DB5635">
          <w:rPr>
            <w:rStyle w:val="Hyperlink"/>
            <w:noProof/>
            <w:lang w:val="es-ES_tradnl"/>
          </w:rPr>
          <w:t>Resumen indicativo de los gastos adicionales</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_Toc22825248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9</w:t>
        </w:r>
        <w:r w:rsidR="006D3B59" w:rsidRPr="00DB5635">
          <w:rPr>
            <w:noProof/>
            <w:webHidden/>
            <w:lang w:val="es-ES_tradnl"/>
          </w:rPr>
          <w:fldChar w:fldCharType="end"/>
        </w:r>
      </w:hyperlink>
    </w:p>
    <w:p w14:paraId="670E9DB8" w14:textId="21347CE1" w:rsidR="006D3B59" w:rsidRPr="00DB5635" w:rsidRDefault="00E65E7A"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s-ES_tradnl"/>
        </w:rPr>
      </w:pPr>
      <w:hyperlink w:anchor="_Toc22825249" w:history="1">
        <w:r w:rsidR="00E50040" w:rsidRPr="00DB5635">
          <w:rPr>
            <w:rStyle w:val="Hyperlink"/>
            <w:noProof/>
            <w:lang w:val="es-ES_tradnl"/>
          </w:rPr>
          <w:t>Anexo</w:t>
        </w:r>
        <w:r w:rsidR="006D3B59" w:rsidRPr="00DB5635">
          <w:rPr>
            <w:rStyle w:val="Hyperlink"/>
            <w:noProof/>
            <w:lang w:val="es-ES_tradnl"/>
          </w:rPr>
          <w:t xml:space="preserve"> I</w:t>
        </w:r>
        <w:r w:rsidR="006D3B59" w:rsidRPr="00DB5635">
          <w:rPr>
            <w:noProof/>
            <w:webHidden/>
            <w:lang w:val="es-ES_tradnl"/>
          </w:rPr>
          <w:tab/>
        </w:r>
        <w:r w:rsidR="00BE1DA1" w:rsidRPr="00DB5635">
          <w:rPr>
            <w:noProof/>
            <w:webHidden/>
            <w:lang w:val="es-ES_tradnl"/>
          </w:rPr>
          <w:tab/>
        </w:r>
        <w:r w:rsidR="00F81272" w:rsidRPr="00DB5635">
          <w:rPr>
            <w:noProof/>
            <w:webHidden/>
            <w:lang w:val="es-ES_tradnl"/>
          </w:rPr>
          <w:t>9</w:t>
        </w:r>
      </w:hyperlink>
    </w:p>
    <w:p w14:paraId="36C592C1" w14:textId="75A7848C" w:rsidR="006D3B59" w:rsidRPr="00DB5635" w:rsidRDefault="00E65E7A"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s-ES_tradnl"/>
        </w:rPr>
      </w:pPr>
      <w:hyperlink w:anchor="_Toc22825250" w:history="1">
        <w:r w:rsidR="006D3B59" w:rsidRPr="00DB5635">
          <w:rPr>
            <w:rStyle w:val="Hyperlink"/>
            <w:noProof/>
            <w:lang w:val="es-ES_tradnl"/>
          </w:rPr>
          <w:t>A.</w:t>
        </w:r>
        <w:r w:rsidR="006D3B59" w:rsidRPr="00DB5635">
          <w:rPr>
            <w:rFonts w:asciiTheme="minorHAnsi" w:eastAsiaTheme="minorEastAsia" w:hAnsiTheme="minorHAnsi" w:cstheme="minorBidi"/>
            <w:bCs w:val="0"/>
            <w:noProof/>
            <w:sz w:val="22"/>
            <w:szCs w:val="22"/>
            <w:lang w:val="es-ES_tradnl"/>
          </w:rPr>
          <w:tab/>
        </w:r>
        <w:r w:rsidR="00F81272" w:rsidRPr="00DB5635">
          <w:rPr>
            <w:rStyle w:val="Hyperlink"/>
            <w:noProof/>
            <w:lang w:val="es-ES_tradnl"/>
          </w:rPr>
          <w:t>Propuesta de servicios compartidos mediante la redistribución de personal de la Secretaría del Convenio de Minamata a la Secretaría de los Convenios de Basilea, Estocolmo y Rotterdam</w:t>
        </w:r>
        <w:r w:rsidR="006D3B59" w:rsidRPr="00DB5635">
          <w:rPr>
            <w:noProof/>
            <w:webHidden/>
            <w:lang w:val="es-ES_tradnl"/>
          </w:rPr>
          <w:tab/>
        </w:r>
        <w:r w:rsidR="00F81272" w:rsidRPr="00DB5635">
          <w:rPr>
            <w:noProof/>
            <w:webHidden/>
            <w:lang w:val="es-ES_tradnl"/>
          </w:rPr>
          <w:t>9</w:t>
        </w:r>
      </w:hyperlink>
    </w:p>
    <w:p w14:paraId="549BDA11" w14:textId="18FA4BC5" w:rsidR="006D3B59" w:rsidRPr="00DB5635" w:rsidRDefault="00E65E7A"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s-ES_tradnl"/>
        </w:rPr>
      </w:pPr>
      <w:hyperlink w:anchor="_Toc22825251" w:history="1">
        <w:r w:rsidR="006D3B59" w:rsidRPr="00DB5635">
          <w:rPr>
            <w:rStyle w:val="Hyperlink"/>
            <w:noProof/>
            <w:lang w:val="es-ES_tradnl"/>
          </w:rPr>
          <w:t>B.</w:t>
        </w:r>
        <w:r w:rsidR="006D3B59" w:rsidRPr="00DB5635">
          <w:rPr>
            <w:rFonts w:asciiTheme="minorHAnsi" w:eastAsiaTheme="minorEastAsia" w:hAnsiTheme="minorHAnsi" w:cstheme="minorBidi"/>
            <w:bCs w:val="0"/>
            <w:noProof/>
            <w:sz w:val="22"/>
            <w:szCs w:val="22"/>
            <w:lang w:val="es-ES_tradnl"/>
          </w:rPr>
          <w:tab/>
        </w:r>
        <w:r w:rsidR="00F81272" w:rsidRPr="00DB5635">
          <w:rPr>
            <w:rStyle w:val="Hyperlink"/>
            <w:noProof/>
            <w:lang w:val="es-ES_tradnl"/>
          </w:rPr>
          <w:t>Financiación de puestos para la redistribución de personal de la Secretaría del Convenio de Minamata a la Secretaría de los Convenios de Basilea, Estocolmo y Rotterdam</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_Toc22825251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12</w:t>
        </w:r>
        <w:r w:rsidR="006D3B59" w:rsidRPr="00DB5635">
          <w:rPr>
            <w:noProof/>
            <w:webHidden/>
            <w:lang w:val="es-ES_tradnl"/>
          </w:rPr>
          <w:fldChar w:fldCharType="end"/>
        </w:r>
      </w:hyperlink>
    </w:p>
    <w:p w14:paraId="7A09A3DA" w14:textId="120AF81D" w:rsidR="006D3B59" w:rsidRPr="00DB5635" w:rsidRDefault="00E65E7A"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s-ES_tradnl"/>
        </w:rPr>
      </w:pPr>
      <w:hyperlink w:anchor="_Toc22825252" w:history="1">
        <w:r w:rsidR="006D3B59" w:rsidRPr="00DB5635">
          <w:rPr>
            <w:rStyle w:val="Hyperlink"/>
            <w:noProof/>
            <w:lang w:val="es-ES_tradnl"/>
          </w:rPr>
          <w:t>C.</w:t>
        </w:r>
        <w:r w:rsidR="006D3B59" w:rsidRPr="00DB5635">
          <w:rPr>
            <w:rFonts w:asciiTheme="minorHAnsi" w:eastAsiaTheme="minorEastAsia" w:hAnsiTheme="minorHAnsi" w:cstheme="minorBidi"/>
            <w:bCs w:val="0"/>
            <w:noProof/>
            <w:sz w:val="22"/>
            <w:szCs w:val="22"/>
            <w:lang w:val="es-ES_tradnl"/>
          </w:rPr>
          <w:tab/>
        </w:r>
        <w:r w:rsidR="00F81272" w:rsidRPr="00DB5635">
          <w:rPr>
            <w:rStyle w:val="Hyperlink"/>
            <w:noProof/>
            <w:lang w:val="es-ES_tradnl"/>
          </w:rPr>
          <w:t>Propuesta de distribución de puestos para la redistribución de personal de la Secretaría del Convenio de Minamata a la Secretaría de los Convenios de Basilea, Estocolmo y Rotterdam</w:t>
        </w:r>
        <w:r w:rsidR="006D3B59"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_Toc22825252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13</w:t>
        </w:r>
        <w:r w:rsidR="006D3B59" w:rsidRPr="00DB5635">
          <w:rPr>
            <w:noProof/>
            <w:webHidden/>
            <w:lang w:val="es-ES_tradnl"/>
          </w:rPr>
          <w:fldChar w:fldCharType="end"/>
        </w:r>
      </w:hyperlink>
    </w:p>
    <w:p w14:paraId="5EDFCEB1" w14:textId="461D5F27" w:rsidR="006D3B59" w:rsidRPr="00DB5635" w:rsidRDefault="00E65E7A"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s-ES_tradnl"/>
        </w:rPr>
      </w:pPr>
      <w:hyperlink w:anchor="_Toc22825253" w:history="1">
        <w:r w:rsidR="00F81272" w:rsidRPr="00DB5635">
          <w:rPr>
            <w:rStyle w:val="Hyperlink"/>
            <w:noProof/>
            <w:lang w:val="es-ES_tradnl"/>
          </w:rPr>
          <w:t>Anexo</w:t>
        </w:r>
        <w:r w:rsidR="006D3B59" w:rsidRPr="00DB5635">
          <w:rPr>
            <w:rStyle w:val="Hyperlink"/>
            <w:noProof/>
            <w:lang w:val="es-ES_tradnl"/>
          </w:rPr>
          <w:t xml:space="preserve"> II</w:t>
        </w:r>
        <w:r w:rsidR="006D3B59" w:rsidRPr="00DB5635">
          <w:rPr>
            <w:noProof/>
            <w:webHidden/>
            <w:lang w:val="es-ES_tradnl"/>
          </w:rPr>
          <w:tab/>
        </w:r>
        <w:r w:rsidR="00CE554D"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_Toc22825253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14</w:t>
        </w:r>
        <w:r w:rsidR="006D3B59" w:rsidRPr="00DB5635">
          <w:rPr>
            <w:noProof/>
            <w:webHidden/>
            <w:lang w:val="es-ES_tradnl"/>
          </w:rPr>
          <w:fldChar w:fldCharType="end"/>
        </w:r>
      </w:hyperlink>
    </w:p>
    <w:p w14:paraId="4B0936BD" w14:textId="5BBA312A" w:rsidR="006D3B59" w:rsidRPr="00DB5635" w:rsidRDefault="00E65E7A"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s-ES_tradnl"/>
        </w:rPr>
      </w:pPr>
      <w:hyperlink w:anchor="_Toc22825254" w:history="1">
        <w:r w:rsidR="00F81272" w:rsidRPr="00DB5635">
          <w:rPr>
            <w:noProof/>
            <w:lang w:val="es-ES_tradnl"/>
          </w:rPr>
          <w:t>Anexo</w:t>
        </w:r>
        <w:r w:rsidR="006D3B59" w:rsidRPr="00DB5635">
          <w:rPr>
            <w:rStyle w:val="Hyperlink"/>
            <w:noProof/>
            <w:lang w:val="es-ES_tradnl"/>
          </w:rPr>
          <w:t xml:space="preserve"> III</w:t>
        </w:r>
        <w:r w:rsidR="006D3B59" w:rsidRPr="00DB5635">
          <w:rPr>
            <w:noProof/>
            <w:webHidden/>
            <w:lang w:val="es-ES_tradnl"/>
          </w:rPr>
          <w:tab/>
        </w:r>
        <w:r w:rsidR="00CE554D" w:rsidRPr="00DB5635">
          <w:rPr>
            <w:noProof/>
            <w:webHidden/>
            <w:lang w:val="es-ES_tradnl"/>
          </w:rPr>
          <w:tab/>
        </w:r>
        <w:r w:rsidR="006D3B59" w:rsidRPr="00DB5635">
          <w:rPr>
            <w:noProof/>
            <w:webHidden/>
            <w:lang w:val="es-ES_tradnl"/>
          </w:rPr>
          <w:fldChar w:fldCharType="begin"/>
        </w:r>
        <w:r w:rsidR="006D3B59" w:rsidRPr="00DB5635">
          <w:rPr>
            <w:noProof/>
            <w:webHidden/>
            <w:lang w:val="es-ES_tradnl"/>
          </w:rPr>
          <w:instrText xml:space="preserve"> PAGEREF _Toc22825254 \h </w:instrText>
        </w:r>
        <w:r w:rsidR="006D3B59" w:rsidRPr="00DB5635">
          <w:rPr>
            <w:noProof/>
            <w:webHidden/>
            <w:lang w:val="es-ES_tradnl"/>
          </w:rPr>
        </w:r>
        <w:r w:rsidR="006D3B59" w:rsidRPr="00DB5635">
          <w:rPr>
            <w:noProof/>
            <w:webHidden/>
            <w:lang w:val="es-ES_tradnl"/>
          </w:rPr>
          <w:fldChar w:fldCharType="separate"/>
        </w:r>
        <w:r>
          <w:rPr>
            <w:noProof/>
            <w:webHidden/>
            <w:lang w:val="es-ES_tradnl"/>
          </w:rPr>
          <w:t>15</w:t>
        </w:r>
        <w:r w:rsidR="006D3B59" w:rsidRPr="00DB5635">
          <w:rPr>
            <w:noProof/>
            <w:webHidden/>
            <w:lang w:val="es-ES_tradnl"/>
          </w:rPr>
          <w:fldChar w:fldCharType="end"/>
        </w:r>
      </w:hyperlink>
    </w:p>
    <w:p w14:paraId="3B85D3B7" w14:textId="77777777" w:rsidR="00863F6A" w:rsidRPr="00DB5635" w:rsidRDefault="007D50B6" w:rsidP="00174DCA">
      <w:pPr>
        <w:pStyle w:val="Normal-pool"/>
        <w:rPr>
          <w:lang w:val="es-ES_tradnl"/>
        </w:rPr>
      </w:pPr>
      <w:r w:rsidRPr="00DB5635">
        <w:rPr>
          <w:lang w:val="es-ES_tradnl"/>
        </w:rPr>
        <w:fldChar w:fldCharType="end"/>
      </w:r>
    </w:p>
    <w:p w14:paraId="1817F244" w14:textId="77777777" w:rsidR="00863F6A" w:rsidRPr="00DB5635" w:rsidRDefault="00863F6A" w:rsidP="00174DCA">
      <w:pPr>
        <w:pStyle w:val="Normal-pool"/>
        <w:rPr>
          <w:lang w:val="es-ES_tradnl"/>
        </w:rPr>
      </w:pPr>
      <w:r w:rsidRPr="00DB5635">
        <w:rPr>
          <w:lang w:val="es-ES_tradnl"/>
        </w:rPr>
        <w:br w:type="page"/>
      </w:r>
    </w:p>
    <w:p w14:paraId="69B5EBEC" w14:textId="45718E5F" w:rsidR="00863F6A" w:rsidRPr="00DB5635" w:rsidRDefault="005D5041" w:rsidP="00883B8E">
      <w:pPr>
        <w:pStyle w:val="CH1"/>
        <w:rPr>
          <w:lang w:val="es-ES_tradnl"/>
        </w:rPr>
      </w:pPr>
      <w:r w:rsidRPr="00DB5635">
        <w:rPr>
          <w:lang w:val="es-ES_tradnl"/>
        </w:rPr>
        <w:tab/>
      </w:r>
      <w:r w:rsidR="00883B8E" w:rsidRPr="00DB5635">
        <w:rPr>
          <w:lang w:val="es-ES_tradnl"/>
        </w:rPr>
        <w:t>I.</w:t>
      </w:r>
      <w:r w:rsidR="00883B8E" w:rsidRPr="00DB5635">
        <w:rPr>
          <w:lang w:val="es-ES_tradnl"/>
        </w:rPr>
        <w:tab/>
      </w:r>
      <w:r w:rsidR="00883B8E" w:rsidRPr="00DB5635">
        <w:rPr>
          <w:bCs/>
          <w:lang w:val="es-ES_tradnl"/>
        </w:rPr>
        <w:t>Antecedentes</w:t>
      </w:r>
      <w:bookmarkStart w:id="3" w:name="_Toc21073435"/>
      <w:bookmarkStart w:id="4" w:name="_Toc22825238"/>
      <w:bookmarkEnd w:id="3"/>
      <w:bookmarkEnd w:id="4"/>
    </w:p>
    <w:p w14:paraId="0328B90B" w14:textId="52A45616" w:rsidR="00863F6A" w:rsidRPr="00DB5635" w:rsidRDefault="00863F6A" w:rsidP="00AB3AC1">
      <w:pPr>
        <w:pStyle w:val="Normalnumber"/>
        <w:tabs>
          <w:tab w:val="clear" w:pos="597"/>
          <w:tab w:val="clear" w:pos="624"/>
        </w:tabs>
        <w:ind w:left="1247"/>
        <w:rPr>
          <w:lang w:val="es-ES_tradnl"/>
        </w:rPr>
      </w:pPr>
      <w:r w:rsidRPr="00DB5635">
        <w:rPr>
          <w:lang w:val="es-ES_tradnl"/>
        </w:rPr>
        <w:t xml:space="preserve">En la decisión MC-2/7, adoptada en su segunda reunión, la Conferencia de las Partes en el Convenio de Minamata solicitó al Director Ejecutivo del </w:t>
      </w:r>
      <w:r w:rsidR="009749BE">
        <w:rPr>
          <w:lang w:val="es-ES_tradnl"/>
        </w:rPr>
        <w:t>Programa de las Naciones Unidas para el Medio Ambiente (</w:t>
      </w:r>
      <w:r w:rsidRPr="00DB5635">
        <w:rPr>
          <w:lang w:val="es-ES_tradnl"/>
        </w:rPr>
        <w:t>PNUMA</w:t>
      </w:r>
      <w:r w:rsidR="009749BE">
        <w:rPr>
          <w:lang w:val="es-ES_tradnl"/>
        </w:rPr>
        <w:t>)</w:t>
      </w:r>
      <w:r w:rsidRPr="00DB5635">
        <w:rPr>
          <w:lang w:val="es-ES_tradnl"/>
        </w:rPr>
        <w:t xml:space="preserve"> que, en su calidad de proveedor de los servicios de secretaría para el Convenio de Minamata, presentase una propuesta de parte dispositiva, preparada en colaboración con</w:t>
      </w:r>
      <w:r w:rsidR="00D2700B">
        <w:rPr>
          <w:lang w:val="es-ES_tradnl"/>
        </w:rPr>
        <w:t> </w:t>
      </w:r>
      <w:r w:rsidRPr="00DB5635">
        <w:rPr>
          <w:lang w:val="es-ES_tradnl"/>
        </w:rPr>
        <w:t xml:space="preserve">la Secretaria Ejecutiva del Convenio de Minamata y con el apoyo del Secretario Ejecutivo de los Convenios de Basilea y Estocolmo y la parte del Convenio de Rotterdam que asume el </w:t>
      </w:r>
      <w:r w:rsidR="00E506E3">
        <w:rPr>
          <w:lang w:val="es-ES_tradnl"/>
        </w:rPr>
        <w:t>PNUMA</w:t>
      </w:r>
      <w:r w:rsidRPr="00DB5635">
        <w:rPr>
          <w:lang w:val="es-ES_tradnl"/>
        </w:rPr>
        <w:t xml:space="preserve">, relativa a </w:t>
      </w:r>
      <w:r w:rsidR="00950544" w:rsidRPr="00DB5635">
        <w:rPr>
          <w:lang w:val="es-ES_tradnl"/>
        </w:rPr>
        <w:t xml:space="preserve">la creación de </w:t>
      </w:r>
      <w:r w:rsidRPr="00DB5635">
        <w:rPr>
          <w:lang w:val="es-ES_tradnl"/>
        </w:rPr>
        <w:t xml:space="preserve">un marco estable para </w:t>
      </w:r>
      <w:r w:rsidR="00950544" w:rsidRPr="00DB5635">
        <w:rPr>
          <w:lang w:val="es-ES_tradnl"/>
        </w:rPr>
        <w:t>compartir</w:t>
      </w:r>
      <w:r w:rsidRPr="00DB5635">
        <w:rPr>
          <w:lang w:val="es-ES_tradnl"/>
        </w:rPr>
        <w:t xml:space="preserve"> servicios pertinentes en esferas tales como</w:t>
      </w:r>
      <w:r w:rsidR="00D2700B">
        <w:rPr>
          <w:lang w:val="es-ES_tradnl"/>
        </w:rPr>
        <w:t> </w:t>
      </w:r>
      <w:r w:rsidRPr="00DB5635">
        <w:rPr>
          <w:lang w:val="es-ES_tradnl"/>
        </w:rPr>
        <w:t>los servicios de conferencias, la gestión de los conocimientos y la información, los servicios administrativos y de tecnología de la información, la asistencia técnica, el asesoramiento jurídico y la preparación del presupuesto, incluidas las posibles opciones, para su examen por la Conferencia de las Partes en su tercera reunión. Esos servicios, por lo gener</w:t>
      </w:r>
      <w:r w:rsidR="0081458E" w:rsidRPr="00DB5635">
        <w:rPr>
          <w:lang w:val="es-ES_tradnl"/>
        </w:rPr>
        <w:t>al de índole administrativa, conforman</w:t>
      </w:r>
      <w:r w:rsidRPr="00DB5635">
        <w:rPr>
          <w:lang w:val="es-ES_tradnl"/>
        </w:rPr>
        <w:t xml:space="preserve"> el núcleo de la presente propuesta. </w:t>
      </w:r>
    </w:p>
    <w:p w14:paraId="4C4F9B95" w14:textId="354D1CB7" w:rsidR="00863F6A" w:rsidRPr="00DB5635" w:rsidRDefault="00863F6A" w:rsidP="00CE1B5F">
      <w:pPr>
        <w:pStyle w:val="Normalnumber"/>
        <w:tabs>
          <w:tab w:val="clear" w:pos="597"/>
          <w:tab w:val="clear" w:pos="624"/>
        </w:tabs>
        <w:ind w:left="1247"/>
        <w:rPr>
          <w:lang w:val="es-ES_tradnl"/>
        </w:rPr>
      </w:pPr>
      <w:r w:rsidRPr="00DB5635">
        <w:rPr>
          <w:lang w:val="es-ES_tradnl"/>
        </w:rPr>
        <w:t xml:space="preserve">Se solicitó también al Director Ejecutivo </w:t>
      </w:r>
      <w:r w:rsidR="00E506E3">
        <w:rPr>
          <w:lang w:val="es-ES_tradnl"/>
        </w:rPr>
        <w:t xml:space="preserve">del PNUMA </w:t>
      </w:r>
      <w:r w:rsidRPr="00DB5635">
        <w:rPr>
          <w:lang w:val="es-ES_tradnl"/>
        </w:rPr>
        <w:t>que rindiese informe a la Secretaría de los Convenios de Basilea, Estocolmo y Rotterdam y a las Conferencias de las Partes de los Convenios, en su próxima reunión, acerca de la decisión MC-2/7, y de cualesquiera arreglos de secretaría pertinentes que ya hubiesen acordado o estuviesen preparándose o examinándose de conformidad con lo dispuesto en esa</w:t>
      </w:r>
      <w:r w:rsidR="00CE1B5F" w:rsidRPr="00DB5635">
        <w:rPr>
          <w:lang w:val="es-ES_tradnl"/>
        </w:rPr>
        <w:t> </w:t>
      </w:r>
      <w:r w:rsidRPr="00DB5635">
        <w:rPr>
          <w:lang w:val="es-ES_tradnl"/>
        </w:rPr>
        <w:t>decisión. En sus respectivas reuniones de 2019, las Conferencias de las Partes en los Convenios de</w:t>
      </w:r>
      <w:r w:rsidR="00CE1B5F" w:rsidRPr="00DB5635">
        <w:rPr>
          <w:lang w:val="es-ES_tradnl"/>
        </w:rPr>
        <w:t> </w:t>
      </w:r>
      <w:r w:rsidRPr="00DB5635">
        <w:rPr>
          <w:lang w:val="es-ES_tradnl"/>
        </w:rPr>
        <w:t xml:space="preserve">Basilea, Estocolmo y Rotterdam adoptaron sendas decisiones de </w:t>
      </w:r>
      <w:r w:rsidR="0081458E" w:rsidRPr="00DB5635">
        <w:rPr>
          <w:lang w:val="es-ES_tradnl"/>
        </w:rPr>
        <w:t xml:space="preserve">un tenor </w:t>
      </w:r>
      <w:r w:rsidRPr="00DB5635">
        <w:rPr>
          <w:lang w:val="es-ES_tradnl"/>
        </w:rPr>
        <w:t>muy parecido a la decisión MC-2/7, a saber, las decisiones BC-14/22, RC-9/10 y SC-9/20, en las que se</w:t>
      </w:r>
      <w:r w:rsidR="00D2700B">
        <w:rPr>
          <w:lang w:val="es-ES_tradnl"/>
        </w:rPr>
        <w:t> </w:t>
      </w:r>
      <w:r w:rsidRPr="00DB5635">
        <w:rPr>
          <w:lang w:val="es-ES_tradnl"/>
        </w:rPr>
        <w:t xml:space="preserve">solicitó a la Directora Ejecutiva que, entre otras cosas, informase, </w:t>
      </w:r>
      <w:r w:rsidR="009749BE">
        <w:rPr>
          <w:lang w:val="es-ES_tradnl"/>
        </w:rPr>
        <w:t xml:space="preserve">a la Secretaria Ejecutiva del Convenio de Minamata y a la Conferencia de las Partes en el Convenio de Minamata, </w:t>
      </w:r>
      <w:r w:rsidRPr="00DB5635">
        <w:rPr>
          <w:lang w:val="es-ES_tradnl"/>
        </w:rPr>
        <w:t>en sus próximas reuniones, de la decisión y de cualesquiera arreglos de secretaría pertinentes que ya hubiesen acordado o estuviesen preparándose o examinándose de conformidad con lo dispuesto en esa decisión.</w:t>
      </w:r>
    </w:p>
    <w:p w14:paraId="25109300" w14:textId="6B736834" w:rsidR="00863F6A" w:rsidRPr="00DB5635" w:rsidRDefault="005D5041" w:rsidP="00174DCA">
      <w:pPr>
        <w:pStyle w:val="CH1"/>
        <w:rPr>
          <w:lang w:val="es-ES_tradnl"/>
        </w:rPr>
      </w:pPr>
      <w:r w:rsidRPr="00DB5635">
        <w:rPr>
          <w:lang w:val="es-ES_tradnl"/>
        </w:rPr>
        <w:tab/>
      </w:r>
      <w:r w:rsidR="004A0684" w:rsidRPr="00DB5635">
        <w:rPr>
          <w:lang w:val="es-ES_tradnl"/>
        </w:rPr>
        <w:t>II.</w:t>
      </w:r>
      <w:r w:rsidR="004A0684" w:rsidRPr="00DB5635">
        <w:rPr>
          <w:lang w:val="es-ES_tradnl"/>
        </w:rPr>
        <w:tab/>
      </w:r>
      <w:r w:rsidRPr="00DB5635">
        <w:rPr>
          <w:bCs/>
          <w:lang w:val="es-ES_tradnl"/>
        </w:rPr>
        <w:t>P</w:t>
      </w:r>
      <w:r w:rsidR="004A0684" w:rsidRPr="00DB5635">
        <w:rPr>
          <w:bCs/>
          <w:lang w:val="es-ES_tradnl"/>
        </w:rPr>
        <w:t>roceso de evaluación y consideraciones fundamentales</w:t>
      </w:r>
      <w:r w:rsidR="004A0684" w:rsidRPr="00DB5635">
        <w:rPr>
          <w:lang w:val="es-ES_tradnl"/>
        </w:rPr>
        <w:t xml:space="preserve"> </w:t>
      </w:r>
      <w:bookmarkStart w:id="5" w:name="_Toc21073436"/>
      <w:bookmarkStart w:id="6" w:name="_Toc22825239"/>
      <w:bookmarkEnd w:id="5"/>
      <w:bookmarkEnd w:id="6"/>
    </w:p>
    <w:p w14:paraId="07E438C0" w14:textId="5F9B5C4C" w:rsidR="00863F6A" w:rsidRPr="00DB5635" w:rsidRDefault="007553E8" w:rsidP="00AB3AC1">
      <w:pPr>
        <w:pStyle w:val="Normalnumber"/>
        <w:tabs>
          <w:tab w:val="clear" w:pos="597"/>
          <w:tab w:val="clear" w:pos="624"/>
        </w:tabs>
        <w:ind w:left="1247"/>
        <w:rPr>
          <w:lang w:val="es-ES_tradnl"/>
        </w:rPr>
      </w:pPr>
      <w:r w:rsidRPr="00DB5635">
        <w:rPr>
          <w:lang w:val="es-ES_tradnl"/>
        </w:rPr>
        <w:t>L</w:t>
      </w:r>
      <w:r w:rsidR="0081458E" w:rsidRPr="00DB5635">
        <w:rPr>
          <w:lang w:val="es-ES_tradnl"/>
        </w:rPr>
        <w:t xml:space="preserve">a Directora Ejecutiva del PNUMA, </w:t>
      </w:r>
      <w:r w:rsidRPr="00DB5635">
        <w:rPr>
          <w:lang w:val="es-ES_tradnl"/>
        </w:rPr>
        <w:t>en colaboración con la Secretaria Ejecutiva del Convenio de Minamata y con el apoyo del Secretario Ejecutivo de los Convenios de Basilea y Estocolmo y la parte del Convenio de Rotterdam que asume el PNUMA</w:t>
      </w:r>
      <w:r w:rsidR="0081458E" w:rsidRPr="00DB5635">
        <w:rPr>
          <w:lang w:val="es-ES_tradnl"/>
        </w:rPr>
        <w:t>, preparó la presente propuesta de parte dispositiva para el intercambio de servicios</w:t>
      </w:r>
      <w:r w:rsidRPr="00DB5635">
        <w:rPr>
          <w:lang w:val="es-ES_tradnl"/>
        </w:rPr>
        <w:t>. Si bien el artículo 24 del Convenio de Minamata establece que las funciones de secretaría del Convenio, incluidas la cooperación y la coordinación entre la Secretaría del Convenio de Minamata y las secretarías de otros convenios sobre productos químicos y dese</w:t>
      </w:r>
      <w:r w:rsidR="0081458E" w:rsidRPr="00DB5635">
        <w:rPr>
          <w:lang w:val="es-ES_tradnl"/>
        </w:rPr>
        <w:t>chos, serán desempeñadas por la Dirección Ejecutiva</w:t>
      </w:r>
      <w:r w:rsidRPr="00DB5635">
        <w:rPr>
          <w:lang w:val="es-ES_tradnl"/>
        </w:rPr>
        <w:t xml:space="preserve"> del PNUMA</w:t>
      </w:r>
      <w:r w:rsidR="009749BE">
        <w:rPr>
          <w:lang w:val="es-ES_tradnl"/>
        </w:rPr>
        <w:t>. E</w:t>
      </w:r>
      <w:r w:rsidRPr="00DB5635">
        <w:rPr>
          <w:lang w:val="es-ES_tradnl"/>
        </w:rPr>
        <w:t>l análisis efectuado indicó que el ámbito</w:t>
      </w:r>
      <w:r w:rsidR="0081458E" w:rsidRPr="00DB5635">
        <w:rPr>
          <w:lang w:val="es-ES_tradnl"/>
        </w:rPr>
        <w:t xml:space="preserve"> en que podían generarse</w:t>
      </w:r>
      <w:r w:rsidRPr="00DB5635">
        <w:rPr>
          <w:lang w:val="es-ES_tradnl"/>
        </w:rPr>
        <w:t xml:space="preserve"> más sinergias viables era el de los servicios administrativos. </w:t>
      </w:r>
    </w:p>
    <w:p w14:paraId="5961D7BE" w14:textId="6F1755D3" w:rsidR="00863F6A" w:rsidRPr="00DB5635" w:rsidRDefault="00E50EBD" w:rsidP="00AB3AC1">
      <w:pPr>
        <w:pStyle w:val="Normalnumber"/>
        <w:tabs>
          <w:tab w:val="clear" w:pos="597"/>
          <w:tab w:val="clear" w:pos="624"/>
        </w:tabs>
        <w:ind w:left="1247"/>
        <w:rPr>
          <w:lang w:val="es-ES_tradnl"/>
        </w:rPr>
      </w:pPr>
      <w:r w:rsidRPr="00DB5635">
        <w:rPr>
          <w:lang w:val="es-ES_tradnl"/>
        </w:rPr>
        <w:t>La División de Servicios Corporativos del PNUMA, en cuanto custodio de los servicios administrativos, coordinó la formulación de la propuesta, que fue cobrando forma merced a los sucesivos exámenes realizados por un equipo técnico compuesto por personal del PNUMA y de las</w:t>
      </w:r>
      <w:r w:rsidR="00CE1B5F" w:rsidRPr="00DB5635">
        <w:rPr>
          <w:lang w:val="es-ES_tradnl"/>
        </w:rPr>
        <w:t> </w:t>
      </w:r>
      <w:r w:rsidRPr="00DB5635">
        <w:rPr>
          <w:lang w:val="es-ES_tradnl"/>
        </w:rPr>
        <w:t>Secretarías del Convenio de Minamata y de los Convenios de Basilea, Estocolmo y Rotterdam. Los</w:t>
      </w:r>
      <w:r w:rsidR="00CE1B5F" w:rsidRPr="00DB5635">
        <w:rPr>
          <w:lang w:val="es-ES_tradnl"/>
        </w:rPr>
        <w:t> </w:t>
      </w:r>
      <w:r w:rsidRPr="00DB5635">
        <w:rPr>
          <w:lang w:val="es-ES_tradnl"/>
        </w:rPr>
        <w:t>exámenes, dirigidos por el PNUMA, se sometieron a la consideración de los respectivos Secretarios Ejecutivos de los Convenios, con lo cual la propuesta de parte dispositiva fue fruto de un proceso consultivo, exhaustivo y transparente. Según un examen de los recursos de personal de secretaría del Convenio de Minamata, basado en la experiencia de</w:t>
      </w:r>
      <w:r w:rsidR="00252277" w:rsidRPr="00DB5635">
        <w:rPr>
          <w:lang w:val="es-ES_tradnl"/>
        </w:rPr>
        <w:t>l desempeño de</w:t>
      </w:r>
      <w:r w:rsidRPr="00DB5635">
        <w:rPr>
          <w:lang w:val="es-ES_tradnl"/>
        </w:rPr>
        <w:t xml:space="preserve"> las funciones de secretaría en el bienio anterior y durante la segunda reunión de la Conferenci</w:t>
      </w:r>
      <w:r w:rsidR="00252277" w:rsidRPr="00DB5635">
        <w:rPr>
          <w:lang w:val="es-ES_tradnl"/>
        </w:rPr>
        <w:t xml:space="preserve">a de las Partes y de la organización de </w:t>
      </w:r>
      <w:r w:rsidRPr="00DB5635">
        <w:rPr>
          <w:lang w:val="es-ES_tradnl"/>
        </w:rPr>
        <w:t>los preparativos para la tercera reunión de la Conferencia de las Partes, las plazas aprobadas por la Conferencia de las</w:t>
      </w:r>
      <w:r w:rsidR="00252277" w:rsidRPr="00DB5635">
        <w:rPr>
          <w:lang w:val="es-ES_tradnl"/>
        </w:rPr>
        <w:t xml:space="preserve"> Partes en su primera reunión </w:t>
      </w:r>
      <w:r w:rsidR="00417CAE" w:rsidRPr="00DB5635">
        <w:rPr>
          <w:lang w:val="es-ES_tradnl"/>
        </w:rPr>
        <w:t>–</w:t>
      </w:r>
      <w:r w:rsidRPr="00DB5635">
        <w:rPr>
          <w:lang w:val="es-ES_tradnl"/>
        </w:rPr>
        <w:t>a saber, diez puestos y dos puestos adicionales financiados con cargo a los rec</w:t>
      </w:r>
      <w:r w:rsidR="00252277" w:rsidRPr="00DB5635">
        <w:rPr>
          <w:lang w:val="es-ES_tradnl"/>
        </w:rPr>
        <w:t>ursos de apoyo a los programas</w:t>
      </w:r>
      <w:r w:rsidR="00417CAE" w:rsidRPr="00DB5635">
        <w:rPr>
          <w:lang w:val="es-ES_tradnl"/>
        </w:rPr>
        <w:t>–</w:t>
      </w:r>
      <w:r w:rsidRPr="00DB5635">
        <w:rPr>
          <w:lang w:val="es-ES_tradnl"/>
        </w:rPr>
        <w:t xml:space="preserve"> no han bastado para cumplir las funciones de secretaría previstas en el artículo 24 del Convenio ni para realizar las actividades enumeradas en la decisión MC</w:t>
      </w:r>
      <w:r w:rsidRPr="00DB5635">
        <w:rPr>
          <w:lang w:val="es-ES_tradnl"/>
        </w:rPr>
        <w:noBreakHyphen/>
        <w:t xml:space="preserve">2/7. Por consiguiente, se ha propuesto que en el presupuesto del Convenio de Minamata para el bienio 2020-2021 se destinen más recursos para llevar a efecto los mandatos acordados por las Partes y organizar las reuniones de la </w:t>
      </w:r>
      <w:r w:rsidR="00252277" w:rsidRPr="00DB5635">
        <w:rPr>
          <w:lang w:val="es-ES_tradnl"/>
        </w:rPr>
        <w:t>Conferencia de las Partes. Las S</w:t>
      </w:r>
      <w:r w:rsidRPr="00DB5635">
        <w:rPr>
          <w:lang w:val="es-ES_tradnl"/>
        </w:rPr>
        <w:t>ecretarías de los Convenios de Basilea, Estocolmo y Rotterdam y la del Convenio de Minamata seguirán cooperando en materia de sinergias programáticas y abordando, entre otros asuntos, el marco de evaluación de la ef</w:t>
      </w:r>
      <w:r w:rsidR="00252277" w:rsidRPr="00DB5635">
        <w:rPr>
          <w:lang w:val="es-ES_tradnl"/>
        </w:rPr>
        <w:t>icacia del Convenio de Minamata,</w:t>
      </w:r>
      <w:r w:rsidRPr="00DB5635">
        <w:rPr>
          <w:lang w:val="es-ES_tradnl"/>
        </w:rPr>
        <w:t xml:space="preserve"> la revitalización del equipo de fuerzas conjunto establecido en el marco del Programa Especial de apoyo al fortalecimiento institucional a nivel nacional para la aplicación de los Convenios de Basilea, Estocolmo y Rotterdam, el Convenio de Minamata y el Enfoque Estratégico para la Gestión de Productos</w:t>
      </w:r>
      <w:r w:rsidR="00252277" w:rsidRPr="00DB5635">
        <w:rPr>
          <w:lang w:val="es-ES_tradnl"/>
        </w:rPr>
        <w:t xml:space="preserve"> Químicos a Nivel Internacional,</w:t>
      </w:r>
      <w:r w:rsidRPr="00DB5635">
        <w:rPr>
          <w:lang w:val="es-ES_tradnl"/>
        </w:rPr>
        <w:t xml:space="preserve"> y la cooperación en la esfera de los desechos y los sitios contaminados. </w:t>
      </w:r>
      <w:bookmarkStart w:id="7" w:name="_Hlk519155914"/>
      <w:bookmarkEnd w:id="7"/>
    </w:p>
    <w:p w14:paraId="2F6BD823" w14:textId="77777777" w:rsidR="000405C7" w:rsidRDefault="000405C7">
      <w:pPr>
        <w:tabs>
          <w:tab w:val="clear" w:pos="1247"/>
          <w:tab w:val="clear" w:pos="1814"/>
          <w:tab w:val="clear" w:pos="2381"/>
          <w:tab w:val="clear" w:pos="2948"/>
          <w:tab w:val="clear" w:pos="3515"/>
        </w:tabs>
        <w:rPr>
          <w:b/>
          <w:sz w:val="28"/>
          <w:szCs w:val="28"/>
        </w:rPr>
      </w:pPr>
      <w:r>
        <w:br w:type="page"/>
      </w:r>
    </w:p>
    <w:p w14:paraId="199E847E" w14:textId="4142816C" w:rsidR="00863F6A" w:rsidRPr="00DB5635" w:rsidRDefault="005D5041" w:rsidP="00174DCA">
      <w:pPr>
        <w:pStyle w:val="CH1"/>
        <w:rPr>
          <w:lang w:val="es-ES_tradnl"/>
        </w:rPr>
      </w:pPr>
      <w:r w:rsidRPr="00DB5635">
        <w:rPr>
          <w:lang w:val="es-ES_tradnl"/>
        </w:rPr>
        <w:tab/>
      </w:r>
      <w:r w:rsidR="004A0684" w:rsidRPr="00DB5635">
        <w:rPr>
          <w:lang w:val="es-ES_tradnl"/>
        </w:rPr>
        <w:t>III.</w:t>
      </w:r>
      <w:r w:rsidR="004A0684" w:rsidRPr="00DB5635">
        <w:rPr>
          <w:lang w:val="es-ES_tradnl"/>
        </w:rPr>
        <w:tab/>
      </w:r>
      <w:r w:rsidR="004A0684" w:rsidRPr="00DB5635">
        <w:rPr>
          <w:bCs/>
          <w:lang w:val="es-ES_tradnl"/>
        </w:rPr>
        <w:t>Principios básicos</w:t>
      </w:r>
      <w:bookmarkStart w:id="8" w:name="_Toc21073437"/>
      <w:bookmarkStart w:id="9" w:name="_Toc22825240"/>
      <w:bookmarkEnd w:id="8"/>
      <w:bookmarkEnd w:id="9"/>
    </w:p>
    <w:p w14:paraId="714DA1E6" w14:textId="6630B19D" w:rsidR="00863F6A" w:rsidRPr="00DB5635" w:rsidRDefault="004A2E3D" w:rsidP="00AB3AC1">
      <w:pPr>
        <w:pStyle w:val="Normalnumber"/>
        <w:tabs>
          <w:tab w:val="clear" w:pos="597"/>
          <w:tab w:val="clear" w:pos="624"/>
        </w:tabs>
        <w:ind w:left="1247"/>
        <w:rPr>
          <w:lang w:val="es-ES_tradnl"/>
        </w:rPr>
      </w:pPr>
      <w:r w:rsidRPr="00DB5635">
        <w:rPr>
          <w:lang w:val="es-ES_tradnl"/>
        </w:rPr>
        <w:t xml:space="preserve">En la preparación de la propuesta de parte dispositiva, la Directora Ejecutiva examinó los principios básicos </w:t>
      </w:r>
      <w:r w:rsidR="00252277" w:rsidRPr="00DB5635">
        <w:rPr>
          <w:lang w:val="es-ES_tradnl"/>
        </w:rPr>
        <w:t>que se enuncian</w:t>
      </w:r>
      <w:r w:rsidRPr="00DB5635">
        <w:rPr>
          <w:lang w:val="es-ES_tradnl"/>
        </w:rPr>
        <w:t xml:space="preserve"> en los párrafos</w:t>
      </w:r>
      <w:r w:rsidR="00252277" w:rsidRPr="00DB5635">
        <w:rPr>
          <w:lang w:val="es-ES_tradnl"/>
        </w:rPr>
        <w:t xml:space="preserve"> </w:t>
      </w:r>
      <w:r w:rsidR="003841ED">
        <w:rPr>
          <w:lang w:val="es-ES_tradnl"/>
        </w:rPr>
        <w:t xml:space="preserve">6 a 10 </w:t>
      </w:r>
      <w:r w:rsidR="00252277" w:rsidRPr="00DB5635">
        <w:rPr>
          <w:lang w:val="es-ES_tradnl"/>
        </w:rPr>
        <w:t>siguientes</w:t>
      </w:r>
      <w:r w:rsidRPr="00DB5635">
        <w:rPr>
          <w:lang w:val="es-ES_tradnl"/>
        </w:rPr>
        <w:t>.</w:t>
      </w:r>
    </w:p>
    <w:p w14:paraId="4A48E360" w14:textId="751AC45A" w:rsidR="00863F6A" w:rsidRPr="00DB5635" w:rsidRDefault="00863F6A" w:rsidP="00AB3AC1">
      <w:pPr>
        <w:pStyle w:val="Normalnumber"/>
        <w:tabs>
          <w:tab w:val="clear" w:pos="597"/>
          <w:tab w:val="clear" w:pos="624"/>
        </w:tabs>
        <w:ind w:left="1247"/>
        <w:rPr>
          <w:lang w:val="es-ES_tradnl"/>
        </w:rPr>
      </w:pPr>
      <w:r w:rsidRPr="00DB5635">
        <w:rPr>
          <w:i/>
          <w:iCs/>
          <w:lang w:val="es-ES_tradnl"/>
        </w:rPr>
        <w:t>Uso económico de los recursos</w:t>
      </w:r>
      <w:r w:rsidRPr="00DB5635">
        <w:rPr>
          <w:lang w:val="es-ES_tradnl"/>
        </w:rPr>
        <w:t>. El objetivo principal del presente marco es lograr una mayor eficiencia mediante el establecimiento de sinergias y el aprovechamiento de las capacidades ya existentes</w:t>
      </w:r>
      <w:r w:rsidR="007B3C69" w:rsidRPr="00DB5635">
        <w:rPr>
          <w:lang w:val="es-ES_tradnl"/>
        </w:rPr>
        <w:t xml:space="preserve"> para hacer un uso económico de los recursos</w:t>
      </w:r>
      <w:r w:rsidRPr="00DB5635">
        <w:rPr>
          <w:lang w:val="es-ES_tradnl"/>
        </w:rPr>
        <w:t xml:space="preserve">, sobre todo </w:t>
      </w:r>
      <w:r w:rsidR="007B3C69" w:rsidRPr="00DB5635">
        <w:rPr>
          <w:lang w:val="es-ES_tradnl"/>
        </w:rPr>
        <w:t>teniendo en cuenta las ventajas que reporta</w:t>
      </w:r>
      <w:r w:rsidRPr="00DB5635">
        <w:rPr>
          <w:lang w:val="es-ES_tradnl"/>
        </w:rPr>
        <w:t xml:space="preserve"> la proximidad de determinados recursos</w:t>
      </w:r>
      <w:r w:rsidR="007B3C69" w:rsidRPr="00DB5635">
        <w:rPr>
          <w:lang w:val="es-ES_tradnl"/>
        </w:rPr>
        <w:t xml:space="preserve"> presentes en las mismas instalaciones</w:t>
      </w:r>
      <w:r w:rsidRPr="00DB5635">
        <w:rPr>
          <w:lang w:val="es-ES_tradnl"/>
        </w:rPr>
        <w:t xml:space="preserve">. La duplicación de tareas se reduciría al mínimo en aras de la viabilidad, la economía y la eficiencia. En consecuencia, la presente propuesta examinó las ventajas que podría brindar el uso de las capacidades ya afianzadas y estables que se adquirieron en el marco de la Secretaría de los Convenios de Basilea, Estocolmo y Rotterdam, sin establecer nuevas estructuras a largo plazo. </w:t>
      </w:r>
    </w:p>
    <w:p w14:paraId="6947A63A" w14:textId="783FD707" w:rsidR="00863F6A" w:rsidRPr="00DB5635" w:rsidRDefault="00863F6A" w:rsidP="00AB3AC1">
      <w:pPr>
        <w:pStyle w:val="Normalnumber"/>
        <w:tabs>
          <w:tab w:val="clear" w:pos="597"/>
          <w:tab w:val="clear" w:pos="624"/>
        </w:tabs>
        <w:ind w:left="1247"/>
        <w:rPr>
          <w:lang w:val="es-ES_tradnl"/>
        </w:rPr>
      </w:pPr>
      <w:r w:rsidRPr="00DB5635">
        <w:rPr>
          <w:i/>
          <w:iCs/>
          <w:lang w:val="es-ES_tradnl"/>
        </w:rPr>
        <w:t>Autonomía de las secretaría</w:t>
      </w:r>
      <w:r w:rsidR="007B3C69" w:rsidRPr="00DB5635">
        <w:rPr>
          <w:i/>
          <w:iCs/>
          <w:lang w:val="es-ES_tradnl"/>
        </w:rPr>
        <w:t>s y responsabilidad de los directores</w:t>
      </w:r>
      <w:r w:rsidRPr="00DB5635">
        <w:rPr>
          <w:i/>
          <w:iCs/>
          <w:lang w:val="es-ES_tradnl"/>
        </w:rPr>
        <w:t xml:space="preserve"> ejecutivos</w:t>
      </w:r>
      <w:r w:rsidRPr="00DB5635">
        <w:rPr>
          <w:lang w:val="es-ES_tradnl"/>
        </w:rPr>
        <w:t>. Tal como se</w:t>
      </w:r>
      <w:r w:rsidR="00D2700B">
        <w:rPr>
          <w:lang w:val="es-ES_tradnl"/>
        </w:rPr>
        <w:t> </w:t>
      </w:r>
      <w:r w:rsidRPr="00DB5635">
        <w:rPr>
          <w:lang w:val="es-ES_tradnl"/>
        </w:rPr>
        <w:t>menciona en la decisión MC</w:t>
      </w:r>
      <w:r w:rsidRPr="00DB5635">
        <w:rPr>
          <w:lang w:val="es-ES_tradnl"/>
        </w:rPr>
        <w:noBreakHyphen/>
        <w:t>2/7, las secretarías respectivas mante</w:t>
      </w:r>
      <w:r w:rsidR="00803662" w:rsidRPr="00DB5635">
        <w:rPr>
          <w:lang w:val="es-ES_tradnl"/>
        </w:rPr>
        <w:t>ndrán su autonomía. La Dirección</w:t>
      </w:r>
      <w:r w:rsidR="00D2700B">
        <w:rPr>
          <w:lang w:val="es-ES_tradnl"/>
        </w:rPr>
        <w:t> </w:t>
      </w:r>
      <w:r w:rsidRPr="00DB5635">
        <w:rPr>
          <w:lang w:val="es-ES_tradnl"/>
        </w:rPr>
        <w:t xml:space="preserve">Ejecutiva </w:t>
      </w:r>
      <w:r w:rsidR="00803662" w:rsidRPr="00DB5635">
        <w:rPr>
          <w:lang w:val="es-ES_tradnl"/>
        </w:rPr>
        <w:t>del PNUMA delega en la Secretarí</w:t>
      </w:r>
      <w:r w:rsidRPr="00DB5635">
        <w:rPr>
          <w:lang w:val="es-ES_tradnl"/>
        </w:rPr>
        <w:t>a Ejecutiva del Convenio de Minamata la autoridad necesaria sobre cuestiones administrativas y financieras para gestionar, adoptar decisiones y</w:t>
      </w:r>
      <w:r w:rsidR="00D2700B">
        <w:rPr>
          <w:lang w:val="es-ES_tradnl"/>
        </w:rPr>
        <w:t> </w:t>
      </w:r>
      <w:r w:rsidRPr="00DB5635">
        <w:rPr>
          <w:lang w:val="es-ES_tradnl"/>
        </w:rPr>
        <w:t xml:space="preserve">representar a la Secretaría del Convenio de Minamata con el nivel de autonomía necesario para desempeñar su labor con eficiencia y eficacia en función de los costos. La Dirección Ejecutiva velará por que la Secretaría Ejecutiva ejerza esa autoridad delegada de conformidad con las normas y los reglamentos aplicables de las </w:t>
      </w:r>
      <w:r w:rsidR="00A66967" w:rsidRPr="00DB5635">
        <w:rPr>
          <w:lang w:val="es-ES_tradnl"/>
        </w:rPr>
        <w:t>Naciones Unidas</w:t>
      </w:r>
      <w:r w:rsidRPr="00DB5635">
        <w:rPr>
          <w:lang w:val="es-ES_tradnl"/>
        </w:rPr>
        <w:t xml:space="preserve"> y del PNUMA. Esa autoridad delegada abarca la gestión de programas, recursos financieros y materiales, y recursos humanos, y cualquier otra esfera conexa, cuando las decisiones de la Secretaría Ejecutiva sean necesarias para </w:t>
      </w:r>
      <w:r w:rsidR="00803662" w:rsidRPr="00DB5635">
        <w:rPr>
          <w:lang w:val="es-ES_tradnl"/>
        </w:rPr>
        <w:t>que la Secretaría funcione con eficacia.</w:t>
      </w:r>
    </w:p>
    <w:p w14:paraId="7CC0DC6D" w14:textId="2857EB54" w:rsidR="00863F6A" w:rsidRPr="00DB5635" w:rsidRDefault="00863F6A" w:rsidP="00AB3AC1">
      <w:pPr>
        <w:pStyle w:val="Normalnumber"/>
        <w:tabs>
          <w:tab w:val="clear" w:pos="597"/>
          <w:tab w:val="clear" w:pos="624"/>
        </w:tabs>
        <w:ind w:left="1247"/>
        <w:rPr>
          <w:lang w:val="es-ES_tradnl"/>
        </w:rPr>
      </w:pPr>
      <w:r w:rsidRPr="00DB5635">
        <w:rPr>
          <w:i/>
          <w:iCs/>
          <w:lang w:val="es-ES_tradnl"/>
        </w:rPr>
        <w:t>Flexibilidad y previsibilidad</w:t>
      </w:r>
      <w:r w:rsidRPr="00DB5635">
        <w:rPr>
          <w:lang w:val="es-ES_tradnl"/>
        </w:rPr>
        <w:t>. Al formular la propuesta se tuvo presente la necesidad de mantener un equilibrio delicado entre la flexibilidad y la previsibilidad, para lo cual haría falta llevar a cabo una evaluación avanzada de los servicios necesario</w:t>
      </w:r>
      <w:r w:rsidR="00803662" w:rsidRPr="00DB5635">
        <w:rPr>
          <w:lang w:val="es-ES_tradnl"/>
        </w:rPr>
        <w:t>s a fin de evitar las solicitudes</w:t>
      </w:r>
      <w:r w:rsidRPr="00DB5635">
        <w:rPr>
          <w:lang w:val="es-ES_tradnl"/>
        </w:rPr>
        <w:t xml:space="preserve"> perjudiciales o adoptar medidas para atender las necesidades razonables q</w:t>
      </w:r>
      <w:r w:rsidR="00803662" w:rsidRPr="00DB5635">
        <w:rPr>
          <w:lang w:val="es-ES_tradnl"/>
        </w:rPr>
        <w:t>ue puedan surgir de forma imprevista</w:t>
      </w:r>
      <w:r w:rsidRPr="00DB5635">
        <w:rPr>
          <w:lang w:val="es-ES_tradnl"/>
        </w:rPr>
        <w:t>. Hasta la fecha se han determinado los servicios necesarios para la tercera reunión de la Conferencia de las Partes y para el bienio 2020-2021. Seguirán evaluándose las necesidades para los siguientes ciclos presupuestarios a fin de que la Secretaría de los Convenios de Basilea, Estocolmo y Rotterdam, en cuanto proveedor de los servicios, disponga de tiempo suficiente para planificar una</w:t>
      </w:r>
      <w:r w:rsidR="00803662" w:rsidRPr="00DB5635">
        <w:rPr>
          <w:lang w:val="es-ES_tradnl"/>
        </w:rPr>
        <w:t xml:space="preserve"> respuesta adecuada y llevarla a la</w:t>
      </w:r>
      <w:r w:rsidRPr="00DB5635">
        <w:rPr>
          <w:lang w:val="es-ES_tradnl"/>
        </w:rPr>
        <w:t xml:space="preserve"> práctica. Las necesidades imprevistas se atenderán caso por caso.</w:t>
      </w:r>
    </w:p>
    <w:p w14:paraId="0DD54E3E" w14:textId="5C54B807" w:rsidR="00863F6A" w:rsidRPr="00DB5635" w:rsidRDefault="00863F6A" w:rsidP="00AB3AC1">
      <w:pPr>
        <w:pStyle w:val="Normalnumber"/>
        <w:tabs>
          <w:tab w:val="clear" w:pos="597"/>
          <w:tab w:val="clear" w:pos="624"/>
        </w:tabs>
        <w:ind w:left="1247"/>
        <w:rPr>
          <w:lang w:val="es-ES_tradnl"/>
        </w:rPr>
      </w:pPr>
      <w:r w:rsidRPr="00DB5635">
        <w:rPr>
          <w:i/>
          <w:iCs/>
          <w:lang w:val="es-ES_tradnl"/>
        </w:rPr>
        <w:t>Recuperación de costos</w:t>
      </w:r>
      <w:r w:rsidRPr="00DB5635">
        <w:rPr>
          <w:lang w:val="es-ES_tradnl"/>
        </w:rPr>
        <w:t>. En la medida de lo posible, el acuerdo de cooperación no debe entrañar costos para el proveedor ni para el beneficiario de los servicios. Por tanto, se reembolsará a</w:t>
      </w:r>
      <w:r w:rsidR="00D2700B">
        <w:rPr>
          <w:lang w:val="es-ES_tradnl"/>
        </w:rPr>
        <w:t> </w:t>
      </w:r>
      <w:r w:rsidRPr="00DB5635">
        <w:rPr>
          <w:lang w:val="es-ES_tradnl"/>
        </w:rPr>
        <w:t>la</w:t>
      </w:r>
      <w:r w:rsidR="00D2700B">
        <w:rPr>
          <w:lang w:val="es-ES_tradnl"/>
        </w:rPr>
        <w:t> </w:t>
      </w:r>
      <w:r w:rsidRPr="00DB5635">
        <w:rPr>
          <w:lang w:val="es-ES_tradnl"/>
        </w:rPr>
        <w:t>Secretaría de los Convenios de Basilea, Estocolmo y Rotterdam el costo íntegro de los servicios, pero sin margen adicional por encima de los costos unitarios de la prestación de los servicios. El Secretario Ejecutivo de los Convenios de Basilea, Estocolmo y Rotterdam está facultado para disponer esos arreglos, siempre y cuando estén financiados íntegramente</w:t>
      </w:r>
      <w:r w:rsidR="00E47841" w:rsidRPr="00DB5635">
        <w:rPr>
          <w:rStyle w:val="FootnoteReference"/>
          <w:lang w:val="es-ES_tradnl"/>
        </w:rPr>
        <w:footnoteReference w:id="2"/>
      </w:r>
      <w:r w:rsidRPr="00DB5635">
        <w:rPr>
          <w:lang w:val="es-ES_tradnl"/>
        </w:rPr>
        <w:t xml:space="preserve">. Ambas partes tienen la obligación de velar por que el acuerdo siga </w:t>
      </w:r>
      <w:r w:rsidR="00694239" w:rsidRPr="00DB5635">
        <w:rPr>
          <w:lang w:val="es-ES_tradnl"/>
        </w:rPr>
        <w:t xml:space="preserve">siendo óptimo y lo más económico </w:t>
      </w:r>
      <w:r w:rsidRPr="00DB5635">
        <w:rPr>
          <w:lang w:val="es-ES_tradnl"/>
        </w:rPr>
        <w:t>posible, sin generar ninguna carga presupuestaria añadida.</w:t>
      </w:r>
    </w:p>
    <w:p w14:paraId="4B2751C0" w14:textId="62A0A72B" w:rsidR="00863F6A" w:rsidRPr="00DB5635" w:rsidRDefault="00863F6A" w:rsidP="00AB3AC1">
      <w:pPr>
        <w:pStyle w:val="Normalnumber"/>
        <w:tabs>
          <w:tab w:val="clear" w:pos="597"/>
          <w:tab w:val="clear" w:pos="624"/>
        </w:tabs>
        <w:ind w:left="1247"/>
        <w:rPr>
          <w:lang w:val="es-ES_tradnl"/>
        </w:rPr>
      </w:pPr>
      <w:r w:rsidRPr="00DB5635">
        <w:rPr>
          <w:i/>
          <w:iCs/>
          <w:lang w:val="es-ES_tradnl"/>
        </w:rPr>
        <w:t>Conformidad con las normas y los marcos aplicables</w:t>
      </w:r>
      <w:r w:rsidRPr="00DB5635">
        <w:rPr>
          <w:lang w:val="es-ES_tradnl"/>
        </w:rPr>
        <w:t>. Según el artículo 24, párrafo 3, del Convenio d</w:t>
      </w:r>
      <w:r w:rsidR="00694239" w:rsidRPr="00DB5635">
        <w:rPr>
          <w:lang w:val="es-ES_tradnl"/>
        </w:rPr>
        <w:t xml:space="preserve">e Minamata, la Dirección Ejecutiva </w:t>
      </w:r>
      <w:r w:rsidRPr="00DB5635">
        <w:rPr>
          <w:lang w:val="es-ES_tradnl"/>
        </w:rPr>
        <w:t>del PNUMA desempeñará las funciones de secretaría para el Convenio, salvo que la Conferencia de las Partes, por una mayoría de tres cuartos de las Partes presentes y votantes, decida encomendar esas funciones a otra u otras organizaciones internacionales. Al desempeñar las funciones de secretaría del Convenio de Minamata, la Dirección Ejecutiva debe</w:t>
      </w:r>
      <w:r w:rsidR="00A82CA1" w:rsidRPr="00DB5635">
        <w:rPr>
          <w:lang w:val="es-ES_tradnl"/>
        </w:rPr>
        <w:t>rá</w:t>
      </w:r>
      <w:r w:rsidRPr="00DB5635">
        <w:rPr>
          <w:lang w:val="es-ES_tradnl"/>
        </w:rPr>
        <w:t xml:space="preserve"> observar las normas, reglamentos y procedimientos pertinentes de las </w:t>
      </w:r>
      <w:r w:rsidR="00A66967" w:rsidRPr="00DB5635">
        <w:rPr>
          <w:lang w:val="es-ES_tradnl"/>
        </w:rPr>
        <w:t>Naciones Unidas</w:t>
      </w:r>
      <w:r w:rsidRPr="00DB5635">
        <w:rPr>
          <w:lang w:val="es-ES_tradnl"/>
        </w:rPr>
        <w:t xml:space="preserve"> y del PNUMA, de conformidad con los requisitos del Convenio y las Partes en este y en consonancia con las decisiones </w:t>
      </w:r>
      <w:r w:rsidR="00A82CA1" w:rsidRPr="00DB5635">
        <w:rPr>
          <w:lang w:val="es-ES_tradnl"/>
        </w:rPr>
        <w:t>adoptadas por</w:t>
      </w:r>
      <w:r w:rsidRPr="00DB5635">
        <w:rPr>
          <w:lang w:val="es-ES_tradnl"/>
        </w:rPr>
        <w:t xml:space="preserve"> la Conferencia de las Partes.</w:t>
      </w:r>
    </w:p>
    <w:p w14:paraId="3E78198D" w14:textId="2EDCF551" w:rsidR="00863F6A" w:rsidRPr="00DB5635" w:rsidRDefault="005D5041" w:rsidP="00174DCA">
      <w:pPr>
        <w:pStyle w:val="CH1"/>
        <w:rPr>
          <w:lang w:val="es-ES_tradnl"/>
        </w:rPr>
      </w:pPr>
      <w:r w:rsidRPr="00DB5635">
        <w:rPr>
          <w:lang w:val="es-ES_tradnl"/>
        </w:rPr>
        <w:tab/>
      </w:r>
      <w:r w:rsidR="004A0684" w:rsidRPr="00DB5635">
        <w:rPr>
          <w:lang w:val="es-ES_tradnl"/>
        </w:rPr>
        <w:t>IV.</w:t>
      </w:r>
      <w:r w:rsidR="004A0684" w:rsidRPr="00DB5635">
        <w:rPr>
          <w:lang w:val="es-ES_tradnl"/>
        </w:rPr>
        <w:tab/>
      </w:r>
      <w:r w:rsidR="004A0684" w:rsidRPr="00DB5635">
        <w:rPr>
          <w:bCs/>
          <w:lang w:val="es-ES_tradnl"/>
        </w:rPr>
        <w:t>Función de la División de Servicios Corporativos del PNUMA</w:t>
      </w:r>
      <w:bookmarkStart w:id="10" w:name="_Toc21073438"/>
      <w:bookmarkStart w:id="11" w:name="_Toc22825241"/>
      <w:bookmarkEnd w:id="10"/>
      <w:bookmarkEnd w:id="11"/>
    </w:p>
    <w:p w14:paraId="20791828" w14:textId="4BFBA6A2" w:rsidR="00863F6A" w:rsidRPr="00DB5635" w:rsidRDefault="00D707DE" w:rsidP="00AB3AC1">
      <w:pPr>
        <w:pStyle w:val="Normalnumber"/>
        <w:tabs>
          <w:tab w:val="clear" w:pos="597"/>
          <w:tab w:val="clear" w:pos="624"/>
        </w:tabs>
        <w:ind w:left="1247"/>
        <w:rPr>
          <w:lang w:val="es-ES_tradnl"/>
        </w:rPr>
      </w:pPr>
      <w:r w:rsidRPr="00DB5635">
        <w:rPr>
          <w:lang w:val="es-ES_tradnl"/>
        </w:rPr>
        <w:t>La Dirección</w:t>
      </w:r>
      <w:r w:rsidR="00863F6A" w:rsidRPr="00DB5635">
        <w:rPr>
          <w:lang w:val="es-ES_tradnl"/>
        </w:rPr>
        <w:t xml:space="preserve"> Ejecutiva, por conducto de la División de Servicios Corporativos del PNUMA, segui</w:t>
      </w:r>
      <w:r w:rsidR="00E47841" w:rsidRPr="00DB5635">
        <w:rPr>
          <w:lang w:val="es-ES_tradnl"/>
        </w:rPr>
        <w:t>rá colaborando con la Secretarí</w:t>
      </w:r>
      <w:r w:rsidRPr="00DB5635">
        <w:rPr>
          <w:lang w:val="es-ES_tradnl"/>
        </w:rPr>
        <w:t>a</w:t>
      </w:r>
      <w:r w:rsidR="00863F6A" w:rsidRPr="00DB5635">
        <w:rPr>
          <w:lang w:val="es-ES_tradnl"/>
        </w:rPr>
        <w:t xml:space="preserve"> Ejecutiva del Convenio de Minamata para determinar las necesidades del Convenio en materia de servicios administrativos y la forma más eficaz de lograr que el Convenio reciba el apoyo administrativo necesario de conformidad con las normas y reglamentos de las </w:t>
      </w:r>
      <w:r w:rsidR="00A66967" w:rsidRPr="00DB5635">
        <w:rPr>
          <w:lang w:val="es-ES_tradnl"/>
        </w:rPr>
        <w:t>Naciones Unidas</w:t>
      </w:r>
      <w:r w:rsidR="00863F6A" w:rsidRPr="00DB5635">
        <w:rPr>
          <w:lang w:val="es-ES_tradnl"/>
        </w:rPr>
        <w:t xml:space="preserve"> y el PNUMA y con las decisiones de la Conferencia de las Partes. </w:t>
      </w:r>
    </w:p>
    <w:p w14:paraId="60A07984" w14:textId="1D84ED3D" w:rsidR="00863F6A" w:rsidRPr="00DB5635" w:rsidRDefault="00863F6A" w:rsidP="00AB3AC1">
      <w:pPr>
        <w:pStyle w:val="Normalnumber"/>
        <w:tabs>
          <w:tab w:val="clear" w:pos="597"/>
          <w:tab w:val="clear" w:pos="624"/>
        </w:tabs>
        <w:ind w:left="1247"/>
        <w:rPr>
          <w:lang w:val="es-ES_tradnl"/>
        </w:rPr>
      </w:pPr>
      <w:r w:rsidRPr="00DB5635">
        <w:rPr>
          <w:lang w:val="es-ES_tradnl"/>
        </w:rPr>
        <w:t xml:space="preserve">La Dirección Ejecutiva asignará a la Secretaría del Convenio de Minamata una proporción adecuada de los recursos de apoyo a los programas </w:t>
      </w:r>
      <w:r w:rsidR="00D707DE" w:rsidRPr="00DB5635">
        <w:rPr>
          <w:lang w:val="es-ES_tradnl"/>
        </w:rPr>
        <w:t>que puedan imputarse</w:t>
      </w:r>
      <w:r w:rsidRPr="00DB5635">
        <w:rPr>
          <w:lang w:val="es-ES_tradnl"/>
        </w:rPr>
        <w:t xml:space="preserve"> a los fondos fiduciarios del Conv</w:t>
      </w:r>
      <w:r w:rsidR="00D707DE" w:rsidRPr="00DB5635">
        <w:rPr>
          <w:lang w:val="es-ES_tradnl"/>
        </w:rPr>
        <w:t>enio. La asignación se supeditará a</w:t>
      </w:r>
      <w:r w:rsidRPr="00DB5635">
        <w:rPr>
          <w:lang w:val="es-ES_tradnl"/>
        </w:rPr>
        <w:t xml:space="preserve"> la política vigente de gast</w:t>
      </w:r>
      <w:r w:rsidR="00D707DE" w:rsidRPr="00DB5635">
        <w:rPr>
          <w:lang w:val="es-ES_tradnl"/>
        </w:rPr>
        <w:t>os de apoyo a los programas y a</w:t>
      </w:r>
      <w:r w:rsidRPr="00DB5635">
        <w:rPr>
          <w:lang w:val="es-ES_tradnl"/>
        </w:rPr>
        <w:t xml:space="preserve"> la recepción de un plan de gastos anual que demuestre que los fondos se usarán </w:t>
      </w:r>
      <w:r w:rsidR="00D707DE" w:rsidRPr="00DB5635">
        <w:rPr>
          <w:lang w:val="es-ES_tradnl"/>
        </w:rPr>
        <w:t>con eficacia y eficiencia</w:t>
      </w:r>
      <w:r w:rsidRPr="00DB5635">
        <w:rPr>
          <w:lang w:val="es-ES_tradnl"/>
        </w:rPr>
        <w:t xml:space="preserve"> para apoyar las actividades del Convenio sin rebasar el límite presupuestario </w:t>
      </w:r>
      <w:r w:rsidR="00E60686" w:rsidRPr="00DB5635">
        <w:rPr>
          <w:lang w:val="es-ES_tradnl"/>
        </w:rPr>
        <w:t>de la financiación asignada</w:t>
      </w:r>
      <w:r w:rsidRPr="00DB5635">
        <w:rPr>
          <w:lang w:val="es-ES_tradnl"/>
        </w:rPr>
        <w:t xml:space="preserve"> a los programas. Asimismo,</w:t>
      </w:r>
      <w:r w:rsidR="009C787C" w:rsidRPr="00DB5635">
        <w:rPr>
          <w:lang w:val="es-ES_tradnl"/>
        </w:rPr>
        <w:t xml:space="preserve"> la Dirección Ejecutiva destinará</w:t>
      </w:r>
      <w:r w:rsidRPr="00DB5635">
        <w:rPr>
          <w:lang w:val="es-ES_tradnl"/>
        </w:rPr>
        <w:t xml:space="preserve"> una proporción adecuada de los recursos de apoyo a los programas que sean imputables a los fondos fiduciari</w:t>
      </w:r>
      <w:r w:rsidR="009C787C" w:rsidRPr="00DB5635">
        <w:rPr>
          <w:lang w:val="es-ES_tradnl"/>
        </w:rPr>
        <w:t>os del Convenio de Minamata a</w:t>
      </w:r>
      <w:r w:rsidRPr="00DB5635">
        <w:rPr>
          <w:lang w:val="es-ES_tradnl"/>
        </w:rPr>
        <w:t xml:space="preserve"> financiar la parte de los servicios administrativos centrales del PNUM</w:t>
      </w:r>
      <w:r w:rsidR="002B4750" w:rsidRPr="00DB5635">
        <w:rPr>
          <w:lang w:val="es-ES_tradnl"/>
        </w:rPr>
        <w:t>A que presta apoyo al Convenio, a</w:t>
      </w:r>
      <w:r w:rsidR="009C787C" w:rsidRPr="00DB5635">
        <w:rPr>
          <w:lang w:val="es-ES_tradnl"/>
        </w:rPr>
        <w:t xml:space="preserve">lgunos de </w:t>
      </w:r>
      <w:r w:rsidR="002B4750" w:rsidRPr="00DB5635">
        <w:rPr>
          <w:lang w:val="es-ES_tradnl"/>
        </w:rPr>
        <w:t>los cuales</w:t>
      </w:r>
      <w:r w:rsidRPr="00DB5635">
        <w:rPr>
          <w:lang w:val="es-ES_tradnl"/>
        </w:rPr>
        <w:t xml:space="preserve"> </w:t>
      </w:r>
      <w:r w:rsidR="002B4750" w:rsidRPr="00DB5635">
        <w:rPr>
          <w:lang w:val="es-ES_tradnl"/>
        </w:rPr>
        <w:t>correrán a cargo de</w:t>
      </w:r>
      <w:r w:rsidRPr="00DB5635">
        <w:rPr>
          <w:lang w:val="es-ES_tradnl"/>
        </w:rPr>
        <w:t xml:space="preserve"> pro</w:t>
      </w:r>
      <w:r w:rsidR="009C787C" w:rsidRPr="00DB5635">
        <w:rPr>
          <w:lang w:val="es-ES_tradnl"/>
        </w:rPr>
        <w:t>veedores de servicios, en particular</w:t>
      </w:r>
      <w:r w:rsidRPr="00DB5635">
        <w:rPr>
          <w:lang w:val="es-ES_tradnl"/>
        </w:rPr>
        <w:t xml:space="preserve"> la Oficina de las </w:t>
      </w:r>
      <w:r w:rsidR="00A66967" w:rsidRPr="00DB5635">
        <w:rPr>
          <w:lang w:val="es-ES_tradnl"/>
        </w:rPr>
        <w:t>Naciones Unidas</w:t>
      </w:r>
      <w:r w:rsidRPr="00DB5635">
        <w:rPr>
          <w:lang w:val="es-ES_tradnl"/>
        </w:rPr>
        <w:t xml:space="preserve"> en Nairobi y la Oficina de las </w:t>
      </w:r>
      <w:r w:rsidR="00A66967" w:rsidRPr="00DB5635">
        <w:rPr>
          <w:lang w:val="es-ES_tradnl"/>
        </w:rPr>
        <w:t>Naciones Unidas</w:t>
      </w:r>
      <w:r w:rsidRPr="00DB5635">
        <w:rPr>
          <w:lang w:val="es-ES_tradnl"/>
        </w:rPr>
        <w:t xml:space="preserve"> en Ginebra.</w:t>
      </w:r>
    </w:p>
    <w:p w14:paraId="0762A5A2" w14:textId="2F2E80A1" w:rsidR="00863F6A" w:rsidRPr="00DB5635" w:rsidRDefault="00863F6A" w:rsidP="00AB3AC1">
      <w:pPr>
        <w:pStyle w:val="Normalnumber"/>
        <w:tabs>
          <w:tab w:val="clear" w:pos="597"/>
          <w:tab w:val="clear" w:pos="624"/>
        </w:tabs>
        <w:ind w:left="1247"/>
        <w:rPr>
          <w:lang w:val="es-ES_tradnl"/>
        </w:rPr>
      </w:pPr>
      <w:r w:rsidRPr="00DB5635">
        <w:rPr>
          <w:lang w:val="es-ES_tradnl"/>
        </w:rPr>
        <w:t>El PNUMA tiene la responsabilidad fundamental de canalizar o prestar servicios administrativos a las Secretarías de los Conv</w:t>
      </w:r>
      <w:r w:rsidR="002B4750" w:rsidRPr="00DB5635">
        <w:rPr>
          <w:lang w:val="es-ES_tradnl"/>
        </w:rPr>
        <w:t>enios, incluida la prestación</w:t>
      </w:r>
      <w:r w:rsidRPr="00DB5635">
        <w:rPr>
          <w:lang w:val="es-ES_tradnl"/>
        </w:rPr>
        <w:t xml:space="preserve"> </w:t>
      </w:r>
      <w:r w:rsidR="002B4750" w:rsidRPr="00DB5635">
        <w:rPr>
          <w:lang w:val="es-ES_tradnl"/>
        </w:rPr>
        <w:t>d</w:t>
      </w:r>
      <w:r w:rsidRPr="00DB5635">
        <w:rPr>
          <w:lang w:val="es-ES_tradnl"/>
        </w:rPr>
        <w:t xml:space="preserve">el apoyo necesario cuando el tipo o el alcance de esos servicios no se haya previsto en las fases de planificación y preparación del presupuesto. El alcance de los servicios y su plazo de prestación dependerán de la complejidad de la planificación y del período de concepción necesario para que esa planificación sea adecuada. Compete también al PNUMA la prestación al Convenio de Minamata de servicios administrativos básicos como la elaboración de directrices y procedimientos de políticas, la administración de recursos humanos, la auditoría y supervisión, la gestión de los riesgos institucionales, los servicios jurídicos institucionales, los servicios de adquisiciones y contratos, los sistemas de información y otros servicios de apoyo centralizados que puedan determinarse con el tiempo. En el anexo III de la presente propuesta se </w:t>
      </w:r>
      <w:r w:rsidR="003841ED">
        <w:rPr>
          <w:lang w:val="es-ES_tradnl"/>
        </w:rPr>
        <w:t xml:space="preserve">ofrece una descripción </w:t>
      </w:r>
      <w:r w:rsidRPr="00DB5635">
        <w:rPr>
          <w:lang w:val="es-ES_tradnl"/>
        </w:rPr>
        <w:t>detall</w:t>
      </w:r>
      <w:r w:rsidR="003841ED">
        <w:rPr>
          <w:lang w:val="es-ES_tradnl"/>
        </w:rPr>
        <w:t>ada</w:t>
      </w:r>
      <w:r w:rsidRPr="00DB5635">
        <w:rPr>
          <w:lang w:val="es-ES_tradnl"/>
        </w:rPr>
        <w:t xml:space="preserve"> los servicios administrativos básicos.</w:t>
      </w:r>
    </w:p>
    <w:p w14:paraId="6E78E1CF" w14:textId="768ACAC0" w:rsidR="00863F6A" w:rsidRPr="00DB5635" w:rsidRDefault="00863F6A" w:rsidP="00AB3AC1">
      <w:pPr>
        <w:pStyle w:val="Normalnumber"/>
        <w:tabs>
          <w:tab w:val="clear" w:pos="597"/>
          <w:tab w:val="clear" w:pos="624"/>
        </w:tabs>
        <w:ind w:left="1247"/>
        <w:rPr>
          <w:lang w:val="es-ES_tradnl"/>
        </w:rPr>
      </w:pPr>
      <w:r w:rsidRPr="00DB5635">
        <w:rPr>
          <w:lang w:val="es-ES_tradnl"/>
        </w:rPr>
        <w:t>A fin de atender las necesidades específicas del Convenio</w:t>
      </w:r>
      <w:r w:rsidR="002B4750" w:rsidRPr="00DB5635">
        <w:rPr>
          <w:lang w:val="es-ES_tradnl"/>
        </w:rPr>
        <w:t>,</w:t>
      </w:r>
      <w:r w:rsidRPr="00DB5635">
        <w:rPr>
          <w:lang w:val="es-ES_tradnl"/>
        </w:rPr>
        <w:t xml:space="preserve"> tal vez sea necesario que la Secretaría Ejecutiva proponga un aumento de la capacidad para complementar lo que </w:t>
      </w:r>
      <w:r w:rsidR="002B4750" w:rsidRPr="00DB5635">
        <w:rPr>
          <w:lang w:val="es-ES_tradnl"/>
        </w:rPr>
        <w:t xml:space="preserve">aporta </w:t>
      </w:r>
      <w:r w:rsidRPr="00DB5635">
        <w:rPr>
          <w:lang w:val="es-ES_tradnl"/>
        </w:rPr>
        <w:t>el</w:t>
      </w:r>
      <w:r w:rsidR="00E95035" w:rsidRPr="00DB5635">
        <w:rPr>
          <w:lang w:val="es-ES_tradnl"/>
        </w:rPr>
        <w:t> </w:t>
      </w:r>
      <w:r w:rsidRPr="00DB5635">
        <w:rPr>
          <w:lang w:val="es-ES_tradnl"/>
        </w:rPr>
        <w:t xml:space="preserve">PNUMA </w:t>
      </w:r>
      <w:r w:rsidR="00760372" w:rsidRPr="00DB5635">
        <w:rPr>
          <w:lang w:val="es-ES_tradnl"/>
        </w:rPr>
        <w:t>en el</w:t>
      </w:r>
      <w:r w:rsidRPr="00DB5635">
        <w:rPr>
          <w:lang w:val="es-ES_tradnl"/>
        </w:rPr>
        <w:t xml:space="preserve"> marco vigente. En la preparación de la presente propuesta se ha considerado la posibilidad de validar las propuestas presupuestarias del Convenio de Minamata relativas al aumento de la capacidad con miras a estudiar la viabilidad de las opciones disponibles para atender las necesidades de financiación y las sinergias que podrían establecerse entre esas opciones.</w:t>
      </w:r>
    </w:p>
    <w:p w14:paraId="2E7BB79D" w14:textId="0A2AB1DF" w:rsidR="00863F6A" w:rsidRPr="00DB5635" w:rsidRDefault="005D5041" w:rsidP="00174DCA">
      <w:pPr>
        <w:pStyle w:val="CH1"/>
        <w:rPr>
          <w:lang w:val="es-ES_tradnl"/>
        </w:rPr>
      </w:pPr>
      <w:r w:rsidRPr="00DB5635">
        <w:rPr>
          <w:lang w:val="es-ES_tradnl"/>
        </w:rPr>
        <w:tab/>
      </w:r>
      <w:r w:rsidR="004A0684" w:rsidRPr="00DB5635">
        <w:rPr>
          <w:lang w:val="es-ES_tradnl"/>
        </w:rPr>
        <w:t>V.</w:t>
      </w:r>
      <w:r w:rsidR="004A0684" w:rsidRPr="00DB5635">
        <w:rPr>
          <w:lang w:val="es-ES_tradnl"/>
        </w:rPr>
        <w:tab/>
      </w:r>
      <w:r w:rsidR="004A0684" w:rsidRPr="00DB5635">
        <w:rPr>
          <w:bCs/>
          <w:lang w:val="es-ES_tradnl"/>
        </w:rPr>
        <w:t>Definición de modelos</w:t>
      </w:r>
      <w:bookmarkStart w:id="12" w:name="_Toc21073439"/>
      <w:bookmarkStart w:id="13" w:name="_Toc22825242"/>
      <w:bookmarkEnd w:id="12"/>
      <w:bookmarkEnd w:id="13"/>
    </w:p>
    <w:p w14:paraId="5B3FCDC9" w14:textId="2B2229D0" w:rsidR="00863F6A" w:rsidRPr="00DB5635" w:rsidRDefault="00863F6A" w:rsidP="00AB3AC1">
      <w:pPr>
        <w:pStyle w:val="Normalnumber"/>
        <w:tabs>
          <w:tab w:val="clear" w:pos="597"/>
          <w:tab w:val="clear" w:pos="624"/>
        </w:tabs>
        <w:ind w:left="1247"/>
        <w:rPr>
          <w:lang w:val="es-ES_tradnl"/>
        </w:rPr>
      </w:pPr>
      <w:r w:rsidRPr="00DB5635">
        <w:rPr>
          <w:lang w:val="es-ES_tradnl"/>
        </w:rPr>
        <w:t>En la propuesta se definen y describe</w:t>
      </w:r>
      <w:r w:rsidR="00760372" w:rsidRPr="00DB5635">
        <w:rPr>
          <w:lang w:val="es-ES_tradnl"/>
        </w:rPr>
        <w:t>n</w:t>
      </w:r>
      <w:r w:rsidRPr="00DB5635">
        <w:rPr>
          <w:lang w:val="es-ES_tradnl"/>
        </w:rPr>
        <w:t xml:space="preserve"> los modelos que se sopesaron para la prestación de servicios administrativos al Convenio de Minamata, incluidas las opciones </w:t>
      </w:r>
      <w:r w:rsidR="00760372" w:rsidRPr="00DB5635">
        <w:rPr>
          <w:lang w:val="es-ES_tradnl"/>
        </w:rPr>
        <w:t>inferidas</w:t>
      </w:r>
      <w:r w:rsidRPr="00DB5635">
        <w:rPr>
          <w:lang w:val="es-ES_tradnl"/>
        </w:rPr>
        <w:t xml:space="preserve"> del examen de las propuestas presupuestarias de la Convención relativas al aumento de la capacidad, que figuran en el doc</w:t>
      </w:r>
      <w:r w:rsidR="00760372" w:rsidRPr="00DB5635">
        <w:rPr>
          <w:lang w:val="es-ES_tradnl"/>
        </w:rPr>
        <w:t>umento UNEP/MC/COP.3/20; y s</w:t>
      </w:r>
      <w:r w:rsidRPr="00DB5635">
        <w:rPr>
          <w:lang w:val="es-ES_tradnl"/>
        </w:rPr>
        <w:t xml:space="preserve">e </w:t>
      </w:r>
      <w:r w:rsidR="00ED38C5" w:rsidRPr="00DB5635">
        <w:rPr>
          <w:lang w:val="es-ES_tradnl"/>
        </w:rPr>
        <w:t xml:space="preserve">exponen </w:t>
      </w:r>
      <w:r w:rsidR="00760372" w:rsidRPr="00DB5635">
        <w:rPr>
          <w:lang w:val="es-ES_tradnl"/>
        </w:rPr>
        <w:t>diversos servicios que</w:t>
      </w:r>
      <w:r w:rsidRPr="00DB5635">
        <w:rPr>
          <w:lang w:val="es-ES_tradnl"/>
        </w:rPr>
        <w:t xml:space="preserve"> </w:t>
      </w:r>
      <w:r w:rsidR="00760372" w:rsidRPr="00DB5635">
        <w:rPr>
          <w:lang w:val="es-ES_tradnl"/>
        </w:rPr>
        <w:t xml:space="preserve">pueden </w:t>
      </w:r>
      <w:r w:rsidRPr="00DB5635">
        <w:rPr>
          <w:lang w:val="es-ES_tradnl"/>
        </w:rPr>
        <w:t>elegir</w:t>
      </w:r>
      <w:r w:rsidR="00760372" w:rsidRPr="00DB5635">
        <w:rPr>
          <w:lang w:val="es-ES_tradnl"/>
        </w:rPr>
        <w:t>se</w:t>
      </w:r>
      <w:r w:rsidRPr="00DB5635">
        <w:rPr>
          <w:lang w:val="es-ES_tradnl"/>
        </w:rPr>
        <w:t xml:space="preserve"> </w:t>
      </w:r>
      <w:r w:rsidR="00760372" w:rsidRPr="00DB5635">
        <w:rPr>
          <w:lang w:val="es-ES_tradnl"/>
        </w:rPr>
        <w:t xml:space="preserve">en función </w:t>
      </w:r>
      <w:r w:rsidR="00E95035" w:rsidRPr="00DB5635">
        <w:rPr>
          <w:lang w:val="es-ES_tradnl"/>
        </w:rPr>
        <w:t xml:space="preserve">de </w:t>
      </w:r>
      <w:r w:rsidR="00760372" w:rsidRPr="00DB5635">
        <w:rPr>
          <w:lang w:val="es-ES_tradnl"/>
        </w:rPr>
        <w:t>las necesidades</w:t>
      </w:r>
      <w:r w:rsidRPr="00DB5635">
        <w:rPr>
          <w:lang w:val="es-ES_tradnl"/>
        </w:rPr>
        <w:t xml:space="preserve">. Se han estimado y evaluado los recursos necesarios para cada una de las opciones que se presentan. </w:t>
      </w:r>
      <w:bookmarkStart w:id="14" w:name="_Hlk20211904"/>
      <w:bookmarkEnd w:id="14"/>
    </w:p>
    <w:p w14:paraId="39C68A5C" w14:textId="22F65E3A" w:rsidR="00863F6A" w:rsidRPr="00DB5635" w:rsidRDefault="005D5041" w:rsidP="00174DCA">
      <w:pPr>
        <w:pStyle w:val="CH1"/>
        <w:rPr>
          <w:lang w:val="es-ES_tradnl"/>
        </w:rPr>
      </w:pPr>
      <w:r w:rsidRPr="00DB5635">
        <w:rPr>
          <w:lang w:val="es-ES_tradnl"/>
        </w:rPr>
        <w:tab/>
      </w:r>
      <w:r w:rsidR="004A0684" w:rsidRPr="00DB5635">
        <w:rPr>
          <w:lang w:val="es-ES_tradnl"/>
        </w:rPr>
        <w:t>VI.</w:t>
      </w:r>
      <w:r w:rsidR="004A0684" w:rsidRPr="00DB5635">
        <w:rPr>
          <w:lang w:val="es-ES_tradnl"/>
        </w:rPr>
        <w:tab/>
      </w:r>
      <w:r w:rsidR="004A0684" w:rsidRPr="00DB5635">
        <w:rPr>
          <w:bCs/>
          <w:lang w:val="es-ES_tradnl"/>
        </w:rPr>
        <w:t>Unificación de los servicios</w:t>
      </w:r>
      <w:bookmarkStart w:id="15" w:name="_Toc21073440"/>
      <w:bookmarkStart w:id="16" w:name="_Toc22825243"/>
      <w:bookmarkEnd w:id="15"/>
      <w:bookmarkEnd w:id="16"/>
    </w:p>
    <w:p w14:paraId="10B6CC4F" w14:textId="724429F8" w:rsidR="00863F6A" w:rsidRPr="00DB5635" w:rsidRDefault="00863F6A" w:rsidP="008E2ECD">
      <w:pPr>
        <w:pStyle w:val="Normalnumber"/>
        <w:tabs>
          <w:tab w:val="clear" w:pos="597"/>
          <w:tab w:val="clear" w:pos="624"/>
        </w:tabs>
        <w:ind w:left="1247"/>
        <w:rPr>
          <w:lang w:val="es-ES_tradnl"/>
        </w:rPr>
      </w:pPr>
      <w:r w:rsidRPr="00DB5635">
        <w:rPr>
          <w:lang w:val="es-ES_tradnl"/>
        </w:rPr>
        <w:t xml:space="preserve">De optarse por el modelo de unificación de los servicios, se establecería una dependencia unificada </w:t>
      </w:r>
      <w:r w:rsidR="00ED38C5" w:rsidRPr="00DB5635">
        <w:rPr>
          <w:lang w:val="es-ES_tradnl"/>
        </w:rPr>
        <w:t>que</w:t>
      </w:r>
      <w:r w:rsidRPr="00DB5635">
        <w:rPr>
          <w:lang w:val="es-ES_tradnl"/>
        </w:rPr>
        <w:t xml:space="preserve"> prestar</w:t>
      </w:r>
      <w:r w:rsidR="00ED38C5" w:rsidRPr="00DB5635">
        <w:rPr>
          <w:lang w:val="es-ES_tradnl"/>
        </w:rPr>
        <w:t>ía</w:t>
      </w:r>
      <w:r w:rsidRPr="00DB5635">
        <w:rPr>
          <w:lang w:val="es-ES_tradnl"/>
        </w:rPr>
        <w:t xml:space="preserve"> servicios a la Secretaría de los Convenios de Basilea, Estocolmo y Rotterdam y a la Secretarí</w:t>
      </w:r>
      <w:r w:rsidR="00ED38C5" w:rsidRPr="00DB5635">
        <w:rPr>
          <w:lang w:val="es-ES_tradnl"/>
        </w:rPr>
        <w:t xml:space="preserve">a del Convenio de Minamata, y </w:t>
      </w:r>
      <w:r w:rsidRPr="00DB5635">
        <w:rPr>
          <w:lang w:val="es-ES_tradnl"/>
        </w:rPr>
        <w:t>recibiría recursos de las dos Secretarías. Con este modelo sería más fácil compartir todos los servicios administrativos que se</w:t>
      </w:r>
      <w:r w:rsidR="00ED38C5" w:rsidRPr="00DB5635">
        <w:rPr>
          <w:lang w:val="es-ES_tradnl"/>
        </w:rPr>
        <w:t xml:space="preserve"> juzgasen necesarios,</w:t>
      </w:r>
      <w:r w:rsidRPr="00DB5635">
        <w:rPr>
          <w:lang w:val="es-ES_tradnl"/>
        </w:rPr>
        <w:t xml:space="preserve"> en lugar de limitarse a la organización de las reuniones de las Conferencias de las Partes. Además, la dependencia común prestaría los servicios de otra índole que se acordasen sobre la marcha. </w:t>
      </w:r>
    </w:p>
    <w:p w14:paraId="4FC8A0DB" w14:textId="1C506168" w:rsidR="00863F6A" w:rsidRPr="00DB5635" w:rsidRDefault="00863F6A" w:rsidP="008E2ECD">
      <w:pPr>
        <w:pStyle w:val="Normalnumber"/>
        <w:tabs>
          <w:tab w:val="clear" w:pos="597"/>
          <w:tab w:val="clear" w:pos="624"/>
        </w:tabs>
        <w:ind w:left="1247"/>
        <w:rPr>
          <w:lang w:val="es-ES_tradnl"/>
        </w:rPr>
      </w:pPr>
      <w:r w:rsidRPr="00DB5635">
        <w:rPr>
          <w:lang w:val="es-ES_tradnl"/>
        </w:rPr>
        <w:t>Dado que las prioridades de los distintos Convenios vienen determinadas por sus respectivos mandatos, sería difícil alcanzar un acuerdo sobre los servicios que deberían mancomunarse y el orden en que deb</w:t>
      </w:r>
      <w:r w:rsidR="00571CF5" w:rsidRPr="00DB5635">
        <w:rPr>
          <w:lang w:val="es-ES_tradnl"/>
        </w:rPr>
        <w:t>erían prestarse de modo</w:t>
      </w:r>
      <w:r w:rsidRPr="00DB5635">
        <w:rPr>
          <w:lang w:val="es-ES_tradnl"/>
        </w:rPr>
        <w:t xml:space="preserve"> </w:t>
      </w:r>
      <w:r w:rsidR="00571CF5" w:rsidRPr="00DB5635">
        <w:rPr>
          <w:lang w:val="es-ES_tradnl"/>
        </w:rPr>
        <w:t>que resultasen provechosos y convenientes para</w:t>
      </w:r>
      <w:r w:rsidRPr="00DB5635">
        <w:rPr>
          <w:lang w:val="es-ES_tradnl"/>
        </w:rPr>
        <w:t xml:space="preserve"> todos los Convenios. La estructura administrativa habría de tener en cuenta la existencia de líneas de mando paralelas, circunstancia </w:t>
      </w:r>
      <w:r w:rsidR="00571CF5" w:rsidRPr="00DB5635">
        <w:rPr>
          <w:lang w:val="es-ES_tradnl"/>
        </w:rPr>
        <w:t>que complicaría</w:t>
      </w:r>
      <w:r w:rsidRPr="00DB5635">
        <w:rPr>
          <w:lang w:val="es-ES_tradnl"/>
        </w:rPr>
        <w:t xml:space="preserve"> la rendición de cuentas de ambas Secretarías Ejecutivas y vulneraría el principio de autonomía.</w:t>
      </w:r>
    </w:p>
    <w:p w14:paraId="5ECFC733" w14:textId="51363D07" w:rsidR="00863F6A" w:rsidRPr="00DB5635" w:rsidRDefault="00863F6A" w:rsidP="008E2ECD">
      <w:pPr>
        <w:pStyle w:val="Normalnumber"/>
        <w:tabs>
          <w:tab w:val="clear" w:pos="597"/>
          <w:tab w:val="clear" w:pos="624"/>
        </w:tabs>
        <w:ind w:left="1247"/>
        <w:rPr>
          <w:lang w:val="es-ES_tradnl"/>
        </w:rPr>
      </w:pPr>
      <w:r w:rsidRPr="00DB5635">
        <w:rPr>
          <w:lang w:val="es-ES_tradnl"/>
        </w:rPr>
        <w:t xml:space="preserve">La unificación de los servicios requiere el establecimiento de una nueva estructura de gestión, </w:t>
      </w:r>
      <w:r w:rsidR="00571CF5" w:rsidRPr="00DB5635">
        <w:rPr>
          <w:lang w:val="es-ES_tradnl"/>
        </w:rPr>
        <w:t>con el consiguiente</w:t>
      </w:r>
      <w:r w:rsidRPr="00DB5635">
        <w:rPr>
          <w:lang w:val="es-ES_tradnl"/>
        </w:rPr>
        <w:t xml:space="preserve"> costo </w:t>
      </w:r>
      <w:r w:rsidR="00571CF5" w:rsidRPr="00DB5635">
        <w:rPr>
          <w:lang w:val="es-ES_tradnl"/>
        </w:rPr>
        <w:t>extra</w:t>
      </w:r>
      <w:r w:rsidRPr="00DB5635">
        <w:rPr>
          <w:lang w:val="es-ES_tradnl"/>
        </w:rPr>
        <w:t>. Según la comparación efectuada con unas estructuras administrativas análogas, una estructura de ese tipo requeriría tres puestos del cuadro orgánico y tres puestos del cuadro de servicios generales. A fin de reduc</w:t>
      </w:r>
      <w:r w:rsidR="00180289" w:rsidRPr="00DB5635">
        <w:rPr>
          <w:lang w:val="es-ES_tradnl"/>
        </w:rPr>
        <w:t>ir al mínimo los costos adicionales</w:t>
      </w:r>
      <w:r w:rsidRPr="00DB5635">
        <w:rPr>
          <w:lang w:val="es-ES_tradnl"/>
        </w:rPr>
        <w:t>, solo se propondría un nuevo puesto de categoría P-5, que se encargaría de dirigir la dependencia unificada. Los otros dos puestos del cuadro orgánico de categoría P-4 y los puestos del cuadro de servicios generales podrían extraerse del personal de las Secretarías de los Convenios. El puesto de categoría</w:t>
      </w:r>
      <w:r w:rsidR="00180289" w:rsidRPr="00DB5635">
        <w:rPr>
          <w:lang w:val="es-ES_tradnl"/>
        </w:rPr>
        <w:t xml:space="preserve"> P-5 supondría un costo extra </w:t>
      </w:r>
      <w:r w:rsidRPr="00DB5635">
        <w:rPr>
          <w:lang w:val="es-ES_tradnl"/>
        </w:rPr>
        <w:t xml:space="preserve">de 507.000 dólares </w:t>
      </w:r>
      <w:r w:rsidR="00BE49FB" w:rsidRPr="00DB5635">
        <w:rPr>
          <w:lang w:val="es-ES_tradnl"/>
        </w:rPr>
        <w:t xml:space="preserve">de los Estados Unidos </w:t>
      </w:r>
      <w:r w:rsidRPr="00DB5635">
        <w:rPr>
          <w:lang w:val="es-ES_tradnl"/>
        </w:rPr>
        <w:t>por bienio. Además, se estima que harían falta</w:t>
      </w:r>
      <w:r w:rsidR="00BE49FB" w:rsidRPr="00DB5635">
        <w:rPr>
          <w:lang w:val="es-ES_tradnl"/>
        </w:rPr>
        <w:t> </w:t>
      </w:r>
      <w:r w:rsidRPr="00DB5635">
        <w:rPr>
          <w:lang w:val="es-ES_tradnl"/>
        </w:rPr>
        <w:t>228.000 dólares por bienio para la organización de las reuniones de la Conferencia de las Partes</w:t>
      </w:r>
      <w:r w:rsidR="00180289" w:rsidRPr="00DB5635">
        <w:rPr>
          <w:lang w:val="es-ES_tradnl"/>
        </w:rPr>
        <w:t>. Por tanto, los costos adicionales</w:t>
      </w:r>
      <w:r w:rsidRPr="00DB5635">
        <w:rPr>
          <w:lang w:val="es-ES_tradnl"/>
        </w:rPr>
        <w:t>, que no se consignan en el proyecto de presupuesto de la Secretaría del Convenio de Minamata para el bienio 2020-2021, totalizarían 735.000 dólares.</w:t>
      </w:r>
    </w:p>
    <w:p w14:paraId="6419E0F8" w14:textId="48ED385D" w:rsidR="00863F6A" w:rsidRPr="00DB5635" w:rsidRDefault="00863F6A" w:rsidP="008E2ECD">
      <w:pPr>
        <w:pStyle w:val="Normalnumber"/>
        <w:tabs>
          <w:tab w:val="clear" w:pos="597"/>
          <w:tab w:val="clear" w:pos="624"/>
        </w:tabs>
        <w:ind w:left="1247"/>
        <w:rPr>
          <w:lang w:val="es-ES_tradnl"/>
        </w:rPr>
      </w:pPr>
      <w:r w:rsidRPr="00DB5635">
        <w:rPr>
          <w:lang w:val="es-ES_tradnl"/>
        </w:rPr>
        <w:t xml:space="preserve">El Secretario General de las </w:t>
      </w:r>
      <w:r w:rsidR="00A66967" w:rsidRPr="00DB5635">
        <w:rPr>
          <w:lang w:val="es-ES_tradnl"/>
        </w:rPr>
        <w:t>Naciones Unidas</w:t>
      </w:r>
      <w:r w:rsidRPr="00DB5635">
        <w:rPr>
          <w:lang w:val="es-ES_tradnl"/>
        </w:rPr>
        <w:t xml:space="preserve"> ha anunciado diversas iniciativas reformadoras que incluyen la unificación de los servicios administrativos, enfoque integral que, según sus palabras, genera eficiencias. Dado que el PNUMA forma parte de esas iniciativas reformadoras de amplio alcance, si la presente propuesta se sometie</w:t>
      </w:r>
      <w:r w:rsidR="00180289" w:rsidRPr="00DB5635">
        <w:rPr>
          <w:lang w:val="es-ES_tradnl"/>
        </w:rPr>
        <w:t>se a otra evaluación</w:t>
      </w:r>
      <w:r w:rsidRPr="00DB5635">
        <w:rPr>
          <w:lang w:val="es-ES_tradnl"/>
        </w:rPr>
        <w:t xml:space="preserve">, </w:t>
      </w:r>
      <w:r w:rsidR="0066452F" w:rsidRPr="00DB5635">
        <w:rPr>
          <w:lang w:val="es-ES_tradnl"/>
        </w:rPr>
        <w:t>tal como</w:t>
      </w:r>
      <w:r w:rsidRPr="00DB5635">
        <w:rPr>
          <w:lang w:val="es-ES_tradnl"/>
        </w:rPr>
        <w:t xml:space="preserve"> </w:t>
      </w:r>
      <w:r w:rsidR="0066452F" w:rsidRPr="00DB5635">
        <w:rPr>
          <w:lang w:val="es-ES_tradnl"/>
        </w:rPr>
        <w:t>se recomienda hacer en</w:t>
      </w:r>
      <w:r w:rsidR="00180C18" w:rsidRPr="00DB5635">
        <w:rPr>
          <w:lang w:val="es-ES_tradnl"/>
        </w:rPr>
        <w:t> </w:t>
      </w:r>
      <w:r w:rsidR="0066452F" w:rsidRPr="00DB5635">
        <w:rPr>
          <w:lang w:val="es-ES_tradnl"/>
        </w:rPr>
        <w:t xml:space="preserve">2021, habría la posibilidad </w:t>
      </w:r>
      <w:r w:rsidRPr="00DB5635">
        <w:rPr>
          <w:lang w:val="es-ES_tradnl"/>
        </w:rPr>
        <w:t>de</w:t>
      </w:r>
      <w:r w:rsidR="00180289" w:rsidRPr="00DB5635">
        <w:rPr>
          <w:lang w:val="es-ES_tradnl"/>
        </w:rPr>
        <w:t xml:space="preserve"> incorporar</w:t>
      </w:r>
      <w:r w:rsidRPr="00DB5635">
        <w:rPr>
          <w:lang w:val="es-ES_tradnl"/>
        </w:rPr>
        <w:t xml:space="preserve"> todos los elementos de la reforma que sean aplicables a</w:t>
      </w:r>
      <w:r w:rsidR="00BE49FB" w:rsidRPr="00DB5635">
        <w:rPr>
          <w:lang w:val="es-ES_tradnl"/>
        </w:rPr>
        <w:t> </w:t>
      </w:r>
      <w:r w:rsidRPr="00DB5635">
        <w:rPr>
          <w:lang w:val="es-ES_tradnl"/>
        </w:rPr>
        <w:t xml:space="preserve">los acuerdos de cooperación entre la Secretaría del Convenio de Minamata y la Secretaría de los Convenios de Basilea, Estocolmo y Rotterdam en el futuro. </w:t>
      </w:r>
    </w:p>
    <w:p w14:paraId="4FD86415" w14:textId="46163A22" w:rsidR="00863F6A" w:rsidRPr="00DB5635" w:rsidRDefault="005D5041" w:rsidP="00174DCA">
      <w:pPr>
        <w:pStyle w:val="CH1"/>
        <w:rPr>
          <w:lang w:val="es-ES_tradnl"/>
        </w:rPr>
      </w:pPr>
      <w:r w:rsidRPr="00DB5635">
        <w:rPr>
          <w:lang w:val="es-ES_tradnl"/>
        </w:rPr>
        <w:tab/>
      </w:r>
      <w:r w:rsidR="004A0684" w:rsidRPr="00DB5635">
        <w:rPr>
          <w:lang w:val="es-ES_tradnl"/>
        </w:rPr>
        <w:t>VII.</w:t>
      </w:r>
      <w:r w:rsidR="004A0684" w:rsidRPr="00DB5635">
        <w:rPr>
          <w:lang w:val="es-ES_tradnl"/>
        </w:rPr>
        <w:tab/>
      </w:r>
      <w:r w:rsidR="004A0684" w:rsidRPr="00DB5635">
        <w:rPr>
          <w:bCs/>
          <w:lang w:val="es-ES_tradnl"/>
        </w:rPr>
        <w:t>Redistribución de personal de la Secretaría del Convenio de Minamata a la Secretaría de los Convenios de Basilea, Estocolmo y Rotterdam</w:t>
      </w:r>
      <w:bookmarkStart w:id="17" w:name="_Toc21073441"/>
      <w:bookmarkStart w:id="18" w:name="_Toc22825244"/>
      <w:bookmarkEnd w:id="17"/>
      <w:bookmarkEnd w:id="18"/>
    </w:p>
    <w:p w14:paraId="3B84593D" w14:textId="3736BDE7" w:rsidR="00863F6A" w:rsidRPr="00DB5635" w:rsidRDefault="00553C23" w:rsidP="008E2ECD">
      <w:pPr>
        <w:pStyle w:val="Normalnumber"/>
        <w:tabs>
          <w:tab w:val="clear" w:pos="597"/>
          <w:tab w:val="clear" w:pos="624"/>
        </w:tabs>
        <w:ind w:left="1247"/>
        <w:rPr>
          <w:lang w:val="es-ES_tradnl"/>
        </w:rPr>
      </w:pPr>
      <w:r w:rsidRPr="00DB5635">
        <w:rPr>
          <w:lang w:val="es-ES_tradnl"/>
        </w:rPr>
        <w:t xml:space="preserve">El examen efectuado reveló que la Secretaría de los Convenios de Basilea, Estocolmo y Rotterdam, con los recursos de que dispone actualmente, no está en condiciones de compartir servicios. </w:t>
      </w:r>
      <w:r w:rsidR="0066452F" w:rsidRPr="00DB5635">
        <w:rPr>
          <w:lang w:val="es-ES_tradnl"/>
        </w:rPr>
        <w:t>Por este motivo,</w:t>
      </w:r>
      <w:r w:rsidRPr="00DB5635">
        <w:rPr>
          <w:lang w:val="es-ES_tradnl"/>
        </w:rPr>
        <w:t xml:space="preserve"> se ha formulado la opción de la redistribución del personal, que consiste en</w:t>
      </w:r>
      <w:r w:rsidR="00E95035" w:rsidRPr="00DB5635">
        <w:rPr>
          <w:lang w:val="es-ES_tradnl"/>
        </w:rPr>
        <w:t> </w:t>
      </w:r>
      <w:r w:rsidRPr="00DB5635">
        <w:rPr>
          <w:lang w:val="es-ES_tradnl"/>
        </w:rPr>
        <w:t xml:space="preserve">la transferencia de ocho puestos (cuatro del cuadro orgánico y cuatro del cuadro de servicios generales) de la Secretaría del Convenio de Minamata a la Secretaría de los Convenios de Basilea, Estocolmo y Rotterdam. Los recursos del Convenio de Minamata asignados a la prestación de servicios compartidos pasarían a formar parte de un fondo de recursos mucho mayor, y se formaría un equipo dirigido por la Secretaría de los Convenios de Basilea, Estocolmo y Rotterdam para que prestase servicios a los cuatro Convenios. Para más detalles sobre el modelo de redistribución del personal, véase el anexo I. </w:t>
      </w:r>
    </w:p>
    <w:p w14:paraId="5F604A4E" w14:textId="2CD14DFC" w:rsidR="00863F6A" w:rsidRPr="00DB5635" w:rsidRDefault="000C64D7" w:rsidP="008E2ECD">
      <w:pPr>
        <w:pStyle w:val="Normalnumber"/>
        <w:tabs>
          <w:tab w:val="clear" w:pos="597"/>
          <w:tab w:val="clear" w:pos="624"/>
        </w:tabs>
        <w:ind w:left="1247"/>
        <w:rPr>
          <w:lang w:val="es-ES_tradnl"/>
        </w:rPr>
      </w:pPr>
      <w:r w:rsidRPr="00DB5635">
        <w:rPr>
          <w:lang w:val="es-ES_tradnl"/>
        </w:rPr>
        <w:t xml:space="preserve">En la hipótesis </w:t>
      </w:r>
      <w:r w:rsidR="0066452F" w:rsidRPr="00DB5635">
        <w:rPr>
          <w:lang w:val="es-ES_tradnl"/>
        </w:rPr>
        <w:t>planteada por</w:t>
      </w:r>
      <w:r w:rsidRPr="00DB5635">
        <w:rPr>
          <w:lang w:val="es-ES_tradnl"/>
        </w:rPr>
        <w:t xml:space="preserve"> la Secretar</w:t>
      </w:r>
      <w:r w:rsidR="00AC630D">
        <w:rPr>
          <w:lang w:val="es-ES_tradnl"/>
        </w:rPr>
        <w:t>i</w:t>
      </w:r>
      <w:r w:rsidRPr="00DB5635">
        <w:rPr>
          <w:lang w:val="es-ES_tradnl"/>
        </w:rPr>
        <w:t>a Ejecutiva se propone la separación de las funciones de comunicaciones y gestión de los conocimientos, lo que daría lugar a la creación de un segundo puesto de categoría P-3; en cambio, en el modelo de redistribución de personal, el puesto vigente de categoría P-3 desempeñaría ambas funciones, comunicaciones y gestión de los conocimientos. De escogers</w:t>
      </w:r>
      <w:r w:rsidR="0066452F" w:rsidRPr="00DB5635">
        <w:rPr>
          <w:lang w:val="es-ES_tradnl"/>
        </w:rPr>
        <w:t>e esta opción, se lograría</w:t>
      </w:r>
      <w:r w:rsidRPr="00DB5635">
        <w:rPr>
          <w:lang w:val="es-ES_tradnl"/>
        </w:rPr>
        <w:t xml:space="preserve"> un aho</w:t>
      </w:r>
      <w:r w:rsidR="0030503D" w:rsidRPr="00DB5635">
        <w:rPr>
          <w:lang w:val="es-ES_tradnl"/>
        </w:rPr>
        <w:t>rro bruto de 354.000 dólares; pero</w:t>
      </w:r>
      <w:r w:rsidRPr="00DB5635">
        <w:rPr>
          <w:lang w:val="es-ES_tradnl"/>
        </w:rPr>
        <w:t xml:space="preserve"> la Secretaría del Convenio de Minamata aún tendría que transferir 270.000 dólares a la Secretaría de los Convenios de Basilea, Estocolmo y Rotterdam para preparar las reuniones bienales de la Conferencia de las Partes. Por tanto, este modelo podría reportar un ahorro neto de 84.000 dólares. Es</w:t>
      </w:r>
      <w:r w:rsidR="0030503D" w:rsidRPr="00DB5635">
        <w:rPr>
          <w:lang w:val="es-ES_tradnl"/>
        </w:rPr>
        <w:t>t</w:t>
      </w:r>
      <w:r w:rsidRPr="00DB5635">
        <w:rPr>
          <w:lang w:val="es-ES_tradnl"/>
        </w:rPr>
        <w:t xml:space="preserve">as estimaciones son meramente indicativas, puesto que en el momento de redactarse la presente propuesta la Conferencia de las Partes aún no había examinado la propuesta presupuestaria del </w:t>
      </w:r>
      <w:r w:rsidR="0030503D" w:rsidRPr="00DB5635">
        <w:rPr>
          <w:lang w:val="es-ES_tradnl"/>
        </w:rPr>
        <w:t>Convenio de Minamata que comprende</w:t>
      </w:r>
      <w:r w:rsidRPr="00DB5635">
        <w:rPr>
          <w:lang w:val="es-ES_tradnl"/>
        </w:rPr>
        <w:t xml:space="preserve"> la escisión de un puesto en dos.</w:t>
      </w:r>
    </w:p>
    <w:p w14:paraId="0C0F87AD" w14:textId="55CC3BFF" w:rsidR="00863F6A" w:rsidRPr="00DB5635" w:rsidRDefault="00863F6A" w:rsidP="00180C18">
      <w:pPr>
        <w:pStyle w:val="Normalnumber"/>
        <w:tabs>
          <w:tab w:val="clear" w:pos="597"/>
          <w:tab w:val="clear" w:pos="624"/>
        </w:tabs>
        <w:ind w:left="1247"/>
        <w:rPr>
          <w:lang w:val="es-ES_tradnl"/>
        </w:rPr>
      </w:pPr>
      <w:r w:rsidRPr="00DB5635">
        <w:rPr>
          <w:lang w:val="es-ES_tradnl"/>
        </w:rPr>
        <w:t>La transferencia de personal de la Secretaría del Convenio de Minamata a la Secretaría de los Convenios de Basilea, Estocolmo y Rotterdam no representa un ahorro para las Partes, sino que se trata de un cambio de la estructura jerárquica administrativa. La prestación de servicios estaría a cargo de la Secretaría de los Convenios de Basilea, Estocolmo y Rotterdam, lo cual haría necesario el establecimiento de un mecanismo de supervisión por el Convenio de Minamata. Este mecanismo requeriría a su vez la creación de un puesto de categoría P-3 y la designación de personal de apoyo de categoría G para supervisar la prestación de servicios y garantizar que se cumplen los criterios previstos en materia de calidad y puntualidad. Con estos puestos nuevos se dotaría al Convenio de Minamata de una red de segurid</w:t>
      </w:r>
      <w:r w:rsidR="0030503D" w:rsidRPr="00DB5635">
        <w:rPr>
          <w:lang w:val="es-ES_tradnl"/>
        </w:rPr>
        <w:t>ad necesaria, pero se esfumarían</w:t>
      </w:r>
      <w:r w:rsidRPr="00DB5635">
        <w:rPr>
          <w:lang w:val="es-ES_tradnl"/>
        </w:rPr>
        <w:t xml:space="preserve"> todos los ahorros previstos. Esta opción, que no forma parte del proyecto de presupuesto de la Secretaría del Convenio de Minamata para el bienio 2020-2</w:t>
      </w:r>
      <w:r w:rsidR="0030503D" w:rsidRPr="00DB5635">
        <w:rPr>
          <w:lang w:val="es-ES_tradnl"/>
        </w:rPr>
        <w:t>021, entrañaría un costo adicional</w:t>
      </w:r>
      <w:r w:rsidRPr="00DB5635">
        <w:rPr>
          <w:lang w:val="es-ES_tradnl"/>
        </w:rPr>
        <w:t xml:space="preserve"> de 629.000 dólares.</w:t>
      </w:r>
    </w:p>
    <w:p w14:paraId="4AD4BC8E" w14:textId="77777777" w:rsidR="00863F6A" w:rsidRPr="00DB5635" w:rsidRDefault="00863F6A" w:rsidP="00180C18">
      <w:pPr>
        <w:pStyle w:val="Normalnumber"/>
        <w:tabs>
          <w:tab w:val="clear" w:pos="597"/>
          <w:tab w:val="clear" w:pos="624"/>
        </w:tabs>
        <w:ind w:left="1247"/>
        <w:rPr>
          <w:lang w:val="es-ES_tradnl"/>
        </w:rPr>
      </w:pPr>
      <w:r w:rsidRPr="00DB5635">
        <w:rPr>
          <w:lang w:val="es-ES_tradnl"/>
        </w:rPr>
        <w:t>En caso de que la Secretaría del Convenio de Minamata seleccionase a miembros del personal actual del Convenio de Minamata, habría que reajustar la estructura jerárquica para que cuadrase con la estructura de gestión de la Secretaría de los Convenios de Basilea, Estocolmo y Rotterdam. En cambio, si se contratase a personal nuevo, la Secretaría de los Convenios de Basilea, Estocolmo y Rotterdam se encargaría de la contratación, y los nuevos funcionarios se integrarían en la estructura de gestión de esta Secretaría. En ambos casos, el Secretario Ejecutivo de los Convenios de Basilea, Estocolmo y Rotterdam rendiría cuentas de la prestación de los servicios compartidos a su homólogo del Convenio de Minamata. Este modelo, al igual que el de la unificación de los servicios, podría menoscabar la rendición de cuentas de la gestión del Convenio de Minamata a las Partes y atentar contra su autonomía.</w:t>
      </w:r>
    </w:p>
    <w:p w14:paraId="5E528314" w14:textId="5C69DBB7" w:rsidR="00863F6A" w:rsidRPr="00DB5635" w:rsidRDefault="00E50040" w:rsidP="00174DCA">
      <w:pPr>
        <w:pStyle w:val="CH1"/>
        <w:rPr>
          <w:lang w:val="es-ES_tradnl"/>
        </w:rPr>
      </w:pPr>
      <w:r w:rsidRPr="00DB5635">
        <w:rPr>
          <w:lang w:val="es-ES_tradnl"/>
        </w:rPr>
        <w:tab/>
      </w:r>
      <w:r w:rsidR="004A0684" w:rsidRPr="00DB5635">
        <w:rPr>
          <w:lang w:val="es-ES_tradnl"/>
        </w:rPr>
        <w:t>VIII.</w:t>
      </w:r>
      <w:r w:rsidR="004A0684" w:rsidRPr="00DB5635">
        <w:rPr>
          <w:lang w:val="es-ES_tradnl"/>
        </w:rPr>
        <w:tab/>
      </w:r>
      <w:r w:rsidRPr="00DB5635">
        <w:rPr>
          <w:bCs/>
          <w:lang w:val="es-ES_tradnl"/>
        </w:rPr>
        <w:t>Adquisición</w:t>
      </w:r>
      <w:r w:rsidR="004A0684" w:rsidRPr="00DB5635">
        <w:rPr>
          <w:bCs/>
          <w:lang w:val="es-ES_tradnl"/>
        </w:rPr>
        <w:t xml:space="preserve"> de servicios en régimen de recuperación de costos</w:t>
      </w:r>
      <w:bookmarkStart w:id="19" w:name="_Toc21073442"/>
      <w:bookmarkStart w:id="20" w:name="_Toc22825245"/>
      <w:bookmarkEnd w:id="19"/>
      <w:bookmarkEnd w:id="20"/>
    </w:p>
    <w:p w14:paraId="1E7B7AE6" w14:textId="4C0A30CC" w:rsidR="00863F6A" w:rsidRPr="00DB5635" w:rsidRDefault="00863F6A" w:rsidP="00180C18">
      <w:pPr>
        <w:pStyle w:val="Normalnumber"/>
        <w:tabs>
          <w:tab w:val="clear" w:pos="597"/>
          <w:tab w:val="clear" w:pos="624"/>
        </w:tabs>
        <w:ind w:left="1247"/>
        <w:rPr>
          <w:lang w:val="es-ES_tradnl"/>
        </w:rPr>
      </w:pPr>
      <w:r w:rsidRPr="00DB5635">
        <w:rPr>
          <w:lang w:val="es-ES_tradnl"/>
        </w:rPr>
        <w:t xml:space="preserve">Según el modelo de recuperación de costos, la Secretaría del Convenio de Minamata y la Secretaría de los Convenios de Basilea, Estocolmo y Rotterdam acordarían el alcance de los servicios que deben adquirirse y las consecuencias de esta adquisición en materia de recursos, y ambos elementos se consignarían en las propuestas presupuestarias para su examen y aprobación por la Conferencia de las Partes en el Convenio de Minamata. En el momento de redactarse la presente </w:t>
      </w:r>
      <w:r w:rsidR="0030503D" w:rsidRPr="00DB5635">
        <w:rPr>
          <w:lang w:val="es-ES_tradnl"/>
        </w:rPr>
        <w:t>propuesta se ha</w:t>
      </w:r>
      <w:r w:rsidRPr="00DB5635">
        <w:rPr>
          <w:lang w:val="es-ES_tradnl"/>
        </w:rPr>
        <w:t xml:space="preserve"> determinado </w:t>
      </w:r>
      <w:r w:rsidR="0030503D" w:rsidRPr="00DB5635">
        <w:rPr>
          <w:lang w:val="es-ES_tradnl"/>
        </w:rPr>
        <w:t xml:space="preserve">ya </w:t>
      </w:r>
      <w:r w:rsidRPr="00DB5635">
        <w:rPr>
          <w:lang w:val="es-ES_tradnl"/>
        </w:rPr>
        <w:t>que el</w:t>
      </w:r>
      <w:r w:rsidR="0030503D" w:rsidRPr="00DB5635">
        <w:rPr>
          <w:lang w:val="es-ES_tradnl"/>
        </w:rPr>
        <w:t xml:space="preserve"> Convenio de Minamata necesita</w:t>
      </w:r>
      <w:r w:rsidRPr="00DB5635">
        <w:rPr>
          <w:lang w:val="es-ES_tradnl"/>
        </w:rPr>
        <w:t xml:space="preserve"> servicios para las reuniones de la Conf</w:t>
      </w:r>
      <w:r w:rsidR="0030503D" w:rsidRPr="00DB5635">
        <w:rPr>
          <w:lang w:val="es-ES_tradnl"/>
        </w:rPr>
        <w:t>erencia de las Partes y se ha</w:t>
      </w:r>
      <w:r w:rsidRPr="00DB5635">
        <w:rPr>
          <w:lang w:val="es-ES_tradnl"/>
        </w:rPr>
        <w:t xml:space="preserve"> acordado con la Secretaría de los Convenios de Basilea, Estocolmo y Rotterdam que el costo est</w:t>
      </w:r>
      <w:r w:rsidR="0030503D" w:rsidRPr="00DB5635">
        <w:rPr>
          <w:lang w:val="es-ES_tradnl"/>
        </w:rPr>
        <w:t>imado de esos servicios asc</w:t>
      </w:r>
      <w:r w:rsidR="00270364" w:rsidRPr="00DB5635">
        <w:rPr>
          <w:lang w:val="es-ES_tradnl"/>
        </w:rPr>
        <w:t>iende</w:t>
      </w:r>
      <w:r w:rsidRPr="00DB5635">
        <w:rPr>
          <w:lang w:val="es-ES_tradnl"/>
        </w:rPr>
        <w:t xml:space="preserve"> a 270.000 dólares. </w:t>
      </w:r>
    </w:p>
    <w:p w14:paraId="02267ADD" w14:textId="538D06DC" w:rsidR="00863F6A" w:rsidRPr="00DB5635" w:rsidRDefault="003A2EB5" w:rsidP="00180C18">
      <w:pPr>
        <w:pStyle w:val="Normalnumber"/>
        <w:tabs>
          <w:tab w:val="clear" w:pos="597"/>
          <w:tab w:val="clear" w:pos="624"/>
        </w:tabs>
        <w:ind w:left="1247"/>
        <w:rPr>
          <w:lang w:val="es-ES_tradnl"/>
        </w:rPr>
      </w:pPr>
      <w:r w:rsidRPr="00DB5635">
        <w:rPr>
          <w:lang w:val="es-ES_tradnl"/>
        </w:rPr>
        <w:t>Según la evaluación efectuada por el PNUMA, si se prestasen esos servicios a la Conferencia de las Partes, podrían obtenerse beneficios sin menoscabo de los principios fundamentales y las consideraciones que se han mencionado más arriba. En los futuros ejercicios presupuestarios se revisarían los servicios necesarios y los costos conexos para reflejar los cambios que pudiesen producirse. La opción de adquirir servicios en régimen de recuperac</w:t>
      </w:r>
      <w:r w:rsidR="00270364" w:rsidRPr="00DB5635">
        <w:rPr>
          <w:lang w:val="es-ES_tradnl"/>
        </w:rPr>
        <w:t>ión de costos es la más económica</w:t>
      </w:r>
      <w:r w:rsidRPr="00DB5635">
        <w:rPr>
          <w:lang w:val="es-ES_tradnl"/>
        </w:rPr>
        <w:t xml:space="preserve"> y reporta ventajas merced a las sinergias que </w:t>
      </w:r>
      <w:r w:rsidR="00270364" w:rsidRPr="00DB5635">
        <w:rPr>
          <w:lang w:val="es-ES_tradnl"/>
        </w:rPr>
        <w:t>se generan</w:t>
      </w:r>
      <w:r w:rsidRPr="00DB5635">
        <w:rPr>
          <w:lang w:val="es-ES_tradnl"/>
        </w:rPr>
        <w:t xml:space="preserve"> en cuanto a experiencia y proximidad. El carácter cíclico del aumento de la demanda de servicios de contratación externa para apoyar las reuniones de la Conferencia de las Partes en el Convenio de Minamata, que tienen lugar una vez cada dos años, no justifica la creación de nuevas estructuras permanentes ni exigen la transferencia de la mitad de los recursos de personal financiados por las Partes en el Convenio de Minamata </w:t>
      </w:r>
      <w:r w:rsidR="003841ED">
        <w:rPr>
          <w:lang w:val="es-ES_tradnl"/>
        </w:rPr>
        <w:t xml:space="preserve">a </w:t>
      </w:r>
      <w:r w:rsidRPr="00DB5635">
        <w:rPr>
          <w:lang w:val="es-ES_tradnl"/>
        </w:rPr>
        <w:t>los Convenios de Basilea, Estocolmo y Rotterdam.</w:t>
      </w:r>
    </w:p>
    <w:p w14:paraId="19441155" w14:textId="1003E649" w:rsidR="00863F6A" w:rsidRPr="00DB5635" w:rsidRDefault="00E50040" w:rsidP="00174DCA">
      <w:pPr>
        <w:pStyle w:val="CH1"/>
        <w:rPr>
          <w:lang w:val="es-ES_tradnl"/>
        </w:rPr>
      </w:pPr>
      <w:r w:rsidRPr="00DB5635">
        <w:rPr>
          <w:lang w:val="es-ES_tradnl"/>
        </w:rPr>
        <w:tab/>
      </w:r>
      <w:r w:rsidR="004A0684" w:rsidRPr="00DB5635">
        <w:rPr>
          <w:lang w:val="es-ES_tradnl"/>
        </w:rPr>
        <w:t>IX.</w:t>
      </w:r>
      <w:r w:rsidR="004A0684" w:rsidRPr="00DB5635">
        <w:rPr>
          <w:lang w:val="es-ES_tradnl"/>
        </w:rPr>
        <w:tab/>
      </w:r>
      <w:r w:rsidR="004A0684" w:rsidRPr="00DB5635">
        <w:rPr>
          <w:bCs/>
          <w:lang w:val="es-ES_tradnl"/>
        </w:rPr>
        <w:t>Otras consideraciones</w:t>
      </w:r>
      <w:bookmarkStart w:id="21" w:name="_Toc21073443"/>
      <w:bookmarkStart w:id="22" w:name="_Toc22825246"/>
      <w:bookmarkEnd w:id="21"/>
      <w:bookmarkEnd w:id="22"/>
    </w:p>
    <w:p w14:paraId="6359A154" w14:textId="790009A4" w:rsidR="00863F6A" w:rsidRPr="00DB5635" w:rsidRDefault="00270364" w:rsidP="00180C18">
      <w:pPr>
        <w:pStyle w:val="Normalnumber"/>
        <w:tabs>
          <w:tab w:val="clear" w:pos="597"/>
          <w:tab w:val="clear" w:pos="624"/>
        </w:tabs>
        <w:ind w:left="1247"/>
        <w:rPr>
          <w:lang w:val="es-ES_tradnl"/>
        </w:rPr>
      </w:pPr>
      <w:r w:rsidRPr="00DB5635">
        <w:rPr>
          <w:lang w:val="es-ES_tradnl"/>
        </w:rPr>
        <w:t xml:space="preserve">En </w:t>
      </w:r>
      <w:r w:rsidR="007E07CB" w:rsidRPr="00DB5635">
        <w:rPr>
          <w:lang w:val="es-ES_tradnl"/>
        </w:rPr>
        <w:t xml:space="preserve">el examen se determinó que la mayor sinergia en materia de servicios compartidos podía lograrse en la esfera de las reuniones de la Conferencia de las Partes. Determinados tipos de servicios se han excluido de la evaluación por diversas razones. Por ejemplo, la gestión de conocimientos depende en parte de las licencias vigentes </w:t>
      </w:r>
      <w:r w:rsidRPr="00DB5635">
        <w:rPr>
          <w:lang w:val="es-ES_tradnl"/>
        </w:rPr>
        <w:t xml:space="preserve">de programas informáticos y sus </w:t>
      </w:r>
      <w:r w:rsidR="007E07CB" w:rsidRPr="00DB5635">
        <w:rPr>
          <w:lang w:val="es-ES_tradnl"/>
        </w:rPr>
        <w:t>costos correspondientes y</w:t>
      </w:r>
      <w:r w:rsidR="00D2700B">
        <w:rPr>
          <w:lang w:val="es-ES_tradnl"/>
        </w:rPr>
        <w:t> </w:t>
      </w:r>
      <w:r w:rsidR="007E07CB" w:rsidRPr="00DB5635">
        <w:rPr>
          <w:lang w:val="es-ES_tradnl"/>
        </w:rPr>
        <w:t xml:space="preserve">de la observancia de los marcos institucionales de tecnología de la información de las </w:t>
      </w:r>
      <w:r w:rsidR="00A66967" w:rsidRPr="00DB5635">
        <w:rPr>
          <w:lang w:val="es-ES_tradnl"/>
        </w:rPr>
        <w:t>Naciones Unidas</w:t>
      </w:r>
      <w:r w:rsidR="007E07CB" w:rsidRPr="00DB5635">
        <w:rPr>
          <w:lang w:val="es-ES_tradnl"/>
        </w:rPr>
        <w:t>, cuya definición es competencia del oficial principal de tecnología de la información</w:t>
      </w:r>
      <w:r w:rsidR="00D2700B">
        <w:rPr>
          <w:lang w:val="es-ES_tradnl"/>
        </w:rPr>
        <w:t> </w:t>
      </w:r>
      <w:r w:rsidR="007E07CB" w:rsidRPr="00DB5635">
        <w:rPr>
          <w:lang w:val="es-ES_tradnl"/>
        </w:rPr>
        <w:t>y no de la Secretaría de los Convenios de Basilea, Estocolmo y Rotterdam. En el caso de</w:t>
      </w:r>
      <w:r w:rsidR="00D2700B">
        <w:rPr>
          <w:lang w:val="es-ES_tradnl"/>
        </w:rPr>
        <w:t> </w:t>
      </w:r>
      <w:r w:rsidR="007E07CB" w:rsidRPr="00DB5635">
        <w:rPr>
          <w:lang w:val="es-ES_tradnl"/>
        </w:rPr>
        <w:t xml:space="preserve">los servicios jurídicos, la División de Servicios Corporativos </w:t>
      </w:r>
      <w:r w:rsidR="003841ED">
        <w:rPr>
          <w:lang w:val="es-ES_tradnl"/>
        </w:rPr>
        <w:t xml:space="preserve">del PNUMA </w:t>
      </w:r>
      <w:r w:rsidR="007E07CB" w:rsidRPr="00DB5635">
        <w:rPr>
          <w:lang w:val="es-ES_tradnl"/>
        </w:rPr>
        <w:t>presta asesoramiento jurídico de índole administrativa en el plano institucional, y la División de Derecho</w:t>
      </w:r>
      <w:r w:rsidR="003841ED">
        <w:rPr>
          <w:lang w:val="es-ES_tradnl"/>
        </w:rPr>
        <w:t xml:space="preserve"> del PNUMA</w:t>
      </w:r>
      <w:r w:rsidR="007E07CB" w:rsidRPr="00DB5635">
        <w:rPr>
          <w:lang w:val="es-ES_tradnl"/>
        </w:rPr>
        <w:t>, que</w:t>
      </w:r>
      <w:r w:rsidR="00D2700B">
        <w:rPr>
          <w:lang w:val="es-ES_tradnl"/>
        </w:rPr>
        <w:t> </w:t>
      </w:r>
      <w:r w:rsidR="007E07CB" w:rsidRPr="00DB5635">
        <w:rPr>
          <w:lang w:val="es-ES_tradnl"/>
        </w:rPr>
        <w:t>posee la experiencia y los conocimientos necesarios en materia de acuerdos jurídicos internacionales, cuenta con un asesor jurídico especializado que desempeña las funciones requeridas en las reuniones intergubernamentales. Así pues, las distintas Secretarías conservan a sus profesionales del ámbito jurídico con la exclusiva finalidad de atender las necesidades muy concretas de cada Convenio y mandato.</w:t>
      </w:r>
    </w:p>
    <w:p w14:paraId="008EEDE2" w14:textId="4CD6ED4C" w:rsidR="00863F6A" w:rsidRPr="00DB5635" w:rsidRDefault="00863F6A" w:rsidP="00180C18">
      <w:pPr>
        <w:pStyle w:val="Normalnumber"/>
        <w:tabs>
          <w:tab w:val="clear" w:pos="597"/>
          <w:tab w:val="clear" w:pos="624"/>
        </w:tabs>
        <w:ind w:left="1247"/>
        <w:rPr>
          <w:lang w:val="es-ES_tradnl"/>
        </w:rPr>
      </w:pPr>
      <w:r w:rsidRPr="00DB5635">
        <w:rPr>
          <w:lang w:val="es-ES_tradnl"/>
        </w:rPr>
        <w:t>El PNUMA recomienda estudiar otras modalidades de cooperación que no requieran una reorganización estructural y, por tanto, no reduzcan la autonomía de las respectivas secretarías, y que</w:t>
      </w:r>
      <w:r w:rsidR="00D2700B">
        <w:rPr>
          <w:lang w:val="es-ES_tradnl"/>
        </w:rPr>
        <w:t> </w:t>
      </w:r>
      <w:r w:rsidRPr="00DB5635">
        <w:rPr>
          <w:lang w:val="es-ES_tradnl"/>
        </w:rPr>
        <w:t>conlleven unas adiciones mínimas al presupuesto. Las dos Secretarías se beneficiarían del establecimiento de grupos de trabajo o equipos de tareas intersecretariales para abordar aspectos específicos de los servicios sustantivos o administrativos. Por ejemplo, los equipos jurídicos de las dos</w:t>
      </w:r>
      <w:r w:rsidR="00D2700B">
        <w:rPr>
          <w:lang w:val="es-ES_tradnl"/>
        </w:rPr>
        <w:t> </w:t>
      </w:r>
      <w:r w:rsidRPr="00DB5635">
        <w:rPr>
          <w:lang w:val="es-ES_tradnl"/>
        </w:rPr>
        <w:t>Secretarías podrían colaborar por medio de uno de esos equipos de tareas conjuntos, cuya labor facilitaría el intercambio de conocimientos especializados sin necesidad de cambiar radicalmente las disposiciones administrativas.</w:t>
      </w:r>
    </w:p>
    <w:p w14:paraId="0648ACD4" w14:textId="00A63166" w:rsidR="00863F6A" w:rsidRPr="00DB5635" w:rsidRDefault="00E50040" w:rsidP="00174DCA">
      <w:pPr>
        <w:pStyle w:val="CH1"/>
        <w:rPr>
          <w:lang w:val="es-ES_tradnl"/>
        </w:rPr>
      </w:pPr>
      <w:r w:rsidRPr="00DB5635">
        <w:rPr>
          <w:lang w:val="es-ES_tradnl"/>
        </w:rPr>
        <w:tab/>
      </w:r>
      <w:r w:rsidR="004A0684" w:rsidRPr="00DB5635">
        <w:rPr>
          <w:lang w:val="es-ES_tradnl"/>
        </w:rPr>
        <w:t>X.</w:t>
      </w:r>
      <w:r w:rsidR="004A0684" w:rsidRPr="00DB5635">
        <w:rPr>
          <w:lang w:val="es-ES_tradnl"/>
        </w:rPr>
        <w:tab/>
      </w:r>
      <w:r w:rsidR="004A0684" w:rsidRPr="00DB5635">
        <w:rPr>
          <w:bCs/>
          <w:lang w:val="es-ES_tradnl"/>
        </w:rPr>
        <w:t>Conclusión</w:t>
      </w:r>
      <w:bookmarkStart w:id="23" w:name="_Toc21073444"/>
      <w:bookmarkStart w:id="24" w:name="_Toc22825247"/>
      <w:bookmarkEnd w:id="23"/>
      <w:bookmarkEnd w:id="24"/>
    </w:p>
    <w:p w14:paraId="2D1AFD8F" w14:textId="0224ED55" w:rsidR="00863F6A" w:rsidRPr="00DB5635" w:rsidRDefault="00863DF0" w:rsidP="00180C18">
      <w:pPr>
        <w:pStyle w:val="Normalnumber"/>
        <w:tabs>
          <w:tab w:val="clear" w:pos="597"/>
          <w:tab w:val="clear" w:pos="624"/>
        </w:tabs>
        <w:ind w:left="1247"/>
        <w:rPr>
          <w:lang w:val="es-ES_tradnl"/>
        </w:rPr>
      </w:pPr>
      <w:r w:rsidRPr="00DB5635">
        <w:rPr>
          <w:lang w:val="es-ES_tradnl"/>
        </w:rPr>
        <w:t>A la luz del examen, se ha llegado a la conclusión de que la adquisición por la Secretaría del</w:t>
      </w:r>
      <w:r w:rsidR="00D2700B">
        <w:rPr>
          <w:lang w:val="es-ES_tradnl"/>
        </w:rPr>
        <w:t> </w:t>
      </w:r>
      <w:r w:rsidRPr="00DB5635">
        <w:rPr>
          <w:lang w:val="es-ES_tradnl"/>
        </w:rPr>
        <w:t xml:space="preserve">Convenio de Minamata de servicios de la Secretaría de los Convenios de Basilea, Estocolmo y Rotterdam en régimen de recuperación de </w:t>
      </w:r>
      <w:r w:rsidR="00270364" w:rsidRPr="00DB5635">
        <w:rPr>
          <w:lang w:val="es-ES_tradnl"/>
        </w:rPr>
        <w:t>costos es la opción más económica</w:t>
      </w:r>
      <w:r w:rsidRPr="00DB5635">
        <w:rPr>
          <w:lang w:val="es-ES_tradnl"/>
        </w:rPr>
        <w:t>, como se indica en el</w:t>
      </w:r>
      <w:r w:rsidR="00D2700B">
        <w:rPr>
          <w:lang w:val="es-ES_tradnl"/>
        </w:rPr>
        <w:t> </w:t>
      </w:r>
      <w:r w:rsidRPr="00DB5635">
        <w:rPr>
          <w:lang w:val="es-ES_tradnl"/>
        </w:rPr>
        <w:t xml:space="preserve">cuadro que </w:t>
      </w:r>
      <w:r w:rsidR="00270364" w:rsidRPr="00DB5635">
        <w:rPr>
          <w:lang w:val="es-ES_tradnl"/>
        </w:rPr>
        <w:t>figura a continuación, y conlleva</w:t>
      </w:r>
      <w:r w:rsidRPr="00DB5635">
        <w:rPr>
          <w:lang w:val="es-ES_tradnl"/>
        </w:rPr>
        <w:t xml:space="preserve"> ventajas gracias a las sinergias generadas en cuanto a</w:t>
      </w:r>
      <w:r w:rsidR="00D2700B">
        <w:rPr>
          <w:lang w:val="es-ES_tradnl"/>
        </w:rPr>
        <w:t> </w:t>
      </w:r>
      <w:r w:rsidRPr="00DB5635">
        <w:rPr>
          <w:lang w:val="es-ES_tradnl"/>
        </w:rPr>
        <w:t>experiencia y proximidad. Dado que el modelo de recuperación de costos no requiere una reorganización estructural, las Secretarías respectivas conservan su autonomía. El carácter cíclico de los servicios necesarios para apoyar las reuniones de la Conferencia de las Partes en el Convenio de Minamata, que tienen lugar una vez cada dos años, no justifica la creación de nuevas estructuras permanentes ni exigen la transferencia de la mitad de los recursos de personal financiados por las Partes en el Convenio de Minamata y en los Convenios de Basilea, Estocolmo y Rotterdam.</w:t>
      </w:r>
    </w:p>
    <w:p w14:paraId="7F7E334A" w14:textId="02C1D659" w:rsidR="00863F6A" w:rsidRPr="00DB5635" w:rsidRDefault="00E50040" w:rsidP="00CA4C07">
      <w:pPr>
        <w:pStyle w:val="CH1"/>
        <w:rPr>
          <w:lang w:val="es-ES_tradnl"/>
        </w:rPr>
      </w:pPr>
      <w:r w:rsidRPr="00DB5635">
        <w:rPr>
          <w:lang w:val="es-ES_tradnl"/>
        </w:rPr>
        <w:tab/>
      </w:r>
      <w:r w:rsidR="00CA4C07" w:rsidRPr="00DB5635">
        <w:rPr>
          <w:lang w:val="es-ES_tradnl"/>
        </w:rPr>
        <w:t>XI.</w:t>
      </w:r>
      <w:r w:rsidR="00CA4C07" w:rsidRPr="00DB5635">
        <w:rPr>
          <w:lang w:val="es-ES_tradnl"/>
        </w:rPr>
        <w:tab/>
      </w:r>
      <w:r w:rsidR="00CA4C07" w:rsidRPr="00DB5635">
        <w:rPr>
          <w:bCs/>
          <w:lang w:val="es-ES_tradnl"/>
        </w:rPr>
        <w:t>Resumen indicativo de los gastos adicionales</w:t>
      </w:r>
      <w:bookmarkStart w:id="25" w:name="_Toc21073445"/>
      <w:bookmarkStart w:id="26" w:name="_Toc22825248"/>
      <w:bookmarkEnd w:id="25"/>
      <w:bookmarkEnd w:id="26"/>
    </w:p>
    <w:p w14:paraId="2782A4B8" w14:textId="77777777" w:rsidR="00863F6A" w:rsidRPr="00DB5635" w:rsidRDefault="00863F6A" w:rsidP="00180C18">
      <w:pPr>
        <w:pStyle w:val="Normalnumber"/>
        <w:tabs>
          <w:tab w:val="clear" w:pos="597"/>
          <w:tab w:val="clear" w:pos="624"/>
        </w:tabs>
        <w:ind w:left="1247"/>
        <w:rPr>
          <w:lang w:val="es-ES_tradnl"/>
        </w:rPr>
      </w:pPr>
      <w:r w:rsidRPr="00DB5635">
        <w:rPr>
          <w:lang w:val="es-ES_tradnl"/>
        </w:rPr>
        <w:t>En el cuadro que figura a continuación se resumen los gastos adicionales que entrañarían los tres modelos examinados en la evaluación. En el anexo II se desglosan los costos de las reuniones de la Conferencia de las Partes según los tres modelos.</w:t>
      </w:r>
    </w:p>
    <w:tbl>
      <w:tblPr>
        <w:tblStyle w:val="TableGrid"/>
        <w:tblW w:w="814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1148"/>
        <w:gridCol w:w="1208"/>
        <w:gridCol w:w="1052"/>
        <w:gridCol w:w="1053"/>
      </w:tblGrid>
      <w:tr w:rsidR="00863F6A" w:rsidRPr="00DB5635" w14:paraId="0253E785" w14:textId="77777777" w:rsidTr="00D2700B">
        <w:trPr>
          <w:trHeight w:val="57"/>
          <w:jc w:val="right"/>
        </w:trPr>
        <w:tc>
          <w:tcPr>
            <w:tcW w:w="3686" w:type="dxa"/>
            <w:tcBorders>
              <w:top w:val="single" w:sz="4" w:space="0" w:color="auto"/>
              <w:bottom w:val="single" w:sz="12" w:space="0" w:color="auto"/>
            </w:tcBorders>
          </w:tcPr>
          <w:p w14:paraId="59F5E841" w14:textId="77777777"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rPr>
                <w:i/>
                <w:sz w:val="18"/>
                <w:szCs w:val="18"/>
                <w:lang w:val="es-ES_tradnl"/>
              </w:rPr>
            </w:pPr>
          </w:p>
        </w:tc>
        <w:tc>
          <w:tcPr>
            <w:tcW w:w="1148" w:type="dxa"/>
            <w:tcBorders>
              <w:top w:val="single" w:sz="4" w:space="0" w:color="auto"/>
              <w:bottom w:val="single" w:sz="12" w:space="0" w:color="auto"/>
            </w:tcBorders>
          </w:tcPr>
          <w:p w14:paraId="49DBF568" w14:textId="7019040B" w:rsidR="00863F6A" w:rsidRPr="00DB5635" w:rsidRDefault="001639C5" w:rsidP="007B3F75">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lang w:val="es-ES_tradnl"/>
              </w:rPr>
            </w:pPr>
            <w:r w:rsidRPr="00DB5635">
              <w:rPr>
                <w:i/>
                <w:iCs/>
                <w:sz w:val="18"/>
                <w:szCs w:val="18"/>
                <w:lang w:val="es-ES_tradnl"/>
              </w:rPr>
              <w:t>Reunión de</w:t>
            </w:r>
            <w:r w:rsidR="00D2700B">
              <w:rPr>
                <w:i/>
                <w:iCs/>
                <w:sz w:val="18"/>
                <w:szCs w:val="18"/>
                <w:lang w:val="es-ES_tradnl"/>
              </w:rPr>
              <w:t> </w:t>
            </w:r>
            <w:r w:rsidRPr="00DB5635">
              <w:rPr>
                <w:i/>
                <w:iCs/>
                <w:sz w:val="18"/>
                <w:szCs w:val="18"/>
                <w:lang w:val="es-ES_tradnl"/>
              </w:rPr>
              <w:t>la C</w:t>
            </w:r>
            <w:r w:rsidR="003841ED">
              <w:rPr>
                <w:i/>
                <w:iCs/>
                <w:sz w:val="18"/>
                <w:szCs w:val="18"/>
                <w:lang w:val="es-ES_tradnl"/>
              </w:rPr>
              <w:t xml:space="preserve">onferencia de las </w:t>
            </w:r>
            <w:r w:rsidRPr="00DB5635">
              <w:rPr>
                <w:i/>
                <w:iCs/>
                <w:sz w:val="18"/>
                <w:szCs w:val="18"/>
                <w:lang w:val="es-ES_tradnl"/>
              </w:rPr>
              <w:t>P</w:t>
            </w:r>
            <w:r w:rsidR="003841ED">
              <w:rPr>
                <w:i/>
                <w:iCs/>
                <w:sz w:val="18"/>
                <w:szCs w:val="18"/>
                <w:lang w:val="es-ES_tradnl"/>
              </w:rPr>
              <w:t>artes</w:t>
            </w:r>
            <w:r w:rsidRPr="00DB5635">
              <w:rPr>
                <w:sz w:val="18"/>
                <w:szCs w:val="18"/>
                <w:lang w:val="es-ES_tradnl"/>
              </w:rPr>
              <w:t xml:space="preserve"> </w:t>
            </w:r>
          </w:p>
        </w:tc>
        <w:tc>
          <w:tcPr>
            <w:tcW w:w="1208" w:type="dxa"/>
            <w:tcBorders>
              <w:top w:val="single" w:sz="4" w:space="0" w:color="auto"/>
              <w:bottom w:val="single" w:sz="12" w:space="0" w:color="auto"/>
            </w:tcBorders>
          </w:tcPr>
          <w:p w14:paraId="166270EC" w14:textId="5DC24FE0" w:rsidR="00863F6A" w:rsidRPr="00DB5635" w:rsidRDefault="00F81272" w:rsidP="007B3F75">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lang w:val="es-ES_tradnl"/>
              </w:rPr>
            </w:pPr>
            <w:r w:rsidRPr="00DB5635">
              <w:rPr>
                <w:i/>
                <w:iCs/>
                <w:sz w:val="18"/>
                <w:szCs w:val="18"/>
                <w:lang w:val="es-ES_tradnl"/>
              </w:rPr>
              <w:t>Estimaciones indicativas del</w:t>
            </w:r>
            <w:r w:rsidR="00863F6A" w:rsidRPr="00DB5635">
              <w:rPr>
                <w:i/>
                <w:iCs/>
                <w:sz w:val="18"/>
                <w:szCs w:val="18"/>
                <w:lang w:val="es-ES_tradnl"/>
              </w:rPr>
              <w:t xml:space="preserve"> ahorro</w:t>
            </w:r>
          </w:p>
        </w:tc>
        <w:tc>
          <w:tcPr>
            <w:tcW w:w="1052" w:type="dxa"/>
            <w:tcBorders>
              <w:top w:val="single" w:sz="4" w:space="0" w:color="auto"/>
              <w:bottom w:val="single" w:sz="12" w:space="0" w:color="auto"/>
            </w:tcBorders>
          </w:tcPr>
          <w:p w14:paraId="5992D4EA" w14:textId="77777777"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lang w:val="es-ES_tradnl"/>
              </w:rPr>
            </w:pPr>
            <w:r w:rsidRPr="00DB5635">
              <w:rPr>
                <w:i/>
                <w:iCs/>
                <w:sz w:val="18"/>
                <w:szCs w:val="18"/>
                <w:lang w:val="es-ES_tradnl"/>
              </w:rPr>
              <w:t>Gastos de personal</w:t>
            </w:r>
          </w:p>
        </w:tc>
        <w:tc>
          <w:tcPr>
            <w:tcW w:w="1053" w:type="dxa"/>
            <w:tcBorders>
              <w:top w:val="single" w:sz="4" w:space="0" w:color="auto"/>
              <w:bottom w:val="single" w:sz="12" w:space="0" w:color="auto"/>
            </w:tcBorders>
          </w:tcPr>
          <w:p w14:paraId="70FF0446" w14:textId="77777777"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lang w:val="es-ES_tradnl"/>
              </w:rPr>
            </w:pPr>
            <w:r w:rsidRPr="00DB5635">
              <w:rPr>
                <w:i/>
                <w:iCs/>
                <w:sz w:val="18"/>
                <w:szCs w:val="18"/>
                <w:lang w:val="es-ES_tradnl"/>
              </w:rPr>
              <w:t>Total</w:t>
            </w:r>
          </w:p>
        </w:tc>
      </w:tr>
      <w:tr w:rsidR="00863F6A" w:rsidRPr="00DB5635" w14:paraId="4818FA55" w14:textId="77777777" w:rsidTr="00D2700B">
        <w:trPr>
          <w:trHeight w:val="57"/>
          <w:jc w:val="right"/>
        </w:trPr>
        <w:tc>
          <w:tcPr>
            <w:tcW w:w="3686" w:type="dxa"/>
            <w:tcBorders>
              <w:top w:val="single" w:sz="12" w:space="0" w:color="auto"/>
              <w:bottom w:val="dotted" w:sz="4" w:space="0" w:color="auto"/>
            </w:tcBorders>
          </w:tcPr>
          <w:p w14:paraId="67E596FB" w14:textId="77777777"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rPr>
                <w:sz w:val="18"/>
                <w:szCs w:val="18"/>
                <w:lang w:val="es-ES_tradnl"/>
              </w:rPr>
            </w:pPr>
            <w:r w:rsidRPr="00DB5635">
              <w:rPr>
                <w:sz w:val="18"/>
                <w:szCs w:val="18"/>
                <w:lang w:val="es-ES_tradnl"/>
              </w:rPr>
              <w:t>Modelo de unificación de los servicios</w:t>
            </w:r>
          </w:p>
        </w:tc>
        <w:tc>
          <w:tcPr>
            <w:tcW w:w="1148" w:type="dxa"/>
            <w:tcBorders>
              <w:top w:val="single" w:sz="12" w:space="0" w:color="auto"/>
              <w:bottom w:val="dotted" w:sz="4" w:space="0" w:color="auto"/>
            </w:tcBorders>
          </w:tcPr>
          <w:p w14:paraId="6DDE07D4" w14:textId="21933A3B"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228</w:t>
            </w:r>
            <w:r w:rsidR="007B3F75" w:rsidRPr="00DB5635">
              <w:rPr>
                <w:sz w:val="18"/>
                <w:szCs w:val="18"/>
                <w:lang w:val="es-ES_tradnl"/>
              </w:rPr>
              <w:t> </w:t>
            </w:r>
            <w:r w:rsidRPr="00DB5635">
              <w:rPr>
                <w:sz w:val="18"/>
                <w:szCs w:val="18"/>
                <w:lang w:val="es-ES_tradnl"/>
              </w:rPr>
              <w:t>000</w:t>
            </w:r>
          </w:p>
        </w:tc>
        <w:tc>
          <w:tcPr>
            <w:tcW w:w="1208" w:type="dxa"/>
            <w:tcBorders>
              <w:top w:val="single" w:sz="12" w:space="0" w:color="auto"/>
              <w:bottom w:val="dotted" w:sz="4" w:space="0" w:color="auto"/>
            </w:tcBorders>
          </w:tcPr>
          <w:p w14:paraId="79DF4F64" w14:textId="77777777" w:rsidR="00863F6A" w:rsidRPr="00DB5635" w:rsidRDefault="000A7F53"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w:t>
            </w:r>
          </w:p>
        </w:tc>
        <w:tc>
          <w:tcPr>
            <w:tcW w:w="1052" w:type="dxa"/>
            <w:tcBorders>
              <w:top w:val="single" w:sz="12" w:space="0" w:color="auto"/>
              <w:bottom w:val="dotted" w:sz="4" w:space="0" w:color="auto"/>
            </w:tcBorders>
          </w:tcPr>
          <w:p w14:paraId="06F5A771" w14:textId="7C6C138B"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507</w:t>
            </w:r>
            <w:r w:rsidR="007B3F75" w:rsidRPr="00DB5635">
              <w:rPr>
                <w:sz w:val="18"/>
                <w:szCs w:val="18"/>
                <w:lang w:val="es-ES_tradnl"/>
              </w:rPr>
              <w:t> </w:t>
            </w:r>
            <w:r w:rsidRPr="00DB5635">
              <w:rPr>
                <w:sz w:val="18"/>
                <w:szCs w:val="18"/>
                <w:lang w:val="es-ES_tradnl"/>
              </w:rPr>
              <w:t>000</w:t>
            </w:r>
          </w:p>
        </w:tc>
        <w:tc>
          <w:tcPr>
            <w:tcW w:w="1053" w:type="dxa"/>
            <w:tcBorders>
              <w:top w:val="single" w:sz="12" w:space="0" w:color="auto"/>
              <w:bottom w:val="dotted" w:sz="4" w:space="0" w:color="auto"/>
            </w:tcBorders>
          </w:tcPr>
          <w:p w14:paraId="1925541F" w14:textId="76ADA98B"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735</w:t>
            </w:r>
            <w:r w:rsidR="007B3F75" w:rsidRPr="00DB5635">
              <w:rPr>
                <w:sz w:val="18"/>
                <w:szCs w:val="18"/>
                <w:lang w:val="es-ES_tradnl"/>
              </w:rPr>
              <w:t> </w:t>
            </w:r>
            <w:r w:rsidRPr="00DB5635">
              <w:rPr>
                <w:sz w:val="18"/>
                <w:szCs w:val="18"/>
                <w:lang w:val="es-ES_tradnl"/>
              </w:rPr>
              <w:t>000</w:t>
            </w:r>
          </w:p>
        </w:tc>
      </w:tr>
      <w:tr w:rsidR="00863F6A" w:rsidRPr="00DB5635" w14:paraId="04E4ECFD" w14:textId="77777777" w:rsidTr="00D2700B">
        <w:trPr>
          <w:trHeight w:val="57"/>
          <w:jc w:val="right"/>
        </w:trPr>
        <w:tc>
          <w:tcPr>
            <w:tcW w:w="3686" w:type="dxa"/>
            <w:tcBorders>
              <w:top w:val="dotted" w:sz="4" w:space="0" w:color="auto"/>
              <w:bottom w:val="dotted" w:sz="4" w:space="0" w:color="auto"/>
            </w:tcBorders>
          </w:tcPr>
          <w:p w14:paraId="01487D41" w14:textId="6F193F14"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rPr>
                <w:sz w:val="18"/>
                <w:szCs w:val="18"/>
                <w:lang w:val="es-ES_tradnl"/>
              </w:rPr>
            </w:pPr>
            <w:r w:rsidRPr="00DB5635">
              <w:rPr>
                <w:sz w:val="18"/>
                <w:szCs w:val="18"/>
                <w:lang w:val="es-ES_tradnl"/>
              </w:rPr>
              <w:t>Redistribución del personal de la Secretaría del C</w:t>
            </w:r>
            <w:r w:rsidR="003841ED">
              <w:rPr>
                <w:sz w:val="18"/>
                <w:szCs w:val="18"/>
                <w:lang w:val="es-ES_tradnl"/>
              </w:rPr>
              <w:t xml:space="preserve">onvenio de </w:t>
            </w:r>
            <w:r w:rsidRPr="00DB5635">
              <w:rPr>
                <w:sz w:val="18"/>
                <w:szCs w:val="18"/>
                <w:lang w:val="es-ES_tradnl"/>
              </w:rPr>
              <w:t>M</w:t>
            </w:r>
            <w:r w:rsidR="003841ED">
              <w:rPr>
                <w:sz w:val="18"/>
                <w:szCs w:val="18"/>
                <w:lang w:val="es-ES_tradnl"/>
              </w:rPr>
              <w:t>inamata</w:t>
            </w:r>
            <w:r w:rsidRPr="00DB5635">
              <w:rPr>
                <w:sz w:val="18"/>
                <w:szCs w:val="18"/>
                <w:lang w:val="es-ES_tradnl"/>
              </w:rPr>
              <w:t xml:space="preserve"> a las Secretarías de los </w:t>
            </w:r>
            <w:r w:rsidR="003841ED">
              <w:rPr>
                <w:sz w:val="18"/>
                <w:szCs w:val="18"/>
                <w:lang w:val="es-ES_tradnl"/>
              </w:rPr>
              <w:t xml:space="preserve">Convenios de </w:t>
            </w:r>
            <w:r w:rsidRPr="00DB5635">
              <w:rPr>
                <w:sz w:val="18"/>
                <w:szCs w:val="18"/>
                <w:lang w:val="es-ES_tradnl"/>
              </w:rPr>
              <w:t>B</w:t>
            </w:r>
            <w:r w:rsidR="003841ED">
              <w:rPr>
                <w:sz w:val="18"/>
                <w:szCs w:val="18"/>
                <w:lang w:val="es-ES_tradnl"/>
              </w:rPr>
              <w:t xml:space="preserve">asilea, </w:t>
            </w:r>
            <w:r w:rsidRPr="00DB5635">
              <w:rPr>
                <w:sz w:val="18"/>
                <w:szCs w:val="18"/>
                <w:lang w:val="es-ES_tradnl"/>
              </w:rPr>
              <w:t>E</w:t>
            </w:r>
            <w:r w:rsidR="003841ED">
              <w:rPr>
                <w:sz w:val="18"/>
                <w:szCs w:val="18"/>
                <w:lang w:val="es-ES_tradnl"/>
              </w:rPr>
              <w:t xml:space="preserve">stocolmo y </w:t>
            </w:r>
            <w:r w:rsidRPr="00DB5635">
              <w:rPr>
                <w:sz w:val="18"/>
                <w:szCs w:val="18"/>
                <w:lang w:val="es-ES_tradnl"/>
              </w:rPr>
              <w:t>R</w:t>
            </w:r>
            <w:r w:rsidR="003841ED">
              <w:rPr>
                <w:sz w:val="18"/>
                <w:szCs w:val="18"/>
                <w:lang w:val="es-ES_tradnl"/>
              </w:rPr>
              <w:t>otterdam</w:t>
            </w:r>
          </w:p>
        </w:tc>
        <w:tc>
          <w:tcPr>
            <w:tcW w:w="1148" w:type="dxa"/>
            <w:tcBorders>
              <w:top w:val="dotted" w:sz="4" w:space="0" w:color="auto"/>
              <w:bottom w:val="dotted" w:sz="4" w:space="0" w:color="auto"/>
            </w:tcBorders>
          </w:tcPr>
          <w:p w14:paraId="54F9C914" w14:textId="6AA89C1B"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270</w:t>
            </w:r>
            <w:r w:rsidR="007B3F75" w:rsidRPr="00DB5635">
              <w:rPr>
                <w:sz w:val="18"/>
                <w:szCs w:val="18"/>
                <w:lang w:val="es-ES_tradnl"/>
              </w:rPr>
              <w:t> </w:t>
            </w:r>
            <w:r w:rsidRPr="00DB5635">
              <w:rPr>
                <w:sz w:val="18"/>
                <w:szCs w:val="18"/>
                <w:lang w:val="es-ES_tradnl"/>
              </w:rPr>
              <w:t>000</w:t>
            </w:r>
          </w:p>
        </w:tc>
        <w:tc>
          <w:tcPr>
            <w:tcW w:w="1208" w:type="dxa"/>
            <w:tcBorders>
              <w:top w:val="dotted" w:sz="4" w:space="0" w:color="auto"/>
              <w:bottom w:val="dotted" w:sz="4" w:space="0" w:color="auto"/>
            </w:tcBorders>
          </w:tcPr>
          <w:p w14:paraId="0DA3F364" w14:textId="2E79AA9C"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(354</w:t>
            </w:r>
            <w:r w:rsidR="007B3F75" w:rsidRPr="00DB5635">
              <w:rPr>
                <w:sz w:val="18"/>
                <w:szCs w:val="18"/>
                <w:lang w:val="es-ES_tradnl"/>
              </w:rPr>
              <w:t> </w:t>
            </w:r>
            <w:r w:rsidRPr="00DB5635">
              <w:rPr>
                <w:sz w:val="18"/>
                <w:szCs w:val="18"/>
                <w:lang w:val="es-ES_tradnl"/>
              </w:rPr>
              <w:t>000)</w:t>
            </w:r>
          </w:p>
        </w:tc>
        <w:tc>
          <w:tcPr>
            <w:tcW w:w="1052" w:type="dxa"/>
            <w:tcBorders>
              <w:top w:val="dotted" w:sz="4" w:space="0" w:color="auto"/>
              <w:bottom w:val="dotted" w:sz="4" w:space="0" w:color="auto"/>
            </w:tcBorders>
          </w:tcPr>
          <w:p w14:paraId="65BCEA37" w14:textId="74D4CF6F"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629</w:t>
            </w:r>
            <w:r w:rsidR="007B3F75" w:rsidRPr="00DB5635">
              <w:rPr>
                <w:sz w:val="18"/>
                <w:szCs w:val="18"/>
                <w:lang w:val="es-ES_tradnl"/>
              </w:rPr>
              <w:t> </w:t>
            </w:r>
            <w:r w:rsidRPr="00DB5635">
              <w:rPr>
                <w:sz w:val="18"/>
                <w:szCs w:val="18"/>
                <w:lang w:val="es-ES_tradnl"/>
              </w:rPr>
              <w:t>000</w:t>
            </w:r>
          </w:p>
        </w:tc>
        <w:tc>
          <w:tcPr>
            <w:tcW w:w="1053" w:type="dxa"/>
            <w:tcBorders>
              <w:top w:val="dotted" w:sz="4" w:space="0" w:color="auto"/>
              <w:bottom w:val="dotted" w:sz="4" w:space="0" w:color="auto"/>
            </w:tcBorders>
          </w:tcPr>
          <w:p w14:paraId="1B72243D" w14:textId="7D5A83A9"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545</w:t>
            </w:r>
            <w:r w:rsidR="007B3F75" w:rsidRPr="00DB5635">
              <w:rPr>
                <w:sz w:val="18"/>
                <w:szCs w:val="18"/>
                <w:lang w:val="es-ES_tradnl"/>
              </w:rPr>
              <w:t> </w:t>
            </w:r>
            <w:r w:rsidRPr="00DB5635">
              <w:rPr>
                <w:sz w:val="18"/>
                <w:szCs w:val="18"/>
                <w:lang w:val="es-ES_tradnl"/>
              </w:rPr>
              <w:t>000</w:t>
            </w:r>
          </w:p>
        </w:tc>
      </w:tr>
      <w:tr w:rsidR="00863F6A" w:rsidRPr="00DB5635" w14:paraId="7953D1B9" w14:textId="77777777" w:rsidTr="00D2700B">
        <w:trPr>
          <w:trHeight w:val="57"/>
          <w:jc w:val="right"/>
        </w:trPr>
        <w:tc>
          <w:tcPr>
            <w:tcW w:w="3686" w:type="dxa"/>
            <w:tcBorders>
              <w:top w:val="dotted" w:sz="4" w:space="0" w:color="auto"/>
              <w:bottom w:val="single" w:sz="12" w:space="0" w:color="auto"/>
            </w:tcBorders>
          </w:tcPr>
          <w:p w14:paraId="5D645B8F" w14:textId="77777777" w:rsidR="00863F6A" w:rsidRPr="00DB5635" w:rsidRDefault="00CE554D" w:rsidP="007B3F75">
            <w:pPr>
              <w:pStyle w:val="Normal-pool"/>
              <w:keepNext/>
              <w:keepLines/>
              <w:tabs>
                <w:tab w:val="clear" w:pos="1247"/>
                <w:tab w:val="clear" w:pos="1814"/>
                <w:tab w:val="clear" w:pos="2381"/>
                <w:tab w:val="clear" w:pos="2948"/>
                <w:tab w:val="clear" w:pos="3515"/>
                <w:tab w:val="clear" w:pos="4082"/>
              </w:tabs>
              <w:spacing w:before="40" w:after="40"/>
              <w:rPr>
                <w:sz w:val="18"/>
                <w:szCs w:val="18"/>
                <w:lang w:val="es-ES_tradnl"/>
              </w:rPr>
            </w:pPr>
            <w:r w:rsidRPr="00DB5635">
              <w:rPr>
                <w:sz w:val="18"/>
                <w:szCs w:val="18"/>
                <w:lang w:val="es-ES_tradnl"/>
              </w:rPr>
              <w:t>Modelo de recuperación de los costos</w:t>
            </w:r>
          </w:p>
        </w:tc>
        <w:tc>
          <w:tcPr>
            <w:tcW w:w="1148" w:type="dxa"/>
            <w:tcBorders>
              <w:top w:val="dotted" w:sz="4" w:space="0" w:color="auto"/>
              <w:bottom w:val="single" w:sz="12" w:space="0" w:color="auto"/>
            </w:tcBorders>
          </w:tcPr>
          <w:p w14:paraId="6E1958E2" w14:textId="3B796C9F"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270</w:t>
            </w:r>
            <w:r w:rsidR="007B3F75" w:rsidRPr="00DB5635">
              <w:rPr>
                <w:sz w:val="18"/>
                <w:szCs w:val="18"/>
                <w:lang w:val="es-ES_tradnl"/>
              </w:rPr>
              <w:t> </w:t>
            </w:r>
            <w:r w:rsidRPr="00DB5635">
              <w:rPr>
                <w:sz w:val="18"/>
                <w:szCs w:val="18"/>
                <w:lang w:val="es-ES_tradnl"/>
              </w:rPr>
              <w:t>000</w:t>
            </w:r>
          </w:p>
        </w:tc>
        <w:tc>
          <w:tcPr>
            <w:tcW w:w="1208" w:type="dxa"/>
            <w:tcBorders>
              <w:top w:val="dotted" w:sz="4" w:space="0" w:color="auto"/>
              <w:bottom w:val="single" w:sz="12" w:space="0" w:color="auto"/>
            </w:tcBorders>
          </w:tcPr>
          <w:p w14:paraId="5D73D16F" w14:textId="77777777" w:rsidR="00863F6A" w:rsidRPr="00DB5635" w:rsidRDefault="000A7F53"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w:t>
            </w:r>
          </w:p>
        </w:tc>
        <w:tc>
          <w:tcPr>
            <w:tcW w:w="1052" w:type="dxa"/>
            <w:tcBorders>
              <w:top w:val="dotted" w:sz="4" w:space="0" w:color="auto"/>
              <w:bottom w:val="single" w:sz="12" w:space="0" w:color="auto"/>
            </w:tcBorders>
          </w:tcPr>
          <w:p w14:paraId="3F366890" w14:textId="77777777" w:rsidR="00863F6A" w:rsidRPr="00DB5635" w:rsidRDefault="000A7F53"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w:t>
            </w:r>
          </w:p>
        </w:tc>
        <w:tc>
          <w:tcPr>
            <w:tcW w:w="1053" w:type="dxa"/>
            <w:tcBorders>
              <w:top w:val="dotted" w:sz="4" w:space="0" w:color="auto"/>
              <w:bottom w:val="single" w:sz="12" w:space="0" w:color="auto"/>
            </w:tcBorders>
          </w:tcPr>
          <w:p w14:paraId="255642F7" w14:textId="73F30909" w:rsidR="00863F6A" w:rsidRPr="00DB5635" w:rsidRDefault="00863F6A" w:rsidP="007B3F75">
            <w:pPr>
              <w:pStyle w:val="Normal-pool"/>
              <w:keepNext/>
              <w:keepLines/>
              <w:tabs>
                <w:tab w:val="clear" w:pos="1247"/>
                <w:tab w:val="clear" w:pos="1814"/>
                <w:tab w:val="clear" w:pos="2381"/>
                <w:tab w:val="clear" w:pos="2948"/>
                <w:tab w:val="clear" w:pos="3515"/>
                <w:tab w:val="clear" w:pos="4082"/>
              </w:tabs>
              <w:spacing w:before="40" w:after="40"/>
              <w:jc w:val="right"/>
              <w:rPr>
                <w:sz w:val="18"/>
                <w:szCs w:val="18"/>
                <w:lang w:val="es-ES_tradnl"/>
              </w:rPr>
            </w:pPr>
            <w:r w:rsidRPr="00DB5635">
              <w:rPr>
                <w:sz w:val="18"/>
                <w:szCs w:val="18"/>
                <w:lang w:val="es-ES_tradnl"/>
              </w:rPr>
              <w:t>270</w:t>
            </w:r>
            <w:r w:rsidR="007B3F75" w:rsidRPr="00DB5635">
              <w:rPr>
                <w:sz w:val="18"/>
                <w:szCs w:val="18"/>
                <w:lang w:val="es-ES_tradnl"/>
              </w:rPr>
              <w:t> </w:t>
            </w:r>
            <w:r w:rsidRPr="00DB5635">
              <w:rPr>
                <w:sz w:val="18"/>
                <w:szCs w:val="18"/>
                <w:lang w:val="es-ES_tradnl"/>
              </w:rPr>
              <w:t>000</w:t>
            </w:r>
          </w:p>
        </w:tc>
      </w:tr>
    </w:tbl>
    <w:p w14:paraId="1549550A" w14:textId="77777777" w:rsidR="00CA4C07" w:rsidRPr="00DB5635" w:rsidRDefault="00D11F27" w:rsidP="00CA4C07">
      <w:pPr>
        <w:pStyle w:val="Normal-pool"/>
        <w:rPr>
          <w:lang w:val="es-ES_tradnl"/>
        </w:rPr>
        <w:sectPr w:rsidR="00CA4C07" w:rsidRPr="00DB5635" w:rsidSect="009E0757">
          <w:headerReference w:type="even" r:id="rId20"/>
          <w:headerReference w:type="default" r:id="rId21"/>
          <w:footerReference w:type="default" r:id="rId22"/>
          <w:headerReference w:type="first" r:id="rId23"/>
          <w:footerReference w:type="first" r:id="rId24"/>
          <w:footnotePr>
            <w:numRestart w:val="eachSect"/>
          </w:footnotePr>
          <w:pgSz w:w="11907" w:h="16840" w:code="9"/>
          <w:pgMar w:top="907" w:right="992" w:bottom="1418" w:left="1418" w:header="539" w:footer="975" w:gutter="0"/>
          <w:cols w:space="539"/>
          <w:titlePg/>
          <w:docGrid w:linePitch="360"/>
        </w:sectPr>
      </w:pPr>
      <w:r w:rsidRPr="00DB5635">
        <w:rPr>
          <w:lang w:val="es-ES_tradnl"/>
        </w:rPr>
        <w:tab/>
      </w:r>
    </w:p>
    <w:p w14:paraId="395011A3" w14:textId="57EB3251" w:rsidR="001639C5" w:rsidRPr="00DB5635" w:rsidRDefault="00863F6A" w:rsidP="004C173E">
      <w:pPr>
        <w:pStyle w:val="ZZAnxheader"/>
        <w:rPr>
          <w:lang w:val="es-ES_tradnl"/>
        </w:rPr>
      </w:pPr>
      <w:bookmarkStart w:id="27" w:name="_Toc22825249"/>
      <w:r w:rsidRPr="00DB5635">
        <w:rPr>
          <w:lang w:val="es-ES_tradnl"/>
        </w:rPr>
        <w:t>Anexo I</w:t>
      </w:r>
      <w:bookmarkEnd w:id="27"/>
    </w:p>
    <w:p w14:paraId="4FC16C1C" w14:textId="2D613DBF" w:rsidR="006D6321" w:rsidRPr="00D2700B" w:rsidRDefault="00E50040" w:rsidP="00D2700B">
      <w:pPr>
        <w:pStyle w:val="CH1"/>
        <w:rPr>
          <w:sz w:val="24"/>
          <w:szCs w:val="24"/>
          <w:lang w:val="es-ES_tradnl"/>
        </w:rPr>
      </w:pPr>
      <w:r w:rsidRPr="00D2700B">
        <w:rPr>
          <w:sz w:val="24"/>
          <w:szCs w:val="24"/>
          <w:lang w:val="es-ES_tradnl"/>
        </w:rPr>
        <w:tab/>
      </w:r>
      <w:r w:rsidR="004C173E" w:rsidRPr="00D2700B">
        <w:rPr>
          <w:sz w:val="24"/>
          <w:szCs w:val="24"/>
          <w:lang w:val="es-ES_tradnl"/>
        </w:rPr>
        <w:t>A.</w:t>
      </w:r>
      <w:r w:rsidR="004C173E" w:rsidRPr="00D2700B">
        <w:rPr>
          <w:sz w:val="24"/>
          <w:szCs w:val="24"/>
          <w:lang w:val="es-ES_tradnl"/>
        </w:rPr>
        <w:tab/>
      </w:r>
      <w:r w:rsidR="004C173E" w:rsidRPr="00D2700B">
        <w:rPr>
          <w:bCs/>
          <w:sz w:val="24"/>
          <w:szCs w:val="24"/>
          <w:lang w:val="es-ES_tradnl"/>
        </w:rPr>
        <w:t>Propuesta de servicios compartidos mediante la redistribución de personal de la Secretaría del Convenio de Minamata a la Secretaría de los Convenios de Basilea, Estocolmo y Rotterdam</w:t>
      </w:r>
      <w:bookmarkStart w:id="28" w:name="_Toc21073446"/>
      <w:bookmarkStart w:id="29" w:name="_Toc22825250"/>
      <w:bookmarkEnd w:id="28"/>
      <w:bookmarkEnd w:id="29"/>
    </w:p>
    <w:p w14:paraId="4A5D5C77" w14:textId="77777777" w:rsidR="00863F6A" w:rsidRPr="00DB5635" w:rsidRDefault="00863F6A" w:rsidP="00421D8E">
      <w:pPr>
        <w:pStyle w:val="Normalnumber"/>
        <w:numPr>
          <w:ilvl w:val="0"/>
          <w:numId w:val="6"/>
        </w:numPr>
        <w:tabs>
          <w:tab w:val="clear" w:pos="597"/>
          <w:tab w:val="clear" w:pos="624"/>
        </w:tabs>
        <w:ind w:left="1247"/>
        <w:rPr>
          <w:lang w:val="es-ES_tradnl"/>
        </w:rPr>
      </w:pPr>
      <w:r w:rsidRPr="00DB5635">
        <w:rPr>
          <w:lang w:val="es-ES_tradnl"/>
        </w:rPr>
        <w:t>A continuación se enumeran las esferas en las que podría sopesarse la disposición de arreglos para compartir servicios durante el bienio 2020-2021. En los casos en que se asignasen recursos del Convenio de Minamata a los servicios compartidos, esos recursos pasarían a formar parte de un equipo mucho mayor que prestaría servicios a la Secretaría del Convenio de Minamata y a las Secretarías de los Convenios de Basilea, Estocolmo y Rotterdam. Más abajo se expone la estimación de las necesidades de recursos humanos y sus costos respectivos. Los gastos no relacionados con el personal se incluyen en la propuesta presupuestaria de la Secretaria Ejecutiva del Convenio de Minamata para el bienio 2020-2021.</w:t>
      </w:r>
    </w:p>
    <w:p w14:paraId="7AB12974" w14:textId="75EB5F00" w:rsidR="00863F6A" w:rsidRPr="00DB5635" w:rsidRDefault="00863F6A" w:rsidP="00421D8E">
      <w:pPr>
        <w:pStyle w:val="Normalnumber"/>
        <w:numPr>
          <w:ilvl w:val="0"/>
          <w:numId w:val="6"/>
        </w:numPr>
        <w:tabs>
          <w:tab w:val="clear" w:pos="597"/>
          <w:tab w:val="clear" w:pos="624"/>
        </w:tabs>
        <w:ind w:left="1247"/>
        <w:rPr>
          <w:lang w:val="es-ES_tradnl"/>
        </w:rPr>
      </w:pPr>
      <w:r w:rsidRPr="00DB5635">
        <w:rPr>
          <w:b/>
          <w:bCs/>
          <w:lang w:val="es-ES_tradnl"/>
        </w:rPr>
        <w:t>Servicios de conferencias y reuniones</w:t>
      </w:r>
      <w:r w:rsidR="009946AD" w:rsidRPr="00DB5635">
        <w:rPr>
          <w:lang w:val="es-ES_tradnl"/>
        </w:rPr>
        <w:t>. Estos servicios abarcan numerosas</w:t>
      </w:r>
      <w:r w:rsidRPr="00DB5635">
        <w:rPr>
          <w:lang w:val="es-ES_tradnl"/>
        </w:rPr>
        <w:t xml:space="preserve"> actividades para diversos tipos de reuniones, a saber: las reuniones de las Conferencias de las Partes, las reuniones regionales, las reuniones de la Mesa y, en algunos casos, las reuniones de los grupos técnicos, según se indica a continuación:</w:t>
      </w:r>
      <w:bookmarkStart w:id="30" w:name="_Hlk526164591"/>
      <w:bookmarkEnd w:id="30"/>
    </w:p>
    <w:p w14:paraId="79903A61" w14:textId="3EAAE7C6" w:rsidR="00863F6A" w:rsidRPr="00DB5635" w:rsidRDefault="005E0D8C" w:rsidP="004436A3">
      <w:pPr>
        <w:pStyle w:val="Normalnumber"/>
        <w:numPr>
          <w:ilvl w:val="0"/>
          <w:numId w:val="0"/>
        </w:numPr>
        <w:tabs>
          <w:tab w:val="clear" w:pos="624"/>
        </w:tabs>
        <w:ind w:left="1247" w:firstLine="624"/>
        <w:rPr>
          <w:lang w:val="es-ES_tradnl"/>
        </w:rPr>
      </w:pPr>
      <w:r w:rsidRPr="00DB5635">
        <w:rPr>
          <w:lang w:val="es-ES_tradnl"/>
        </w:rPr>
        <w:t>a)</w:t>
      </w:r>
      <w:r w:rsidRPr="00DB5635">
        <w:rPr>
          <w:lang w:val="es-ES_tradnl"/>
        </w:rPr>
        <w:tab/>
      </w:r>
      <w:r w:rsidR="00863F6A" w:rsidRPr="00DB5635">
        <w:rPr>
          <w:i/>
          <w:lang w:val="es-ES_tradnl"/>
        </w:rPr>
        <w:t xml:space="preserve">La </w:t>
      </w:r>
      <w:r w:rsidR="00863F6A" w:rsidRPr="00DB5635">
        <w:rPr>
          <w:i/>
          <w:iCs/>
          <w:lang w:val="es-ES_tradnl"/>
        </w:rPr>
        <w:t>gestión logística</w:t>
      </w:r>
      <w:r w:rsidR="00863F6A" w:rsidRPr="00DB5635">
        <w:rPr>
          <w:lang w:val="es-ES_tradnl"/>
        </w:rPr>
        <w:t xml:space="preserve"> comprende una amplia gama de servicios: búsqueda y contratación del lugar de celebración; definición del número de salas de conferencias y del equipo necesario; servicios de comedor y medidas de seguridad; preparación de notas de información y logística; prestación de apoyo logístico durante la</w:t>
      </w:r>
      <w:r w:rsidR="00A71930" w:rsidRPr="00DB5635">
        <w:rPr>
          <w:lang w:val="es-ES_tradnl"/>
        </w:rPr>
        <w:t>s reuniones</w:t>
      </w:r>
      <w:r w:rsidR="00863F6A" w:rsidRPr="00DB5635">
        <w:rPr>
          <w:lang w:val="es-ES_tradnl"/>
        </w:rPr>
        <w:t xml:space="preserve">, en especial la verificación de que los equipos y las placas de identificación se han colocado debidamente en las salas de conferencias y </w:t>
      </w:r>
      <w:r w:rsidR="00A71930" w:rsidRPr="00DB5635">
        <w:rPr>
          <w:lang w:val="es-ES_tradnl"/>
        </w:rPr>
        <w:t xml:space="preserve">de </w:t>
      </w:r>
      <w:r w:rsidR="00863F6A" w:rsidRPr="00DB5635">
        <w:rPr>
          <w:lang w:val="es-ES_tradnl"/>
        </w:rPr>
        <w:t xml:space="preserve">que estas salas se han organizado según lo solicitado; preparación de especificaciones técnicas para la adquisición de bienes y servicios, incluida la elaboración de los mandatos y la revisión de los requisitos técnicos; gestión de los proveedores y supervisión de la prestación de servicios. </w:t>
      </w:r>
    </w:p>
    <w:p w14:paraId="2D1C832A" w14:textId="77AD326F" w:rsidR="00863F6A" w:rsidRPr="00DB5635" w:rsidRDefault="005E0D8C" w:rsidP="004436A3">
      <w:pPr>
        <w:pStyle w:val="Normalnumber"/>
        <w:numPr>
          <w:ilvl w:val="0"/>
          <w:numId w:val="0"/>
        </w:numPr>
        <w:tabs>
          <w:tab w:val="clear" w:pos="624"/>
        </w:tabs>
        <w:ind w:left="1247" w:firstLine="624"/>
        <w:rPr>
          <w:lang w:val="es-ES_tradnl"/>
        </w:rPr>
      </w:pPr>
      <w:r w:rsidRPr="00DB5635">
        <w:rPr>
          <w:lang w:val="es-ES_tradnl"/>
        </w:rPr>
        <w:t>b)</w:t>
      </w:r>
      <w:r w:rsidRPr="00DB5635">
        <w:rPr>
          <w:lang w:val="es-ES_tradnl"/>
        </w:rPr>
        <w:tab/>
      </w:r>
      <w:r w:rsidR="00863F6A" w:rsidRPr="00DB5635">
        <w:rPr>
          <w:i/>
          <w:lang w:val="es-ES_tradnl"/>
        </w:rPr>
        <w:t>La</w:t>
      </w:r>
      <w:r w:rsidR="00863F6A" w:rsidRPr="00DB5635">
        <w:rPr>
          <w:lang w:val="es-ES_tradnl"/>
        </w:rPr>
        <w:t xml:space="preserve"> </w:t>
      </w:r>
      <w:r w:rsidR="00863F6A" w:rsidRPr="00DB5635">
        <w:rPr>
          <w:i/>
          <w:iCs/>
          <w:lang w:val="es-ES_tradnl"/>
        </w:rPr>
        <w:t>gestión de los participantes</w:t>
      </w:r>
      <w:r w:rsidR="00863F6A" w:rsidRPr="00DB5635">
        <w:rPr>
          <w:lang w:val="es-ES_tradnl"/>
        </w:rPr>
        <w:t xml:space="preserve"> comprende los servicios siguientes: envío de cartas de invitación; creación de una plataforma en línea para la inscripción de los participantes; recepción de cartas de designación y preparación de listas para las distintas categorías de participantes (por ejemplo, financiados, no financiados, observadores); aprobación de los participantes y envío de cartas de confirmación y</w:t>
      </w:r>
      <w:r w:rsidR="00A71930" w:rsidRPr="00DB5635">
        <w:rPr>
          <w:lang w:val="es-ES_tradnl"/>
        </w:rPr>
        <w:t>, si procede,</w:t>
      </w:r>
      <w:r w:rsidR="00863F6A" w:rsidRPr="00DB5635">
        <w:rPr>
          <w:lang w:val="es-ES_tradnl"/>
        </w:rPr>
        <w:t xml:space="preserve"> cartas de apoyo para la obtención de visados; formulación y certificación de solicitudes de viaje y solicitudes de reembolso de los gastos en Umoja; solicitud de itinerarios a la dependencia de </w:t>
      </w:r>
      <w:r w:rsidR="00A71930" w:rsidRPr="00DB5635">
        <w:rPr>
          <w:lang w:val="es-ES_tradnl"/>
        </w:rPr>
        <w:t xml:space="preserve">viajes de las </w:t>
      </w:r>
      <w:r w:rsidR="00A66967" w:rsidRPr="00DB5635">
        <w:rPr>
          <w:lang w:val="es-ES_tradnl"/>
        </w:rPr>
        <w:t>Naciones Unidas</w:t>
      </w:r>
      <w:r w:rsidR="00A71930" w:rsidRPr="00DB5635">
        <w:rPr>
          <w:lang w:val="es-ES_tradnl"/>
        </w:rPr>
        <w:t xml:space="preserve">, </w:t>
      </w:r>
      <w:r w:rsidR="00863F6A" w:rsidRPr="00DB5635">
        <w:rPr>
          <w:lang w:val="es-ES_tradnl"/>
        </w:rPr>
        <w:t>compra de billetes y correspondencia conexa con los participantes; inscripción de los participantes en la reunión y envío de las tarjetas de identificación; preparación, presentación y supervisión de las solicitudes de dietas para los pa</w:t>
      </w:r>
      <w:r w:rsidR="000C3412" w:rsidRPr="00DB5635">
        <w:rPr>
          <w:lang w:val="es-ES_tradnl"/>
        </w:rPr>
        <w:t>rticipantes que reciban subven</w:t>
      </w:r>
      <w:r w:rsidR="00863F6A" w:rsidRPr="00DB5635">
        <w:rPr>
          <w:lang w:val="es-ES_tradnl"/>
        </w:rPr>
        <w:t xml:space="preserve">ción; y preparación de las listas de participantes. </w:t>
      </w:r>
    </w:p>
    <w:p w14:paraId="39E0B9B3" w14:textId="6B8166E0" w:rsidR="00863F6A" w:rsidRPr="00DB5635" w:rsidRDefault="005E0D8C" w:rsidP="004436A3">
      <w:pPr>
        <w:pStyle w:val="Normalnumber"/>
        <w:numPr>
          <w:ilvl w:val="0"/>
          <w:numId w:val="0"/>
        </w:numPr>
        <w:tabs>
          <w:tab w:val="clear" w:pos="624"/>
        </w:tabs>
        <w:ind w:left="1247" w:firstLine="624"/>
        <w:rPr>
          <w:lang w:val="es-ES_tradnl"/>
        </w:rPr>
      </w:pPr>
      <w:r w:rsidRPr="00DB5635">
        <w:rPr>
          <w:lang w:val="es-ES_tradnl"/>
        </w:rPr>
        <w:tab/>
        <w:t>c)</w:t>
      </w:r>
      <w:r w:rsidRPr="00DB5635">
        <w:rPr>
          <w:lang w:val="es-ES_tradnl"/>
        </w:rPr>
        <w:tab/>
      </w:r>
      <w:r w:rsidR="00863F6A" w:rsidRPr="00DB5635">
        <w:rPr>
          <w:i/>
          <w:lang w:val="es-ES_tradnl"/>
        </w:rPr>
        <w:t xml:space="preserve">La </w:t>
      </w:r>
      <w:r w:rsidR="00863F6A" w:rsidRPr="00DB5635">
        <w:rPr>
          <w:i/>
          <w:iCs/>
          <w:lang w:val="es-ES_tradnl"/>
        </w:rPr>
        <w:t>gestión de documentos</w:t>
      </w:r>
      <w:r w:rsidR="00863F6A" w:rsidRPr="00DB5635">
        <w:rPr>
          <w:lang w:val="es-ES_tradnl"/>
        </w:rPr>
        <w:t xml:space="preserve"> comprende los servicios siguientes: presentación de documentos completos a la Dependencia de Inglés de la Oficina de las </w:t>
      </w:r>
      <w:r w:rsidR="00A66967" w:rsidRPr="00DB5635">
        <w:rPr>
          <w:lang w:val="es-ES_tradnl"/>
        </w:rPr>
        <w:t>Naciones Unidas</w:t>
      </w:r>
      <w:r w:rsidR="00863F6A" w:rsidRPr="00DB5635">
        <w:rPr>
          <w:lang w:val="es-ES_tradnl"/>
        </w:rPr>
        <w:t xml:space="preserve"> en Nairobi para su tratamiento, revisión y traducción oficiales (que se someterán al examen programático, jurídico y normativo del Convenio de Minamata y deberán ser aprobados por la Secretaría Ejecutiva del Convenio de Minamata); revisión de las traducciones por funcionarios </w:t>
      </w:r>
      <w:r w:rsidR="000C3412" w:rsidRPr="00DB5635">
        <w:rPr>
          <w:lang w:val="es-ES_tradnl"/>
        </w:rPr>
        <w:t>dotados de</w:t>
      </w:r>
      <w:r w:rsidR="00863F6A" w:rsidRPr="00DB5635">
        <w:rPr>
          <w:lang w:val="es-ES_tradnl"/>
        </w:rPr>
        <w:t xml:space="preserve"> la competencia lingüística adecuada; revisión de las modificaciones propuestas por la Dependencia de Inglés de la</w:t>
      </w:r>
      <w:r w:rsidR="00D76451" w:rsidRPr="00DB5635">
        <w:rPr>
          <w:lang w:val="es-ES_tradnl"/>
        </w:rPr>
        <w:t> </w:t>
      </w:r>
      <w:r w:rsidR="00863F6A" w:rsidRPr="00DB5635">
        <w:rPr>
          <w:lang w:val="es-ES_tradnl"/>
        </w:rPr>
        <w:t xml:space="preserve">Oficina de las </w:t>
      </w:r>
      <w:r w:rsidR="00A66967" w:rsidRPr="00DB5635">
        <w:rPr>
          <w:lang w:val="es-ES_tradnl"/>
        </w:rPr>
        <w:t>Naciones Unidas</w:t>
      </w:r>
      <w:r w:rsidR="00863F6A" w:rsidRPr="00DB5635">
        <w:rPr>
          <w:lang w:val="es-ES_tradnl"/>
        </w:rPr>
        <w:t xml:space="preserve"> en Nairobi con los autores de los documentos específicos y la Secretaría Ejecutiva del Convenio de Minamata; seguimiento de los progresos realizados por la División de Servicios de Conferencias en el procesamiento de la documentación elaborada antes, en el</w:t>
      </w:r>
      <w:r w:rsidR="00D2700B">
        <w:rPr>
          <w:lang w:val="es-ES_tradnl"/>
        </w:rPr>
        <w:t> </w:t>
      </w:r>
      <w:r w:rsidR="00863F6A" w:rsidRPr="00DB5635">
        <w:rPr>
          <w:lang w:val="es-ES_tradnl"/>
        </w:rPr>
        <w:t>curso y después de las reuniones, y publicación de las versiones definitivas de los documentos en el</w:t>
      </w:r>
      <w:r w:rsidR="00D2700B">
        <w:rPr>
          <w:lang w:val="es-ES_tradnl"/>
        </w:rPr>
        <w:t> </w:t>
      </w:r>
      <w:r w:rsidR="00863F6A" w:rsidRPr="00DB5635">
        <w:rPr>
          <w:lang w:val="es-ES_tradnl"/>
        </w:rPr>
        <w:t xml:space="preserve">sitio web del Convenio. </w:t>
      </w:r>
    </w:p>
    <w:p w14:paraId="7D40E0E4" w14:textId="47D81304" w:rsidR="00863F6A" w:rsidRPr="00DB5635" w:rsidRDefault="00863F6A" w:rsidP="00295A7B">
      <w:pPr>
        <w:pStyle w:val="Normalnumber"/>
        <w:tabs>
          <w:tab w:val="clear" w:pos="597"/>
          <w:tab w:val="clear" w:pos="624"/>
        </w:tabs>
        <w:ind w:left="1247"/>
        <w:rPr>
          <w:lang w:val="es-ES_tradnl"/>
        </w:rPr>
      </w:pPr>
      <w:r w:rsidRPr="00DB5635">
        <w:rPr>
          <w:b/>
          <w:bCs/>
          <w:lang w:val="es-ES_tradnl"/>
        </w:rPr>
        <w:t>Creación de capacidad y asistencia técnica.</w:t>
      </w:r>
      <w:r w:rsidRPr="00DB5635">
        <w:rPr>
          <w:lang w:val="es-ES_tradnl"/>
        </w:rPr>
        <w:t xml:space="preserve"> Esta labor suele integrarse entre las responsabilidades básicas de las Secretarías, salvo por la posible duplicación de las tareas de los centros regionales de los Convenios de Basilea y Estocolmo y de las actividades relacionadas con los desechos de mercurio que podrían llevarse a cabo mediante un arreglo de servicios compartidos. Para ello haría falta concertar arreglos de prestación compartida con los centros regionales y concebir y desplegar actividades de capacitación y asistencia técnica a fin de ayudar a las Partes en la labor que realizan para cumplir las disposiciones relacionadas con los desechos de mercurio de los respectivos convenios. Además, la Secretaría del Convenio de Minamata podría iniciar una colaboración programática con la Secretaría de los Convenios de Basilea, Estocolmo y Rotterdam para llevar a cabo</w:t>
      </w:r>
      <w:r w:rsidR="00D76451" w:rsidRPr="00DB5635">
        <w:rPr>
          <w:lang w:val="es-ES_tradnl"/>
        </w:rPr>
        <w:t> </w:t>
      </w:r>
      <w:r w:rsidRPr="00DB5635">
        <w:rPr>
          <w:lang w:val="es-ES_tradnl"/>
        </w:rPr>
        <w:t xml:space="preserve">una labor científica y técnica que beneficie a todos los convenios que participen en ella. </w:t>
      </w:r>
    </w:p>
    <w:p w14:paraId="3D007501" w14:textId="77777777" w:rsidR="00863F6A" w:rsidRPr="00DB5635" w:rsidRDefault="00863F6A" w:rsidP="00D76451">
      <w:pPr>
        <w:pStyle w:val="Normalnumber"/>
        <w:keepNext/>
        <w:keepLines/>
        <w:tabs>
          <w:tab w:val="clear" w:pos="597"/>
          <w:tab w:val="clear" w:pos="624"/>
        </w:tabs>
        <w:ind w:left="1247"/>
        <w:rPr>
          <w:lang w:val="es-ES_tradnl"/>
        </w:rPr>
      </w:pPr>
      <w:r w:rsidRPr="00DB5635">
        <w:rPr>
          <w:b/>
          <w:bCs/>
          <w:lang w:val="es-ES_tradnl"/>
        </w:rPr>
        <w:t xml:space="preserve">Gestión y </w:t>
      </w:r>
      <w:r w:rsidRPr="00DB5635">
        <w:rPr>
          <w:b/>
          <w:lang w:val="es-ES_tradnl"/>
        </w:rPr>
        <w:t>divulgación</w:t>
      </w:r>
      <w:r w:rsidRPr="00DB5635">
        <w:rPr>
          <w:b/>
          <w:bCs/>
          <w:lang w:val="es-ES_tradnl"/>
        </w:rPr>
        <w:t xml:space="preserve"> de conocimientos e información:</w:t>
      </w:r>
    </w:p>
    <w:p w14:paraId="559569AD" w14:textId="41EC301D" w:rsidR="00863F6A" w:rsidRPr="00DB5635" w:rsidRDefault="00EC040E" w:rsidP="00D2700B">
      <w:pPr>
        <w:pStyle w:val="Normalnumber"/>
        <w:keepNext/>
        <w:keepLines/>
        <w:numPr>
          <w:ilvl w:val="0"/>
          <w:numId w:val="0"/>
        </w:numPr>
        <w:tabs>
          <w:tab w:val="clear" w:pos="624"/>
        </w:tabs>
        <w:ind w:left="1247" w:firstLine="624"/>
        <w:rPr>
          <w:lang w:val="es-ES_tradnl"/>
        </w:rPr>
      </w:pPr>
      <w:r w:rsidRPr="00DB5635">
        <w:rPr>
          <w:lang w:val="es-ES_tradnl"/>
        </w:rPr>
        <w:t>a)</w:t>
      </w:r>
      <w:r w:rsidRPr="00DB5635">
        <w:rPr>
          <w:lang w:val="es-ES_tradnl"/>
        </w:rPr>
        <w:tab/>
      </w:r>
      <w:r w:rsidR="00863F6A" w:rsidRPr="00DB5635">
        <w:rPr>
          <w:i/>
          <w:lang w:val="es-ES_tradnl"/>
        </w:rPr>
        <w:t>La</w:t>
      </w:r>
      <w:r w:rsidR="00863F6A" w:rsidRPr="00DB5635">
        <w:rPr>
          <w:i/>
          <w:iCs/>
          <w:lang w:val="es-ES_tradnl"/>
        </w:rPr>
        <w:t xml:space="preserve"> comunicación, divulgación y sensibilización del público</w:t>
      </w:r>
      <w:r w:rsidR="00863F6A" w:rsidRPr="00DB5635">
        <w:rPr>
          <w:lang w:val="es-ES_tradnl"/>
        </w:rPr>
        <w:t xml:space="preserve"> comprende la concepción, la gestión y la aplicación de una estrategia de comunicación y de las actividades que procedan para orientar la labor de divulgación, en concreto, la colaboración de los medios de comunicación y la emisión de comunicados de prensa; la elaboración de contenidos para el sitio web;</w:t>
      </w:r>
      <w:r w:rsidR="000C3412" w:rsidRPr="00DB5635">
        <w:rPr>
          <w:lang w:val="es-ES_tradnl"/>
        </w:rPr>
        <w:t xml:space="preserve"> la</w:t>
      </w:r>
      <w:r w:rsidR="00863F6A" w:rsidRPr="00DB5635">
        <w:rPr>
          <w:lang w:val="es-ES_tradnl"/>
        </w:rPr>
        <w:t xml:space="preserve"> cobertura fotográfica y difusión en redes sociales; </w:t>
      </w:r>
      <w:r w:rsidR="000C3412" w:rsidRPr="00DB5635">
        <w:rPr>
          <w:lang w:val="es-ES_tradnl"/>
        </w:rPr>
        <w:t xml:space="preserve">los </w:t>
      </w:r>
      <w:r w:rsidR="00863F6A" w:rsidRPr="00DB5635">
        <w:rPr>
          <w:lang w:val="es-ES_tradnl"/>
        </w:rPr>
        <w:t xml:space="preserve">servicios de diseño gráfico; </w:t>
      </w:r>
      <w:r w:rsidR="000C3412" w:rsidRPr="00DB5635">
        <w:rPr>
          <w:lang w:val="es-ES_tradnl"/>
        </w:rPr>
        <w:t xml:space="preserve">el </w:t>
      </w:r>
      <w:r w:rsidR="00863F6A" w:rsidRPr="00DB5635">
        <w:rPr>
          <w:lang w:val="es-ES_tradnl"/>
        </w:rPr>
        <w:t xml:space="preserve">material promocional, como exposiciones en las Conferencias de las Partes y en otras reuniones pertinentes; y </w:t>
      </w:r>
      <w:r w:rsidR="000C3412" w:rsidRPr="00DB5635">
        <w:rPr>
          <w:lang w:val="es-ES_tradnl"/>
        </w:rPr>
        <w:t xml:space="preserve">las </w:t>
      </w:r>
      <w:r w:rsidR="00863F6A" w:rsidRPr="00DB5635">
        <w:rPr>
          <w:lang w:val="es-ES_tradnl"/>
        </w:rPr>
        <w:t>campañas de comunicación. Esta labor comprenderá también el lanzamiento de una campaña destinada a la creación d</w:t>
      </w:r>
      <w:r w:rsidR="000C3412" w:rsidRPr="00DB5635">
        <w:rPr>
          <w:lang w:val="es-ES_tradnl"/>
        </w:rPr>
        <w:t>e una identidad visual bien definida y de una</w:t>
      </w:r>
      <w:r w:rsidR="00863F6A" w:rsidRPr="00DB5635">
        <w:rPr>
          <w:lang w:val="es-ES_tradnl"/>
        </w:rPr>
        <w:t xml:space="preserve"> imagen de marca conexa que contribuyan a promover el Convenio de Minamata. </w:t>
      </w:r>
    </w:p>
    <w:p w14:paraId="6003E22B" w14:textId="7FE94165" w:rsidR="00863F6A" w:rsidRPr="00DB5635" w:rsidRDefault="00EC040E" w:rsidP="00EB17DD">
      <w:pPr>
        <w:pStyle w:val="Normalnumber"/>
        <w:numPr>
          <w:ilvl w:val="0"/>
          <w:numId w:val="0"/>
        </w:numPr>
        <w:tabs>
          <w:tab w:val="clear" w:pos="624"/>
        </w:tabs>
        <w:ind w:left="1247" w:firstLine="624"/>
        <w:rPr>
          <w:lang w:val="es-ES_tradnl"/>
        </w:rPr>
      </w:pPr>
      <w:r w:rsidRPr="00DB5635">
        <w:rPr>
          <w:lang w:val="es-ES_tradnl"/>
        </w:rPr>
        <w:t>b)</w:t>
      </w:r>
      <w:r w:rsidRPr="00DB5635">
        <w:rPr>
          <w:lang w:val="es-ES_tradnl"/>
        </w:rPr>
        <w:tab/>
      </w:r>
      <w:r w:rsidR="00863F6A" w:rsidRPr="00DB5635">
        <w:rPr>
          <w:i/>
          <w:lang w:val="es-ES_tradnl"/>
        </w:rPr>
        <w:t xml:space="preserve">La </w:t>
      </w:r>
      <w:r w:rsidR="00863F6A" w:rsidRPr="00DB5635">
        <w:rPr>
          <w:i/>
          <w:iCs/>
          <w:lang w:val="es-ES_tradnl"/>
        </w:rPr>
        <w:t>gestión de los conocimientos y la información</w:t>
      </w:r>
      <w:r w:rsidR="00863F6A" w:rsidRPr="00DB5635">
        <w:rPr>
          <w:lang w:val="es-ES_tradnl"/>
        </w:rPr>
        <w:t xml:space="preserve"> engloba las tareas siguientes: determinar las necesidades en materia de intercambio de información de conformidad con el artículo</w:t>
      </w:r>
      <w:r w:rsidR="002561FE" w:rsidRPr="00DB5635">
        <w:rPr>
          <w:lang w:val="es-ES_tradnl"/>
        </w:rPr>
        <w:t> </w:t>
      </w:r>
      <w:r w:rsidR="00863F6A" w:rsidRPr="00DB5635">
        <w:rPr>
          <w:lang w:val="es-ES_tradnl"/>
        </w:rPr>
        <w:t>17 del Convenio; buscar posibles fuentes de información; formular y aplicar una estrategia de</w:t>
      </w:r>
      <w:r w:rsidR="002561FE" w:rsidRPr="00DB5635">
        <w:rPr>
          <w:lang w:val="es-ES_tradnl"/>
        </w:rPr>
        <w:t> </w:t>
      </w:r>
      <w:r w:rsidR="00863F6A" w:rsidRPr="00DB5635">
        <w:rPr>
          <w:lang w:val="es-ES_tradnl"/>
        </w:rPr>
        <w:t>intercambio de información para el Convenio; concebir e implantar un sistema de gestión de los conocimientos y unas bases de datos interactivas para, entre otras cosas, gestionar los informes presentados por las Partes con arreglo</w:t>
      </w:r>
      <w:r w:rsidR="000C3412" w:rsidRPr="00DB5635">
        <w:rPr>
          <w:lang w:val="es-ES_tradnl"/>
        </w:rPr>
        <w:t xml:space="preserve"> al artículo 21 del Convenio</w:t>
      </w:r>
      <w:r w:rsidR="00863F6A" w:rsidRPr="00DB5635">
        <w:rPr>
          <w:lang w:val="es-ES_tradnl"/>
        </w:rPr>
        <w:t xml:space="preserve">; preparar los documentos y la correspondencia de las reuniones; seguir de cerca la situación de las ratificaciones y adhesiones; administrar los coordinadores y contactos nacionales; gestionar las bases de datos de reuniones y publicaciones; llevar la contabilidad; y desarrollar y mantener el sitio web. </w:t>
      </w:r>
    </w:p>
    <w:p w14:paraId="10088109" w14:textId="77777777" w:rsidR="00863F6A" w:rsidRPr="00DB5635" w:rsidRDefault="00863F6A" w:rsidP="00441811">
      <w:pPr>
        <w:pStyle w:val="Normalnumber"/>
        <w:tabs>
          <w:tab w:val="clear" w:pos="597"/>
          <w:tab w:val="clear" w:pos="624"/>
        </w:tabs>
        <w:ind w:left="1247"/>
        <w:rPr>
          <w:lang w:val="es-ES_tradnl"/>
        </w:rPr>
      </w:pPr>
      <w:r w:rsidRPr="00DB5635">
        <w:rPr>
          <w:b/>
          <w:lang w:val="es-ES_tradnl"/>
        </w:rPr>
        <w:t xml:space="preserve">Los </w:t>
      </w:r>
      <w:r w:rsidRPr="00DB5635">
        <w:rPr>
          <w:b/>
          <w:bCs/>
          <w:lang w:val="es-ES_tradnl"/>
        </w:rPr>
        <w:t>servicios administrativos y la preparación del presupuesto</w:t>
      </w:r>
      <w:r w:rsidRPr="00DB5635">
        <w:rPr>
          <w:lang w:val="es-ES_tradnl"/>
        </w:rPr>
        <w:t xml:space="preserve"> comprenden las funciones financieras y administrativas de la Secretaría, a saber: la gestión de los recursos humanos; el cálculo de los costos del programa de trabajo; la elaboración del presupuesto; los arreglos contractuales con los proveedores de servicios y los consultores; y las adquisiciones, que podrían llevarse a cabo en un régimen de servicios compartidos. </w:t>
      </w:r>
    </w:p>
    <w:p w14:paraId="314B01F3" w14:textId="77777777" w:rsidR="00863F6A" w:rsidRPr="00DB5635" w:rsidRDefault="00863F6A" w:rsidP="00441811">
      <w:pPr>
        <w:pStyle w:val="Normalnumber"/>
        <w:tabs>
          <w:tab w:val="clear" w:pos="597"/>
          <w:tab w:val="clear" w:pos="624"/>
        </w:tabs>
        <w:ind w:left="1247"/>
        <w:rPr>
          <w:lang w:val="es-ES_tradnl"/>
        </w:rPr>
      </w:pPr>
      <w:r w:rsidRPr="00DB5635">
        <w:rPr>
          <w:b/>
          <w:lang w:val="es-ES_tradnl"/>
        </w:rPr>
        <w:t xml:space="preserve">Los </w:t>
      </w:r>
      <w:r w:rsidRPr="00DB5635">
        <w:rPr>
          <w:b/>
          <w:bCs/>
          <w:lang w:val="es-ES_tradnl"/>
        </w:rPr>
        <w:t>servicios jurídicos</w:t>
      </w:r>
      <w:r w:rsidRPr="00DB5635">
        <w:rPr>
          <w:lang w:val="es-ES_tradnl"/>
        </w:rPr>
        <w:t xml:space="preserve"> engloban lo siguiente: el asesoramiento jurídico para la Conferencia de las Partes y la Mesa; la aprobación de documentos y proyectos de decisión; la redacción y revisión de normas de procedimiento y de otra índole; y el examen de las credenciales. También incluyen los servicios de asesoramiento jurídico para el Convenio, las Partes e interesados a título individual y la Secretaría Ejecutiva; las cuestiones relativas al cumplimiento y la gobernanza; las obligaciones de las Partes; los asuntos jurídicos y de política relativos a la aplicación y el perfeccionamiento del Convenio; y los servicios jurídicos institucionales, que abarcan las cuestiones jurídicas relativas a las adquisiciones, compras y contratos, y la elaboración, el examen, la negociación y la aprobación de acuerdos. Por último, hay que señalar el apoyo especial que se presta a la labor del Comité de Aplicación y Cumplimiento. </w:t>
      </w:r>
    </w:p>
    <w:p w14:paraId="25968C4A" w14:textId="61AD94C1" w:rsidR="00863F6A" w:rsidRPr="00DB5635" w:rsidRDefault="00863F6A" w:rsidP="002561FE">
      <w:pPr>
        <w:pStyle w:val="Normalnumber"/>
        <w:tabs>
          <w:tab w:val="clear" w:pos="597"/>
          <w:tab w:val="clear" w:pos="624"/>
        </w:tabs>
        <w:ind w:left="1247"/>
        <w:rPr>
          <w:lang w:val="es-ES_tradnl"/>
        </w:rPr>
      </w:pPr>
      <w:r w:rsidRPr="00DB5635">
        <w:rPr>
          <w:b/>
          <w:lang w:val="es-ES_tradnl"/>
        </w:rPr>
        <w:t>Los</w:t>
      </w:r>
      <w:r w:rsidRPr="00DB5635">
        <w:rPr>
          <w:lang w:val="es-ES_tradnl"/>
        </w:rPr>
        <w:t xml:space="preserve"> </w:t>
      </w:r>
      <w:r w:rsidRPr="00DB5635">
        <w:rPr>
          <w:b/>
          <w:bCs/>
          <w:lang w:val="es-ES_tradnl"/>
        </w:rPr>
        <w:t>servicios y el mantenimiento de oficinas</w:t>
      </w:r>
      <w:r w:rsidRPr="00DB5635">
        <w:rPr>
          <w:lang w:val="es-ES_tradnl"/>
        </w:rPr>
        <w:t xml:space="preserve"> se refieren únicamente a los servicios de tecnología de la información. La dirección técnica de la supervisión de políticas y normas es competencia de la sección de soluciones institucionales de la División de Servicios Corporativos</w:t>
      </w:r>
      <w:r w:rsidR="003841ED">
        <w:rPr>
          <w:lang w:val="es-ES_tradnl"/>
        </w:rPr>
        <w:t xml:space="preserve"> del</w:t>
      </w:r>
      <w:r w:rsidR="00D2700B">
        <w:rPr>
          <w:lang w:val="es-ES_tradnl"/>
        </w:rPr>
        <w:t> </w:t>
      </w:r>
      <w:r w:rsidR="003841ED">
        <w:rPr>
          <w:lang w:val="es-ES_tradnl"/>
        </w:rPr>
        <w:t>PNUMA</w:t>
      </w:r>
      <w:r w:rsidRPr="00DB5635">
        <w:rPr>
          <w:lang w:val="es-ES_tradnl"/>
        </w:rPr>
        <w:t>. Se entiende que la Secretaría de los Convenios de Basilea, Estocolmo y Rotterdam se atiene y seguirá ateniéndose por completo a las políticas y normas vigentes. E</w:t>
      </w:r>
      <w:r w:rsidR="00675BD8" w:rsidRPr="00DB5635">
        <w:rPr>
          <w:lang w:val="es-ES_tradnl"/>
        </w:rPr>
        <w:t>sta Secretaría y la del Convenio de Minamata acordarán e</w:t>
      </w:r>
      <w:r w:rsidRPr="00DB5635">
        <w:rPr>
          <w:lang w:val="es-ES_tradnl"/>
        </w:rPr>
        <w:t>l alcance, el tipo</w:t>
      </w:r>
      <w:r w:rsidR="00675BD8" w:rsidRPr="00DB5635">
        <w:rPr>
          <w:lang w:val="es-ES_tradnl"/>
        </w:rPr>
        <w:t xml:space="preserve"> y el precio</w:t>
      </w:r>
      <w:r w:rsidRPr="00DB5635">
        <w:rPr>
          <w:lang w:val="es-ES_tradnl"/>
        </w:rPr>
        <w:t xml:space="preserve"> de los servicios. Este grupo se ocupa</w:t>
      </w:r>
      <w:r w:rsidR="00D2700B">
        <w:rPr>
          <w:lang w:val="es-ES_tradnl"/>
        </w:rPr>
        <w:t> </w:t>
      </w:r>
      <w:r w:rsidRPr="00DB5635">
        <w:rPr>
          <w:lang w:val="es-ES_tradnl"/>
        </w:rPr>
        <w:t>de la infraestructura y los servicios relativos a la tecnología de la información, a saber, las computadoras personales y los dispositivos móviles, los paquetes de programas informáticos estándar, la red y la conectividad a Internet, el almacenamiento centralizado de datos y copias de seguridad, la</w:t>
      </w:r>
      <w:r w:rsidR="00D2700B">
        <w:rPr>
          <w:lang w:val="es-ES_tradnl"/>
        </w:rPr>
        <w:t> </w:t>
      </w:r>
      <w:r w:rsidRPr="00DB5635">
        <w:rPr>
          <w:lang w:val="es-ES_tradnl"/>
        </w:rPr>
        <w:t>adquisición de computadoras y equipo conexo, las fotocopiadoras e impresoras de red, las videoconferencias, los seminarios web, los servicios de acceso remoto, los servicios inalámbricos, el</w:t>
      </w:r>
      <w:r w:rsidR="00D2700B">
        <w:rPr>
          <w:lang w:val="es-ES_tradnl"/>
        </w:rPr>
        <w:t> </w:t>
      </w:r>
      <w:r w:rsidRPr="00DB5635">
        <w:rPr>
          <w:lang w:val="es-ES_tradnl"/>
        </w:rPr>
        <w:t>hospedaje de servidores y sitios web, el servicio de asistencia a los usuarios de tecnología de la información, la administración y configuración de redes, la prestación de servicios de la tecnología de</w:t>
      </w:r>
      <w:r w:rsidR="00D2700B">
        <w:rPr>
          <w:lang w:val="es-ES_tradnl"/>
        </w:rPr>
        <w:t> </w:t>
      </w:r>
      <w:r w:rsidRPr="00DB5635">
        <w:rPr>
          <w:lang w:val="es-ES_tradnl"/>
        </w:rPr>
        <w:t xml:space="preserve">la información en las reuniones y los servicios de seguridad en red. </w:t>
      </w:r>
    </w:p>
    <w:p w14:paraId="1B90B187" w14:textId="65976661" w:rsidR="00863F6A" w:rsidRPr="00DB5635" w:rsidRDefault="00720BF5" w:rsidP="002561FE">
      <w:pPr>
        <w:pStyle w:val="Normalnumber"/>
        <w:tabs>
          <w:tab w:val="clear" w:pos="597"/>
          <w:tab w:val="clear" w:pos="624"/>
        </w:tabs>
        <w:ind w:left="1247"/>
        <w:rPr>
          <w:lang w:val="es-ES_tradnl"/>
        </w:rPr>
      </w:pPr>
      <w:r w:rsidRPr="00DB5635">
        <w:rPr>
          <w:lang w:val="es-ES_tradnl"/>
        </w:rPr>
        <w:t>En la sección B del presente anexo se presentan los gastos de personal que figuran en el proyecto de presupuesto de la Secretaria Ejecutiva para el bienio 2020-2021 y se indica</w:t>
      </w:r>
      <w:r w:rsidR="00DB5635" w:rsidRPr="00DB5635">
        <w:rPr>
          <w:lang w:val="es-ES_tradnl"/>
        </w:rPr>
        <w:t>n</w:t>
      </w:r>
      <w:r w:rsidRPr="00DB5635">
        <w:rPr>
          <w:lang w:val="es-ES_tradnl"/>
        </w:rPr>
        <w:t xml:space="preserve"> </w:t>
      </w:r>
      <w:r w:rsidR="00675BD8" w:rsidRPr="00DB5635">
        <w:rPr>
          <w:lang w:val="es-ES_tradnl"/>
        </w:rPr>
        <w:t>los costos que</w:t>
      </w:r>
      <w:r w:rsidRPr="00DB5635">
        <w:rPr>
          <w:lang w:val="es-ES_tradnl"/>
        </w:rPr>
        <w:t xml:space="preserve"> podrían asignarse a servicios compartidos con la Secretaría de los Convenios de Basilea, Estocolmo y Rotterdam. </w:t>
      </w:r>
    </w:p>
    <w:p w14:paraId="5ED8B8D1" w14:textId="77777777" w:rsidR="00863F6A" w:rsidRPr="00DB5635" w:rsidRDefault="00863F6A" w:rsidP="00863F6A">
      <w:pPr>
        <w:rPr>
          <w:b/>
          <w:bCs/>
          <w:u w:val="single"/>
        </w:rPr>
      </w:pPr>
      <w:r w:rsidRPr="00DB5635">
        <w:rPr>
          <w:b/>
          <w:bCs/>
          <w:u w:val="single"/>
        </w:rPr>
        <w:br w:type="page"/>
      </w:r>
    </w:p>
    <w:p w14:paraId="3B37099C" w14:textId="08501D3D" w:rsidR="00863F6A" w:rsidRPr="00D2700B" w:rsidRDefault="00F81272" w:rsidP="00174DCA">
      <w:pPr>
        <w:pStyle w:val="CH1"/>
        <w:rPr>
          <w:sz w:val="24"/>
          <w:szCs w:val="24"/>
          <w:lang w:val="es-ES_tradnl"/>
        </w:rPr>
      </w:pPr>
      <w:r w:rsidRPr="00D2700B">
        <w:rPr>
          <w:sz w:val="24"/>
          <w:szCs w:val="24"/>
          <w:lang w:val="es-ES_tradnl"/>
        </w:rPr>
        <w:tab/>
      </w:r>
      <w:r w:rsidR="000A7F53" w:rsidRPr="00D2700B">
        <w:rPr>
          <w:sz w:val="24"/>
          <w:szCs w:val="24"/>
          <w:lang w:val="es-ES_tradnl"/>
        </w:rPr>
        <w:t>B.</w:t>
      </w:r>
      <w:r w:rsidR="000A7F53" w:rsidRPr="00D2700B">
        <w:rPr>
          <w:sz w:val="24"/>
          <w:szCs w:val="24"/>
          <w:lang w:val="es-ES_tradnl"/>
        </w:rPr>
        <w:tab/>
      </w:r>
      <w:r w:rsidR="000A7F53" w:rsidRPr="00D2700B">
        <w:rPr>
          <w:bCs/>
          <w:sz w:val="24"/>
          <w:szCs w:val="24"/>
          <w:lang w:val="es-ES_tradnl"/>
        </w:rPr>
        <w:t>Financiación de puestos para la redistribución de personal de la Secretaría del Convenio de Minamata a la Secretaría de los Convenios de Basilea, Estocolmo y Rotterdam</w:t>
      </w:r>
      <w:bookmarkStart w:id="31" w:name="_Toc22825251"/>
      <w:bookmarkStart w:id="32" w:name="_Toc22279026"/>
      <w:bookmarkStart w:id="33" w:name="_Toc21073447"/>
      <w:bookmarkEnd w:id="31"/>
      <w:bookmarkEnd w:id="32"/>
      <w:bookmarkEnd w:id="33"/>
    </w:p>
    <w:tbl>
      <w:tblPr>
        <w:tblStyle w:val="TableGrid"/>
        <w:tblW w:w="8307"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425"/>
        <w:gridCol w:w="1174"/>
        <w:gridCol w:w="1354"/>
        <w:gridCol w:w="1354"/>
      </w:tblGrid>
      <w:tr w:rsidR="00863F6A" w:rsidRPr="00DB5635" w14:paraId="786EC428" w14:textId="77777777" w:rsidTr="00174DCA">
        <w:trPr>
          <w:trHeight w:val="57"/>
          <w:jc w:val="right"/>
        </w:trPr>
        <w:tc>
          <w:tcPr>
            <w:tcW w:w="4425" w:type="dxa"/>
            <w:tcBorders>
              <w:top w:val="single" w:sz="2" w:space="0" w:color="auto"/>
              <w:left w:val="dotted" w:sz="4" w:space="0" w:color="auto"/>
              <w:bottom w:val="single" w:sz="12" w:space="0" w:color="auto"/>
              <w:right w:val="dotted" w:sz="4" w:space="0" w:color="auto"/>
            </w:tcBorders>
          </w:tcPr>
          <w:p w14:paraId="49787DCA" w14:textId="77777777" w:rsidR="00863F6A" w:rsidRPr="00DB5635" w:rsidRDefault="00863F6A" w:rsidP="00174DCA">
            <w:pPr>
              <w:pStyle w:val="Normal-pool"/>
              <w:spacing w:before="40" w:after="40"/>
              <w:rPr>
                <w:b/>
                <w:sz w:val="18"/>
                <w:szCs w:val="18"/>
                <w:lang w:val="es-ES_tradnl"/>
              </w:rPr>
            </w:pPr>
            <w:r w:rsidRPr="00DB5635">
              <w:rPr>
                <w:b/>
                <w:sz w:val="18"/>
                <w:szCs w:val="18"/>
                <w:lang w:val="es-ES_tradnl"/>
              </w:rPr>
              <w:t>A.</w:t>
            </w:r>
            <w:r w:rsidRPr="00DB5635">
              <w:rPr>
                <w:sz w:val="18"/>
                <w:szCs w:val="18"/>
                <w:lang w:val="es-ES_tradnl"/>
              </w:rPr>
              <w:t xml:space="preserve"> </w:t>
            </w:r>
            <w:r w:rsidRPr="00DB5635">
              <w:rPr>
                <w:b/>
                <w:bCs/>
                <w:sz w:val="18"/>
                <w:szCs w:val="18"/>
                <w:lang w:val="es-ES_tradnl"/>
              </w:rPr>
              <w:t>Financiado por el Fondo Fiduciario del Convenio de Minamata</w:t>
            </w:r>
          </w:p>
        </w:tc>
        <w:tc>
          <w:tcPr>
            <w:tcW w:w="1174" w:type="dxa"/>
            <w:tcBorders>
              <w:top w:val="single" w:sz="2" w:space="0" w:color="auto"/>
              <w:left w:val="dotted" w:sz="4" w:space="0" w:color="auto"/>
              <w:bottom w:val="single" w:sz="12" w:space="0" w:color="auto"/>
              <w:right w:val="dotted" w:sz="4" w:space="0" w:color="auto"/>
            </w:tcBorders>
          </w:tcPr>
          <w:p w14:paraId="2E7E793D" w14:textId="77777777" w:rsidR="00863F6A" w:rsidRPr="00DB5635" w:rsidRDefault="00863F6A" w:rsidP="00174DCA">
            <w:pPr>
              <w:pStyle w:val="Normal-pool"/>
              <w:spacing w:before="40" w:after="40"/>
              <w:jc w:val="right"/>
              <w:rPr>
                <w:i/>
                <w:sz w:val="18"/>
                <w:szCs w:val="18"/>
                <w:lang w:val="es-ES_tradnl"/>
              </w:rPr>
            </w:pPr>
            <w:r w:rsidRPr="00DB5635">
              <w:rPr>
                <w:i/>
                <w:iCs/>
                <w:sz w:val="18"/>
                <w:szCs w:val="18"/>
                <w:lang w:val="es-ES_tradnl"/>
              </w:rPr>
              <w:t>Todos los puestos</w:t>
            </w:r>
          </w:p>
        </w:tc>
        <w:tc>
          <w:tcPr>
            <w:tcW w:w="1354" w:type="dxa"/>
            <w:tcBorders>
              <w:top w:val="single" w:sz="2" w:space="0" w:color="auto"/>
              <w:left w:val="dotted" w:sz="4" w:space="0" w:color="auto"/>
              <w:bottom w:val="single" w:sz="12" w:space="0" w:color="auto"/>
              <w:right w:val="dotted" w:sz="4" w:space="0" w:color="auto"/>
            </w:tcBorders>
          </w:tcPr>
          <w:p w14:paraId="44FDDE3E" w14:textId="52E79A06" w:rsidR="00863F6A" w:rsidRPr="00DB5635" w:rsidRDefault="00863F6A" w:rsidP="00174DCA">
            <w:pPr>
              <w:pStyle w:val="Normal-pool"/>
              <w:spacing w:before="40" w:after="40"/>
              <w:jc w:val="right"/>
              <w:rPr>
                <w:i/>
                <w:sz w:val="18"/>
                <w:szCs w:val="18"/>
                <w:lang w:val="es-ES_tradnl"/>
              </w:rPr>
            </w:pPr>
            <w:r w:rsidRPr="00DB5635">
              <w:rPr>
                <w:i/>
                <w:iCs/>
                <w:sz w:val="18"/>
                <w:szCs w:val="18"/>
                <w:lang w:val="es-ES_tradnl"/>
              </w:rPr>
              <w:t xml:space="preserve">Transferencia a </w:t>
            </w:r>
            <w:r w:rsidR="003841ED">
              <w:rPr>
                <w:i/>
                <w:iCs/>
                <w:sz w:val="18"/>
                <w:szCs w:val="18"/>
                <w:lang w:val="es-ES_tradnl"/>
              </w:rPr>
              <w:t xml:space="preserve">los Convenios de </w:t>
            </w:r>
            <w:r w:rsidRPr="00DB5635">
              <w:rPr>
                <w:i/>
                <w:iCs/>
                <w:sz w:val="18"/>
                <w:szCs w:val="18"/>
                <w:lang w:val="es-ES_tradnl"/>
              </w:rPr>
              <w:t>B</w:t>
            </w:r>
            <w:r w:rsidR="003841ED">
              <w:rPr>
                <w:i/>
                <w:iCs/>
                <w:sz w:val="18"/>
                <w:szCs w:val="18"/>
                <w:lang w:val="es-ES_tradnl"/>
              </w:rPr>
              <w:t xml:space="preserve">asilea, </w:t>
            </w:r>
            <w:r w:rsidRPr="00DB5635">
              <w:rPr>
                <w:i/>
                <w:iCs/>
                <w:sz w:val="18"/>
                <w:szCs w:val="18"/>
                <w:lang w:val="es-ES_tradnl"/>
              </w:rPr>
              <w:t>E</w:t>
            </w:r>
            <w:r w:rsidR="003841ED">
              <w:rPr>
                <w:i/>
                <w:iCs/>
                <w:sz w:val="18"/>
                <w:szCs w:val="18"/>
                <w:lang w:val="es-ES_tradnl"/>
              </w:rPr>
              <w:t xml:space="preserve">stocolmo y </w:t>
            </w:r>
            <w:r w:rsidRPr="00DB5635">
              <w:rPr>
                <w:i/>
                <w:iCs/>
                <w:sz w:val="18"/>
                <w:szCs w:val="18"/>
                <w:lang w:val="es-ES_tradnl"/>
              </w:rPr>
              <w:t>R</w:t>
            </w:r>
            <w:r w:rsidR="003841ED">
              <w:rPr>
                <w:i/>
                <w:iCs/>
                <w:sz w:val="18"/>
                <w:szCs w:val="18"/>
                <w:lang w:val="es-ES_tradnl"/>
              </w:rPr>
              <w:t>otterdam</w:t>
            </w:r>
          </w:p>
        </w:tc>
        <w:tc>
          <w:tcPr>
            <w:tcW w:w="1354" w:type="dxa"/>
            <w:tcBorders>
              <w:top w:val="single" w:sz="2" w:space="0" w:color="auto"/>
              <w:left w:val="dotted" w:sz="4" w:space="0" w:color="auto"/>
              <w:bottom w:val="single" w:sz="12" w:space="0" w:color="auto"/>
              <w:right w:val="dotted" w:sz="4" w:space="0" w:color="auto"/>
            </w:tcBorders>
          </w:tcPr>
          <w:p w14:paraId="5A43DC7E" w14:textId="627C6057" w:rsidR="00863F6A" w:rsidRPr="00DB5635" w:rsidRDefault="00863F6A" w:rsidP="00174DCA">
            <w:pPr>
              <w:pStyle w:val="Normal-pool"/>
              <w:spacing w:before="40" w:after="40"/>
              <w:jc w:val="right"/>
              <w:rPr>
                <w:i/>
                <w:sz w:val="18"/>
                <w:szCs w:val="18"/>
                <w:lang w:val="es-ES_tradnl"/>
              </w:rPr>
            </w:pPr>
            <w:r w:rsidRPr="00DB5635">
              <w:rPr>
                <w:i/>
                <w:iCs/>
                <w:sz w:val="18"/>
                <w:szCs w:val="18"/>
                <w:lang w:val="es-ES_tradnl"/>
              </w:rPr>
              <w:t xml:space="preserve">Permanencia </w:t>
            </w:r>
            <w:r w:rsidR="003841ED" w:rsidRPr="00DB5635">
              <w:rPr>
                <w:i/>
                <w:iCs/>
                <w:sz w:val="18"/>
                <w:szCs w:val="18"/>
                <w:lang w:val="es-ES_tradnl"/>
              </w:rPr>
              <w:t>en</w:t>
            </w:r>
            <w:r w:rsidR="003841ED">
              <w:rPr>
                <w:i/>
                <w:iCs/>
                <w:sz w:val="18"/>
                <w:szCs w:val="18"/>
                <w:lang w:val="es-ES_tradnl"/>
              </w:rPr>
              <w:t xml:space="preserve"> el </w:t>
            </w:r>
            <w:r w:rsidRPr="00DB5635">
              <w:rPr>
                <w:i/>
                <w:iCs/>
                <w:sz w:val="18"/>
                <w:szCs w:val="18"/>
                <w:lang w:val="es-ES_tradnl"/>
              </w:rPr>
              <w:t>C</w:t>
            </w:r>
            <w:r w:rsidR="003841ED">
              <w:rPr>
                <w:i/>
                <w:iCs/>
                <w:sz w:val="18"/>
                <w:szCs w:val="18"/>
                <w:lang w:val="es-ES_tradnl"/>
              </w:rPr>
              <w:t xml:space="preserve">onvenio de </w:t>
            </w:r>
            <w:r w:rsidRPr="00DB5635">
              <w:rPr>
                <w:i/>
                <w:iCs/>
                <w:sz w:val="18"/>
                <w:szCs w:val="18"/>
                <w:lang w:val="es-ES_tradnl"/>
              </w:rPr>
              <w:t>M</w:t>
            </w:r>
            <w:r w:rsidR="003841ED">
              <w:rPr>
                <w:i/>
                <w:iCs/>
                <w:sz w:val="18"/>
                <w:szCs w:val="18"/>
                <w:lang w:val="es-ES_tradnl"/>
              </w:rPr>
              <w:t>inamata</w:t>
            </w:r>
          </w:p>
        </w:tc>
      </w:tr>
      <w:tr w:rsidR="00863F6A" w:rsidRPr="00DB5635" w14:paraId="2C1850E9" w14:textId="77777777" w:rsidTr="00174DCA">
        <w:trPr>
          <w:trHeight w:val="57"/>
          <w:jc w:val="right"/>
        </w:trPr>
        <w:tc>
          <w:tcPr>
            <w:tcW w:w="4425" w:type="dxa"/>
            <w:tcBorders>
              <w:top w:val="single" w:sz="12" w:space="0" w:color="auto"/>
            </w:tcBorders>
          </w:tcPr>
          <w:p w14:paraId="4C68326F" w14:textId="0931EC9D" w:rsidR="00863F6A" w:rsidRPr="00DB5635" w:rsidRDefault="00863F6A" w:rsidP="00174DCA">
            <w:pPr>
              <w:pStyle w:val="Normal-pool"/>
              <w:spacing w:before="40" w:after="40"/>
              <w:rPr>
                <w:sz w:val="18"/>
                <w:szCs w:val="18"/>
                <w:lang w:val="es-ES_tradnl"/>
              </w:rPr>
            </w:pPr>
            <w:r w:rsidRPr="00DB5635">
              <w:rPr>
                <w:sz w:val="18"/>
                <w:szCs w:val="18"/>
                <w:lang w:val="es-ES_tradnl"/>
              </w:rPr>
              <w:t>D-1</w:t>
            </w:r>
            <w:r w:rsidR="00274E45" w:rsidRPr="00DB5635">
              <w:rPr>
                <w:sz w:val="18"/>
                <w:szCs w:val="18"/>
                <w:lang w:val="es-ES_tradnl"/>
              </w:rPr>
              <w:t xml:space="preserve"> –</w:t>
            </w:r>
            <w:r w:rsidRPr="00DB5635">
              <w:rPr>
                <w:sz w:val="18"/>
                <w:szCs w:val="18"/>
                <w:lang w:val="es-ES_tradnl"/>
              </w:rPr>
              <w:t xml:space="preserve"> Secretaria Ejecutiva</w:t>
            </w:r>
          </w:p>
        </w:tc>
        <w:tc>
          <w:tcPr>
            <w:tcW w:w="1174" w:type="dxa"/>
            <w:tcBorders>
              <w:top w:val="single" w:sz="12" w:space="0" w:color="auto"/>
            </w:tcBorders>
          </w:tcPr>
          <w:p w14:paraId="5463A88F" w14:textId="5C3D2FEA" w:rsidR="00863F6A" w:rsidRPr="00DB5635" w:rsidRDefault="00863F6A" w:rsidP="00174DCA">
            <w:pPr>
              <w:pStyle w:val="Normal-pool"/>
              <w:spacing w:before="40" w:after="40"/>
              <w:jc w:val="right"/>
              <w:rPr>
                <w:sz w:val="18"/>
                <w:szCs w:val="18"/>
                <w:lang w:val="es-ES_tradnl"/>
              </w:rPr>
            </w:pPr>
            <w:r w:rsidRPr="00DB5635">
              <w:rPr>
                <w:sz w:val="18"/>
                <w:szCs w:val="18"/>
                <w:lang w:val="es-ES_tradnl"/>
              </w:rPr>
              <w:t>565</w:t>
            </w:r>
            <w:r w:rsidR="00274E45" w:rsidRPr="00DB5635">
              <w:rPr>
                <w:sz w:val="18"/>
                <w:szCs w:val="18"/>
                <w:lang w:val="es-ES_tradnl"/>
              </w:rPr>
              <w:t> </w:t>
            </w:r>
            <w:r w:rsidRPr="00DB5635">
              <w:rPr>
                <w:sz w:val="18"/>
                <w:szCs w:val="18"/>
                <w:lang w:val="es-ES_tradnl"/>
              </w:rPr>
              <w:t>496</w:t>
            </w:r>
          </w:p>
        </w:tc>
        <w:tc>
          <w:tcPr>
            <w:tcW w:w="1354" w:type="dxa"/>
            <w:tcBorders>
              <w:top w:val="single" w:sz="12" w:space="0" w:color="auto"/>
            </w:tcBorders>
          </w:tcPr>
          <w:p w14:paraId="0E4666CB"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Borders>
              <w:top w:val="single" w:sz="12" w:space="0" w:color="auto"/>
            </w:tcBorders>
          </w:tcPr>
          <w:p w14:paraId="3DE2425A" w14:textId="21E8CA41" w:rsidR="00863F6A" w:rsidRPr="00DB5635" w:rsidRDefault="00863F6A" w:rsidP="00174DCA">
            <w:pPr>
              <w:pStyle w:val="Normal-pool"/>
              <w:spacing w:before="40" w:after="40"/>
              <w:jc w:val="right"/>
              <w:rPr>
                <w:sz w:val="18"/>
                <w:szCs w:val="18"/>
                <w:lang w:val="es-ES_tradnl"/>
              </w:rPr>
            </w:pPr>
            <w:r w:rsidRPr="00DB5635">
              <w:rPr>
                <w:sz w:val="18"/>
                <w:szCs w:val="18"/>
                <w:lang w:val="es-ES_tradnl"/>
              </w:rPr>
              <w:t>565</w:t>
            </w:r>
            <w:r w:rsidR="00274E45" w:rsidRPr="00DB5635">
              <w:rPr>
                <w:sz w:val="18"/>
                <w:szCs w:val="18"/>
                <w:lang w:val="es-ES_tradnl"/>
              </w:rPr>
              <w:t> </w:t>
            </w:r>
            <w:r w:rsidRPr="00DB5635">
              <w:rPr>
                <w:sz w:val="18"/>
                <w:szCs w:val="18"/>
                <w:lang w:val="es-ES_tradnl"/>
              </w:rPr>
              <w:t>496</w:t>
            </w:r>
          </w:p>
        </w:tc>
      </w:tr>
      <w:tr w:rsidR="00863F6A" w:rsidRPr="00DB5635" w14:paraId="7B206E5E" w14:textId="77777777" w:rsidTr="00174DCA">
        <w:trPr>
          <w:trHeight w:val="57"/>
          <w:jc w:val="right"/>
        </w:trPr>
        <w:tc>
          <w:tcPr>
            <w:tcW w:w="4425" w:type="dxa"/>
          </w:tcPr>
          <w:p w14:paraId="3BE4C8CC" w14:textId="2A716F10"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P-5 </w:t>
            </w:r>
            <w:r w:rsidR="00274E45" w:rsidRPr="00DB5635">
              <w:rPr>
                <w:sz w:val="18"/>
                <w:szCs w:val="18"/>
                <w:lang w:val="es-ES_tradnl"/>
              </w:rPr>
              <w:t xml:space="preserve">– </w:t>
            </w:r>
            <w:r w:rsidRPr="00DB5635">
              <w:rPr>
                <w:sz w:val="18"/>
                <w:szCs w:val="18"/>
                <w:lang w:val="es-ES_tradnl"/>
              </w:rPr>
              <w:t>Coordinación y políticas</w:t>
            </w:r>
          </w:p>
        </w:tc>
        <w:tc>
          <w:tcPr>
            <w:tcW w:w="1174" w:type="dxa"/>
          </w:tcPr>
          <w:p w14:paraId="52F7FEE5" w14:textId="246EF573" w:rsidR="00863F6A" w:rsidRPr="00DB5635" w:rsidRDefault="00863F6A" w:rsidP="00174DCA">
            <w:pPr>
              <w:pStyle w:val="Normal-pool"/>
              <w:spacing w:before="40" w:after="40"/>
              <w:jc w:val="right"/>
              <w:rPr>
                <w:sz w:val="18"/>
                <w:szCs w:val="18"/>
                <w:lang w:val="es-ES_tradnl"/>
              </w:rPr>
            </w:pPr>
            <w:r w:rsidRPr="00DB5635">
              <w:rPr>
                <w:sz w:val="18"/>
                <w:szCs w:val="18"/>
                <w:lang w:val="es-ES_tradnl"/>
              </w:rPr>
              <w:t>507</w:t>
            </w:r>
            <w:r w:rsidR="00274E45" w:rsidRPr="00DB5635">
              <w:rPr>
                <w:sz w:val="18"/>
                <w:szCs w:val="18"/>
                <w:lang w:val="es-ES_tradnl"/>
              </w:rPr>
              <w:t> </w:t>
            </w:r>
            <w:r w:rsidRPr="00DB5635">
              <w:rPr>
                <w:sz w:val="18"/>
                <w:szCs w:val="18"/>
                <w:lang w:val="es-ES_tradnl"/>
              </w:rPr>
              <w:t>409</w:t>
            </w:r>
          </w:p>
        </w:tc>
        <w:tc>
          <w:tcPr>
            <w:tcW w:w="1354" w:type="dxa"/>
          </w:tcPr>
          <w:p w14:paraId="0EFA674B"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37596264" w14:textId="4CD4A607" w:rsidR="00863F6A" w:rsidRPr="00DB5635" w:rsidRDefault="00863F6A" w:rsidP="00174DCA">
            <w:pPr>
              <w:pStyle w:val="Normal-pool"/>
              <w:spacing w:before="40" w:after="40"/>
              <w:jc w:val="right"/>
              <w:rPr>
                <w:sz w:val="18"/>
                <w:szCs w:val="18"/>
                <w:lang w:val="es-ES_tradnl"/>
              </w:rPr>
            </w:pPr>
            <w:r w:rsidRPr="00DB5635">
              <w:rPr>
                <w:sz w:val="18"/>
                <w:szCs w:val="18"/>
                <w:lang w:val="es-ES_tradnl"/>
              </w:rPr>
              <w:t>507</w:t>
            </w:r>
            <w:r w:rsidR="0038564C" w:rsidRPr="00DB5635">
              <w:rPr>
                <w:sz w:val="18"/>
                <w:szCs w:val="18"/>
                <w:lang w:val="es-ES_tradnl"/>
              </w:rPr>
              <w:t> </w:t>
            </w:r>
            <w:r w:rsidRPr="00DB5635">
              <w:rPr>
                <w:sz w:val="18"/>
                <w:szCs w:val="18"/>
                <w:lang w:val="es-ES_tradnl"/>
              </w:rPr>
              <w:t>409</w:t>
            </w:r>
          </w:p>
        </w:tc>
      </w:tr>
      <w:tr w:rsidR="00863F6A" w:rsidRPr="00DB5635" w14:paraId="11FFBB78" w14:textId="77777777" w:rsidTr="00174DCA">
        <w:trPr>
          <w:trHeight w:val="57"/>
          <w:jc w:val="right"/>
        </w:trPr>
        <w:tc>
          <w:tcPr>
            <w:tcW w:w="4425" w:type="dxa"/>
          </w:tcPr>
          <w:p w14:paraId="2636F666" w14:textId="2FCF3034"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P-4 </w:t>
            </w:r>
            <w:r w:rsidR="00274E45" w:rsidRPr="00DB5635">
              <w:rPr>
                <w:sz w:val="18"/>
                <w:szCs w:val="18"/>
                <w:lang w:val="es-ES_tradnl"/>
              </w:rPr>
              <w:t xml:space="preserve">– </w:t>
            </w:r>
            <w:r w:rsidRPr="00DB5635">
              <w:rPr>
                <w:sz w:val="18"/>
                <w:szCs w:val="18"/>
                <w:lang w:val="es-ES_tradnl"/>
              </w:rPr>
              <w:t>Ciencia y tecnología</w:t>
            </w:r>
          </w:p>
        </w:tc>
        <w:tc>
          <w:tcPr>
            <w:tcW w:w="1174" w:type="dxa"/>
          </w:tcPr>
          <w:p w14:paraId="25977069" w14:textId="58902254"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274E45" w:rsidRPr="00DB5635">
              <w:rPr>
                <w:sz w:val="18"/>
                <w:szCs w:val="18"/>
                <w:lang w:val="es-ES_tradnl"/>
              </w:rPr>
              <w:t> </w:t>
            </w:r>
            <w:r w:rsidRPr="00DB5635">
              <w:rPr>
                <w:sz w:val="18"/>
                <w:szCs w:val="18"/>
                <w:lang w:val="es-ES_tradnl"/>
              </w:rPr>
              <w:t>654</w:t>
            </w:r>
          </w:p>
        </w:tc>
        <w:tc>
          <w:tcPr>
            <w:tcW w:w="1354" w:type="dxa"/>
          </w:tcPr>
          <w:p w14:paraId="3DC03F51"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1349D1BB" w14:textId="65A54DAA"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r>
      <w:tr w:rsidR="00863F6A" w:rsidRPr="00DB5635" w14:paraId="01DE70CC" w14:textId="77777777" w:rsidTr="00174DCA">
        <w:trPr>
          <w:trHeight w:val="57"/>
          <w:jc w:val="right"/>
        </w:trPr>
        <w:tc>
          <w:tcPr>
            <w:tcW w:w="4425" w:type="dxa"/>
          </w:tcPr>
          <w:p w14:paraId="1AC7977A" w14:textId="78EAD36A"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P-4 </w:t>
            </w:r>
            <w:r w:rsidR="00274E45" w:rsidRPr="00DB5635">
              <w:rPr>
                <w:sz w:val="18"/>
                <w:szCs w:val="18"/>
                <w:lang w:val="es-ES_tradnl"/>
              </w:rPr>
              <w:t xml:space="preserve">– </w:t>
            </w:r>
            <w:r w:rsidRPr="00DB5635">
              <w:rPr>
                <w:sz w:val="18"/>
                <w:szCs w:val="18"/>
                <w:lang w:val="es-ES_tradnl"/>
              </w:rPr>
              <w:t>Creación de capacidad y asistencia técnica</w:t>
            </w:r>
          </w:p>
        </w:tc>
        <w:tc>
          <w:tcPr>
            <w:tcW w:w="1174" w:type="dxa"/>
          </w:tcPr>
          <w:p w14:paraId="760AF597" w14:textId="1EC1554B"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274E45" w:rsidRPr="00DB5635">
              <w:rPr>
                <w:sz w:val="18"/>
                <w:szCs w:val="18"/>
                <w:lang w:val="es-ES_tradnl"/>
              </w:rPr>
              <w:t> </w:t>
            </w:r>
            <w:r w:rsidRPr="00DB5635">
              <w:rPr>
                <w:sz w:val="18"/>
                <w:szCs w:val="18"/>
                <w:lang w:val="es-ES_tradnl"/>
              </w:rPr>
              <w:t>654</w:t>
            </w:r>
          </w:p>
        </w:tc>
        <w:tc>
          <w:tcPr>
            <w:tcW w:w="1354" w:type="dxa"/>
          </w:tcPr>
          <w:p w14:paraId="1D7C8CA1" w14:textId="1F43CD59"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c>
          <w:tcPr>
            <w:tcW w:w="1354" w:type="dxa"/>
          </w:tcPr>
          <w:p w14:paraId="4E2BD02F"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07AEA638" w14:textId="77777777" w:rsidTr="001639C5">
        <w:trPr>
          <w:trHeight w:val="57"/>
          <w:jc w:val="right"/>
        </w:trPr>
        <w:tc>
          <w:tcPr>
            <w:tcW w:w="4425" w:type="dxa"/>
          </w:tcPr>
          <w:p w14:paraId="4D99EDCB" w14:textId="5BBCD7B9" w:rsidR="00863F6A" w:rsidRPr="00DB5635" w:rsidRDefault="00863F6A" w:rsidP="00E14E7E">
            <w:pPr>
              <w:pStyle w:val="Normal-pool"/>
              <w:rPr>
                <w:sz w:val="18"/>
                <w:szCs w:val="18"/>
                <w:lang w:val="es-ES_tradnl"/>
              </w:rPr>
            </w:pPr>
            <w:r w:rsidRPr="00DB5635">
              <w:rPr>
                <w:sz w:val="18"/>
                <w:szCs w:val="18"/>
                <w:lang w:val="es-ES_tradnl"/>
              </w:rPr>
              <w:t xml:space="preserve">P-4 </w:t>
            </w:r>
            <w:r w:rsidR="00274E45" w:rsidRPr="00DB5635">
              <w:rPr>
                <w:sz w:val="18"/>
                <w:szCs w:val="18"/>
                <w:lang w:val="es-ES_tradnl"/>
              </w:rPr>
              <w:t xml:space="preserve">– </w:t>
            </w:r>
            <w:r w:rsidRPr="00DB5635">
              <w:rPr>
                <w:sz w:val="18"/>
                <w:szCs w:val="18"/>
                <w:lang w:val="es-ES_tradnl"/>
              </w:rPr>
              <w:t>Oficial de Programas</w:t>
            </w:r>
          </w:p>
        </w:tc>
        <w:tc>
          <w:tcPr>
            <w:tcW w:w="1174" w:type="dxa"/>
          </w:tcPr>
          <w:p w14:paraId="25445A9E" w14:textId="4940158A"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c>
          <w:tcPr>
            <w:tcW w:w="1354" w:type="dxa"/>
          </w:tcPr>
          <w:p w14:paraId="4A553005"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41201ABD" w14:textId="349B7743"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r>
      <w:tr w:rsidR="00863F6A" w:rsidRPr="00DB5635" w14:paraId="128F9CDF" w14:textId="77777777" w:rsidTr="001639C5">
        <w:trPr>
          <w:trHeight w:val="57"/>
          <w:jc w:val="right"/>
        </w:trPr>
        <w:tc>
          <w:tcPr>
            <w:tcW w:w="4425" w:type="dxa"/>
          </w:tcPr>
          <w:p w14:paraId="522B78DA" w14:textId="0A8D8B5B" w:rsidR="00863F6A" w:rsidRPr="00DB5635" w:rsidRDefault="00863F6A" w:rsidP="00E14E7E">
            <w:pPr>
              <w:pStyle w:val="Normal-pool"/>
              <w:rPr>
                <w:sz w:val="18"/>
                <w:szCs w:val="18"/>
                <w:lang w:val="es-ES_tradnl"/>
              </w:rPr>
            </w:pPr>
            <w:r w:rsidRPr="00DB5635">
              <w:rPr>
                <w:sz w:val="18"/>
                <w:szCs w:val="18"/>
                <w:lang w:val="es-ES_tradnl"/>
              </w:rPr>
              <w:t xml:space="preserve">P-3 </w:t>
            </w:r>
            <w:r w:rsidR="00274E45" w:rsidRPr="00DB5635">
              <w:rPr>
                <w:sz w:val="18"/>
                <w:szCs w:val="18"/>
                <w:lang w:val="es-ES_tradnl"/>
              </w:rPr>
              <w:t xml:space="preserve">– </w:t>
            </w:r>
            <w:r w:rsidRPr="00DB5635">
              <w:rPr>
                <w:sz w:val="18"/>
                <w:szCs w:val="18"/>
                <w:lang w:val="es-ES_tradnl"/>
              </w:rPr>
              <w:t>Oficial Jurídico</w:t>
            </w:r>
          </w:p>
        </w:tc>
        <w:tc>
          <w:tcPr>
            <w:tcW w:w="1174" w:type="dxa"/>
          </w:tcPr>
          <w:p w14:paraId="68C81A1C" w14:textId="6D25A197" w:rsidR="00863F6A" w:rsidRPr="00DB5635" w:rsidRDefault="0038564C" w:rsidP="00174DCA">
            <w:pPr>
              <w:pStyle w:val="Normal-pool"/>
              <w:spacing w:before="40" w:after="40"/>
              <w:jc w:val="right"/>
              <w:rPr>
                <w:sz w:val="18"/>
                <w:szCs w:val="18"/>
                <w:lang w:val="es-ES_tradnl"/>
              </w:rPr>
            </w:pPr>
            <w:r w:rsidRPr="00DB5635">
              <w:rPr>
                <w:sz w:val="18"/>
                <w:szCs w:val="18"/>
                <w:lang w:val="es-ES_tradnl"/>
              </w:rPr>
              <w:t>359 </w:t>
            </w:r>
            <w:r w:rsidR="00863F6A" w:rsidRPr="00DB5635">
              <w:rPr>
                <w:sz w:val="18"/>
                <w:szCs w:val="18"/>
                <w:lang w:val="es-ES_tradnl"/>
              </w:rPr>
              <w:t>628</w:t>
            </w:r>
          </w:p>
        </w:tc>
        <w:tc>
          <w:tcPr>
            <w:tcW w:w="1354" w:type="dxa"/>
          </w:tcPr>
          <w:p w14:paraId="5F9E98FC" w14:textId="56400ADC"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c>
          <w:tcPr>
            <w:tcW w:w="1354" w:type="dxa"/>
          </w:tcPr>
          <w:p w14:paraId="625FDC34"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255E9CF9" w14:textId="77777777" w:rsidTr="001639C5">
        <w:trPr>
          <w:trHeight w:val="57"/>
          <w:jc w:val="right"/>
        </w:trPr>
        <w:tc>
          <w:tcPr>
            <w:tcW w:w="4425" w:type="dxa"/>
          </w:tcPr>
          <w:p w14:paraId="2A81D2A8" w14:textId="1AAAD810" w:rsidR="00863F6A" w:rsidRPr="00DB5635" w:rsidRDefault="00863F6A" w:rsidP="00E14E7E">
            <w:pPr>
              <w:pStyle w:val="Normal-pool"/>
              <w:rPr>
                <w:sz w:val="18"/>
                <w:szCs w:val="18"/>
                <w:lang w:val="es-ES_tradnl"/>
              </w:rPr>
            </w:pPr>
            <w:r w:rsidRPr="00DB5635">
              <w:rPr>
                <w:sz w:val="18"/>
                <w:szCs w:val="18"/>
                <w:lang w:val="es-ES_tradnl"/>
              </w:rPr>
              <w:t xml:space="preserve">P-3 </w:t>
            </w:r>
            <w:r w:rsidR="00274E45" w:rsidRPr="00DB5635">
              <w:rPr>
                <w:sz w:val="18"/>
                <w:szCs w:val="18"/>
                <w:lang w:val="es-ES_tradnl"/>
              </w:rPr>
              <w:t xml:space="preserve">– </w:t>
            </w:r>
            <w:r w:rsidRPr="00DB5635">
              <w:rPr>
                <w:sz w:val="18"/>
                <w:szCs w:val="18"/>
                <w:lang w:val="es-ES_tradnl"/>
              </w:rPr>
              <w:t>Oficial de Comunicaciones</w:t>
            </w:r>
          </w:p>
        </w:tc>
        <w:tc>
          <w:tcPr>
            <w:tcW w:w="1174" w:type="dxa"/>
          </w:tcPr>
          <w:p w14:paraId="517B40FC" w14:textId="5B732C0B"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c>
          <w:tcPr>
            <w:tcW w:w="1354" w:type="dxa"/>
          </w:tcPr>
          <w:p w14:paraId="0078E81B"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396CFE25" w14:textId="77777777"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359 628</w:t>
            </w:r>
          </w:p>
        </w:tc>
      </w:tr>
      <w:tr w:rsidR="00863F6A" w:rsidRPr="00DB5635" w14:paraId="2093F2BB" w14:textId="77777777" w:rsidTr="00174DCA">
        <w:trPr>
          <w:trHeight w:val="57"/>
          <w:jc w:val="right"/>
        </w:trPr>
        <w:tc>
          <w:tcPr>
            <w:tcW w:w="4425" w:type="dxa"/>
          </w:tcPr>
          <w:p w14:paraId="39B8BEFE" w14:textId="6DC5CACE"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P-3 </w:t>
            </w:r>
            <w:r w:rsidR="00274E45" w:rsidRPr="00DB5635">
              <w:rPr>
                <w:sz w:val="18"/>
                <w:szCs w:val="18"/>
                <w:lang w:val="es-ES_tradnl"/>
              </w:rPr>
              <w:t xml:space="preserve">– </w:t>
            </w:r>
            <w:r w:rsidRPr="00DB5635">
              <w:rPr>
                <w:sz w:val="18"/>
                <w:szCs w:val="18"/>
                <w:lang w:val="es-ES_tradnl"/>
              </w:rPr>
              <w:t>Gestión de conocimientos</w:t>
            </w:r>
          </w:p>
        </w:tc>
        <w:tc>
          <w:tcPr>
            <w:tcW w:w="1174" w:type="dxa"/>
          </w:tcPr>
          <w:p w14:paraId="7F83FB7F" w14:textId="1310570A"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c>
          <w:tcPr>
            <w:tcW w:w="1354" w:type="dxa"/>
          </w:tcPr>
          <w:p w14:paraId="0554468E" w14:textId="74257469"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c>
          <w:tcPr>
            <w:tcW w:w="1354" w:type="dxa"/>
          </w:tcPr>
          <w:p w14:paraId="0D235C2D"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5D04303D" w14:textId="77777777" w:rsidTr="001639C5">
        <w:trPr>
          <w:trHeight w:val="57"/>
          <w:jc w:val="right"/>
        </w:trPr>
        <w:tc>
          <w:tcPr>
            <w:tcW w:w="4425" w:type="dxa"/>
          </w:tcPr>
          <w:p w14:paraId="66D3B53D" w14:textId="6B3827F9" w:rsidR="00863F6A" w:rsidRPr="00DB5635" w:rsidRDefault="00863F6A" w:rsidP="00E14E7E">
            <w:pPr>
              <w:pStyle w:val="Normal-pool"/>
              <w:rPr>
                <w:sz w:val="18"/>
                <w:szCs w:val="18"/>
                <w:lang w:val="es-ES_tradnl"/>
              </w:rPr>
            </w:pPr>
            <w:r w:rsidRPr="00DB5635">
              <w:rPr>
                <w:sz w:val="18"/>
                <w:szCs w:val="18"/>
                <w:lang w:val="es-ES_tradnl"/>
              </w:rPr>
              <w:t xml:space="preserve">P-3 </w:t>
            </w:r>
            <w:r w:rsidR="00274E45" w:rsidRPr="00DB5635">
              <w:rPr>
                <w:sz w:val="18"/>
                <w:szCs w:val="18"/>
                <w:lang w:val="es-ES_tradnl"/>
              </w:rPr>
              <w:t xml:space="preserve">– </w:t>
            </w:r>
            <w:r w:rsidRPr="00DB5635">
              <w:rPr>
                <w:sz w:val="18"/>
                <w:szCs w:val="18"/>
                <w:lang w:val="es-ES_tradnl"/>
              </w:rPr>
              <w:t>Oficial de Programas</w:t>
            </w:r>
          </w:p>
        </w:tc>
        <w:tc>
          <w:tcPr>
            <w:tcW w:w="1174" w:type="dxa"/>
          </w:tcPr>
          <w:p w14:paraId="62DCE609" w14:textId="40842DCF"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c>
          <w:tcPr>
            <w:tcW w:w="1354" w:type="dxa"/>
          </w:tcPr>
          <w:p w14:paraId="4F71D14B"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5C7704E8" w14:textId="1239A895" w:rsidR="00863F6A" w:rsidRPr="00DB5635" w:rsidRDefault="00863F6A" w:rsidP="00174DCA">
            <w:pPr>
              <w:pStyle w:val="Normal-pool"/>
              <w:spacing w:before="40" w:after="40"/>
              <w:jc w:val="right"/>
              <w:rPr>
                <w:sz w:val="18"/>
                <w:szCs w:val="18"/>
                <w:lang w:val="es-ES_tradnl"/>
              </w:rPr>
            </w:pPr>
            <w:r w:rsidRPr="00DB5635">
              <w:rPr>
                <w:sz w:val="18"/>
                <w:szCs w:val="18"/>
                <w:lang w:val="es-ES_tradnl"/>
              </w:rPr>
              <w:t>359</w:t>
            </w:r>
            <w:r w:rsidR="0038564C" w:rsidRPr="00DB5635">
              <w:rPr>
                <w:sz w:val="18"/>
                <w:szCs w:val="18"/>
                <w:lang w:val="es-ES_tradnl"/>
              </w:rPr>
              <w:t> </w:t>
            </w:r>
            <w:r w:rsidRPr="00DB5635">
              <w:rPr>
                <w:sz w:val="18"/>
                <w:szCs w:val="18"/>
                <w:lang w:val="es-ES_tradnl"/>
              </w:rPr>
              <w:t>628</w:t>
            </w:r>
          </w:p>
        </w:tc>
      </w:tr>
      <w:tr w:rsidR="00863F6A" w:rsidRPr="00DB5635" w14:paraId="58169018" w14:textId="77777777" w:rsidTr="001639C5">
        <w:trPr>
          <w:trHeight w:val="57"/>
          <w:jc w:val="right"/>
        </w:trPr>
        <w:tc>
          <w:tcPr>
            <w:tcW w:w="4425" w:type="dxa"/>
          </w:tcPr>
          <w:p w14:paraId="04BB8CF3" w14:textId="61560337" w:rsidR="00863F6A" w:rsidRPr="00DB5635" w:rsidRDefault="00863F6A" w:rsidP="00E14E7E">
            <w:pPr>
              <w:pStyle w:val="Normal-pool"/>
              <w:rPr>
                <w:sz w:val="18"/>
                <w:szCs w:val="18"/>
                <w:lang w:val="es-ES_tradnl"/>
              </w:rPr>
            </w:pPr>
            <w:r w:rsidRPr="00DB5635">
              <w:rPr>
                <w:sz w:val="18"/>
                <w:szCs w:val="18"/>
                <w:lang w:val="es-ES_tradnl"/>
              </w:rPr>
              <w:t xml:space="preserve">G-6 </w:t>
            </w:r>
            <w:r w:rsidR="00274E45" w:rsidRPr="00DB5635">
              <w:rPr>
                <w:sz w:val="18"/>
                <w:szCs w:val="18"/>
                <w:lang w:val="es-ES_tradnl"/>
              </w:rPr>
              <w:t xml:space="preserve">– </w:t>
            </w:r>
            <w:r w:rsidRPr="00DB5635">
              <w:rPr>
                <w:sz w:val="18"/>
                <w:szCs w:val="18"/>
                <w:lang w:val="es-ES_tradnl"/>
              </w:rPr>
              <w:t>Auxiliar Administrativo</w:t>
            </w:r>
          </w:p>
        </w:tc>
        <w:tc>
          <w:tcPr>
            <w:tcW w:w="1174" w:type="dxa"/>
          </w:tcPr>
          <w:p w14:paraId="2A1AF243" w14:textId="3948B467"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66CCBFB7"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57E3C557" w14:textId="232C44ED"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B013AF" w:rsidRPr="00DB5635">
              <w:rPr>
                <w:sz w:val="18"/>
                <w:szCs w:val="18"/>
                <w:lang w:val="es-ES_tradnl"/>
              </w:rPr>
              <w:t> </w:t>
            </w:r>
            <w:r w:rsidRPr="00DB5635">
              <w:rPr>
                <w:sz w:val="18"/>
                <w:szCs w:val="18"/>
                <w:lang w:val="es-ES_tradnl"/>
              </w:rPr>
              <w:t>065</w:t>
            </w:r>
          </w:p>
        </w:tc>
      </w:tr>
      <w:tr w:rsidR="00863F6A" w:rsidRPr="00DB5635" w14:paraId="3718BECD" w14:textId="77777777" w:rsidTr="001639C5">
        <w:trPr>
          <w:trHeight w:val="57"/>
          <w:jc w:val="right"/>
        </w:trPr>
        <w:tc>
          <w:tcPr>
            <w:tcW w:w="4425" w:type="dxa"/>
          </w:tcPr>
          <w:p w14:paraId="74A2BB5D" w14:textId="4F8DC78C" w:rsidR="00863F6A" w:rsidRPr="00DB5635" w:rsidRDefault="00863F6A" w:rsidP="00E14E7E">
            <w:pPr>
              <w:pStyle w:val="Normal-pool"/>
              <w:rPr>
                <w:sz w:val="18"/>
                <w:szCs w:val="18"/>
                <w:lang w:val="es-ES_tradnl"/>
              </w:rPr>
            </w:pPr>
            <w:r w:rsidRPr="00DB5635">
              <w:rPr>
                <w:sz w:val="18"/>
                <w:szCs w:val="18"/>
                <w:lang w:val="es-ES_tradnl"/>
              </w:rPr>
              <w:t xml:space="preserve">G-5 </w:t>
            </w:r>
            <w:r w:rsidR="00274E45" w:rsidRPr="00DB5635">
              <w:rPr>
                <w:sz w:val="18"/>
                <w:szCs w:val="18"/>
                <w:lang w:val="es-ES_tradnl"/>
              </w:rPr>
              <w:t xml:space="preserve">– </w:t>
            </w:r>
            <w:r w:rsidRPr="00DB5635">
              <w:rPr>
                <w:sz w:val="18"/>
                <w:szCs w:val="18"/>
                <w:lang w:val="es-ES_tradnl"/>
              </w:rPr>
              <w:t>Auxiliar de Gestión de Programas</w:t>
            </w:r>
          </w:p>
        </w:tc>
        <w:tc>
          <w:tcPr>
            <w:tcW w:w="1174" w:type="dxa"/>
          </w:tcPr>
          <w:p w14:paraId="21FAC60A" w14:textId="1D53AF8B"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2C8C2CCD"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c>
          <w:tcPr>
            <w:tcW w:w="1354" w:type="dxa"/>
          </w:tcPr>
          <w:p w14:paraId="189F6CAC" w14:textId="4F8089BA"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r>
      <w:tr w:rsidR="00863F6A" w:rsidRPr="00DB5635" w14:paraId="0733E8B6" w14:textId="77777777" w:rsidTr="001639C5">
        <w:trPr>
          <w:trHeight w:val="57"/>
          <w:jc w:val="right"/>
        </w:trPr>
        <w:tc>
          <w:tcPr>
            <w:tcW w:w="4425" w:type="dxa"/>
          </w:tcPr>
          <w:p w14:paraId="4B5CA0C7" w14:textId="4DCC0C5A" w:rsidR="00863F6A" w:rsidRPr="00DB5635" w:rsidRDefault="00863F6A" w:rsidP="00E14E7E">
            <w:pPr>
              <w:pStyle w:val="Normal-pool"/>
              <w:rPr>
                <w:sz w:val="18"/>
                <w:szCs w:val="18"/>
                <w:lang w:val="es-ES_tradnl"/>
              </w:rPr>
            </w:pPr>
            <w:r w:rsidRPr="00DB5635">
              <w:rPr>
                <w:sz w:val="18"/>
                <w:szCs w:val="18"/>
                <w:lang w:val="es-ES_tradnl"/>
              </w:rPr>
              <w:t xml:space="preserve">G-5 </w:t>
            </w:r>
            <w:r w:rsidR="00274E45" w:rsidRPr="00DB5635">
              <w:rPr>
                <w:sz w:val="18"/>
                <w:szCs w:val="18"/>
                <w:lang w:val="es-ES_tradnl"/>
              </w:rPr>
              <w:t xml:space="preserve">– </w:t>
            </w:r>
            <w:r w:rsidRPr="00DB5635">
              <w:rPr>
                <w:sz w:val="18"/>
                <w:szCs w:val="18"/>
                <w:lang w:val="es-ES_tradnl"/>
              </w:rPr>
              <w:t>Auxiliar de Información Pública</w:t>
            </w:r>
          </w:p>
        </w:tc>
        <w:tc>
          <w:tcPr>
            <w:tcW w:w="1174" w:type="dxa"/>
          </w:tcPr>
          <w:p w14:paraId="3B90D81F" w14:textId="5905FFC4"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3EBFF155" w14:textId="251A88E9"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649A1C13"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3CC9291D" w14:textId="77777777" w:rsidTr="001639C5">
        <w:trPr>
          <w:trHeight w:val="57"/>
          <w:jc w:val="right"/>
        </w:trPr>
        <w:tc>
          <w:tcPr>
            <w:tcW w:w="4425" w:type="dxa"/>
          </w:tcPr>
          <w:p w14:paraId="6D733F7E" w14:textId="6DE83B28" w:rsidR="00863F6A" w:rsidRPr="00DB5635" w:rsidRDefault="00863F6A" w:rsidP="00E14E7E">
            <w:pPr>
              <w:pStyle w:val="Normal-pool"/>
              <w:rPr>
                <w:sz w:val="18"/>
                <w:szCs w:val="18"/>
                <w:lang w:val="es-ES_tradnl"/>
              </w:rPr>
            </w:pPr>
            <w:r w:rsidRPr="00DB5635">
              <w:rPr>
                <w:sz w:val="18"/>
                <w:szCs w:val="18"/>
                <w:lang w:val="es-ES_tradnl"/>
              </w:rPr>
              <w:t xml:space="preserve">G-4 </w:t>
            </w:r>
            <w:r w:rsidR="00274E45" w:rsidRPr="00DB5635">
              <w:rPr>
                <w:sz w:val="18"/>
                <w:szCs w:val="18"/>
                <w:lang w:val="es-ES_tradnl"/>
              </w:rPr>
              <w:t xml:space="preserve">– </w:t>
            </w:r>
            <w:r w:rsidRPr="00DB5635">
              <w:rPr>
                <w:sz w:val="18"/>
                <w:szCs w:val="18"/>
                <w:lang w:val="es-ES_tradnl"/>
              </w:rPr>
              <w:t>Auxiliar de Equipo</w:t>
            </w:r>
          </w:p>
        </w:tc>
        <w:tc>
          <w:tcPr>
            <w:tcW w:w="1174" w:type="dxa"/>
          </w:tcPr>
          <w:p w14:paraId="7957B982" w14:textId="47138F8E"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3574B06E" w14:textId="48FF2286"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58A13DB5"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0F0958BD" w14:textId="77777777" w:rsidTr="00174DCA">
        <w:trPr>
          <w:trHeight w:val="57"/>
          <w:jc w:val="right"/>
        </w:trPr>
        <w:tc>
          <w:tcPr>
            <w:tcW w:w="4425" w:type="dxa"/>
          </w:tcPr>
          <w:p w14:paraId="0C3B07A5" w14:textId="0361188B"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G-4 </w:t>
            </w:r>
            <w:r w:rsidR="00274E45" w:rsidRPr="00DB5635">
              <w:rPr>
                <w:sz w:val="18"/>
                <w:szCs w:val="18"/>
                <w:lang w:val="es-ES_tradnl"/>
              </w:rPr>
              <w:t xml:space="preserve">– </w:t>
            </w:r>
            <w:r w:rsidRPr="00DB5635">
              <w:rPr>
                <w:sz w:val="18"/>
                <w:szCs w:val="18"/>
                <w:lang w:val="es-ES_tradnl"/>
              </w:rPr>
              <w:t>Auxiliar de Equipo</w:t>
            </w:r>
          </w:p>
        </w:tc>
        <w:tc>
          <w:tcPr>
            <w:tcW w:w="1174" w:type="dxa"/>
          </w:tcPr>
          <w:p w14:paraId="4FA0EAB4" w14:textId="37C1D826"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6B58EA35" w14:textId="78855115"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Pr>
          <w:p w14:paraId="4D1DE5E5"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3AC1D24A" w14:textId="77777777" w:rsidTr="00174DCA">
        <w:trPr>
          <w:trHeight w:val="57"/>
          <w:jc w:val="right"/>
        </w:trPr>
        <w:tc>
          <w:tcPr>
            <w:tcW w:w="4425" w:type="dxa"/>
            <w:tcBorders>
              <w:bottom w:val="single" w:sz="4" w:space="0" w:color="auto"/>
            </w:tcBorders>
          </w:tcPr>
          <w:p w14:paraId="749DF644" w14:textId="5888CD7C"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Apoyo temporal a </w:t>
            </w:r>
            <w:r w:rsidR="003841ED">
              <w:rPr>
                <w:sz w:val="18"/>
                <w:szCs w:val="18"/>
                <w:lang w:val="es-ES_tradnl"/>
              </w:rPr>
              <w:t xml:space="preserve">la cuarta </w:t>
            </w:r>
            <w:r w:rsidRPr="00DB5635">
              <w:rPr>
                <w:sz w:val="18"/>
                <w:szCs w:val="18"/>
                <w:lang w:val="es-ES_tradnl"/>
              </w:rPr>
              <w:t>C</w:t>
            </w:r>
            <w:r w:rsidR="003841ED">
              <w:rPr>
                <w:sz w:val="18"/>
                <w:szCs w:val="18"/>
                <w:lang w:val="es-ES_tradnl"/>
              </w:rPr>
              <w:t>onferencia de las Partes</w:t>
            </w:r>
          </w:p>
        </w:tc>
        <w:tc>
          <w:tcPr>
            <w:tcW w:w="1174" w:type="dxa"/>
            <w:tcBorders>
              <w:bottom w:val="single" w:sz="4" w:space="0" w:color="auto"/>
            </w:tcBorders>
          </w:tcPr>
          <w:p w14:paraId="6AFD83F7" w14:textId="32166A70"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270</w:t>
            </w:r>
            <w:r w:rsidR="0038564C" w:rsidRPr="00DB5635">
              <w:rPr>
                <w:sz w:val="18"/>
                <w:szCs w:val="18"/>
                <w:lang w:val="es-ES_tradnl"/>
              </w:rPr>
              <w:t> </w:t>
            </w:r>
            <w:r w:rsidRPr="00DB5635">
              <w:rPr>
                <w:sz w:val="18"/>
                <w:szCs w:val="18"/>
                <w:lang w:val="es-ES_tradnl"/>
              </w:rPr>
              <w:t>000</w:t>
            </w:r>
          </w:p>
        </w:tc>
        <w:tc>
          <w:tcPr>
            <w:tcW w:w="1354" w:type="dxa"/>
            <w:tcBorders>
              <w:bottom w:val="single" w:sz="4" w:space="0" w:color="auto"/>
            </w:tcBorders>
          </w:tcPr>
          <w:p w14:paraId="1ABC7EEA" w14:textId="1492AC35"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270</w:t>
            </w:r>
            <w:r w:rsidR="0038564C" w:rsidRPr="00DB5635">
              <w:rPr>
                <w:sz w:val="18"/>
                <w:szCs w:val="18"/>
                <w:lang w:val="es-ES_tradnl"/>
              </w:rPr>
              <w:t> </w:t>
            </w:r>
            <w:r w:rsidRPr="00DB5635">
              <w:rPr>
                <w:sz w:val="18"/>
                <w:szCs w:val="18"/>
                <w:lang w:val="es-ES_tradnl"/>
              </w:rPr>
              <w:t>000</w:t>
            </w:r>
          </w:p>
        </w:tc>
        <w:tc>
          <w:tcPr>
            <w:tcW w:w="1354" w:type="dxa"/>
            <w:tcBorders>
              <w:bottom w:val="single" w:sz="4" w:space="0" w:color="auto"/>
            </w:tcBorders>
          </w:tcPr>
          <w:p w14:paraId="4C5D84F0"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4FE6C2ED" w14:textId="77777777" w:rsidTr="00174DCA">
        <w:trPr>
          <w:trHeight w:val="57"/>
          <w:jc w:val="right"/>
        </w:trPr>
        <w:tc>
          <w:tcPr>
            <w:tcW w:w="4425" w:type="dxa"/>
            <w:tcBorders>
              <w:top w:val="single" w:sz="4" w:space="0" w:color="auto"/>
              <w:bottom w:val="single" w:sz="4" w:space="0" w:color="auto"/>
            </w:tcBorders>
          </w:tcPr>
          <w:p w14:paraId="38AD3853" w14:textId="4DECF52E" w:rsidR="00863F6A" w:rsidRPr="00DB5635" w:rsidRDefault="00274E45" w:rsidP="00174DCA">
            <w:pPr>
              <w:pStyle w:val="Normal-pool"/>
              <w:spacing w:before="40" w:after="40"/>
              <w:rPr>
                <w:b/>
                <w:sz w:val="18"/>
                <w:szCs w:val="18"/>
                <w:lang w:val="es-ES_tradnl"/>
              </w:rPr>
            </w:pPr>
            <w:r w:rsidRPr="00DB5635">
              <w:rPr>
                <w:b/>
                <w:bCs/>
                <w:sz w:val="18"/>
                <w:szCs w:val="18"/>
                <w:lang w:val="es-ES_tradnl"/>
              </w:rPr>
              <w:t>TOTAL PARCIAL</w:t>
            </w:r>
            <w:r w:rsidR="00863F6A" w:rsidRPr="00DB5635">
              <w:rPr>
                <w:b/>
                <w:bCs/>
                <w:sz w:val="18"/>
                <w:szCs w:val="18"/>
                <w:lang w:val="es-ES_tradnl"/>
              </w:rPr>
              <w:t xml:space="preserve"> Fondo Fiduciario del Convenio de</w:t>
            </w:r>
            <w:r w:rsidRPr="00DB5635">
              <w:rPr>
                <w:b/>
                <w:bCs/>
                <w:sz w:val="18"/>
                <w:szCs w:val="18"/>
                <w:lang w:val="es-ES_tradnl"/>
              </w:rPr>
              <w:t> </w:t>
            </w:r>
            <w:r w:rsidR="00863F6A" w:rsidRPr="00DB5635">
              <w:rPr>
                <w:b/>
                <w:bCs/>
                <w:sz w:val="18"/>
                <w:szCs w:val="18"/>
                <w:lang w:val="es-ES_tradnl"/>
              </w:rPr>
              <w:t>Minamata</w:t>
            </w:r>
          </w:p>
        </w:tc>
        <w:tc>
          <w:tcPr>
            <w:tcW w:w="1174" w:type="dxa"/>
            <w:tcBorders>
              <w:top w:val="single" w:sz="4" w:space="0" w:color="auto"/>
              <w:bottom w:val="single" w:sz="4" w:space="0" w:color="auto"/>
            </w:tcBorders>
          </w:tcPr>
          <w:p w14:paraId="6856A104" w14:textId="677936D6"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5</w:t>
            </w:r>
            <w:r w:rsidR="0038564C" w:rsidRPr="00DB5635">
              <w:rPr>
                <w:b/>
                <w:bCs/>
                <w:sz w:val="18"/>
                <w:szCs w:val="18"/>
                <w:lang w:val="es-ES_tradnl"/>
              </w:rPr>
              <w:t> </w:t>
            </w:r>
            <w:r w:rsidRPr="00DB5635">
              <w:rPr>
                <w:b/>
                <w:bCs/>
                <w:sz w:val="18"/>
                <w:szCs w:val="18"/>
                <w:lang w:val="es-ES_tradnl"/>
              </w:rPr>
              <w:t>463</w:t>
            </w:r>
            <w:r w:rsidR="0038564C" w:rsidRPr="00DB5635">
              <w:rPr>
                <w:b/>
                <w:bCs/>
                <w:sz w:val="18"/>
                <w:szCs w:val="18"/>
                <w:lang w:val="es-ES_tradnl"/>
              </w:rPr>
              <w:t> </w:t>
            </w:r>
            <w:r w:rsidRPr="00DB5635">
              <w:rPr>
                <w:b/>
                <w:bCs/>
                <w:sz w:val="18"/>
                <w:szCs w:val="18"/>
                <w:lang w:val="es-ES_tradnl"/>
              </w:rPr>
              <w:t>704</w:t>
            </w:r>
          </w:p>
        </w:tc>
        <w:tc>
          <w:tcPr>
            <w:tcW w:w="1354" w:type="dxa"/>
            <w:tcBorders>
              <w:top w:val="single" w:sz="4" w:space="0" w:color="auto"/>
              <w:bottom w:val="single" w:sz="4" w:space="0" w:color="auto"/>
            </w:tcBorders>
          </w:tcPr>
          <w:p w14:paraId="5E6C00A0" w14:textId="046044D7"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2</w:t>
            </w:r>
            <w:r w:rsidR="0038564C" w:rsidRPr="00DB5635">
              <w:rPr>
                <w:b/>
                <w:bCs/>
                <w:sz w:val="18"/>
                <w:szCs w:val="18"/>
                <w:lang w:val="es-ES_tradnl"/>
              </w:rPr>
              <w:t> </w:t>
            </w:r>
            <w:r w:rsidRPr="00DB5635">
              <w:rPr>
                <w:b/>
                <w:bCs/>
                <w:sz w:val="18"/>
                <w:szCs w:val="18"/>
                <w:lang w:val="es-ES_tradnl"/>
              </w:rPr>
              <w:t>250</w:t>
            </w:r>
            <w:r w:rsidR="0038564C" w:rsidRPr="00DB5635">
              <w:rPr>
                <w:b/>
                <w:bCs/>
                <w:sz w:val="18"/>
                <w:szCs w:val="18"/>
                <w:lang w:val="es-ES_tradnl"/>
              </w:rPr>
              <w:t> </w:t>
            </w:r>
            <w:r w:rsidRPr="00DB5635">
              <w:rPr>
                <w:b/>
                <w:bCs/>
                <w:sz w:val="18"/>
                <w:szCs w:val="18"/>
                <w:lang w:val="es-ES_tradnl"/>
              </w:rPr>
              <w:t>105</w:t>
            </w:r>
          </w:p>
        </w:tc>
        <w:tc>
          <w:tcPr>
            <w:tcW w:w="1354" w:type="dxa"/>
            <w:tcBorders>
              <w:top w:val="single" w:sz="4" w:space="0" w:color="auto"/>
              <w:bottom w:val="single" w:sz="4" w:space="0" w:color="auto"/>
            </w:tcBorders>
          </w:tcPr>
          <w:p w14:paraId="7060E2B9" w14:textId="6E969119"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3</w:t>
            </w:r>
            <w:r w:rsidR="0038564C" w:rsidRPr="00DB5635">
              <w:rPr>
                <w:b/>
                <w:bCs/>
                <w:sz w:val="18"/>
                <w:szCs w:val="18"/>
                <w:lang w:val="es-ES_tradnl"/>
              </w:rPr>
              <w:t> </w:t>
            </w:r>
            <w:r w:rsidRPr="00DB5635">
              <w:rPr>
                <w:b/>
                <w:bCs/>
                <w:sz w:val="18"/>
                <w:szCs w:val="18"/>
                <w:lang w:val="es-ES_tradnl"/>
              </w:rPr>
              <w:t>213</w:t>
            </w:r>
            <w:r w:rsidR="0038564C" w:rsidRPr="00DB5635">
              <w:rPr>
                <w:b/>
                <w:bCs/>
                <w:sz w:val="18"/>
                <w:szCs w:val="18"/>
                <w:lang w:val="es-ES_tradnl"/>
              </w:rPr>
              <w:t> </w:t>
            </w:r>
            <w:r w:rsidRPr="00DB5635">
              <w:rPr>
                <w:b/>
                <w:bCs/>
                <w:sz w:val="18"/>
                <w:szCs w:val="18"/>
                <w:lang w:val="es-ES_tradnl"/>
              </w:rPr>
              <w:t>599</w:t>
            </w:r>
          </w:p>
        </w:tc>
      </w:tr>
      <w:tr w:rsidR="00863F6A" w:rsidRPr="00DB5635" w14:paraId="026F011D"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62D0D157" w14:textId="77777777" w:rsidR="00863F6A" w:rsidRPr="00DB5635" w:rsidRDefault="00863F6A" w:rsidP="00174DCA">
            <w:pPr>
              <w:pStyle w:val="Normal-pool"/>
              <w:spacing w:before="40" w:after="40"/>
              <w:rPr>
                <w:b/>
                <w:sz w:val="18"/>
                <w:szCs w:val="18"/>
                <w:lang w:val="es-ES_tradnl"/>
              </w:rPr>
            </w:pPr>
            <w:r w:rsidRPr="00DB5635">
              <w:rPr>
                <w:b/>
                <w:sz w:val="18"/>
                <w:szCs w:val="18"/>
                <w:lang w:val="es-ES_tradnl"/>
              </w:rPr>
              <w:t>B.</w:t>
            </w:r>
            <w:r w:rsidRPr="00DB5635">
              <w:rPr>
                <w:sz w:val="18"/>
                <w:szCs w:val="18"/>
                <w:lang w:val="es-ES_tradnl"/>
              </w:rPr>
              <w:t xml:space="preserve"> </w:t>
            </w:r>
            <w:r w:rsidRPr="00DB5635">
              <w:rPr>
                <w:b/>
                <w:bCs/>
                <w:sz w:val="18"/>
                <w:szCs w:val="18"/>
                <w:lang w:val="es-ES_tradnl"/>
              </w:rPr>
              <w:t>Financiado con cargo a los gastos de apoyo a los programas</w:t>
            </w:r>
          </w:p>
        </w:tc>
        <w:tc>
          <w:tcPr>
            <w:tcW w:w="1174" w:type="dxa"/>
            <w:tcBorders>
              <w:top w:val="single" w:sz="4" w:space="0" w:color="auto"/>
              <w:left w:val="dotted" w:sz="4" w:space="0" w:color="auto"/>
              <w:bottom w:val="single" w:sz="12" w:space="0" w:color="auto"/>
              <w:right w:val="dotted" w:sz="4" w:space="0" w:color="auto"/>
            </w:tcBorders>
          </w:tcPr>
          <w:p w14:paraId="7FFBEF3D" w14:textId="77777777" w:rsidR="00863F6A" w:rsidRPr="00DB5635" w:rsidRDefault="00863F6A" w:rsidP="00174DCA">
            <w:pPr>
              <w:pStyle w:val="Normal-pool"/>
              <w:spacing w:before="40" w:after="40"/>
              <w:jc w:val="right"/>
              <w:rPr>
                <w:b/>
                <w:sz w:val="18"/>
                <w:szCs w:val="18"/>
                <w:lang w:val="es-ES_tradnl"/>
              </w:rPr>
            </w:pPr>
          </w:p>
        </w:tc>
        <w:tc>
          <w:tcPr>
            <w:tcW w:w="1354" w:type="dxa"/>
            <w:tcBorders>
              <w:top w:val="single" w:sz="4" w:space="0" w:color="auto"/>
              <w:left w:val="dotted" w:sz="4" w:space="0" w:color="auto"/>
              <w:bottom w:val="single" w:sz="12" w:space="0" w:color="auto"/>
              <w:right w:val="dotted" w:sz="4" w:space="0" w:color="auto"/>
            </w:tcBorders>
          </w:tcPr>
          <w:p w14:paraId="7F15E1EE" w14:textId="77777777" w:rsidR="00863F6A" w:rsidRPr="00DB5635" w:rsidRDefault="00863F6A" w:rsidP="00174DCA">
            <w:pPr>
              <w:pStyle w:val="Normal-pool"/>
              <w:spacing w:before="40" w:after="40"/>
              <w:jc w:val="right"/>
              <w:rPr>
                <w:b/>
                <w:sz w:val="18"/>
                <w:szCs w:val="18"/>
                <w:lang w:val="es-ES_tradnl"/>
              </w:rPr>
            </w:pPr>
          </w:p>
        </w:tc>
        <w:tc>
          <w:tcPr>
            <w:tcW w:w="1354" w:type="dxa"/>
            <w:tcBorders>
              <w:top w:val="single" w:sz="4" w:space="0" w:color="auto"/>
              <w:left w:val="dotted" w:sz="4" w:space="0" w:color="auto"/>
              <w:bottom w:val="single" w:sz="12" w:space="0" w:color="auto"/>
              <w:right w:val="dotted" w:sz="4" w:space="0" w:color="auto"/>
            </w:tcBorders>
          </w:tcPr>
          <w:p w14:paraId="05896186" w14:textId="77777777" w:rsidR="00863F6A" w:rsidRPr="00DB5635" w:rsidRDefault="00863F6A" w:rsidP="00174DCA">
            <w:pPr>
              <w:pStyle w:val="Normal-pool"/>
              <w:spacing w:before="40" w:after="40"/>
              <w:jc w:val="right"/>
              <w:rPr>
                <w:b/>
                <w:sz w:val="18"/>
                <w:szCs w:val="18"/>
                <w:lang w:val="es-ES_tradnl"/>
              </w:rPr>
            </w:pPr>
          </w:p>
        </w:tc>
      </w:tr>
      <w:tr w:rsidR="00863F6A" w:rsidRPr="00DB5635" w14:paraId="47FBFA86" w14:textId="77777777" w:rsidTr="00174DCA">
        <w:trPr>
          <w:trHeight w:val="57"/>
          <w:jc w:val="right"/>
        </w:trPr>
        <w:tc>
          <w:tcPr>
            <w:tcW w:w="4425" w:type="dxa"/>
            <w:tcBorders>
              <w:top w:val="single" w:sz="12" w:space="0" w:color="auto"/>
            </w:tcBorders>
          </w:tcPr>
          <w:p w14:paraId="778A682F" w14:textId="41868568"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P-4 </w:t>
            </w:r>
            <w:r w:rsidR="00DB5635" w:rsidRPr="00DB5635">
              <w:rPr>
                <w:sz w:val="18"/>
                <w:szCs w:val="18"/>
                <w:lang w:val="es-ES_tradnl"/>
              </w:rPr>
              <w:t>–</w:t>
            </w:r>
            <w:r w:rsidR="00DB5635">
              <w:rPr>
                <w:sz w:val="18"/>
                <w:szCs w:val="18"/>
                <w:lang w:val="es-ES_tradnl"/>
              </w:rPr>
              <w:t xml:space="preserve"> </w:t>
            </w:r>
            <w:r w:rsidRPr="00DB5635">
              <w:rPr>
                <w:sz w:val="18"/>
                <w:szCs w:val="18"/>
                <w:lang w:val="es-ES_tradnl"/>
              </w:rPr>
              <w:t>Auxiliar Administrativo</w:t>
            </w:r>
          </w:p>
        </w:tc>
        <w:tc>
          <w:tcPr>
            <w:tcW w:w="1174" w:type="dxa"/>
            <w:tcBorders>
              <w:top w:val="single" w:sz="12" w:space="0" w:color="auto"/>
            </w:tcBorders>
          </w:tcPr>
          <w:p w14:paraId="13CBCB31" w14:textId="44774AB5"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c>
          <w:tcPr>
            <w:tcW w:w="1354" w:type="dxa"/>
            <w:tcBorders>
              <w:top w:val="single" w:sz="12" w:space="0" w:color="auto"/>
            </w:tcBorders>
          </w:tcPr>
          <w:p w14:paraId="0C3EC170" w14:textId="611EEA88" w:rsidR="00863F6A" w:rsidRPr="00DB5635" w:rsidRDefault="00863F6A" w:rsidP="00174DCA">
            <w:pPr>
              <w:pStyle w:val="Normal-pool"/>
              <w:spacing w:before="40" w:after="40"/>
              <w:jc w:val="right"/>
              <w:rPr>
                <w:sz w:val="18"/>
                <w:szCs w:val="18"/>
                <w:lang w:val="es-ES_tradnl"/>
              </w:rPr>
            </w:pPr>
            <w:r w:rsidRPr="00DB5635">
              <w:rPr>
                <w:sz w:val="18"/>
                <w:szCs w:val="18"/>
                <w:lang w:val="es-ES_tradnl"/>
              </w:rPr>
              <w:t>435</w:t>
            </w:r>
            <w:r w:rsidR="0038564C" w:rsidRPr="00DB5635">
              <w:rPr>
                <w:sz w:val="18"/>
                <w:szCs w:val="18"/>
                <w:lang w:val="es-ES_tradnl"/>
              </w:rPr>
              <w:t> </w:t>
            </w:r>
            <w:r w:rsidRPr="00DB5635">
              <w:rPr>
                <w:sz w:val="18"/>
                <w:szCs w:val="18"/>
                <w:lang w:val="es-ES_tradnl"/>
              </w:rPr>
              <w:t>654</w:t>
            </w:r>
          </w:p>
        </w:tc>
        <w:tc>
          <w:tcPr>
            <w:tcW w:w="1354" w:type="dxa"/>
            <w:tcBorders>
              <w:top w:val="single" w:sz="12" w:space="0" w:color="auto"/>
            </w:tcBorders>
          </w:tcPr>
          <w:p w14:paraId="5E8FA6B9"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24C8F961" w14:textId="77777777" w:rsidTr="00174DCA">
        <w:trPr>
          <w:trHeight w:val="57"/>
          <w:jc w:val="right"/>
        </w:trPr>
        <w:tc>
          <w:tcPr>
            <w:tcW w:w="4425" w:type="dxa"/>
            <w:tcBorders>
              <w:bottom w:val="single" w:sz="4" w:space="0" w:color="auto"/>
            </w:tcBorders>
          </w:tcPr>
          <w:p w14:paraId="28C6AF10" w14:textId="2BE4F93C" w:rsidR="00863F6A" w:rsidRPr="00DB5635" w:rsidRDefault="00863F6A" w:rsidP="00174DCA">
            <w:pPr>
              <w:pStyle w:val="Normal-pool"/>
              <w:spacing w:before="40" w:after="40"/>
              <w:rPr>
                <w:sz w:val="18"/>
                <w:szCs w:val="18"/>
                <w:lang w:val="es-ES_tradnl"/>
              </w:rPr>
            </w:pPr>
            <w:r w:rsidRPr="00DB5635">
              <w:rPr>
                <w:sz w:val="18"/>
                <w:szCs w:val="18"/>
                <w:lang w:val="es-ES_tradnl"/>
              </w:rPr>
              <w:t xml:space="preserve">G-6 </w:t>
            </w:r>
            <w:r w:rsidR="00DB5635" w:rsidRPr="00DB5635">
              <w:rPr>
                <w:sz w:val="18"/>
                <w:szCs w:val="18"/>
                <w:lang w:val="es-ES_tradnl"/>
              </w:rPr>
              <w:t>–</w:t>
            </w:r>
            <w:r w:rsidR="00DB5635">
              <w:rPr>
                <w:sz w:val="18"/>
                <w:szCs w:val="18"/>
                <w:lang w:val="es-ES_tradnl"/>
              </w:rPr>
              <w:t xml:space="preserve"> </w:t>
            </w:r>
            <w:r w:rsidRPr="00DB5635">
              <w:rPr>
                <w:sz w:val="18"/>
                <w:szCs w:val="18"/>
                <w:lang w:val="es-ES_tradnl"/>
              </w:rPr>
              <w:t>Auxiliar Administrativo</w:t>
            </w:r>
          </w:p>
        </w:tc>
        <w:tc>
          <w:tcPr>
            <w:tcW w:w="1174" w:type="dxa"/>
            <w:tcBorders>
              <w:bottom w:val="single" w:sz="4" w:space="0" w:color="auto"/>
            </w:tcBorders>
          </w:tcPr>
          <w:p w14:paraId="6936BE1E" w14:textId="40CC1D01"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Borders>
              <w:bottom w:val="single" w:sz="4" w:space="0" w:color="auto"/>
            </w:tcBorders>
          </w:tcPr>
          <w:p w14:paraId="742885C6" w14:textId="2BFDF5C1" w:rsidR="00863F6A" w:rsidRPr="00DB5635" w:rsidRDefault="00863F6A" w:rsidP="00174DCA">
            <w:pPr>
              <w:pStyle w:val="Normal-pool"/>
              <w:spacing w:before="40" w:after="40"/>
              <w:jc w:val="right"/>
              <w:rPr>
                <w:sz w:val="18"/>
                <w:szCs w:val="18"/>
                <w:lang w:val="es-ES_tradnl"/>
              </w:rPr>
            </w:pPr>
            <w:r w:rsidRPr="00DB5635">
              <w:rPr>
                <w:sz w:val="18"/>
                <w:szCs w:val="18"/>
                <w:lang w:val="es-ES_tradnl"/>
              </w:rPr>
              <w:t>275</w:t>
            </w:r>
            <w:r w:rsidR="0038564C" w:rsidRPr="00DB5635">
              <w:rPr>
                <w:sz w:val="18"/>
                <w:szCs w:val="18"/>
                <w:lang w:val="es-ES_tradnl"/>
              </w:rPr>
              <w:t> </w:t>
            </w:r>
            <w:r w:rsidRPr="00DB5635">
              <w:rPr>
                <w:sz w:val="18"/>
                <w:szCs w:val="18"/>
                <w:lang w:val="es-ES_tradnl"/>
              </w:rPr>
              <w:t>065</w:t>
            </w:r>
          </w:p>
        </w:tc>
        <w:tc>
          <w:tcPr>
            <w:tcW w:w="1354" w:type="dxa"/>
            <w:tcBorders>
              <w:bottom w:val="single" w:sz="4" w:space="0" w:color="auto"/>
            </w:tcBorders>
          </w:tcPr>
          <w:p w14:paraId="51A0E6F4" w14:textId="77777777" w:rsidR="00863F6A" w:rsidRPr="00DB5635" w:rsidRDefault="00CD2C48" w:rsidP="00174DCA">
            <w:pPr>
              <w:pStyle w:val="Normal-pool"/>
              <w:spacing w:before="40" w:after="40"/>
              <w:jc w:val="right"/>
              <w:rPr>
                <w:sz w:val="18"/>
                <w:szCs w:val="18"/>
                <w:lang w:val="es-ES_tradnl"/>
              </w:rPr>
            </w:pPr>
            <w:r w:rsidRPr="00DB5635">
              <w:rPr>
                <w:sz w:val="18"/>
                <w:szCs w:val="18"/>
                <w:lang w:val="es-ES_tradnl"/>
              </w:rPr>
              <w:t>–</w:t>
            </w:r>
          </w:p>
        </w:tc>
      </w:tr>
      <w:tr w:rsidR="00863F6A" w:rsidRPr="00DB5635" w14:paraId="054975C2"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4D13D6CE" w14:textId="6CB16937" w:rsidR="00863F6A" w:rsidRPr="00DB5635" w:rsidRDefault="00274E45" w:rsidP="00174DCA">
            <w:pPr>
              <w:pStyle w:val="Normal-pool"/>
              <w:spacing w:before="40" w:after="40"/>
              <w:rPr>
                <w:b/>
                <w:sz w:val="18"/>
                <w:szCs w:val="18"/>
                <w:lang w:val="es-ES_tradnl"/>
              </w:rPr>
            </w:pPr>
            <w:r w:rsidRPr="00DB5635">
              <w:rPr>
                <w:b/>
                <w:bCs/>
                <w:sz w:val="18"/>
                <w:szCs w:val="18"/>
                <w:lang w:val="es-ES_tradnl"/>
              </w:rPr>
              <w:t>TOTAL PARCIAL</w:t>
            </w:r>
            <w:r w:rsidR="00863F6A" w:rsidRPr="00DB5635">
              <w:rPr>
                <w:b/>
                <w:bCs/>
                <w:sz w:val="18"/>
                <w:szCs w:val="18"/>
                <w:lang w:val="es-ES_tradnl"/>
              </w:rPr>
              <w:t xml:space="preserve"> FINANCIADO CON CARGO A LOS GASTOS DE APOYO A LOS PROGRAMAS</w:t>
            </w:r>
          </w:p>
        </w:tc>
        <w:tc>
          <w:tcPr>
            <w:tcW w:w="1174" w:type="dxa"/>
            <w:tcBorders>
              <w:top w:val="single" w:sz="4" w:space="0" w:color="auto"/>
              <w:left w:val="dotted" w:sz="4" w:space="0" w:color="auto"/>
              <w:bottom w:val="single" w:sz="12" w:space="0" w:color="auto"/>
              <w:right w:val="dotted" w:sz="4" w:space="0" w:color="auto"/>
            </w:tcBorders>
          </w:tcPr>
          <w:p w14:paraId="0D246B24" w14:textId="2F7DC2F8"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710</w:t>
            </w:r>
            <w:r w:rsidR="0038564C" w:rsidRPr="00DB5635">
              <w:rPr>
                <w:b/>
                <w:bCs/>
                <w:sz w:val="18"/>
                <w:szCs w:val="18"/>
                <w:lang w:val="es-ES_tradnl"/>
              </w:rPr>
              <w:t> </w:t>
            </w:r>
            <w:r w:rsidRPr="00DB5635">
              <w:rPr>
                <w:b/>
                <w:bCs/>
                <w:sz w:val="18"/>
                <w:szCs w:val="18"/>
                <w:lang w:val="es-ES_tradnl"/>
              </w:rPr>
              <w:t>719</w:t>
            </w:r>
          </w:p>
        </w:tc>
        <w:tc>
          <w:tcPr>
            <w:tcW w:w="1354" w:type="dxa"/>
            <w:tcBorders>
              <w:top w:val="single" w:sz="4" w:space="0" w:color="auto"/>
              <w:left w:val="dotted" w:sz="4" w:space="0" w:color="auto"/>
              <w:bottom w:val="single" w:sz="12" w:space="0" w:color="auto"/>
              <w:right w:val="dotted" w:sz="4" w:space="0" w:color="auto"/>
            </w:tcBorders>
          </w:tcPr>
          <w:p w14:paraId="492EF06F" w14:textId="58E0AE01"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710</w:t>
            </w:r>
            <w:r w:rsidR="0038564C" w:rsidRPr="00DB5635">
              <w:rPr>
                <w:b/>
                <w:bCs/>
                <w:sz w:val="18"/>
                <w:szCs w:val="18"/>
                <w:lang w:val="es-ES_tradnl"/>
              </w:rPr>
              <w:t> </w:t>
            </w:r>
            <w:r w:rsidRPr="00DB5635">
              <w:rPr>
                <w:b/>
                <w:bCs/>
                <w:sz w:val="18"/>
                <w:szCs w:val="18"/>
                <w:lang w:val="es-ES_tradnl"/>
              </w:rPr>
              <w:t>719</w:t>
            </w:r>
          </w:p>
        </w:tc>
        <w:tc>
          <w:tcPr>
            <w:tcW w:w="1354" w:type="dxa"/>
            <w:tcBorders>
              <w:top w:val="single" w:sz="4" w:space="0" w:color="auto"/>
              <w:left w:val="dotted" w:sz="4" w:space="0" w:color="auto"/>
              <w:bottom w:val="single" w:sz="12" w:space="0" w:color="auto"/>
              <w:right w:val="dotted" w:sz="4" w:space="0" w:color="auto"/>
            </w:tcBorders>
          </w:tcPr>
          <w:p w14:paraId="28CAC08C" w14:textId="77777777" w:rsidR="00863F6A" w:rsidRPr="00DB5635" w:rsidRDefault="00CD2C48" w:rsidP="00174DCA">
            <w:pPr>
              <w:pStyle w:val="Normal-pool"/>
              <w:spacing w:before="40" w:after="40"/>
              <w:jc w:val="right"/>
              <w:rPr>
                <w:b/>
                <w:sz w:val="18"/>
                <w:szCs w:val="18"/>
                <w:lang w:val="es-ES_tradnl"/>
              </w:rPr>
            </w:pPr>
            <w:r w:rsidRPr="00DB5635">
              <w:rPr>
                <w:b/>
                <w:bCs/>
                <w:sz w:val="18"/>
                <w:szCs w:val="18"/>
                <w:lang w:val="es-ES_tradnl"/>
              </w:rPr>
              <w:t>–</w:t>
            </w:r>
          </w:p>
        </w:tc>
      </w:tr>
      <w:tr w:rsidR="00863F6A" w:rsidRPr="00DB5635" w14:paraId="035E225D" w14:textId="77777777" w:rsidTr="00174DCA">
        <w:trPr>
          <w:trHeight w:val="57"/>
          <w:jc w:val="right"/>
        </w:trPr>
        <w:tc>
          <w:tcPr>
            <w:tcW w:w="4425" w:type="dxa"/>
            <w:tcBorders>
              <w:top w:val="single" w:sz="12" w:space="0" w:color="auto"/>
              <w:bottom w:val="single" w:sz="12" w:space="0" w:color="auto"/>
            </w:tcBorders>
          </w:tcPr>
          <w:p w14:paraId="6E373E1C" w14:textId="77777777" w:rsidR="00863F6A" w:rsidRPr="00DB5635" w:rsidRDefault="00863F6A" w:rsidP="00174DCA">
            <w:pPr>
              <w:pStyle w:val="Normal-pool"/>
              <w:spacing w:before="40" w:after="40"/>
              <w:rPr>
                <w:b/>
                <w:sz w:val="18"/>
                <w:szCs w:val="18"/>
                <w:lang w:val="es-ES_tradnl"/>
              </w:rPr>
            </w:pPr>
            <w:r w:rsidRPr="00DB5635">
              <w:rPr>
                <w:b/>
                <w:bCs/>
                <w:sz w:val="18"/>
                <w:szCs w:val="18"/>
                <w:lang w:val="es-ES_tradnl"/>
              </w:rPr>
              <w:t>TOTAL GENERAL</w:t>
            </w:r>
          </w:p>
        </w:tc>
        <w:tc>
          <w:tcPr>
            <w:tcW w:w="1174" w:type="dxa"/>
            <w:tcBorders>
              <w:top w:val="single" w:sz="12" w:space="0" w:color="auto"/>
              <w:bottom w:val="single" w:sz="12" w:space="0" w:color="auto"/>
            </w:tcBorders>
          </w:tcPr>
          <w:p w14:paraId="58569F92" w14:textId="0F9003E8"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6</w:t>
            </w:r>
            <w:r w:rsidR="0038564C" w:rsidRPr="00DB5635">
              <w:rPr>
                <w:b/>
                <w:bCs/>
                <w:sz w:val="18"/>
                <w:szCs w:val="18"/>
                <w:lang w:val="es-ES_tradnl"/>
              </w:rPr>
              <w:t> 174 </w:t>
            </w:r>
            <w:r w:rsidRPr="00DB5635">
              <w:rPr>
                <w:b/>
                <w:bCs/>
                <w:sz w:val="18"/>
                <w:szCs w:val="18"/>
                <w:lang w:val="es-ES_tradnl"/>
              </w:rPr>
              <w:t>423</w:t>
            </w:r>
          </w:p>
        </w:tc>
        <w:tc>
          <w:tcPr>
            <w:tcW w:w="1354" w:type="dxa"/>
            <w:tcBorders>
              <w:top w:val="single" w:sz="12" w:space="0" w:color="auto"/>
              <w:bottom w:val="single" w:sz="12" w:space="0" w:color="auto"/>
            </w:tcBorders>
          </w:tcPr>
          <w:p w14:paraId="0E34975B" w14:textId="11564307"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2</w:t>
            </w:r>
            <w:r w:rsidR="0038564C" w:rsidRPr="00DB5635">
              <w:rPr>
                <w:b/>
                <w:bCs/>
                <w:sz w:val="18"/>
                <w:szCs w:val="18"/>
                <w:lang w:val="es-ES_tradnl"/>
              </w:rPr>
              <w:t> </w:t>
            </w:r>
            <w:r w:rsidRPr="00DB5635">
              <w:rPr>
                <w:b/>
                <w:bCs/>
                <w:sz w:val="18"/>
                <w:szCs w:val="18"/>
                <w:lang w:val="es-ES_tradnl"/>
              </w:rPr>
              <w:t>960</w:t>
            </w:r>
            <w:r w:rsidR="0038564C" w:rsidRPr="00DB5635">
              <w:rPr>
                <w:b/>
                <w:bCs/>
                <w:sz w:val="18"/>
                <w:szCs w:val="18"/>
                <w:lang w:val="es-ES_tradnl"/>
              </w:rPr>
              <w:t> </w:t>
            </w:r>
            <w:r w:rsidRPr="00DB5635">
              <w:rPr>
                <w:b/>
                <w:bCs/>
                <w:sz w:val="18"/>
                <w:szCs w:val="18"/>
                <w:lang w:val="es-ES_tradnl"/>
              </w:rPr>
              <w:t>824</w:t>
            </w:r>
          </w:p>
        </w:tc>
        <w:tc>
          <w:tcPr>
            <w:tcW w:w="1354" w:type="dxa"/>
            <w:tcBorders>
              <w:top w:val="single" w:sz="12" w:space="0" w:color="auto"/>
              <w:bottom w:val="single" w:sz="12" w:space="0" w:color="auto"/>
            </w:tcBorders>
          </w:tcPr>
          <w:p w14:paraId="129F4671" w14:textId="286018A9" w:rsidR="00863F6A" w:rsidRPr="00DB5635" w:rsidRDefault="00863F6A" w:rsidP="00174DCA">
            <w:pPr>
              <w:pStyle w:val="Normal-pool"/>
              <w:spacing w:before="40" w:after="40"/>
              <w:jc w:val="right"/>
              <w:rPr>
                <w:b/>
                <w:sz w:val="18"/>
                <w:szCs w:val="18"/>
                <w:lang w:val="es-ES_tradnl"/>
              </w:rPr>
            </w:pPr>
            <w:r w:rsidRPr="00DB5635">
              <w:rPr>
                <w:b/>
                <w:bCs/>
                <w:sz w:val="18"/>
                <w:szCs w:val="18"/>
                <w:lang w:val="es-ES_tradnl"/>
              </w:rPr>
              <w:t>3</w:t>
            </w:r>
            <w:r w:rsidR="0038564C" w:rsidRPr="00DB5635">
              <w:rPr>
                <w:b/>
                <w:bCs/>
                <w:sz w:val="18"/>
                <w:szCs w:val="18"/>
                <w:lang w:val="es-ES_tradnl"/>
              </w:rPr>
              <w:t> </w:t>
            </w:r>
            <w:r w:rsidRPr="00DB5635">
              <w:rPr>
                <w:b/>
                <w:bCs/>
                <w:sz w:val="18"/>
                <w:szCs w:val="18"/>
                <w:lang w:val="es-ES_tradnl"/>
              </w:rPr>
              <w:t>213</w:t>
            </w:r>
            <w:r w:rsidR="00B013AF" w:rsidRPr="00DB5635">
              <w:rPr>
                <w:b/>
                <w:bCs/>
                <w:sz w:val="18"/>
                <w:szCs w:val="18"/>
                <w:lang w:val="es-ES_tradnl"/>
              </w:rPr>
              <w:t> </w:t>
            </w:r>
            <w:r w:rsidRPr="00DB5635">
              <w:rPr>
                <w:b/>
                <w:bCs/>
                <w:sz w:val="18"/>
                <w:szCs w:val="18"/>
                <w:lang w:val="es-ES_tradnl"/>
              </w:rPr>
              <w:t>599</w:t>
            </w:r>
          </w:p>
        </w:tc>
      </w:tr>
    </w:tbl>
    <w:p w14:paraId="6A12A3D8" w14:textId="77777777" w:rsidR="00AE3AF5" w:rsidRPr="00DB5635" w:rsidRDefault="00BD6E6D" w:rsidP="00AE3AF5">
      <w:pPr>
        <w:pStyle w:val="CommentText"/>
      </w:pPr>
      <w:r w:rsidRPr="00DB5635">
        <w:br w:type="page"/>
      </w:r>
    </w:p>
    <w:p w14:paraId="6824967E" w14:textId="6A2FA82B" w:rsidR="00863F6A" w:rsidRPr="00D2700B" w:rsidRDefault="00F81272" w:rsidP="00174DCA">
      <w:pPr>
        <w:pStyle w:val="CH1"/>
        <w:rPr>
          <w:sz w:val="24"/>
          <w:szCs w:val="24"/>
          <w:lang w:val="es-ES_tradnl"/>
        </w:rPr>
      </w:pPr>
      <w:r w:rsidRPr="00D2700B">
        <w:rPr>
          <w:sz w:val="24"/>
          <w:szCs w:val="24"/>
          <w:lang w:val="es-ES_tradnl"/>
        </w:rPr>
        <w:tab/>
      </w:r>
      <w:r w:rsidR="000A7F53" w:rsidRPr="00D2700B">
        <w:rPr>
          <w:sz w:val="24"/>
          <w:szCs w:val="24"/>
          <w:lang w:val="es-ES_tradnl"/>
        </w:rPr>
        <w:t>C.</w:t>
      </w:r>
      <w:r w:rsidR="000A7F53" w:rsidRPr="00D2700B">
        <w:rPr>
          <w:sz w:val="24"/>
          <w:szCs w:val="24"/>
          <w:lang w:val="es-ES_tradnl"/>
        </w:rPr>
        <w:tab/>
      </w:r>
      <w:r w:rsidR="000A7F53" w:rsidRPr="00D2700B">
        <w:rPr>
          <w:bCs/>
          <w:sz w:val="24"/>
          <w:szCs w:val="24"/>
          <w:lang w:val="es-ES_tradnl"/>
        </w:rPr>
        <w:t>Propuesta de distribución de puestos para la redistribución de</w:t>
      </w:r>
      <w:r w:rsidR="00D2700B" w:rsidRPr="00D2700B">
        <w:rPr>
          <w:bCs/>
          <w:sz w:val="24"/>
          <w:szCs w:val="24"/>
          <w:lang w:val="es-ES_tradnl"/>
        </w:rPr>
        <w:t> </w:t>
      </w:r>
      <w:r w:rsidR="000A7F53" w:rsidRPr="00D2700B">
        <w:rPr>
          <w:bCs/>
          <w:sz w:val="24"/>
          <w:szCs w:val="24"/>
          <w:lang w:val="es-ES_tradnl"/>
        </w:rPr>
        <w:t>personal de la Secretaría del Convenio de Minamata a la Secretaría de los Convenios de Basilea, Estocolmo y Rotterdam</w:t>
      </w:r>
      <w:bookmarkStart w:id="34" w:name="_Toc21073448"/>
      <w:bookmarkStart w:id="35" w:name="_Toc22825252"/>
      <w:bookmarkEnd w:id="34"/>
      <w:bookmarkEnd w:id="35"/>
    </w:p>
    <w:tbl>
      <w:tblPr>
        <w:tblStyle w:val="TableGrid"/>
        <w:tblW w:w="8273" w:type="dxa"/>
        <w:jc w:val="right"/>
        <w:tblBorders>
          <w:top w:val="none" w:sz="0" w:space="0" w:color="auto"/>
          <w:left w:val="dotted" w:sz="4" w:space="0" w:color="auto"/>
          <w:bottom w:val="none" w:sz="0" w:space="0" w:color="auto"/>
          <w:right w:val="dotted" w:sz="4" w:space="0" w:color="auto"/>
          <w:insideH w:val="dotted" w:sz="4" w:space="0" w:color="auto"/>
          <w:insideV w:val="none" w:sz="0" w:space="0" w:color="auto"/>
        </w:tblBorders>
        <w:tblLayout w:type="fixed"/>
        <w:tblLook w:val="04A0" w:firstRow="1" w:lastRow="0" w:firstColumn="1" w:lastColumn="0" w:noHBand="0" w:noVBand="1"/>
      </w:tblPr>
      <w:tblGrid>
        <w:gridCol w:w="4267"/>
        <w:gridCol w:w="1411"/>
        <w:gridCol w:w="1297"/>
        <w:gridCol w:w="1298"/>
      </w:tblGrid>
      <w:tr w:rsidR="00863F6A" w:rsidRPr="00DB5635" w14:paraId="2871B536" w14:textId="77777777" w:rsidTr="00333C53">
        <w:trPr>
          <w:trHeight w:val="57"/>
          <w:jc w:val="right"/>
        </w:trPr>
        <w:tc>
          <w:tcPr>
            <w:tcW w:w="4330" w:type="dxa"/>
            <w:tcBorders>
              <w:top w:val="single" w:sz="4" w:space="0" w:color="auto"/>
              <w:bottom w:val="single" w:sz="12" w:space="0" w:color="auto"/>
            </w:tcBorders>
          </w:tcPr>
          <w:p w14:paraId="5EAE57BB" w14:textId="77777777" w:rsidR="00863F6A" w:rsidRPr="00DB5635" w:rsidRDefault="00863F6A" w:rsidP="00174DCA">
            <w:pPr>
              <w:pStyle w:val="Normal-pool"/>
              <w:spacing w:before="40" w:after="40"/>
              <w:ind w:left="57" w:right="57"/>
              <w:rPr>
                <w:i/>
                <w:sz w:val="18"/>
                <w:szCs w:val="18"/>
                <w:lang w:val="es-ES_tradnl"/>
              </w:rPr>
            </w:pPr>
            <w:r w:rsidRPr="00DB5635">
              <w:rPr>
                <w:i/>
                <w:iCs/>
                <w:sz w:val="18"/>
                <w:szCs w:val="18"/>
                <w:lang w:val="es-ES_tradnl"/>
              </w:rPr>
              <w:t>Puesto y nivel</w:t>
            </w:r>
          </w:p>
        </w:tc>
        <w:tc>
          <w:tcPr>
            <w:tcW w:w="1429" w:type="dxa"/>
            <w:tcBorders>
              <w:top w:val="single" w:sz="4" w:space="0" w:color="auto"/>
              <w:bottom w:val="single" w:sz="12" w:space="0" w:color="auto"/>
            </w:tcBorders>
          </w:tcPr>
          <w:p w14:paraId="616899B7" w14:textId="04B50F25" w:rsidR="00863F6A" w:rsidRPr="00DB5635" w:rsidRDefault="00863F6A" w:rsidP="00174DCA">
            <w:pPr>
              <w:pStyle w:val="Normal-pool"/>
              <w:spacing w:before="40" w:after="40"/>
              <w:ind w:left="57" w:right="57"/>
              <w:jc w:val="right"/>
              <w:rPr>
                <w:i/>
                <w:sz w:val="18"/>
                <w:szCs w:val="18"/>
                <w:lang w:val="es-ES_tradnl"/>
              </w:rPr>
            </w:pPr>
            <w:r w:rsidRPr="00DB5635">
              <w:rPr>
                <w:i/>
                <w:iCs/>
                <w:sz w:val="18"/>
                <w:szCs w:val="18"/>
                <w:lang w:val="es-ES_tradnl"/>
              </w:rPr>
              <w:t xml:space="preserve">Presupuestado en </w:t>
            </w:r>
            <w:r w:rsidR="00BB2766">
              <w:rPr>
                <w:i/>
                <w:iCs/>
                <w:sz w:val="18"/>
                <w:szCs w:val="18"/>
                <w:lang w:val="es-ES_tradnl"/>
              </w:rPr>
              <w:t xml:space="preserve">el </w:t>
            </w:r>
            <w:r w:rsidRPr="00DB5635">
              <w:rPr>
                <w:i/>
                <w:iCs/>
                <w:sz w:val="18"/>
                <w:szCs w:val="18"/>
                <w:lang w:val="es-ES_tradnl"/>
              </w:rPr>
              <w:t>C</w:t>
            </w:r>
            <w:r w:rsidR="00BB2766">
              <w:rPr>
                <w:i/>
                <w:iCs/>
                <w:sz w:val="18"/>
                <w:szCs w:val="18"/>
                <w:lang w:val="es-ES_tradnl"/>
              </w:rPr>
              <w:t xml:space="preserve">onvenio de </w:t>
            </w:r>
            <w:r w:rsidRPr="00DB5635">
              <w:rPr>
                <w:i/>
                <w:iCs/>
                <w:sz w:val="18"/>
                <w:szCs w:val="18"/>
                <w:lang w:val="es-ES_tradnl"/>
              </w:rPr>
              <w:t>M</w:t>
            </w:r>
            <w:r w:rsidR="00BB2766">
              <w:rPr>
                <w:i/>
                <w:iCs/>
                <w:sz w:val="18"/>
                <w:szCs w:val="18"/>
                <w:lang w:val="es-ES_tradnl"/>
              </w:rPr>
              <w:t>inamata</w:t>
            </w:r>
          </w:p>
        </w:tc>
        <w:tc>
          <w:tcPr>
            <w:tcW w:w="1201" w:type="dxa"/>
            <w:tcBorders>
              <w:top w:val="single" w:sz="4" w:space="0" w:color="auto"/>
              <w:bottom w:val="single" w:sz="12" w:space="0" w:color="auto"/>
            </w:tcBorders>
          </w:tcPr>
          <w:p w14:paraId="04DDFA32" w14:textId="62613188" w:rsidR="00863F6A" w:rsidRPr="00DB5635" w:rsidRDefault="00863F6A" w:rsidP="00174DCA">
            <w:pPr>
              <w:pStyle w:val="Normal-pool"/>
              <w:spacing w:before="40" w:after="40"/>
              <w:ind w:left="57" w:right="57"/>
              <w:jc w:val="right"/>
              <w:rPr>
                <w:i/>
                <w:sz w:val="18"/>
                <w:szCs w:val="18"/>
                <w:lang w:val="es-ES_tradnl"/>
              </w:rPr>
            </w:pPr>
            <w:r w:rsidRPr="00DB5635">
              <w:rPr>
                <w:i/>
                <w:iCs/>
                <w:sz w:val="18"/>
                <w:szCs w:val="18"/>
                <w:lang w:val="es-ES_tradnl"/>
              </w:rPr>
              <w:t xml:space="preserve">Previsto para </w:t>
            </w:r>
            <w:r w:rsidR="00BB2766">
              <w:rPr>
                <w:i/>
                <w:iCs/>
                <w:sz w:val="18"/>
                <w:szCs w:val="18"/>
                <w:lang w:val="es-ES_tradnl"/>
              </w:rPr>
              <w:t xml:space="preserve">los Convenios de </w:t>
            </w:r>
            <w:r w:rsidRPr="00DB5635">
              <w:rPr>
                <w:i/>
                <w:iCs/>
                <w:sz w:val="18"/>
                <w:szCs w:val="18"/>
                <w:lang w:val="es-ES_tradnl"/>
              </w:rPr>
              <w:t>B</w:t>
            </w:r>
            <w:r w:rsidR="00BB2766">
              <w:rPr>
                <w:i/>
                <w:iCs/>
                <w:sz w:val="18"/>
                <w:szCs w:val="18"/>
                <w:lang w:val="es-ES_tradnl"/>
              </w:rPr>
              <w:t xml:space="preserve">asilea, </w:t>
            </w:r>
            <w:r w:rsidRPr="00DB5635">
              <w:rPr>
                <w:i/>
                <w:iCs/>
                <w:sz w:val="18"/>
                <w:szCs w:val="18"/>
                <w:lang w:val="es-ES_tradnl"/>
              </w:rPr>
              <w:t>E</w:t>
            </w:r>
            <w:r w:rsidR="00BB2766">
              <w:rPr>
                <w:i/>
                <w:iCs/>
                <w:sz w:val="18"/>
                <w:szCs w:val="18"/>
                <w:lang w:val="es-ES_tradnl"/>
              </w:rPr>
              <w:t xml:space="preserve">stocolmo y </w:t>
            </w:r>
            <w:r w:rsidRPr="00DB5635">
              <w:rPr>
                <w:i/>
                <w:iCs/>
                <w:sz w:val="18"/>
                <w:szCs w:val="18"/>
                <w:lang w:val="es-ES_tradnl"/>
              </w:rPr>
              <w:t>R</w:t>
            </w:r>
            <w:r w:rsidR="00BB2766">
              <w:rPr>
                <w:i/>
                <w:iCs/>
                <w:sz w:val="18"/>
                <w:szCs w:val="18"/>
                <w:lang w:val="es-ES_tradnl"/>
              </w:rPr>
              <w:t>otterdam</w:t>
            </w:r>
          </w:p>
        </w:tc>
        <w:tc>
          <w:tcPr>
            <w:tcW w:w="1315" w:type="dxa"/>
            <w:tcBorders>
              <w:top w:val="single" w:sz="4" w:space="0" w:color="auto"/>
              <w:bottom w:val="single" w:sz="12" w:space="0" w:color="auto"/>
            </w:tcBorders>
          </w:tcPr>
          <w:p w14:paraId="52D3F52E" w14:textId="7283A301" w:rsidR="00863F6A" w:rsidRPr="00DB5635" w:rsidRDefault="00863F6A" w:rsidP="00174DCA">
            <w:pPr>
              <w:pStyle w:val="Normal-pool"/>
              <w:spacing w:before="40" w:after="40"/>
              <w:ind w:left="57" w:right="57"/>
              <w:jc w:val="right"/>
              <w:rPr>
                <w:i/>
                <w:sz w:val="18"/>
                <w:szCs w:val="18"/>
                <w:lang w:val="es-ES_tradnl"/>
              </w:rPr>
            </w:pPr>
            <w:r w:rsidRPr="00DB5635">
              <w:rPr>
                <w:i/>
                <w:iCs/>
                <w:sz w:val="18"/>
                <w:szCs w:val="18"/>
                <w:lang w:val="es-ES_tradnl"/>
              </w:rPr>
              <w:t xml:space="preserve">Permanece </w:t>
            </w:r>
            <w:r w:rsidR="00BB2766">
              <w:rPr>
                <w:i/>
                <w:iCs/>
                <w:sz w:val="18"/>
                <w:szCs w:val="18"/>
                <w:lang w:val="es-ES_tradnl"/>
              </w:rPr>
              <w:t xml:space="preserve">en el </w:t>
            </w:r>
            <w:r w:rsidRPr="00DB5635">
              <w:rPr>
                <w:i/>
                <w:iCs/>
                <w:sz w:val="18"/>
                <w:szCs w:val="18"/>
                <w:lang w:val="es-ES_tradnl"/>
              </w:rPr>
              <w:t>C</w:t>
            </w:r>
            <w:r w:rsidR="00BB2766">
              <w:rPr>
                <w:i/>
                <w:iCs/>
                <w:sz w:val="18"/>
                <w:szCs w:val="18"/>
                <w:lang w:val="es-ES_tradnl"/>
              </w:rPr>
              <w:t xml:space="preserve">onvenio de </w:t>
            </w:r>
            <w:r w:rsidRPr="00DB5635">
              <w:rPr>
                <w:i/>
                <w:iCs/>
                <w:sz w:val="18"/>
                <w:szCs w:val="18"/>
                <w:lang w:val="es-ES_tradnl"/>
              </w:rPr>
              <w:t>M</w:t>
            </w:r>
            <w:r w:rsidR="00BB2766">
              <w:rPr>
                <w:i/>
                <w:iCs/>
                <w:sz w:val="18"/>
                <w:szCs w:val="18"/>
                <w:lang w:val="es-ES_tradnl"/>
              </w:rPr>
              <w:t>inamata</w:t>
            </w:r>
          </w:p>
        </w:tc>
      </w:tr>
      <w:tr w:rsidR="00863F6A" w:rsidRPr="00DB5635" w14:paraId="4F0BC573" w14:textId="77777777" w:rsidTr="00333C53">
        <w:trPr>
          <w:trHeight w:val="57"/>
          <w:jc w:val="right"/>
        </w:trPr>
        <w:tc>
          <w:tcPr>
            <w:tcW w:w="4330" w:type="dxa"/>
            <w:tcBorders>
              <w:top w:val="single" w:sz="12" w:space="0" w:color="auto"/>
            </w:tcBorders>
          </w:tcPr>
          <w:p w14:paraId="2D41A7BE" w14:textId="7787FE90"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D-1 </w:t>
            </w:r>
            <w:r w:rsidR="0038564C" w:rsidRPr="00DB5635">
              <w:rPr>
                <w:sz w:val="18"/>
                <w:szCs w:val="18"/>
                <w:lang w:val="es-ES_tradnl"/>
              </w:rPr>
              <w:t xml:space="preserve">– </w:t>
            </w:r>
            <w:r w:rsidRPr="00DB5635">
              <w:rPr>
                <w:sz w:val="18"/>
                <w:szCs w:val="18"/>
                <w:lang w:val="es-ES_tradnl"/>
              </w:rPr>
              <w:t>Secretaria Ejecutiva</w:t>
            </w:r>
          </w:p>
        </w:tc>
        <w:tc>
          <w:tcPr>
            <w:tcW w:w="1429" w:type="dxa"/>
            <w:tcBorders>
              <w:top w:val="single" w:sz="12" w:space="0" w:color="auto"/>
            </w:tcBorders>
          </w:tcPr>
          <w:p w14:paraId="4ACCF6AB"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Borders>
              <w:top w:val="single" w:sz="12" w:space="0" w:color="auto"/>
            </w:tcBorders>
          </w:tcPr>
          <w:p w14:paraId="341FE560"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Borders>
              <w:top w:val="single" w:sz="12" w:space="0" w:color="auto"/>
            </w:tcBorders>
          </w:tcPr>
          <w:p w14:paraId="46AF52E4"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5127B7D2" w14:textId="77777777" w:rsidTr="00333C53">
        <w:trPr>
          <w:trHeight w:val="57"/>
          <w:jc w:val="right"/>
        </w:trPr>
        <w:tc>
          <w:tcPr>
            <w:tcW w:w="4330" w:type="dxa"/>
          </w:tcPr>
          <w:p w14:paraId="11A2B7B4" w14:textId="00400D0C"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P-5 </w:t>
            </w:r>
            <w:r w:rsidR="00333C53" w:rsidRPr="00DB5635">
              <w:rPr>
                <w:sz w:val="18"/>
                <w:szCs w:val="18"/>
                <w:lang w:val="es-ES_tradnl"/>
              </w:rPr>
              <w:t xml:space="preserve">– </w:t>
            </w:r>
            <w:r w:rsidRPr="00DB5635">
              <w:rPr>
                <w:sz w:val="18"/>
                <w:szCs w:val="18"/>
                <w:lang w:val="es-ES_tradnl"/>
              </w:rPr>
              <w:t>Coordinación y políticas</w:t>
            </w:r>
          </w:p>
        </w:tc>
        <w:tc>
          <w:tcPr>
            <w:tcW w:w="1429" w:type="dxa"/>
          </w:tcPr>
          <w:p w14:paraId="2A6E2F96"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Pr>
          <w:p w14:paraId="60245400"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6CB75AEA"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7DB1475D" w14:textId="77777777" w:rsidTr="00333C53">
        <w:trPr>
          <w:trHeight w:val="57"/>
          <w:jc w:val="right"/>
        </w:trPr>
        <w:tc>
          <w:tcPr>
            <w:tcW w:w="4330" w:type="dxa"/>
          </w:tcPr>
          <w:p w14:paraId="7BC3D405" w14:textId="7E2E1015"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P-4 </w:t>
            </w:r>
            <w:r w:rsidR="00333C53" w:rsidRPr="00DB5635">
              <w:rPr>
                <w:sz w:val="18"/>
                <w:szCs w:val="18"/>
                <w:lang w:val="es-ES_tradnl"/>
              </w:rPr>
              <w:t>–</w:t>
            </w:r>
            <w:r w:rsidR="00DB5635">
              <w:rPr>
                <w:sz w:val="18"/>
                <w:szCs w:val="18"/>
                <w:lang w:val="es-ES_tradnl"/>
              </w:rPr>
              <w:t xml:space="preserve"> </w:t>
            </w:r>
            <w:r w:rsidRPr="00DB5635">
              <w:rPr>
                <w:sz w:val="18"/>
                <w:szCs w:val="18"/>
                <w:lang w:val="es-ES_tradnl"/>
              </w:rPr>
              <w:t>Ciencia y tecnología</w:t>
            </w:r>
          </w:p>
        </w:tc>
        <w:tc>
          <w:tcPr>
            <w:tcW w:w="1429" w:type="dxa"/>
          </w:tcPr>
          <w:p w14:paraId="22A9B0C4"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Pr>
          <w:p w14:paraId="62EF06DF"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06E797A5"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59D2AB1D" w14:textId="77777777" w:rsidTr="00333C53">
        <w:trPr>
          <w:trHeight w:val="57"/>
          <w:jc w:val="right"/>
        </w:trPr>
        <w:tc>
          <w:tcPr>
            <w:tcW w:w="4330" w:type="dxa"/>
          </w:tcPr>
          <w:p w14:paraId="150BC45B" w14:textId="678FAA07"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P-4 </w:t>
            </w:r>
            <w:r w:rsidR="00333C53" w:rsidRPr="00DB5635">
              <w:rPr>
                <w:sz w:val="18"/>
                <w:szCs w:val="18"/>
                <w:lang w:val="es-ES_tradnl"/>
              </w:rPr>
              <w:t>–</w:t>
            </w:r>
            <w:r w:rsidR="00DB5635">
              <w:rPr>
                <w:sz w:val="18"/>
                <w:szCs w:val="18"/>
                <w:lang w:val="es-ES_tradnl"/>
              </w:rPr>
              <w:t xml:space="preserve"> </w:t>
            </w:r>
            <w:r w:rsidRPr="00DB5635">
              <w:rPr>
                <w:sz w:val="18"/>
                <w:szCs w:val="18"/>
                <w:lang w:val="es-ES_tradnl"/>
              </w:rPr>
              <w:t>Creación de capacidad y asistencia técnica</w:t>
            </w:r>
          </w:p>
        </w:tc>
        <w:tc>
          <w:tcPr>
            <w:tcW w:w="1429" w:type="dxa"/>
          </w:tcPr>
          <w:p w14:paraId="7F789D6A"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Pr>
          <w:p w14:paraId="513BDADA"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0047B40B"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7CA8D13F" w14:textId="77777777" w:rsidTr="00333C53">
        <w:tblPrEx>
          <w:jc w:val="left"/>
        </w:tblPrEx>
        <w:tc>
          <w:tcPr>
            <w:tcW w:w="4330" w:type="dxa"/>
          </w:tcPr>
          <w:p w14:paraId="01FB5C52" w14:textId="3C1FDDBA"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P-4 </w:t>
            </w:r>
            <w:r w:rsidR="00333C53" w:rsidRPr="00DB5635">
              <w:rPr>
                <w:sz w:val="18"/>
                <w:szCs w:val="18"/>
              </w:rPr>
              <w:t>–</w:t>
            </w:r>
            <w:r w:rsidR="00333C53" w:rsidRPr="00DB5635">
              <w:t xml:space="preserve"> </w:t>
            </w:r>
            <w:r w:rsidRPr="00DB5635">
              <w:rPr>
                <w:sz w:val="18"/>
                <w:szCs w:val="18"/>
              </w:rPr>
              <w:t>Oficial de Programas</w:t>
            </w:r>
          </w:p>
        </w:tc>
        <w:tc>
          <w:tcPr>
            <w:tcW w:w="1429" w:type="dxa"/>
          </w:tcPr>
          <w:p w14:paraId="23115D0E"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6C2B9C74"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601E1216"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4EDC235C" w14:textId="77777777" w:rsidTr="00333C53">
        <w:trPr>
          <w:trHeight w:val="57"/>
          <w:jc w:val="right"/>
        </w:trPr>
        <w:tc>
          <w:tcPr>
            <w:tcW w:w="4330" w:type="dxa"/>
          </w:tcPr>
          <w:p w14:paraId="7370565E" w14:textId="14088AF3"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P-4 </w:t>
            </w:r>
            <w:r w:rsidR="00333C53" w:rsidRPr="00DB5635">
              <w:rPr>
                <w:sz w:val="18"/>
                <w:szCs w:val="18"/>
                <w:lang w:val="es-ES_tradnl"/>
              </w:rPr>
              <w:t xml:space="preserve">– </w:t>
            </w:r>
            <w:r w:rsidRPr="00DB5635">
              <w:rPr>
                <w:sz w:val="18"/>
                <w:szCs w:val="18"/>
                <w:lang w:val="es-ES_tradnl"/>
              </w:rPr>
              <w:t>Auxiliar Administrativo</w:t>
            </w:r>
          </w:p>
        </w:tc>
        <w:tc>
          <w:tcPr>
            <w:tcW w:w="1429" w:type="dxa"/>
          </w:tcPr>
          <w:p w14:paraId="37AE5759"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Pr>
          <w:p w14:paraId="3659CD45"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2E24A509"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4B009FA0" w14:textId="77777777" w:rsidTr="00333C53">
        <w:tblPrEx>
          <w:jc w:val="left"/>
        </w:tblPrEx>
        <w:tc>
          <w:tcPr>
            <w:tcW w:w="4330" w:type="dxa"/>
          </w:tcPr>
          <w:p w14:paraId="6E455922" w14:textId="2248B33C"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P-3 </w:t>
            </w:r>
            <w:r w:rsidR="00333C53" w:rsidRPr="00DB5635">
              <w:rPr>
                <w:sz w:val="18"/>
                <w:szCs w:val="18"/>
              </w:rPr>
              <w:t>–</w:t>
            </w:r>
            <w:r w:rsidR="00333C53" w:rsidRPr="00DB5635">
              <w:t xml:space="preserve"> </w:t>
            </w:r>
            <w:r w:rsidRPr="00DB5635">
              <w:rPr>
                <w:sz w:val="18"/>
                <w:szCs w:val="18"/>
              </w:rPr>
              <w:t>Oficial Jurídico</w:t>
            </w:r>
          </w:p>
        </w:tc>
        <w:tc>
          <w:tcPr>
            <w:tcW w:w="1429" w:type="dxa"/>
          </w:tcPr>
          <w:p w14:paraId="75796FF3"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4EC8AE32"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03CF83D1"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5DF7A156" w14:textId="77777777" w:rsidTr="00333C53">
        <w:tblPrEx>
          <w:jc w:val="left"/>
        </w:tblPrEx>
        <w:tc>
          <w:tcPr>
            <w:tcW w:w="4330" w:type="dxa"/>
          </w:tcPr>
          <w:p w14:paraId="71F88787" w14:textId="6D6F248C"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P-3 </w:t>
            </w:r>
            <w:r w:rsidR="00333C53" w:rsidRPr="00DB5635">
              <w:rPr>
                <w:sz w:val="18"/>
                <w:szCs w:val="18"/>
              </w:rPr>
              <w:t xml:space="preserve">– </w:t>
            </w:r>
            <w:r w:rsidRPr="00DB5635">
              <w:rPr>
                <w:sz w:val="18"/>
                <w:szCs w:val="18"/>
              </w:rPr>
              <w:t>Oficial de Comunicaciones</w:t>
            </w:r>
          </w:p>
        </w:tc>
        <w:tc>
          <w:tcPr>
            <w:tcW w:w="1429" w:type="dxa"/>
          </w:tcPr>
          <w:p w14:paraId="66742E0B"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12173A55"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20259CA8"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366A731C" w14:textId="77777777" w:rsidTr="00333C53">
        <w:trPr>
          <w:trHeight w:val="57"/>
          <w:jc w:val="right"/>
        </w:trPr>
        <w:tc>
          <w:tcPr>
            <w:tcW w:w="4330" w:type="dxa"/>
          </w:tcPr>
          <w:p w14:paraId="7FF544F1" w14:textId="25B0037E" w:rsidR="00863F6A" w:rsidRPr="00DB5635" w:rsidRDefault="00863F6A" w:rsidP="00174DCA">
            <w:pPr>
              <w:pStyle w:val="Normal-pool"/>
              <w:spacing w:before="40" w:after="40"/>
              <w:ind w:left="57" w:right="57"/>
              <w:rPr>
                <w:sz w:val="18"/>
                <w:szCs w:val="18"/>
                <w:lang w:val="es-ES_tradnl"/>
              </w:rPr>
            </w:pPr>
            <w:r w:rsidRPr="00DB5635">
              <w:rPr>
                <w:sz w:val="18"/>
                <w:szCs w:val="18"/>
                <w:lang w:val="es-ES_tradnl"/>
              </w:rPr>
              <w:t xml:space="preserve">P-3 </w:t>
            </w:r>
            <w:r w:rsidR="00333C53" w:rsidRPr="00DB5635">
              <w:rPr>
                <w:sz w:val="18"/>
                <w:szCs w:val="18"/>
                <w:lang w:val="es-ES_tradnl"/>
              </w:rPr>
              <w:t>–</w:t>
            </w:r>
            <w:r w:rsidR="00DB5635">
              <w:rPr>
                <w:sz w:val="18"/>
                <w:szCs w:val="18"/>
                <w:lang w:val="es-ES_tradnl"/>
              </w:rPr>
              <w:t xml:space="preserve"> </w:t>
            </w:r>
            <w:r w:rsidRPr="00DB5635">
              <w:rPr>
                <w:sz w:val="18"/>
                <w:szCs w:val="18"/>
                <w:lang w:val="es-ES_tradnl"/>
              </w:rPr>
              <w:t>Gestión de conocimientos</w:t>
            </w:r>
          </w:p>
        </w:tc>
        <w:tc>
          <w:tcPr>
            <w:tcW w:w="1429" w:type="dxa"/>
          </w:tcPr>
          <w:p w14:paraId="7F62D68C"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201" w:type="dxa"/>
          </w:tcPr>
          <w:p w14:paraId="0DCDA296"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24E3135C"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14A266F2" w14:textId="77777777" w:rsidTr="00333C53">
        <w:tblPrEx>
          <w:jc w:val="left"/>
        </w:tblPrEx>
        <w:tc>
          <w:tcPr>
            <w:tcW w:w="4330" w:type="dxa"/>
          </w:tcPr>
          <w:p w14:paraId="2CCEC5FA" w14:textId="02C53A59"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P-3 </w:t>
            </w:r>
            <w:r w:rsidR="00333C53" w:rsidRPr="00DB5635">
              <w:rPr>
                <w:sz w:val="18"/>
                <w:szCs w:val="18"/>
              </w:rPr>
              <w:t xml:space="preserve">– </w:t>
            </w:r>
            <w:r w:rsidRPr="00DB5635">
              <w:rPr>
                <w:sz w:val="18"/>
                <w:szCs w:val="18"/>
              </w:rPr>
              <w:t>Oficial de Programas</w:t>
            </w:r>
          </w:p>
        </w:tc>
        <w:tc>
          <w:tcPr>
            <w:tcW w:w="1429" w:type="dxa"/>
          </w:tcPr>
          <w:p w14:paraId="138DC244"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40627841"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1CAC2F61"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7B66EA28" w14:textId="77777777" w:rsidTr="00333C53">
        <w:tblPrEx>
          <w:jc w:val="left"/>
        </w:tblPrEx>
        <w:tc>
          <w:tcPr>
            <w:tcW w:w="4330" w:type="dxa"/>
          </w:tcPr>
          <w:p w14:paraId="35540910" w14:textId="439C63C3"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G-6 </w:t>
            </w:r>
            <w:r w:rsidR="00333C53" w:rsidRPr="00DB5635">
              <w:rPr>
                <w:sz w:val="18"/>
                <w:szCs w:val="18"/>
              </w:rPr>
              <w:t xml:space="preserve">– </w:t>
            </w:r>
            <w:r w:rsidRPr="00DB5635">
              <w:rPr>
                <w:sz w:val="18"/>
                <w:szCs w:val="18"/>
              </w:rPr>
              <w:t>Auxiliar Administrativo</w:t>
            </w:r>
          </w:p>
        </w:tc>
        <w:tc>
          <w:tcPr>
            <w:tcW w:w="1429" w:type="dxa"/>
          </w:tcPr>
          <w:p w14:paraId="73EC78A9"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2</w:t>
            </w:r>
          </w:p>
        </w:tc>
        <w:tc>
          <w:tcPr>
            <w:tcW w:w="1314" w:type="dxa"/>
          </w:tcPr>
          <w:p w14:paraId="51DDE108"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480ED0A3"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7C2C4A4F" w14:textId="77777777" w:rsidTr="00333C53">
        <w:tblPrEx>
          <w:jc w:val="left"/>
        </w:tblPrEx>
        <w:tc>
          <w:tcPr>
            <w:tcW w:w="4330" w:type="dxa"/>
          </w:tcPr>
          <w:p w14:paraId="363204C8" w14:textId="7678FF1C"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G-5 </w:t>
            </w:r>
            <w:r w:rsidR="00333C53" w:rsidRPr="00DB5635">
              <w:rPr>
                <w:sz w:val="18"/>
                <w:szCs w:val="18"/>
              </w:rPr>
              <w:t>–</w:t>
            </w:r>
            <w:r w:rsidR="00DB5635">
              <w:rPr>
                <w:sz w:val="18"/>
                <w:szCs w:val="18"/>
              </w:rPr>
              <w:t xml:space="preserve"> </w:t>
            </w:r>
            <w:r w:rsidRPr="00DB5635">
              <w:rPr>
                <w:sz w:val="18"/>
                <w:szCs w:val="18"/>
              </w:rPr>
              <w:t>Auxiliar de Gestión de Programas</w:t>
            </w:r>
          </w:p>
        </w:tc>
        <w:tc>
          <w:tcPr>
            <w:tcW w:w="1429" w:type="dxa"/>
          </w:tcPr>
          <w:p w14:paraId="37EE3710"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48C32273"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c>
          <w:tcPr>
            <w:tcW w:w="1315" w:type="dxa"/>
          </w:tcPr>
          <w:p w14:paraId="010D741E"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r>
      <w:tr w:rsidR="00863F6A" w:rsidRPr="00DB5635" w14:paraId="6DFAE75E" w14:textId="77777777" w:rsidTr="00333C53">
        <w:tblPrEx>
          <w:jc w:val="left"/>
        </w:tblPrEx>
        <w:tc>
          <w:tcPr>
            <w:tcW w:w="4330" w:type="dxa"/>
          </w:tcPr>
          <w:p w14:paraId="4A2BA75F" w14:textId="5A6EDB68"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G-5 </w:t>
            </w:r>
            <w:r w:rsidR="00333C53" w:rsidRPr="00DB5635">
              <w:rPr>
                <w:sz w:val="18"/>
                <w:szCs w:val="18"/>
              </w:rPr>
              <w:t xml:space="preserve">– </w:t>
            </w:r>
            <w:r w:rsidRPr="00DB5635">
              <w:rPr>
                <w:sz w:val="18"/>
                <w:szCs w:val="18"/>
              </w:rPr>
              <w:t>Auxiliar de Información Pública</w:t>
            </w:r>
          </w:p>
        </w:tc>
        <w:tc>
          <w:tcPr>
            <w:tcW w:w="1429" w:type="dxa"/>
          </w:tcPr>
          <w:p w14:paraId="07C0B178"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4" w:type="dxa"/>
          </w:tcPr>
          <w:p w14:paraId="066506CA"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1</w:t>
            </w:r>
          </w:p>
        </w:tc>
        <w:tc>
          <w:tcPr>
            <w:tcW w:w="1315" w:type="dxa"/>
          </w:tcPr>
          <w:p w14:paraId="6CC21DB7"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66105116" w14:textId="77777777" w:rsidTr="00333C53">
        <w:tblPrEx>
          <w:jc w:val="left"/>
        </w:tblPrEx>
        <w:tc>
          <w:tcPr>
            <w:tcW w:w="4330" w:type="dxa"/>
            <w:tcBorders>
              <w:bottom w:val="single" w:sz="4" w:space="0" w:color="auto"/>
            </w:tcBorders>
          </w:tcPr>
          <w:p w14:paraId="4D8B04F2" w14:textId="27360A2E" w:rsidR="00863F6A" w:rsidRPr="00DB5635" w:rsidRDefault="00863F6A" w:rsidP="00CD2C48">
            <w:pPr>
              <w:tabs>
                <w:tab w:val="clear" w:pos="1247"/>
                <w:tab w:val="clear" w:pos="1814"/>
                <w:tab w:val="clear" w:pos="2381"/>
                <w:tab w:val="clear" w:pos="2948"/>
                <w:tab w:val="clear" w:pos="3515"/>
              </w:tabs>
              <w:spacing w:line="288" w:lineRule="auto"/>
              <w:ind w:left="57"/>
              <w:rPr>
                <w:sz w:val="18"/>
                <w:szCs w:val="18"/>
              </w:rPr>
            </w:pPr>
            <w:r w:rsidRPr="00DB5635">
              <w:rPr>
                <w:sz w:val="18"/>
                <w:szCs w:val="18"/>
              </w:rPr>
              <w:t xml:space="preserve">G-4 </w:t>
            </w:r>
            <w:r w:rsidR="00333C53" w:rsidRPr="00DB5635">
              <w:rPr>
                <w:sz w:val="18"/>
                <w:szCs w:val="18"/>
              </w:rPr>
              <w:t xml:space="preserve">– </w:t>
            </w:r>
            <w:r w:rsidRPr="00DB5635">
              <w:rPr>
                <w:sz w:val="18"/>
                <w:szCs w:val="18"/>
              </w:rPr>
              <w:t>Auxiliar de Equipo</w:t>
            </w:r>
          </w:p>
        </w:tc>
        <w:tc>
          <w:tcPr>
            <w:tcW w:w="1429" w:type="dxa"/>
            <w:tcBorders>
              <w:bottom w:val="single" w:sz="4" w:space="0" w:color="auto"/>
            </w:tcBorders>
          </w:tcPr>
          <w:p w14:paraId="6949A53B"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2</w:t>
            </w:r>
          </w:p>
        </w:tc>
        <w:tc>
          <w:tcPr>
            <w:tcW w:w="1314" w:type="dxa"/>
            <w:tcBorders>
              <w:bottom w:val="single" w:sz="4" w:space="0" w:color="auto"/>
            </w:tcBorders>
          </w:tcPr>
          <w:p w14:paraId="4954C929" w14:textId="77777777" w:rsidR="00863F6A" w:rsidRPr="00DB5635" w:rsidRDefault="00863F6A" w:rsidP="00174DCA">
            <w:pPr>
              <w:pStyle w:val="Normal-pool"/>
              <w:spacing w:before="40" w:after="40"/>
              <w:ind w:left="57" w:right="57"/>
              <w:jc w:val="right"/>
              <w:rPr>
                <w:sz w:val="18"/>
                <w:szCs w:val="18"/>
                <w:lang w:val="es-ES_tradnl"/>
              </w:rPr>
            </w:pPr>
            <w:r w:rsidRPr="00DB5635">
              <w:rPr>
                <w:sz w:val="18"/>
                <w:szCs w:val="18"/>
                <w:lang w:val="es-ES_tradnl"/>
              </w:rPr>
              <w:t>2</w:t>
            </w:r>
          </w:p>
        </w:tc>
        <w:tc>
          <w:tcPr>
            <w:tcW w:w="1315" w:type="dxa"/>
            <w:tcBorders>
              <w:bottom w:val="single" w:sz="4" w:space="0" w:color="auto"/>
            </w:tcBorders>
          </w:tcPr>
          <w:p w14:paraId="54B605FB" w14:textId="77777777" w:rsidR="00863F6A" w:rsidRPr="00DB5635" w:rsidRDefault="00CD2C48" w:rsidP="00174DCA">
            <w:pPr>
              <w:pStyle w:val="Normal-pool"/>
              <w:spacing w:before="40" w:after="40"/>
              <w:ind w:left="57" w:right="57"/>
              <w:jc w:val="right"/>
              <w:rPr>
                <w:sz w:val="18"/>
                <w:szCs w:val="18"/>
                <w:lang w:val="es-ES_tradnl"/>
              </w:rPr>
            </w:pPr>
            <w:r w:rsidRPr="00DB5635">
              <w:rPr>
                <w:sz w:val="18"/>
                <w:szCs w:val="18"/>
                <w:lang w:val="es-ES_tradnl"/>
              </w:rPr>
              <w:t>–</w:t>
            </w:r>
          </w:p>
        </w:tc>
      </w:tr>
      <w:tr w:rsidR="00863F6A" w:rsidRPr="00DB5635" w14:paraId="01BF8A1D" w14:textId="77777777" w:rsidTr="00333C53">
        <w:trPr>
          <w:trHeight w:val="57"/>
          <w:jc w:val="right"/>
        </w:trPr>
        <w:tc>
          <w:tcPr>
            <w:tcW w:w="4330" w:type="dxa"/>
            <w:tcBorders>
              <w:top w:val="single" w:sz="4" w:space="0" w:color="auto"/>
              <w:bottom w:val="single" w:sz="12" w:space="0" w:color="auto"/>
            </w:tcBorders>
          </w:tcPr>
          <w:p w14:paraId="1B03B035" w14:textId="77777777" w:rsidR="00863F6A" w:rsidRPr="00DB5635" w:rsidRDefault="00863F6A" w:rsidP="00174DCA">
            <w:pPr>
              <w:pStyle w:val="Normal-pool"/>
              <w:spacing w:before="40" w:after="40"/>
              <w:ind w:left="57" w:right="57"/>
              <w:rPr>
                <w:b/>
                <w:sz w:val="18"/>
                <w:szCs w:val="18"/>
                <w:lang w:val="es-ES_tradnl"/>
              </w:rPr>
            </w:pPr>
            <w:r w:rsidRPr="00DB5635">
              <w:rPr>
                <w:b/>
                <w:bCs/>
                <w:sz w:val="18"/>
                <w:szCs w:val="18"/>
                <w:lang w:val="es-ES_tradnl"/>
              </w:rPr>
              <w:t>TOTAL</w:t>
            </w:r>
          </w:p>
        </w:tc>
        <w:tc>
          <w:tcPr>
            <w:tcW w:w="1429" w:type="dxa"/>
            <w:tcBorders>
              <w:top w:val="single" w:sz="4" w:space="0" w:color="auto"/>
              <w:bottom w:val="single" w:sz="12" w:space="0" w:color="auto"/>
            </w:tcBorders>
          </w:tcPr>
          <w:p w14:paraId="778B945A" w14:textId="77777777" w:rsidR="00863F6A" w:rsidRPr="00DB5635" w:rsidRDefault="00863F6A" w:rsidP="00174DCA">
            <w:pPr>
              <w:pStyle w:val="Normal-pool"/>
              <w:spacing w:before="40" w:after="40"/>
              <w:ind w:left="57" w:right="57"/>
              <w:jc w:val="right"/>
              <w:rPr>
                <w:b/>
                <w:sz w:val="18"/>
                <w:szCs w:val="18"/>
                <w:lang w:val="es-ES_tradnl"/>
              </w:rPr>
            </w:pPr>
            <w:r w:rsidRPr="00DB5635">
              <w:rPr>
                <w:b/>
                <w:bCs/>
                <w:sz w:val="18"/>
                <w:szCs w:val="18"/>
                <w:lang w:val="es-ES_tradnl"/>
              </w:rPr>
              <w:t>16</w:t>
            </w:r>
          </w:p>
        </w:tc>
        <w:tc>
          <w:tcPr>
            <w:tcW w:w="1201" w:type="dxa"/>
            <w:tcBorders>
              <w:top w:val="single" w:sz="4" w:space="0" w:color="auto"/>
              <w:bottom w:val="single" w:sz="12" w:space="0" w:color="auto"/>
            </w:tcBorders>
          </w:tcPr>
          <w:p w14:paraId="40C73C41" w14:textId="77777777" w:rsidR="00863F6A" w:rsidRPr="00DB5635" w:rsidRDefault="00863F6A" w:rsidP="00174DCA">
            <w:pPr>
              <w:pStyle w:val="Normal-pool"/>
              <w:spacing w:before="40" w:after="40"/>
              <w:ind w:left="57" w:right="57"/>
              <w:jc w:val="right"/>
              <w:rPr>
                <w:b/>
                <w:sz w:val="18"/>
                <w:szCs w:val="18"/>
                <w:lang w:val="es-ES_tradnl"/>
              </w:rPr>
            </w:pPr>
            <w:r w:rsidRPr="00DB5635">
              <w:rPr>
                <w:b/>
                <w:bCs/>
                <w:sz w:val="18"/>
                <w:szCs w:val="18"/>
                <w:lang w:val="es-ES_tradnl"/>
              </w:rPr>
              <w:t>8</w:t>
            </w:r>
          </w:p>
        </w:tc>
        <w:tc>
          <w:tcPr>
            <w:tcW w:w="1315" w:type="dxa"/>
            <w:tcBorders>
              <w:top w:val="single" w:sz="4" w:space="0" w:color="auto"/>
              <w:bottom w:val="single" w:sz="12" w:space="0" w:color="auto"/>
            </w:tcBorders>
          </w:tcPr>
          <w:p w14:paraId="365F5152" w14:textId="77777777" w:rsidR="00863F6A" w:rsidRPr="00DB5635" w:rsidRDefault="00863F6A" w:rsidP="00174DCA">
            <w:pPr>
              <w:pStyle w:val="Normal-pool"/>
              <w:spacing w:before="40" w:after="40"/>
              <w:ind w:left="57" w:right="57"/>
              <w:jc w:val="right"/>
              <w:rPr>
                <w:b/>
                <w:sz w:val="18"/>
                <w:szCs w:val="18"/>
                <w:lang w:val="es-ES_tradnl"/>
              </w:rPr>
            </w:pPr>
            <w:r w:rsidRPr="00DB5635">
              <w:rPr>
                <w:b/>
                <w:bCs/>
                <w:sz w:val="18"/>
                <w:szCs w:val="18"/>
                <w:lang w:val="es-ES_tradnl"/>
              </w:rPr>
              <w:t>8</w:t>
            </w:r>
          </w:p>
        </w:tc>
      </w:tr>
    </w:tbl>
    <w:p w14:paraId="2C222D6A" w14:textId="16ACE788" w:rsidR="00863F6A" w:rsidRPr="00DB5635" w:rsidRDefault="00863F6A" w:rsidP="00174DCA">
      <w:pPr>
        <w:pStyle w:val="NormalNonumber"/>
        <w:spacing w:before="40"/>
        <w:rPr>
          <w:sz w:val="17"/>
          <w:szCs w:val="17"/>
          <w:lang w:val="es-ES_tradnl"/>
        </w:rPr>
      </w:pPr>
    </w:p>
    <w:p w14:paraId="3634FBCD" w14:textId="77777777" w:rsidR="00863F6A" w:rsidRPr="00DB5635" w:rsidRDefault="00863F6A" w:rsidP="00174DCA">
      <w:pPr>
        <w:pStyle w:val="Normal-pool"/>
        <w:rPr>
          <w:lang w:val="es-ES_tradnl"/>
        </w:rPr>
      </w:pPr>
      <w:r w:rsidRPr="00DB5635">
        <w:rPr>
          <w:lang w:val="es-ES_tradnl"/>
        </w:rPr>
        <w:br w:type="page"/>
      </w:r>
    </w:p>
    <w:p w14:paraId="29ACAC1C" w14:textId="77777777" w:rsidR="00183C35" w:rsidRPr="00DB5635" w:rsidRDefault="00863F6A" w:rsidP="00174DCA">
      <w:pPr>
        <w:pStyle w:val="ZZAnxheader"/>
        <w:rPr>
          <w:lang w:val="es-ES_tradnl"/>
        </w:rPr>
      </w:pPr>
      <w:bookmarkStart w:id="36" w:name="_Toc22825253"/>
      <w:r w:rsidRPr="00DB5635">
        <w:rPr>
          <w:lang w:val="es-ES_tradnl"/>
        </w:rPr>
        <w:t>Anexo II</w:t>
      </w:r>
      <w:bookmarkEnd w:id="36"/>
    </w:p>
    <w:p w14:paraId="60537055" w14:textId="7CD2DB77" w:rsidR="00863F6A" w:rsidRPr="00DB5635" w:rsidRDefault="00863F6A" w:rsidP="00174DCA">
      <w:pPr>
        <w:pStyle w:val="ZZAnxtitle"/>
        <w:rPr>
          <w:lang w:val="es-ES_tradnl"/>
        </w:rPr>
      </w:pPr>
      <w:bookmarkStart w:id="37" w:name="_Toc21073449"/>
      <w:r w:rsidRPr="00DB5635">
        <w:rPr>
          <w:lang w:val="es-ES_tradnl"/>
        </w:rPr>
        <w:t>Servicios en apoyo del Convenio de Minamata para las reuniones de</w:t>
      </w:r>
      <w:r w:rsidR="000405C7">
        <w:rPr>
          <w:lang w:val="es-ES_tradnl"/>
        </w:rPr>
        <w:t> </w:t>
      </w:r>
      <w:r w:rsidRPr="00DB5635">
        <w:rPr>
          <w:lang w:val="es-ES_tradnl"/>
        </w:rPr>
        <w:t xml:space="preserve">la Conferencia de las Partes </w:t>
      </w:r>
      <w:bookmarkEnd w:id="37"/>
    </w:p>
    <w:p w14:paraId="7C0955A0" w14:textId="053BD574" w:rsidR="00863F6A" w:rsidRPr="00DB5635" w:rsidRDefault="00863F6A" w:rsidP="00174DCA">
      <w:pPr>
        <w:pStyle w:val="NormalNonumber"/>
        <w:rPr>
          <w:lang w:val="es-ES_tradnl"/>
        </w:rPr>
      </w:pPr>
      <w:r w:rsidRPr="00DB5635">
        <w:rPr>
          <w:lang w:val="es-ES_tradnl"/>
        </w:rPr>
        <w:t>En el cuadro que figura a continuación se enumeran las actividades incluidas en el proyecto de programa de trabajo del Convenio de Minamata para el bienio 2020-2021, según el formato programático de la Secretaría de los Convenios de Basilea, Estocolmo y Rotterdam y conforme a lo establecido en el reglamento financiero del Convenio de Minamata. El cuadro muestra el aumento de los costos que entrañarían las reuniones bienales de la Conferencia de las Partes si se aplicase</w:t>
      </w:r>
      <w:r w:rsidR="003E5017" w:rsidRPr="00DB5635">
        <w:rPr>
          <w:lang w:val="es-ES_tradnl"/>
        </w:rPr>
        <w:t>:</w:t>
      </w:r>
      <w:r w:rsidRPr="00DB5635">
        <w:rPr>
          <w:lang w:val="es-ES_tradnl"/>
        </w:rPr>
        <w:t xml:space="preserve"> a) el modelo de consolidación</w:t>
      </w:r>
      <w:r w:rsidR="003E5017" w:rsidRPr="00DB5635">
        <w:rPr>
          <w:lang w:val="es-ES_tradnl"/>
        </w:rPr>
        <w:t>,</w:t>
      </w:r>
      <w:r w:rsidRPr="00DB5635">
        <w:rPr>
          <w:lang w:val="es-ES_tradnl"/>
        </w:rPr>
        <w:t xml:space="preserve"> o b) los modelos de redistribución de personal y recuperación de costos. </w:t>
      </w:r>
    </w:p>
    <w:tbl>
      <w:tblPr>
        <w:tblW w:w="8307" w:type="dxa"/>
        <w:jc w:val="right"/>
        <w:tblBorders>
          <w:top w:val="single" w:sz="4" w:space="0" w:color="auto"/>
          <w:left w:val="dotted" w:sz="4" w:space="0" w:color="auto"/>
          <w:bottom w:val="single" w:sz="12" w:space="0" w:color="auto"/>
          <w:right w:val="dotted" w:sz="4" w:space="0" w:color="auto"/>
        </w:tblBorders>
        <w:tblLayout w:type="fixed"/>
        <w:tblLook w:val="04A0" w:firstRow="1" w:lastRow="0" w:firstColumn="1" w:lastColumn="0" w:noHBand="0" w:noVBand="1"/>
      </w:tblPr>
      <w:tblGrid>
        <w:gridCol w:w="487"/>
        <w:gridCol w:w="3975"/>
        <w:gridCol w:w="1922"/>
        <w:gridCol w:w="1923"/>
      </w:tblGrid>
      <w:tr w:rsidR="00183C35" w:rsidRPr="00DB5635" w14:paraId="15BBE003"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0D26D8C8" w14:textId="77777777" w:rsidR="00183C35" w:rsidRPr="00DB5635" w:rsidRDefault="00183C35" w:rsidP="00174DCA">
            <w:pPr>
              <w:pStyle w:val="Normal-pool"/>
              <w:spacing w:before="40" w:after="40"/>
              <w:rPr>
                <w:i/>
                <w:sz w:val="18"/>
                <w:szCs w:val="18"/>
                <w:lang w:val="es-ES_tradnl"/>
              </w:rPr>
            </w:pPr>
          </w:p>
        </w:tc>
        <w:tc>
          <w:tcPr>
            <w:tcW w:w="3975" w:type="dxa"/>
            <w:tcBorders>
              <w:top w:val="single" w:sz="4" w:space="0" w:color="auto"/>
              <w:left w:val="dotted" w:sz="4" w:space="0" w:color="auto"/>
              <w:bottom w:val="single" w:sz="12" w:space="0" w:color="auto"/>
            </w:tcBorders>
          </w:tcPr>
          <w:p w14:paraId="26573BA9" w14:textId="77777777" w:rsidR="00183C35" w:rsidRPr="00DB5635" w:rsidRDefault="00183C35" w:rsidP="00174DCA">
            <w:pPr>
              <w:pStyle w:val="Normal-pool"/>
              <w:spacing w:before="40" w:after="40"/>
              <w:rPr>
                <w:i/>
                <w:sz w:val="18"/>
                <w:szCs w:val="18"/>
                <w:lang w:val="es-ES_tradnl"/>
              </w:rPr>
            </w:pPr>
            <w:r w:rsidRPr="00DB5635">
              <w:rPr>
                <w:i/>
                <w:iCs/>
                <w:sz w:val="18"/>
                <w:szCs w:val="18"/>
                <w:lang w:val="es-ES_tradnl"/>
              </w:rPr>
              <w:t>Actividades</w:t>
            </w:r>
          </w:p>
        </w:tc>
        <w:tc>
          <w:tcPr>
            <w:tcW w:w="1922" w:type="dxa"/>
            <w:tcBorders>
              <w:top w:val="single" w:sz="4" w:space="0" w:color="auto"/>
              <w:bottom w:val="single" w:sz="12" w:space="0" w:color="auto"/>
              <w:right w:val="dotted" w:sz="4" w:space="0" w:color="auto"/>
            </w:tcBorders>
          </w:tcPr>
          <w:p w14:paraId="7B989569" w14:textId="77777777" w:rsidR="00183C35" w:rsidRPr="00DB5635" w:rsidRDefault="00183C35" w:rsidP="00174DCA">
            <w:pPr>
              <w:pStyle w:val="Normal-pool"/>
              <w:spacing w:before="40" w:after="40"/>
              <w:jc w:val="right"/>
              <w:rPr>
                <w:i/>
                <w:sz w:val="18"/>
                <w:szCs w:val="18"/>
                <w:lang w:val="es-ES_tradnl"/>
              </w:rPr>
            </w:pPr>
            <w:r w:rsidRPr="00DB5635">
              <w:rPr>
                <w:i/>
                <w:iCs/>
                <w:sz w:val="18"/>
                <w:szCs w:val="18"/>
                <w:lang w:val="es-ES_tradnl"/>
              </w:rPr>
              <w:t>Modelo de unificación de los servicios</w:t>
            </w:r>
          </w:p>
        </w:tc>
        <w:tc>
          <w:tcPr>
            <w:tcW w:w="1923" w:type="dxa"/>
            <w:tcBorders>
              <w:top w:val="single" w:sz="4" w:space="0" w:color="auto"/>
              <w:left w:val="dotted" w:sz="4" w:space="0" w:color="auto"/>
              <w:bottom w:val="single" w:sz="12" w:space="0" w:color="auto"/>
            </w:tcBorders>
            <w:shd w:val="clear" w:color="auto" w:fill="auto"/>
            <w:noWrap/>
          </w:tcPr>
          <w:p w14:paraId="27A8E73D" w14:textId="77777777" w:rsidR="00183C35" w:rsidRPr="00DB5635" w:rsidRDefault="00183C35" w:rsidP="00174DCA">
            <w:pPr>
              <w:pStyle w:val="Normal-pool"/>
              <w:spacing w:before="40" w:after="40"/>
              <w:jc w:val="right"/>
              <w:rPr>
                <w:i/>
                <w:sz w:val="18"/>
                <w:szCs w:val="18"/>
                <w:lang w:val="es-ES_tradnl"/>
              </w:rPr>
            </w:pPr>
            <w:r w:rsidRPr="00DB5635">
              <w:rPr>
                <w:i/>
                <w:iCs/>
                <w:sz w:val="18"/>
                <w:szCs w:val="18"/>
                <w:lang w:val="es-ES_tradnl"/>
              </w:rPr>
              <w:t>Modelos de redistribución de personal y recuperación de costos</w:t>
            </w:r>
          </w:p>
        </w:tc>
      </w:tr>
      <w:tr w:rsidR="00183C35" w:rsidRPr="00DB5635" w14:paraId="697F4D3B" w14:textId="77777777" w:rsidTr="00174DCA">
        <w:trPr>
          <w:trHeight w:val="57"/>
          <w:jc w:val="right"/>
        </w:trPr>
        <w:tc>
          <w:tcPr>
            <w:tcW w:w="487" w:type="dxa"/>
            <w:tcBorders>
              <w:top w:val="single" w:sz="12" w:space="0" w:color="auto"/>
              <w:bottom w:val="single" w:sz="4" w:space="0" w:color="auto"/>
              <w:right w:val="dotted" w:sz="4" w:space="0" w:color="auto"/>
            </w:tcBorders>
            <w:shd w:val="clear" w:color="auto" w:fill="auto"/>
            <w:noWrap/>
          </w:tcPr>
          <w:p w14:paraId="638D8630"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A</w:t>
            </w:r>
          </w:p>
        </w:tc>
        <w:tc>
          <w:tcPr>
            <w:tcW w:w="3975" w:type="dxa"/>
            <w:tcBorders>
              <w:top w:val="single" w:sz="12" w:space="0" w:color="auto"/>
              <w:left w:val="dotted" w:sz="4" w:space="0" w:color="auto"/>
              <w:bottom w:val="single" w:sz="4" w:space="0" w:color="auto"/>
            </w:tcBorders>
          </w:tcPr>
          <w:p w14:paraId="4761DAFE"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Supervisión de la gestión</w:t>
            </w:r>
          </w:p>
        </w:tc>
        <w:tc>
          <w:tcPr>
            <w:tcW w:w="1922" w:type="dxa"/>
            <w:tcBorders>
              <w:top w:val="single" w:sz="12" w:space="0" w:color="auto"/>
              <w:bottom w:val="single" w:sz="4" w:space="0" w:color="auto"/>
              <w:right w:val="dotted" w:sz="4" w:space="0" w:color="auto"/>
            </w:tcBorders>
          </w:tcPr>
          <w:p w14:paraId="101B3045" w14:textId="77777777" w:rsidR="00183C35" w:rsidRPr="00DB5635" w:rsidRDefault="00FE1627" w:rsidP="00174DCA">
            <w:pPr>
              <w:pStyle w:val="Normal-pool"/>
              <w:spacing w:before="40" w:after="40"/>
              <w:jc w:val="right"/>
              <w:rPr>
                <w:b/>
                <w:bCs/>
                <w:sz w:val="18"/>
                <w:szCs w:val="18"/>
                <w:lang w:val="es-ES_tradnl"/>
              </w:rPr>
            </w:pPr>
            <w:r w:rsidRPr="00DB5635">
              <w:rPr>
                <w:sz w:val="18"/>
                <w:szCs w:val="18"/>
                <w:lang w:val="es-ES_tradnl"/>
              </w:rPr>
              <w:t>–</w:t>
            </w:r>
          </w:p>
        </w:tc>
        <w:tc>
          <w:tcPr>
            <w:tcW w:w="1923" w:type="dxa"/>
            <w:tcBorders>
              <w:top w:val="single" w:sz="12" w:space="0" w:color="auto"/>
              <w:left w:val="dotted" w:sz="4" w:space="0" w:color="auto"/>
              <w:bottom w:val="single" w:sz="4" w:space="0" w:color="auto"/>
            </w:tcBorders>
            <w:shd w:val="clear" w:color="auto" w:fill="auto"/>
            <w:noWrap/>
            <w:hideMark/>
          </w:tcPr>
          <w:p w14:paraId="7E17936A" w14:textId="1438249A"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8</w:t>
            </w:r>
            <w:r w:rsidR="008F74E7" w:rsidRPr="00DB5635">
              <w:rPr>
                <w:b/>
                <w:bCs/>
                <w:sz w:val="18"/>
                <w:szCs w:val="18"/>
                <w:lang w:val="es-ES_tradnl"/>
              </w:rPr>
              <w:t> </w:t>
            </w:r>
            <w:r w:rsidRPr="00DB5635">
              <w:rPr>
                <w:b/>
                <w:bCs/>
                <w:sz w:val="18"/>
                <w:szCs w:val="18"/>
                <w:lang w:val="es-ES_tradnl"/>
              </w:rPr>
              <w:t>500</w:t>
            </w:r>
          </w:p>
        </w:tc>
      </w:tr>
      <w:tr w:rsidR="00183C35" w:rsidRPr="00DB5635" w14:paraId="2A13B1B6"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53C2B6DC"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B</w:t>
            </w:r>
          </w:p>
        </w:tc>
        <w:tc>
          <w:tcPr>
            <w:tcW w:w="3975" w:type="dxa"/>
            <w:tcBorders>
              <w:top w:val="single" w:sz="4" w:space="0" w:color="auto"/>
              <w:left w:val="dotted" w:sz="4" w:space="0" w:color="auto"/>
              <w:bottom w:val="single" w:sz="4" w:space="0" w:color="auto"/>
            </w:tcBorders>
          </w:tcPr>
          <w:p w14:paraId="6FEDFB5F"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Inscripción y gastos de viaje</w:t>
            </w:r>
          </w:p>
        </w:tc>
        <w:tc>
          <w:tcPr>
            <w:tcW w:w="1922" w:type="dxa"/>
            <w:tcBorders>
              <w:top w:val="single" w:sz="4" w:space="0" w:color="auto"/>
              <w:bottom w:val="single" w:sz="4" w:space="0" w:color="auto"/>
              <w:right w:val="dotted" w:sz="4" w:space="0" w:color="auto"/>
            </w:tcBorders>
          </w:tcPr>
          <w:p w14:paraId="17D16978" w14:textId="77777777" w:rsidR="00183C35" w:rsidRPr="00DB5635" w:rsidRDefault="00183C35" w:rsidP="00174DCA">
            <w:pPr>
              <w:pStyle w:val="Normal-pool"/>
              <w:spacing w:before="40" w:after="40"/>
              <w:jc w:val="right"/>
              <w:rPr>
                <w:b/>
                <w:bCs/>
                <w:sz w:val="18"/>
                <w:szCs w:val="18"/>
                <w:lang w:val="es-ES_tradnl"/>
              </w:rPr>
            </w:pPr>
          </w:p>
        </w:tc>
        <w:tc>
          <w:tcPr>
            <w:tcW w:w="1923" w:type="dxa"/>
            <w:tcBorders>
              <w:top w:val="single" w:sz="4" w:space="0" w:color="auto"/>
              <w:left w:val="dotted" w:sz="4" w:space="0" w:color="auto"/>
              <w:bottom w:val="single" w:sz="4" w:space="0" w:color="auto"/>
            </w:tcBorders>
            <w:shd w:val="clear" w:color="auto" w:fill="auto"/>
            <w:noWrap/>
          </w:tcPr>
          <w:p w14:paraId="57C7E11B" w14:textId="77777777" w:rsidR="00183C35" w:rsidRPr="00DB5635" w:rsidRDefault="00183C35" w:rsidP="00174DCA">
            <w:pPr>
              <w:pStyle w:val="Normal-pool"/>
              <w:spacing w:before="40" w:after="40"/>
              <w:jc w:val="right"/>
              <w:rPr>
                <w:b/>
                <w:bCs/>
                <w:sz w:val="18"/>
                <w:szCs w:val="18"/>
                <w:lang w:val="es-ES_tradnl"/>
              </w:rPr>
            </w:pPr>
          </w:p>
        </w:tc>
      </w:tr>
      <w:tr w:rsidR="00183C35" w:rsidRPr="00DB5635" w14:paraId="4819F8E1"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509551FB" w14:textId="77777777" w:rsidR="00183C35" w:rsidRPr="00DB5635" w:rsidRDefault="00183C35" w:rsidP="00174DCA">
            <w:pPr>
              <w:pStyle w:val="Normal-pool"/>
              <w:spacing w:before="40" w:after="40"/>
              <w:rPr>
                <w:b/>
                <w:bCs/>
                <w:sz w:val="18"/>
                <w:szCs w:val="18"/>
                <w:lang w:val="es-ES_tradnl"/>
              </w:rPr>
            </w:pPr>
          </w:p>
        </w:tc>
        <w:tc>
          <w:tcPr>
            <w:tcW w:w="3975" w:type="dxa"/>
            <w:tcBorders>
              <w:top w:val="single" w:sz="4" w:space="0" w:color="auto"/>
              <w:left w:val="dotted" w:sz="4" w:space="0" w:color="auto"/>
              <w:bottom w:val="dotted" w:sz="4" w:space="0" w:color="auto"/>
            </w:tcBorders>
          </w:tcPr>
          <w:p w14:paraId="0B76F33D"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Coordinación de la gestión de los participantes</w:t>
            </w:r>
          </w:p>
        </w:tc>
        <w:tc>
          <w:tcPr>
            <w:tcW w:w="1922" w:type="dxa"/>
            <w:tcBorders>
              <w:top w:val="single" w:sz="4" w:space="0" w:color="auto"/>
              <w:bottom w:val="dotted" w:sz="4" w:space="0" w:color="auto"/>
              <w:right w:val="dotted" w:sz="4" w:space="0" w:color="auto"/>
            </w:tcBorders>
          </w:tcPr>
          <w:p w14:paraId="6D5E1199" w14:textId="77777777" w:rsidR="00183C35" w:rsidRPr="00DB5635" w:rsidRDefault="00FE1627" w:rsidP="00174DCA">
            <w:pPr>
              <w:pStyle w:val="Normal-pool"/>
              <w:spacing w:before="40" w:after="40"/>
              <w:jc w:val="right"/>
              <w:rPr>
                <w:sz w:val="18"/>
                <w:szCs w:val="18"/>
                <w:lang w:val="es-ES_tradnl"/>
              </w:rPr>
            </w:pPr>
            <w:r w:rsidRPr="00DB5635">
              <w:rPr>
                <w:sz w:val="18"/>
                <w:szCs w:val="18"/>
                <w:lang w:val="es-ES_tradnl"/>
              </w:rPr>
              <w:t>–</w:t>
            </w:r>
          </w:p>
        </w:tc>
        <w:tc>
          <w:tcPr>
            <w:tcW w:w="1923" w:type="dxa"/>
            <w:tcBorders>
              <w:top w:val="single" w:sz="4" w:space="0" w:color="auto"/>
              <w:left w:val="dotted" w:sz="4" w:space="0" w:color="auto"/>
              <w:bottom w:val="dotted" w:sz="4" w:space="0" w:color="auto"/>
            </w:tcBorders>
            <w:shd w:val="clear" w:color="auto" w:fill="auto"/>
            <w:noWrap/>
          </w:tcPr>
          <w:p w14:paraId="4CD5FB64" w14:textId="5126A2A9" w:rsidR="00183C35" w:rsidRPr="00DB5635" w:rsidRDefault="00183C35" w:rsidP="00174DCA">
            <w:pPr>
              <w:pStyle w:val="Normal-pool"/>
              <w:spacing w:before="40" w:after="40"/>
              <w:jc w:val="right"/>
              <w:rPr>
                <w:sz w:val="18"/>
                <w:szCs w:val="18"/>
                <w:lang w:val="es-ES_tradnl"/>
              </w:rPr>
            </w:pPr>
            <w:r w:rsidRPr="00DB5635">
              <w:rPr>
                <w:sz w:val="18"/>
                <w:szCs w:val="18"/>
                <w:lang w:val="es-ES_tradnl"/>
              </w:rPr>
              <w:t>13</w:t>
            </w:r>
            <w:r w:rsidR="008F74E7" w:rsidRPr="00DB5635">
              <w:rPr>
                <w:sz w:val="18"/>
                <w:szCs w:val="18"/>
                <w:lang w:val="es-ES_tradnl"/>
              </w:rPr>
              <w:t> </w:t>
            </w:r>
            <w:r w:rsidRPr="00DB5635">
              <w:rPr>
                <w:sz w:val="18"/>
                <w:szCs w:val="18"/>
                <w:lang w:val="es-ES_tradnl"/>
              </w:rPr>
              <w:t>453</w:t>
            </w:r>
          </w:p>
        </w:tc>
      </w:tr>
      <w:tr w:rsidR="00183C35" w:rsidRPr="00DB5635" w14:paraId="45F57528"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276DA981"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350C8491" w14:textId="1F73FCAF" w:rsidR="00183C35" w:rsidRPr="00DB5635" w:rsidRDefault="003E5017" w:rsidP="00174DCA">
            <w:pPr>
              <w:pStyle w:val="Normal-pool"/>
              <w:spacing w:before="40" w:after="40"/>
              <w:rPr>
                <w:sz w:val="18"/>
                <w:szCs w:val="18"/>
                <w:lang w:val="es-ES_tradnl"/>
              </w:rPr>
            </w:pPr>
            <w:r w:rsidRPr="00DB5635">
              <w:rPr>
                <w:sz w:val="18"/>
                <w:szCs w:val="18"/>
                <w:lang w:val="es-ES_tradnl"/>
              </w:rPr>
              <w:t>Inscripción de</w:t>
            </w:r>
            <w:r w:rsidR="00183C35" w:rsidRPr="00DB5635">
              <w:rPr>
                <w:sz w:val="18"/>
                <w:szCs w:val="18"/>
                <w:lang w:val="es-ES_tradnl"/>
              </w:rPr>
              <w:t xml:space="preserve"> los Gobiernos</w:t>
            </w:r>
          </w:p>
        </w:tc>
        <w:tc>
          <w:tcPr>
            <w:tcW w:w="1922" w:type="dxa"/>
            <w:tcBorders>
              <w:top w:val="dotted" w:sz="4" w:space="0" w:color="auto"/>
              <w:bottom w:val="dotted" w:sz="4" w:space="0" w:color="auto"/>
              <w:right w:val="dotted" w:sz="4" w:space="0" w:color="auto"/>
            </w:tcBorders>
          </w:tcPr>
          <w:p w14:paraId="3C468C30" w14:textId="37AB92B8" w:rsidR="00183C35" w:rsidRPr="00DB5635" w:rsidRDefault="00183C35" w:rsidP="00174DCA">
            <w:pPr>
              <w:pStyle w:val="Normal-pool"/>
              <w:spacing w:before="40" w:after="40"/>
              <w:jc w:val="right"/>
              <w:rPr>
                <w:sz w:val="18"/>
                <w:szCs w:val="18"/>
                <w:lang w:val="es-ES_tradnl"/>
              </w:rPr>
            </w:pPr>
            <w:r w:rsidRPr="00DB5635">
              <w:rPr>
                <w:sz w:val="18"/>
                <w:szCs w:val="18"/>
                <w:lang w:val="es-ES_tradnl"/>
              </w:rPr>
              <w:t>67</w:t>
            </w:r>
            <w:r w:rsidR="008F74E7" w:rsidRPr="00DB5635">
              <w:rPr>
                <w:sz w:val="18"/>
                <w:szCs w:val="18"/>
                <w:lang w:val="es-ES_tradnl"/>
              </w:rPr>
              <w:t> </w:t>
            </w:r>
            <w:r w:rsidRPr="00DB5635">
              <w:rPr>
                <w:sz w:val="18"/>
                <w:szCs w:val="18"/>
                <w:lang w:val="es-ES_tradnl"/>
              </w:rPr>
              <w:t>265</w:t>
            </w:r>
          </w:p>
        </w:tc>
        <w:tc>
          <w:tcPr>
            <w:tcW w:w="1923" w:type="dxa"/>
            <w:tcBorders>
              <w:top w:val="dotted" w:sz="4" w:space="0" w:color="auto"/>
              <w:left w:val="dotted" w:sz="4" w:space="0" w:color="auto"/>
              <w:bottom w:val="dotted" w:sz="4" w:space="0" w:color="auto"/>
            </w:tcBorders>
            <w:shd w:val="clear" w:color="auto" w:fill="auto"/>
            <w:noWrap/>
          </w:tcPr>
          <w:p w14:paraId="797CDB49" w14:textId="4E9453FB" w:rsidR="00183C35" w:rsidRPr="00DB5635" w:rsidRDefault="008F74E7" w:rsidP="00174DCA">
            <w:pPr>
              <w:pStyle w:val="Normal-pool"/>
              <w:spacing w:before="40" w:after="40"/>
              <w:jc w:val="right"/>
              <w:rPr>
                <w:sz w:val="18"/>
                <w:szCs w:val="18"/>
                <w:lang w:val="es-ES_tradnl"/>
              </w:rPr>
            </w:pPr>
            <w:r w:rsidRPr="00DB5635">
              <w:rPr>
                <w:sz w:val="18"/>
                <w:szCs w:val="18"/>
                <w:lang w:val="es-ES_tradnl"/>
              </w:rPr>
              <w:t>67 </w:t>
            </w:r>
            <w:r w:rsidR="00183C35" w:rsidRPr="00DB5635">
              <w:rPr>
                <w:sz w:val="18"/>
                <w:szCs w:val="18"/>
                <w:lang w:val="es-ES_tradnl"/>
              </w:rPr>
              <w:t>265</w:t>
            </w:r>
          </w:p>
        </w:tc>
      </w:tr>
      <w:tr w:rsidR="00183C35" w:rsidRPr="00DB5635" w14:paraId="3DA8B823"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49C6043"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2E25D749" w14:textId="1A51ED4C" w:rsidR="00183C35" w:rsidRPr="00DB5635" w:rsidRDefault="003E5017" w:rsidP="00174DCA">
            <w:pPr>
              <w:pStyle w:val="Normal-pool"/>
              <w:spacing w:before="40" w:after="40"/>
              <w:rPr>
                <w:sz w:val="18"/>
                <w:szCs w:val="18"/>
                <w:lang w:val="es-ES_tradnl"/>
              </w:rPr>
            </w:pPr>
            <w:r w:rsidRPr="00DB5635">
              <w:rPr>
                <w:sz w:val="18"/>
                <w:szCs w:val="18"/>
                <w:lang w:val="es-ES_tradnl"/>
              </w:rPr>
              <w:t>Inscripción de</w:t>
            </w:r>
            <w:r w:rsidR="00183C35" w:rsidRPr="00DB5635">
              <w:rPr>
                <w:sz w:val="18"/>
                <w:szCs w:val="18"/>
                <w:lang w:val="es-ES_tradnl"/>
              </w:rPr>
              <w:t xml:space="preserve"> los observadores</w:t>
            </w:r>
          </w:p>
        </w:tc>
        <w:tc>
          <w:tcPr>
            <w:tcW w:w="1922" w:type="dxa"/>
            <w:tcBorders>
              <w:top w:val="dotted" w:sz="4" w:space="0" w:color="auto"/>
              <w:bottom w:val="dotted" w:sz="4" w:space="0" w:color="auto"/>
              <w:right w:val="dotted" w:sz="4" w:space="0" w:color="auto"/>
            </w:tcBorders>
          </w:tcPr>
          <w:p w14:paraId="7CC0E98D" w14:textId="4CE7BD54" w:rsidR="00183C35" w:rsidRPr="00DB5635" w:rsidRDefault="00183C35" w:rsidP="00174DCA">
            <w:pPr>
              <w:pStyle w:val="Normal-pool"/>
              <w:spacing w:before="40" w:after="40"/>
              <w:jc w:val="right"/>
              <w:rPr>
                <w:sz w:val="18"/>
                <w:szCs w:val="18"/>
                <w:lang w:val="es-ES_tradnl"/>
              </w:rPr>
            </w:pPr>
            <w:r w:rsidRPr="00DB5635">
              <w:rPr>
                <w:sz w:val="18"/>
                <w:szCs w:val="18"/>
                <w:lang w:val="es-ES_tradnl"/>
              </w:rPr>
              <w:t>47</w:t>
            </w:r>
            <w:r w:rsidR="008F74E7" w:rsidRPr="00DB5635">
              <w:rPr>
                <w:sz w:val="18"/>
                <w:szCs w:val="18"/>
                <w:lang w:val="es-ES_tradnl"/>
              </w:rPr>
              <w:t> </w:t>
            </w:r>
            <w:r w:rsidRPr="00DB5635">
              <w:rPr>
                <w:sz w:val="18"/>
                <w:szCs w:val="18"/>
                <w:lang w:val="es-ES_tradnl"/>
              </w:rPr>
              <w:t>086</w:t>
            </w:r>
          </w:p>
        </w:tc>
        <w:tc>
          <w:tcPr>
            <w:tcW w:w="1923" w:type="dxa"/>
            <w:tcBorders>
              <w:top w:val="dotted" w:sz="4" w:space="0" w:color="auto"/>
              <w:left w:val="dotted" w:sz="4" w:space="0" w:color="auto"/>
              <w:bottom w:val="dotted" w:sz="4" w:space="0" w:color="auto"/>
            </w:tcBorders>
            <w:shd w:val="clear" w:color="auto" w:fill="auto"/>
            <w:noWrap/>
          </w:tcPr>
          <w:p w14:paraId="0FCCC4DB" w14:textId="3C6D3F23" w:rsidR="00183C35" w:rsidRPr="00DB5635" w:rsidRDefault="00183C35" w:rsidP="00174DCA">
            <w:pPr>
              <w:pStyle w:val="Normal-pool"/>
              <w:spacing w:before="40" w:after="40"/>
              <w:jc w:val="right"/>
              <w:rPr>
                <w:sz w:val="18"/>
                <w:szCs w:val="18"/>
                <w:lang w:val="es-ES_tradnl"/>
              </w:rPr>
            </w:pPr>
            <w:r w:rsidRPr="00DB5635">
              <w:rPr>
                <w:sz w:val="18"/>
                <w:szCs w:val="18"/>
                <w:lang w:val="es-ES_tradnl"/>
              </w:rPr>
              <w:t>47</w:t>
            </w:r>
            <w:r w:rsidR="008F74E7" w:rsidRPr="00DB5635">
              <w:rPr>
                <w:sz w:val="18"/>
                <w:szCs w:val="18"/>
                <w:lang w:val="es-ES_tradnl"/>
              </w:rPr>
              <w:t> </w:t>
            </w:r>
            <w:r w:rsidRPr="00DB5635">
              <w:rPr>
                <w:sz w:val="18"/>
                <w:szCs w:val="18"/>
                <w:lang w:val="es-ES_tradnl"/>
              </w:rPr>
              <w:t>086</w:t>
            </w:r>
          </w:p>
        </w:tc>
      </w:tr>
      <w:tr w:rsidR="00183C35" w:rsidRPr="00DB5635" w14:paraId="02C4BB77"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0CACE17F"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5F538340"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Arreglos de viaje y dietas</w:t>
            </w:r>
          </w:p>
        </w:tc>
        <w:tc>
          <w:tcPr>
            <w:tcW w:w="1922" w:type="dxa"/>
            <w:tcBorders>
              <w:top w:val="dotted" w:sz="4" w:space="0" w:color="auto"/>
              <w:bottom w:val="dotted" w:sz="4" w:space="0" w:color="auto"/>
              <w:right w:val="dotted" w:sz="4" w:space="0" w:color="auto"/>
            </w:tcBorders>
          </w:tcPr>
          <w:p w14:paraId="21DF1E58" w14:textId="6530CC21" w:rsidR="00183C35" w:rsidRPr="00DB5635" w:rsidRDefault="00183C35" w:rsidP="00174DCA">
            <w:pPr>
              <w:pStyle w:val="Normal-pool"/>
              <w:spacing w:before="40" w:after="40"/>
              <w:jc w:val="right"/>
              <w:rPr>
                <w:sz w:val="18"/>
                <w:szCs w:val="18"/>
                <w:lang w:val="es-ES_tradnl"/>
              </w:rPr>
            </w:pPr>
            <w:r w:rsidRPr="00DB5635">
              <w:rPr>
                <w:sz w:val="18"/>
                <w:szCs w:val="18"/>
                <w:lang w:val="es-ES_tradnl"/>
              </w:rPr>
              <w:t>8</w:t>
            </w:r>
            <w:r w:rsidR="008F74E7" w:rsidRPr="00DB5635">
              <w:rPr>
                <w:sz w:val="18"/>
                <w:szCs w:val="18"/>
                <w:lang w:val="es-ES_tradnl"/>
              </w:rPr>
              <w:t> </w:t>
            </w:r>
            <w:r w:rsidRPr="00DB5635">
              <w:rPr>
                <w:sz w:val="18"/>
                <w:szCs w:val="18"/>
                <w:lang w:val="es-ES_tradnl"/>
              </w:rPr>
              <w:t>745</w:t>
            </w:r>
          </w:p>
        </w:tc>
        <w:tc>
          <w:tcPr>
            <w:tcW w:w="1923" w:type="dxa"/>
            <w:tcBorders>
              <w:top w:val="dotted" w:sz="4" w:space="0" w:color="auto"/>
              <w:left w:val="dotted" w:sz="4" w:space="0" w:color="auto"/>
              <w:bottom w:val="dotted" w:sz="4" w:space="0" w:color="auto"/>
            </w:tcBorders>
            <w:shd w:val="clear" w:color="auto" w:fill="auto"/>
            <w:noWrap/>
          </w:tcPr>
          <w:p w14:paraId="079BE59F" w14:textId="3D253E63" w:rsidR="00183C35" w:rsidRPr="00DB5635" w:rsidRDefault="00183C35" w:rsidP="00174DCA">
            <w:pPr>
              <w:pStyle w:val="Normal-pool"/>
              <w:spacing w:before="40" w:after="40"/>
              <w:jc w:val="right"/>
              <w:rPr>
                <w:sz w:val="18"/>
                <w:szCs w:val="18"/>
                <w:lang w:val="es-ES_tradnl"/>
              </w:rPr>
            </w:pPr>
            <w:r w:rsidRPr="00DB5635">
              <w:rPr>
                <w:sz w:val="18"/>
                <w:szCs w:val="18"/>
                <w:lang w:val="es-ES_tradnl"/>
              </w:rPr>
              <w:t>8</w:t>
            </w:r>
            <w:r w:rsidR="008F74E7" w:rsidRPr="00DB5635">
              <w:rPr>
                <w:sz w:val="18"/>
                <w:szCs w:val="18"/>
                <w:lang w:val="es-ES_tradnl"/>
              </w:rPr>
              <w:t> </w:t>
            </w:r>
            <w:r w:rsidRPr="00DB5635">
              <w:rPr>
                <w:sz w:val="18"/>
                <w:szCs w:val="18"/>
                <w:lang w:val="es-ES_tradnl"/>
              </w:rPr>
              <w:t>745</w:t>
            </w:r>
          </w:p>
        </w:tc>
      </w:tr>
      <w:tr w:rsidR="00183C35" w:rsidRPr="00DB5635" w14:paraId="02DB8AE4"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50586845"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single" w:sz="4" w:space="0" w:color="auto"/>
            </w:tcBorders>
          </w:tcPr>
          <w:p w14:paraId="6AA50711" w14:textId="01FE2FC0" w:rsidR="00183C35" w:rsidRPr="00DB5635" w:rsidRDefault="00183C35" w:rsidP="00174DCA">
            <w:pPr>
              <w:pStyle w:val="Normal-pool"/>
              <w:spacing w:before="40" w:after="40"/>
              <w:rPr>
                <w:sz w:val="18"/>
                <w:szCs w:val="18"/>
                <w:lang w:val="es-ES_tradnl"/>
              </w:rPr>
            </w:pPr>
            <w:r w:rsidRPr="00DB5635">
              <w:rPr>
                <w:sz w:val="18"/>
                <w:szCs w:val="18"/>
                <w:lang w:val="es-ES_tradnl"/>
              </w:rPr>
              <w:t>Registros (gestión de las relaciones con el cliente,</w:t>
            </w:r>
            <w:r w:rsidR="00DB5635">
              <w:rPr>
                <w:sz w:val="18"/>
                <w:szCs w:val="18"/>
                <w:lang w:val="es-ES_tradnl"/>
              </w:rPr>
              <w:t> </w:t>
            </w:r>
            <w:r w:rsidRPr="00DB5635">
              <w:rPr>
                <w:sz w:val="18"/>
                <w:szCs w:val="18"/>
                <w:lang w:val="es-ES_tradnl"/>
              </w:rPr>
              <w:t>Indico)</w:t>
            </w:r>
          </w:p>
        </w:tc>
        <w:tc>
          <w:tcPr>
            <w:tcW w:w="1922" w:type="dxa"/>
            <w:tcBorders>
              <w:top w:val="dotted" w:sz="4" w:space="0" w:color="auto"/>
              <w:bottom w:val="single" w:sz="4" w:space="0" w:color="auto"/>
              <w:right w:val="dotted" w:sz="4" w:space="0" w:color="auto"/>
            </w:tcBorders>
          </w:tcPr>
          <w:p w14:paraId="580D0C83" w14:textId="72672BB2" w:rsidR="00183C35" w:rsidRPr="00DB5635" w:rsidRDefault="00183C35" w:rsidP="00174DCA">
            <w:pPr>
              <w:pStyle w:val="Normal-pool"/>
              <w:spacing w:before="40" w:after="40"/>
              <w:jc w:val="right"/>
              <w:rPr>
                <w:sz w:val="18"/>
                <w:szCs w:val="18"/>
                <w:lang w:val="es-ES_tradnl"/>
              </w:rPr>
            </w:pPr>
            <w:r w:rsidRPr="00DB5635">
              <w:rPr>
                <w:sz w:val="18"/>
                <w:szCs w:val="18"/>
                <w:lang w:val="es-ES_tradnl"/>
              </w:rPr>
              <w:t>28</w:t>
            </w:r>
            <w:r w:rsidR="008F74E7" w:rsidRPr="00DB5635">
              <w:rPr>
                <w:sz w:val="18"/>
                <w:szCs w:val="18"/>
                <w:lang w:val="es-ES_tradnl"/>
              </w:rPr>
              <w:t> </w:t>
            </w:r>
            <w:r w:rsidRPr="00DB5635">
              <w:rPr>
                <w:sz w:val="18"/>
                <w:szCs w:val="18"/>
                <w:lang w:val="es-ES_tradnl"/>
              </w:rPr>
              <w:t>251</w:t>
            </w:r>
          </w:p>
        </w:tc>
        <w:tc>
          <w:tcPr>
            <w:tcW w:w="1923" w:type="dxa"/>
            <w:tcBorders>
              <w:top w:val="dotted" w:sz="4" w:space="0" w:color="auto"/>
              <w:left w:val="dotted" w:sz="4" w:space="0" w:color="auto"/>
              <w:bottom w:val="single" w:sz="4" w:space="0" w:color="auto"/>
            </w:tcBorders>
            <w:shd w:val="clear" w:color="auto" w:fill="auto"/>
            <w:noWrap/>
          </w:tcPr>
          <w:p w14:paraId="07A5E8AB" w14:textId="6F0BA5B4" w:rsidR="00183C35" w:rsidRPr="00DB5635" w:rsidRDefault="00183C35" w:rsidP="00174DCA">
            <w:pPr>
              <w:pStyle w:val="Normal-pool"/>
              <w:spacing w:before="40" w:after="40"/>
              <w:jc w:val="right"/>
              <w:rPr>
                <w:sz w:val="18"/>
                <w:szCs w:val="18"/>
                <w:lang w:val="es-ES_tradnl"/>
              </w:rPr>
            </w:pPr>
            <w:r w:rsidRPr="00DB5635">
              <w:rPr>
                <w:sz w:val="18"/>
                <w:szCs w:val="18"/>
                <w:lang w:val="es-ES_tradnl"/>
              </w:rPr>
              <w:t>28</w:t>
            </w:r>
            <w:r w:rsidR="008F74E7" w:rsidRPr="00DB5635">
              <w:rPr>
                <w:sz w:val="18"/>
                <w:szCs w:val="18"/>
                <w:lang w:val="es-ES_tradnl"/>
              </w:rPr>
              <w:t> </w:t>
            </w:r>
            <w:r w:rsidRPr="00DB5635">
              <w:rPr>
                <w:sz w:val="18"/>
                <w:szCs w:val="18"/>
                <w:lang w:val="es-ES_tradnl"/>
              </w:rPr>
              <w:t>251</w:t>
            </w:r>
          </w:p>
        </w:tc>
      </w:tr>
      <w:tr w:rsidR="00183C35" w:rsidRPr="00DB5635" w14:paraId="114A11F3"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3B6C0B18" w14:textId="77777777" w:rsidR="00183C35" w:rsidRPr="00DB5635" w:rsidRDefault="00183C35" w:rsidP="00174DCA">
            <w:pPr>
              <w:pStyle w:val="Normal-pool"/>
              <w:spacing w:before="40" w:after="40"/>
              <w:rPr>
                <w:b/>
                <w:bCs/>
                <w:sz w:val="18"/>
                <w:szCs w:val="18"/>
                <w:lang w:val="es-ES_tradnl"/>
              </w:rPr>
            </w:pPr>
          </w:p>
        </w:tc>
        <w:tc>
          <w:tcPr>
            <w:tcW w:w="3975" w:type="dxa"/>
            <w:tcBorders>
              <w:top w:val="single" w:sz="4" w:space="0" w:color="auto"/>
              <w:left w:val="dotted" w:sz="4" w:space="0" w:color="auto"/>
              <w:bottom w:val="single" w:sz="4" w:space="0" w:color="auto"/>
            </w:tcBorders>
          </w:tcPr>
          <w:p w14:paraId="3AF26F63" w14:textId="77777777" w:rsidR="00183C35" w:rsidRPr="00DB5635" w:rsidRDefault="00183C35" w:rsidP="00174DCA">
            <w:pPr>
              <w:pStyle w:val="Normal-pool"/>
              <w:spacing w:before="40" w:after="40"/>
              <w:rPr>
                <w:b/>
                <w:bCs/>
                <w:sz w:val="18"/>
                <w:szCs w:val="18"/>
                <w:lang w:val="es-ES_tradnl"/>
              </w:rPr>
            </w:pPr>
          </w:p>
        </w:tc>
        <w:tc>
          <w:tcPr>
            <w:tcW w:w="1922" w:type="dxa"/>
            <w:tcBorders>
              <w:top w:val="single" w:sz="4" w:space="0" w:color="auto"/>
              <w:bottom w:val="single" w:sz="4" w:space="0" w:color="auto"/>
              <w:right w:val="dotted" w:sz="4" w:space="0" w:color="auto"/>
            </w:tcBorders>
          </w:tcPr>
          <w:p w14:paraId="01A80761" w14:textId="0FED18BA"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151</w:t>
            </w:r>
            <w:r w:rsidR="008F74E7" w:rsidRPr="00DB5635">
              <w:rPr>
                <w:b/>
                <w:bCs/>
                <w:sz w:val="18"/>
                <w:szCs w:val="18"/>
                <w:lang w:val="es-ES_tradnl"/>
              </w:rPr>
              <w:t> </w:t>
            </w:r>
            <w:r w:rsidRPr="00DB5635">
              <w:rPr>
                <w:b/>
                <w:bCs/>
                <w:sz w:val="18"/>
                <w:szCs w:val="18"/>
                <w:lang w:val="es-ES_tradnl"/>
              </w:rPr>
              <w:t>347</w:t>
            </w:r>
          </w:p>
        </w:tc>
        <w:tc>
          <w:tcPr>
            <w:tcW w:w="1923" w:type="dxa"/>
            <w:tcBorders>
              <w:top w:val="single" w:sz="4" w:space="0" w:color="auto"/>
              <w:left w:val="dotted" w:sz="4" w:space="0" w:color="auto"/>
              <w:bottom w:val="single" w:sz="4" w:space="0" w:color="auto"/>
            </w:tcBorders>
            <w:shd w:val="clear" w:color="auto" w:fill="auto"/>
            <w:noWrap/>
          </w:tcPr>
          <w:p w14:paraId="262FC29F" w14:textId="1576AB6B"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164</w:t>
            </w:r>
            <w:r w:rsidR="008F74E7" w:rsidRPr="00DB5635">
              <w:rPr>
                <w:b/>
                <w:bCs/>
                <w:sz w:val="18"/>
                <w:szCs w:val="18"/>
                <w:lang w:val="es-ES_tradnl"/>
              </w:rPr>
              <w:t> </w:t>
            </w:r>
            <w:r w:rsidRPr="00DB5635">
              <w:rPr>
                <w:b/>
                <w:bCs/>
                <w:sz w:val="18"/>
                <w:szCs w:val="18"/>
                <w:lang w:val="es-ES_tradnl"/>
              </w:rPr>
              <w:t>800</w:t>
            </w:r>
          </w:p>
        </w:tc>
      </w:tr>
      <w:tr w:rsidR="00183C35" w:rsidRPr="00DB5635" w14:paraId="5FA01CCF"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619F617E"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C</w:t>
            </w:r>
          </w:p>
        </w:tc>
        <w:tc>
          <w:tcPr>
            <w:tcW w:w="3975" w:type="dxa"/>
            <w:tcBorders>
              <w:top w:val="single" w:sz="4" w:space="0" w:color="auto"/>
              <w:left w:val="dotted" w:sz="4" w:space="0" w:color="auto"/>
              <w:bottom w:val="single" w:sz="4" w:space="0" w:color="auto"/>
            </w:tcBorders>
          </w:tcPr>
          <w:p w14:paraId="3A6C0889"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Coordinación logística</w:t>
            </w:r>
          </w:p>
        </w:tc>
        <w:tc>
          <w:tcPr>
            <w:tcW w:w="1922" w:type="dxa"/>
            <w:tcBorders>
              <w:top w:val="single" w:sz="4" w:space="0" w:color="auto"/>
              <w:bottom w:val="single" w:sz="4" w:space="0" w:color="auto"/>
              <w:right w:val="dotted" w:sz="4" w:space="0" w:color="auto"/>
            </w:tcBorders>
          </w:tcPr>
          <w:p w14:paraId="5D904530" w14:textId="431EEDC6"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38</w:t>
            </w:r>
            <w:r w:rsidR="008F74E7" w:rsidRPr="00DB5635">
              <w:rPr>
                <w:b/>
                <w:bCs/>
                <w:sz w:val="18"/>
                <w:szCs w:val="18"/>
                <w:lang w:val="es-ES_tradnl"/>
              </w:rPr>
              <w:t> </w:t>
            </w:r>
            <w:r w:rsidRPr="00DB5635">
              <w:rPr>
                <w:b/>
                <w:bCs/>
                <w:sz w:val="18"/>
                <w:szCs w:val="18"/>
                <w:lang w:val="es-ES_tradnl"/>
              </w:rPr>
              <w:t>678</w:t>
            </w:r>
          </w:p>
        </w:tc>
        <w:tc>
          <w:tcPr>
            <w:tcW w:w="1923" w:type="dxa"/>
            <w:tcBorders>
              <w:top w:val="single" w:sz="4" w:space="0" w:color="auto"/>
              <w:left w:val="dotted" w:sz="4" w:space="0" w:color="auto"/>
              <w:bottom w:val="single" w:sz="4" w:space="0" w:color="auto"/>
            </w:tcBorders>
            <w:shd w:val="clear" w:color="auto" w:fill="auto"/>
            <w:noWrap/>
          </w:tcPr>
          <w:p w14:paraId="02BB1EFA" w14:textId="462011E3"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38</w:t>
            </w:r>
            <w:r w:rsidR="008F74E7" w:rsidRPr="00DB5635">
              <w:rPr>
                <w:b/>
                <w:bCs/>
                <w:sz w:val="18"/>
                <w:szCs w:val="18"/>
                <w:lang w:val="es-ES_tradnl"/>
              </w:rPr>
              <w:t> </w:t>
            </w:r>
            <w:r w:rsidRPr="00DB5635">
              <w:rPr>
                <w:b/>
                <w:bCs/>
                <w:sz w:val="18"/>
                <w:szCs w:val="18"/>
                <w:lang w:val="es-ES_tradnl"/>
              </w:rPr>
              <w:t>678</w:t>
            </w:r>
          </w:p>
        </w:tc>
      </w:tr>
      <w:tr w:rsidR="00183C35" w:rsidRPr="00DB5635" w14:paraId="7F64AEFC"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1C7E0FB0"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D</w:t>
            </w:r>
          </w:p>
        </w:tc>
        <w:tc>
          <w:tcPr>
            <w:tcW w:w="3975" w:type="dxa"/>
            <w:tcBorders>
              <w:top w:val="single" w:sz="4" w:space="0" w:color="auto"/>
              <w:left w:val="dotted" w:sz="4" w:space="0" w:color="auto"/>
              <w:bottom w:val="single" w:sz="4" w:space="0" w:color="auto"/>
            </w:tcBorders>
          </w:tcPr>
          <w:p w14:paraId="2B2C9F4B" w14:textId="5E686732" w:rsidR="00183C35" w:rsidRPr="00DB5635" w:rsidRDefault="00D8019A" w:rsidP="00174DCA">
            <w:pPr>
              <w:pStyle w:val="Normal-pool"/>
              <w:spacing w:before="40" w:after="40"/>
              <w:rPr>
                <w:b/>
                <w:bCs/>
                <w:sz w:val="18"/>
                <w:szCs w:val="18"/>
                <w:lang w:val="es-ES_tradnl"/>
              </w:rPr>
            </w:pPr>
            <w:r w:rsidRPr="00DB5635">
              <w:rPr>
                <w:b/>
                <w:bCs/>
                <w:sz w:val="18"/>
                <w:szCs w:val="18"/>
                <w:lang w:val="es-ES_tradnl"/>
              </w:rPr>
              <w:t>Tecnología de la información y uso eficiente del</w:t>
            </w:r>
            <w:r w:rsidR="00DB5635">
              <w:rPr>
                <w:b/>
                <w:bCs/>
                <w:sz w:val="18"/>
                <w:szCs w:val="18"/>
                <w:lang w:val="es-ES_tradnl"/>
              </w:rPr>
              <w:t> </w:t>
            </w:r>
            <w:r w:rsidRPr="00DB5635">
              <w:rPr>
                <w:b/>
                <w:bCs/>
                <w:sz w:val="18"/>
                <w:szCs w:val="18"/>
                <w:lang w:val="es-ES_tradnl"/>
              </w:rPr>
              <w:t>papel</w:t>
            </w:r>
          </w:p>
        </w:tc>
        <w:tc>
          <w:tcPr>
            <w:tcW w:w="1922" w:type="dxa"/>
            <w:tcBorders>
              <w:top w:val="single" w:sz="4" w:space="0" w:color="auto"/>
              <w:bottom w:val="single" w:sz="4" w:space="0" w:color="auto"/>
              <w:right w:val="dotted" w:sz="4" w:space="0" w:color="auto"/>
            </w:tcBorders>
          </w:tcPr>
          <w:p w14:paraId="69E7B73E" w14:textId="2515A2C4"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28</w:t>
            </w:r>
            <w:r w:rsidR="008F74E7" w:rsidRPr="00DB5635">
              <w:rPr>
                <w:b/>
                <w:bCs/>
                <w:sz w:val="18"/>
                <w:szCs w:val="18"/>
                <w:lang w:val="es-ES_tradnl"/>
              </w:rPr>
              <w:t> </w:t>
            </w:r>
            <w:r w:rsidRPr="00DB5635">
              <w:rPr>
                <w:b/>
                <w:bCs/>
                <w:sz w:val="18"/>
                <w:szCs w:val="18"/>
                <w:lang w:val="es-ES_tradnl"/>
              </w:rPr>
              <w:t>699</w:t>
            </w:r>
          </w:p>
        </w:tc>
        <w:tc>
          <w:tcPr>
            <w:tcW w:w="1923" w:type="dxa"/>
            <w:tcBorders>
              <w:top w:val="single" w:sz="4" w:space="0" w:color="auto"/>
              <w:left w:val="dotted" w:sz="4" w:space="0" w:color="auto"/>
              <w:bottom w:val="single" w:sz="4" w:space="0" w:color="auto"/>
            </w:tcBorders>
            <w:shd w:val="clear" w:color="auto" w:fill="auto"/>
            <w:noWrap/>
          </w:tcPr>
          <w:p w14:paraId="796DABCC" w14:textId="70186A97"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28</w:t>
            </w:r>
            <w:r w:rsidR="008F74E7" w:rsidRPr="00DB5635">
              <w:rPr>
                <w:b/>
                <w:bCs/>
                <w:sz w:val="18"/>
                <w:szCs w:val="18"/>
                <w:lang w:val="es-ES_tradnl"/>
              </w:rPr>
              <w:t> </w:t>
            </w:r>
            <w:r w:rsidRPr="00DB5635">
              <w:rPr>
                <w:b/>
                <w:bCs/>
                <w:sz w:val="18"/>
                <w:szCs w:val="18"/>
                <w:lang w:val="es-ES_tradnl"/>
              </w:rPr>
              <w:t>699</w:t>
            </w:r>
          </w:p>
        </w:tc>
      </w:tr>
      <w:tr w:rsidR="00183C35" w:rsidRPr="00DB5635" w14:paraId="5315123F"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5499FFBE"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E</w:t>
            </w:r>
          </w:p>
        </w:tc>
        <w:tc>
          <w:tcPr>
            <w:tcW w:w="3975" w:type="dxa"/>
            <w:tcBorders>
              <w:top w:val="single" w:sz="4" w:space="0" w:color="auto"/>
              <w:left w:val="dotted" w:sz="4" w:space="0" w:color="auto"/>
              <w:bottom w:val="single" w:sz="4" w:space="0" w:color="auto"/>
            </w:tcBorders>
          </w:tcPr>
          <w:p w14:paraId="32F50227"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Control de documentos y servicios jurídicos</w:t>
            </w:r>
          </w:p>
        </w:tc>
        <w:tc>
          <w:tcPr>
            <w:tcW w:w="1922" w:type="dxa"/>
            <w:tcBorders>
              <w:top w:val="single" w:sz="4" w:space="0" w:color="auto"/>
              <w:bottom w:val="single" w:sz="4" w:space="0" w:color="auto"/>
              <w:right w:val="dotted" w:sz="4" w:space="0" w:color="auto"/>
            </w:tcBorders>
          </w:tcPr>
          <w:p w14:paraId="7C605BBF" w14:textId="77777777" w:rsidR="00183C35" w:rsidRPr="00DB5635" w:rsidRDefault="00183C35" w:rsidP="00174DCA">
            <w:pPr>
              <w:pStyle w:val="Normal-pool"/>
              <w:spacing w:before="40" w:after="40"/>
              <w:jc w:val="right"/>
              <w:rPr>
                <w:b/>
                <w:bCs/>
                <w:sz w:val="18"/>
                <w:szCs w:val="18"/>
                <w:lang w:val="es-ES_tradnl"/>
              </w:rPr>
            </w:pPr>
          </w:p>
        </w:tc>
        <w:tc>
          <w:tcPr>
            <w:tcW w:w="1923" w:type="dxa"/>
            <w:tcBorders>
              <w:top w:val="single" w:sz="4" w:space="0" w:color="auto"/>
              <w:left w:val="dotted" w:sz="4" w:space="0" w:color="auto"/>
              <w:bottom w:val="single" w:sz="4" w:space="0" w:color="auto"/>
            </w:tcBorders>
            <w:shd w:val="clear" w:color="auto" w:fill="auto"/>
            <w:noWrap/>
          </w:tcPr>
          <w:p w14:paraId="17AC9677" w14:textId="77777777" w:rsidR="00183C35" w:rsidRPr="00DB5635" w:rsidRDefault="00183C35" w:rsidP="00174DCA">
            <w:pPr>
              <w:pStyle w:val="Normal-pool"/>
              <w:spacing w:before="40" w:after="40"/>
              <w:jc w:val="right"/>
              <w:rPr>
                <w:b/>
                <w:bCs/>
                <w:sz w:val="18"/>
                <w:szCs w:val="18"/>
                <w:lang w:val="es-ES_tradnl"/>
              </w:rPr>
            </w:pPr>
          </w:p>
        </w:tc>
      </w:tr>
      <w:tr w:rsidR="00183C35" w:rsidRPr="00DB5635" w14:paraId="4A5015E7"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6A69CB82" w14:textId="77777777" w:rsidR="00183C35" w:rsidRPr="00DB5635" w:rsidRDefault="00183C35" w:rsidP="00174DCA">
            <w:pPr>
              <w:pStyle w:val="Normal-pool"/>
              <w:spacing w:before="40" w:after="40"/>
              <w:rPr>
                <w:b/>
                <w:bCs/>
                <w:sz w:val="18"/>
                <w:szCs w:val="18"/>
                <w:lang w:val="es-ES_tradnl"/>
              </w:rPr>
            </w:pPr>
          </w:p>
        </w:tc>
        <w:tc>
          <w:tcPr>
            <w:tcW w:w="3975" w:type="dxa"/>
            <w:tcBorders>
              <w:top w:val="single" w:sz="4" w:space="0" w:color="auto"/>
              <w:left w:val="dotted" w:sz="4" w:space="0" w:color="auto"/>
              <w:bottom w:val="dotted" w:sz="4" w:space="0" w:color="auto"/>
            </w:tcBorders>
          </w:tcPr>
          <w:p w14:paraId="77B12525"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Gestión de documentos</w:t>
            </w:r>
          </w:p>
        </w:tc>
        <w:tc>
          <w:tcPr>
            <w:tcW w:w="1922" w:type="dxa"/>
            <w:tcBorders>
              <w:top w:val="single" w:sz="4" w:space="0" w:color="auto"/>
              <w:bottom w:val="dotted" w:sz="4" w:space="0" w:color="auto"/>
              <w:right w:val="dotted" w:sz="4" w:space="0" w:color="auto"/>
            </w:tcBorders>
          </w:tcPr>
          <w:p w14:paraId="61EB045C" w14:textId="77777777" w:rsidR="00183C35" w:rsidRPr="00DB5635" w:rsidRDefault="00FE1627" w:rsidP="00174DCA">
            <w:pPr>
              <w:pStyle w:val="Normal-pool"/>
              <w:spacing w:before="40" w:after="40"/>
              <w:jc w:val="right"/>
              <w:rPr>
                <w:sz w:val="18"/>
                <w:szCs w:val="18"/>
                <w:lang w:val="es-ES_tradnl"/>
              </w:rPr>
            </w:pPr>
            <w:r w:rsidRPr="00DB5635">
              <w:rPr>
                <w:sz w:val="18"/>
                <w:szCs w:val="18"/>
                <w:lang w:val="es-ES_tradnl"/>
              </w:rPr>
              <w:t>–</w:t>
            </w:r>
          </w:p>
        </w:tc>
        <w:tc>
          <w:tcPr>
            <w:tcW w:w="1923" w:type="dxa"/>
            <w:tcBorders>
              <w:top w:val="single" w:sz="4" w:space="0" w:color="auto"/>
              <w:left w:val="dotted" w:sz="4" w:space="0" w:color="auto"/>
              <w:bottom w:val="dotted" w:sz="4" w:space="0" w:color="auto"/>
            </w:tcBorders>
            <w:shd w:val="clear" w:color="auto" w:fill="auto"/>
            <w:noWrap/>
          </w:tcPr>
          <w:p w14:paraId="10132A72" w14:textId="36A10CA5" w:rsidR="00183C35" w:rsidRPr="00DB5635" w:rsidRDefault="008F74E7" w:rsidP="00174DCA">
            <w:pPr>
              <w:pStyle w:val="Normal-pool"/>
              <w:spacing w:before="40" w:after="40"/>
              <w:jc w:val="right"/>
              <w:rPr>
                <w:sz w:val="18"/>
                <w:szCs w:val="18"/>
                <w:lang w:val="es-ES_tradnl"/>
              </w:rPr>
            </w:pPr>
            <w:r w:rsidRPr="00DB5635">
              <w:rPr>
                <w:sz w:val="18"/>
                <w:szCs w:val="18"/>
                <w:lang w:val="es-ES_tradnl"/>
              </w:rPr>
              <w:t>4 </w:t>
            </w:r>
            <w:r w:rsidR="00183C35" w:rsidRPr="00DB5635">
              <w:rPr>
                <w:sz w:val="18"/>
                <w:szCs w:val="18"/>
                <w:lang w:val="es-ES_tradnl"/>
              </w:rPr>
              <w:t>443</w:t>
            </w:r>
          </w:p>
        </w:tc>
      </w:tr>
      <w:tr w:rsidR="00183C35" w:rsidRPr="00DB5635" w14:paraId="4F25E554"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D652B7C"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2D423BD2"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Gestión de informes</w:t>
            </w:r>
          </w:p>
        </w:tc>
        <w:tc>
          <w:tcPr>
            <w:tcW w:w="1922" w:type="dxa"/>
            <w:tcBorders>
              <w:top w:val="dotted" w:sz="4" w:space="0" w:color="auto"/>
              <w:bottom w:val="dotted" w:sz="4" w:space="0" w:color="auto"/>
              <w:right w:val="dotted" w:sz="4" w:space="0" w:color="auto"/>
            </w:tcBorders>
          </w:tcPr>
          <w:p w14:paraId="60FD9FDC" w14:textId="77777777" w:rsidR="00183C35" w:rsidRPr="00DB5635" w:rsidRDefault="00FE1627" w:rsidP="00174DCA">
            <w:pPr>
              <w:pStyle w:val="Normal-pool"/>
              <w:spacing w:before="40" w:after="40"/>
              <w:jc w:val="right"/>
              <w:rPr>
                <w:sz w:val="18"/>
                <w:szCs w:val="18"/>
                <w:lang w:val="es-ES_tradnl"/>
              </w:rPr>
            </w:pPr>
            <w:r w:rsidRPr="00DB5635">
              <w:rPr>
                <w:sz w:val="18"/>
                <w:szCs w:val="18"/>
                <w:lang w:val="es-ES_tradnl"/>
              </w:rPr>
              <w:t>–</w:t>
            </w:r>
          </w:p>
        </w:tc>
        <w:tc>
          <w:tcPr>
            <w:tcW w:w="1923" w:type="dxa"/>
            <w:tcBorders>
              <w:top w:val="dotted" w:sz="4" w:space="0" w:color="auto"/>
              <w:left w:val="dotted" w:sz="4" w:space="0" w:color="auto"/>
              <w:bottom w:val="dotted" w:sz="4" w:space="0" w:color="auto"/>
            </w:tcBorders>
            <w:shd w:val="clear" w:color="auto" w:fill="auto"/>
            <w:noWrap/>
          </w:tcPr>
          <w:p w14:paraId="7CEA9A14" w14:textId="2A97E099" w:rsidR="00183C35" w:rsidRPr="00DB5635" w:rsidRDefault="00183C35" w:rsidP="00174DCA">
            <w:pPr>
              <w:pStyle w:val="Normal-pool"/>
              <w:spacing w:before="40" w:after="40"/>
              <w:jc w:val="right"/>
              <w:rPr>
                <w:sz w:val="18"/>
                <w:szCs w:val="18"/>
                <w:lang w:val="es-ES_tradnl"/>
              </w:rPr>
            </w:pPr>
            <w:r w:rsidRPr="00DB5635">
              <w:rPr>
                <w:sz w:val="18"/>
                <w:szCs w:val="18"/>
                <w:lang w:val="es-ES_tradnl"/>
              </w:rPr>
              <w:t>4</w:t>
            </w:r>
            <w:r w:rsidR="008F74E7" w:rsidRPr="00DB5635">
              <w:rPr>
                <w:sz w:val="18"/>
                <w:szCs w:val="18"/>
                <w:lang w:val="es-ES_tradnl"/>
              </w:rPr>
              <w:t> </w:t>
            </w:r>
            <w:r w:rsidRPr="00DB5635">
              <w:rPr>
                <w:sz w:val="18"/>
                <w:szCs w:val="18"/>
                <w:lang w:val="es-ES_tradnl"/>
              </w:rPr>
              <w:t>443</w:t>
            </w:r>
          </w:p>
        </w:tc>
      </w:tr>
      <w:tr w:rsidR="00183C35" w:rsidRPr="00DB5635" w14:paraId="4E4B21A0"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BDBAF4A"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35E099AD"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Control de documentos</w:t>
            </w:r>
          </w:p>
        </w:tc>
        <w:tc>
          <w:tcPr>
            <w:tcW w:w="1922" w:type="dxa"/>
            <w:tcBorders>
              <w:top w:val="dotted" w:sz="4" w:space="0" w:color="auto"/>
              <w:bottom w:val="dotted" w:sz="4" w:space="0" w:color="auto"/>
              <w:right w:val="dotted" w:sz="4" w:space="0" w:color="auto"/>
            </w:tcBorders>
          </w:tcPr>
          <w:p w14:paraId="04745BFE" w14:textId="77777777" w:rsidR="00183C35" w:rsidRPr="00DB5635" w:rsidRDefault="00FE1627" w:rsidP="00174DCA">
            <w:pPr>
              <w:pStyle w:val="Normal-pool"/>
              <w:spacing w:before="40" w:after="40"/>
              <w:jc w:val="right"/>
              <w:rPr>
                <w:sz w:val="18"/>
                <w:szCs w:val="18"/>
                <w:lang w:val="es-ES_tradnl"/>
              </w:rPr>
            </w:pPr>
            <w:r w:rsidRPr="00DB5635">
              <w:rPr>
                <w:sz w:val="18"/>
                <w:szCs w:val="18"/>
                <w:lang w:val="es-ES_tradnl"/>
              </w:rPr>
              <w:t>–</w:t>
            </w:r>
          </w:p>
        </w:tc>
        <w:tc>
          <w:tcPr>
            <w:tcW w:w="1923" w:type="dxa"/>
            <w:tcBorders>
              <w:top w:val="dotted" w:sz="4" w:space="0" w:color="auto"/>
              <w:left w:val="dotted" w:sz="4" w:space="0" w:color="auto"/>
              <w:bottom w:val="dotted" w:sz="4" w:space="0" w:color="auto"/>
            </w:tcBorders>
            <w:shd w:val="clear" w:color="auto" w:fill="auto"/>
            <w:noWrap/>
          </w:tcPr>
          <w:p w14:paraId="7EF9C017" w14:textId="615AD4AF" w:rsidR="00183C35" w:rsidRPr="00DB5635" w:rsidRDefault="008F74E7" w:rsidP="00174DCA">
            <w:pPr>
              <w:pStyle w:val="Normal-pool"/>
              <w:spacing w:before="40" w:after="40"/>
              <w:jc w:val="right"/>
              <w:rPr>
                <w:sz w:val="18"/>
                <w:szCs w:val="18"/>
                <w:lang w:val="es-ES_tradnl"/>
              </w:rPr>
            </w:pPr>
            <w:r w:rsidRPr="00DB5635">
              <w:rPr>
                <w:sz w:val="18"/>
                <w:szCs w:val="18"/>
                <w:lang w:val="es-ES_tradnl"/>
              </w:rPr>
              <w:t>6 </w:t>
            </w:r>
            <w:r w:rsidR="00183C35" w:rsidRPr="00DB5635">
              <w:rPr>
                <w:sz w:val="18"/>
                <w:szCs w:val="18"/>
                <w:lang w:val="es-ES_tradnl"/>
              </w:rPr>
              <w:t>727</w:t>
            </w:r>
          </w:p>
        </w:tc>
      </w:tr>
      <w:tr w:rsidR="00183C35" w:rsidRPr="00DB5635" w14:paraId="5AA96DC7"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3355C6ED"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dotted" w:sz="4" w:space="0" w:color="auto"/>
            </w:tcBorders>
          </w:tcPr>
          <w:p w14:paraId="7CBD36BB"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Aprobación</w:t>
            </w:r>
          </w:p>
        </w:tc>
        <w:tc>
          <w:tcPr>
            <w:tcW w:w="1922" w:type="dxa"/>
            <w:tcBorders>
              <w:top w:val="dotted" w:sz="4" w:space="0" w:color="auto"/>
              <w:bottom w:val="dotted" w:sz="4" w:space="0" w:color="auto"/>
              <w:right w:val="dotted" w:sz="4" w:space="0" w:color="auto"/>
            </w:tcBorders>
          </w:tcPr>
          <w:p w14:paraId="01E98C76" w14:textId="77777777" w:rsidR="00183C35" w:rsidRPr="00DB5635" w:rsidRDefault="00FE1627" w:rsidP="00174DCA">
            <w:pPr>
              <w:pStyle w:val="Normal-pool"/>
              <w:spacing w:before="40" w:after="40"/>
              <w:jc w:val="right"/>
              <w:rPr>
                <w:sz w:val="18"/>
                <w:szCs w:val="18"/>
                <w:lang w:val="es-ES_tradnl"/>
              </w:rPr>
            </w:pPr>
            <w:r w:rsidRPr="00DB5635">
              <w:rPr>
                <w:sz w:val="18"/>
                <w:szCs w:val="18"/>
                <w:lang w:val="es-ES_tradnl"/>
              </w:rPr>
              <w:t>–</w:t>
            </w:r>
          </w:p>
        </w:tc>
        <w:tc>
          <w:tcPr>
            <w:tcW w:w="1923" w:type="dxa"/>
            <w:tcBorders>
              <w:top w:val="dotted" w:sz="4" w:space="0" w:color="auto"/>
              <w:left w:val="dotted" w:sz="4" w:space="0" w:color="auto"/>
              <w:bottom w:val="dotted" w:sz="4" w:space="0" w:color="auto"/>
            </w:tcBorders>
            <w:shd w:val="clear" w:color="auto" w:fill="auto"/>
            <w:noWrap/>
          </w:tcPr>
          <w:p w14:paraId="77BE4D53" w14:textId="67F01AE6" w:rsidR="00183C35" w:rsidRPr="00DB5635" w:rsidRDefault="00183C35" w:rsidP="00174DCA">
            <w:pPr>
              <w:pStyle w:val="Normal-pool"/>
              <w:spacing w:before="40" w:after="40"/>
              <w:jc w:val="right"/>
              <w:rPr>
                <w:sz w:val="18"/>
                <w:szCs w:val="18"/>
                <w:lang w:val="es-ES_tradnl"/>
              </w:rPr>
            </w:pPr>
            <w:r w:rsidRPr="00DB5635">
              <w:rPr>
                <w:sz w:val="18"/>
                <w:szCs w:val="18"/>
                <w:lang w:val="es-ES_tradnl"/>
              </w:rPr>
              <w:t>4</w:t>
            </w:r>
            <w:r w:rsidR="008F74E7" w:rsidRPr="00DB5635">
              <w:rPr>
                <w:sz w:val="18"/>
                <w:szCs w:val="18"/>
                <w:lang w:val="es-ES_tradnl"/>
              </w:rPr>
              <w:t> </w:t>
            </w:r>
            <w:r w:rsidRPr="00DB5635">
              <w:rPr>
                <w:sz w:val="18"/>
                <w:szCs w:val="18"/>
                <w:lang w:val="es-ES_tradnl"/>
              </w:rPr>
              <w:t>443</w:t>
            </w:r>
          </w:p>
        </w:tc>
      </w:tr>
      <w:tr w:rsidR="00183C35" w:rsidRPr="00DB5635" w14:paraId="157FDB89"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30E5492E" w14:textId="77777777" w:rsidR="00183C35" w:rsidRPr="00DB5635" w:rsidRDefault="00183C35" w:rsidP="00174DCA">
            <w:pPr>
              <w:pStyle w:val="Normal-pool"/>
              <w:spacing w:before="40" w:after="40"/>
              <w:rPr>
                <w:b/>
                <w:bCs/>
                <w:sz w:val="18"/>
                <w:szCs w:val="18"/>
                <w:lang w:val="es-ES_tradnl"/>
              </w:rPr>
            </w:pPr>
          </w:p>
        </w:tc>
        <w:tc>
          <w:tcPr>
            <w:tcW w:w="3975" w:type="dxa"/>
            <w:tcBorders>
              <w:top w:val="dotted" w:sz="4" w:space="0" w:color="auto"/>
              <w:left w:val="dotted" w:sz="4" w:space="0" w:color="auto"/>
              <w:bottom w:val="single" w:sz="4" w:space="0" w:color="auto"/>
            </w:tcBorders>
          </w:tcPr>
          <w:p w14:paraId="6735340A" w14:textId="77777777" w:rsidR="00183C35" w:rsidRPr="00DB5635" w:rsidRDefault="00183C35" w:rsidP="00174DCA">
            <w:pPr>
              <w:pStyle w:val="Normal-pool"/>
              <w:spacing w:before="40" w:after="40"/>
              <w:rPr>
                <w:sz w:val="18"/>
                <w:szCs w:val="18"/>
                <w:lang w:val="es-ES_tradnl"/>
              </w:rPr>
            </w:pPr>
            <w:r w:rsidRPr="00DB5635">
              <w:rPr>
                <w:sz w:val="18"/>
                <w:szCs w:val="18"/>
                <w:lang w:val="es-ES_tradnl"/>
              </w:rPr>
              <w:t>Imprevistos</w:t>
            </w:r>
          </w:p>
        </w:tc>
        <w:tc>
          <w:tcPr>
            <w:tcW w:w="1922" w:type="dxa"/>
            <w:tcBorders>
              <w:top w:val="dotted" w:sz="4" w:space="0" w:color="auto"/>
              <w:bottom w:val="single" w:sz="4" w:space="0" w:color="auto"/>
              <w:right w:val="dotted" w:sz="4" w:space="0" w:color="auto"/>
            </w:tcBorders>
          </w:tcPr>
          <w:p w14:paraId="7F1A44A9" w14:textId="5CC52884" w:rsidR="00183C35" w:rsidRPr="00DB5635" w:rsidRDefault="00183C35" w:rsidP="00174DCA">
            <w:pPr>
              <w:pStyle w:val="Normal-pool"/>
              <w:spacing w:before="40" w:after="40"/>
              <w:jc w:val="right"/>
              <w:rPr>
                <w:sz w:val="18"/>
                <w:szCs w:val="18"/>
                <w:lang w:val="es-ES_tradnl"/>
              </w:rPr>
            </w:pPr>
            <w:r w:rsidRPr="00DB5635">
              <w:rPr>
                <w:sz w:val="18"/>
                <w:szCs w:val="18"/>
                <w:lang w:val="es-ES_tradnl"/>
              </w:rPr>
              <w:t>9</w:t>
            </w:r>
            <w:r w:rsidR="008F74E7" w:rsidRPr="00DB5635">
              <w:rPr>
                <w:sz w:val="18"/>
                <w:szCs w:val="18"/>
                <w:lang w:val="es-ES_tradnl"/>
              </w:rPr>
              <w:t> </w:t>
            </w:r>
            <w:r w:rsidRPr="00DB5635">
              <w:rPr>
                <w:sz w:val="18"/>
                <w:szCs w:val="18"/>
                <w:lang w:val="es-ES_tradnl"/>
              </w:rPr>
              <w:t>267</w:t>
            </w:r>
          </w:p>
        </w:tc>
        <w:tc>
          <w:tcPr>
            <w:tcW w:w="1923" w:type="dxa"/>
            <w:tcBorders>
              <w:top w:val="dotted" w:sz="4" w:space="0" w:color="auto"/>
              <w:left w:val="dotted" w:sz="4" w:space="0" w:color="auto"/>
              <w:bottom w:val="single" w:sz="4" w:space="0" w:color="auto"/>
            </w:tcBorders>
            <w:shd w:val="clear" w:color="auto" w:fill="auto"/>
            <w:noWrap/>
          </w:tcPr>
          <w:p w14:paraId="2DC91037" w14:textId="7CE2C4D7" w:rsidR="00183C35" w:rsidRPr="00DB5635" w:rsidRDefault="00183C35" w:rsidP="00174DCA">
            <w:pPr>
              <w:pStyle w:val="Normal-pool"/>
              <w:spacing w:before="40" w:after="40"/>
              <w:jc w:val="right"/>
              <w:rPr>
                <w:sz w:val="18"/>
                <w:szCs w:val="18"/>
                <w:lang w:val="es-ES_tradnl"/>
              </w:rPr>
            </w:pPr>
            <w:r w:rsidRPr="00DB5635">
              <w:rPr>
                <w:sz w:val="18"/>
                <w:szCs w:val="18"/>
                <w:lang w:val="es-ES_tradnl"/>
              </w:rPr>
              <w:t>9</w:t>
            </w:r>
            <w:r w:rsidR="008F74E7" w:rsidRPr="00DB5635">
              <w:rPr>
                <w:sz w:val="18"/>
                <w:szCs w:val="18"/>
                <w:lang w:val="es-ES_tradnl"/>
              </w:rPr>
              <w:t> </w:t>
            </w:r>
            <w:r w:rsidRPr="00DB5635">
              <w:rPr>
                <w:sz w:val="18"/>
                <w:szCs w:val="18"/>
                <w:lang w:val="es-ES_tradnl"/>
              </w:rPr>
              <w:t>267</w:t>
            </w:r>
          </w:p>
        </w:tc>
      </w:tr>
      <w:tr w:rsidR="00183C35" w:rsidRPr="00DB5635" w14:paraId="343CEDD7"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6515CA2B" w14:textId="77777777" w:rsidR="00183C35" w:rsidRPr="00DB5635" w:rsidRDefault="00183C35" w:rsidP="00174DCA">
            <w:pPr>
              <w:pStyle w:val="Normal-pool"/>
              <w:spacing w:before="40" w:after="40"/>
              <w:rPr>
                <w:b/>
                <w:bCs/>
                <w:sz w:val="18"/>
                <w:szCs w:val="18"/>
                <w:lang w:val="es-ES_tradnl"/>
              </w:rPr>
            </w:pPr>
          </w:p>
        </w:tc>
        <w:tc>
          <w:tcPr>
            <w:tcW w:w="3975" w:type="dxa"/>
            <w:tcBorders>
              <w:top w:val="single" w:sz="4" w:space="0" w:color="auto"/>
              <w:left w:val="dotted" w:sz="4" w:space="0" w:color="auto"/>
              <w:bottom w:val="single" w:sz="4" w:space="0" w:color="auto"/>
            </w:tcBorders>
          </w:tcPr>
          <w:p w14:paraId="0FF9C4B1" w14:textId="77777777" w:rsidR="00183C35" w:rsidRPr="00DB5635" w:rsidRDefault="00183C35" w:rsidP="00174DCA">
            <w:pPr>
              <w:pStyle w:val="Normal-pool"/>
              <w:spacing w:before="40" w:after="40"/>
              <w:rPr>
                <w:b/>
                <w:bCs/>
                <w:sz w:val="18"/>
                <w:szCs w:val="18"/>
                <w:lang w:val="es-ES_tradnl"/>
              </w:rPr>
            </w:pPr>
          </w:p>
        </w:tc>
        <w:tc>
          <w:tcPr>
            <w:tcW w:w="1922" w:type="dxa"/>
            <w:tcBorders>
              <w:top w:val="single" w:sz="4" w:space="0" w:color="auto"/>
              <w:bottom w:val="single" w:sz="4" w:space="0" w:color="auto"/>
              <w:right w:val="dotted" w:sz="4" w:space="0" w:color="auto"/>
            </w:tcBorders>
          </w:tcPr>
          <w:p w14:paraId="7BFB7172" w14:textId="7C525221"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9</w:t>
            </w:r>
            <w:r w:rsidR="008F74E7" w:rsidRPr="00DB5635">
              <w:rPr>
                <w:b/>
                <w:bCs/>
                <w:sz w:val="18"/>
                <w:szCs w:val="18"/>
                <w:lang w:val="es-ES_tradnl"/>
              </w:rPr>
              <w:t> </w:t>
            </w:r>
            <w:r w:rsidRPr="00DB5635">
              <w:rPr>
                <w:b/>
                <w:bCs/>
                <w:sz w:val="18"/>
                <w:szCs w:val="18"/>
                <w:lang w:val="es-ES_tradnl"/>
              </w:rPr>
              <w:t>267</w:t>
            </w:r>
          </w:p>
        </w:tc>
        <w:tc>
          <w:tcPr>
            <w:tcW w:w="1923" w:type="dxa"/>
            <w:tcBorders>
              <w:top w:val="single" w:sz="4" w:space="0" w:color="auto"/>
              <w:left w:val="dotted" w:sz="4" w:space="0" w:color="auto"/>
              <w:bottom w:val="single" w:sz="4" w:space="0" w:color="auto"/>
            </w:tcBorders>
            <w:shd w:val="clear" w:color="auto" w:fill="auto"/>
            <w:noWrap/>
          </w:tcPr>
          <w:p w14:paraId="783C16A0" w14:textId="357AC0EF"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29</w:t>
            </w:r>
            <w:r w:rsidR="008F74E7" w:rsidRPr="00DB5635">
              <w:rPr>
                <w:b/>
                <w:bCs/>
                <w:sz w:val="18"/>
                <w:szCs w:val="18"/>
                <w:lang w:val="es-ES_tradnl"/>
              </w:rPr>
              <w:t> </w:t>
            </w:r>
            <w:r w:rsidRPr="00DB5635">
              <w:rPr>
                <w:b/>
                <w:bCs/>
                <w:sz w:val="18"/>
                <w:szCs w:val="18"/>
                <w:lang w:val="es-ES_tradnl"/>
              </w:rPr>
              <w:t>323</w:t>
            </w:r>
          </w:p>
        </w:tc>
      </w:tr>
      <w:tr w:rsidR="00183C35" w:rsidRPr="00DB5635" w14:paraId="0BFAAB1D"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207D125F" w14:textId="77777777" w:rsidR="00183C35" w:rsidRPr="00DB5635" w:rsidRDefault="00183C35" w:rsidP="00174DCA">
            <w:pPr>
              <w:pStyle w:val="Normal-pool"/>
              <w:spacing w:before="40" w:after="40"/>
              <w:rPr>
                <w:b/>
                <w:bCs/>
                <w:sz w:val="18"/>
                <w:szCs w:val="18"/>
                <w:lang w:val="es-ES_tradnl"/>
              </w:rPr>
            </w:pPr>
          </w:p>
        </w:tc>
        <w:tc>
          <w:tcPr>
            <w:tcW w:w="3975" w:type="dxa"/>
            <w:tcBorders>
              <w:top w:val="single" w:sz="4" w:space="0" w:color="auto"/>
              <w:left w:val="dotted" w:sz="4" w:space="0" w:color="auto"/>
              <w:bottom w:val="single" w:sz="12" w:space="0" w:color="auto"/>
            </w:tcBorders>
          </w:tcPr>
          <w:p w14:paraId="79368200" w14:textId="77777777" w:rsidR="00183C35" w:rsidRPr="00DB5635" w:rsidRDefault="00183C35" w:rsidP="00174DCA">
            <w:pPr>
              <w:pStyle w:val="Normal-pool"/>
              <w:spacing w:before="40" w:after="40"/>
              <w:rPr>
                <w:b/>
                <w:bCs/>
                <w:sz w:val="18"/>
                <w:szCs w:val="18"/>
                <w:lang w:val="es-ES_tradnl"/>
              </w:rPr>
            </w:pPr>
            <w:r w:rsidRPr="00DB5635">
              <w:rPr>
                <w:b/>
                <w:bCs/>
                <w:sz w:val="18"/>
                <w:szCs w:val="18"/>
                <w:lang w:val="es-ES_tradnl"/>
              </w:rPr>
              <w:t>Total general</w:t>
            </w:r>
          </w:p>
        </w:tc>
        <w:tc>
          <w:tcPr>
            <w:tcW w:w="1922" w:type="dxa"/>
            <w:tcBorders>
              <w:top w:val="single" w:sz="4" w:space="0" w:color="auto"/>
              <w:bottom w:val="single" w:sz="12" w:space="0" w:color="auto"/>
              <w:right w:val="dotted" w:sz="4" w:space="0" w:color="auto"/>
            </w:tcBorders>
          </w:tcPr>
          <w:p w14:paraId="3B2642BF" w14:textId="2154B544"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227</w:t>
            </w:r>
            <w:r w:rsidR="008F74E7" w:rsidRPr="00DB5635">
              <w:rPr>
                <w:b/>
                <w:bCs/>
                <w:sz w:val="18"/>
                <w:szCs w:val="18"/>
                <w:lang w:val="es-ES_tradnl"/>
              </w:rPr>
              <w:t> </w:t>
            </w:r>
            <w:r w:rsidRPr="00DB5635">
              <w:rPr>
                <w:b/>
                <w:bCs/>
                <w:sz w:val="18"/>
                <w:szCs w:val="18"/>
                <w:lang w:val="es-ES_tradnl"/>
              </w:rPr>
              <w:t>991</w:t>
            </w:r>
          </w:p>
        </w:tc>
        <w:tc>
          <w:tcPr>
            <w:tcW w:w="1923" w:type="dxa"/>
            <w:tcBorders>
              <w:top w:val="single" w:sz="4" w:space="0" w:color="auto"/>
              <w:left w:val="dotted" w:sz="4" w:space="0" w:color="auto"/>
              <w:bottom w:val="single" w:sz="12" w:space="0" w:color="auto"/>
            </w:tcBorders>
            <w:shd w:val="clear" w:color="auto" w:fill="auto"/>
            <w:noWrap/>
          </w:tcPr>
          <w:p w14:paraId="45DB5FE5" w14:textId="6C31778D" w:rsidR="00183C35" w:rsidRPr="00DB5635" w:rsidRDefault="00183C35" w:rsidP="00174DCA">
            <w:pPr>
              <w:pStyle w:val="Normal-pool"/>
              <w:spacing w:before="40" w:after="40"/>
              <w:jc w:val="right"/>
              <w:rPr>
                <w:b/>
                <w:bCs/>
                <w:sz w:val="18"/>
                <w:szCs w:val="18"/>
                <w:lang w:val="es-ES_tradnl"/>
              </w:rPr>
            </w:pPr>
            <w:r w:rsidRPr="00DB5635">
              <w:rPr>
                <w:b/>
                <w:bCs/>
                <w:sz w:val="18"/>
                <w:szCs w:val="18"/>
                <w:lang w:val="es-ES_tradnl"/>
              </w:rPr>
              <w:t>270</w:t>
            </w:r>
            <w:r w:rsidR="008F74E7" w:rsidRPr="00DB5635">
              <w:rPr>
                <w:b/>
                <w:bCs/>
                <w:sz w:val="18"/>
                <w:szCs w:val="18"/>
                <w:lang w:val="es-ES_tradnl"/>
              </w:rPr>
              <w:t> </w:t>
            </w:r>
            <w:r w:rsidRPr="00DB5635">
              <w:rPr>
                <w:b/>
                <w:bCs/>
                <w:sz w:val="18"/>
                <w:szCs w:val="18"/>
                <w:lang w:val="es-ES_tradnl"/>
              </w:rPr>
              <w:t>000</w:t>
            </w:r>
          </w:p>
        </w:tc>
      </w:tr>
    </w:tbl>
    <w:p w14:paraId="2A831FA0" w14:textId="77777777" w:rsidR="00BD6E6D" w:rsidRPr="00DB5635" w:rsidRDefault="00BD6E6D" w:rsidP="00174DCA">
      <w:pPr>
        <w:pStyle w:val="Normal-pool"/>
        <w:rPr>
          <w:lang w:val="es-ES_tradnl"/>
        </w:rPr>
      </w:pPr>
    </w:p>
    <w:p w14:paraId="0360F76C" w14:textId="77777777" w:rsidR="00BD6E6D" w:rsidRPr="00DB5635" w:rsidRDefault="00BD6E6D" w:rsidP="00174DCA">
      <w:pPr>
        <w:pStyle w:val="Normal-pool"/>
        <w:rPr>
          <w:lang w:val="es-ES_tradnl"/>
        </w:rPr>
      </w:pPr>
      <w:r w:rsidRPr="00DB5635">
        <w:rPr>
          <w:lang w:val="es-ES_tradnl"/>
        </w:rPr>
        <w:br w:type="page"/>
      </w:r>
    </w:p>
    <w:p w14:paraId="3A00A9D9" w14:textId="77777777" w:rsidR="000B269A" w:rsidRPr="00DB5635" w:rsidRDefault="00863F6A" w:rsidP="00174DCA">
      <w:pPr>
        <w:pStyle w:val="ZZAnxheader"/>
        <w:rPr>
          <w:lang w:val="es-ES_tradnl"/>
        </w:rPr>
      </w:pPr>
      <w:bookmarkStart w:id="38" w:name="_Toc22825254"/>
      <w:r w:rsidRPr="00DB5635">
        <w:rPr>
          <w:lang w:val="es-ES_tradnl"/>
        </w:rPr>
        <w:t>Anexo III</w:t>
      </w:r>
      <w:bookmarkEnd w:id="38"/>
    </w:p>
    <w:p w14:paraId="4680CBD7" w14:textId="457D38C9" w:rsidR="00863F6A" w:rsidRPr="00DB5635" w:rsidRDefault="00863F6A" w:rsidP="00174DCA">
      <w:pPr>
        <w:pStyle w:val="ZZAnxtitle"/>
        <w:rPr>
          <w:lang w:val="es-ES_tradnl"/>
        </w:rPr>
      </w:pPr>
      <w:bookmarkStart w:id="39" w:name="_Toc21073450"/>
      <w:r w:rsidRPr="00DB5635">
        <w:rPr>
          <w:lang w:val="es-ES_tradnl"/>
        </w:rPr>
        <w:t>Servicios administrativos del PNUMA en apoyo del Convenio de</w:t>
      </w:r>
      <w:r w:rsidR="00B013AF" w:rsidRPr="00DB5635">
        <w:rPr>
          <w:lang w:val="es-ES_tradnl"/>
        </w:rPr>
        <w:t> </w:t>
      </w:r>
      <w:r w:rsidRPr="00DB5635">
        <w:rPr>
          <w:lang w:val="es-ES_tradnl"/>
        </w:rPr>
        <w:t>Minamata</w:t>
      </w:r>
      <w:bookmarkEnd w:id="39"/>
    </w:p>
    <w:p w14:paraId="5618C10F" w14:textId="09D6E89E" w:rsidR="00863F6A" w:rsidRPr="00DB5635" w:rsidRDefault="00CE662B" w:rsidP="00B538A9">
      <w:pPr>
        <w:pStyle w:val="CH2"/>
        <w:rPr>
          <w:bCs/>
          <w:lang w:val="es-ES_tradnl"/>
        </w:rPr>
      </w:pPr>
      <w:r w:rsidRPr="00DB5635">
        <w:rPr>
          <w:lang w:val="es-ES_tradnl"/>
        </w:rPr>
        <w:tab/>
      </w:r>
      <w:r w:rsidR="00B538A9" w:rsidRPr="00DB5635">
        <w:rPr>
          <w:lang w:val="es-ES_tradnl"/>
        </w:rPr>
        <w:t>A.</w:t>
      </w:r>
      <w:r w:rsidR="00B538A9" w:rsidRPr="00DB5635">
        <w:rPr>
          <w:lang w:val="es-ES_tradnl"/>
        </w:rPr>
        <w:tab/>
      </w:r>
      <w:r w:rsidR="00B538A9" w:rsidRPr="00DB5635">
        <w:rPr>
          <w:bCs/>
          <w:lang w:val="es-ES_tradnl"/>
        </w:rPr>
        <w:t>Políticas, directrices y procedimientos</w:t>
      </w:r>
    </w:p>
    <w:p w14:paraId="0EB34102" w14:textId="535C960E" w:rsidR="00863F6A" w:rsidRPr="00DB5635" w:rsidRDefault="00863F6A" w:rsidP="00421D8E">
      <w:pPr>
        <w:pStyle w:val="Normalnumber"/>
        <w:numPr>
          <w:ilvl w:val="0"/>
          <w:numId w:val="7"/>
        </w:numPr>
        <w:tabs>
          <w:tab w:val="clear" w:pos="597"/>
          <w:tab w:val="clear" w:pos="624"/>
        </w:tabs>
        <w:ind w:left="1247"/>
        <w:rPr>
          <w:lang w:val="es-ES_tradnl"/>
        </w:rPr>
      </w:pPr>
      <w:r w:rsidRPr="00DB5635">
        <w:rPr>
          <w:lang w:val="es-ES_tradnl"/>
        </w:rPr>
        <w:t xml:space="preserve">Todas las políticas relativas a los arreglos administrativos se rigen por las resoluciones de la Asamblea General de las </w:t>
      </w:r>
      <w:r w:rsidR="00A66967" w:rsidRPr="00DB5635">
        <w:rPr>
          <w:lang w:val="es-ES_tradnl"/>
        </w:rPr>
        <w:t>Naciones Unidas</w:t>
      </w:r>
      <w:r w:rsidRPr="00DB5635">
        <w:rPr>
          <w:lang w:val="es-ES_tradnl"/>
        </w:rPr>
        <w:t xml:space="preserve"> y del órgano rector del Programa de las </w:t>
      </w:r>
      <w:r w:rsidR="00A66967" w:rsidRPr="00DB5635">
        <w:rPr>
          <w:lang w:val="es-ES_tradnl"/>
        </w:rPr>
        <w:t>Naciones Unidas</w:t>
      </w:r>
      <w:r w:rsidRPr="00DB5635">
        <w:rPr>
          <w:lang w:val="es-ES_tradnl"/>
        </w:rPr>
        <w:t xml:space="preserve"> para el Medio Ambiente (PNUMA). El Reglamento Financiero y la Reglamentación Financiera Detallada de las </w:t>
      </w:r>
      <w:r w:rsidR="00A66967" w:rsidRPr="00DB5635">
        <w:rPr>
          <w:lang w:val="es-ES_tradnl"/>
        </w:rPr>
        <w:t>Naciones Unidas</w:t>
      </w:r>
      <w:r w:rsidRPr="00DB5635">
        <w:rPr>
          <w:lang w:val="es-ES_tradnl"/>
        </w:rPr>
        <w:t xml:space="preserve">, complementados con los procedimientos financieros y las normas de los acuerdos ambientales multilaterales, velan por el uso eficaz y eficiente de los recursos, de conformidad con los objetivos para los cuales se conceden los fondos y dentro de los límites autorizados y los ingresos disponibles. El Reglamento Financiero y la Reglamentación Financiera Detallada de las </w:t>
      </w:r>
      <w:r w:rsidR="00A66967" w:rsidRPr="00DB5635">
        <w:rPr>
          <w:lang w:val="es-ES_tradnl"/>
        </w:rPr>
        <w:t>Naciones Unidas</w:t>
      </w:r>
      <w:r w:rsidRPr="00DB5635">
        <w:rPr>
          <w:lang w:val="es-ES_tradnl"/>
        </w:rPr>
        <w:t xml:space="preserve"> también regulan las actividades de adquisición de la organización.</w:t>
      </w:r>
    </w:p>
    <w:p w14:paraId="0DD19410" w14:textId="3D38C5DE" w:rsidR="00863F6A" w:rsidRPr="00DB5635" w:rsidRDefault="004F09E7" w:rsidP="00421D8E">
      <w:pPr>
        <w:pStyle w:val="Normalnumber"/>
        <w:numPr>
          <w:ilvl w:val="0"/>
          <w:numId w:val="7"/>
        </w:numPr>
        <w:ind w:left="1247"/>
        <w:rPr>
          <w:lang w:val="es-ES_tradnl"/>
        </w:rPr>
      </w:pPr>
      <w:r w:rsidRPr="00DB5635">
        <w:rPr>
          <w:lang w:val="es-ES_tradnl"/>
        </w:rPr>
        <w:t xml:space="preserve">El Estatuto y Reglamento del Personal de las </w:t>
      </w:r>
      <w:r w:rsidR="00A66967" w:rsidRPr="00DB5635">
        <w:rPr>
          <w:lang w:val="es-ES_tradnl"/>
        </w:rPr>
        <w:t>Naciones Unidas</w:t>
      </w:r>
      <w:r w:rsidRPr="00DB5635">
        <w:rPr>
          <w:lang w:val="es-ES_tradnl"/>
        </w:rPr>
        <w:t xml:space="preserve"> establecen el marco dentro del</w:t>
      </w:r>
      <w:r w:rsidR="008F74E7" w:rsidRPr="00DB5635">
        <w:rPr>
          <w:lang w:val="es-ES_tradnl"/>
        </w:rPr>
        <w:t> </w:t>
      </w:r>
      <w:r w:rsidRPr="00DB5635">
        <w:rPr>
          <w:lang w:val="es-ES_tradnl"/>
        </w:rPr>
        <w:t xml:space="preserve">cual se contrata y administra el personal del PNUMA, incluidas las diversas categorías de funcionarios, consultores y contratistas independientes. Las políticas de la Secretaría de las </w:t>
      </w:r>
      <w:r w:rsidR="00A66967" w:rsidRPr="00DB5635">
        <w:rPr>
          <w:lang w:val="es-ES_tradnl"/>
        </w:rPr>
        <w:t>Naciones Unidas</w:t>
      </w:r>
      <w:r w:rsidRPr="00DB5635">
        <w:rPr>
          <w:lang w:val="es-ES_tradnl"/>
        </w:rPr>
        <w:t xml:space="preserve"> complementan y detallan la aplicación de las resoluciones y los reglamentos. Estas</w:t>
      </w:r>
      <w:r w:rsidR="008F74E7" w:rsidRPr="00DB5635">
        <w:rPr>
          <w:lang w:val="es-ES_tradnl"/>
        </w:rPr>
        <w:t> </w:t>
      </w:r>
      <w:r w:rsidRPr="00DB5635">
        <w:rPr>
          <w:lang w:val="es-ES_tradnl"/>
        </w:rPr>
        <w:t xml:space="preserve">políticas se plasman en publicaciones administrativas de las </w:t>
      </w:r>
      <w:r w:rsidR="00A66967" w:rsidRPr="00DB5635">
        <w:rPr>
          <w:lang w:val="es-ES_tradnl"/>
        </w:rPr>
        <w:t>Naciones Unidas</w:t>
      </w:r>
      <w:r w:rsidRPr="00DB5635">
        <w:rPr>
          <w:lang w:val="es-ES_tradnl"/>
        </w:rPr>
        <w:t xml:space="preserve">, como boletines publicados por el Secretario General, instrucciones administrativas y circulares informativas, que después pueden reinterpretarse y traducirse en directrices y procedimientos para </w:t>
      </w:r>
      <w:r w:rsidR="004A2D9B" w:rsidRPr="00DB5635">
        <w:rPr>
          <w:lang w:val="es-ES_tradnl"/>
        </w:rPr>
        <w:t>regular la actividad</w:t>
      </w:r>
      <w:r w:rsidR="008F74E7" w:rsidRPr="00DB5635">
        <w:rPr>
          <w:lang w:val="es-ES_tradnl"/>
        </w:rPr>
        <w:t> </w:t>
      </w:r>
      <w:r w:rsidR="004A2D9B" w:rsidRPr="00DB5635">
        <w:rPr>
          <w:lang w:val="es-ES_tradnl"/>
        </w:rPr>
        <w:t>diaria.</w:t>
      </w:r>
    </w:p>
    <w:p w14:paraId="3C29F557" w14:textId="14A6B58A" w:rsidR="00863F6A" w:rsidRPr="00DB5635" w:rsidRDefault="00CE662B" w:rsidP="00B538A9">
      <w:pPr>
        <w:pStyle w:val="CH2"/>
        <w:rPr>
          <w:lang w:val="es-ES_tradnl"/>
        </w:rPr>
      </w:pPr>
      <w:r w:rsidRPr="00DB5635">
        <w:rPr>
          <w:lang w:val="es-ES_tradnl"/>
        </w:rPr>
        <w:tab/>
      </w:r>
      <w:r w:rsidR="00B538A9" w:rsidRPr="00DB5635">
        <w:rPr>
          <w:lang w:val="es-ES_tradnl"/>
        </w:rPr>
        <w:t>B.</w:t>
      </w:r>
      <w:r w:rsidR="00B538A9" w:rsidRPr="00DB5635">
        <w:rPr>
          <w:lang w:val="es-ES_tradnl"/>
        </w:rPr>
        <w:tab/>
      </w:r>
      <w:r w:rsidR="00B538A9" w:rsidRPr="00DB5635">
        <w:rPr>
          <w:bCs/>
          <w:lang w:val="es-ES_tradnl"/>
        </w:rPr>
        <w:t>Recursos humanos</w:t>
      </w:r>
    </w:p>
    <w:p w14:paraId="30B5E80B" w14:textId="77777777" w:rsidR="00863F6A" w:rsidRPr="00DB5635" w:rsidRDefault="00863F6A" w:rsidP="00421D8E">
      <w:pPr>
        <w:pStyle w:val="Normalnumber"/>
        <w:numPr>
          <w:ilvl w:val="0"/>
          <w:numId w:val="7"/>
        </w:numPr>
        <w:ind w:left="1247"/>
        <w:rPr>
          <w:lang w:val="es-ES_tradnl"/>
        </w:rPr>
      </w:pPr>
      <w:r w:rsidRPr="00DB5635">
        <w:rPr>
          <w:lang w:val="es-ES_tradnl"/>
        </w:rPr>
        <w:t>Contratación, administración del personal, capacitación y gestión de la actuación profesional.</w:t>
      </w:r>
    </w:p>
    <w:p w14:paraId="4D93B4E1" w14:textId="323C8ACB" w:rsidR="00863F6A" w:rsidRPr="00DB5635" w:rsidRDefault="00CE662B" w:rsidP="008F74E7">
      <w:pPr>
        <w:pStyle w:val="Normalnumber"/>
        <w:numPr>
          <w:ilvl w:val="0"/>
          <w:numId w:val="0"/>
        </w:numPr>
        <w:tabs>
          <w:tab w:val="clear" w:pos="624"/>
        </w:tabs>
        <w:ind w:left="1247" w:firstLine="624"/>
        <w:rPr>
          <w:lang w:val="es-ES_tradnl"/>
        </w:rPr>
      </w:pPr>
      <w:r w:rsidRPr="00DB5635">
        <w:rPr>
          <w:iCs/>
          <w:lang w:val="es-ES_tradnl"/>
        </w:rPr>
        <w:t>a)</w:t>
      </w:r>
      <w:r w:rsidRPr="00DB5635">
        <w:rPr>
          <w:i/>
          <w:iCs/>
          <w:lang w:val="es-ES_tradnl"/>
        </w:rPr>
        <w:tab/>
      </w:r>
      <w:r w:rsidR="00863F6A" w:rsidRPr="00DB5635">
        <w:rPr>
          <w:i/>
          <w:iCs/>
          <w:lang w:val="es-ES_tradnl"/>
        </w:rPr>
        <w:t>Adquisición y gestión de talentos.</w:t>
      </w:r>
      <w:r w:rsidR="00863F6A" w:rsidRPr="00DB5635">
        <w:rPr>
          <w:lang w:val="es-ES_tradnl"/>
        </w:rPr>
        <w:t xml:space="preserve"> Elaboración de planes de dotación de personal y realización de las actividades de contratación conexas, a saber, clasificación, </w:t>
      </w:r>
      <w:r w:rsidR="005C2800" w:rsidRPr="00DB5635">
        <w:rPr>
          <w:lang w:val="es-ES_tradnl"/>
        </w:rPr>
        <w:t xml:space="preserve">publicación de </w:t>
      </w:r>
      <w:r w:rsidR="00863F6A" w:rsidRPr="00DB5635">
        <w:rPr>
          <w:lang w:val="es-ES_tradnl"/>
        </w:rPr>
        <w:t>anuncios de vacantes, valoraciones, evaluaciones, examen y selección.</w:t>
      </w:r>
    </w:p>
    <w:p w14:paraId="368EEF22" w14:textId="423D75C8" w:rsidR="00863F6A" w:rsidRPr="00DB5635" w:rsidRDefault="00CE662B" w:rsidP="008F74E7">
      <w:pPr>
        <w:pStyle w:val="Normalnumber"/>
        <w:numPr>
          <w:ilvl w:val="0"/>
          <w:numId w:val="0"/>
        </w:numPr>
        <w:tabs>
          <w:tab w:val="clear" w:pos="624"/>
        </w:tabs>
        <w:ind w:left="1247" w:firstLine="624"/>
        <w:rPr>
          <w:lang w:val="es-ES_tradnl"/>
        </w:rPr>
      </w:pPr>
      <w:r w:rsidRPr="00DB5635">
        <w:rPr>
          <w:iCs/>
          <w:lang w:val="es-ES_tradnl"/>
        </w:rPr>
        <w:t>b)</w:t>
      </w:r>
      <w:r w:rsidRPr="00DB5635">
        <w:rPr>
          <w:i/>
          <w:iCs/>
          <w:lang w:val="es-ES_tradnl"/>
        </w:rPr>
        <w:tab/>
      </w:r>
      <w:r w:rsidR="00863F6A" w:rsidRPr="00DB5635">
        <w:rPr>
          <w:i/>
          <w:iCs/>
          <w:lang w:val="es-ES_tradnl"/>
        </w:rPr>
        <w:t>Administración del personal.</w:t>
      </w:r>
      <w:r w:rsidR="00863F6A" w:rsidRPr="00DB5635">
        <w:rPr>
          <w:lang w:val="es-ES_tradnl"/>
        </w:rPr>
        <w:t xml:space="preserve"> Incorporación, administración de contratos, tramitación de prestaciones y derechos; examen y actualización de la situación de la</w:t>
      </w:r>
      <w:r w:rsidR="005C2800" w:rsidRPr="00DB5635">
        <w:rPr>
          <w:lang w:val="es-ES_tradnl"/>
        </w:rPr>
        <w:t>s prestaciones</w:t>
      </w:r>
      <w:r w:rsidR="00863F6A" w:rsidRPr="00DB5635">
        <w:rPr>
          <w:lang w:val="es-ES_tradnl"/>
        </w:rPr>
        <w:t xml:space="preserve"> familiar</w:t>
      </w:r>
      <w:r w:rsidR="005C2800" w:rsidRPr="00DB5635">
        <w:rPr>
          <w:lang w:val="es-ES_tradnl"/>
        </w:rPr>
        <w:t>es</w:t>
      </w:r>
      <w:r w:rsidR="00863F6A" w:rsidRPr="00DB5635">
        <w:rPr>
          <w:lang w:val="es-ES_tradnl"/>
        </w:rPr>
        <w:t xml:space="preserve"> y los</w:t>
      </w:r>
      <w:r w:rsidR="00C52E4D">
        <w:rPr>
          <w:lang w:val="es-ES_tradnl"/>
        </w:rPr>
        <w:t> </w:t>
      </w:r>
      <w:r w:rsidR="00863F6A" w:rsidRPr="00DB5635">
        <w:rPr>
          <w:lang w:val="es-ES_tradnl"/>
        </w:rPr>
        <w:t xml:space="preserve">registros de las licencias; traslados laterales, separación del servicio y funciones conexas; </w:t>
      </w:r>
      <w:r w:rsidR="00A34373" w:rsidRPr="00DB5635">
        <w:rPr>
          <w:lang w:val="es-ES_tradnl"/>
        </w:rPr>
        <w:t xml:space="preserve">y </w:t>
      </w:r>
      <w:r w:rsidR="00863F6A" w:rsidRPr="00DB5635">
        <w:rPr>
          <w:lang w:val="es-ES_tradnl"/>
        </w:rPr>
        <w:t>administración de las prestaciones por terminación del servicio, incluidas las deducciones de la caja de pensión y el seguro médico posterior a la separación del servicio.</w:t>
      </w:r>
    </w:p>
    <w:p w14:paraId="2478CB90" w14:textId="7B62B1C4" w:rsidR="00863F6A" w:rsidRPr="00DB5635" w:rsidRDefault="00CE662B" w:rsidP="008F74E7">
      <w:pPr>
        <w:pStyle w:val="Normalnumber"/>
        <w:numPr>
          <w:ilvl w:val="0"/>
          <w:numId w:val="0"/>
        </w:numPr>
        <w:tabs>
          <w:tab w:val="clear" w:pos="624"/>
        </w:tabs>
        <w:ind w:left="1247" w:firstLine="624"/>
        <w:rPr>
          <w:lang w:val="es-ES_tradnl"/>
        </w:rPr>
      </w:pPr>
      <w:r w:rsidRPr="00DB5635">
        <w:rPr>
          <w:iCs/>
          <w:lang w:val="es-ES_tradnl"/>
        </w:rPr>
        <w:t>c)</w:t>
      </w:r>
      <w:r w:rsidRPr="00DB5635">
        <w:rPr>
          <w:i/>
          <w:iCs/>
          <w:lang w:val="es-ES_tradnl"/>
        </w:rPr>
        <w:tab/>
      </w:r>
      <w:r w:rsidR="00863F6A" w:rsidRPr="00DB5635">
        <w:rPr>
          <w:i/>
          <w:iCs/>
          <w:lang w:val="es-ES_tradnl"/>
        </w:rPr>
        <w:t>Formación y perfeccionamiento del personal</w:t>
      </w:r>
      <w:r w:rsidR="00863F6A" w:rsidRPr="00DB5635">
        <w:rPr>
          <w:lang w:val="es-ES_tradnl"/>
        </w:rPr>
        <w:t>. Formación obligatoria del personal en cuestiones como la seguridad, la ética y la integridad, las técnicas de entrevista basadas en las competencias, el programa de desarrollo de la capacidad de gestión y las funciones conexas;</w:t>
      </w:r>
      <w:r w:rsidR="00A34373" w:rsidRPr="00DB5635">
        <w:rPr>
          <w:lang w:val="es-ES_tradnl"/>
        </w:rPr>
        <w:t xml:space="preserve"> y</w:t>
      </w:r>
      <w:r w:rsidR="00863F6A" w:rsidRPr="00DB5635">
        <w:rPr>
          <w:lang w:val="es-ES_tradnl"/>
        </w:rPr>
        <w:t xml:space="preserve"> determinación de las necesidades en materia de creación de capacidad para ofrecer oportunidades de aprendizaje continuo con miras a la creación de una fuerza de trabajo polivalente y la promoción de las perspectivas de carrera del personal.</w:t>
      </w:r>
    </w:p>
    <w:p w14:paraId="49260F7B" w14:textId="4DD40D1C" w:rsidR="00863F6A" w:rsidRPr="00DB5635" w:rsidRDefault="00CF52E3" w:rsidP="008F74E7">
      <w:pPr>
        <w:pStyle w:val="Normalnumber"/>
        <w:numPr>
          <w:ilvl w:val="0"/>
          <w:numId w:val="0"/>
        </w:numPr>
        <w:tabs>
          <w:tab w:val="clear" w:pos="624"/>
        </w:tabs>
        <w:ind w:left="1247" w:firstLine="624"/>
        <w:rPr>
          <w:lang w:val="es-ES_tradnl"/>
        </w:rPr>
      </w:pPr>
      <w:r w:rsidRPr="00DB5635">
        <w:rPr>
          <w:iCs/>
          <w:lang w:val="es-ES_tradnl"/>
        </w:rPr>
        <w:t>d)</w:t>
      </w:r>
      <w:r w:rsidRPr="00DB5635">
        <w:rPr>
          <w:iCs/>
          <w:lang w:val="es-ES_tradnl"/>
        </w:rPr>
        <w:tab/>
      </w:r>
      <w:r w:rsidR="00863F6A" w:rsidRPr="00DB5635">
        <w:rPr>
          <w:i/>
          <w:iCs/>
          <w:lang w:val="es-ES_tradnl"/>
        </w:rPr>
        <w:t>Gestión de la actuación profesional</w:t>
      </w:r>
      <w:r w:rsidR="00863F6A" w:rsidRPr="00DB5635">
        <w:rPr>
          <w:lang w:val="es-ES_tradnl"/>
        </w:rPr>
        <w:t>. Imposición y supervisión del cumplimi</w:t>
      </w:r>
      <w:r w:rsidR="00A34373" w:rsidRPr="00DB5635">
        <w:rPr>
          <w:lang w:val="es-ES_tradnl"/>
        </w:rPr>
        <w:t>ento de las</w:t>
      </w:r>
      <w:r w:rsidR="00C52E4D">
        <w:rPr>
          <w:lang w:val="es-ES_tradnl"/>
        </w:rPr>
        <w:t> </w:t>
      </w:r>
      <w:r w:rsidR="00A34373" w:rsidRPr="00DB5635">
        <w:rPr>
          <w:lang w:val="es-ES_tradnl"/>
        </w:rPr>
        <w:t>normas mediante políticas, procesos e</w:t>
      </w:r>
      <w:r w:rsidR="00863F6A" w:rsidRPr="00DB5635">
        <w:rPr>
          <w:lang w:val="es-ES_tradnl"/>
        </w:rPr>
        <w:t xml:space="preserve"> instrumentos (como Inspira) de gestión de la actuación profesional para premiar, reconocer y retener al personal y solucionar los casos de desempeño insatisfactorio; apoyo a la orientación de los procesos de refutación y capacitación en redacción de planes de trabajo y evaluaciones de la actuación profesional; </w:t>
      </w:r>
      <w:r w:rsidR="00A34373" w:rsidRPr="00DB5635">
        <w:rPr>
          <w:lang w:val="es-ES_tradnl"/>
        </w:rPr>
        <w:t xml:space="preserve">y </w:t>
      </w:r>
      <w:r w:rsidR="00863F6A" w:rsidRPr="00DB5635">
        <w:rPr>
          <w:lang w:val="es-ES_tradnl"/>
        </w:rPr>
        <w:t>gestión del programa de declaración de la situación financiera.</w:t>
      </w:r>
    </w:p>
    <w:p w14:paraId="542CB60D" w14:textId="1A41BE03" w:rsidR="00863F6A" w:rsidRPr="00DB5635" w:rsidRDefault="00CE662B" w:rsidP="00B538A9">
      <w:pPr>
        <w:pStyle w:val="CH2"/>
        <w:rPr>
          <w:lang w:val="es-ES_tradnl"/>
        </w:rPr>
      </w:pPr>
      <w:r w:rsidRPr="00DB5635">
        <w:rPr>
          <w:lang w:val="es-ES_tradnl"/>
        </w:rPr>
        <w:tab/>
      </w:r>
      <w:r w:rsidR="00B538A9" w:rsidRPr="00DB5635">
        <w:rPr>
          <w:lang w:val="es-ES_tradnl"/>
        </w:rPr>
        <w:t>C.</w:t>
      </w:r>
      <w:r w:rsidR="00B538A9" w:rsidRPr="00DB5635">
        <w:rPr>
          <w:lang w:val="es-ES_tradnl"/>
        </w:rPr>
        <w:tab/>
      </w:r>
      <w:r w:rsidR="00B538A9" w:rsidRPr="00DB5635">
        <w:rPr>
          <w:bCs/>
          <w:lang w:val="es-ES_tradnl"/>
        </w:rPr>
        <w:t>Finanzas</w:t>
      </w:r>
    </w:p>
    <w:p w14:paraId="5250FECB" w14:textId="4B8681CB" w:rsidR="00863F6A" w:rsidRPr="00DB5635" w:rsidRDefault="00863F6A" w:rsidP="00421D8E">
      <w:pPr>
        <w:pStyle w:val="Normalnumber"/>
        <w:numPr>
          <w:ilvl w:val="0"/>
          <w:numId w:val="7"/>
        </w:numPr>
        <w:ind w:left="1247"/>
        <w:rPr>
          <w:lang w:val="es-ES_tradnl"/>
        </w:rPr>
      </w:pPr>
      <w:r w:rsidRPr="00DB5635">
        <w:rPr>
          <w:i/>
          <w:iCs/>
          <w:lang w:val="es-ES_tradnl"/>
        </w:rPr>
        <w:t>Presupuestación y gestión de los fondos</w:t>
      </w:r>
      <w:r w:rsidRPr="00DB5635">
        <w:rPr>
          <w:lang w:val="es-ES_tradnl"/>
        </w:rPr>
        <w:t>. Examen de los documentos presupuestarios presentados a los órganos rectores; asesoramiento al perso</w:t>
      </w:r>
      <w:r w:rsidR="00A34373" w:rsidRPr="00DB5635">
        <w:rPr>
          <w:lang w:val="es-ES_tradnl"/>
        </w:rPr>
        <w:t xml:space="preserve">nal, la </w:t>
      </w:r>
      <w:r w:rsidRPr="00DB5635">
        <w:rPr>
          <w:lang w:val="es-ES_tradnl"/>
        </w:rPr>
        <w:t xml:space="preserve">administración y los órganos rectores sobre el uso de los recursos financieros; </w:t>
      </w:r>
      <w:r w:rsidR="00A34373" w:rsidRPr="00DB5635">
        <w:rPr>
          <w:lang w:val="es-ES_tradnl"/>
        </w:rPr>
        <w:t xml:space="preserve">y </w:t>
      </w:r>
      <w:r w:rsidRPr="00DB5635">
        <w:rPr>
          <w:lang w:val="es-ES_tradnl"/>
        </w:rPr>
        <w:t>creación, mantenimiento y cierre de los fondos fiduciarios.</w:t>
      </w:r>
    </w:p>
    <w:p w14:paraId="084B8512" w14:textId="6A5FC0E6" w:rsidR="00863F6A" w:rsidRPr="00DB5635" w:rsidRDefault="00863F6A" w:rsidP="00421D8E">
      <w:pPr>
        <w:pStyle w:val="Normalnumber"/>
        <w:numPr>
          <w:ilvl w:val="0"/>
          <w:numId w:val="7"/>
        </w:numPr>
        <w:ind w:left="1247"/>
        <w:rPr>
          <w:lang w:val="es-ES_tradnl"/>
        </w:rPr>
      </w:pPr>
      <w:r w:rsidRPr="00DB5635">
        <w:rPr>
          <w:i/>
          <w:iCs/>
          <w:lang w:val="es-ES_tradnl"/>
        </w:rPr>
        <w:t>Contabilidad general y estados financieros</w:t>
      </w:r>
      <w:r w:rsidRPr="00DB5635">
        <w:rPr>
          <w:lang w:val="es-ES_tradnl"/>
        </w:rPr>
        <w:t xml:space="preserve">. Firma de estados financieros consolidados (Dirección Ejecutiva del PNUMA); firma de extractos de los estados financieros consolidados (funcionarios de la Oficina de las </w:t>
      </w:r>
      <w:r w:rsidR="00A66967" w:rsidRPr="00DB5635">
        <w:rPr>
          <w:lang w:val="es-ES_tradnl"/>
        </w:rPr>
        <w:t>Naciones Unidas</w:t>
      </w:r>
      <w:r w:rsidRPr="00DB5635">
        <w:rPr>
          <w:lang w:val="es-ES_tradnl"/>
        </w:rPr>
        <w:t xml:space="preserve"> en Nairobi); mantenimiento de cuentas y preparación de estados financieros, incluida la cuenta de apoyo a los programas; tramitación de asientos y ajustes contables, incluido</w:t>
      </w:r>
      <w:r w:rsidR="00A34373" w:rsidRPr="00DB5635">
        <w:rPr>
          <w:lang w:val="es-ES_tradnl"/>
        </w:rPr>
        <w:t>s</w:t>
      </w:r>
      <w:r w:rsidRPr="00DB5635">
        <w:rPr>
          <w:lang w:val="es-ES_tradnl"/>
        </w:rPr>
        <w:t xml:space="preserve"> los reembolsos de los donantes; pasivos devengados al cierre del ejercicio; presentación de informes obligatorios</w:t>
      </w:r>
      <w:r w:rsidR="00A34373" w:rsidRPr="00DB5635">
        <w:rPr>
          <w:lang w:val="es-ES_tradnl"/>
        </w:rPr>
        <w:t>,</w:t>
      </w:r>
      <w:r w:rsidRPr="00DB5635">
        <w:rPr>
          <w:lang w:val="es-ES_tradnl"/>
        </w:rPr>
        <w:t xml:space="preserve"> y prestación de apoyo a la auditoría externa anual.</w:t>
      </w:r>
    </w:p>
    <w:p w14:paraId="543CB66A" w14:textId="77777777" w:rsidR="00863F6A" w:rsidRPr="00DB5635" w:rsidRDefault="00863F6A" w:rsidP="00421D8E">
      <w:pPr>
        <w:pStyle w:val="Normalnumber"/>
        <w:numPr>
          <w:ilvl w:val="0"/>
          <w:numId w:val="7"/>
        </w:numPr>
        <w:ind w:left="1247"/>
        <w:rPr>
          <w:lang w:val="es-ES_tradnl"/>
        </w:rPr>
      </w:pPr>
      <w:r w:rsidRPr="00DB5635">
        <w:rPr>
          <w:i/>
          <w:iCs/>
          <w:lang w:val="es-ES_tradnl"/>
        </w:rPr>
        <w:t>Pagos y gastos</w:t>
      </w:r>
      <w:r w:rsidRPr="00DB5635">
        <w:rPr>
          <w:lang w:val="es-ES_tradnl"/>
        </w:rPr>
        <w:t>. Tramitación de pagos a asociados en la ejecución, consultores, proveedores y participantes en reuniones; supervisión de pagos anticipados y registro de los gastos de los informes financieros presentados por asociados en la ejecución.</w:t>
      </w:r>
    </w:p>
    <w:p w14:paraId="382EE729" w14:textId="77777777" w:rsidR="00863F6A" w:rsidRPr="00DB5635" w:rsidRDefault="00863F6A" w:rsidP="00421D8E">
      <w:pPr>
        <w:pStyle w:val="Normalnumber"/>
        <w:numPr>
          <w:ilvl w:val="0"/>
          <w:numId w:val="7"/>
        </w:numPr>
        <w:ind w:left="1247"/>
        <w:rPr>
          <w:lang w:val="es-ES_tradnl"/>
        </w:rPr>
      </w:pPr>
      <w:r w:rsidRPr="00DB5635">
        <w:rPr>
          <w:i/>
          <w:iCs/>
          <w:lang w:val="es-ES_tradnl"/>
        </w:rPr>
        <w:t>Nómina de sueldos</w:t>
      </w:r>
      <w:r w:rsidRPr="00DB5635">
        <w:rPr>
          <w:lang w:val="es-ES_tradnl"/>
        </w:rPr>
        <w:t>. Tramitación del pago de sueldos, prestaciones y anticipos conexos y mantenimiento actualizado de las cuentas de sueldos.</w:t>
      </w:r>
    </w:p>
    <w:p w14:paraId="7A66E3E3" w14:textId="5BE83F17" w:rsidR="00863F6A" w:rsidRPr="00DB5635" w:rsidRDefault="00863F6A" w:rsidP="00421D8E">
      <w:pPr>
        <w:pStyle w:val="Normalnumber"/>
        <w:numPr>
          <w:ilvl w:val="0"/>
          <w:numId w:val="7"/>
        </w:numPr>
        <w:ind w:left="1247"/>
        <w:rPr>
          <w:lang w:val="es-ES_tradnl"/>
        </w:rPr>
      </w:pPr>
      <w:r w:rsidRPr="00DB5635">
        <w:rPr>
          <w:i/>
          <w:iCs/>
          <w:lang w:val="es-ES_tradnl"/>
        </w:rPr>
        <w:t>Contribuciones y gestión del efectivo</w:t>
      </w:r>
      <w:r w:rsidRPr="00DB5635">
        <w:rPr>
          <w:lang w:val="es-ES_tradnl"/>
        </w:rPr>
        <w:t>. Aceptación de contribuciones de las Partes (Dirección</w:t>
      </w:r>
      <w:r w:rsidR="00C52E4D">
        <w:rPr>
          <w:lang w:val="es-ES_tradnl"/>
        </w:rPr>
        <w:t> </w:t>
      </w:r>
      <w:r w:rsidRPr="00DB5635">
        <w:rPr>
          <w:lang w:val="es-ES_tradnl"/>
        </w:rPr>
        <w:t>Ejecutiva del PNUMA); expedición de facturas a las Partes; registro y seguimiento de</w:t>
      </w:r>
      <w:r w:rsidR="00D2700B">
        <w:rPr>
          <w:lang w:val="es-ES_tradnl"/>
        </w:rPr>
        <w:t> </w:t>
      </w:r>
      <w:r w:rsidRPr="00DB5635">
        <w:rPr>
          <w:lang w:val="es-ES_tradnl"/>
        </w:rPr>
        <w:t>las</w:t>
      </w:r>
      <w:r w:rsidR="00C52E4D">
        <w:rPr>
          <w:lang w:val="es-ES_tradnl"/>
        </w:rPr>
        <w:t> </w:t>
      </w:r>
      <w:r w:rsidRPr="00DB5635">
        <w:rPr>
          <w:lang w:val="es-ES_tradnl"/>
        </w:rPr>
        <w:t>contribuciones por recibir y tramitación de las contribuciones tras la recepción de los pagos;</w:t>
      </w:r>
      <w:r w:rsidR="00D2700B">
        <w:rPr>
          <w:lang w:val="es-ES_tradnl"/>
        </w:rPr>
        <w:t> </w:t>
      </w:r>
      <w:r w:rsidR="00A34373" w:rsidRPr="00DB5635">
        <w:rPr>
          <w:lang w:val="es-ES_tradnl"/>
        </w:rPr>
        <w:t>y</w:t>
      </w:r>
      <w:r w:rsidR="00D2700B">
        <w:rPr>
          <w:lang w:val="es-ES_tradnl"/>
        </w:rPr>
        <w:t> </w:t>
      </w:r>
      <w:r w:rsidRPr="00DB5635">
        <w:rPr>
          <w:lang w:val="es-ES_tradnl"/>
        </w:rPr>
        <w:t>conciliación de las cuentas de depósitos aplicadas.</w:t>
      </w:r>
    </w:p>
    <w:p w14:paraId="58416D0E" w14:textId="6C7EA36E" w:rsidR="00863F6A" w:rsidRPr="00DB5635" w:rsidRDefault="00863F6A" w:rsidP="00421D8E">
      <w:pPr>
        <w:pStyle w:val="Normalnumber"/>
        <w:numPr>
          <w:ilvl w:val="0"/>
          <w:numId w:val="7"/>
        </w:numPr>
        <w:ind w:left="1247"/>
        <w:rPr>
          <w:lang w:val="es-ES_tradnl"/>
        </w:rPr>
      </w:pPr>
      <w:r w:rsidRPr="00DB5635">
        <w:rPr>
          <w:i/>
          <w:iCs/>
          <w:lang w:val="es-ES_tradnl"/>
        </w:rPr>
        <w:t>Funciones de tesorería</w:t>
      </w:r>
      <w:r w:rsidRPr="00DB5635">
        <w:rPr>
          <w:lang w:val="es-ES_tradnl"/>
        </w:rPr>
        <w:t xml:space="preserve">. Recepción y desembolso de los fondos; gestión del banco interno y conciliaciones bancarias; mantenimiento de datos bancarios para el personal, los proveedores, los asociados en la ejecución y los consultores; </w:t>
      </w:r>
      <w:r w:rsidR="00A34373" w:rsidRPr="00DB5635">
        <w:rPr>
          <w:lang w:val="es-ES_tradnl"/>
        </w:rPr>
        <w:t xml:space="preserve">e </w:t>
      </w:r>
      <w:r w:rsidRPr="00DB5635">
        <w:rPr>
          <w:lang w:val="es-ES_tradnl"/>
        </w:rPr>
        <w:t xml:space="preserve">inversión de fondos del PNUMA en productos adecuados (tesorería de la Sede de las </w:t>
      </w:r>
      <w:r w:rsidR="00A66967" w:rsidRPr="00DB5635">
        <w:rPr>
          <w:lang w:val="es-ES_tradnl"/>
        </w:rPr>
        <w:t>Naciones Unidas</w:t>
      </w:r>
      <w:r w:rsidRPr="00DB5635">
        <w:rPr>
          <w:lang w:val="es-ES_tradnl"/>
        </w:rPr>
        <w:t>).</w:t>
      </w:r>
    </w:p>
    <w:p w14:paraId="61019A03" w14:textId="77C93662" w:rsidR="00863F6A" w:rsidRPr="00DB5635" w:rsidRDefault="00CE662B" w:rsidP="00B538A9">
      <w:pPr>
        <w:pStyle w:val="CH2"/>
        <w:rPr>
          <w:lang w:val="es-ES_tradnl"/>
        </w:rPr>
      </w:pPr>
      <w:r w:rsidRPr="00DB5635">
        <w:rPr>
          <w:lang w:val="es-ES_tradnl"/>
        </w:rPr>
        <w:tab/>
      </w:r>
      <w:r w:rsidR="00B538A9" w:rsidRPr="00DB5635">
        <w:rPr>
          <w:lang w:val="es-ES_tradnl"/>
        </w:rPr>
        <w:t>D.</w:t>
      </w:r>
      <w:r w:rsidR="00B538A9" w:rsidRPr="00DB5635">
        <w:rPr>
          <w:lang w:val="es-ES_tradnl"/>
        </w:rPr>
        <w:tab/>
      </w:r>
      <w:r w:rsidR="00B538A9" w:rsidRPr="00DB5635">
        <w:rPr>
          <w:bCs/>
          <w:lang w:val="es-ES_tradnl"/>
        </w:rPr>
        <w:t>Supervisión</w:t>
      </w:r>
    </w:p>
    <w:p w14:paraId="157E3C76" w14:textId="77777777" w:rsidR="00863F6A" w:rsidRPr="00DB5635" w:rsidRDefault="00863F6A" w:rsidP="00421D8E">
      <w:pPr>
        <w:pStyle w:val="Normalnumber"/>
        <w:numPr>
          <w:ilvl w:val="0"/>
          <w:numId w:val="7"/>
        </w:numPr>
        <w:ind w:left="1247"/>
        <w:rPr>
          <w:lang w:val="es-ES_tradnl"/>
        </w:rPr>
      </w:pPr>
      <w:r w:rsidRPr="00DB5635">
        <w:rPr>
          <w:lang w:val="es-ES_tradnl"/>
        </w:rPr>
        <w:t>Coordinación de auditorías, investigaciones e inspecciones internas y de auditorías externas.</w:t>
      </w:r>
    </w:p>
    <w:p w14:paraId="26E22667" w14:textId="77777777" w:rsidR="00863F6A" w:rsidRPr="00DB5635" w:rsidRDefault="00863F6A" w:rsidP="00421D8E">
      <w:pPr>
        <w:pStyle w:val="Normalnumber"/>
        <w:numPr>
          <w:ilvl w:val="0"/>
          <w:numId w:val="7"/>
        </w:numPr>
        <w:ind w:left="1247"/>
        <w:rPr>
          <w:lang w:val="es-ES_tradnl"/>
        </w:rPr>
      </w:pPr>
      <w:r w:rsidRPr="00DB5635">
        <w:rPr>
          <w:lang w:val="es-ES_tradnl"/>
        </w:rPr>
        <w:t>Coordinación de auditorías, inspecciones y evaluaciones efectuadas por la Oficina de Servicios de Supervisión Interna.</w:t>
      </w:r>
    </w:p>
    <w:p w14:paraId="4CE80559" w14:textId="4D54729F" w:rsidR="00863F6A" w:rsidRPr="00DB5635" w:rsidRDefault="00CE662B" w:rsidP="00B538A9">
      <w:pPr>
        <w:pStyle w:val="CH2"/>
        <w:rPr>
          <w:lang w:val="es-ES_tradnl"/>
        </w:rPr>
      </w:pPr>
      <w:r w:rsidRPr="00DB5635">
        <w:rPr>
          <w:lang w:val="es-ES_tradnl"/>
        </w:rPr>
        <w:tab/>
      </w:r>
      <w:r w:rsidR="00B538A9" w:rsidRPr="00DB5635">
        <w:rPr>
          <w:lang w:val="es-ES_tradnl"/>
        </w:rPr>
        <w:t>E.</w:t>
      </w:r>
      <w:r w:rsidR="00B538A9" w:rsidRPr="00DB5635">
        <w:rPr>
          <w:lang w:val="es-ES_tradnl"/>
        </w:rPr>
        <w:tab/>
      </w:r>
      <w:r w:rsidR="00B538A9" w:rsidRPr="00DB5635">
        <w:rPr>
          <w:bCs/>
          <w:lang w:val="es-ES_tradnl"/>
        </w:rPr>
        <w:t>Asuntos jurídicos</w:t>
      </w:r>
    </w:p>
    <w:p w14:paraId="7C220F8E" w14:textId="34CABAA5" w:rsidR="00863F6A" w:rsidRPr="00DB5635" w:rsidRDefault="00863F6A" w:rsidP="00421D8E">
      <w:pPr>
        <w:pStyle w:val="Normalnumber"/>
        <w:numPr>
          <w:ilvl w:val="0"/>
          <w:numId w:val="7"/>
        </w:numPr>
        <w:ind w:left="1247"/>
        <w:rPr>
          <w:lang w:val="es-ES_tradnl"/>
        </w:rPr>
      </w:pPr>
      <w:r w:rsidRPr="00DB5635">
        <w:rPr>
          <w:lang w:val="es-ES_tradnl"/>
        </w:rPr>
        <w:t xml:space="preserve">Asesoramiento, opiniones y representación en materia jurídica por medio del sistema de justicia interna, incluidos los servicios de asesoramiento y representación; apoyo y asesoramiento jurídico institucionales; </w:t>
      </w:r>
      <w:r w:rsidR="00474996" w:rsidRPr="00DB5635">
        <w:rPr>
          <w:lang w:val="es-ES_tradnl"/>
        </w:rPr>
        <w:t xml:space="preserve">y </w:t>
      </w:r>
      <w:r w:rsidRPr="00DB5635">
        <w:rPr>
          <w:lang w:val="es-ES_tradnl"/>
        </w:rPr>
        <w:t>representación de la organización ante la Dependencia de Evaluación Interna con respecto a las solicitudes presentadas por los funcionarios.</w:t>
      </w:r>
    </w:p>
    <w:p w14:paraId="41BBADD3" w14:textId="44311B5F" w:rsidR="00863F6A" w:rsidRPr="00DB5635" w:rsidRDefault="00863F6A" w:rsidP="00421D8E">
      <w:pPr>
        <w:pStyle w:val="Normalnumber"/>
        <w:numPr>
          <w:ilvl w:val="0"/>
          <w:numId w:val="7"/>
        </w:numPr>
        <w:ind w:left="1247"/>
        <w:rPr>
          <w:lang w:val="es-ES_tradnl"/>
        </w:rPr>
      </w:pPr>
      <w:r w:rsidRPr="00DB5635">
        <w:rPr>
          <w:lang w:val="es-ES_tradnl"/>
        </w:rPr>
        <w:t xml:space="preserve">Representación de la organización ante el Tribunal Contencioso-Administrativo de las </w:t>
      </w:r>
      <w:r w:rsidR="00A66967" w:rsidRPr="00DB5635">
        <w:rPr>
          <w:lang w:val="es-ES_tradnl"/>
        </w:rPr>
        <w:t>Naciones Unidas</w:t>
      </w:r>
      <w:r w:rsidRPr="00DB5635">
        <w:rPr>
          <w:lang w:val="es-ES_tradnl"/>
        </w:rPr>
        <w:t xml:space="preserve"> y prestación de apoyo a la Oficina de Asuntos Jurídicos en lo tocante a los recursos interpuestos ante el Tribunal de Apelaciones de las </w:t>
      </w:r>
      <w:r w:rsidR="00A66967" w:rsidRPr="00DB5635">
        <w:rPr>
          <w:lang w:val="es-ES_tradnl"/>
        </w:rPr>
        <w:t>Naciones Unidas</w:t>
      </w:r>
      <w:r w:rsidRPr="00DB5635">
        <w:rPr>
          <w:lang w:val="es-ES_tradnl"/>
        </w:rPr>
        <w:t xml:space="preserve">. </w:t>
      </w:r>
    </w:p>
    <w:p w14:paraId="58085F94" w14:textId="6067245B" w:rsidR="00863F6A" w:rsidRPr="00DB5635" w:rsidRDefault="00863F6A" w:rsidP="00421D8E">
      <w:pPr>
        <w:pStyle w:val="Normalnumber"/>
        <w:numPr>
          <w:ilvl w:val="0"/>
          <w:numId w:val="7"/>
        </w:numPr>
        <w:ind w:left="1247"/>
        <w:rPr>
          <w:lang w:val="es-ES_tradnl"/>
        </w:rPr>
      </w:pPr>
      <w:r w:rsidRPr="00DB5635">
        <w:rPr>
          <w:lang w:val="es-ES_tradnl"/>
        </w:rPr>
        <w:t xml:space="preserve">Negociación de la liquidación de reclamaciones; prestación de apoyo y asesoramiento jurídicos en la mediación, la conciliación y el arbitraje; prestación de apoyo jurídico e institucional en procedimientos disciplinarios; </w:t>
      </w:r>
      <w:r w:rsidR="00474996" w:rsidRPr="00DB5635">
        <w:rPr>
          <w:lang w:val="es-ES_tradnl"/>
        </w:rPr>
        <w:t xml:space="preserve">y </w:t>
      </w:r>
      <w:r w:rsidRPr="00DB5635">
        <w:rPr>
          <w:lang w:val="es-ES_tradnl"/>
        </w:rPr>
        <w:t>prestación de asesoramiento jurídico en casos de presuntas faltas de conducta y durante las investigaciones correspondientes.</w:t>
      </w:r>
    </w:p>
    <w:p w14:paraId="54478822" w14:textId="77777777" w:rsidR="00863F6A" w:rsidRPr="00DB5635" w:rsidRDefault="00863F6A" w:rsidP="00421D8E">
      <w:pPr>
        <w:pStyle w:val="Normalnumber"/>
        <w:numPr>
          <w:ilvl w:val="0"/>
          <w:numId w:val="7"/>
        </w:numPr>
        <w:ind w:left="1247"/>
        <w:rPr>
          <w:lang w:val="es-ES_tradnl"/>
        </w:rPr>
      </w:pPr>
      <w:r w:rsidRPr="00DB5635">
        <w:rPr>
          <w:lang w:val="es-ES_tradnl"/>
        </w:rPr>
        <w:t>Revisión y aprobación de los acuerdos con los países anfitriones y los instrumentos jurídicos de conformidad con la política y el marco de delegación de autoridad del PNUMA para la gestión y administración de los acuerdos ambientales multilaterales.</w:t>
      </w:r>
    </w:p>
    <w:p w14:paraId="573E523F" w14:textId="77777777" w:rsidR="00863F6A" w:rsidRPr="00DB5635" w:rsidRDefault="00863F6A" w:rsidP="00421D8E">
      <w:pPr>
        <w:pStyle w:val="Normalnumber"/>
        <w:numPr>
          <w:ilvl w:val="0"/>
          <w:numId w:val="7"/>
        </w:numPr>
        <w:ind w:left="1247"/>
        <w:rPr>
          <w:lang w:val="es-ES_tradnl"/>
        </w:rPr>
      </w:pPr>
      <w:r w:rsidRPr="00DB5635">
        <w:rPr>
          <w:lang w:val="es-ES_tradnl"/>
        </w:rPr>
        <w:t>Prestación de asesoramiento jurídico en cuestiones relativas a los recursos humanos, como la interpretación del Estatuto y el Reglamento del Personal, asesoramiento sobre actividades externas, cese del empleo y acuerdos.</w:t>
      </w:r>
    </w:p>
    <w:p w14:paraId="0CE6292F" w14:textId="37887B1F" w:rsidR="00863F6A" w:rsidRPr="00DB5635" w:rsidRDefault="00CE662B" w:rsidP="00B538A9">
      <w:pPr>
        <w:pStyle w:val="CH2"/>
        <w:rPr>
          <w:lang w:val="es-ES_tradnl"/>
        </w:rPr>
      </w:pPr>
      <w:r w:rsidRPr="00DB5635">
        <w:rPr>
          <w:lang w:val="es-ES_tradnl"/>
        </w:rPr>
        <w:tab/>
      </w:r>
      <w:r w:rsidR="00B538A9" w:rsidRPr="00DB5635">
        <w:rPr>
          <w:lang w:val="es-ES_tradnl"/>
        </w:rPr>
        <w:t>F.</w:t>
      </w:r>
      <w:r w:rsidR="00B538A9" w:rsidRPr="00DB5635">
        <w:rPr>
          <w:lang w:val="es-ES_tradnl"/>
        </w:rPr>
        <w:tab/>
      </w:r>
      <w:r w:rsidR="00B538A9" w:rsidRPr="00DB5635">
        <w:rPr>
          <w:bCs/>
          <w:lang w:val="es-ES_tradnl"/>
        </w:rPr>
        <w:t>Servicios de apoyo</w:t>
      </w:r>
    </w:p>
    <w:p w14:paraId="74C6B1EF" w14:textId="673715E4" w:rsidR="00863F6A" w:rsidRPr="00DB5635" w:rsidRDefault="00863F6A" w:rsidP="00421D8E">
      <w:pPr>
        <w:pStyle w:val="Normalnumber"/>
        <w:numPr>
          <w:ilvl w:val="0"/>
          <w:numId w:val="7"/>
        </w:numPr>
        <w:ind w:left="1247"/>
        <w:rPr>
          <w:lang w:val="es-ES_tradnl"/>
        </w:rPr>
      </w:pPr>
      <w:r w:rsidRPr="00DB5635">
        <w:rPr>
          <w:i/>
          <w:iCs/>
          <w:lang w:val="es-ES_tradnl"/>
        </w:rPr>
        <w:t>Contratos y adquisiciones</w:t>
      </w:r>
      <w:r w:rsidRPr="00DB5635">
        <w:rPr>
          <w:lang w:val="es-ES_tradnl"/>
        </w:rPr>
        <w:t>. Supervisión de funciones relacionadas con las adquisiciones y prestación de asesoramiento sobre propuestas de adquisiciones que tengan consecuencias financieras u</w:t>
      </w:r>
      <w:r w:rsidR="00C52E4D">
        <w:rPr>
          <w:lang w:val="es-ES_tradnl"/>
        </w:rPr>
        <w:t> </w:t>
      </w:r>
      <w:r w:rsidRPr="00DB5635">
        <w:rPr>
          <w:lang w:val="es-ES_tradnl"/>
        </w:rPr>
        <w:t xml:space="preserve">operacionales de consideración; examen del proyecto de estrategia y enfoque para satisfacer de la mejor forma posible las necesidades del Programa; supervisión para los proveedores de servicios; representación ante la Red de Adquisiciones del Comité de Alto Nivel sobre Gestión en lo tocante a la formulación de políticas y procedimientos; enlace con el Comité de Contratos para preparar casos y someterlos a su aprobación, y respuesta a las solicitudes de información; </w:t>
      </w:r>
      <w:r w:rsidR="00474996" w:rsidRPr="00DB5635">
        <w:rPr>
          <w:lang w:val="es-ES_tradnl"/>
        </w:rPr>
        <w:t xml:space="preserve">y </w:t>
      </w:r>
      <w:r w:rsidRPr="00DB5635">
        <w:rPr>
          <w:lang w:val="es-ES_tradnl"/>
        </w:rPr>
        <w:t>servicios de administración de contratos en general, incluidas la modificación, la prórroga o la conclusión de contratos.</w:t>
      </w:r>
    </w:p>
    <w:p w14:paraId="05A51111" w14:textId="77777777" w:rsidR="00863F6A" w:rsidRPr="00DB5635" w:rsidRDefault="00863F6A" w:rsidP="00421D8E">
      <w:pPr>
        <w:pStyle w:val="Normalnumber"/>
        <w:numPr>
          <w:ilvl w:val="0"/>
          <w:numId w:val="7"/>
        </w:numPr>
        <w:ind w:left="1247"/>
        <w:rPr>
          <w:lang w:val="es-ES_tradnl"/>
        </w:rPr>
      </w:pPr>
      <w:r w:rsidRPr="00DB5635">
        <w:rPr>
          <w:i/>
          <w:iCs/>
          <w:lang w:val="es-ES_tradnl"/>
        </w:rPr>
        <w:t>Gestión de existencias y activos</w:t>
      </w:r>
      <w:r w:rsidRPr="00DB5635">
        <w:rPr>
          <w:lang w:val="es-ES_tradnl"/>
        </w:rPr>
        <w:t>. Prestación de servicios para la gestión de las existencias de equipo y activos, lo que incluye la preparación de códigos de barras, el mantenimiento actualizado de registros y el rastreo del movimiento de artículos, la realización de inventarios físicos y la tramitación de la eliminación de artículos obsoletos e inservibles.</w:t>
      </w:r>
    </w:p>
    <w:p w14:paraId="288C7ABD" w14:textId="180810B8" w:rsidR="00863F6A" w:rsidRPr="00DB5635" w:rsidRDefault="00863F6A" w:rsidP="00421D8E">
      <w:pPr>
        <w:pStyle w:val="Normalnumber"/>
        <w:numPr>
          <w:ilvl w:val="0"/>
          <w:numId w:val="7"/>
        </w:numPr>
        <w:ind w:left="1247"/>
        <w:rPr>
          <w:lang w:val="es-ES_tradnl"/>
        </w:rPr>
      </w:pPr>
      <w:r w:rsidRPr="00DB5635">
        <w:rPr>
          <w:i/>
          <w:iCs/>
          <w:lang w:val="es-ES_tradnl"/>
        </w:rPr>
        <w:t>Viajes, transporte y visados</w:t>
      </w:r>
      <w:r w:rsidRPr="00DB5635">
        <w:rPr>
          <w:lang w:val="es-ES_tradnl"/>
        </w:rPr>
        <w:t xml:space="preserve">. </w:t>
      </w:r>
      <w:r w:rsidR="00474996" w:rsidRPr="00DB5635">
        <w:rPr>
          <w:lang w:val="es-ES_tradnl"/>
        </w:rPr>
        <w:t>A</w:t>
      </w:r>
      <w:r w:rsidRPr="00DB5635">
        <w:rPr>
          <w:lang w:val="es-ES_tradnl"/>
        </w:rPr>
        <w:t xml:space="preserve">sesoramiento sobre la evolución de las políticas y los procedimientos de viaje de la Secretaría; gestión de los contratos con agencias de viajes y negociaciones con compañías aéreas; </w:t>
      </w:r>
      <w:r w:rsidR="00474996" w:rsidRPr="00DB5635">
        <w:rPr>
          <w:lang w:val="es-ES_tradnl"/>
        </w:rPr>
        <w:t xml:space="preserve">y </w:t>
      </w:r>
      <w:r w:rsidRPr="00DB5635">
        <w:rPr>
          <w:lang w:val="es-ES_tradnl"/>
        </w:rPr>
        <w:t>servicios de expedición, prestados mediante contratistas externos, que incluyen todo lo relativo a los envíos oficiales entrantes y salientes de bienes y propiedades de la organización y de los efectos personales de los funcionarios durante la contratación, el traslado y la separación del servicio.</w:t>
      </w:r>
    </w:p>
    <w:p w14:paraId="304D7C07" w14:textId="77777777" w:rsidR="00863F6A" w:rsidRPr="00DB5635" w:rsidRDefault="00863F6A" w:rsidP="00421D8E">
      <w:pPr>
        <w:pStyle w:val="Normalnumber"/>
        <w:numPr>
          <w:ilvl w:val="0"/>
          <w:numId w:val="7"/>
        </w:numPr>
        <w:ind w:left="1247"/>
        <w:rPr>
          <w:lang w:val="es-ES_tradnl"/>
        </w:rPr>
      </w:pPr>
      <w:r w:rsidRPr="00DB5635">
        <w:rPr>
          <w:i/>
          <w:iCs/>
          <w:lang w:val="es-ES_tradnl"/>
        </w:rPr>
        <w:t>Relaciones con los Estados anfitriones</w:t>
      </w:r>
      <w:r w:rsidRPr="00DB5635">
        <w:rPr>
          <w:lang w:val="es-ES_tradnl"/>
        </w:rPr>
        <w:t>. Administración del acuerdo de acogida con el país de destino; permisos de reingreso para funcionarios y familiares a cargo, consultores y pasantes; importación exenta de derechos de mercancías y combustible; desgravaciones fiscales; matriculación de vehículos, expedición o renovación de los permisos de conducción y transferencia de propiedad; tramitación de las solicitudes de visados especiales en situaciones de emergencia y para personalidades.</w:t>
      </w:r>
    </w:p>
    <w:p w14:paraId="279BEA71" w14:textId="75583AC8" w:rsidR="00863F6A" w:rsidRPr="00DB5635" w:rsidRDefault="00863F6A" w:rsidP="00421D8E">
      <w:pPr>
        <w:pStyle w:val="Normalnumber"/>
        <w:numPr>
          <w:ilvl w:val="0"/>
          <w:numId w:val="7"/>
        </w:numPr>
        <w:ind w:left="1247"/>
        <w:rPr>
          <w:lang w:val="es-ES_tradnl"/>
        </w:rPr>
      </w:pPr>
      <w:r w:rsidRPr="00DB5635">
        <w:rPr>
          <w:i/>
          <w:iCs/>
          <w:lang w:val="es-ES_tradnl"/>
        </w:rPr>
        <w:t xml:space="preserve">Gestión de instalaciones. </w:t>
      </w:r>
      <w:r w:rsidRPr="00DB5635">
        <w:rPr>
          <w:lang w:val="es-ES_tradnl"/>
        </w:rPr>
        <w:t>Creación de un entorno de trabajo cómodo y eficiente para funcionarios y visitantes mediante el mantenimiento de los locales de oficinas, incluidos los jardines</w:t>
      </w:r>
      <w:r w:rsidR="00D2700B">
        <w:rPr>
          <w:lang w:val="es-ES_tradnl"/>
        </w:rPr>
        <w:t> </w:t>
      </w:r>
      <w:r w:rsidRPr="00DB5635">
        <w:rPr>
          <w:lang w:val="es-ES_tradnl"/>
        </w:rPr>
        <w:t>y</w:t>
      </w:r>
      <w:r w:rsidR="00EA0707" w:rsidRPr="00DB5635">
        <w:rPr>
          <w:lang w:val="es-ES_tradnl"/>
        </w:rPr>
        <w:t> </w:t>
      </w:r>
      <w:r w:rsidRPr="00DB5635">
        <w:rPr>
          <w:lang w:val="es-ES_tradnl"/>
        </w:rPr>
        <w:t>las zonas de aparcamiento; gestión de los servicios públicos y mantenimiento de los sistemas de seguridad.</w:t>
      </w:r>
    </w:p>
    <w:p w14:paraId="237DB8FC" w14:textId="65B16BAB" w:rsidR="00863F6A" w:rsidRPr="00DB5635" w:rsidRDefault="00863F6A" w:rsidP="00421D8E">
      <w:pPr>
        <w:pStyle w:val="Normalnumber"/>
        <w:numPr>
          <w:ilvl w:val="0"/>
          <w:numId w:val="7"/>
        </w:numPr>
        <w:ind w:left="1247"/>
        <w:rPr>
          <w:lang w:val="es-ES_tradnl"/>
        </w:rPr>
      </w:pPr>
      <w:r w:rsidRPr="00DB5635">
        <w:rPr>
          <w:i/>
          <w:iCs/>
          <w:lang w:val="es-ES_tradnl"/>
        </w:rPr>
        <w:t>Gestión de archivos y documentos</w:t>
      </w:r>
      <w:r w:rsidRPr="00DB5635">
        <w:rPr>
          <w:lang w:val="es-ES_tradnl"/>
        </w:rPr>
        <w:t>. Prestación de asesoramiento sobre la aplicación de políticas para la gestión de archivos de conformidad con las normas y prácticas establecidas en materia</w:t>
      </w:r>
      <w:r w:rsidR="00D2700B">
        <w:rPr>
          <w:lang w:val="es-ES_tradnl"/>
        </w:rPr>
        <w:t> </w:t>
      </w:r>
      <w:r w:rsidRPr="00DB5635">
        <w:rPr>
          <w:lang w:val="es-ES_tradnl"/>
        </w:rPr>
        <w:t>de archivos, y supervisión de esa aplicación.</w:t>
      </w:r>
    </w:p>
    <w:p w14:paraId="292E5D69" w14:textId="06460480" w:rsidR="00863F6A" w:rsidRPr="00DB5635" w:rsidRDefault="00CE662B" w:rsidP="00B538A9">
      <w:pPr>
        <w:pStyle w:val="CH2"/>
        <w:rPr>
          <w:lang w:val="es-ES_tradnl"/>
        </w:rPr>
      </w:pPr>
      <w:r w:rsidRPr="00DB5635">
        <w:rPr>
          <w:lang w:val="es-ES_tradnl"/>
        </w:rPr>
        <w:tab/>
      </w:r>
      <w:r w:rsidR="00B538A9" w:rsidRPr="00DB5635">
        <w:rPr>
          <w:lang w:val="es-ES_tradnl"/>
        </w:rPr>
        <w:t>G.</w:t>
      </w:r>
      <w:r w:rsidR="00B538A9" w:rsidRPr="00DB5635">
        <w:rPr>
          <w:lang w:val="es-ES_tradnl"/>
        </w:rPr>
        <w:tab/>
      </w:r>
      <w:r w:rsidR="00B538A9" w:rsidRPr="00DB5635">
        <w:rPr>
          <w:bCs/>
          <w:lang w:val="es-ES_tradnl"/>
        </w:rPr>
        <w:t>Programa Umoja de recursos institucionales</w:t>
      </w:r>
    </w:p>
    <w:p w14:paraId="72C25205" w14:textId="61CC6A0B" w:rsidR="00CA0BD4" w:rsidRPr="00DB5635" w:rsidRDefault="00863F6A" w:rsidP="00421D8E">
      <w:pPr>
        <w:pStyle w:val="Normalnumber"/>
        <w:numPr>
          <w:ilvl w:val="0"/>
          <w:numId w:val="7"/>
        </w:numPr>
        <w:ind w:left="1247"/>
        <w:rPr>
          <w:lang w:val="es-ES_tradnl"/>
        </w:rPr>
      </w:pPr>
      <w:r w:rsidRPr="00DB5635">
        <w:rPr>
          <w:lang w:val="es-ES_tradnl"/>
        </w:rPr>
        <w:t>Prestación de asesoramiento sobre todos los aspectos del análisis del flujo de trabajo, reconversión de procesos institucionales y transformación de la organización; gestión de las actividades básicas de transformación relacionadas con la implantación de Umoja y el ciclo de vida del sistema; capacitación y orientación sobre la funcionalidad, el acceso y las modalidades de Umoja para</w:t>
      </w:r>
      <w:r w:rsidR="00D2700B">
        <w:rPr>
          <w:lang w:val="es-ES_tradnl"/>
        </w:rPr>
        <w:t> </w:t>
      </w:r>
      <w:r w:rsidRPr="00DB5635">
        <w:rPr>
          <w:lang w:val="es-ES_tradnl"/>
        </w:rPr>
        <w:t xml:space="preserve">la ejecución de procesos administrativos; </w:t>
      </w:r>
      <w:r w:rsidR="00474996" w:rsidRPr="00DB5635">
        <w:rPr>
          <w:lang w:val="es-ES_tradnl"/>
        </w:rPr>
        <w:t xml:space="preserve">y </w:t>
      </w:r>
      <w:r w:rsidRPr="00DB5635">
        <w:rPr>
          <w:lang w:val="es-ES_tradnl"/>
        </w:rPr>
        <w:t>gestión de los costos administrativos asociados con</w:t>
      </w:r>
      <w:r w:rsidR="00D2700B">
        <w:rPr>
          <w:lang w:val="es-ES_tradnl"/>
        </w:rPr>
        <w:t> </w:t>
      </w:r>
      <w:r w:rsidRPr="00DB5635">
        <w:rPr>
          <w:lang w:val="es-ES_tradnl"/>
        </w:rPr>
        <w:t xml:space="preserve">los servicios prestados por la Oficina de las </w:t>
      </w:r>
      <w:r w:rsidR="00A66967" w:rsidRPr="00DB5635">
        <w:rPr>
          <w:lang w:val="es-ES_tradnl"/>
        </w:rPr>
        <w:t>Naciones Unidas</w:t>
      </w:r>
      <w:r w:rsidRPr="00DB5635">
        <w:rPr>
          <w:lang w:val="es-ES_tradnl"/>
        </w:rPr>
        <w:t xml:space="preserve"> en Nairobi y la Oficina de las </w:t>
      </w:r>
      <w:r w:rsidR="00A66967" w:rsidRPr="00DB5635">
        <w:rPr>
          <w:lang w:val="es-ES_tradnl"/>
        </w:rPr>
        <w:t>Naciones Unidas</w:t>
      </w:r>
      <w:r w:rsidRPr="00DB5635">
        <w:rPr>
          <w:lang w:val="es-ES_tradnl"/>
        </w:rPr>
        <w:t xml:space="preserve"> en Ginebra, especialmente l</w:t>
      </w:r>
      <w:r w:rsidR="00474996" w:rsidRPr="00DB5635">
        <w:rPr>
          <w:lang w:val="es-ES_tradnl"/>
        </w:rPr>
        <w:t xml:space="preserve">os servicios que prestaba el </w:t>
      </w:r>
      <w:r w:rsidRPr="00DB5635">
        <w:rPr>
          <w:lang w:val="es-ES_tradnl"/>
        </w:rPr>
        <w:t>desaparecido centro de servicios de operaciones (viajes, pago de facturas, recursos humanos y servicios de consultores)</w:t>
      </w:r>
      <w:r w:rsidR="00474996" w:rsidRPr="00DB5635">
        <w:rPr>
          <w:lang w:val="es-ES_tradnl"/>
        </w:rPr>
        <w:t>.</w:t>
      </w:r>
    </w:p>
    <w:p w14:paraId="23D17198" w14:textId="47275E11" w:rsidR="00863F6A" w:rsidRPr="00DB5635" w:rsidRDefault="00CE662B" w:rsidP="00B538A9">
      <w:pPr>
        <w:pStyle w:val="CH2"/>
        <w:rPr>
          <w:lang w:val="es-ES_tradnl"/>
        </w:rPr>
      </w:pPr>
      <w:r w:rsidRPr="00DB5635">
        <w:rPr>
          <w:lang w:val="es-ES_tradnl"/>
        </w:rPr>
        <w:tab/>
      </w:r>
      <w:r w:rsidR="00B538A9" w:rsidRPr="00DB5635">
        <w:rPr>
          <w:lang w:val="es-ES_tradnl"/>
        </w:rPr>
        <w:t>H.</w:t>
      </w:r>
      <w:r w:rsidR="00B538A9" w:rsidRPr="00DB5635">
        <w:rPr>
          <w:lang w:val="es-ES_tradnl"/>
        </w:rPr>
        <w:tab/>
      </w:r>
      <w:r w:rsidR="00B538A9" w:rsidRPr="00DB5635">
        <w:rPr>
          <w:bCs/>
          <w:lang w:val="es-ES_tradnl"/>
        </w:rPr>
        <w:t>Gestión de los riesgos institucionales y procedimiento de control interno</w:t>
      </w:r>
    </w:p>
    <w:p w14:paraId="34FF9DB9" w14:textId="0BF9504D" w:rsidR="00863F6A" w:rsidRPr="00DB5635" w:rsidRDefault="00863F6A" w:rsidP="00421D8E">
      <w:pPr>
        <w:pStyle w:val="Normalnumber"/>
        <w:numPr>
          <w:ilvl w:val="0"/>
          <w:numId w:val="7"/>
        </w:numPr>
        <w:ind w:left="1247"/>
        <w:rPr>
          <w:lang w:val="es-ES_tradnl"/>
        </w:rPr>
      </w:pPr>
      <w:r w:rsidRPr="00DB5635">
        <w:rPr>
          <w:lang w:val="es-ES_tradnl"/>
        </w:rPr>
        <w:t xml:space="preserve">Concepción, aplicación y supervisión de la política y el marco de gestión de los riesgos institucionales de la Secretaría de las </w:t>
      </w:r>
      <w:r w:rsidR="00A66967" w:rsidRPr="00DB5635">
        <w:rPr>
          <w:lang w:val="es-ES_tradnl"/>
        </w:rPr>
        <w:t>Naciones Unidas</w:t>
      </w:r>
      <w:r w:rsidRPr="00DB5635">
        <w:rPr>
          <w:lang w:val="es-ES_tradnl"/>
        </w:rPr>
        <w:t xml:space="preserve">; asesoramiento sobre las novedades y actividades relacionadas con el ciclo de vida de la gestión de los riesgos institucionales; </w:t>
      </w:r>
      <w:r w:rsidR="00474996" w:rsidRPr="00DB5635">
        <w:rPr>
          <w:lang w:val="es-ES_tradnl"/>
        </w:rPr>
        <w:t xml:space="preserve">y </w:t>
      </w:r>
      <w:r w:rsidRPr="00DB5635">
        <w:rPr>
          <w:lang w:val="es-ES_tradnl"/>
        </w:rPr>
        <w:t xml:space="preserve">enlace con el Departamento de Gestión en la Sede de las </w:t>
      </w:r>
      <w:r w:rsidR="00A66967" w:rsidRPr="00DB5635">
        <w:rPr>
          <w:lang w:val="es-ES_tradnl"/>
        </w:rPr>
        <w:t>Naciones Unidas</w:t>
      </w:r>
      <w:r w:rsidRPr="00DB5635">
        <w:rPr>
          <w:lang w:val="es-ES_tradnl"/>
        </w:rPr>
        <w:t xml:space="preserve"> para todas las cuestiones relacionadas con la gestión de los riesgos institucionales, los controles internos y la ejecución y actualización de planes conexos.</w:t>
      </w:r>
    </w:p>
    <w:p w14:paraId="4D52A350" w14:textId="4C509B86" w:rsidR="00863F6A" w:rsidRPr="00DB5635" w:rsidRDefault="00CE662B" w:rsidP="00B538A9">
      <w:pPr>
        <w:pStyle w:val="CH2"/>
        <w:rPr>
          <w:lang w:val="es-ES_tradnl"/>
        </w:rPr>
      </w:pPr>
      <w:r w:rsidRPr="00DB5635">
        <w:rPr>
          <w:lang w:val="es-ES_tradnl"/>
        </w:rPr>
        <w:tab/>
      </w:r>
      <w:r w:rsidR="00B538A9" w:rsidRPr="00DB5635">
        <w:rPr>
          <w:lang w:val="es-ES_tradnl"/>
        </w:rPr>
        <w:t>I.</w:t>
      </w:r>
      <w:r w:rsidR="00B538A9" w:rsidRPr="00DB5635">
        <w:rPr>
          <w:lang w:val="es-ES_tradnl"/>
        </w:rPr>
        <w:tab/>
      </w:r>
      <w:r w:rsidR="00B538A9" w:rsidRPr="00DB5635">
        <w:rPr>
          <w:bCs/>
          <w:lang w:val="es-ES_tradnl"/>
        </w:rPr>
        <w:t>Tecnología de la información y las comunicaciones</w:t>
      </w:r>
    </w:p>
    <w:p w14:paraId="76501D7C" w14:textId="335A5CCB" w:rsidR="00863F6A" w:rsidRPr="00DB5635" w:rsidRDefault="00863F6A" w:rsidP="00421D8E">
      <w:pPr>
        <w:pStyle w:val="Normalnumber"/>
        <w:numPr>
          <w:ilvl w:val="0"/>
          <w:numId w:val="7"/>
        </w:numPr>
        <w:ind w:left="1247"/>
        <w:rPr>
          <w:lang w:val="es-ES_tradnl"/>
        </w:rPr>
      </w:pPr>
      <w:r w:rsidRPr="00DB5635">
        <w:rPr>
          <w:lang w:val="es-ES_tradnl"/>
        </w:rPr>
        <w:t xml:space="preserve">Supervisión </w:t>
      </w:r>
      <w:r w:rsidR="00474996" w:rsidRPr="00DB5635">
        <w:rPr>
          <w:lang w:val="es-ES_tradnl"/>
        </w:rPr>
        <w:t>d</w:t>
      </w:r>
      <w:r w:rsidRPr="00DB5635">
        <w:rPr>
          <w:lang w:val="es-ES_tradnl"/>
        </w:rPr>
        <w:t>el cumplimiento de las políticas y normas de tecnología de la información y comunicaciones.</w:t>
      </w:r>
    </w:p>
    <w:p w14:paraId="7A880DB0" w14:textId="5C052087" w:rsidR="00863F6A" w:rsidRPr="00DB5635" w:rsidRDefault="00863F6A" w:rsidP="00421D8E">
      <w:pPr>
        <w:pStyle w:val="Normalnumber"/>
        <w:numPr>
          <w:ilvl w:val="0"/>
          <w:numId w:val="7"/>
        </w:numPr>
        <w:ind w:left="1247"/>
        <w:rPr>
          <w:lang w:val="es-ES_tradnl"/>
        </w:rPr>
      </w:pPr>
      <w:r w:rsidRPr="00DB5635">
        <w:rPr>
          <w:lang w:val="es-ES_tradnl"/>
        </w:rPr>
        <w:t>Apoyo en materia de informática, telecomunicaciones, ofimática e infraestructura, incluido el</w:t>
      </w:r>
      <w:r w:rsidR="00B013AF" w:rsidRPr="00DB5635">
        <w:rPr>
          <w:lang w:val="es-ES_tradnl"/>
        </w:rPr>
        <w:t> </w:t>
      </w:r>
      <w:r w:rsidRPr="00DB5635">
        <w:rPr>
          <w:lang w:val="es-ES_tradnl"/>
        </w:rPr>
        <w:t>correo electrónico, y servicios de consultoría, asesoramiento y asistencia a los usuarios.</w:t>
      </w:r>
    </w:p>
    <w:p w14:paraId="50820BA7" w14:textId="2CA6A779" w:rsidR="00863F6A" w:rsidRPr="00DB5635" w:rsidRDefault="00CA0BD4" w:rsidP="00421D8E">
      <w:pPr>
        <w:pStyle w:val="Normalnumber"/>
        <w:numPr>
          <w:ilvl w:val="0"/>
          <w:numId w:val="7"/>
        </w:numPr>
        <w:ind w:left="1247"/>
        <w:rPr>
          <w:lang w:val="es-ES_tradnl"/>
        </w:rPr>
      </w:pPr>
      <w:r w:rsidRPr="00DB5635">
        <w:rPr>
          <w:lang w:val="es-ES_tradnl"/>
        </w:rPr>
        <w:t xml:space="preserve">Gestión de la infraestructura y los servicios de tecnología de la información y las comunicaciones, en particular mediante el apoyo a la adquisición de equipos y licencias de programas informáticos y la aplicación de las políticas pertinentes; </w:t>
      </w:r>
      <w:r w:rsidR="00474996" w:rsidRPr="00DB5635">
        <w:rPr>
          <w:lang w:val="es-ES_tradnl"/>
        </w:rPr>
        <w:t xml:space="preserve">y </w:t>
      </w:r>
      <w:r w:rsidRPr="00DB5635">
        <w:rPr>
          <w:lang w:val="es-ES_tradnl"/>
        </w:rPr>
        <w:t>acceso a la Internet y la intranet institucional y a los sistemas de correo.</w:t>
      </w:r>
    </w:p>
    <w:p w14:paraId="2805E31B" w14:textId="10738AA0" w:rsidR="00863F6A" w:rsidRPr="00DB5635" w:rsidRDefault="00863F6A" w:rsidP="00421D8E">
      <w:pPr>
        <w:pStyle w:val="Normalnumber"/>
        <w:numPr>
          <w:ilvl w:val="0"/>
          <w:numId w:val="7"/>
        </w:numPr>
        <w:ind w:left="1247"/>
        <w:rPr>
          <w:lang w:val="es-ES_tradnl"/>
        </w:rPr>
      </w:pPr>
      <w:r w:rsidRPr="00DB5635">
        <w:rPr>
          <w:lang w:val="es-ES_tradnl"/>
        </w:rPr>
        <w:t xml:space="preserve">Desarrollo y mantenimiento de programas informáticos, incluida la prestación de asesoramiento táctico, operacional y estratégico, teniendo en cuenta las necesidades específicas de la oficina; gestión de la eficacia en función de los costos de la contratación externa y los servicios internos; </w:t>
      </w:r>
      <w:r w:rsidR="00474996" w:rsidRPr="00DB5635">
        <w:rPr>
          <w:lang w:val="es-ES_tradnl"/>
        </w:rPr>
        <w:t xml:space="preserve">y </w:t>
      </w:r>
      <w:r w:rsidRPr="00DB5635">
        <w:rPr>
          <w:lang w:val="es-ES_tradnl"/>
        </w:rPr>
        <w:t>suministro de aplicaciones informáticas normales o adaptadas para satisfacer necesidades específicas.</w:t>
      </w:r>
    </w:p>
    <w:p w14:paraId="04E649B2" w14:textId="77777777" w:rsidR="00353EC0" w:rsidRPr="00DB5635" w:rsidRDefault="00863F6A" w:rsidP="00421D8E">
      <w:pPr>
        <w:pStyle w:val="Normalnumber"/>
        <w:numPr>
          <w:ilvl w:val="0"/>
          <w:numId w:val="7"/>
        </w:numPr>
        <w:ind w:left="1247"/>
        <w:rPr>
          <w:lang w:val="es-ES_tradnl"/>
        </w:rPr>
      </w:pPr>
      <w:r w:rsidRPr="00DB5635">
        <w:rPr>
          <w:lang w:val="es-ES_tradnl"/>
        </w:rPr>
        <w:t>Servicios de asistencia a los usuarios, incluido el apoyo al personal local y mundial para resolver los problemas de índole informática que afecten al funcionamiento de las aplicaciones institucionales de la organización.</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B5635" w14:paraId="18550D62" w14:textId="77777777" w:rsidTr="000405C7">
        <w:trPr>
          <w:trHeight w:val="508"/>
        </w:trPr>
        <w:tc>
          <w:tcPr>
            <w:tcW w:w="1942" w:type="dxa"/>
            <w:shd w:val="clear" w:color="auto" w:fill="auto"/>
          </w:tcPr>
          <w:p w14:paraId="11A5DEB3" w14:textId="77777777" w:rsidR="00E976AB" w:rsidRPr="00DB5635" w:rsidRDefault="00E976AB" w:rsidP="000146EC">
            <w:pPr>
              <w:pStyle w:val="Normal-pool"/>
              <w:spacing w:before="260"/>
              <w:rPr>
                <w:lang w:val="es-ES_tradnl"/>
              </w:rPr>
            </w:pPr>
          </w:p>
        </w:tc>
        <w:tc>
          <w:tcPr>
            <w:tcW w:w="1942" w:type="dxa"/>
            <w:shd w:val="clear" w:color="auto" w:fill="auto"/>
          </w:tcPr>
          <w:p w14:paraId="235D32E0" w14:textId="77777777" w:rsidR="00E976AB" w:rsidRPr="00DB5635" w:rsidRDefault="00E976AB" w:rsidP="000146EC">
            <w:pPr>
              <w:pStyle w:val="Normal-pool"/>
              <w:spacing w:before="260"/>
              <w:rPr>
                <w:lang w:val="es-ES_tradnl"/>
              </w:rPr>
            </w:pPr>
          </w:p>
        </w:tc>
        <w:tc>
          <w:tcPr>
            <w:tcW w:w="1942" w:type="dxa"/>
            <w:tcBorders>
              <w:bottom w:val="single" w:sz="4" w:space="0" w:color="auto"/>
            </w:tcBorders>
            <w:shd w:val="clear" w:color="auto" w:fill="auto"/>
          </w:tcPr>
          <w:p w14:paraId="4975778B" w14:textId="77777777" w:rsidR="00E976AB" w:rsidRPr="00DB5635" w:rsidRDefault="00E976AB" w:rsidP="000146EC">
            <w:pPr>
              <w:pStyle w:val="Normal-pool"/>
              <w:spacing w:before="260"/>
              <w:rPr>
                <w:lang w:val="es-ES_tradnl"/>
              </w:rPr>
            </w:pPr>
          </w:p>
        </w:tc>
        <w:tc>
          <w:tcPr>
            <w:tcW w:w="1943" w:type="dxa"/>
            <w:shd w:val="clear" w:color="auto" w:fill="auto"/>
          </w:tcPr>
          <w:p w14:paraId="3A77E3DE" w14:textId="77777777" w:rsidR="00E976AB" w:rsidRPr="00DB5635" w:rsidRDefault="00E976AB" w:rsidP="000146EC">
            <w:pPr>
              <w:pStyle w:val="Normal-pool"/>
              <w:spacing w:before="260"/>
              <w:rPr>
                <w:lang w:val="es-ES_tradnl"/>
              </w:rPr>
            </w:pPr>
          </w:p>
        </w:tc>
        <w:tc>
          <w:tcPr>
            <w:tcW w:w="1943" w:type="dxa"/>
            <w:shd w:val="clear" w:color="auto" w:fill="auto"/>
          </w:tcPr>
          <w:p w14:paraId="246D835B" w14:textId="77777777" w:rsidR="00E976AB" w:rsidRPr="00DB5635" w:rsidRDefault="00E976AB" w:rsidP="000146EC">
            <w:pPr>
              <w:pStyle w:val="Normal-pool"/>
              <w:spacing w:before="260"/>
              <w:rPr>
                <w:lang w:val="es-ES_tradnl"/>
              </w:rPr>
            </w:pPr>
          </w:p>
        </w:tc>
      </w:tr>
    </w:tbl>
    <w:p w14:paraId="11EF1B7B" w14:textId="77777777" w:rsidR="00634E0D" w:rsidRPr="00DB5635" w:rsidRDefault="00634E0D" w:rsidP="00D013F5">
      <w:pPr>
        <w:pStyle w:val="Normal-pool"/>
        <w:rPr>
          <w:lang w:val="es-ES_tradnl"/>
        </w:rPr>
      </w:pPr>
    </w:p>
    <w:sectPr w:rsidR="00634E0D" w:rsidRPr="00DB5635" w:rsidSect="009E0757">
      <w:headerReference w:type="even" r:id="rId25"/>
      <w:headerReference w:type="default" r:id="rId26"/>
      <w:headerReference w:type="first" r:id="rId27"/>
      <w:footerReference w:type="first" r:id="rId28"/>
      <w:footnotePr>
        <w:numRestart w:val="eachSect"/>
      </w:footnotePr>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82871" w14:textId="77777777" w:rsidR="00AC1DB8" w:rsidRDefault="00AC1DB8">
      <w:r>
        <w:separator/>
      </w:r>
    </w:p>
  </w:endnote>
  <w:endnote w:type="continuationSeparator" w:id="0">
    <w:p w14:paraId="6D0EF8C9" w14:textId="77777777" w:rsidR="00AC1DB8" w:rsidRDefault="00AC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D1B32" w14:textId="73BC7457" w:rsidR="00C55EA7" w:rsidRDefault="00C55EA7">
    <w:pPr>
      <w:pStyle w:val="Footer"/>
    </w:pPr>
    <w:r>
      <w:rPr>
        <w:rStyle w:val="PageNumber"/>
      </w:rPr>
      <w:fldChar w:fldCharType="begin"/>
    </w:r>
    <w:r>
      <w:rPr>
        <w:rStyle w:val="PageNumber"/>
      </w:rPr>
      <w:instrText xml:space="preserve"> PAGE </w:instrText>
    </w:r>
    <w:r>
      <w:rPr>
        <w:rStyle w:val="PageNumber"/>
      </w:rPr>
      <w:fldChar w:fldCharType="separate"/>
    </w:r>
    <w:r w:rsidR="00E65E7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8F45E" w14:textId="77777777" w:rsidR="00C55EA7" w:rsidRDefault="00C55EA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val="0"/>
        <w:sz w:val="20"/>
      </w:rPr>
      <w:id w:val="-327828656"/>
      <w:docPartObj>
        <w:docPartGallery w:val="Page Numbers (Bottom of Page)"/>
        <w:docPartUnique/>
      </w:docPartObj>
    </w:sdtPr>
    <w:sdtEndPr>
      <w:rPr>
        <w:noProof/>
      </w:rPr>
    </w:sdtEndPr>
    <w:sdtContent>
      <w:p w14:paraId="6390C777" w14:textId="17A05045" w:rsidR="00C55EA7" w:rsidRPr="0095392B" w:rsidRDefault="00C55EA7" w:rsidP="009E0757">
        <w:pPr>
          <w:pStyle w:val="Footer-pool"/>
          <w:rPr>
            <w:b w:val="0"/>
            <w:sz w:val="20"/>
          </w:rPr>
        </w:pPr>
        <w:r>
          <w:rPr>
            <w:b w:val="0"/>
            <w:sz w:val="20"/>
            <w:lang w:val="es-ES"/>
          </w:rPr>
          <w:t>K1904261</w:t>
        </w:r>
        <w:r w:rsidRPr="0095392B">
          <w:rPr>
            <w:b w:val="0"/>
            <w:sz w:val="20"/>
            <w:lang w:val="es-ES"/>
          </w:rPr>
          <w:tab/>
        </w:r>
        <w:r>
          <w:rPr>
            <w:b w:val="0"/>
            <w:sz w:val="20"/>
            <w:lang w:val="es-ES"/>
          </w:rPr>
          <w:t>1</w:t>
        </w:r>
        <w:r w:rsidR="00E65E7A">
          <w:rPr>
            <w:b w:val="0"/>
            <w:sz w:val="20"/>
            <w:lang w:val="es-ES"/>
          </w:rPr>
          <w:t>3</w:t>
        </w:r>
        <w:r w:rsidRPr="0095392B">
          <w:rPr>
            <w:b w:val="0"/>
            <w:sz w:val="20"/>
            <w:lang w:val="es-ES"/>
          </w:rPr>
          <w:t>1</w:t>
        </w:r>
        <w:r>
          <w:rPr>
            <w:b w:val="0"/>
            <w:sz w:val="20"/>
            <w:lang w:val="es-ES"/>
          </w:rPr>
          <w:t>1</w:t>
        </w:r>
        <w:r w:rsidRPr="0095392B">
          <w:rPr>
            <w:b w:val="0"/>
            <w:sz w:val="20"/>
            <w:lang w:val="es-ES"/>
          </w:rPr>
          <w:t>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68FC" w14:textId="3B683EEA" w:rsidR="00C55EA7" w:rsidRDefault="00C55EA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65E7A">
      <w:rPr>
        <w:rStyle w:val="PageNumber"/>
        <w:noProof/>
      </w:rPr>
      <w:t>17</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539255"/>
      <w:docPartObj>
        <w:docPartGallery w:val="Page Numbers (Bottom of Page)"/>
        <w:docPartUnique/>
      </w:docPartObj>
    </w:sdtPr>
    <w:sdtEndPr>
      <w:rPr>
        <w:noProof/>
      </w:rPr>
    </w:sdtEndPr>
    <w:sdtContent>
      <w:p w14:paraId="5CCFBBCE" w14:textId="5A0F563C" w:rsidR="00C55EA7" w:rsidRDefault="00C55EA7" w:rsidP="00174DCA">
        <w:pPr>
          <w:pStyle w:val="Footer-pool"/>
        </w:pPr>
        <w:r>
          <w:fldChar w:fldCharType="begin"/>
        </w:r>
        <w:r>
          <w:instrText xml:space="preserve"> PAGE   \* MERGEFORMAT </w:instrText>
        </w:r>
        <w:r>
          <w:fldChar w:fldCharType="separate"/>
        </w:r>
        <w:r w:rsidR="00E65E7A">
          <w:rPr>
            <w:noProof/>
          </w:rPr>
          <w:t>3</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71454"/>
      <w:docPartObj>
        <w:docPartGallery w:val="Page Numbers (Bottom of Page)"/>
        <w:docPartUnique/>
      </w:docPartObj>
    </w:sdtPr>
    <w:sdtEndPr>
      <w:rPr>
        <w:noProof/>
      </w:rPr>
    </w:sdtEndPr>
    <w:sdtContent>
      <w:p w14:paraId="2C220A37" w14:textId="0502FD83" w:rsidR="00C55EA7" w:rsidRDefault="00C55EA7" w:rsidP="00CD564A">
        <w:pPr>
          <w:pStyle w:val="Footer-pool"/>
          <w:jc w:val="right"/>
        </w:pPr>
        <w:r>
          <w:fldChar w:fldCharType="begin"/>
        </w:r>
        <w:r>
          <w:instrText xml:space="preserve"> PAGE   \* MERGEFORMAT </w:instrText>
        </w:r>
        <w:r>
          <w:fldChar w:fldCharType="separate"/>
        </w:r>
        <w:r w:rsidR="00E65E7A">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960A3" w14:textId="77777777" w:rsidR="00AC1DB8" w:rsidRPr="00174DCA" w:rsidRDefault="00AC1DB8" w:rsidP="00BE7170">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174DCA">
        <w:rPr>
          <w:sz w:val="18"/>
          <w:szCs w:val="18"/>
        </w:rPr>
        <w:separator/>
      </w:r>
    </w:p>
  </w:footnote>
  <w:footnote w:type="continuationSeparator" w:id="0">
    <w:p w14:paraId="325D5B3F" w14:textId="77777777" w:rsidR="00AC1DB8" w:rsidRDefault="00AC1DB8">
      <w:r>
        <w:continuationSeparator/>
      </w:r>
    </w:p>
  </w:footnote>
  <w:footnote w:id="1">
    <w:p w14:paraId="2E2CA56E" w14:textId="77777777" w:rsidR="00C55EA7" w:rsidRPr="00217C87" w:rsidRDefault="00C55EA7" w:rsidP="001D0FB8">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405C7">
        <w:rPr>
          <w:sz w:val="18"/>
          <w:szCs w:val="18"/>
          <w:lang w:val="en-US"/>
        </w:rPr>
        <w:t>* UNEP/MC/COP.3/1.</w:t>
      </w:r>
    </w:p>
  </w:footnote>
  <w:footnote w:id="2">
    <w:p w14:paraId="3221AEFF" w14:textId="03B775EA" w:rsidR="00C55EA7" w:rsidRPr="00E47841" w:rsidRDefault="00C55EA7">
      <w:pPr>
        <w:pStyle w:val="FootnoteText"/>
        <w:rPr>
          <w:lang w:val="es-ES"/>
        </w:rPr>
      </w:pPr>
      <w:r>
        <w:rPr>
          <w:rStyle w:val="FootnoteReference"/>
        </w:rPr>
        <w:footnoteRef/>
      </w:r>
      <w:r>
        <w:t xml:space="preserve"> </w:t>
      </w:r>
      <w:r>
        <w:rPr>
          <w:szCs w:val="18"/>
        </w:rPr>
        <w:t xml:space="preserve">BC-13/24, </w:t>
      </w:r>
      <w:proofErr w:type="spellStart"/>
      <w:r>
        <w:rPr>
          <w:szCs w:val="18"/>
        </w:rPr>
        <w:t>párr</w:t>
      </w:r>
      <w:proofErr w:type="spellEnd"/>
      <w:r>
        <w:rPr>
          <w:szCs w:val="18"/>
        </w:rPr>
        <w:t xml:space="preserve">. </w:t>
      </w:r>
      <w:proofErr w:type="gramStart"/>
      <w:r>
        <w:rPr>
          <w:szCs w:val="18"/>
        </w:rPr>
        <w:t>13;</w:t>
      </w:r>
      <w:proofErr w:type="gramEnd"/>
      <w:r>
        <w:rPr>
          <w:szCs w:val="18"/>
        </w:rPr>
        <w:t xml:space="preserve"> RC-8/17, </w:t>
      </w:r>
      <w:proofErr w:type="spellStart"/>
      <w:r>
        <w:rPr>
          <w:szCs w:val="18"/>
        </w:rPr>
        <w:t>párr</w:t>
      </w:r>
      <w:proofErr w:type="spellEnd"/>
      <w:r>
        <w:rPr>
          <w:szCs w:val="18"/>
        </w:rPr>
        <w:t xml:space="preserve">. </w:t>
      </w:r>
      <w:proofErr w:type="gramStart"/>
      <w:r>
        <w:rPr>
          <w:szCs w:val="18"/>
        </w:rPr>
        <w:t>17;</w:t>
      </w:r>
      <w:proofErr w:type="gramEnd"/>
      <w:r>
        <w:rPr>
          <w:szCs w:val="18"/>
        </w:rPr>
        <w:t xml:space="preserve"> SC-8/27, </w:t>
      </w:r>
      <w:proofErr w:type="spellStart"/>
      <w:r>
        <w:rPr>
          <w:szCs w:val="18"/>
        </w:rPr>
        <w:t>párr</w:t>
      </w:r>
      <w:proofErr w:type="spellEnd"/>
      <w:r w:rsidRPr="00E65E72">
        <w:rPr>
          <w:szCs w:val="18"/>
        </w:rPr>
        <w:t xml:space="preserve">. </w:t>
      </w:r>
      <w:r w:rsidRPr="00174DCA">
        <w:rPr>
          <w:szCs w:val="18"/>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A27E5" w14:textId="023B07E7" w:rsidR="00C55EA7" w:rsidRPr="00CA5CA9" w:rsidRDefault="00C55EA7" w:rsidP="001224E5">
    <w:pPr>
      <w:pStyle w:val="Header-pool"/>
    </w:pPr>
    <w:r w:rsidRPr="00353EC0">
      <w:rPr>
        <w:bCs/>
      </w:rPr>
      <w:t>UNEP</w:t>
    </w:r>
    <w:r w:rsidRPr="00353EC0">
      <w:t>/MC/COP.3/</w:t>
    </w:r>
    <w: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D7775" w14:textId="77777777" w:rsidR="00C55EA7" w:rsidRPr="00CA5CA9" w:rsidRDefault="00E65E7A" w:rsidP="00F7137B">
    <w:pPr>
      <w:pStyle w:val="Header"/>
      <w:jc w:val="right"/>
      <w:rPr>
        <w:szCs w:val="18"/>
      </w:rPr>
    </w:pPr>
    <w:r>
      <w:rPr>
        <w:lang w:val="en-GB"/>
      </w:rPr>
      <w:pict w14:anchorId="7E5D10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425689" o:spid="_x0000_s2051" type="#_x0000_t136" style="position:absolute;left:0;text-align:left;margin-left:0;margin-top:0;width:520.7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C55EA7" w:rsidRPr="00353EC0">
      <w:rPr>
        <w:bCs/>
        <w:szCs w:val="18"/>
      </w:rPr>
      <w:t>UNEP</w:t>
    </w:r>
    <w:r w:rsidR="00C55EA7" w:rsidRPr="00353EC0">
      <w:rPr>
        <w:szCs w:val="18"/>
      </w:rPr>
      <w:t>/MC/COP.3/</w:t>
    </w:r>
    <w:r w:rsidR="00C55EA7">
      <w:rPr>
        <w:szCs w:val="18"/>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CB73" w14:textId="72BC3561" w:rsidR="00C55EA7" w:rsidRPr="009E0757" w:rsidRDefault="00C55EA7" w:rsidP="00D5393C">
    <w:pPr>
      <w:pStyle w:val="Header"/>
      <w:pBdr>
        <w:bottom w:val="none" w:sz="0" w:space="0" w:color="auto"/>
      </w:pBd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2BCC" w14:textId="57824F19" w:rsidR="00C55EA7" w:rsidRPr="005F2B12" w:rsidRDefault="00C55EA7" w:rsidP="005F2B12">
    <w:pPr>
      <w:pStyle w:val="Header"/>
      <w:rPr>
        <w:szCs w:val="18"/>
      </w:rPr>
    </w:pPr>
    <w:r w:rsidRPr="00353EC0">
      <w:rPr>
        <w:bCs/>
        <w:szCs w:val="18"/>
      </w:rPr>
      <w:t>UNEP</w:t>
    </w:r>
    <w:r w:rsidRPr="00353EC0">
      <w:rPr>
        <w:szCs w:val="18"/>
      </w:rPr>
      <w:t>/MC/COP.3/</w:t>
    </w:r>
    <w:r>
      <w:rPr>
        <w:szCs w:val="18"/>
      </w:rPr>
      <w:t>16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F076" w14:textId="1CEB52F0" w:rsidR="00C55EA7" w:rsidRPr="00CA5CA9" w:rsidRDefault="00C55EA7" w:rsidP="00F7137B">
    <w:pPr>
      <w:pStyle w:val="Header"/>
      <w:jc w:val="right"/>
      <w:rPr>
        <w:szCs w:val="18"/>
      </w:rPr>
    </w:pPr>
    <w:r w:rsidRPr="00353EC0">
      <w:rPr>
        <w:bCs/>
        <w:szCs w:val="18"/>
      </w:rPr>
      <w:t>UNEP</w:t>
    </w:r>
    <w:r w:rsidRPr="00353EC0">
      <w:rPr>
        <w:szCs w:val="18"/>
      </w:rPr>
      <w:t>/MC/COP.3/</w:t>
    </w:r>
    <w:r>
      <w:rPr>
        <w:szCs w:val="18"/>
      </w:rPr>
      <w:t>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8D68" w14:textId="56F0750C" w:rsidR="00C55EA7" w:rsidRPr="009E0757" w:rsidRDefault="00C55EA7" w:rsidP="009E0757">
    <w:pPr>
      <w:pStyle w:val="Header"/>
      <w:rPr>
        <w:szCs w:val="18"/>
      </w:rPr>
    </w:pPr>
    <w:r w:rsidRPr="00353EC0">
      <w:rPr>
        <w:bCs/>
        <w:szCs w:val="18"/>
      </w:rPr>
      <w:t>UNEP</w:t>
    </w:r>
    <w:r w:rsidRPr="00353EC0">
      <w:rPr>
        <w:szCs w:val="18"/>
      </w:rPr>
      <w:t>/MC/COP.3/</w:t>
    </w:r>
    <w:r>
      <w:rPr>
        <w:szCs w:val="18"/>
      </w:rPr>
      <w:t>16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FE3D4" w14:textId="2E4B9150" w:rsidR="00C55EA7" w:rsidRPr="005F2B12" w:rsidRDefault="00C55EA7" w:rsidP="005F2B12">
    <w:pPr>
      <w:pStyle w:val="Header"/>
      <w:rPr>
        <w:szCs w:val="18"/>
      </w:rPr>
    </w:pPr>
    <w:r w:rsidRPr="00353EC0">
      <w:rPr>
        <w:bCs/>
        <w:szCs w:val="18"/>
      </w:rPr>
      <w:t>UNEP</w:t>
    </w:r>
    <w:r w:rsidRPr="00353EC0">
      <w:rPr>
        <w:szCs w:val="18"/>
      </w:rPr>
      <w:t>/MC/COP.3/</w:t>
    </w:r>
    <w:r>
      <w:rPr>
        <w:szCs w:val="18"/>
      </w:rPr>
      <w:t>16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872E7" w14:textId="2C5EAE5A" w:rsidR="00C55EA7" w:rsidRPr="005F2B12" w:rsidRDefault="00C55EA7" w:rsidP="005F2B12">
    <w:pPr>
      <w:pStyle w:val="Header"/>
      <w:jc w:val="right"/>
      <w:rPr>
        <w:szCs w:val="18"/>
      </w:rPr>
    </w:pPr>
    <w:r w:rsidRPr="00353EC0">
      <w:rPr>
        <w:bCs/>
        <w:szCs w:val="18"/>
      </w:rPr>
      <w:t>UNEP</w:t>
    </w:r>
    <w:r w:rsidRPr="00353EC0">
      <w:rPr>
        <w:szCs w:val="18"/>
      </w:rPr>
      <w:t>/MC/COP.3/</w:t>
    </w:r>
    <w:r>
      <w:rPr>
        <w:szCs w:val="18"/>
      </w:rPr>
      <w:t>16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7BC0D" w14:textId="0E182B62" w:rsidR="00C55EA7" w:rsidRPr="009E0757" w:rsidRDefault="00C55EA7" w:rsidP="00CD564A">
    <w:pPr>
      <w:pStyle w:val="Header"/>
      <w:jc w:val="right"/>
      <w:rPr>
        <w:szCs w:val="18"/>
      </w:rPr>
    </w:pPr>
    <w:r w:rsidRPr="00353EC0">
      <w:rPr>
        <w:bCs/>
        <w:szCs w:val="18"/>
      </w:rPr>
      <w:t>UNEP</w:t>
    </w:r>
    <w:r w:rsidRPr="00353EC0">
      <w:rPr>
        <w:szCs w:val="18"/>
      </w:rPr>
      <w:t>/MC/COP.3/</w:t>
    </w:r>
    <w:r>
      <w:rPr>
        <w:szCs w:val="18"/>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C14"/>
    <w:multiLevelType w:val="multilevel"/>
    <w:tmpl w:val="5A9C95B8"/>
    <w:lvl w:ilvl="0">
      <w:start w:val="1"/>
      <w:numFmt w:val="lowerLetter"/>
      <w:lvlText w:val="%1)"/>
      <w:lvlJc w:val="left"/>
      <w:pPr>
        <w:ind w:left="2231" w:hanging="36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597"/>
        </w:tabs>
        <w:ind w:left="710"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4" w15:restartNumberingAfterBreak="0">
    <w:nsid w:val="624A7C7D"/>
    <w:multiLevelType w:val="hybridMultilevel"/>
    <w:tmpl w:val="5F187674"/>
    <w:lvl w:ilvl="0" w:tplc="30A82A4E">
      <w:start w:val="1"/>
      <w:numFmt w:val="decimal"/>
      <w:lvlText w:val="%1."/>
      <w:lvlJc w:val="left"/>
      <w:pPr>
        <w:ind w:left="1247" w:firstLine="624"/>
      </w:pPr>
      <w:rPr>
        <w:rFonts w:hint="default"/>
        <w:i w:val="0"/>
        <w:sz w:val="20"/>
      </w:rPr>
    </w:lvl>
    <w:lvl w:ilvl="1" w:tplc="040A0019" w:tentative="1">
      <w:start w:val="1"/>
      <w:numFmt w:val="lowerLetter"/>
      <w:lvlText w:val="%2."/>
      <w:lvlJc w:val="left"/>
      <w:pPr>
        <w:ind w:left="2951" w:hanging="360"/>
      </w:pPr>
    </w:lvl>
    <w:lvl w:ilvl="2" w:tplc="040A001B" w:tentative="1">
      <w:start w:val="1"/>
      <w:numFmt w:val="lowerRoman"/>
      <w:lvlText w:val="%3."/>
      <w:lvlJc w:val="right"/>
      <w:pPr>
        <w:ind w:left="3671" w:hanging="180"/>
      </w:pPr>
    </w:lvl>
    <w:lvl w:ilvl="3" w:tplc="040A000F" w:tentative="1">
      <w:start w:val="1"/>
      <w:numFmt w:val="decimal"/>
      <w:lvlText w:val="%4."/>
      <w:lvlJc w:val="left"/>
      <w:pPr>
        <w:ind w:left="4391" w:hanging="360"/>
      </w:pPr>
    </w:lvl>
    <w:lvl w:ilvl="4" w:tplc="040A0019" w:tentative="1">
      <w:start w:val="1"/>
      <w:numFmt w:val="lowerLetter"/>
      <w:lvlText w:val="%5."/>
      <w:lvlJc w:val="left"/>
      <w:pPr>
        <w:ind w:left="5111" w:hanging="360"/>
      </w:pPr>
    </w:lvl>
    <w:lvl w:ilvl="5" w:tplc="040A001B" w:tentative="1">
      <w:start w:val="1"/>
      <w:numFmt w:val="lowerRoman"/>
      <w:lvlText w:val="%6."/>
      <w:lvlJc w:val="right"/>
      <w:pPr>
        <w:ind w:left="5831" w:hanging="180"/>
      </w:pPr>
    </w:lvl>
    <w:lvl w:ilvl="6" w:tplc="040A000F" w:tentative="1">
      <w:start w:val="1"/>
      <w:numFmt w:val="decimal"/>
      <w:lvlText w:val="%7."/>
      <w:lvlJc w:val="left"/>
      <w:pPr>
        <w:ind w:left="6551" w:hanging="360"/>
      </w:pPr>
    </w:lvl>
    <w:lvl w:ilvl="7" w:tplc="040A0019" w:tentative="1">
      <w:start w:val="1"/>
      <w:numFmt w:val="lowerLetter"/>
      <w:lvlText w:val="%8."/>
      <w:lvlJc w:val="left"/>
      <w:pPr>
        <w:ind w:left="7271" w:hanging="360"/>
      </w:pPr>
    </w:lvl>
    <w:lvl w:ilvl="8" w:tplc="040A001B" w:tentative="1">
      <w:start w:val="1"/>
      <w:numFmt w:val="lowerRoman"/>
      <w:lvlText w:val="%9."/>
      <w:lvlJc w:val="right"/>
      <w:pPr>
        <w:ind w:left="7991" w:hanging="180"/>
      </w:pPr>
    </w:lvl>
  </w:abstractNum>
  <w:num w:numId="1">
    <w:abstractNumId w:val="3"/>
  </w:num>
  <w:num w:numId="2">
    <w:abstractNumId w:val="1"/>
  </w:num>
  <w:num w:numId="3">
    <w:abstractNumId w:val="2"/>
  </w:num>
  <w:num w:numId="4">
    <w:abstractNumId w:val="3"/>
    <w:lvlOverride w:ilvl="0">
      <w:lvl w:ilvl="0">
        <w:start w:val="1"/>
        <w:numFmt w:val="decimal"/>
        <w:pStyle w:val="Normalnumber"/>
        <w:lvlText w:val="%1."/>
        <w:lvlJc w:val="left"/>
        <w:pPr>
          <w:tabs>
            <w:tab w:val="num" w:pos="597"/>
          </w:tabs>
          <w:ind w:left="710" w:firstLine="0"/>
        </w:pPr>
        <w:rPr>
          <w:rFonts w:hint="default"/>
        </w:rPr>
      </w:lvl>
    </w:lvlOverride>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6A34"/>
    <w:rsid w:val="000077AD"/>
    <w:rsid w:val="00011A16"/>
    <w:rsid w:val="000146EC"/>
    <w:rsid w:val="000149E6"/>
    <w:rsid w:val="00023DA9"/>
    <w:rsid w:val="000247B0"/>
    <w:rsid w:val="00026997"/>
    <w:rsid w:val="00026A08"/>
    <w:rsid w:val="00032E4E"/>
    <w:rsid w:val="000338DE"/>
    <w:rsid w:val="00033E0B"/>
    <w:rsid w:val="00035EDE"/>
    <w:rsid w:val="000405C7"/>
    <w:rsid w:val="000509B4"/>
    <w:rsid w:val="00053603"/>
    <w:rsid w:val="0005795B"/>
    <w:rsid w:val="0006035B"/>
    <w:rsid w:val="0006096F"/>
    <w:rsid w:val="000649C5"/>
    <w:rsid w:val="000656E9"/>
    <w:rsid w:val="00071886"/>
    <w:rsid w:val="000742BC"/>
    <w:rsid w:val="00076CC6"/>
    <w:rsid w:val="00082A0C"/>
    <w:rsid w:val="00083504"/>
    <w:rsid w:val="0009472F"/>
    <w:rsid w:val="0009640C"/>
    <w:rsid w:val="000A2E65"/>
    <w:rsid w:val="000A7C0C"/>
    <w:rsid w:val="000A7F53"/>
    <w:rsid w:val="000B22A2"/>
    <w:rsid w:val="000B269A"/>
    <w:rsid w:val="000B541B"/>
    <w:rsid w:val="000B6EC4"/>
    <w:rsid w:val="000B73F9"/>
    <w:rsid w:val="000C2A0E"/>
    <w:rsid w:val="000C2A52"/>
    <w:rsid w:val="000C2A88"/>
    <w:rsid w:val="000C3412"/>
    <w:rsid w:val="000C64D7"/>
    <w:rsid w:val="000D0D72"/>
    <w:rsid w:val="000D33C0"/>
    <w:rsid w:val="000D4CC3"/>
    <w:rsid w:val="000D4CF6"/>
    <w:rsid w:val="000D6941"/>
    <w:rsid w:val="000E752A"/>
    <w:rsid w:val="000F4829"/>
    <w:rsid w:val="000F6B21"/>
    <w:rsid w:val="00102EFB"/>
    <w:rsid w:val="001202E3"/>
    <w:rsid w:val="001224E5"/>
    <w:rsid w:val="00123699"/>
    <w:rsid w:val="001241FB"/>
    <w:rsid w:val="0013059D"/>
    <w:rsid w:val="00134A4C"/>
    <w:rsid w:val="00136187"/>
    <w:rsid w:val="00141A55"/>
    <w:rsid w:val="001420F5"/>
    <w:rsid w:val="0014293F"/>
    <w:rsid w:val="0014397D"/>
    <w:rsid w:val="001446A3"/>
    <w:rsid w:val="001513E7"/>
    <w:rsid w:val="00152B6B"/>
    <w:rsid w:val="00155395"/>
    <w:rsid w:val="00155A2F"/>
    <w:rsid w:val="00156B6B"/>
    <w:rsid w:val="00160D74"/>
    <w:rsid w:val="001639C5"/>
    <w:rsid w:val="001646EA"/>
    <w:rsid w:val="00167D02"/>
    <w:rsid w:val="001702FF"/>
    <w:rsid w:val="001709F9"/>
    <w:rsid w:val="00174DCA"/>
    <w:rsid w:val="001759D8"/>
    <w:rsid w:val="00177D7F"/>
    <w:rsid w:val="00180289"/>
    <w:rsid w:val="00180C18"/>
    <w:rsid w:val="00180C3F"/>
    <w:rsid w:val="00181EC8"/>
    <w:rsid w:val="00183C35"/>
    <w:rsid w:val="00184349"/>
    <w:rsid w:val="00195F33"/>
    <w:rsid w:val="001A47E5"/>
    <w:rsid w:val="001B1617"/>
    <w:rsid w:val="001B504B"/>
    <w:rsid w:val="001B6F98"/>
    <w:rsid w:val="001C191A"/>
    <w:rsid w:val="001D0FB8"/>
    <w:rsid w:val="001D3874"/>
    <w:rsid w:val="001D7E75"/>
    <w:rsid w:val="001E0D73"/>
    <w:rsid w:val="001E45BD"/>
    <w:rsid w:val="001E56D2"/>
    <w:rsid w:val="001E7D56"/>
    <w:rsid w:val="001F092B"/>
    <w:rsid w:val="001F5186"/>
    <w:rsid w:val="001F75DE"/>
    <w:rsid w:val="00200D58"/>
    <w:rsid w:val="002011C1"/>
    <w:rsid w:val="002013BE"/>
    <w:rsid w:val="00201EDC"/>
    <w:rsid w:val="002063A4"/>
    <w:rsid w:val="0021145B"/>
    <w:rsid w:val="00217C87"/>
    <w:rsid w:val="00217EE5"/>
    <w:rsid w:val="00220C23"/>
    <w:rsid w:val="002247F6"/>
    <w:rsid w:val="00225E21"/>
    <w:rsid w:val="00225E44"/>
    <w:rsid w:val="002314FA"/>
    <w:rsid w:val="00234E78"/>
    <w:rsid w:val="00240774"/>
    <w:rsid w:val="00243D36"/>
    <w:rsid w:val="00246151"/>
    <w:rsid w:val="002467F6"/>
    <w:rsid w:val="00247707"/>
    <w:rsid w:val="00252277"/>
    <w:rsid w:val="00252456"/>
    <w:rsid w:val="002561FE"/>
    <w:rsid w:val="0025796F"/>
    <w:rsid w:val="0026018E"/>
    <w:rsid w:val="0026065A"/>
    <w:rsid w:val="00260D32"/>
    <w:rsid w:val="00270364"/>
    <w:rsid w:val="00274E45"/>
    <w:rsid w:val="00286740"/>
    <w:rsid w:val="00286E99"/>
    <w:rsid w:val="00291EAE"/>
    <w:rsid w:val="002929D8"/>
    <w:rsid w:val="00295A7B"/>
    <w:rsid w:val="002A237D"/>
    <w:rsid w:val="002A4C53"/>
    <w:rsid w:val="002B0672"/>
    <w:rsid w:val="002B247F"/>
    <w:rsid w:val="002B27A2"/>
    <w:rsid w:val="002B414B"/>
    <w:rsid w:val="002B4750"/>
    <w:rsid w:val="002B50D4"/>
    <w:rsid w:val="002B5893"/>
    <w:rsid w:val="002B58BF"/>
    <w:rsid w:val="002B76E6"/>
    <w:rsid w:val="002C145D"/>
    <w:rsid w:val="002C2C3E"/>
    <w:rsid w:val="002C533E"/>
    <w:rsid w:val="002C53A6"/>
    <w:rsid w:val="002D027F"/>
    <w:rsid w:val="002D3E15"/>
    <w:rsid w:val="002D7A85"/>
    <w:rsid w:val="002D7B60"/>
    <w:rsid w:val="002F009F"/>
    <w:rsid w:val="002F0810"/>
    <w:rsid w:val="002F329F"/>
    <w:rsid w:val="002F4761"/>
    <w:rsid w:val="002F5C79"/>
    <w:rsid w:val="002F5C89"/>
    <w:rsid w:val="002F68EE"/>
    <w:rsid w:val="003019E2"/>
    <w:rsid w:val="0030503D"/>
    <w:rsid w:val="00310BEB"/>
    <w:rsid w:val="00311085"/>
    <w:rsid w:val="0031413F"/>
    <w:rsid w:val="00314854"/>
    <w:rsid w:val="003148BB"/>
    <w:rsid w:val="003169A7"/>
    <w:rsid w:val="00317976"/>
    <w:rsid w:val="00320F2F"/>
    <w:rsid w:val="0032457E"/>
    <w:rsid w:val="00325D38"/>
    <w:rsid w:val="0032654C"/>
    <w:rsid w:val="00333C53"/>
    <w:rsid w:val="003470E4"/>
    <w:rsid w:val="0035277E"/>
    <w:rsid w:val="00353EC0"/>
    <w:rsid w:val="00355EA9"/>
    <w:rsid w:val="003578DE"/>
    <w:rsid w:val="00361688"/>
    <w:rsid w:val="003751CA"/>
    <w:rsid w:val="00380921"/>
    <w:rsid w:val="003841ED"/>
    <w:rsid w:val="0038455F"/>
    <w:rsid w:val="0038564C"/>
    <w:rsid w:val="00386847"/>
    <w:rsid w:val="003877D5"/>
    <w:rsid w:val="003929B8"/>
    <w:rsid w:val="00393432"/>
    <w:rsid w:val="00396257"/>
    <w:rsid w:val="00397EB8"/>
    <w:rsid w:val="003A2EB5"/>
    <w:rsid w:val="003A4FD0"/>
    <w:rsid w:val="003A69D1"/>
    <w:rsid w:val="003A7705"/>
    <w:rsid w:val="003A77F1"/>
    <w:rsid w:val="003B1545"/>
    <w:rsid w:val="003B5DDA"/>
    <w:rsid w:val="003C1581"/>
    <w:rsid w:val="003C3219"/>
    <w:rsid w:val="003C409D"/>
    <w:rsid w:val="003C4544"/>
    <w:rsid w:val="003C5583"/>
    <w:rsid w:val="003C5BA6"/>
    <w:rsid w:val="003C74CF"/>
    <w:rsid w:val="003D3752"/>
    <w:rsid w:val="003D4112"/>
    <w:rsid w:val="003E35DA"/>
    <w:rsid w:val="003E455D"/>
    <w:rsid w:val="003E5017"/>
    <w:rsid w:val="003F0E85"/>
    <w:rsid w:val="00410C55"/>
    <w:rsid w:val="00416854"/>
    <w:rsid w:val="00417725"/>
    <w:rsid w:val="00417CAE"/>
    <w:rsid w:val="00421D8E"/>
    <w:rsid w:val="0042266F"/>
    <w:rsid w:val="00423A85"/>
    <w:rsid w:val="00433B5A"/>
    <w:rsid w:val="00434321"/>
    <w:rsid w:val="00437F26"/>
    <w:rsid w:val="00441811"/>
    <w:rsid w:val="004422BC"/>
    <w:rsid w:val="004436A3"/>
    <w:rsid w:val="00444097"/>
    <w:rsid w:val="00445487"/>
    <w:rsid w:val="00447E0D"/>
    <w:rsid w:val="00453EA8"/>
    <w:rsid w:val="00454769"/>
    <w:rsid w:val="0046331A"/>
    <w:rsid w:val="0046655E"/>
    <w:rsid w:val="00466991"/>
    <w:rsid w:val="004677DA"/>
    <w:rsid w:val="0047064C"/>
    <w:rsid w:val="00470DF7"/>
    <w:rsid w:val="00474996"/>
    <w:rsid w:val="00474B2D"/>
    <w:rsid w:val="004822B7"/>
    <w:rsid w:val="0049469E"/>
    <w:rsid w:val="004A0684"/>
    <w:rsid w:val="004A2217"/>
    <w:rsid w:val="004A24F9"/>
    <w:rsid w:val="004A2D9B"/>
    <w:rsid w:val="004A2E3D"/>
    <w:rsid w:val="004A42E1"/>
    <w:rsid w:val="004B162C"/>
    <w:rsid w:val="004B2ABE"/>
    <w:rsid w:val="004B734B"/>
    <w:rsid w:val="004C173E"/>
    <w:rsid w:val="004C3DBE"/>
    <w:rsid w:val="004C5C96"/>
    <w:rsid w:val="004D06A4"/>
    <w:rsid w:val="004D0BE4"/>
    <w:rsid w:val="004F09E7"/>
    <w:rsid w:val="004F1A81"/>
    <w:rsid w:val="004F5D88"/>
    <w:rsid w:val="00501354"/>
    <w:rsid w:val="00504A09"/>
    <w:rsid w:val="005050D2"/>
    <w:rsid w:val="005218D9"/>
    <w:rsid w:val="00536186"/>
    <w:rsid w:val="00537709"/>
    <w:rsid w:val="00544CBB"/>
    <w:rsid w:val="0054668D"/>
    <w:rsid w:val="00551B65"/>
    <w:rsid w:val="00553C23"/>
    <w:rsid w:val="00556704"/>
    <w:rsid w:val="005656D7"/>
    <w:rsid w:val="00571CF5"/>
    <w:rsid w:val="0057315F"/>
    <w:rsid w:val="00574550"/>
    <w:rsid w:val="00576104"/>
    <w:rsid w:val="00586418"/>
    <w:rsid w:val="00592B21"/>
    <w:rsid w:val="00594274"/>
    <w:rsid w:val="005A70CE"/>
    <w:rsid w:val="005B2DF4"/>
    <w:rsid w:val="005B44BF"/>
    <w:rsid w:val="005C1767"/>
    <w:rsid w:val="005C2800"/>
    <w:rsid w:val="005C67C8"/>
    <w:rsid w:val="005D00E7"/>
    <w:rsid w:val="005D0249"/>
    <w:rsid w:val="005D18FA"/>
    <w:rsid w:val="005D370B"/>
    <w:rsid w:val="005D4FD4"/>
    <w:rsid w:val="005D5041"/>
    <w:rsid w:val="005D6E8C"/>
    <w:rsid w:val="005E0D8C"/>
    <w:rsid w:val="005E3004"/>
    <w:rsid w:val="005E4AAB"/>
    <w:rsid w:val="005F100C"/>
    <w:rsid w:val="005F2B12"/>
    <w:rsid w:val="005F43AA"/>
    <w:rsid w:val="005F68DA"/>
    <w:rsid w:val="005F7419"/>
    <w:rsid w:val="00601BC9"/>
    <w:rsid w:val="00605CD0"/>
    <w:rsid w:val="0060773B"/>
    <w:rsid w:val="00610ED5"/>
    <w:rsid w:val="00613FD6"/>
    <w:rsid w:val="006157B5"/>
    <w:rsid w:val="00617224"/>
    <w:rsid w:val="00623F8B"/>
    <w:rsid w:val="00626FC6"/>
    <w:rsid w:val="006303B4"/>
    <w:rsid w:val="00630ADC"/>
    <w:rsid w:val="00633D3D"/>
    <w:rsid w:val="00634E0D"/>
    <w:rsid w:val="00641703"/>
    <w:rsid w:val="006431A6"/>
    <w:rsid w:val="00643E3A"/>
    <w:rsid w:val="006459F6"/>
    <w:rsid w:val="0064729A"/>
    <w:rsid w:val="006501AD"/>
    <w:rsid w:val="00651BFA"/>
    <w:rsid w:val="00652ED8"/>
    <w:rsid w:val="00654475"/>
    <w:rsid w:val="00656DF0"/>
    <w:rsid w:val="00657C85"/>
    <w:rsid w:val="0066452F"/>
    <w:rsid w:val="00665A4B"/>
    <w:rsid w:val="00670FAE"/>
    <w:rsid w:val="006719E1"/>
    <w:rsid w:val="00675BD8"/>
    <w:rsid w:val="00687A7E"/>
    <w:rsid w:val="00692E2A"/>
    <w:rsid w:val="00694239"/>
    <w:rsid w:val="0069496A"/>
    <w:rsid w:val="00696C1C"/>
    <w:rsid w:val="006A76F2"/>
    <w:rsid w:val="006B7D29"/>
    <w:rsid w:val="006D19D4"/>
    <w:rsid w:val="006D3B59"/>
    <w:rsid w:val="006D5644"/>
    <w:rsid w:val="006D628F"/>
    <w:rsid w:val="006D6321"/>
    <w:rsid w:val="006D7EFB"/>
    <w:rsid w:val="006E6672"/>
    <w:rsid w:val="006E6722"/>
    <w:rsid w:val="006E7390"/>
    <w:rsid w:val="006F7AFF"/>
    <w:rsid w:val="006F7D7F"/>
    <w:rsid w:val="007027B9"/>
    <w:rsid w:val="0070644F"/>
    <w:rsid w:val="007066B5"/>
    <w:rsid w:val="007145DA"/>
    <w:rsid w:val="00715E88"/>
    <w:rsid w:val="00716D8B"/>
    <w:rsid w:val="00717008"/>
    <w:rsid w:val="00720BF5"/>
    <w:rsid w:val="0072727D"/>
    <w:rsid w:val="00727942"/>
    <w:rsid w:val="00730DB5"/>
    <w:rsid w:val="00731576"/>
    <w:rsid w:val="00734CAA"/>
    <w:rsid w:val="007406C0"/>
    <w:rsid w:val="00740EE2"/>
    <w:rsid w:val="00742324"/>
    <w:rsid w:val="00742680"/>
    <w:rsid w:val="0075533C"/>
    <w:rsid w:val="007553E8"/>
    <w:rsid w:val="00755A18"/>
    <w:rsid w:val="00757581"/>
    <w:rsid w:val="007602F5"/>
    <w:rsid w:val="00760372"/>
    <w:rsid w:val="00760D36"/>
    <w:rsid w:val="007611A0"/>
    <w:rsid w:val="007629AD"/>
    <w:rsid w:val="00772574"/>
    <w:rsid w:val="00773E54"/>
    <w:rsid w:val="00781AFC"/>
    <w:rsid w:val="00787688"/>
    <w:rsid w:val="007935E6"/>
    <w:rsid w:val="00796D3F"/>
    <w:rsid w:val="00797A1A"/>
    <w:rsid w:val="007A1683"/>
    <w:rsid w:val="007A50C0"/>
    <w:rsid w:val="007A5C12"/>
    <w:rsid w:val="007A6186"/>
    <w:rsid w:val="007A6238"/>
    <w:rsid w:val="007A7CB0"/>
    <w:rsid w:val="007B1CA6"/>
    <w:rsid w:val="007B3C69"/>
    <w:rsid w:val="007B3F75"/>
    <w:rsid w:val="007B68A3"/>
    <w:rsid w:val="007C2541"/>
    <w:rsid w:val="007D0CE4"/>
    <w:rsid w:val="007D50B6"/>
    <w:rsid w:val="007D574B"/>
    <w:rsid w:val="007D66A8"/>
    <w:rsid w:val="007E003F"/>
    <w:rsid w:val="007E07CB"/>
    <w:rsid w:val="007F0CF8"/>
    <w:rsid w:val="007F5E1B"/>
    <w:rsid w:val="007F62CB"/>
    <w:rsid w:val="00803662"/>
    <w:rsid w:val="00806F3E"/>
    <w:rsid w:val="008142EC"/>
    <w:rsid w:val="0081458E"/>
    <w:rsid w:val="008164F2"/>
    <w:rsid w:val="00817307"/>
    <w:rsid w:val="00821395"/>
    <w:rsid w:val="00830E26"/>
    <w:rsid w:val="00834368"/>
    <w:rsid w:val="0083441A"/>
    <w:rsid w:val="00843576"/>
    <w:rsid w:val="00843B64"/>
    <w:rsid w:val="00845261"/>
    <w:rsid w:val="008477D8"/>
    <w:rsid w:val="008478FC"/>
    <w:rsid w:val="00851C51"/>
    <w:rsid w:val="008538F7"/>
    <w:rsid w:val="00853B59"/>
    <w:rsid w:val="00861297"/>
    <w:rsid w:val="00863DF0"/>
    <w:rsid w:val="00863F6A"/>
    <w:rsid w:val="00867BFF"/>
    <w:rsid w:val="00871542"/>
    <w:rsid w:val="00872BF6"/>
    <w:rsid w:val="0088205B"/>
    <w:rsid w:val="00883B8E"/>
    <w:rsid w:val="0088480A"/>
    <w:rsid w:val="0088757A"/>
    <w:rsid w:val="00890A91"/>
    <w:rsid w:val="0089431B"/>
    <w:rsid w:val="00895668"/>
    <w:rsid w:val="008957DD"/>
    <w:rsid w:val="00897D98"/>
    <w:rsid w:val="008A4BA2"/>
    <w:rsid w:val="008A6DF2"/>
    <w:rsid w:val="008A7807"/>
    <w:rsid w:val="008B313C"/>
    <w:rsid w:val="008B4CC9"/>
    <w:rsid w:val="008C0B15"/>
    <w:rsid w:val="008D75E4"/>
    <w:rsid w:val="008D7C99"/>
    <w:rsid w:val="008E0FCB"/>
    <w:rsid w:val="008E2ECD"/>
    <w:rsid w:val="008F4103"/>
    <w:rsid w:val="008F6DFE"/>
    <w:rsid w:val="008F74E7"/>
    <w:rsid w:val="00900CB8"/>
    <w:rsid w:val="0090529F"/>
    <w:rsid w:val="00906EFF"/>
    <w:rsid w:val="00906F0E"/>
    <w:rsid w:val="00910D83"/>
    <w:rsid w:val="0092178C"/>
    <w:rsid w:val="00930B88"/>
    <w:rsid w:val="00935376"/>
    <w:rsid w:val="00940DCC"/>
    <w:rsid w:val="0094179A"/>
    <w:rsid w:val="009431AF"/>
    <w:rsid w:val="0094459E"/>
    <w:rsid w:val="00944DBC"/>
    <w:rsid w:val="00950544"/>
    <w:rsid w:val="00950977"/>
    <w:rsid w:val="00951A7B"/>
    <w:rsid w:val="0095392B"/>
    <w:rsid w:val="00954463"/>
    <w:rsid w:val="00955512"/>
    <w:rsid w:val="00955A96"/>
    <w:rsid w:val="009564A6"/>
    <w:rsid w:val="00957EF8"/>
    <w:rsid w:val="00966A53"/>
    <w:rsid w:val="00967621"/>
    <w:rsid w:val="00967E6A"/>
    <w:rsid w:val="009749BE"/>
    <w:rsid w:val="00975334"/>
    <w:rsid w:val="009907B9"/>
    <w:rsid w:val="00990918"/>
    <w:rsid w:val="009946AD"/>
    <w:rsid w:val="009A3A83"/>
    <w:rsid w:val="009A6BD9"/>
    <w:rsid w:val="009B4A0F"/>
    <w:rsid w:val="009B6BA1"/>
    <w:rsid w:val="009C11D2"/>
    <w:rsid w:val="009C6BF9"/>
    <w:rsid w:val="009C6C70"/>
    <w:rsid w:val="009C705B"/>
    <w:rsid w:val="009C787C"/>
    <w:rsid w:val="009C7B0A"/>
    <w:rsid w:val="009D0838"/>
    <w:rsid w:val="009D0B63"/>
    <w:rsid w:val="009D5CB8"/>
    <w:rsid w:val="009E0757"/>
    <w:rsid w:val="009E307E"/>
    <w:rsid w:val="009F4448"/>
    <w:rsid w:val="00A07870"/>
    <w:rsid w:val="00A07C54"/>
    <w:rsid w:val="00A07F19"/>
    <w:rsid w:val="00A10ABB"/>
    <w:rsid w:val="00A1348D"/>
    <w:rsid w:val="00A13C99"/>
    <w:rsid w:val="00A2155C"/>
    <w:rsid w:val="00A232EE"/>
    <w:rsid w:val="00A26C8A"/>
    <w:rsid w:val="00A34373"/>
    <w:rsid w:val="00A4175F"/>
    <w:rsid w:val="00A44411"/>
    <w:rsid w:val="00A469FA"/>
    <w:rsid w:val="00A53662"/>
    <w:rsid w:val="00A55B01"/>
    <w:rsid w:val="00A56B5B"/>
    <w:rsid w:val="00A578AC"/>
    <w:rsid w:val="00A603FF"/>
    <w:rsid w:val="00A619B6"/>
    <w:rsid w:val="00A648CA"/>
    <w:rsid w:val="00A64E8A"/>
    <w:rsid w:val="00A657DD"/>
    <w:rsid w:val="00A666A6"/>
    <w:rsid w:val="00A66967"/>
    <w:rsid w:val="00A675FD"/>
    <w:rsid w:val="00A71930"/>
    <w:rsid w:val="00A72437"/>
    <w:rsid w:val="00A8048B"/>
    <w:rsid w:val="00A80611"/>
    <w:rsid w:val="00A82CA1"/>
    <w:rsid w:val="00AA5BF4"/>
    <w:rsid w:val="00AA5D0F"/>
    <w:rsid w:val="00AB3AC1"/>
    <w:rsid w:val="00AB5340"/>
    <w:rsid w:val="00AC0A89"/>
    <w:rsid w:val="00AC1DB8"/>
    <w:rsid w:val="00AC5702"/>
    <w:rsid w:val="00AC630D"/>
    <w:rsid w:val="00AC7C96"/>
    <w:rsid w:val="00AD3593"/>
    <w:rsid w:val="00AE0812"/>
    <w:rsid w:val="00AE237D"/>
    <w:rsid w:val="00AE3AF5"/>
    <w:rsid w:val="00AE502A"/>
    <w:rsid w:val="00AF0010"/>
    <w:rsid w:val="00AF1AA8"/>
    <w:rsid w:val="00AF2C1F"/>
    <w:rsid w:val="00AF7C07"/>
    <w:rsid w:val="00B013AF"/>
    <w:rsid w:val="00B06C64"/>
    <w:rsid w:val="00B07D8E"/>
    <w:rsid w:val="00B11CAC"/>
    <w:rsid w:val="00B15A29"/>
    <w:rsid w:val="00B22C93"/>
    <w:rsid w:val="00B251AC"/>
    <w:rsid w:val="00B26869"/>
    <w:rsid w:val="00B27589"/>
    <w:rsid w:val="00B314DF"/>
    <w:rsid w:val="00B3331E"/>
    <w:rsid w:val="00B37684"/>
    <w:rsid w:val="00B405B7"/>
    <w:rsid w:val="00B43426"/>
    <w:rsid w:val="00B46134"/>
    <w:rsid w:val="00B468C0"/>
    <w:rsid w:val="00B52222"/>
    <w:rsid w:val="00B531DA"/>
    <w:rsid w:val="00B538A9"/>
    <w:rsid w:val="00B54895"/>
    <w:rsid w:val="00B54FE7"/>
    <w:rsid w:val="00B6303E"/>
    <w:rsid w:val="00B647C6"/>
    <w:rsid w:val="00B655F9"/>
    <w:rsid w:val="00B66901"/>
    <w:rsid w:val="00B66F60"/>
    <w:rsid w:val="00B71E6D"/>
    <w:rsid w:val="00B72070"/>
    <w:rsid w:val="00B7535C"/>
    <w:rsid w:val="00B779E1"/>
    <w:rsid w:val="00B81E3A"/>
    <w:rsid w:val="00B8400F"/>
    <w:rsid w:val="00B8576D"/>
    <w:rsid w:val="00B85CFB"/>
    <w:rsid w:val="00B86026"/>
    <w:rsid w:val="00B91117"/>
    <w:rsid w:val="00B914E9"/>
    <w:rsid w:val="00B91EE1"/>
    <w:rsid w:val="00B94602"/>
    <w:rsid w:val="00BA0090"/>
    <w:rsid w:val="00BA1A67"/>
    <w:rsid w:val="00BA6A80"/>
    <w:rsid w:val="00BA722E"/>
    <w:rsid w:val="00BB0B49"/>
    <w:rsid w:val="00BB2766"/>
    <w:rsid w:val="00BB4ABB"/>
    <w:rsid w:val="00BC62BA"/>
    <w:rsid w:val="00BD6E6D"/>
    <w:rsid w:val="00BE1DA1"/>
    <w:rsid w:val="00BE49FB"/>
    <w:rsid w:val="00BE5B5F"/>
    <w:rsid w:val="00BE7170"/>
    <w:rsid w:val="00BE7993"/>
    <w:rsid w:val="00C023C6"/>
    <w:rsid w:val="00C06171"/>
    <w:rsid w:val="00C11971"/>
    <w:rsid w:val="00C141F6"/>
    <w:rsid w:val="00C179DE"/>
    <w:rsid w:val="00C20619"/>
    <w:rsid w:val="00C26F55"/>
    <w:rsid w:val="00C27533"/>
    <w:rsid w:val="00C30C63"/>
    <w:rsid w:val="00C30FF3"/>
    <w:rsid w:val="00C34D5C"/>
    <w:rsid w:val="00C36B8B"/>
    <w:rsid w:val="00C415C1"/>
    <w:rsid w:val="00C47DBF"/>
    <w:rsid w:val="00C501AD"/>
    <w:rsid w:val="00C52E4D"/>
    <w:rsid w:val="00C552FF"/>
    <w:rsid w:val="00C558DA"/>
    <w:rsid w:val="00C55AF3"/>
    <w:rsid w:val="00C55EA7"/>
    <w:rsid w:val="00C771A9"/>
    <w:rsid w:val="00C82943"/>
    <w:rsid w:val="00C84759"/>
    <w:rsid w:val="00C93096"/>
    <w:rsid w:val="00CA0BD4"/>
    <w:rsid w:val="00CA4C07"/>
    <w:rsid w:val="00CA5CA9"/>
    <w:rsid w:val="00CA6C7F"/>
    <w:rsid w:val="00CB007D"/>
    <w:rsid w:val="00CB0E76"/>
    <w:rsid w:val="00CB60CA"/>
    <w:rsid w:val="00CC0FC7"/>
    <w:rsid w:val="00CC10A6"/>
    <w:rsid w:val="00CD2C48"/>
    <w:rsid w:val="00CD3C4D"/>
    <w:rsid w:val="00CD4B37"/>
    <w:rsid w:val="00CD564A"/>
    <w:rsid w:val="00CD5EB8"/>
    <w:rsid w:val="00CD7044"/>
    <w:rsid w:val="00CE056D"/>
    <w:rsid w:val="00CE08B9"/>
    <w:rsid w:val="00CE1B5F"/>
    <w:rsid w:val="00CE3515"/>
    <w:rsid w:val="00CE524C"/>
    <w:rsid w:val="00CE554D"/>
    <w:rsid w:val="00CE662B"/>
    <w:rsid w:val="00CF0461"/>
    <w:rsid w:val="00CF141F"/>
    <w:rsid w:val="00CF3DDA"/>
    <w:rsid w:val="00CF4777"/>
    <w:rsid w:val="00CF52E3"/>
    <w:rsid w:val="00CF65C8"/>
    <w:rsid w:val="00D013F5"/>
    <w:rsid w:val="00D023DB"/>
    <w:rsid w:val="00D05E3F"/>
    <w:rsid w:val="00D067BB"/>
    <w:rsid w:val="00D11F27"/>
    <w:rsid w:val="00D1352A"/>
    <w:rsid w:val="00D15075"/>
    <w:rsid w:val="00D1638E"/>
    <w:rsid w:val="00D169AF"/>
    <w:rsid w:val="00D200EF"/>
    <w:rsid w:val="00D25175"/>
    <w:rsid w:val="00D25249"/>
    <w:rsid w:val="00D26854"/>
    <w:rsid w:val="00D2700B"/>
    <w:rsid w:val="00D42FD5"/>
    <w:rsid w:val="00D44172"/>
    <w:rsid w:val="00D47BE3"/>
    <w:rsid w:val="00D51594"/>
    <w:rsid w:val="00D51F46"/>
    <w:rsid w:val="00D5393C"/>
    <w:rsid w:val="00D55040"/>
    <w:rsid w:val="00D6017C"/>
    <w:rsid w:val="00D63309"/>
    <w:rsid w:val="00D63B8C"/>
    <w:rsid w:val="00D67D01"/>
    <w:rsid w:val="00D707DE"/>
    <w:rsid w:val="00D7095D"/>
    <w:rsid w:val="00D739CC"/>
    <w:rsid w:val="00D76451"/>
    <w:rsid w:val="00D8019A"/>
    <w:rsid w:val="00D806F9"/>
    <w:rsid w:val="00D8093D"/>
    <w:rsid w:val="00D8108C"/>
    <w:rsid w:val="00D842AE"/>
    <w:rsid w:val="00D9211C"/>
    <w:rsid w:val="00D92DE0"/>
    <w:rsid w:val="00D92FEF"/>
    <w:rsid w:val="00D931F9"/>
    <w:rsid w:val="00D93A0F"/>
    <w:rsid w:val="00DA1BCA"/>
    <w:rsid w:val="00DA3663"/>
    <w:rsid w:val="00DA7567"/>
    <w:rsid w:val="00DB5635"/>
    <w:rsid w:val="00DC0365"/>
    <w:rsid w:val="00DC274A"/>
    <w:rsid w:val="00DC46FF"/>
    <w:rsid w:val="00DC5254"/>
    <w:rsid w:val="00DC569D"/>
    <w:rsid w:val="00DD1A4F"/>
    <w:rsid w:val="00DD3107"/>
    <w:rsid w:val="00DD7A8C"/>
    <w:rsid w:val="00DD7C2C"/>
    <w:rsid w:val="00DE5BDA"/>
    <w:rsid w:val="00DF2359"/>
    <w:rsid w:val="00DF433C"/>
    <w:rsid w:val="00DF519F"/>
    <w:rsid w:val="00E0035A"/>
    <w:rsid w:val="00E06797"/>
    <w:rsid w:val="00E1223A"/>
    <w:rsid w:val="00E1265B"/>
    <w:rsid w:val="00E12E09"/>
    <w:rsid w:val="00E13B48"/>
    <w:rsid w:val="00E1404F"/>
    <w:rsid w:val="00E14E7E"/>
    <w:rsid w:val="00E174CD"/>
    <w:rsid w:val="00E21C83"/>
    <w:rsid w:val="00E24ADA"/>
    <w:rsid w:val="00E32F59"/>
    <w:rsid w:val="00E374DC"/>
    <w:rsid w:val="00E41908"/>
    <w:rsid w:val="00E43DF5"/>
    <w:rsid w:val="00E46D9A"/>
    <w:rsid w:val="00E47841"/>
    <w:rsid w:val="00E50040"/>
    <w:rsid w:val="00E506E3"/>
    <w:rsid w:val="00E50EBD"/>
    <w:rsid w:val="00E565FF"/>
    <w:rsid w:val="00E60686"/>
    <w:rsid w:val="00E65388"/>
    <w:rsid w:val="00E65E72"/>
    <w:rsid w:val="00E65E7A"/>
    <w:rsid w:val="00E76ECF"/>
    <w:rsid w:val="00E7741D"/>
    <w:rsid w:val="00E808CD"/>
    <w:rsid w:val="00E8348F"/>
    <w:rsid w:val="00E85B7D"/>
    <w:rsid w:val="00E9121B"/>
    <w:rsid w:val="00E9302E"/>
    <w:rsid w:val="00E95035"/>
    <w:rsid w:val="00E964DB"/>
    <w:rsid w:val="00E976AB"/>
    <w:rsid w:val="00EA0707"/>
    <w:rsid w:val="00EA0AE2"/>
    <w:rsid w:val="00EA39E5"/>
    <w:rsid w:val="00EA57A3"/>
    <w:rsid w:val="00EB17DD"/>
    <w:rsid w:val="00EB301A"/>
    <w:rsid w:val="00EB50D5"/>
    <w:rsid w:val="00EC040E"/>
    <w:rsid w:val="00EC2813"/>
    <w:rsid w:val="00EC5A46"/>
    <w:rsid w:val="00EC63E2"/>
    <w:rsid w:val="00ED0225"/>
    <w:rsid w:val="00ED366A"/>
    <w:rsid w:val="00ED38C5"/>
    <w:rsid w:val="00ED6BB7"/>
    <w:rsid w:val="00EF22B3"/>
    <w:rsid w:val="00EF5666"/>
    <w:rsid w:val="00F02831"/>
    <w:rsid w:val="00F03B69"/>
    <w:rsid w:val="00F07A50"/>
    <w:rsid w:val="00F113DA"/>
    <w:rsid w:val="00F15A4F"/>
    <w:rsid w:val="00F266FC"/>
    <w:rsid w:val="00F3037A"/>
    <w:rsid w:val="00F3465A"/>
    <w:rsid w:val="00F37DC8"/>
    <w:rsid w:val="00F439B3"/>
    <w:rsid w:val="00F650C3"/>
    <w:rsid w:val="00F650CD"/>
    <w:rsid w:val="00F65D85"/>
    <w:rsid w:val="00F6700B"/>
    <w:rsid w:val="00F6729B"/>
    <w:rsid w:val="00F7137B"/>
    <w:rsid w:val="00F8058A"/>
    <w:rsid w:val="00F8091E"/>
    <w:rsid w:val="00F81272"/>
    <w:rsid w:val="00F8615C"/>
    <w:rsid w:val="00F969E5"/>
    <w:rsid w:val="00F96F7E"/>
    <w:rsid w:val="00FA315C"/>
    <w:rsid w:val="00FA4972"/>
    <w:rsid w:val="00FA6BB0"/>
    <w:rsid w:val="00FB2DBD"/>
    <w:rsid w:val="00FC0D00"/>
    <w:rsid w:val="00FD48DF"/>
    <w:rsid w:val="00FD5860"/>
    <w:rsid w:val="00FD6CA7"/>
    <w:rsid w:val="00FE1627"/>
    <w:rsid w:val="00FE352D"/>
    <w:rsid w:val="00FE40EB"/>
    <w:rsid w:val="00FE4D02"/>
    <w:rsid w:val="00FE7D62"/>
    <w:rsid w:val="00FF0DA0"/>
    <w:rsid w:val="00FF3819"/>
    <w:rsid w:val="00FF6E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B607A8C"/>
  <w15:docId w15:val="{286DEF1E-EB7C-4B53-AF34-4742BF5C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63F6A"/>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D0FB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730DB5"/>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numberChar">
    <w:name w:val="Normal_number Char"/>
    <w:link w:val="Normalnumber"/>
    <w:locked/>
    <w:rsid w:val="00730DB5"/>
    <w:rPr>
      <w:lang w:eastAsia="en-US"/>
    </w:rPr>
  </w:style>
  <w:style w:type="character" w:customStyle="1" w:styleId="Normal-poolChar">
    <w:name w:val="Normal-pool Char"/>
    <w:link w:val="Normal-pool"/>
    <w:locked/>
    <w:rsid w:val="00863F6A"/>
    <w:rPr>
      <w:lang w:eastAsia="en-US"/>
    </w:rPr>
  </w:style>
  <w:style w:type="paragraph" w:styleId="TOCHeading">
    <w:name w:val="TOC Heading"/>
    <w:basedOn w:val="Heading1"/>
    <w:next w:val="Normal"/>
    <w:uiPriority w:val="39"/>
    <w:unhideWhenUsed/>
    <w:qFormat/>
    <w:rsid w:val="00863F6A"/>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character" w:styleId="FootnoteReference">
    <w:name w:val="footnote reference"/>
    <w:basedOn w:val="DefaultParagraphFont"/>
    <w:uiPriority w:val="99"/>
    <w:semiHidden/>
    <w:unhideWhenUsed/>
    <w:qFormat/>
    <w:rsid w:val="00433B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8127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550074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786AD-E373-4E0B-9C69-D17074D71678}">
  <ds:schemaRefs>
    <ds:schemaRef ds:uri="http://schemas.microsoft.com/sharepoint/v3/contenttype/forms"/>
  </ds:schemaRefs>
</ds:datastoreItem>
</file>

<file path=customXml/itemProps2.xml><?xml version="1.0" encoding="utf-8"?>
<ds:datastoreItem xmlns:ds="http://schemas.openxmlformats.org/officeDocument/2006/customXml" ds:itemID="{850099DD-C3B4-46BC-B7D1-79573F27CD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4AB54F-83C4-4345-9836-75F3957B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3FF4F-8877-44EE-AC31-539FB013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8720</Words>
  <Characters>47961</Characters>
  <Application>Microsoft Office Word</Application>
  <DocSecurity>0</DocSecurity>
  <Lines>399</Lines>
  <Paragraphs>113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2019-10-25T09:56:00Z</cp:lastPrinted>
  <dcterms:created xsi:type="dcterms:W3CDTF">2019-11-13T12:20:00Z</dcterms:created>
  <dcterms:modified xsi:type="dcterms:W3CDTF">2019-11-13T12:20:00Z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vicente.ubeda fernandez</vt:lpwstr>
  </property>
  <property fmtid="{D5CDD505-2E9C-101B-9397-08002B2CF9AE}" pid="5" name="GeneratedDate">
    <vt:lpwstr>11/2/2019 8:31:42 AM</vt:lpwstr>
  </property>
  <property fmtid="{D5CDD505-2E9C-101B-9397-08002B2CF9AE}" pid="6" name="OriginalDocID">
    <vt:lpwstr>943d0bb7-9cf1-4d46-95ac-16bc4f29bacd</vt:lpwstr>
  </property>
</Properties>
</file>